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17.22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17.220</w:t>
            </w:r>
            <w:r>
              <w:rPr>
                <w:rFonts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N 12"/>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N 12</w:t>
            </w:r>
            <w:r>
              <w:rPr>
                <w:rFonts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r>
        <w:fldChar w:fldCharType="begin">
          <w:ffData>
            <w:name w:val="NSTD_CODE_F"/>
            <w:enabled/>
            <w:calcOnExit w:val="0"/>
            <w:textInput>
              <w:default w:val="0069"/>
            </w:textInput>
          </w:ffData>
        </w:fldChar>
      </w:r>
      <w:bookmarkStart w:id="6" w:name="NSTD_CODE_F"/>
      <w:r>
        <w:instrText xml:space="preserve"> FORMTEXT </w:instrText>
      </w:r>
      <w:r>
        <w:fldChar w:fldCharType="separate"/>
      </w:r>
      <w:r>
        <w:t>0069</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fldChar w:fldCharType="begin">
          <w:ffData>
            <w:name w:val="CSTD_NAME"/>
            <w:enabled/>
            <w:calcOnExit w:val="0"/>
            <w:textInput>
              <w:default w:val="智能仪表动态校准技术规程"/>
            </w:textInput>
          </w:ffData>
        </w:fldChar>
      </w:r>
      <w:bookmarkStart w:id="9" w:name="CSTD_NAME"/>
      <w:r>
        <w:instrText xml:space="preserve"> FORMTEXT </w:instrText>
      </w:r>
      <w:r>
        <w:fldChar w:fldCharType="separate"/>
      </w:r>
      <w:r>
        <w:t>智能仪表动态校准技术规程</w:t>
      </w:r>
      <w: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Code of practice for dynamic calibration of intelligent instruments"/>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Code of practice for dynamic calibration of intelligent instruments</w:t>
      </w:r>
      <w:r>
        <w:rPr>
          <w:rFonts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7BFA125E">
      <w:pPr>
        <w:pStyle w:val="91"/>
        <w:spacing w:after="360"/>
        <w:rPr>
          <w:rFonts w:hint="eastAsia"/>
        </w:rPr>
      </w:pPr>
      <w:bookmarkStart w:id="21" w:name="BookMark1"/>
      <w:r>
        <w:rPr>
          <w:rFonts w:hint="eastAsia"/>
          <w:spacing w:val="320"/>
        </w:rPr>
        <w:t>目</w:t>
      </w:r>
      <w:r>
        <w:rPr>
          <w:rFonts w:hint="eastAsia"/>
        </w:rPr>
        <w:t>次</w:t>
      </w:r>
    </w:p>
    <w:p w14:paraId="6BBF850C">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"_Toc205754148" </w:instrText>
      </w:r>
      <w:r>
        <w:fldChar w:fldCharType="separate"/>
      </w:r>
      <w:r>
        <w:rPr>
          <w:rStyle w:val="32"/>
        </w:rPr>
        <w:t>前言</w:t>
      </w:r>
      <w:r>
        <w:tab/>
      </w:r>
      <w:r>
        <w:fldChar w:fldCharType="begin"/>
      </w:r>
      <w:r>
        <w:instrText xml:space="preserve"> PAGEREF _Toc205754148 \h </w:instrText>
      </w:r>
      <w:r>
        <w:fldChar w:fldCharType="separate"/>
      </w:r>
      <w:r>
        <w:t>III</w:t>
      </w:r>
      <w:r>
        <w:fldChar w:fldCharType="end"/>
      </w:r>
      <w:r>
        <w:fldChar w:fldCharType="end"/>
      </w:r>
    </w:p>
    <w:p w14:paraId="2D600A15">
      <w:pPr>
        <w:pStyle w:val="19"/>
        <w:tabs>
          <w:tab w:val="right" w:leader="dot" w:pos="9344"/>
        </w:tabs>
        <w:rPr>
          <w:rFonts w:asciiTheme="minorHAnsi" w:hAnsiTheme="minorHAnsi" w:eastAsiaTheme="minorEastAsia" w:cstheme="minorBidi"/>
          <w:szCs w:val="22"/>
        </w:rPr>
      </w:pPr>
      <w:r>
        <w:fldChar w:fldCharType="begin"/>
      </w:r>
      <w:r>
        <w:instrText xml:space="preserve"> HYPERLINK \l "_Toc205754149" </w:instrText>
      </w:r>
      <w:r>
        <w:fldChar w:fldCharType="separate"/>
      </w:r>
      <w:r>
        <w:rPr>
          <w:rStyle w:val="32"/>
        </w:rPr>
        <w:t>引言</w:t>
      </w:r>
      <w:r>
        <w:tab/>
      </w:r>
      <w:r>
        <w:fldChar w:fldCharType="begin"/>
      </w:r>
      <w:r>
        <w:instrText xml:space="preserve"> PAGEREF _Toc205754149 \h </w:instrText>
      </w:r>
      <w:r>
        <w:fldChar w:fldCharType="separate"/>
      </w:r>
      <w:r>
        <w:t>V</w:t>
      </w:r>
      <w:r>
        <w:fldChar w:fldCharType="end"/>
      </w:r>
      <w:r>
        <w:fldChar w:fldCharType="end"/>
      </w:r>
    </w:p>
    <w:p w14:paraId="586F90AF">
      <w:pPr>
        <w:pStyle w:val="19"/>
        <w:tabs>
          <w:tab w:val="right" w:leader="dot" w:pos="9344"/>
        </w:tabs>
        <w:rPr>
          <w:rFonts w:asciiTheme="minorHAnsi" w:hAnsiTheme="minorHAnsi" w:eastAsiaTheme="minorEastAsia" w:cstheme="minorBidi"/>
          <w:szCs w:val="22"/>
        </w:rPr>
      </w:pPr>
      <w:r>
        <w:fldChar w:fldCharType="begin"/>
      </w:r>
      <w:r>
        <w:instrText xml:space="preserve"> HYPERLINK \l "_Toc205754150" </w:instrText>
      </w:r>
      <w:r>
        <w:fldChar w:fldCharType="separate"/>
      </w:r>
      <w:r>
        <w:rPr>
          <w:rStyle w:val="32"/>
        </w:rPr>
        <w:t>1  范围</w:t>
      </w:r>
      <w:r>
        <w:tab/>
      </w:r>
      <w:r>
        <w:fldChar w:fldCharType="begin"/>
      </w:r>
      <w:r>
        <w:instrText xml:space="preserve"> PAGEREF _Toc205754150 \h </w:instrText>
      </w:r>
      <w:r>
        <w:fldChar w:fldCharType="separate"/>
      </w:r>
      <w:r>
        <w:t>1</w:t>
      </w:r>
      <w:r>
        <w:fldChar w:fldCharType="end"/>
      </w:r>
      <w:r>
        <w:fldChar w:fldCharType="end"/>
      </w:r>
    </w:p>
    <w:p w14:paraId="4B0E673C">
      <w:pPr>
        <w:pStyle w:val="19"/>
        <w:tabs>
          <w:tab w:val="right" w:leader="dot" w:pos="9344"/>
        </w:tabs>
        <w:rPr>
          <w:rFonts w:asciiTheme="minorHAnsi" w:hAnsiTheme="minorHAnsi" w:eastAsiaTheme="minorEastAsia" w:cstheme="minorBidi"/>
          <w:szCs w:val="22"/>
        </w:rPr>
      </w:pPr>
      <w:r>
        <w:fldChar w:fldCharType="begin"/>
      </w:r>
      <w:r>
        <w:instrText xml:space="preserve"> HYPERLINK \l "_Toc205754151" </w:instrText>
      </w:r>
      <w:r>
        <w:fldChar w:fldCharType="separate"/>
      </w:r>
      <w:r>
        <w:rPr>
          <w:rStyle w:val="32"/>
        </w:rPr>
        <w:t>2  规范性引用文件</w:t>
      </w:r>
      <w:r>
        <w:tab/>
      </w:r>
      <w:r>
        <w:fldChar w:fldCharType="begin"/>
      </w:r>
      <w:r>
        <w:instrText xml:space="preserve"> PAGEREF _Toc205754151 \h </w:instrText>
      </w:r>
      <w:r>
        <w:fldChar w:fldCharType="separate"/>
      </w:r>
      <w:r>
        <w:t>1</w:t>
      </w:r>
      <w:r>
        <w:fldChar w:fldCharType="end"/>
      </w:r>
      <w:r>
        <w:fldChar w:fldCharType="end"/>
      </w:r>
    </w:p>
    <w:p w14:paraId="029B4497">
      <w:pPr>
        <w:pStyle w:val="19"/>
        <w:tabs>
          <w:tab w:val="right" w:leader="dot" w:pos="9344"/>
        </w:tabs>
        <w:rPr>
          <w:rFonts w:asciiTheme="minorHAnsi" w:hAnsiTheme="minorHAnsi" w:eastAsiaTheme="minorEastAsia" w:cstheme="minorBidi"/>
          <w:szCs w:val="22"/>
        </w:rPr>
      </w:pPr>
      <w:r>
        <w:fldChar w:fldCharType="begin"/>
      </w:r>
      <w:r>
        <w:instrText xml:space="preserve"> HYPERLINK \l "_Toc205754152" </w:instrText>
      </w:r>
      <w:r>
        <w:fldChar w:fldCharType="separate"/>
      </w:r>
      <w:r>
        <w:rPr>
          <w:rStyle w:val="32"/>
        </w:rPr>
        <w:t>3  术语和定义</w:t>
      </w:r>
      <w:r>
        <w:tab/>
      </w:r>
      <w:r>
        <w:fldChar w:fldCharType="begin"/>
      </w:r>
      <w:r>
        <w:instrText xml:space="preserve"> PAGEREF _Toc205754152 \h </w:instrText>
      </w:r>
      <w:r>
        <w:fldChar w:fldCharType="separate"/>
      </w:r>
      <w:r>
        <w:t>1</w:t>
      </w:r>
      <w:r>
        <w:fldChar w:fldCharType="end"/>
      </w:r>
      <w:r>
        <w:fldChar w:fldCharType="end"/>
      </w:r>
    </w:p>
    <w:p w14:paraId="19A2F587">
      <w:pPr>
        <w:pStyle w:val="19"/>
        <w:tabs>
          <w:tab w:val="right" w:leader="dot" w:pos="9344"/>
        </w:tabs>
        <w:rPr>
          <w:rFonts w:asciiTheme="minorHAnsi" w:hAnsiTheme="minorHAnsi" w:eastAsiaTheme="minorEastAsia" w:cstheme="minorBidi"/>
          <w:szCs w:val="22"/>
        </w:rPr>
      </w:pPr>
      <w:r>
        <w:fldChar w:fldCharType="begin"/>
      </w:r>
      <w:r>
        <w:instrText xml:space="preserve"> HYPERLINK \l "_Toc205754153" </w:instrText>
      </w:r>
      <w:r>
        <w:fldChar w:fldCharType="separate"/>
      </w:r>
      <w:r>
        <w:rPr>
          <w:rStyle w:val="32"/>
        </w:rPr>
        <w:t>4  总则</w:t>
      </w:r>
      <w:r>
        <w:tab/>
      </w:r>
      <w:r>
        <w:fldChar w:fldCharType="begin"/>
      </w:r>
      <w:r>
        <w:instrText xml:space="preserve"> PAGEREF _Toc205754153 \h </w:instrText>
      </w:r>
      <w:r>
        <w:fldChar w:fldCharType="separate"/>
      </w:r>
      <w:r>
        <w:t>2</w:t>
      </w:r>
      <w:r>
        <w:fldChar w:fldCharType="end"/>
      </w:r>
      <w:r>
        <w:fldChar w:fldCharType="end"/>
      </w:r>
    </w:p>
    <w:p w14:paraId="1BB1F704">
      <w:pPr>
        <w:pStyle w:val="19"/>
        <w:tabs>
          <w:tab w:val="right" w:leader="dot" w:pos="9344"/>
        </w:tabs>
        <w:rPr>
          <w:rFonts w:asciiTheme="minorHAnsi" w:hAnsiTheme="minorHAnsi" w:eastAsiaTheme="minorEastAsia" w:cstheme="minorBidi"/>
          <w:szCs w:val="22"/>
        </w:rPr>
      </w:pPr>
      <w:r>
        <w:fldChar w:fldCharType="begin"/>
      </w:r>
      <w:r>
        <w:instrText xml:space="preserve"> HYPERLINK \l "_Toc205754154" </w:instrText>
      </w:r>
      <w:r>
        <w:fldChar w:fldCharType="separate"/>
      </w:r>
      <w:r>
        <w:rPr>
          <w:rStyle w:val="32"/>
        </w:rPr>
        <w:t>5  基本程序</w:t>
      </w:r>
      <w:r>
        <w:tab/>
      </w:r>
      <w:r>
        <w:fldChar w:fldCharType="begin"/>
      </w:r>
      <w:r>
        <w:instrText xml:space="preserve"> PAGEREF _Toc205754154 \h </w:instrText>
      </w:r>
      <w:r>
        <w:fldChar w:fldCharType="separate"/>
      </w:r>
      <w:r>
        <w:t>3</w:t>
      </w:r>
      <w:r>
        <w:fldChar w:fldCharType="end"/>
      </w:r>
      <w:r>
        <w:fldChar w:fldCharType="end"/>
      </w:r>
    </w:p>
    <w:p w14:paraId="155E1D10">
      <w:pPr>
        <w:pStyle w:val="19"/>
        <w:tabs>
          <w:tab w:val="right" w:leader="dot" w:pos="9344"/>
        </w:tabs>
        <w:rPr>
          <w:rFonts w:asciiTheme="minorHAnsi" w:hAnsiTheme="minorHAnsi" w:eastAsiaTheme="minorEastAsia" w:cstheme="minorBidi"/>
          <w:szCs w:val="22"/>
        </w:rPr>
      </w:pPr>
      <w:r>
        <w:fldChar w:fldCharType="begin"/>
      </w:r>
      <w:r>
        <w:instrText xml:space="preserve"> HYPERLINK \l "_Toc205754155" </w:instrText>
      </w:r>
      <w:r>
        <w:fldChar w:fldCharType="separate"/>
      </w:r>
      <w:r>
        <w:rPr>
          <w:rStyle w:val="32"/>
        </w:rPr>
        <w:t>6  技术要求</w:t>
      </w:r>
      <w:r>
        <w:tab/>
      </w:r>
      <w:r>
        <w:fldChar w:fldCharType="begin"/>
      </w:r>
      <w:r>
        <w:instrText xml:space="preserve"> PAGEREF _Toc205754155 \h </w:instrText>
      </w:r>
      <w:r>
        <w:fldChar w:fldCharType="separate"/>
      </w:r>
      <w:r>
        <w:t>4</w:t>
      </w:r>
      <w:r>
        <w:fldChar w:fldCharType="end"/>
      </w:r>
      <w:r>
        <w:fldChar w:fldCharType="end"/>
      </w:r>
    </w:p>
    <w:p w14:paraId="568DA2A9">
      <w:pPr>
        <w:pStyle w:val="19"/>
        <w:tabs>
          <w:tab w:val="right" w:leader="dot" w:pos="9344"/>
        </w:tabs>
        <w:rPr>
          <w:rFonts w:asciiTheme="minorHAnsi" w:hAnsiTheme="minorHAnsi" w:eastAsiaTheme="minorEastAsia" w:cstheme="minorBidi"/>
          <w:szCs w:val="22"/>
        </w:rPr>
      </w:pPr>
      <w:r>
        <w:fldChar w:fldCharType="begin"/>
      </w:r>
      <w:r>
        <w:instrText xml:space="preserve"> HYPERLINK \l "_Toc205754156" </w:instrText>
      </w:r>
      <w:r>
        <w:fldChar w:fldCharType="separate"/>
      </w:r>
      <w:r>
        <w:rPr>
          <w:rStyle w:val="32"/>
        </w:rPr>
        <w:t>7  校准结果评定与确认</w:t>
      </w:r>
      <w:r>
        <w:tab/>
      </w:r>
      <w:r>
        <w:fldChar w:fldCharType="begin"/>
      </w:r>
      <w:r>
        <w:instrText xml:space="preserve"> PAGEREF _Toc205754156 \h </w:instrText>
      </w:r>
      <w:r>
        <w:fldChar w:fldCharType="separate"/>
      </w:r>
      <w:r>
        <w:t>4</w:t>
      </w:r>
      <w:r>
        <w:fldChar w:fldCharType="end"/>
      </w:r>
      <w:r>
        <w:fldChar w:fldCharType="end"/>
      </w:r>
    </w:p>
    <w:p w14:paraId="12A621E9">
      <w:pPr>
        <w:pStyle w:val="19"/>
        <w:tabs>
          <w:tab w:val="right" w:leader="dot" w:pos="9344"/>
        </w:tabs>
        <w:rPr>
          <w:rFonts w:asciiTheme="minorHAnsi" w:hAnsiTheme="minorHAnsi" w:eastAsiaTheme="minorEastAsia" w:cstheme="minorBidi"/>
          <w:szCs w:val="22"/>
        </w:rPr>
      </w:pPr>
      <w:r>
        <w:fldChar w:fldCharType="begin"/>
      </w:r>
      <w:r>
        <w:instrText xml:space="preserve"> HYPERLINK \l "_Toc205754157" </w:instrText>
      </w:r>
      <w:r>
        <w:fldChar w:fldCharType="separate"/>
      </w:r>
      <w:r>
        <w:rPr>
          <w:rStyle w:val="32"/>
        </w:rPr>
        <w:t>8  数据管理与信息化应用</w:t>
      </w:r>
      <w:r>
        <w:tab/>
      </w:r>
      <w:r>
        <w:fldChar w:fldCharType="begin"/>
      </w:r>
      <w:r>
        <w:instrText xml:space="preserve"> PAGEREF _Toc205754157 \h </w:instrText>
      </w:r>
      <w:r>
        <w:fldChar w:fldCharType="separate"/>
      </w:r>
      <w:r>
        <w:t>5</w:t>
      </w:r>
      <w:r>
        <w:fldChar w:fldCharType="end"/>
      </w:r>
      <w:r>
        <w:fldChar w:fldCharType="end"/>
      </w:r>
    </w:p>
    <w:p w14:paraId="0A6FAC6F">
      <w:pPr>
        <w:pStyle w:val="19"/>
        <w:tabs>
          <w:tab w:val="right" w:leader="dot" w:pos="9344"/>
        </w:tabs>
        <w:rPr>
          <w:rFonts w:asciiTheme="minorHAnsi" w:hAnsiTheme="minorHAnsi" w:eastAsiaTheme="minorEastAsia" w:cstheme="minorBidi"/>
          <w:szCs w:val="22"/>
        </w:rPr>
      </w:pPr>
      <w:r>
        <w:fldChar w:fldCharType="begin"/>
      </w:r>
      <w:r>
        <w:instrText xml:space="preserve"> HYPERLINK \l "_Toc205754158" </w:instrText>
      </w:r>
      <w:r>
        <w:fldChar w:fldCharType="separate"/>
      </w:r>
      <w:r>
        <w:rPr>
          <w:rStyle w:val="32"/>
        </w:rPr>
        <w:t>9  安全与防护要求</w:t>
      </w:r>
      <w:r>
        <w:tab/>
      </w:r>
      <w:r>
        <w:fldChar w:fldCharType="begin"/>
      </w:r>
      <w:r>
        <w:instrText xml:space="preserve"> PAGEREF _Toc205754158 \h </w:instrText>
      </w:r>
      <w:r>
        <w:fldChar w:fldCharType="separate"/>
      </w:r>
      <w:r>
        <w:t>6</w:t>
      </w:r>
      <w:r>
        <w:fldChar w:fldCharType="end"/>
      </w:r>
      <w:r>
        <w:fldChar w:fldCharType="end"/>
      </w:r>
    </w:p>
    <w:p w14:paraId="414D227B">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5754148"/>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本文件由西安市计量标准检测认证协会提出并归口。</w:t>
      </w:r>
    </w:p>
    <w:p w14:paraId="13021025">
      <w:pPr>
        <w:pStyle w:val="56"/>
        <w:spacing w:line="360" w:lineRule="auto"/>
        <w:ind w:firstLine="420"/>
      </w:pPr>
      <w:r>
        <w:rPr>
          <w:rFonts w:hint="eastAsia"/>
        </w:rPr>
        <w:t>本文件起草单位：亚太森博（山东）浆纸有限公司。</w:t>
      </w:r>
    </w:p>
    <w:p w14:paraId="55F4A5D1">
      <w:pPr>
        <w:pStyle w:val="56"/>
        <w:spacing w:line="360" w:lineRule="auto"/>
        <w:ind w:firstLine="420"/>
      </w:pPr>
      <w:r>
        <w:rPr>
          <w:rFonts w:hint="eastAsia"/>
        </w:rPr>
        <w:t>本文件主要起草人：胡伟伟。</w:t>
      </w:r>
    </w:p>
    <w:p w14:paraId="1B3EB912">
      <w:pPr>
        <w:pStyle w:val="56"/>
        <w:ind w:firstLine="420"/>
      </w:pPr>
    </w:p>
    <w:p w14:paraId="784B3C9B">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58" w:name="_GoBack"/>
      <w:bookmarkEnd w:id="58"/>
    </w:p>
    <w:bookmarkEnd w:id="23"/>
    <w:p w14:paraId="66D0A2F3">
      <w:pPr>
        <w:pStyle w:val="89"/>
        <w:spacing w:after="360"/>
      </w:pPr>
      <w:bookmarkStart w:id="24" w:name="_Toc205754149"/>
      <w:bookmarkStart w:id="25" w:name="BookMark3"/>
      <w:r>
        <w:rPr>
          <w:spacing w:val="320"/>
        </w:rPr>
        <w:t>引</w:t>
      </w:r>
      <w:r>
        <w:t>言</w:t>
      </w:r>
      <w:bookmarkEnd w:id="24"/>
    </w:p>
    <w:p w14:paraId="3FAE1E19">
      <w:pPr>
        <w:pStyle w:val="56"/>
        <w:spacing w:line="360" w:lineRule="auto"/>
        <w:ind w:firstLine="420"/>
        <w:rPr>
          <w:rFonts w:hint="eastAsia"/>
        </w:rPr>
      </w:pPr>
      <w:r>
        <w:rPr>
          <w:rFonts w:hint="eastAsia"/>
        </w:rPr>
        <w:t>随着工业自动化、信息化水平的不断提高，智能仪表已广泛应用于能源、电力、石化、水利、冶金、交通等行业的生产监测与控制环节。智能仪表在长期运行过程中，受环境条件、设备老化、测量介质变化等因素影响，其计量性能会逐渐偏离原始状态，影响测量数据的准确性与可靠性。传统的定期静态校准方式在应对工况动态变化、实现实时精度保证方面存在局限性。</w:t>
      </w:r>
    </w:p>
    <w:p w14:paraId="53894214">
      <w:pPr>
        <w:pStyle w:val="56"/>
        <w:spacing w:line="360" w:lineRule="auto"/>
        <w:ind w:firstLine="420"/>
        <w:rPr>
          <w:rFonts w:hint="eastAsia"/>
        </w:rPr>
      </w:pPr>
      <w:r>
        <w:rPr>
          <w:rFonts w:hint="eastAsia"/>
        </w:rPr>
        <w:t>动态校准技术通过在设备运行过程中实时采集数据、分析漂移趋势、实施在线修正等手段，实现对智能仪表的连续校准和精度维持，不仅提高了计量的实时性和稳定性，也降低了停机维护的频率与成本。</w:t>
      </w:r>
    </w:p>
    <w:p w14:paraId="7F4A69FE">
      <w:pPr>
        <w:pStyle w:val="56"/>
        <w:spacing w:line="360" w:lineRule="auto"/>
        <w:ind w:firstLine="420"/>
      </w:pPr>
      <w:r>
        <w:rPr>
          <w:rFonts w:hint="eastAsia"/>
        </w:rPr>
        <w:t>制定本文件旨在统一智能仪表动态校准的术语定义、技术要求、实施流程及结果评价方法，推动该技术在各行业的标准化应用。本文件结合国内外相关技术标准与工程实践经验，强调技术的先进性、可操作性和安全性，为仪表制造商、使用单位、计量检测机构及相关管理部门提供技术依据，确保智能仪表在全生命周期内保持优良的计量性能。</w:t>
      </w:r>
    </w:p>
    <w:p w14:paraId="41C59179">
      <w:pPr>
        <w:pStyle w:val="56"/>
        <w:ind w:firstLine="420"/>
      </w:pPr>
    </w:p>
    <w:p w14:paraId="3AC90217">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pPr>
          <w:bookmarkStart w:id="27" w:name="NEW_STAND_NAME"/>
          <w:r>
            <w:rPr>
              <w:rFonts w:hint="eastAsia"/>
            </w:rPr>
            <w:t>智能仪表动态校准技术规程</w:t>
          </w:r>
        </w:p>
      </w:sdtContent>
    </w:sdt>
    <w:bookmarkEnd w:id="27"/>
    <w:p w14:paraId="3DB22445">
      <w:pPr>
        <w:pStyle w:val="104"/>
        <w:spacing w:before="240" w:after="240" w:line="360" w:lineRule="auto"/>
      </w:pPr>
      <w:bookmarkStart w:id="28" w:name="_Toc17233325"/>
      <w:bookmarkStart w:id="29" w:name="_Toc17233333"/>
      <w:bookmarkStart w:id="30" w:name="_Toc26648465"/>
      <w:bookmarkStart w:id="31" w:name="_Toc205754150"/>
      <w:bookmarkStart w:id="32" w:name="_Toc26986771"/>
      <w:bookmarkStart w:id="33" w:name="_Toc26718930"/>
      <w:bookmarkStart w:id="34" w:name="_Toc24884218"/>
      <w:bookmarkStart w:id="35" w:name="_Toc97192964"/>
      <w:bookmarkStart w:id="36" w:name="_Toc26986530"/>
      <w:bookmarkStart w:id="37" w:name="_Toc24884211"/>
      <w:r>
        <w:rPr>
          <w:rFonts w:hint="eastAsia"/>
        </w:rPr>
        <w:t>范围</w:t>
      </w:r>
      <w:bookmarkEnd w:id="28"/>
      <w:bookmarkEnd w:id="29"/>
      <w:bookmarkEnd w:id="30"/>
      <w:bookmarkEnd w:id="31"/>
      <w:bookmarkEnd w:id="32"/>
      <w:bookmarkEnd w:id="33"/>
      <w:bookmarkEnd w:id="34"/>
      <w:bookmarkEnd w:id="35"/>
      <w:bookmarkEnd w:id="36"/>
      <w:bookmarkEnd w:id="37"/>
    </w:p>
    <w:p w14:paraId="75789674">
      <w:pPr>
        <w:pStyle w:val="56"/>
        <w:spacing w:line="360" w:lineRule="auto"/>
        <w:ind w:firstLine="420"/>
        <w:rPr>
          <w:rFonts w:hint="eastAsia"/>
        </w:rPr>
      </w:pPr>
      <w:bookmarkStart w:id="38" w:name="_Toc17233326"/>
      <w:bookmarkStart w:id="39" w:name="_Toc17233334"/>
      <w:bookmarkStart w:id="40" w:name="_Toc24884212"/>
      <w:bookmarkStart w:id="41" w:name="_Toc24884219"/>
      <w:bookmarkStart w:id="42" w:name="_Toc26648466"/>
      <w:r>
        <w:rPr>
          <w:rFonts w:hint="eastAsia"/>
        </w:rPr>
        <w:t>本文件规定了智能仪表动态校准的基本程序、技术要求、校准结果评定与确认、数据管理与信息化应用以及安全与防护要求等内容。</w:t>
      </w:r>
    </w:p>
    <w:p w14:paraId="23D38507">
      <w:pPr>
        <w:pStyle w:val="56"/>
        <w:spacing w:line="360" w:lineRule="auto"/>
        <w:ind w:firstLine="420"/>
        <w:rPr>
          <w:rFonts w:hint="eastAsia"/>
        </w:rPr>
      </w:pPr>
      <w:r>
        <w:rPr>
          <w:rFonts w:hint="eastAsia"/>
        </w:rPr>
        <w:t>本文件适用于在连续运行状态下对智能仪表进行在线或现场动态校准的活动，包括但不限于流量、压力、温度、液位、成分分析等类型的智能仪表。</w:t>
      </w:r>
    </w:p>
    <w:p w14:paraId="7F075C07">
      <w:pPr>
        <w:pStyle w:val="56"/>
        <w:spacing w:line="360" w:lineRule="auto"/>
        <w:ind w:firstLine="420"/>
        <w:rPr>
          <w:rFonts w:hint="eastAsia"/>
        </w:rPr>
      </w:pPr>
      <w:r>
        <w:rPr>
          <w:rFonts w:hint="eastAsia"/>
        </w:rPr>
        <w:t>本文件适用于仪表制造企业、设备使用单位、计量检测机构及第三方技术服务单位开展的动态校准工作，也可作为相关行业制定技术标准、实施质量控制和技术监督的参考依据。</w:t>
      </w:r>
    </w:p>
    <w:p w14:paraId="3733B2AD">
      <w:pPr>
        <w:pStyle w:val="104"/>
        <w:spacing w:before="240" w:after="240" w:line="360" w:lineRule="auto"/>
      </w:pPr>
      <w:bookmarkStart w:id="43" w:name="_Toc26718931"/>
      <w:bookmarkStart w:id="44" w:name="_Toc26986772"/>
      <w:bookmarkStart w:id="45" w:name="_Toc97192965"/>
      <w:bookmarkStart w:id="46" w:name="_Toc205754151"/>
      <w:bookmarkStart w:id="47" w:name="_Toc2698653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FA19668">
      <w:pPr>
        <w:pStyle w:val="56"/>
        <w:spacing w:line="360" w:lineRule="auto"/>
        <w:ind w:firstLine="420"/>
        <w:rPr>
          <w:rFonts w:hint="eastAsia"/>
        </w:rPr>
      </w:pPr>
      <w:r>
        <w:rPr>
          <w:rFonts w:hint="eastAsia"/>
        </w:rPr>
        <w:t>GB/T 1.1—2</w:t>
      </w:r>
      <w:r>
        <w:t>020</w:t>
      </w:r>
      <w:r>
        <w:rPr>
          <w:rFonts w:hint="eastAsia"/>
        </w:rPr>
        <w:t xml:space="preserve"> 标准化工作导则 </w:t>
      </w:r>
      <w:r>
        <w:t xml:space="preserve"> </w:t>
      </w:r>
      <w:r>
        <w:rPr>
          <w:rFonts w:hint="eastAsia"/>
        </w:rPr>
        <w:t>第1部分：标准化文件的结构和起草规则</w:t>
      </w:r>
    </w:p>
    <w:p w14:paraId="6BB77A17">
      <w:pPr>
        <w:pStyle w:val="56"/>
        <w:spacing w:line="360" w:lineRule="auto"/>
        <w:ind w:firstLine="420"/>
        <w:rPr>
          <w:rFonts w:hint="eastAsia"/>
        </w:rPr>
      </w:pPr>
      <w:r>
        <w:rPr>
          <w:rFonts w:hint="eastAsia"/>
        </w:rPr>
        <w:t>GB/T 6587—2</w:t>
      </w:r>
      <w:r>
        <w:t>012</w:t>
      </w:r>
      <w:r>
        <w:rPr>
          <w:rFonts w:hint="eastAsia"/>
        </w:rPr>
        <w:t xml:space="preserve"> 电子测量仪器通用规范</w:t>
      </w:r>
    </w:p>
    <w:p w14:paraId="6E0620D5">
      <w:pPr>
        <w:pStyle w:val="56"/>
        <w:spacing w:line="360" w:lineRule="auto"/>
        <w:ind w:firstLine="420"/>
        <w:rPr>
          <w:rFonts w:hint="eastAsia"/>
        </w:rPr>
      </w:pPr>
      <w:r>
        <w:rPr>
          <w:rFonts w:hint="eastAsia"/>
        </w:rPr>
        <w:t>GB/T 7665—2</w:t>
      </w:r>
      <w:r>
        <w:t xml:space="preserve">005 </w:t>
      </w:r>
      <w:r>
        <w:rPr>
          <w:rFonts w:hint="eastAsia"/>
        </w:rPr>
        <w:t>传感器通用术语</w:t>
      </w:r>
    </w:p>
    <w:p w14:paraId="76C51FB0">
      <w:pPr>
        <w:pStyle w:val="56"/>
        <w:spacing w:line="360" w:lineRule="auto"/>
        <w:ind w:firstLine="420"/>
        <w:rPr>
          <w:rFonts w:hint="eastAsia"/>
        </w:rPr>
      </w:pPr>
      <w:r>
        <w:t>GB/T 29910.1</w:t>
      </w:r>
      <w:r>
        <w:rPr>
          <w:rFonts w:hint="eastAsia"/>
        </w:rPr>
        <w:t>—</w:t>
      </w:r>
      <w:r>
        <w:t>2013</w:t>
      </w:r>
      <w:r>
        <w:rPr>
          <w:rFonts w:hint="eastAsia"/>
        </w:rPr>
        <w:t xml:space="preserve"> 工业通信网络 </w:t>
      </w:r>
      <w:r>
        <w:t xml:space="preserve"> </w:t>
      </w:r>
      <w:r>
        <w:rPr>
          <w:rFonts w:hint="eastAsia"/>
        </w:rPr>
        <w:t xml:space="preserve">现场总线规范 </w:t>
      </w:r>
      <w:r>
        <w:t xml:space="preserve"> </w:t>
      </w:r>
      <w:r>
        <w:rPr>
          <w:rFonts w:hint="eastAsia"/>
        </w:rPr>
        <w:t xml:space="preserve">类型20：HART规范 </w:t>
      </w:r>
      <w:r>
        <w:t xml:space="preserve"> </w:t>
      </w:r>
      <w:r>
        <w:rPr>
          <w:rFonts w:hint="eastAsia"/>
        </w:rPr>
        <w:t>第1部分：HART有线网络物理层服务定义和协议规范</w:t>
      </w:r>
    </w:p>
    <w:p w14:paraId="07A7F860">
      <w:pPr>
        <w:pStyle w:val="56"/>
        <w:spacing w:line="360" w:lineRule="auto"/>
        <w:ind w:firstLine="420"/>
      </w:pPr>
      <w:r>
        <w:rPr>
          <w:rFonts w:hint="eastAsia"/>
        </w:rPr>
        <w:t>JJF 1059.1—2012 测量不确定度评定与表示</w:t>
      </w:r>
    </w:p>
    <w:p w14:paraId="51F02A4E">
      <w:pPr>
        <w:pStyle w:val="104"/>
        <w:spacing w:before="240" w:after="240" w:line="360" w:lineRule="auto"/>
      </w:pPr>
      <w:bookmarkStart w:id="48" w:name="_Toc97192966"/>
      <w:bookmarkStart w:id="49" w:name="_Toc205754152"/>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512698A5">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智能仪表 intelligent instrument</w:t>
      </w:r>
    </w:p>
    <w:p w14:paraId="50BAE1A9">
      <w:pPr>
        <w:pStyle w:val="56"/>
        <w:spacing w:line="360" w:lineRule="auto"/>
        <w:ind w:firstLine="420"/>
        <w:rPr>
          <w:rFonts w:hint="eastAsia"/>
        </w:rPr>
      </w:pPr>
      <w:r>
        <w:rPr>
          <w:rFonts w:hint="eastAsia"/>
        </w:rPr>
        <w:t>具有数字信号处理、参数自整定、状态自诊断、通信与网络功能，并能够实现数据采集、处理和传输的测量仪表。</w:t>
      </w:r>
    </w:p>
    <w:p w14:paraId="5B79FCFA">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动态校准 dynamic calibration</w:t>
      </w:r>
    </w:p>
    <w:p w14:paraId="71EAF1B6">
      <w:pPr>
        <w:pStyle w:val="56"/>
        <w:spacing w:line="360" w:lineRule="auto"/>
        <w:ind w:firstLine="420"/>
        <w:rPr>
          <w:rFonts w:hint="eastAsia"/>
        </w:rPr>
      </w:pPr>
      <w:r>
        <w:rPr>
          <w:rFonts w:hint="eastAsia"/>
        </w:rPr>
        <w:t>在仪表处于运行状态且受外部扰动和工况变化影响的条件下，通过实时采集、分析和修正数据，对仪表测量特性进行校正的过程。</w:t>
      </w:r>
    </w:p>
    <w:p w14:paraId="2685CDEB">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在线校准 online calibration</w:t>
      </w:r>
    </w:p>
    <w:p w14:paraId="76397BBF">
      <w:pPr>
        <w:pStyle w:val="56"/>
        <w:spacing w:line="360" w:lineRule="auto"/>
        <w:ind w:firstLine="420"/>
        <w:rPr>
          <w:rFonts w:hint="eastAsia"/>
        </w:rPr>
      </w:pPr>
      <w:r>
        <w:rPr>
          <w:rFonts w:hint="eastAsia"/>
        </w:rPr>
        <w:t>在不停止被测系统运行的情况下，通过与标准信号源或标准装置对比，对仪表进行即时校准的方式。</w:t>
      </w:r>
    </w:p>
    <w:p w14:paraId="2D401A73">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现场校准 in-situ calibration</w:t>
      </w:r>
    </w:p>
    <w:p w14:paraId="0F438765">
      <w:pPr>
        <w:pStyle w:val="56"/>
        <w:spacing w:line="360" w:lineRule="auto"/>
        <w:ind w:firstLine="420"/>
        <w:rPr>
          <w:rFonts w:hint="eastAsia"/>
        </w:rPr>
      </w:pPr>
      <w:r>
        <w:rPr>
          <w:rFonts w:hint="eastAsia"/>
        </w:rPr>
        <w:t>在仪表实际安装和使用的现场条件下，利用标准设备或参比方法进行校准的过程，可为动态校准或静态校准。</w:t>
      </w:r>
    </w:p>
    <w:p w14:paraId="27087042">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零点漂移 zero drift</w:t>
      </w:r>
    </w:p>
    <w:p w14:paraId="09C76115">
      <w:pPr>
        <w:pStyle w:val="56"/>
        <w:spacing w:line="360" w:lineRule="auto"/>
        <w:ind w:firstLine="420"/>
        <w:rPr>
          <w:rFonts w:hint="eastAsia"/>
        </w:rPr>
      </w:pPr>
      <w:r>
        <w:rPr>
          <w:rFonts w:hint="eastAsia"/>
        </w:rPr>
        <w:t>在无输入信号或基准输入信号恒定时，仪表输出信号随时间发生偏移的现象。</w:t>
      </w:r>
    </w:p>
    <w:p w14:paraId="08A9C190">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量程漂移 span drift</w:t>
      </w:r>
    </w:p>
    <w:p w14:paraId="73736636">
      <w:pPr>
        <w:pStyle w:val="56"/>
        <w:spacing w:line="360" w:lineRule="auto"/>
        <w:ind w:firstLine="420"/>
        <w:rPr>
          <w:rFonts w:hint="eastAsia"/>
        </w:rPr>
      </w:pPr>
      <w:r>
        <w:rPr>
          <w:rFonts w:hint="eastAsia"/>
        </w:rPr>
        <w:t>在满量程输入信号恒定时，仪表输出与标准值的差异随时间发生变化的现象。</w:t>
      </w:r>
    </w:p>
    <w:p w14:paraId="00C7AD7A">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校准周期 calibration interval</w:t>
      </w:r>
    </w:p>
    <w:p w14:paraId="0756D746">
      <w:pPr>
        <w:pStyle w:val="56"/>
        <w:spacing w:line="360" w:lineRule="auto"/>
        <w:ind w:firstLine="420"/>
        <w:rPr>
          <w:rFonts w:hint="eastAsia"/>
        </w:rPr>
      </w:pPr>
      <w:r>
        <w:rPr>
          <w:rFonts w:hint="eastAsia"/>
        </w:rPr>
        <w:t>为保证仪表计量性能符合要求，两次连续校准之间的时间间隔。</w:t>
      </w:r>
    </w:p>
    <w:p w14:paraId="2B63EEF1">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溯源性（traceability）</w:t>
      </w:r>
    </w:p>
    <w:p w14:paraId="11ED0D72">
      <w:pPr>
        <w:pStyle w:val="56"/>
        <w:spacing w:line="360" w:lineRule="auto"/>
        <w:ind w:firstLine="420"/>
      </w:pPr>
      <w:r>
        <w:rPr>
          <w:rFonts w:hint="eastAsia"/>
        </w:rPr>
        <w:t>通过一系列连续比较，将测量结果与国家或国际计量基准相关联的特性。</w:t>
      </w:r>
    </w:p>
    <w:p w14:paraId="3E3D0CA3">
      <w:pPr>
        <w:pStyle w:val="104"/>
        <w:spacing w:before="240" w:after="240" w:line="360" w:lineRule="auto"/>
        <w:rPr>
          <w:rFonts w:hint="eastAsia"/>
        </w:rPr>
      </w:pPr>
      <w:bookmarkStart w:id="51" w:name="_Toc205754153"/>
      <w:r>
        <w:rPr>
          <w:rFonts w:hint="eastAsia"/>
        </w:rPr>
        <w:t>总则</w:t>
      </w:r>
      <w:bookmarkEnd w:id="51"/>
    </w:p>
    <w:p w14:paraId="65D3EBE6">
      <w:pPr>
        <w:pStyle w:val="162"/>
        <w:spacing w:line="360" w:lineRule="auto"/>
        <w:rPr>
          <w:rFonts w:hint="eastAsia"/>
        </w:rPr>
      </w:pPr>
      <w:r>
        <w:rPr>
          <w:rFonts w:hint="eastAsia"/>
        </w:rPr>
        <w:t>本规程适用于在连续运行或现场条件下对智能仪表进行动态校准的全过程，应遵循科学性、可操作性、安全性、溯源性和经济性的原则。</w:t>
      </w:r>
    </w:p>
    <w:p w14:paraId="43004D24">
      <w:pPr>
        <w:pStyle w:val="162"/>
        <w:spacing w:line="360" w:lineRule="auto"/>
        <w:rPr>
          <w:rFonts w:hint="eastAsia"/>
        </w:rPr>
      </w:pPr>
      <w:r>
        <w:rPr>
          <w:rFonts w:hint="eastAsia"/>
        </w:rPr>
        <w:t>动态校准应在不影响生产安全与测量系统稳定运行的前提下实施，优先采用非侵入式或低干扰的校准方法。</w:t>
      </w:r>
    </w:p>
    <w:p w14:paraId="6DC95C27">
      <w:pPr>
        <w:pStyle w:val="162"/>
        <w:spacing w:line="360" w:lineRule="auto"/>
        <w:rPr>
          <w:rFonts w:hint="eastAsia"/>
        </w:rPr>
      </w:pPr>
      <w:r>
        <w:rPr>
          <w:rFonts w:hint="eastAsia"/>
        </w:rPr>
        <w:t>动态校准工作应由具备相应资质和技术能力的人员或机构承担，并使用经检定或校准合格的标准设备及参比装置。</w:t>
      </w:r>
    </w:p>
    <w:p w14:paraId="39CCE781">
      <w:pPr>
        <w:pStyle w:val="162"/>
        <w:spacing w:line="360" w:lineRule="auto"/>
        <w:rPr>
          <w:rFonts w:hint="eastAsia"/>
        </w:rPr>
      </w:pPr>
      <w:r>
        <w:rPr>
          <w:rFonts w:hint="eastAsia"/>
        </w:rPr>
        <w:t>动态校准应结合仪表的类型、应用环境、精度要求及运行工况，合理确定校准周期、方法和精度目标。</w:t>
      </w:r>
    </w:p>
    <w:p w14:paraId="3EB6F8F3">
      <w:pPr>
        <w:pStyle w:val="162"/>
        <w:spacing w:line="360" w:lineRule="auto"/>
        <w:rPr>
          <w:rFonts w:hint="eastAsia"/>
        </w:rPr>
      </w:pPr>
      <w:r>
        <w:rPr>
          <w:rFonts w:hint="eastAsia"/>
        </w:rPr>
        <w:t>动态校准的全过程应建立完整的技术文件和记录，包括校准计划、校准方案、现场实施记录、数据处理结果及校准报告，确保结果可追溯和可复核。</w:t>
      </w:r>
    </w:p>
    <w:p w14:paraId="4E298868">
      <w:pPr>
        <w:pStyle w:val="162"/>
        <w:spacing w:line="360" w:lineRule="auto"/>
      </w:pPr>
      <w:r>
        <w:rPr>
          <w:rFonts w:hint="eastAsia"/>
        </w:rPr>
        <w:t>在动态校准实施过程中，应遵守国家及行业现行的计量、检验、安全、环境等相关法律、法规和标准的要求。</w:t>
      </w:r>
    </w:p>
    <w:p w14:paraId="6A09D7F3">
      <w:pPr>
        <w:pStyle w:val="104"/>
        <w:spacing w:before="240" w:after="240" w:line="360" w:lineRule="auto"/>
        <w:rPr>
          <w:rFonts w:hint="eastAsia"/>
        </w:rPr>
      </w:pPr>
      <w:bookmarkStart w:id="52" w:name="_Toc205754154"/>
      <w:r>
        <w:rPr>
          <w:rFonts w:hint="eastAsia"/>
        </w:rPr>
        <w:t>基本程序</w:t>
      </w:r>
      <w:bookmarkEnd w:id="52"/>
    </w:p>
    <w:p w14:paraId="3C415F86">
      <w:pPr>
        <w:pStyle w:val="105"/>
        <w:spacing w:before="120" w:after="120" w:line="360" w:lineRule="auto"/>
        <w:rPr>
          <w:rFonts w:hint="eastAsia"/>
        </w:rPr>
      </w:pPr>
      <w:r>
        <w:rPr>
          <w:rFonts w:hint="eastAsia"/>
        </w:rPr>
        <w:t>总体要求</w:t>
      </w:r>
    </w:p>
    <w:p w14:paraId="32FA7E7C">
      <w:pPr>
        <w:pStyle w:val="56"/>
        <w:spacing w:line="360" w:lineRule="auto"/>
        <w:ind w:firstLine="420"/>
        <w:rPr>
          <w:rFonts w:hint="eastAsia"/>
        </w:rPr>
      </w:pPr>
      <w:r>
        <w:rPr>
          <w:rFonts w:hint="eastAsia"/>
        </w:rPr>
        <w:t>动态校准应按计划实施，并严格执行校准方案。整个过程应做到准备充分、步骤明确、记录完整、结果可追溯。</w:t>
      </w:r>
    </w:p>
    <w:p w14:paraId="13176E63">
      <w:pPr>
        <w:pStyle w:val="105"/>
        <w:spacing w:before="120" w:after="120" w:line="360" w:lineRule="auto"/>
        <w:rPr>
          <w:rFonts w:hint="eastAsia"/>
        </w:rPr>
      </w:pPr>
      <w:r>
        <w:rPr>
          <w:rFonts w:hint="eastAsia"/>
        </w:rPr>
        <w:t>基本步骤</w:t>
      </w:r>
    </w:p>
    <w:p w14:paraId="68490A1D">
      <w:pPr>
        <w:pStyle w:val="174"/>
        <w:spacing w:line="360" w:lineRule="auto"/>
        <w:rPr>
          <w:rFonts w:hint="eastAsia"/>
        </w:rPr>
      </w:pPr>
      <w:r>
        <w:rPr>
          <w:rFonts w:hint="eastAsia"/>
        </w:rPr>
        <w:t>准备阶段</w:t>
      </w:r>
    </w:p>
    <w:p w14:paraId="45A308F4">
      <w:pPr>
        <w:pStyle w:val="187"/>
        <w:spacing w:line="360" w:lineRule="auto"/>
        <w:rPr>
          <w:rFonts w:hint="eastAsia"/>
        </w:rPr>
      </w:pPr>
      <w:r>
        <w:rPr>
          <w:rFonts w:hint="eastAsia"/>
        </w:rPr>
        <w:t>明确校准目的、范围和技术要求；</w:t>
      </w:r>
    </w:p>
    <w:p w14:paraId="5658AC18">
      <w:pPr>
        <w:pStyle w:val="187"/>
        <w:spacing w:line="360" w:lineRule="auto"/>
        <w:rPr>
          <w:rFonts w:hint="eastAsia"/>
        </w:rPr>
      </w:pPr>
      <w:r>
        <w:rPr>
          <w:rFonts w:hint="eastAsia"/>
        </w:rPr>
        <w:t>收集被校准仪表的技术参数、运行工况和历史校准记录；</w:t>
      </w:r>
    </w:p>
    <w:p w14:paraId="76C83F72">
      <w:pPr>
        <w:pStyle w:val="187"/>
        <w:spacing w:line="360" w:lineRule="auto"/>
        <w:rPr>
          <w:rFonts w:hint="eastAsia"/>
        </w:rPr>
      </w:pPr>
      <w:r>
        <w:rPr>
          <w:rFonts w:hint="eastAsia"/>
        </w:rPr>
        <w:t>检查标准设备和参比装置的有效性与溯源性；</w:t>
      </w:r>
    </w:p>
    <w:p w14:paraId="07CCCD10">
      <w:pPr>
        <w:pStyle w:val="187"/>
        <w:spacing w:line="360" w:lineRule="auto"/>
        <w:rPr>
          <w:rFonts w:hint="eastAsia"/>
        </w:rPr>
      </w:pPr>
      <w:r>
        <w:rPr>
          <w:rFonts w:hint="eastAsia"/>
        </w:rPr>
        <w:t>制定校准方案，包括方法、步骤、环境要求、安全措施等。</w:t>
      </w:r>
    </w:p>
    <w:p w14:paraId="723F4043">
      <w:pPr>
        <w:pStyle w:val="174"/>
        <w:spacing w:line="360" w:lineRule="auto"/>
        <w:rPr>
          <w:rFonts w:hint="eastAsia"/>
        </w:rPr>
      </w:pPr>
      <w:r>
        <w:rPr>
          <w:rFonts w:hint="eastAsia"/>
        </w:rPr>
        <w:t>现场条件确认</w:t>
      </w:r>
    </w:p>
    <w:p w14:paraId="004DB1A2">
      <w:pPr>
        <w:pStyle w:val="187"/>
        <w:spacing w:line="360" w:lineRule="auto"/>
        <w:rPr>
          <w:rFonts w:hint="eastAsia"/>
        </w:rPr>
      </w:pPr>
      <w:r>
        <w:rPr>
          <w:rFonts w:hint="eastAsia"/>
        </w:rPr>
        <w:t>核实现场运行工况是否满足校准要求；</w:t>
      </w:r>
    </w:p>
    <w:p w14:paraId="19B65132">
      <w:pPr>
        <w:pStyle w:val="187"/>
        <w:spacing w:line="360" w:lineRule="auto"/>
        <w:rPr>
          <w:rFonts w:hint="eastAsia"/>
        </w:rPr>
      </w:pPr>
      <w:r>
        <w:rPr>
          <w:rFonts w:hint="eastAsia"/>
        </w:rPr>
        <w:t>确认现场安全条件、防护措施和数据采集接口状态。</w:t>
      </w:r>
    </w:p>
    <w:p w14:paraId="2B57785F">
      <w:pPr>
        <w:pStyle w:val="174"/>
        <w:spacing w:line="360" w:lineRule="auto"/>
        <w:rPr>
          <w:rFonts w:hint="eastAsia"/>
        </w:rPr>
      </w:pPr>
      <w:r>
        <w:rPr>
          <w:rFonts w:hint="eastAsia"/>
        </w:rPr>
        <w:t>数据采集与比对</w:t>
      </w:r>
    </w:p>
    <w:p w14:paraId="187B496A">
      <w:pPr>
        <w:pStyle w:val="187"/>
        <w:spacing w:line="360" w:lineRule="auto"/>
        <w:rPr>
          <w:rFonts w:hint="eastAsia"/>
        </w:rPr>
      </w:pPr>
      <w:r>
        <w:rPr>
          <w:rFonts w:hint="eastAsia"/>
        </w:rPr>
        <w:t>在仪表正常运行状态下，采集被校准仪表输出与标准装置或参比信号的对比数据；</w:t>
      </w:r>
    </w:p>
    <w:p w14:paraId="675B679B">
      <w:pPr>
        <w:pStyle w:val="187"/>
        <w:spacing w:line="360" w:lineRule="auto"/>
        <w:rPr>
          <w:rFonts w:hint="eastAsia"/>
        </w:rPr>
      </w:pPr>
      <w:r>
        <w:rPr>
          <w:rFonts w:hint="eastAsia"/>
        </w:rPr>
        <w:t>采集数据应覆盖量程范围内的多个测点，并考虑不同工况变化。</w:t>
      </w:r>
    </w:p>
    <w:p w14:paraId="4EBDB1EA">
      <w:pPr>
        <w:pStyle w:val="174"/>
        <w:spacing w:line="360" w:lineRule="auto"/>
        <w:rPr>
          <w:rFonts w:hint="eastAsia"/>
        </w:rPr>
      </w:pPr>
      <w:r>
        <w:rPr>
          <w:rFonts w:hint="eastAsia"/>
        </w:rPr>
        <w:t>数据处理与修正</w:t>
      </w:r>
    </w:p>
    <w:p w14:paraId="05673796">
      <w:pPr>
        <w:pStyle w:val="187"/>
        <w:spacing w:line="360" w:lineRule="auto"/>
        <w:rPr>
          <w:rFonts w:hint="eastAsia"/>
        </w:rPr>
      </w:pPr>
      <w:r>
        <w:rPr>
          <w:rFonts w:hint="eastAsia"/>
        </w:rPr>
        <w:t>对采集数据进行误差分析，确定零点漂移、量程漂移及其他非线性偏差；</w:t>
      </w:r>
    </w:p>
    <w:p w14:paraId="2A83214F">
      <w:pPr>
        <w:pStyle w:val="187"/>
        <w:spacing w:line="360" w:lineRule="auto"/>
        <w:rPr>
          <w:rFonts w:hint="eastAsia"/>
        </w:rPr>
      </w:pPr>
      <w:r>
        <w:rPr>
          <w:rFonts w:hint="eastAsia"/>
        </w:rPr>
        <w:t>按照校准算法对仪表进行参数修正或软件补偿。</w:t>
      </w:r>
    </w:p>
    <w:p w14:paraId="6C3DBC4B">
      <w:pPr>
        <w:pStyle w:val="174"/>
        <w:spacing w:line="360" w:lineRule="auto"/>
        <w:rPr>
          <w:rFonts w:hint="eastAsia"/>
        </w:rPr>
      </w:pPr>
      <w:r>
        <w:rPr>
          <w:rFonts w:hint="eastAsia"/>
        </w:rPr>
        <w:t>结果确认</w:t>
      </w:r>
    </w:p>
    <w:p w14:paraId="5F9AF9F8">
      <w:pPr>
        <w:pStyle w:val="187"/>
        <w:spacing w:line="360" w:lineRule="auto"/>
        <w:rPr>
          <w:rFonts w:hint="eastAsia"/>
        </w:rPr>
      </w:pPr>
      <w:r>
        <w:rPr>
          <w:rFonts w:hint="eastAsia"/>
        </w:rPr>
        <w:t>在修正后再次采集验证数据，确认仪表测量性能达到校准要求；</w:t>
      </w:r>
    </w:p>
    <w:p w14:paraId="2D0ABB12">
      <w:pPr>
        <w:pStyle w:val="187"/>
        <w:spacing w:line="360" w:lineRule="auto"/>
        <w:rPr>
          <w:rFonts w:hint="eastAsia"/>
        </w:rPr>
      </w:pPr>
      <w:r>
        <w:rPr>
          <w:rFonts w:hint="eastAsia"/>
        </w:rPr>
        <w:t>如未达标，应重新评估校准方法或进行仪表维护后再次校准。</w:t>
      </w:r>
    </w:p>
    <w:p w14:paraId="0C5B718B">
      <w:pPr>
        <w:pStyle w:val="174"/>
        <w:spacing w:line="360" w:lineRule="auto"/>
        <w:rPr>
          <w:rFonts w:hint="eastAsia"/>
        </w:rPr>
      </w:pPr>
      <w:r>
        <w:rPr>
          <w:rFonts w:hint="eastAsia"/>
        </w:rPr>
        <w:t>记录与报告</w:t>
      </w:r>
    </w:p>
    <w:p w14:paraId="7782F087">
      <w:pPr>
        <w:pStyle w:val="187"/>
        <w:spacing w:line="360" w:lineRule="auto"/>
        <w:rPr>
          <w:rFonts w:hint="eastAsia"/>
        </w:rPr>
      </w:pPr>
      <w:r>
        <w:rPr>
          <w:rFonts w:hint="eastAsia"/>
        </w:rPr>
        <w:t>完整记录校准过程、数据、分析结果及修正参数；</w:t>
      </w:r>
    </w:p>
    <w:p w14:paraId="7630FE53">
      <w:pPr>
        <w:pStyle w:val="187"/>
        <w:spacing w:line="360" w:lineRule="auto"/>
        <w:rPr>
          <w:rFonts w:hint="eastAsia"/>
        </w:rPr>
      </w:pPr>
      <w:r>
        <w:rPr>
          <w:rFonts w:hint="eastAsia"/>
        </w:rPr>
        <w:t>形成校准报告并归档，确保可追溯性。</w:t>
      </w:r>
    </w:p>
    <w:p w14:paraId="2FF640D9">
      <w:pPr>
        <w:pStyle w:val="105"/>
        <w:spacing w:before="120" w:after="120" w:line="360" w:lineRule="auto"/>
        <w:rPr>
          <w:rFonts w:hint="eastAsia"/>
        </w:rPr>
      </w:pPr>
      <w:r>
        <w:rPr>
          <w:rFonts w:hint="eastAsia"/>
        </w:rPr>
        <w:t>周期与复校</w:t>
      </w:r>
    </w:p>
    <w:p w14:paraId="2A62EE40">
      <w:pPr>
        <w:pStyle w:val="56"/>
        <w:spacing w:line="360" w:lineRule="auto"/>
        <w:ind w:firstLine="420"/>
      </w:pPr>
      <w:r>
        <w:rPr>
          <w:rFonts w:hint="eastAsia"/>
        </w:rPr>
        <w:t>动态校准的周期应根据仪表类别、精度等级、运行环境及工况变化确定；对于重要测点和关键仪表，应缩短校准间隔或增加在线监测与临时复校。</w:t>
      </w:r>
    </w:p>
    <w:p w14:paraId="71CDFC31">
      <w:pPr>
        <w:pStyle w:val="104"/>
        <w:spacing w:before="240" w:after="240" w:line="360" w:lineRule="auto"/>
        <w:rPr>
          <w:rFonts w:hint="eastAsia"/>
        </w:rPr>
      </w:pPr>
      <w:bookmarkStart w:id="53" w:name="_Toc205754155"/>
      <w:r>
        <w:rPr>
          <w:rFonts w:hint="eastAsia"/>
        </w:rPr>
        <w:t>技术要求</w:t>
      </w:r>
      <w:bookmarkEnd w:id="53"/>
    </w:p>
    <w:p w14:paraId="6584ABEC">
      <w:pPr>
        <w:pStyle w:val="105"/>
        <w:spacing w:before="120" w:after="120" w:line="360" w:lineRule="auto"/>
        <w:rPr>
          <w:rFonts w:hint="eastAsia"/>
        </w:rPr>
      </w:pPr>
      <w:r>
        <w:rPr>
          <w:rFonts w:hint="eastAsia"/>
        </w:rPr>
        <w:t>环境条件</w:t>
      </w:r>
    </w:p>
    <w:p w14:paraId="2DC46D6E">
      <w:pPr>
        <w:pStyle w:val="56"/>
        <w:spacing w:line="360" w:lineRule="auto"/>
        <w:ind w:firstLine="420"/>
        <w:rPr>
          <w:rFonts w:hint="eastAsia"/>
        </w:rPr>
      </w:pPr>
      <w:r>
        <w:rPr>
          <w:rFonts w:hint="eastAsia"/>
        </w:rPr>
        <w:t>动态校准应在被校准仪表正常运行的现场环境中进行，现场温度、湿度、电磁干扰、水压及其他影响因素应在仪表允许的工作范围内。</w:t>
      </w:r>
    </w:p>
    <w:p w14:paraId="63A6CFA1">
      <w:pPr>
        <w:pStyle w:val="56"/>
        <w:spacing w:line="360" w:lineRule="auto"/>
        <w:ind w:firstLine="420"/>
        <w:rPr>
          <w:rFonts w:hint="eastAsia"/>
        </w:rPr>
      </w:pPr>
      <w:r>
        <w:rPr>
          <w:rFonts w:hint="eastAsia"/>
        </w:rPr>
        <w:t>避免在强震动、高粉尘、强腐蚀或剧烈温湿度波动等条件下进行校准，特殊环境应采取有效的防护措施。</w:t>
      </w:r>
    </w:p>
    <w:p w14:paraId="117835F2">
      <w:pPr>
        <w:pStyle w:val="56"/>
        <w:spacing w:line="360" w:lineRule="auto"/>
        <w:ind w:firstLine="420"/>
        <w:rPr>
          <w:rFonts w:hint="eastAsia"/>
        </w:rPr>
      </w:pPr>
      <w:r>
        <w:rPr>
          <w:rFonts w:hint="eastAsia"/>
        </w:rPr>
        <w:t>校准环境条件应记录在案，并作为评估校准结果可靠性的依据。</w:t>
      </w:r>
    </w:p>
    <w:p w14:paraId="45F4B941">
      <w:pPr>
        <w:pStyle w:val="105"/>
        <w:spacing w:before="120" w:after="120" w:line="360" w:lineRule="auto"/>
        <w:rPr>
          <w:rFonts w:hint="eastAsia"/>
        </w:rPr>
      </w:pPr>
      <w:r>
        <w:rPr>
          <w:rFonts w:hint="eastAsia"/>
        </w:rPr>
        <w:t>标准装置与参比设备</w:t>
      </w:r>
    </w:p>
    <w:p w14:paraId="5873C58F">
      <w:pPr>
        <w:pStyle w:val="56"/>
        <w:spacing w:line="360" w:lineRule="auto"/>
        <w:ind w:firstLine="420"/>
        <w:rPr>
          <w:rFonts w:hint="eastAsia"/>
        </w:rPr>
      </w:pPr>
      <w:r>
        <w:rPr>
          <w:rFonts w:hint="eastAsia"/>
        </w:rPr>
        <w:t>所使用的标准装置和参比设备应具备有效的计量检定或校准证书，精度等级应高于被校准仪表至少一个等级。</w:t>
      </w:r>
    </w:p>
    <w:p w14:paraId="6C6EDBB5">
      <w:pPr>
        <w:pStyle w:val="56"/>
        <w:spacing w:line="360" w:lineRule="auto"/>
        <w:ind w:firstLine="420"/>
        <w:rPr>
          <w:rFonts w:hint="eastAsia"/>
        </w:rPr>
      </w:pPr>
      <w:r>
        <w:rPr>
          <w:rFonts w:hint="eastAsia"/>
        </w:rPr>
        <w:t>标准装置应具有与被校准仪表兼容的接口和信号特性。</w:t>
      </w:r>
    </w:p>
    <w:p w14:paraId="73EFAA02">
      <w:pPr>
        <w:pStyle w:val="56"/>
        <w:spacing w:line="360" w:lineRule="auto"/>
        <w:ind w:firstLine="420"/>
        <w:rPr>
          <w:rFonts w:hint="eastAsia"/>
        </w:rPr>
      </w:pPr>
      <w:r>
        <w:rPr>
          <w:rFonts w:hint="eastAsia"/>
        </w:rPr>
        <w:t>对需长期在线比对的标准装置，应建立周期性检定或校准制度。</w:t>
      </w:r>
    </w:p>
    <w:p w14:paraId="34D65F66">
      <w:pPr>
        <w:pStyle w:val="105"/>
        <w:spacing w:before="120" w:after="120" w:line="360" w:lineRule="auto"/>
        <w:rPr>
          <w:rFonts w:hint="eastAsia"/>
        </w:rPr>
      </w:pPr>
      <w:r>
        <w:rPr>
          <w:rFonts w:hint="eastAsia"/>
        </w:rPr>
        <w:t>数据采集与处理</w:t>
      </w:r>
    </w:p>
    <w:p w14:paraId="1F16AAC4">
      <w:pPr>
        <w:pStyle w:val="56"/>
        <w:spacing w:line="360" w:lineRule="auto"/>
        <w:ind w:firstLine="420"/>
        <w:rPr>
          <w:rFonts w:hint="eastAsia"/>
        </w:rPr>
      </w:pPr>
      <w:r>
        <w:rPr>
          <w:rFonts w:hint="eastAsia"/>
        </w:rPr>
        <w:t>数据采集系统应具备足够的分辨力和采样频率，能够覆盖仪表量程范围并捕捉动态变化特征。</w:t>
      </w:r>
    </w:p>
    <w:p w14:paraId="43A1EB75">
      <w:pPr>
        <w:pStyle w:val="56"/>
        <w:spacing w:line="360" w:lineRule="auto"/>
        <w:ind w:firstLine="420"/>
        <w:rPr>
          <w:rFonts w:hint="eastAsia"/>
        </w:rPr>
      </w:pPr>
      <w:r>
        <w:rPr>
          <w:rFonts w:hint="eastAsia"/>
        </w:rPr>
        <w:t>数据采集过程中应采用抗干扰技术，保证信号质量和传输稳定性。</w:t>
      </w:r>
    </w:p>
    <w:p w14:paraId="35D2C192">
      <w:pPr>
        <w:pStyle w:val="56"/>
        <w:spacing w:line="360" w:lineRule="auto"/>
        <w:ind w:firstLine="420"/>
        <w:rPr>
          <w:rFonts w:hint="eastAsia"/>
        </w:rPr>
      </w:pPr>
      <w:r>
        <w:rPr>
          <w:rFonts w:hint="eastAsia"/>
        </w:rPr>
        <w:t>数据处理应使用经验证的计算模型或算法，误差计算方法应符合相关国家或行业标准。</w:t>
      </w:r>
    </w:p>
    <w:p w14:paraId="748790A3">
      <w:pPr>
        <w:pStyle w:val="105"/>
        <w:spacing w:before="120" w:after="120" w:line="360" w:lineRule="auto"/>
        <w:rPr>
          <w:rFonts w:hint="eastAsia"/>
        </w:rPr>
      </w:pPr>
      <w:r>
        <w:rPr>
          <w:rFonts w:hint="eastAsia"/>
        </w:rPr>
        <w:t>校准算法与精度要求</w:t>
      </w:r>
    </w:p>
    <w:p w14:paraId="0FC4B2EE">
      <w:pPr>
        <w:pStyle w:val="56"/>
        <w:spacing w:line="360" w:lineRule="auto"/>
        <w:ind w:firstLine="420"/>
        <w:rPr>
          <w:rFonts w:hint="eastAsia"/>
        </w:rPr>
      </w:pPr>
      <w:r>
        <w:rPr>
          <w:rFonts w:hint="eastAsia"/>
        </w:rPr>
        <w:t>动态校准应根据仪表类型选择合适的校准算法，如线性回归、非线性拟合、补偿曲线、神经网络修正等。</w:t>
      </w:r>
    </w:p>
    <w:p w14:paraId="081115BA">
      <w:pPr>
        <w:pStyle w:val="56"/>
        <w:spacing w:line="360" w:lineRule="auto"/>
        <w:ind w:firstLine="420"/>
        <w:rPr>
          <w:rFonts w:hint="eastAsia"/>
        </w:rPr>
      </w:pPr>
      <w:r>
        <w:rPr>
          <w:rFonts w:hint="eastAsia"/>
        </w:rPr>
        <w:t>校准后仪表的计量误差应符合制造商技术指标或相关标准的规定。</w:t>
      </w:r>
    </w:p>
    <w:p w14:paraId="127B3C11">
      <w:pPr>
        <w:pStyle w:val="56"/>
        <w:spacing w:line="360" w:lineRule="auto"/>
        <w:ind w:firstLine="420"/>
        <w:rPr>
          <w:rFonts w:hint="eastAsia"/>
        </w:rPr>
      </w:pPr>
      <w:r>
        <w:rPr>
          <w:rFonts w:hint="eastAsia"/>
        </w:rPr>
        <w:t>对安全关键或高精度要求的仪表，应进行不确定度分析，并将结果记录在校准报告中。</w:t>
      </w:r>
    </w:p>
    <w:p w14:paraId="765F8898">
      <w:pPr>
        <w:pStyle w:val="105"/>
        <w:spacing w:before="120" w:after="120" w:line="360" w:lineRule="auto"/>
        <w:rPr>
          <w:rFonts w:hint="eastAsia"/>
        </w:rPr>
      </w:pPr>
      <w:r>
        <w:rPr>
          <w:rFonts w:hint="eastAsia"/>
        </w:rPr>
        <w:t>软件与数据安全</w:t>
      </w:r>
    </w:p>
    <w:p w14:paraId="4A082588">
      <w:pPr>
        <w:pStyle w:val="56"/>
        <w:spacing w:line="360" w:lineRule="auto"/>
        <w:ind w:firstLine="420"/>
        <w:rPr>
          <w:rFonts w:hint="eastAsia"/>
        </w:rPr>
      </w:pPr>
      <w:r>
        <w:rPr>
          <w:rFonts w:hint="eastAsia"/>
        </w:rPr>
        <w:t>校准过程中涉及的仪表固件、配置软件及数据处理软件应具备版本管理和访问权限控制。</w:t>
      </w:r>
    </w:p>
    <w:p w14:paraId="3594A50E">
      <w:pPr>
        <w:pStyle w:val="56"/>
        <w:spacing w:line="360" w:lineRule="auto"/>
        <w:ind w:firstLine="420"/>
        <w:rPr>
          <w:rFonts w:hint="eastAsia"/>
        </w:rPr>
      </w:pPr>
      <w:r>
        <w:rPr>
          <w:rFonts w:hint="eastAsia"/>
        </w:rPr>
        <w:t>校准数据应定期备份，并采取加密或安全存储措施。</w:t>
      </w:r>
    </w:p>
    <w:p w14:paraId="228CCAFA">
      <w:pPr>
        <w:pStyle w:val="56"/>
        <w:spacing w:line="360" w:lineRule="auto"/>
        <w:ind w:firstLine="420"/>
        <w:rPr>
          <w:rFonts w:hint="eastAsia"/>
        </w:rPr>
      </w:pPr>
      <w:r>
        <w:rPr>
          <w:rFonts w:hint="eastAsia"/>
        </w:rPr>
        <w:t>对远程实施的动态校准，应建立安全通信协议，防止数据篡改与泄露。</w:t>
      </w:r>
    </w:p>
    <w:p w14:paraId="6A62F935">
      <w:pPr>
        <w:pStyle w:val="104"/>
        <w:spacing w:before="240" w:after="240" w:line="360" w:lineRule="auto"/>
        <w:rPr>
          <w:rFonts w:hint="eastAsia"/>
        </w:rPr>
      </w:pPr>
      <w:bookmarkStart w:id="54" w:name="_Toc205754156"/>
      <w:r>
        <w:rPr>
          <w:rFonts w:hint="eastAsia"/>
        </w:rPr>
        <w:t>校准结果评定与确认</w:t>
      </w:r>
      <w:bookmarkEnd w:id="54"/>
    </w:p>
    <w:p w14:paraId="6AEE2BFF">
      <w:pPr>
        <w:pStyle w:val="105"/>
        <w:spacing w:before="120" w:after="120" w:line="360" w:lineRule="auto"/>
        <w:rPr>
          <w:rFonts w:hint="eastAsia"/>
        </w:rPr>
      </w:pPr>
      <w:r>
        <w:rPr>
          <w:rFonts w:hint="eastAsia"/>
        </w:rPr>
        <w:t>总体要求</w:t>
      </w:r>
    </w:p>
    <w:p w14:paraId="4E1ACC19">
      <w:pPr>
        <w:pStyle w:val="56"/>
        <w:spacing w:line="360" w:lineRule="auto"/>
        <w:ind w:firstLine="420"/>
        <w:rPr>
          <w:rFonts w:hint="eastAsia"/>
        </w:rPr>
      </w:pPr>
      <w:r>
        <w:rPr>
          <w:rFonts w:hint="eastAsia"/>
        </w:rPr>
        <w:t>校准结果的评定与确认应依据本规程的技术要求以及相关国家、行业标准进行，确保被校准仪表在实际运行条件下满足精度与稳定性要求。</w:t>
      </w:r>
    </w:p>
    <w:p w14:paraId="377047C5">
      <w:pPr>
        <w:pStyle w:val="105"/>
        <w:spacing w:before="120" w:after="120" w:line="360" w:lineRule="auto"/>
        <w:rPr>
          <w:rFonts w:hint="eastAsia"/>
        </w:rPr>
      </w:pPr>
      <w:r>
        <w:rPr>
          <w:rFonts w:hint="eastAsia"/>
        </w:rPr>
        <w:t>评定依据</w:t>
      </w:r>
    </w:p>
    <w:p w14:paraId="697E1054">
      <w:pPr>
        <w:pStyle w:val="56"/>
        <w:spacing w:line="360" w:lineRule="auto"/>
        <w:ind w:firstLine="420"/>
        <w:rPr>
          <w:rFonts w:hint="eastAsia"/>
        </w:rPr>
      </w:pPr>
      <w:r>
        <w:rPr>
          <w:rFonts w:hint="eastAsia"/>
        </w:rPr>
        <w:t>校准数据应来源于经过检定或校准合格的标准装置或参比设备。</w:t>
      </w:r>
    </w:p>
    <w:p w14:paraId="24455676">
      <w:pPr>
        <w:pStyle w:val="56"/>
        <w:spacing w:line="360" w:lineRule="auto"/>
        <w:ind w:firstLine="420"/>
        <w:rPr>
          <w:rFonts w:hint="eastAsia"/>
        </w:rPr>
      </w:pPr>
      <w:r>
        <w:rPr>
          <w:rFonts w:hint="eastAsia"/>
        </w:rPr>
        <w:t>数据处理方法、误差计算公式及不确定度分析应符合相关标准规定。</w:t>
      </w:r>
    </w:p>
    <w:p w14:paraId="1312AE95">
      <w:pPr>
        <w:pStyle w:val="56"/>
        <w:spacing w:line="360" w:lineRule="auto"/>
        <w:ind w:firstLine="420"/>
        <w:rPr>
          <w:rFonts w:hint="eastAsia"/>
        </w:rPr>
      </w:pPr>
      <w:r>
        <w:rPr>
          <w:rFonts w:hint="eastAsia"/>
        </w:rPr>
        <w:t>校准结果应与被校准仪表的技术指标进行比对。</w:t>
      </w:r>
    </w:p>
    <w:p w14:paraId="41C00132">
      <w:pPr>
        <w:pStyle w:val="105"/>
        <w:spacing w:before="120" w:after="120" w:line="360" w:lineRule="auto"/>
        <w:rPr>
          <w:rFonts w:hint="eastAsia"/>
        </w:rPr>
      </w:pPr>
      <w:r>
        <w:rPr>
          <w:rFonts w:hint="eastAsia"/>
        </w:rPr>
        <w:t>判定标准</w:t>
      </w:r>
    </w:p>
    <w:p w14:paraId="7DFAA3D7">
      <w:pPr>
        <w:pStyle w:val="56"/>
        <w:spacing w:line="360" w:lineRule="auto"/>
        <w:ind w:firstLine="420"/>
        <w:rPr>
          <w:rFonts w:hint="eastAsia"/>
        </w:rPr>
      </w:pPr>
      <w:r>
        <w:rPr>
          <w:rFonts w:hint="eastAsia"/>
        </w:rPr>
        <w:t>校准后仪表在量程范围内各测点的示值误差不应超过制造商标称值或行业标准限值。</w:t>
      </w:r>
    </w:p>
    <w:p w14:paraId="136C76A7">
      <w:pPr>
        <w:pStyle w:val="56"/>
        <w:spacing w:line="360" w:lineRule="auto"/>
        <w:ind w:firstLine="420"/>
        <w:rPr>
          <w:rFonts w:hint="eastAsia"/>
        </w:rPr>
      </w:pPr>
      <w:r>
        <w:rPr>
          <w:rFonts w:hint="eastAsia"/>
        </w:rPr>
        <w:t>零点漂移、量程漂移及非线性误差均应在允许范围内。</w:t>
      </w:r>
    </w:p>
    <w:p w14:paraId="4310AEC6">
      <w:pPr>
        <w:pStyle w:val="56"/>
        <w:spacing w:line="360" w:lineRule="auto"/>
        <w:ind w:firstLine="420"/>
        <w:rPr>
          <w:rFonts w:hint="eastAsia"/>
        </w:rPr>
      </w:pPr>
      <w:r>
        <w:rPr>
          <w:rFonts w:hint="eastAsia"/>
        </w:rPr>
        <w:t>对有特殊要求的仪表，应满足合同或项目技术协议中约定的精度要求。</w:t>
      </w:r>
    </w:p>
    <w:p w14:paraId="11DB3DE8">
      <w:pPr>
        <w:pStyle w:val="105"/>
        <w:spacing w:before="120" w:after="120" w:line="360" w:lineRule="auto"/>
        <w:rPr>
          <w:rFonts w:hint="eastAsia"/>
        </w:rPr>
      </w:pPr>
      <w:r>
        <w:rPr>
          <w:rFonts w:hint="eastAsia"/>
        </w:rPr>
        <w:t>不符合处理</w:t>
      </w:r>
    </w:p>
    <w:p w14:paraId="22E2B9A3">
      <w:pPr>
        <w:pStyle w:val="56"/>
        <w:spacing w:line="360" w:lineRule="auto"/>
        <w:ind w:firstLine="420"/>
        <w:rPr>
          <w:rFonts w:hint="eastAsia"/>
        </w:rPr>
      </w:pPr>
      <w:r>
        <w:rPr>
          <w:rFonts w:hint="eastAsia"/>
        </w:rPr>
        <w:t>若校准结果不符合判定标准，应分析原因，包括仪表自身故障、运行环境异常、标准装置误差等。</w:t>
      </w:r>
    </w:p>
    <w:p w14:paraId="6EF85936">
      <w:pPr>
        <w:pStyle w:val="56"/>
        <w:spacing w:line="360" w:lineRule="auto"/>
        <w:ind w:firstLine="420"/>
        <w:rPr>
          <w:rFonts w:hint="eastAsia"/>
        </w:rPr>
      </w:pPr>
      <w:r>
        <w:rPr>
          <w:rFonts w:hint="eastAsia"/>
        </w:rPr>
        <w:t>对可通过参数调整或软件补偿修正的，应在复校后确认结果。</w:t>
      </w:r>
    </w:p>
    <w:p w14:paraId="488352E5">
      <w:pPr>
        <w:pStyle w:val="56"/>
        <w:spacing w:line="360" w:lineRule="auto"/>
        <w:ind w:firstLine="420"/>
        <w:rPr>
          <w:rFonts w:hint="eastAsia"/>
        </w:rPr>
      </w:pPr>
      <w:r>
        <w:rPr>
          <w:rFonts w:hint="eastAsia"/>
        </w:rPr>
        <w:t>对无法通过调整修复的仪表，应停止使用并送检或更换。</w:t>
      </w:r>
    </w:p>
    <w:p w14:paraId="0BE1C976">
      <w:pPr>
        <w:pStyle w:val="105"/>
        <w:spacing w:before="120" w:after="120" w:line="360" w:lineRule="auto"/>
        <w:rPr>
          <w:rFonts w:hint="eastAsia"/>
        </w:rPr>
      </w:pPr>
      <w:r>
        <w:rPr>
          <w:rFonts w:hint="eastAsia"/>
        </w:rPr>
        <w:t>复核与确认</w:t>
      </w:r>
    </w:p>
    <w:p w14:paraId="6FFA6F6F">
      <w:pPr>
        <w:pStyle w:val="56"/>
        <w:spacing w:line="360" w:lineRule="auto"/>
        <w:ind w:firstLine="420"/>
        <w:rPr>
          <w:rFonts w:hint="eastAsia"/>
        </w:rPr>
      </w:pPr>
      <w:r>
        <w:rPr>
          <w:rFonts w:hint="eastAsia"/>
        </w:rPr>
        <w:t>重要测点和关键设备的校准结果应由具备资质的技术人员或第三方机构进行复核。</w:t>
      </w:r>
    </w:p>
    <w:p w14:paraId="7591DEAC">
      <w:pPr>
        <w:pStyle w:val="56"/>
        <w:spacing w:line="360" w:lineRule="auto"/>
        <w:ind w:firstLine="420"/>
        <w:rPr>
          <w:rFonts w:hint="eastAsia"/>
        </w:rPr>
      </w:pPr>
      <w:r>
        <w:rPr>
          <w:rFonts w:hint="eastAsia"/>
        </w:rPr>
        <w:t>复核过程应独立于首次校准，确保评定结果的客观性。</w:t>
      </w:r>
    </w:p>
    <w:p w14:paraId="7818554E">
      <w:pPr>
        <w:pStyle w:val="56"/>
        <w:spacing w:line="360" w:lineRule="auto"/>
        <w:ind w:firstLine="420"/>
        <w:rPr>
          <w:rFonts w:hint="eastAsia"/>
        </w:rPr>
      </w:pPr>
      <w:r>
        <w:rPr>
          <w:rFonts w:hint="eastAsia"/>
        </w:rPr>
        <w:t>校准结果确认后，应由相关责任人签字，并形成正式的校准报告。</w:t>
      </w:r>
    </w:p>
    <w:p w14:paraId="4AC1A51F">
      <w:pPr>
        <w:pStyle w:val="105"/>
        <w:spacing w:before="120" w:after="120" w:line="360" w:lineRule="auto"/>
        <w:rPr>
          <w:rFonts w:hint="eastAsia"/>
        </w:rPr>
      </w:pPr>
      <w:r>
        <w:rPr>
          <w:rFonts w:hint="eastAsia"/>
        </w:rPr>
        <w:t>记录与追溯</w:t>
      </w:r>
    </w:p>
    <w:p w14:paraId="01E8658A">
      <w:pPr>
        <w:pStyle w:val="56"/>
        <w:spacing w:line="360" w:lineRule="auto"/>
        <w:ind w:firstLine="420"/>
        <w:rPr>
          <w:rFonts w:hint="eastAsia"/>
        </w:rPr>
      </w:pPr>
      <w:r>
        <w:rPr>
          <w:rFonts w:hint="eastAsia"/>
        </w:rPr>
        <w:t>校准结果及相关原始数据应完整记录，存档期限不应少于仪表使用寿命周期。</w:t>
      </w:r>
    </w:p>
    <w:p w14:paraId="4B8C195A">
      <w:pPr>
        <w:pStyle w:val="56"/>
        <w:spacing w:line="360" w:lineRule="auto"/>
        <w:ind w:firstLine="420"/>
        <w:rPr>
          <w:rFonts w:hint="eastAsia"/>
        </w:rPr>
      </w:pPr>
      <w:r>
        <w:rPr>
          <w:rFonts w:hint="eastAsia"/>
        </w:rPr>
        <w:t>记录应包含校准日期、人员、设备、环境条件、数据处理方法、不确定度、评定结论等信息。</w:t>
      </w:r>
    </w:p>
    <w:p w14:paraId="58B570B5">
      <w:pPr>
        <w:pStyle w:val="56"/>
        <w:spacing w:line="360" w:lineRule="auto"/>
        <w:ind w:firstLine="420"/>
        <w:rPr>
          <w:rFonts w:hint="eastAsia"/>
        </w:rPr>
      </w:pPr>
      <w:r>
        <w:rPr>
          <w:rFonts w:hint="eastAsia"/>
        </w:rPr>
        <w:t>记录应具备可追溯性，以便在后续复盘和质量审计中使用。</w:t>
      </w:r>
    </w:p>
    <w:p w14:paraId="4711C594">
      <w:pPr>
        <w:pStyle w:val="104"/>
        <w:spacing w:before="240" w:after="240" w:line="360" w:lineRule="auto"/>
        <w:rPr>
          <w:rFonts w:hint="eastAsia"/>
        </w:rPr>
      </w:pPr>
      <w:bookmarkStart w:id="55" w:name="_Toc205754157"/>
      <w:r>
        <w:rPr>
          <w:rFonts w:hint="eastAsia"/>
        </w:rPr>
        <w:t>数据管理与信息化应用</w:t>
      </w:r>
      <w:bookmarkEnd w:id="55"/>
    </w:p>
    <w:p w14:paraId="1220CEE7">
      <w:pPr>
        <w:pStyle w:val="105"/>
        <w:spacing w:before="120" w:after="120" w:line="360" w:lineRule="auto"/>
        <w:rPr>
          <w:rFonts w:hint="eastAsia"/>
        </w:rPr>
      </w:pPr>
      <w:r>
        <w:rPr>
          <w:rFonts w:hint="eastAsia"/>
        </w:rPr>
        <w:t>总体要求</w:t>
      </w:r>
    </w:p>
    <w:p w14:paraId="0FAE39C1">
      <w:pPr>
        <w:pStyle w:val="56"/>
        <w:spacing w:line="360" w:lineRule="auto"/>
        <w:ind w:firstLine="420"/>
        <w:rPr>
          <w:rFonts w:hint="eastAsia"/>
        </w:rPr>
      </w:pPr>
      <w:r>
        <w:rPr>
          <w:rFonts w:hint="eastAsia"/>
        </w:rPr>
        <w:t>动态校准数据管理应遵循完整性、准确性、可追溯性和安全性原则。应充分利用信息化平台实现数据的自动采集、集中存储、智能分析与共享应用，提高校准工作的效率与质量。</w:t>
      </w:r>
    </w:p>
    <w:p w14:paraId="1F656364">
      <w:pPr>
        <w:pStyle w:val="105"/>
        <w:spacing w:before="120" w:after="120" w:line="360" w:lineRule="auto"/>
        <w:rPr>
          <w:rFonts w:hint="eastAsia"/>
        </w:rPr>
      </w:pPr>
      <w:r>
        <w:rPr>
          <w:rFonts w:hint="eastAsia"/>
        </w:rPr>
        <w:t>数据采集</w:t>
      </w:r>
    </w:p>
    <w:p w14:paraId="0FA2AA41">
      <w:pPr>
        <w:pStyle w:val="56"/>
        <w:spacing w:line="360" w:lineRule="auto"/>
        <w:ind w:firstLine="420"/>
        <w:rPr>
          <w:rFonts w:hint="eastAsia"/>
        </w:rPr>
      </w:pPr>
      <w:r>
        <w:rPr>
          <w:rFonts w:hint="eastAsia"/>
        </w:rPr>
        <w:t>数据采集应实现与被校准仪表及标准装置的实时通信。</w:t>
      </w:r>
    </w:p>
    <w:p w14:paraId="6E6A388E">
      <w:pPr>
        <w:pStyle w:val="56"/>
        <w:spacing w:line="360" w:lineRule="auto"/>
        <w:ind w:firstLine="420"/>
        <w:rPr>
          <w:rFonts w:hint="eastAsia"/>
        </w:rPr>
      </w:pPr>
      <w:r>
        <w:rPr>
          <w:rFonts w:hint="eastAsia"/>
        </w:rPr>
        <w:t>采集系统应具备自动记录、异常数据标识、采样频率控制等功能。</w:t>
      </w:r>
    </w:p>
    <w:p w14:paraId="7C08A195">
      <w:pPr>
        <w:pStyle w:val="56"/>
        <w:spacing w:line="360" w:lineRule="auto"/>
        <w:ind w:firstLine="420"/>
        <w:rPr>
          <w:rFonts w:hint="eastAsia"/>
        </w:rPr>
      </w:pPr>
      <w:r>
        <w:rPr>
          <w:rFonts w:hint="eastAsia"/>
        </w:rPr>
        <w:t>对远程校准的数据采集，应采用安全通信协议（如SSL/TLS）防止数据丢失与篡改。</w:t>
      </w:r>
    </w:p>
    <w:p w14:paraId="16E4F1CD">
      <w:pPr>
        <w:pStyle w:val="105"/>
        <w:spacing w:before="120" w:after="120" w:line="360" w:lineRule="auto"/>
        <w:rPr>
          <w:rFonts w:hint="eastAsia"/>
        </w:rPr>
      </w:pPr>
      <w:r>
        <w:rPr>
          <w:rFonts w:hint="eastAsia"/>
        </w:rPr>
        <w:t>数据存储与备份</w:t>
      </w:r>
    </w:p>
    <w:p w14:paraId="681CF93F">
      <w:pPr>
        <w:pStyle w:val="56"/>
        <w:spacing w:line="360" w:lineRule="auto"/>
        <w:ind w:firstLine="420"/>
        <w:rPr>
          <w:rFonts w:hint="eastAsia"/>
        </w:rPr>
      </w:pPr>
      <w:r>
        <w:rPr>
          <w:rFonts w:hint="eastAsia"/>
        </w:rPr>
        <w:t>校准数据应分类存储，包括原始数据、处理数据、分析报告等。</w:t>
      </w:r>
    </w:p>
    <w:p w14:paraId="3A92D36F">
      <w:pPr>
        <w:pStyle w:val="56"/>
        <w:spacing w:line="360" w:lineRule="auto"/>
        <w:ind w:firstLine="420"/>
        <w:rPr>
          <w:rFonts w:hint="eastAsia"/>
        </w:rPr>
      </w:pPr>
      <w:r>
        <w:rPr>
          <w:rFonts w:hint="eastAsia"/>
        </w:rPr>
        <w:t>数据存储介质应符合企业信息安全要求，并具备冗余备份能力。</w:t>
      </w:r>
    </w:p>
    <w:p w14:paraId="2DC6123B">
      <w:pPr>
        <w:pStyle w:val="56"/>
        <w:spacing w:line="360" w:lineRule="auto"/>
        <w:ind w:firstLine="420"/>
        <w:rPr>
          <w:rFonts w:hint="eastAsia"/>
        </w:rPr>
      </w:pPr>
      <w:r>
        <w:rPr>
          <w:rFonts w:hint="eastAsia"/>
        </w:rPr>
        <w:t>备份周期和介质更新应有明确制度，并定期验证数据可恢复性。</w:t>
      </w:r>
    </w:p>
    <w:p w14:paraId="4288AF90">
      <w:pPr>
        <w:pStyle w:val="105"/>
        <w:spacing w:before="120" w:after="120" w:line="360" w:lineRule="auto"/>
        <w:rPr>
          <w:rFonts w:hint="eastAsia"/>
        </w:rPr>
      </w:pPr>
      <w:r>
        <w:rPr>
          <w:rFonts w:hint="eastAsia"/>
        </w:rPr>
        <w:t>数据分析与应用</w:t>
      </w:r>
    </w:p>
    <w:p w14:paraId="10C3ED99">
      <w:pPr>
        <w:pStyle w:val="56"/>
        <w:spacing w:line="360" w:lineRule="auto"/>
        <w:ind w:firstLine="420"/>
        <w:rPr>
          <w:rFonts w:hint="eastAsia"/>
        </w:rPr>
      </w:pPr>
      <w:r>
        <w:rPr>
          <w:rFonts w:hint="eastAsia"/>
        </w:rPr>
        <w:t>应利用数据分析工具对长期校准数据进行趋势分析，识别零点漂移、量程漂移等规律。</w:t>
      </w:r>
    </w:p>
    <w:p w14:paraId="477EC898">
      <w:pPr>
        <w:pStyle w:val="56"/>
        <w:spacing w:line="360" w:lineRule="auto"/>
        <w:ind w:firstLine="420"/>
        <w:rPr>
          <w:rFonts w:hint="eastAsia"/>
        </w:rPr>
      </w:pPr>
      <w:r>
        <w:rPr>
          <w:rFonts w:hint="eastAsia"/>
        </w:rPr>
        <w:t>分析结果可为优化校准周期、预测仪表失准、制定维护计划提供依据。</w:t>
      </w:r>
    </w:p>
    <w:p w14:paraId="65E24A08">
      <w:pPr>
        <w:pStyle w:val="56"/>
        <w:spacing w:line="360" w:lineRule="auto"/>
        <w:ind w:firstLine="420"/>
        <w:rPr>
          <w:rFonts w:hint="eastAsia"/>
        </w:rPr>
      </w:pPr>
      <w:r>
        <w:rPr>
          <w:rFonts w:hint="eastAsia"/>
        </w:rPr>
        <w:t>应将高风险或异常变化信息及时推送至相关管理人员。</w:t>
      </w:r>
    </w:p>
    <w:p w14:paraId="4B345D3B">
      <w:pPr>
        <w:pStyle w:val="105"/>
        <w:spacing w:before="120" w:after="120" w:line="360" w:lineRule="auto"/>
        <w:rPr>
          <w:rFonts w:hint="eastAsia"/>
        </w:rPr>
      </w:pPr>
      <w:r>
        <w:rPr>
          <w:rFonts w:hint="eastAsia"/>
        </w:rPr>
        <w:t>信息共享与集成</w:t>
      </w:r>
    </w:p>
    <w:p w14:paraId="32E97388">
      <w:pPr>
        <w:pStyle w:val="56"/>
        <w:spacing w:line="360" w:lineRule="auto"/>
        <w:ind w:firstLine="420"/>
        <w:rPr>
          <w:rFonts w:hint="eastAsia"/>
        </w:rPr>
      </w:pPr>
      <w:r>
        <w:rPr>
          <w:rFonts w:hint="eastAsia"/>
        </w:rPr>
        <w:t>校准数据可与企业生产管理系统、设备管理系统、计量管理系统等进行集成，实现跨系统数据共享。</w:t>
      </w:r>
    </w:p>
    <w:p w14:paraId="4101ECBE">
      <w:pPr>
        <w:pStyle w:val="56"/>
        <w:spacing w:line="360" w:lineRule="auto"/>
        <w:ind w:firstLine="420"/>
        <w:rPr>
          <w:rFonts w:hint="eastAsia"/>
        </w:rPr>
      </w:pPr>
      <w:r>
        <w:rPr>
          <w:rFonts w:hint="eastAsia"/>
        </w:rPr>
        <w:t>高精度仪表的校准数据可上传至行业或国家计量数据平台，便于监管与追溯。</w:t>
      </w:r>
    </w:p>
    <w:p w14:paraId="285226B2">
      <w:pPr>
        <w:pStyle w:val="56"/>
        <w:spacing w:line="360" w:lineRule="auto"/>
        <w:ind w:firstLine="420"/>
      </w:pPr>
      <w:r>
        <w:rPr>
          <w:rFonts w:hint="eastAsia"/>
        </w:rPr>
        <w:t>信息共享应遵守数据隐私与安全管理要求。动态校准数据管理要点见表</w:t>
      </w:r>
      <w:r>
        <w:t>1</w:t>
      </w:r>
      <w:r>
        <w:rPr>
          <w:rFonts w:hint="eastAsia"/>
        </w:rPr>
        <w:t>。</w:t>
      </w:r>
    </w:p>
    <w:p w14:paraId="0659C238">
      <w:pPr>
        <w:pStyle w:val="112"/>
        <w:spacing w:before="120" w:after="120" w:line="360" w:lineRule="auto"/>
      </w:pPr>
      <w:r>
        <w:rPr>
          <w:rFonts w:hint="eastAsia"/>
        </w:rPr>
        <w:t>动态校准数据管理要点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6"/>
        <w:gridCol w:w="1867"/>
        <w:gridCol w:w="1867"/>
        <w:gridCol w:w="1867"/>
        <w:gridCol w:w="1867"/>
      </w:tblGrid>
      <w:tr w14:paraId="39FAE9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866" w:type="dxa"/>
            <w:tcBorders>
              <w:top w:val="single" w:color="auto" w:sz="8" w:space="0"/>
              <w:bottom w:val="single" w:color="auto" w:sz="8" w:space="0"/>
            </w:tcBorders>
            <w:shd w:val="clear" w:color="auto" w:fill="auto"/>
            <w:vAlign w:val="center"/>
          </w:tcPr>
          <w:p w14:paraId="0D4465B8">
            <w:pPr>
              <w:pStyle w:val="178"/>
              <w:rPr>
                <w:rFonts w:hint="eastAsia"/>
              </w:rPr>
            </w:pPr>
            <w:r>
              <w:rPr>
                <w:rFonts w:hint="eastAsia"/>
              </w:rPr>
              <w:t>数据管理环节</w:t>
            </w:r>
          </w:p>
        </w:tc>
        <w:tc>
          <w:tcPr>
            <w:tcW w:w="1867" w:type="dxa"/>
            <w:tcBorders>
              <w:top w:val="single" w:color="auto" w:sz="8" w:space="0"/>
              <w:bottom w:val="single" w:color="auto" w:sz="8" w:space="0"/>
            </w:tcBorders>
            <w:shd w:val="clear" w:color="auto" w:fill="auto"/>
            <w:vAlign w:val="center"/>
          </w:tcPr>
          <w:p w14:paraId="13FEF154">
            <w:pPr>
              <w:pStyle w:val="178"/>
              <w:rPr>
                <w:rFonts w:hint="eastAsia"/>
              </w:rPr>
            </w:pPr>
            <w:r>
              <w:rPr>
                <w:rFonts w:hint="eastAsia"/>
              </w:rPr>
              <w:t>主要内容</w:t>
            </w:r>
          </w:p>
        </w:tc>
        <w:tc>
          <w:tcPr>
            <w:tcW w:w="1867" w:type="dxa"/>
            <w:tcBorders>
              <w:top w:val="single" w:color="auto" w:sz="8" w:space="0"/>
              <w:bottom w:val="single" w:color="auto" w:sz="8" w:space="0"/>
            </w:tcBorders>
            <w:shd w:val="clear" w:color="auto" w:fill="auto"/>
            <w:vAlign w:val="center"/>
          </w:tcPr>
          <w:p w14:paraId="367CE0CF">
            <w:pPr>
              <w:pStyle w:val="178"/>
              <w:rPr>
                <w:rFonts w:hint="eastAsia"/>
              </w:rPr>
            </w:pPr>
            <w:r>
              <w:rPr>
                <w:rFonts w:hint="eastAsia"/>
              </w:rPr>
              <w:t>技术要求</w:t>
            </w:r>
          </w:p>
        </w:tc>
        <w:tc>
          <w:tcPr>
            <w:tcW w:w="1867" w:type="dxa"/>
            <w:tcBorders>
              <w:top w:val="single" w:color="auto" w:sz="8" w:space="0"/>
              <w:bottom w:val="single" w:color="auto" w:sz="8" w:space="0"/>
            </w:tcBorders>
            <w:shd w:val="clear" w:color="auto" w:fill="auto"/>
            <w:vAlign w:val="center"/>
          </w:tcPr>
          <w:p w14:paraId="6FC92F00">
            <w:pPr>
              <w:pStyle w:val="178"/>
              <w:rPr>
                <w:rFonts w:hint="eastAsia"/>
              </w:rPr>
            </w:pPr>
            <w:r>
              <w:rPr>
                <w:rFonts w:hint="eastAsia"/>
              </w:rPr>
              <w:t>责任部门</w:t>
            </w:r>
          </w:p>
        </w:tc>
        <w:tc>
          <w:tcPr>
            <w:tcW w:w="1867" w:type="dxa"/>
            <w:tcBorders>
              <w:top w:val="single" w:color="auto" w:sz="8" w:space="0"/>
              <w:bottom w:val="single" w:color="auto" w:sz="8" w:space="0"/>
            </w:tcBorders>
            <w:shd w:val="clear" w:color="auto" w:fill="auto"/>
            <w:vAlign w:val="center"/>
          </w:tcPr>
          <w:p w14:paraId="141D0FFC">
            <w:pPr>
              <w:pStyle w:val="178"/>
              <w:rPr>
                <w:rFonts w:hint="eastAsia"/>
              </w:rPr>
            </w:pPr>
            <w:r>
              <w:rPr>
                <w:rFonts w:hint="eastAsia"/>
              </w:rPr>
              <w:t>频率/周期</w:t>
            </w:r>
          </w:p>
        </w:tc>
      </w:tr>
      <w:tr w14:paraId="4B9DD8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tcBorders>
              <w:top w:val="single" w:color="auto" w:sz="8" w:space="0"/>
            </w:tcBorders>
            <w:shd w:val="clear" w:color="auto" w:fill="auto"/>
            <w:vAlign w:val="center"/>
          </w:tcPr>
          <w:p w14:paraId="69CE3B67">
            <w:pPr>
              <w:pStyle w:val="178"/>
              <w:rPr>
                <w:rFonts w:hint="eastAsia"/>
              </w:rPr>
            </w:pPr>
            <w:r>
              <w:rPr>
                <w:rFonts w:hint="eastAsia"/>
              </w:rPr>
              <w:t>数据采集</w:t>
            </w:r>
          </w:p>
        </w:tc>
        <w:tc>
          <w:tcPr>
            <w:tcW w:w="1867" w:type="dxa"/>
            <w:tcBorders>
              <w:top w:val="single" w:color="auto" w:sz="8" w:space="0"/>
            </w:tcBorders>
            <w:shd w:val="clear" w:color="auto" w:fill="auto"/>
            <w:vAlign w:val="center"/>
          </w:tcPr>
          <w:p w14:paraId="27C9C2E6">
            <w:pPr>
              <w:pStyle w:val="178"/>
              <w:rPr>
                <w:rFonts w:hint="eastAsia"/>
              </w:rPr>
            </w:pPr>
            <w:r>
              <w:rPr>
                <w:rFonts w:hint="eastAsia"/>
              </w:rPr>
              <w:t>实时采集仪表与标准装置输出</w:t>
            </w:r>
          </w:p>
        </w:tc>
        <w:tc>
          <w:tcPr>
            <w:tcW w:w="1867" w:type="dxa"/>
            <w:tcBorders>
              <w:top w:val="single" w:color="auto" w:sz="8" w:space="0"/>
            </w:tcBorders>
            <w:shd w:val="clear" w:color="auto" w:fill="auto"/>
            <w:vAlign w:val="center"/>
          </w:tcPr>
          <w:p w14:paraId="0246BB4A">
            <w:pPr>
              <w:pStyle w:val="178"/>
              <w:rPr>
                <w:rFonts w:hint="eastAsia"/>
              </w:rPr>
            </w:pPr>
            <w:r>
              <w:rPr>
                <w:rFonts w:hint="eastAsia"/>
              </w:rPr>
              <w:t>通信接口匹配、采样频率满足精度需求</w:t>
            </w:r>
          </w:p>
        </w:tc>
        <w:tc>
          <w:tcPr>
            <w:tcW w:w="1867" w:type="dxa"/>
            <w:tcBorders>
              <w:top w:val="single" w:color="auto" w:sz="8" w:space="0"/>
            </w:tcBorders>
            <w:shd w:val="clear" w:color="auto" w:fill="auto"/>
            <w:vAlign w:val="center"/>
          </w:tcPr>
          <w:p w14:paraId="6E8BAF2A">
            <w:pPr>
              <w:pStyle w:val="178"/>
              <w:rPr>
                <w:rFonts w:hint="eastAsia"/>
              </w:rPr>
            </w:pPr>
            <w:r>
              <w:rPr>
                <w:rFonts w:hint="eastAsia"/>
              </w:rPr>
              <w:t>仪表维护部</w:t>
            </w:r>
          </w:p>
        </w:tc>
        <w:tc>
          <w:tcPr>
            <w:tcW w:w="1867" w:type="dxa"/>
            <w:tcBorders>
              <w:top w:val="single" w:color="auto" w:sz="8" w:space="0"/>
            </w:tcBorders>
            <w:shd w:val="clear" w:color="auto" w:fill="auto"/>
            <w:vAlign w:val="center"/>
          </w:tcPr>
          <w:p w14:paraId="7FCBE1AE">
            <w:pPr>
              <w:pStyle w:val="178"/>
              <w:rPr>
                <w:rFonts w:hint="eastAsia"/>
              </w:rPr>
            </w:pPr>
            <w:r>
              <w:rPr>
                <w:rFonts w:hint="eastAsia"/>
              </w:rPr>
              <w:t>实时/按需</w:t>
            </w:r>
          </w:p>
        </w:tc>
      </w:tr>
      <w:tr w14:paraId="41649E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01767711">
            <w:pPr>
              <w:pStyle w:val="178"/>
              <w:rPr>
                <w:rFonts w:hint="eastAsia"/>
              </w:rPr>
            </w:pPr>
            <w:r>
              <w:rPr>
                <w:rFonts w:hint="eastAsia"/>
              </w:rPr>
              <w:t>数据存储</w:t>
            </w:r>
          </w:p>
        </w:tc>
        <w:tc>
          <w:tcPr>
            <w:tcW w:w="1867" w:type="dxa"/>
            <w:shd w:val="clear" w:color="auto" w:fill="auto"/>
            <w:vAlign w:val="center"/>
          </w:tcPr>
          <w:p w14:paraId="38C282D2">
            <w:pPr>
              <w:pStyle w:val="178"/>
              <w:rPr>
                <w:rFonts w:hint="eastAsia"/>
              </w:rPr>
            </w:pPr>
            <w:r>
              <w:rPr>
                <w:rFonts w:hint="eastAsia"/>
              </w:rPr>
              <w:t>分类存储原始数据与处理数据</w:t>
            </w:r>
          </w:p>
        </w:tc>
        <w:tc>
          <w:tcPr>
            <w:tcW w:w="1867" w:type="dxa"/>
            <w:shd w:val="clear" w:color="auto" w:fill="auto"/>
            <w:vAlign w:val="center"/>
          </w:tcPr>
          <w:p w14:paraId="19217C3F">
            <w:pPr>
              <w:pStyle w:val="178"/>
              <w:rPr>
                <w:rFonts w:hint="eastAsia"/>
              </w:rPr>
            </w:pPr>
            <w:r>
              <w:rPr>
                <w:rFonts w:hint="eastAsia"/>
              </w:rPr>
              <w:t>安全加密、冗余备份</w:t>
            </w:r>
          </w:p>
        </w:tc>
        <w:tc>
          <w:tcPr>
            <w:tcW w:w="1867" w:type="dxa"/>
            <w:shd w:val="clear" w:color="auto" w:fill="auto"/>
            <w:vAlign w:val="center"/>
          </w:tcPr>
          <w:p w14:paraId="34A8468B">
            <w:pPr>
              <w:pStyle w:val="178"/>
              <w:rPr>
                <w:rFonts w:hint="eastAsia"/>
              </w:rPr>
            </w:pPr>
            <w:r>
              <w:rPr>
                <w:rFonts w:hint="eastAsia"/>
              </w:rPr>
              <w:t>信息技术部</w:t>
            </w:r>
          </w:p>
        </w:tc>
        <w:tc>
          <w:tcPr>
            <w:tcW w:w="1867" w:type="dxa"/>
            <w:shd w:val="clear" w:color="auto" w:fill="auto"/>
            <w:vAlign w:val="center"/>
          </w:tcPr>
          <w:p w14:paraId="36A70B2D">
            <w:pPr>
              <w:pStyle w:val="178"/>
              <w:rPr>
                <w:rFonts w:hint="eastAsia"/>
              </w:rPr>
            </w:pPr>
            <w:r>
              <w:rPr>
                <w:rFonts w:hint="eastAsia"/>
              </w:rPr>
              <w:t>持续</w:t>
            </w:r>
          </w:p>
        </w:tc>
      </w:tr>
      <w:tr w14:paraId="335E5B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4C22916F">
            <w:pPr>
              <w:pStyle w:val="178"/>
              <w:rPr>
                <w:rFonts w:hint="eastAsia"/>
              </w:rPr>
            </w:pPr>
            <w:r>
              <w:rPr>
                <w:rFonts w:hint="eastAsia"/>
              </w:rPr>
              <w:t>数据分析</w:t>
            </w:r>
          </w:p>
        </w:tc>
        <w:tc>
          <w:tcPr>
            <w:tcW w:w="1867" w:type="dxa"/>
            <w:shd w:val="clear" w:color="auto" w:fill="auto"/>
            <w:vAlign w:val="center"/>
          </w:tcPr>
          <w:p w14:paraId="65323AD8">
            <w:pPr>
              <w:pStyle w:val="178"/>
              <w:rPr>
                <w:rFonts w:hint="eastAsia"/>
              </w:rPr>
            </w:pPr>
            <w:r>
              <w:rPr>
                <w:rFonts w:hint="eastAsia"/>
              </w:rPr>
              <w:t>漂移趋势、误差统计</w:t>
            </w:r>
          </w:p>
        </w:tc>
        <w:tc>
          <w:tcPr>
            <w:tcW w:w="1867" w:type="dxa"/>
            <w:shd w:val="clear" w:color="auto" w:fill="auto"/>
            <w:vAlign w:val="center"/>
          </w:tcPr>
          <w:p w14:paraId="53086368">
            <w:pPr>
              <w:pStyle w:val="178"/>
              <w:rPr>
                <w:rFonts w:hint="eastAsia"/>
              </w:rPr>
            </w:pPr>
            <w:r>
              <w:rPr>
                <w:rFonts w:hint="eastAsia"/>
              </w:rPr>
              <w:t>使用验证合格的分析软件</w:t>
            </w:r>
          </w:p>
        </w:tc>
        <w:tc>
          <w:tcPr>
            <w:tcW w:w="1867" w:type="dxa"/>
            <w:shd w:val="clear" w:color="auto" w:fill="auto"/>
            <w:vAlign w:val="center"/>
          </w:tcPr>
          <w:p w14:paraId="03DA7F0D">
            <w:pPr>
              <w:pStyle w:val="178"/>
              <w:rPr>
                <w:rFonts w:hint="eastAsia"/>
              </w:rPr>
            </w:pPr>
            <w:r>
              <w:rPr>
                <w:rFonts w:hint="eastAsia"/>
              </w:rPr>
              <w:t>计量检测部</w:t>
            </w:r>
          </w:p>
        </w:tc>
        <w:tc>
          <w:tcPr>
            <w:tcW w:w="1867" w:type="dxa"/>
            <w:shd w:val="clear" w:color="auto" w:fill="auto"/>
            <w:vAlign w:val="center"/>
          </w:tcPr>
          <w:p w14:paraId="7048C945">
            <w:pPr>
              <w:pStyle w:val="178"/>
              <w:rPr>
                <w:rFonts w:hint="eastAsia"/>
              </w:rPr>
            </w:pPr>
            <w:r>
              <w:rPr>
                <w:rFonts w:hint="eastAsia"/>
              </w:rPr>
              <w:t>每季度</w:t>
            </w:r>
          </w:p>
        </w:tc>
      </w:tr>
      <w:tr w14:paraId="5DF55B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45D896E2">
            <w:pPr>
              <w:pStyle w:val="178"/>
              <w:rPr>
                <w:rFonts w:hint="eastAsia"/>
              </w:rPr>
            </w:pPr>
            <w:r>
              <w:rPr>
                <w:rFonts w:hint="eastAsia"/>
              </w:rPr>
              <w:t>数据共享</w:t>
            </w:r>
          </w:p>
        </w:tc>
        <w:tc>
          <w:tcPr>
            <w:tcW w:w="1867" w:type="dxa"/>
            <w:shd w:val="clear" w:color="auto" w:fill="auto"/>
            <w:vAlign w:val="center"/>
          </w:tcPr>
          <w:p w14:paraId="212131AC">
            <w:pPr>
              <w:pStyle w:val="178"/>
              <w:rPr>
                <w:rFonts w:hint="eastAsia"/>
              </w:rPr>
            </w:pPr>
            <w:r>
              <w:rPr>
                <w:rFonts w:hint="eastAsia"/>
              </w:rPr>
              <w:t>与管理系统和平台集成</w:t>
            </w:r>
          </w:p>
        </w:tc>
        <w:tc>
          <w:tcPr>
            <w:tcW w:w="1867" w:type="dxa"/>
            <w:shd w:val="clear" w:color="auto" w:fill="auto"/>
            <w:vAlign w:val="center"/>
          </w:tcPr>
          <w:p w14:paraId="117B5799">
            <w:pPr>
              <w:pStyle w:val="178"/>
              <w:rPr>
                <w:rFonts w:hint="eastAsia"/>
              </w:rPr>
            </w:pPr>
            <w:r>
              <w:rPr>
                <w:rFonts w:hint="eastAsia"/>
              </w:rPr>
              <w:t>接口标准化、权限控制</w:t>
            </w:r>
          </w:p>
        </w:tc>
        <w:tc>
          <w:tcPr>
            <w:tcW w:w="1867" w:type="dxa"/>
            <w:shd w:val="clear" w:color="auto" w:fill="auto"/>
            <w:vAlign w:val="center"/>
          </w:tcPr>
          <w:p w14:paraId="43DC4054">
            <w:pPr>
              <w:pStyle w:val="178"/>
              <w:rPr>
                <w:rFonts w:hint="eastAsia"/>
              </w:rPr>
            </w:pPr>
            <w:r>
              <w:rPr>
                <w:rFonts w:hint="eastAsia"/>
              </w:rPr>
              <w:t>管理中心</w:t>
            </w:r>
          </w:p>
        </w:tc>
        <w:tc>
          <w:tcPr>
            <w:tcW w:w="1867" w:type="dxa"/>
            <w:shd w:val="clear" w:color="auto" w:fill="auto"/>
            <w:vAlign w:val="center"/>
          </w:tcPr>
          <w:p w14:paraId="739CB5BF">
            <w:pPr>
              <w:pStyle w:val="178"/>
              <w:rPr>
                <w:rFonts w:hint="eastAsia"/>
              </w:rPr>
            </w:pPr>
            <w:r>
              <w:rPr>
                <w:rFonts w:hint="eastAsia"/>
              </w:rPr>
              <w:t>持续</w:t>
            </w:r>
          </w:p>
        </w:tc>
      </w:tr>
      <w:tr w14:paraId="1DEBE2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28C0FB9A">
            <w:pPr>
              <w:pStyle w:val="178"/>
              <w:rPr>
                <w:rFonts w:hint="eastAsia"/>
              </w:rPr>
            </w:pPr>
            <w:r>
              <w:rPr>
                <w:rFonts w:hint="eastAsia"/>
              </w:rPr>
              <w:t>数据备份</w:t>
            </w:r>
          </w:p>
        </w:tc>
        <w:tc>
          <w:tcPr>
            <w:tcW w:w="1867" w:type="dxa"/>
            <w:shd w:val="clear" w:color="auto" w:fill="auto"/>
            <w:vAlign w:val="center"/>
          </w:tcPr>
          <w:p w14:paraId="0E8113B9">
            <w:pPr>
              <w:pStyle w:val="178"/>
              <w:rPr>
                <w:rFonts w:hint="eastAsia"/>
              </w:rPr>
            </w:pPr>
            <w:r>
              <w:rPr>
                <w:rFonts w:hint="eastAsia"/>
              </w:rPr>
              <w:t>物理和云端双重备份</w:t>
            </w:r>
          </w:p>
        </w:tc>
        <w:tc>
          <w:tcPr>
            <w:tcW w:w="1867" w:type="dxa"/>
            <w:shd w:val="clear" w:color="auto" w:fill="auto"/>
            <w:vAlign w:val="center"/>
          </w:tcPr>
          <w:p w14:paraId="08DE4C58">
            <w:pPr>
              <w:pStyle w:val="178"/>
              <w:rPr>
                <w:rFonts w:hint="eastAsia"/>
              </w:rPr>
            </w:pPr>
            <w:r>
              <w:rPr>
                <w:rFonts w:hint="eastAsia"/>
              </w:rPr>
              <w:t>定期测试可恢复性</w:t>
            </w:r>
          </w:p>
        </w:tc>
        <w:tc>
          <w:tcPr>
            <w:tcW w:w="1867" w:type="dxa"/>
            <w:shd w:val="clear" w:color="auto" w:fill="auto"/>
            <w:vAlign w:val="center"/>
          </w:tcPr>
          <w:p w14:paraId="53237EEB">
            <w:pPr>
              <w:pStyle w:val="178"/>
              <w:rPr>
                <w:rFonts w:hint="eastAsia"/>
              </w:rPr>
            </w:pPr>
            <w:r>
              <w:rPr>
                <w:rFonts w:hint="eastAsia"/>
              </w:rPr>
              <w:t>信息技术部</w:t>
            </w:r>
          </w:p>
        </w:tc>
        <w:tc>
          <w:tcPr>
            <w:tcW w:w="1867" w:type="dxa"/>
            <w:shd w:val="clear" w:color="auto" w:fill="auto"/>
            <w:vAlign w:val="center"/>
          </w:tcPr>
          <w:p w14:paraId="13C8EAFF">
            <w:pPr>
              <w:pStyle w:val="178"/>
              <w:rPr>
                <w:rFonts w:hint="eastAsia"/>
              </w:rPr>
            </w:pPr>
            <w:r>
              <w:rPr>
                <w:rFonts w:hint="eastAsia"/>
              </w:rPr>
              <w:t>每周/月</w:t>
            </w:r>
          </w:p>
        </w:tc>
      </w:tr>
    </w:tbl>
    <w:p w14:paraId="3639BAA5">
      <w:pPr>
        <w:pStyle w:val="104"/>
        <w:spacing w:before="240" w:after="240" w:line="360" w:lineRule="auto"/>
        <w:rPr>
          <w:rFonts w:hint="eastAsia"/>
        </w:rPr>
      </w:pPr>
      <w:bookmarkStart w:id="56" w:name="_Toc205754158"/>
      <w:r>
        <w:rPr>
          <w:rFonts w:hint="eastAsia"/>
        </w:rPr>
        <w:t>安全与防护要求</w:t>
      </w:r>
      <w:bookmarkEnd w:id="56"/>
    </w:p>
    <w:p w14:paraId="03C6B5A4">
      <w:pPr>
        <w:pStyle w:val="105"/>
        <w:spacing w:before="120" w:after="120" w:line="360" w:lineRule="auto"/>
        <w:rPr>
          <w:rFonts w:hint="eastAsia"/>
        </w:rPr>
      </w:pPr>
      <w:r>
        <w:rPr>
          <w:rFonts w:hint="eastAsia"/>
        </w:rPr>
        <w:t>总体要求</w:t>
      </w:r>
    </w:p>
    <w:p w14:paraId="79331217">
      <w:pPr>
        <w:pStyle w:val="56"/>
        <w:spacing w:line="360" w:lineRule="auto"/>
        <w:ind w:firstLine="420"/>
        <w:rPr>
          <w:rFonts w:hint="eastAsia"/>
        </w:rPr>
      </w:pPr>
      <w:r>
        <w:rPr>
          <w:rFonts w:hint="eastAsia"/>
        </w:rPr>
        <w:t>动态校准过程中，应全面落实人身安全、设备安全、数据安全及环境保护措施，确保校准工作在可控风险范围内开展，不影响生产运行的安全性与连续性。</w:t>
      </w:r>
    </w:p>
    <w:p w14:paraId="2D25A337">
      <w:pPr>
        <w:pStyle w:val="105"/>
        <w:spacing w:before="120" w:after="120" w:line="360" w:lineRule="auto"/>
        <w:rPr>
          <w:rFonts w:hint="eastAsia"/>
        </w:rPr>
      </w:pPr>
      <w:r>
        <w:rPr>
          <w:rFonts w:hint="eastAsia"/>
        </w:rPr>
        <w:t>人身安全</w:t>
      </w:r>
    </w:p>
    <w:p w14:paraId="17F34F0C">
      <w:pPr>
        <w:pStyle w:val="56"/>
        <w:spacing w:line="360" w:lineRule="auto"/>
        <w:ind w:firstLine="420"/>
        <w:rPr>
          <w:rFonts w:hint="eastAsia"/>
        </w:rPr>
      </w:pPr>
      <w:r>
        <w:rPr>
          <w:rFonts w:hint="eastAsia"/>
        </w:rPr>
        <w:t>校准人员应经过安全培训并持有相应资质。</w:t>
      </w:r>
    </w:p>
    <w:p w14:paraId="6C2C3F92">
      <w:pPr>
        <w:pStyle w:val="56"/>
        <w:spacing w:line="360" w:lineRule="auto"/>
        <w:ind w:firstLine="420"/>
        <w:rPr>
          <w:rFonts w:hint="eastAsia"/>
        </w:rPr>
      </w:pPr>
      <w:r>
        <w:rPr>
          <w:rFonts w:hint="eastAsia"/>
        </w:rPr>
        <w:t>进入现场前应穿戴符合行业要求的劳动防护用品，如绝缘手套、防静电服、安全帽、防护眼镜等。</w:t>
      </w:r>
    </w:p>
    <w:p w14:paraId="788FB76D">
      <w:pPr>
        <w:pStyle w:val="56"/>
        <w:spacing w:line="360" w:lineRule="auto"/>
        <w:ind w:firstLine="420"/>
        <w:rPr>
          <w:rFonts w:hint="eastAsia"/>
        </w:rPr>
      </w:pPr>
      <w:r>
        <w:rPr>
          <w:rFonts w:hint="eastAsia"/>
        </w:rPr>
        <w:t>在有高温、高压、有毒有害介质的场所，应采取隔离、通风、检测等防护措施。</w:t>
      </w:r>
    </w:p>
    <w:p w14:paraId="3C7CC650">
      <w:pPr>
        <w:pStyle w:val="56"/>
        <w:spacing w:line="360" w:lineRule="auto"/>
        <w:ind w:firstLine="420"/>
        <w:rPr>
          <w:rFonts w:hint="eastAsia"/>
        </w:rPr>
      </w:pPr>
      <w:r>
        <w:rPr>
          <w:rFonts w:hint="eastAsia"/>
        </w:rPr>
        <w:t>在高处或狭小空间作业，应遵守高处作业和有限空间作业的安全规定。</w:t>
      </w:r>
    </w:p>
    <w:p w14:paraId="756FCE01">
      <w:pPr>
        <w:pStyle w:val="105"/>
        <w:spacing w:before="120" w:after="120" w:line="360" w:lineRule="auto"/>
        <w:rPr>
          <w:rFonts w:hint="eastAsia"/>
        </w:rPr>
      </w:pPr>
      <w:r>
        <w:rPr>
          <w:rFonts w:hint="eastAsia"/>
        </w:rPr>
        <w:t>设备安全</w:t>
      </w:r>
    </w:p>
    <w:p w14:paraId="5D3F051B">
      <w:pPr>
        <w:pStyle w:val="56"/>
        <w:spacing w:line="360" w:lineRule="auto"/>
        <w:ind w:firstLine="420"/>
        <w:rPr>
          <w:rFonts w:hint="eastAsia"/>
        </w:rPr>
      </w:pPr>
      <w:r>
        <w:rPr>
          <w:rFonts w:hint="eastAsia"/>
        </w:rPr>
        <w:t>校准过程中应避免对被校准仪表及系统造成冲击、电压/电流过载等损伤。</w:t>
      </w:r>
    </w:p>
    <w:p w14:paraId="55B3C9AE">
      <w:pPr>
        <w:pStyle w:val="56"/>
        <w:spacing w:line="360" w:lineRule="auto"/>
        <w:ind w:firstLine="420"/>
        <w:rPr>
          <w:rFonts w:hint="eastAsia"/>
        </w:rPr>
      </w:pPr>
      <w:r>
        <w:rPr>
          <w:rFonts w:hint="eastAsia"/>
        </w:rPr>
        <w:t>在切换信号、连接/断开接口时，应防止电弧、短路或压力泄漏。</w:t>
      </w:r>
    </w:p>
    <w:p w14:paraId="6D4CEF20">
      <w:pPr>
        <w:pStyle w:val="56"/>
        <w:spacing w:line="360" w:lineRule="auto"/>
        <w:ind w:firstLine="420"/>
        <w:rPr>
          <w:rFonts w:hint="eastAsia"/>
        </w:rPr>
      </w:pPr>
      <w:r>
        <w:rPr>
          <w:rFonts w:hint="eastAsia"/>
        </w:rPr>
        <w:t>对在线校准涉及的控制系统，应采取防误操作和冗余保护措施，避免系统误动作或停机。</w:t>
      </w:r>
    </w:p>
    <w:p w14:paraId="01EB106D">
      <w:pPr>
        <w:pStyle w:val="105"/>
        <w:spacing w:before="120" w:after="120" w:line="360" w:lineRule="auto"/>
        <w:rPr>
          <w:rFonts w:hint="eastAsia"/>
        </w:rPr>
      </w:pPr>
      <w:r>
        <w:rPr>
          <w:rFonts w:hint="eastAsia"/>
        </w:rPr>
        <w:t>数据安全</w:t>
      </w:r>
    </w:p>
    <w:p w14:paraId="31E1C5D1">
      <w:pPr>
        <w:pStyle w:val="56"/>
        <w:spacing w:line="360" w:lineRule="auto"/>
        <w:ind w:firstLine="420"/>
        <w:rPr>
          <w:rFonts w:hint="eastAsia"/>
        </w:rPr>
      </w:pPr>
      <w:r>
        <w:rPr>
          <w:rFonts w:hint="eastAsia"/>
        </w:rPr>
        <w:t>采用加密通信和权限控制，防止数据在传输和存储过程中的泄露或篡改。</w:t>
      </w:r>
    </w:p>
    <w:p w14:paraId="3D6EC0D0">
      <w:pPr>
        <w:pStyle w:val="56"/>
        <w:spacing w:line="360" w:lineRule="auto"/>
        <w:ind w:firstLine="420"/>
        <w:rPr>
          <w:rFonts w:hint="eastAsia"/>
        </w:rPr>
      </w:pPr>
      <w:r>
        <w:rPr>
          <w:rFonts w:hint="eastAsia"/>
        </w:rPr>
        <w:t>对关键配置文件和校准参数，应建立访问授权审批制度。</w:t>
      </w:r>
    </w:p>
    <w:p w14:paraId="5CE7CCE5">
      <w:pPr>
        <w:pStyle w:val="56"/>
        <w:spacing w:line="360" w:lineRule="auto"/>
        <w:ind w:firstLine="420"/>
        <w:rPr>
          <w:rFonts w:hint="eastAsia"/>
        </w:rPr>
      </w:pPr>
      <w:r>
        <w:rPr>
          <w:rFonts w:hint="eastAsia"/>
        </w:rPr>
        <w:t>定期进行网络安全检测，防止恶意攻击影响校准数据完整性。</w:t>
      </w:r>
    </w:p>
    <w:p w14:paraId="42E5F2D0">
      <w:pPr>
        <w:pStyle w:val="105"/>
        <w:spacing w:before="120" w:after="120" w:line="360" w:lineRule="auto"/>
        <w:rPr>
          <w:rFonts w:hint="eastAsia"/>
        </w:rPr>
      </w:pPr>
      <w:r>
        <w:rPr>
          <w:rFonts w:hint="eastAsia"/>
        </w:rPr>
        <w:t>环境防护</w:t>
      </w:r>
    </w:p>
    <w:p w14:paraId="0AA0E2E4">
      <w:pPr>
        <w:pStyle w:val="56"/>
        <w:spacing w:line="360" w:lineRule="auto"/>
        <w:ind w:firstLine="420"/>
        <w:rPr>
          <w:rFonts w:hint="eastAsia"/>
        </w:rPr>
      </w:pPr>
      <w:r>
        <w:rPr>
          <w:rFonts w:hint="eastAsia"/>
        </w:rPr>
        <w:t>在涉及排放或有害物质处理的校准操作中，应采取防泄漏、防扩散措施。</w:t>
      </w:r>
    </w:p>
    <w:p w14:paraId="592D09B0">
      <w:pPr>
        <w:pStyle w:val="56"/>
        <w:spacing w:line="360" w:lineRule="auto"/>
        <w:ind w:firstLine="420"/>
        <w:rPr>
          <w:rFonts w:hint="eastAsia"/>
        </w:rPr>
      </w:pPr>
      <w:r>
        <w:rPr>
          <w:rFonts w:hint="eastAsia"/>
        </w:rPr>
        <w:t>废弃物处理应符合环保法规要求。</w:t>
      </w:r>
    </w:p>
    <w:p w14:paraId="222D6031">
      <w:pPr>
        <w:pStyle w:val="56"/>
        <w:spacing w:line="360" w:lineRule="auto"/>
        <w:ind w:firstLine="420"/>
      </w:pPr>
      <w:r>
        <w:rPr>
          <w:rFonts w:hint="eastAsia"/>
        </w:rPr>
        <w:t>避免因校准操作造成水、气、土壤等环境污染。</w:t>
      </w:r>
    </w:p>
    <w:p w14:paraId="2ABEADE1">
      <w:pPr>
        <w:pStyle w:val="56"/>
        <w:spacing w:line="360" w:lineRule="auto"/>
        <w:ind w:firstLine="420"/>
        <w:rPr>
          <w:rFonts w:hint="eastAsia"/>
        </w:rPr>
      </w:pPr>
      <w:r>
        <w:rPr>
          <w:rFonts w:hint="eastAsia"/>
        </w:rPr>
        <w:t>动态校准安全与防护要点见表2。</w:t>
      </w:r>
    </w:p>
    <w:p w14:paraId="43C69ECD">
      <w:pPr>
        <w:pStyle w:val="112"/>
        <w:spacing w:before="120" w:after="120" w:line="360" w:lineRule="auto"/>
      </w:pPr>
      <w:r>
        <w:rPr>
          <w:rFonts w:hint="eastAsia"/>
        </w:rPr>
        <w:t>动态校准安全与防护要点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6"/>
        <w:gridCol w:w="1867"/>
        <w:gridCol w:w="1867"/>
        <w:gridCol w:w="1867"/>
        <w:gridCol w:w="1867"/>
      </w:tblGrid>
      <w:tr w14:paraId="18BB07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66" w:type="dxa"/>
            <w:tcBorders>
              <w:top w:val="single" w:color="auto" w:sz="8" w:space="0"/>
              <w:bottom w:val="single" w:color="auto" w:sz="8" w:space="0"/>
            </w:tcBorders>
            <w:shd w:val="clear" w:color="auto" w:fill="auto"/>
          </w:tcPr>
          <w:p w14:paraId="0943ABC1">
            <w:pPr>
              <w:pStyle w:val="178"/>
              <w:rPr>
                <w:rFonts w:hint="eastAsia"/>
              </w:rPr>
            </w:pPr>
            <w:r>
              <w:rPr>
                <w:rFonts w:hint="eastAsia"/>
              </w:rPr>
              <w:t>防护类别</w:t>
            </w:r>
          </w:p>
        </w:tc>
        <w:tc>
          <w:tcPr>
            <w:tcW w:w="1867" w:type="dxa"/>
            <w:tcBorders>
              <w:top w:val="single" w:color="auto" w:sz="8" w:space="0"/>
              <w:bottom w:val="single" w:color="auto" w:sz="8" w:space="0"/>
            </w:tcBorders>
            <w:shd w:val="clear" w:color="auto" w:fill="auto"/>
          </w:tcPr>
          <w:p w14:paraId="0420C928">
            <w:pPr>
              <w:pStyle w:val="178"/>
              <w:rPr>
                <w:rFonts w:hint="eastAsia"/>
              </w:rPr>
            </w:pPr>
            <w:r>
              <w:rPr>
                <w:rFonts w:hint="eastAsia"/>
              </w:rPr>
              <w:t>主要内容</w:t>
            </w:r>
          </w:p>
        </w:tc>
        <w:tc>
          <w:tcPr>
            <w:tcW w:w="1867" w:type="dxa"/>
            <w:tcBorders>
              <w:top w:val="single" w:color="auto" w:sz="8" w:space="0"/>
              <w:bottom w:val="single" w:color="auto" w:sz="8" w:space="0"/>
            </w:tcBorders>
            <w:shd w:val="clear" w:color="auto" w:fill="auto"/>
          </w:tcPr>
          <w:p w14:paraId="78D1C64A">
            <w:pPr>
              <w:pStyle w:val="178"/>
              <w:rPr>
                <w:rFonts w:hint="eastAsia"/>
              </w:rPr>
            </w:pPr>
            <w:r>
              <w:rPr>
                <w:rFonts w:hint="eastAsia"/>
              </w:rPr>
              <w:t>防护措施</w:t>
            </w:r>
          </w:p>
        </w:tc>
        <w:tc>
          <w:tcPr>
            <w:tcW w:w="1867" w:type="dxa"/>
            <w:tcBorders>
              <w:top w:val="single" w:color="auto" w:sz="8" w:space="0"/>
              <w:bottom w:val="single" w:color="auto" w:sz="8" w:space="0"/>
            </w:tcBorders>
            <w:shd w:val="clear" w:color="auto" w:fill="auto"/>
          </w:tcPr>
          <w:p w14:paraId="22B0FF05">
            <w:pPr>
              <w:pStyle w:val="178"/>
              <w:rPr>
                <w:rFonts w:hint="eastAsia"/>
              </w:rPr>
            </w:pPr>
            <w:r>
              <w:rPr>
                <w:rFonts w:hint="eastAsia"/>
              </w:rPr>
              <w:t>责任部门</w:t>
            </w:r>
          </w:p>
        </w:tc>
        <w:tc>
          <w:tcPr>
            <w:tcW w:w="1867" w:type="dxa"/>
            <w:tcBorders>
              <w:top w:val="single" w:color="auto" w:sz="8" w:space="0"/>
              <w:bottom w:val="single" w:color="auto" w:sz="8" w:space="0"/>
            </w:tcBorders>
            <w:shd w:val="clear" w:color="auto" w:fill="auto"/>
          </w:tcPr>
          <w:p w14:paraId="7B341949">
            <w:pPr>
              <w:pStyle w:val="178"/>
              <w:rPr>
                <w:rFonts w:hint="eastAsia"/>
              </w:rPr>
            </w:pPr>
            <w:r>
              <w:rPr>
                <w:rFonts w:hint="eastAsia"/>
              </w:rPr>
              <w:t>检查周期</w:t>
            </w:r>
          </w:p>
        </w:tc>
      </w:tr>
      <w:tr w14:paraId="7BD6B1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tcBorders>
              <w:top w:val="single" w:color="auto" w:sz="8" w:space="0"/>
            </w:tcBorders>
            <w:shd w:val="clear" w:color="auto" w:fill="auto"/>
          </w:tcPr>
          <w:p w14:paraId="5A24F889">
            <w:pPr>
              <w:pStyle w:val="178"/>
              <w:rPr>
                <w:rFonts w:hint="eastAsia"/>
              </w:rPr>
            </w:pPr>
            <w:r>
              <w:rPr>
                <w:rFonts w:hint="eastAsia"/>
              </w:rPr>
              <w:t>人身安全</w:t>
            </w:r>
          </w:p>
        </w:tc>
        <w:tc>
          <w:tcPr>
            <w:tcW w:w="1867" w:type="dxa"/>
            <w:tcBorders>
              <w:top w:val="single" w:color="auto" w:sz="8" w:space="0"/>
            </w:tcBorders>
            <w:shd w:val="clear" w:color="auto" w:fill="auto"/>
          </w:tcPr>
          <w:p w14:paraId="575F8AEA">
            <w:pPr>
              <w:pStyle w:val="178"/>
              <w:rPr>
                <w:rFonts w:hint="eastAsia"/>
              </w:rPr>
            </w:pPr>
            <w:r>
              <w:rPr>
                <w:rFonts w:hint="eastAsia"/>
              </w:rPr>
              <w:t>防护用品佩戴</w:t>
            </w:r>
          </w:p>
        </w:tc>
        <w:tc>
          <w:tcPr>
            <w:tcW w:w="1867" w:type="dxa"/>
            <w:tcBorders>
              <w:top w:val="single" w:color="auto" w:sz="8" w:space="0"/>
            </w:tcBorders>
            <w:shd w:val="clear" w:color="auto" w:fill="auto"/>
          </w:tcPr>
          <w:p w14:paraId="07612979">
            <w:pPr>
              <w:pStyle w:val="178"/>
              <w:rPr>
                <w:rFonts w:hint="eastAsia"/>
              </w:rPr>
            </w:pPr>
            <w:r>
              <w:rPr>
                <w:rFonts w:hint="eastAsia"/>
              </w:rPr>
              <w:t>绝缘手套、防静电服、安全帽</w:t>
            </w:r>
          </w:p>
        </w:tc>
        <w:tc>
          <w:tcPr>
            <w:tcW w:w="1867" w:type="dxa"/>
            <w:tcBorders>
              <w:top w:val="single" w:color="auto" w:sz="8" w:space="0"/>
            </w:tcBorders>
            <w:shd w:val="clear" w:color="auto" w:fill="auto"/>
          </w:tcPr>
          <w:p w14:paraId="3580C11A">
            <w:pPr>
              <w:pStyle w:val="178"/>
              <w:rPr>
                <w:rFonts w:hint="eastAsia"/>
              </w:rPr>
            </w:pPr>
            <w:r>
              <w:rPr>
                <w:rFonts w:hint="eastAsia"/>
              </w:rPr>
              <w:t>安全管理部</w:t>
            </w:r>
          </w:p>
        </w:tc>
        <w:tc>
          <w:tcPr>
            <w:tcW w:w="1867" w:type="dxa"/>
            <w:tcBorders>
              <w:top w:val="single" w:color="auto" w:sz="8" w:space="0"/>
            </w:tcBorders>
            <w:shd w:val="clear" w:color="auto" w:fill="auto"/>
          </w:tcPr>
          <w:p w14:paraId="277CDA7D">
            <w:pPr>
              <w:pStyle w:val="178"/>
              <w:rPr>
                <w:rFonts w:hint="eastAsia"/>
              </w:rPr>
            </w:pPr>
            <w:r>
              <w:rPr>
                <w:rFonts w:hint="eastAsia"/>
              </w:rPr>
              <w:t>每班次</w:t>
            </w:r>
          </w:p>
        </w:tc>
      </w:tr>
      <w:tr w14:paraId="751DC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tcPr>
          <w:p w14:paraId="765C79D0">
            <w:pPr>
              <w:pStyle w:val="178"/>
              <w:rPr>
                <w:rFonts w:hint="eastAsia"/>
              </w:rPr>
            </w:pPr>
            <w:r>
              <w:rPr>
                <w:rFonts w:hint="eastAsia"/>
              </w:rPr>
              <w:t>设备安全</w:t>
            </w:r>
          </w:p>
        </w:tc>
        <w:tc>
          <w:tcPr>
            <w:tcW w:w="1867" w:type="dxa"/>
            <w:shd w:val="clear" w:color="auto" w:fill="auto"/>
          </w:tcPr>
          <w:p w14:paraId="54BA0C3C">
            <w:pPr>
              <w:pStyle w:val="178"/>
              <w:rPr>
                <w:rFonts w:hint="eastAsia"/>
              </w:rPr>
            </w:pPr>
            <w:r>
              <w:rPr>
                <w:rFonts w:hint="eastAsia"/>
              </w:rPr>
              <w:t>防过载、防冲击</w:t>
            </w:r>
          </w:p>
        </w:tc>
        <w:tc>
          <w:tcPr>
            <w:tcW w:w="1867" w:type="dxa"/>
            <w:shd w:val="clear" w:color="auto" w:fill="auto"/>
          </w:tcPr>
          <w:p w14:paraId="00743464">
            <w:pPr>
              <w:pStyle w:val="178"/>
              <w:rPr>
                <w:rFonts w:hint="eastAsia"/>
              </w:rPr>
            </w:pPr>
            <w:r>
              <w:rPr>
                <w:rFonts w:hint="eastAsia"/>
              </w:rPr>
              <w:t>使用限流装置、缓启动连接</w:t>
            </w:r>
          </w:p>
        </w:tc>
        <w:tc>
          <w:tcPr>
            <w:tcW w:w="1867" w:type="dxa"/>
            <w:shd w:val="clear" w:color="auto" w:fill="auto"/>
          </w:tcPr>
          <w:p w14:paraId="050A8499">
            <w:pPr>
              <w:pStyle w:val="178"/>
              <w:rPr>
                <w:rFonts w:hint="eastAsia"/>
              </w:rPr>
            </w:pPr>
            <w:r>
              <w:rPr>
                <w:rFonts w:hint="eastAsia"/>
              </w:rPr>
              <w:t>仪表维护部</w:t>
            </w:r>
          </w:p>
        </w:tc>
        <w:tc>
          <w:tcPr>
            <w:tcW w:w="1867" w:type="dxa"/>
            <w:shd w:val="clear" w:color="auto" w:fill="auto"/>
          </w:tcPr>
          <w:p w14:paraId="7F8D91C2">
            <w:pPr>
              <w:pStyle w:val="178"/>
              <w:rPr>
                <w:rFonts w:hint="eastAsia"/>
              </w:rPr>
            </w:pPr>
            <w:r>
              <w:rPr>
                <w:rFonts w:hint="eastAsia"/>
              </w:rPr>
              <w:t>每次操作前</w:t>
            </w:r>
          </w:p>
        </w:tc>
      </w:tr>
      <w:tr w14:paraId="5BDC07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tcPr>
          <w:p w14:paraId="11DA83A5">
            <w:pPr>
              <w:pStyle w:val="178"/>
              <w:rPr>
                <w:rFonts w:hint="eastAsia"/>
              </w:rPr>
            </w:pPr>
            <w:r>
              <w:rPr>
                <w:rFonts w:hint="eastAsia"/>
              </w:rPr>
              <w:t>数据安全</w:t>
            </w:r>
          </w:p>
        </w:tc>
        <w:tc>
          <w:tcPr>
            <w:tcW w:w="1867" w:type="dxa"/>
            <w:shd w:val="clear" w:color="auto" w:fill="auto"/>
          </w:tcPr>
          <w:p w14:paraId="06F9119C">
            <w:pPr>
              <w:pStyle w:val="178"/>
              <w:rPr>
                <w:rFonts w:hint="eastAsia"/>
              </w:rPr>
            </w:pPr>
            <w:r>
              <w:rPr>
                <w:rFonts w:hint="eastAsia"/>
              </w:rPr>
              <w:t>通信加密、权限控制</w:t>
            </w:r>
          </w:p>
        </w:tc>
        <w:tc>
          <w:tcPr>
            <w:tcW w:w="1867" w:type="dxa"/>
            <w:shd w:val="clear" w:color="auto" w:fill="auto"/>
          </w:tcPr>
          <w:p w14:paraId="1C2537C9">
            <w:pPr>
              <w:pStyle w:val="178"/>
              <w:rPr>
                <w:rFonts w:hint="eastAsia"/>
              </w:rPr>
            </w:pPr>
            <w:r>
              <w:rPr>
                <w:rFonts w:hint="eastAsia"/>
              </w:rPr>
              <w:t>SSL/TLS加密、访问审批</w:t>
            </w:r>
          </w:p>
        </w:tc>
        <w:tc>
          <w:tcPr>
            <w:tcW w:w="1867" w:type="dxa"/>
            <w:shd w:val="clear" w:color="auto" w:fill="auto"/>
          </w:tcPr>
          <w:p w14:paraId="5AD9D0A4">
            <w:pPr>
              <w:pStyle w:val="178"/>
              <w:rPr>
                <w:rFonts w:hint="eastAsia"/>
              </w:rPr>
            </w:pPr>
            <w:r>
              <w:rPr>
                <w:rFonts w:hint="eastAsia"/>
              </w:rPr>
              <w:t>信息技术部</w:t>
            </w:r>
          </w:p>
        </w:tc>
        <w:tc>
          <w:tcPr>
            <w:tcW w:w="1867" w:type="dxa"/>
            <w:shd w:val="clear" w:color="auto" w:fill="auto"/>
          </w:tcPr>
          <w:p w14:paraId="71260D60">
            <w:pPr>
              <w:pStyle w:val="178"/>
              <w:rPr>
                <w:rFonts w:hint="eastAsia"/>
              </w:rPr>
            </w:pPr>
            <w:r>
              <w:rPr>
                <w:rFonts w:hint="eastAsia"/>
              </w:rPr>
              <w:t>每季度</w:t>
            </w:r>
          </w:p>
        </w:tc>
      </w:tr>
      <w:tr w14:paraId="70331F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tcPr>
          <w:p w14:paraId="232B9FAC">
            <w:pPr>
              <w:pStyle w:val="178"/>
              <w:rPr>
                <w:rFonts w:hint="eastAsia"/>
              </w:rPr>
            </w:pPr>
            <w:r>
              <w:rPr>
                <w:rFonts w:hint="eastAsia"/>
              </w:rPr>
              <w:t>环境防护</w:t>
            </w:r>
          </w:p>
        </w:tc>
        <w:tc>
          <w:tcPr>
            <w:tcW w:w="1867" w:type="dxa"/>
            <w:shd w:val="clear" w:color="auto" w:fill="auto"/>
          </w:tcPr>
          <w:p w14:paraId="5B9961C0">
            <w:pPr>
              <w:pStyle w:val="178"/>
              <w:rPr>
                <w:rFonts w:hint="eastAsia"/>
              </w:rPr>
            </w:pPr>
            <w:r>
              <w:rPr>
                <w:rFonts w:hint="eastAsia"/>
              </w:rPr>
              <w:t>废弃物处理、防泄漏</w:t>
            </w:r>
          </w:p>
        </w:tc>
        <w:tc>
          <w:tcPr>
            <w:tcW w:w="1867" w:type="dxa"/>
            <w:shd w:val="clear" w:color="auto" w:fill="auto"/>
          </w:tcPr>
          <w:p w14:paraId="2647DB8B">
            <w:pPr>
              <w:pStyle w:val="178"/>
              <w:rPr>
                <w:rFonts w:hint="eastAsia"/>
              </w:rPr>
            </w:pPr>
            <w:r>
              <w:rPr>
                <w:rFonts w:hint="eastAsia"/>
              </w:rPr>
              <w:t>防渗托盘、密封容器</w:t>
            </w:r>
          </w:p>
        </w:tc>
        <w:tc>
          <w:tcPr>
            <w:tcW w:w="1867" w:type="dxa"/>
            <w:shd w:val="clear" w:color="auto" w:fill="auto"/>
          </w:tcPr>
          <w:p w14:paraId="2DBE2057">
            <w:pPr>
              <w:pStyle w:val="178"/>
              <w:rPr>
                <w:rFonts w:hint="eastAsia"/>
              </w:rPr>
            </w:pPr>
            <w:r>
              <w:rPr>
                <w:rFonts w:hint="eastAsia"/>
              </w:rPr>
              <w:t>环保管理部</w:t>
            </w:r>
          </w:p>
        </w:tc>
        <w:tc>
          <w:tcPr>
            <w:tcW w:w="1867" w:type="dxa"/>
            <w:shd w:val="clear" w:color="auto" w:fill="auto"/>
          </w:tcPr>
          <w:p w14:paraId="71EB6FF6">
            <w:pPr>
              <w:pStyle w:val="178"/>
              <w:rPr>
                <w:rFonts w:hint="eastAsia"/>
              </w:rPr>
            </w:pPr>
            <w:r>
              <w:rPr>
                <w:rFonts w:hint="eastAsia"/>
              </w:rPr>
              <w:t>每月</w:t>
            </w:r>
          </w:p>
        </w:tc>
      </w:tr>
      <w:bookmarkEnd w:id="26"/>
    </w:tbl>
    <w:p w14:paraId="636B788D">
      <w:pPr>
        <w:pStyle w:val="56"/>
        <w:spacing w:line="360" w:lineRule="auto"/>
        <w:ind w:firstLine="0" w:firstLineChars="0"/>
        <w:jc w:val="center"/>
        <w:rPr>
          <w:rFonts w:hint="eastAsia"/>
        </w:rPr>
      </w:pPr>
      <w:bookmarkStart w:id="57" w:name="BookMark8"/>
      <w:r>
        <w:rPr>
          <w:rFonts w:hint="eastAsia"/>
        </w:rPr>
        <w:drawing>
          <wp:inline distT="0" distB="0" distL="0" distR="0">
            <wp:extent cx="1485900" cy="317500"/>
            <wp:effectExtent l="0" t="0" r="0" b="6350"/>
            <wp:docPr id="1628958277" name="图片 1"/>
            <wp:cNvGraphicFramePr/>
            <a:graphic xmlns:a="http://schemas.openxmlformats.org/drawingml/2006/main">
              <a:graphicData uri="http://schemas.openxmlformats.org/drawingml/2006/picture">
                <pic:pic xmlns:pic="http://schemas.openxmlformats.org/drawingml/2006/picture">
                  <pic:nvPicPr>
                    <pic:cNvPr id="1628958277" name="图片 1"/>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C5324">
    <w:pPr>
      <w:pStyle w:val="51"/>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400FB">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269DA">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FA138">
    <w:pPr>
      <w:pStyle w:val="5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5BA60">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C6FF1">
    <w:pPr>
      <w:pStyle w:val="51"/>
    </w:pPr>
    <w:r>
      <w:fldChar w:fldCharType="begin"/>
    </w:r>
    <w:r>
      <w:instrText xml:space="preserve"> PAGE   \* MERGEFORMAT \* MERGEFORMAT </w:instrText>
    </w:r>
    <w:r>
      <w:fldChar w:fldCharType="separate"/>
    </w:r>
    <w: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6A687">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A2F73">
    <w:pPr>
      <w:pStyle w:val="62"/>
    </w:pPr>
    <w:r>
      <w:fldChar w:fldCharType="begin"/>
    </w:r>
    <w:r>
      <w:instrText xml:space="preserve"> STYLEREF  标准文件_文件编号 \* MERGEFORMAT </w:instrText>
    </w:r>
    <w:r>
      <w:fldChar w:fldCharType="separate"/>
    </w:r>
    <w:r>
      <w:t>T/XJBX 0069—2025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T/XJBX 0069—2025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fldChar w:fldCharType="begin"/>
    </w:r>
    <w:r>
      <w:instrText xml:space="preserve"> STYLEREF  标准文件_文件编号 \* MERGEFORMAT </w:instrText>
    </w:r>
    <w:r>
      <w:fldChar w:fldCharType="separate"/>
    </w:r>
    <w:r>
      <w:t>T/XJBX 0069—2025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24690">
    <w:pPr>
      <w:pStyle w:val="61"/>
    </w:pPr>
    <w:r>
      <w:fldChar w:fldCharType="begin"/>
    </w:r>
    <w:r>
      <w:instrText xml:space="preserve"> STYLEREF  标准文件_文件编号  \* MERGEFORMAT </w:instrText>
    </w:r>
    <w:r>
      <w:fldChar w:fldCharType="separate"/>
    </w:r>
    <w:r>
      <w:t>T/XJBX 0069—2025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72CC0">
    <w:pPr>
      <w:pStyle w:val="62"/>
    </w:pPr>
    <w:r>
      <w:fldChar w:fldCharType="begin"/>
    </w:r>
    <w:r>
      <w:instrText xml:space="preserve"> STYLEREF  标准文件_文件编号 \* MERGEFORMAT </w:instrText>
    </w:r>
    <w:r>
      <w:fldChar w:fldCharType="separate"/>
    </w:r>
    <w:r>
      <w:t>T/XJBX 0069—2025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6D256">
    <w:pPr>
      <w:pStyle w:val="61"/>
    </w:pPr>
    <w:r>
      <w:fldChar w:fldCharType="begin"/>
    </w:r>
    <w:r>
      <w:instrText xml:space="preserve"> STYLEREF  标准文件_文件编号  \* MERGEFORMAT </w:instrText>
    </w:r>
    <w:r>
      <w:fldChar w:fldCharType="separate"/>
    </w:r>
    <w:r>
      <w:t>T/XJBX 0069—2025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CBAD8">
    <w:pPr>
      <w:pStyle w:val="62"/>
    </w:pPr>
    <w:r>
      <w:fldChar w:fldCharType="begin"/>
    </w:r>
    <w:r>
      <w:instrText xml:space="preserve"> STYLEREF  标准文件_文件编号 \* MERGEFORMAT </w:instrText>
    </w:r>
    <w:r>
      <w:fldChar w:fldCharType="separate"/>
    </w:r>
    <w:r>
      <w:t>T/XJBX 0069—2025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CFDF8">
    <w:pPr>
      <w:pStyle w:val="61"/>
    </w:pPr>
    <w:r>
      <w:fldChar w:fldCharType="begin"/>
    </w:r>
    <w:r>
      <w:instrText xml:space="preserve"> STYLEREF  标准文件_文件编号  \* MERGEFORMAT </w:instrText>
    </w:r>
    <w:r>
      <w:fldChar w:fldCharType="separate"/>
    </w:r>
    <w:r>
      <w:t>T/XJBX 0069—2025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6F08"/>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4A7E"/>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0722"/>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3DA8"/>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B913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64B0E1B0">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5833186F">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53972382">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2E0C28"/>
    <w:rsid w:val="00744252"/>
    <w:rsid w:val="00AE1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12FB321F5A4443D9AFC61825E0F0C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15</Pages>
  <Words>4738</Words>
  <Characters>5010</Characters>
  <Lines>46</Lines>
  <Paragraphs>12</Paragraphs>
  <TotalTime>32</TotalTime>
  <ScaleCrop>false</ScaleCrop>
  <LinksUpToDate>false</LinksUpToDate>
  <CharactersWithSpaces>5097</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2025-08-08T02:30:00Z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2025-08-11T06:32:52Z</dcterms:modified>
  <dc:title>团体标准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2052-12.1.0.22483</vt:lpwstr>
  </property>
  <property fmtid="{D5CDD505-2E9C-101B-9397-08002B2CF9AE}" pid="17" name="ICV">
    <vt:lpwstr>33A983D273434549BB2E8F1AC6B9106E_12</vt:lpwstr>
  </property>
</Properties>
</file>