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1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5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50</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7"/>
            </w:textInput>
          </w:ffData>
        </w:fldChar>
      </w:r>
      <w:bookmarkStart w:id="6" w:name="NSTD_CODE_F"/>
      <w:r>
        <w:instrText xml:space="preserve"> FORMTEXT </w:instrText>
      </w:r>
      <w:r>
        <w:fldChar w:fldCharType="separate"/>
      </w:r>
      <w:r>
        <w:t>0067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检验检测机构数据溯源操作指引"/>
            </w:textInput>
          </w:ffData>
        </w:fldChar>
      </w:r>
      <w:bookmarkStart w:id="9" w:name="CSTD_NAME"/>
      <w:r>
        <w:instrText xml:space="preserve"> FORMTEXT </w:instrText>
      </w:r>
      <w:r>
        <w:fldChar w:fldCharType="separate"/>
      </w:r>
      <w:r>
        <w:t>检验检测机构数据溯源操作指引</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data traceability operations in inspection and testing institution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data traceability operations in inspection and testing institutions</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F49F617">
      <w:pPr>
        <w:pStyle w:val="91"/>
        <w:spacing w:after="360"/>
        <w:rPr>
          <w:rFonts w:hint="eastAsia"/>
        </w:rPr>
      </w:pPr>
      <w:bookmarkStart w:id="21" w:name="BookMark1"/>
      <w:r>
        <w:rPr>
          <w:rFonts w:hint="eastAsia"/>
          <w:spacing w:val="320"/>
        </w:rPr>
        <w:t>目</w:t>
      </w:r>
      <w:r>
        <w:rPr>
          <w:rFonts w:hint="eastAsia"/>
        </w:rPr>
        <w:t>次</w:t>
      </w:r>
    </w:p>
    <w:p w14:paraId="5D134EE8">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"_Toc205750094" </w:instrText>
      </w:r>
      <w:r>
        <w:fldChar w:fldCharType="separate"/>
      </w:r>
      <w:r>
        <w:rPr>
          <w:rStyle w:val="32"/>
        </w:rPr>
        <w:t>前言</w:t>
      </w:r>
      <w:r>
        <w:tab/>
      </w:r>
      <w:r>
        <w:fldChar w:fldCharType="begin"/>
      </w:r>
      <w:r>
        <w:instrText xml:space="preserve"> PAGEREF _Toc205750094 \h </w:instrText>
      </w:r>
      <w:r>
        <w:fldChar w:fldCharType="separate"/>
      </w:r>
      <w:r>
        <w:t>III</w:t>
      </w:r>
      <w:r>
        <w:fldChar w:fldCharType="end"/>
      </w:r>
      <w:r>
        <w:fldChar w:fldCharType="end"/>
      </w:r>
    </w:p>
    <w:p w14:paraId="48C71098">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"_Toc205750095" </w:instrText>
      </w:r>
      <w:r>
        <w:fldChar w:fldCharType="separate"/>
      </w:r>
      <w:r>
        <w:rPr>
          <w:rStyle w:val="32"/>
        </w:rPr>
        <w:t>引言</w:t>
      </w:r>
      <w:r>
        <w:tab/>
      </w:r>
      <w:r>
        <w:fldChar w:fldCharType="begin"/>
      </w:r>
      <w:r>
        <w:instrText xml:space="preserve"> PAGEREF _Toc205750095 \h </w:instrText>
      </w:r>
      <w:r>
        <w:fldChar w:fldCharType="separate"/>
      </w:r>
      <w:r>
        <w:t>V</w:t>
      </w:r>
      <w:r>
        <w:fldChar w:fldCharType="end"/>
      </w:r>
      <w:r>
        <w:fldChar w:fldCharType="end"/>
      </w:r>
    </w:p>
    <w:p w14:paraId="17D469CB">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"_Toc205750096" </w:instrText>
      </w:r>
      <w:r>
        <w:fldChar w:fldCharType="separate"/>
      </w:r>
      <w:r>
        <w:rPr>
          <w:rStyle w:val="32"/>
        </w:rPr>
        <w:t>1  范围</w:t>
      </w:r>
      <w:r>
        <w:tab/>
      </w:r>
      <w:r>
        <w:fldChar w:fldCharType="begin"/>
      </w:r>
      <w:r>
        <w:instrText xml:space="preserve"> PAGEREF _Toc205750096 \h </w:instrText>
      </w:r>
      <w:r>
        <w:fldChar w:fldCharType="separate"/>
      </w:r>
      <w:r>
        <w:t>1</w:t>
      </w:r>
      <w:r>
        <w:fldChar w:fldCharType="end"/>
      </w:r>
      <w:r>
        <w:fldChar w:fldCharType="end"/>
      </w:r>
    </w:p>
    <w:p w14:paraId="4AEB4AAA">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"_Toc205750097" </w:instrText>
      </w:r>
      <w:r>
        <w:fldChar w:fldCharType="separate"/>
      </w:r>
      <w:r>
        <w:rPr>
          <w:rStyle w:val="32"/>
        </w:rPr>
        <w:t>2  规范性引用文件</w:t>
      </w:r>
      <w:r>
        <w:tab/>
      </w:r>
      <w:r>
        <w:fldChar w:fldCharType="begin"/>
      </w:r>
      <w:r>
        <w:instrText xml:space="preserve"> PAGEREF _Toc205750097 \h </w:instrText>
      </w:r>
      <w:r>
        <w:fldChar w:fldCharType="separate"/>
      </w:r>
      <w:r>
        <w:t>1</w:t>
      </w:r>
      <w:r>
        <w:fldChar w:fldCharType="end"/>
      </w:r>
      <w:r>
        <w:fldChar w:fldCharType="end"/>
      </w:r>
    </w:p>
    <w:p w14:paraId="3F9C4542">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"_Toc205750098" </w:instrText>
      </w:r>
      <w:r>
        <w:fldChar w:fldCharType="separate"/>
      </w:r>
      <w:r>
        <w:rPr>
          <w:rStyle w:val="32"/>
        </w:rPr>
        <w:t>3  术语和定义</w:t>
      </w:r>
      <w:r>
        <w:tab/>
      </w:r>
      <w:r>
        <w:fldChar w:fldCharType="begin"/>
      </w:r>
      <w:r>
        <w:instrText xml:space="preserve"> PAGEREF _Toc205750098 \h </w:instrText>
      </w:r>
      <w:r>
        <w:fldChar w:fldCharType="separate"/>
      </w:r>
      <w:r>
        <w:t>1</w:t>
      </w:r>
      <w:r>
        <w:fldChar w:fldCharType="end"/>
      </w:r>
      <w:r>
        <w:fldChar w:fldCharType="end"/>
      </w:r>
    </w:p>
    <w:p w14:paraId="6919C539">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"_Toc205750099" </w:instrText>
      </w:r>
      <w:r>
        <w:fldChar w:fldCharType="separate"/>
      </w:r>
      <w:r>
        <w:rPr>
          <w:rStyle w:val="32"/>
        </w:rPr>
        <w:t>4  总体要求</w:t>
      </w:r>
      <w:r>
        <w:tab/>
      </w:r>
      <w:r>
        <w:fldChar w:fldCharType="begin"/>
      </w:r>
      <w:r>
        <w:instrText xml:space="preserve"> PAGEREF _Toc205750099 \h </w:instrText>
      </w:r>
      <w:r>
        <w:fldChar w:fldCharType="separate"/>
      </w:r>
      <w:r>
        <w:t>2</w:t>
      </w:r>
      <w:r>
        <w:fldChar w:fldCharType="end"/>
      </w:r>
      <w:r>
        <w:fldChar w:fldCharType="end"/>
      </w:r>
    </w:p>
    <w:p w14:paraId="1CB00A27">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"_Toc205750100" </w:instrText>
      </w:r>
      <w:r>
        <w:fldChar w:fldCharType="separate"/>
      </w:r>
      <w:r>
        <w:rPr>
          <w:rStyle w:val="32"/>
        </w:rPr>
        <w:t>5  数据溯源流程</w:t>
      </w:r>
      <w:r>
        <w:tab/>
      </w:r>
      <w:r>
        <w:fldChar w:fldCharType="begin"/>
      </w:r>
      <w:r>
        <w:instrText xml:space="preserve"> PAGEREF _Toc205750100 \h </w:instrText>
      </w:r>
      <w:r>
        <w:fldChar w:fldCharType="separate"/>
      </w:r>
      <w:r>
        <w:t>3</w:t>
      </w:r>
      <w:r>
        <w:fldChar w:fldCharType="end"/>
      </w:r>
      <w:r>
        <w:fldChar w:fldCharType="end"/>
      </w:r>
    </w:p>
    <w:p w14:paraId="288249F8">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"_Toc205750101" </w:instrText>
      </w:r>
      <w:r>
        <w:fldChar w:fldCharType="separate"/>
      </w:r>
      <w:r>
        <w:rPr>
          <w:rStyle w:val="32"/>
        </w:rPr>
        <w:t>6  技术方法与实现要求</w:t>
      </w:r>
      <w:r>
        <w:tab/>
      </w:r>
      <w:r>
        <w:fldChar w:fldCharType="begin"/>
      </w:r>
      <w:r>
        <w:instrText xml:space="preserve"> PAGEREF _Toc205750101 \h </w:instrText>
      </w:r>
      <w:r>
        <w:fldChar w:fldCharType="separate"/>
      </w:r>
      <w:r>
        <w:t>4</w:t>
      </w:r>
      <w:r>
        <w:fldChar w:fldCharType="end"/>
      </w:r>
      <w:r>
        <w:fldChar w:fldCharType="end"/>
      </w:r>
    </w:p>
    <w:p w14:paraId="295C73BB">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"_Toc205750102" </w:instrText>
      </w:r>
      <w:r>
        <w:fldChar w:fldCharType="separate"/>
      </w:r>
      <w:r>
        <w:rPr>
          <w:rStyle w:val="32"/>
        </w:rPr>
        <w:t>7  管理与监督</w:t>
      </w:r>
      <w:r>
        <w:tab/>
      </w:r>
      <w:r>
        <w:fldChar w:fldCharType="begin"/>
      </w:r>
      <w:r>
        <w:instrText xml:space="preserve"> PAGEREF _Toc205750102 \h </w:instrText>
      </w:r>
      <w:r>
        <w:fldChar w:fldCharType="separate"/>
      </w:r>
      <w:r>
        <w:t>5</w:t>
      </w:r>
      <w:r>
        <w:fldChar w:fldCharType="end"/>
      </w:r>
      <w:r>
        <w:fldChar w:fldCharType="end"/>
      </w:r>
    </w:p>
    <w:p w14:paraId="5AD08F18">
      <w:pPr>
        <w:pStyle w:val="19"/>
        <w:tabs>
          <w:tab w:val="right" w:leader="dot" w:pos="9344"/>
        </w:tabs>
        <w:rPr>
          <w:rFonts w:asciiTheme="minorHAnsi" w:hAnsiTheme="minorHAnsi" w:eastAsiaTheme="minorEastAsia" w:cstheme="minorBidi"/>
          <w:szCs w:val="22"/>
        </w:rPr>
      </w:pPr>
      <w:r>
        <w:fldChar w:fldCharType="begin"/>
      </w:r>
      <w:r>
        <w:instrText xml:space="preserve"> HYPERLINK \l "_Toc205750103" </w:instrText>
      </w:r>
      <w:r>
        <w:fldChar w:fldCharType="separate"/>
      </w:r>
      <w:r>
        <w:rPr>
          <w:rStyle w:val="32"/>
        </w:rPr>
        <w:t>8  应急响应与风险管理</w:t>
      </w:r>
      <w:r>
        <w:tab/>
      </w:r>
      <w:r>
        <w:fldChar w:fldCharType="begin"/>
      </w:r>
      <w:r>
        <w:instrText xml:space="preserve"> PAGEREF _Toc205750103 \h </w:instrText>
      </w:r>
      <w:r>
        <w:fldChar w:fldCharType="separate"/>
      </w:r>
      <w:r>
        <w:t>6</w:t>
      </w:r>
      <w:r>
        <w:fldChar w:fldCharType="end"/>
      </w:r>
      <w:r>
        <w:fldChar w:fldCharType="end"/>
      </w:r>
    </w:p>
    <w:p w14:paraId="0C9C695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5009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本文件起草单位：那曲市检验检测中心。</w:t>
      </w:r>
    </w:p>
    <w:p w14:paraId="55F4A5D1">
      <w:pPr>
        <w:pStyle w:val="56"/>
        <w:spacing w:line="360" w:lineRule="auto"/>
        <w:ind w:firstLine="420"/>
      </w:pPr>
      <w:r>
        <w:rPr>
          <w:rFonts w:hint="eastAsia"/>
        </w:rPr>
        <w:t>本文件主要起草人：安亚彬。</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3"/>
    <w:p w14:paraId="66D0A2F3">
      <w:pPr>
        <w:pStyle w:val="89"/>
        <w:spacing w:after="360"/>
      </w:pPr>
      <w:bookmarkStart w:id="24" w:name="_Toc205750095"/>
      <w:bookmarkStart w:id="25" w:name="BookMark3"/>
      <w:r>
        <w:rPr>
          <w:spacing w:val="320"/>
        </w:rPr>
        <w:t>引</w:t>
      </w:r>
      <w:r>
        <w:t>言</w:t>
      </w:r>
      <w:bookmarkEnd w:id="24"/>
    </w:p>
    <w:p w14:paraId="47519B90">
      <w:pPr>
        <w:pStyle w:val="56"/>
        <w:spacing w:line="360" w:lineRule="auto"/>
        <w:ind w:firstLine="420"/>
        <w:rPr>
          <w:rFonts w:hint="eastAsia"/>
        </w:rPr>
      </w:pPr>
      <w:r>
        <w:rPr>
          <w:rFonts w:hint="eastAsia"/>
        </w:rPr>
        <w:t>在检验检测活动中，数据的真实性、完整性和可追溯性是保证检测结果科学性、公正性和权威性的核心要素。随着信息化、数字化技术的广泛应用，检验检测机构在数据采集、处理、传输、存储及归档等环节面临着数据来源不明、过程记录不全、信息篡改风险增加等问题。这不仅影响检测结论的可靠性，也可能导致监管审查或法律诉讼中的证据链缺失。</w:t>
      </w:r>
    </w:p>
    <w:p w14:paraId="78FF7517">
      <w:pPr>
        <w:pStyle w:val="56"/>
        <w:spacing w:line="360" w:lineRule="auto"/>
        <w:ind w:firstLine="420"/>
        <w:rPr>
          <w:rFonts w:hint="eastAsia"/>
        </w:rPr>
      </w:pPr>
      <w:r>
        <w:rPr>
          <w:rFonts w:hint="eastAsia"/>
        </w:rPr>
        <w:t>数据溯源是指通过记录与追踪数据在产生、处理、传输及保存全过程中的关键信息，实现对数据来源、处理过程及使用情况的可验证性与可重现性。通过建立系统化、标准化的数据溯源管理体系，检验检测机构不仅能够提升检测结果的可信度和重现性，还能有效满足监管部门、客户及行业对数据合规性和透明度的要求。</w:t>
      </w:r>
    </w:p>
    <w:p w14:paraId="7F4A69FE">
      <w:pPr>
        <w:pStyle w:val="56"/>
        <w:spacing w:line="360" w:lineRule="auto"/>
        <w:ind w:firstLine="420"/>
      </w:pPr>
      <w:r>
        <w:rPr>
          <w:rFonts w:hint="eastAsia"/>
        </w:rPr>
        <w:t>本文件指引结合检验检测领域的实际需求与信息化发展趋势，参考国内外相关标准与最佳实践，对数据溯源的原则、流程、技术方法和管理措施进行规范，明确从数据采集到归档全过程的操作要求，指导检验检测机构建立可验证、可复现、可审计的数据溯源体系，保障检测活动的科学性、规范性和可追溯性。</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检验检测机构数据溯源操作指引</w:t>
          </w:r>
        </w:p>
      </w:sdtContent>
    </w:sdt>
    <w:bookmarkEnd w:id="27"/>
    <w:p w14:paraId="3DB22445">
      <w:pPr>
        <w:pStyle w:val="104"/>
        <w:spacing w:before="240" w:after="240" w:line="360" w:lineRule="auto"/>
      </w:pPr>
      <w:bookmarkStart w:id="28" w:name="_Toc24884211"/>
      <w:bookmarkStart w:id="29" w:name="_Toc24884218"/>
      <w:bookmarkStart w:id="30" w:name="_Toc17233333"/>
      <w:bookmarkStart w:id="31" w:name="_Toc26648465"/>
      <w:bookmarkStart w:id="32" w:name="_Toc17233325"/>
      <w:bookmarkStart w:id="33" w:name="_Toc26718930"/>
      <w:bookmarkStart w:id="34" w:name="_Toc26986530"/>
      <w:bookmarkStart w:id="35" w:name="_Toc26986771"/>
      <w:bookmarkStart w:id="36" w:name="_Toc97192964"/>
      <w:bookmarkStart w:id="37" w:name="_Toc205750096"/>
      <w:r>
        <w:rPr>
          <w:rFonts w:hint="eastAsia"/>
        </w:rPr>
        <w:t>范围</w:t>
      </w:r>
      <w:bookmarkEnd w:id="28"/>
      <w:bookmarkEnd w:id="29"/>
      <w:bookmarkEnd w:id="30"/>
      <w:bookmarkEnd w:id="31"/>
      <w:bookmarkEnd w:id="32"/>
      <w:bookmarkEnd w:id="33"/>
      <w:bookmarkEnd w:id="34"/>
      <w:bookmarkEnd w:id="35"/>
      <w:bookmarkEnd w:id="36"/>
      <w:bookmarkEnd w:id="37"/>
    </w:p>
    <w:p w14:paraId="0D0F41C1">
      <w:pPr>
        <w:pStyle w:val="56"/>
        <w:spacing w:line="360" w:lineRule="auto"/>
        <w:ind w:firstLine="420"/>
        <w:rPr>
          <w:rFonts w:hint="eastAsia"/>
        </w:rPr>
      </w:pPr>
      <w:bookmarkStart w:id="38" w:name="_Toc17233326"/>
      <w:bookmarkStart w:id="39" w:name="_Toc17233334"/>
      <w:bookmarkStart w:id="40" w:name="_Toc24884212"/>
      <w:bookmarkStart w:id="41" w:name="_Toc24884219"/>
      <w:bookmarkStart w:id="42" w:name="_Toc26648466"/>
      <w:r>
        <w:rPr>
          <w:rFonts w:hint="eastAsia"/>
        </w:rPr>
        <w:t>本文件规定了检验检测机构在数据溯源管理中的总体要求、原则、流程、技术方法及管理措施，涵盖数据采集、传输、处理、分析、存储、归档及调用等环节的操作规范。</w:t>
      </w:r>
    </w:p>
    <w:p w14:paraId="2C2923A1">
      <w:pPr>
        <w:pStyle w:val="56"/>
        <w:spacing w:line="360" w:lineRule="auto"/>
        <w:ind w:firstLine="420"/>
        <w:rPr>
          <w:rFonts w:hint="eastAsia"/>
        </w:rPr>
      </w:pPr>
      <w:r>
        <w:rPr>
          <w:rFonts w:hint="eastAsia"/>
        </w:rPr>
        <w:t>本文件适用于各类从事检验检测活动的机构，包括但不限于质量检验机构、环境监测机构、食品检测机构、医疗检测实验室、计量检定机构等。本文件亦适用于相关行业管理部门、认证认可机构在监督、评审和技术指导过程中对数据溯源工作的参考。</w:t>
      </w:r>
    </w:p>
    <w:p w14:paraId="76265264">
      <w:pPr>
        <w:pStyle w:val="56"/>
        <w:spacing w:line="360" w:lineRule="auto"/>
        <w:ind w:firstLine="420"/>
      </w:pPr>
      <w:r>
        <w:rPr>
          <w:rFonts w:hint="eastAsia"/>
        </w:rPr>
        <w:t>本文件可为检验检测机构在建立或完善数据溯源体系时提供操作性指导，也可为信息系统开发商、数据管理服务提供商在设计和实施数据溯源功能时提供技术参考。</w:t>
      </w:r>
    </w:p>
    <w:p w14:paraId="3733B2AD">
      <w:pPr>
        <w:pStyle w:val="104"/>
        <w:spacing w:before="240" w:after="240" w:line="360" w:lineRule="auto"/>
      </w:pPr>
      <w:bookmarkStart w:id="43" w:name="_Toc26718931"/>
      <w:bookmarkStart w:id="44" w:name="_Toc26986531"/>
      <w:bookmarkStart w:id="45" w:name="_Toc26986772"/>
      <w:bookmarkStart w:id="46" w:name="_Toc97192965"/>
      <w:bookmarkStart w:id="47" w:name="_Toc205750097"/>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96B9B2">
      <w:pPr>
        <w:pStyle w:val="56"/>
        <w:spacing w:line="360" w:lineRule="auto"/>
        <w:ind w:firstLine="420"/>
      </w:pPr>
      <w:r>
        <w:t>GB/T 22239</w:t>
      </w:r>
      <w:r>
        <w:rPr>
          <w:rFonts w:hint="eastAsia"/>
        </w:rPr>
        <w:t>—2019</w:t>
      </w:r>
      <w:r>
        <w:t xml:space="preserve"> </w:t>
      </w:r>
      <w:r>
        <w:rPr>
          <w:rFonts w:hint="eastAsia"/>
        </w:rPr>
        <w:t>信息安全技术</w:t>
      </w:r>
      <w:r>
        <w:t xml:space="preserve">  </w:t>
      </w:r>
      <w:r>
        <w:rPr>
          <w:rFonts w:hint="eastAsia"/>
        </w:rPr>
        <w:t>网络安全等级保护基本要求</w:t>
      </w:r>
    </w:p>
    <w:p w14:paraId="719513A1">
      <w:pPr>
        <w:pStyle w:val="56"/>
        <w:spacing w:line="360" w:lineRule="auto"/>
        <w:ind w:firstLine="420"/>
      </w:pPr>
      <w:r>
        <w:t>GB/T 27025</w:t>
      </w:r>
      <w:r>
        <w:rPr>
          <w:rFonts w:hint="eastAsia"/>
        </w:rPr>
        <w:t>—2019</w:t>
      </w:r>
      <w:r>
        <w:t xml:space="preserve"> </w:t>
      </w:r>
      <w:r>
        <w:rPr>
          <w:rFonts w:hint="eastAsia"/>
        </w:rPr>
        <w:t>检测和校准实验室能力通用要求</w:t>
      </w:r>
    </w:p>
    <w:p w14:paraId="251DF8E6">
      <w:pPr>
        <w:pStyle w:val="56"/>
        <w:spacing w:line="360" w:lineRule="auto"/>
        <w:ind w:firstLine="420"/>
      </w:pPr>
      <w:r>
        <w:rPr>
          <w:rFonts w:hint="eastAsia"/>
        </w:rPr>
        <w:t>GB/T 35273—2020 信息安全技术  个人信息安全规范</w:t>
      </w:r>
    </w:p>
    <w:p w14:paraId="38D60F54">
      <w:pPr>
        <w:pStyle w:val="56"/>
        <w:spacing w:line="360" w:lineRule="auto"/>
        <w:ind w:firstLine="420"/>
      </w:pPr>
      <w:r>
        <w:t>GB/T 37988</w:t>
      </w:r>
      <w:r>
        <w:rPr>
          <w:rFonts w:hint="eastAsia"/>
        </w:rPr>
        <w:t>—2019</w:t>
      </w:r>
      <w:r>
        <w:t xml:space="preserve"> </w:t>
      </w:r>
      <w:r>
        <w:rPr>
          <w:rFonts w:hint="eastAsia"/>
        </w:rPr>
        <w:t>信息安全技术</w:t>
      </w:r>
      <w:r>
        <w:t xml:space="preserve">  </w:t>
      </w:r>
      <w:r>
        <w:rPr>
          <w:rFonts w:hint="eastAsia"/>
        </w:rPr>
        <w:t>数据安全能力成熟度模型</w:t>
      </w:r>
    </w:p>
    <w:p w14:paraId="07A7F860">
      <w:pPr>
        <w:pStyle w:val="56"/>
        <w:spacing w:line="360" w:lineRule="auto"/>
        <w:ind w:firstLine="420"/>
      </w:pPr>
      <w:r>
        <w:t>GB/T 414</w:t>
      </w:r>
      <w:r>
        <w:rPr>
          <w:rFonts w:hint="eastAsia"/>
        </w:rPr>
        <w:t>79—2022</w:t>
      </w:r>
      <w:r>
        <w:t xml:space="preserve"> </w:t>
      </w:r>
      <w:r>
        <w:rPr>
          <w:rFonts w:hint="eastAsia"/>
        </w:rPr>
        <w:t xml:space="preserve">信息安全技术 </w:t>
      </w:r>
      <w:r>
        <w:t xml:space="preserve"> </w:t>
      </w:r>
      <w:r>
        <w:rPr>
          <w:rFonts w:hint="eastAsia"/>
        </w:rPr>
        <w:t>网络数据处理安全要求</w:t>
      </w:r>
    </w:p>
    <w:p w14:paraId="51F02A4E">
      <w:pPr>
        <w:pStyle w:val="104"/>
        <w:spacing w:before="240" w:after="240" w:line="360" w:lineRule="auto"/>
      </w:pPr>
      <w:bookmarkStart w:id="48" w:name="_Toc97192966"/>
      <w:bookmarkStart w:id="49" w:name="_Toc20575009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41AEAD2">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数据溯源 data traceability</w:t>
      </w:r>
    </w:p>
    <w:p w14:paraId="07AF4B5E">
      <w:pPr>
        <w:pStyle w:val="56"/>
        <w:spacing w:line="360" w:lineRule="auto"/>
        <w:ind w:firstLine="420"/>
        <w:rPr>
          <w:rFonts w:hint="eastAsia"/>
        </w:rPr>
      </w:pPr>
      <w:r>
        <w:rPr>
          <w:rFonts w:hint="eastAsia"/>
        </w:rPr>
        <w:t>通过记录与追踪数据在采集、处理、传输、存储及使用全过程中的关键信息，实现对数据来源、处理过程和使用情况的验证与重现的能力。</w:t>
      </w:r>
    </w:p>
    <w:p w14:paraId="530A9293">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数据完整性 data integrity</w:t>
      </w:r>
    </w:p>
    <w:p w14:paraId="57A60085">
      <w:pPr>
        <w:pStyle w:val="56"/>
        <w:spacing w:line="360" w:lineRule="auto"/>
        <w:ind w:firstLine="420"/>
        <w:rPr>
          <w:rFonts w:hint="eastAsia"/>
        </w:rPr>
      </w:pPr>
      <w:r>
        <w:rPr>
          <w:rFonts w:hint="eastAsia"/>
        </w:rPr>
        <w:t>数据在其全生命周期内保持准确、完整、一致且未经未经授权篡改的特性。</w:t>
      </w:r>
    </w:p>
    <w:p w14:paraId="35267F81">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元数据 metadata</w:t>
      </w:r>
    </w:p>
    <w:p w14:paraId="20F63D66">
      <w:pPr>
        <w:pStyle w:val="56"/>
        <w:spacing w:line="360" w:lineRule="auto"/>
        <w:ind w:firstLine="420"/>
        <w:rPr>
          <w:rFonts w:hint="eastAsia"/>
        </w:rPr>
      </w:pPr>
      <w:r>
        <w:rPr>
          <w:rFonts w:hint="eastAsia"/>
        </w:rPr>
        <w:t>描述数据属性、来源、结构、处理方式及使用条件的结构化信息，用于支持数据的理解、管理和溯源。</w:t>
      </w:r>
    </w:p>
    <w:p w14:paraId="4E4E7ED5">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审计追踪 audit trail</w:t>
      </w:r>
    </w:p>
    <w:p w14:paraId="34648D2B">
      <w:pPr>
        <w:pStyle w:val="56"/>
        <w:spacing w:line="360" w:lineRule="auto"/>
        <w:ind w:firstLine="420"/>
        <w:rPr>
          <w:rFonts w:hint="eastAsia"/>
        </w:rPr>
      </w:pPr>
      <w:r>
        <w:rPr>
          <w:rFonts w:hint="eastAsia"/>
        </w:rPr>
        <w:t>按时间顺序记录系统活动、数据操作和变更历史的日志集合，用于追溯和验证数据的产生与变动情况。</w:t>
      </w:r>
    </w:p>
    <w:p w14:paraId="5D7CF500">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数据版本控制 data version control</w:t>
      </w:r>
    </w:p>
    <w:p w14:paraId="1DCFD8F8">
      <w:pPr>
        <w:pStyle w:val="56"/>
        <w:spacing w:line="360" w:lineRule="auto"/>
        <w:ind w:firstLine="420"/>
        <w:rPr>
          <w:rFonts w:hint="eastAsia"/>
        </w:rPr>
      </w:pPr>
      <w:r>
        <w:rPr>
          <w:rFonts w:hint="eastAsia"/>
        </w:rPr>
        <w:t>通过记录数据在修改、更新、合并等操作过程中的版本信息，实现对不同时间点数据状态的管理和回溯。</w:t>
      </w:r>
    </w:p>
    <w:p w14:paraId="6720C36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数据生命周期 data lifecycle</w:t>
      </w:r>
    </w:p>
    <w:p w14:paraId="6EF5A4BA">
      <w:pPr>
        <w:pStyle w:val="56"/>
        <w:spacing w:line="360" w:lineRule="auto"/>
        <w:ind w:firstLine="420"/>
        <w:rPr>
          <w:rFonts w:hint="eastAsia"/>
        </w:rPr>
      </w:pPr>
      <w:r>
        <w:rPr>
          <w:rFonts w:hint="eastAsia"/>
        </w:rPr>
        <w:t>数据从产生、处理、传输、存储、使用直至归档或销毁的全过程。</w:t>
      </w:r>
    </w:p>
    <w:p w14:paraId="5EA4E98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数据安全 data security</w:t>
      </w:r>
    </w:p>
    <w:p w14:paraId="11ED0D72">
      <w:pPr>
        <w:pStyle w:val="56"/>
        <w:spacing w:line="360" w:lineRule="auto"/>
        <w:ind w:firstLine="420"/>
      </w:pPr>
      <w:r>
        <w:rPr>
          <w:rFonts w:hint="eastAsia"/>
        </w:rPr>
        <w:t>保护数据免遭未经授权的访问、泄露、篡改、破坏或丢失的能力与措施。</w:t>
      </w:r>
    </w:p>
    <w:p w14:paraId="4967828B">
      <w:pPr>
        <w:pStyle w:val="104"/>
        <w:spacing w:before="240" w:after="240" w:line="360" w:lineRule="auto"/>
        <w:rPr>
          <w:rFonts w:hint="eastAsia"/>
        </w:rPr>
      </w:pPr>
      <w:bookmarkStart w:id="51" w:name="_Toc205750099"/>
      <w:r>
        <w:rPr>
          <w:rFonts w:hint="eastAsia"/>
        </w:rPr>
        <w:t>总体要求</w:t>
      </w:r>
      <w:bookmarkEnd w:id="51"/>
    </w:p>
    <w:p w14:paraId="04265D5D">
      <w:pPr>
        <w:pStyle w:val="105"/>
        <w:spacing w:before="120" w:after="120" w:line="360" w:lineRule="auto"/>
        <w:rPr>
          <w:rFonts w:hint="eastAsia"/>
        </w:rPr>
      </w:pPr>
      <w:r>
        <w:rPr>
          <w:rFonts w:hint="eastAsia"/>
        </w:rPr>
        <w:t>原则要求</w:t>
      </w:r>
    </w:p>
    <w:p w14:paraId="4ED863B8">
      <w:pPr>
        <w:pStyle w:val="56"/>
        <w:spacing w:line="360" w:lineRule="auto"/>
        <w:ind w:firstLine="420"/>
        <w:rPr>
          <w:rFonts w:hint="eastAsia"/>
        </w:rPr>
      </w:pPr>
      <w:r>
        <w:rPr>
          <w:rFonts w:hint="eastAsia"/>
        </w:rPr>
        <w:t>检验检测机构在开展数据溯源工作时，应遵循真实性、完整性、可追溯性、安全性与合规性原则，确保检测数据全生命周期可验证、可复现，并符合相关法律法规及行业标准的要求。</w:t>
      </w:r>
    </w:p>
    <w:p w14:paraId="7F50DCF1">
      <w:pPr>
        <w:pStyle w:val="105"/>
        <w:spacing w:before="120" w:after="120" w:line="360" w:lineRule="auto"/>
        <w:rPr>
          <w:rFonts w:hint="eastAsia"/>
        </w:rPr>
      </w:pPr>
      <w:r>
        <w:rPr>
          <w:rFonts w:hint="eastAsia"/>
        </w:rPr>
        <w:t>管理体系</w:t>
      </w:r>
    </w:p>
    <w:p w14:paraId="5C38F9CB">
      <w:pPr>
        <w:pStyle w:val="56"/>
        <w:spacing w:line="360" w:lineRule="auto"/>
        <w:ind w:firstLine="420"/>
        <w:rPr>
          <w:rFonts w:hint="eastAsia"/>
        </w:rPr>
      </w:pPr>
      <w:r>
        <w:rPr>
          <w:rFonts w:hint="eastAsia"/>
        </w:rPr>
        <w:t>机构应建立覆盖数据采集、传输、处理、分析、存储、归档及调用等全过程的数据溯源管理体系，并将其纳入质量管理体系或信息安全管理体系中，确保职责明确、流程规范、责任到人。</w:t>
      </w:r>
    </w:p>
    <w:p w14:paraId="263F5771">
      <w:pPr>
        <w:pStyle w:val="105"/>
        <w:spacing w:before="120" w:after="120" w:line="360" w:lineRule="auto"/>
        <w:rPr>
          <w:rFonts w:hint="eastAsia"/>
        </w:rPr>
      </w:pPr>
      <w:r>
        <w:rPr>
          <w:rFonts w:hint="eastAsia"/>
        </w:rPr>
        <w:t>技术支撑</w:t>
      </w:r>
    </w:p>
    <w:p w14:paraId="670A4CF6">
      <w:pPr>
        <w:pStyle w:val="56"/>
        <w:spacing w:line="360" w:lineRule="auto"/>
        <w:ind w:firstLine="420"/>
        <w:rPr>
          <w:rFonts w:hint="eastAsia"/>
        </w:rPr>
      </w:pPr>
      <w:r>
        <w:rPr>
          <w:rFonts w:hint="eastAsia"/>
        </w:rPr>
        <w:t>应采用适配的信息化技术手段实现数据溯源，包括但不限于自动化记录、元数据管理、审计追踪、数据版本控制及加密存储等，确保溯源信息的准确性与不可篡改性。</w:t>
      </w:r>
    </w:p>
    <w:p w14:paraId="13ADBC59">
      <w:pPr>
        <w:pStyle w:val="105"/>
        <w:spacing w:before="120" w:after="120" w:line="360" w:lineRule="auto"/>
        <w:rPr>
          <w:rFonts w:hint="eastAsia"/>
        </w:rPr>
      </w:pPr>
      <w:r>
        <w:rPr>
          <w:rFonts w:hint="eastAsia"/>
        </w:rPr>
        <w:t>过程记录</w:t>
      </w:r>
    </w:p>
    <w:p w14:paraId="0B1F7103">
      <w:pPr>
        <w:pStyle w:val="56"/>
        <w:spacing w:line="360" w:lineRule="auto"/>
        <w:ind w:firstLine="420"/>
        <w:rPr>
          <w:rFonts w:hint="eastAsia"/>
        </w:rPr>
      </w:pPr>
      <w:r>
        <w:rPr>
          <w:rFonts w:hint="eastAsia"/>
        </w:rPr>
        <w:t>在数据产生、处理及使用的各关键环节，应同步生成且保存包含时间戳、操作者、设备标识、数据版本等信息的过程记录，以支撑事后验证和重现。</w:t>
      </w:r>
    </w:p>
    <w:p w14:paraId="2211E5B7">
      <w:pPr>
        <w:pStyle w:val="105"/>
        <w:spacing w:before="120" w:after="120" w:line="360" w:lineRule="auto"/>
        <w:rPr>
          <w:rFonts w:hint="eastAsia"/>
        </w:rPr>
      </w:pPr>
      <w:r>
        <w:rPr>
          <w:rFonts w:hint="eastAsia"/>
        </w:rPr>
        <w:t>人员培训</w:t>
      </w:r>
    </w:p>
    <w:p w14:paraId="23A65A40">
      <w:pPr>
        <w:pStyle w:val="56"/>
        <w:spacing w:line="360" w:lineRule="auto"/>
        <w:ind w:firstLine="420"/>
        <w:rPr>
          <w:rFonts w:hint="eastAsia"/>
        </w:rPr>
      </w:pPr>
      <w:r>
        <w:rPr>
          <w:rFonts w:hint="eastAsia"/>
        </w:rPr>
        <w:t>机构应定期对相关人员开展数据溯源管理与操作培训，确保人员具备数据溯源意识与技能，能够按照操作指引执行相关任务。</w:t>
      </w:r>
    </w:p>
    <w:p w14:paraId="371548AE">
      <w:pPr>
        <w:pStyle w:val="105"/>
        <w:spacing w:before="120" w:after="120" w:line="360" w:lineRule="auto"/>
        <w:rPr>
          <w:rFonts w:hint="eastAsia"/>
        </w:rPr>
      </w:pPr>
      <w:r>
        <w:rPr>
          <w:rFonts w:hint="eastAsia"/>
        </w:rPr>
        <w:t>持续改进</w:t>
      </w:r>
    </w:p>
    <w:p w14:paraId="4E298868">
      <w:pPr>
        <w:pStyle w:val="56"/>
        <w:spacing w:line="360" w:lineRule="auto"/>
        <w:ind w:firstLine="420"/>
      </w:pPr>
      <w:r>
        <w:rPr>
          <w:rFonts w:hint="eastAsia"/>
        </w:rPr>
        <w:t>应建立数据溯源体系的定期评估与优化机制，结合内部审核、外部评审及技术发展趋势，持续提升溯源管理水平和技术能力。</w:t>
      </w:r>
    </w:p>
    <w:p w14:paraId="6196E82A">
      <w:pPr>
        <w:pStyle w:val="104"/>
        <w:spacing w:before="240" w:after="240" w:line="360" w:lineRule="auto"/>
        <w:rPr>
          <w:rFonts w:hint="eastAsia"/>
        </w:rPr>
      </w:pPr>
      <w:bookmarkStart w:id="52" w:name="_Toc205750100"/>
      <w:r>
        <w:rPr>
          <w:rFonts w:hint="eastAsia"/>
        </w:rPr>
        <w:t>数据溯源流程</w:t>
      </w:r>
      <w:bookmarkEnd w:id="52"/>
    </w:p>
    <w:p w14:paraId="6E96CC95">
      <w:pPr>
        <w:pStyle w:val="56"/>
        <w:spacing w:line="360" w:lineRule="auto"/>
        <w:ind w:firstLine="420"/>
        <w:rPr>
          <w:rFonts w:hint="eastAsia"/>
        </w:rPr>
      </w:pPr>
      <w:r>
        <w:rPr>
          <w:rFonts w:hint="eastAsia"/>
        </w:rPr>
        <w:t>检验检测机构应按照数据全生命周期管理的要求，对数据溯源流程进行标准化设计和实施。典型流程包括数据采集、数据传输、数据处理、数据存储、数据使用与发布、数据归档与销毁等环节，每个环节均应生成可追溯记录。</w:t>
      </w:r>
    </w:p>
    <w:p w14:paraId="0DB1F4F2">
      <w:pPr>
        <w:pStyle w:val="105"/>
        <w:spacing w:before="120" w:after="120" w:line="360" w:lineRule="auto"/>
        <w:rPr>
          <w:rFonts w:hint="eastAsia"/>
        </w:rPr>
      </w:pPr>
      <w:r>
        <w:rPr>
          <w:rFonts w:hint="eastAsia"/>
        </w:rPr>
        <w:t>数据采集</w:t>
      </w:r>
    </w:p>
    <w:p w14:paraId="7012A9FD">
      <w:pPr>
        <w:pStyle w:val="165"/>
        <w:spacing w:line="360" w:lineRule="auto"/>
        <w:rPr>
          <w:rFonts w:hint="eastAsia"/>
        </w:rPr>
      </w:pPr>
      <w:r>
        <w:rPr>
          <w:rFonts w:hint="eastAsia"/>
        </w:rPr>
        <w:t>在采集检测数据时，应自动记录采集时间、采集设备、操作者身份、采集环境及原始数据文件的唯一标识。</w:t>
      </w:r>
    </w:p>
    <w:p w14:paraId="631D524E">
      <w:pPr>
        <w:pStyle w:val="165"/>
        <w:spacing w:line="360" w:lineRule="auto"/>
        <w:rPr>
          <w:rFonts w:hint="eastAsia"/>
        </w:rPr>
      </w:pPr>
      <w:r>
        <w:rPr>
          <w:rFonts w:hint="eastAsia"/>
        </w:rPr>
        <w:t>原始数据应在采集后立即进行完整性校验，并生成校验码（如哈希值）用于后续验证。</w:t>
      </w:r>
    </w:p>
    <w:p w14:paraId="3E4265EC">
      <w:pPr>
        <w:pStyle w:val="165"/>
        <w:spacing w:line="360" w:lineRule="auto"/>
        <w:rPr>
          <w:rFonts w:hint="eastAsia"/>
        </w:rPr>
      </w:pPr>
      <w:r>
        <w:rPr>
          <w:rFonts w:hint="eastAsia"/>
        </w:rPr>
        <w:t>对于自动化检测设备，应确保系统日志可记录采集过程中的所有参数设置与运行状态。</w:t>
      </w:r>
    </w:p>
    <w:p w14:paraId="67210E73">
      <w:pPr>
        <w:pStyle w:val="105"/>
        <w:spacing w:before="120" w:after="120" w:line="360" w:lineRule="auto"/>
        <w:rPr>
          <w:rFonts w:hint="eastAsia"/>
        </w:rPr>
      </w:pPr>
      <w:r>
        <w:rPr>
          <w:rFonts w:hint="eastAsia"/>
        </w:rPr>
        <w:t>数据传输</w:t>
      </w:r>
    </w:p>
    <w:p w14:paraId="4176BBAB">
      <w:pPr>
        <w:pStyle w:val="165"/>
        <w:spacing w:line="360" w:lineRule="auto"/>
        <w:rPr>
          <w:rFonts w:hint="eastAsia"/>
        </w:rPr>
      </w:pPr>
      <w:r>
        <w:rPr>
          <w:rFonts w:hint="eastAsia"/>
        </w:rPr>
        <w:t>数据传输应采用加密通道（如TLS/SSL、VPN等）确保传输安全。</w:t>
      </w:r>
    </w:p>
    <w:p w14:paraId="43CADB9F">
      <w:pPr>
        <w:pStyle w:val="165"/>
        <w:spacing w:line="360" w:lineRule="auto"/>
        <w:rPr>
          <w:rFonts w:hint="eastAsia"/>
        </w:rPr>
      </w:pPr>
      <w:r>
        <w:rPr>
          <w:rFonts w:hint="eastAsia"/>
        </w:rPr>
        <w:t>传输过程应生成记录，包括起始时间、结束时间、传输路径、接收方信息及传输文件的完整性验证结果。</w:t>
      </w:r>
    </w:p>
    <w:p w14:paraId="4D55FA65">
      <w:pPr>
        <w:pStyle w:val="165"/>
        <w:spacing w:line="360" w:lineRule="auto"/>
        <w:rPr>
          <w:rFonts w:hint="eastAsia"/>
        </w:rPr>
      </w:pPr>
      <w:r>
        <w:rPr>
          <w:rFonts w:hint="eastAsia"/>
        </w:rPr>
        <w:t>对跨系统、跨网络传输，应增加数字签名或双向认证机制，防止数据被篡改或替换。</w:t>
      </w:r>
    </w:p>
    <w:p w14:paraId="53682D58">
      <w:pPr>
        <w:pStyle w:val="105"/>
        <w:spacing w:before="120" w:after="120" w:line="360" w:lineRule="auto"/>
        <w:rPr>
          <w:rFonts w:hint="eastAsia"/>
        </w:rPr>
      </w:pPr>
      <w:r>
        <w:rPr>
          <w:rFonts w:hint="eastAsia"/>
        </w:rPr>
        <w:t>数据处理</w:t>
      </w:r>
    </w:p>
    <w:p w14:paraId="4D0F0D6F">
      <w:pPr>
        <w:pStyle w:val="165"/>
        <w:spacing w:line="360" w:lineRule="auto"/>
        <w:rPr>
          <w:rFonts w:hint="eastAsia"/>
        </w:rPr>
      </w:pPr>
      <w:r>
        <w:rPr>
          <w:rFonts w:hint="eastAsia"/>
        </w:rPr>
        <w:t>任何数据处理操作（如格式转换、数据清洗、计算分析等）应自动记录处理时间、操作者、处理工具及算法版本。</w:t>
      </w:r>
    </w:p>
    <w:p w14:paraId="28CBB934">
      <w:pPr>
        <w:pStyle w:val="165"/>
        <w:spacing w:line="360" w:lineRule="auto"/>
        <w:rPr>
          <w:rFonts w:hint="eastAsia"/>
        </w:rPr>
      </w:pPr>
      <w:r>
        <w:rPr>
          <w:rFonts w:hint="eastAsia"/>
        </w:rPr>
        <w:t>处理前后数据均应存储并关联版本信息，保留可重现的操作路径。</w:t>
      </w:r>
    </w:p>
    <w:p w14:paraId="758D0F01">
      <w:pPr>
        <w:pStyle w:val="165"/>
        <w:spacing w:line="360" w:lineRule="auto"/>
        <w:rPr>
          <w:rFonts w:hint="eastAsia"/>
        </w:rPr>
      </w:pPr>
      <w:r>
        <w:rPr>
          <w:rFonts w:hint="eastAsia"/>
        </w:rPr>
        <w:t>对关键分析环节，应保存运行日志及中间结果文件。</w:t>
      </w:r>
    </w:p>
    <w:p w14:paraId="00DD3E65">
      <w:pPr>
        <w:pStyle w:val="105"/>
        <w:spacing w:before="120" w:after="120" w:line="360" w:lineRule="auto"/>
        <w:rPr>
          <w:rFonts w:hint="eastAsia"/>
        </w:rPr>
      </w:pPr>
      <w:r>
        <w:rPr>
          <w:rFonts w:hint="eastAsia"/>
        </w:rPr>
        <w:t>数据存储</w:t>
      </w:r>
    </w:p>
    <w:p w14:paraId="5DC5BFE7">
      <w:pPr>
        <w:pStyle w:val="165"/>
        <w:spacing w:line="360" w:lineRule="auto"/>
        <w:rPr>
          <w:rFonts w:hint="eastAsia"/>
        </w:rPr>
      </w:pPr>
      <w:r>
        <w:rPr>
          <w:rFonts w:hint="eastAsia"/>
        </w:rPr>
        <w:t>存储系统应具备访问控制和权限管理功能，确保仅授权人员可访问相应数据。</w:t>
      </w:r>
    </w:p>
    <w:p w14:paraId="293DB4C9">
      <w:pPr>
        <w:pStyle w:val="165"/>
        <w:spacing w:line="360" w:lineRule="auto"/>
        <w:rPr>
          <w:rFonts w:hint="eastAsia"/>
        </w:rPr>
      </w:pPr>
      <w:r>
        <w:rPr>
          <w:rFonts w:hint="eastAsia"/>
        </w:rPr>
        <w:t>存储数据应进行定期备份，并在备份记录中注明备份时间、存储位置、备份介质编号等信息。</w:t>
      </w:r>
    </w:p>
    <w:p w14:paraId="11C2E5B5">
      <w:pPr>
        <w:pStyle w:val="165"/>
        <w:spacing w:line="360" w:lineRule="auto"/>
        <w:rPr>
          <w:rFonts w:hint="eastAsia"/>
        </w:rPr>
      </w:pPr>
      <w:r>
        <w:rPr>
          <w:rFonts w:hint="eastAsia"/>
        </w:rPr>
        <w:t>应建立防篡改机制（如WORM存储、区块链存证）保障数据不可随意修改。</w:t>
      </w:r>
    </w:p>
    <w:p w14:paraId="11AB6079">
      <w:pPr>
        <w:pStyle w:val="105"/>
        <w:spacing w:before="120" w:after="120" w:line="360" w:lineRule="auto"/>
        <w:rPr>
          <w:rFonts w:hint="eastAsia"/>
        </w:rPr>
      </w:pPr>
      <w:r>
        <w:rPr>
          <w:rFonts w:hint="eastAsia"/>
        </w:rPr>
        <w:t>数据使用与发布</w:t>
      </w:r>
    </w:p>
    <w:p w14:paraId="0D1B437C">
      <w:pPr>
        <w:pStyle w:val="165"/>
        <w:spacing w:line="360" w:lineRule="auto"/>
        <w:rPr>
          <w:rFonts w:hint="eastAsia"/>
        </w:rPr>
      </w:pPr>
      <w:r>
        <w:rPr>
          <w:rFonts w:hint="eastAsia"/>
        </w:rPr>
        <w:t>在调用或发布数据时，应记录调用/发布时间、用途、接收方信息及所使用数据的版本号。</w:t>
      </w:r>
    </w:p>
    <w:p w14:paraId="022F27CE">
      <w:pPr>
        <w:pStyle w:val="165"/>
        <w:spacing w:line="360" w:lineRule="auto"/>
        <w:rPr>
          <w:rFonts w:hint="eastAsia"/>
        </w:rPr>
      </w:pPr>
      <w:r>
        <w:rPr>
          <w:rFonts w:hint="eastAsia"/>
        </w:rPr>
        <w:t>对外发布的数据应经过审批流程，并保留发布审批记录与发布内容备份。</w:t>
      </w:r>
    </w:p>
    <w:p w14:paraId="0FAECBA8">
      <w:pPr>
        <w:pStyle w:val="105"/>
        <w:spacing w:before="120" w:after="120" w:line="360" w:lineRule="auto"/>
        <w:rPr>
          <w:rFonts w:hint="eastAsia"/>
        </w:rPr>
      </w:pPr>
      <w:r>
        <w:rPr>
          <w:rFonts w:hint="eastAsia"/>
        </w:rPr>
        <w:t>数据归档与销毁</w:t>
      </w:r>
    </w:p>
    <w:p w14:paraId="68FFA73B">
      <w:pPr>
        <w:pStyle w:val="165"/>
        <w:spacing w:line="360" w:lineRule="auto"/>
        <w:rPr>
          <w:rFonts w:hint="eastAsia"/>
        </w:rPr>
      </w:pPr>
      <w:r>
        <w:rPr>
          <w:rFonts w:hint="eastAsia"/>
        </w:rPr>
        <w:t>数据归档应记录归档时间、归档位置、文件清单及校验码。</w:t>
      </w:r>
    </w:p>
    <w:p w14:paraId="76CFE6B9">
      <w:pPr>
        <w:pStyle w:val="165"/>
        <w:spacing w:line="360" w:lineRule="auto"/>
        <w:rPr>
          <w:rFonts w:hint="eastAsia"/>
        </w:rPr>
      </w:pPr>
      <w:r>
        <w:rPr>
          <w:rFonts w:hint="eastAsia"/>
        </w:rPr>
        <w:t>数据销毁应有审批和执行记录，注明销毁方式（物理销毁或安全擦除）、销毁时间、执行人及见证人信息。</w:t>
      </w:r>
    </w:p>
    <w:p w14:paraId="2A62EE40">
      <w:pPr>
        <w:pStyle w:val="165"/>
        <w:spacing w:line="360" w:lineRule="auto"/>
      </w:pPr>
      <w:r>
        <w:rPr>
          <w:rFonts w:hint="eastAsia"/>
        </w:rPr>
        <w:t>对涉及法律诉讼、监管调查的数据，应暂停销毁直至相关事项结束。</w:t>
      </w:r>
    </w:p>
    <w:p w14:paraId="322268A1">
      <w:pPr>
        <w:pStyle w:val="104"/>
        <w:spacing w:before="240" w:after="240" w:line="360" w:lineRule="auto"/>
        <w:rPr>
          <w:rFonts w:hint="eastAsia"/>
        </w:rPr>
      </w:pPr>
      <w:bookmarkStart w:id="53" w:name="_Toc205750101"/>
      <w:r>
        <w:rPr>
          <w:rFonts w:hint="eastAsia"/>
        </w:rPr>
        <w:t>技术方法与实现要求</w:t>
      </w:r>
      <w:bookmarkEnd w:id="53"/>
    </w:p>
    <w:p w14:paraId="4BE9764E">
      <w:pPr>
        <w:pStyle w:val="105"/>
        <w:spacing w:before="120" w:after="120" w:line="360" w:lineRule="auto"/>
        <w:rPr>
          <w:rFonts w:hint="eastAsia"/>
        </w:rPr>
      </w:pPr>
      <w:r>
        <w:rPr>
          <w:rFonts w:hint="eastAsia"/>
        </w:rPr>
        <w:t>总则</w:t>
      </w:r>
    </w:p>
    <w:p w14:paraId="566C72F7">
      <w:pPr>
        <w:pStyle w:val="56"/>
        <w:spacing w:line="360" w:lineRule="auto"/>
        <w:ind w:firstLine="420"/>
        <w:rPr>
          <w:rFonts w:hint="eastAsia"/>
        </w:rPr>
      </w:pPr>
      <w:r>
        <w:rPr>
          <w:rFonts w:hint="eastAsia"/>
        </w:rPr>
        <w:t>检验检测机构应结合业务类型、数据特性与信息化水平，选择并部署适用的技术手段实现数据溯源管理。技术方案应保证溯源数据的准确性、完整性、可追溯性与不可篡改性，并具备可扩展和可持续运行能力。</w:t>
      </w:r>
    </w:p>
    <w:p w14:paraId="5C0A2176">
      <w:pPr>
        <w:pStyle w:val="105"/>
        <w:spacing w:before="120" w:after="120" w:line="360" w:lineRule="auto"/>
        <w:rPr>
          <w:rFonts w:hint="eastAsia"/>
        </w:rPr>
      </w:pPr>
      <w:r>
        <w:rPr>
          <w:rFonts w:hint="eastAsia"/>
        </w:rPr>
        <w:t>元数据管理</w:t>
      </w:r>
    </w:p>
    <w:p w14:paraId="5B589B92">
      <w:pPr>
        <w:pStyle w:val="165"/>
        <w:spacing w:line="360" w:lineRule="auto"/>
        <w:rPr>
          <w:rFonts w:hint="eastAsia"/>
        </w:rPr>
      </w:pPr>
      <w:r>
        <w:rPr>
          <w:rFonts w:hint="eastAsia"/>
        </w:rPr>
        <w:t>元数据应覆盖数据全生命周期的重要属性，包括但不限于数据标识、采集时间、采集设备型号及编号、操作者身份、处理算法版本、存储位置及访问记录。</w:t>
      </w:r>
    </w:p>
    <w:p w14:paraId="681ADAE1">
      <w:pPr>
        <w:pStyle w:val="165"/>
        <w:spacing w:line="360" w:lineRule="auto"/>
        <w:rPr>
          <w:rFonts w:hint="eastAsia"/>
        </w:rPr>
      </w:pPr>
      <w:r>
        <w:rPr>
          <w:rFonts w:hint="eastAsia"/>
        </w:rPr>
        <w:t>应采用统一的元数据编码与格式标准，支持跨平台、跨系统的互联互通与解析。</w:t>
      </w:r>
    </w:p>
    <w:p w14:paraId="1F07637C">
      <w:pPr>
        <w:pStyle w:val="165"/>
        <w:spacing w:line="360" w:lineRule="auto"/>
        <w:rPr>
          <w:rFonts w:hint="eastAsia"/>
        </w:rPr>
      </w:pPr>
      <w:r>
        <w:rPr>
          <w:rFonts w:hint="eastAsia"/>
        </w:rPr>
        <w:t>元数据应与原始数据及处理结果进行关联存储，确保关联关系的持久性和可验证性。</w:t>
      </w:r>
    </w:p>
    <w:p w14:paraId="4BE31D61">
      <w:pPr>
        <w:pStyle w:val="165"/>
        <w:spacing w:line="360" w:lineRule="auto"/>
        <w:rPr>
          <w:rFonts w:hint="eastAsia"/>
        </w:rPr>
      </w:pPr>
      <w:r>
        <w:rPr>
          <w:rFonts w:hint="eastAsia"/>
        </w:rPr>
        <w:t>元数据存储应具备防篡改机制，并配置定期备份与完整性校验功能。</w:t>
      </w:r>
    </w:p>
    <w:p w14:paraId="6C216DE6">
      <w:pPr>
        <w:pStyle w:val="105"/>
        <w:spacing w:before="120" w:after="120" w:line="360" w:lineRule="auto"/>
        <w:rPr>
          <w:rFonts w:hint="eastAsia"/>
        </w:rPr>
      </w:pPr>
      <w:r>
        <w:rPr>
          <w:rFonts w:hint="eastAsia"/>
        </w:rPr>
        <w:t>审计追踪与日志管理</w:t>
      </w:r>
    </w:p>
    <w:p w14:paraId="693AA8BA">
      <w:pPr>
        <w:pStyle w:val="165"/>
        <w:spacing w:line="360" w:lineRule="auto"/>
        <w:rPr>
          <w:rFonts w:hint="eastAsia"/>
        </w:rPr>
      </w:pPr>
      <w:r>
        <w:rPr>
          <w:rFonts w:hint="eastAsia"/>
        </w:rPr>
        <w:t>系统应自动生成并保存操作日志，记录数据在采集、传输、处理、存储、发布、归档及销毁各环节的时间戳、操作者、操作类型、数据标识及结果状态。</w:t>
      </w:r>
    </w:p>
    <w:p w14:paraId="4DF456F5">
      <w:pPr>
        <w:pStyle w:val="165"/>
        <w:spacing w:line="360" w:lineRule="auto"/>
        <w:rPr>
          <w:rFonts w:hint="eastAsia"/>
        </w:rPr>
      </w:pPr>
      <w:r>
        <w:rPr>
          <w:rFonts w:hint="eastAsia"/>
        </w:rPr>
        <w:t>审计日志应采用不可篡改的存储机制（如只读介质、区块链存证等）确保真实性。</w:t>
      </w:r>
    </w:p>
    <w:p w14:paraId="1962ABF7">
      <w:pPr>
        <w:pStyle w:val="165"/>
        <w:spacing w:line="360" w:lineRule="auto"/>
        <w:rPr>
          <w:rFonts w:hint="eastAsia"/>
        </w:rPr>
      </w:pPr>
      <w:r>
        <w:rPr>
          <w:rFonts w:hint="eastAsia"/>
        </w:rPr>
        <w:t>应设置日志访问权限，防止未经授权的修改与删除。</w:t>
      </w:r>
    </w:p>
    <w:p w14:paraId="37FFECB2">
      <w:pPr>
        <w:pStyle w:val="165"/>
        <w:spacing w:line="360" w:lineRule="auto"/>
        <w:rPr>
          <w:rFonts w:hint="eastAsia"/>
        </w:rPr>
      </w:pPr>
      <w:r>
        <w:rPr>
          <w:rFonts w:hint="eastAsia"/>
        </w:rPr>
        <w:t>审计追踪数据的保存期限应满足法规及合同要求，并在到期前进行归档或备份。</w:t>
      </w:r>
    </w:p>
    <w:p w14:paraId="5233300E">
      <w:pPr>
        <w:pStyle w:val="105"/>
        <w:spacing w:before="120" w:after="120" w:line="360" w:lineRule="auto"/>
        <w:rPr>
          <w:rFonts w:hint="eastAsia"/>
        </w:rPr>
      </w:pPr>
      <w:r>
        <w:rPr>
          <w:rFonts w:hint="eastAsia"/>
        </w:rPr>
        <w:t>数据版本控制</w:t>
      </w:r>
    </w:p>
    <w:p w14:paraId="4B7E7787">
      <w:pPr>
        <w:pStyle w:val="165"/>
        <w:spacing w:line="360" w:lineRule="auto"/>
        <w:rPr>
          <w:rFonts w:hint="eastAsia"/>
        </w:rPr>
      </w:pPr>
      <w:r>
        <w:rPr>
          <w:rFonts w:hint="eastAsia"/>
        </w:rPr>
        <w:t>对任何数据的新增、修改、合并及删除操作，系统应自动生成版本号并保留历史版本。</w:t>
      </w:r>
    </w:p>
    <w:p w14:paraId="4ECF8610">
      <w:pPr>
        <w:pStyle w:val="165"/>
        <w:spacing w:line="360" w:lineRule="auto"/>
        <w:rPr>
          <w:rFonts w:hint="eastAsia"/>
        </w:rPr>
      </w:pPr>
      <w:r>
        <w:rPr>
          <w:rFonts w:hint="eastAsia"/>
        </w:rPr>
        <w:t>版本记录应包含版本号、创建时间、变更内容摘要、变更人及变更原因。</w:t>
      </w:r>
    </w:p>
    <w:p w14:paraId="44B6E807">
      <w:pPr>
        <w:pStyle w:val="165"/>
        <w:spacing w:line="360" w:lineRule="auto"/>
        <w:rPr>
          <w:rFonts w:hint="eastAsia"/>
        </w:rPr>
      </w:pPr>
      <w:r>
        <w:rPr>
          <w:rFonts w:hint="eastAsia"/>
        </w:rPr>
        <w:t>应支持基于版本号的一键回溯，确保检测结论和数据分析结果可复现。</w:t>
      </w:r>
    </w:p>
    <w:p w14:paraId="15A5E677">
      <w:pPr>
        <w:pStyle w:val="165"/>
        <w:spacing w:line="360" w:lineRule="auto"/>
        <w:rPr>
          <w:rFonts w:hint="eastAsia"/>
        </w:rPr>
      </w:pPr>
      <w:r>
        <w:rPr>
          <w:rFonts w:hint="eastAsia"/>
        </w:rPr>
        <w:t>对关键检测数据，建议采用差异化存储与全量备份结合的方式，提高版本管理效率。</w:t>
      </w:r>
    </w:p>
    <w:p w14:paraId="11A16DE1">
      <w:pPr>
        <w:pStyle w:val="105"/>
        <w:spacing w:before="120" w:after="120" w:line="360" w:lineRule="auto"/>
        <w:rPr>
          <w:rFonts w:hint="eastAsia"/>
        </w:rPr>
      </w:pPr>
      <w:r>
        <w:rPr>
          <w:rFonts w:hint="eastAsia"/>
        </w:rPr>
        <w:t>数据完整性与真实性保障</w:t>
      </w:r>
    </w:p>
    <w:p w14:paraId="3550D792">
      <w:pPr>
        <w:pStyle w:val="165"/>
        <w:spacing w:line="360" w:lineRule="auto"/>
        <w:rPr>
          <w:rFonts w:hint="eastAsia"/>
        </w:rPr>
      </w:pPr>
      <w:r>
        <w:rPr>
          <w:rFonts w:hint="eastAsia"/>
        </w:rPr>
        <w:t>应采用哈希算法（如SHA-256）或数字签名对关键数据及溯源记录进行校验，并在数据传输、备份、调用等环节验证完整性。</w:t>
      </w:r>
    </w:p>
    <w:p w14:paraId="0FEA0974">
      <w:pPr>
        <w:pStyle w:val="165"/>
        <w:spacing w:line="360" w:lineRule="auto"/>
        <w:rPr>
          <w:rFonts w:hint="eastAsia"/>
        </w:rPr>
      </w:pPr>
      <w:r>
        <w:rPr>
          <w:rFonts w:hint="eastAsia"/>
        </w:rPr>
        <w:t>对比校验结果应自动生成记录，并在异常情况下触发告警与事件响应流程。</w:t>
      </w:r>
    </w:p>
    <w:p w14:paraId="6948C012">
      <w:pPr>
        <w:pStyle w:val="165"/>
        <w:spacing w:line="360" w:lineRule="auto"/>
        <w:rPr>
          <w:rFonts w:hint="eastAsia"/>
        </w:rPr>
      </w:pPr>
      <w:r>
        <w:rPr>
          <w:rFonts w:hint="eastAsia"/>
        </w:rPr>
        <w:t>对采集自外部系统或第三方机构的数据，应保留数据来源证明及传输链路验证记录。</w:t>
      </w:r>
    </w:p>
    <w:p w14:paraId="60FD192A">
      <w:pPr>
        <w:pStyle w:val="105"/>
        <w:spacing w:before="120" w:after="120" w:line="360" w:lineRule="auto"/>
        <w:rPr>
          <w:rFonts w:hint="eastAsia"/>
        </w:rPr>
      </w:pPr>
      <w:r>
        <w:rPr>
          <w:rFonts w:hint="eastAsia"/>
        </w:rPr>
        <w:t>加密与访问控制</w:t>
      </w:r>
    </w:p>
    <w:p w14:paraId="734E9021">
      <w:pPr>
        <w:pStyle w:val="165"/>
        <w:spacing w:line="360" w:lineRule="auto"/>
        <w:rPr>
          <w:rFonts w:hint="eastAsia"/>
        </w:rPr>
      </w:pPr>
      <w:r>
        <w:rPr>
          <w:rFonts w:hint="eastAsia"/>
        </w:rPr>
        <w:t>数据在传输与存储过程中应采用加密技术（如AES、RSA等）防止非法窃取与篡改。</w:t>
      </w:r>
    </w:p>
    <w:p w14:paraId="10C1035D">
      <w:pPr>
        <w:pStyle w:val="165"/>
        <w:spacing w:line="360" w:lineRule="auto"/>
        <w:rPr>
          <w:rFonts w:hint="eastAsia"/>
        </w:rPr>
      </w:pPr>
      <w:r>
        <w:rPr>
          <w:rFonts w:hint="eastAsia"/>
        </w:rPr>
        <w:t>应实施基于角色的访问控制（RBAC）或基于属性的访问控制（ABAC），确保用户仅能访问其工作范围内的数据。</w:t>
      </w:r>
    </w:p>
    <w:p w14:paraId="4F252691">
      <w:pPr>
        <w:pStyle w:val="165"/>
        <w:spacing w:line="360" w:lineRule="auto"/>
        <w:rPr>
          <w:rFonts w:hint="eastAsia"/>
        </w:rPr>
      </w:pPr>
      <w:r>
        <w:rPr>
          <w:rFonts w:hint="eastAsia"/>
        </w:rPr>
        <w:t>应定期对用户权限进行审查，及时撤销离职或岗位变动人员的访问权限。</w:t>
      </w:r>
    </w:p>
    <w:p w14:paraId="052BC4C2">
      <w:pPr>
        <w:pStyle w:val="165"/>
        <w:spacing w:line="360" w:lineRule="auto"/>
        <w:rPr>
          <w:rFonts w:hint="eastAsia"/>
        </w:rPr>
      </w:pPr>
      <w:r>
        <w:rPr>
          <w:rFonts w:hint="eastAsia"/>
        </w:rPr>
        <w:t>对涉及敏感信息的数据，应采用分级保护策略，并配置多因素身份认证。</w:t>
      </w:r>
    </w:p>
    <w:p w14:paraId="45934F7F">
      <w:pPr>
        <w:pStyle w:val="105"/>
        <w:spacing w:before="120" w:after="120" w:line="360" w:lineRule="auto"/>
        <w:rPr>
          <w:rFonts w:hint="eastAsia"/>
        </w:rPr>
      </w:pPr>
      <w:r>
        <w:rPr>
          <w:rFonts w:hint="eastAsia"/>
        </w:rPr>
        <w:t>新兴技术应用</w:t>
      </w:r>
    </w:p>
    <w:p w14:paraId="049C0753">
      <w:pPr>
        <w:pStyle w:val="165"/>
        <w:spacing w:line="360" w:lineRule="auto"/>
        <w:rPr>
          <w:rFonts w:hint="eastAsia"/>
        </w:rPr>
      </w:pPr>
      <w:r>
        <w:rPr>
          <w:rFonts w:hint="eastAsia"/>
        </w:rPr>
        <w:t>对于高价值或高敏感度的检测数据，可引入区块链技术进行分布式存证，实现跨机构的数据溯源与验证。</w:t>
      </w:r>
    </w:p>
    <w:p w14:paraId="355EFC98">
      <w:pPr>
        <w:pStyle w:val="165"/>
        <w:spacing w:line="360" w:lineRule="auto"/>
        <w:rPr>
          <w:rFonts w:hint="eastAsia"/>
        </w:rPr>
      </w:pPr>
      <w:r>
        <w:rPr>
          <w:rFonts w:hint="eastAsia"/>
        </w:rPr>
        <w:t>结合人工智能技术进行溯源数据的异常检测与模式识别，提高风险发现的及时性。</w:t>
      </w:r>
    </w:p>
    <w:p w14:paraId="305AD961">
      <w:pPr>
        <w:pStyle w:val="165"/>
        <w:spacing w:line="360" w:lineRule="auto"/>
      </w:pPr>
      <w:r>
        <w:rPr>
          <w:rFonts w:hint="eastAsia"/>
        </w:rPr>
        <w:t>利用云计算和边缘计算技术优化数据存储与处理效率，确保大规模数据的溯源可行性。</w:t>
      </w:r>
    </w:p>
    <w:p w14:paraId="7A73AE68">
      <w:pPr>
        <w:pStyle w:val="104"/>
        <w:spacing w:before="240" w:after="240" w:line="360" w:lineRule="auto"/>
        <w:rPr>
          <w:rFonts w:hint="eastAsia"/>
        </w:rPr>
      </w:pPr>
      <w:bookmarkStart w:id="54" w:name="_Toc205750102"/>
      <w:r>
        <w:rPr>
          <w:rFonts w:hint="eastAsia"/>
        </w:rPr>
        <w:t>管理与监督</w:t>
      </w:r>
      <w:bookmarkEnd w:id="54"/>
    </w:p>
    <w:p w14:paraId="0ECEAD63">
      <w:pPr>
        <w:pStyle w:val="105"/>
        <w:spacing w:before="120" w:after="120" w:line="360" w:lineRule="auto"/>
        <w:rPr>
          <w:rFonts w:hint="eastAsia"/>
        </w:rPr>
      </w:pPr>
      <w:r>
        <w:rPr>
          <w:rFonts w:hint="eastAsia"/>
        </w:rPr>
        <w:t>管理体系建设</w:t>
      </w:r>
    </w:p>
    <w:p w14:paraId="29DE62D1">
      <w:pPr>
        <w:pStyle w:val="56"/>
        <w:spacing w:line="360" w:lineRule="auto"/>
        <w:ind w:firstLine="420"/>
        <w:rPr>
          <w:rFonts w:hint="eastAsia"/>
        </w:rPr>
      </w:pPr>
      <w:r>
        <w:rPr>
          <w:rFonts w:hint="eastAsia"/>
        </w:rPr>
        <w:t>检验检测机构应将数据溯源管理纳入整体质量管理体系和信息安全管理体系，形成制度、流程、技术和人员四个方面的综合保障框架。制度应涵盖数据溯源的管理目标、职责分工、运行机制、考核办法及改进措施，并通过文件化形式予以发布和执行。</w:t>
      </w:r>
    </w:p>
    <w:p w14:paraId="32CC560D">
      <w:pPr>
        <w:pStyle w:val="105"/>
        <w:spacing w:before="120" w:after="120" w:line="360" w:lineRule="auto"/>
        <w:rPr>
          <w:rFonts w:hint="eastAsia"/>
        </w:rPr>
      </w:pPr>
      <w:r>
        <w:rPr>
          <w:rFonts w:hint="eastAsia"/>
        </w:rPr>
        <w:t>组织与职责</w:t>
      </w:r>
    </w:p>
    <w:p w14:paraId="640E00D2">
      <w:pPr>
        <w:pStyle w:val="56"/>
        <w:spacing w:line="360" w:lineRule="auto"/>
        <w:ind w:firstLine="420"/>
        <w:rPr>
          <w:rFonts w:hint="eastAsia"/>
        </w:rPr>
      </w:pPr>
      <w:r>
        <w:rPr>
          <w:rFonts w:hint="eastAsia"/>
        </w:rPr>
        <w:t>应设立或指定专门的管理部门负责数据溯源工作的统筹与监督，明确机构负责人、技术负责人、信息管理员、业务操作员等在数据采集、处理、存储、传输、发布及归档等环节的具体职责。对涉及关键信息的岗位，应实行岗位分离和权限隔离，防止单一人员对数据链路的完全控制。</w:t>
      </w:r>
    </w:p>
    <w:p w14:paraId="74556226">
      <w:pPr>
        <w:pStyle w:val="105"/>
        <w:spacing w:before="120" w:after="120" w:line="360" w:lineRule="auto"/>
        <w:rPr>
          <w:rFonts w:hint="eastAsia"/>
        </w:rPr>
      </w:pPr>
      <w:r>
        <w:rPr>
          <w:rFonts w:hint="eastAsia"/>
        </w:rPr>
        <w:t>人员能力与培训</w:t>
      </w:r>
    </w:p>
    <w:p w14:paraId="0AA3360E">
      <w:pPr>
        <w:pStyle w:val="56"/>
        <w:spacing w:line="360" w:lineRule="auto"/>
        <w:ind w:firstLine="420"/>
        <w:rPr>
          <w:rFonts w:hint="eastAsia"/>
        </w:rPr>
      </w:pPr>
      <w:r>
        <w:rPr>
          <w:rFonts w:hint="eastAsia"/>
        </w:rPr>
        <w:t>机构应建立数据溯源相关岗位的能力标准与培训体系，对新入职及在岗人员定期开展数据管理、信息安全、法规标准、应急处理等方面的培训。培训记录应完整保存，并纳入人员考核结果，作为岗位任职和晋升的重要依据。</w:t>
      </w:r>
    </w:p>
    <w:p w14:paraId="48154239">
      <w:pPr>
        <w:pStyle w:val="105"/>
        <w:spacing w:before="120" w:after="120" w:line="360" w:lineRule="auto"/>
        <w:rPr>
          <w:rFonts w:hint="eastAsia"/>
        </w:rPr>
      </w:pPr>
      <w:r>
        <w:rPr>
          <w:rFonts w:hint="eastAsia"/>
        </w:rPr>
        <w:t>内部监督与检查</w:t>
      </w:r>
    </w:p>
    <w:p w14:paraId="729A5002">
      <w:pPr>
        <w:pStyle w:val="56"/>
        <w:spacing w:line="360" w:lineRule="auto"/>
        <w:ind w:firstLine="420"/>
        <w:rPr>
          <w:rFonts w:hint="eastAsia"/>
        </w:rPr>
      </w:pPr>
      <w:r>
        <w:rPr>
          <w:rFonts w:hint="eastAsia"/>
        </w:rPr>
        <w:t>应制定年度内部审核计划，定期对数据溯源的完整性、准确性、可追溯性进行抽查与全流程检查。检查内容应涵盖制度落实情况、溯源记录完整性、技术防护措施有效性及异常处理闭环情况。对发现的问题应形成整改清单，明确责任人、整改时限及验证结果。</w:t>
      </w:r>
    </w:p>
    <w:p w14:paraId="7DEDE601">
      <w:pPr>
        <w:pStyle w:val="105"/>
        <w:spacing w:before="120" w:after="120" w:line="360" w:lineRule="auto"/>
        <w:rPr>
          <w:rFonts w:hint="eastAsia"/>
        </w:rPr>
      </w:pPr>
      <w:r>
        <w:rPr>
          <w:rFonts w:hint="eastAsia"/>
        </w:rPr>
        <w:t>外部监督与合规审查</w:t>
      </w:r>
    </w:p>
    <w:p w14:paraId="2A9DAD00">
      <w:pPr>
        <w:pStyle w:val="56"/>
        <w:spacing w:line="360" w:lineRule="auto"/>
        <w:ind w:firstLine="420"/>
        <w:rPr>
          <w:rFonts w:hint="eastAsia"/>
        </w:rPr>
      </w:pPr>
      <w:r>
        <w:rPr>
          <w:rFonts w:hint="eastAsia"/>
        </w:rPr>
        <w:t>应配合主管部门、认证认可机构及第三方评估机构开展监督检查，按要求提供完整的溯源链信息、审计日志及相关证明材料。对外部审查中发现的不符合项，应立即制定整改计划，并将整改结果在内部通报，以推动全员改进。</w:t>
      </w:r>
    </w:p>
    <w:p w14:paraId="45635882">
      <w:pPr>
        <w:pStyle w:val="105"/>
        <w:spacing w:before="120" w:after="120" w:line="360" w:lineRule="auto"/>
        <w:rPr>
          <w:rFonts w:hint="eastAsia"/>
        </w:rPr>
      </w:pPr>
      <w:r>
        <w:rPr>
          <w:rFonts w:hint="eastAsia"/>
        </w:rPr>
        <w:t>持续改进与绩效评估</w:t>
      </w:r>
    </w:p>
    <w:p w14:paraId="77A85C4D">
      <w:pPr>
        <w:pStyle w:val="56"/>
        <w:spacing w:line="360" w:lineRule="auto"/>
        <w:ind w:firstLine="420"/>
      </w:pPr>
      <w:r>
        <w:rPr>
          <w:rFonts w:hint="eastAsia"/>
        </w:rPr>
        <w:t>应建立基于绩效考核的持续改进机制，将数据溯源的有效性和规范性纳入机构年度绩效评价。通过分析监督检查、用户反馈及新技术应用效果，定期优化溯源管理流程与技术手段，确保体系的长期适应性和先进性。</w:t>
      </w:r>
    </w:p>
    <w:p w14:paraId="0B46DCF7">
      <w:pPr>
        <w:pStyle w:val="104"/>
        <w:spacing w:before="240" w:after="240" w:line="360" w:lineRule="auto"/>
        <w:rPr>
          <w:rFonts w:hint="eastAsia"/>
        </w:rPr>
      </w:pPr>
      <w:bookmarkStart w:id="55" w:name="_Toc205750103"/>
      <w:r>
        <w:rPr>
          <w:rFonts w:hint="eastAsia"/>
        </w:rPr>
        <w:t>应急响应与风险管理</w:t>
      </w:r>
      <w:bookmarkEnd w:id="55"/>
    </w:p>
    <w:p w14:paraId="2EB89EC5">
      <w:pPr>
        <w:pStyle w:val="105"/>
        <w:spacing w:before="120" w:after="120" w:line="360" w:lineRule="auto"/>
        <w:rPr>
          <w:rFonts w:hint="eastAsia"/>
        </w:rPr>
      </w:pPr>
      <w:r>
        <w:rPr>
          <w:rFonts w:hint="eastAsia"/>
        </w:rPr>
        <w:t>总则</w:t>
      </w:r>
    </w:p>
    <w:p w14:paraId="7BAFAF86">
      <w:pPr>
        <w:pStyle w:val="56"/>
        <w:spacing w:line="360" w:lineRule="auto"/>
        <w:ind w:firstLine="420"/>
        <w:rPr>
          <w:rFonts w:hint="eastAsia"/>
        </w:rPr>
      </w:pPr>
      <w:r>
        <w:rPr>
          <w:rFonts w:hint="eastAsia"/>
        </w:rPr>
        <w:t>检验检测机构应建立覆盖数据全生命周期的应急响应与风险管理体系，确保在数据溯源过程中发生异常或突发事件时，能够快速定位问题、有效处置并恢复正常运行，最大限度地减少对检测活动的影响。该体系应纳入机构整体质量管理与信息安全管理框架，并与业务连续性管理相衔接。</w:t>
      </w:r>
    </w:p>
    <w:p w14:paraId="3FDB8B9B">
      <w:pPr>
        <w:pStyle w:val="105"/>
        <w:spacing w:before="120" w:after="120" w:line="360" w:lineRule="auto"/>
        <w:rPr>
          <w:rFonts w:hint="eastAsia"/>
        </w:rPr>
      </w:pPr>
      <w:r>
        <w:rPr>
          <w:rFonts w:hint="eastAsia"/>
        </w:rPr>
        <w:t>风险识别与评估</w:t>
      </w:r>
    </w:p>
    <w:p w14:paraId="41587CA4">
      <w:pPr>
        <w:pStyle w:val="165"/>
        <w:spacing w:line="360" w:lineRule="auto"/>
        <w:rPr>
          <w:rFonts w:hint="eastAsia"/>
        </w:rPr>
      </w:pPr>
      <w:r>
        <w:rPr>
          <w:rFonts w:hint="eastAsia"/>
        </w:rPr>
        <w:t>机构应定期开展风险识别，覆盖数据采集、传输、处理、存储、发布、归档及销毁等所有环节。</w:t>
      </w:r>
    </w:p>
    <w:p w14:paraId="2900510A">
      <w:pPr>
        <w:pStyle w:val="165"/>
        <w:spacing w:line="360" w:lineRule="auto"/>
        <w:rPr>
          <w:rFonts w:hint="eastAsia"/>
        </w:rPr>
      </w:pPr>
      <w:r>
        <w:rPr>
          <w:rFonts w:hint="eastAsia"/>
        </w:rPr>
        <w:t>风险因素包括但不限于硬件设备故障、软件漏洞、网络攻击、非法访问、数据篡改、操作失误、自然灾害及停电等。</w:t>
      </w:r>
    </w:p>
    <w:p w14:paraId="6B83EE0B">
      <w:pPr>
        <w:pStyle w:val="165"/>
        <w:spacing w:line="360" w:lineRule="auto"/>
        <w:rPr>
          <w:rFonts w:hint="eastAsia"/>
        </w:rPr>
      </w:pPr>
      <w:r>
        <w:rPr>
          <w:rFonts w:hint="eastAsia"/>
        </w:rPr>
        <w:t>应采用风险矩阵法、失效模式与影响分析（FMEA）等方法，对风险发生的可能性和影响程度进行评估，并形成风险清单。</w:t>
      </w:r>
    </w:p>
    <w:p w14:paraId="7B519092">
      <w:pPr>
        <w:pStyle w:val="105"/>
        <w:spacing w:before="120" w:after="120" w:line="360" w:lineRule="auto"/>
        <w:rPr>
          <w:rFonts w:hint="eastAsia"/>
        </w:rPr>
      </w:pPr>
      <w:r>
        <w:rPr>
          <w:rFonts w:hint="eastAsia"/>
        </w:rPr>
        <w:t>风险防控措施</w:t>
      </w:r>
    </w:p>
    <w:p w14:paraId="1C5CE1E6">
      <w:pPr>
        <w:pStyle w:val="165"/>
        <w:spacing w:line="360" w:lineRule="auto"/>
        <w:rPr>
          <w:rFonts w:hint="eastAsia"/>
        </w:rPr>
      </w:pPr>
      <w:r>
        <w:rPr>
          <w:rFonts w:hint="eastAsia"/>
        </w:rPr>
        <w:t>对高风险环节应制定预防措施，如多级权限控制、双人复核、自动化完整性校验、防篡改存储等。</w:t>
      </w:r>
    </w:p>
    <w:p w14:paraId="3484E216">
      <w:pPr>
        <w:pStyle w:val="165"/>
        <w:spacing w:line="360" w:lineRule="auto"/>
        <w:rPr>
          <w:rFonts w:hint="eastAsia"/>
        </w:rPr>
      </w:pPr>
      <w:r>
        <w:rPr>
          <w:rFonts w:hint="eastAsia"/>
        </w:rPr>
        <w:t>关键数据应实施多副本存储及异地容灾备份，并定期进行备份有效性验证。</w:t>
      </w:r>
    </w:p>
    <w:p w14:paraId="4A5024B5">
      <w:pPr>
        <w:pStyle w:val="165"/>
        <w:spacing w:line="360" w:lineRule="auto"/>
        <w:rPr>
          <w:rFonts w:hint="eastAsia"/>
        </w:rPr>
      </w:pPr>
      <w:r>
        <w:rPr>
          <w:rFonts w:hint="eastAsia"/>
        </w:rPr>
        <w:t>对外部网络访问应采用防火墙、入侵检测系统（IDS）和入侵防御系统（IPS）等安全防护手段。</w:t>
      </w:r>
    </w:p>
    <w:p w14:paraId="464A9B76">
      <w:pPr>
        <w:pStyle w:val="105"/>
        <w:spacing w:before="120" w:after="120" w:line="360" w:lineRule="auto"/>
        <w:rPr>
          <w:rFonts w:hint="eastAsia"/>
        </w:rPr>
      </w:pPr>
      <w:r>
        <w:rPr>
          <w:rFonts w:hint="eastAsia"/>
        </w:rPr>
        <w:t>异常监测与告警</w:t>
      </w:r>
    </w:p>
    <w:p w14:paraId="67161090">
      <w:pPr>
        <w:pStyle w:val="165"/>
        <w:spacing w:line="360" w:lineRule="auto"/>
        <w:rPr>
          <w:rFonts w:hint="eastAsia"/>
        </w:rPr>
      </w:pPr>
      <w:r>
        <w:rPr>
          <w:rFonts w:hint="eastAsia"/>
        </w:rPr>
        <w:t>系统应具备实时监测功能，能够发现数据缺失、完整性校验失败、异常访问行为等情况。</w:t>
      </w:r>
    </w:p>
    <w:p w14:paraId="3F7DD3A6">
      <w:pPr>
        <w:pStyle w:val="165"/>
        <w:spacing w:line="360" w:lineRule="auto"/>
        <w:rPr>
          <w:rFonts w:hint="eastAsia"/>
        </w:rPr>
      </w:pPr>
      <w:r>
        <w:rPr>
          <w:rFonts w:hint="eastAsia"/>
        </w:rPr>
        <w:t>异常事件发生时，应自动触发告警，通过多渠道（短信、邮件、系统弹窗等）通知管理人员。</w:t>
      </w:r>
    </w:p>
    <w:p w14:paraId="3A7C3691">
      <w:pPr>
        <w:pStyle w:val="165"/>
        <w:spacing w:line="360" w:lineRule="auto"/>
        <w:rPr>
          <w:rFonts w:hint="eastAsia"/>
        </w:rPr>
      </w:pPr>
      <w:r>
        <w:rPr>
          <w:rFonts w:hint="eastAsia"/>
        </w:rPr>
        <w:t>告警信息应包含事件类型、发生时间、受影响的数据范围及初步建议措施。</w:t>
      </w:r>
    </w:p>
    <w:p w14:paraId="7FDF1CB6">
      <w:pPr>
        <w:pStyle w:val="105"/>
        <w:spacing w:before="120" w:after="120" w:line="360" w:lineRule="auto"/>
      </w:pPr>
      <w:r>
        <w:rPr>
          <w:rFonts w:hint="eastAsia"/>
        </w:rPr>
        <w:t>应急处置流程</w:t>
      </w:r>
    </w:p>
    <w:p w14:paraId="02EDAAD4">
      <w:pPr>
        <w:pStyle w:val="56"/>
        <w:spacing w:line="360" w:lineRule="auto"/>
        <w:ind w:firstLine="420"/>
        <w:rPr>
          <w:rFonts w:hint="eastAsia"/>
        </w:rPr>
      </w:pPr>
      <w:r>
        <w:rPr>
          <w:rFonts w:hint="eastAsia"/>
        </w:rPr>
        <w:t>应急处置流程如下：</w:t>
      </w:r>
    </w:p>
    <w:p w14:paraId="73FA90EA">
      <w:pPr>
        <w:pStyle w:val="174"/>
        <w:spacing w:line="360" w:lineRule="auto"/>
        <w:rPr>
          <w:rFonts w:hint="eastAsia"/>
        </w:rPr>
      </w:pPr>
      <w:r>
        <w:rPr>
          <w:rFonts w:hint="eastAsia"/>
        </w:rPr>
        <w:t>机构应制定详细的应急处置预案，包括事件分级、应急响应小组组成、职责分工、处置步骤及恢复计划；</w:t>
      </w:r>
    </w:p>
    <w:p w14:paraId="17F15F67">
      <w:pPr>
        <w:pStyle w:val="174"/>
        <w:spacing w:line="360" w:lineRule="auto"/>
        <w:rPr>
          <w:rFonts w:hint="eastAsia"/>
        </w:rPr>
      </w:pPr>
      <w:r>
        <w:rPr>
          <w:rFonts w:hint="eastAsia"/>
        </w:rPr>
        <w:t>发生数据异常或溯源记录异常时，应立即启动应急响应，优先保护原始数据与溯源链完整性；</w:t>
      </w:r>
    </w:p>
    <w:p w14:paraId="02988E2D">
      <w:pPr>
        <w:pStyle w:val="174"/>
        <w:spacing w:line="360" w:lineRule="auto"/>
        <w:rPr>
          <w:rFonts w:hint="eastAsia"/>
        </w:rPr>
      </w:pPr>
      <w:r>
        <w:rPr>
          <w:rFonts w:hint="eastAsia"/>
        </w:rPr>
        <w:t>在应急处置过程中，应同步记录所有操作及决策，以便事后审计与改进。</w:t>
      </w:r>
    </w:p>
    <w:p w14:paraId="722129FE">
      <w:pPr>
        <w:pStyle w:val="105"/>
        <w:spacing w:before="120" w:after="120" w:line="360" w:lineRule="auto"/>
        <w:rPr>
          <w:rFonts w:hint="eastAsia"/>
        </w:rPr>
      </w:pPr>
      <w:r>
        <w:rPr>
          <w:rFonts w:hint="eastAsia"/>
        </w:rPr>
        <w:t>恢复与改进</w:t>
      </w:r>
    </w:p>
    <w:p w14:paraId="4076AE57">
      <w:pPr>
        <w:pStyle w:val="165"/>
        <w:spacing w:line="360" w:lineRule="auto"/>
        <w:rPr>
          <w:rFonts w:hint="eastAsia"/>
        </w:rPr>
      </w:pPr>
      <w:r>
        <w:rPr>
          <w:rFonts w:hint="eastAsia"/>
        </w:rPr>
        <w:t>应在应急事件结束后开展事件调查，分析根本原因并提出防范建议。</w:t>
      </w:r>
    </w:p>
    <w:p w14:paraId="573E0EB5">
      <w:pPr>
        <w:pStyle w:val="165"/>
        <w:spacing w:line="360" w:lineRule="auto"/>
        <w:rPr>
          <w:rFonts w:hint="eastAsia"/>
        </w:rPr>
      </w:pPr>
      <w:r>
        <w:rPr>
          <w:rFonts w:hint="eastAsia"/>
        </w:rPr>
        <w:t>对应急响应过程进行复盘，评估预案的有效性并及时修订。</w:t>
      </w:r>
    </w:p>
    <w:p w14:paraId="2C4EADA1">
      <w:pPr>
        <w:pStyle w:val="165"/>
        <w:spacing w:line="360" w:lineRule="auto"/>
        <w:rPr>
          <w:rFonts w:hint="eastAsia"/>
        </w:rPr>
      </w:pPr>
      <w:r>
        <w:rPr>
          <w:rFonts w:hint="eastAsia"/>
        </w:rPr>
        <w:t>对暴露出的技术或管理薄弱环节，应制定整改措施并跟踪落实，形成闭环管理。</w:t>
      </w:r>
    </w:p>
    <w:p w14:paraId="6648B004">
      <w:pPr>
        <w:pStyle w:val="105"/>
        <w:spacing w:before="120" w:after="120" w:line="360" w:lineRule="auto"/>
        <w:rPr>
          <w:rFonts w:hint="eastAsia"/>
        </w:rPr>
      </w:pPr>
      <w:r>
        <w:rPr>
          <w:rFonts w:hint="eastAsia"/>
        </w:rPr>
        <w:t>演练与培训</w:t>
      </w:r>
    </w:p>
    <w:p w14:paraId="3C532944">
      <w:pPr>
        <w:pStyle w:val="165"/>
        <w:spacing w:line="360" w:lineRule="auto"/>
        <w:rPr>
          <w:rFonts w:hint="eastAsia"/>
        </w:rPr>
      </w:pPr>
      <w:r>
        <w:rPr>
          <w:rFonts w:hint="eastAsia"/>
        </w:rPr>
        <w:t>应定期组织数据溯源应急演练，包括桌面推演和实战模拟，检验预案可行性与人员应对能力。</w:t>
      </w:r>
    </w:p>
    <w:p w14:paraId="285226B2">
      <w:pPr>
        <w:pStyle w:val="165"/>
        <w:spacing w:line="360" w:lineRule="auto"/>
        <w:rPr>
          <w:rFonts w:hint="eastAsia"/>
        </w:rPr>
      </w:pPr>
      <w:r>
        <w:rPr>
          <w:rFonts w:hint="eastAsia"/>
        </w:rPr>
        <w:t>应将应急响应与风险管理培训纳入年度培训计划，确保相关人员熟悉流程与操作要点。</w:t>
      </w:r>
    </w:p>
    <w:bookmarkEnd w:id="26"/>
    <w:p w14:paraId="7B01292E">
      <w:pPr>
        <w:pStyle w:val="56"/>
        <w:ind w:firstLine="0" w:firstLineChars="0"/>
        <w:jc w:val="center"/>
      </w:pPr>
      <w:bookmarkStart w:id="56" w:name="BookMark8"/>
      <w:r>
        <w:drawing>
          <wp:inline distT="0" distB="0" distL="0" distR="0">
            <wp:extent cx="1485900" cy="317500"/>
            <wp:effectExtent l="0" t="0" r="0" b="6350"/>
            <wp:docPr id="2052864728" name="图片 1"/>
            <wp:cNvGraphicFramePr/>
            <a:graphic xmlns:a="http://schemas.openxmlformats.org/drawingml/2006/main">
              <a:graphicData uri="http://schemas.openxmlformats.org/drawingml/2006/picture">
                <pic:pic xmlns:pic="http://schemas.openxmlformats.org/drawingml/2006/picture">
                  <pic:nvPicPr>
                    <pic:cNvPr id="2052864728"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F3A5">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04E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ABB">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798A">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A6F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348C">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C7D7">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286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6663">
    <w:pPr>
      <w:pStyle w:val="61"/>
    </w:pPr>
    <w:r>
      <w:fldChar w:fldCharType="begin"/>
    </w:r>
    <w:r>
      <w:instrText xml:space="preserve"> STYLEREF  标准文件_文件编号  \* MERGEFORMAT </w:instrText>
    </w:r>
    <w:r>
      <w:fldChar w:fldCharType="separate"/>
    </w:r>
    <w:r>
      <w:t>T/XJBX 0067—2025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EDED">
    <w:pPr>
      <w:pStyle w:val="62"/>
    </w:pPr>
    <w:r>
      <w:fldChar w:fldCharType="begin"/>
    </w:r>
    <w:r>
      <w:instrText xml:space="preserve"> STYLEREF  标准文件_文件编号 \* MERGEFORMAT </w:instrText>
    </w:r>
    <w:r>
      <w:fldChar w:fldCharType="separate"/>
    </w:r>
    <w:r>
      <w:t>T/XJBX 0067—2025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ED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69BF">
    <w:pPr>
      <w:pStyle w:val="61"/>
    </w:pPr>
    <w:r>
      <w:fldChar w:fldCharType="begin"/>
    </w:r>
    <w:r>
      <w:instrText xml:space="preserve"> STYLEREF  标准文件_文件编号  \* MERGEFORMAT </w:instrText>
    </w:r>
    <w:r>
      <w:fldChar w:fldCharType="separate"/>
    </w:r>
    <w:r>
      <w:t>T/XJBX 0067—2025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4363">
    <w:pPr>
      <w:pStyle w:val="62"/>
    </w:pPr>
    <w:r>
      <w:fldChar w:fldCharType="begin"/>
    </w:r>
    <w:r>
      <w:instrText xml:space="preserve"> STYLEREF  标准文件_文件编号 \* MERGEFORMAT </w:instrText>
    </w:r>
    <w:r>
      <w:fldChar w:fldCharType="separate"/>
    </w:r>
    <w:r>
      <w:t>T/XJBX 0067—2025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EE2D">
    <w:pPr>
      <w:pStyle w:val="61"/>
    </w:pPr>
    <w:r>
      <w:fldChar w:fldCharType="begin"/>
    </w:r>
    <w:r>
      <w:instrText xml:space="preserve"> STYLEREF  标准文件_文件编号  \* MERGEFORMAT </w:instrText>
    </w:r>
    <w:r>
      <w:fldChar w:fldCharType="separate"/>
    </w:r>
    <w:r>
      <w:t>T/XJBX 0067—2025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41A8">
    <w:pPr>
      <w:pStyle w:val="62"/>
    </w:pPr>
    <w:r>
      <w:fldChar w:fldCharType="begin"/>
    </w:r>
    <w:r>
      <w:instrText xml:space="preserve"> STYLEREF  标准文件_文件编号 \* MERGEFORMAT </w:instrText>
    </w:r>
    <w:r>
      <w:fldChar w:fldCharType="separate"/>
    </w:r>
    <w:r>
      <w:t>T/XJBX 0067—2025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5E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DE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45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27A8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925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7E46E409">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F68E4E6">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0CBC738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AE1DC6"/>
    <w:rsid w:val="00EF0639"/>
    <w:rsid w:val="00F2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5348</Words>
  <Characters>5627</Characters>
  <Lines>48</Lines>
  <Paragraphs>13</Paragraphs>
  <TotalTime>27</TotalTime>
  <ScaleCrop>false</ScaleCrop>
  <LinksUpToDate>false</LinksUpToDate>
  <CharactersWithSpaces>5712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2025-08-11T06:31:27Z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F60ED99A5D6B4913B836A3F5626582C1_12</vt:lpwstr>
  </property>
</Properties>
</file>