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67"/>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67</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6"/>
            </w:textInput>
          </w:ffData>
        </w:fldChar>
      </w:r>
      <w:bookmarkStart w:id="6" w:name="NSTD_CODE_F"/>
      <w:r>
        <w:instrText xml:space="preserve"> FORMTEXT </w:instrText>
      </w:r>
      <w:r>
        <w:fldChar w:fldCharType="separate"/>
      </w:r>
      <w:r>
        <w:t>0066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多模态数字媒体智能交互设计技术规范"/>
            </w:textInput>
          </w:ffData>
        </w:fldChar>
      </w:r>
      <w:bookmarkStart w:id="9" w:name="CSTD_NAME"/>
      <w:r>
        <w:instrText xml:space="preserve"> FORMTEXT </w:instrText>
      </w:r>
      <w:r>
        <w:fldChar w:fldCharType="separate"/>
      </w:r>
      <w:r>
        <w:t>多模态数字媒体智能交互设计技术规范</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intelligent interaction design of multimodal digital media"/>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intelligent interaction design of multimodal digital media</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FA3CC9F">
      <w:pPr>
        <w:pStyle w:val="91"/>
        <w:spacing w:after="360"/>
        <w:rPr>
          <w:rFonts w:hint="eastAsia"/>
        </w:rPr>
      </w:pPr>
      <w:bookmarkStart w:id="21" w:name="BookMark1"/>
      <w:r>
        <w:rPr>
          <w:rFonts w:hint="eastAsia"/>
          <w:spacing w:val="320"/>
        </w:rPr>
        <w:t>目</w:t>
      </w:r>
      <w:r>
        <w:rPr>
          <w:rFonts w:hint="eastAsia"/>
        </w:rPr>
        <w:t>次</w:t>
      </w:r>
    </w:p>
    <w:p w14:paraId="4DF2E59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"_Toc205748472" </w:instrText>
      </w:r>
      <w:r>
        <w:fldChar w:fldCharType="separate"/>
      </w:r>
      <w:r>
        <w:rPr>
          <w:rStyle w:val="32"/>
        </w:rPr>
        <w:t>前言</w:t>
      </w:r>
      <w:r>
        <w:tab/>
      </w:r>
      <w:r>
        <w:fldChar w:fldCharType="begin"/>
      </w:r>
      <w:r>
        <w:instrText xml:space="preserve"> PAGEREF _Toc205748472 \h </w:instrText>
      </w:r>
      <w:r>
        <w:fldChar w:fldCharType="separate"/>
      </w:r>
      <w:r>
        <w:t>III</w:t>
      </w:r>
      <w:r>
        <w:fldChar w:fldCharType="end"/>
      </w:r>
      <w:r>
        <w:fldChar w:fldCharType="end"/>
      </w:r>
    </w:p>
    <w:p w14:paraId="7A5F8E93">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"_Toc205748473" </w:instrText>
      </w:r>
      <w:r>
        <w:fldChar w:fldCharType="separate"/>
      </w:r>
      <w:r>
        <w:rPr>
          <w:rStyle w:val="32"/>
        </w:rPr>
        <w:t>引言</w:t>
      </w:r>
      <w:r>
        <w:tab/>
      </w:r>
      <w:r>
        <w:fldChar w:fldCharType="begin"/>
      </w:r>
      <w:r>
        <w:instrText xml:space="preserve"> PAGEREF _Toc205748473 \h </w:instrText>
      </w:r>
      <w:r>
        <w:fldChar w:fldCharType="separate"/>
      </w:r>
      <w:r>
        <w:t>V</w:t>
      </w:r>
      <w:r>
        <w:fldChar w:fldCharType="end"/>
      </w:r>
      <w:r>
        <w:fldChar w:fldCharType="end"/>
      </w:r>
    </w:p>
    <w:p w14:paraId="3EED95BD">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"_Toc205748474" </w:instrText>
      </w:r>
      <w:r>
        <w:fldChar w:fldCharType="separate"/>
      </w:r>
      <w:r>
        <w:rPr>
          <w:rStyle w:val="32"/>
        </w:rPr>
        <w:t>1  范围</w:t>
      </w:r>
      <w:r>
        <w:tab/>
      </w:r>
      <w:r>
        <w:fldChar w:fldCharType="begin"/>
      </w:r>
      <w:r>
        <w:instrText xml:space="preserve"> PAGEREF _Toc205748474 \h </w:instrText>
      </w:r>
      <w:r>
        <w:fldChar w:fldCharType="separate"/>
      </w:r>
      <w:r>
        <w:t>1</w:t>
      </w:r>
      <w:r>
        <w:fldChar w:fldCharType="end"/>
      </w:r>
      <w:r>
        <w:fldChar w:fldCharType="end"/>
      </w:r>
    </w:p>
    <w:p w14:paraId="3B9642B6">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"_Toc205748475" </w:instrText>
      </w:r>
      <w:r>
        <w:fldChar w:fldCharType="separate"/>
      </w:r>
      <w:r>
        <w:rPr>
          <w:rStyle w:val="32"/>
        </w:rPr>
        <w:t>2  规范性引用文件</w:t>
      </w:r>
      <w:r>
        <w:tab/>
      </w:r>
      <w:r>
        <w:fldChar w:fldCharType="begin"/>
      </w:r>
      <w:r>
        <w:instrText xml:space="preserve"> PAGEREF _Toc205748475 \h </w:instrText>
      </w:r>
      <w:r>
        <w:fldChar w:fldCharType="separate"/>
      </w:r>
      <w:r>
        <w:t>1</w:t>
      </w:r>
      <w:r>
        <w:fldChar w:fldCharType="end"/>
      </w:r>
      <w:r>
        <w:fldChar w:fldCharType="end"/>
      </w:r>
    </w:p>
    <w:p w14:paraId="0E8A0BCC">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"_Toc205748476" </w:instrText>
      </w:r>
      <w:r>
        <w:fldChar w:fldCharType="separate"/>
      </w:r>
      <w:r>
        <w:rPr>
          <w:rStyle w:val="32"/>
        </w:rPr>
        <w:t>3  术语和定义</w:t>
      </w:r>
      <w:r>
        <w:tab/>
      </w:r>
      <w:r>
        <w:fldChar w:fldCharType="begin"/>
      </w:r>
      <w:r>
        <w:instrText xml:space="preserve"> PAGEREF _Toc205748476 \h </w:instrText>
      </w:r>
      <w:r>
        <w:fldChar w:fldCharType="separate"/>
      </w:r>
      <w:r>
        <w:t>1</w:t>
      </w:r>
      <w:r>
        <w:fldChar w:fldCharType="end"/>
      </w:r>
      <w:r>
        <w:fldChar w:fldCharType="end"/>
      </w:r>
    </w:p>
    <w:p w14:paraId="60F3561E">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"_Toc205748477" </w:instrText>
      </w:r>
      <w:r>
        <w:fldChar w:fldCharType="separate"/>
      </w:r>
      <w:r>
        <w:rPr>
          <w:rStyle w:val="32"/>
        </w:rPr>
        <w:t>4  总体设计原则</w:t>
      </w:r>
      <w:r>
        <w:tab/>
      </w:r>
      <w:r>
        <w:fldChar w:fldCharType="begin"/>
      </w:r>
      <w:r>
        <w:instrText xml:space="preserve"> PAGEREF _Toc205748477 \h </w:instrText>
      </w:r>
      <w:r>
        <w:fldChar w:fldCharType="separate"/>
      </w:r>
      <w:r>
        <w:t>2</w:t>
      </w:r>
      <w:r>
        <w:fldChar w:fldCharType="end"/>
      </w:r>
      <w:r>
        <w:fldChar w:fldCharType="end"/>
      </w:r>
    </w:p>
    <w:p w14:paraId="723BA1E6">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"_Toc205748478" </w:instrText>
      </w:r>
      <w:r>
        <w:fldChar w:fldCharType="separate"/>
      </w:r>
      <w:r>
        <w:rPr>
          <w:rStyle w:val="32"/>
        </w:rPr>
        <w:t>5  功能结构与模块划分</w:t>
      </w:r>
      <w:r>
        <w:tab/>
      </w:r>
      <w:r>
        <w:fldChar w:fldCharType="begin"/>
      </w:r>
      <w:r>
        <w:instrText xml:space="preserve"> PAGEREF _Toc205748478 \h </w:instrText>
      </w:r>
      <w:r>
        <w:fldChar w:fldCharType="separate"/>
      </w:r>
      <w:r>
        <w:t>3</w:t>
      </w:r>
      <w:r>
        <w:fldChar w:fldCharType="end"/>
      </w:r>
      <w:r>
        <w:fldChar w:fldCharType="end"/>
      </w:r>
    </w:p>
    <w:p w14:paraId="74BEEF0F">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"_Toc205748479" </w:instrText>
      </w:r>
      <w:r>
        <w:fldChar w:fldCharType="separate"/>
      </w:r>
      <w:r>
        <w:rPr>
          <w:rStyle w:val="32"/>
        </w:rPr>
        <w:t>6  数据处理与融合方法</w:t>
      </w:r>
      <w:r>
        <w:tab/>
      </w:r>
      <w:r>
        <w:fldChar w:fldCharType="begin"/>
      </w:r>
      <w:r>
        <w:instrText xml:space="preserve"> PAGEREF _Toc205748479 \h </w:instrText>
      </w:r>
      <w:r>
        <w:fldChar w:fldCharType="separate"/>
      </w:r>
      <w:r>
        <w:t>4</w:t>
      </w:r>
      <w:r>
        <w:fldChar w:fldCharType="end"/>
      </w:r>
      <w:r>
        <w:fldChar w:fldCharType="end"/>
      </w:r>
    </w:p>
    <w:p w14:paraId="5BE6120D">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"_Toc205748480" </w:instrText>
      </w:r>
      <w:r>
        <w:fldChar w:fldCharType="separate"/>
      </w:r>
      <w:r>
        <w:rPr>
          <w:rStyle w:val="32"/>
        </w:rPr>
        <w:t>7  交互逻辑设计</w:t>
      </w:r>
      <w:r>
        <w:tab/>
      </w:r>
      <w:r>
        <w:fldChar w:fldCharType="begin"/>
      </w:r>
      <w:r>
        <w:instrText xml:space="preserve"> PAGEREF _Toc205748480 \h </w:instrText>
      </w:r>
      <w:r>
        <w:fldChar w:fldCharType="separate"/>
      </w:r>
      <w:r>
        <w:t>5</w:t>
      </w:r>
      <w:r>
        <w:fldChar w:fldCharType="end"/>
      </w:r>
      <w:r>
        <w:fldChar w:fldCharType="end"/>
      </w:r>
    </w:p>
    <w:p w14:paraId="244F6374">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"_Toc205748481" </w:instrText>
      </w:r>
      <w:r>
        <w:fldChar w:fldCharType="separate"/>
      </w:r>
      <w:r>
        <w:rPr>
          <w:rStyle w:val="32"/>
        </w:rPr>
        <w:t>8  用户体验优化</w:t>
      </w:r>
      <w:r>
        <w:tab/>
      </w:r>
      <w:r>
        <w:fldChar w:fldCharType="begin"/>
      </w:r>
      <w:r>
        <w:instrText xml:space="preserve"> PAGEREF _Toc205748481 \h </w:instrText>
      </w:r>
      <w:r>
        <w:fldChar w:fldCharType="separate"/>
      </w:r>
      <w:r>
        <w:t>6</w:t>
      </w:r>
      <w:r>
        <w:fldChar w:fldCharType="end"/>
      </w:r>
      <w:r>
        <w:fldChar w:fldCharType="end"/>
      </w:r>
    </w:p>
    <w:p w14:paraId="14A70DBE">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"_Toc205748482" </w:instrText>
      </w:r>
      <w:r>
        <w:fldChar w:fldCharType="separate"/>
      </w:r>
      <w:r>
        <w:rPr>
          <w:rStyle w:val="32"/>
        </w:rPr>
        <w:t>9  安全与隐私保护</w:t>
      </w:r>
      <w:r>
        <w:tab/>
      </w:r>
      <w:r>
        <w:fldChar w:fldCharType="begin"/>
      </w:r>
      <w:r>
        <w:instrText xml:space="preserve"> PAGEREF _Toc205748482 \h </w:instrText>
      </w:r>
      <w:r>
        <w:fldChar w:fldCharType="separate"/>
      </w:r>
      <w:r>
        <w:t>6</w:t>
      </w:r>
      <w:r>
        <w:fldChar w:fldCharType="end"/>
      </w:r>
      <w:r>
        <w:fldChar w:fldCharType="end"/>
      </w:r>
    </w:p>
    <w:p w14:paraId="67C6F921">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"_Toc205748483" </w:instrText>
      </w:r>
      <w:r>
        <w:fldChar w:fldCharType="separate"/>
      </w:r>
      <w:r>
        <w:rPr>
          <w:rStyle w:val="32"/>
        </w:rPr>
        <w:t>10  性能测试与评价</w:t>
      </w:r>
      <w:r>
        <w:tab/>
      </w:r>
      <w:r>
        <w:fldChar w:fldCharType="begin"/>
      </w:r>
      <w:r>
        <w:instrText xml:space="preserve"> PAGEREF _Toc205748483 \h </w:instrText>
      </w:r>
      <w:r>
        <w:fldChar w:fldCharType="separate"/>
      </w:r>
      <w:r>
        <w:t>7</w:t>
      </w:r>
      <w:r>
        <w:fldChar w:fldCharType="end"/>
      </w:r>
      <w:r>
        <w:fldChar w:fldCharType="end"/>
      </w:r>
    </w:p>
    <w:p w14:paraId="57504F4A">
      <w:pPr>
        <w:pStyle w:val="19"/>
        <w:tabs>
          <w:tab w:val="right" w:leader="dot" w:pos="9344"/>
        </w:tabs>
        <w:rPr>
          <w:rFonts w:asciiTheme="minorHAnsi" w:hAnsiTheme="minorHAnsi" w:eastAsiaTheme="minorEastAsia" w:cstheme="minorBidi"/>
          <w:szCs w:val="22"/>
        </w:rPr>
      </w:pPr>
      <w:r>
        <w:fldChar w:fldCharType="begin"/>
      </w:r>
      <w:r>
        <w:instrText xml:space="preserve"> HYPERLINK \l "_Toc205748484" </w:instrText>
      </w:r>
      <w:r>
        <w:fldChar w:fldCharType="separate"/>
      </w:r>
      <w:r>
        <w:rPr>
          <w:rStyle w:val="32"/>
        </w:rPr>
        <w:t>11  实施与维护</w:t>
      </w:r>
      <w:r>
        <w:tab/>
      </w:r>
      <w:r>
        <w:fldChar w:fldCharType="begin"/>
      </w:r>
      <w:r>
        <w:instrText xml:space="preserve"> PAGEREF _Toc205748484 \h </w:instrText>
      </w:r>
      <w:r>
        <w:fldChar w:fldCharType="separate"/>
      </w:r>
      <w:r>
        <w:t>8</w:t>
      </w:r>
      <w:r>
        <w:fldChar w:fldCharType="end"/>
      </w:r>
      <w:r>
        <w:fldChar w:fldCharType="end"/>
      </w:r>
    </w:p>
    <w:p w14:paraId="184F3D8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48472"/>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本文件起草单位：合肥财经职业学院。</w:t>
      </w:r>
    </w:p>
    <w:p w14:paraId="55F4A5D1">
      <w:pPr>
        <w:pStyle w:val="56"/>
        <w:spacing w:line="360" w:lineRule="auto"/>
        <w:ind w:firstLine="420"/>
      </w:pPr>
      <w:r>
        <w:rPr>
          <w:rFonts w:hint="eastAsia"/>
        </w:rPr>
        <w:t>本文件主要起草人：陈琳。</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748473"/>
      <w:bookmarkStart w:id="25" w:name="BookMark3"/>
      <w:r>
        <w:rPr>
          <w:spacing w:val="320"/>
        </w:rPr>
        <w:t>引</w:t>
      </w:r>
      <w:r>
        <w:t>言</w:t>
      </w:r>
      <w:bookmarkEnd w:id="24"/>
    </w:p>
    <w:p w14:paraId="254DA5B6">
      <w:pPr>
        <w:pStyle w:val="56"/>
        <w:spacing w:line="360" w:lineRule="auto"/>
        <w:ind w:firstLine="420"/>
        <w:rPr>
          <w:rFonts w:hint="eastAsia"/>
        </w:rPr>
      </w:pPr>
      <w:r>
        <w:rPr>
          <w:rFonts w:hint="eastAsia"/>
        </w:rPr>
        <w:t>随着人工智能、虚拟现实、增强现实、物联网等技术的快速发展，数字媒体的交互方式逐渐从单一模态向多模态融合方向演进。多模态数字媒体智能交互技术通过整合视觉、听觉、触觉、语言及环境感知等多种信息通道，实现更自然、更高效的人机信息交换与情感互动，在文化创意、教育培训、医疗康复、智能制造、智慧城市等领域展现出广阔的应用前景。</w:t>
      </w:r>
    </w:p>
    <w:p w14:paraId="221E3B99">
      <w:pPr>
        <w:pStyle w:val="56"/>
        <w:spacing w:line="360" w:lineRule="auto"/>
        <w:ind w:firstLine="420"/>
        <w:rPr>
          <w:rFonts w:hint="eastAsia"/>
        </w:rPr>
      </w:pPr>
      <w:r>
        <w:rPr>
          <w:rFonts w:hint="eastAsia"/>
        </w:rPr>
        <w:t>然而，当前多模态交互系统在设计方法、性能评价、兼容性、可用性与安全性等方面尚缺乏统一的技术标准，导致系统开发过程存在接口不一致、设计规范不足、用户体验差异显著等问题。制定本技术规范旨在为多模态数字媒体智能交互系统的设计与实现提供系统性、可操作的技术要求，提升设计的科学性与一致性，促进产业链上下游的协同创新与跨平台兼容，保障用户的交互体验与数据安全。</w:t>
      </w:r>
    </w:p>
    <w:p w14:paraId="7F4A69FE">
      <w:pPr>
        <w:pStyle w:val="56"/>
        <w:spacing w:line="360" w:lineRule="auto"/>
        <w:ind w:firstLine="420"/>
      </w:pPr>
      <w:r>
        <w:rPr>
          <w:rFonts w:hint="eastAsia"/>
        </w:rPr>
        <w:t>本文件结合多模态交互技术的发展现状与前沿趋势，借鉴国内外相关研究成果与工程实践经验，明确了交互系统设计的总体原则、功能模块划分、数据处理与融合方法、交互逻辑设计、用户体验优化、安全与隐私保护等方面的技术要求，并提出测试与评价的方法框架，以指导相关单位在系统设计、研发、实施与验收过程中的标准化工作。</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多模态数字媒体智能交互设计技术规范</w:t>
          </w:r>
        </w:p>
      </w:sdtContent>
    </w:sdt>
    <w:bookmarkEnd w:id="27"/>
    <w:p w14:paraId="3DB22445">
      <w:pPr>
        <w:pStyle w:val="104"/>
        <w:spacing w:before="240" w:after="240" w:line="360" w:lineRule="auto"/>
      </w:pPr>
      <w:bookmarkStart w:id="28" w:name="_Toc17233333"/>
      <w:bookmarkStart w:id="29" w:name="_Toc17233325"/>
      <w:bookmarkStart w:id="30" w:name="_Toc26986771"/>
      <w:bookmarkStart w:id="31" w:name="_Toc26648465"/>
      <w:bookmarkStart w:id="32" w:name="_Toc24884218"/>
      <w:bookmarkStart w:id="33" w:name="_Toc26718930"/>
      <w:bookmarkStart w:id="34" w:name="_Toc97192964"/>
      <w:bookmarkStart w:id="35" w:name="_Toc24884211"/>
      <w:bookmarkStart w:id="36" w:name="_Toc26986530"/>
      <w:bookmarkStart w:id="37" w:name="_Toc205748474"/>
      <w:r>
        <w:rPr>
          <w:rFonts w:hint="eastAsia"/>
        </w:rPr>
        <w:t>范围</w:t>
      </w:r>
      <w:bookmarkEnd w:id="28"/>
      <w:bookmarkEnd w:id="29"/>
      <w:bookmarkEnd w:id="30"/>
      <w:bookmarkEnd w:id="31"/>
      <w:bookmarkEnd w:id="32"/>
      <w:bookmarkEnd w:id="33"/>
      <w:bookmarkEnd w:id="34"/>
      <w:bookmarkEnd w:id="35"/>
      <w:bookmarkEnd w:id="36"/>
      <w:bookmarkEnd w:id="37"/>
    </w:p>
    <w:p w14:paraId="16BDE184">
      <w:pPr>
        <w:pStyle w:val="56"/>
        <w:spacing w:line="360" w:lineRule="auto"/>
        <w:ind w:firstLine="420"/>
        <w:rPr>
          <w:rFonts w:hint="eastAsia"/>
        </w:rPr>
      </w:pPr>
      <w:bookmarkStart w:id="38" w:name="_Toc17233326"/>
      <w:bookmarkStart w:id="39" w:name="_Toc24884212"/>
      <w:bookmarkStart w:id="40" w:name="_Toc24884219"/>
      <w:bookmarkStart w:id="41" w:name="_Toc17233334"/>
      <w:bookmarkStart w:id="42" w:name="_Toc26648466"/>
      <w:r>
        <w:rPr>
          <w:rFonts w:hint="eastAsia"/>
        </w:rPr>
        <w:t>本文件规定了多模态数字媒体智能交互系统在设计、开发、实施及评价过程中所需遵循的总体设计原则、功能结构与模块划分、数据处理与融合方法、交互逻辑设计、用户体验优化、安全与隐私保护、性能测试与评价及实施与维护等方面的技术要求。</w:t>
      </w:r>
    </w:p>
    <w:p w14:paraId="318CA391">
      <w:pPr>
        <w:pStyle w:val="56"/>
        <w:spacing w:line="360" w:lineRule="auto"/>
        <w:ind w:firstLine="420"/>
        <w:rPr>
          <w:rFonts w:hint="eastAsia"/>
        </w:rPr>
      </w:pPr>
      <w:r>
        <w:rPr>
          <w:rFonts w:hint="eastAsia"/>
        </w:rPr>
        <w:t>本文件适用于涉及视觉、听觉、触觉、语言、姿态、环境感知等两种及以上模态信息的数字媒体交互系统的设计与实现，包括但不限于虚拟现实（VR）、增强现实（AR）、混合现实（MR）、全息影像、智能终端交互平台、智慧教室、沉浸式展览、智能客服等应用场景。</w:t>
      </w:r>
    </w:p>
    <w:p w14:paraId="76265264">
      <w:pPr>
        <w:pStyle w:val="56"/>
        <w:spacing w:line="360" w:lineRule="auto"/>
        <w:ind w:firstLine="420"/>
      </w:pPr>
      <w:r>
        <w:rPr>
          <w:rFonts w:hint="eastAsia"/>
        </w:rPr>
        <w:t>本文件可为多模态交互相关的研发单位、设计机构、集成商、测试与评价机构在产品设计、系统开发、工程实施及成果验收等环节提供参考，也可供行业管理部门、标准化组织和科研机构在相关标准制修订及技术研究中使用。</w:t>
      </w:r>
    </w:p>
    <w:p w14:paraId="3733B2AD">
      <w:pPr>
        <w:pStyle w:val="104"/>
        <w:spacing w:before="240" w:after="240" w:line="360" w:lineRule="auto"/>
      </w:pPr>
      <w:bookmarkStart w:id="43" w:name="_Toc26718931"/>
      <w:bookmarkStart w:id="44" w:name="_Toc26986531"/>
      <w:bookmarkStart w:id="45" w:name="_Toc205748475"/>
      <w:bookmarkStart w:id="46" w:name="_Toc26986772"/>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7894A2">
      <w:pPr>
        <w:pStyle w:val="56"/>
        <w:spacing w:line="360" w:lineRule="auto"/>
        <w:ind w:firstLine="420"/>
      </w:pPr>
      <w:r>
        <w:t>GB/T 2887</w:t>
      </w:r>
      <w:r>
        <w:rPr>
          <w:rFonts w:hint="eastAsia"/>
        </w:rPr>
        <w:t>—2011</w:t>
      </w:r>
      <w:r>
        <w:t xml:space="preserve"> </w:t>
      </w:r>
      <w:r>
        <w:rPr>
          <w:rFonts w:hint="eastAsia"/>
        </w:rPr>
        <w:t>计算机场地通用规范</w:t>
      </w:r>
    </w:p>
    <w:p w14:paraId="38C624F8">
      <w:pPr>
        <w:pStyle w:val="56"/>
        <w:spacing w:line="360" w:lineRule="auto"/>
        <w:ind w:firstLine="420"/>
      </w:pPr>
      <w:r>
        <w:t>GB/T 35273</w:t>
      </w:r>
      <w:r>
        <w:rPr>
          <w:rFonts w:hint="eastAsia"/>
        </w:rPr>
        <w:t>—2020</w:t>
      </w:r>
      <w:r>
        <w:t xml:space="preserve"> </w:t>
      </w:r>
      <w:r>
        <w:rPr>
          <w:rFonts w:hint="eastAsia"/>
        </w:rPr>
        <w:t>信息安全技术</w:t>
      </w:r>
      <w:r>
        <w:t xml:space="preserve">  </w:t>
      </w:r>
      <w:r>
        <w:rPr>
          <w:rFonts w:hint="eastAsia"/>
        </w:rPr>
        <w:t>个人信息安全规范</w:t>
      </w:r>
    </w:p>
    <w:p w14:paraId="24850EF2">
      <w:pPr>
        <w:pStyle w:val="56"/>
        <w:spacing w:line="360" w:lineRule="auto"/>
        <w:ind w:firstLine="420"/>
      </w:pPr>
      <w:r>
        <w:t>GB/T 3</w:t>
      </w:r>
      <w:r>
        <w:rPr>
          <w:rFonts w:hint="eastAsia"/>
        </w:rPr>
        <w:t>8247—2019</w:t>
      </w:r>
      <w:r>
        <w:t xml:space="preserve"> </w:t>
      </w:r>
      <w:r>
        <w:rPr>
          <w:rFonts w:hint="eastAsia"/>
        </w:rPr>
        <w:t>信息技术  增强现实  术语</w:t>
      </w:r>
    </w:p>
    <w:p w14:paraId="49EC78F3">
      <w:pPr>
        <w:pStyle w:val="56"/>
        <w:spacing w:line="360" w:lineRule="auto"/>
        <w:ind w:firstLine="420"/>
      </w:pPr>
      <w:r>
        <w:t xml:space="preserve">GB/T 25000.51 </w:t>
      </w:r>
      <w:r>
        <w:rPr>
          <w:rFonts w:hint="eastAsia"/>
        </w:rPr>
        <w:t xml:space="preserve">系统与软件工程 </w:t>
      </w:r>
      <w:r>
        <w:t xml:space="preserve"> </w:t>
      </w:r>
      <w:r>
        <w:rPr>
          <w:rFonts w:hint="eastAsia"/>
        </w:rPr>
        <w:t xml:space="preserve">系统与软件质量要求和评价（SQuaRE） </w:t>
      </w:r>
      <w:r>
        <w:t xml:space="preserve"> </w:t>
      </w:r>
      <w:r>
        <w:rPr>
          <w:rFonts w:hint="eastAsia"/>
        </w:rPr>
        <w:t>第51部分：就绪可用软件产品（RUSP）的质量要求和测试细则</w:t>
      </w:r>
    </w:p>
    <w:p w14:paraId="51F02A4E">
      <w:pPr>
        <w:pStyle w:val="104"/>
        <w:spacing w:before="240" w:after="240" w:line="360" w:lineRule="auto"/>
      </w:pPr>
      <w:bookmarkStart w:id="48" w:name="_Toc205748476"/>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39A70D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多模态交互 </w:t>
      </w:r>
      <w:r>
        <w:rPr>
          <w:rFonts w:ascii="黑体" w:hAnsi="黑体" w:eastAsia="黑体"/>
        </w:rPr>
        <w:t>multimodal interaction</w:t>
      </w:r>
    </w:p>
    <w:p w14:paraId="46E8E364">
      <w:pPr>
        <w:pStyle w:val="56"/>
        <w:spacing w:line="360" w:lineRule="auto"/>
        <w:ind w:firstLine="420"/>
        <w:rPr>
          <w:rFonts w:hint="eastAsia"/>
        </w:rPr>
      </w:pPr>
      <w:r>
        <w:rPr>
          <w:rFonts w:hint="eastAsia"/>
        </w:rPr>
        <w:t>基于两种及以上感知模态（如视觉、听觉、触觉、语言、姿态等）的信息输入与输出，实现用户与系统之间信息交换与反馈的人机交互方式。</w:t>
      </w:r>
    </w:p>
    <w:p w14:paraId="12115D8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数字媒体 </w:t>
      </w:r>
      <w:r>
        <w:rPr>
          <w:rFonts w:ascii="黑体" w:hAnsi="黑体" w:eastAsia="黑体"/>
        </w:rPr>
        <w:t>digital media</w:t>
      </w:r>
    </w:p>
    <w:p w14:paraId="3F3D549D">
      <w:pPr>
        <w:pStyle w:val="56"/>
        <w:spacing w:line="360" w:lineRule="auto"/>
        <w:ind w:firstLine="420"/>
        <w:rPr>
          <w:rFonts w:hint="eastAsia"/>
        </w:rPr>
      </w:pPr>
      <w:r>
        <w:rPr>
          <w:rFonts w:hint="eastAsia"/>
        </w:rPr>
        <w:t>以数字化形式存储、处理和传播的文本、图像、音频、视频及其他多媒体内容的总称。</w:t>
      </w:r>
    </w:p>
    <w:p w14:paraId="77EFD59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智能交互 </w:t>
      </w:r>
      <w:r>
        <w:rPr>
          <w:rFonts w:ascii="黑体" w:hAnsi="黑体" w:eastAsia="黑体"/>
        </w:rPr>
        <w:t>intelligent interaction</w:t>
      </w:r>
    </w:p>
    <w:p w14:paraId="46E32D8C">
      <w:pPr>
        <w:pStyle w:val="56"/>
        <w:spacing w:line="360" w:lineRule="auto"/>
        <w:ind w:firstLine="420"/>
        <w:rPr>
          <w:rFonts w:hint="eastAsia"/>
        </w:rPr>
      </w:pPr>
      <w:r>
        <w:rPr>
          <w:rFonts w:hint="eastAsia"/>
        </w:rPr>
        <w:t>利用人工智能技术对用户输入信息进行感知、理解、推理与决策，并生成符合语境和用户需求的交互反馈的过程。</w:t>
      </w:r>
    </w:p>
    <w:p w14:paraId="6E618AA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模态 </w:t>
      </w:r>
      <w:r>
        <w:rPr>
          <w:rFonts w:ascii="黑体" w:hAnsi="黑体" w:eastAsia="黑体"/>
        </w:rPr>
        <w:t>modality</w:t>
      </w:r>
    </w:p>
    <w:p w14:paraId="2F10385A">
      <w:pPr>
        <w:pStyle w:val="56"/>
        <w:spacing w:line="360" w:lineRule="auto"/>
        <w:ind w:firstLine="420"/>
        <w:rPr>
          <w:rFonts w:hint="eastAsia"/>
        </w:rPr>
      </w:pPr>
      <w:r>
        <w:rPr>
          <w:rFonts w:hint="eastAsia"/>
        </w:rPr>
        <w:t>人机交互中信息传递所依赖的感知通道或表现形式，如视觉模态、听觉模态、触觉模态、语言模态、嗅觉模态等。</w:t>
      </w:r>
    </w:p>
    <w:p w14:paraId="0FF261C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多模态数据融合 </w:t>
      </w:r>
      <w:r>
        <w:rPr>
          <w:rFonts w:ascii="黑体" w:hAnsi="黑体" w:eastAsia="黑体"/>
        </w:rPr>
        <w:t>multimodal data fusion</w:t>
      </w:r>
    </w:p>
    <w:p w14:paraId="609EFEF7">
      <w:pPr>
        <w:pStyle w:val="56"/>
        <w:spacing w:line="360" w:lineRule="auto"/>
        <w:ind w:firstLine="420"/>
        <w:rPr>
          <w:rFonts w:hint="eastAsia"/>
        </w:rPr>
      </w:pPr>
      <w:r>
        <w:rPr>
          <w:rFonts w:hint="eastAsia"/>
        </w:rPr>
        <w:t>将来自不同模态的信息源进行同步处理、特征提取与优化整合，以提高交互系统感知精度、理解能力和响应质量的技术方法。</w:t>
      </w:r>
    </w:p>
    <w:p w14:paraId="2532752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用户体验 </w:t>
      </w:r>
      <w:r>
        <w:rPr>
          <w:rFonts w:ascii="黑体" w:hAnsi="黑体" w:eastAsia="黑体"/>
        </w:rPr>
        <w:t>user experience, UX</w:t>
      </w:r>
    </w:p>
    <w:p w14:paraId="1BC50920">
      <w:pPr>
        <w:pStyle w:val="56"/>
        <w:spacing w:line="360" w:lineRule="auto"/>
        <w:ind w:firstLine="420"/>
        <w:rPr>
          <w:rFonts w:hint="eastAsia"/>
        </w:rPr>
      </w:pPr>
      <w:r>
        <w:rPr>
          <w:rFonts w:hint="eastAsia"/>
        </w:rPr>
        <w:t>用户在使用产品或系统过程中所形成的全部主观感受与评价，包括可用性、易用性、沉浸感、满意度等方面。</w:t>
      </w:r>
    </w:p>
    <w:p w14:paraId="070EDA9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沉浸感 </w:t>
      </w:r>
      <w:r>
        <w:rPr>
          <w:rFonts w:ascii="黑体" w:hAnsi="黑体" w:eastAsia="黑体"/>
        </w:rPr>
        <w:t>immersion</w:t>
      </w:r>
    </w:p>
    <w:p w14:paraId="11ED0D72">
      <w:pPr>
        <w:pStyle w:val="56"/>
        <w:spacing w:line="360" w:lineRule="auto"/>
        <w:ind w:firstLine="420"/>
      </w:pPr>
      <w:r>
        <w:rPr>
          <w:rFonts w:hint="eastAsia"/>
        </w:rPr>
        <w:t>用户在虚拟或增强环境中产生的深度参与和临场感受，通常由视觉、听觉、触觉等多模态感知的协调一致性和交互自然性决定。</w:t>
      </w:r>
    </w:p>
    <w:p w14:paraId="71095504">
      <w:pPr>
        <w:pStyle w:val="104"/>
        <w:spacing w:before="240" w:after="240" w:line="360" w:lineRule="auto"/>
        <w:rPr>
          <w:rFonts w:hint="eastAsia"/>
        </w:rPr>
      </w:pPr>
      <w:bookmarkStart w:id="51" w:name="_Toc205748477"/>
      <w:r>
        <w:rPr>
          <w:rFonts w:hint="eastAsia"/>
        </w:rPr>
        <w:t>总体设计原则</w:t>
      </w:r>
      <w:bookmarkEnd w:id="51"/>
    </w:p>
    <w:p w14:paraId="03E6E517">
      <w:pPr>
        <w:pStyle w:val="56"/>
        <w:spacing w:line="360" w:lineRule="auto"/>
        <w:ind w:firstLine="420"/>
        <w:rPr>
          <w:rFonts w:hint="eastAsia"/>
        </w:rPr>
      </w:pPr>
      <w:r>
        <w:rPr>
          <w:rFonts w:hint="eastAsia"/>
        </w:rPr>
        <w:t>多模态数字媒体智能交互系统的设计应遵循以下原则，以确保系统的功能性、兼容性、安全性及用户体验的整体优化。</w:t>
      </w:r>
    </w:p>
    <w:p w14:paraId="3573371E">
      <w:pPr>
        <w:pStyle w:val="105"/>
        <w:spacing w:before="120" w:after="120" w:line="360" w:lineRule="auto"/>
        <w:rPr>
          <w:rFonts w:hint="eastAsia"/>
        </w:rPr>
      </w:pPr>
      <w:r>
        <w:rPr>
          <w:rFonts w:hint="eastAsia"/>
        </w:rPr>
        <w:t>用户中心原则</w:t>
      </w:r>
    </w:p>
    <w:p w14:paraId="201638D7">
      <w:pPr>
        <w:pStyle w:val="56"/>
        <w:spacing w:line="360" w:lineRule="auto"/>
        <w:ind w:firstLine="420"/>
        <w:rPr>
          <w:rFonts w:hint="eastAsia"/>
        </w:rPr>
      </w:pPr>
      <w:r>
        <w:rPr>
          <w:rFonts w:hint="eastAsia"/>
        </w:rPr>
        <w:t>系统设计应以用户需求为导向，充分考虑目标用户群体的特征、使用习惯及交互偏好，通过需求分析和用户研究确保设计成果与用户期望高度契合。</w:t>
      </w:r>
    </w:p>
    <w:p w14:paraId="09735686">
      <w:pPr>
        <w:pStyle w:val="105"/>
        <w:spacing w:before="120" w:after="120" w:line="360" w:lineRule="auto"/>
        <w:rPr>
          <w:rFonts w:hint="eastAsia"/>
        </w:rPr>
      </w:pPr>
      <w:r>
        <w:rPr>
          <w:rFonts w:hint="eastAsia"/>
        </w:rPr>
        <w:t>多模态协同原则</w:t>
      </w:r>
    </w:p>
    <w:p w14:paraId="28CB0D80">
      <w:pPr>
        <w:pStyle w:val="56"/>
        <w:spacing w:line="360" w:lineRule="auto"/>
        <w:ind w:firstLine="420"/>
        <w:rPr>
          <w:rFonts w:hint="eastAsia"/>
        </w:rPr>
      </w:pPr>
      <w:r>
        <w:rPr>
          <w:rFonts w:hint="eastAsia"/>
        </w:rPr>
        <w:t>应实现各模态信息的有机融合与互补优势发挥，确保视觉、听觉、触觉等信息在时间、空间及语义上的一致性，减少多模态冲突，提高交互的自然性与流畅度。</w:t>
      </w:r>
    </w:p>
    <w:p w14:paraId="57947390">
      <w:pPr>
        <w:pStyle w:val="105"/>
        <w:spacing w:before="120" w:after="120" w:line="360" w:lineRule="auto"/>
        <w:rPr>
          <w:rFonts w:hint="eastAsia"/>
        </w:rPr>
      </w:pPr>
      <w:r>
        <w:rPr>
          <w:rFonts w:hint="eastAsia"/>
        </w:rPr>
        <w:t>兼容性与可扩展性原则</w:t>
      </w:r>
    </w:p>
    <w:p w14:paraId="75224E40">
      <w:pPr>
        <w:pStyle w:val="56"/>
        <w:spacing w:line="360" w:lineRule="auto"/>
        <w:ind w:firstLine="420"/>
        <w:rPr>
          <w:rFonts w:hint="eastAsia"/>
        </w:rPr>
      </w:pPr>
      <w:r>
        <w:rPr>
          <w:rFonts w:hint="eastAsia"/>
        </w:rPr>
        <w:t>系统设计应具备良好的软硬件兼容性和接口标准化能力，支持不同设备、平台与应用场景的无缝对接，同时便于后续功能扩展与升级。</w:t>
      </w:r>
    </w:p>
    <w:p w14:paraId="482BA4F1">
      <w:pPr>
        <w:pStyle w:val="105"/>
        <w:spacing w:before="120" w:after="120" w:line="360" w:lineRule="auto"/>
        <w:rPr>
          <w:rFonts w:hint="eastAsia"/>
        </w:rPr>
      </w:pPr>
      <w:r>
        <w:rPr>
          <w:rFonts w:hint="eastAsia"/>
        </w:rPr>
        <w:t>安全与隐私保护原则</w:t>
      </w:r>
    </w:p>
    <w:p w14:paraId="4D639129">
      <w:pPr>
        <w:pStyle w:val="56"/>
        <w:spacing w:line="360" w:lineRule="auto"/>
        <w:ind w:firstLine="420"/>
        <w:rPr>
          <w:rFonts w:hint="eastAsia"/>
        </w:rPr>
      </w:pPr>
      <w:r>
        <w:rPr>
          <w:rFonts w:hint="eastAsia"/>
        </w:rPr>
        <w:t>应在数据采集、传输、存储及处理的全过程中落实信息安全与隐私保护措施，防止数据泄露、滥用与非法访问，符合相关法律法规及行业标准要求。</w:t>
      </w:r>
    </w:p>
    <w:p w14:paraId="35AFABF9">
      <w:pPr>
        <w:pStyle w:val="105"/>
        <w:spacing w:before="120" w:after="120" w:line="360" w:lineRule="auto"/>
        <w:rPr>
          <w:rFonts w:hint="eastAsia"/>
        </w:rPr>
      </w:pPr>
      <w:r>
        <w:rPr>
          <w:rFonts w:hint="eastAsia"/>
        </w:rPr>
        <w:t>高可用性与可访问性原则</w:t>
      </w:r>
    </w:p>
    <w:p w14:paraId="2F653451">
      <w:pPr>
        <w:pStyle w:val="56"/>
        <w:spacing w:line="360" w:lineRule="auto"/>
        <w:ind w:firstLine="420"/>
        <w:rPr>
          <w:rFonts w:hint="eastAsia"/>
        </w:rPr>
      </w:pPr>
      <w:r>
        <w:rPr>
          <w:rFonts w:hint="eastAsia"/>
        </w:rPr>
        <w:t>系统应保持稳定性与可靠性，具备容错与冗余设计，保障在多种网络与硬件环境下的连续可用性。同时，应为不同年龄、能力与背景的用户提供无障碍交互支持。</w:t>
      </w:r>
    </w:p>
    <w:p w14:paraId="62286429">
      <w:pPr>
        <w:pStyle w:val="105"/>
        <w:spacing w:before="120" w:after="120" w:line="360" w:lineRule="auto"/>
        <w:rPr>
          <w:rFonts w:hint="eastAsia"/>
        </w:rPr>
      </w:pPr>
      <w:r>
        <w:rPr>
          <w:rFonts w:hint="eastAsia"/>
        </w:rPr>
        <w:t>低延迟与高性能原则</w:t>
      </w:r>
    </w:p>
    <w:p w14:paraId="4297514F">
      <w:pPr>
        <w:pStyle w:val="56"/>
        <w:spacing w:line="360" w:lineRule="auto"/>
        <w:ind w:firstLine="420"/>
        <w:rPr>
          <w:rFonts w:hint="eastAsia"/>
        </w:rPr>
      </w:pPr>
      <w:r>
        <w:rPr>
          <w:rFonts w:hint="eastAsia"/>
        </w:rPr>
        <w:t>应优化交互链路与数据处理流程，降低响应延迟，提高渲染与计算性能，以提升实时交互的流畅度与沉浸体验。</w:t>
      </w:r>
    </w:p>
    <w:p w14:paraId="0DC37290">
      <w:pPr>
        <w:pStyle w:val="105"/>
        <w:spacing w:before="120" w:after="120" w:line="360" w:lineRule="auto"/>
        <w:rPr>
          <w:rFonts w:hint="eastAsia"/>
        </w:rPr>
      </w:pPr>
      <w:r>
        <w:rPr>
          <w:rFonts w:hint="eastAsia"/>
        </w:rPr>
        <w:t>可持续发展原则</w:t>
      </w:r>
    </w:p>
    <w:p w14:paraId="1E0EC56C">
      <w:pPr>
        <w:pStyle w:val="56"/>
        <w:spacing w:line="360" w:lineRule="auto"/>
        <w:ind w:firstLine="420"/>
        <w:rPr>
          <w:rFonts w:hint="eastAsia"/>
        </w:rPr>
      </w:pPr>
      <w:r>
        <w:rPr>
          <w:rFonts w:hint="eastAsia"/>
        </w:rPr>
        <w:t>应优先采用绿色节能的硬件方案与高效算法，减少能耗与碳排放，支持可持续的数字化建设与运营。</w:t>
      </w:r>
    </w:p>
    <w:p w14:paraId="499AB726">
      <w:pPr>
        <w:pStyle w:val="104"/>
        <w:spacing w:before="240" w:after="240" w:line="360" w:lineRule="auto"/>
        <w:rPr>
          <w:rFonts w:hint="eastAsia"/>
        </w:rPr>
      </w:pPr>
      <w:bookmarkStart w:id="52" w:name="_Toc205748478"/>
      <w:r>
        <w:rPr>
          <w:rFonts w:hint="eastAsia"/>
        </w:rPr>
        <w:t>功能结构与模块划分</w:t>
      </w:r>
      <w:bookmarkEnd w:id="52"/>
    </w:p>
    <w:p w14:paraId="4958723E">
      <w:pPr>
        <w:pStyle w:val="105"/>
        <w:spacing w:before="120" w:after="120" w:line="360" w:lineRule="auto"/>
        <w:rPr>
          <w:rFonts w:hint="eastAsia"/>
        </w:rPr>
      </w:pPr>
      <w:r>
        <w:rPr>
          <w:rFonts w:hint="eastAsia"/>
        </w:rPr>
        <w:t>感知与采集模块</w:t>
      </w:r>
    </w:p>
    <w:p w14:paraId="6123910F">
      <w:pPr>
        <w:pStyle w:val="56"/>
        <w:spacing w:line="360" w:lineRule="auto"/>
        <w:ind w:firstLine="420"/>
        <w:rPr>
          <w:rFonts w:hint="eastAsia"/>
        </w:rPr>
      </w:pPr>
      <w:r>
        <w:rPr>
          <w:rFonts w:hint="eastAsia"/>
        </w:rPr>
        <w:t>负责对不同模态的信息进行实时感知与采集，包括视觉采集（摄像头、深度相机）、听觉采集（麦克风阵列）、触觉采集（力反馈装置、触摸传感器）、姿态采集（惯性测量单元）、环境感知（温湿度传感器、光照传感器等）。</w:t>
      </w:r>
    </w:p>
    <w:p w14:paraId="2C80D2CE">
      <w:pPr>
        <w:pStyle w:val="56"/>
        <w:spacing w:line="360" w:lineRule="auto"/>
        <w:ind w:firstLine="420"/>
        <w:rPr>
          <w:rFonts w:hint="eastAsia"/>
        </w:rPr>
      </w:pPr>
      <w:r>
        <w:rPr>
          <w:rFonts w:hint="eastAsia"/>
        </w:rPr>
        <w:t>该模块应具备多源同步采集能力和初步信号处理能力，确保数据质量与时序一致性。</w:t>
      </w:r>
    </w:p>
    <w:p w14:paraId="2C79F2B8">
      <w:pPr>
        <w:pStyle w:val="105"/>
        <w:spacing w:before="120" w:after="120" w:line="360" w:lineRule="auto"/>
        <w:rPr>
          <w:rFonts w:hint="eastAsia"/>
        </w:rPr>
      </w:pPr>
      <w:r>
        <w:rPr>
          <w:rFonts w:hint="eastAsia"/>
        </w:rPr>
        <w:t>数据处理与融合模块</w:t>
      </w:r>
    </w:p>
    <w:p w14:paraId="5D613CE8">
      <w:pPr>
        <w:pStyle w:val="56"/>
        <w:spacing w:line="360" w:lineRule="auto"/>
        <w:ind w:firstLine="420"/>
        <w:rPr>
          <w:rFonts w:hint="eastAsia"/>
        </w:rPr>
      </w:pPr>
      <w:r>
        <w:rPr>
          <w:rFonts w:hint="eastAsia"/>
        </w:rPr>
        <w:t>对采集到的多模态数据进行特征提取、数据清洗、时间同步、格式转换及多模态融合处理，生成统一的特征表示。</w:t>
      </w:r>
    </w:p>
    <w:p w14:paraId="766A75BB">
      <w:pPr>
        <w:pStyle w:val="56"/>
        <w:spacing w:line="360" w:lineRule="auto"/>
        <w:ind w:firstLine="420"/>
        <w:rPr>
          <w:rFonts w:hint="eastAsia"/>
        </w:rPr>
      </w:pPr>
      <w:r>
        <w:rPr>
          <w:rFonts w:hint="eastAsia"/>
        </w:rPr>
        <w:t>融合方式可包括特征级融合、决策级融合及混合融合，应根据应用场景选择适合的融合策略，以提高感知精度与交互效率。</w:t>
      </w:r>
    </w:p>
    <w:p w14:paraId="6C7DDF57">
      <w:pPr>
        <w:pStyle w:val="105"/>
        <w:spacing w:before="120" w:after="120" w:line="360" w:lineRule="auto"/>
        <w:rPr>
          <w:rFonts w:hint="eastAsia"/>
        </w:rPr>
      </w:pPr>
      <w:r>
        <w:rPr>
          <w:rFonts w:hint="eastAsia"/>
        </w:rPr>
        <w:t>语义理解与决策模块</w:t>
      </w:r>
    </w:p>
    <w:p w14:paraId="33EDF595">
      <w:pPr>
        <w:pStyle w:val="56"/>
        <w:spacing w:line="360" w:lineRule="auto"/>
        <w:ind w:firstLine="420"/>
        <w:rPr>
          <w:rFonts w:hint="eastAsia"/>
        </w:rPr>
      </w:pPr>
      <w:r>
        <w:rPr>
          <w:rFonts w:hint="eastAsia"/>
        </w:rPr>
        <w:t>利用自然语言处理、计算机视觉、情感计算、知识图谱等人工智能技术，对多模态数据进行语义理解、情境推理与意图识别，并基于规则或机器学习模型进行决策生成。</w:t>
      </w:r>
    </w:p>
    <w:p w14:paraId="6B61142A">
      <w:pPr>
        <w:pStyle w:val="105"/>
        <w:spacing w:before="120" w:after="120" w:line="360" w:lineRule="auto"/>
        <w:rPr>
          <w:rFonts w:hint="eastAsia"/>
        </w:rPr>
      </w:pPr>
      <w:r>
        <w:rPr>
          <w:rFonts w:hint="eastAsia"/>
        </w:rPr>
        <w:t>输出与反馈模块</w:t>
      </w:r>
    </w:p>
    <w:p w14:paraId="064F7EAE">
      <w:pPr>
        <w:pStyle w:val="56"/>
        <w:spacing w:line="360" w:lineRule="auto"/>
        <w:ind w:firstLine="420"/>
        <w:rPr>
          <w:rFonts w:hint="eastAsia"/>
        </w:rPr>
      </w:pPr>
      <w:r>
        <w:rPr>
          <w:rFonts w:hint="eastAsia"/>
        </w:rPr>
        <w:t>将系统决策结果通过多种模态输出方式反馈给用户，包括视觉输出（屏幕显示、全息影像）、听觉输出（语音播报、音效提示）、触觉输出（震动反馈、力反馈）等，确保反馈的及时性与可感知性。</w:t>
      </w:r>
    </w:p>
    <w:p w14:paraId="60A686E2">
      <w:pPr>
        <w:pStyle w:val="105"/>
        <w:spacing w:before="120" w:after="120" w:line="360" w:lineRule="auto"/>
        <w:rPr>
          <w:rFonts w:hint="eastAsia"/>
        </w:rPr>
      </w:pPr>
      <w:r>
        <w:rPr>
          <w:rFonts w:hint="eastAsia"/>
        </w:rPr>
        <w:t>用户交互与界面模块</w:t>
      </w:r>
    </w:p>
    <w:p w14:paraId="6F917560">
      <w:pPr>
        <w:pStyle w:val="56"/>
        <w:spacing w:line="360" w:lineRule="auto"/>
        <w:ind w:firstLine="420"/>
        <w:rPr>
          <w:rFonts w:hint="eastAsia"/>
        </w:rPr>
      </w:pPr>
      <w:r>
        <w:rPr>
          <w:rFonts w:hint="eastAsia"/>
        </w:rPr>
        <w:t>负责构建直观、易用、可定制的用户界面和交互逻辑，包括交互流程管理、界面布局、自适应显示与多语言支持，提升用户体验与操作效率。</w:t>
      </w:r>
    </w:p>
    <w:p w14:paraId="47B8B993">
      <w:pPr>
        <w:pStyle w:val="105"/>
        <w:spacing w:before="120" w:after="120" w:line="360" w:lineRule="auto"/>
        <w:rPr>
          <w:rFonts w:hint="eastAsia"/>
        </w:rPr>
      </w:pPr>
      <w:r>
        <w:rPr>
          <w:rFonts w:hint="eastAsia"/>
        </w:rPr>
        <w:t>系统管理与安全模块</w:t>
      </w:r>
    </w:p>
    <w:p w14:paraId="14B40B14">
      <w:pPr>
        <w:pStyle w:val="56"/>
        <w:spacing w:line="360" w:lineRule="auto"/>
        <w:ind w:firstLine="420"/>
        <w:rPr>
          <w:rFonts w:hint="eastAsia"/>
        </w:rPr>
      </w:pPr>
      <w:r>
        <w:rPr>
          <w:rFonts w:hint="eastAsia"/>
        </w:rPr>
        <w:t>实现对硬件设备、软件服务及网络资源的统一管理，包含权限控制、数据加密、日志记录、异常监测与恢复机制，确保系统运行的稳定性与安全性。</w:t>
      </w:r>
    </w:p>
    <w:p w14:paraId="18FD0F69">
      <w:pPr>
        <w:pStyle w:val="104"/>
        <w:spacing w:before="240" w:after="240" w:line="360" w:lineRule="auto"/>
        <w:rPr>
          <w:rFonts w:hint="eastAsia"/>
        </w:rPr>
      </w:pPr>
      <w:bookmarkStart w:id="53" w:name="_Toc205748479"/>
      <w:r>
        <w:rPr>
          <w:rFonts w:hint="eastAsia"/>
        </w:rPr>
        <w:t>数据处理与融合方法</w:t>
      </w:r>
      <w:bookmarkEnd w:id="53"/>
    </w:p>
    <w:p w14:paraId="6BD9DD76">
      <w:pPr>
        <w:pStyle w:val="105"/>
        <w:spacing w:before="120" w:after="120" w:line="360" w:lineRule="auto"/>
        <w:rPr>
          <w:rFonts w:hint="eastAsia"/>
        </w:rPr>
      </w:pPr>
      <w:r>
        <w:rPr>
          <w:rFonts w:hint="eastAsia"/>
        </w:rPr>
        <w:t>数据预处理</w:t>
      </w:r>
    </w:p>
    <w:p w14:paraId="2011D59B">
      <w:pPr>
        <w:pStyle w:val="56"/>
        <w:spacing w:line="360" w:lineRule="auto"/>
        <w:ind w:firstLine="420"/>
        <w:rPr>
          <w:rFonts w:hint="eastAsia"/>
        </w:rPr>
      </w:pPr>
      <w:r>
        <w:rPr>
          <w:rFonts w:hint="eastAsia"/>
        </w:rPr>
        <w:t>数据预处理应在采集后立即进行，包括噪声抑制、缺失值填补、畸变校正、信号增强、时间同步等步骤。处理包含以下内容：</w:t>
      </w:r>
    </w:p>
    <w:p w14:paraId="1100372D">
      <w:pPr>
        <w:pStyle w:val="132"/>
        <w:spacing w:line="360" w:lineRule="auto"/>
        <w:rPr>
          <w:rFonts w:hint="eastAsia"/>
        </w:rPr>
      </w:pPr>
      <w:r>
        <w:rPr>
          <w:rFonts w:hint="eastAsia"/>
        </w:rPr>
        <w:t>对视觉数据应进行去噪、色彩校正、畸变矫正及分辨率调整；</w:t>
      </w:r>
    </w:p>
    <w:p w14:paraId="5F5865DB">
      <w:pPr>
        <w:pStyle w:val="132"/>
        <w:spacing w:line="360" w:lineRule="auto"/>
        <w:rPr>
          <w:rFonts w:hint="eastAsia"/>
        </w:rPr>
      </w:pPr>
      <w:r>
        <w:rPr>
          <w:rFonts w:hint="eastAsia"/>
        </w:rPr>
        <w:t>对音频数据应进行滤波、语音增强、回声消除等处理；</w:t>
      </w:r>
    </w:p>
    <w:p w14:paraId="3F99DDDC">
      <w:pPr>
        <w:pStyle w:val="132"/>
        <w:spacing w:line="360" w:lineRule="auto"/>
        <w:rPr>
          <w:rFonts w:hint="eastAsia"/>
        </w:rPr>
      </w:pPr>
      <w:r>
        <w:rPr>
          <w:rFonts w:hint="eastAsia"/>
        </w:rPr>
        <w:t>对触觉及环境传感数据应进行异常值检测与平滑处理。</w:t>
      </w:r>
    </w:p>
    <w:p w14:paraId="330BB9AB">
      <w:pPr>
        <w:pStyle w:val="105"/>
        <w:spacing w:before="120" w:after="120" w:line="360" w:lineRule="auto"/>
        <w:rPr>
          <w:rFonts w:hint="eastAsia"/>
        </w:rPr>
      </w:pPr>
      <w:r>
        <w:rPr>
          <w:rFonts w:hint="eastAsia"/>
        </w:rPr>
        <w:t>特征提取与表示</w:t>
      </w:r>
    </w:p>
    <w:p w14:paraId="63DEA092">
      <w:pPr>
        <w:pStyle w:val="56"/>
        <w:spacing w:line="360" w:lineRule="auto"/>
        <w:ind w:firstLine="420"/>
        <w:rPr>
          <w:rFonts w:hint="eastAsia"/>
        </w:rPr>
      </w:pPr>
      <w:r>
        <w:rPr>
          <w:rFonts w:hint="eastAsia"/>
        </w:rPr>
        <w:t>应针对不同模态采用适配的特征提取方法，将原始数据转化为可用于融合的高质量特征表示：</w:t>
      </w:r>
    </w:p>
    <w:p w14:paraId="49921F04">
      <w:pPr>
        <w:pStyle w:val="132"/>
        <w:spacing w:line="360" w:lineRule="auto"/>
        <w:rPr>
          <w:rFonts w:hint="eastAsia"/>
        </w:rPr>
      </w:pPr>
      <w:r>
        <w:rPr>
          <w:rFonts w:hint="eastAsia"/>
        </w:rPr>
        <w:t>视觉模态可采用卷积神经网络（CNN）等深度学习模型提取空间特征；</w:t>
      </w:r>
    </w:p>
    <w:p w14:paraId="32A7788F">
      <w:pPr>
        <w:pStyle w:val="132"/>
        <w:spacing w:line="360" w:lineRule="auto"/>
        <w:rPr>
          <w:rFonts w:hint="eastAsia"/>
        </w:rPr>
      </w:pPr>
      <w:r>
        <w:rPr>
          <w:rFonts w:hint="eastAsia"/>
        </w:rPr>
        <w:t>听觉模态可采用梅尔频率倒谱系数（MFCC）、声学特征向量等；</w:t>
      </w:r>
    </w:p>
    <w:p w14:paraId="7C4430D0">
      <w:pPr>
        <w:pStyle w:val="132"/>
        <w:spacing w:line="360" w:lineRule="auto"/>
        <w:rPr>
          <w:rFonts w:hint="eastAsia"/>
        </w:rPr>
      </w:pPr>
      <w:r>
        <w:rPr>
          <w:rFonts w:hint="eastAsia"/>
        </w:rPr>
        <w:t>语言模态可采用词向量、上下文嵌入（BERT等）；</w:t>
      </w:r>
    </w:p>
    <w:p w14:paraId="40F646EF">
      <w:pPr>
        <w:pStyle w:val="132"/>
        <w:spacing w:line="360" w:lineRule="auto"/>
        <w:rPr>
          <w:rFonts w:hint="eastAsia"/>
        </w:rPr>
      </w:pPr>
      <w:r>
        <w:rPr>
          <w:rFonts w:hint="eastAsia"/>
        </w:rPr>
        <w:t>触觉模态可提取压力强度、震动频谱等参数。</w:t>
      </w:r>
    </w:p>
    <w:p w14:paraId="41EFE55F">
      <w:pPr>
        <w:pStyle w:val="105"/>
        <w:spacing w:before="120" w:after="120" w:line="360" w:lineRule="auto"/>
        <w:rPr>
          <w:rFonts w:hint="eastAsia"/>
        </w:rPr>
      </w:pPr>
      <w:r>
        <w:rPr>
          <w:rFonts w:hint="eastAsia"/>
        </w:rPr>
        <w:t>融合策略</w:t>
      </w:r>
    </w:p>
    <w:p w14:paraId="2B3F37FE">
      <w:pPr>
        <w:pStyle w:val="56"/>
        <w:spacing w:line="360" w:lineRule="auto"/>
        <w:ind w:firstLine="420"/>
        <w:rPr>
          <w:rFonts w:hint="eastAsia"/>
        </w:rPr>
      </w:pPr>
      <w:r>
        <w:rPr>
          <w:rFonts w:hint="eastAsia"/>
        </w:rPr>
        <w:t>多模态融合应根据任务需求与系统架构选择合适的策略：</w:t>
      </w:r>
    </w:p>
    <w:p w14:paraId="31F438F4">
      <w:pPr>
        <w:pStyle w:val="132"/>
        <w:spacing w:line="360" w:lineRule="auto"/>
        <w:rPr>
          <w:rFonts w:hint="eastAsia"/>
        </w:rPr>
      </w:pPr>
      <w:r>
        <w:rPr>
          <w:rFonts w:hint="eastAsia"/>
        </w:rPr>
        <w:t>特征级融合：在特征提取后对不同模态的特征进行拼接、加权或降维处理；</w:t>
      </w:r>
    </w:p>
    <w:p w14:paraId="1E264E88">
      <w:pPr>
        <w:pStyle w:val="132"/>
        <w:spacing w:line="360" w:lineRule="auto"/>
        <w:rPr>
          <w:rFonts w:hint="eastAsia"/>
        </w:rPr>
      </w:pPr>
      <w:r>
        <w:rPr>
          <w:rFonts w:hint="eastAsia"/>
        </w:rPr>
        <w:t>决策级融合：在各模态独立处理后对输出结果进行加权投票、置信度融合等；</w:t>
      </w:r>
    </w:p>
    <w:p w14:paraId="091E4BE0">
      <w:pPr>
        <w:pStyle w:val="132"/>
        <w:spacing w:line="360" w:lineRule="auto"/>
        <w:rPr>
          <w:rFonts w:hint="eastAsia"/>
        </w:rPr>
      </w:pPr>
      <w:r>
        <w:rPr>
          <w:rFonts w:hint="eastAsia"/>
        </w:rPr>
        <w:t>混合融合：结合特征级与决策级融合方法，兼顾数据层与结果层的优势。</w:t>
      </w:r>
    </w:p>
    <w:p w14:paraId="56279DC0">
      <w:pPr>
        <w:pStyle w:val="105"/>
        <w:spacing w:before="120" w:after="120" w:line="360" w:lineRule="auto"/>
        <w:rPr>
          <w:rFonts w:hint="eastAsia"/>
        </w:rPr>
      </w:pPr>
      <w:r>
        <w:rPr>
          <w:rFonts w:hint="eastAsia"/>
        </w:rPr>
        <w:t>同步与对齐</w:t>
      </w:r>
    </w:p>
    <w:p w14:paraId="48DBC057">
      <w:pPr>
        <w:pStyle w:val="56"/>
        <w:spacing w:line="360" w:lineRule="auto"/>
        <w:ind w:firstLine="420"/>
        <w:rPr>
          <w:rFonts w:hint="eastAsia"/>
        </w:rPr>
      </w:pPr>
      <w:r>
        <w:rPr>
          <w:rFonts w:hint="eastAsia"/>
        </w:rPr>
        <w:t>应确保多模态数据在时间、空间及语义上的同步与对齐，避免因时序错位或语义不匹配导致交互性能下降。可采用时间戳同步、空间坐标映射、语义匹配等技术手段。</w:t>
      </w:r>
    </w:p>
    <w:p w14:paraId="7E9D85C5">
      <w:pPr>
        <w:pStyle w:val="105"/>
        <w:spacing w:before="120" w:after="120" w:line="360" w:lineRule="auto"/>
        <w:rPr>
          <w:rFonts w:hint="eastAsia"/>
        </w:rPr>
      </w:pPr>
      <w:r>
        <w:rPr>
          <w:rFonts w:hint="eastAsia"/>
        </w:rPr>
        <w:t>数据质量评估与优化</w:t>
      </w:r>
    </w:p>
    <w:p w14:paraId="4E298868">
      <w:pPr>
        <w:pStyle w:val="56"/>
        <w:spacing w:line="360" w:lineRule="auto"/>
        <w:ind w:firstLine="420"/>
      </w:pPr>
      <w:r>
        <w:rPr>
          <w:rFonts w:hint="eastAsia"/>
        </w:rPr>
        <w:t>应建立多模态数据质量评估机制，包括数据完整性、精度、延迟、同步性等指标，并根据评估结果动态优化采集与融合策略。</w:t>
      </w:r>
    </w:p>
    <w:p w14:paraId="3DFB2D81">
      <w:pPr>
        <w:pStyle w:val="104"/>
        <w:spacing w:before="240" w:after="240" w:line="360" w:lineRule="auto"/>
        <w:rPr>
          <w:rFonts w:hint="eastAsia"/>
        </w:rPr>
      </w:pPr>
      <w:bookmarkStart w:id="54" w:name="_Toc205748480"/>
      <w:r>
        <w:rPr>
          <w:rFonts w:hint="eastAsia"/>
        </w:rPr>
        <w:t>交互逻辑设计</w:t>
      </w:r>
      <w:bookmarkEnd w:id="54"/>
    </w:p>
    <w:p w14:paraId="687B08D0">
      <w:pPr>
        <w:pStyle w:val="56"/>
        <w:spacing w:line="360" w:lineRule="auto"/>
        <w:ind w:firstLine="420"/>
        <w:rPr>
          <w:rFonts w:hint="eastAsia"/>
        </w:rPr>
      </w:pPr>
      <w:r>
        <w:rPr>
          <w:rFonts w:hint="eastAsia"/>
        </w:rPr>
        <w:t>多模态数字媒体智能交互系统的交互逻辑设计应在保证功能完整性与响应及时性的基础上，兼顾自然性、可理解性与用户体验的一致性。</w:t>
      </w:r>
    </w:p>
    <w:p w14:paraId="5B9814B7">
      <w:pPr>
        <w:pStyle w:val="105"/>
        <w:spacing w:before="120" w:after="120" w:line="360" w:lineRule="auto"/>
        <w:rPr>
          <w:rFonts w:hint="eastAsia"/>
        </w:rPr>
      </w:pPr>
      <w:r>
        <w:rPr>
          <w:rFonts w:hint="eastAsia"/>
        </w:rPr>
        <w:t>交互流程规划</w:t>
      </w:r>
    </w:p>
    <w:p w14:paraId="745F8825">
      <w:pPr>
        <w:pStyle w:val="56"/>
        <w:spacing w:line="360" w:lineRule="auto"/>
        <w:ind w:firstLine="420"/>
        <w:rPr>
          <w:rFonts w:hint="eastAsia"/>
        </w:rPr>
      </w:pPr>
      <w:r>
        <w:rPr>
          <w:rFonts w:hint="eastAsia"/>
        </w:rPr>
        <w:t>应根据应用场景和任务需求设计多模态交互流程，明确用户输入、系统处理、反馈输出的步骤与顺序，确保各环节信息传递流畅、衔接自然。</w:t>
      </w:r>
    </w:p>
    <w:p w14:paraId="64493DD5">
      <w:pPr>
        <w:pStyle w:val="56"/>
        <w:spacing w:line="360" w:lineRule="auto"/>
        <w:ind w:firstLine="420"/>
        <w:rPr>
          <w:rFonts w:hint="eastAsia"/>
        </w:rPr>
      </w:pPr>
      <w:r>
        <w:rPr>
          <w:rFonts w:hint="eastAsia"/>
        </w:rPr>
        <w:t>对任务驱动型交互，应优化任务分解与多模态信息互补的协作方式；对体验驱动型交互，应突出沉浸感与情感化反馈的连贯性。</w:t>
      </w:r>
    </w:p>
    <w:p w14:paraId="736B3D24">
      <w:pPr>
        <w:pStyle w:val="105"/>
        <w:spacing w:before="120" w:after="120" w:line="360" w:lineRule="auto"/>
        <w:rPr>
          <w:rFonts w:hint="eastAsia"/>
        </w:rPr>
      </w:pPr>
      <w:r>
        <w:rPr>
          <w:rFonts w:hint="eastAsia"/>
        </w:rPr>
        <w:t>多模态优先级与切换策略</w:t>
      </w:r>
    </w:p>
    <w:p w14:paraId="74158044">
      <w:pPr>
        <w:pStyle w:val="56"/>
        <w:spacing w:line="360" w:lineRule="auto"/>
        <w:ind w:firstLine="420"/>
        <w:rPr>
          <w:rFonts w:hint="eastAsia"/>
        </w:rPr>
      </w:pPr>
      <w:r>
        <w:rPr>
          <w:rFonts w:hint="eastAsia"/>
        </w:rPr>
        <w:t>在多模态并行输入或输出的情况下，应设定模态优先级与冲突处理机制。</w:t>
      </w:r>
    </w:p>
    <w:p w14:paraId="55F8673D">
      <w:pPr>
        <w:pStyle w:val="56"/>
        <w:spacing w:line="360" w:lineRule="auto"/>
        <w:ind w:firstLine="420"/>
        <w:rPr>
          <w:rFonts w:hint="eastAsia"/>
        </w:rPr>
      </w:pPr>
      <w:r>
        <w:rPr>
          <w:rFonts w:hint="eastAsia"/>
        </w:rPr>
        <w:t>优先级设定应结合模态的准确性、响应速度及用户习惯，切换策略应在主模态失效、环境变化或用户意图变化时实现平滑过渡，避免交互中断。</w:t>
      </w:r>
    </w:p>
    <w:p w14:paraId="72B537F6">
      <w:pPr>
        <w:pStyle w:val="105"/>
        <w:spacing w:before="120" w:after="120" w:line="360" w:lineRule="auto"/>
        <w:rPr>
          <w:rFonts w:hint="eastAsia"/>
        </w:rPr>
      </w:pPr>
      <w:r>
        <w:rPr>
          <w:rFonts w:hint="eastAsia"/>
        </w:rPr>
        <w:t>语义一致性与上下文管理</w:t>
      </w:r>
    </w:p>
    <w:p w14:paraId="2D30DAF8">
      <w:pPr>
        <w:pStyle w:val="56"/>
        <w:spacing w:line="360" w:lineRule="auto"/>
        <w:ind w:firstLine="420"/>
        <w:rPr>
          <w:rFonts w:hint="eastAsia"/>
        </w:rPr>
      </w:pPr>
      <w:r>
        <w:rPr>
          <w:rFonts w:hint="eastAsia"/>
        </w:rPr>
        <w:t>应保证不同模态输入输出在语义上的一致性，通过上下文管理机制维持交互状态的连续性与逻辑一致性。</w:t>
      </w:r>
    </w:p>
    <w:p w14:paraId="0EFF17E8">
      <w:pPr>
        <w:pStyle w:val="56"/>
        <w:spacing w:line="360" w:lineRule="auto"/>
        <w:ind w:firstLine="420"/>
        <w:rPr>
          <w:rFonts w:hint="eastAsia"/>
        </w:rPr>
      </w:pPr>
      <w:r>
        <w:rPr>
          <w:rFonts w:hint="eastAsia"/>
        </w:rPr>
        <w:t>上下文信息应涵盖用户历史操作、环境状态、任务进度等，系统应具备跨模态信息关联与语境理解能力。</w:t>
      </w:r>
    </w:p>
    <w:p w14:paraId="4C67165A">
      <w:pPr>
        <w:pStyle w:val="105"/>
        <w:spacing w:before="120" w:after="120" w:line="360" w:lineRule="auto"/>
        <w:rPr>
          <w:rFonts w:hint="eastAsia"/>
        </w:rPr>
      </w:pPr>
      <w:r>
        <w:rPr>
          <w:rFonts w:hint="eastAsia"/>
        </w:rPr>
        <w:t>用户反馈与确认机制</w:t>
      </w:r>
    </w:p>
    <w:p w14:paraId="29D15D3A">
      <w:pPr>
        <w:pStyle w:val="56"/>
        <w:spacing w:line="360" w:lineRule="auto"/>
        <w:ind w:firstLine="420"/>
        <w:rPr>
          <w:rFonts w:hint="eastAsia"/>
        </w:rPr>
      </w:pPr>
      <w:r>
        <w:rPr>
          <w:rFonts w:hint="eastAsia"/>
        </w:rPr>
        <w:t>在关键交互节点，应提供多模态反馈确认机制，确保用户理解系统响应结果。反馈可包括视觉提示、语音播报、触觉震动等，并可结合任务重要性调整反馈强度与形式。</w:t>
      </w:r>
    </w:p>
    <w:p w14:paraId="6DB80CC1">
      <w:pPr>
        <w:pStyle w:val="105"/>
        <w:spacing w:before="120" w:after="120" w:line="360" w:lineRule="auto"/>
        <w:rPr>
          <w:rFonts w:hint="eastAsia"/>
        </w:rPr>
      </w:pPr>
      <w:r>
        <w:rPr>
          <w:rFonts w:hint="eastAsia"/>
        </w:rPr>
        <w:t>容错与自适应设计</w:t>
      </w:r>
    </w:p>
    <w:p w14:paraId="48CE41CC">
      <w:pPr>
        <w:pStyle w:val="56"/>
        <w:spacing w:line="360" w:lineRule="auto"/>
        <w:ind w:firstLine="420"/>
        <w:rPr>
          <w:rFonts w:hint="eastAsia"/>
        </w:rPr>
      </w:pPr>
      <w:r>
        <w:rPr>
          <w:rFonts w:hint="eastAsia"/>
        </w:rPr>
        <w:t>应考虑用户输入错误、环境噪声干扰等情况，设计容错机制与自适应调整策略。</w:t>
      </w:r>
    </w:p>
    <w:p w14:paraId="2A62EE40">
      <w:pPr>
        <w:pStyle w:val="56"/>
        <w:spacing w:line="360" w:lineRule="auto"/>
        <w:ind w:firstLine="420"/>
      </w:pPr>
      <w:r>
        <w:rPr>
          <w:rFonts w:hint="eastAsia"/>
        </w:rPr>
        <w:t>容错机制可包括冗余模态输入、错误提示与纠正建议，自适应策略应根据用户行为模式和环境变化动态优化交互逻辑。</w:t>
      </w:r>
    </w:p>
    <w:p w14:paraId="6B3E17F8">
      <w:pPr>
        <w:pStyle w:val="104"/>
        <w:spacing w:before="240" w:after="240" w:line="360" w:lineRule="auto"/>
        <w:rPr>
          <w:rFonts w:hint="eastAsia"/>
        </w:rPr>
      </w:pPr>
      <w:bookmarkStart w:id="55" w:name="_Toc205748481"/>
      <w:r>
        <w:rPr>
          <w:rFonts w:hint="eastAsia"/>
        </w:rPr>
        <w:t>用户体验优化</w:t>
      </w:r>
      <w:bookmarkEnd w:id="55"/>
    </w:p>
    <w:p w14:paraId="1DADFB62">
      <w:pPr>
        <w:pStyle w:val="56"/>
        <w:spacing w:line="360" w:lineRule="auto"/>
        <w:ind w:firstLine="420"/>
        <w:rPr>
          <w:rFonts w:hint="eastAsia"/>
        </w:rPr>
      </w:pPr>
      <w:r>
        <w:rPr>
          <w:rFonts w:hint="eastAsia"/>
        </w:rPr>
        <w:t>多模态数字媒体智能交互系统的用户体验优化应在系统设计、开发与运行全过程中持续进行，以确保交互的自然性、舒适性和满意度。</w:t>
      </w:r>
    </w:p>
    <w:p w14:paraId="0AD72CD8">
      <w:pPr>
        <w:pStyle w:val="105"/>
        <w:spacing w:before="120" w:after="120" w:line="360" w:lineRule="auto"/>
        <w:rPr>
          <w:rFonts w:hint="eastAsia"/>
        </w:rPr>
      </w:pPr>
      <w:r>
        <w:rPr>
          <w:rFonts w:hint="eastAsia"/>
        </w:rPr>
        <w:t>可用性优化</w:t>
      </w:r>
    </w:p>
    <w:p w14:paraId="7BE018A8">
      <w:pPr>
        <w:pStyle w:val="56"/>
        <w:spacing w:line="360" w:lineRule="auto"/>
        <w:ind w:firstLine="420"/>
        <w:rPr>
          <w:rFonts w:hint="eastAsia"/>
        </w:rPr>
      </w:pPr>
      <w:r>
        <w:rPr>
          <w:rFonts w:hint="eastAsia"/>
        </w:rPr>
        <w:t>应通过交互界面简化、功能布局合理化及交互路径优化，降低用户学习成本和操作负担。</w:t>
      </w:r>
    </w:p>
    <w:p w14:paraId="713AC6EC">
      <w:pPr>
        <w:pStyle w:val="56"/>
        <w:spacing w:line="360" w:lineRule="auto"/>
        <w:ind w:firstLine="420"/>
        <w:rPr>
          <w:rFonts w:hint="eastAsia"/>
        </w:rPr>
      </w:pPr>
      <w:r>
        <w:rPr>
          <w:rFonts w:hint="eastAsia"/>
        </w:rPr>
        <w:t>优化界面信息层级，减少不必要的视觉干扰，设计直观的交互提示与引导，提升用户的操作信心。</w:t>
      </w:r>
    </w:p>
    <w:p w14:paraId="2DFE1248">
      <w:pPr>
        <w:pStyle w:val="105"/>
        <w:spacing w:before="120" w:after="120" w:line="360" w:lineRule="auto"/>
        <w:rPr>
          <w:rFonts w:hint="eastAsia"/>
        </w:rPr>
      </w:pPr>
      <w:r>
        <w:rPr>
          <w:rFonts w:hint="eastAsia"/>
        </w:rPr>
        <w:t>沉浸感与临场感提升</w:t>
      </w:r>
    </w:p>
    <w:p w14:paraId="07102502">
      <w:pPr>
        <w:pStyle w:val="56"/>
        <w:spacing w:line="360" w:lineRule="auto"/>
        <w:ind w:firstLine="420"/>
        <w:rPr>
          <w:rFonts w:hint="eastAsia"/>
        </w:rPr>
      </w:pPr>
      <w:r>
        <w:rPr>
          <w:rFonts w:hint="eastAsia"/>
        </w:rPr>
        <w:t>应通过多模态信息的高同步性与高一致性来增强用户沉浸感。</w:t>
      </w:r>
    </w:p>
    <w:p w14:paraId="73068099">
      <w:pPr>
        <w:pStyle w:val="56"/>
        <w:spacing w:line="360" w:lineRule="auto"/>
        <w:ind w:firstLine="420"/>
        <w:rPr>
          <w:rFonts w:hint="eastAsia"/>
        </w:rPr>
      </w:pPr>
      <w:r>
        <w:rPr>
          <w:rFonts w:hint="eastAsia"/>
        </w:rPr>
        <w:t>保证视觉、听觉、触觉等输出的时间延迟在可接受范围内，利用空间音效、立体影像、触觉反馈等技术增强临场体验。</w:t>
      </w:r>
    </w:p>
    <w:p w14:paraId="698A838E">
      <w:pPr>
        <w:pStyle w:val="105"/>
        <w:spacing w:before="120" w:after="120" w:line="360" w:lineRule="auto"/>
        <w:rPr>
          <w:rFonts w:hint="eastAsia"/>
        </w:rPr>
      </w:pPr>
      <w:r>
        <w:rPr>
          <w:rFonts w:hint="eastAsia"/>
        </w:rPr>
        <w:t>情感化交互设计</w:t>
      </w:r>
    </w:p>
    <w:p w14:paraId="01E5DF51">
      <w:pPr>
        <w:pStyle w:val="56"/>
        <w:spacing w:line="360" w:lineRule="auto"/>
        <w:ind w:firstLine="420"/>
        <w:rPr>
          <w:rFonts w:hint="eastAsia"/>
        </w:rPr>
      </w:pPr>
      <w:r>
        <w:rPr>
          <w:rFonts w:hint="eastAsia"/>
        </w:rPr>
        <w:t>应在系统输出中引入情感计算与情绪识别机制，使交互更加人性化。</w:t>
      </w:r>
    </w:p>
    <w:p w14:paraId="09BAD37F">
      <w:pPr>
        <w:pStyle w:val="56"/>
        <w:spacing w:line="360" w:lineRule="auto"/>
        <w:ind w:firstLine="420"/>
        <w:rPr>
          <w:rFonts w:hint="eastAsia"/>
        </w:rPr>
      </w:pPr>
      <w:r>
        <w:rPr>
          <w:rFonts w:hint="eastAsia"/>
        </w:rPr>
        <w:t>根据用户情绪状态动态调整交互语调、节奏与内容，在特定场景下提供情感激励或安抚性反馈。</w:t>
      </w:r>
    </w:p>
    <w:p w14:paraId="2951594E">
      <w:pPr>
        <w:pStyle w:val="105"/>
        <w:spacing w:before="120" w:after="120" w:line="360" w:lineRule="auto"/>
        <w:rPr>
          <w:rFonts w:hint="eastAsia"/>
        </w:rPr>
      </w:pPr>
      <w:r>
        <w:rPr>
          <w:rFonts w:hint="eastAsia"/>
        </w:rPr>
        <w:t>个性化与自适应体验</w:t>
      </w:r>
    </w:p>
    <w:p w14:paraId="30DBCAB9">
      <w:pPr>
        <w:pStyle w:val="56"/>
        <w:spacing w:line="360" w:lineRule="auto"/>
        <w:ind w:firstLine="420"/>
        <w:rPr>
          <w:rFonts w:hint="eastAsia"/>
        </w:rPr>
      </w:pPr>
      <w:r>
        <w:rPr>
          <w:rFonts w:hint="eastAsia"/>
        </w:rPr>
        <w:t>应根据用户历史行为、偏好数据及当前环境进行个性化配置。</w:t>
      </w:r>
    </w:p>
    <w:p w14:paraId="1D3AF1B4">
      <w:pPr>
        <w:pStyle w:val="56"/>
        <w:spacing w:line="360" w:lineRule="auto"/>
        <w:ind w:firstLine="420"/>
        <w:rPr>
          <w:rFonts w:hint="eastAsia"/>
        </w:rPr>
      </w:pPr>
      <w:r>
        <w:rPr>
          <w:rFonts w:hint="eastAsia"/>
        </w:rPr>
        <w:t>提供模态选择与布局自定义功能，实现基于AI的自适应优化，使系统行为与用户习惯逐步匹配。</w:t>
      </w:r>
    </w:p>
    <w:p w14:paraId="23E0797A">
      <w:pPr>
        <w:pStyle w:val="105"/>
        <w:spacing w:before="120" w:after="120" w:line="360" w:lineRule="auto"/>
        <w:rPr>
          <w:rFonts w:hint="eastAsia"/>
        </w:rPr>
      </w:pPr>
      <w:r>
        <w:rPr>
          <w:rFonts w:hint="eastAsia"/>
        </w:rPr>
        <w:t>可访问性支持</w:t>
      </w:r>
    </w:p>
    <w:p w14:paraId="75A0F716">
      <w:pPr>
        <w:pStyle w:val="56"/>
        <w:spacing w:line="360" w:lineRule="auto"/>
        <w:ind w:firstLine="420"/>
        <w:rPr>
          <w:rFonts w:hint="eastAsia"/>
        </w:rPr>
      </w:pPr>
      <w:r>
        <w:rPr>
          <w:rFonts w:hint="eastAsia"/>
        </w:rPr>
        <w:t>应保障不同能力水平、不同文化背景用户的平等使用权利。</w:t>
      </w:r>
    </w:p>
    <w:p w14:paraId="126E7806">
      <w:pPr>
        <w:pStyle w:val="56"/>
        <w:spacing w:line="360" w:lineRule="auto"/>
        <w:ind w:firstLine="420"/>
        <w:rPr>
          <w:rFonts w:hint="eastAsia"/>
        </w:rPr>
      </w:pPr>
      <w:r>
        <w:rPr>
          <w:rFonts w:hint="eastAsia"/>
        </w:rPr>
        <w:t>提供辅助功能，如语音朗读、字幕、手势替代输入等，支持多语言、多文化内容适配，降低语言和文化障碍。</w:t>
      </w:r>
    </w:p>
    <w:p w14:paraId="063FE7C1">
      <w:pPr>
        <w:pStyle w:val="105"/>
        <w:spacing w:before="120" w:after="120" w:line="360" w:lineRule="auto"/>
        <w:rPr>
          <w:rFonts w:hint="eastAsia"/>
        </w:rPr>
      </w:pPr>
      <w:r>
        <w:rPr>
          <w:rFonts w:hint="eastAsia"/>
        </w:rPr>
        <w:t>持续测试与反馈机制</w:t>
      </w:r>
    </w:p>
    <w:p w14:paraId="285226B2">
      <w:pPr>
        <w:pStyle w:val="56"/>
        <w:spacing w:line="360" w:lineRule="auto"/>
        <w:ind w:firstLine="420"/>
      </w:pPr>
      <w:r>
        <w:rPr>
          <w:rFonts w:hint="eastAsia"/>
        </w:rPr>
        <w:t>应建立用户体验测试与反馈收集的长期机制，结合可用性测试、A/B测试及问卷调查等方法，持续优化交互体验。</w:t>
      </w:r>
    </w:p>
    <w:p w14:paraId="65F783E6">
      <w:pPr>
        <w:pStyle w:val="104"/>
        <w:spacing w:before="240" w:after="240" w:line="360" w:lineRule="auto"/>
        <w:rPr>
          <w:rFonts w:hint="eastAsia"/>
        </w:rPr>
      </w:pPr>
      <w:bookmarkStart w:id="56" w:name="_Toc205748482"/>
      <w:r>
        <w:rPr>
          <w:rFonts w:hint="eastAsia"/>
        </w:rPr>
        <w:t>安全与隐私保护</w:t>
      </w:r>
      <w:bookmarkEnd w:id="56"/>
    </w:p>
    <w:p w14:paraId="75571563">
      <w:pPr>
        <w:pStyle w:val="105"/>
        <w:spacing w:before="120" w:after="120" w:line="360" w:lineRule="auto"/>
      </w:pPr>
      <w:r>
        <w:rPr>
          <w:rFonts w:hint="eastAsia"/>
        </w:rPr>
        <w:t>数据安全管理</w:t>
      </w:r>
    </w:p>
    <w:p w14:paraId="2135FB1A">
      <w:pPr>
        <w:pStyle w:val="56"/>
        <w:spacing w:line="360" w:lineRule="auto"/>
        <w:ind w:firstLine="420"/>
        <w:rPr>
          <w:rFonts w:hint="eastAsia"/>
        </w:rPr>
      </w:pPr>
      <w:r>
        <w:rPr>
          <w:rFonts w:hint="eastAsia"/>
        </w:rPr>
        <w:t>多模态数字媒体智能交互系统在数据采集、处理、传输、存储和输出等环节，应采取全面的安全与隐私保护措施，确保用户数据与系统运行的安全性。</w:t>
      </w:r>
    </w:p>
    <w:p w14:paraId="28DC6915">
      <w:pPr>
        <w:pStyle w:val="56"/>
        <w:spacing w:line="360" w:lineRule="auto"/>
        <w:ind w:firstLine="420"/>
        <w:rPr>
          <w:rFonts w:hint="eastAsia"/>
        </w:rPr>
      </w:pPr>
      <w:r>
        <w:rPr>
          <w:rFonts w:hint="eastAsia"/>
        </w:rPr>
        <w:t>系统应建立数据安全管理制度，对多模态数据全生命周期进行安全管控：</w:t>
      </w:r>
    </w:p>
    <w:p w14:paraId="734AF90F">
      <w:pPr>
        <w:pStyle w:val="132"/>
        <w:spacing w:line="360" w:lineRule="auto"/>
        <w:rPr>
          <w:rFonts w:hint="eastAsia"/>
        </w:rPr>
      </w:pPr>
      <w:r>
        <w:rPr>
          <w:rFonts w:hint="eastAsia"/>
        </w:rPr>
        <w:t>数据采集环节应通过访问控制、授权管理等手段防止非法获取；</w:t>
      </w:r>
    </w:p>
    <w:p w14:paraId="58520CB5">
      <w:pPr>
        <w:pStyle w:val="132"/>
        <w:spacing w:line="360" w:lineRule="auto"/>
        <w:rPr>
          <w:rFonts w:hint="eastAsia"/>
        </w:rPr>
      </w:pPr>
      <w:r>
        <w:rPr>
          <w:rFonts w:hint="eastAsia"/>
        </w:rPr>
        <w:t>数据存储应采用加密技术、防篡改机制和定期备份策略；</w:t>
      </w:r>
    </w:p>
    <w:p w14:paraId="4AF42B34">
      <w:pPr>
        <w:pStyle w:val="132"/>
        <w:spacing w:line="360" w:lineRule="auto"/>
        <w:rPr>
          <w:rFonts w:hint="eastAsia"/>
        </w:rPr>
      </w:pPr>
      <w:r>
        <w:rPr>
          <w:rFonts w:hint="eastAsia"/>
        </w:rPr>
        <w:t>数据传输应使用安全通信协议（如TLS/SSL）确保信息保密性和完整性。</w:t>
      </w:r>
    </w:p>
    <w:p w14:paraId="35A8C0C5">
      <w:pPr>
        <w:pStyle w:val="105"/>
        <w:spacing w:before="120" w:after="120" w:line="360" w:lineRule="auto"/>
        <w:rPr>
          <w:rFonts w:hint="eastAsia"/>
        </w:rPr>
      </w:pPr>
      <w:r>
        <w:rPr>
          <w:rFonts w:hint="eastAsia"/>
        </w:rPr>
        <w:t>用户隐私保护</w:t>
      </w:r>
    </w:p>
    <w:p w14:paraId="25F80C00">
      <w:pPr>
        <w:pStyle w:val="56"/>
        <w:spacing w:line="360" w:lineRule="auto"/>
        <w:ind w:firstLine="420"/>
        <w:rPr>
          <w:rFonts w:hint="eastAsia"/>
        </w:rPr>
      </w:pPr>
      <w:r>
        <w:rPr>
          <w:rFonts w:hint="eastAsia"/>
        </w:rPr>
        <w:t>系统应遵循最小化原则，仅采集完成交互功能所必需的数据，并在采集前明确告知用户数据用途、范围与保存期限。</w:t>
      </w:r>
    </w:p>
    <w:p w14:paraId="3A2FDBD9">
      <w:pPr>
        <w:pStyle w:val="56"/>
        <w:spacing w:line="360" w:lineRule="auto"/>
        <w:ind w:firstLine="420"/>
        <w:rPr>
          <w:rFonts w:hint="eastAsia"/>
        </w:rPr>
      </w:pPr>
      <w:r>
        <w:rPr>
          <w:rFonts w:hint="eastAsia"/>
        </w:rPr>
        <w:t>应提供用户自主管理数据的功能，包括数据查询、导出与删除。</w:t>
      </w:r>
    </w:p>
    <w:p w14:paraId="20CEE609">
      <w:pPr>
        <w:pStyle w:val="56"/>
        <w:spacing w:line="360" w:lineRule="auto"/>
        <w:ind w:firstLine="420"/>
        <w:rPr>
          <w:rFonts w:hint="eastAsia"/>
        </w:rPr>
      </w:pPr>
      <w:r>
        <w:rPr>
          <w:rFonts w:hint="eastAsia"/>
        </w:rPr>
        <w:t>应支持匿名化和去标识化处理，降低隐私泄露风险。</w:t>
      </w:r>
    </w:p>
    <w:p w14:paraId="259C3166">
      <w:pPr>
        <w:pStyle w:val="105"/>
        <w:spacing w:before="120" w:after="120" w:line="360" w:lineRule="auto"/>
        <w:rPr>
          <w:rFonts w:hint="eastAsia"/>
        </w:rPr>
      </w:pPr>
      <w:r>
        <w:rPr>
          <w:rFonts w:hint="eastAsia"/>
        </w:rPr>
        <w:t>身份认证与权限控制</w:t>
      </w:r>
    </w:p>
    <w:p w14:paraId="741FE5DA">
      <w:pPr>
        <w:pStyle w:val="56"/>
        <w:spacing w:line="360" w:lineRule="auto"/>
        <w:ind w:firstLine="420"/>
        <w:rPr>
          <w:rFonts w:hint="eastAsia"/>
        </w:rPr>
      </w:pPr>
      <w:r>
        <w:rPr>
          <w:rFonts w:hint="eastAsia"/>
        </w:rPr>
        <w:t>系统应建立多层次身份认证机制，并对不同角色用户实行分级权限管理，防止越权访问。</w:t>
      </w:r>
    </w:p>
    <w:p w14:paraId="53038B53">
      <w:pPr>
        <w:pStyle w:val="105"/>
        <w:spacing w:before="120" w:after="120" w:line="360" w:lineRule="auto"/>
        <w:rPr>
          <w:rFonts w:hint="eastAsia"/>
        </w:rPr>
      </w:pPr>
      <w:r>
        <w:rPr>
          <w:rFonts w:hint="eastAsia"/>
        </w:rPr>
        <w:t>安全防护与入侵检测</w:t>
      </w:r>
    </w:p>
    <w:p w14:paraId="4A04D7E7">
      <w:pPr>
        <w:pStyle w:val="56"/>
        <w:spacing w:line="360" w:lineRule="auto"/>
        <w:ind w:firstLine="420"/>
        <w:rPr>
          <w:rFonts w:hint="eastAsia"/>
        </w:rPr>
      </w:pPr>
      <w:r>
        <w:rPr>
          <w:rFonts w:hint="eastAsia"/>
        </w:rPr>
        <w:t>应部署防火墙、入侵检测系统（IDS）和恶意代码防护机制，实时监测系统运行状态，及时发现并响应安全威胁。</w:t>
      </w:r>
    </w:p>
    <w:p w14:paraId="2038328C">
      <w:pPr>
        <w:pStyle w:val="105"/>
        <w:spacing w:before="120" w:after="120" w:line="360" w:lineRule="auto"/>
        <w:rPr>
          <w:rFonts w:hint="eastAsia"/>
        </w:rPr>
      </w:pPr>
      <w:r>
        <w:rPr>
          <w:rFonts w:hint="eastAsia"/>
        </w:rPr>
        <w:t>合规性与审计</w:t>
      </w:r>
    </w:p>
    <w:p w14:paraId="6F8B949C">
      <w:pPr>
        <w:pStyle w:val="56"/>
        <w:spacing w:line="360" w:lineRule="auto"/>
        <w:ind w:firstLine="420"/>
      </w:pPr>
      <w:r>
        <w:rPr>
          <w:rFonts w:hint="eastAsia"/>
        </w:rPr>
        <w:t>系统应符合相关法律法规及行业标准的要求，建立安全审计与追溯机制，定期开展安全评估与渗透测试，确保持续符合安全与隐私保护规范。</w:t>
      </w:r>
    </w:p>
    <w:p w14:paraId="10E920EC">
      <w:pPr>
        <w:pStyle w:val="104"/>
        <w:spacing w:before="240" w:after="240" w:line="360" w:lineRule="auto"/>
        <w:rPr>
          <w:rFonts w:hint="eastAsia"/>
        </w:rPr>
      </w:pPr>
      <w:bookmarkStart w:id="57" w:name="_Toc205748483"/>
      <w:r>
        <w:rPr>
          <w:rFonts w:hint="eastAsia"/>
        </w:rPr>
        <w:t>性能测试与评价</w:t>
      </w:r>
      <w:bookmarkEnd w:id="57"/>
    </w:p>
    <w:p w14:paraId="61033E90">
      <w:pPr>
        <w:pStyle w:val="56"/>
        <w:spacing w:line="360" w:lineRule="auto"/>
        <w:ind w:firstLine="420"/>
        <w:rPr>
          <w:rFonts w:hint="eastAsia"/>
        </w:rPr>
      </w:pPr>
      <w:r>
        <w:rPr>
          <w:rFonts w:hint="eastAsia"/>
        </w:rPr>
        <w:t>多模态数字媒体智能交互系统的性能测试与评价应在系统开发完成后及运行过程中定期进行，以验证系统是否满足设计要求，并为优化升级提供依据。</w:t>
      </w:r>
    </w:p>
    <w:p w14:paraId="6A30D4AD">
      <w:pPr>
        <w:pStyle w:val="105"/>
        <w:spacing w:before="120" w:after="120" w:line="360" w:lineRule="auto"/>
        <w:rPr>
          <w:rFonts w:hint="eastAsia"/>
        </w:rPr>
      </w:pPr>
      <w:r>
        <w:rPr>
          <w:rFonts w:hint="eastAsia"/>
        </w:rPr>
        <w:t>测试原则</w:t>
      </w:r>
    </w:p>
    <w:p w14:paraId="6E5BDE2A">
      <w:pPr>
        <w:pStyle w:val="56"/>
        <w:spacing w:line="360" w:lineRule="auto"/>
        <w:ind w:firstLine="420"/>
        <w:rPr>
          <w:rFonts w:hint="eastAsia"/>
        </w:rPr>
      </w:pPr>
      <w:r>
        <w:rPr>
          <w:rFonts w:hint="eastAsia"/>
        </w:rPr>
        <w:t>性能测试应遵循全面性、客观性、可重复性原则，确保测试结果准确反映系统在实际应用环境中的表现。</w:t>
      </w:r>
    </w:p>
    <w:p w14:paraId="695E2CC8">
      <w:pPr>
        <w:pStyle w:val="105"/>
        <w:spacing w:before="120" w:after="120" w:line="360" w:lineRule="auto"/>
        <w:rPr>
          <w:rFonts w:hint="eastAsia"/>
        </w:rPr>
      </w:pPr>
      <w:r>
        <w:rPr>
          <w:rFonts w:hint="eastAsia"/>
        </w:rPr>
        <w:t>测试环境</w:t>
      </w:r>
    </w:p>
    <w:p w14:paraId="5CE8E57F">
      <w:pPr>
        <w:pStyle w:val="56"/>
        <w:spacing w:line="360" w:lineRule="auto"/>
        <w:ind w:firstLine="420"/>
        <w:rPr>
          <w:rFonts w:hint="eastAsia"/>
        </w:rPr>
      </w:pPr>
      <w:r>
        <w:rPr>
          <w:rFonts w:hint="eastAsia"/>
        </w:rPr>
        <w:t>应在与目标应用场景高度一致的环境中进行测试，包括硬件配置、网络条件、环境噪声、光照条件等，确保测试结果的有效性。</w:t>
      </w:r>
    </w:p>
    <w:p w14:paraId="73446E05">
      <w:pPr>
        <w:pStyle w:val="105"/>
        <w:spacing w:before="120" w:after="120" w:line="360" w:lineRule="auto"/>
        <w:rPr>
          <w:rFonts w:hint="eastAsia"/>
        </w:rPr>
      </w:pPr>
      <w:r>
        <w:rPr>
          <w:rFonts w:hint="eastAsia"/>
        </w:rPr>
        <w:t>测试指标</w:t>
      </w:r>
    </w:p>
    <w:p w14:paraId="233DAA55">
      <w:pPr>
        <w:pStyle w:val="56"/>
        <w:spacing w:line="360" w:lineRule="auto"/>
        <w:ind w:firstLine="420"/>
        <w:rPr>
          <w:rFonts w:hint="eastAsia"/>
        </w:rPr>
      </w:pPr>
      <w:r>
        <w:rPr>
          <w:rFonts w:hint="eastAsia"/>
        </w:rPr>
        <w:t>性能测试应包括但不限于以下指标：</w:t>
      </w:r>
    </w:p>
    <w:p w14:paraId="447F80BA">
      <w:pPr>
        <w:pStyle w:val="132"/>
        <w:spacing w:line="360" w:lineRule="auto"/>
        <w:rPr>
          <w:rFonts w:hint="eastAsia"/>
        </w:rPr>
      </w:pPr>
      <w:r>
        <w:rPr>
          <w:rFonts w:hint="eastAsia"/>
        </w:rPr>
        <w:t>响应时间：从用户输入到系统输出的时间延迟；</w:t>
      </w:r>
    </w:p>
    <w:p w14:paraId="6E5AFE6B">
      <w:pPr>
        <w:pStyle w:val="132"/>
        <w:spacing w:line="360" w:lineRule="auto"/>
        <w:rPr>
          <w:rFonts w:hint="eastAsia"/>
        </w:rPr>
      </w:pPr>
      <w:r>
        <w:rPr>
          <w:rFonts w:hint="eastAsia"/>
        </w:rPr>
        <w:t>准确率：系统对多模态输入的识别与理解正确率；</w:t>
      </w:r>
    </w:p>
    <w:p w14:paraId="1518099F">
      <w:pPr>
        <w:pStyle w:val="132"/>
        <w:spacing w:line="360" w:lineRule="auto"/>
        <w:rPr>
          <w:rFonts w:hint="eastAsia"/>
        </w:rPr>
      </w:pPr>
      <w:r>
        <w:rPr>
          <w:rFonts w:hint="eastAsia"/>
        </w:rPr>
        <w:t>同步性：多模态输出在时间上的一致性；</w:t>
      </w:r>
    </w:p>
    <w:p w14:paraId="6CE583EB">
      <w:pPr>
        <w:pStyle w:val="132"/>
        <w:spacing w:line="360" w:lineRule="auto"/>
        <w:rPr>
          <w:rFonts w:hint="eastAsia"/>
        </w:rPr>
      </w:pPr>
      <w:r>
        <w:rPr>
          <w:rFonts w:hint="eastAsia"/>
        </w:rPr>
        <w:t>稳定性：系统在长时间运行下的故障率与恢复能力；</w:t>
      </w:r>
    </w:p>
    <w:p w14:paraId="51E418C6">
      <w:pPr>
        <w:pStyle w:val="132"/>
        <w:spacing w:line="360" w:lineRule="auto"/>
        <w:rPr>
          <w:rFonts w:hint="eastAsia"/>
        </w:rPr>
      </w:pPr>
      <w:r>
        <w:rPr>
          <w:rFonts w:hint="eastAsia"/>
        </w:rPr>
        <w:t>资源占用：CPU、内存、网络带宽等资源的使用情况；</w:t>
      </w:r>
    </w:p>
    <w:p w14:paraId="636B9D43">
      <w:pPr>
        <w:pStyle w:val="132"/>
        <w:spacing w:line="360" w:lineRule="auto"/>
        <w:rPr>
          <w:rFonts w:hint="eastAsia"/>
        </w:rPr>
      </w:pPr>
      <w:r>
        <w:rPr>
          <w:rFonts w:hint="eastAsia"/>
        </w:rPr>
        <w:t>可用性评分：基于用户可用性测试的综合得分。</w:t>
      </w:r>
    </w:p>
    <w:p w14:paraId="009D8D1E">
      <w:pPr>
        <w:pStyle w:val="105"/>
        <w:spacing w:before="120" w:after="120" w:line="360" w:lineRule="auto"/>
        <w:rPr>
          <w:rFonts w:hint="eastAsia"/>
        </w:rPr>
      </w:pPr>
      <w:r>
        <w:rPr>
          <w:rFonts w:hint="eastAsia"/>
        </w:rPr>
        <w:t>测试方法</w:t>
      </w:r>
    </w:p>
    <w:p w14:paraId="373B5905">
      <w:pPr>
        <w:pStyle w:val="56"/>
        <w:spacing w:line="360" w:lineRule="auto"/>
        <w:ind w:firstLine="420"/>
        <w:rPr>
          <w:rFonts w:hint="eastAsia"/>
        </w:rPr>
      </w:pPr>
      <w:r>
        <w:rPr>
          <w:rFonts w:hint="eastAsia"/>
        </w:rPr>
        <w:t>可采用自动化测试与人工测试结合的方法：</w:t>
      </w:r>
    </w:p>
    <w:p w14:paraId="04FE6F81">
      <w:pPr>
        <w:pStyle w:val="132"/>
        <w:spacing w:line="360" w:lineRule="auto"/>
        <w:rPr>
          <w:rFonts w:hint="eastAsia"/>
        </w:rPr>
      </w:pPr>
      <w:r>
        <w:rPr>
          <w:rFonts w:hint="eastAsia"/>
        </w:rPr>
        <w:t>自动化测试适用于响应时间、同步性、资源占用等指标；</w:t>
      </w:r>
    </w:p>
    <w:p w14:paraId="4C34A3D0">
      <w:pPr>
        <w:pStyle w:val="132"/>
        <w:spacing w:line="360" w:lineRule="auto"/>
        <w:rPr>
          <w:rFonts w:hint="eastAsia"/>
        </w:rPr>
      </w:pPr>
      <w:r>
        <w:rPr>
          <w:rFonts w:hint="eastAsia"/>
        </w:rPr>
        <w:t>人工测试适用于准确率、可用性评分等需要主观评估的指标。</w:t>
      </w:r>
    </w:p>
    <w:p w14:paraId="4F4FA670">
      <w:pPr>
        <w:pStyle w:val="105"/>
        <w:spacing w:before="120" w:after="120" w:line="360" w:lineRule="auto"/>
        <w:rPr>
          <w:rFonts w:hint="eastAsia"/>
        </w:rPr>
      </w:pPr>
      <w:r>
        <w:rPr>
          <w:rFonts w:hint="eastAsia"/>
        </w:rPr>
        <w:t>评价标准</w:t>
      </w:r>
    </w:p>
    <w:p w14:paraId="3DB0F22D">
      <w:pPr>
        <w:pStyle w:val="56"/>
        <w:spacing w:line="360" w:lineRule="auto"/>
        <w:ind w:firstLine="420"/>
        <w:rPr>
          <w:rFonts w:hint="eastAsia"/>
        </w:rPr>
      </w:pPr>
      <w:r>
        <w:rPr>
          <w:rFonts w:hint="eastAsia"/>
        </w:rPr>
        <w:t>应根据系统设计目标、行业标准及用户需求制定性能评价标准。对于不符合评价标准的指标，应进行针对性优化并复测，直至满足要求。</w:t>
      </w:r>
    </w:p>
    <w:p w14:paraId="791B2B76">
      <w:pPr>
        <w:pStyle w:val="105"/>
        <w:spacing w:before="120" w:after="120" w:line="360" w:lineRule="auto"/>
        <w:rPr>
          <w:rFonts w:hint="eastAsia"/>
        </w:rPr>
      </w:pPr>
      <w:r>
        <w:rPr>
          <w:rFonts w:hint="eastAsia"/>
        </w:rPr>
        <w:t>测试报告</w:t>
      </w:r>
    </w:p>
    <w:p w14:paraId="094CC366">
      <w:pPr>
        <w:pStyle w:val="56"/>
        <w:spacing w:line="360" w:lineRule="auto"/>
        <w:ind w:firstLine="420"/>
      </w:pPr>
      <w:r>
        <w:rPr>
          <w:rFonts w:hint="eastAsia"/>
        </w:rPr>
        <w:t>测试完成后，应形成完整的测试报告，包括测试目的、方法、环境、数据、分析结果及改进建议，并作为系统验收与后续优化的重要依据。</w:t>
      </w:r>
    </w:p>
    <w:p w14:paraId="799A7576">
      <w:pPr>
        <w:pStyle w:val="104"/>
        <w:spacing w:before="240" w:after="240" w:line="360" w:lineRule="auto"/>
        <w:rPr>
          <w:rFonts w:hint="eastAsia"/>
        </w:rPr>
      </w:pPr>
      <w:bookmarkStart w:id="58" w:name="_Toc205748484"/>
      <w:r>
        <w:rPr>
          <w:rFonts w:hint="eastAsia"/>
        </w:rPr>
        <w:t>实施与维护</w:t>
      </w:r>
      <w:bookmarkEnd w:id="58"/>
    </w:p>
    <w:p w14:paraId="2DDDA286">
      <w:pPr>
        <w:pStyle w:val="105"/>
        <w:spacing w:before="120" w:after="120" w:line="360" w:lineRule="auto"/>
      </w:pPr>
      <w:r>
        <w:rPr>
          <w:rFonts w:hint="eastAsia"/>
        </w:rPr>
        <w:t>实施准备</w:t>
      </w:r>
    </w:p>
    <w:p w14:paraId="61924ED9">
      <w:pPr>
        <w:pStyle w:val="56"/>
        <w:spacing w:line="360" w:lineRule="auto"/>
        <w:ind w:firstLine="420"/>
        <w:rPr>
          <w:rFonts w:hint="eastAsia"/>
        </w:rPr>
      </w:pPr>
      <w:r>
        <w:rPr>
          <w:rFonts w:hint="eastAsia"/>
        </w:rPr>
        <w:t>多模态数字媒体智能交互系统的实施与维护应确保系统在目标场景中稳定运行、持续优化，并具备应对环境变化与技术更新的能力。</w:t>
      </w:r>
    </w:p>
    <w:p w14:paraId="2AB0CD17">
      <w:pPr>
        <w:pStyle w:val="56"/>
        <w:spacing w:line="360" w:lineRule="auto"/>
        <w:ind w:firstLine="420"/>
        <w:rPr>
          <w:rFonts w:hint="eastAsia"/>
        </w:rPr>
      </w:pPr>
      <w:r>
        <w:rPr>
          <w:rFonts w:hint="eastAsia"/>
        </w:rPr>
        <w:t>在系统部署前，应完成以下准备工作：</w:t>
      </w:r>
    </w:p>
    <w:p w14:paraId="59AE69A1">
      <w:pPr>
        <w:pStyle w:val="132"/>
        <w:spacing w:line="360" w:lineRule="auto"/>
        <w:rPr>
          <w:rFonts w:hint="eastAsia"/>
        </w:rPr>
      </w:pPr>
      <w:r>
        <w:rPr>
          <w:rFonts w:hint="eastAsia"/>
        </w:rPr>
        <w:t>根据应用场景进行软硬件环境的配置与验证；</w:t>
      </w:r>
    </w:p>
    <w:p w14:paraId="7AC8D7C9">
      <w:pPr>
        <w:pStyle w:val="132"/>
        <w:spacing w:line="360" w:lineRule="auto"/>
        <w:rPr>
          <w:rFonts w:hint="eastAsia"/>
        </w:rPr>
      </w:pPr>
      <w:r>
        <w:rPr>
          <w:rFonts w:hint="eastAsia"/>
        </w:rPr>
        <w:t>完成系统安装包、驱动程序、数据库等部署文件的完整性校验；</w:t>
      </w:r>
    </w:p>
    <w:p w14:paraId="770D76BA">
      <w:pPr>
        <w:pStyle w:val="132"/>
        <w:spacing w:line="360" w:lineRule="auto"/>
        <w:rPr>
          <w:rFonts w:hint="eastAsia"/>
        </w:rPr>
      </w:pPr>
      <w:r>
        <w:rPr>
          <w:rFonts w:hint="eastAsia"/>
        </w:rPr>
        <w:t>制定实施计划，明确安装步骤、测试环节及验收标准。</w:t>
      </w:r>
    </w:p>
    <w:p w14:paraId="7E0F43C6">
      <w:pPr>
        <w:pStyle w:val="105"/>
        <w:spacing w:before="120" w:after="120" w:line="360" w:lineRule="auto"/>
        <w:rPr>
          <w:rFonts w:hint="eastAsia"/>
        </w:rPr>
      </w:pPr>
      <w:r>
        <w:rPr>
          <w:rFonts w:hint="eastAsia"/>
        </w:rPr>
        <w:t>系统部署</w:t>
      </w:r>
    </w:p>
    <w:p w14:paraId="2AA7FE90">
      <w:pPr>
        <w:pStyle w:val="56"/>
        <w:spacing w:line="360" w:lineRule="auto"/>
        <w:ind w:firstLine="420"/>
        <w:rPr>
          <w:rFonts w:hint="eastAsia"/>
        </w:rPr>
      </w:pPr>
      <w:r>
        <w:rPr>
          <w:rFonts w:hint="eastAsia"/>
        </w:rPr>
        <w:t>部署过程应遵循标准化和模块化原则，确保系统组件的正确安装与连接：</w:t>
      </w:r>
    </w:p>
    <w:p w14:paraId="17ABA0FC">
      <w:pPr>
        <w:pStyle w:val="132"/>
        <w:spacing w:line="360" w:lineRule="auto"/>
        <w:rPr>
          <w:rFonts w:hint="eastAsia"/>
        </w:rPr>
      </w:pPr>
      <w:r>
        <w:rPr>
          <w:rFonts w:hint="eastAsia"/>
        </w:rPr>
        <w:t>对多模态采集设备应进行位置校准与性能检测；</w:t>
      </w:r>
    </w:p>
    <w:p w14:paraId="2446DA5B">
      <w:pPr>
        <w:pStyle w:val="132"/>
        <w:spacing w:line="360" w:lineRule="auto"/>
        <w:rPr>
          <w:rFonts w:hint="eastAsia"/>
        </w:rPr>
      </w:pPr>
      <w:r>
        <w:rPr>
          <w:rFonts w:hint="eastAsia"/>
        </w:rPr>
        <w:t>对数据处理与融合模块应进行功能验证与接口调试；</w:t>
      </w:r>
    </w:p>
    <w:p w14:paraId="4E4BB2F5">
      <w:pPr>
        <w:pStyle w:val="132"/>
        <w:spacing w:line="360" w:lineRule="auto"/>
        <w:rPr>
          <w:rFonts w:hint="eastAsia"/>
        </w:rPr>
      </w:pPr>
      <w:r>
        <w:rPr>
          <w:rFonts w:hint="eastAsia"/>
        </w:rPr>
        <w:t>对用户界面与交互逻辑应进行可用性测试与优化。</w:t>
      </w:r>
    </w:p>
    <w:p w14:paraId="012804FD">
      <w:pPr>
        <w:pStyle w:val="105"/>
        <w:spacing w:before="120" w:after="120" w:line="360" w:lineRule="auto"/>
        <w:rPr>
          <w:rFonts w:hint="eastAsia"/>
        </w:rPr>
      </w:pPr>
      <w:r>
        <w:rPr>
          <w:rFonts w:hint="eastAsia"/>
        </w:rPr>
        <w:t>培训与交接</w:t>
      </w:r>
    </w:p>
    <w:p w14:paraId="77541EDF">
      <w:pPr>
        <w:pStyle w:val="56"/>
        <w:spacing w:line="360" w:lineRule="auto"/>
        <w:ind w:firstLine="420"/>
        <w:rPr>
          <w:rFonts w:hint="eastAsia"/>
        </w:rPr>
      </w:pPr>
      <w:r>
        <w:rPr>
          <w:rFonts w:hint="eastAsia"/>
        </w:rPr>
        <w:t>系统投入使用前，应对运维人员、终端用户进行培训，包括系统操作、常见故障处理、安全管理等内容，并完成相关文档与账户的交接。</w:t>
      </w:r>
    </w:p>
    <w:p w14:paraId="090BCA77">
      <w:pPr>
        <w:pStyle w:val="105"/>
        <w:spacing w:before="120" w:after="120" w:line="360" w:lineRule="auto"/>
        <w:rPr>
          <w:rFonts w:hint="eastAsia"/>
        </w:rPr>
      </w:pPr>
      <w:r>
        <w:rPr>
          <w:rFonts w:hint="eastAsia"/>
        </w:rPr>
        <w:t>日常运行维护</w:t>
      </w:r>
    </w:p>
    <w:p w14:paraId="2462FB31">
      <w:pPr>
        <w:pStyle w:val="56"/>
        <w:spacing w:line="360" w:lineRule="auto"/>
        <w:ind w:firstLine="420"/>
        <w:rPr>
          <w:rFonts w:hint="eastAsia"/>
        </w:rPr>
      </w:pPr>
      <w:r>
        <w:rPr>
          <w:rFonts w:hint="eastAsia"/>
        </w:rPr>
        <w:t>系统运行过程中，应定期进行设备巡检、软件更新、数据备份及安全监测，确保系统性能与安全性。</w:t>
      </w:r>
    </w:p>
    <w:p w14:paraId="7CDDD4A5">
      <w:pPr>
        <w:pStyle w:val="56"/>
        <w:spacing w:line="360" w:lineRule="auto"/>
        <w:ind w:firstLine="420"/>
        <w:rPr>
          <w:rFonts w:hint="eastAsia"/>
        </w:rPr>
      </w:pPr>
      <w:r>
        <w:rPr>
          <w:rFonts w:hint="eastAsia"/>
        </w:rPr>
        <w:t>对硬件部分应开展防尘、防潮、防震等日常维护，对软件部分应及时更新补丁与版本，修复安全漏洞。</w:t>
      </w:r>
    </w:p>
    <w:p w14:paraId="0A0D260E">
      <w:pPr>
        <w:pStyle w:val="105"/>
        <w:spacing w:before="120" w:after="120" w:line="360" w:lineRule="auto"/>
        <w:rPr>
          <w:rFonts w:hint="eastAsia"/>
        </w:rPr>
      </w:pPr>
      <w:r>
        <w:rPr>
          <w:rFonts w:hint="eastAsia"/>
        </w:rPr>
        <w:t>故障处理与应急响应</w:t>
      </w:r>
    </w:p>
    <w:p w14:paraId="3579A414">
      <w:pPr>
        <w:pStyle w:val="56"/>
        <w:spacing w:line="360" w:lineRule="auto"/>
        <w:ind w:firstLine="420"/>
        <w:rPr>
          <w:rFonts w:hint="eastAsia"/>
        </w:rPr>
      </w:pPr>
      <w:r>
        <w:rPr>
          <w:rFonts w:hint="eastAsia"/>
        </w:rPr>
        <w:t>应建立故障处理流程和应急预案，在系统发生异常时快速定位问题、恢复运行，并记录完整的事件报告。</w:t>
      </w:r>
    </w:p>
    <w:p w14:paraId="6FC9C00C">
      <w:pPr>
        <w:pStyle w:val="105"/>
        <w:spacing w:before="120" w:after="120" w:line="360" w:lineRule="auto"/>
        <w:rPr>
          <w:rFonts w:hint="eastAsia"/>
        </w:rPr>
      </w:pPr>
      <w:r>
        <w:rPr>
          <w:rFonts w:hint="eastAsia"/>
        </w:rPr>
        <w:t>持续优化</w:t>
      </w:r>
    </w:p>
    <w:p w14:paraId="2642F56F">
      <w:pPr>
        <w:pStyle w:val="56"/>
        <w:spacing w:line="360" w:lineRule="auto"/>
        <w:ind w:firstLine="420"/>
        <w:rPr>
          <w:rFonts w:hint="eastAsia"/>
        </w:rPr>
      </w:pPr>
      <w:r>
        <w:rPr>
          <w:rFonts w:hint="eastAsia"/>
        </w:rPr>
        <w:t>应根据性能测试结果、用户反馈及新技术发展，持续优化系统功能、交互体验及安全性能，保持系统的先进性与适用性。</w:t>
      </w:r>
    </w:p>
    <w:bookmarkEnd w:id="26"/>
    <w:p w14:paraId="1715BE75">
      <w:pPr>
        <w:pStyle w:val="56"/>
        <w:ind w:firstLine="0" w:firstLineChars="0"/>
        <w:jc w:val="center"/>
        <w:rPr>
          <w:rFonts w:hint="eastAsia"/>
        </w:rPr>
      </w:pPr>
      <w:bookmarkStart w:id="59" w:name="BookMark8"/>
      <w:r>
        <w:rPr>
          <w:rFonts w:hint="eastAsia"/>
        </w:rPr>
        <w:drawing>
          <wp:inline distT="0" distB="0" distL="0" distR="0">
            <wp:extent cx="1485900" cy="317500"/>
            <wp:effectExtent l="0" t="0" r="0" b="6350"/>
            <wp:docPr id="523528584" name="图片 1"/>
            <wp:cNvGraphicFramePr/>
            <a:graphic xmlns:a="http://schemas.openxmlformats.org/drawingml/2006/main">
              <a:graphicData uri="http://schemas.openxmlformats.org/drawingml/2006/picture">
                <pic:pic xmlns:pic="http://schemas.openxmlformats.org/drawingml/2006/picture">
                  <pic:nvPicPr>
                    <pic:cNvPr id="523528584"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833F">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7C43">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BE0A">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8E01">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2A6D">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3466">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CF6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F915">
    <w:pPr>
      <w:pStyle w:val="62"/>
    </w:pPr>
    <w:r>
      <w:fldChar w:fldCharType="begin"/>
    </w:r>
    <w:r>
      <w:instrText xml:space="preserve"> STYLEREF  标准文件_文件编号 \* MERGEFORMAT </w:instrText>
    </w:r>
    <w:r>
      <w:fldChar w:fldCharType="separate"/>
    </w:r>
    <w:r>
      <w:t>T/XJBX 0066—2025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0066—2025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BEC8">
    <w:pPr>
      <w:pStyle w:val="61"/>
    </w:pPr>
    <w:r>
      <w:fldChar w:fldCharType="begin"/>
    </w:r>
    <w:r>
      <w:instrText xml:space="preserve"> STYLEREF  标准文件_文件编号  \* MERGEFORMAT </w:instrText>
    </w:r>
    <w:r>
      <w:fldChar w:fldCharType="separate"/>
    </w:r>
    <w:r>
      <w:t>T/XJBX 0066—2025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6E33">
    <w:pPr>
      <w:pStyle w:val="62"/>
    </w:pPr>
    <w:r>
      <w:fldChar w:fldCharType="begin"/>
    </w:r>
    <w:r>
      <w:instrText xml:space="preserve"> STYLEREF  标准文件_文件编号 \* MERGEFORMAT </w:instrText>
    </w:r>
    <w:r>
      <w:fldChar w:fldCharType="separate"/>
    </w:r>
    <w:r>
      <w:t>T/XJBX 0066—2025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F83B">
    <w:pPr>
      <w:pStyle w:val="61"/>
    </w:pPr>
    <w:r>
      <w:fldChar w:fldCharType="begin"/>
    </w:r>
    <w:r>
      <w:instrText xml:space="preserve"> STYLEREF  标准文件_文件编号  \* MERGEFORMAT </w:instrText>
    </w:r>
    <w:r>
      <w:fldChar w:fldCharType="separate"/>
    </w:r>
    <w:r>
      <w:t>T/XJBX 0066—2025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4B5E">
    <w:pPr>
      <w:pStyle w:val="62"/>
    </w:pPr>
    <w:r>
      <w:fldChar w:fldCharType="begin"/>
    </w:r>
    <w:r>
      <w:instrText xml:space="preserve"> STYLEREF  标准文件_文件编号 \* MERGEFORMAT </w:instrText>
    </w:r>
    <w:r>
      <w:fldChar w:fldCharType="separate"/>
    </w:r>
    <w:r>
      <w:t>T/XJBX 0066—2025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2E4B">
    <w:pPr>
      <w:pStyle w:val="61"/>
    </w:pPr>
    <w:r>
      <w:fldChar w:fldCharType="begin"/>
    </w:r>
    <w:r>
      <w:instrText xml:space="preserve"> STYLEREF  标准文件_文件编号  \* MERGEFORMAT </w:instrText>
    </w:r>
    <w:r>
      <w:fldChar w:fldCharType="separate"/>
    </w:r>
    <w:r>
      <w:t>T/XJBX 0066—2025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854"/>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7953"/>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94C"/>
    <w:rsid w:val="004B0272"/>
    <w:rsid w:val="004B2701"/>
    <w:rsid w:val="004B2E1B"/>
    <w:rsid w:val="004B3AA8"/>
    <w:rsid w:val="004B3E93"/>
    <w:rsid w:val="004B754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590"/>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FBD"/>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46D"/>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EF0"/>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650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020211B">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E1AE328">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AE1EE7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4A2F0B"/>
    <w:rsid w:val="007F21FF"/>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6146</Words>
  <Characters>6427</Characters>
  <Lines>56</Lines>
  <Paragraphs>15</Paragraphs>
  <TotalTime>48</TotalTime>
  <ScaleCrop>false</ScaleCrop>
  <LinksUpToDate>false</LinksUpToDate>
  <CharactersWithSpaces>6520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2025-08-11T06:30:53Z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51E346DC2D4F41109B34F89A73F7C958_12</vt:lpwstr>
  </property>
</Properties>
</file>