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35.24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35.240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04"/>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04</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64"/>
            </w:textInput>
          </w:ffData>
        </w:fldChar>
      </w:r>
      <w:bookmarkStart w:id="6" w:name="NSTD_CODE_F"/>
      <w:r>
        <w:instrText xml:space="preserve"> FORMTEXT </w:instrText>
      </w:r>
      <w:r>
        <w:fldChar w:fldCharType="separate"/>
      </w:r>
      <w:r>
        <w:t>0064</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fldChar w:fldCharType="begin">
          <w:ffData>
            <w:name w:val="CSTD_NAME"/>
            <w:enabled/>
            <w:calcOnExit w:val="0"/>
            <w:textInput>
              <w:default w:val="BIM在施工管理中的应用规范"/>
            </w:textInput>
          </w:ffData>
        </w:fldChar>
      </w:r>
      <w:bookmarkStart w:id="9" w:name="CSTD_NAME"/>
      <w:r>
        <w:instrText xml:space="preserve"> FORMTEXT </w:instrText>
      </w:r>
      <w:r>
        <w:fldChar w:fldCharType="separate"/>
      </w:r>
      <w:r>
        <w:t>BIM在施工管理中的应用规范</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application of BIM in construction management"/>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application of BIM in construction management</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69A9135E">
      <w:pPr>
        <w:pStyle w:val="91"/>
        <w:spacing w:after="360"/>
        <w:rPr>
          <w:rFonts w:hint="eastAsia"/>
        </w:rPr>
      </w:pPr>
      <w:bookmarkStart w:id="21" w:name="BookMark1"/>
      <w:r>
        <w:rPr>
          <w:rFonts w:hint="eastAsia"/>
          <w:spacing w:val="320"/>
        </w:rPr>
        <w:t>目</w:t>
      </w:r>
      <w:r>
        <w:rPr>
          <w:rFonts w:hint="eastAsia"/>
        </w:rPr>
        <w:t>次</w:t>
      </w:r>
    </w:p>
    <w:p w14:paraId="046E4BCD">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"_Toc205729578" </w:instrText>
      </w:r>
      <w:r>
        <w:fldChar w:fldCharType="separate"/>
      </w:r>
      <w:r>
        <w:rPr>
          <w:rStyle w:val="32"/>
        </w:rPr>
        <w:t>前言</w:t>
      </w:r>
      <w:r>
        <w:tab/>
      </w:r>
      <w:r>
        <w:fldChar w:fldCharType="begin"/>
      </w:r>
      <w:r>
        <w:instrText xml:space="preserve"> PAGEREF _Toc205729578 \h </w:instrText>
      </w:r>
      <w:r>
        <w:fldChar w:fldCharType="separate"/>
      </w:r>
      <w:r>
        <w:t>II</w:t>
      </w:r>
      <w:r>
        <w:fldChar w:fldCharType="end"/>
      </w:r>
      <w:r>
        <w:fldChar w:fldCharType="end"/>
      </w:r>
    </w:p>
    <w:p w14:paraId="165EA4CF">
      <w:pPr>
        <w:pStyle w:val="19"/>
        <w:tabs>
          <w:tab w:val="right" w:leader="dot" w:pos="9344"/>
        </w:tabs>
        <w:rPr>
          <w:rFonts w:asciiTheme="minorHAnsi" w:hAnsiTheme="minorHAnsi" w:eastAsiaTheme="minorEastAsia" w:cstheme="minorBidi"/>
          <w:szCs w:val="22"/>
        </w:rPr>
      </w:pPr>
      <w:r>
        <w:fldChar w:fldCharType="begin"/>
      </w:r>
      <w:r>
        <w:instrText xml:space="preserve"> HYPERLINK \l "_Toc205729579" </w:instrText>
      </w:r>
      <w:r>
        <w:fldChar w:fldCharType="separate"/>
      </w:r>
      <w:r>
        <w:rPr>
          <w:rStyle w:val="32"/>
        </w:rPr>
        <w:t>引言</w:t>
      </w:r>
      <w:r>
        <w:tab/>
      </w:r>
      <w:r>
        <w:fldChar w:fldCharType="begin"/>
      </w:r>
      <w:r>
        <w:instrText xml:space="preserve"> PAGEREF _Toc205729579 \h </w:instrText>
      </w:r>
      <w:r>
        <w:fldChar w:fldCharType="separate"/>
      </w:r>
      <w:r>
        <w:t>III</w:t>
      </w:r>
      <w:r>
        <w:fldChar w:fldCharType="end"/>
      </w:r>
      <w:r>
        <w:fldChar w:fldCharType="end"/>
      </w:r>
    </w:p>
    <w:p w14:paraId="47E5488E">
      <w:pPr>
        <w:pStyle w:val="19"/>
        <w:tabs>
          <w:tab w:val="right" w:leader="dot" w:pos="9344"/>
        </w:tabs>
        <w:rPr>
          <w:rFonts w:asciiTheme="minorHAnsi" w:hAnsiTheme="minorHAnsi" w:eastAsiaTheme="minorEastAsia" w:cstheme="minorBidi"/>
          <w:szCs w:val="22"/>
        </w:rPr>
      </w:pPr>
      <w:r>
        <w:fldChar w:fldCharType="begin"/>
      </w:r>
      <w:r>
        <w:instrText xml:space="preserve"> HYPERLINK \l "_Toc205729580" </w:instrText>
      </w:r>
      <w:r>
        <w:fldChar w:fldCharType="separate"/>
      </w:r>
      <w:r>
        <w:rPr>
          <w:rStyle w:val="32"/>
        </w:rPr>
        <w:t>1  范围</w:t>
      </w:r>
      <w:r>
        <w:tab/>
      </w:r>
      <w:r>
        <w:fldChar w:fldCharType="begin"/>
      </w:r>
      <w:r>
        <w:instrText xml:space="preserve"> PAGEREF _Toc205729580 \h </w:instrText>
      </w:r>
      <w:r>
        <w:fldChar w:fldCharType="separate"/>
      </w:r>
      <w:r>
        <w:t>1</w:t>
      </w:r>
      <w:r>
        <w:fldChar w:fldCharType="end"/>
      </w:r>
      <w:r>
        <w:fldChar w:fldCharType="end"/>
      </w:r>
    </w:p>
    <w:p w14:paraId="421D41A2">
      <w:pPr>
        <w:pStyle w:val="19"/>
        <w:tabs>
          <w:tab w:val="right" w:leader="dot" w:pos="9344"/>
        </w:tabs>
        <w:rPr>
          <w:rFonts w:asciiTheme="minorHAnsi" w:hAnsiTheme="minorHAnsi" w:eastAsiaTheme="minorEastAsia" w:cstheme="minorBidi"/>
          <w:szCs w:val="22"/>
        </w:rPr>
      </w:pPr>
      <w:r>
        <w:fldChar w:fldCharType="begin"/>
      </w:r>
      <w:r>
        <w:instrText xml:space="preserve"> HYPERLINK \l "_Toc205729581" </w:instrText>
      </w:r>
      <w:r>
        <w:fldChar w:fldCharType="separate"/>
      </w:r>
      <w:r>
        <w:rPr>
          <w:rStyle w:val="32"/>
        </w:rPr>
        <w:t>2  规范性引用文件</w:t>
      </w:r>
      <w:r>
        <w:tab/>
      </w:r>
      <w:r>
        <w:fldChar w:fldCharType="begin"/>
      </w:r>
      <w:r>
        <w:instrText xml:space="preserve"> PAGEREF _Toc205729581 \h </w:instrText>
      </w:r>
      <w:r>
        <w:fldChar w:fldCharType="separate"/>
      </w:r>
      <w:r>
        <w:t>1</w:t>
      </w:r>
      <w:r>
        <w:fldChar w:fldCharType="end"/>
      </w:r>
      <w:r>
        <w:fldChar w:fldCharType="end"/>
      </w:r>
    </w:p>
    <w:p w14:paraId="776BB9B7">
      <w:pPr>
        <w:pStyle w:val="19"/>
        <w:tabs>
          <w:tab w:val="right" w:leader="dot" w:pos="9344"/>
        </w:tabs>
        <w:rPr>
          <w:rFonts w:asciiTheme="minorHAnsi" w:hAnsiTheme="minorHAnsi" w:eastAsiaTheme="minorEastAsia" w:cstheme="minorBidi"/>
          <w:szCs w:val="22"/>
        </w:rPr>
      </w:pPr>
      <w:r>
        <w:fldChar w:fldCharType="begin"/>
      </w:r>
      <w:r>
        <w:instrText xml:space="preserve"> HYPERLINK \l "_Toc205729582" </w:instrText>
      </w:r>
      <w:r>
        <w:fldChar w:fldCharType="separate"/>
      </w:r>
      <w:r>
        <w:rPr>
          <w:rStyle w:val="32"/>
        </w:rPr>
        <w:t>3  术语和定义</w:t>
      </w:r>
      <w:r>
        <w:tab/>
      </w:r>
      <w:r>
        <w:fldChar w:fldCharType="begin"/>
      </w:r>
      <w:r>
        <w:instrText xml:space="preserve"> PAGEREF _Toc205729582 \h </w:instrText>
      </w:r>
      <w:r>
        <w:fldChar w:fldCharType="separate"/>
      </w:r>
      <w:r>
        <w:t>1</w:t>
      </w:r>
      <w:r>
        <w:fldChar w:fldCharType="end"/>
      </w:r>
      <w:r>
        <w:fldChar w:fldCharType="end"/>
      </w:r>
    </w:p>
    <w:p w14:paraId="7AC0A7D3">
      <w:pPr>
        <w:pStyle w:val="19"/>
        <w:tabs>
          <w:tab w:val="right" w:leader="dot" w:pos="9344"/>
        </w:tabs>
        <w:rPr>
          <w:rFonts w:asciiTheme="minorHAnsi" w:hAnsiTheme="minorHAnsi" w:eastAsiaTheme="minorEastAsia" w:cstheme="minorBidi"/>
          <w:szCs w:val="22"/>
        </w:rPr>
      </w:pPr>
      <w:r>
        <w:fldChar w:fldCharType="begin"/>
      </w:r>
      <w:r>
        <w:instrText xml:space="preserve"> HYPERLINK \l "_Toc205729583" </w:instrText>
      </w:r>
      <w:r>
        <w:fldChar w:fldCharType="separate"/>
      </w:r>
      <w:r>
        <w:rPr>
          <w:rStyle w:val="32"/>
        </w:rPr>
        <w:t>4  基本原则</w:t>
      </w:r>
      <w:r>
        <w:tab/>
      </w:r>
      <w:r>
        <w:fldChar w:fldCharType="begin"/>
      </w:r>
      <w:r>
        <w:instrText xml:space="preserve"> PAGEREF _Toc205729583 \h </w:instrText>
      </w:r>
      <w:r>
        <w:fldChar w:fldCharType="separate"/>
      </w:r>
      <w:r>
        <w:t>2</w:t>
      </w:r>
      <w:r>
        <w:fldChar w:fldCharType="end"/>
      </w:r>
      <w:r>
        <w:fldChar w:fldCharType="end"/>
      </w:r>
    </w:p>
    <w:p w14:paraId="4BF33DB7">
      <w:pPr>
        <w:pStyle w:val="19"/>
        <w:tabs>
          <w:tab w:val="right" w:leader="dot" w:pos="9344"/>
        </w:tabs>
        <w:rPr>
          <w:rFonts w:asciiTheme="minorHAnsi" w:hAnsiTheme="minorHAnsi" w:eastAsiaTheme="minorEastAsia" w:cstheme="minorBidi"/>
          <w:szCs w:val="22"/>
        </w:rPr>
      </w:pPr>
      <w:r>
        <w:fldChar w:fldCharType="begin"/>
      </w:r>
      <w:r>
        <w:instrText xml:space="preserve"> HYPERLINK \l "_Toc205729584" </w:instrText>
      </w:r>
      <w:r>
        <w:fldChar w:fldCharType="separate"/>
      </w:r>
      <w:r>
        <w:rPr>
          <w:rStyle w:val="32"/>
        </w:rPr>
        <w:t>5  应用内容与要求</w:t>
      </w:r>
      <w:r>
        <w:tab/>
      </w:r>
      <w:r>
        <w:fldChar w:fldCharType="begin"/>
      </w:r>
      <w:r>
        <w:instrText xml:space="preserve"> PAGEREF _Toc205729584 \h </w:instrText>
      </w:r>
      <w:r>
        <w:fldChar w:fldCharType="separate"/>
      </w:r>
      <w:r>
        <w:t>3</w:t>
      </w:r>
      <w:r>
        <w:fldChar w:fldCharType="end"/>
      </w:r>
      <w:r>
        <w:fldChar w:fldCharType="end"/>
      </w:r>
    </w:p>
    <w:p w14:paraId="4D937D41">
      <w:pPr>
        <w:pStyle w:val="19"/>
        <w:tabs>
          <w:tab w:val="right" w:leader="dot" w:pos="9344"/>
        </w:tabs>
        <w:rPr>
          <w:rFonts w:asciiTheme="minorHAnsi" w:hAnsiTheme="minorHAnsi" w:eastAsiaTheme="minorEastAsia" w:cstheme="minorBidi"/>
          <w:szCs w:val="22"/>
        </w:rPr>
      </w:pPr>
      <w:r>
        <w:fldChar w:fldCharType="begin"/>
      </w:r>
      <w:r>
        <w:instrText xml:space="preserve"> HYPERLINK \l "_Toc205729585" </w:instrText>
      </w:r>
      <w:r>
        <w:fldChar w:fldCharType="separate"/>
      </w:r>
      <w:r>
        <w:rPr>
          <w:rStyle w:val="32"/>
        </w:rPr>
        <w:t>6  数据标准与成果交付</w:t>
      </w:r>
      <w:r>
        <w:tab/>
      </w:r>
      <w:r>
        <w:fldChar w:fldCharType="begin"/>
      </w:r>
      <w:r>
        <w:instrText xml:space="preserve"> PAGEREF _Toc205729585 \h </w:instrText>
      </w:r>
      <w:r>
        <w:fldChar w:fldCharType="separate"/>
      </w:r>
      <w:r>
        <w:t>4</w:t>
      </w:r>
      <w:r>
        <w:fldChar w:fldCharType="end"/>
      </w:r>
      <w:r>
        <w:fldChar w:fldCharType="end"/>
      </w:r>
    </w:p>
    <w:p w14:paraId="2E391668">
      <w:pPr>
        <w:pStyle w:val="19"/>
        <w:tabs>
          <w:tab w:val="right" w:leader="dot" w:pos="9344"/>
        </w:tabs>
        <w:rPr>
          <w:rFonts w:asciiTheme="minorHAnsi" w:hAnsiTheme="minorHAnsi" w:eastAsiaTheme="minorEastAsia" w:cstheme="minorBidi"/>
          <w:szCs w:val="22"/>
        </w:rPr>
      </w:pPr>
      <w:r>
        <w:fldChar w:fldCharType="begin"/>
      </w:r>
      <w:r>
        <w:instrText xml:space="preserve"> HYPERLINK \l "_Toc205729586" </w:instrText>
      </w:r>
      <w:r>
        <w:fldChar w:fldCharType="separate"/>
      </w:r>
      <w:r>
        <w:rPr>
          <w:rStyle w:val="32"/>
        </w:rPr>
        <w:t>7  质量管理与保障</w:t>
      </w:r>
      <w:r>
        <w:tab/>
      </w:r>
      <w:r>
        <w:fldChar w:fldCharType="begin"/>
      </w:r>
      <w:r>
        <w:instrText xml:space="preserve"> PAGEREF _Toc205729586 \h </w:instrText>
      </w:r>
      <w:r>
        <w:fldChar w:fldCharType="separate"/>
      </w:r>
      <w:r>
        <w:t>5</w:t>
      </w:r>
      <w:r>
        <w:fldChar w:fldCharType="end"/>
      </w:r>
      <w:r>
        <w:fldChar w:fldCharType="end"/>
      </w:r>
    </w:p>
    <w:p w14:paraId="5F1D6DEB">
      <w:pPr>
        <w:pStyle w:val="19"/>
        <w:tabs>
          <w:tab w:val="right" w:leader="dot" w:pos="9344"/>
        </w:tabs>
        <w:rPr>
          <w:rFonts w:asciiTheme="minorHAnsi" w:hAnsiTheme="minorHAnsi" w:eastAsiaTheme="minorEastAsia" w:cstheme="minorBidi"/>
          <w:szCs w:val="22"/>
        </w:rPr>
      </w:pPr>
      <w:r>
        <w:fldChar w:fldCharType="begin"/>
      </w:r>
      <w:r>
        <w:instrText xml:space="preserve"> HYPERLINK \l "_Toc205729587" </w:instrText>
      </w:r>
      <w:r>
        <w:fldChar w:fldCharType="separate"/>
      </w:r>
      <w:r>
        <w:rPr>
          <w:rStyle w:val="32"/>
        </w:rPr>
        <w:t>8  安全与信息保密</w:t>
      </w:r>
      <w:r>
        <w:tab/>
      </w:r>
      <w:r>
        <w:fldChar w:fldCharType="begin"/>
      </w:r>
      <w:r>
        <w:instrText xml:space="preserve"> PAGEREF _Toc205729587 \h </w:instrText>
      </w:r>
      <w:r>
        <w:fldChar w:fldCharType="separate"/>
      </w:r>
      <w:r>
        <w:t>6</w:t>
      </w:r>
      <w:r>
        <w:fldChar w:fldCharType="end"/>
      </w:r>
      <w:r>
        <w:fldChar w:fldCharType="end"/>
      </w:r>
    </w:p>
    <w:p w14:paraId="0AB116AC">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729578"/>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本文件起草单位：贵州大学。</w:t>
      </w:r>
    </w:p>
    <w:p w14:paraId="55F4A5D1">
      <w:pPr>
        <w:pStyle w:val="56"/>
        <w:spacing w:line="360" w:lineRule="auto"/>
        <w:ind w:firstLine="420"/>
      </w:pPr>
      <w:r>
        <w:rPr>
          <w:rFonts w:hint="eastAsia"/>
        </w:rPr>
        <w:t>本文件主要起草人：胡钰。</w:t>
      </w:r>
    </w:p>
    <w:p w14:paraId="1B3EB912">
      <w:pPr>
        <w:pStyle w:val="56"/>
        <w:ind w:firstLine="420"/>
      </w:pPr>
    </w:p>
    <w:p w14:paraId="784B3C9B">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7" w:name="_GoBack"/>
      <w:bookmarkEnd w:id="57"/>
    </w:p>
    <w:bookmarkEnd w:id="23"/>
    <w:p w14:paraId="66D0A2F3">
      <w:pPr>
        <w:pStyle w:val="89"/>
        <w:spacing w:after="360"/>
      </w:pPr>
      <w:bookmarkStart w:id="24" w:name="_Toc205729579"/>
      <w:bookmarkStart w:id="25" w:name="BookMark3"/>
      <w:r>
        <w:rPr>
          <w:spacing w:val="320"/>
        </w:rPr>
        <w:t>引</w:t>
      </w:r>
      <w:r>
        <w:t>言</w:t>
      </w:r>
      <w:bookmarkEnd w:id="24"/>
    </w:p>
    <w:p w14:paraId="14DEA531">
      <w:pPr>
        <w:pStyle w:val="56"/>
        <w:spacing w:line="360" w:lineRule="auto"/>
        <w:ind w:firstLine="420"/>
        <w:rPr>
          <w:rFonts w:hint="eastAsia"/>
        </w:rPr>
      </w:pPr>
      <w:r>
        <w:rPr>
          <w:rFonts w:hint="eastAsia"/>
        </w:rPr>
        <w:t>建筑信息模型（Building Information Modeling，BIM）技术作为建筑行业数字化转型的重要工具，已在设计、施工、运维等阶段得到广泛应用。特别是在施工管理阶段，BIM技术能够通过三维可视化、信息集成、协同管理和数据分析，提升施工计划的精确性、资源配置的合理性以及质量与安全管理的可控性，从而显著提高工程项目的综合管理水平。</w:t>
      </w:r>
    </w:p>
    <w:p w14:paraId="4BE39BF6">
      <w:pPr>
        <w:pStyle w:val="56"/>
        <w:spacing w:line="360" w:lineRule="auto"/>
        <w:ind w:firstLine="420"/>
        <w:rPr>
          <w:rFonts w:hint="eastAsia"/>
        </w:rPr>
      </w:pPr>
      <w:r>
        <w:rPr>
          <w:rFonts w:hint="eastAsia"/>
        </w:rPr>
        <w:t>当前，施工管理环节在实际应用BIM技术过程中存在应用深度不均衡、数据标准不统一、协同流程不规范、信息交付不完整等问题，影响了BIM技术在施工管理中发挥应有的效益。制定统一的BIM施工管理应用规范，有助于明确BIM在施工阶段的功能定位、数据标准、协同流程及成果交付要求，推动行业数字化管理水平的整体提升。</w:t>
      </w:r>
    </w:p>
    <w:p w14:paraId="20807BCB">
      <w:pPr>
        <w:pStyle w:val="56"/>
        <w:spacing w:line="360" w:lineRule="auto"/>
        <w:ind w:firstLine="420"/>
        <w:rPr>
          <w:rFonts w:hint="eastAsia"/>
        </w:rPr>
      </w:pPr>
      <w:r>
        <w:rPr>
          <w:rFonts w:hint="eastAsia"/>
        </w:rPr>
        <w:t>本文件旨在为施工企业、监理机构、建设单位及相关服务机构在施工管理中应用BIM提供统一的技术要求和操作依据，规范BIM的应用流程、数据格式、成果交付及质量控制方法，实现施工阶段的信息集成、协同高效与决策科学，促进建筑业向高质量、低成本、低风险方向发展。</w:t>
      </w:r>
    </w:p>
    <w:p w14:paraId="7F4A69FE">
      <w:pPr>
        <w:pStyle w:val="56"/>
        <w:spacing w:line="360" w:lineRule="auto"/>
        <w:ind w:firstLine="420"/>
      </w:pPr>
      <w:r>
        <w:rPr>
          <w:rFonts w:hint="eastAsia"/>
        </w:rPr>
        <w:t>本文件的制定遵循“统一标准、突出应用、注重落地、持续优化”的原则，参考国内外BIM标准和施工管理实践经验，结合我国建筑行业的发展实际，确保技术先进性与可操作性相结合，兼顾不同规模、不同类型工程项目的应用需求。</w:t>
      </w:r>
    </w:p>
    <w:p w14:paraId="41C59179">
      <w:pPr>
        <w:pStyle w:val="56"/>
        <w:ind w:firstLine="420"/>
      </w:pPr>
    </w:p>
    <w:p w14:paraId="3AC90217">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BIM在施工管理中的应用规范</w:t>
          </w:r>
        </w:p>
      </w:sdtContent>
    </w:sdt>
    <w:bookmarkEnd w:id="27"/>
    <w:p w14:paraId="3DB22445">
      <w:pPr>
        <w:pStyle w:val="104"/>
        <w:spacing w:before="240" w:after="240" w:line="360" w:lineRule="auto"/>
      </w:pPr>
      <w:bookmarkStart w:id="28" w:name="_Toc26986771"/>
      <w:bookmarkStart w:id="29" w:name="_Toc26648465"/>
      <w:bookmarkStart w:id="30" w:name="_Toc97192964"/>
      <w:bookmarkStart w:id="31" w:name="_Toc17233333"/>
      <w:bookmarkStart w:id="32" w:name="_Toc26718930"/>
      <w:bookmarkStart w:id="33" w:name="_Toc26986530"/>
      <w:bookmarkStart w:id="34" w:name="_Toc205729580"/>
      <w:bookmarkStart w:id="35" w:name="_Toc17233325"/>
      <w:bookmarkStart w:id="36" w:name="_Toc24884211"/>
      <w:bookmarkStart w:id="37" w:name="_Toc24884218"/>
      <w:r>
        <w:rPr>
          <w:rFonts w:hint="eastAsia"/>
        </w:rPr>
        <w:t>范围</w:t>
      </w:r>
      <w:bookmarkEnd w:id="28"/>
      <w:bookmarkEnd w:id="29"/>
      <w:bookmarkEnd w:id="30"/>
      <w:bookmarkEnd w:id="31"/>
      <w:bookmarkEnd w:id="32"/>
      <w:bookmarkEnd w:id="33"/>
      <w:bookmarkEnd w:id="34"/>
      <w:bookmarkEnd w:id="35"/>
      <w:bookmarkEnd w:id="36"/>
      <w:bookmarkEnd w:id="37"/>
    </w:p>
    <w:p w14:paraId="21813094">
      <w:pPr>
        <w:pStyle w:val="56"/>
        <w:spacing w:line="360" w:lineRule="auto"/>
        <w:ind w:firstLine="420"/>
        <w:rPr>
          <w:rFonts w:hint="eastAsia"/>
        </w:rPr>
      </w:pPr>
      <w:bookmarkStart w:id="38" w:name="_Toc17233326"/>
      <w:bookmarkStart w:id="39" w:name="_Toc26648466"/>
      <w:bookmarkStart w:id="40" w:name="_Toc24884219"/>
      <w:bookmarkStart w:id="41" w:name="_Toc17233334"/>
      <w:bookmarkStart w:id="42" w:name="_Toc24884212"/>
      <w:r>
        <w:rPr>
          <w:rFonts w:hint="eastAsia"/>
        </w:rPr>
        <w:t>本文件规定了建筑信息模型（BIM）在施工管理阶段的应用要求，包括BIM应用内容与要求、数据标准与成果交付、质量管理与保障及安全与信息保密等内容。</w:t>
      </w:r>
    </w:p>
    <w:p w14:paraId="238B7B33">
      <w:pPr>
        <w:pStyle w:val="56"/>
        <w:spacing w:line="360" w:lineRule="auto"/>
        <w:ind w:firstLine="420"/>
        <w:rPr>
          <w:rFonts w:hint="eastAsia"/>
        </w:rPr>
      </w:pPr>
      <w:r>
        <w:rPr>
          <w:rFonts w:hint="eastAsia"/>
        </w:rPr>
        <w:t>本文件适用于工业与民用建筑、市政工程、交通工程、水利水电工程等建设项目施工阶段的BIM应用；适用于建设单位、施工单位、监理单位及提供BIM相关服务的技术单位在施工管理中的BIM实施与管理活动。</w:t>
      </w:r>
    </w:p>
    <w:p w14:paraId="76265264">
      <w:pPr>
        <w:pStyle w:val="56"/>
        <w:spacing w:line="360" w:lineRule="auto"/>
        <w:ind w:firstLine="420"/>
      </w:pPr>
      <w:r>
        <w:rPr>
          <w:rFonts w:hint="eastAsia"/>
        </w:rPr>
        <w:t>本文件不适用于纯设计阶段的BIM应用以及单纯用于结构分析、设备选型等非施工管理范畴的BIM应用，但相关条款可供参考。</w:t>
      </w:r>
    </w:p>
    <w:p w14:paraId="3733B2AD">
      <w:pPr>
        <w:pStyle w:val="104"/>
        <w:spacing w:before="240" w:after="240" w:line="360" w:lineRule="auto"/>
      </w:pPr>
      <w:bookmarkStart w:id="43" w:name="_Toc26986772"/>
      <w:bookmarkStart w:id="44" w:name="_Toc205729581"/>
      <w:bookmarkStart w:id="45" w:name="_Toc26986531"/>
      <w:bookmarkStart w:id="46" w:name="_Toc26718931"/>
      <w:bookmarkStart w:id="47" w:name="_Toc9719296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F6F7521">
      <w:pPr>
        <w:pStyle w:val="56"/>
        <w:spacing w:line="360" w:lineRule="auto"/>
        <w:ind w:firstLine="420"/>
      </w:pPr>
      <w:r>
        <w:t>GB 5</w:t>
      </w:r>
      <w:r>
        <w:rPr>
          <w:rFonts w:hint="eastAsia"/>
        </w:rPr>
        <w:t>0300—2013</w:t>
      </w:r>
      <w:r>
        <w:t xml:space="preserve"> </w:t>
      </w:r>
      <w:r>
        <w:rPr>
          <w:rFonts w:hint="eastAsia"/>
        </w:rPr>
        <w:t>建筑工程施工质量验收统一标准</w:t>
      </w:r>
    </w:p>
    <w:p w14:paraId="515C59DB">
      <w:pPr>
        <w:pStyle w:val="56"/>
        <w:spacing w:line="360" w:lineRule="auto"/>
        <w:ind w:firstLine="420"/>
      </w:pPr>
      <w:r>
        <w:t>GB/T 1.1</w:t>
      </w:r>
      <w:r>
        <w:rPr>
          <w:rFonts w:hint="eastAsia"/>
        </w:rPr>
        <w:t>—2020</w:t>
      </w:r>
      <w:r>
        <w:t xml:space="preserve"> </w:t>
      </w:r>
      <w:r>
        <w:rPr>
          <w:rFonts w:hint="eastAsia"/>
        </w:rPr>
        <w:t>标准化工作导则</w:t>
      </w:r>
      <w:r>
        <w:t xml:space="preserve">  </w:t>
      </w:r>
      <w:r>
        <w:rPr>
          <w:rFonts w:hint="eastAsia"/>
        </w:rPr>
        <w:t>第</w:t>
      </w:r>
      <w:r>
        <w:t>1</w:t>
      </w:r>
      <w:r>
        <w:rPr>
          <w:rFonts w:hint="eastAsia"/>
        </w:rPr>
        <w:t>部分：标准化文件的结构和起草规则</w:t>
      </w:r>
    </w:p>
    <w:p w14:paraId="296A4DDE">
      <w:pPr>
        <w:pStyle w:val="56"/>
        <w:spacing w:line="360" w:lineRule="auto"/>
        <w:ind w:firstLine="420"/>
      </w:pPr>
      <w:r>
        <w:t xml:space="preserve">GB/T </w:t>
      </w:r>
      <w:r>
        <w:rPr>
          <w:rFonts w:hint="eastAsia"/>
        </w:rPr>
        <w:t>50326—2017</w:t>
      </w:r>
      <w:r>
        <w:t xml:space="preserve"> </w:t>
      </w:r>
      <w:r>
        <w:rPr>
          <w:rFonts w:hint="eastAsia"/>
        </w:rPr>
        <w:t>建设工程项目管理规范</w:t>
      </w:r>
    </w:p>
    <w:p w14:paraId="2C86E1A5">
      <w:pPr>
        <w:pStyle w:val="56"/>
        <w:spacing w:line="360" w:lineRule="auto"/>
        <w:ind w:firstLine="420"/>
      </w:pPr>
      <w:r>
        <w:t>GB/T 512</w:t>
      </w:r>
      <w:r>
        <w:rPr>
          <w:rFonts w:hint="eastAsia"/>
        </w:rPr>
        <w:t>12—2016</w:t>
      </w:r>
      <w:r>
        <w:t xml:space="preserve"> </w:t>
      </w:r>
      <w:r>
        <w:rPr>
          <w:rFonts w:hint="eastAsia"/>
        </w:rPr>
        <w:t>建筑信息模型应用统一标准</w:t>
      </w:r>
    </w:p>
    <w:p w14:paraId="51F02A4E">
      <w:pPr>
        <w:pStyle w:val="104"/>
        <w:spacing w:before="240" w:after="240" w:line="360" w:lineRule="auto"/>
      </w:pPr>
      <w:bookmarkStart w:id="48" w:name="_Toc97192966"/>
      <w:bookmarkStart w:id="49" w:name="_Toc205729582"/>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0B9AA89B">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建筑信息模型 building information modeling,</w:t>
      </w:r>
      <w:r>
        <w:rPr>
          <w:rFonts w:ascii="黑体" w:hAnsi="黑体" w:eastAsia="黑体"/>
        </w:rPr>
        <w:t xml:space="preserve"> </w:t>
      </w:r>
      <w:r>
        <w:rPr>
          <w:rFonts w:hint="eastAsia" w:ascii="黑体" w:hAnsi="黑体" w:eastAsia="黑体"/>
        </w:rPr>
        <w:t>B</w:t>
      </w:r>
      <w:r>
        <w:rPr>
          <w:rFonts w:ascii="黑体" w:hAnsi="黑体" w:eastAsia="黑体"/>
        </w:rPr>
        <w:t>IM</w:t>
      </w:r>
    </w:p>
    <w:p w14:paraId="4742EC58">
      <w:pPr>
        <w:pStyle w:val="56"/>
        <w:spacing w:line="360" w:lineRule="auto"/>
        <w:ind w:firstLine="420"/>
        <w:rPr>
          <w:rFonts w:hint="eastAsia"/>
        </w:rPr>
      </w:pPr>
      <w:r>
        <w:rPr>
          <w:rFonts w:hint="eastAsia"/>
        </w:rPr>
        <w:t>以数字化三维模型为基础，集成工程项目在全生命周期中的几何信息与非几何信息，实现信息共享与协同管理的技术与方法。</w:t>
      </w:r>
    </w:p>
    <w:p w14:paraId="402BCE78">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模型开发深度 lod level of development</w:t>
      </w:r>
      <w:r>
        <w:rPr>
          <w:rFonts w:ascii="黑体" w:hAnsi="黑体" w:eastAsia="黑体"/>
        </w:rPr>
        <w:t>, LOD</w:t>
      </w:r>
    </w:p>
    <w:p w14:paraId="6B9C970D">
      <w:pPr>
        <w:pStyle w:val="56"/>
        <w:spacing w:line="360" w:lineRule="auto"/>
        <w:ind w:firstLine="420"/>
        <w:rPr>
          <w:rFonts w:hint="eastAsia"/>
        </w:rPr>
      </w:pPr>
      <w:r>
        <w:rPr>
          <w:rFonts w:hint="eastAsia"/>
        </w:rPr>
        <w:t>表示</w:t>
      </w:r>
      <w:r>
        <w:t>BIM</w:t>
      </w:r>
      <w:r>
        <w:rPr>
          <w:rFonts w:hint="eastAsia"/>
        </w:rPr>
        <w:t>模型在不同阶段所包含的几何细节程度和信息完整程度的等级划分，常用于定义模型应用的精度和用途。</w:t>
      </w:r>
    </w:p>
    <w:p w14:paraId="666897EA">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施工模拟 construction simulation</w:t>
      </w:r>
    </w:p>
    <w:p w14:paraId="5598D56E">
      <w:pPr>
        <w:pStyle w:val="56"/>
        <w:spacing w:line="360" w:lineRule="auto"/>
        <w:ind w:firstLine="420"/>
        <w:rPr>
          <w:rFonts w:hint="eastAsia"/>
        </w:rPr>
      </w:pPr>
      <w:r>
        <w:rPr>
          <w:rFonts w:hint="eastAsia"/>
        </w:rPr>
        <w:t>基于</w:t>
      </w:r>
      <w:r>
        <w:t>BIM</w:t>
      </w:r>
      <w:r>
        <w:rPr>
          <w:rFonts w:hint="eastAsia"/>
        </w:rPr>
        <w:t>模型进行施工过程的数字化仿真，包括施工顺序、进度安排、机械布置、材料运输路径等的模拟分析。</w:t>
      </w:r>
    </w:p>
    <w:p w14:paraId="47F62283">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协同管理平台 collaborative management platform</w:t>
      </w:r>
    </w:p>
    <w:p w14:paraId="4896CB03">
      <w:pPr>
        <w:pStyle w:val="56"/>
        <w:spacing w:line="360" w:lineRule="auto"/>
        <w:ind w:firstLine="420"/>
        <w:rPr>
          <w:rFonts w:hint="eastAsia"/>
        </w:rPr>
      </w:pPr>
      <w:r>
        <w:rPr>
          <w:rFonts w:hint="eastAsia"/>
        </w:rPr>
        <w:t>支持多方参与者在统一信息环境中进行模型共享、信息交换、进度协调和任务分配的管理系统或软件平台。</w:t>
      </w:r>
    </w:p>
    <w:p w14:paraId="32AAD771">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碰撞检查 clash detection</w:t>
      </w:r>
    </w:p>
    <w:p w14:paraId="5F17CA90">
      <w:pPr>
        <w:pStyle w:val="56"/>
        <w:spacing w:line="360" w:lineRule="auto"/>
        <w:ind w:firstLine="420"/>
        <w:rPr>
          <w:rFonts w:hint="eastAsia"/>
        </w:rPr>
      </w:pPr>
      <w:r>
        <w:rPr>
          <w:rFonts w:hint="eastAsia"/>
        </w:rPr>
        <w:t>利用</w:t>
      </w:r>
      <w:r>
        <w:t>BIM</w:t>
      </w:r>
      <w:r>
        <w:rPr>
          <w:rFonts w:hint="eastAsia"/>
        </w:rPr>
        <w:t>模型检测设计和施工中的构件、设备及管线间的几何冲突或空间干涉，并生成冲突清单用于优化设计和施工方案。</w:t>
      </w:r>
    </w:p>
    <w:p w14:paraId="04F9FFD9">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信息交付 information delivery</w:t>
      </w:r>
    </w:p>
    <w:p w14:paraId="05D8EA86">
      <w:pPr>
        <w:pStyle w:val="56"/>
        <w:spacing w:line="360" w:lineRule="auto"/>
        <w:ind w:firstLine="420"/>
        <w:rPr>
          <w:rFonts w:hint="eastAsia"/>
        </w:rPr>
      </w:pPr>
      <w:r>
        <w:rPr>
          <w:rFonts w:hint="eastAsia"/>
        </w:rPr>
        <w:t>按照合同或标准要求，在特定阶段向建设单位或相关方提供bim模型及其附属信息的过程。</w:t>
      </w:r>
    </w:p>
    <w:p w14:paraId="066AE32D">
      <w:pPr>
        <w:pStyle w:val="104"/>
        <w:spacing w:before="240" w:after="240" w:line="360" w:lineRule="auto"/>
        <w:rPr>
          <w:rFonts w:hint="eastAsia"/>
        </w:rPr>
      </w:pPr>
      <w:bookmarkStart w:id="51" w:name="_Toc205729583"/>
      <w:r>
        <w:rPr>
          <w:rFonts w:hint="eastAsia"/>
        </w:rPr>
        <w:t>基本原则</w:t>
      </w:r>
      <w:bookmarkEnd w:id="51"/>
    </w:p>
    <w:p w14:paraId="235AC5C7">
      <w:pPr>
        <w:pStyle w:val="105"/>
        <w:spacing w:before="120" w:after="120" w:line="360" w:lineRule="auto"/>
        <w:rPr>
          <w:rFonts w:hint="eastAsia"/>
        </w:rPr>
      </w:pPr>
      <w:r>
        <w:rPr>
          <w:rFonts w:hint="eastAsia"/>
        </w:rPr>
        <w:t>信息一致性原则</w:t>
      </w:r>
    </w:p>
    <w:p w14:paraId="6C621CE9">
      <w:pPr>
        <w:pStyle w:val="56"/>
        <w:spacing w:line="360" w:lineRule="auto"/>
        <w:ind w:firstLine="420"/>
        <w:rPr>
          <w:rFonts w:hint="eastAsia"/>
        </w:rPr>
      </w:pPr>
      <w:r>
        <w:t>BIM</w:t>
      </w:r>
      <w:r>
        <w:rPr>
          <w:rFonts w:hint="eastAsia"/>
        </w:rPr>
        <w:t>在施工管理中的应用应确保数据来源可靠、格式统一、内容完整，避免因信息不一致导致的管理偏差和决策错误。</w:t>
      </w:r>
    </w:p>
    <w:p w14:paraId="0230C997">
      <w:pPr>
        <w:pStyle w:val="105"/>
        <w:spacing w:before="120" w:after="120" w:line="360" w:lineRule="auto"/>
        <w:rPr>
          <w:rFonts w:hint="eastAsia"/>
        </w:rPr>
      </w:pPr>
      <w:r>
        <w:rPr>
          <w:rFonts w:hint="eastAsia"/>
        </w:rPr>
        <w:t>全生命周期管理原则</w:t>
      </w:r>
    </w:p>
    <w:p w14:paraId="24B24614">
      <w:pPr>
        <w:pStyle w:val="56"/>
        <w:spacing w:line="360" w:lineRule="auto"/>
        <w:ind w:firstLine="420"/>
        <w:rPr>
          <w:rFonts w:hint="eastAsia"/>
        </w:rPr>
      </w:pPr>
      <w:r>
        <w:t>BIM</w:t>
      </w:r>
      <w:r>
        <w:rPr>
          <w:rFonts w:hint="eastAsia"/>
        </w:rPr>
        <w:t>应用应覆盖施工准备、实施、验收及移交等全过程，并与设计、运维阶段实现数据衔接，确保信息在全生命周期中可追溯、可利用。</w:t>
      </w:r>
    </w:p>
    <w:p w14:paraId="6C8B3AB6">
      <w:pPr>
        <w:pStyle w:val="105"/>
        <w:spacing w:before="120" w:after="120" w:line="360" w:lineRule="auto"/>
        <w:rPr>
          <w:rFonts w:hint="eastAsia"/>
        </w:rPr>
      </w:pPr>
      <w:r>
        <w:rPr>
          <w:rFonts w:hint="eastAsia"/>
        </w:rPr>
        <w:t>协同共享原则</w:t>
      </w:r>
    </w:p>
    <w:p w14:paraId="34585673">
      <w:pPr>
        <w:pStyle w:val="56"/>
        <w:spacing w:line="360" w:lineRule="auto"/>
        <w:ind w:firstLine="420"/>
        <w:rPr>
          <w:rFonts w:hint="eastAsia"/>
        </w:rPr>
      </w:pPr>
      <w:r>
        <w:rPr>
          <w:rFonts w:hint="eastAsia"/>
        </w:rPr>
        <w:t>应建立基于BIM的协同工作机制，实现建设单位、施工单位、监理单位、设计单位等各方在统一信息平台上的模型共享、信息同步和任务协调。</w:t>
      </w:r>
    </w:p>
    <w:p w14:paraId="62B9D7BB">
      <w:pPr>
        <w:pStyle w:val="105"/>
        <w:spacing w:before="120" w:after="120" w:line="360" w:lineRule="auto"/>
        <w:rPr>
          <w:rFonts w:hint="eastAsia"/>
        </w:rPr>
      </w:pPr>
      <w:r>
        <w:rPr>
          <w:rFonts w:hint="eastAsia"/>
        </w:rPr>
        <w:t>安全可控原则</w:t>
      </w:r>
    </w:p>
    <w:p w14:paraId="0E9603EB">
      <w:pPr>
        <w:pStyle w:val="56"/>
        <w:spacing w:line="360" w:lineRule="auto"/>
        <w:ind w:firstLine="420"/>
        <w:rPr>
          <w:rFonts w:hint="eastAsia"/>
        </w:rPr>
      </w:pPr>
      <w:r>
        <w:rPr>
          <w:rFonts w:hint="eastAsia"/>
        </w:rPr>
        <w:t>应采取技术和管理措施确保BIM数据的安全性与保密性，防止信息泄露、篡改或丢失，同时保障数据访问权限合理分配。</w:t>
      </w:r>
    </w:p>
    <w:p w14:paraId="09031700">
      <w:pPr>
        <w:pStyle w:val="105"/>
        <w:spacing w:before="120" w:after="120" w:line="360" w:lineRule="auto"/>
        <w:rPr>
          <w:rFonts w:hint="eastAsia"/>
        </w:rPr>
      </w:pPr>
      <w:r>
        <w:rPr>
          <w:rFonts w:hint="eastAsia"/>
        </w:rPr>
        <w:t>技术适用性原则</w:t>
      </w:r>
    </w:p>
    <w:p w14:paraId="56960A34">
      <w:pPr>
        <w:pStyle w:val="56"/>
        <w:spacing w:line="360" w:lineRule="auto"/>
        <w:ind w:firstLine="420"/>
        <w:rPr>
          <w:rFonts w:hint="eastAsia"/>
        </w:rPr>
      </w:pPr>
      <w:r>
        <w:rPr>
          <w:rFonts w:hint="eastAsia"/>
        </w:rPr>
        <w:t>应根据项目特点、规模及管理需求选择适用的BIM软件、硬件和应用模块，确保技术落地可行且能发挥效益。</w:t>
      </w:r>
    </w:p>
    <w:p w14:paraId="3BAE68E5">
      <w:pPr>
        <w:pStyle w:val="105"/>
        <w:spacing w:before="120" w:after="120" w:line="360" w:lineRule="auto"/>
        <w:rPr>
          <w:rFonts w:hint="eastAsia"/>
        </w:rPr>
      </w:pPr>
      <w:r>
        <w:rPr>
          <w:rFonts w:hint="eastAsia"/>
        </w:rPr>
        <w:t>持续改进原则</w:t>
      </w:r>
    </w:p>
    <w:p w14:paraId="2A62EE40">
      <w:pPr>
        <w:pStyle w:val="56"/>
        <w:spacing w:line="360" w:lineRule="auto"/>
        <w:ind w:firstLine="420"/>
      </w:pPr>
      <w:r>
        <w:rPr>
          <w:rFonts w:hint="eastAsia"/>
        </w:rPr>
        <w:t>在施工管理过程中，应不断总结BIM应用经验，优化工作流程和应用方法，提升技术水平和管理效能。</w:t>
      </w:r>
    </w:p>
    <w:p w14:paraId="7D37A73D">
      <w:pPr>
        <w:pStyle w:val="104"/>
        <w:spacing w:before="240" w:after="240" w:line="360" w:lineRule="auto"/>
        <w:rPr>
          <w:rFonts w:hint="eastAsia"/>
        </w:rPr>
      </w:pPr>
      <w:bookmarkStart w:id="52" w:name="_Toc205729584"/>
      <w:r>
        <w:rPr>
          <w:rFonts w:hint="eastAsia"/>
        </w:rPr>
        <w:t>应用内容与要求</w:t>
      </w:r>
      <w:bookmarkEnd w:id="52"/>
    </w:p>
    <w:p w14:paraId="3C162D8D">
      <w:pPr>
        <w:pStyle w:val="105"/>
        <w:spacing w:before="120" w:after="120" w:line="360" w:lineRule="auto"/>
        <w:rPr>
          <w:rFonts w:hint="eastAsia"/>
        </w:rPr>
      </w:pPr>
      <w:r>
        <w:rPr>
          <w:rFonts w:hint="eastAsia"/>
        </w:rPr>
        <w:t>施工计划管理</w:t>
      </w:r>
    </w:p>
    <w:p w14:paraId="1F4B27A5">
      <w:pPr>
        <w:pStyle w:val="56"/>
        <w:spacing w:line="360" w:lineRule="auto"/>
        <w:ind w:firstLine="420"/>
        <w:rPr>
          <w:rFonts w:hint="eastAsia"/>
        </w:rPr>
      </w:pPr>
      <w:r>
        <w:rPr>
          <w:rFonts w:hint="eastAsia"/>
        </w:rPr>
        <w:t>BIM模型应与进度计划软件联动，实现施工进度的可视化管理与动态调整。施工计划应在模型中关联到具体构件，形成4D进度模拟。</w:t>
      </w:r>
    </w:p>
    <w:p w14:paraId="0767CF00">
      <w:pPr>
        <w:pStyle w:val="56"/>
        <w:spacing w:line="360" w:lineRule="auto"/>
        <w:ind w:firstLine="420"/>
      </w:pPr>
      <w:r>
        <w:rPr>
          <w:rFonts w:hint="eastAsia"/>
        </w:rPr>
        <w:t>应通过模拟施工顺序，发现施工干扰、机械冲突等问题并提前优化。</w:t>
      </w:r>
    </w:p>
    <w:p w14:paraId="39DE3BDC">
      <w:pPr>
        <w:pStyle w:val="56"/>
        <w:spacing w:line="360" w:lineRule="auto"/>
        <w:ind w:firstLine="420"/>
        <w:rPr>
          <w:rFonts w:hint="eastAsia"/>
        </w:rPr>
      </w:pPr>
      <w:r>
        <w:rPr>
          <w:rFonts w:hint="eastAsia"/>
        </w:rPr>
        <w:t>应在每周进度更新中比对计划与实际，生成偏差分析报告，进度调整应在BIM模型和进度管理系统中同步更新。</w:t>
      </w:r>
    </w:p>
    <w:p w14:paraId="4E8CC2C0">
      <w:pPr>
        <w:pStyle w:val="105"/>
        <w:spacing w:before="120" w:after="120" w:line="360" w:lineRule="auto"/>
        <w:rPr>
          <w:rFonts w:hint="eastAsia"/>
        </w:rPr>
      </w:pPr>
      <w:r>
        <w:rPr>
          <w:rFonts w:hint="eastAsia"/>
        </w:rPr>
        <w:t>质量控制</w:t>
      </w:r>
    </w:p>
    <w:p w14:paraId="09182E6C">
      <w:pPr>
        <w:pStyle w:val="56"/>
        <w:spacing w:line="360" w:lineRule="auto"/>
        <w:ind w:firstLine="420"/>
        <w:rPr>
          <w:rFonts w:hint="eastAsia"/>
        </w:rPr>
      </w:pPr>
      <w:r>
        <w:rPr>
          <w:rFonts w:hint="eastAsia"/>
        </w:rPr>
        <w:t>应基于BIM模型进行构件信息管理和施工工序可视化交底，确保施工人员理解设计要求。通过碰撞检查和模型复核，提前发现设计与施工中的潜在问题，减少返工和质量缺陷。</w:t>
      </w:r>
    </w:p>
    <w:p w14:paraId="0FC51D0A">
      <w:pPr>
        <w:pStyle w:val="105"/>
        <w:spacing w:before="120" w:after="120" w:line="360" w:lineRule="auto"/>
        <w:rPr>
          <w:rFonts w:hint="eastAsia"/>
        </w:rPr>
      </w:pPr>
      <w:r>
        <w:rPr>
          <w:rFonts w:hint="eastAsia"/>
        </w:rPr>
        <w:t>安全管理</w:t>
      </w:r>
    </w:p>
    <w:p w14:paraId="17F7CBFF">
      <w:pPr>
        <w:pStyle w:val="56"/>
        <w:spacing w:line="360" w:lineRule="auto"/>
        <w:ind w:firstLine="420"/>
        <w:rPr>
          <w:rFonts w:hint="eastAsia"/>
        </w:rPr>
      </w:pPr>
      <w:r>
        <w:rPr>
          <w:rFonts w:hint="eastAsia"/>
        </w:rPr>
        <w:t>应利用BIM进行施工现场安全风险识别与模拟，优化施工场地布置，合理规划安全防护设施。应在模型中标注高风险作业区域，形成可视化安全交底材料。</w:t>
      </w:r>
    </w:p>
    <w:p w14:paraId="446B9BAE">
      <w:pPr>
        <w:pStyle w:val="105"/>
        <w:spacing w:before="120" w:after="120" w:line="360" w:lineRule="auto"/>
        <w:rPr>
          <w:rFonts w:hint="eastAsia"/>
        </w:rPr>
      </w:pPr>
      <w:r>
        <w:rPr>
          <w:rFonts w:hint="eastAsia"/>
        </w:rPr>
        <w:t>成本管理</w:t>
      </w:r>
    </w:p>
    <w:p w14:paraId="6F403322">
      <w:pPr>
        <w:pStyle w:val="56"/>
        <w:spacing w:line="360" w:lineRule="auto"/>
        <w:ind w:firstLine="420"/>
        <w:rPr>
          <w:rFonts w:hint="eastAsia"/>
        </w:rPr>
      </w:pPr>
      <w:r>
        <w:rPr>
          <w:rFonts w:hint="eastAsia"/>
        </w:rPr>
        <w:t>应将BIM模型与工程量清单、造价数据关联，实现工程量自动统计和动态成本分析，支持成本优化与过程控制。</w:t>
      </w:r>
    </w:p>
    <w:p w14:paraId="6791132A">
      <w:pPr>
        <w:pStyle w:val="105"/>
        <w:spacing w:before="120" w:after="120" w:line="360" w:lineRule="auto"/>
        <w:rPr>
          <w:rFonts w:hint="eastAsia"/>
        </w:rPr>
      </w:pPr>
      <w:r>
        <w:rPr>
          <w:rFonts w:hint="eastAsia"/>
        </w:rPr>
        <w:t>协同沟通</w:t>
      </w:r>
    </w:p>
    <w:p w14:paraId="43992798">
      <w:pPr>
        <w:pStyle w:val="56"/>
        <w:spacing w:line="360" w:lineRule="auto"/>
        <w:ind w:firstLine="420"/>
        <w:rPr>
          <w:rFonts w:hint="eastAsia"/>
        </w:rPr>
      </w:pPr>
      <w:r>
        <w:rPr>
          <w:rFonts w:hint="eastAsia"/>
        </w:rPr>
        <w:t>应建立基于BIM的协同管理平台，实现各方在统一信息环境中的数据交换与模型共享。应明确信息发布、审批、更新的流程，确保信息传递及时、准确。</w:t>
      </w:r>
    </w:p>
    <w:p w14:paraId="01864F61">
      <w:pPr>
        <w:pStyle w:val="105"/>
        <w:spacing w:before="120" w:after="120" w:line="360" w:lineRule="auto"/>
        <w:rPr>
          <w:rFonts w:hint="eastAsia"/>
        </w:rPr>
      </w:pPr>
      <w:r>
        <w:rPr>
          <w:rFonts w:hint="eastAsia"/>
        </w:rPr>
        <w:t>施工现场管理</w:t>
      </w:r>
    </w:p>
    <w:p w14:paraId="189FFA82">
      <w:pPr>
        <w:pStyle w:val="56"/>
        <w:spacing w:line="360" w:lineRule="auto"/>
        <w:ind w:firstLine="420"/>
      </w:pPr>
      <w:r>
        <w:rPr>
          <w:rFonts w:hint="eastAsia"/>
        </w:rPr>
        <w:t>应结合BIM模型进行施工场地布置规划、临时设施布置、材料堆放与运输路径优化，提升现场管理的有序性和效率。BIM施工管理应用与要求检查见表1。</w:t>
      </w:r>
    </w:p>
    <w:p w14:paraId="59171B91">
      <w:pPr>
        <w:pStyle w:val="112"/>
        <w:spacing w:before="120" w:after="120" w:line="360" w:lineRule="auto"/>
      </w:pPr>
      <w:r>
        <w:rPr>
          <w:rFonts w:hint="eastAsia"/>
        </w:rPr>
        <w:t>BIM施工管理应用与要求检查</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4961"/>
        <w:gridCol w:w="2256"/>
      </w:tblGrid>
      <w:tr w14:paraId="4C548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shd w:val="clear" w:color="auto" w:fill="auto"/>
          </w:tcPr>
          <w:p w14:paraId="70E16499">
            <w:pPr>
              <w:pStyle w:val="178"/>
              <w:rPr>
                <w:rFonts w:hint="eastAsia"/>
              </w:rPr>
            </w:pPr>
            <w:r>
              <w:rPr>
                <w:rFonts w:hint="eastAsia"/>
              </w:rPr>
              <w:t>应用环节</w:t>
            </w:r>
          </w:p>
        </w:tc>
        <w:tc>
          <w:tcPr>
            <w:tcW w:w="4961" w:type="dxa"/>
            <w:tcBorders>
              <w:top w:val="single" w:color="auto" w:sz="8" w:space="0"/>
              <w:bottom w:val="single" w:color="auto" w:sz="8" w:space="0"/>
            </w:tcBorders>
            <w:shd w:val="clear" w:color="auto" w:fill="auto"/>
          </w:tcPr>
          <w:p w14:paraId="11DD2C0F">
            <w:pPr>
              <w:pStyle w:val="178"/>
              <w:rPr>
                <w:rFonts w:hint="eastAsia"/>
              </w:rPr>
            </w:pPr>
            <w:r>
              <w:rPr>
                <w:rFonts w:hint="eastAsia"/>
              </w:rPr>
              <w:t>核查内容</w:t>
            </w:r>
          </w:p>
        </w:tc>
        <w:tc>
          <w:tcPr>
            <w:tcW w:w="2256" w:type="dxa"/>
            <w:tcBorders>
              <w:top w:val="single" w:color="auto" w:sz="8" w:space="0"/>
              <w:bottom w:val="single" w:color="auto" w:sz="8" w:space="0"/>
            </w:tcBorders>
            <w:shd w:val="clear" w:color="auto" w:fill="auto"/>
          </w:tcPr>
          <w:p w14:paraId="6CEFF345">
            <w:pPr>
              <w:pStyle w:val="178"/>
              <w:rPr>
                <w:rFonts w:hint="eastAsia"/>
              </w:rPr>
            </w:pPr>
            <w:r>
              <w:rPr>
                <w:rFonts w:hint="eastAsia"/>
              </w:rPr>
              <w:t>检查频次</w:t>
            </w:r>
          </w:p>
        </w:tc>
      </w:tr>
      <w:tr w14:paraId="64335A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shd w:val="clear" w:color="auto" w:fill="auto"/>
          </w:tcPr>
          <w:p w14:paraId="61631B9D">
            <w:pPr>
              <w:pStyle w:val="178"/>
              <w:rPr>
                <w:rFonts w:hint="eastAsia"/>
              </w:rPr>
            </w:pPr>
            <w:r>
              <w:rPr>
                <w:rFonts w:hint="eastAsia"/>
              </w:rPr>
              <w:t>施工计划管理</w:t>
            </w:r>
          </w:p>
        </w:tc>
        <w:tc>
          <w:tcPr>
            <w:tcW w:w="4961" w:type="dxa"/>
            <w:tcBorders>
              <w:top w:val="single" w:color="auto" w:sz="8" w:space="0"/>
            </w:tcBorders>
            <w:shd w:val="clear" w:color="auto" w:fill="auto"/>
          </w:tcPr>
          <w:p w14:paraId="322739FE">
            <w:pPr>
              <w:pStyle w:val="178"/>
              <w:rPr>
                <w:rFonts w:hint="eastAsia"/>
              </w:rPr>
            </w:pPr>
            <w:r>
              <w:rPr>
                <w:rFonts w:hint="eastAsia"/>
              </w:rPr>
              <w:t>是否建立进度与BIM模型关联；4D模拟是否完成</w:t>
            </w:r>
          </w:p>
        </w:tc>
        <w:tc>
          <w:tcPr>
            <w:tcW w:w="2256" w:type="dxa"/>
            <w:tcBorders>
              <w:top w:val="single" w:color="auto" w:sz="8" w:space="0"/>
            </w:tcBorders>
            <w:shd w:val="clear" w:color="auto" w:fill="auto"/>
          </w:tcPr>
          <w:p w14:paraId="25E88497">
            <w:pPr>
              <w:pStyle w:val="178"/>
              <w:rPr>
                <w:rFonts w:hint="eastAsia"/>
              </w:rPr>
            </w:pPr>
            <w:r>
              <w:rPr>
                <w:rFonts w:hint="eastAsia"/>
              </w:rPr>
              <w:t>每周一次</w:t>
            </w:r>
          </w:p>
        </w:tc>
      </w:tr>
      <w:tr w14:paraId="2FDE0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2136765A">
            <w:pPr>
              <w:pStyle w:val="178"/>
              <w:rPr>
                <w:rFonts w:hint="eastAsia"/>
              </w:rPr>
            </w:pPr>
            <w:r>
              <w:rPr>
                <w:rFonts w:hint="eastAsia"/>
              </w:rPr>
              <w:t>质量控制</w:t>
            </w:r>
          </w:p>
        </w:tc>
        <w:tc>
          <w:tcPr>
            <w:tcW w:w="4961" w:type="dxa"/>
            <w:shd w:val="clear" w:color="auto" w:fill="auto"/>
          </w:tcPr>
          <w:p w14:paraId="41671763">
            <w:pPr>
              <w:pStyle w:val="178"/>
              <w:rPr>
                <w:rFonts w:hint="eastAsia"/>
              </w:rPr>
            </w:pPr>
            <w:r>
              <w:rPr>
                <w:rFonts w:hint="eastAsia"/>
              </w:rPr>
              <w:t>模型属性与质量记录是否匹配；碰撞检查完成率</w:t>
            </w:r>
          </w:p>
        </w:tc>
        <w:tc>
          <w:tcPr>
            <w:tcW w:w="2256" w:type="dxa"/>
            <w:shd w:val="clear" w:color="auto" w:fill="auto"/>
          </w:tcPr>
          <w:p w14:paraId="2AF90FC0">
            <w:pPr>
              <w:pStyle w:val="178"/>
              <w:rPr>
                <w:rFonts w:hint="eastAsia"/>
              </w:rPr>
            </w:pPr>
            <w:r>
              <w:rPr>
                <w:rFonts w:hint="eastAsia"/>
              </w:rPr>
              <w:t>每月一次</w:t>
            </w:r>
          </w:p>
        </w:tc>
      </w:tr>
      <w:tr w14:paraId="5A413D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17" w:type="dxa"/>
            <w:shd w:val="clear" w:color="auto" w:fill="auto"/>
          </w:tcPr>
          <w:p w14:paraId="74316B66">
            <w:pPr>
              <w:pStyle w:val="178"/>
              <w:rPr>
                <w:rFonts w:hint="eastAsia"/>
              </w:rPr>
            </w:pPr>
            <w:r>
              <w:rPr>
                <w:rFonts w:hint="eastAsia"/>
              </w:rPr>
              <w:t>安全管理</w:t>
            </w:r>
          </w:p>
        </w:tc>
        <w:tc>
          <w:tcPr>
            <w:tcW w:w="4961" w:type="dxa"/>
            <w:shd w:val="clear" w:color="auto" w:fill="auto"/>
          </w:tcPr>
          <w:p w14:paraId="26F20F02">
            <w:pPr>
              <w:pStyle w:val="178"/>
              <w:rPr>
                <w:rFonts w:hint="eastAsia"/>
              </w:rPr>
            </w:pPr>
            <w:r>
              <w:rPr>
                <w:rFonts w:hint="eastAsia"/>
              </w:rPr>
              <w:t>高风险区域是否在模型中标注；安全交底是否生成动画</w:t>
            </w:r>
          </w:p>
        </w:tc>
        <w:tc>
          <w:tcPr>
            <w:tcW w:w="2256" w:type="dxa"/>
            <w:shd w:val="clear" w:color="auto" w:fill="auto"/>
          </w:tcPr>
          <w:p w14:paraId="2F368962">
            <w:pPr>
              <w:pStyle w:val="178"/>
              <w:rPr>
                <w:rFonts w:hint="eastAsia"/>
              </w:rPr>
            </w:pPr>
            <w:r>
              <w:rPr>
                <w:rFonts w:hint="eastAsia"/>
              </w:rPr>
              <w:t>每周一次</w:t>
            </w:r>
          </w:p>
        </w:tc>
      </w:tr>
      <w:tr w14:paraId="46F42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13D8D457">
            <w:pPr>
              <w:pStyle w:val="178"/>
              <w:rPr>
                <w:rFonts w:hint="eastAsia"/>
              </w:rPr>
            </w:pPr>
            <w:r>
              <w:rPr>
                <w:rFonts w:hint="eastAsia"/>
              </w:rPr>
              <w:t>成本管理</w:t>
            </w:r>
          </w:p>
        </w:tc>
        <w:tc>
          <w:tcPr>
            <w:tcW w:w="4961" w:type="dxa"/>
            <w:shd w:val="clear" w:color="auto" w:fill="auto"/>
          </w:tcPr>
          <w:p w14:paraId="0056D7A4">
            <w:pPr>
              <w:pStyle w:val="178"/>
              <w:rPr>
                <w:rFonts w:hint="eastAsia"/>
              </w:rPr>
            </w:pPr>
            <w:r>
              <w:rPr>
                <w:rFonts w:hint="eastAsia"/>
              </w:rPr>
              <w:t>模型算量与造价系统是否同步；变更成本是否更新</w:t>
            </w:r>
          </w:p>
        </w:tc>
        <w:tc>
          <w:tcPr>
            <w:tcW w:w="2256" w:type="dxa"/>
            <w:shd w:val="clear" w:color="auto" w:fill="auto"/>
          </w:tcPr>
          <w:p w14:paraId="1E9B4D60">
            <w:pPr>
              <w:pStyle w:val="178"/>
              <w:rPr>
                <w:rFonts w:hint="eastAsia"/>
              </w:rPr>
            </w:pPr>
            <w:r>
              <w:rPr>
                <w:rFonts w:hint="eastAsia"/>
              </w:rPr>
              <w:t>每月一次</w:t>
            </w:r>
          </w:p>
        </w:tc>
      </w:tr>
      <w:tr w14:paraId="6DB80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17" w:type="dxa"/>
            <w:shd w:val="clear" w:color="auto" w:fill="auto"/>
          </w:tcPr>
          <w:p w14:paraId="1FC0C46E">
            <w:pPr>
              <w:pStyle w:val="178"/>
              <w:rPr>
                <w:rFonts w:hint="eastAsia"/>
              </w:rPr>
            </w:pPr>
            <w:r>
              <w:rPr>
                <w:rFonts w:hint="eastAsia"/>
              </w:rPr>
              <w:t>协同沟通</w:t>
            </w:r>
          </w:p>
        </w:tc>
        <w:tc>
          <w:tcPr>
            <w:tcW w:w="4961" w:type="dxa"/>
            <w:shd w:val="clear" w:color="auto" w:fill="auto"/>
          </w:tcPr>
          <w:p w14:paraId="413C8514">
            <w:pPr>
              <w:pStyle w:val="178"/>
              <w:rPr>
                <w:rFonts w:hint="eastAsia"/>
              </w:rPr>
            </w:pPr>
            <w:r>
              <w:rPr>
                <w:rFonts w:hint="eastAsia"/>
              </w:rPr>
              <w:t>模型版本管理是否执行；会审记录是否归档</w:t>
            </w:r>
          </w:p>
        </w:tc>
        <w:tc>
          <w:tcPr>
            <w:tcW w:w="2256" w:type="dxa"/>
            <w:shd w:val="clear" w:color="auto" w:fill="auto"/>
          </w:tcPr>
          <w:p w14:paraId="49CA374B">
            <w:pPr>
              <w:pStyle w:val="178"/>
              <w:rPr>
                <w:rFonts w:hint="eastAsia"/>
              </w:rPr>
            </w:pPr>
            <w:r>
              <w:rPr>
                <w:rFonts w:hint="eastAsia"/>
              </w:rPr>
              <w:t>每次会审</w:t>
            </w:r>
          </w:p>
        </w:tc>
      </w:tr>
      <w:tr w14:paraId="525F2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483357D4">
            <w:pPr>
              <w:pStyle w:val="178"/>
              <w:rPr>
                <w:rFonts w:hint="eastAsia"/>
              </w:rPr>
            </w:pPr>
            <w:r>
              <w:rPr>
                <w:rFonts w:hint="eastAsia"/>
              </w:rPr>
              <w:t>竣工交付</w:t>
            </w:r>
          </w:p>
        </w:tc>
        <w:tc>
          <w:tcPr>
            <w:tcW w:w="4961" w:type="dxa"/>
            <w:shd w:val="clear" w:color="auto" w:fill="auto"/>
          </w:tcPr>
          <w:p w14:paraId="74BD49E3">
            <w:pPr>
              <w:pStyle w:val="178"/>
              <w:rPr>
                <w:rFonts w:hint="eastAsia"/>
              </w:rPr>
            </w:pPr>
            <w:r>
              <w:rPr>
                <w:rFonts w:hint="eastAsia"/>
              </w:rPr>
              <w:t>竣工模型是否包含全部变更；运维信息是否完整</w:t>
            </w:r>
          </w:p>
        </w:tc>
        <w:tc>
          <w:tcPr>
            <w:tcW w:w="2256" w:type="dxa"/>
            <w:shd w:val="clear" w:color="auto" w:fill="auto"/>
          </w:tcPr>
          <w:p w14:paraId="1CC87C8F">
            <w:pPr>
              <w:pStyle w:val="178"/>
              <w:rPr>
                <w:rFonts w:hint="eastAsia"/>
              </w:rPr>
            </w:pPr>
            <w:r>
              <w:rPr>
                <w:rFonts w:hint="eastAsia"/>
              </w:rPr>
              <w:t>项目竣工</w:t>
            </w:r>
          </w:p>
        </w:tc>
      </w:tr>
    </w:tbl>
    <w:p w14:paraId="33867A51">
      <w:pPr>
        <w:pStyle w:val="105"/>
        <w:spacing w:before="120" w:after="120" w:line="360" w:lineRule="auto"/>
        <w:rPr>
          <w:rFonts w:hint="eastAsia"/>
        </w:rPr>
      </w:pPr>
      <w:r>
        <w:rPr>
          <w:rFonts w:hint="eastAsia"/>
        </w:rPr>
        <w:t>竣工交付与运维衔接</w:t>
      </w:r>
    </w:p>
    <w:p w14:paraId="305AD961">
      <w:pPr>
        <w:pStyle w:val="56"/>
        <w:spacing w:line="360" w:lineRule="auto"/>
        <w:ind w:firstLine="420"/>
      </w:pPr>
      <w:r>
        <w:rPr>
          <w:rFonts w:hint="eastAsia"/>
        </w:rPr>
        <w:t>应在工程竣工时提供符合要求的竣工BIM模型，包含施工过程中形成的完整信息，作为运维阶段的数字化基础数据。</w:t>
      </w:r>
    </w:p>
    <w:p w14:paraId="39135D76">
      <w:pPr>
        <w:pStyle w:val="104"/>
        <w:spacing w:before="240" w:after="240" w:line="360" w:lineRule="auto"/>
        <w:rPr>
          <w:rFonts w:hint="eastAsia"/>
        </w:rPr>
      </w:pPr>
      <w:bookmarkStart w:id="53" w:name="_Toc205729585"/>
      <w:r>
        <w:rPr>
          <w:rFonts w:hint="eastAsia"/>
        </w:rPr>
        <w:t>数据标准与成果交付</w:t>
      </w:r>
      <w:bookmarkEnd w:id="53"/>
    </w:p>
    <w:p w14:paraId="7CD93816">
      <w:pPr>
        <w:pStyle w:val="105"/>
        <w:spacing w:before="120" w:after="120" w:line="360" w:lineRule="auto"/>
        <w:rPr>
          <w:rFonts w:hint="eastAsia"/>
        </w:rPr>
      </w:pPr>
      <w:r>
        <w:rPr>
          <w:rFonts w:hint="eastAsia"/>
        </w:rPr>
        <w:t>数据格式要求</w:t>
      </w:r>
    </w:p>
    <w:p w14:paraId="344999A1">
      <w:pPr>
        <w:pStyle w:val="56"/>
        <w:spacing w:line="360" w:lineRule="auto"/>
        <w:ind w:firstLine="420"/>
        <w:rPr>
          <w:rFonts w:hint="eastAsia"/>
        </w:rPr>
      </w:pPr>
      <w:r>
        <w:rPr>
          <w:rFonts w:hint="eastAsia"/>
        </w:rPr>
        <w:t>BIM模型数据应采用符合国家或行业标准的开放格式、合同约定的通用格式或经项目各方认可的交换格式，确保在不同软件平台、不同单位之间的无缝互通与信息交换。对于长期归档的BIM数据，应同时提供可视化浏览格式和可编辑格式，便于后续查询与维护。</w:t>
      </w:r>
    </w:p>
    <w:p w14:paraId="006ACF4B">
      <w:pPr>
        <w:pStyle w:val="105"/>
        <w:spacing w:before="120" w:after="120" w:line="360" w:lineRule="auto"/>
        <w:rPr>
          <w:rFonts w:hint="eastAsia"/>
        </w:rPr>
      </w:pPr>
      <w:r>
        <w:rPr>
          <w:rFonts w:hint="eastAsia"/>
        </w:rPr>
        <w:t>编码规则</w:t>
      </w:r>
    </w:p>
    <w:p w14:paraId="1C9F27C5">
      <w:pPr>
        <w:pStyle w:val="56"/>
        <w:spacing w:line="360" w:lineRule="auto"/>
        <w:ind w:firstLine="420"/>
        <w:rPr>
          <w:rFonts w:hint="eastAsia"/>
        </w:rPr>
      </w:pPr>
      <w:r>
        <w:rPr>
          <w:rFonts w:hint="eastAsia"/>
        </w:rPr>
        <w:t>构件、系统、楼层、区域、专业等信息应采用统一且符合项目编码体系的规则进行编码，编码应具备唯一性、层级性、可追溯性和可扩展性。编码方案应在施工准备阶段经项目管理单位确认后执行，并在模型文件、施工文档和信息交付表中保持一致，避免因编码混乱导致数据关联失败。</w:t>
      </w:r>
    </w:p>
    <w:p w14:paraId="53088FB9">
      <w:pPr>
        <w:pStyle w:val="105"/>
        <w:spacing w:before="120" w:after="120" w:line="360" w:lineRule="auto"/>
        <w:rPr>
          <w:rFonts w:hint="eastAsia"/>
        </w:rPr>
      </w:pPr>
      <w:r>
        <w:rPr>
          <w:rFonts w:hint="eastAsia"/>
        </w:rPr>
        <w:t>信息深度要求</w:t>
      </w:r>
    </w:p>
    <w:p w14:paraId="775569C1">
      <w:pPr>
        <w:pStyle w:val="56"/>
        <w:spacing w:line="360" w:lineRule="auto"/>
        <w:ind w:firstLine="420"/>
      </w:pPr>
      <w:r>
        <w:t>BIM</w:t>
      </w:r>
      <w:r>
        <w:rPr>
          <w:rFonts w:hint="eastAsia"/>
        </w:rPr>
        <w:t>模型的信息深度（</w:t>
      </w:r>
      <w:r>
        <w:t>LOD</w:t>
      </w:r>
      <w:r>
        <w:rPr>
          <w:rFonts w:hint="eastAsia"/>
        </w:rPr>
        <w:t>）应与施工阶段的管理需求相匹配，详见表2。</w:t>
      </w:r>
    </w:p>
    <w:p w14:paraId="1CED3F4B">
      <w:pPr>
        <w:pStyle w:val="112"/>
        <w:spacing w:before="120" w:after="120" w:line="360" w:lineRule="auto"/>
      </w:pPr>
      <w:r>
        <w:rPr>
          <w:rFonts w:hint="eastAsia"/>
        </w:rPr>
        <w:t>BIM模型LOD要求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1559"/>
        <w:gridCol w:w="2835"/>
        <w:gridCol w:w="3107"/>
      </w:tblGrid>
      <w:tr w14:paraId="45CB77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shd w:val="clear" w:color="auto" w:fill="auto"/>
          </w:tcPr>
          <w:p w14:paraId="13B04412">
            <w:pPr>
              <w:pStyle w:val="178"/>
              <w:rPr>
                <w:rFonts w:hint="eastAsia"/>
              </w:rPr>
            </w:pPr>
            <w:r>
              <w:rPr>
                <w:rFonts w:hint="eastAsia"/>
              </w:rPr>
              <w:t>构件类型</w:t>
            </w:r>
          </w:p>
        </w:tc>
        <w:tc>
          <w:tcPr>
            <w:tcW w:w="1559" w:type="dxa"/>
            <w:tcBorders>
              <w:top w:val="single" w:color="auto" w:sz="8" w:space="0"/>
              <w:bottom w:val="single" w:color="auto" w:sz="8" w:space="0"/>
            </w:tcBorders>
            <w:shd w:val="clear" w:color="auto" w:fill="auto"/>
          </w:tcPr>
          <w:p w14:paraId="6C3017C4">
            <w:pPr>
              <w:pStyle w:val="178"/>
              <w:rPr>
                <w:rFonts w:hint="eastAsia"/>
              </w:rPr>
            </w:pPr>
            <w:r>
              <w:rPr>
                <w:rFonts w:hint="eastAsia"/>
              </w:rPr>
              <w:t>最低LOD等级</w:t>
            </w:r>
          </w:p>
        </w:tc>
        <w:tc>
          <w:tcPr>
            <w:tcW w:w="2835" w:type="dxa"/>
            <w:tcBorders>
              <w:top w:val="single" w:color="auto" w:sz="8" w:space="0"/>
              <w:bottom w:val="single" w:color="auto" w:sz="8" w:space="0"/>
            </w:tcBorders>
            <w:shd w:val="clear" w:color="auto" w:fill="auto"/>
          </w:tcPr>
          <w:p w14:paraId="0C0CA102">
            <w:pPr>
              <w:pStyle w:val="178"/>
              <w:rPr>
                <w:rFonts w:hint="eastAsia"/>
              </w:rPr>
            </w:pPr>
            <w:r>
              <w:rPr>
                <w:rFonts w:hint="eastAsia"/>
              </w:rPr>
              <w:t>必含几何信息</w:t>
            </w:r>
          </w:p>
        </w:tc>
        <w:tc>
          <w:tcPr>
            <w:tcW w:w="3107" w:type="dxa"/>
            <w:tcBorders>
              <w:top w:val="single" w:color="auto" w:sz="8" w:space="0"/>
              <w:bottom w:val="single" w:color="auto" w:sz="8" w:space="0"/>
            </w:tcBorders>
            <w:shd w:val="clear" w:color="auto" w:fill="auto"/>
          </w:tcPr>
          <w:p w14:paraId="5B89854B">
            <w:pPr>
              <w:pStyle w:val="178"/>
              <w:rPr>
                <w:rFonts w:hint="eastAsia"/>
              </w:rPr>
            </w:pPr>
            <w:r>
              <w:rPr>
                <w:rFonts w:hint="eastAsia"/>
              </w:rPr>
              <w:t>必含非几何属性信息</w:t>
            </w:r>
          </w:p>
        </w:tc>
      </w:tr>
      <w:tr w14:paraId="3ABF93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shd w:val="clear" w:color="auto" w:fill="auto"/>
          </w:tcPr>
          <w:p w14:paraId="29B7EAE5">
            <w:pPr>
              <w:pStyle w:val="178"/>
              <w:rPr>
                <w:rFonts w:hint="eastAsia"/>
              </w:rPr>
            </w:pPr>
            <w:r>
              <w:rPr>
                <w:rFonts w:hint="eastAsia"/>
              </w:rPr>
              <w:t>主体结构构件</w:t>
            </w:r>
          </w:p>
        </w:tc>
        <w:tc>
          <w:tcPr>
            <w:tcW w:w="1559" w:type="dxa"/>
            <w:tcBorders>
              <w:top w:val="single" w:color="auto" w:sz="8" w:space="0"/>
            </w:tcBorders>
            <w:shd w:val="clear" w:color="auto" w:fill="auto"/>
          </w:tcPr>
          <w:p w14:paraId="0FBB2385">
            <w:pPr>
              <w:pStyle w:val="178"/>
              <w:rPr>
                <w:rFonts w:hint="eastAsia"/>
              </w:rPr>
            </w:pPr>
            <w:r>
              <w:rPr>
                <w:rFonts w:hint="eastAsia"/>
              </w:rPr>
              <w:t>LOD 300</w:t>
            </w:r>
          </w:p>
        </w:tc>
        <w:tc>
          <w:tcPr>
            <w:tcW w:w="2835" w:type="dxa"/>
            <w:tcBorders>
              <w:top w:val="single" w:color="auto" w:sz="8" w:space="0"/>
            </w:tcBorders>
            <w:shd w:val="clear" w:color="auto" w:fill="auto"/>
          </w:tcPr>
          <w:p w14:paraId="194E4E01">
            <w:pPr>
              <w:pStyle w:val="178"/>
              <w:rPr>
                <w:rFonts w:hint="eastAsia"/>
              </w:rPr>
            </w:pPr>
            <w:r>
              <w:rPr>
                <w:rFonts w:hint="eastAsia"/>
              </w:rPr>
              <w:t>尺寸、位置、形状、定位坐标</w:t>
            </w:r>
          </w:p>
        </w:tc>
        <w:tc>
          <w:tcPr>
            <w:tcW w:w="3107" w:type="dxa"/>
            <w:tcBorders>
              <w:top w:val="single" w:color="auto" w:sz="8" w:space="0"/>
            </w:tcBorders>
            <w:shd w:val="clear" w:color="auto" w:fill="auto"/>
          </w:tcPr>
          <w:p w14:paraId="6C13480A">
            <w:pPr>
              <w:pStyle w:val="178"/>
              <w:rPr>
                <w:rFonts w:hint="eastAsia"/>
              </w:rPr>
            </w:pPr>
            <w:r>
              <w:rPr>
                <w:rFonts w:hint="eastAsia"/>
              </w:rPr>
              <w:t>材料类型、强度等级、施工日期</w:t>
            </w:r>
          </w:p>
        </w:tc>
      </w:tr>
      <w:tr w14:paraId="5113AD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14:paraId="62777271">
            <w:pPr>
              <w:pStyle w:val="178"/>
              <w:rPr>
                <w:rFonts w:hint="eastAsia"/>
              </w:rPr>
            </w:pPr>
            <w:r>
              <w:rPr>
                <w:rFonts w:hint="eastAsia"/>
              </w:rPr>
              <w:t>机电安装构件</w:t>
            </w:r>
          </w:p>
        </w:tc>
        <w:tc>
          <w:tcPr>
            <w:tcW w:w="1559" w:type="dxa"/>
            <w:shd w:val="clear" w:color="auto" w:fill="auto"/>
          </w:tcPr>
          <w:p w14:paraId="1B6E342B">
            <w:pPr>
              <w:pStyle w:val="178"/>
              <w:rPr>
                <w:rFonts w:hint="eastAsia"/>
              </w:rPr>
            </w:pPr>
            <w:r>
              <w:rPr>
                <w:rFonts w:hint="eastAsia"/>
              </w:rPr>
              <w:t>LOD 350</w:t>
            </w:r>
          </w:p>
        </w:tc>
        <w:tc>
          <w:tcPr>
            <w:tcW w:w="2835" w:type="dxa"/>
            <w:shd w:val="clear" w:color="auto" w:fill="auto"/>
          </w:tcPr>
          <w:p w14:paraId="6DD4044D">
            <w:pPr>
              <w:pStyle w:val="178"/>
              <w:rPr>
                <w:rFonts w:hint="eastAsia"/>
              </w:rPr>
            </w:pPr>
            <w:r>
              <w:rPr>
                <w:rFonts w:hint="eastAsia"/>
              </w:rPr>
              <w:t>尺寸、接口位置、连接关系</w:t>
            </w:r>
          </w:p>
        </w:tc>
        <w:tc>
          <w:tcPr>
            <w:tcW w:w="3107" w:type="dxa"/>
            <w:shd w:val="clear" w:color="auto" w:fill="auto"/>
          </w:tcPr>
          <w:p w14:paraId="79B5DE07">
            <w:pPr>
              <w:pStyle w:val="178"/>
              <w:rPr>
                <w:rFonts w:hint="eastAsia"/>
              </w:rPr>
            </w:pPr>
            <w:r>
              <w:rPr>
                <w:rFonts w:hint="eastAsia"/>
              </w:rPr>
              <w:t>规格型号、安装方式、生产厂家</w:t>
            </w:r>
          </w:p>
        </w:tc>
      </w:tr>
      <w:tr w14:paraId="08B29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tcPr>
          <w:p w14:paraId="7AF9A3ED">
            <w:pPr>
              <w:pStyle w:val="178"/>
              <w:rPr>
                <w:rFonts w:hint="eastAsia"/>
              </w:rPr>
            </w:pPr>
            <w:r>
              <w:rPr>
                <w:rFonts w:hint="eastAsia"/>
              </w:rPr>
              <w:t>特殊定制构件</w:t>
            </w:r>
          </w:p>
        </w:tc>
        <w:tc>
          <w:tcPr>
            <w:tcW w:w="1559" w:type="dxa"/>
            <w:shd w:val="clear" w:color="auto" w:fill="auto"/>
          </w:tcPr>
          <w:p w14:paraId="5612A725">
            <w:pPr>
              <w:pStyle w:val="178"/>
              <w:rPr>
                <w:rFonts w:hint="eastAsia"/>
              </w:rPr>
            </w:pPr>
            <w:r>
              <w:rPr>
                <w:rFonts w:hint="eastAsia"/>
              </w:rPr>
              <w:t>LOD 400</w:t>
            </w:r>
          </w:p>
        </w:tc>
        <w:tc>
          <w:tcPr>
            <w:tcW w:w="2835" w:type="dxa"/>
            <w:shd w:val="clear" w:color="auto" w:fill="auto"/>
          </w:tcPr>
          <w:p w14:paraId="24A30D96">
            <w:pPr>
              <w:pStyle w:val="178"/>
              <w:rPr>
                <w:rFonts w:hint="eastAsia"/>
              </w:rPr>
            </w:pPr>
            <w:r>
              <w:rPr>
                <w:rFonts w:hint="eastAsia"/>
              </w:rPr>
              <w:t>加工细节、装配方式</w:t>
            </w:r>
          </w:p>
        </w:tc>
        <w:tc>
          <w:tcPr>
            <w:tcW w:w="3107" w:type="dxa"/>
            <w:shd w:val="clear" w:color="auto" w:fill="auto"/>
          </w:tcPr>
          <w:p w14:paraId="1E4CF07C">
            <w:pPr>
              <w:pStyle w:val="178"/>
              <w:rPr>
                <w:rFonts w:hint="eastAsia"/>
              </w:rPr>
            </w:pPr>
            <w:r>
              <w:rPr>
                <w:rFonts w:hint="eastAsia"/>
              </w:rPr>
              <w:t>加工图纸编号、质保年限、检测记录</w:t>
            </w:r>
          </w:p>
        </w:tc>
      </w:tr>
    </w:tbl>
    <w:p w14:paraId="7A17A266">
      <w:pPr>
        <w:pStyle w:val="105"/>
        <w:spacing w:before="120" w:after="120" w:line="360" w:lineRule="auto"/>
        <w:rPr>
          <w:rFonts w:hint="eastAsia"/>
        </w:rPr>
      </w:pPr>
      <w:r>
        <w:rPr>
          <w:rFonts w:hint="eastAsia"/>
        </w:rPr>
        <w:t>属性信息要求</w:t>
      </w:r>
    </w:p>
    <w:p w14:paraId="77BE1B3D">
      <w:pPr>
        <w:pStyle w:val="56"/>
        <w:spacing w:line="360" w:lineRule="auto"/>
        <w:ind w:firstLine="420"/>
        <w:rPr>
          <w:rFonts w:hint="eastAsia"/>
        </w:rPr>
      </w:pPr>
      <w:r>
        <w:rPr>
          <w:rFonts w:hint="eastAsia"/>
        </w:rPr>
        <w:t>除几何信息外，</w:t>
      </w:r>
      <w:r>
        <w:t>BIM</w:t>
      </w:r>
      <w:r>
        <w:rPr>
          <w:rFonts w:hint="eastAsia"/>
        </w:rPr>
        <w:t>模型应包含构件的非几何属性信息，如材料类型、规格型号、生产厂家、出厂日期、安装时间、检测记录、质保年限等。属性信息应来源可靠、填写完整，并与相关纸质或电子文档一一对应，以支持后续运维和改造。</w:t>
      </w:r>
    </w:p>
    <w:p w14:paraId="3CB05F8D">
      <w:pPr>
        <w:pStyle w:val="105"/>
        <w:spacing w:before="120" w:after="120" w:line="360" w:lineRule="auto"/>
        <w:rPr>
          <w:rFonts w:hint="eastAsia"/>
        </w:rPr>
      </w:pPr>
      <w:r>
        <w:rPr>
          <w:rFonts w:hint="eastAsia"/>
        </w:rPr>
        <w:t>成果交付内容</w:t>
      </w:r>
    </w:p>
    <w:p w14:paraId="554E893A">
      <w:pPr>
        <w:pStyle w:val="56"/>
        <w:spacing w:line="360" w:lineRule="auto"/>
        <w:ind w:firstLine="420"/>
        <w:rPr>
          <w:rFonts w:hint="eastAsia"/>
        </w:rPr>
      </w:pPr>
      <w:r>
        <w:t>BIM</w:t>
      </w:r>
      <w:r>
        <w:rPr>
          <w:rFonts w:hint="eastAsia"/>
        </w:rPr>
        <w:t>成果交付应包括：</w:t>
      </w:r>
    </w:p>
    <w:p w14:paraId="40F34A37">
      <w:pPr>
        <w:pStyle w:val="132"/>
        <w:spacing w:line="360" w:lineRule="auto"/>
        <w:rPr>
          <w:rFonts w:hint="eastAsia"/>
        </w:rPr>
      </w:pPr>
      <w:r>
        <w:rPr>
          <w:rFonts w:hint="eastAsia"/>
        </w:rPr>
        <w:t>完整且符合lod要求的施工阶段BIM模型文件及其备份；</w:t>
      </w:r>
    </w:p>
    <w:p w14:paraId="5072F925">
      <w:pPr>
        <w:pStyle w:val="132"/>
        <w:spacing w:line="360" w:lineRule="auto"/>
        <w:rPr>
          <w:rFonts w:hint="eastAsia"/>
        </w:rPr>
      </w:pPr>
      <w:r>
        <w:rPr>
          <w:rFonts w:hint="eastAsia"/>
        </w:rPr>
        <w:t>模型使用说明、数据字典、编码规则文件；</w:t>
      </w:r>
    </w:p>
    <w:p w14:paraId="65CCE01F">
      <w:pPr>
        <w:pStyle w:val="132"/>
        <w:spacing w:line="360" w:lineRule="auto"/>
        <w:rPr>
          <w:rFonts w:hint="eastAsia"/>
        </w:rPr>
      </w:pPr>
      <w:r>
        <w:rPr>
          <w:rFonts w:hint="eastAsia"/>
        </w:rPr>
        <w:t>模型更新日志，记录每次修改的时间、内容、修改人及原因；</w:t>
      </w:r>
    </w:p>
    <w:p w14:paraId="7FBF03BD">
      <w:pPr>
        <w:pStyle w:val="132"/>
        <w:spacing w:line="360" w:lineRule="auto"/>
        <w:rPr>
          <w:rFonts w:hint="eastAsia"/>
        </w:rPr>
      </w:pPr>
      <w:r>
        <w:rPr>
          <w:rFonts w:hint="eastAsia"/>
        </w:rPr>
        <w:t>与模型关联的施工管理文档，包括进度计划、施工方案、质量验收记录、安全交底等；</w:t>
      </w:r>
    </w:p>
    <w:p w14:paraId="5DFF5AE0">
      <w:pPr>
        <w:pStyle w:val="132"/>
        <w:spacing w:line="360" w:lineRule="auto"/>
        <w:rPr>
          <w:rFonts w:hint="eastAsia"/>
        </w:rPr>
      </w:pPr>
      <w:r>
        <w:rPr>
          <w:rFonts w:hint="eastAsia"/>
        </w:rPr>
        <w:t>按合同和业主要求提供的竣工模型，确保包含实际施工数据和变更信息。</w:t>
      </w:r>
    </w:p>
    <w:p w14:paraId="5A69FA21">
      <w:pPr>
        <w:pStyle w:val="105"/>
        <w:spacing w:before="120" w:after="120" w:line="360" w:lineRule="auto"/>
        <w:rPr>
          <w:rFonts w:hint="eastAsia"/>
        </w:rPr>
      </w:pPr>
      <w:r>
        <w:rPr>
          <w:rFonts w:hint="eastAsia"/>
        </w:rPr>
        <w:t>成果验收要求</w:t>
      </w:r>
    </w:p>
    <w:p w14:paraId="2EADB641">
      <w:pPr>
        <w:pStyle w:val="56"/>
        <w:spacing w:line="360" w:lineRule="auto"/>
        <w:ind w:firstLine="420"/>
        <w:rPr>
          <w:rFonts w:hint="eastAsia"/>
        </w:rPr>
      </w:pPr>
      <w:r>
        <w:rPr>
          <w:rFonts w:hint="eastAsia"/>
        </w:rPr>
        <w:t>交付成果应通过几何精度检查、数据完整性验证、编码一致性审查、属性信息核对等程序进行验收。验收记录应由建设单位、施工单位、监理单位及必要的第三方共同签署，并归档保存。</w:t>
      </w:r>
    </w:p>
    <w:p w14:paraId="7C81D4AE">
      <w:pPr>
        <w:pStyle w:val="104"/>
        <w:spacing w:before="240" w:after="240" w:line="360" w:lineRule="auto"/>
        <w:rPr>
          <w:rFonts w:hint="eastAsia"/>
        </w:rPr>
      </w:pPr>
      <w:bookmarkStart w:id="54" w:name="_Toc205729586"/>
      <w:r>
        <w:rPr>
          <w:rFonts w:hint="eastAsia"/>
        </w:rPr>
        <w:t>质量管理与保障</w:t>
      </w:r>
      <w:bookmarkEnd w:id="54"/>
    </w:p>
    <w:p w14:paraId="0BE4B739">
      <w:pPr>
        <w:pStyle w:val="105"/>
        <w:spacing w:before="120" w:after="120" w:line="360" w:lineRule="auto"/>
        <w:rPr>
          <w:rFonts w:hint="eastAsia"/>
        </w:rPr>
      </w:pPr>
      <w:r>
        <w:rPr>
          <w:rFonts w:hint="eastAsia"/>
        </w:rPr>
        <w:t>总则</w:t>
      </w:r>
    </w:p>
    <w:p w14:paraId="6055B582">
      <w:pPr>
        <w:pStyle w:val="56"/>
        <w:spacing w:line="360" w:lineRule="auto"/>
        <w:ind w:firstLine="420"/>
        <w:rPr>
          <w:rFonts w:hint="eastAsia"/>
        </w:rPr>
      </w:pPr>
      <w:r>
        <w:t>BIM</w:t>
      </w:r>
      <w:r>
        <w:rPr>
          <w:rFonts w:hint="eastAsia"/>
        </w:rPr>
        <w:t>质量管理应覆盖施工全过程，从模型建立、更新到交付的每一个环节都应有质量控制措施。质量管理的目标不仅包括模型本身的准确性，还包括信息交付的完整性、及时性与可用性。</w:t>
      </w:r>
    </w:p>
    <w:p w14:paraId="3C716122">
      <w:pPr>
        <w:pStyle w:val="105"/>
        <w:spacing w:before="120" w:after="120" w:line="360" w:lineRule="auto"/>
        <w:rPr>
          <w:rFonts w:hint="eastAsia"/>
        </w:rPr>
      </w:pPr>
      <w:r>
        <w:rPr>
          <w:rFonts w:hint="eastAsia"/>
        </w:rPr>
        <w:t>质量控制措施</w:t>
      </w:r>
    </w:p>
    <w:p w14:paraId="64A83795">
      <w:pPr>
        <w:pStyle w:val="165"/>
        <w:spacing w:line="360" w:lineRule="auto"/>
        <w:rPr>
          <w:rFonts w:hint="eastAsia"/>
        </w:rPr>
      </w:pPr>
      <w:r>
        <w:rPr>
          <w:rFonts w:hint="eastAsia"/>
        </w:rPr>
        <w:t>在项目启动阶段应制定BIM质量管理计划，包含质量控制目标、检查频次、责任分工、验收标准等内容。</w:t>
      </w:r>
    </w:p>
    <w:p w14:paraId="24692DFD">
      <w:pPr>
        <w:pStyle w:val="165"/>
        <w:spacing w:line="360" w:lineRule="auto"/>
        <w:rPr>
          <w:rFonts w:hint="eastAsia"/>
        </w:rPr>
      </w:pPr>
      <w:r>
        <w:rPr>
          <w:rFonts w:hint="eastAsia"/>
        </w:rPr>
        <w:t>应建立多层次的模型审查机制，包括项目组自查、跨专业联合检查以及第三方质量复核。</w:t>
      </w:r>
    </w:p>
    <w:p w14:paraId="72161B19">
      <w:pPr>
        <w:pStyle w:val="165"/>
        <w:spacing w:line="360" w:lineRule="auto"/>
        <w:rPr>
          <w:rFonts w:hint="eastAsia"/>
        </w:rPr>
      </w:pPr>
      <w:r>
        <w:rPr>
          <w:rFonts w:hint="eastAsia"/>
        </w:rPr>
        <w:t>模型更新或变更后，应进行几何精度、碰撞检查、信息完整性和属性准确性复核，确保模型与现场一致。</w:t>
      </w:r>
    </w:p>
    <w:p w14:paraId="551A8644">
      <w:pPr>
        <w:pStyle w:val="165"/>
        <w:spacing w:line="360" w:lineRule="auto"/>
        <w:rPr>
          <w:rFonts w:hint="eastAsia"/>
        </w:rPr>
      </w:pPr>
      <w:r>
        <w:rPr>
          <w:rFonts w:hint="eastAsia"/>
        </w:rPr>
        <w:t>应建立问题整改闭环流程，明确整改责任人、整改时限和复核人，并保留记录以备追溯。</w:t>
      </w:r>
    </w:p>
    <w:p w14:paraId="40C2E6E4">
      <w:pPr>
        <w:pStyle w:val="105"/>
        <w:spacing w:before="120" w:after="120" w:line="360" w:lineRule="auto"/>
        <w:rPr>
          <w:rFonts w:hint="eastAsia"/>
        </w:rPr>
      </w:pPr>
      <w:r>
        <w:rPr>
          <w:rFonts w:hint="eastAsia"/>
        </w:rPr>
        <w:t>人员资质要求</w:t>
      </w:r>
    </w:p>
    <w:p w14:paraId="1020857C">
      <w:pPr>
        <w:pStyle w:val="56"/>
        <w:spacing w:line="360" w:lineRule="auto"/>
        <w:ind w:firstLine="420"/>
        <w:rPr>
          <w:rFonts w:hint="eastAsia"/>
        </w:rPr>
      </w:pPr>
      <w:r>
        <w:rPr>
          <w:rFonts w:hint="eastAsia"/>
        </w:rPr>
        <w:t>BIM团队成员应具备专业背景及实际操作经验，关键岗位（如BIM经理、建模工程师、数据分析师）应通过专业培训并取得资格证书。对于首次参与</w:t>
      </w:r>
      <w:r>
        <w:t>BIM</w:t>
      </w:r>
      <w:r>
        <w:rPr>
          <w:rFonts w:hint="eastAsia"/>
        </w:rPr>
        <w:t>项目的人员，应安排岗前培训和导师指导，确保其能够熟练使用项目平台和工具。</w:t>
      </w:r>
    </w:p>
    <w:p w14:paraId="7FDC2760">
      <w:pPr>
        <w:pStyle w:val="105"/>
        <w:spacing w:before="120" w:after="120" w:line="360" w:lineRule="auto"/>
      </w:pPr>
      <w:r>
        <w:rPr>
          <w:rFonts w:hint="eastAsia"/>
        </w:rPr>
        <w:t>培训与能力建设</w:t>
      </w:r>
    </w:p>
    <w:p w14:paraId="3BDF8D41">
      <w:pPr>
        <w:pStyle w:val="165"/>
        <w:spacing w:line="360" w:lineRule="auto"/>
        <w:rPr>
          <w:rFonts w:hint="eastAsia"/>
        </w:rPr>
      </w:pPr>
      <w:r>
        <w:rPr>
          <w:rFonts w:hint="eastAsia"/>
        </w:rPr>
        <w:t>应定期组织</w:t>
      </w:r>
      <w:r>
        <w:t>BIM</w:t>
      </w:r>
      <w:r>
        <w:rPr>
          <w:rFonts w:hint="eastAsia"/>
        </w:rPr>
        <w:t>技术培训，内容涵盖软件功能更新、数据管理方法、协同工作流程、质量审查技巧等。</w:t>
      </w:r>
    </w:p>
    <w:p w14:paraId="0A3AC85D">
      <w:pPr>
        <w:pStyle w:val="165"/>
        <w:spacing w:line="360" w:lineRule="auto"/>
        <w:rPr>
          <w:rFonts w:hint="eastAsia"/>
        </w:rPr>
      </w:pPr>
      <w:r>
        <w:rPr>
          <w:rFonts w:hint="eastAsia"/>
        </w:rPr>
        <w:t>应开展质量问题案例分析会，总结经验教训，提升问题预防和解决能力。</w:t>
      </w:r>
    </w:p>
    <w:p w14:paraId="0C2551C8">
      <w:pPr>
        <w:pStyle w:val="165"/>
        <w:spacing w:line="360" w:lineRule="auto"/>
        <w:rPr>
          <w:rFonts w:hint="eastAsia"/>
        </w:rPr>
      </w:pPr>
      <w:r>
        <w:rPr>
          <w:rFonts w:hint="eastAsia"/>
        </w:rPr>
        <w:t>应建立技术交流机制，鼓励与其他项目、外部专家进行经验分享，持续提升团队能力。</w:t>
      </w:r>
    </w:p>
    <w:p w14:paraId="579817F7">
      <w:pPr>
        <w:pStyle w:val="105"/>
        <w:spacing w:before="120" w:after="120" w:line="360" w:lineRule="auto"/>
        <w:rPr>
          <w:rFonts w:hint="eastAsia"/>
        </w:rPr>
      </w:pPr>
      <w:r>
        <w:rPr>
          <w:rFonts w:hint="eastAsia"/>
        </w:rPr>
        <w:t>审查与监督机制</w:t>
      </w:r>
    </w:p>
    <w:p w14:paraId="00DC4D8E">
      <w:pPr>
        <w:pStyle w:val="165"/>
        <w:spacing w:line="360" w:lineRule="auto"/>
        <w:rPr>
          <w:rFonts w:hint="eastAsia"/>
        </w:rPr>
      </w:pPr>
      <w:r>
        <w:rPr>
          <w:rFonts w:hint="eastAsia"/>
        </w:rPr>
        <w:t>建设单位或监理单位应定期检查施工阶段的BIM成果，发现问题及时反馈并监督整改。</w:t>
      </w:r>
    </w:p>
    <w:p w14:paraId="1E97E681">
      <w:pPr>
        <w:pStyle w:val="165"/>
        <w:spacing w:line="360" w:lineRule="auto"/>
        <w:rPr>
          <w:rFonts w:hint="eastAsia"/>
        </w:rPr>
      </w:pPr>
      <w:r>
        <w:rPr>
          <w:rFonts w:hint="eastAsia"/>
        </w:rPr>
        <w:t>重大工程可引入第三方机构进行质量审查，确保成果符合合同及规范。</w:t>
      </w:r>
    </w:p>
    <w:p w14:paraId="447292E5">
      <w:pPr>
        <w:pStyle w:val="165"/>
        <w:spacing w:line="360" w:lineRule="auto"/>
        <w:rPr>
          <w:rFonts w:hint="eastAsia"/>
        </w:rPr>
      </w:pPr>
      <w:r>
        <w:rPr>
          <w:rFonts w:hint="eastAsia"/>
        </w:rPr>
        <w:t>发现重大质量缺陷时，应立即启动应急处理机制，并在整改后进行二次审核。</w:t>
      </w:r>
    </w:p>
    <w:p w14:paraId="3BC60753">
      <w:pPr>
        <w:pStyle w:val="105"/>
        <w:spacing w:before="120" w:after="120" w:line="360" w:lineRule="auto"/>
        <w:rPr>
          <w:rFonts w:hint="eastAsia"/>
        </w:rPr>
      </w:pPr>
      <w:r>
        <w:rPr>
          <w:rFonts w:hint="eastAsia"/>
        </w:rPr>
        <w:t>持续改进</w:t>
      </w:r>
    </w:p>
    <w:p w14:paraId="3713C867">
      <w:pPr>
        <w:pStyle w:val="56"/>
        <w:spacing w:line="360" w:lineRule="auto"/>
        <w:ind w:firstLine="420"/>
        <w:rPr>
          <w:rFonts w:hint="eastAsia"/>
        </w:rPr>
      </w:pPr>
      <w:r>
        <w:rPr>
          <w:rFonts w:hint="eastAsia"/>
        </w:rPr>
        <w:t>应根据项目实际运行情况不断优化BIM应用流程、标准和工具，将经验成果形成可推广的标准化做法，为后续项目提供参考。</w:t>
      </w:r>
    </w:p>
    <w:p w14:paraId="39F2D0AC">
      <w:pPr>
        <w:pStyle w:val="104"/>
        <w:spacing w:before="240" w:after="240" w:line="360" w:lineRule="auto"/>
        <w:rPr>
          <w:rFonts w:hint="eastAsia"/>
        </w:rPr>
      </w:pPr>
      <w:bookmarkStart w:id="55" w:name="_Toc205729587"/>
      <w:r>
        <w:rPr>
          <w:rFonts w:hint="eastAsia"/>
        </w:rPr>
        <w:t>安全与信息保密</w:t>
      </w:r>
      <w:bookmarkEnd w:id="55"/>
    </w:p>
    <w:p w14:paraId="276A0E13">
      <w:pPr>
        <w:pStyle w:val="105"/>
        <w:spacing w:before="120" w:after="120" w:line="360" w:lineRule="auto"/>
        <w:rPr>
          <w:rFonts w:hint="eastAsia"/>
        </w:rPr>
      </w:pPr>
      <w:r>
        <w:rPr>
          <w:rFonts w:hint="eastAsia"/>
        </w:rPr>
        <w:t>总则</w:t>
      </w:r>
    </w:p>
    <w:p w14:paraId="2AAAC3DF">
      <w:pPr>
        <w:pStyle w:val="56"/>
        <w:spacing w:line="360" w:lineRule="auto"/>
        <w:ind w:firstLine="420"/>
        <w:rPr>
          <w:rFonts w:hint="eastAsia"/>
        </w:rPr>
      </w:pPr>
      <w:r>
        <w:t>BIM</w:t>
      </w:r>
      <w:r>
        <w:rPr>
          <w:rFonts w:hint="eastAsia"/>
        </w:rPr>
        <w:t>安全与信息保密应落实到技术措施与管理制度两个层面，确保数据在生成、存储、传输、使用和归档过程中的安全与保密。</w:t>
      </w:r>
    </w:p>
    <w:p w14:paraId="68018D29">
      <w:pPr>
        <w:pStyle w:val="105"/>
        <w:spacing w:before="120" w:after="120" w:line="360" w:lineRule="auto"/>
        <w:rPr>
          <w:rFonts w:hint="eastAsia"/>
        </w:rPr>
      </w:pPr>
      <w:r>
        <w:rPr>
          <w:rFonts w:hint="eastAsia"/>
        </w:rPr>
        <w:t>数据安全管理</w:t>
      </w:r>
    </w:p>
    <w:p w14:paraId="1E913A22">
      <w:pPr>
        <w:pStyle w:val="165"/>
        <w:spacing w:line="360" w:lineRule="auto"/>
        <w:rPr>
          <w:rFonts w:hint="eastAsia"/>
        </w:rPr>
      </w:pPr>
      <w:r>
        <w:rPr>
          <w:rFonts w:hint="eastAsia"/>
        </w:rPr>
        <w:t>应建立数据安全管理制度，明确安全责任人、安全目标和执行流程。</w:t>
      </w:r>
    </w:p>
    <w:p w14:paraId="446FF4D5">
      <w:pPr>
        <w:pStyle w:val="165"/>
        <w:spacing w:line="360" w:lineRule="auto"/>
        <w:rPr>
          <w:rFonts w:hint="eastAsia"/>
        </w:rPr>
      </w:pPr>
      <w:r>
        <w:rPr>
          <w:rFonts w:hint="eastAsia"/>
        </w:rPr>
        <w:t>应使用具备防火墙、入侵检测、防病毒等功能的安全系统。</w:t>
      </w:r>
    </w:p>
    <w:p w14:paraId="161057FD">
      <w:pPr>
        <w:pStyle w:val="165"/>
        <w:spacing w:line="360" w:lineRule="auto"/>
        <w:rPr>
          <w:rFonts w:hint="eastAsia"/>
        </w:rPr>
      </w:pPr>
      <w:r>
        <w:rPr>
          <w:rFonts w:hint="eastAsia"/>
        </w:rPr>
        <w:t>应定期进行数据完整性检测，防止因硬件损坏或人为操作导致的数据丢失。</w:t>
      </w:r>
    </w:p>
    <w:p w14:paraId="4BEA5EFD">
      <w:pPr>
        <w:pStyle w:val="105"/>
        <w:spacing w:before="120" w:after="120" w:line="360" w:lineRule="auto"/>
        <w:rPr>
          <w:rFonts w:hint="eastAsia"/>
        </w:rPr>
      </w:pPr>
      <w:r>
        <w:rPr>
          <w:rFonts w:hint="eastAsia"/>
        </w:rPr>
        <w:t>访问权限控制</w:t>
      </w:r>
    </w:p>
    <w:p w14:paraId="794AFB0E">
      <w:pPr>
        <w:pStyle w:val="165"/>
        <w:spacing w:line="360" w:lineRule="auto"/>
        <w:rPr>
          <w:rFonts w:hint="eastAsia"/>
        </w:rPr>
      </w:pPr>
      <w:r>
        <w:rPr>
          <w:rFonts w:hint="eastAsia"/>
        </w:rPr>
        <w:t>应根据用户角色、工作职责设置访问权限，遵循最小权限原则。</w:t>
      </w:r>
    </w:p>
    <w:p w14:paraId="4C8E3E8C">
      <w:pPr>
        <w:pStyle w:val="165"/>
        <w:spacing w:line="360" w:lineRule="auto"/>
        <w:rPr>
          <w:rFonts w:hint="eastAsia"/>
        </w:rPr>
      </w:pPr>
      <w:r>
        <w:rPr>
          <w:rFonts w:hint="eastAsia"/>
        </w:rPr>
        <w:t>权限调整应经过审批并记录变更日志，便于追踪。</w:t>
      </w:r>
    </w:p>
    <w:p w14:paraId="08026172">
      <w:pPr>
        <w:pStyle w:val="165"/>
        <w:spacing w:line="360" w:lineRule="auto"/>
        <w:rPr>
          <w:rFonts w:hint="eastAsia"/>
        </w:rPr>
      </w:pPr>
      <w:r>
        <w:rPr>
          <w:rFonts w:hint="eastAsia"/>
        </w:rPr>
        <w:t>对长期未使用的账户应及时冻结或删除，防止被滥用。</w:t>
      </w:r>
    </w:p>
    <w:p w14:paraId="4BF22493">
      <w:pPr>
        <w:pStyle w:val="105"/>
        <w:spacing w:before="120" w:after="120" w:line="360" w:lineRule="auto"/>
        <w:rPr>
          <w:rFonts w:hint="eastAsia"/>
        </w:rPr>
      </w:pPr>
      <w:r>
        <w:rPr>
          <w:rFonts w:hint="eastAsia"/>
        </w:rPr>
        <w:t>数据传输与加密</w:t>
      </w:r>
    </w:p>
    <w:p w14:paraId="23720B59">
      <w:pPr>
        <w:pStyle w:val="165"/>
        <w:spacing w:line="360" w:lineRule="auto"/>
        <w:rPr>
          <w:rFonts w:hint="eastAsia"/>
        </w:rPr>
      </w:pPr>
      <w:r>
        <w:rPr>
          <w:rFonts w:hint="eastAsia"/>
        </w:rPr>
        <w:t>跨平台或跨组织的数据传输应采用加密通道。</w:t>
      </w:r>
    </w:p>
    <w:p w14:paraId="692A170B">
      <w:pPr>
        <w:pStyle w:val="165"/>
        <w:spacing w:line="360" w:lineRule="auto"/>
        <w:rPr>
          <w:rFonts w:hint="eastAsia"/>
        </w:rPr>
      </w:pPr>
      <w:r>
        <w:rPr>
          <w:rFonts w:hint="eastAsia"/>
        </w:rPr>
        <w:t>对涉密或敏感信息，应使用符合国家标准的加密算法加密存储和传输。</w:t>
      </w:r>
    </w:p>
    <w:p w14:paraId="0EC2E64D">
      <w:pPr>
        <w:pStyle w:val="165"/>
        <w:spacing w:line="360" w:lineRule="auto"/>
        <w:rPr>
          <w:rFonts w:hint="eastAsia"/>
        </w:rPr>
      </w:pPr>
      <w:r>
        <w:rPr>
          <w:rFonts w:hint="eastAsia"/>
        </w:rPr>
        <w:t>数据传输记录应包含发送方、接收方、时间、文件摘要等，便于审计。</w:t>
      </w:r>
    </w:p>
    <w:p w14:paraId="2421A62C">
      <w:pPr>
        <w:pStyle w:val="105"/>
        <w:spacing w:before="120" w:after="120" w:line="360" w:lineRule="auto"/>
        <w:rPr>
          <w:rFonts w:hint="eastAsia"/>
        </w:rPr>
      </w:pPr>
      <w:r>
        <w:rPr>
          <w:rFonts w:hint="eastAsia"/>
        </w:rPr>
        <w:t>信息保密要求</w:t>
      </w:r>
    </w:p>
    <w:p w14:paraId="39F0A0CE">
      <w:pPr>
        <w:pStyle w:val="165"/>
        <w:spacing w:line="360" w:lineRule="auto"/>
        <w:rPr>
          <w:rFonts w:hint="eastAsia"/>
        </w:rPr>
      </w:pPr>
      <w:r>
        <w:rPr>
          <w:rFonts w:hint="eastAsia"/>
        </w:rPr>
        <w:t>对涉及国家秘密、商业秘密或项目敏感信息的BIM数据，应严格执行保密协议和法律法规。</w:t>
      </w:r>
    </w:p>
    <w:p w14:paraId="5F55C8DD">
      <w:pPr>
        <w:pStyle w:val="165"/>
        <w:spacing w:line="360" w:lineRule="auto"/>
        <w:rPr>
          <w:rFonts w:hint="eastAsia"/>
        </w:rPr>
      </w:pPr>
      <w:r>
        <w:rPr>
          <w:rFonts w:hint="eastAsia"/>
        </w:rPr>
        <w:t>向外部提供数据应经建设单位或合同约定的审批程序。</w:t>
      </w:r>
    </w:p>
    <w:p w14:paraId="7907B1CE">
      <w:pPr>
        <w:pStyle w:val="165"/>
        <w:spacing w:line="360" w:lineRule="auto"/>
        <w:rPr>
          <w:rFonts w:hint="eastAsia"/>
        </w:rPr>
      </w:pPr>
      <w:r>
        <w:rPr>
          <w:rFonts w:hint="eastAsia"/>
        </w:rPr>
        <w:t>离岗、调岗人员应在权限回收和信息交接后方可离开岗位。</w:t>
      </w:r>
    </w:p>
    <w:p w14:paraId="3ED28458">
      <w:pPr>
        <w:pStyle w:val="105"/>
        <w:spacing w:before="120" w:after="120" w:line="360" w:lineRule="auto"/>
        <w:rPr>
          <w:rFonts w:hint="eastAsia"/>
        </w:rPr>
      </w:pPr>
      <w:r>
        <w:rPr>
          <w:rFonts w:hint="eastAsia"/>
        </w:rPr>
        <w:t>安全审计</w:t>
      </w:r>
    </w:p>
    <w:p w14:paraId="2D2C0BD2">
      <w:pPr>
        <w:pStyle w:val="165"/>
        <w:spacing w:line="360" w:lineRule="auto"/>
        <w:rPr>
          <w:rFonts w:hint="eastAsia"/>
        </w:rPr>
      </w:pPr>
      <w:r>
        <w:rPr>
          <w:rFonts w:hint="eastAsia"/>
        </w:rPr>
        <w:t>应建立定期安全审计机制，对访问日志、操作日志和数据变更记录进行分析。</w:t>
      </w:r>
    </w:p>
    <w:p w14:paraId="0DCE47B1">
      <w:pPr>
        <w:pStyle w:val="165"/>
        <w:spacing w:line="360" w:lineRule="auto"/>
        <w:rPr>
          <w:rFonts w:hint="eastAsia"/>
        </w:rPr>
      </w:pPr>
      <w:r>
        <w:rPr>
          <w:rFonts w:hint="eastAsia"/>
        </w:rPr>
        <w:t>安全审计结果应形成报告并提交管理层，针对发现的问题制定整改措施。</w:t>
      </w:r>
    </w:p>
    <w:p w14:paraId="3DA100F5">
      <w:pPr>
        <w:pStyle w:val="165"/>
        <w:spacing w:line="360" w:lineRule="auto"/>
        <w:rPr>
          <w:rFonts w:hint="eastAsia"/>
        </w:rPr>
      </w:pPr>
      <w:r>
        <w:rPr>
          <w:rFonts w:hint="eastAsia"/>
        </w:rPr>
        <w:t>重大信息安全事件应在规定时间内上报并进行原因分析与整改。</w:t>
      </w:r>
    </w:p>
    <w:bookmarkEnd w:id="26"/>
    <w:p w14:paraId="6C475EDC">
      <w:pPr>
        <w:pStyle w:val="56"/>
        <w:ind w:firstLine="0" w:firstLineChars="0"/>
        <w:jc w:val="center"/>
      </w:pPr>
      <w:bookmarkStart w:id="56" w:name="BookMark8"/>
      <w:r>
        <w:drawing>
          <wp:inline distT="0" distB="0" distL="0" distR="0">
            <wp:extent cx="1485900" cy="317500"/>
            <wp:effectExtent l="0" t="0" r="0" b="6350"/>
            <wp:docPr id="1265797600" name="图片 1"/>
            <wp:cNvGraphicFramePr/>
            <a:graphic xmlns:a="http://schemas.openxmlformats.org/drawingml/2006/main">
              <a:graphicData uri="http://schemas.openxmlformats.org/drawingml/2006/picture">
                <pic:pic xmlns:pic="http://schemas.openxmlformats.org/drawingml/2006/picture">
                  <pic:nvPicPr>
                    <pic:cNvPr id="1265797600"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41132">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19F40">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93B5D">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FF462">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186D">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D7663">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DEBD3">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712C0">
    <w:pPr>
      <w:pStyle w:val="62"/>
    </w:pPr>
    <w:r>
      <w:fldChar w:fldCharType="begin"/>
    </w:r>
    <w:r>
      <w:instrText xml:space="preserve"> STYLEREF  标准文件_文件编号 \* MERGEFORMAT </w:instrText>
    </w:r>
    <w:r>
      <w:fldChar w:fldCharType="separate"/>
    </w:r>
    <w:r>
      <w:t>T/XJBX 0064—2025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0064—2025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0064—2025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7F6E3">
    <w:pPr>
      <w:pStyle w:val="61"/>
    </w:pPr>
    <w:r>
      <w:fldChar w:fldCharType="begin"/>
    </w:r>
    <w:r>
      <w:instrText xml:space="preserve"> STYLEREF  标准文件_文件编号  \* MERGEFORMAT </w:instrText>
    </w:r>
    <w:r>
      <w:fldChar w:fldCharType="separate"/>
    </w:r>
    <w:r>
      <w:t>T/XJBX 0064—2025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F7334">
    <w:pPr>
      <w:pStyle w:val="62"/>
    </w:pPr>
    <w:r>
      <w:fldChar w:fldCharType="begin"/>
    </w:r>
    <w:r>
      <w:instrText xml:space="preserve"> STYLEREF  标准文件_文件编号 \* MERGEFORMAT </w:instrText>
    </w:r>
    <w:r>
      <w:fldChar w:fldCharType="separate"/>
    </w:r>
    <w:r>
      <w:t>T/XJBX 0064—2025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848EC">
    <w:pPr>
      <w:pStyle w:val="61"/>
    </w:pPr>
    <w:r>
      <w:fldChar w:fldCharType="begin"/>
    </w:r>
    <w:r>
      <w:instrText xml:space="preserve"> STYLEREF  标准文件_文件编号  \* MERGEFORMAT </w:instrText>
    </w:r>
    <w:r>
      <w:fldChar w:fldCharType="separate"/>
    </w:r>
    <w:r>
      <w:t>T/XJBX 0064—2025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9B8DB">
    <w:pPr>
      <w:pStyle w:val="62"/>
    </w:pPr>
    <w:r>
      <w:fldChar w:fldCharType="begin"/>
    </w:r>
    <w:r>
      <w:instrText xml:space="preserve"> STYLEREF  标准文件_文件编号 \* MERGEFORMAT </w:instrText>
    </w:r>
    <w:r>
      <w:fldChar w:fldCharType="separate"/>
    </w:r>
    <w:r>
      <w:t>T/XJBX 0064—2025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EF4F0">
    <w:pPr>
      <w:pStyle w:val="61"/>
    </w:pPr>
    <w:r>
      <w:fldChar w:fldCharType="begin"/>
    </w:r>
    <w:r>
      <w:instrText xml:space="preserve"> STYLEREF  标准文件_文件编号  \* MERGEFORMAT </w:instrText>
    </w:r>
    <w:r>
      <w:fldChar w:fldCharType="separate"/>
    </w:r>
    <w:r>
      <w:t>T/XJBX 0064—2025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6F2F"/>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6BC"/>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44B0"/>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0B7A"/>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AAB"/>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311"/>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9ED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5828F51A">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0E577B9D">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39782DF0">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0320BC"/>
    <w:rsid w:val="002C438E"/>
    <w:rsid w:val="00AE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3798</Words>
  <Characters>4202</Characters>
  <Lines>45</Lines>
  <Paragraphs>12</Paragraphs>
  <TotalTime>65</TotalTime>
  <ScaleCrop>false</ScaleCrop>
  <LinksUpToDate>false</LinksUpToDate>
  <CharactersWithSpaces>4286</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2025-08-11T06:28:46Z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B840ABB5E7194048997FFD0D82112099_12</vt:lpwstr>
  </property>
</Properties>
</file>