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hint="eastAsia" w:ascii="Times New Roman" w:hAnsi="Times New Roman" w:eastAsia="黑体"/>
                <w:sz w:val="21"/>
                <w:szCs w:val="21"/>
              </w:rPr>
              <w:t>1</w:t>
            </w: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10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91.100.01</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74"/>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74</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63"/>
            </w:textInput>
          </w:ffData>
        </w:fldChar>
      </w:r>
      <w:bookmarkStart w:id="6" w:name="NSTD_CODE_F"/>
      <w:r>
        <w:instrText xml:space="preserve"> FORMTEXT </w:instrText>
      </w:r>
      <w:r>
        <w:fldChar w:fldCharType="separate"/>
      </w:r>
      <w:r>
        <w:t>0063</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道路与桥梁绿色建材与碳减排评估规程"/>
            </w:textInput>
          </w:ffData>
        </w:fldChar>
      </w:r>
      <w:bookmarkStart w:id="9" w:name="CSTD_NAME"/>
      <w:r>
        <w:instrText xml:space="preserve"> FORMTEXT </w:instrText>
      </w:r>
      <w:r>
        <w:fldChar w:fldCharType="separate"/>
      </w:r>
      <w:r>
        <w:t>道路与桥梁绿色建材与碳减排评估规程</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evaluation of green materials and carbon reduction in road and bridge construction"/>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evaluation of green materials and carbon reduction in road and bridge construction</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6A6123B3">
      <w:pPr>
        <w:pStyle w:val="91"/>
        <w:spacing w:after="360"/>
        <w:rPr>
          <w:rFonts w:hint="eastAsia"/>
        </w:rPr>
      </w:pPr>
      <w:bookmarkStart w:id="21" w:name="BookMark1"/>
      <w:r>
        <w:rPr>
          <w:rFonts w:hint="eastAsia"/>
          <w:spacing w:val="320"/>
        </w:rPr>
        <w:t>目</w:t>
      </w:r>
      <w:r>
        <w:rPr>
          <w:rFonts w:hint="eastAsia"/>
        </w:rPr>
        <w:t>次</w:t>
      </w:r>
    </w:p>
    <w:p w14:paraId="17BEA30E">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"_Toc205725644" </w:instrText>
      </w:r>
      <w:r>
        <w:fldChar w:fldCharType="separate"/>
      </w:r>
      <w:r>
        <w:rPr>
          <w:rStyle w:val="32"/>
        </w:rPr>
        <w:t>前言</w:t>
      </w:r>
      <w:r>
        <w:tab/>
      </w:r>
      <w:r>
        <w:fldChar w:fldCharType="begin"/>
      </w:r>
      <w:r>
        <w:instrText xml:space="preserve"> PAGEREF _Toc205725644 \h </w:instrText>
      </w:r>
      <w:r>
        <w:fldChar w:fldCharType="separate"/>
      </w:r>
      <w:r>
        <w:t>III</w:t>
      </w:r>
      <w:r>
        <w:fldChar w:fldCharType="end"/>
      </w:r>
      <w:r>
        <w:fldChar w:fldCharType="end"/>
      </w:r>
    </w:p>
    <w:p w14:paraId="078201B1">
      <w:pPr>
        <w:pStyle w:val="19"/>
        <w:tabs>
          <w:tab w:val="right" w:leader="dot" w:pos="9344"/>
        </w:tabs>
        <w:rPr>
          <w:rFonts w:asciiTheme="minorHAnsi" w:hAnsiTheme="minorHAnsi" w:eastAsiaTheme="minorEastAsia" w:cstheme="minorBidi"/>
          <w:szCs w:val="22"/>
        </w:rPr>
      </w:pPr>
      <w:r>
        <w:fldChar w:fldCharType="begin"/>
      </w:r>
      <w:r>
        <w:instrText xml:space="preserve"> HYPERLINK \l "_Toc205725645" </w:instrText>
      </w:r>
      <w:r>
        <w:fldChar w:fldCharType="separate"/>
      </w:r>
      <w:r>
        <w:rPr>
          <w:rStyle w:val="32"/>
        </w:rPr>
        <w:t>引言</w:t>
      </w:r>
      <w:r>
        <w:tab/>
      </w:r>
      <w:r>
        <w:fldChar w:fldCharType="begin"/>
      </w:r>
      <w:r>
        <w:instrText xml:space="preserve"> PAGEREF _Toc205725645 \h </w:instrText>
      </w:r>
      <w:r>
        <w:fldChar w:fldCharType="separate"/>
      </w:r>
      <w:r>
        <w:t>V</w:t>
      </w:r>
      <w:r>
        <w:fldChar w:fldCharType="end"/>
      </w:r>
      <w:r>
        <w:fldChar w:fldCharType="end"/>
      </w:r>
    </w:p>
    <w:p w14:paraId="2187A038">
      <w:pPr>
        <w:pStyle w:val="19"/>
        <w:tabs>
          <w:tab w:val="right" w:leader="dot" w:pos="9344"/>
        </w:tabs>
        <w:rPr>
          <w:rFonts w:asciiTheme="minorHAnsi" w:hAnsiTheme="minorHAnsi" w:eastAsiaTheme="minorEastAsia" w:cstheme="minorBidi"/>
          <w:szCs w:val="22"/>
        </w:rPr>
      </w:pPr>
      <w:r>
        <w:fldChar w:fldCharType="begin"/>
      </w:r>
      <w:r>
        <w:instrText xml:space="preserve"> HYPERLINK \l "_Toc205725646" </w:instrText>
      </w:r>
      <w:r>
        <w:fldChar w:fldCharType="separate"/>
      </w:r>
      <w:r>
        <w:rPr>
          <w:rStyle w:val="32"/>
        </w:rPr>
        <w:t>1  范围</w:t>
      </w:r>
      <w:r>
        <w:tab/>
      </w:r>
      <w:r>
        <w:fldChar w:fldCharType="begin"/>
      </w:r>
      <w:r>
        <w:instrText xml:space="preserve"> PAGEREF _Toc205725646 \h </w:instrText>
      </w:r>
      <w:r>
        <w:fldChar w:fldCharType="separate"/>
      </w:r>
      <w:r>
        <w:t>1</w:t>
      </w:r>
      <w:r>
        <w:fldChar w:fldCharType="end"/>
      </w:r>
      <w:r>
        <w:fldChar w:fldCharType="end"/>
      </w:r>
    </w:p>
    <w:p w14:paraId="6B1A51AB">
      <w:pPr>
        <w:pStyle w:val="19"/>
        <w:tabs>
          <w:tab w:val="right" w:leader="dot" w:pos="9344"/>
        </w:tabs>
        <w:rPr>
          <w:rFonts w:asciiTheme="minorHAnsi" w:hAnsiTheme="minorHAnsi" w:eastAsiaTheme="minorEastAsia" w:cstheme="minorBidi"/>
          <w:szCs w:val="22"/>
        </w:rPr>
      </w:pPr>
      <w:r>
        <w:fldChar w:fldCharType="begin"/>
      </w:r>
      <w:r>
        <w:instrText xml:space="preserve"> HYPERLINK \l "_Toc205725647" </w:instrText>
      </w:r>
      <w:r>
        <w:fldChar w:fldCharType="separate"/>
      </w:r>
      <w:r>
        <w:rPr>
          <w:rStyle w:val="32"/>
        </w:rPr>
        <w:t>2  规范性引用文件</w:t>
      </w:r>
      <w:r>
        <w:tab/>
      </w:r>
      <w:r>
        <w:fldChar w:fldCharType="begin"/>
      </w:r>
      <w:r>
        <w:instrText xml:space="preserve"> PAGEREF _Toc205725647 \h </w:instrText>
      </w:r>
      <w:r>
        <w:fldChar w:fldCharType="separate"/>
      </w:r>
      <w:r>
        <w:t>1</w:t>
      </w:r>
      <w:r>
        <w:fldChar w:fldCharType="end"/>
      </w:r>
      <w:r>
        <w:fldChar w:fldCharType="end"/>
      </w:r>
    </w:p>
    <w:p w14:paraId="6BBBF857">
      <w:pPr>
        <w:pStyle w:val="19"/>
        <w:tabs>
          <w:tab w:val="right" w:leader="dot" w:pos="9344"/>
        </w:tabs>
        <w:rPr>
          <w:rFonts w:asciiTheme="minorHAnsi" w:hAnsiTheme="minorHAnsi" w:eastAsiaTheme="minorEastAsia" w:cstheme="minorBidi"/>
          <w:szCs w:val="22"/>
        </w:rPr>
      </w:pPr>
      <w:r>
        <w:fldChar w:fldCharType="begin"/>
      </w:r>
      <w:r>
        <w:instrText xml:space="preserve"> HYPERLINK \l "_Toc205725648" </w:instrText>
      </w:r>
      <w:r>
        <w:fldChar w:fldCharType="separate"/>
      </w:r>
      <w:r>
        <w:rPr>
          <w:rStyle w:val="32"/>
        </w:rPr>
        <w:t>3  术语和定义</w:t>
      </w:r>
      <w:r>
        <w:tab/>
      </w:r>
      <w:r>
        <w:fldChar w:fldCharType="begin"/>
      </w:r>
      <w:r>
        <w:instrText xml:space="preserve"> PAGEREF _Toc205725648 \h </w:instrText>
      </w:r>
      <w:r>
        <w:fldChar w:fldCharType="separate"/>
      </w:r>
      <w:r>
        <w:t>1</w:t>
      </w:r>
      <w:r>
        <w:fldChar w:fldCharType="end"/>
      </w:r>
      <w:r>
        <w:fldChar w:fldCharType="end"/>
      </w:r>
    </w:p>
    <w:p w14:paraId="25331F1D">
      <w:pPr>
        <w:pStyle w:val="19"/>
        <w:tabs>
          <w:tab w:val="right" w:leader="dot" w:pos="9344"/>
        </w:tabs>
        <w:rPr>
          <w:rFonts w:asciiTheme="minorHAnsi" w:hAnsiTheme="minorHAnsi" w:eastAsiaTheme="minorEastAsia" w:cstheme="minorBidi"/>
          <w:szCs w:val="22"/>
        </w:rPr>
      </w:pPr>
      <w:r>
        <w:fldChar w:fldCharType="begin"/>
      </w:r>
      <w:r>
        <w:instrText xml:space="preserve"> HYPERLINK \l "_Toc205725649" </w:instrText>
      </w:r>
      <w:r>
        <w:fldChar w:fldCharType="separate"/>
      </w:r>
      <w:r>
        <w:rPr>
          <w:rStyle w:val="32"/>
        </w:rPr>
        <w:t>4  基本原则</w:t>
      </w:r>
      <w:r>
        <w:tab/>
      </w:r>
      <w:r>
        <w:fldChar w:fldCharType="begin"/>
      </w:r>
      <w:r>
        <w:instrText xml:space="preserve"> PAGEREF _Toc205725649 \h </w:instrText>
      </w:r>
      <w:r>
        <w:fldChar w:fldCharType="separate"/>
      </w:r>
      <w:r>
        <w:t>2</w:t>
      </w:r>
      <w:r>
        <w:fldChar w:fldCharType="end"/>
      </w:r>
      <w:r>
        <w:fldChar w:fldCharType="end"/>
      </w:r>
    </w:p>
    <w:p w14:paraId="353D589A">
      <w:pPr>
        <w:pStyle w:val="19"/>
        <w:tabs>
          <w:tab w:val="right" w:leader="dot" w:pos="9344"/>
        </w:tabs>
        <w:rPr>
          <w:rFonts w:asciiTheme="minorHAnsi" w:hAnsiTheme="minorHAnsi" w:eastAsiaTheme="minorEastAsia" w:cstheme="minorBidi"/>
          <w:szCs w:val="22"/>
        </w:rPr>
      </w:pPr>
      <w:r>
        <w:fldChar w:fldCharType="begin"/>
      </w:r>
      <w:r>
        <w:instrText xml:space="preserve"> HYPERLINK \l "_Toc205725650" </w:instrText>
      </w:r>
      <w:r>
        <w:fldChar w:fldCharType="separate"/>
      </w:r>
      <w:r>
        <w:rPr>
          <w:rStyle w:val="32"/>
        </w:rPr>
        <w:t>5  绿色建材选用要求</w:t>
      </w:r>
      <w:r>
        <w:tab/>
      </w:r>
      <w:r>
        <w:fldChar w:fldCharType="begin"/>
      </w:r>
      <w:r>
        <w:instrText xml:space="preserve"> PAGEREF _Toc205725650 \h </w:instrText>
      </w:r>
      <w:r>
        <w:fldChar w:fldCharType="separate"/>
      </w:r>
      <w:r>
        <w:t>3</w:t>
      </w:r>
      <w:r>
        <w:fldChar w:fldCharType="end"/>
      </w:r>
      <w:r>
        <w:fldChar w:fldCharType="end"/>
      </w:r>
    </w:p>
    <w:p w14:paraId="0D7CE736">
      <w:pPr>
        <w:pStyle w:val="19"/>
        <w:tabs>
          <w:tab w:val="right" w:leader="dot" w:pos="9344"/>
        </w:tabs>
        <w:rPr>
          <w:rFonts w:asciiTheme="minorHAnsi" w:hAnsiTheme="minorHAnsi" w:eastAsiaTheme="minorEastAsia" w:cstheme="minorBidi"/>
          <w:szCs w:val="22"/>
        </w:rPr>
      </w:pPr>
      <w:r>
        <w:fldChar w:fldCharType="begin"/>
      </w:r>
      <w:r>
        <w:instrText xml:space="preserve"> HYPERLINK \l "_Toc205725651" </w:instrText>
      </w:r>
      <w:r>
        <w:fldChar w:fldCharType="separate"/>
      </w:r>
      <w:r>
        <w:rPr>
          <w:rStyle w:val="32"/>
        </w:rPr>
        <w:t>6  碳减排评估方法</w:t>
      </w:r>
      <w:r>
        <w:tab/>
      </w:r>
      <w:r>
        <w:fldChar w:fldCharType="begin"/>
      </w:r>
      <w:r>
        <w:instrText xml:space="preserve"> PAGEREF _Toc205725651 \h </w:instrText>
      </w:r>
      <w:r>
        <w:fldChar w:fldCharType="separate"/>
      </w:r>
      <w:r>
        <w:t>4</w:t>
      </w:r>
      <w:r>
        <w:fldChar w:fldCharType="end"/>
      </w:r>
      <w:r>
        <w:fldChar w:fldCharType="end"/>
      </w:r>
    </w:p>
    <w:p w14:paraId="0BBEBF3D">
      <w:pPr>
        <w:pStyle w:val="19"/>
        <w:tabs>
          <w:tab w:val="right" w:leader="dot" w:pos="9344"/>
        </w:tabs>
        <w:rPr>
          <w:rFonts w:asciiTheme="minorHAnsi" w:hAnsiTheme="minorHAnsi" w:eastAsiaTheme="minorEastAsia" w:cstheme="minorBidi"/>
          <w:szCs w:val="22"/>
        </w:rPr>
      </w:pPr>
      <w:r>
        <w:fldChar w:fldCharType="begin"/>
      </w:r>
      <w:r>
        <w:instrText xml:space="preserve"> HYPERLINK \l "_Toc205725652" </w:instrText>
      </w:r>
      <w:r>
        <w:fldChar w:fldCharType="separate"/>
      </w:r>
      <w:r>
        <w:rPr>
          <w:rStyle w:val="32"/>
        </w:rPr>
        <w:t>7  数据采集与处理</w:t>
      </w:r>
      <w:r>
        <w:tab/>
      </w:r>
      <w:r>
        <w:fldChar w:fldCharType="begin"/>
      </w:r>
      <w:r>
        <w:instrText xml:space="preserve"> PAGEREF _Toc205725652 \h </w:instrText>
      </w:r>
      <w:r>
        <w:fldChar w:fldCharType="separate"/>
      </w:r>
      <w:r>
        <w:t>5</w:t>
      </w:r>
      <w:r>
        <w:fldChar w:fldCharType="end"/>
      </w:r>
      <w:r>
        <w:fldChar w:fldCharType="end"/>
      </w:r>
    </w:p>
    <w:p w14:paraId="2FBB389D">
      <w:pPr>
        <w:pStyle w:val="19"/>
        <w:tabs>
          <w:tab w:val="right" w:leader="dot" w:pos="9344"/>
        </w:tabs>
        <w:rPr>
          <w:rFonts w:asciiTheme="minorHAnsi" w:hAnsiTheme="minorHAnsi" w:eastAsiaTheme="minorEastAsia" w:cstheme="minorBidi"/>
          <w:szCs w:val="22"/>
        </w:rPr>
      </w:pPr>
      <w:r>
        <w:fldChar w:fldCharType="begin"/>
      </w:r>
      <w:r>
        <w:instrText xml:space="preserve"> HYPERLINK \l "_Toc205725653" </w:instrText>
      </w:r>
      <w:r>
        <w:fldChar w:fldCharType="separate"/>
      </w:r>
      <w:r>
        <w:rPr>
          <w:rStyle w:val="32"/>
        </w:rPr>
        <w:t>8  评价指标体系与分级</w:t>
      </w:r>
      <w:r>
        <w:tab/>
      </w:r>
      <w:r>
        <w:fldChar w:fldCharType="begin"/>
      </w:r>
      <w:r>
        <w:instrText xml:space="preserve"> PAGEREF _Toc205725653 \h </w:instrText>
      </w:r>
      <w:r>
        <w:fldChar w:fldCharType="separate"/>
      </w:r>
      <w:r>
        <w:t>6</w:t>
      </w:r>
      <w:r>
        <w:fldChar w:fldCharType="end"/>
      </w:r>
      <w:r>
        <w:fldChar w:fldCharType="end"/>
      </w:r>
    </w:p>
    <w:p w14:paraId="3C77B461">
      <w:pPr>
        <w:pStyle w:val="19"/>
        <w:tabs>
          <w:tab w:val="right" w:leader="dot" w:pos="9344"/>
        </w:tabs>
        <w:rPr>
          <w:rFonts w:asciiTheme="minorHAnsi" w:hAnsiTheme="minorHAnsi" w:eastAsiaTheme="minorEastAsia" w:cstheme="minorBidi"/>
          <w:szCs w:val="22"/>
        </w:rPr>
      </w:pPr>
      <w:r>
        <w:fldChar w:fldCharType="begin"/>
      </w:r>
      <w:r>
        <w:instrText xml:space="preserve"> HYPERLINK \l "_Toc205725654" </w:instrText>
      </w:r>
      <w:r>
        <w:fldChar w:fldCharType="separate"/>
      </w:r>
      <w:r>
        <w:rPr>
          <w:rStyle w:val="32"/>
        </w:rPr>
        <w:t>9  结果报告与信息披露</w:t>
      </w:r>
      <w:r>
        <w:tab/>
      </w:r>
      <w:r>
        <w:fldChar w:fldCharType="begin"/>
      </w:r>
      <w:r>
        <w:instrText xml:space="preserve"> PAGEREF _Toc205725654 \h </w:instrText>
      </w:r>
      <w:r>
        <w:fldChar w:fldCharType="separate"/>
      </w:r>
      <w:r>
        <w:t>7</w:t>
      </w:r>
      <w:r>
        <w:fldChar w:fldCharType="end"/>
      </w:r>
      <w:r>
        <w:fldChar w:fldCharType="end"/>
      </w:r>
    </w:p>
    <w:p w14:paraId="35BC87ED">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725644"/>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本文件起草单位：温州筑诚交通工程监理有限公司。</w:t>
      </w:r>
    </w:p>
    <w:p w14:paraId="55F4A5D1">
      <w:pPr>
        <w:pStyle w:val="56"/>
        <w:spacing w:line="360" w:lineRule="auto"/>
        <w:ind w:firstLine="420"/>
      </w:pPr>
      <w:r>
        <w:rPr>
          <w:rFonts w:hint="eastAsia"/>
        </w:rPr>
        <w:t>本文件主要起草人：李恒奇。</w:t>
      </w:r>
    </w:p>
    <w:p w14:paraId="1B3EB912">
      <w:pPr>
        <w:pStyle w:val="56"/>
        <w:ind w:firstLine="420"/>
      </w:pP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6D0A2F3">
      <w:pPr>
        <w:pStyle w:val="89"/>
        <w:spacing w:after="360"/>
      </w:pPr>
      <w:bookmarkStart w:id="24" w:name="_Toc205725645"/>
      <w:bookmarkStart w:id="25" w:name="BookMark3"/>
      <w:r>
        <w:rPr>
          <w:spacing w:val="320"/>
        </w:rPr>
        <w:t>引</w:t>
      </w:r>
      <w:r>
        <w:t>言</w:t>
      </w:r>
      <w:bookmarkEnd w:id="24"/>
    </w:p>
    <w:p w14:paraId="68D4CCA7">
      <w:pPr>
        <w:pStyle w:val="56"/>
        <w:spacing w:line="360" w:lineRule="auto"/>
        <w:ind w:firstLine="420"/>
        <w:rPr>
          <w:rFonts w:hint="eastAsia"/>
        </w:rPr>
      </w:pPr>
      <w:r>
        <w:rPr>
          <w:rFonts w:hint="eastAsia"/>
        </w:rPr>
        <w:t>道路与桥梁工程是基础设施建设的重要组成部分，但其施工和运维过程中，往往伴随大量能源消耗和温室气体排放，对环境可持续发展带来一定压力。随着“双碳”战略目标的推进，推广绿色建材、优化施工工艺、提高能源利用效率已成为交通基础设施绿色转型的重要方向。</w:t>
      </w:r>
    </w:p>
    <w:p w14:paraId="3ADA7373">
      <w:pPr>
        <w:pStyle w:val="56"/>
        <w:spacing w:line="360" w:lineRule="auto"/>
        <w:ind w:firstLine="420"/>
        <w:rPr>
          <w:rFonts w:hint="eastAsia"/>
        </w:rPr>
      </w:pPr>
      <w:r>
        <w:rPr>
          <w:rFonts w:hint="eastAsia"/>
        </w:rPr>
        <w:t>绿色建材在道路与桥梁工程中的应用，不仅能够降低项目全生命周期的碳排放，还能有效减少资源浪费、改善施工环境质量。同时，科学的碳减排评估方法是衡量工程绿色水平、推动行业低碳发展的关键手段。当前，国内外在绿色建材评价、碳排放核算等方面已有一定研究与实践，但仍缺乏针对道路与桥梁工程特点的系统化评估规程，特别是在材料选用、数据采集、碳排放计算及综合评价方面尚需统一的技术要求。</w:t>
      </w:r>
    </w:p>
    <w:p w14:paraId="3758F707">
      <w:pPr>
        <w:pStyle w:val="56"/>
        <w:spacing w:line="360" w:lineRule="auto"/>
        <w:ind w:firstLine="420"/>
        <w:rPr>
          <w:rFonts w:hint="eastAsia"/>
        </w:rPr>
      </w:pPr>
      <w:r>
        <w:rPr>
          <w:rFonts w:hint="eastAsia"/>
        </w:rPr>
        <w:t>本文件旨在规范道路与桥梁工程绿色建材应用与碳减排评估工作，明确评价范围、技术路线、指标体系、数据要求和结果表达方法，为设计单位、施工单位、监理机构及行业管理部门提供统一的操作依据，促进绿色低碳技术在交通基础设施领域的推广应用。</w:t>
      </w:r>
    </w:p>
    <w:p w14:paraId="67B28A1D">
      <w:pPr>
        <w:pStyle w:val="56"/>
        <w:spacing w:line="360" w:lineRule="auto"/>
        <w:ind w:firstLine="420"/>
        <w:rPr>
          <w:rFonts w:hint="eastAsia"/>
        </w:rPr>
      </w:pPr>
      <w:r>
        <w:rPr>
          <w:rFonts w:hint="eastAsia"/>
        </w:rPr>
        <w:t>本文件的制定坚持“全生命周期、科学量化、可操作性与可比性相结合”的原则，注重与现行相关标准的衔接，兼顾技术先进性与行业适用性，旨在推动道路与桥梁工程绿色建造与低碳发展的深度融合。</w:t>
      </w:r>
    </w:p>
    <w:p w14:paraId="41C59179">
      <w:pPr>
        <w:pStyle w:val="56"/>
        <w:ind w:firstLine="420"/>
      </w:pP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道路与桥梁绿色建材与碳减排评估规程</w:t>
          </w:r>
        </w:p>
      </w:sdtContent>
    </w:sdt>
    <w:bookmarkEnd w:id="27"/>
    <w:p w14:paraId="3DB22445">
      <w:pPr>
        <w:pStyle w:val="104"/>
        <w:spacing w:before="240" w:after="240" w:line="360" w:lineRule="auto"/>
      </w:pPr>
      <w:bookmarkStart w:id="28" w:name="_Toc24884211"/>
      <w:bookmarkStart w:id="29" w:name="_Toc17233325"/>
      <w:bookmarkStart w:id="30" w:name="_Toc17233333"/>
      <w:bookmarkStart w:id="31" w:name="_Toc26986771"/>
      <w:bookmarkStart w:id="32" w:name="_Toc24884218"/>
      <w:bookmarkStart w:id="33" w:name="_Toc26986530"/>
      <w:bookmarkStart w:id="34" w:name="_Toc26648465"/>
      <w:bookmarkStart w:id="35" w:name="_Toc205725646"/>
      <w:bookmarkStart w:id="36" w:name="_Toc97192964"/>
      <w:bookmarkStart w:id="37" w:name="_Toc26718930"/>
      <w:r>
        <w:rPr>
          <w:rFonts w:hint="eastAsia"/>
        </w:rPr>
        <w:t>范围</w:t>
      </w:r>
      <w:bookmarkEnd w:id="28"/>
      <w:bookmarkEnd w:id="29"/>
      <w:bookmarkEnd w:id="30"/>
      <w:bookmarkEnd w:id="31"/>
      <w:bookmarkEnd w:id="32"/>
      <w:bookmarkEnd w:id="33"/>
      <w:bookmarkEnd w:id="34"/>
      <w:bookmarkEnd w:id="35"/>
      <w:bookmarkEnd w:id="36"/>
      <w:bookmarkEnd w:id="37"/>
    </w:p>
    <w:p w14:paraId="32C6B540">
      <w:pPr>
        <w:pStyle w:val="56"/>
        <w:spacing w:line="360" w:lineRule="auto"/>
        <w:ind w:firstLine="420"/>
        <w:rPr>
          <w:rFonts w:hint="eastAsia"/>
        </w:rPr>
      </w:pPr>
      <w:bookmarkStart w:id="38" w:name="_Toc17233326"/>
      <w:bookmarkStart w:id="39" w:name="_Toc24884219"/>
      <w:bookmarkStart w:id="40" w:name="_Toc24884212"/>
      <w:bookmarkStart w:id="41" w:name="_Toc26648466"/>
      <w:bookmarkStart w:id="42" w:name="_Toc17233334"/>
      <w:r>
        <w:rPr>
          <w:rFonts w:hint="eastAsia"/>
        </w:rPr>
        <w:t>本文件规定了道路与桥梁工程中绿色建材的选用原则、碳减排评估的基本方法、数据采集与处理要求、评价指标体系、结果表达与应用等内容。</w:t>
      </w:r>
    </w:p>
    <w:p w14:paraId="6368F09D">
      <w:pPr>
        <w:pStyle w:val="56"/>
        <w:spacing w:line="360" w:lineRule="auto"/>
        <w:ind w:firstLine="420"/>
        <w:rPr>
          <w:rFonts w:hint="eastAsia"/>
        </w:rPr>
      </w:pPr>
      <w:r>
        <w:rPr>
          <w:rFonts w:hint="eastAsia"/>
        </w:rPr>
        <w:t>本文件适用于新建、改建和扩建的道路与桥梁工程项目在设计、施工、运维各阶段的绿色建材应用及碳减排效果评估；适用于项目管理单位、设计单位、施工单位、监理单位及第三方评价机构开展相关工作。</w:t>
      </w:r>
    </w:p>
    <w:p w14:paraId="76265264">
      <w:pPr>
        <w:pStyle w:val="56"/>
        <w:spacing w:line="360" w:lineRule="auto"/>
        <w:ind w:firstLine="420"/>
      </w:pPr>
      <w:r>
        <w:rPr>
          <w:rFonts w:hint="eastAsia"/>
        </w:rPr>
        <w:t>本文件不适用于临时性道路、简易桥梁、农用道路及非交通功能性桥梁的绿色建材与碳减排评估，但其他类型工程可参照执行。</w:t>
      </w:r>
    </w:p>
    <w:p w14:paraId="3733B2AD">
      <w:pPr>
        <w:pStyle w:val="104"/>
        <w:spacing w:before="240" w:after="240" w:line="360" w:lineRule="auto"/>
      </w:pPr>
      <w:bookmarkStart w:id="43" w:name="_Toc26718931"/>
      <w:bookmarkStart w:id="44" w:name="_Toc205725647"/>
      <w:bookmarkStart w:id="45" w:name="_Toc97192965"/>
      <w:bookmarkStart w:id="46" w:name="_Toc26986531"/>
      <w:bookmarkStart w:id="47" w:name="_Toc2698677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2DEB612">
      <w:pPr>
        <w:pStyle w:val="56"/>
        <w:spacing w:line="360" w:lineRule="auto"/>
        <w:ind w:firstLine="420"/>
        <w:rPr>
          <w:rFonts w:hint="eastAsia"/>
        </w:rPr>
      </w:pPr>
      <w:r>
        <w:rPr>
          <w:rFonts w:hint="eastAsia"/>
        </w:rPr>
        <w:t xml:space="preserve">GB/T 1.1—2020 标准化工作导则 </w:t>
      </w:r>
      <w:r>
        <w:t xml:space="preserve"> </w:t>
      </w:r>
      <w:r>
        <w:rPr>
          <w:rFonts w:hint="eastAsia"/>
        </w:rPr>
        <w:t>第1部分：标准化文件的结构和起草规则</w:t>
      </w:r>
    </w:p>
    <w:p w14:paraId="1638FB7D">
      <w:pPr>
        <w:pStyle w:val="56"/>
        <w:spacing w:line="360" w:lineRule="auto"/>
        <w:ind w:firstLine="420"/>
      </w:pPr>
      <w:r>
        <w:rPr>
          <w:rFonts w:hint="eastAsia"/>
        </w:rPr>
        <w:t>GB/T 32151.1—2015 温室气体排放核算方法与报告</w:t>
      </w:r>
    </w:p>
    <w:p w14:paraId="07D2436E">
      <w:pPr>
        <w:pStyle w:val="56"/>
        <w:spacing w:line="360" w:lineRule="auto"/>
        <w:ind w:firstLine="420"/>
        <w:rPr>
          <w:rFonts w:hint="eastAsia"/>
        </w:rPr>
      </w:pPr>
      <w:r>
        <w:rPr>
          <w:rFonts w:hint="eastAsia"/>
        </w:rPr>
        <w:t>GB/T 50378—2019</w:t>
      </w:r>
      <w:r>
        <w:t xml:space="preserve"> </w:t>
      </w:r>
      <w:r>
        <w:rPr>
          <w:rFonts w:hint="eastAsia"/>
        </w:rPr>
        <w:t>绿色建筑评价标准</w:t>
      </w:r>
    </w:p>
    <w:p w14:paraId="51F02A4E">
      <w:pPr>
        <w:pStyle w:val="104"/>
        <w:spacing w:before="240" w:after="240" w:line="360" w:lineRule="auto"/>
      </w:pPr>
      <w:bookmarkStart w:id="48" w:name="_Toc97192966"/>
      <w:bookmarkStart w:id="49" w:name="_Toc205725648"/>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6FEC7649">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绿色建材 green building materials</w:t>
      </w:r>
    </w:p>
    <w:p w14:paraId="5D82C7E7">
      <w:pPr>
        <w:pStyle w:val="56"/>
        <w:spacing w:line="360" w:lineRule="auto"/>
        <w:ind w:firstLine="420"/>
        <w:rPr>
          <w:rFonts w:hint="eastAsia"/>
        </w:rPr>
      </w:pPr>
      <w:r>
        <w:rPr>
          <w:rFonts w:hint="eastAsia"/>
        </w:rPr>
        <w:t>在全生命周期内，对资源与能源消耗少、对环境负面影响低，并满足工程性能、安全与健康要求的建筑材料。</w:t>
      </w:r>
    </w:p>
    <w:p w14:paraId="7A26CD13">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碳排放 carbon emissions</w:t>
      </w:r>
    </w:p>
    <w:p w14:paraId="3D964AE9">
      <w:pPr>
        <w:pStyle w:val="56"/>
        <w:spacing w:line="360" w:lineRule="auto"/>
        <w:ind w:firstLine="420"/>
      </w:pPr>
      <w:r>
        <w:rPr>
          <w:rFonts w:hint="eastAsia"/>
        </w:rPr>
        <w:t>由于人类活动直接或间接排放至大气中的二氧化碳及其他温室气体的总量，通常以二氧化碳当量（</w:t>
      </w:r>
      <w:r>
        <w:t>CO₂e</w:t>
      </w:r>
      <w:r>
        <w:rPr>
          <w:rFonts w:hint="eastAsia"/>
        </w:rPr>
        <w:t>）表示。</w:t>
      </w:r>
    </w:p>
    <w:p w14:paraId="1A391D71">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碳减排 carbon reduction</w:t>
      </w:r>
    </w:p>
    <w:p w14:paraId="1C2B448E">
      <w:pPr>
        <w:pStyle w:val="56"/>
        <w:spacing w:line="360" w:lineRule="auto"/>
        <w:ind w:firstLine="420"/>
        <w:rPr>
          <w:rFonts w:hint="eastAsia"/>
        </w:rPr>
      </w:pPr>
      <w:r>
        <w:rPr>
          <w:rFonts w:hint="eastAsia"/>
        </w:rPr>
        <w:t>通过技术改进、材料替代、能源优化等措施，减少温室气体排放的过程与结果。</w:t>
      </w:r>
    </w:p>
    <w:p w14:paraId="4F738C5A">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全生命周期评价 life cycle assessment, LCA</w:t>
      </w:r>
    </w:p>
    <w:p w14:paraId="1EDC30F7">
      <w:pPr>
        <w:pStyle w:val="56"/>
        <w:spacing w:line="360" w:lineRule="auto"/>
        <w:ind w:firstLine="420"/>
        <w:rPr>
          <w:rFonts w:hint="eastAsia"/>
        </w:rPr>
      </w:pPr>
      <w:r>
        <w:rPr>
          <w:rFonts w:hint="eastAsia"/>
        </w:rPr>
        <w:t>从原材料获取、生产制造、运输、施工、使用维护直至废弃处置阶段，对产品或工程在其生命周期内的资源消耗和环境影响进行系统评价的方法。</w:t>
      </w:r>
    </w:p>
    <w:p w14:paraId="7777AFBC">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产品碳足迹 product carbon footprint</w:t>
      </w:r>
    </w:p>
    <w:p w14:paraId="459DAC05">
      <w:pPr>
        <w:pStyle w:val="56"/>
        <w:spacing w:line="360" w:lineRule="auto"/>
        <w:ind w:firstLine="420"/>
        <w:rPr>
          <w:rFonts w:hint="eastAsia"/>
        </w:rPr>
      </w:pPr>
      <w:r>
        <w:rPr>
          <w:rFonts w:hint="eastAsia"/>
        </w:rPr>
        <w:t>某一产品或工程在全生命周期内因能源消耗和物质使用而产生的温室气体排放总量，以二氧化碳当量表示。</w:t>
      </w:r>
    </w:p>
    <w:p w14:paraId="5838A3D7">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道路与桥梁工程道路材料 road and bridge engineering materials</w:t>
      </w:r>
    </w:p>
    <w:p w14:paraId="0FF25948">
      <w:pPr>
        <w:pStyle w:val="56"/>
        <w:spacing w:line="360" w:lineRule="auto"/>
        <w:ind w:firstLine="420"/>
        <w:rPr>
          <w:rFonts w:hint="eastAsia"/>
        </w:rPr>
      </w:pPr>
      <w:r>
        <w:rPr>
          <w:rFonts w:hint="eastAsia"/>
        </w:rPr>
        <w:t>用于道路路基、路面、桥梁上部结构、下部结构及附属设施施工的各种工程材料，包括沥青混合料、水泥混凝土、钢材、复合材料等。</w:t>
      </w:r>
    </w:p>
    <w:p w14:paraId="496EA90C">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绿色性能指标 green performance indicators</w:t>
      </w:r>
    </w:p>
    <w:p w14:paraId="35580488">
      <w:pPr>
        <w:pStyle w:val="56"/>
        <w:spacing w:line="360" w:lineRule="auto"/>
        <w:ind w:firstLine="420"/>
        <w:rPr>
          <w:rFonts w:hint="eastAsia"/>
        </w:rPr>
      </w:pPr>
      <w:r>
        <w:rPr>
          <w:rFonts w:hint="eastAsia"/>
        </w:rPr>
        <w:t>反映材料或工程在资源利用效率、环境影响控制及可再生性方面表现的定量或定性指标。</w:t>
      </w:r>
    </w:p>
    <w:p w14:paraId="3BCC2EA6">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温室气体核算 greenhouse gas accounting</w:t>
      </w:r>
    </w:p>
    <w:p w14:paraId="11ED0D72">
      <w:pPr>
        <w:pStyle w:val="56"/>
        <w:spacing w:line="360" w:lineRule="auto"/>
        <w:ind w:firstLine="420"/>
      </w:pPr>
      <w:r>
        <w:rPr>
          <w:rFonts w:hint="eastAsia"/>
        </w:rPr>
        <w:t>基于相关标准和方法，对活动或产品产生的温室气体排放量进行识别、量化和报告的过程。</w:t>
      </w:r>
    </w:p>
    <w:p w14:paraId="6898CC19">
      <w:pPr>
        <w:pStyle w:val="104"/>
        <w:spacing w:before="240" w:after="240" w:line="360" w:lineRule="auto"/>
        <w:rPr>
          <w:rFonts w:hint="eastAsia"/>
        </w:rPr>
      </w:pPr>
      <w:bookmarkStart w:id="51" w:name="_Toc205725649"/>
      <w:r>
        <w:rPr>
          <w:rFonts w:hint="eastAsia"/>
        </w:rPr>
        <w:t>基本原则</w:t>
      </w:r>
      <w:bookmarkEnd w:id="51"/>
    </w:p>
    <w:p w14:paraId="09C30EC1">
      <w:pPr>
        <w:pStyle w:val="105"/>
        <w:spacing w:before="120" w:after="120" w:line="360" w:lineRule="auto"/>
        <w:rPr>
          <w:rFonts w:hint="eastAsia"/>
        </w:rPr>
      </w:pPr>
      <w:r>
        <w:rPr>
          <w:rFonts w:hint="eastAsia"/>
        </w:rPr>
        <w:t>全生命周期原则</w:t>
      </w:r>
    </w:p>
    <w:p w14:paraId="1B19BA3D">
      <w:pPr>
        <w:pStyle w:val="56"/>
        <w:spacing w:line="360" w:lineRule="auto"/>
        <w:ind w:firstLine="420"/>
        <w:rPr>
          <w:rFonts w:hint="eastAsia"/>
        </w:rPr>
      </w:pPr>
      <w:r>
        <w:rPr>
          <w:rFonts w:hint="eastAsia"/>
        </w:rPr>
        <w:t>绿色建材应用与碳减排评估应覆盖工程全生命周期，包括原材料获取、生产加工、运输、施工、运营维护及拆除回收等阶段，确保评估结果全面、客观、可比。</w:t>
      </w:r>
    </w:p>
    <w:p w14:paraId="3BCB40A7">
      <w:pPr>
        <w:pStyle w:val="105"/>
        <w:spacing w:before="120" w:after="120" w:line="360" w:lineRule="auto"/>
        <w:rPr>
          <w:rFonts w:hint="eastAsia"/>
        </w:rPr>
      </w:pPr>
      <w:r>
        <w:rPr>
          <w:rFonts w:hint="eastAsia"/>
        </w:rPr>
        <w:t>科学量化原则</w:t>
      </w:r>
    </w:p>
    <w:p w14:paraId="7F7C2C1E">
      <w:pPr>
        <w:pStyle w:val="56"/>
        <w:spacing w:line="360" w:lineRule="auto"/>
        <w:ind w:firstLine="420"/>
        <w:rPr>
          <w:rFonts w:hint="eastAsia"/>
        </w:rPr>
      </w:pPr>
      <w:r>
        <w:rPr>
          <w:rFonts w:hint="eastAsia"/>
        </w:rPr>
        <w:t>碳减排评估应采用科学的计算方法和统一的核算边界，确保数据来源可靠、计算过程透明、结果可追溯。</w:t>
      </w:r>
    </w:p>
    <w:p w14:paraId="21EA2A13">
      <w:pPr>
        <w:pStyle w:val="105"/>
        <w:spacing w:before="120" w:after="120" w:line="360" w:lineRule="auto"/>
        <w:rPr>
          <w:rFonts w:hint="eastAsia"/>
        </w:rPr>
      </w:pPr>
      <w:r>
        <w:rPr>
          <w:rFonts w:hint="eastAsia"/>
        </w:rPr>
        <w:t>技术适用性原则</w:t>
      </w:r>
    </w:p>
    <w:p w14:paraId="2F5CDD71">
      <w:pPr>
        <w:pStyle w:val="56"/>
        <w:spacing w:line="360" w:lineRule="auto"/>
        <w:ind w:firstLine="420"/>
        <w:rPr>
          <w:rFonts w:hint="eastAsia"/>
        </w:rPr>
      </w:pPr>
      <w:r>
        <w:rPr>
          <w:rFonts w:hint="eastAsia"/>
        </w:rPr>
        <w:t>所选绿色建材和减排措施应符合道路与桥梁工程的结构性能、耐久性及安全性要求，确保绿色与工程质量同步提升。</w:t>
      </w:r>
    </w:p>
    <w:p w14:paraId="7EB8580E">
      <w:pPr>
        <w:pStyle w:val="105"/>
        <w:spacing w:before="120" w:after="120" w:line="360" w:lineRule="auto"/>
        <w:rPr>
          <w:rFonts w:hint="eastAsia"/>
        </w:rPr>
      </w:pPr>
      <w:r>
        <w:rPr>
          <w:rFonts w:hint="eastAsia"/>
        </w:rPr>
        <w:t>资源节约与环境保护原则</w:t>
      </w:r>
    </w:p>
    <w:p w14:paraId="01170441">
      <w:pPr>
        <w:pStyle w:val="56"/>
        <w:spacing w:line="360" w:lineRule="auto"/>
        <w:ind w:firstLine="420"/>
        <w:rPr>
          <w:rFonts w:hint="eastAsia"/>
        </w:rPr>
      </w:pPr>
      <w:r>
        <w:rPr>
          <w:rFonts w:hint="eastAsia"/>
        </w:rPr>
        <w:t>优先选用资源消耗低、可再生性强、环境影响小的材料和施工工艺，减少废弃物产生和污染物排放。</w:t>
      </w:r>
    </w:p>
    <w:p w14:paraId="1D11A8E0">
      <w:pPr>
        <w:pStyle w:val="105"/>
        <w:spacing w:before="120" w:after="120" w:line="360" w:lineRule="auto"/>
        <w:rPr>
          <w:rFonts w:hint="eastAsia"/>
        </w:rPr>
      </w:pPr>
      <w:r>
        <w:rPr>
          <w:rFonts w:hint="eastAsia"/>
        </w:rPr>
        <w:t>经济合理性原则</w:t>
      </w:r>
    </w:p>
    <w:p w14:paraId="49885432">
      <w:pPr>
        <w:pStyle w:val="56"/>
        <w:spacing w:line="360" w:lineRule="auto"/>
        <w:ind w:firstLine="420"/>
        <w:rPr>
          <w:rFonts w:hint="eastAsia"/>
        </w:rPr>
      </w:pPr>
      <w:r>
        <w:rPr>
          <w:rFonts w:hint="eastAsia"/>
        </w:rPr>
        <w:t>在满足绿色与减排要求的前提下，应综合考虑材料和技术的全寿命周期成本，实现经济性与环境效益的平衡。</w:t>
      </w:r>
    </w:p>
    <w:p w14:paraId="02305F54">
      <w:pPr>
        <w:pStyle w:val="105"/>
        <w:spacing w:before="120" w:after="120" w:line="360" w:lineRule="auto"/>
        <w:rPr>
          <w:rFonts w:hint="eastAsia"/>
        </w:rPr>
      </w:pPr>
      <w:r>
        <w:rPr>
          <w:rFonts w:hint="eastAsia"/>
        </w:rPr>
        <w:t>持续改进原则</w:t>
      </w:r>
    </w:p>
    <w:p w14:paraId="4E298868">
      <w:pPr>
        <w:pStyle w:val="56"/>
        <w:spacing w:line="360" w:lineRule="auto"/>
        <w:ind w:firstLine="420"/>
      </w:pPr>
      <w:r>
        <w:rPr>
          <w:rFonts w:hint="eastAsia"/>
        </w:rPr>
        <w:t>应在评估实践中不断总结经验，优化评估方法和指标体系，推动绿色建材应用与碳减排技术水平的持续提升。</w:t>
      </w:r>
    </w:p>
    <w:p w14:paraId="59E1471D">
      <w:pPr>
        <w:pStyle w:val="104"/>
        <w:spacing w:before="240" w:after="240" w:line="360" w:lineRule="auto"/>
        <w:rPr>
          <w:rFonts w:hint="eastAsia"/>
        </w:rPr>
      </w:pPr>
      <w:bookmarkStart w:id="52" w:name="_Toc205725650"/>
      <w:r>
        <w:rPr>
          <w:rFonts w:hint="eastAsia"/>
        </w:rPr>
        <w:t>绿色建材选用要求</w:t>
      </w:r>
      <w:bookmarkEnd w:id="52"/>
    </w:p>
    <w:p w14:paraId="5C6522C6">
      <w:pPr>
        <w:pStyle w:val="105"/>
        <w:spacing w:before="120" w:after="120" w:line="360" w:lineRule="auto"/>
        <w:rPr>
          <w:rFonts w:hint="eastAsia"/>
        </w:rPr>
      </w:pPr>
      <w:r>
        <w:rPr>
          <w:rFonts w:hint="eastAsia"/>
        </w:rPr>
        <w:t>总则</w:t>
      </w:r>
    </w:p>
    <w:p w14:paraId="2EF3FC9E">
      <w:pPr>
        <w:pStyle w:val="56"/>
        <w:spacing w:line="360" w:lineRule="auto"/>
        <w:ind w:firstLine="420"/>
        <w:rPr>
          <w:rFonts w:hint="eastAsia"/>
        </w:rPr>
      </w:pPr>
      <w:r>
        <w:rPr>
          <w:rFonts w:hint="eastAsia"/>
        </w:rPr>
        <w:t>道路与桥梁工程中选用的绿色建材应符合国家和行业现行相关标准的技术要求，同时满足本规程规定的绿色性能和碳减排目标。材料选用应兼顾结构性能、耐久性、安全性及环保性，优先采用可再生、可循环利用及低碳排放的材料。</w:t>
      </w:r>
    </w:p>
    <w:p w14:paraId="6463EF74">
      <w:pPr>
        <w:pStyle w:val="105"/>
        <w:spacing w:before="120" w:after="120" w:line="360" w:lineRule="auto"/>
        <w:rPr>
          <w:rFonts w:hint="eastAsia"/>
        </w:rPr>
      </w:pPr>
      <w:r>
        <w:rPr>
          <w:rFonts w:hint="eastAsia"/>
        </w:rPr>
        <w:t>材料种类</w:t>
      </w:r>
    </w:p>
    <w:p w14:paraId="68E62083">
      <w:pPr>
        <w:pStyle w:val="56"/>
        <w:spacing w:line="360" w:lineRule="auto"/>
        <w:ind w:firstLine="420"/>
        <w:rPr>
          <w:rFonts w:hint="eastAsia"/>
        </w:rPr>
      </w:pPr>
      <w:r>
        <w:rPr>
          <w:rFonts w:hint="eastAsia"/>
        </w:rPr>
        <w:t>绿色建材可包括但不限于：</w:t>
      </w:r>
    </w:p>
    <w:p w14:paraId="5F7A2697">
      <w:pPr>
        <w:pStyle w:val="174"/>
        <w:spacing w:line="360" w:lineRule="auto"/>
        <w:rPr>
          <w:rFonts w:hint="eastAsia"/>
        </w:rPr>
      </w:pPr>
      <w:r>
        <w:rPr>
          <w:rFonts w:hint="eastAsia"/>
        </w:rPr>
        <w:t>再生骨料混凝土及再生沥青混合料；</w:t>
      </w:r>
    </w:p>
    <w:p w14:paraId="6C27695C">
      <w:pPr>
        <w:pStyle w:val="174"/>
        <w:spacing w:line="360" w:lineRule="auto"/>
        <w:rPr>
          <w:rFonts w:hint="eastAsia"/>
        </w:rPr>
      </w:pPr>
      <w:r>
        <w:rPr>
          <w:rFonts w:hint="eastAsia"/>
        </w:rPr>
        <w:t>高性能、低熟料水泥及掺合料（水泥粉煤灰、矿渣粉、硅灰等）；</w:t>
      </w:r>
    </w:p>
    <w:p w14:paraId="3F01EDF3">
      <w:pPr>
        <w:pStyle w:val="174"/>
        <w:spacing w:line="360" w:lineRule="auto"/>
        <w:rPr>
          <w:rFonts w:hint="eastAsia"/>
        </w:rPr>
      </w:pPr>
      <w:r>
        <w:rPr>
          <w:rFonts w:hint="eastAsia"/>
        </w:rPr>
        <w:t>高强度钢材、耐候钢及可再循环金属材料；</w:t>
      </w:r>
    </w:p>
    <w:p w14:paraId="4812631C">
      <w:pPr>
        <w:pStyle w:val="174"/>
        <w:spacing w:line="360" w:lineRule="auto"/>
        <w:rPr>
          <w:rFonts w:hint="eastAsia"/>
        </w:rPr>
      </w:pPr>
      <w:r>
        <w:rPr>
          <w:rFonts w:hint="eastAsia"/>
        </w:rPr>
        <w:t>生物基材料（如植物纤维增强复合材料、可降解模板材料）；</w:t>
      </w:r>
    </w:p>
    <w:p w14:paraId="04710F3A">
      <w:pPr>
        <w:pStyle w:val="174"/>
        <w:spacing w:line="360" w:lineRule="auto"/>
        <w:rPr>
          <w:rFonts w:hint="eastAsia"/>
        </w:rPr>
      </w:pPr>
      <w:r>
        <w:rPr>
          <w:rFonts w:hint="eastAsia"/>
        </w:rPr>
        <w:t>高耐久、低能耗生产的沥青改性剂及添加剂。</w:t>
      </w:r>
    </w:p>
    <w:p w14:paraId="46DB8D68">
      <w:pPr>
        <w:pStyle w:val="105"/>
        <w:spacing w:before="120" w:after="120" w:line="360" w:lineRule="auto"/>
        <w:rPr>
          <w:rFonts w:hint="eastAsia"/>
        </w:rPr>
      </w:pPr>
      <w:r>
        <w:rPr>
          <w:rFonts w:hint="eastAsia"/>
        </w:rPr>
        <w:t>性能指标要求</w:t>
      </w:r>
    </w:p>
    <w:p w14:paraId="6FCCB3B5">
      <w:pPr>
        <w:pStyle w:val="56"/>
        <w:spacing w:line="360" w:lineRule="auto"/>
        <w:ind w:firstLine="420"/>
        <w:rPr>
          <w:rFonts w:hint="eastAsia"/>
        </w:rPr>
      </w:pPr>
      <w:r>
        <w:rPr>
          <w:rFonts w:hint="eastAsia"/>
        </w:rPr>
        <w:t>选用的绿色建材应在以下方面满足相应指标：</w:t>
      </w:r>
    </w:p>
    <w:p w14:paraId="628073D9">
      <w:pPr>
        <w:pStyle w:val="56"/>
        <w:spacing w:line="360" w:lineRule="auto"/>
        <w:ind w:firstLine="420"/>
        <w:rPr>
          <w:rFonts w:hint="eastAsia"/>
        </w:rPr>
      </w:pPr>
      <w:r>
        <w:rPr>
          <w:rFonts w:hint="eastAsia"/>
        </w:rPr>
        <w:t>力学性能：强度、弹性模量等应满足设计要求；</w:t>
      </w:r>
    </w:p>
    <w:p w14:paraId="34676ED5">
      <w:pPr>
        <w:pStyle w:val="56"/>
        <w:spacing w:line="360" w:lineRule="auto"/>
        <w:ind w:firstLine="420"/>
        <w:rPr>
          <w:rFonts w:hint="eastAsia"/>
        </w:rPr>
      </w:pPr>
      <w:r>
        <w:rPr>
          <w:rFonts w:hint="eastAsia"/>
        </w:rPr>
        <w:t>耐久性能：抗冻融、抗侵蚀、抗老化等指标应符合工程所在环境条件的要求；</w:t>
      </w:r>
    </w:p>
    <w:p w14:paraId="30618347">
      <w:pPr>
        <w:pStyle w:val="56"/>
        <w:spacing w:line="360" w:lineRule="auto"/>
        <w:ind w:firstLine="420"/>
        <w:rPr>
          <w:rFonts w:hint="eastAsia"/>
        </w:rPr>
      </w:pPr>
      <w:r>
        <w:rPr>
          <w:rFonts w:hint="eastAsia"/>
        </w:rPr>
        <w:t>环境性能：生产过程碳排放强度、能耗、水耗、污染物排放量应低于同类常规材料；</w:t>
      </w:r>
    </w:p>
    <w:p w14:paraId="273A5440">
      <w:pPr>
        <w:pStyle w:val="56"/>
        <w:spacing w:line="360" w:lineRule="auto"/>
        <w:ind w:firstLine="420"/>
        <w:rPr>
          <w:rFonts w:hint="eastAsia"/>
        </w:rPr>
      </w:pPr>
      <w:r>
        <w:rPr>
          <w:rFonts w:hint="eastAsia"/>
        </w:rPr>
        <w:t>资源属性：可再生原料掺量比例应符合绿色建材评价标准的等级要求。</w:t>
      </w:r>
    </w:p>
    <w:p w14:paraId="4AB43FBE">
      <w:pPr>
        <w:pStyle w:val="105"/>
        <w:spacing w:before="120" w:after="120" w:line="360" w:lineRule="auto"/>
        <w:rPr>
          <w:rFonts w:hint="eastAsia"/>
        </w:rPr>
      </w:pPr>
      <w:r>
        <w:rPr>
          <w:rFonts w:hint="eastAsia"/>
        </w:rPr>
        <w:t>检测与认证</w:t>
      </w:r>
    </w:p>
    <w:p w14:paraId="7FFE2C91">
      <w:pPr>
        <w:pStyle w:val="56"/>
        <w:spacing w:line="360" w:lineRule="auto"/>
        <w:ind w:firstLine="420"/>
        <w:rPr>
          <w:rFonts w:hint="eastAsia"/>
        </w:rPr>
      </w:pPr>
      <w:r>
        <w:rPr>
          <w:rFonts w:hint="eastAsia"/>
        </w:rPr>
        <w:t>所有用于工程的绿色建材应提供合法有效的质量检测报告及绿色建材产品认证证明，检测内容应包括物理性能、化学成分、耐久性及环境性能等。必要时应进行第三方复检。</w:t>
      </w:r>
    </w:p>
    <w:p w14:paraId="18F8B61B">
      <w:pPr>
        <w:pStyle w:val="105"/>
        <w:spacing w:before="120" w:after="120" w:line="360" w:lineRule="auto"/>
        <w:rPr>
          <w:rFonts w:hint="eastAsia"/>
        </w:rPr>
      </w:pPr>
      <w:r>
        <w:rPr>
          <w:rFonts w:hint="eastAsia"/>
        </w:rPr>
        <w:t>适用条件</w:t>
      </w:r>
    </w:p>
    <w:p w14:paraId="2A62EE40">
      <w:pPr>
        <w:pStyle w:val="56"/>
        <w:spacing w:line="360" w:lineRule="auto"/>
        <w:ind w:firstLine="420"/>
      </w:pPr>
      <w:r>
        <w:rPr>
          <w:rFonts w:hint="eastAsia"/>
        </w:rPr>
        <w:t>材料选用应结合工程所在地区气候、地质、水文及交通条件进行适配性分析，确保在不同环境下的性能稳定性和耐久性。</w:t>
      </w:r>
    </w:p>
    <w:p w14:paraId="500F1DE8">
      <w:pPr>
        <w:pStyle w:val="104"/>
        <w:spacing w:before="240" w:after="240" w:line="360" w:lineRule="auto"/>
        <w:rPr>
          <w:rFonts w:hint="eastAsia"/>
        </w:rPr>
      </w:pPr>
      <w:bookmarkStart w:id="53" w:name="_Toc205725651"/>
      <w:r>
        <w:rPr>
          <w:rFonts w:hint="eastAsia"/>
        </w:rPr>
        <w:t>碳减排评估方法</w:t>
      </w:r>
      <w:bookmarkEnd w:id="53"/>
    </w:p>
    <w:p w14:paraId="36A52494">
      <w:pPr>
        <w:pStyle w:val="105"/>
        <w:spacing w:before="120" w:after="120" w:line="360" w:lineRule="auto"/>
        <w:rPr>
          <w:rFonts w:hint="eastAsia"/>
        </w:rPr>
      </w:pPr>
      <w:r>
        <w:rPr>
          <w:rFonts w:hint="eastAsia"/>
        </w:rPr>
        <w:t>总则</w:t>
      </w:r>
    </w:p>
    <w:p w14:paraId="78790C77">
      <w:pPr>
        <w:pStyle w:val="56"/>
        <w:spacing w:line="360" w:lineRule="auto"/>
        <w:ind w:firstLine="420"/>
        <w:rPr>
          <w:rFonts w:hint="eastAsia"/>
        </w:rPr>
      </w:pPr>
      <w:r>
        <w:rPr>
          <w:rFonts w:hint="eastAsia"/>
        </w:rPr>
        <w:t>碳减排评估应遵循全生命周期评价（LCA）方法，覆盖原材料获取、生产加工、运输、施工、使用维护及拆除回收阶段，计算过程中应统一核算边界、数据来源和排放因子，确保结果科学、可比、可追溯。</w:t>
      </w:r>
    </w:p>
    <w:p w14:paraId="72621AA8">
      <w:pPr>
        <w:pStyle w:val="105"/>
        <w:spacing w:before="120" w:after="120" w:line="360" w:lineRule="auto"/>
        <w:rPr>
          <w:rFonts w:hint="eastAsia"/>
        </w:rPr>
      </w:pPr>
      <w:r>
        <w:rPr>
          <w:rFonts w:hint="eastAsia"/>
        </w:rPr>
        <w:t>评估流程</w:t>
      </w:r>
    </w:p>
    <w:p w14:paraId="38A594AB">
      <w:pPr>
        <w:pStyle w:val="56"/>
        <w:spacing w:line="360" w:lineRule="auto"/>
        <w:ind w:firstLine="420"/>
        <w:rPr>
          <w:rFonts w:hint="eastAsia"/>
        </w:rPr>
      </w:pPr>
      <w:r>
        <w:rPr>
          <w:rFonts w:hint="eastAsia"/>
        </w:rPr>
        <w:t>碳减排评估一般应包括以下步骤：</w:t>
      </w:r>
    </w:p>
    <w:p w14:paraId="434544DB">
      <w:pPr>
        <w:pStyle w:val="174"/>
        <w:numPr>
          <w:ilvl w:val="0"/>
          <w:numId w:val="32"/>
        </w:numPr>
        <w:spacing w:line="360" w:lineRule="auto"/>
        <w:rPr>
          <w:rFonts w:hint="eastAsia"/>
        </w:rPr>
      </w:pPr>
      <w:r>
        <w:rPr>
          <w:rFonts w:hint="eastAsia"/>
        </w:rPr>
        <w:t>明确评估目标与范围；</w:t>
      </w:r>
    </w:p>
    <w:p w14:paraId="536F4C24">
      <w:pPr>
        <w:pStyle w:val="174"/>
        <w:spacing w:line="360" w:lineRule="auto"/>
        <w:rPr>
          <w:rFonts w:hint="eastAsia"/>
        </w:rPr>
      </w:pPr>
      <w:r>
        <w:rPr>
          <w:rFonts w:hint="eastAsia"/>
        </w:rPr>
        <w:t>确定核算边界（时间、空间、工艺范围）；</w:t>
      </w:r>
    </w:p>
    <w:p w14:paraId="6FC8DEF6">
      <w:pPr>
        <w:pStyle w:val="174"/>
        <w:spacing w:line="360" w:lineRule="auto"/>
        <w:rPr>
          <w:rFonts w:hint="eastAsia"/>
        </w:rPr>
      </w:pPr>
      <w:r>
        <w:rPr>
          <w:rFonts w:hint="eastAsia"/>
        </w:rPr>
        <w:t>收集基础数据（材料种类、用量、运输距离、能耗、排放因子等）；</w:t>
      </w:r>
    </w:p>
    <w:p w14:paraId="081E7410">
      <w:pPr>
        <w:pStyle w:val="174"/>
        <w:spacing w:line="360" w:lineRule="auto"/>
        <w:rPr>
          <w:rFonts w:hint="eastAsia"/>
        </w:rPr>
      </w:pPr>
      <w:r>
        <w:rPr>
          <w:rFonts w:hint="eastAsia"/>
        </w:rPr>
        <w:t>计算各阶段温室气体排放量；</w:t>
      </w:r>
    </w:p>
    <w:p w14:paraId="1357447C">
      <w:pPr>
        <w:pStyle w:val="174"/>
        <w:spacing w:line="360" w:lineRule="auto"/>
        <w:rPr>
          <w:rFonts w:hint="eastAsia"/>
        </w:rPr>
      </w:pPr>
      <w:r>
        <w:rPr>
          <w:rFonts w:hint="eastAsia"/>
        </w:rPr>
        <w:t>汇总总排放量并与基准方案对比；</w:t>
      </w:r>
    </w:p>
    <w:p w14:paraId="15EB0524">
      <w:pPr>
        <w:pStyle w:val="174"/>
        <w:spacing w:line="360" w:lineRule="auto"/>
        <w:rPr>
          <w:rFonts w:hint="eastAsia"/>
        </w:rPr>
      </w:pPr>
      <w:r>
        <w:rPr>
          <w:rFonts w:hint="eastAsia"/>
        </w:rPr>
        <w:t>分析减排贡献及关键影响因素；</w:t>
      </w:r>
    </w:p>
    <w:p w14:paraId="7431037A">
      <w:pPr>
        <w:pStyle w:val="174"/>
        <w:spacing w:line="360" w:lineRule="auto"/>
        <w:rPr>
          <w:rFonts w:hint="eastAsia"/>
        </w:rPr>
      </w:pPr>
      <w:r>
        <w:rPr>
          <w:rFonts w:hint="eastAsia"/>
        </w:rPr>
        <w:t>形成评估报告。</w:t>
      </w:r>
    </w:p>
    <w:p w14:paraId="305AD961">
      <w:pPr>
        <w:pStyle w:val="105"/>
        <w:spacing w:before="120" w:after="120" w:line="360" w:lineRule="auto"/>
      </w:pPr>
      <w:r>
        <w:rPr>
          <w:rFonts w:hint="eastAsia"/>
        </w:rPr>
        <w:t>排放量计算</w:t>
      </w:r>
    </w:p>
    <w:p w14:paraId="288E1D3B">
      <w:pPr>
        <w:pStyle w:val="56"/>
        <w:spacing w:line="360" w:lineRule="auto"/>
        <w:ind w:firstLine="420"/>
      </w:pPr>
      <w:r>
        <w:rPr>
          <w:rFonts w:hint="eastAsia"/>
        </w:rPr>
        <w:t>各阶段温室气体排放量应按下式计算：</w:t>
      </w:r>
    </w:p>
    <w:p w14:paraId="15D71C58">
      <w:pPr>
        <w:pStyle w:val="113"/>
        <w:spacing w:line="360" w:lineRule="auto"/>
      </w:pPr>
      <w: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ij</m:t>
                </m:r>
                <m:ctrlPr>
                  <w:rPr>
                    <w:rFonts w:ascii="Cambria Math" w:hAnsi="Cambria Math"/>
                    <w:i/>
                  </w:rPr>
                </m:ctrlPr>
              </m:sub>
            </m:sSub>
            <m:r>
              <m:rPr/>
              <w:rPr>
                <w:rFonts w:ascii="Cambria Math" w:hAnsi="Cambria Math"/>
              </w:rPr>
              <m:t>×E</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ij</m:t>
                </m:r>
                <m:ctrlPr>
                  <w:rPr>
                    <w:rFonts w:ascii="Cambria Math" w:hAnsi="Cambria Math"/>
                    <w:i/>
                  </w:rPr>
                </m:ctrlPr>
              </m:sub>
            </m:sSub>
            <m:ctrlPr>
              <w:rPr>
                <w:rFonts w:ascii="Cambria Math" w:hAnsi="Cambria Math"/>
                <w:i/>
              </w:rPr>
            </m:ctrlPr>
          </m:e>
        </m:nary>
      </m:oMath>
      <w:r>
        <w:rPr>
          <w:rFonts w:ascii="微软雅黑" w:hAnsi="微软雅黑" w:eastAsia="微软雅黑"/>
        </w:rPr>
        <w:tab/>
      </w:r>
      <w:r>
        <w:t>(</w:t>
      </w:r>
      <w:r>
        <w:fldChar w:fldCharType="begin"/>
      </w:r>
      <w:r>
        <w:instrText xml:space="preserve"> AUTONUM </w:instrText>
      </w:r>
      <w:r>
        <w:fldChar w:fldCharType="end"/>
      </w:r>
      <w:r>
        <w:t>)</w:t>
      </w:r>
    </w:p>
    <w:p w14:paraId="006D95F7">
      <w:pPr>
        <w:pStyle w:val="55"/>
        <w:spacing w:line="360" w:lineRule="auto"/>
        <w:ind w:firstLine="420"/>
        <w:rPr>
          <w:rFonts w:hint="eastAsia"/>
        </w:rPr>
      </w:pPr>
      <w:r>
        <w:rPr>
          <w:rFonts w:hint="eastAsia"/>
        </w:rPr>
        <w:t>式中：</w:t>
      </w:r>
      <w:r>
        <w:tab/>
      </w:r>
    </w:p>
    <w:tbl>
      <w:tblPr>
        <w:tblStyle w:val="27"/>
        <w:tblW w:w="4775"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7"/>
        <w:gridCol w:w="423"/>
        <w:gridCol w:w="8083"/>
      </w:tblGrid>
      <w:tr w14:paraId="1EDE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239" w:type="pct"/>
            <w:vAlign w:val="center"/>
          </w:tcPr>
          <w:p w14:paraId="4F2651BA">
            <w:pPr>
              <w:pStyle w:val="56"/>
              <w:spacing w:line="360" w:lineRule="auto"/>
              <w:ind w:firstLine="0" w:firstLineChars="0"/>
              <w:rPr>
                <w:rFonts w:hint="eastAsia"/>
              </w:rPr>
            </w:pPr>
            <m:oMathPara>
              <m:oMath>
                <m:sSub>
                  <m:sSubPr>
                    <m:ctrlPr>
                      <w:rPr>
                        <w:rFonts w:ascii="Cambria Math" w:hAnsi="Cambria Math"/>
                        <w:i/>
                        <w:kern w:val="2"/>
                        <w:szCs w:val="21"/>
                      </w:rPr>
                    </m:ctrlPr>
                  </m:sSubPr>
                  <m:e>
                    <m:r>
                      <m:rPr/>
                      <w:rPr>
                        <w:rFonts w:ascii="Cambria Math" w:hAnsi="Cambria Math"/>
                      </w:rPr>
                      <m:t>E</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m:oMathPara>
          </w:p>
        </w:tc>
        <w:tc>
          <w:tcPr>
            <w:tcW w:w="237" w:type="pct"/>
            <w:vAlign w:val="center"/>
          </w:tcPr>
          <w:p w14:paraId="58F5B02D">
            <w:pPr>
              <w:pStyle w:val="56"/>
              <w:spacing w:line="360" w:lineRule="auto"/>
              <w:ind w:firstLine="0" w:firstLineChars="0"/>
              <w:jc w:val="center"/>
              <w:rPr>
                <w:rFonts w:hint="eastAsia"/>
              </w:rPr>
            </w:pPr>
            <w:r>
              <w:t>——</w:t>
            </w:r>
          </w:p>
        </w:tc>
        <w:tc>
          <w:tcPr>
            <w:tcW w:w="4524" w:type="pct"/>
          </w:tcPr>
          <w:p w14:paraId="470B7D9D">
            <w:pPr>
              <w:pStyle w:val="56"/>
              <w:spacing w:line="360" w:lineRule="auto"/>
              <w:ind w:firstLine="0" w:firstLineChars="0"/>
              <w:rPr>
                <w:rFonts w:hint="eastAsia"/>
              </w:rPr>
            </w:pPr>
            <w:r>
              <w:rPr>
                <w:rFonts w:hint="eastAsia"/>
              </w:rPr>
              <w:t>第</w:t>
            </w:r>
            <w:r>
              <w:t xml:space="preserve"> i </w:t>
            </w:r>
            <w:r>
              <w:rPr>
                <w:rFonts w:hint="eastAsia"/>
              </w:rPr>
              <w:t>阶段的温室气体排放量,</w:t>
            </w:r>
            <w:r>
              <w:t xml:space="preserve"> 单位为吨二氧化碳当量</w:t>
            </w:r>
            <w:r>
              <w:rPr>
                <w:rFonts w:hint="eastAsia"/>
              </w:rPr>
              <w:t>（</w:t>
            </w:r>
            <w:r>
              <w:t>t CO₂e</w:t>
            </w:r>
            <w:r>
              <w:rPr>
                <w:rFonts w:hint="eastAsia"/>
              </w:rPr>
              <w:t>）；</w:t>
            </w:r>
          </w:p>
        </w:tc>
      </w:tr>
      <w:tr w14:paraId="3DA6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239" w:type="pct"/>
          </w:tcPr>
          <w:p w14:paraId="65179B18">
            <w:pPr>
              <w:pStyle w:val="56"/>
              <w:spacing w:line="360" w:lineRule="auto"/>
              <w:ind w:firstLine="0" w:firstLineChars="0"/>
              <w:jc w:val="center"/>
              <w:rPr>
                <w:rFonts w:hint="eastAsia"/>
              </w:rPr>
            </w:pPr>
            <m:oMathPara>
              <m:oMath>
                <m:sSub>
                  <m:sSubPr>
                    <m:ctrlPr>
                      <w:rPr>
                        <w:rFonts w:ascii="Cambria Math" w:hAnsi="Cambria Math"/>
                        <w:i/>
                        <w:kern w:val="2"/>
                        <w:szCs w:val="21"/>
                      </w:rPr>
                    </m:ctrlPr>
                  </m:sSubPr>
                  <m:e>
                    <m:r>
                      <m:rPr/>
                      <w:rPr>
                        <w:rFonts w:ascii="Cambria Math" w:hAnsi="Cambria Math"/>
                      </w:rPr>
                      <m:t>A</m:t>
                    </m:r>
                    <m:ctrlPr>
                      <w:rPr>
                        <w:rFonts w:ascii="Cambria Math" w:hAnsi="Cambria Math"/>
                        <w:i/>
                        <w:kern w:val="2"/>
                        <w:szCs w:val="21"/>
                      </w:rPr>
                    </m:ctrlPr>
                  </m:e>
                  <m:sub>
                    <m:r>
                      <m:rPr/>
                      <w:rPr>
                        <w:rFonts w:ascii="Cambria Math" w:hAnsi="Cambria Math"/>
                      </w:rPr>
                      <m:t>ij</m:t>
                    </m:r>
                    <m:ctrlPr>
                      <w:rPr>
                        <w:rFonts w:ascii="Cambria Math" w:hAnsi="Cambria Math"/>
                        <w:i/>
                        <w:kern w:val="2"/>
                        <w:szCs w:val="21"/>
                      </w:rPr>
                    </m:ctrlPr>
                  </m:sub>
                </m:sSub>
              </m:oMath>
            </m:oMathPara>
          </w:p>
        </w:tc>
        <w:tc>
          <w:tcPr>
            <w:tcW w:w="237" w:type="pct"/>
          </w:tcPr>
          <w:p w14:paraId="65F846D7">
            <w:pPr>
              <w:pStyle w:val="56"/>
              <w:spacing w:line="360" w:lineRule="auto"/>
              <w:ind w:firstLine="0" w:firstLineChars="0"/>
              <w:jc w:val="center"/>
              <w:rPr>
                <w:rFonts w:hint="eastAsia"/>
              </w:rPr>
            </w:pPr>
            <w:r>
              <w:t>——</w:t>
            </w:r>
          </w:p>
        </w:tc>
        <w:tc>
          <w:tcPr>
            <w:tcW w:w="4524" w:type="pct"/>
            <w:vAlign w:val="center"/>
          </w:tcPr>
          <w:p w14:paraId="2AE210AF">
            <w:pPr>
              <w:pStyle w:val="56"/>
              <w:spacing w:line="360" w:lineRule="auto"/>
              <w:ind w:firstLine="0" w:firstLineChars="0"/>
              <w:rPr>
                <w:rFonts w:hint="eastAsia"/>
              </w:rPr>
            </w:pPr>
            <w:r>
              <w:rPr>
                <w:rFonts w:hint="eastAsia"/>
              </w:rPr>
              <w:t>第 i 阶段第 j 类活动数据, 如能源消耗量、材料用量、运输量等，单位根据活动类型分别以兆焦（MJ）、吨（t）、立方米（m³）或公里·吨（t·km）表示；</w:t>
            </w:r>
          </w:p>
        </w:tc>
      </w:tr>
      <w:tr w14:paraId="65E5A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239" w:type="pct"/>
            <w:vAlign w:val="center"/>
          </w:tcPr>
          <w:p w14:paraId="57A846F3">
            <w:pPr>
              <w:pStyle w:val="56"/>
              <w:spacing w:line="360" w:lineRule="auto"/>
              <w:ind w:firstLine="0" w:firstLineChars="0"/>
              <w:rPr>
                <w:rFonts w:hint="eastAsia"/>
              </w:rPr>
            </w:pPr>
            <m:oMathPara>
              <m:oMath>
                <m:r>
                  <m:rPr/>
                  <w:rPr>
                    <w:rFonts w:ascii="Cambria Math" w:hAnsi="Cambria Math"/>
                  </w:rPr>
                  <m:t>E</m:t>
                </m:r>
                <m:sSub>
                  <m:sSubPr>
                    <m:ctrlPr>
                      <w:rPr>
                        <w:rFonts w:ascii="Cambria Math" w:hAnsi="Cambria Math"/>
                        <w:i/>
                        <w:kern w:val="2"/>
                        <w:szCs w:val="21"/>
                      </w:rPr>
                    </m:ctrlPr>
                  </m:sSubPr>
                  <m:e>
                    <m:r>
                      <m:rPr/>
                      <w:rPr>
                        <w:rFonts w:ascii="Cambria Math" w:hAnsi="Cambria Math"/>
                      </w:rPr>
                      <m:t>F</m:t>
                    </m:r>
                    <m:ctrlPr>
                      <w:rPr>
                        <w:rFonts w:ascii="Cambria Math" w:hAnsi="Cambria Math"/>
                        <w:i/>
                        <w:kern w:val="2"/>
                        <w:szCs w:val="21"/>
                      </w:rPr>
                    </m:ctrlPr>
                  </m:e>
                  <m:sub>
                    <m:r>
                      <m:rPr/>
                      <w:rPr>
                        <w:rFonts w:ascii="Cambria Math" w:hAnsi="Cambria Math"/>
                      </w:rPr>
                      <m:t>ij</m:t>
                    </m:r>
                    <m:ctrlPr>
                      <w:rPr>
                        <w:rFonts w:ascii="Cambria Math" w:hAnsi="Cambria Math"/>
                        <w:i/>
                        <w:kern w:val="2"/>
                        <w:szCs w:val="21"/>
                      </w:rPr>
                    </m:ctrlPr>
                  </m:sub>
                </m:sSub>
              </m:oMath>
            </m:oMathPara>
          </w:p>
        </w:tc>
        <w:tc>
          <w:tcPr>
            <w:tcW w:w="237" w:type="pct"/>
            <w:vAlign w:val="center"/>
          </w:tcPr>
          <w:p w14:paraId="433FBB3B">
            <w:pPr>
              <w:pStyle w:val="56"/>
              <w:spacing w:line="360" w:lineRule="auto"/>
              <w:ind w:firstLine="0" w:firstLineChars="0"/>
              <w:jc w:val="center"/>
              <w:rPr>
                <w:rFonts w:hint="eastAsia"/>
              </w:rPr>
            </w:pPr>
            <w:r>
              <w:t>——</w:t>
            </w:r>
          </w:p>
        </w:tc>
        <w:tc>
          <w:tcPr>
            <w:tcW w:w="4524" w:type="pct"/>
          </w:tcPr>
          <w:p w14:paraId="37201C2C">
            <w:pPr>
              <w:pStyle w:val="56"/>
              <w:spacing w:line="360" w:lineRule="auto"/>
              <w:ind w:firstLine="0" w:firstLineChars="0"/>
              <w:rPr>
                <w:rFonts w:hint="eastAsia"/>
              </w:rPr>
            </w:pPr>
            <w:r>
              <w:rPr>
                <w:rFonts w:hint="eastAsia"/>
              </w:rPr>
              <w:t>对应活动的排放因子, 单位为吨二氧化碳当量每单位活动量（</w:t>
            </w:r>
            <w:r>
              <w:t>t CO₂e/</w:t>
            </w:r>
            <w:r>
              <w:rPr>
                <w:rFonts w:hint="eastAsia"/>
              </w:rPr>
              <w:t>单位活动量）。</w:t>
            </w:r>
          </w:p>
        </w:tc>
      </w:tr>
    </w:tbl>
    <w:p w14:paraId="6F721597">
      <w:pPr>
        <w:pStyle w:val="105"/>
        <w:spacing w:before="120" w:after="120" w:line="360" w:lineRule="auto"/>
      </w:pPr>
      <w:r>
        <w:rPr>
          <w:rFonts w:hint="eastAsia"/>
        </w:rPr>
        <w:t>基准方案确定</w:t>
      </w:r>
    </w:p>
    <w:p w14:paraId="156B2849">
      <w:pPr>
        <w:pStyle w:val="56"/>
        <w:spacing w:line="360" w:lineRule="auto"/>
        <w:ind w:firstLine="420"/>
        <w:rPr>
          <w:rFonts w:hint="eastAsia"/>
        </w:rPr>
      </w:pPr>
      <w:r>
        <w:rPr>
          <w:rFonts w:hint="eastAsia"/>
        </w:rPr>
        <w:t>基准方案应采用常规材料及施工工艺的平均排放水平，参考同类工程近三年的行业统计数据或权威数据库，并明确数据来源。</w:t>
      </w:r>
    </w:p>
    <w:p w14:paraId="30D71385">
      <w:pPr>
        <w:pStyle w:val="105"/>
        <w:spacing w:before="120" w:after="120" w:line="360" w:lineRule="auto"/>
        <w:rPr>
          <w:rFonts w:hint="eastAsia"/>
        </w:rPr>
      </w:pPr>
      <w:r>
        <w:rPr>
          <w:rFonts w:hint="eastAsia"/>
        </w:rPr>
        <w:t>6.5 减排量计算</w:t>
      </w:r>
    </w:p>
    <w:p w14:paraId="794B4009">
      <w:pPr>
        <w:pStyle w:val="56"/>
        <w:spacing w:line="360" w:lineRule="auto"/>
        <w:ind w:firstLine="420"/>
      </w:pPr>
      <w:r>
        <w:rPr>
          <w:rFonts w:hint="eastAsia"/>
        </w:rPr>
        <w:t>碳减排量按下式计算：</w:t>
      </w:r>
    </w:p>
    <w:p w14:paraId="28C2DBB7">
      <w:pPr>
        <w:pStyle w:val="113"/>
        <w:spacing w:line="360" w:lineRule="auto"/>
      </w:pPr>
      <w:r>
        <w:tab/>
      </w:r>
      <m:oMath>
        <m:r>
          <m:rPr/>
          <w:rPr>
            <w:rFonts w:ascii="Cambria Math" w:hAnsi="Cambria Math"/>
          </w:rPr>
          <m:t>∆E=</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a</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0A10B129">
      <w:pPr>
        <w:pStyle w:val="55"/>
        <w:spacing w:line="360" w:lineRule="auto"/>
        <w:ind w:firstLine="420"/>
        <w:rPr>
          <w:rFonts w:hint="eastAsia"/>
        </w:rPr>
      </w:pPr>
      <w:r>
        <w:rPr>
          <w:rFonts w:hint="eastAsia"/>
        </w:rPr>
        <w:t>式中：</w:t>
      </w:r>
    </w:p>
    <w:tbl>
      <w:tblPr>
        <w:tblStyle w:val="27"/>
        <w:tblW w:w="4775"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425"/>
        <w:gridCol w:w="7941"/>
      </w:tblGrid>
      <w:tr w14:paraId="1E03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317" w:type="pct"/>
            <w:vAlign w:val="center"/>
          </w:tcPr>
          <w:p w14:paraId="3E565EFA">
            <w:pPr>
              <w:pStyle w:val="56"/>
              <w:spacing w:line="360" w:lineRule="auto"/>
              <w:ind w:firstLine="0" w:firstLineChars="0"/>
              <w:rPr>
                <w:rFonts w:hint="eastAsia"/>
              </w:rPr>
            </w:pPr>
            <m:oMathPara>
              <m:oMath>
                <m:r>
                  <m:rPr/>
                  <w:rPr>
                    <w:rFonts w:ascii="Cambria Math" w:hAnsi="Cambria Math"/>
                  </w:rPr>
                  <m:t>∆E</m:t>
                </m:r>
              </m:oMath>
            </m:oMathPara>
          </w:p>
        </w:tc>
        <w:tc>
          <w:tcPr>
            <w:tcW w:w="238" w:type="pct"/>
            <w:vAlign w:val="center"/>
          </w:tcPr>
          <w:p w14:paraId="12866534">
            <w:pPr>
              <w:pStyle w:val="56"/>
              <w:spacing w:line="360" w:lineRule="auto"/>
              <w:ind w:firstLine="0" w:firstLineChars="0"/>
              <w:jc w:val="center"/>
              <w:rPr>
                <w:rFonts w:hint="eastAsia"/>
              </w:rPr>
            </w:pPr>
            <w:r>
              <w:t>——</w:t>
            </w:r>
          </w:p>
        </w:tc>
        <w:tc>
          <w:tcPr>
            <w:tcW w:w="4445" w:type="pct"/>
          </w:tcPr>
          <w:p w14:paraId="48E54133">
            <w:pPr>
              <w:pStyle w:val="56"/>
              <w:spacing w:line="360" w:lineRule="auto"/>
              <w:ind w:firstLine="0" w:firstLineChars="0"/>
              <w:rPr>
                <w:rFonts w:hint="eastAsia"/>
              </w:rPr>
            </w:pPr>
            <w:r>
              <w:rPr>
                <w:rFonts w:hint="eastAsia"/>
              </w:rPr>
              <w:t>碳减排量，单位为吨二氧化碳当量（</w:t>
            </w:r>
            <w:r>
              <w:t>t CO₂e</w:t>
            </w:r>
            <w:r>
              <w:rPr>
                <w:rFonts w:hint="eastAsia"/>
              </w:rPr>
              <w:t>）；</w:t>
            </w:r>
          </w:p>
        </w:tc>
      </w:tr>
      <w:tr w14:paraId="074D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317" w:type="pct"/>
          </w:tcPr>
          <w:p w14:paraId="785795A7">
            <w:pPr>
              <w:pStyle w:val="56"/>
              <w:spacing w:line="360" w:lineRule="auto"/>
              <w:ind w:firstLine="0" w:firstLineChars="0"/>
              <w:jc w:val="center"/>
              <w:rPr>
                <w:rFonts w:hint="eastAsia"/>
              </w:rPr>
            </w:pPr>
            <m:oMathPara>
              <m:oMath>
                <m:sSub>
                  <m:sSubPr>
                    <m:ctrlPr>
                      <w:rPr>
                        <w:rFonts w:ascii="Cambria Math" w:hAnsi="Cambria Math"/>
                        <w:i/>
                        <w:kern w:val="2"/>
                        <w:szCs w:val="21"/>
                      </w:rPr>
                    </m:ctrlPr>
                  </m:sSubPr>
                  <m:e>
                    <m:r>
                      <m:rPr/>
                      <w:rPr>
                        <w:rFonts w:ascii="Cambria Math" w:hAnsi="Cambria Math"/>
                      </w:rPr>
                      <m:t>E</m:t>
                    </m:r>
                    <m:ctrlPr>
                      <w:rPr>
                        <w:rFonts w:ascii="Cambria Math" w:hAnsi="Cambria Math"/>
                        <w:i/>
                        <w:kern w:val="2"/>
                        <w:szCs w:val="21"/>
                      </w:rPr>
                    </m:ctrlPr>
                  </m:e>
                  <m:sub>
                    <m:r>
                      <m:rPr/>
                      <w:rPr>
                        <w:rFonts w:hint="eastAsia" w:ascii="Cambria Math" w:hAnsi="Cambria Math"/>
                      </w:rPr>
                      <m:t>a</m:t>
                    </m:r>
                    <m:ctrlPr>
                      <w:rPr>
                        <w:rFonts w:ascii="Cambria Math" w:hAnsi="Cambria Math"/>
                        <w:i/>
                        <w:kern w:val="2"/>
                        <w:szCs w:val="21"/>
                      </w:rPr>
                    </m:ctrlPr>
                  </m:sub>
                </m:sSub>
              </m:oMath>
            </m:oMathPara>
          </w:p>
        </w:tc>
        <w:tc>
          <w:tcPr>
            <w:tcW w:w="238" w:type="pct"/>
          </w:tcPr>
          <w:p w14:paraId="531528B2">
            <w:pPr>
              <w:pStyle w:val="56"/>
              <w:spacing w:line="360" w:lineRule="auto"/>
              <w:ind w:firstLine="0" w:firstLineChars="0"/>
              <w:jc w:val="center"/>
              <w:rPr>
                <w:rFonts w:hint="eastAsia"/>
              </w:rPr>
            </w:pPr>
            <w:r>
              <w:t>——</w:t>
            </w:r>
          </w:p>
        </w:tc>
        <w:tc>
          <w:tcPr>
            <w:tcW w:w="4445" w:type="pct"/>
            <w:vAlign w:val="center"/>
          </w:tcPr>
          <w:p w14:paraId="6DC70669">
            <w:pPr>
              <w:pStyle w:val="56"/>
              <w:spacing w:line="360" w:lineRule="auto"/>
              <w:ind w:firstLine="0" w:firstLineChars="0"/>
              <w:rPr>
                <w:rFonts w:hint="eastAsia"/>
              </w:rPr>
            </w:pPr>
            <w:r>
              <w:rPr>
                <w:rFonts w:hint="eastAsia"/>
              </w:rPr>
              <w:t>基准方案排放总量，单位为吨二氧化碳当量（</w:t>
            </w:r>
            <w:r>
              <w:t>t CO₂e</w:t>
            </w:r>
            <w:r>
              <w:rPr>
                <w:rFonts w:hint="eastAsia"/>
              </w:rPr>
              <w:t>）；</w:t>
            </w:r>
          </w:p>
        </w:tc>
      </w:tr>
      <w:tr w14:paraId="456D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317" w:type="pct"/>
            <w:vAlign w:val="center"/>
          </w:tcPr>
          <w:p w14:paraId="4E5E811E">
            <w:pPr>
              <w:pStyle w:val="56"/>
              <w:spacing w:line="360" w:lineRule="auto"/>
              <w:ind w:firstLine="0" w:firstLineChars="0"/>
              <w:rPr>
                <w:rFonts w:hint="eastAsia"/>
              </w:rPr>
            </w:pPr>
            <m:oMathPara>
              <m:oMath>
                <m:sSub>
                  <m:sSubPr>
                    <m:ctrlPr>
                      <w:rPr>
                        <w:rFonts w:ascii="Cambria Math" w:hAnsi="Cambria Math"/>
                        <w:i/>
                        <w:kern w:val="2"/>
                        <w:szCs w:val="21"/>
                      </w:rPr>
                    </m:ctrlPr>
                  </m:sSubPr>
                  <m:e>
                    <m:r>
                      <m:rPr/>
                      <w:rPr>
                        <w:rFonts w:ascii="Cambria Math" w:hAnsi="Cambria Math"/>
                      </w:rPr>
                      <m:t>E</m:t>
                    </m:r>
                    <m:ctrlPr>
                      <w:rPr>
                        <w:rFonts w:ascii="Cambria Math" w:hAnsi="Cambria Math"/>
                        <w:i/>
                        <w:kern w:val="2"/>
                        <w:szCs w:val="21"/>
                      </w:rPr>
                    </m:ctrlPr>
                  </m:e>
                  <m:sub>
                    <m:r>
                      <m:rPr/>
                      <w:rPr>
                        <w:rFonts w:ascii="Cambria Math" w:hAnsi="Cambria Math"/>
                        <w:kern w:val="2"/>
                        <w:szCs w:val="21"/>
                      </w:rPr>
                      <m:t>b</m:t>
                    </m:r>
                    <m:ctrlPr>
                      <w:rPr>
                        <w:rFonts w:ascii="Cambria Math" w:hAnsi="Cambria Math"/>
                        <w:i/>
                        <w:kern w:val="2"/>
                        <w:szCs w:val="21"/>
                      </w:rPr>
                    </m:ctrlPr>
                  </m:sub>
                </m:sSub>
              </m:oMath>
            </m:oMathPara>
          </w:p>
        </w:tc>
        <w:tc>
          <w:tcPr>
            <w:tcW w:w="238" w:type="pct"/>
            <w:vAlign w:val="center"/>
          </w:tcPr>
          <w:p w14:paraId="1A8C35F7">
            <w:pPr>
              <w:pStyle w:val="56"/>
              <w:spacing w:line="360" w:lineRule="auto"/>
              <w:ind w:firstLine="0" w:firstLineChars="0"/>
              <w:jc w:val="center"/>
              <w:rPr>
                <w:rFonts w:hint="eastAsia"/>
              </w:rPr>
            </w:pPr>
            <w:r>
              <w:t>——</w:t>
            </w:r>
          </w:p>
        </w:tc>
        <w:tc>
          <w:tcPr>
            <w:tcW w:w="4445" w:type="pct"/>
          </w:tcPr>
          <w:p w14:paraId="0FFF04F3">
            <w:pPr>
              <w:pStyle w:val="56"/>
              <w:spacing w:line="360" w:lineRule="auto"/>
              <w:ind w:firstLine="0" w:firstLineChars="0"/>
              <w:rPr>
                <w:rFonts w:hint="eastAsia"/>
              </w:rPr>
            </w:pPr>
            <w:r>
              <w:rPr>
                <w:rFonts w:hint="eastAsia"/>
              </w:rPr>
              <w:t>采用绿色建材及优化工艺后的排放总量，单位为吨二氧化碳当量（</w:t>
            </w:r>
            <w:r>
              <w:t>t CO₂e</w:t>
            </w:r>
            <w:r>
              <w:rPr>
                <w:rFonts w:hint="eastAsia"/>
              </w:rPr>
              <w:t>）。</w:t>
            </w:r>
          </w:p>
        </w:tc>
      </w:tr>
    </w:tbl>
    <w:p w14:paraId="02A31C05">
      <w:pPr>
        <w:pStyle w:val="104"/>
        <w:spacing w:before="240" w:after="240" w:line="360" w:lineRule="auto"/>
        <w:rPr>
          <w:rFonts w:hint="eastAsia"/>
        </w:rPr>
      </w:pPr>
      <w:bookmarkStart w:id="54" w:name="_Toc205725652"/>
      <w:r>
        <w:rPr>
          <w:rFonts w:hint="eastAsia"/>
        </w:rPr>
        <w:t>数据采集与处理</w:t>
      </w:r>
      <w:bookmarkEnd w:id="54"/>
    </w:p>
    <w:p w14:paraId="510323D3">
      <w:pPr>
        <w:pStyle w:val="105"/>
        <w:spacing w:before="120" w:after="120" w:line="360" w:lineRule="auto"/>
        <w:rPr>
          <w:rFonts w:hint="eastAsia"/>
        </w:rPr>
      </w:pPr>
      <w:r>
        <w:rPr>
          <w:rFonts w:hint="eastAsia"/>
        </w:rPr>
        <w:t>总则</w:t>
      </w:r>
    </w:p>
    <w:p w14:paraId="00822ADA">
      <w:pPr>
        <w:pStyle w:val="56"/>
        <w:spacing w:line="360" w:lineRule="auto"/>
        <w:ind w:firstLine="420"/>
        <w:rPr>
          <w:rFonts w:hint="eastAsia"/>
        </w:rPr>
      </w:pPr>
      <w:r>
        <w:rPr>
          <w:rFonts w:hint="eastAsia"/>
        </w:rPr>
        <w:t>数据采集与处理应覆盖碳减排评估全生命周期阶段，包括原材料获取、生产加工、运输、施工、使用维护及拆除回收等。采集过程应确保数据的真实性、完整性、可比性和可追溯性。</w:t>
      </w:r>
    </w:p>
    <w:p w14:paraId="09103796">
      <w:pPr>
        <w:pStyle w:val="105"/>
        <w:spacing w:before="120" w:after="120" w:line="360" w:lineRule="auto"/>
        <w:rPr>
          <w:rFonts w:hint="eastAsia"/>
        </w:rPr>
      </w:pPr>
      <w:r>
        <w:rPr>
          <w:rFonts w:hint="eastAsia"/>
        </w:rPr>
        <w:t>数据来源</w:t>
      </w:r>
    </w:p>
    <w:p w14:paraId="4E3137FE">
      <w:pPr>
        <w:pStyle w:val="165"/>
        <w:spacing w:line="360" w:lineRule="auto"/>
        <w:rPr>
          <w:rFonts w:hint="eastAsia"/>
        </w:rPr>
      </w:pPr>
      <w:r>
        <w:rPr>
          <w:rFonts w:hint="eastAsia"/>
        </w:rPr>
        <w:t>实测数据：优先使用工程项目现场检测或监测获得的数据。</w:t>
      </w:r>
    </w:p>
    <w:p w14:paraId="513DD9D6">
      <w:pPr>
        <w:pStyle w:val="165"/>
        <w:spacing w:line="360" w:lineRule="auto"/>
        <w:rPr>
          <w:rFonts w:hint="eastAsia"/>
        </w:rPr>
      </w:pPr>
      <w:r>
        <w:rPr>
          <w:rFonts w:hint="eastAsia"/>
        </w:rPr>
        <w:t>统计数据：来自国家统计部门、行业协会或权威机构发布的年度统计数据。</w:t>
      </w:r>
    </w:p>
    <w:p w14:paraId="4CDABEB5">
      <w:pPr>
        <w:pStyle w:val="165"/>
        <w:spacing w:line="360" w:lineRule="auto"/>
        <w:rPr>
          <w:rFonts w:hint="eastAsia"/>
        </w:rPr>
      </w:pPr>
      <w:r>
        <w:rPr>
          <w:rFonts w:hint="eastAsia"/>
        </w:rPr>
        <w:t>数据库数据：来自经认证的温室气体排放因子数据库或生命周期评价数据库。</w:t>
      </w:r>
    </w:p>
    <w:p w14:paraId="7ED30908">
      <w:pPr>
        <w:pStyle w:val="165"/>
        <w:spacing w:line="360" w:lineRule="auto"/>
        <w:rPr>
          <w:rFonts w:hint="eastAsia"/>
        </w:rPr>
      </w:pPr>
      <w:r>
        <w:rPr>
          <w:rFonts w:hint="eastAsia"/>
        </w:rPr>
        <w:t>文献数据：来自国内外权威期刊、技术标准或研究报告，并注明来源与适用条件。</w:t>
      </w:r>
    </w:p>
    <w:p w14:paraId="21429171">
      <w:pPr>
        <w:pStyle w:val="105"/>
        <w:spacing w:before="120" w:after="120" w:line="360" w:lineRule="auto"/>
        <w:rPr>
          <w:rFonts w:hint="eastAsia"/>
        </w:rPr>
      </w:pPr>
      <w:r>
        <w:rPr>
          <w:rFonts w:hint="eastAsia"/>
        </w:rPr>
        <w:t>数据采集内容及单位</w:t>
      </w:r>
    </w:p>
    <w:p w14:paraId="51972DC9">
      <w:pPr>
        <w:pStyle w:val="165"/>
        <w:spacing w:line="360" w:lineRule="auto"/>
        <w:rPr>
          <w:rFonts w:hint="eastAsia"/>
        </w:rPr>
      </w:pPr>
      <w:r>
        <w:rPr>
          <w:rFonts w:hint="eastAsia"/>
        </w:rPr>
        <w:t>材料用量（t）：如沥青混合料、水泥、钢材等的实际使用量。</w:t>
      </w:r>
    </w:p>
    <w:p w14:paraId="1B808FBC">
      <w:pPr>
        <w:pStyle w:val="165"/>
        <w:spacing w:line="360" w:lineRule="auto"/>
        <w:rPr>
          <w:rFonts w:hint="eastAsia"/>
        </w:rPr>
      </w:pPr>
      <w:r>
        <w:rPr>
          <w:rFonts w:hint="eastAsia"/>
        </w:rPr>
        <w:t>能源消耗量（MJ 或 kWh）：如燃油、电力、天然气等的使用量。</w:t>
      </w:r>
    </w:p>
    <w:p w14:paraId="3C44CBBE">
      <w:pPr>
        <w:pStyle w:val="165"/>
        <w:spacing w:line="360" w:lineRule="auto"/>
        <w:rPr>
          <w:rFonts w:hint="eastAsia"/>
        </w:rPr>
      </w:pPr>
      <w:r>
        <w:rPr>
          <w:rFonts w:hint="eastAsia"/>
        </w:rPr>
        <w:t>运输距离（t·km）：材料运输的重量与运输距离的乘积。</w:t>
      </w:r>
    </w:p>
    <w:p w14:paraId="28F202FB">
      <w:pPr>
        <w:pStyle w:val="165"/>
        <w:spacing w:line="360" w:lineRule="auto"/>
        <w:rPr>
          <w:rFonts w:hint="eastAsia"/>
        </w:rPr>
      </w:pPr>
      <w:r>
        <w:rPr>
          <w:rFonts w:hint="eastAsia"/>
        </w:rPr>
        <w:t>施工机械使用时间（h）：用于能耗与排放量核算。</w:t>
      </w:r>
    </w:p>
    <w:p w14:paraId="4712214E">
      <w:pPr>
        <w:pStyle w:val="165"/>
        <w:spacing w:line="360" w:lineRule="auto"/>
        <w:rPr>
          <w:rFonts w:hint="eastAsia"/>
        </w:rPr>
      </w:pPr>
      <w:r>
        <w:rPr>
          <w:rFonts w:hint="eastAsia"/>
        </w:rPr>
        <w:t>维护与修复频率（次/年）：反映使用阶段的维护活动。</w:t>
      </w:r>
    </w:p>
    <w:p w14:paraId="63E4F41B">
      <w:pPr>
        <w:pStyle w:val="165"/>
        <w:spacing w:line="360" w:lineRule="auto"/>
        <w:rPr>
          <w:rFonts w:hint="eastAsia"/>
        </w:rPr>
      </w:pPr>
      <w:r>
        <w:rPr>
          <w:rFonts w:hint="eastAsia"/>
        </w:rPr>
        <w:t>拆除及回收量（t）：废弃材料的数量及回收利用比例。</w:t>
      </w:r>
    </w:p>
    <w:p w14:paraId="79F14024">
      <w:pPr>
        <w:pStyle w:val="105"/>
        <w:spacing w:before="120" w:after="120" w:line="360" w:lineRule="auto"/>
        <w:rPr>
          <w:rFonts w:hint="eastAsia"/>
        </w:rPr>
      </w:pPr>
      <w:r>
        <w:rPr>
          <w:rFonts w:hint="eastAsia"/>
        </w:rPr>
        <w:t>数据采集频次与记录</w:t>
      </w:r>
    </w:p>
    <w:p w14:paraId="433971E4">
      <w:pPr>
        <w:pStyle w:val="165"/>
        <w:spacing w:line="360" w:lineRule="auto"/>
        <w:rPr>
          <w:rFonts w:hint="eastAsia"/>
        </w:rPr>
      </w:pPr>
      <w:r>
        <w:rPr>
          <w:rFonts w:hint="eastAsia"/>
        </w:rPr>
        <w:t>施工阶段：应每日记录关键材料和能源消耗数据。</w:t>
      </w:r>
    </w:p>
    <w:p w14:paraId="74BB85E7">
      <w:pPr>
        <w:pStyle w:val="165"/>
        <w:spacing w:line="360" w:lineRule="auto"/>
        <w:rPr>
          <w:rFonts w:hint="eastAsia"/>
        </w:rPr>
      </w:pPr>
      <w:r>
        <w:rPr>
          <w:rFonts w:hint="eastAsia"/>
        </w:rPr>
        <w:t>运输环节：应按每批次运输记录运输量与距离。</w:t>
      </w:r>
    </w:p>
    <w:p w14:paraId="5FA5F0F0">
      <w:pPr>
        <w:pStyle w:val="165"/>
        <w:spacing w:line="360" w:lineRule="auto"/>
        <w:rPr>
          <w:rFonts w:hint="eastAsia"/>
        </w:rPr>
      </w:pPr>
      <w:r>
        <w:rPr>
          <w:rFonts w:hint="eastAsia"/>
        </w:rPr>
        <w:t>运营维护阶段：应按年度统计维护活动数据。</w:t>
      </w:r>
    </w:p>
    <w:p w14:paraId="668B583D">
      <w:pPr>
        <w:pStyle w:val="165"/>
        <w:spacing w:line="360" w:lineRule="auto"/>
        <w:rPr>
          <w:rFonts w:hint="eastAsia"/>
        </w:rPr>
      </w:pPr>
      <w:r>
        <w:rPr>
          <w:rFonts w:hint="eastAsia"/>
        </w:rPr>
        <w:t>拆除阶段：应在工程结束时一次性记录全部数据。</w:t>
      </w:r>
    </w:p>
    <w:p w14:paraId="441ACD45">
      <w:pPr>
        <w:pStyle w:val="105"/>
        <w:spacing w:before="120" w:after="120" w:line="360" w:lineRule="auto"/>
      </w:pPr>
      <w:r>
        <w:rPr>
          <w:rFonts w:hint="eastAsia"/>
        </w:rPr>
        <w:t>数据处理与校核</w:t>
      </w:r>
    </w:p>
    <w:p w14:paraId="5875B962">
      <w:pPr>
        <w:pStyle w:val="56"/>
        <w:spacing w:line="360" w:lineRule="auto"/>
        <w:ind w:firstLine="420"/>
        <w:rPr>
          <w:rFonts w:hint="eastAsia"/>
        </w:rPr>
      </w:pPr>
      <w:r>
        <w:rPr>
          <w:rFonts w:hint="eastAsia"/>
        </w:rPr>
        <w:t>数据处理与校核要求如下：</w:t>
      </w:r>
    </w:p>
    <w:p w14:paraId="5341B9CA">
      <w:pPr>
        <w:pStyle w:val="132"/>
        <w:spacing w:line="360" w:lineRule="auto"/>
        <w:rPr>
          <w:rFonts w:hint="eastAsia"/>
        </w:rPr>
      </w:pPr>
      <w:r>
        <w:rPr>
          <w:rFonts w:hint="eastAsia"/>
        </w:rPr>
        <w:t>对实测数据进行有效性校验，包括逻辑检查和数值合理性判断；</w:t>
      </w:r>
    </w:p>
    <w:p w14:paraId="1B815F8A">
      <w:pPr>
        <w:pStyle w:val="132"/>
        <w:spacing w:line="360" w:lineRule="auto"/>
        <w:rPr>
          <w:rFonts w:hint="eastAsia"/>
        </w:rPr>
      </w:pPr>
      <w:r>
        <w:rPr>
          <w:rFonts w:hint="eastAsia"/>
        </w:rPr>
        <w:t>对不同来源的数据进行统一单位换算和数据标准化处理；</w:t>
      </w:r>
    </w:p>
    <w:p w14:paraId="4D3AECDA">
      <w:pPr>
        <w:pStyle w:val="132"/>
        <w:spacing w:line="360" w:lineRule="auto"/>
        <w:rPr>
          <w:rFonts w:hint="eastAsia"/>
        </w:rPr>
      </w:pPr>
      <w:r>
        <w:rPr>
          <w:rFonts w:hint="eastAsia"/>
        </w:rPr>
        <w:t>对缺失数据应通过合理估算补充，并说明估算方法和依据；</w:t>
      </w:r>
    </w:p>
    <w:p w14:paraId="689D381E">
      <w:pPr>
        <w:pStyle w:val="132"/>
        <w:spacing w:line="360" w:lineRule="auto"/>
        <w:rPr>
          <w:rFonts w:hint="eastAsia"/>
        </w:rPr>
      </w:pPr>
      <w:r>
        <w:rPr>
          <w:rFonts w:hint="eastAsia"/>
        </w:rPr>
        <w:t>对数据异常值应进行分析，必要时剔除或修正，并保留修正记录。</w:t>
      </w:r>
    </w:p>
    <w:p w14:paraId="024C08F5">
      <w:pPr>
        <w:pStyle w:val="105"/>
        <w:spacing w:before="120" w:after="120" w:line="360" w:lineRule="auto"/>
        <w:rPr>
          <w:rFonts w:hint="eastAsia"/>
        </w:rPr>
      </w:pPr>
      <w:r>
        <w:rPr>
          <w:rFonts w:hint="eastAsia"/>
        </w:rPr>
        <w:t>数据存档</w:t>
      </w:r>
    </w:p>
    <w:p w14:paraId="4FF20C59">
      <w:pPr>
        <w:pStyle w:val="56"/>
        <w:spacing w:line="360" w:lineRule="auto"/>
        <w:ind w:firstLine="420"/>
      </w:pPr>
      <w:r>
        <w:rPr>
          <w:rFonts w:hint="eastAsia"/>
        </w:rPr>
        <w:t>所有原始数据、处理过程记录、计算表格及评估报告应至少保存5年，并在项目管理单位或第三方审核时可供查验。</w:t>
      </w:r>
    </w:p>
    <w:p w14:paraId="62E0E918">
      <w:pPr>
        <w:pStyle w:val="104"/>
        <w:spacing w:before="240" w:after="240" w:line="360" w:lineRule="auto"/>
        <w:rPr>
          <w:rFonts w:hint="eastAsia"/>
        </w:rPr>
      </w:pPr>
      <w:bookmarkStart w:id="55" w:name="_Toc205725653"/>
      <w:r>
        <w:rPr>
          <w:rFonts w:hint="eastAsia"/>
        </w:rPr>
        <w:t>评价指标体系与分级</w:t>
      </w:r>
      <w:bookmarkEnd w:id="55"/>
    </w:p>
    <w:p w14:paraId="6AAE6C10">
      <w:pPr>
        <w:pStyle w:val="105"/>
        <w:spacing w:before="120" w:after="120" w:line="360" w:lineRule="auto"/>
        <w:rPr>
          <w:rFonts w:hint="eastAsia"/>
        </w:rPr>
      </w:pPr>
      <w:r>
        <w:rPr>
          <w:rFonts w:hint="eastAsia"/>
        </w:rPr>
        <w:t>总则</w:t>
      </w:r>
    </w:p>
    <w:p w14:paraId="407487CA">
      <w:pPr>
        <w:pStyle w:val="56"/>
        <w:spacing w:line="360" w:lineRule="auto"/>
        <w:ind w:firstLine="420"/>
        <w:rPr>
          <w:rFonts w:hint="eastAsia"/>
        </w:rPr>
      </w:pPr>
      <w:r>
        <w:rPr>
          <w:rFonts w:hint="eastAsia"/>
        </w:rPr>
        <w:t>评价指标体系应涵盖绿色建材使用水平、碳减排效果及综合环境效益等方面，反映道路与桥梁工程在全生命周期内的绿色化与低碳化程度。指标体系应结构合理、数据可得、计算方法统一，便于横向比较与纵向改进。</w:t>
      </w:r>
    </w:p>
    <w:p w14:paraId="3DBBF048">
      <w:pPr>
        <w:pStyle w:val="105"/>
        <w:spacing w:before="120" w:after="120" w:line="360" w:lineRule="auto"/>
      </w:pPr>
      <w:r>
        <w:rPr>
          <w:rFonts w:hint="eastAsia"/>
        </w:rPr>
        <w:t>指标类别</w:t>
      </w:r>
    </w:p>
    <w:p w14:paraId="3911A49C">
      <w:pPr>
        <w:pStyle w:val="65"/>
        <w:spacing w:before="120" w:after="120" w:line="360" w:lineRule="auto"/>
        <w:rPr>
          <w:rFonts w:hint="eastAsia"/>
        </w:rPr>
      </w:pPr>
      <w:r>
        <w:rPr>
          <w:rFonts w:hint="eastAsia"/>
        </w:rPr>
        <w:t>绿色建材使用率</w:t>
      </w:r>
    </w:p>
    <w:p w14:paraId="35F6F38A">
      <w:pPr>
        <w:pStyle w:val="56"/>
        <w:spacing w:line="360" w:lineRule="auto"/>
        <w:ind w:firstLine="420"/>
      </w:pPr>
      <w:r>
        <w:rPr>
          <w:rFonts w:hint="eastAsia"/>
        </w:rPr>
        <w:t>绿色建材使用率计算见公式3：</w:t>
      </w:r>
    </w:p>
    <w:p w14:paraId="5B860BE7">
      <w:pPr>
        <w:pStyle w:val="113"/>
        <w:spacing w:line="360" w:lineRule="auto"/>
      </w:pPr>
      <w:r>
        <w:tab/>
      </w:r>
      <m:oMath>
        <m:r>
          <m:rPr/>
          <w:rPr>
            <w:rFonts w:ascii="Cambria Math" w:hAnsi="Cambria Math"/>
          </w:rPr>
          <m:t>GR=</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t>)</w:t>
      </w:r>
    </w:p>
    <w:p w14:paraId="72A27EDC">
      <w:pPr>
        <w:pStyle w:val="55"/>
        <w:spacing w:line="360" w:lineRule="auto"/>
        <w:ind w:firstLine="420"/>
      </w:pPr>
      <w:r>
        <w:rPr>
          <w:rFonts w:hint="eastAsia"/>
        </w:rPr>
        <w:t>式中：</w:t>
      </w:r>
    </w:p>
    <w:tbl>
      <w:tblPr>
        <w:tblStyle w:val="27"/>
        <w:tblW w:w="4775"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425"/>
        <w:gridCol w:w="7941"/>
      </w:tblGrid>
      <w:tr w14:paraId="4131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317" w:type="pct"/>
            <w:vAlign w:val="center"/>
          </w:tcPr>
          <w:p w14:paraId="4B95E982">
            <w:pPr>
              <w:pStyle w:val="56"/>
              <w:spacing w:line="360" w:lineRule="auto"/>
              <w:ind w:firstLine="0" w:firstLineChars="0"/>
              <w:rPr>
                <w:rFonts w:ascii="Calibri" w:hAnsi="Calibri"/>
              </w:rPr>
            </w:pPr>
            <m:oMathPara>
              <m:oMath>
                <m:r>
                  <m:rPr/>
                  <w:rPr>
                    <w:rFonts w:ascii="Cambria Math" w:hAnsi="Cambria Math"/>
                  </w:rPr>
                  <m:t>GR</m:t>
                </m:r>
              </m:oMath>
            </m:oMathPara>
          </w:p>
        </w:tc>
        <w:tc>
          <w:tcPr>
            <w:tcW w:w="238" w:type="pct"/>
            <w:vAlign w:val="center"/>
          </w:tcPr>
          <w:p w14:paraId="512C0262">
            <w:pPr>
              <w:pStyle w:val="56"/>
              <w:spacing w:line="360" w:lineRule="auto"/>
              <w:ind w:firstLine="0" w:firstLineChars="0"/>
              <w:jc w:val="center"/>
            </w:pPr>
            <w:r>
              <w:t>——</w:t>
            </w:r>
          </w:p>
        </w:tc>
        <w:tc>
          <w:tcPr>
            <w:tcW w:w="4445" w:type="pct"/>
          </w:tcPr>
          <w:p w14:paraId="2064417F">
            <w:pPr>
              <w:pStyle w:val="56"/>
              <w:spacing w:line="360" w:lineRule="auto"/>
              <w:ind w:firstLine="0" w:firstLineChars="0"/>
              <w:rPr>
                <w:rFonts w:hint="eastAsia"/>
              </w:rPr>
            </w:pPr>
            <w:r>
              <w:rPr>
                <w:rFonts w:hint="eastAsia"/>
              </w:rPr>
              <w:t>绿色建材使用率，单位为%；</w:t>
            </w:r>
          </w:p>
        </w:tc>
      </w:tr>
      <w:tr w14:paraId="69B2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317" w:type="pct"/>
            <w:vAlign w:val="center"/>
          </w:tcPr>
          <w:p w14:paraId="295D58F6">
            <w:pPr>
              <w:pStyle w:val="56"/>
              <w:spacing w:line="360" w:lineRule="auto"/>
              <w:ind w:firstLine="0" w:firstLineChars="0"/>
              <w:rPr>
                <w:rFonts w:hint="eastAsia"/>
              </w:rPr>
            </w:pPr>
            <m:oMathPara>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m:oMathPara>
          </w:p>
        </w:tc>
        <w:tc>
          <w:tcPr>
            <w:tcW w:w="238" w:type="pct"/>
            <w:vAlign w:val="center"/>
          </w:tcPr>
          <w:p w14:paraId="7D2A97E6">
            <w:pPr>
              <w:pStyle w:val="56"/>
              <w:spacing w:line="360" w:lineRule="auto"/>
              <w:ind w:firstLine="0" w:firstLineChars="0"/>
              <w:jc w:val="center"/>
              <w:rPr>
                <w:rFonts w:hint="eastAsia"/>
              </w:rPr>
            </w:pPr>
            <w:r>
              <w:t>——</w:t>
            </w:r>
          </w:p>
        </w:tc>
        <w:tc>
          <w:tcPr>
            <w:tcW w:w="4445" w:type="pct"/>
          </w:tcPr>
          <w:p w14:paraId="66125E25">
            <w:pPr>
              <w:pStyle w:val="56"/>
              <w:spacing w:line="360" w:lineRule="auto"/>
              <w:ind w:firstLine="0" w:firstLineChars="0"/>
              <w:rPr>
                <w:rFonts w:hint="eastAsia"/>
              </w:rPr>
            </w:pPr>
            <w:r>
              <w:t>工程中实际使用的绿色建材总量，单位为吨（t）</w:t>
            </w:r>
            <w:r>
              <w:rPr>
                <w:rFonts w:hint="eastAsia"/>
              </w:rPr>
              <w:t>；</w:t>
            </w:r>
          </w:p>
        </w:tc>
      </w:tr>
      <w:tr w14:paraId="564D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317" w:type="pct"/>
          </w:tcPr>
          <w:p w14:paraId="03E08073">
            <w:pPr>
              <w:pStyle w:val="56"/>
              <w:spacing w:line="360" w:lineRule="auto"/>
              <w:ind w:firstLine="0" w:firstLineChars="0"/>
              <w:jc w:val="center"/>
              <w:rPr>
                <w:rFonts w:hint="eastAsia"/>
              </w:rPr>
            </w:pPr>
            <m:oMathPara>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m:oMathPara>
          </w:p>
        </w:tc>
        <w:tc>
          <w:tcPr>
            <w:tcW w:w="238" w:type="pct"/>
          </w:tcPr>
          <w:p w14:paraId="56AC7219">
            <w:pPr>
              <w:pStyle w:val="56"/>
              <w:spacing w:line="360" w:lineRule="auto"/>
              <w:ind w:firstLine="0" w:firstLineChars="0"/>
              <w:jc w:val="center"/>
              <w:rPr>
                <w:rFonts w:hint="eastAsia"/>
              </w:rPr>
            </w:pPr>
            <w:r>
              <w:t>——</w:t>
            </w:r>
          </w:p>
        </w:tc>
        <w:tc>
          <w:tcPr>
            <w:tcW w:w="4445" w:type="pct"/>
            <w:vAlign w:val="center"/>
          </w:tcPr>
          <w:p w14:paraId="30A21D5F">
            <w:pPr>
              <w:pStyle w:val="56"/>
              <w:spacing w:line="360" w:lineRule="auto"/>
              <w:ind w:firstLine="0" w:firstLineChars="0"/>
              <w:rPr>
                <w:rFonts w:hint="eastAsia"/>
              </w:rPr>
            </w:pPr>
            <w:r>
              <w:t>工程中所有主要建材总量，单位为吨（t）。</w:t>
            </w:r>
          </w:p>
        </w:tc>
      </w:tr>
    </w:tbl>
    <w:p w14:paraId="666A8FF8">
      <w:pPr>
        <w:pStyle w:val="65"/>
        <w:spacing w:before="120" w:after="120" w:line="360" w:lineRule="auto"/>
      </w:pPr>
      <w:r>
        <w:t>碳减排率</w:t>
      </w:r>
    </w:p>
    <w:p w14:paraId="0776B07F">
      <w:pPr>
        <w:pStyle w:val="56"/>
        <w:spacing w:line="360" w:lineRule="auto"/>
        <w:ind w:firstLine="420"/>
      </w:pPr>
      <w:r>
        <w:t>碳减排率</w:t>
      </w:r>
      <w:r>
        <w:rPr>
          <w:rFonts w:hint="eastAsia"/>
        </w:rPr>
        <w:t>计算见公式4：</w:t>
      </w:r>
    </w:p>
    <w:p w14:paraId="53C94E06">
      <w:pPr>
        <w:pStyle w:val="113"/>
        <w:spacing w:line="360" w:lineRule="auto"/>
      </w:pPr>
      <w:r>
        <w:tab/>
      </w:r>
      <m:oMath>
        <m:r>
          <m:rPr/>
          <w:rPr>
            <w:rFonts w:ascii="Cambria Math" w:hAnsi="Cambria Math"/>
          </w:rPr>
          <m:t>CR=</m:t>
        </m:r>
        <m:f>
          <m:fPr>
            <m:ctrlPr>
              <w:rPr>
                <w:rFonts w:ascii="Cambria Math" w:hAnsi="Cambria Math"/>
                <w:i/>
              </w:rPr>
            </m:ctrlPr>
          </m:fPr>
          <m:num>
            <m:r>
              <m:rPr/>
              <w:rPr>
                <w:rFonts w:ascii="Cambria Math" w:hAnsi="Cambria Math"/>
              </w:rPr>
              <m:t>∆E</m:t>
            </m:r>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a</m:t>
                </m:r>
                <m:ctrlPr>
                  <w:rPr>
                    <w:rFonts w:ascii="Cambria Math" w:hAnsi="Cambria Math"/>
                    <w:i/>
                  </w:rPr>
                </m:ctrlPr>
              </m:sub>
            </m:sSub>
            <m:ctrlPr>
              <w:rPr>
                <w:rFonts w:ascii="Cambria Math" w:hAnsi="Cambria Math"/>
                <w:i/>
              </w:rPr>
            </m:ctrlPr>
          </m:den>
        </m:f>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t>)</w:t>
      </w:r>
    </w:p>
    <w:p w14:paraId="2679DBEC">
      <w:pPr>
        <w:pStyle w:val="55"/>
        <w:spacing w:line="360" w:lineRule="auto"/>
        <w:ind w:firstLine="420"/>
      </w:pPr>
      <w:r>
        <w:rPr>
          <w:rFonts w:hint="eastAsia"/>
        </w:rPr>
        <w:t>式中：</w:t>
      </w:r>
    </w:p>
    <w:tbl>
      <w:tblPr>
        <w:tblStyle w:val="27"/>
        <w:tblW w:w="4775"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425"/>
        <w:gridCol w:w="7941"/>
      </w:tblGrid>
      <w:tr w14:paraId="1C8F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317" w:type="pct"/>
            <w:vAlign w:val="center"/>
          </w:tcPr>
          <w:p w14:paraId="0B666276">
            <w:pPr>
              <w:pStyle w:val="56"/>
              <w:spacing w:line="360" w:lineRule="auto"/>
              <w:ind w:firstLine="0" w:firstLineChars="0"/>
              <w:rPr>
                <w:rFonts w:ascii="Calibri" w:hAnsi="Calibri"/>
              </w:rPr>
            </w:pPr>
            <m:oMathPara>
              <m:oMath>
                <m:r>
                  <m:rPr/>
                  <w:rPr>
                    <w:rFonts w:ascii="Cambria Math" w:hAnsi="Cambria Math"/>
                  </w:rPr>
                  <m:t>CR</m:t>
                </m:r>
              </m:oMath>
            </m:oMathPara>
          </w:p>
        </w:tc>
        <w:tc>
          <w:tcPr>
            <w:tcW w:w="238" w:type="pct"/>
            <w:vAlign w:val="center"/>
          </w:tcPr>
          <w:p w14:paraId="71DBFDFD">
            <w:pPr>
              <w:pStyle w:val="56"/>
              <w:spacing w:line="360" w:lineRule="auto"/>
              <w:ind w:firstLine="0" w:firstLineChars="0"/>
              <w:jc w:val="center"/>
            </w:pPr>
            <w:r>
              <w:t>——</w:t>
            </w:r>
          </w:p>
        </w:tc>
        <w:tc>
          <w:tcPr>
            <w:tcW w:w="4445" w:type="pct"/>
          </w:tcPr>
          <w:p w14:paraId="1FABCACC">
            <w:pPr>
              <w:pStyle w:val="56"/>
              <w:spacing w:line="360" w:lineRule="auto"/>
              <w:ind w:firstLine="0" w:firstLineChars="0"/>
              <w:rPr>
                <w:rFonts w:hint="eastAsia"/>
              </w:rPr>
            </w:pPr>
            <w:r>
              <w:t>碳减排率</w:t>
            </w:r>
            <w:r>
              <w:rPr>
                <w:rFonts w:hint="eastAsia"/>
              </w:rPr>
              <w:t>，单位为%；</w:t>
            </w:r>
          </w:p>
        </w:tc>
      </w:tr>
      <w:tr w14:paraId="54D6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317" w:type="pct"/>
            <w:vAlign w:val="center"/>
          </w:tcPr>
          <w:p w14:paraId="51B4CDC7">
            <w:pPr>
              <w:pStyle w:val="56"/>
              <w:spacing w:line="360" w:lineRule="auto"/>
              <w:ind w:firstLine="0" w:firstLineChars="0"/>
              <w:rPr>
                <w:rFonts w:hint="eastAsia"/>
              </w:rPr>
            </w:pPr>
            <m:oMathPara>
              <m:oMath>
                <m:r>
                  <m:rPr/>
                  <w:rPr>
                    <w:rFonts w:ascii="Cambria Math" w:hAnsi="Cambria Math"/>
                  </w:rPr>
                  <m:t>∆E</m:t>
                </m:r>
              </m:oMath>
            </m:oMathPara>
          </w:p>
        </w:tc>
        <w:tc>
          <w:tcPr>
            <w:tcW w:w="238" w:type="pct"/>
            <w:vAlign w:val="center"/>
          </w:tcPr>
          <w:p w14:paraId="20473CA9">
            <w:pPr>
              <w:pStyle w:val="56"/>
              <w:spacing w:line="360" w:lineRule="auto"/>
              <w:ind w:firstLine="0" w:firstLineChars="0"/>
              <w:jc w:val="center"/>
              <w:rPr>
                <w:rFonts w:hint="eastAsia"/>
              </w:rPr>
            </w:pPr>
            <w:r>
              <w:t>——</w:t>
            </w:r>
          </w:p>
        </w:tc>
        <w:tc>
          <w:tcPr>
            <w:tcW w:w="4445" w:type="pct"/>
          </w:tcPr>
          <w:p w14:paraId="67EEF26A">
            <w:pPr>
              <w:pStyle w:val="56"/>
              <w:spacing w:line="360" w:lineRule="auto"/>
              <w:ind w:firstLine="0" w:firstLineChars="0"/>
              <w:rPr>
                <w:rFonts w:hint="eastAsia"/>
              </w:rPr>
            </w:pPr>
            <w:r>
              <w:rPr>
                <w:rFonts w:hint="eastAsia"/>
              </w:rPr>
              <w:t>碳减排量，单位为吨二氧化碳当量（</w:t>
            </w:r>
            <w:r>
              <w:t>t CO₂e</w:t>
            </w:r>
            <w:r>
              <w:rPr>
                <w:rFonts w:hint="eastAsia"/>
              </w:rPr>
              <w:t>）；</w:t>
            </w:r>
          </w:p>
        </w:tc>
      </w:tr>
      <w:tr w14:paraId="7B0E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317" w:type="pct"/>
          </w:tcPr>
          <w:p w14:paraId="4B33E4EF">
            <w:pPr>
              <w:pStyle w:val="56"/>
              <w:spacing w:line="360" w:lineRule="auto"/>
              <w:ind w:firstLine="0" w:firstLineChars="0"/>
              <w:jc w:val="center"/>
              <w:rPr>
                <w:rFonts w:hint="eastAsia"/>
                <w:i/>
              </w:rPr>
            </w:pPr>
            <m:oMathPara>
              <m:oMath>
                <m:sSub>
                  <m:sSubPr>
                    <m:ctrlPr>
                      <w:rPr>
                        <w:rFonts w:ascii="Cambria Math" w:hAnsi="Cambria Math"/>
                        <w:i/>
                        <w:kern w:val="2"/>
                        <w:szCs w:val="21"/>
                      </w:rPr>
                    </m:ctrlPr>
                  </m:sSubPr>
                  <m:e>
                    <m:r>
                      <m:rPr/>
                      <w:rPr>
                        <w:rFonts w:ascii="Cambria Math" w:hAnsi="Cambria Math"/>
                        <w:kern w:val="2"/>
                        <w:szCs w:val="21"/>
                      </w:rPr>
                      <m:t>E</m:t>
                    </m:r>
                    <m:ctrlPr>
                      <w:rPr>
                        <w:rFonts w:ascii="Cambria Math" w:hAnsi="Cambria Math"/>
                        <w:i/>
                        <w:kern w:val="2"/>
                        <w:szCs w:val="21"/>
                      </w:rPr>
                    </m:ctrlPr>
                  </m:e>
                  <m:sub>
                    <m:r>
                      <m:rPr/>
                      <w:rPr>
                        <w:rFonts w:ascii="Cambria Math" w:hAnsi="Cambria Math"/>
                      </w:rPr>
                      <m:t>a</m:t>
                    </m:r>
                    <m:ctrlPr>
                      <w:rPr>
                        <w:rFonts w:ascii="Cambria Math" w:hAnsi="Cambria Math"/>
                        <w:i/>
                        <w:kern w:val="2"/>
                        <w:szCs w:val="21"/>
                      </w:rPr>
                    </m:ctrlPr>
                  </m:sub>
                </m:sSub>
              </m:oMath>
            </m:oMathPara>
          </w:p>
        </w:tc>
        <w:tc>
          <w:tcPr>
            <w:tcW w:w="238" w:type="pct"/>
          </w:tcPr>
          <w:p w14:paraId="20E27753">
            <w:pPr>
              <w:pStyle w:val="56"/>
              <w:spacing w:line="360" w:lineRule="auto"/>
              <w:ind w:firstLine="0" w:firstLineChars="0"/>
              <w:jc w:val="center"/>
              <w:rPr>
                <w:rFonts w:hint="eastAsia"/>
              </w:rPr>
            </w:pPr>
            <w:r>
              <w:t>——</w:t>
            </w:r>
          </w:p>
        </w:tc>
        <w:tc>
          <w:tcPr>
            <w:tcW w:w="4445" w:type="pct"/>
            <w:vAlign w:val="center"/>
          </w:tcPr>
          <w:p w14:paraId="2B085E1B">
            <w:pPr>
              <w:pStyle w:val="56"/>
              <w:spacing w:line="360" w:lineRule="auto"/>
              <w:ind w:firstLine="0" w:firstLineChars="0"/>
              <w:rPr>
                <w:rFonts w:hint="eastAsia"/>
              </w:rPr>
            </w:pPr>
            <w:r>
              <w:rPr>
                <w:rFonts w:hint="eastAsia"/>
              </w:rPr>
              <w:t>基准方案排放总量，单位为吨二氧化碳当量（</w:t>
            </w:r>
            <w:r>
              <w:t>t CO₂e</w:t>
            </w:r>
            <w:r>
              <w:rPr>
                <w:rFonts w:hint="eastAsia"/>
              </w:rPr>
              <w:t>）。</w:t>
            </w:r>
          </w:p>
        </w:tc>
      </w:tr>
    </w:tbl>
    <w:p w14:paraId="74C920E9">
      <w:pPr>
        <w:pStyle w:val="65"/>
        <w:spacing w:before="120" w:after="120" w:line="360" w:lineRule="auto"/>
      </w:pPr>
      <w:r>
        <w:rPr>
          <w:rFonts w:hint="eastAsia"/>
        </w:rPr>
        <w:t>生命周期总排放量</w:t>
      </w:r>
    </w:p>
    <w:p w14:paraId="7DDC70E9">
      <w:pPr>
        <w:pStyle w:val="56"/>
        <w:spacing w:line="360" w:lineRule="auto"/>
        <w:ind w:firstLine="420"/>
      </w:pPr>
      <w:r>
        <w:rPr>
          <w:rFonts w:hint="eastAsia"/>
        </w:rPr>
        <w:t>工程在全生命周期内的温室气体排放总量，单位为吨二氧化碳当量（</w:t>
      </w:r>
      <w:r>
        <w:t>t CO₂e</w:t>
      </w:r>
      <w:r>
        <w:rPr>
          <w:rFonts w:hint="eastAsia"/>
        </w:rPr>
        <w:t>）。</w:t>
      </w:r>
    </w:p>
    <w:p w14:paraId="1434DA52">
      <w:pPr>
        <w:pStyle w:val="65"/>
        <w:spacing w:before="120" w:after="120" w:line="360" w:lineRule="auto"/>
      </w:pPr>
      <w:r>
        <w:rPr>
          <w:rFonts w:hint="eastAsia"/>
        </w:rPr>
        <w:t>可再生材料利用率</w:t>
      </w:r>
    </w:p>
    <w:p w14:paraId="2210782C">
      <w:pPr>
        <w:pStyle w:val="56"/>
        <w:spacing w:line="360" w:lineRule="auto"/>
        <w:ind w:firstLine="420"/>
        <w:rPr>
          <w:rFonts w:hint="eastAsia"/>
        </w:rPr>
      </w:pPr>
      <w:r>
        <w:rPr>
          <w:rFonts w:hint="eastAsia"/>
        </w:rPr>
        <w:t>工程中可再生原料占主要材料的比例，单位为百分比（%）。</w:t>
      </w:r>
    </w:p>
    <w:p w14:paraId="2D1CA7DB">
      <w:pPr>
        <w:pStyle w:val="105"/>
        <w:spacing w:before="120" w:after="120" w:line="360" w:lineRule="auto"/>
        <w:rPr>
          <w:rFonts w:hint="eastAsia"/>
        </w:rPr>
      </w:pPr>
      <w:r>
        <w:rPr>
          <w:rFonts w:hint="eastAsia"/>
        </w:rPr>
        <w:t>评价分级</w:t>
      </w:r>
    </w:p>
    <w:p w14:paraId="1771CA24">
      <w:pPr>
        <w:pStyle w:val="56"/>
        <w:spacing w:line="360" w:lineRule="auto"/>
        <w:ind w:firstLine="420"/>
      </w:pPr>
      <w:r>
        <w:rPr>
          <w:rFonts w:hint="eastAsia"/>
        </w:rPr>
        <w:t>综合评价分为三级，具体要求见表1。</w:t>
      </w:r>
    </w:p>
    <w:p w14:paraId="0D0FE28C">
      <w:pPr>
        <w:pStyle w:val="112"/>
        <w:spacing w:before="120" w:after="120" w:line="360" w:lineRule="auto"/>
        <w:rPr>
          <w:rFonts w:hint="eastAsia"/>
        </w:rPr>
      </w:pPr>
      <w:r>
        <w:rPr>
          <w:rFonts w:hint="eastAsia"/>
        </w:rPr>
        <w:t>综合评价分级</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66CED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tcPr>
          <w:p w14:paraId="39238B16">
            <w:pPr>
              <w:pStyle w:val="178"/>
              <w:rPr>
                <w:rFonts w:hint="eastAsia"/>
              </w:rPr>
            </w:pPr>
            <w:r>
              <w:rPr>
                <w:rFonts w:hint="eastAsia"/>
              </w:rPr>
              <w:t>等级</w:t>
            </w:r>
          </w:p>
        </w:tc>
        <w:tc>
          <w:tcPr>
            <w:tcW w:w="2333" w:type="dxa"/>
            <w:tcBorders>
              <w:top w:val="single" w:color="auto" w:sz="8" w:space="0"/>
              <w:bottom w:val="single" w:color="auto" w:sz="8" w:space="0"/>
            </w:tcBorders>
            <w:shd w:val="clear" w:color="auto" w:fill="auto"/>
          </w:tcPr>
          <w:p w14:paraId="239B9E9D">
            <w:pPr>
              <w:pStyle w:val="178"/>
              <w:rPr>
                <w:rFonts w:hint="eastAsia"/>
              </w:rPr>
            </w:pPr>
            <w:r>
              <w:rPr>
                <w:rFonts w:hint="eastAsia"/>
              </w:rPr>
              <w:t>绿色建材使用率 GR</w:t>
            </w:r>
          </w:p>
        </w:tc>
        <w:tc>
          <w:tcPr>
            <w:tcW w:w="2333" w:type="dxa"/>
            <w:tcBorders>
              <w:top w:val="single" w:color="auto" w:sz="8" w:space="0"/>
              <w:bottom w:val="single" w:color="auto" w:sz="8" w:space="0"/>
            </w:tcBorders>
            <w:shd w:val="clear" w:color="auto" w:fill="auto"/>
          </w:tcPr>
          <w:p w14:paraId="2420BBC9">
            <w:pPr>
              <w:pStyle w:val="178"/>
              <w:rPr>
                <w:rFonts w:hint="eastAsia"/>
              </w:rPr>
            </w:pPr>
            <w:r>
              <w:rPr>
                <w:rFonts w:hint="eastAsia"/>
              </w:rPr>
              <w:t>碳减排率 CR</w:t>
            </w:r>
          </w:p>
        </w:tc>
        <w:tc>
          <w:tcPr>
            <w:tcW w:w="2334" w:type="dxa"/>
            <w:tcBorders>
              <w:top w:val="single" w:color="auto" w:sz="8" w:space="0"/>
              <w:bottom w:val="single" w:color="auto" w:sz="8" w:space="0"/>
            </w:tcBorders>
            <w:shd w:val="clear" w:color="auto" w:fill="auto"/>
          </w:tcPr>
          <w:p w14:paraId="16D0E431">
            <w:pPr>
              <w:pStyle w:val="178"/>
              <w:rPr>
                <w:rFonts w:hint="eastAsia"/>
              </w:rPr>
            </w:pPr>
            <w:r>
              <w:rPr>
                <w:rFonts w:hint="eastAsia"/>
              </w:rPr>
              <w:t>生命周期总排放量 LCE</w:t>
            </w:r>
          </w:p>
        </w:tc>
      </w:tr>
      <w:tr w14:paraId="58EFA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tcPr>
          <w:p w14:paraId="28B1BFF8">
            <w:pPr>
              <w:pStyle w:val="178"/>
              <w:rPr>
                <w:rFonts w:hint="eastAsia"/>
              </w:rPr>
            </w:pPr>
            <w:r>
              <w:rPr>
                <w:rFonts w:hint="eastAsia"/>
              </w:rPr>
              <w:t>一级</w:t>
            </w:r>
          </w:p>
        </w:tc>
        <w:tc>
          <w:tcPr>
            <w:tcW w:w="2333" w:type="dxa"/>
            <w:tcBorders>
              <w:top w:val="single" w:color="auto" w:sz="8" w:space="0"/>
            </w:tcBorders>
            <w:shd w:val="clear" w:color="auto" w:fill="auto"/>
          </w:tcPr>
          <w:p w14:paraId="461E48F6">
            <w:pPr>
              <w:pStyle w:val="178"/>
              <w:rPr>
                <w:rFonts w:hint="eastAsia"/>
              </w:rPr>
            </w:pPr>
            <w:r>
              <w:rPr>
                <w:rFonts w:hint="eastAsia"/>
              </w:rPr>
              <w:t>≥60%</w:t>
            </w:r>
          </w:p>
        </w:tc>
        <w:tc>
          <w:tcPr>
            <w:tcW w:w="2333" w:type="dxa"/>
            <w:tcBorders>
              <w:top w:val="single" w:color="auto" w:sz="8" w:space="0"/>
            </w:tcBorders>
            <w:shd w:val="clear" w:color="auto" w:fill="auto"/>
          </w:tcPr>
          <w:p w14:paraId="12E1E43B">
            <w:pPr>
              <w:pStyle w:val="178"/>
              <w:rPr>
                <w:rFonts w:hint="eastAsia"/>
              </w:rPr>
            </w:pPr>
            <w:r>
              <w:rPr>
                <w:rFonts w:hint="eastAsia"/>
              </w:rPr>
              <w:t>≥30%</w:t>
            </w:r>
          </w:p>
        </w:tc>
        <w:tc>
          <w:tcPr>
            <w:tcW w:w="2334" w:type="dxa"/>
            <w:tcBorders>
              <w:top w:val="single" w:color="auto" w:sz="8" w:space="0"/>
            </w:tcBorders>
            <w:shd w:val="clear" w:color="auto" w:fill="auto"/>
          </w:tcPr>
          <w:p w14:paraId="7EFD5D42">
            <w:pPr>
              <w:pStyle w:val="178"/>
              <w:rPr>
                <w:rFonts w:hint="eastAsia"/>
              </w:rPr>
            </w:pPr>
            <w:r>
              <w:rPr>
                <w:rFonts w:hint="eastAsia"/>
              </w:rPr>
              <w:t>≤70% 基准方案水平</w:t>
            </w:r>
          </w:p>
        </w:tc>
      </w:tr>
      <w:tr w14:paraId="337FE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7C9FFD38">
            <w:pPr>
              <w:pStyle w:val="178"/>
              <w:rPr>
                <w:rFonts w:hint="eastAsia"/>
              </w:rPr>
            </w:pPr>
            <w:r>
              <w:rPr>
                <w:rFonts w:hint="eastAsia"/>
              </w:rPr>
              <w:t>二级</w:t>
            </w:r>
          </w:p>
        </w:tc>
        <w:tc>
          <w:tcPr>
            <w:tcW w:w="2333" w:type="dxa"/>
            <w:shd w:val="clear" w:color="auto" w:fill="auto"/>
          </w:tcPr>
          <w:p w14:paraId="20C239B1">
            <w:pPr>
              <w:pStyle w:val="178"/>
              <w:rPr>
                <w:rFonts w:hint="eastAsia"/>
              </w:rPr>
            </w:pPr>
            <w:r>
              <w:rPr>
                <w:rFonts w:hint="eastAsia"/>
              </w:rPr>
              <w:t>40%～59%</w:t>
            </w:r>
          </w:p>
        </w:tc>
        <w:tc>
          <w:tcPr>
            <w:tcW w:w="2333" w:type="dxa"/>
            <w:shd w:val="clear" w:color="auto" w:fill="auto"/>
          </w:tcPr>
          <w:p w14:paraId="562C07F4">
            <w:pPr>
              <w:pStyle w:val="178"/>
              <w:rPr>
                <w:rFonts w:hint="eastAsia"/>
              </w:rPr>
            </w:pPr>
            <w:r>
              <w:rPr>
                <w:rFonts w:hint="eastAsia"/>
              </w:rPr>
              <w:t>15%～29%</w:t>
            </w:r>
          </w:p>
        </w:tc>
        <w:tc>
          <w:tcPr>
            <w:tcW w:w="2334" w:type="dxa"/>
            <w:shd w:val="clear" w:color="auto" w:fill="auto"/>
          </w:tcPr>
          <w:p w14:paraId="7239EE82">
            <w:pPr>
              <w:pStyle w:val="178"/>
              <w:rPr>
                <w:rFonts w:hint="eastAsia"/>
              </w:rPr>
            </w:pPr>
            <w:r>
              <w:rPr>
                <w:rFonts w:hint="eastAsia"/>
              </w:rPr>
              <w:t>71%～85% 基准方案水平</w:t>
            </w:r>
          </w:p>
        </w:tc>
      </w:tr>
      <w:tr w14:paraId="47EDF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bottom w:val="single" w:color="auto" w:sz="8" w:space="0"/>
            </w:tcBorders>
            <w:shd w:val="clear" w:color="auto" w:fill="auto"/>
          </w:tcPr>
          <w:p w14:paraId="4DC2A1B1">
            <w:pPr>
              <w:pStyle w:val="178"/>
              <w:rPr>
                <w:rFonts w:hint="eastAsia"/>
              </w:rPr>
            </w:pPr>
            <w:r>
              <w:rPr>
                <w:rFonts w:hint="eastAsia"/>
              </w:rPr>
              <w:t>三级</w:t>
            </w:r>
          </w:p>
        </w:tc>
        <w:tc>
          <w:tcPr>
            <w:tcW w:w="2333" w:type="dxa"/>
            <w:tcBorders>
              <w:bottom w:val="single" w:color="auto" w:sz="8" w:space="0"/>
            </w:tcBorders>
            <w:shd w:val="clear" w:color="auto" w:fill="auto"/>
          </w:tcPr>
          <w:p w14:paraId="3EC1DC04">
            <w:pPr>
              <w:pStyle w:val="178"/>
              <w:rPr>
                <w:rFonts w:hint="eastAsia"/>
              </w:rPr>
            </w:pPr>
            <w:r>
              <w:rPr>
                <w:rFonts w:hint="eastAsia"/>
              </w:rPr>
              <w:t>20%～39%</w:t>
            </w:r>
          </w:p>
        </w:tc>
        <w:tc>
          <w:tcPr>
            <w:tcW w:w="2333" w:type="dxa"/>
            <w:tcBorders>
              <w:bottom w:val="single" w:color="auto" w:sz="8" w:space="0"/>
            </w:tcBorders>
            <w:shd w:val="clear" w:color="auto" w:fill="auto"/>
          </w:tcPr>
          <w:p w14:paraId="2E2261B1">
            <w:pPr>
              <w:pStyle w:val="178"/>
              <w:rPr>
                <w:rFonts w:hint="eastAsia"/>
              </w:rPr>
            </w:pPr>
            <w:r>
              <w:rPr>
                <w:rFonts w:hint="eastAsia"/>
              </w:rPr>
              <w:t>5%～14%</w:t>
            </w:r>
          </w:p>
        </w:tc>
        <w:tc>
          <w:tcPr>
            <w:tcW w:w="2334" w:type="dxa"/>
            <w:tcBorders>
              <w:bottom w:val="single" w:color="auto" w:sz="8" w:space="0"/>
            </w:tcBorders>
            <w:shd w:val="clear" w:color="auto" w:fill="auto"/>
          </w:tcPr>
          <w:p w14:paraId="780A8DC7">
            <w:pPr>
              <w:pStyle w:val="178"/>
              <w:rPr>
                <w:rFonts w:hint="eastAsia"/>
              </w:rPr>
            </w:pPr>
            <w:r>
              <w:rPr>
                <w:rFonts w:hint="eastAsia"/>
              </w:rPr>
              <w:t>86%～95% 基准方案水平</w:t>
            </w:r>
          </w:p>
        </w:tc>
      </w:tr>
      <w:tr w14:paraId="4F409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14:paraId="46769BB7">
            <w:pPr>
              <w:pStyle w:val="179"/>
              <w:rPr>
                <w:rFonts w:hint="eastAsia"/>
              </w:rPr>
            </w:pPr>
            <w:r>
              <w:rPr>
                <w:rFonts w:hint="eastAsia"/>
              </w:rPr>
              <w:t>当某一等级的三个指标不完全一致时，应以最低等级确定综合评价等级。</w:t>
            </w:r>
          </w:p>
        </w:tc>
      </w:tr>
    </w:tbl>
    <w:p w14:paraId="35357620">
      <w:pPr>
        <w:pStyle w:val="105"/>
        <w:spacing w:before="120" w:after="120" w:line="360" w:lineRule="auto"/>
        <w:rPr>
          <w:rFonts w:hint="eastAsia"/>
        </w:rPr>
      </w:pPr>
      <w:r>
        <w:rPr>
          <w:rFonts w:hint="eastAsia"/>
        </w:rPr>
        <w:t>结果应用</w:t>
      </w:r>
    </w:p>
    <w:p w14:paraId="43403E2E">
      <w:pPr>
        <w:pStyle w:val="56"/>
        <w:spacing w:line="360" w:lineRule="auto"/>
        <w:ind w:firstLine="420"/>
        <w:rPr>
          <w:rFonts w:hint="eastAsia"/>
        </w:rPr>
      </w:pPr>
      <w:r>
        <w:rPr>
          <w:rFonts w:hint="eastAsia"/>
        </w:rPr>
        <w:t>评价结果可作为工程设计优化、施工方案调整、竣工验收、绿色建造评价及碳交易核算的重要依据，也可用于行业统计与政策制定。</w:t>
      </w:r>
    </w:p>
    <w:p w14:paraId="183F43FD">
      <w:pPr>
        <w:pStyle w:val="104"/>
        <w:spacing w:before="240" w:after="240" w:line="360" w:lineRule="auto"/>
        <w:rPr>
          <w:rFonts w:hint="eastAsia"/>
        </w:rPr>
      </w:pPr>
      <w:bookmarkStart w:id="56" w:name="_Toc205725654"/>
      <w:r>
        <w:rPr>
          <w:rFonts w:hint="eastAsia"/>
        </w:rPr>
        <w:t>结果报告与信息披露</w:t>
      </w:r>
      <w:bookmarkEnd w:id="56"/>
    </w:p>
    <w:p w14:paraId="3B4587C2">
      <w:pPr>
        <w:pStyle w:val="105"/>
        <w:spacing w:before="120" w:after="120" w:line="360" w:lineRule="auto"/>
        <w:rPr>
          <w:rFonts w:hint="eastAsia"/>
        </w:rPr>
      </w:pPr>
      <w:r>
        <w:rPr>
          <w:rFonts w:hint="eastAsia"/>
        </w:rPr>
        <w:t>总则</w:t>
      </w:r>
    </w:p>
    <w:p w14:paraId="7575EE52">
      <w:pPr>
        <w:pStyle w:val="56"/>
        <w:spacing w:line="360" w:lineRule="auto"/>
        <w:ind w:firstLine="420"/>
        <w:rPr>
          <w:rFonts w:hint="eastAsia"/>
        </w:rPr>
      </w:pPr>
      <w:r>
        <w:rPr>
          <w:rFonts w:hint="eastAsia"/>
        </w:rPr>
        <w:t>碳减排评估结果应形成完整的书面报告，并根据项目性质、管理要求及相关法规进行信息披露。报告内容应真实、完整、可核查，不得隐瞒、伪造或夸大减排效果。</w:t>
      </w:r>
    </w:p>
    <w:p w14:paraId="1077E5BF">
      <w:pPr>
        <w:pStyle w:val="105"/>
        <w:spacing w:before="120" w:after="120" w:line="360" w:lineRule="auto"/>
        <w:rPr>
          <w:rFonts w:hint="eastAsia"/>
        </w:rPr>
      </w:pPr>
      <w:r>
        <w:rPr>
          <w:rFonts w:hint="eastAsia"/>
        </w:rPr>
        <w:t>报告内容</w:t>
      </w:r>
    </w:p>
    <w:p w14:paraId="62B57F97">
      <w:pPr>
        <w:pStyle w:val="56"/>
        <w:spacing w:line="360" w:lineRule="auto"/>
        <w:ind w:firstLine="420"/>
        <w:rPr>
          <w:rFonts w:hint="eastAsia"/>
        </w:rPr>
      </w:pPr>
      <w:r>
        <w:rPr>
          <w:rFonts w:hint="eastAsia"/>
        </w:rPr>
        <w:t>碳减排评估报告应至少包含以下内容：</w:t>
      </w:r>
    </w:p>
    <w:p w14:paraId="67ECAE54">
      <w:pPr>
        <w:pStyle w:val="174"/>
        <w:numPr>
          <w:ilvl w:val="0"/>
          <w:numId w:val="33"/>
        </w:numPr>
        <w:spacing w:line="360" w:lineRule="auto"/>
        <w:rPr>
          <w:rFonts w:hint="eastAsia"/>
        </w:rPr>
      </w:pPr>
      <w:r>
        <w:rPr>
          <w:rFonts w:hint="eastAsia"/>
        </w:rPr>
        <w:t>项目基本信息：项目名称、建设单位、设计单位、施工单位、监理单位、工程地点及建设规模；</w:t>
      </w:r>
    </w:p>
    <w:p w14:paraId="7DE8AA9F">
      <w:pPr>
        <w:pStyle w:val="174"/>
        <w:spacing w:line="360" w:lineRule="auto"/>
        <w:rPr>
          <w:rFonts w:hint="eastAsia"/>
        </w:rPr>
      </w:pPr>
      <w:r>
        <w:rPr>
          <w:rFonts w:hint="eastAsia"/>
        </w:rPr>
        <w:t>评估目标与范围：包括评估阶段、核算边界、功能单元等；</w:t>
      </w:r>
    </w:p>
    <w:p w14:paraId="61E69B5B">
      <w:pPr>
        <w:pStyle w:val="174"/>
        <w:spacing w:line="360" w:lineRule="auto"/>
        <w:rPr>
          <w:rFonts w:hint="eastAsia"/>
        </w:rPr>
      </w:pPr>
      <w:r>
        <w:rPr>
          <w:rFonts w:hint="eastAsia"/>
        </w:rPr>
        <w:t>数据来源与说明：包括实测数据、统计数据、数据库数据等，并注明数据的时间范围、获取方式及适用条件；</w:t>
      </w:r>
    </w:p>
    <w:p w14:paraId="66E2ED2A">
      <w:pPr>
        <w:pStyle w:val="174"/>
        <w:spacing w:line="360" w:lineRule="auto"/>
        <w:rPr>
          <w:rFonts w:hint="eastAsia"/>
        </w:rPr>
      </w:pPr>
      <w:r>
        <w:rPr>
          <w:rFonts w:hint="eastAsia"/>
        </w:rPr>
        <w:t>绿色建材使用情况：材料种类、用量、来源及相关认证信息；</w:t>
      </w:r>
    </w:p>
    <w:p w14:paraId="2AB14ECF">
      <w:pPr>
        <w:pStyle w:val="174"/>
        <w:spacing w:line="360" w:lineRule="auto"/>
        <w:rPr>
          <w:rFonts w:hint="eastAsia"/>
        </w:rPr>
      </w:pPr>
      <w:r>
        <w:rPr>
          <w:rFonts w:hint="eastAsia"/>
        </w:rPr>
        <w:t>碳排放计算过程：包括公式、参数、排放因子及单位的详细说明；</w:t>
      </w:r>
    </w:p>
    <w:p w14:paraId="6F2919E9">
      <w:pPr>
        <w:pStyle w:val="174"/>
        <w:spacing w:line="360" w:lineRule="auto"/>
        <w:rPr>
          <w:rFonts w:hint="eastAsia"/>
        </w:rPr>
      </w:pPr>
      <w:r>
        <w:rPr>
          <w:rFonts w:hint="eastAsia"/>
        </w:rPr>
        <w:t>碳减排效果分析：减排量、减排率、生命周期总排放量及与基准方案的对比分析；</w:t>
      </w:r>
    </w:p>
    <w:p w14:paraId="16D40120">
      <w:pPr>
        <w:pStyle w:val="174"/>
        <w:spacing w:line="360" w:lineRule="auto"/>
        <w:rPr>
          <w:rFonts w:hint="eastAsia"/>
        </w:rPr>
      </w:pPr>
      <w:r>
        <w:rPr>
          <w:rFonts w:hint="eastAsia"/>
        </w:rPr>
        <w:t>评价等级：按照本规程第8章指标体系计算得出的综合评价等级；</w:t>
      </w:r>
    </w:p>
    <w:p w14:paraId="5E3BD74E">
      <w:pPr>
        <w:pStyle w:val="174"/>
        <w:spacing w:line="360" w:lineRule="auto"/>
        <w:rPr>
          <w:rFonts w:hint="eastAsia"/>
        </w:rPr>
      </w:pPr>
      <w:r>
        <w:rPr>
          <w:rFonts w:hint="eastAsia"/>
        </w:rPr>
        <w:t>结论与建议：包括工程在绿色建材应用与碳减排方面的优点、存在问题及改进建议。</w:t>
      </w:r>
    </w:p>
    <w:p w14:paraId="2C1F1649">
      <w:pPr>
        <w:pStyle w:val="105"/>
        <w:spacing w:before="120" w:after="120" w:line="360" w:lineRule="auto"/>
        <w:rPr>
          <w:rFonts w:hint="eastAsia"/>
        </w:rPr>
      </w:pPr>
      <w:r>
        <w:rPr>
          <w:rFonts w:hint="eastAsia"/>
        </w:rPr>
        <w:t>信息披露方式</w:t>
      </w:r>
    </w:p>
    <w:p w14:paraId="3FA6CB22">
      <w:pPr>
        <w:pStyle w:val="56"/>
        <w:spacing w:line="360" w:lineRule="auto"/>
        <w:ind w:firstLine="420"/>
        <w:rPr>
          <w:rFonts w:hint="eastAsia"/>
        </w:rPr>
      </w:pPr>
      <w:r>
        <w:rPr>
          <w:rFonts w:hint="eastAsia"/>
        </w:rPr>
        <w:t>评估结果的信息披露可采用以下方式：</w:t>
      </w:r>
    </w:p>
    <w:p w14:paraId="7CCB9E4E">
      <w:pPr>
        <w:pStyle w:val="174"/>
        <w:numPr>
          <w:ilvl w:val="0"/>
          <w:numId w:val="34"/>
        </w:numPr>
        <w:spacing w:line="360" w:lineRule="auto"/>
        <w:rPr>
          <w:rFonts w:hint="eastAsia"/>
        </w:rPr>
      </w:pPr>
      <w:r>
        <w:rPr>
          <w:rFonts w:hint="eastAsia"/>
        </w:rPr>
        <w:t>向主管部门提交备案；</w:t>
      </w:r>
    </w:p>
    <w:p w14:paraId="2A851710">
      <w:pPr>
        <w:pStyle w:val="174"/>
        <w:spacing w:line="360" w:lineRule="auto"/>
        <w:rPr>
          <w:rFonts w:hint="eastAsia"/>
        </w:rPr>
      </w:pPr>
      <w:r>
        <w:rPr>
          <w:rFonts w:hint="eastAsia"/>
        </w:rPr>
        <w:t>在项目竣工验收文件中附加评估报告摘要；</w:t>
      </w:r>
    </w:p>
    <w:p w14:paraId="4ED29D0C">
      <w:pPr>
        <w:pStyle w:val="174"/>
        <w:spacing w:line="360" w:lineRule="auto"/>
        <w:rPr>
          <w:rFonts w:hint="eastAsia"/>
        </w:rPr>
      </w:pPr>
      <w:r>
        <w:rPr>
          <w:rFonts w:hint="eastAsia"/>
        </w:rPr>
        <w:t>在企业或项目官方网站发布经审定的评估摘要；</w:t>
      </w:r>
    </w:p>
    <w:p w14:paraId="00DFC635">
      <w:pPr>
        <w:pStyle w:val="174"/>
        <w:spacing w:line="360" w:lineRule="auto"/>
        <w:rPr>
          <w:rFonts w:hint="eastAsia"/>
        </w:rPr>
      </w:pPr>
      <w:r>
        <w:rPr>
          <w:rFonts w:hint="eastAsia"/>
        </w:rPr>
        <w:t>在行业会议或技术交流活动中进行公开发布。</w:t>
      </w:r>
    </w:p>
    <w:p w14:paraId="1E4BBF5B">
      <w:pPr>
        <w:pStyle w:val="105"/>
        <w:spacing w:before="120" w:after="120" w:line="360" w:lineRule="auto"/>
        <w:rPr>
          <w:rFonts w:hint="eastAsia"/>
        </w:rPr>
      </w:pPr>
      <w:r>
        <w:rPr>
          <w:rFonts w:hint="eastAsia"/>
        </w:rPr>
        <w:t>数据透明度</w:t>
      </w:r>
    </w:p>
    <w:p w14:paraId="5AF8B958">
      <w:pPr>
        <w:pStyle w:val="56"/>
        <w:spacing w:line="360" w:lineRule="auto"/>
        <w:ind w:firstLine="420"/>
        <w:rPr>
          <w:rFonts w:hint="eastAsia"/>
        </w:rPr>
      </w:pPr>
      <w:r>
        <w:rPr>
          <w:rFonts w:hint="eastAsia"/>
        </w:rPr>
        <w:t>信息披露应确保数据的透明性，披露内容应包括主要计算方法、关键数据和评价结果，敏感商业信息可作适当脱敏处理，但不得影响对评估结论的独立验证。</w:t>
      </w:r>
    </w:p>
    <w:p w14:paraId="6A9F55AD">
      <w:pPr>
        <w:pStyle w:val="105"/>
        <w:spacing w:before="120" w:after="120" w:line="360" w:lineRule="auto"/>
        <w:rPr>
          <w:rFonts w:hint="eastAsia"/>
        </w:rPr>
      </w:pPr>
      <w:r>
        <w:rPr>
          <w:rFonts w:hint="eastAsia"/>
        </w:rPr>
        <w:t>审查与更新</w:t>
      </w:r>
    </w:p>
    <w:p w14:paraId="67C5D72A">
      <w:pPr>
        <w:pStyle w:val="56"/>
        <w:spacing w:line="360" w:lineRule="auto"/>
        <w:ind w:firstLine="420"/>
        <w:rPr>
          <w:rFonts w:hint="eastAsia"/>
        </w:rPr>
      </w:pPr>
      <w:r>
        <w:rPr>
          <w:rFonts w:hint="eastAsia"/>
        </w:rPr>
        <w:t>对于运营期较长的项目，应在运行5年、10年等关键节点进行碳减排效果复评，并将更新结果纳入信息披露内容。</w:t>
      </w:r>
    </w:p>
    <w:bookmarkEnd w:id="26"/>
    <w:p w14:paraId="7D6E42E0">
      <w:pPr>
        <w:pStyle w:val="56"/>
        <w:ind w:firstLine="0" w:firstLineChars="0"/>
        <w:jc w:val="center"/>
        <w:rPr>
          <w:rFonts w:hint="eastAsia"/>
        </w:rPr>
      </w:pPr>
      <w:bookmarkStart w:id="57" w:name="BookMark8"/>
      <w:r>
        <w:rPr>
          <w:rFonts w:hint="eastAsia"/>
        </w:rPr>
        <w:drawing>
          <wp:inline distT="0" distB="0" distL="0" distR="0">
            <wp:extent cx="1485900" cy="317500"/>
            <wp:effectExtent l="0" t="0" r="0" b="6350"/>
            <wp:docPr id="1381297748" name="图片 1"/>
            <wp:cNvGraphicFramePr/>
            <a:graphic xmlns:a="http://schemas.openxmlformats.org/drawingml/2006/main">
              <a:graphicData uri="http://schemas.openxmlformats.org/drawingml/2006/picture">
                <pic:pic xmlns:pic="http://schemas.openxmlformats.org/drawingml/2006/picture">
                  <pic:nvPicPr>
                    <pic:cNvPr id="1381297748"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DE03C">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4F686">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36528">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D8A27">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8A928">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9074">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9E04">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E07D0">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46B54">
    <w:pPr>
      <w:pStyle w:val="61"/>
    </w:pPr>
    <w:r>
      <w:fldChar w:fldCharType="begin"/>
    </w:r>
    <w:r>
      <w:instrText xml:space="preserve"> STYLEREF  标准文件_文件编号  \* MERGEFORMAT </w:instrText>
    </w:r>
    <w:r>
      <w:fldChar w:fldCharType="separate"/>
    </w:r>
    <w:r>
      <w:t>T/XJBX 0063—2025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629D2">
    <w:pPr>
      <w:pStyle w:val="62"/>
    </w:pPr>
    <w:r>
      <w:fldChar w:fldCharType="begin"/>
    </w:r>
    <w:r>
      <w:instrText xml:space="preserve"> STYLEREF  标准文件_文件编号 \* MERGEFORMAT </w:instrText>
    </w:r>
    <w:r>
      <w:fldChar w:fldCharType="separate"/>
    </w:r>
    <w:r>
      <w:t>T/XJBX 0063—2025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003D8">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0063—2025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0063—2025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F579">
    <w:pPr>
      <w:pStyle w:val="61"/>
    </w:pPr>
    <w:r>
      <w:fldChar w:fldCharType="begin"/>
    </w:r>
    <w:r>
      <w:instrText xml:space="preserve"> STYLEREF  标准文件_文件编号  \* MERGEFORMAT </w:instrText>
    </w:r>
    <w:r>
      <w:fldChar w:fldCharType="separate"/>
    </w:r>
    <w:r>
      <w:t>T/XJBX 0063—2025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250FE">
    <w:pPr>
      <w:pStyle w:val="62"/>
    </w:pPr>
    <w:r>
      <w:fldChar w:fldCharType="begin"/>
    </w:r>
    <w:r>
      <w:instrText xml:space="preserve"> STYLEREF  标准文件_文件编号 \* MERGEFORMAT </w:instrText>
    </w:r>
    <w:r>
      <w:fldChar w:fldCharType="separate"/>
    </w:r>
    <w:r>
      <w:t>T/XJBX 0063—2025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7DC93">
    <w:pPr>
      <w:pStyle w:val="61"/>
    </w:pPr>
    <w:r>
      <w:fldChar w:fldCharType="begin"/>
    </w:r>
    <w:r>
      <w:instrText xml:space="preserve"> STYLEREF  标准文件_文件编号  \* MERGEFORMAT </w:instrText>
    </w:r>
    <w:r>
      <w:fldChar w:fldCharType="separate"/>
    </w:r>
    <w:r>
      <w:t>T/XJBX 0063—2025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9189E">
    <w:pPr>
      <w:pStyle w:val="62"/>
    </w:pPr>
    <w:r>
      <w:fldChar w:fldCharType="begin"/>
    </w:r>
    <w:r>
      <w:instrText xml:space="preserve"> STYLEREF  标准文件_文件编号 \* MERGEFORMAT </w:instrText>
    </w:r>
    <w:r>
      <w:fldChar w:fldCharType="separate"/>
    </w:r>
    <w:r>
      <w:t>T/XJBX 0063—2025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gUAyk3QjS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71B"/>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3CA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63D"/>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200"/>
    <w:rsid w:val="005073F0"/>
    <w:rsid w:val="005103E9"/>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C5A"/>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EC4"/>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A00"/>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B72"/>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87D"/>
    <w:rsid w:val="00A0034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1E3"/>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6502"/>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9B3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46C8AABF">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4A58A1A9">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5C63315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216B94"/>
    <w:rsid w:val="003A151E"/>
    <w:rsid w:val="00961915"/>
    <w:rsid w:val="00AE1DC6"/>
    <w:rsid w:val="00E2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2931</Words>
  <Characters>3251</Characters>
  <Lines>50</Lines>
  <Paragraphs>14</Paragraphs>
  <TotalTime>110</TotalTime>
  <ScaleCrop>false</ScaleCrop>
  <LinksUpToDate>false</LinksUpToDate>
  <CharactersWithSpaces>3348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2025-08-11T06:28:14Z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00F13072927C4745B22D6C82FDFB486E_12</vt:lpwstr>
  </property>
</Properties>
</file>