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3.16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93.160</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55"/>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55</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59"/>
            </w:textInput>
          </w:ffData>
        </w:fldChar>
      </w:r>
      <w:bookmarkStart w:id="6" w:name="NSTD_CODE_F"/>
      <w:r>
        <w:instrText xml:space="preserve"> FORMTEXT </w:instrText>
      </w:r>
      <w:r>
        <w:fldChar w:fldCharType="separate"/>
      </w:r>
      <w:r>
        <w:t>0059</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fldChar w:fldCharType="begin">
          <w:ffData>
            <w:name w:val="CSTD_NAME"/>
            <w:enabled/>
            <w:calcOnExit w:val="0"/>
            <w:textInput>
              <w:default w:val="生态水利工程设计评价与验收指南"/>
            </w:textInput>
          </w:ffData>
        </w:fldChar>
      </w:r>
      <w:bookmarkStart w:id="9" w:name="CSTD_NAME"/>
      <w:r>
        <w:instrText xml:space="preserve"> FORMTEXT </w:instrText>
      </w:r>
      <w:r>
        <w:fldChar w:fldCharType="separate"/>
      </w:r>
      <w:r>
        <w:t>生态水利工程设计评价与验收指南</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Guidelines for design evaluation and acceptance of ecological hydraulic engineering"/>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Guidelines for design evaluation and acceptance of ecological hydraulic engineering</w:t>
      </w:r>
      <w:r>
        <w:rPr>
          <w:rFonts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37CA41BD">
      <w:pPr>
        <w:pStyle w:val="91"/>
        <w:spacing w:after="360"/>
      </w:pPr>
      <w:bookmarkStart w:id="21" w:name="BookMark1"/>
      <w:r>
        <w:rPr>
          <w:rFonts w:hint="eastAsia"/>
          <w:spacing w:val="320"/>
        </w:rPr>
        <w:t>目</w:t>
      </w:r>
      <w:r>
        <w:rPr>
          <w:rFonts w:hint="eastAsia"/>
        </w:rPr>
        <w:t>次</w:t>
      </w:r>
    </w:p>
    <w:p w14:paraId="0875B9E5">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"_Toc205641550" </w:instrText>
      </w:r>
      <w:r>
        <w:fldChar w:fldCharType="separate"/>
      </w:r>
      <w:r>
        <w:rPr>
          <w:rStyle w:val="32"/>
        </w:rPr>
        <w:t>前言</w:t>
      </w:r>
      <w:r>
        <w:tab/>
      </w:r>
      <w:r>
        <w:fldChar w:fldCharType="begin"/>
      </w:r>
      <w:r>
        <w:instrText xml:space="preserve"> PAGEREF _Toc205641550 \h </w:instrText>
      </w:r>
      <w:r>
        <w:fldChar w:fldCharType="separate"/>
      </w:r>
      <w:r>
        <w:t>III</w:t>
      </w:r>
      <w:r>
        <w:fldChar w:fldCharType="end"/>
      </w:r>
      <w:r>
        <w:fldChar w:fldCharType="end"/>
      </w:r>
    </w:p>
    <w:p w14:paraId="2769382C">
      <w:pPr>
        <w:pStyle w:val="19"/>
        <w:tabs>
          <w:tab w:val="right" w:leader="dot" w:pos="9344"/>
        </w:tabs>
        <w:rPr>
          <w:rFonts w:asciiTheme="minorHAnsi" w:hAnsiTheme="minorHAnsi" w:eastAsiaTheme="minorEastAsia" w:cstheme="minorBidi"/>
          <w:szCs w:val="22"/>
        </w:rPr>
      </w:pPr>
      <w:r>
        <w:fldChar w:fldCharType="begin"/>
      </w:r>
      <w:r>
        <w:instrText xml:space="preserve"> HYPERLINK \l "_Toc205641551" </w:instrText>
      </w:r>
      <w:r>
        <w:fldChar w:fldCharType="separate"/>
      </w:r>
      <w:r>
        <w:rPr>
          <w:rStyle w:val="32"/>
        </w:rPr>
        <w:t>引言</w:t>
      </w:r>
      <w:r>
        <w:tab/>
      </w:r>
      <w:r>
        <w:fldChar w:fldCharType="begin"/>
      </w:r>
      <w:r>
        <w:instrText xml:space="preserve"> PAGEREF _Toc205641551 \h </w:instrText>
      </w:r>
      <w:r>
        <w:fldChar w:fldCharType="separate"/>
      </w:r>
      <w:r>
        <w:t>V</w:t>
      </w:r>
      <w:r>
        <w:fldChar w:fldCharType="end"/>
      </w:r>
      <w:r>
        <w:fldChar w:fldCharType="end"/>
      </w:r>
    </w:p>
    <w:p w14:paraId="0A9CA962">
      <w:pPr>
        <w:pStyle w:val="19"/>
        <w:tabs>
          <w:tab w:val="right" w:leader="dot" w:pos="9344"/>
        </w:tabs>
        <w:rPr>
          <w:rFonts w:asciiTheme="minorHAnsi" w:hAnsiTheme="minorHAnsi" w:eastAsiaTheme="minorEastAsia" w:cstheme="minorBidi"/>
          <w:szCs w:val="22"/>
        </w:rPr>
      </w:pPr>
      <w:r>
        <w:fldChar w:fldCharType="begin"/>
      </w:r>
      <w:r>
        <w:instrText xml:space="preserve"> HYPERLINK \l "_Toc205641552" </w:instrText>
      </w:r>
      <w:r>
        <w:fldChar w:fldCharType="separate"/>
      </w:r>
      <w:r>
        <w:rPr>
          <w:rStyle w:val="32"/>
        </w:rPr>
        <w:t>1  范围</w:t>
      </w:r>
      <w:r>
        <w:tab/>
      </w:r>
      <w:r>
        <w:fldChar w:fldCharType="begin"/>
      </w:r>
      <w:r>
        <w:instrText xml:space="preserve"> PAGEREF _Toc205641552 \h </w:instrText>
      </w:r>
      <w:r>
        <w:fldChar w:fldCharType="separate"/>
      </w:r>
      <w:r>
        <w:t>1</w:t>
      </w:r>
      <w:r>
        <w:fldChar w:fldCharType="end"/>
      </w:r>
      <w:r>
        <w:fldChar w:fldCharType="end"/>
      </w:r>
    </w:p>
    <w:p w14:paraId="371ACD53">
      <w:pPr>
        <w:pStyle w:val="19"/>
        <w:tabs>
          <w:tab w:val="right" w:leader="dot" w:pos="9344"/>
        </w:tabs>
        <w:rPr>
          <w:rFonts w:asciiTheme="minorHAnsi" w:hAnsiTheme="minorHAnsi" w:eastAsiaTheme="minorEastAsia" w:cstheme="minorBidi"/>
          <w:szCs w:val="22"/>
        </w:rPr>
      </w:pPr>
      <w:r>
        <w:fldChar w:fldCharType="begin"/>
      </w:r>
      <w:r>
        <w:instrText xml:space="preserve"> HYPERLINK \l "_Toc205641553" </w:instrText>
      </w:r>
      <w:r>
        <w:fldChar w:fldCharType="separate"/>
      </w:r>
      <w:r>
        <w:rPr>
          <w:rStyle w:val="32"/>
        </w:rPr>
        <w:t>2  规范性引用文件</w:t>
      </w:r>
      <w:r>
        <w:tab/>
      </w:r>
      <w:r>
        <w:fldChar w:fldCharType="begin"/>
      </w:r>
      <w:r>
        <w:instrText xml:space="preserve"> PAGEREF _Toc205641553 \h </w:instrText>
      </w:r>
      <w:r>
        <w:fldChar w:fldCharType="separate"/>
      </w:r>
      <w:r>
        <w:t>1</w:t>
      </w:r>
      <w:r>
        <w:fldChar w:fldCharType="end"/>
      </w:r>
      <w:r>
        <w:fldChar w:fldCharType="end"/>
      </w:r>
    </w:p>
    <w:p w14:paraId="1A43AFE3">
      <w:pPr>
        <w:pStyle w:val="19"/>
        <w:tabs>
          <w:tab w:val="right" w:leader="dot" w:pos="9344"/>
        </w:tabs>
        <w:rPr>
          <w:rFonts w:asciiTheme="minorHAnsi" w:hAnsiTheme="minorHAnsi" w:eastAsiaTheme="minorEastAsia" w:cstheme="minorBidi"/>
          <w:szCs w:val="22"/>
        </w:rPr>
      </w:pPr>
      <w:r>
        <w:fldChar w:fldCharType="begin"/>
      </w:r>
      <w:r>
        <w:instrText xml:space="preserve"> HYPERLINK \l "_Toc205641554" </w:instrText>
      </w:r>
      <w:r>
        <w:fldChar w:fldCharType="separate"/>
      </w:r>
      <w:r>
        <w:rPr>
          <w:rStyle w:val="32"/>
        </w:rPr>
        <w:t>3  术语和定义</w:t>
      </w:r>
      <w:r>
        <w:tab/>
      </w:r>
      <w:r>
        <w:fldChar w:fldCharType="begin"/>
      </w:r>
      <w:r>
        <w:instrText xml:space="preserve"> PAGEREF _Toc205641554 \h </w:instrText>
      </w:r>
      <w:r>
        <w:fldChar w:fldCharType="separate"/>
      </w:r>
      <w:r>
        <w:t>1</w:t>
      </w:r>
      <w:r>
        <w:fldChar w:fldCharType="end"/>
      </w:r>
      <w:r>
        <w:fldChar w:fldCharType="end"/>
      </w:r>
    </w:p>
    <w:p w14:paraId="31BF5CED">
      <w:pPr>
        <w:pStyle w:val="19"/>
        <w:tabs>
          <w:tab w:val="right" w:leader="dot" w:pos="9344"/>
        </w:tabs>
        <w:rPr>
          <w:rFonts w:asciiTheme="minorHAnsi" w:hAnsiTheme="minorHAnsi" w:eastAsiaTheme="minorEastAsia" w:cstheme="minorBidi"/>
          <w:szCs w:val="22"/>
        </w:rPr>
      </w:pPr>
      <w:r>
        <w:fldChar w:fldCharType="begin"/>
      </w:r>
      <w:r>
        <w:instrText xml:space="preserve"> HYPERLINK \l "_Toc205641555" </w:instrText>
      </w:r>
      <w:r>
        <w:fldChar w:fldCharType="separate"/>
      </w:r>
      <w:r>
        <w:rPr>
          <w:rStyle w:val="32"/>
        </w:rPr>
        <w:t>4  总则</w:t>
      </w:r>
      <w:r>
        <w:tab/>
      </w:r>
      <w:r>
        <w:fldChar w:fldCharType="begin"/>
      </w:r>
      <w:r>
        <w:instrText xml:space="preserve"> PAGEREF _Toc205641555 \h </w:instrText>
      </w:r>
      <w:r>
        <w:fldChar w:fldCharType="separate"/>
      </w:r>
      <w:r>
        <w:t>2</w:t>
      </w:r>
      <w:r>
        <w:fldChar w:fldCharType="end"/>
      </w:r>
      <w:r>
        <w:fldChar w:fldCharType="end"/>
      </w:r>
    </w:p>
    <w:p w14:paraId="155CB230">
      <w:pPr>
        <w:pStyle w:val="19"/>
        <w:tabs>
          <w:tab w:val="right" w:leader="dot" w:pos="9344"/>
        </w:tabs>
        <w:rPr>
          <w:rFonts w:asciiTheme="minorHAnsi" w:hAnsiTheme="minorHAnsi" w:eastAsiaTheme="minorEastAsia" w:cstheme="minorBidi"/>
          <w:szCs w:val="22"/>
        </w:rPr>
      </w:pPr>
      <w:r>
        <w:fldChar w:fldCharType="begin"/>
      </w:r>
      <w:r>
        <w:instrText xml:space="preserve"> HYPERLINK \l "_Toc205641556" </w:instrText>
      </w:r>
      <w:r>
        <w:fldChar w:fldCharType="separate"/>
      </w:r>
      <w:r>
        <w:rPr>
          <w:rStyle w:val="32"/>
        </w:rPr>
        <w:t>5  设计原则与要求</w:t>
      </w:r>
      <w:r>
        <w:tab/>
      </w:r>
      <w:r>
        <w:fldChar w:fldCharType="begin"/>
      </w:r>
      <w:r>
        <w:instrText xml:space="preserve"> PAGEREF _Toc205641556 \h </w:instrText>
      </w:r>
      <w:r>
        <w:fldChar w:fldCharType="separate"/>
      </w:r>
      <w:r>
        <w:t>2</w:t>
      </w:r>
      <w:r>
        <w:fldChar w:fldCharType="end"/>
      </w:r>
      <w:r>
        <w:fldChar w:fldCharType="end"/>
      </w:r>
    </w:p>
    <w:p w14:paraId="202C96DC">
      <w:pPr>
        <w:pStyle w:val="19"/>
        <w:tabs>
          <w:tab w:val="right" w:leader="dot" w:pos="9344"/>
        </w:tabs>
        <w:rPr>
          <w:rFonts w:asciiTheme="minorHAnsi" w:hAnsiTheme="minorHAnsi" w:eastAsiaTheme="minorEastAsia" w:cstheme="minorBidi"/>
          <w:szCs w:val="22"/>
        </w:rPr>
      </w:pPr>
      <w:r>
        <w:fldChar w:fldCharType="begin"/>
      </w:r>
      <w:r>
        <w:instrText xml:space="preserve"> HYPERLINK \l "_Toc205641557" </w:instrText>
      </w:r>
      <w:r>
        <w:fldChar w:fldCharType="separate"/>
      </w:r>
      <w:r>
        <w:rPr>
          <w:rStyle w:val="32"/>
        </w:rPr>
        <w:t>6  评价指标与方法</w:t>
      </w:r>
      <w:r>
        <w:tab/>
      </w:r>
      <w:r>
        <w:fldChar w:fldCharType="begin"/>
      </w:r>
      <w:r>
        <w:instrText xml:space="preserve"> PAGEREF _Toc205641557 \h </w:instrText>
      </w:r>
      <w:r>
        <w:fldChar w:fldCharType="separate"/>
      </w:r>
      <w:r>
        <w:t>3</w:t>
      </w:r>
      <w:r>
        <w:fldChar w:fldCharType="end"/>
      </w:r>
      <w:r>
        <w:fldChar w:fldCharType="end"/>
      </w:r>
    </w:p>
    <w:p w14:paraId="69A42AF8">
      <w:pPr>
        <w:pStyle w:val="19"/>
        <w:tabs>
          <w:tab w:val="right" w:leader="dot" w:pos="9344"/>
        </w:tabs>
        <w:rPr>
          <w:rFonts w:asciiTheme="minorHAnsi" w:hAnsiTheme="minorHAnsi" w:eastAsiaTheme="minorEastAsia" w:cstheme="minorBidi"/>
          <w:szCs w:val="22"/>
        </w:rPr>
      </w:pPr>
      <w:r>
        <w:fldChar w:fldCharType="begin"/>
      </w:r>
      <w:r>
        <w:instrText xml:space="preserve"> HYPERLINK \l "_Toc205641558" </w:instrText>
      </w:r>
      <w:r>
        <w:fldChar w:fldCharType="separate"/>
      </w:r>
      <w:r>
        <w:rPr>
          <w:rStyle w:val="32"/>
        </w:rPr>
        <w:t>7  验收程序与标准</w:t>
      </w:r>
      <w:r>
        <w:tab/>
      </w:r>
      <w:r>
        <w:fldChar w:fldCharType="begin"/>
      </w:r>
      <w:r>
        <w:instrText xml:space="preserve"> PAGEREF _Toc205641558 \h </w:instrText>
      </w:r>
      <w:r>
        <w:fldChar w:fldCharType="separate"/>
      </w:r>
      <w:r>
        <w:t>5</w:t>
      </w:r>
      <w:r>
        <w:fldChar w:fldCharType="end"/>
      </w:r>
      <w:r>
        <w:fldChar w:fldCharType="end"/>
      </w:r>
    </w:p>
    <w:p w14:paraId="5A115D02">
      <w:pPr>
        <w:pStyle w:val="19"/>
        <w:tabs>
          <w:tab w:val="right" w:leader="dot" w:pos="9344"/>
        </w:tabs>
        <w:rPr>
          <w:rFonts w:asciiTheme="minorHAnsi" w:hAnsiTheme="minorHAnsi" w:eastAsiaTheme="minorEastAsia" w:cstheme="minorBidi"/>
          <w:szCs w:val="22"/>
        </w:rPr>
      </w:pPr>
      <w:r>
        <w:fldChar w:fldCharType="begin"/>
      </w:r>
      <w:r>
        <w:instrText xml:space="preserve"> HYPERLINK \l "_Toc205641559" </w:instrText>
      </w:r>
      <w:r>
        <w:fldChar w:fldCharType="separate"/>
      </w:r>
      <w:r>
        <w:rPr>
          <w:rStyle w:val="32"/>
        </w:rPr>
        <w:t>8  运行管理与后评价</w:t>
      </w:r>
      <w:r>
        <w:tab/>
      </w:r>
      <w:r>
        <w:fldChar w:fldCharType="begin"/>
      </w:r>
      <w:r>
        <w:instrText xml:space="preserve"> PAGEREF _Toc205641559 \h </w:instrText>
      </w:r>
      <w:r>
        <w:fldChar w:fldCharType="separate"/>
      </w:r>
      <w:r>
        <w:t>6</w:t>
      </w:r>
      <w:r>
        <w:fldChar w:fldCharType="end"/>
      </w:r>
      <w:r>
        <w:fldChar w:fldCharType="end"/>
      </w:r>
    </w:p>
    <w:p w14:paraId="672A0BA9">
      <w:pPr>
        <w:pStyle w:val="19"/>
        <w:tabs>
          <w:tab w:val="right" w:leader="dot" w:pos="9344"/>
        </w:tabs>
        <w:rPr>
          <w:rFonts w:asciiTheme="minorHAnsi" w:hAnsiTheme="minorHAnsi" w:eastAsiaTheme="minorEastAsia" w:cstheme="minorBidi"/>
          <w:szCs w:val="22"/>
        </w:rPr>
      </w:pPr>
      <w:r>
        <w:fldChar w:fldCharType="begin"/>
      </w:r>
      <w:r>
        <w:instrText xml:space="preserve"> HYPERLINK \l "_Toc205641560" </w:instrText>
      </w:r>
      <w:r>
        <w:fldChar w:fldCharType="separate"/>
      </w:r>
      <w:r>
        <w:rPr>
          <w:rStyle w:val="32"/>
        </w:rPr>
        <w:t>9  监测与数据管理</w:t>
      </w:r>
      <w:r>
        <w:tab/>
      </w:r>
      <w:r>
        <w:fldChar w:fldCharType="begin"/>
      </w:r>
      <w:r>
        <w:instrText xml:space="preserve"> PAGEREF _Toc205641560 \h </w:instrText>
      </w:r>
      <w:r>
        <w:fldChar w:fldCharType="separate"/>
      </w:r>
      <w:r>
        <w:t>7</w:t>
      </w:r>
      <w:r>
        <w:fldChar w:fldCharType="end"/>
      </w:r>
      <w:r>
        <w:fldChar w:fldCharType="end"/>
      </w:r>
    </w:p>
    <w:p w14:paraId="530E4ED9">
      <w:pPr>
        <w:pStyle w:val="19"/>
        <w:tabs>
          <w:tab w:val="right" w:leader="dot" w:pos="9344"/>
        </w:tabs>
        <w:rPr>
          <w:rFonts w:asciiTheme="minorHAnsi" w:hAnsiTheme="minorHAnsi" w:eastAsiaTheme="minorEastAsia" w:cstheme="minorBidi"/>
          <w:szCs w:val="22"/>
        </w:rPr>
      </w:pPr>
      <w:r>
        <w:fldChar w:fldCharType="begin"/>
      </w:r>
      <w:r>
        <w:instrText xml:space="preserve"> HYPERLINK \l "_Toc205641561" </w:instrText>
      </w:r>
      <w:r>
        <w:fldChar w:fldCharType="separate"/>
      </w:r>
      <w:r>
        <w:rPr>
          <w:rStyle w:val="32"/>
        </w:rPr>
        <w:t>10  生态风险防控与应急措施</w:t>
      </w:r>
      <w:r>
        <w:tab/>
      </w:r>
      <w:r>
        <w:fldChar w:fldCharType="begin"/>
      </w:r>
      <w:r>
        <w:instrText xml:space="preserve"> PAGEREF _Toc205641561 \h </w:instrText>
      </w:r>
      <w:r>
        <w:fldChar w:fldCharType="separate"/>
      </w:r>
      <w:r>
        <w:t>8</w:t>
      </w:r>
      <w:r>
        <w:fldChar w:fldCharType="end"/>
      </w:r>
      <w:r>
        <w:fldChar w:fldCharType="end"/>
      </w:r>
    </w:p>
    <w:p w14:paraId="4CCADBB0">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641550"/>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本文件起草单位：秦皇岛市石河水库运行中心。</w:t>
      </w:r>
    </w:p>
    <w:p w14:paraId="55F4A5D1">
      <w:pPr>
        <w:pStyle w:val="56"/>
        <w:spacing w:line="360" w:lineRule="auto"/>
        <w:ind w:firstLine="420"/>
      </w:pPr>
      <w:r>
        <w:rPr>
          <w:rFonts w:hint="eastAsia"/>
        </w:rPr>
        <w:t>本文件主要起草人：马悦。</w:t>
      </w:r>
    </w:p>
    <w:p w14:paraId="1B3EB912">
      <w:pPr>
        <w:pStyle w:val="56"/>
        <w:ind w:firstLine="420"/>
      </w:pPr>
    </w:p>
    <w:p w14:paraId="784B3C9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9" w:name="_GoBack"/>
      <w:bookmarkEnd w:id="59"/>
    </w:p>
    <w:bookmarkEnd w:id="23"/>
    <w:p w14:paraId="66D0A2F3">
      <w:pPr>
        <w:pStyle w:val="89"/>
        <w:spacing w:after="360"/>
      </w:pPr>
      <w:bookmarkStart w:id="24" w:name="_Toc205641551"/>
      <w:bookmarkStart w:id="25" w:name="BookMark3"/>
      <w:r>
        <w:rPr>
          <w:spacing w:val="320"/>
        </w:rPr>
        <w:t>引</w:t>
      </w:r>
      <w:r>
        <w:t>言</w:t>
      </w:r>
      <w:bookmarkEnd w:id="24"/>
    </w:p>
    <w:p w14:paraId="6F5FA7EF">
      <w:pPr>
        <w:pStyle w:val="56"/>
        <w:spacing w:line="360" w:lineRule="auto"/>
        <w:ind w:firstLine="420"/>
      </w:pPr>
      <w:r>
        <w:rPr>
          <w:rFonts w:hint="eastAsia"/>
        </w:rPr>
        <w:t>生态水利工程作为水利建设与生态保护相融合的重要形式，在提升水资源利用效率、改善水生态环境、促进生物多样性保护及实现可持续发展等方面具有重要意义。近年来，随着绿色发展理念的深入推进，生态水利工程在规划、设计、建设及运行管理中越来越注重与自然系统的协调共生，强调水利功能与生态功能的双重发挥。</w:t>
      </w:r>
    </w:p>
    <w:p w14:paraId="62CABA95">
      <w:pPr>
        <w:pStyle w:val="56"/>
        <w:spacing w:line="360" w:lineRule="auto"/>
        <w:ind w:firstLine="420"/>
      </w:pPr>
      <w:r>
        <w:rPr>
          <w:rFonts w:hint="eastAsia"/>
        </w:rPr>
        <w:t>本文件旨在为生态水利工程的设计、评价与验收提供系统性、可操作的技术依据，规范相关工作流程与评价方法，确保工程在满足防洪、灌溉、供水等传统水利功能的同时，兼顾生态系统的完整性与稳定性。本文件在制定过程中，参考了国内外生态水利工程相关标准、技术规范及实践经验，并结合我国不同地区水文条件、生态特征和工程实际，总结提炼出适用于工程全生命周期的评价指标与验收要求。</w:t>
      </w:r>
    </w:p>
    <w:p w14:paraId="7F4A69FE">
      <w:pPr>
        <w:pStyle w:val="56"/>
        <w:spacing w:line="360" w:lineRule="auto"/>
        <w:ind w:firstLine="420"/>
      </w:pPr>
      <w:r>
        <w:rPr>
          <w:rFonts w:hint="eastAsia"/>
        </w:rPr>
        <w:t>本文件的实施，将有助于引导生态水利工程设计与建设单位、管理与监督机构及相关评价部门形成统一的技术标准，提升设计方案的科学性与可持续性，推动水利行业绿色低碳转型，保障工程与生态环境的和谐共生。</w:t>
      </w:r>
    </w:p>
    <w:p w14:paraId="41C59179">
      <w:pPr>
        <w:pStyle w:val="56"/>
        <w:ind w:firstLine="420"/>
      </w:pP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生态水利工程设计评价与验收指南</w:t>
          </w:r>
        </w:p>
      </w:sdtContent>
    </w:sdt>
    <w:bookmarkEnd w:id="27"/>
    <w:p w14:paraId="3DB22445">
      <w:pPr>
        <w:pStyle w:val="104"/>
        <w:spacing w:before="240" w:after="240" w:line="360" w:lineRule="auto"/>
      </w:pPr>
      <w:bookmarkStart w:id="28" w:name="_Toc17233333"/>
      <w:bookmarkStart w:id="29" w:name="_Toc26986530"/>
      <w:bookmarkStart w:id="30" w:name="_Toc24884218"/>
      <w:bookmarkStart w:id="31" w:name="_Toc26718930"/>
      <w:bookmarkStart w:id="32" w:name="_Toc24884211"/>
      <w:bookmarkStart w:id="33" w:name="_Toc26986771"/>
      <w:bookmarkStart w:id="34" w:name="_Toc97192964"/>
      <w:bookmarkStart w:id="35" w:name="_Toc17233325"/>
      <w:bookmarkStart w:id="36" w:name="_Toc26648465"/>
      <w:bookmarkStart w:id="37" w:name="_Toc205641552"/>
      <w:r>
        <w:rPr>
          <w:rFonts w:hint="eastAsia"/>
        </w:rPr>
        <w:t>范围</w:t>
      </w:r>
      <w:bookmarkEnd w:id="28"/>
      <w:bookmarkEnd w:id="29"/>
      <w:bookmarkEnd w:id="30"/>
      <w:bookmarkEnd w:id="31"/>
      <w:bookmarkEnd w:id="32"/>
      <w:bookmarkEnd w:id="33"/>
      <w:bookmarkEnd w:id="34"/>
      <w:bookmarkEnd w:id="35"/>
      <w:bookmarkEnd w:id="36"/>
      <w:bookmarkEnd w:id="37"/>
    </w:p>
    <w:p w14:paraId="3F3A12A9">
      <w:pPr>
        <w:pStyle w:val="56"/>
        <w:spacing w:line="360" w:lineRule="auto"/>
        <w:ind w:firstLine="420"/>
      </w:pPr>
      <w:bookmarkStart w:id="38" w:name="_Toc26648466"/>
      <w:bookmarkStart w:id="39" w:name="_Toc24884212"/>
      <w:bookmarkStart w:id="40" w:name="_Toc17233334"/>
      <w:bookmarkStart w:id="41" w:name="_Toc24884219"/>
      <w:bookmarkStart w:id="42" w:name="_Toc17233326"/>
      <w:r>
        <w:rPr>
          <w:rFonts w:hint="eastAsia"/>
        </w:rPr>
        <w:t>本文件规定了生态水利工程在设计、评价与验收全过程中的基本原则、技术要求、工作程序、评价方法及验收标准。适用于各类以兼顾水利功能与生态功能为目标的工程项目，包括河道治理、水库与堤防建设、湿地恢复、水源涵养、水生态修复等类型。</w:t>
      </w:r>
    </w:p>
    <w:p w14:paraId="15534129">
      <w:pPr>
        <w:pStyle w:val="56"/>
        <w:spacing w:line="360" w:lineRule="auto"/>
        <w:ind w:firstLine="420"/>
      </w:pPr>
      <w:r>
        <w:rPr>
          <w:rFonts w:hint="eastAsia"/>
        </w:rPr>
        <w:t>本文件适用于新建、改建和扩建的生态水利工程设计与建设活动，以及已建成工程的验收工作。对于以生态保护、景观提升或水环境改善为主的水利类工程，本指南亦可作为相关技术工作的参考。</w:t>
      </w:r>
    </w:p>
    <w:p w14:paraId="72D43E5E">
      <w:pPr>
        <w:pStyle w:val="56"/>
        <w:spacing w:line="360" w:lineRule="auto"/>
        <w:ind w:firstLine="420"/>
      </w:pPr>
      <w:r>
        <w:rPr>
          <w:rFonts w:hint="eastAsia"/>
        </w:rPr>
        <w:t>本文件不适用于单一以防洪、排涝、引水、供水或水能利用为主要目标，且未涉及生态保护与修复功能的水利工程项目。</w:t>
      </w:r>
    </w:p>
    <w:p w14:paraId="3733B2AD">
      <w:pPr>
        <w:pStyle w:val="104"/>
        <w:spacing w:before="240" w:after="240" w:line="360" w:lineRule="auto"/>
      </w:pPr>
      <w:bookmarkStart w:id="43" w:name="_Toc97192965"/>
      <w:bookmarkStart w:id="44" w:name="_Toc26986772"/>
      <w:bookmarkStart w:id="45" w:name="_Toc205641553"/>
      <w:bookmarkStart w:id="46" w:name="_Toc26986531"/>
      <w:bookmarkStart w:id="47" w:name="_Toc267189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2E4E6C2">
      <w:pPr>
        <w:pStyle w:val="56"/>
        <w:spacing w:line="360" w:lineRule="auto"/>
        <w:ind w:firstLine="420"/>
      </w:pPr>
      <w:r>
        <w:rPr>
          <w:rFonts w:hint="eastAsia"/>
        </w:rPr>
        <w:t>GB 3838 地表水环境质量标准</w:t>
      </w:r>
    </w:p>
    <w:p w14:paraId="52662A21">
      <w:pPr>
        <w:pStyle w:val="56"/>
        <w:spacing w:line="360" w:lineRule="auto"/>
        <w:ind w:firstLine="420"/>
      </w:pPr>
      <w:r>
        <w:rPr>
          <w:rFonts w:hint="eastAsia"/>
        </w:rPr>
        <w:t>GB 50487 水利水电工程地质勘察规范</w:t>
      </w:r>
    </w:p>
    <w:p w14:paraId="7BA32736">
      <w:pPr>
        <w:pStyle w:val="56"/>
        <w:spacing w:line="360" w:lineRule="auto"/>
        <w:ind w:firstLine="420"/>
      </w:pPr>
      <w:r>
        <w:rPr>
          <w:rFonts w:hint="eastAsia"/>
        </w:rPr>
        <w:t>GB/T 14848—</w:t>
      </w:r>
      <w:r>
        <w:t>2017</w:t>
      </w:r>
      <w:r>
        <w:rPr>
          <w:rFonts w:hint="eastAsia"/>
        </w:rPr>
        <w:t xml:space="preserve"> 地下水质量标准</w:t>
      </w:r>
    </w:p>
    <w:p w14:paraId="51F02A4E">
      <w:pPr>
        <w:pStyle w:val="104"/>
        <w:spacing w:before="240" w:after="240" w:line="360" w:lineRule="auto"/>
      </w:pPr>
      <w:bookmarkStart w:id="48" w:name="_Toc205641554"/>
      <w:bookmarkStart w:id="49" w:name="_Toc97192966"/>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78C5A02A">
      <w:pPr>
        <w:pStyle w:val="105"/>
        <w:spacing w:before="120" w:after="120" w:line="360" w:lineRule="auto"/>
      </w:pPr>
      <w:r>
        <w:rPr>
          <w:rFonts w:hint="eastAsia"/>
        </w:rPr>
        <w:t xml:space="preserve">生态水利工程 </w:t>
      </w:r>
      <w:r>
        <w:t>ecological hydraulic engineering</w:t>
      </w:r>
    </w:p>
    <w:p w14:paraId="0182C977">
      <w:pPr>
        <w:pStyle w:val="56"/>
        <w:spacing w:line="360" w:lineRule="auto"/>
        <w:ind w:firstLine="420"/>
      </w:pPr>
      <w:r>
        <w:rPr>
          <w:rFonts w:hint="eastAsia"/>
        </w:rPr>
        <w:t>以实现水资源利用、水环境改善、水生态保护和修复等多目标为导向，综合应用水利工程技术与生态保护措施，构建与自然环境相协调的水利工程体系。</w:t>
      </w:r>
    </w:p>
    <w:p w14:paraId="18CFE5A1">
      <w:pPr>
        <w:pStyle w:val="105"/>
        <w:spacing w:before="120" w:after="120" w:line="360" w:lineRule="auto"/>
      </w:pPr>
      <w:r>
        <w:rPr>
          <w:rFonts w:hint="eastAsia"/>
        </w:rPr>
        <w:t xml:space="preserve">生态功能 </w:t>
      </w:r>
      <w:r>
        <w:t>ecological function</w:t>
      </w:r>
    </w:p>
    <w:p w14:paraId="5CB4FBCE">
      <w:pPr>
        <w:pStyle w:val="56"/>
        <w:spacing w:line="360" w:lineRule="auto"/>
        <w:ind w:firstLine="420"/>
      </w:pPr>
      <w:r>
        <w:rPr>
          <w:rFonts w:hint="eastAsia"/>
        </w:rPr>
        <w:t>工程设施或措施在改善生物栖息地条件、维持水域生态系统结构与功能、促进生物多样性保护等方面所发挥的作用。</w:t>
      </w:r>
    </w:p>
    <w:p w14:paraId="2F15A60C">
      <w:pPr>
        <w:pStyle w:val="105"/>
        <w:spacing w:before="120" w:after="120" w:line="360" w:lineRule="auto"/>
      </w:pPr>
      <w:r>
        <w:rPr>
          <w:rFonts w:hint="eastAsia"/>
        </w:rPr>
        <w:t xml:space="preserve">生态设计 </w:t>
      </w:r>
      <w:r>
        <w:t>ecological design</w:t>
      </w:r>
    </w:p>
    <w:p w14:paraId="2888566B">
      <w:pPr>
        <w:pStyle w:val="56"/>
        <w:spacing w:line="360" w:lineRule="auto"/>
        <w:ind w:firstLine="420"/>
      </w:pPr>
      <w:r>
        <w:rPr>
          <w:rFonts w:hint="eastAsia"/>
        </w:rPr>
        <w:t>在水利工程规划与设计阶段，将生态系统原理与工程技术相结合，综合考虑水文、水质、水生生物、植被及景观等因素，优化工程布局与结构的设计方法。</w:t>
      </w:r>
    </w:p>
    <w:p w14:paraId="07F61F0B">
      <w:pPr>
        <w:pStyle w:val="105"/>
        <w:spacing w:before="120" w:after="120" w:line="360" w:lineRule="auto"/>
      </w:pPr>
      <w:r>
        <w:rPr>
          <w:rFonts w:hint="eastAsia"/>
        </w:rPr>
        <w:t xml:space="preserve">生态修复 </w:t>
      </w:r>
      <w:r>
        <w:t>ecological restoration</w:t>
      </w:r>
    </w:p>
    <w:p w14:paraId="2480C15E">
      <w:pPr>
        <w:pStyle w:val="56"/>
        <w:spacing w:line="360" w:lineRule="auto"/>
        <w:ind w:firstLine="420"/>
      </w:pPr>
      <w:r>
        <w:rPr>
          <w:rFonts w:hint="eastAsia"/>
        </w:rPr>
        <w:t>通过工程、生物及管理等手段，恢复或改善受损水域及周边生态系统结构与功能的过程。</w:t>
      </w:r>
    </w:p>
    <w:p w14:paraId="0AF921C6">
      <w:pPr>
        <w:pStyle w:val="105"/>
        <w:spacing w:before="120" w:after="120" w:line="360" w:lineRule="auto"/>
      </w:pPr>
      <w:r>
        <w:rPr>
          <w:rFonts w:hint="eastAsia"/>
        </w:rPr>
        <w:t xml:space="preserve">生态评价 </w:t>
      </w:r>
      <w:r>
        <w:t>ecological assessment</w:t>
      </w:r>
    </w:p>
    <w:p w14:paraId="7A6ED74D">
      <w:pPr>
        <w:pStyle w:val="56"/>
        <w:spacing w:line="360" w:lineRule="auto"/>
        <w:ind w:firstLine="420"/>
      </w:pPr>
      <w:r>
        <w:rPr>
          <w:rFonts w:hint="eastAsia"/>
        </w:rPr>
        <w:t>对工程设计方案及实施效果在生态环境保护与修复方面的科学性、有效性和可持续性进行定性与定量分析的综合性技术活动。</w:t>
      </w:r>
    </w:p>
    <w:p w14:paraId="1DF475E7">
      <w:pPr>
        <w:pStyle w:val="105"/>
        <w:spacing w:before="120" w:after="120" w:line="360" w:lineRule="auto"/>
      </w:pPr>
      <w:r>
        <w:rPr>
          <w:rFonts w:hint="eastAsia"/>
        </w:rPr>
        <w:t xml:space="preserve">验收 </w:t>
      </w:r>
      <w:r>
        <w:t>acceptance</w:t>
      </w:r>
    </w:p>
    <w:p w14:paraId="52AE05C9">
      <w:pPr>
        <w:pStyle w:val="56"/>
        <w:spacing w:line="360" w:lineRule="auto"/>
        <w:ind w:firstLine="420"/>
      </w:pPr>
      <w:r>
        <w:rPr>
          <w:rFonts w:hint="eastAsia"/>
        </w:rPr>
        <w:t>依据本文件规定的指标和方法，对生态水利工程设计及实施效果进行评定并确认是否符合要求的工作程序。</w:t>
      </w:r>
    </w:p>
    <w:p w14:paraId="39496D5C">
      <w:pPr>
        <w:pStyle w:val="104"/>
        <w:spacing w:before="240" w:after="240" w:line="360" w:lineRule="auto"/>
      </w:pPr>
      <w:bookmarkStart w:id="51" w:name="_Toc205641555"/>
      <w:r>
        <w:rPr>
          <w:rFonts w:hint="eastAsia"/>
        </w:rPr>
        <w:t>总则</w:t>
      </w:r>
      <w:bookmarkEnd w:id="51"/>
    </w:p>
    <w:p w14:paraId="6BAB2149">
      <w:pPr>
        <w:pStyle w:val="162"/>
        <w:spacing w:line="360" w:lineRule="auto"/>
      </w:pPr>
      <w:r>
        <w:rPr>
          <w:rFonts w:hint="eastAsia"/>
        </w:rPr>
        <w:t>生态水利工程设计、评价与验收应坚持以生态优先、绿色发展为导向，统筹考虑防洪、供水、灌溉、航运等水利功能与水生态系统保护修复的综合需求，实现工程安全性、经济性与生态性的协调统一。</w:t>
      </w:r>
    </w:p>
    <w:p w14:paraId="7CC50B86">
      <w:pPr>
        <w:pStyle w:val="162"/>
        <w:spacing w:line="360" w:lineRule="auto"/>
      </w:pPr>
      <w:r>
        <w:rPr>
          <w:rFonts w:hint="eastAsia"/>
        </w:rPr>
        <w:t>设计阶段应充分调研工程所在区域的水文、水质、水生态状况及生态敏感区分布，综合分析水利建设活动对生态系统的潜在影响，合理确定工程规模、布局及技术方案。</w:t>
      </w:r>
    </w:p>
    <w:p w14:paraId="043BF410">
      <w:pPr>
        <w:pStyle w:val="162"/>
        <w:spacing w:line="360" w:lineRule="auto"/>
      </w:pPr>
      <w:r>
        <w:rPr>
          <w:rFonts w:hint="eastAsia"/>
        </w:rPr>
        <w:t>评价工作应贯穿于工程全生命周期，从方案设计、施工实施到运行管理全过程进行，确保工程建设目标与生态保护目标的一致性。</w:t>
      </w:r>
    </w:p>
    <w:p w14:paraId="4DF6C346">
      <w:pPr>
        <w:pStyle w:val="162"/>
        <w:spacing w:line="360" w:lineRule="auto"/>
      </w:pPr>
      <w:r>
        <w:rPr>
          <w:rFonts w:hint="eastAsia"/>
        </w:rPr>
        <w:t>验收工作应依据设计文件、施工记录、监测数据及本指南规定的评价指标，综合考察工程功能实现情况、生态效益达成程度及可持续运行能力。</w:t>
      </w:r>
    </w:p>
    <w:p w14:paraId="4E298868">
      <w:pPr>
        <w:pStyle w:val="162"/>
        <w:spacing w:line="360" w:lineRule="auto"/>
      </w:pPr>
      <w:r>
        <w:rPr>
          <w:rFonts w:hint="eastAsia"/>
        </w:rPr>
        <w:t>生态水利工程应符合国家及地方有关法律法规、相关技术标准和管理规定，并结合区域自然条件、社会经济发展水平及生态保护要求进行科学决策。</w:t>
      </w:r>
    </w:p>
    <w:p w14:paraId="2E076F8C">
      <w:pPr>
        <w:pStyle w:val="104"/>
        <w:spacing w:before="240" w:after="240" w:line="360" w:lineRule="auto"/>
      </w:pPr>
      <w:bookmarkStart w:id="52" w:name="_Toc205641556"/>
      <w:r>
        <w:rPr>
          <w:rFonts w:hint="eastAsia"/>
        </w:rPr>
        <w:t>设计原则与要求</w:t>
      </w:r>
      <w:bookmarkEnd w:id="52"/>
    </w:p>
    <w:p w14:paraId="69FE3A60">
      <w:pPr>
        <w:pStyle w:val="105"/>
        <w:spacing w:before="120" w:after="120" w:line="360" w:lineRule="auto"/>
      </w:pPr>
      <w:r>
        <w:rPr>
          <w:rFonts w:hint="eastAsia"/>
        </w:rPr>
        <w:t>总体原则</w:t>
      </w:r>
    </w:p>
    <w:p w14:paraId="59125F7F">
      <w:pPr>
        <w:pStyle w:val="56"/>
        <w:spacing w:line="360" w:lineRule="auto"/>
        <w:ind w:firstLine="420"/>
      </w:pPr>
      <w:r>
        <w:rPr>
          <w:rFonts w:hint="eastAsia"/>
        </w:rPr>
        <w:t>生态水利工程设计应遵循安全可靠、生态优先、因地制宜、系统协调、可持续发展的原则，充分考虑区域自然条件与社会需求，在满足水利功能的同时实现水生态系统的保护与修复。</w:t>
      </w:r>
    </w:p>
    <w:p w14:paraId="14771D12">
      <w:pPr>
        <w:pStyle w:val="105"/>
        <w:spacing w:before="120" w:after="120" w:line="360" w:lineRule="auto"/>
      </w:pPr>
      <w:r>
        <w:rPr>
          <w:rFonts w:hint="eastAsia"/>
        </w:rPr>
        <w:t>生态保护与修复原则</w:t>
      </w:r>
    </w:p>
    <w:p w14:paraId="38A2EA98">
      <w:pPr>
        <w:pStyle w:val="56"/>
        <w:spacing w:line="360" w:lineRule="auto"/>
        <w:ind w:firstLine="420"/>
      </w:pPr>
      <w:r>
        <w:rPr>
          <w:rFonts w:hint="eastAsia"/>
        </w:rPr>
        <w:t>设计应优先采用生态型护岸、生态涵洞、自然河道形态保持、湿地恢复等技术措施，减少硬质工程对水生和陆生生物栖息环境的破坏，增强水体自净能力与生态连通性。</w:t>
      </w:r>
    </w:p>
    <w:p w14:paraId="15F9C378">
      <w:pPr>
        <w:pStyle w:val="105"/>
        <w:spacing w:before="120" w:after="120" w:line="360" w:lineRule="auto"/>
      </w:pPr>
      <w:r>
        <w:rPr>
          <w:rFonts w:hint="eastAsia"/>
        </w:rPr>
        <w:t>水文与水力条件优化</w:t>
      </w:r>
    </w:p>
    <w:p w14:paraId="29CC8AB7">
      <w:pPr>
        <w:pStyle w:val="56"/>
        <w:spacing w:line="360" w:lineRule="auto"/>
        <w:ind w:firstLine="420"/>
      </w:pPr>
      <w:r>
        <w:rPr>
          <w:rFonts w:hint="eastAsia"/>
        </w:rPr>
        <w:t>应综合分析流域水文特征，合理确定工程断面、坡度和流速，保持生态需水流量和水位变化的自然节律，避免水流紊乱和水体分隔造成生态系统退化。</w:t>
      </w:r>
    </w:p>
    <w:p w14:paraId="3CE0C03A">
      <w:pPr>
        <w:pStyle w:val="105"/>
        <w:spacing w:before="120" w:after="120" w:line="360" w:lineRule="auto"/>
      </w:pPr>
      <w:r>
        <w:rPr>
          <w:rFonts w:hint="eastAsia"/>
        </w:rPr>
        <w:t>水质与环境控制</w:t>
      </w:r>
    </w:p>
    <w:p w14:paraId="153B5687">
      <w:pPr>
        <w:pStyle w:val="56"/>
        <w:spacing w:line="360" w:lineRule="auto"/>
        <w:ind w:firstLine="420"/>
      </w:pPr>
      <w:r>
        <w:rPr>
          <w:rFonts w:hint="eastAsia"/>
        </w:rPr>
        <w:t>设计应采取有效措施防止施工及运行期间的水质污染，优先选用无毒、耐久、环境友好的工程材料，必要时配置生态净化设施，实现水质长期稳定达标。</w:t>
      </w:r>
    </w:p>
    <w:p w14:paraId="7D297FDD">
      <w:pPr>
        <w:pStyle w:val="105"/>
        <w:spacing w:before="120" w:after="120" w:line="360" w:lineRule="auto"/>
      </w:pPr>
      <w:r>
        <w:rPr>
          <w:rFonts w:hint="eastAsia"/>
        </w:rPr>
        <w:t>生物多样性保障</w:t>
      </w:r>
    </w:p>
    <w:p w14:paraId="3C1B4995">
      <w:pPr>
        <w:pStyle w:val="56"/>
        <w:spacing w:line="360" w:lineRule="auto"/>
        <w:ind w:firstLine="420"/>
      </w:pPr>
      <w:r>
        <w:rPr>
          <w:rFonts w:hint="eastAsia"/>
        </w:rPr>
        <w:t>应在工程布局和结构设计中兼顾生物廊道、鱼类洄游通道、湿地植物带等生态设施建设，保障生物多样性和生态系统稳定性。</w:t>
      </w:r>
    </w:p>
    <w:p w14:paraId="798ECD14">
      <w:pPr>
        <w:pStyle w:val="105"/>
        <w:spacing w:before="120" w:after="120" w:line="360" w:lineRule="auto"/>
      </w:pPr>
      <w:r>
        <w:rPr>
          <w:rFonts w:hint="eastAsia"/>
        </w:rPr>
        <w:t>景观与人文融合</w:t>
      </w:r>
    </w:p>
    <w:p w14:paraId="765E6AFA">
      <w:pPr>
        <w:pStyle w:val="56"/>
        <w:spacing w:line="360" w:lineRule="auto"/>
        <w:ind w:firstLine="420"/>
      </w:pPr>
      <w:r>
        <w:rPr>
          <w:rFonts w:hint="eastAsia"/>
        </w:rPr>
        <w:t>设计应充分考虑工程与周边自然景观、人文环境的协调，兼顾生态旅游、科普教育等社会功能，提升工程的综合效益。</w:t>
      </w:r>
    </w:p>
    <w:p w14:paraId="34FA26B8">
      <w:pPr>
        <w:pStyle w:val="105"/>
        <w:spacing w:before="120" w:after="120" w:line="360" w:lineRule="auto"/>
      </w:pPr>
      <w:r>
        <w:rPr>
          <w:rFonts w:hint="eastAsia"/>
        </w:rPr>
        <w:t>可维护性与经济性</w:t>
      </w:r>
    </w:p>
    <w:p w14:paraId="7BAC3B34">
      <w:pPr>
        <w:pStyle w:val="56"/>
        <w:spacing w:line="360" w:lineRule="auto"/>
        <w:ind w:firstLine="420"/>
      </w:pPr>
      <w:r>
        <w:rPr>
          <w:rFonts w:hint="eastAsia"/>
        </w:rPr>
        <w:t>在保证生态功能的前提下，应优化工程结构和选材，降低运行维护成本，延长工程寿命，提高经济可行性。</w:t>
      </w:r>
    </w:p>
    <w:p w14:paraId="180246E8">
      <w:pPr>
        <w:pStyle w:val="104"/>
        <w:spacing w:before="240" w:after="240" w:line="360" w:lineRule="auto"/>
      </w:pPr>
      <w:bookmarkStart w:id="53" w:name="_Toc205641557"/>
      <w:r>
        <w:rPr>
          <w:rFonts w:hint="eastAsia"/>
        </w:rPr>
        <w:t>评价指标与方法</w:t>
      </w:r>
      <w:bookmarkEnd w:id="53"/>
    </w:p>
    <w:p w14:paraId="47E53C85">
      <w:pPr>
        <w:pStyle w:val="105"/>
        <w:spacing w:before="120" w:after="120" w:line="360" w:lineRule="auto"/>
      </w:pPr>
      <w:r>
        <w:rPr>
          <w:rFonts w:hint="eastAsia"/>
        </w:rPr>
        <w:t>评价原则</w:t>
      </w:r>
    </w:p>
    <w:p w14:paraId="404F986D">
      <w:pPr>
        <w:pStyle w:val="56"/>
        <w:spacing w:line="360" w:lineRule="auto"/>
        <w:ind w:firstLine="420"/>
      </w:pPr>
      <w:r>
        <w:rPr>
          <w:rFonts w:hint="eastAsia"/>
        </w:rPr>
        <w:t>生态水利工程评价应遵循以下原则：</w:t>
      </w:r>
    </w:p>
    <w:p w14:paraId="48976CD5">
      <w:pPr>
        <w:pStyle w:val="174"/>
        <w:spacing w:line="360" w:lineRule="auto"/>
      </w:pPr>
      <w:r>
        <w:rPr>
          <w:rFonts w:hint="eastAsia"/>
        </w:rPr>
        <w:t>科学性：评价方法基于科学理论与实测数据，指标具有代表性和可验证性；</w:t>
      </w:r>
    </w:p>
    <w:p w14:paraId="7436FC0C">
      <w:pPr>
        <w:pStyle w:val="174"/>
        <w:spacing w:line="360" w:lineRule="auto"/>
      </w:pPr>
      <w:r>
        <w:rPr>
          <w:rFonts w:hint="eastAsia"/>
        </w:rPr>
        <w:t>系统性：涵盖工程安全、生态保护、水环境质量、景观与社会效益等全要素；</w:t>
      </w:r>
    </w:p>
    <w:p w14:paraId="7C703BF0">
      <w:pPr>
        <w:pStyle w:val="174"/>
        <w:spacing w:line="360" w:lineRule="auto"/>
      </w:pPr>
      <w:r>
        <w:rPr>
          <w:rFonts w:hint="eastAsia"/>
        </w:rPr>
        <w:t>可量化：尽可能使用可测量的指标和明确的阈值；</w:t>
      </w:r>
    </w:p>
    <w:p w14:paraId="78B84F75">
      <w:pPr>
        <w:pStyle w:val="174"/>
        <w:spacing w:line="360" w:lineRule="auto"/>
      </w:pPr>
      <w:r>
        <w:rPr>
          <w:rFonts w:hint="eastAsia"/>
        </w:rPr>
        <w:t>可比性：便于不同项目、不同地区之间的横向对比和纵向跟踪；</w:t>
      </w:r>
    </w:p>
    <w:p w14:paraId="51CD43A6">
      <w:pPr>
        <w:pStyle w:val="174"/>
        <w:spacing w:line="360" w:lineRule="auto"/>
      </w:pPr>
      <w:r>
        <w:rPr>
          <w:rFonts w:hint="eastAsia"/>
        </w:rPr>
        <w:t>动态性：评价结果应可随运行时间进行修正与跟踪。</w:t>
      </w:r>
    </w:p>
    <w:p w14:paraId="5342C744">
      <w:pPr>
        <w:pStyle w:val="105"/>
        <w:spacing w:before="120" w:after="120" w:line="360" w:lineRule="auto"/>
      </w:pPr>
      <w:r>
        <w:rPr>
          <w:rFonts w:hint="eastAsia"/>
        </w:rPr>
        <w:t>评价指标体系</w:t>
      </w:r>
    </w:p>
    <w:p w14:paraId="43E36D85">
      <w:pPr>
        <w:pStyle w:val="56"/>
        <w:spacing w:line="360" w:lineRule="auto"/>
        <w:ind w:firstLine="420"/>
      </w:pPr>
      <w:r>
        <w:rPr>
          <w:rFonts w:hint="eastAsia"/>
        </w:rPr>
        <w:t>评价指标分为一级指标（功能、安全、生态、环境、社会五大类）和二级指标（具体技术指标）：</w:t>
      </w:r>
    </w:p>
    <w:p w14:paraId="5B33B305">
      <w:pPr>
        <w:pStyle w:val="132"/>
        <w:spacing w:line="360" w:lineRule="auto"/>
      </w:pPr>
      <w:r>
        <w:rPr>
          <w:rFonts w:hint="eastAsia"/>
        </w:rPr>
        <w:t>功能类指标：</w:t>
      </w:r>
    </w:p>
    <w:p w14:paraId="4C454842">
      <w:pPr>
        <w:pStyle w:val="187"/>
        <w:spacing w:line="360" w:lineRule="auto"/>
      </w:pPr>
      <w:r>
        <w:rPr>
          <w:rFonts w:hint="eastAsia"/>
        </w:rPr>
        <w:t>防洪标准达标率（%）；</w:t>
      </w:r>
    </w:p>
    <w:p w14:paraId="11AE8440">
      <w:pPr>
        <w:pStyle w:val="187"/>
        <w:spacing w:line="360" w:lineRule="auto"/>
      </w:pPr>
      <w:r>
        <w:rPr>
          <w:rFonts w:hint="eastAsia"/>
        </w:rPr>
        <w:t>供水保证率（%）；</w:t>
      </w:r>
    </w:p>
    <w:p w14:paraId="76A31825">
      <w:pPr>
        <w:pStyle w:val="187"/>
        <w:spacing w:line="360" w:lineRule="auto"/>
      </w:pPr>
      <w:r>
        <w:rPr>
          <w:rFonts w:hint="eastAsia"/>
        </w:rPr>
        <w:t>灌溉水利用系数。</w:t>
      </w:r>
    </w:p>
    <w:p w14:paraId="26CE73C3">
      <w:pPr>
        <w:pStyle w:val="132"/>
        <w:spacing w:line="360" w:lineRule="auto"/>
      </w:pPr>
      <w:r>
        <w:rPr>
          <w:rFonts w:hint="eastAsia"/>
        </w:rPr>
        <w:t>安全类指标：</w:t>
      </w:r>
    </w:p>
    <w:p w14:paraId="645D84F2">
      <w:pPr>
        <w:pStyle w:val="187"/>
        <w:spacing w:line="360" w:lineRule="auto"/>
      </w:pPr>
      <w:r>
        <w:rPr>
          <w:rFonts w:hint="eastAsia"/>
        </w:rPr>
        <w:t>工程结构安全评定等级；</w:t>
      </w:r>
    </w:p>
    <w:p w14:paraId="1E8E187B">
      <w:pPr>
        <w:pStyle w:val="187"/>
        <w:spacing w:line="360" w:lineRule="auto"/>
      </w:pPr>
      <w:r>
        <w:rPr>
          <w:rFonts w:hint="eastAsia"/>
        </w:rPr>
        <w:t>防灾减灾能力指数。</w:t>
      </w:r>
    </w:p>
    <w:p w14:paraId="62E21B1D">
      <w:pPr>
        <w:pStyle w:val="132"/>
        <w:spacing w:line="360" w:lineRule="auto"/>
      </w:pPr>
      <w:r>
        <w:rPr>
          <w:rFonts w:hint="eastAsia"/>
        </w:rPr>
        <w:t>生态类指标：</w:t>
      </w:r>
    </w:p>
    <w:p w14:paraId="38EE1B7D">
      <w:pPr>
        <w:pStyle w:val="187"/>
        <w:spacing w:line="360" w:lineRule="auto"/>
      </w:pPr>
      <w:r>
        <w:rPr>
          <w:rFonts w:hint="eastAsia"/>
        </w:rPr>
        <w:t>水生生物多样性指数（Shannon-Wiener指数）；</w:t>
      </w:r>
    </w:p>
    <w:p w14:paraId="480E373B">
      <w:pPr>
        <w:pStyle w:val="187"/>
        <w:spacing w:line="360" w:lineRule="auto"/>
      </w:pPr>
      <w:r>
        <w:rPr>
          <w:rFonts w:hint="eastAsia"/>
        </w:rPr>
        <w:t>栖息地连通性指数；</w:t>
      </w:r>
    </w:p>
    <w:p w14:paraId="4683F9C6">
      <w:pPr>
        <w:pStyle w:val="187"/>
        <w:spacing w:line="360" w:lineRule="auto"/>
      </w:pPr>
      <w:r>
        <w:rPr>
          <w:rFonts w:hint="eastAsia"/>
        </w:rPr>
        <w:t>河岸植被恢复率（%）；</w:t>
      </w:r>
    </w:p>
    <w:p w14:paraId="5A784423">
      <w:pPr>
        <w:pStyle w:val="187"/>
        <w:spacing w:line="360" w:lineRule="auto"/>
      </w:pPr>
      <w:r>
        <w:rPr>
          <w:rFonts w:hint="eastAsia"/>
        </w:rPr>
        <w:t>湿地恢复面积（hm²）。</w:t>
      </w:r>
    </w:p>
    <w:p w14:paraId="30CEDF46">
      <w:pPr>
        <w:pStyle w:val="132"/>
        <w:spacing w:line="360" w:lineRule="auto"/>
      </w:pPr>
      <w:r>
        <w:rPr>
          <w:rFonts w:hint="eastAsia"/>
        </w:rPr>
        <w:t>环境类指标：</w:t>
      </w:r>
    </w:p>
    <w:p w14:paraId="55F96CD8">
      <w:pPr>
        <w:pStyle w:val="187"/>
        <w:spacing w:line="360" w:lineRule="auto"/>
      </w:pPr>
      <w:r>
        <w:rPr>
          <w:rFonts w:hint="eastAsia"/>
        </w:rPr>
        <w:t>水质达标率（溶解氧、总氮、总磷等）；</w:t>
      </w:r>
    </w:p>
    <w:p w14:paraId="6A900A8F">
      <w:pPr>
        <w:pStyle w:val="187"/>
        <w:spacing w:line="360" w:lineRule="auto"/>
      </w:pPr>
      <w:r>
        <w:rPr>
          <w:rFonts w:hint="eastAsia"/>
        </w:rPr>
        <w:t>水体透明度（m）；</w:t>
      </w:r>
    </w:p>
    <w:p w14:paraId="086B9BFC">
      <w:pPr>
        <w:pStyle w:val="187"/>
        <w:spacing w:line="360" w:lineRule="auto"/>
      </w:pPr>
      <w:r>
        <w:rPr>
          <w:rFonts w:hint="eastAsia"/>
        </w:rPr>
        <w:t>沉积物污染物含量。</w:t>
      </w:r>
    </w:p>
    <w:p w14:paraId="2EF84ED5">
      <w:pPr>
        <w:pStyle w:val="132"/>
        <w:spacing w:line="360" w:lineRule="auto"/>
      </w:pPr>
      <w:r>
        <w:rPr>
          <w:rFonts w:hint="eastAsia"/>
        </w:rPr>
        <w:t>社会类指标：</w:t>
      </w:r>
    </w:p>
    <w:p w14:paraId="035E8DD0">
      <w:pPr>
        <w:pStyle w:val="187"/>
        <w:spacing w:line="360" w:lineRule="auto"/>
      </w:pPr>
      <w:r>
        <w:rPr>
          <w:rFonts w:hint="eastAsia"/>
        </w:rPr>
        <w:t>景观协调度（专家打分）；</w:t>
      </w:r>
    </w:p>
    <w:p w14:paraId="251D35E8">
      <w:pPr>
        <w:pStyle w:val="187"/>
        <w:spacing w:line="360" w:lineRule="auto"/>
      </w:pPr>
      <w:r>
        <w:rPr>
          <w:rFonts w:hint="eastAsia"/>
        </w:rPr>
        <w:t>公众满意度（调查问卷结果）；</w:t>
      </w:r>
    </w:p>
    <w:p w14:paraId="4B298236">
      <w:pPr>
        <w:pStyle w:val="187"/>
        <w:spacing w:line="360" w:lineRule="auto"/>
      </w:pPr>
      <w:r>
        <w:rPr>
          <w:rFonts w:hint="eastAsia"/>
        </w:rPr>
        <w:t>生态旅游或教育活动开展频次。</w:t>
      </w:r>
    </w:p>
    <w:p w14:paraId="334D81F9">
      <w:pPr>
        <w:pStyle w:val="105"/>
        <w:spacing w:before="120" w:after="120" w:line="360" w:lineRule="auto"/>
      </w:pPr>
      <w:r>
        <w:rPr>
          <w:rFonts w:hint="eastAsia"/>
        </w:rPr>
        <w:t>数据获取与监测要求</w:t>
      </w:r>
    </w:p>
    <w:p w14:paraId="3F7FEC2C">
      <w:pPr>
        <w:pStyle w:val="56"/>
        <w:spacing w:line="360" w:lineRule="auto"/>
        <w:ind w:firstLine="420"/>
      </w:pPr>
      <w:r>
        <w:rPr>
          <w:rFonts w:hint="eastAsia"/>
        </w:rPr>
        <w:t>水文数据应来自流域监测站或项目现场布设的流量计、雨量计等设备。</w:t>
      </w:r>
    </w:p>
    <w:p w14:paraId="29942F19">
      <w:pPr>
        <w:pStyle w:val="56"/>
        <w:spacing w:line="360" w:lineRule="auto"/>
        <w:ind w:firstLine="420"/>
      </w:pPr>
      <w:r>
        <w:rPr>
          <w:rFonts w:hint="eastAsia"/>
        </w:rPr>
        <w:t>水质数据应按要求定期监测，监测频次不得低于季度一次。</w:t>
      </w:r>
    </w:p>
    <w:p w14:paraId="34DFA720">
      <w:pPr>
        <w:pStyle w:val="56"/>
        <w:spacing w:line="360" w:lineRule="auto"/>
        <w:ind w:firstLine="420"/>
      </w:pPr>
      <w:r>
        <w:rPr>
          <w:rFonts w:hint="eastAsia"/>
        </w:rPr>
        <w:t>生物多样性监测应涵盖浮游植物、底栖动物、鱼类和岸带植被。</w:t>
      </w:r>
    </w:p>
    <w:p w14:paraId="031B56B0">
      <w:pPr>
        <w:pStyle w:val="56"/>
        <w:spacing w:line="360" w:lineRule="auto"/>
        <w:ind w:firstLine="420"/>
      </w:pPr>
      <w:r>
        <w:rPr>
          <w:rFonts w:hint="eastAsia"/>
        </w:rPr>
        <w:t>景观与公众满意度调查应采用标准化问卷与评分体系。</w:t>
      </w:r>
    </w:p>
    <w:p w14:paraId="4AD94C2B">
      <w:pPr>
        <w:pStyle w:val="56"/>
        <w:spacing w:line="360" w:lineRule="auto"/>
        <w:ind w:firstLine="420"/>
      </w:pPr>
      <w:r>
        <w:rPr>
          <w:rFonts w:hint="eastAsia"/>
        </w:rPr>
        <w:t>所有数据应归档保存，便于复核与后续跟踪评价。</w:t>
      </w:r>
    </w:p>
    <w:p w14:paraId="3465DDC2">
      <w:pPr>
        <w:pStyle w:val="105"/>
        <w:spacing w:before="120" w:after="120" w:line="360" w:lineRule="auto"/>
      </w:pPr>
      <w:r>
        <w:rPr>
          <w:rFonts w:hint="eastAsia"/>
        </w:rPr>
        <w:t>评价方法</w:t>
      </w:r>
    </w:p>
    <w:p w14:paraId="42F92CC6">
      <w:pPr>
        <w:pStyle w:val="56"/>
        <w:spacing w:line="360" w:lineRule="auto"/>
        <w:ind w:firstLine="420"/>
      </w:pPr>
      <w:r>
        <w:rPr>
          <w:rFonts w:hint="eastAsia"/>
        </w:rPr>
        <w:t>加权评分法：依据各指标的重要程度分配权重（功能30%、安全20%、生态30%、环境10%、社会10%），计算加权总分。</w:t>
      </w:r>
    </w:p>
    <w:p w14:paraId="6C3784D7">
      <w:pPr>
        <w:pStyle w:val="56"/>
        <w:spacing w:line="360" w:lineRule="auto"/>
        <w:ind w:firstLine="420"/>
      </w:pPr>
      <w:r>
        <w:rPr>
          <w:rFonts w:hint="eastAsia"/>
        </w:rPr>
        <w:t>综合指数法：将各指标标准化后计算综合指数，以反映整体生态绩效。</w:t>
      </w:r>
    </w:p>
    <w:p w14:paraId="28F00EF0">
      <w:pPr>
        <w:pStyle w:val="56"/>
        <w:spacing w:line="360" w:lineRule="auto"/>
        <w:ind w:firstLine="420"/>
      </w:pPr>
      <w:r>
        <w:rPr>
          <w:rFonts w:hint="eastAsia"/>
        </w:rPr>
        <w:t>定性补充：对难以量化的指标通过专家打分和实地调查补充说明。</w:t>
      </w:r>
    </w:p>
    <w:p w14:paraId="1C79D725">
      <w:pPr>
        <w:pStyle w:val="56"/>
        <w:spacing w:line="360" w:lineRule="auto"/>
        <w:ind w:firstLine="420"/>
      </w:pPr>
      <w:r>
        <w:rPr>
          <w:rFonts w:hint="eastAsia"/>
        </w:rPr>
        <w:t>综合结论：结合加权得分和定性结果，给出工程综合等级。</w:t>
      </w:r>
    </w:p>
    <w:p w14:paraId="60046B8C">
      <w:pPr>
        <w:pStyle w:val="105"/>
        <w:spacing w:before="120" w:after="120" w:line="360" w:lineRule="auto"/>
      </w:pPr>
      <w:r>
        <w:rPr>
          <w:rFonts w:hint="eastAsia"/>
        </w:rPr>
        <w:t>评价程序</w:t>
      </w:r>
    </w:p>
    <w:p w14:paraId="7CF7C100">
      <w:pPr>
        <w:pStyle w:val="56"/>
        <w:spacing w:line="360" w:lineRule="auto"/>
        <w:ind w:firstLine="420"/>
      </w:pPr>
      <w:r>
        <w:rPr>
          <w:rFonts w:hint="eastAsia"/>
        </w:rPr>
        <w:t>评价程序可按以下步骤进行：</w:t>
      </w:r>
    </w:p>
    <w:p w14:paraId="7AFB622F">
      <w:pPr>
        <w:pStyle w:val="174"/>
        <w:numPr>
          <w:ilvl w:val="0"/>
          <w:numId w:val="32"/>
        </w:numPr>
        <w:spacing w:line="360" w:lineRule="auto"/>
      </w:pPr>
      <w:r>
        <w:rPr>
          <w:rFonts w:hint="eastAsia"/>
        </w:rPr>
        <w:t>明确评价目标与范围；</w:t>
      </w:r>
    </w:p>
    <w:p w14:paraId="2CE42756">
      <w:pPr>
        <w:pStyle w:val="174"/>
        <w:spacing w:line="360" w:lineRule="auto"/>
      </w:pPr>
      <w:r>
        <w:rPr>
          <w:rFonts w:hint="eastAsia"/>
        </w:rPr>
        <w:t>制定监测与调查方案，落实数据采集任务；</w:t>
      </w:r>
    </w:p>
    <w:p w14:paraId="0BB07E79">
      <w:pPr>
        <w:pStyle w:val="174"/>
        <w:spacing w:line="360" w:lineRule="auto"/>
      </w:pPr>
      <w:r>
        <w:rPr>
          <w:rFonts w:hint="eastAsia"/>
        </w:rPr>
        <w:t>数据采集与整理，确保准确性与完整性；</w:t>
      </w:r>
    </w:p>
    <w:p w14:paraId="04D2AB26">
      <w:pPr>
        <w:pStyle w:val="174"/>
        <w:spacing w:line="360" w:lineRule="auto"/>
      </w:pPr>
      <w:r>
        <w:rPr>
          <w:rFonts w:hint="eastAsia"/>
        </w:rPr>
        <w:t>按指标体系计算各项得分及综合得分；</w:t>
      </w:r>
    </w:p>
    <w:p w14:paraId="11043FFF">
      <w:pPr>
        <w:pStyle w:val="174"/>
        <w:spacing w:line="360" w:lineRule="auto"/>
      </w:pPr>
      <w:r>
        <w:rPr>
          <w:rFonts w:hint="eastAsia"/>
        </w:rPr>
        <w:t>根据分级标准确定评价等级；</w:t>
      </w:r>
    </w:p>
    <w:p w14:paraId="0D88E7AA">
      <w:pPr>
        <w:pStyle w:val="174"/>
        <w:spacing w:line="360" w:lineRule="auto"/>
      </w:pPr>
      <w:r>
        <w:rPr>
          <w:rFonts w:hint="eastAsia"/>
        </w:rPr>
        <w:t>形成评价报告，提出改进建议。</w:t>
      </w:r>
    </w:p>
    <w:p w14:paraId="505ACD4B">
      <w:pPr>
        <w:pStyle w:val="105"/>
        <w:spacing w:before="120" w:after="120" w:line="360" w:lineRule="auto"/>
      </w:pPr>
      <w:r>
        <w:rPr>
          <w:rFonts w:hint="eastAsia"/>
        </w:rPr>
        <w:t>评价分级</w:t>
      </w:r>
    </w:p>
    <w:p w14:paraId="15D0FD8E">
      <w:pPr>
        <w:pStyle w:val="56"/>
        <w:spacing w:line="360" w:lineRule="auto"/>
        <w:ind w:firstLine="420"/>
      </w:pPr>
      <w:r>
        <w:rPr>
          <w:rFonts w:hint="eastAsia"/>
        </w:rPr>
        <w:t>生态水利工程评价分级见表1。</w:t>
      </w:r>
    </w:p>
    <w:p w14:paraId="69CD70DB">
      <w:pPr>
        <w:pStyle w:val="112"/>
        <w:spacing w:before="120" w:after="120" w:line="360" w:lineRule="auto"/>
      </w:pPr>
      <w:r>
        <w:rPr>
          <w:rFonts w:hint="eastAsia"/>
        </w:rPr>
        <w:t>生态水利工程评价分级</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08"/>
        <w:gridCol w:w="1276"/>
        <w:gridCol w:w="3827"/>
        <w:gridCol w:w="2823"/>
      </w:tblGrid>
      <w:tr w14:paraId="61922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408" w:type="dxa"/>
            <w:tcBorders>
              <w:top w:val="single" w:color="auto" w:sz="8" w:space="0"/>
              <w:bottom w:val="single" w:color="auto" w:sz="8" w:space="0"/>
            </w:tcBorders>
            <w:shd w:val="clear" w:color="auto" w:fill="auto"/>
          </w:tcPr>
          <w:p w14:paraId="224FCA07">
            <w:pPr>
              <w:pStyle w:val="178"/>
            </w:pPr>
            <w:r>
              <w:rPr>
                <w:rFonts w:hint="eastAsia"/>
              </w:rPr>
              <w:t>综合得分范围</w:t>
            </w:r>
          </w:p>
        </w:tc>
        <w:tc>
          <w:tcPr>
            <w:tcW w:w="1276" w:type="dxa"/>
            <w:tcBorders>
              <w:top w:val="single" w:color="auto" w:sz="8" w:space="0"/>
              <w:bottom w:val="single" w:color="auto" w:sz="8" w:space="0"/>
            </w:tcBorders>
            <w:shd w:val="clear" w:color="auto" w:fill="auto"/>
          </w:tcPr>
          <w:p w14:paraId="6A063E90">
            <w:pPr>
              <w:pStyle w:val="178"/>
            </w:pPr>
            <w:r>
              <w:rPr>
                <w:rFonts w:hint="eastAsia"/>
              </w:rPr>
              <w:t>等级</w:t>
            </w:r>
          </w:p>
        </w:tc>
        <w:tc>
          <w:tcPr>
            <w:tcW w:w="3827" w:type="dxa"/>
            <w:tcBorders>
              <w:top w:val="single" w:color="auto" w:sz="8" w:space="0"/>
              <w:bottom w:val="single" w:color="auto" w:sz="8" w:space="0"/>
            </w:tcBorders>
            <w:shd w:val="clear" w:color="auto" w:fill="auto"/>
          </w:tcPr>
          <w:p w14:paraId="0C9B1A38">
            <w:pPr>
              <w:pStyle w:val="178"/>
            </w:pPr>
            <w:r>
              <w:rPr>
                <w:rFonts w:hint="eastAsia"/>
              </w:rPr>
              <w:t>评价结论</w:t>
            </w:r>
          </w:p>
        </w:tc>
        <w:tc>
          <w:tcPr>
            <w:tcW w:w="2823" w:type="dxa"/>
            <w:tcBorders>
              <w:top w:val="single" w:color="auto" w:sz="8" w:space="0"/>
              <w:bottom w:val="single" w:color="auto" w:sz="8" w:space="0"/>
            </w:tcBorders>
            <w:shd w:val="clear" w:color="auto" w:fill="auto"/>
          </w:tcPr>
          <w:p w14:paraId="35498C25">
            <w:pPr>
              <w:pStyle w:val="178"/>
            </w:pPr>
            <w:r>
              <w:rPr>
                <w:rFonts w:hint="eastAsia"/>
              </w:rPr>
              <w:t>建议措施</w:t>
            </w:r>
          </w:p>
        </w:tc>
      </w:tr>
      <w:tr w14:paraId="799962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Borders>
              <w:top w:val="single" w:color="auto" w:sz="8" w:space="0"/>
            </w:tcBorders>
            <w:shd w:val="clear" w:color="auto" w:fill="auto"/>
          </w:tcPr>
          <w:p w14:paraId="3F869F5E">
            <w:pPr>
              <w:pStyle w:val="178"/>
            </w:pPr>
            <w:r>
              <w:rPr>
                <w:rFonts w:hint="eastAsia"/>
              </w:rPr>
              <w:t>≥90</w:t>
            </w:r>
          </w:p>
        </w:tc>
        <w:tc>
          <w:tcPr>
            <w:tcW w:w="1276" w:type="dxa"/>
            <w:tcBorders>
              <w:top w:val="single" w:color="auto" w:sz="8" w:space="0"/>
            </w:tcBorders>
            <w:shd w:val="clear" w:color="auto" w:fill="auto"/>
          </w:tcPr>
          <w:p w14:paraId="2A9CB2FD">
            <w:pPr>
              <w:pStyle w:val="178"/>
            </w:pPr>
            <w:r>
              <w:rPr>
                <w:rFonts w:hint="eastAsia"/>
              </w:rPr>
              <w:t>优秀</w:t>
            </w:r>
          </w:p>
        </w:tc>
        <w:tc>
          <w:tcPr>
            <w:tcW w:w="3827" w:type="dxa"/>
            <w:tcBorders>
              <w:top w:val="single" w:color="auto" w:sz="8" w:space="0"/>
            </w:tcBorders>
            <w:shd w:val="clear" w:color="auto" w:fill="auto"/>
          </w:tcPr>
          <w:p w14:paraId="588B6595">
            <w:pPr>
              <w:pStyle w:val="178"/>
            </w:pPr>
            <w:r>
              <w:rPr>
                <w:rFonts w:hint="eastAsia"/>
              </w:rPr>
              <w:t>工程功能和生态效益均显著，运行状态良好</w:t>
            </w:r>
          </w:p>
        </w:tc>
        <w:tc>
          <w:tcPr>
            <w:tcW w:w="2823" w:type="dxa"/>
            <w:tcBorders>
              <w:top w:val="single" w:color="auto" w:sz="8" w:space="0"/>
            </w:tcBorders>
            <w:shd w:val="clear" w:color="auto" w:fill="auto"/>
          </w:tcPr>
          <w:p w14:paraId="76C4DE84">
            <w:pPr>
              <w:pStyle w:val="178"/>
            </w:pPr>
            <w:r>
              <w:rPr>
                <w:rFonts w:hint="eastAsia"/>
              </w:rPr>
              <w:t>维持现有运行模式，定期复核</w:t>
            </w:r>
          </w:p>
        </w:tc>
      </w:tr>
      <w:tr w14:paraId="51DE1D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shd w:val="clear" w:color="auto" w:fill="auto"/>
          </w:tcPr>
          <w:p w14:paraId="0C663A41">
            <w:pPr>
              <w:pStyle w:val="178"/>
            </w:pPr>
            <w:r>
              <w:rPr>
                <w:rFonts w:hint="eastAsia"/>
              </w:rPr>
              <w:t>80～89</w:t>
            </w:r>
          </w:p>
        </w:tc>
        <w:tc>
          <w:tcPr>
            <w:tcW w:w="1276" w:type="dxa"/>
            <w:shd w:val="clear" w:color="auto" w:fill="auto"/>
          </w:tcPr>
          <w:p w14:paraId="48D5754D">
            <w:pPr>
              <w:pStyle w:val="178"/>
            </w:pPr>
            <w:r>
              <w:rPr>
                <w:rFonts w:hint="eastAsia"/>
              </w:rPr>
              <w:t>良好</w:t>
            </w:r>
          </w:p>
        </w:tc>
        <w:tc>
          <w:tcPr>
            <w:tcW w:w="3827" w:type="dxa"/>
            <w:shd w:val="clear" w:color="auto" w:fill="auto"/>
          </w:tcPr>
          <w:p w14:paraId="4001F2D3">
            <w:pPr>
              <w:pStyle w:val="178"/>
            </w:pPr>
            <w:r>
              <w:rPr>
                <w:rFonts w:hint="eastAsia"/>
              </w:rPr>
              <w:t>功能和生态效益较好，个别指标略低于最优</w:t>
            </w:r>
          </w:p>
        </w:tc>
        <w:tc>
          <w:tcPr>
            <w:tcW w:w="2823" w:type="dxa"/>
            <w:shd w:val="clear" w:color="auto" w:fill="auto"/>
          </w:tcPr>
          <w:p w14:paraId="25CD590D">
            <w:pPr>
              <w:pStyle w:val="178"/>
            </w:pPr>
            <w:r>
              <w:rPr>
                <w:rFonts w:hint="eastAsia"/>
              </w:rPr>
              <w:t>有针对性优化部分设施</w:t>
            </w:r>
          </w:p>
        </w:tc>
      </w:tr>
      <w:tr w14:paraId="3C2A52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shd w:val="clear" w:color="auto" w:fill="auto"/>
          </w:tcPr>
          <w:p w14:paraId="5127C994">
            <w:pPr>
              <w:pStyle w:val="178"/>
            </w:pPr>
            <w:r>
              <w:rPr>
                <w:rFonts w:hint="eastAsia"/>
              </w:rPr>
              <w:t>70～79</w:t>
            </w:r>
          </w:p>
        </w:tc>
        <w:tc>
          <w:tcPr>
            <w:tcW w:w="1276" w:type="dxa"/>
            <w:shd w:val="clear" w:color="auto" w:fill="auto"/>
          </w:tcPr>
          <w:p w14:paraId="7E6D1E82">
            <w:pPr>
              <w:pStyle w:val="178"/>
            </w:pPr>
            <w:r>
              <w:rPr>
                <w:rFonts w:hint="eastAsia"/>
              </w:rPr>
              <w:t>合格</w:t>
            </w:r>
          </w:p>
        </w:tc>
        <w:tc>
          <w:tcPr>
            <w:tcW w:w="3827" w:type="dxa"/>
            <w:shd w:val="clear" w:color="auto" w:fill="auto"/>
          </w:tcPr>
          <w:p w14:paraId="3B386912">
            <w:pPr>
              <w:pStyle w:val="178"/>
            </w:pPr>
            <w:r>
              <w:rPr>
                <w:rFonts w:hint="eastAsia"/>
              </w:rPr>
              <w:t>功能达标但生态效益有待提升</w:t>
            </w:r>
          </w:p>
        </w:tc>
        <w:tc>
          <w:tcPr>
            <w:tcW w:w="2823" w:type="dxa"/>
            <w:shd w:val="clear" w:color="auto" w:fill="auto"/>
          </w:tcPr>
          <w:p w14:paraId="7E23BD83">
            <w:pPr>
              <w:pStyle w:val="178"/>
            </w:pPr>
            <w:r>
              <w:rPr>
                <w:rFonts w:hint="eastAsia"/>
              </w:rPr>
              <w:t>制定生态优化与修复计划</w:t>
            </w:r>
          </w:p>
        </w:tc>
      </w:tr>
      <w:tr w14:paraId="53F4C3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shd w:val="clear" w:color="auto" w:fill="auto"/>
          </w:tcPr>
          <w:p w14:paraId="3EBD7152">
            <w:pPr>
              <w:pStyle w:val="178"/>
            </w:pPr>
            <w:r>
              <w:rPr>
                <w:rFonts w:hint="eastAsia"/>
              </w:rPr>
              <w:t>&lt;70</w:t>
            </w:r>
          </w:p>
        </w:tc>
        <w:tc>
          <w:tcPr>
            <w:tcW w:w="1276" w:type="dxa"/>
            <w:shd w:val="clear" w:color="auto" w:fill="auto"/>
          </w:tcPr>
          <w:p w14:paraId="04B13B59">
            <w:pPr>
              <w:pStyle w:val="178"/>
            </w:pPr>
            <w:r>
              <w:rPr>
                <w:rFonts w:hint="eastAsia"/>
              </w:rPr>
              <w:t>不合格</w:t>
            </w:r>
          </w:p>
        </w:tc>
        <w:tc>
          <w:tcPr>
            <w:tcW w:w="3827" w:type="dxa"/>
            <w:shd w:val="clear" w:color="auto" w:fill="auto"/>
          </w:tcPr>
          <w:p w14:paraId="1E3E6FAB">
            <w:pPr>
              <w:pStyle w:val="178"/>
            </w:pPr>
            <w:r>
              <w:rPr>
                <w:rFonts w:hint="eastAsia"/>
              </w:rPr>
              <w:t>功能或生态效益明显不足</w:t>
            </w:r>
          </w:p>
        </w:tc>
        <w:tc>
          <w:tcPr>
            <w:tcW w:w="2823" w:type="dxa"/>
            <w:shd w:val="clear" w:color="auto" w:fill="auto"/>
          </w:tcPr>
          <w:p w14:paraId="5C4EBEA6">
            <w:pPr>
              <w:pStyle w:val="178"/>
            </w:pPr>
            <w:r>
              <w:rPr>
                <w:rFonts w:hint="eastAsia"/>
              </w:rPr>
              <w:t>进行整改或结构性改造</w:t>
            </w:r>
          </w:p>
        </w:tc>
      </w:tr>
    </w:tbl>
    <w:p w14:paraId="03354F25">
      <w:pPr>
        <w:pStyle w:val="104"/>
        <w:spacing w:before="240" w:after="240" w:line="360" w:lineRule="auto"/>
      </w:pPr>
      <w:bookmarkStart w:id="54" w:name="_Toc205641558"/>
      <w:r>
        <w:rPr>
          <w:rFonts w:hint="eastAsia"/>
        </w:rPr>
        <w:t>验收程序与标准</w:t>
      </w:r>
      <w:bookmarkEnd w:id="54"/>
    </w:p>
    <w:p w14:paraId="748C3490">
      <w:pPr>
        <w:pStyle w:val="105"/>
        <w:spacing w:before="120" w:after="120" w:line="360" w:lineRule="auto"/>
      </w:pPr>
      <w:r>
        <w:rPr>
          <w:rFonts w:hint="eastAsia"/>
        </w:rPr>
        <w:t>验收原则</w:t>
      </w:r>
    </w:p>
    <w:p w14:paraId="41C97631">
      <w:pPr>
        <w:pStyle w:val="56"/>
        <w:spacing w:line="360" w:lineRule="auto"/>
        <w:ind w:firstLine="420"/>
      </w:pPr>
      <w:r>
        <w:rPr>
          <w:rFonts w:hint="eastAsia"/>
        </w:rPr>
        <w:t>生态水利工程验收应遵循科学、客观、公正、公开的原则，综合考察工程在水利功能、生态保护、环境质量和社会效益等方面的目标达成情况。验收应以设计文件、施工记录、监测数据和现场检查结果为依据，确保评价结果真实可靠、可追溯。</w:t>
      </w:r>
    </w:p>
    <w:p w14:paraId="5EF2CDE7">
      <w:pPr>
        <w:pStyle w:val="105"/>
        <w:spacing w:before="120" w:after="120" w:line="360" w:lineRule="auto"/>
      </w:pPr>
      <w:r>
        <w:rPr>
          <w:rFonts w:hint="eastAsia"/>
        </w:rPr>
        <w:t>验收条件</w:t>
      </w:r>
    </w:p>
    <w:p w14:paraId="041C0663">
      <w:pPr>
        <w:pStyle w:val="56"/>
        <w:spacing w:line="360" w:lineRule="auto"/>
        <w:ind w:firstLine="420"/>
      </w:pPr>
      <w:r>
        <w:rPr>
          <w:rFonts w:hint="eastAsia"/>
        </w:rPr>
        <w:t>当满足以下要求时可进行验收：</w:t>
      </w:r>
    </w:p>
    <w:p w14:paraId="23D1FFE5">
      <w:pPr>
        <w:pStyle w:val="174"/>
        <w:numPr>
          <w:ilvl w:val="0"/>
          <w:numId w:val="33"/>
        </w:numPr>
        <w:spacing w:line="360" w:lineRule="auto"/>
      </w:pPr>
      <w:r>
        <w:rPr>
          <w:rFonts w:hint="eastAsia"/>
        </w:rPr>
        <w:t>工程已按设计要求完成建设，并经过规定期限的试运行；</w:t>
      </w:r>
    </w:p>
    <w:p w14:paraId="4A52BA06">
      <w:pPr>
        <w:pStyle w:val="174"/>
        <w:spacing w:line="360" w:lineRule="auto"/>
      </w:pPr>
      <w:r>
        <w:rPr>
          <w:rFonts w:hint="eastAsia"/>
        </w:rPr>
        <w:t>设计文件、竣工图纸、施工记录、监测数据、运行日志等资料齐全且归档规范；</w:t>
      </w:r>
    </w:p>
    <w:p w14:paraId="62B75D1B">
      <w:pPr>
        <w:pStyle w:val="174"/>
        <w:spacing w:line="360" w:lineRule="auto"/>
      </w:pPr>
      <w:r>
        <w:rPr>
          <w:rFonts w:hint="eastAsia"/>
        </w:rPr>
        <w:t>工程相关的生态设施（如鱼道、湿地、生态护岸等）已建成并正常运行；</w:t>
      </w:r>
    </w:p>
    <w:p w14:paraId="2F7BC859">
      <w:pPr>
        <w:pStyle w:val="174"/>
        <w:spacing w:line="360" w:lineRule="auto"/>
      </w:pPr>
      <w:r>
        <w:rPr>
          <w:rFonts w:hint="eastAsia"/>
        </w:rPr>
        <w:t>施工期间的环境保护措施和生态修复措施已落实到位；</w:t>
      </w:r>
    </w:p>
    <w:p w14:paraId="3AC1DB9E">
      <w:pPr>
        <w:pStyle w:val="174"/>
        <w:spacing w:line="360" w:lineRule="auto"/>
      </w:pPr>
      <w:r>
        <w:rPr>
          <w:rFonts w:hint="eastAsia"/>
        </w:rPr>
        <w:t>自检和初步评价已通过，并形成自检报告。</w:t>
      </w:r>
    </w:p>
    <w:p w14:paraId="0A1ACA65">
      <w:pPr>
        <w:pStyle w:val="105"/>
        <w:spacing w:before="120" w:after="120" w:line="360" w:lineRule="auto"/>
      </w:pPr>
      <w:r>
        <w:rPr>
          <w:rFonts w:hint="eastAsia"/>
        </w:rPr>
        <w:t>验收程序</w:t>
      </w:r>
    </w:p>
    <w:p w14:paraId="105C2E94">
      <w:pPr>
        <w:pStyle w:val="56"/>
        <w:spacing w:line="360" w:lineRule="auto"/>
        <w:ind w:firstLine="420"/>
      </w:pPr>
      <w:r>
        <w:rPr>
          <w:rFonts w:hint="eastAsia"/>
        </w:rPr>
        <w:t>可按以下步骤进行验收：</w:t>
      </w:r>
    </w:p>
    <w:p w14:paraId="02F63199">
      <w:pPr>
        <w:pStyle w:val="174"/>
        <w:numPr>
          <w:ilvl w:val="0"/>
          <w:numId w:val="34"/>
        </w:numPr>
        <w:spacing w:line="360" w:lineRule="auto"/>
      </w:pPr>
      <w:r>
        <w:rPr>
          <w:rFonts w:hint="eastAsia"/>
        </w:rPr>
        <w:t>成立验收委员会：由建设单位牵头，邀请设计、施工、监理、运行管理及生态环境等领域专家组成；</w:t>
      </w:r>
    </w:p>
    <w:p w14:paraId="64FB6BA6">
      <w:pPr>
        <w:pStyle w:val="174"/>
        <w:spacing w:line="360" w:lineRule="auto"/>
      </w:pPr>
      <w:r>
        <w:rPr>
          <w:rFonts w:hint="eastAsia"/>
        </w:rPr>
        <w:t>资料审查：核查工程建设及运行资料是否齐全，监测数据是否符合本指南及相关标准要求；</w:t>
      </w:r>
    </w:p>
    <w:p w14:paraId="4FC89B18">
      <w:pPr>
        <w:pStyle w:val="174"/>
        <w:spacing w:line="360" w:lineRule="auto"/>
      </w:pPr>
      <w:r>
        <w:rPr>
          <w:rFonts w:hint="eastAsia"/>
        </w:rPr>
        <w:t>现场核查：实地检查工程主体、附属设施、生态设施、水质状况、生物栖息地恢复情况等；</w:t>
      </w:r>
    </w:p>
    <w:p w14:paraId="4434E56A">
      <w:pPr>
        <w:pStyle w:val="174"/>
        <w:spacing w:line="360" w:lineRule="auto"/>
      </w:pPr>
      <w:r>
        <w:rPr>
          <w:rFonts w:hint="eastAsia"/>
        </w:rPr>
        <w:t>指标核对：对照设计目标和评价指标体系，逐项确认是否达标；</w:t>
      </w:r>
    </w:p>
    <w:p w14:paraId="2FBA6D9B">
      <w:pPr>
        <w:pStyle w:val="174"/>
        <w:spacing w:line="360" w:lineRule="auto"/>
      </w:pPr>
      <w:r>
        <w:rPr>
          <w:rFonts w:hint="eastAsia"/>
        </w:rPr>
        <w:t>专家评议：结合现场检查与资料审查结果进行综合讨论；</w:t>
      </w:r>
    </w:p>
    <w:p w14:paraId="404664C1">
      <w:pPr>
        <w:pStyle w:val="174"/>
        <w:spacing w:line="360" w:lineRule="auto"/>
      </w:pPr>
      <w:r>
        <w:rPr>
          <w:rFonts w:hint="eastAsia"/>
        </w:rPr>
        <w:t>形成结论：出具书面验收意见，明确通过、整改或不予通过，并提出改进建议；</w:t>
      </w:r>
    </w:p>
    <w:p w14:paraId="36EB405E">
      <w:pPr>
        <w:pStyle w:val="174"/>
        <w:spacing w:line="360" w:lineRule="auto"/>
      </w:pPr>
      <w:r>
        <w:rPr>
          <w:rFonts w:hint="eastAsia"/>
        </w:rPr>
        <w:t>备案：将验收报告报送相关主管部门备案。</w:t>
      </w:r>
    </w:p>
    <w:p w14:paraId="7D966F2B">
      <w:pPr>
        <w:pStyle w:val="105"/>
        <w:spacing w:before="120" w:after="120" w:line="360" w:lineRule="auto"/>
      </w:pPr>
      <w:r>
        <w:rPr>
          <w:rFonts w:hint="eastAsia"/>
        </w:rPr>
        <w:t>验收标准</w:t>
      </w:r>
    </w:p>
    <w:p w14:paraId="0F33C739">
      <w:pPr>
        <w:pStyle w:val="56"/>
        <w:spacing w:line="360" w:lineRule="auto"/>
        <w:ind w:firstLine="420"/>
      </w:pPr>
      <w:r>
        <w:rPr>
          <w:rFonts w:hint="eastAsia"/>
        </w:rPr>
        <w:t>验收应涵盖以下方面：</w:t>
      </w:r>
    </w:p>
    <w:p w14:paraId="3F06F9EA">
      <w:pPr>
        <w:pStyle w:val="132"/>
        <w:spacing w:line="360" w:lineRule="auto"/>
      </w:pPr>
      <w:r>
        <w:rPr>
          <w:rFonts w:hint="eastAsia"/>
        </w:rPr>
        <w:t>功能达标：防洪标准、供水保证率、灌溉效率等符合设计要求；</w:t>
      </w:r>
    </w:p>
    <w:p w14:paraId="01101FF9">
      <w:pPr>
        <w:pStyle w:val="132"/>
        <w:spacing w:line="360" w:lineRule="auto"/>
      </w:pPr>
      <w:r>
        <w:rPr>
          <w:rFonts w:hint="eastAsia"/>
        </w:rPr>
        <w:t>生态达标：生物多样性、水质、湿地恢复率、植被覆盖率等达到或优于设计目标；</w:t>
      </w:r>
    </w:p>
    <w:p w14:paraId="4869F8B3">
      <w:pPr>
        <w:pStyle w:val="132"/>
        <w:spacing w:line="360" w:lineRule="auto"/>
      </w:pPr>
      <w:r>
        <w:rPr>
          <w:rFonts w:hint="eastAsia"/>
        </w:rPr>
        <w:t>安全与稳定性：结构安全可靠，无重大缺陷或安全隐患；</w:t>
      </w:r>
    </w:p>
    <w:p w14:paraId="7E6AC7C9">
      <w:pPr>
        <w:pStyle w:val="132"/>
        <w:spacing w:line="360" w:lineRule="auto"/>
      </w:pPr>
      <w:r>
        <w:rPr>
          <w:rFonts w:hint="eastAsia"/>
        </w:rPr>
        <w:t>环境与景观：景观与周边环境协调，环境保护措施到位；</w:t>
      </w:r>
    </w:p>
    <w:p w14:paraId="305AD961">
      <w:pPr>
        <w:pStyle w:val="132"/>
        <w:spacing w:line="360" w:lineRule="auto"/>
      </w:pPr>
      <w:r>
        <w:rPr>
          <w:rFonts w:hint="eastAsia"/>
        </w:rPr>
        <w:t>运行与管理：运行制度健全，维护资金落实，设施完好率高。</w:t>
      </w:r>
    </w:p>
    <w:p w14:paraId="406814BB">
      <w:pPr>
        <w:pStyle w:val="105"/>
        <w:spacing w:before="120" w:after="120" w:line="360" w:lineRule="auto"/>
      </w:pPr>
      <w:r>
        <w:rPr>
          <w:rFonts w:hint="eastAsia"/>
        </w:rPr>
        <w:t>验收评分</w:t>
      </w:r>
    </w:p>
    <w:p w14:paraId="6959A87C">
      <w:pPr>
        <w:pStyle w:val="56"/>
        <w:spacing w:line="360" w:lineRule="auto"/>
        <w:ind w:firstLine="420"/>
      </w:pPr>
      <w:r>
        <w:rPr>
          <w:rFonts w:hint="eastAsia"/>
        </w:rPr>
        <w:t>验收评分细则见表2。其中，综合评分等级：≥90：优秀；80～89：良好；70～79：合格；&lt;70：不合格。</w:t>
      </w:r>
    </w:p>
    <w:p w14:paraId="1B60F502">
      <w:pPr>
        <w:pStyle w:val="112"/>
        <w:spacing w:before="120" w:after="120" w:line="360" w:lineRule="auto"/>
      </w:pPr>
      <w:r>
        <w:rPr>
          <w:rFonts w:hint="eastAsia"/>
        </w:rPr>
        <w:t>验收评分细则</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101"/>
        <w:gridCol w:w="2126"/>
        <w:gridCol w:w="2127"/>
        <w:gridCol w:w="2114"/>
      </w:tblGrid>
      <w:tr w14:paraId="6BD72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tcBorders>
              <w:top w:val="single" w:color="auto" w:sz="8" w:space="0"/>
              <w:bottom w:val="single" w:color="auto" w:sz="8" w:space="0"/>
            </w:tcBorders>
            <w:shd w:val="clear" w:color="auto" w:fill="auto"/>
            <w:vAlign w:val="center"/>
          </w:tcPr>
          <w:p w14:paraId="5282863B">
            <w:pPr>
              <w:pStyle w:val="178"/>
            </w:pPr>
            <w:r>
              <w:rPr>
                <w:rFonts w:hint="eastAsia"/>
              </w:rPr>
              <w:t>一级指标</w:t>
            </w:r>
          </w:p>
        </w:tc>
        <w:tc>
          <w:tcPr>
            <w:tcW w:w="1101" w:type="dxa"/>
            <w:tcBorders>
              <w:top w:val="single" w:color="auto" w:sz="8" w:space="0"/>
              <w:bottom w:val="single" w:color="auto" w:sz="8" w:space="0"/>
            </w:tcBorders>
            <w:shd w:val="clear" w:color="auto" w:fill="auto"/>
            <w:vAlign w:val="center"/>
          </w:tcPr>
          <w:p w14:paraId="74646929">
            <w:pPr>
              <w:pStyle w:val="178"/>
            </w:pPr>
            <w:r>
              <w:rPr>
                <w:rFonts w:hint="eastAsia"/>
              </w:rPr>
              <w:t>权重(%)</w:t>
            </w:r>
          </w:p>
        </w:tc>
        <w:tc>
          <w:tcPr>
            <w:tcW w:w="2126" w:type="dxa"/>
            <w:tcBorders>
              <w:top w:val="single" w:color="auto" w:sz="8" w:space="0"/>
              <w:bottom w:val="single" w:color="auto" w:sz="8" w:space="0"/>
            </w:tcBorders>
            <w:shd w:val="clear" w:color="auto" w:fill="auto"/>
            <w:vAlign w:val="center"/>
          </w:tcPr>
          <w:p w14:paraId="4B234108">
            <w:pPr>
              <w:pStyle w:val="178"/>
            </w:pPr>
            <w:r>
              <w:rPr>
                <w:rFonts w:hint="eastAsia"/>
              </w:rPr>
              <w:t>二级指标</w:t>
            </w:r>
          </w:p>
        </w:tc>
        <w:tc>
          <w:tcPr>
            <w:tcW w:w="2127" w:type="dxa"/>
            <w:tcBorders>
              <w:top w:val="single" w:color="auto" w:sz="8" w:space="0"/>
              <w:bottom w:val="single" w:color="auto" w:sz="8" w:space="0"/>
            </w:tcBorders>
            <w:shd w:val="clear" w:color="auto" w:fill="auto"/>
            <w:vAlign w:val="center"/>
          </w:tcPr>
          <w:p w14:paraId="2282A28E">
            <w:pPr>
              <w:pStyle w:val="178"/>
            </w:pPr>
            <w:r>
              <w:rPr>
                <w:rFonts w:hint="eastAsia"/>
              </w:rPr>
              <w:t>分值范围</w:t>
            </w:r>
          </w:p>
        </w:tc>
        <w:tc>
          <w:tcPr>
            <w:tcW w:w="2114" w:type="dxa"/>
            <w:tcBorders>
              <w:top w:val="single" w:color="auto" w:sz="8" w:space="0"/>
              <w:bottom w:val="single" w:color="auto" w:sz="8" w:space="0"/>
            </w:tcBorders>
            <w:shd w:val="clear" w:color="auto" w:fill="auto"/>
            <w:vAlign w:val="center"/>
          </w:tcPr>
          <w:p w14:paraId="08A2E27A">
            <w:pPr>
              <w:pStyle w:val="178"/>
            </w:pPr>
            <w:r>
              <w:rPr>
                <w:rFonts w:hint="eastAsia"/>
              </w:rPr>
              <w:t>评分说明</w:t>
            </w:r>
          </w:p>
        </w:tc>
      </w:tr>
      <w:tr w14:paraId="630460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restart"/>
            <w:tcBorders>
              <w:top w:val="single" w:color="auto" w:sz="8" w:space="0"/>
            </w:tcBorders>
            <w:shd w:val="clear" w:color="auto" w:fill="auto"/>
            <w:vAlign w:val="center"/>
          </w:tcPr>
          <w:p w14:paraId="3726B0DE">
            <w:pPr>
              <w:pStyle w:val="178"/>
            </w:pPr>
            <w:r>
              <w:rPr>
                <w:rFonts w:hint="eastAsia"/>
              </w:rPr>
              <w:t>功能达标</w:t>
            </w:r>
          </w:p>
        </w:tc>
        <w:tc>
          <w:tcPr>
            <w:tcW w:w="1101" w:type="dxa"/>
            <w:vMerge w:val="restart"/>
            <w:tcBorders>
              <w:top w:val="single" w:color="auto" w:sz="8" w:space="0"/>
            </w:tcBorders>
            <w:shd w:val="clear" w:color="auto" w:fill="auto"/>
            <w:vAlign w:val="center"/>
          </w:tcPr>
          <w:p w14:paraId="625BF935">
            <w:pPr>
              <w:pStyle w:val="178"/>
            </w:pPr>
            <w:r>
              <w:rPr>
                <w:rFonts w:hint="eastAsia"/>
              </w:rPr>
              <w:t>30</w:t>
            </w:r>
          </w:p>
        </w:tc>
        <w:tc>
          <w:tcPr>
            <w:tcW w:w="2126" w:type="dxa"/>
            <w:tcBorders>
              <w:top w:val="single" w:color="auto" w:sz="8" w:space="0"/>
            </w:tcBorders>
            <w:shd w:val="clear" w:color="auto" w:fill="auto"/>
            <w:vAlign w:val="center"/>
          </w:tcPr>
          <w:p w14:paraId="7D7447CF">
            <w:pPr>
              <w:pStyle w:val="178"/>
            </w:pPr>
            <w:r>
              <w:rPr>
                <w:rFonts w:hint="eastAsia"/>
              </w:rPr>
              <w:t>防洪标准</w:t>
            </w:r>
          </w:p>
        </w:tc>
        <w:tc>
          <w:tcPr>
            <w:tcW w:w="2127" w:type="dxa"/>
            <w:tcBorders>
              <w:top w:val="single" w:color="auto" w:sz="8" w:space="0"/>
            </w:tcBorders>
            <w:shd w:val="clear" w:color="auto" w:fill="auto"/>
            <w:vAlign w:val="center"/>
          </w:tcPr>
          <w:p w14:paraId="70F3BD11">
            <w:pPr>
              <w:pStyle w:val="178"/>
            </w:pPr>
            <w:r>
              <w:t>0-10</w:t>
            </w:r>
          </w:p>
        </w:tc>
        <w:tc>
          <w:tcPr>
            <w:tcW w:w="2114" w:type="dxa"/>
            <w:tcBorders>
              <w:top w:val="single" w:color="auto" w:sz="8" w:space="0"/>
            </w:tcBorders>
            <w:shd w:val="clear" w:color="auto" w:fill="auto"/>
            <w:vAlign w:val="center"/>
          </w:tcPr>
          <w:p w14:paraId="51A93288">
            <w:pPr>
              <w:pStyle w:val="178"/>
            </w:pPr>
            <w:r>
              <w:rPr>
                <w:rFonts w:hint="eastAsia"/>
              </w:rPr>
              <w:t>按达标程度评分</w:t>
            </w:r>
          </w:p>
        </w:tc>
      </w:tr>
      <w:tr w14:paraId="548B92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14:paraId="3A063B0F">
            <w:pPr>
              <w:pStyle w:val="178"/>
            </w:pPr>
          </w:p>
        </w:tc>
        <w:tc>
          <w:tcPr>
            <w:tcW w:w="1101" w:type="dxa"/>
            <w:vMerge w:val="continue"/>
            <w:shd w:val="clear" w:color="auto" w:fill="auto"/>
            <w:vAlign w:val="center"/>
          </w:tcPr>
          <w:p w14:paraId="1C1490AF">
            <w:pPr>
              <w:pStyle w:val="178"/>
            </w:pPr>
          </w:p>
        </w:tc>
        <w:tc>
          <w:tcPr>
            <w:tcW w:w="2126" w:type="dxa"/>
            <w:shd w:val="clear" w:color="auto" w:fill="auto"/>
            <w:vAlign w:val="center"/>
          </w:tcPr>
          <w:p w14:paraId="5BFF4212">
            <w:pPr>
              <w:pStyle w:val="178"/>
            </w:pPr>
            <w:r>
              <w:rPr>
                <w:rFonts w:hint="eastAsia"/>
              </w:rPr>
              <w:t>供水保证率</w:t>
            </w:r>
          </w:p>
        </w:tc>
        <w:tc>
          <w:tcPr>
            <w:tcW w:w="2127" w:type="dxa"/>
            <w:shd w:val="clear" w:color="auto" w:fill="auto"/>
            <w:vAlign w:val="center"/>
          </w:tcPr>
          <w:p w14:paraId="6A9684BA">
            <w:pPr>
              <w:pStyle w:val="178"/>
            </w:pPr>
            <w:r>
              <w:t>0-10</w:t>
            </w:r>
          </w:p>
        </w:tc>
        <w:tc>
          <w:tcPr>
            <w:tcW w:w="2114" w:type="dxa"/>
            <w:shd w:val="clear" w:color="auto" w:fill="auto"/>
            <w:vAlign w:val="center"/>
          </w:tcPr>
          <w:p w14:paraId="2B6ECBC2">
            <w:pPr>
              <w:pStyle w:val="178"/>
            </w:pPr>
            <w:r>
              <w:rPr>
                <w:rFonts w:hint="eastAsia"/>
              </w:rPr>
              <w:t>按实际测算值评分</w:t>
            </w:r>
          </w:p>
        </w:tc>
      </w:tr>
      <w:tr w14:paraId="56D45F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14:paraId="097DBF0A">
            <w:pPr>
              <w:pStyle w:val="178"/>
            </w:pPr>
          </w:p>
        </w:tc>
        <w:tc>
          <w:tcPr>
            <w:tcW w:w="1101" w:type="dxa"/>
            <w:vMerge w:val="continue"/>
            <w:shd w:val="clear" w:color="auto" w:fill="auto"/>
            <w:vAlign w:val="center"/>
          </w:tcPr>
          <w:p w14:paraId="381688C6">
            <w:pPr>
              <w:pStyle w:val="178"/>
            </w:pPr>
          </w:p>
        </w:tc>
        <w:tc>
          <w:tcPr>
            <w:tcW w:w="2126" w:type="dxa"/>
            <w:shd w:val="clear" w:color="auto" w:fill="auto"/>
            <w:vAlign w:val="center"/>
          </w:tcPr>
          <w:p w14:paraId="5389D8DD">
            <w:pPr>
              <w:pStyle w:val="178"/>
            </w:pPr>
            <w:r>
              <w:rPr>
                <w:rFonts w:hint="eastAsia"/>
              </w:rPr>
              <w:t>灌溉水利用系数</w:t>
            </w:r>
          </w:p>
        </w:tc>
        <w:tc>
          <w:tcPr>
            <w:tcW w:w="2127" w:type="dxa"/>
            <w:shd w:val="clear" w:color="auto" w:fill="auto"/>
            <w:vAlign w:val="center"/>
          </w:tcPr>
          <w:p w14:paraId="6A517451">
            <w:pPr>
              <w:pStyle w:val="178"/>
            </w:pPr>
            <w:r>
              <w:t>0-10</w:t>
            </w:r>
          </w:p>
        </w:tc>
        <w:tc>
          <w:tcPr>
            <w:tcW w:w="2114" w:type="dxa"/>
            <w:shd w:val="clear" w:color="auto" w:fill="auto"/>
            <w:vAlign w:val="center"/>
          </w:tcPr>
          <w:p w14:paraId="51E8460E">
            <w:pPr>
              <w:pStyle w:val="178"/>
            </w:pPr>
            <w:r>
              <w:rPr>
                <w:rFonts w:hint="eastAsia"/>
              </w:rPr>
              <w:t>≥设计值得满分</w:t>
            </w:r>
          </w:p>
        </w:tc>
      </w:tr>
      <w:tr w14:paraId="314F8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restart"/>
            <w:shd w:val="clear" w:color="auto" w:fill="auto"/>
            <w:vAlign w:val="center"/>
          </w:tcPr>
          <w:p w14:paraId="2C6EF795">
            <w:pPr>
              <w:pStyle w:val="178"/>
            </w:pPr>
            <w:r>
              <w:t>生态达标</w:t>
            </w:r>
          </w:p>
        </w:tc>
        <w:tc>
          <w:tcPr>
            <w:tcW w:w="1101" w:type="dxa"/>
            <w:vMerge w:val="restart"/>
            <w:shd w:val="clear" w:color="auto" w:fill="auto"/>
            <w:vAlign w:val="center"/>
          </w:tcPr>
          <w:p w14:paraId="381CD57D">
            <w:pPr>
              <w:pStyle w:val="178"/>
            </w:pPr>
            <w:r>
              <w:rPr>
                <w:rFonts w:hint="eastAsia"/>
              </w:rPr>
              <w:t>30</w:t>
            </w:r>
          </w:p>
        </w:tc>
        <w:tc>
          <w:tcPr>
            <w:tcW w:w="2126" w:type="dxa"/>
            <w:shd w:val="clear" w:color="auto" w:fill="auto"/>
            <w:vAlign w:val="center"/>
          </w:tcPr>
          <w:p w14:paraId="4536E564">
            <w:pPr>
              <w:pStyle w:val="178"/>
            </w:pPr>
            <w:r>
              <w:rPr>
                <w:rFonts w:hint="eastAsia"/>
              </w:rPr>
              <w:t>生物多样性指数</w:t>
            </w:r>
          </w:p>
        </w:tc>
        <w:tc>
          <w:tcPr>
            <w:tcW w:w="2127" w:type="dxa"/>
            <w:shd w:val="clear" w:color="auto" w:fill="auto"/>
            <w:vAlign w:val="center"/>
          </w:tcPr>
          <w:p w14:paraId="660B0405">
            <w:pPr>
              <w:pStyle w:val="178"/>
            </w:pPr>
            <w:r>
              <w:t>0-10</w:t>
            </w:r>
          </w:p>
        </w:tc>
        <w:tc>
          <w:tcPr>
            <w:tcW w:w="2114" w:type="dxa"/>
            <w:shd w:val="clear" w:color="auto" w:fill="auto"/>
            <w:vAlign w:val="center"/>
          </w:tcPr>
          <w:p w14:paraId="4FA613B9">
            <w:pPr>
              <w:pStyle w:val="178"/>
            </w:pPr>
            <w:r>
              <w:rPr>
                <w:rFonts w:hint="eastAsia"/>
              </w:rPr>
              <w:t>≥设计值得满分</w:t>
            </w:r>
          </w:p>
        </w:tc>
      </w:tr>
      <w:tr w14:paraId="1CBBDA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14:paraId="53E9CEEC">
            <w:pPr>
              <w:pStyle w:val="178"/>
            </w:pPr>
          </w:p>
        </w:tc>
        <w:tc>
          <w:tcPr>
            <w:tcW w:w="1101" w:type="dxa"/>
            <w:vMerge w:val="continue"/>
            <w:shd w:val="clear" w:color="auto" w:fill="auto"/>
            <w:vAlign w:val="center"/>
          </w:tcPr>
          <w:p w14:paraId="4BB4204E">
            <w:pPr>
              <w:pStyle w:val="178"/>
            </w:pPr>
          </w:p>
        </w:tc>
        <w:tc>
          <w:tcPr>
            <w:tcW w:w="2126" w:type="dxa"/>
            <w:shd w:val="clear" w:color="auto" w:fill="auto"/>
            <w:vAlign w:val="center"/>
          </w:tcPr>
          <w:p w14:paraId="584831BE">
            <w:pPr>
              <w:pStyle w:val="178"/>
            </w:pPr>
            <w:r>
              <w:rPr>
                <w:rFonts w:hint="eastAsia"/>
              </w:rPr>
              <w:t>植被恢复率</w:t>
            </w:r>
          </w:p>
        </w:tc>
        <w:tc>
          <w:tcPr>
            <w:tcW w:w="2127" w:type="dxa"/>
            <w:shd w:val="clear" w:color="auto" w:fill="auto"/>
            <w:vAlign w:val="center"/>
          </w:tcPr>
          <w:p w14:paraId="64A924F5">
            <w:pPr>
              <w:pStyle w:val="178"/>
            </w:pPr>
            <w:r>
              <w:t>0-10</w:t>
            </w:r>
          </w:p>
        </w:tc>
        <w:tc>
          <w:tcPr>
            <w:tcW w:w="2114" w:type="dxa"/>
            <w:shd w:val="clear" w:color="auto" w:fill="auto"/>
            <w:vAlign w:val="center"/>
          </w:tcPr>
          <w:p w14:paraId="47FBAA2A">
            <w:pPr>
              <w:pStyle w:val="178"/>
            </w:pPr>
            <w:r>
              <w:rPr>
                <w:rFonts w:hint="eastAsia"/>
              </w:rPr>
              <w:t>按恢复比例评分</w:t>
            </w:r>
          </w:p>
        </w:tc>
      </w:tr>
      <w:tr w14:paraId="4218A0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14:paraId="6DCBD0B4">
            <w:pPr>
              <w:pStyle w:val="178"/>
            </w:pPr>
          </w:p>
        </w:tc>
        <w:tc>
          <w:tcPr>
            <w:tcW w:w="1101" w:type="dxa"/>
            <w:vMerge w:val="continue"/>
            <w:shd w:val="clear" w:color="auto" w:fill="auto"/>
            <w:vAlign w:val="center"/>
          </w:tcPr>
          <w:p w14:paraId="3F127237">
            <w:pPr>
              <w:pStyle w:val="178"/>
            </w:pPr>
          </w:p>
        </w:tc>
        <w:tc>
          <w:tcPr>
            <w:tcW w:w="2126" w:type="dxa"/>
            <w:shd w:val="clear" w:color="auto" w:fill="auto"/>
            <w:vAlign w:val="center"/>
          </w:tcPr>
          <w:p w14:paraId="41B48651">
            <w:pPr>
              <w:pStyle w:val="178"/>
            </w:pPr>
            <w:r>
              <w:rPr>
                <w:rFonts w:hint="eastAsia"/>
              </w:rPr>
              <w:t>湿地恢复面积</w:t>
            </w:r>
          </w:p>
        </w:tc>
        <w:tc>
          <w:tcPr>
            <w:tcW w:w="2127" w:type="dxa"/>
            <w:shd w:val="clear" w:color="auto" w:fill="auto"/>
            <w:vAlign w:val="center"/>
          </w:tcPr>
          <w:p w14:paraId="45919F34">
            <w:pPr>
              <w:pStyle w:val="178"/>
            </w:pPr>
            <w:r>
              <w:t>0-10</w:t>
            </w:r>
          </w:p>
        </w:tc>
        <w:tc>
          <w:tcPr>
            <w:tcW w:w="2114" w:type="dxa"/>
            <w:shd w:val="clear" w:color="auto" w:fill="auto"/>
            <w:vAlign w:val="center"/>
          </w:tcPr>
          <w:p w14:paraId="7E955631">
            <w:pPr>
              <w:pStyle w:val="178"/>
            </w:pPr>
            <w:r>
              <w:rPr>
                <w:rFonts w:hint="eastAsia"/>
              </w:rPr>
              <w:t>按完成比例评分</w:t>
            </w:r>
          </w:p>
        </w:tc>
      </w:tr>
      <w:tr w14:paraId="0B6054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restart"/>
            <w:shd w:val="clear" w:color="auto" w:fill="auto"/>
            <w:vAlign w:val="center"/>
          </w:tcPr>
          <w:p w14:paraId="45E04348">
            <w:pPr>
              <w:pStyle w:val="178"/>
            </w:pPr>
            <w:r>
              <w:rPr>
                <w:rFonts w:hint="eastAsia"/>
              </w:rPr>
              <w:t>安全稳定性</w:t>
            </w:r>
          </w:p>
        </w:tc>
        <w:tc>
          <w:tcPr>
            <w:tcW w:w="1101" w:type="dxa"/>
            <w:vMerge w:val="restart"/>
            <w:shd w:val="clear" w:color="auto" w:fill="auto"/>
            <w:vAlign w:val="center"/>
          </w:tcPr>
          <w:p w14:paraId="47820ACE">
            <w:pPr>
              <w:pStyle w:val="178"/>
            </w:pPr>
            <w:r>
              <w:rPr>
                <w:rFonts w:hint="eastAsia"/>
              </w:rPr>
              <w:t>20</w:t>
            </w:r>
          </w:p>
        </w:tc>
        <w:tc>
          <w:tcPr>
            <w:tcW w:w="2126" w:type="dxa"/>
            <w:shd w:val="clear" w:color="auto" w:fill="auto"/>
            <w:vAlign w:val="center"/>
          </w:tcPr>
          <w:p w14:paraId="62E55F05">
            <w:pPr>
              <w:pStyle w:val="178"/>
            </w:pPr>
            <w:r>
              <w:rPr>
                <w:rFonts w:hint="eastAsia"/>
              </w:rPr>
              <w:t>结构安全</w:t>
            </w:r>
          </w:p>
        </w:tc>
        <w:tc>
          <w:tcPr>
            <w:tcW w:w="2127" w:type="dxa"/>
            <w:shd w:val="clear" w:color="auto" w:fill="auto"/>
            <w:vAlign w:val="center"/>
          </w:tcPr>
          <w:p w14:paraId="147B2906">
            <w:pPr>
              <w:pStyle w:val="178"/>
            </w:pPr>
            <w:r>
              <w:t>0-10</w:t>
            </w:r>
          </w:p>
        </w:tc>
        <w:tc>
          <w:tcPr>
            <w:tcW w:w="2114" w:type="dxa"/>
            <w:shd w:val="clear" w:color="auto" w:fill="auto"/>
            <w:vAlign w:val="center"/>
          </w:tcPr>
          <w:p w14:paraId="53E1755D">
            <w:pPr>
              <w:pStyle w:val="178"/>
            </w:pPr>
            <w:r>
              <w:rPr>
                <w:rFonts w:hint="eastAsia"/>
              </w:rPr>
              <w:t>无缺陷得满分</w:t>
            </w:r>
          </w:p>
        </w:tc>
      </w:tr>
      <w:tr w14:paraId="31EDA6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14:paraId="099FBC57">
            <w:pPr>
              <w:pStyle w:val="178"/>
            </w:pPr>
          </w:p>
        </w:tc>
        <w:tc>
          <w:tcPr>
            <w:tcW w:w="1101" w:type="dxa"/>
            <w:vMerge w:val="continue"/>
            <w:shd w:val="clear" w:color="auto" w:fill="auto"/>
            <w:vAlign w:val="center"/>
          </w:tcPr>
          <w:p w14:paraId="50091BBD">
            <w:pPr>
              <w:pStyle w:val="178"/>
            </w:pPr>
          </w:p>
        </w:tc>
        <w:tc>
          <w:tcPr>
            <w:tcW w:w="2126" w:type="dxa"/>
            <w:shd w:val="clear" w:color="auto" w:fill="auto"/>
            <w:vAlign w:val="center"/>
          </w:tcPr>
          <w:p w14:paraId="0879FC1A">
            <w:pPr>
              <w:pStyle w:val="178"/>
            </w:pPr>
            <w:r>
              <w:rPr>
                <w:rFonts w:hint="eastAsia"/>
              </w:rPr>
              <w:t>防灾能力</w:t>
            </w:r>
          </w:p>
        </w:tc>
        <w:tc>
          <w:tcPr>
            <w:tcW w:w="2127" w:type="dxa"/>
            <w:shd w:val="clear" w:color="auto" w:fill="auto"/>
            <w:vAlign w:val="center"/>
          </w:tcPr>
          <w:p w14:paraId="4AC92E23">
            <w:pPr>
              <w:pStyle w:val="178"/>
            </w:pPr>
            <w:r>
              <w:t>0-10</w:t>
            </w:r>
          </w:p>
        </w:tc>
        <w:tc>
          <w:tcPr>
            <w:tcW w:w="2114" w:type="dxa"/>
            <w:shd w:val="clear" w:color="auto" w:fill="auto"/>
            <w:vAlign w:val="center"/>
          </w:tcPr>
          <w:p w14:paraId="22FBD380">
            <w:pPr>
              <w:pStyle w:val="178"/>
            </w:pPr>
            <w:r>
              <w:rPr>
                <w:rFonts w:hint="eastAsia"/>
              </w:rPr>
              <w:t>≥设计值得满分</w:t>
            </w:r>
          </w:p>
        </w:tc>
      </w:tr>
      <w:tr w14:paraId="3AA6EF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restart"/>
            <w:shd w:val="clear" w:color="auto" w:fill="auto"/>
            <w:vAlign w:val="center"/>
          </w:tcPr>
          <w:p w14:paraId="0521DD27">
            <w:pPr>
              <w:pStyle w:val="178"/>
            </w:pPr>
            <w:r>
              <w:rPr>
                <w:rFonts w:hint="eastAsia"/>
              </w:rPr>
              <w:t>环境与景观</w:t>
            </w:r>
          </w:p>
        </w:tc>
        <w:tc>
          <w:tcPr>
            <w:tcW w:w="1101" w:type="dxa"/>
            <w:vMerge w:val="restart"/>
            <w:shd w:val="clear" w:color="auto" w:fill="auto"/>
            <w:vAlign w:val="center"/>
          </w:tcPr>
          <w:p w14:paraId="7F2DE1C1">
            <w:pPr>
              <w:pStyle w:val="178"/>
            </w:pPr>
            <w:r>
              <w:rPr>
                <w:rFonts w:hint="eastAsia"/>
              </w:rPr>
              <w:t>10</w:t>
            </w:r>
          </w:p>
        </w:tc>
        <w:tc>
          <w:tcPr>
            <w:tcW w:w="2126" w:type="dxa"/>
            <w:shd w:val="clear" w:color="auto" w:fill="auto"/>
            <w:vAlign w:val="center"/>
          </w:tcPr>
          <w:p w14:paraId="1E3A98FC">
            <w:pPr>
              <w:pStyle w:val="178"/>
            </w:pPr>
            <w:r>
              <w:rPr>
                <w:rFonts w:hint="eastAsia"/>
              </w:rPr>
              <w:t>景观协调度</w:t>
            </w:r>
          </w:p>
        </w:tc>
        <w:tc>
          <w:tcPr>
            <w:tcW w:w="2127" w:type="dxa"/>
            <w:shd w:val="clear" w:color="auto" w:fill="auto"/>
            <w:vAlign w:val="center"/>
          </w:tcPr>
          <w:p w14:paraId="490BB65E">
            <w:pPr>
              <w:pStyle w:val="178"/>
            </w:pPr>
            <w:r>
              <w:t>0-5</w:t>
            </w:r>
          </w:p>
        </w:tc>
        <w:tc>
          <w:tcPr>
            <w:tcW w:w="2114" w:type="dxa"/>
            <w:shd w:val="clear" w:color="auto" w:fill="auto"/>
            <w:vAlign w:val="center"/>
          </w:tcPr>
          <w:p w14:paraId="615FFE2D">
            <w:pPr>
              <w:pStyle w:val="178"/>
            </w:pPr>
            <w:r>
              <w:rPr>
                <w:rFonts w:hint="eastAsia"/>
              </w:rPr>
              <w:t>专家打分</w:t>
            </w:r>
          </w:p>
        </w:tc>
      </w:tr>
      <w:tr w14:paraId="20B6DF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14:paraId="314D0A97">
            <w:pPr>
              <w:pStyle w:val="178"/>
            </w:pPr>
          </w:p>
        </w:tc>
        <w:tc>
          <w:tcPr>
            <w:tcW w:w="1101" w:type="dxa"/>
            <w:vMerge w:val="continue"/>
            <w:shd w:val="clear" w:color="auto" w:fill="auto"/>
            <w:vAlign w:val="center"/>
          </w:tcPr>
          <w:p w14:paraId="739C0EC1">
            <w:pPr>
              <w:pStyle w:val="178"/>
            </w:pPr>
          </w:p>
        </w:tc>
        <w:tc>
          <w:tcPr>
            <w:tcW w:w="2126" w:type="dxa"/>
            <w:shd w:val="clear" w:color="auto" w:fill="auto"/>
            <w:vAlign w:val="center"/>
          </w:tcPr>
          <w:p w14:paraId="44EF0264">
            <w:pPr>
              <w:pStyle w:val="178"/>
            </w:pPr>
            <w:r>
              <w:rPr>
                <w:rFonts w:hint="eastAsia"/>
              </w:rPr>
              <w:t>水质达标率</w:t>
            </w:r>
          </w:p>
        </w:tc>
        <w:tc>
          <w:tcPr>
            <w:tcW w:w="2127" w:type="dxa"/>
            <w:shd w:val="clear" w:color="auto" w:fill="auto"/>
            <w:vAlign w:val="center"/>
          </w:tcPr>
          <w:p w14:paraId="203B8EF8">
            <w:pPr>
              <w:pStyle w:val="178"/>
            </w:pPr>
            <w:r>
              <w:t>0-5</w:t>
            </w:r>
          </w:p>
        </w:tc>
        <w:tc>
          <w:tcPr>
            <w:tcW w:w="2114" w:type="dxa"/>
            <w:shd w:val="clear" w:color="auto" w:fill="auto"/>
            <w:vAlign w:val="center"/>
          </w:tcPr>
          <w:p w14:paraId="27E8955D">
            <w:pPr>
              <w:pStyle w:val="178"/>
            </w:pPr>
            <w:r>
              <w:rPr>
                <w:rFonts w:hint="eastAsia"/>
              </w:rPr>
              <w:t>按监测结果评分</w:t>
            </w:r>
          </w:p>
        </w:tc>
      </w:tr>
      <w:tr w14:paraId="43495A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restart"/>
            <w:shd w:val="clear" w:color="auto" w:fill="auto"/>
            <w:vAlign w:val="center"/>
          </w:tcPr>
          <w:p w14:paraId="22A4A133">
            <w:pPr>
              <w:pStyle w:val="178"/>
            </w:pPr>
            <w:r>
              <w:rPr>
                <w:rFonts w:hint="eastAsia"/>
              </w:rPr>
              <w:t>运行与管理</w:t>
            </w:r>
          </w:p>
        </w:tc>
        <w:tc>
          <w:tcPr>
            <w:tcW w:w="1101" w:type="dxa"/>
            <w:vMerge w:val="restart"/>
            <w:shd w:val="clear" w:color="auto" w:fill="auto"/>
            <w:vAlign w:val="center"/>
          </w:tcPr>
          <w:p w14:paraId="20C8D8E7">
            <w:pPr>
              <w:pStyle w:val="178"/>
            </w:pPr>
            <w:r>
              <w:rPr>
                <w:rFonts w:hint="eastAsia"/>
              </w:rPr>
              <w:t>10</w:t>
            </w:r>
          </w:p>
        </w:tc>
        <w:tc>
          <w:tcPr>
            <w:tcW w:w="2126" w:type="dxa"/>
            <w:shd w:val="clear" w:color="auto" w:fill="auto"/>
            <w:vAlign w:val="center"/>
          </w:tcPr>
          <w:p w14:paraId="5435D24F">
            <w:pPr>
              <w:pStyle w:val="178"/>
            </w:pPr>
            <w:r>
              <w:rPr>
                <w:rFonts w:hint="eastAsia"/>
              </w:rPr>
              <w:t>运行制度与维护</w:t>
            </w:r>
          </w:p>
        </w:tc>
        <w:tc>
          <w:tcPr>
            <w:tcW w:w="2127" w:type="dxa"/>
            <w:shd w:val="clear" w:color="auto" w:fill="auto"/>
            <w:vAlign w:val="center"/>
          </w:tcPr>
          <w:p w14:paraId="2FD209FA">
            <w:pPr>
              <w:pStyle w:val="178"/>
            </w:pPr>
            <w:r>
              <w:t>0-5</w:t>
            </w:r>
          </w:p>
        </w:tc>
        <w:tc>
          <w:tcPr>
            <w:tcW w:w="2114" w:type="dxa"/>
            <w:shd w:val="clear" w:color="auto" w:fill="auto"/>
            <w:vAlign w:val="center"/>
          </w:tcPr>
          <w:p w14:paraId="27D5772A">
            <w:pPr>
              <w:pStyle w:val="178"/>
            </w:pPr>
            <w:r>
              <w:rPr>
                <w:rFonts w:hint="eastAsia"/>
              </w:rPr>
              <w:t>制度健全得满分</w:t>
            </w:r>
          </w:p>
        </w:tc>
      </w:tr>
      <w:tr w14:paraId="1DFA5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tcBorders>
              <w:bottom w:val="single" w:color="auto" w:sz="8" w:space="0"/>
            </w:tcBorders>
            <w:shd w:val="clear" w:color="auto" w:fill="auto"/>
            <w:vAlign w:val="center"/>
          </w:tcPr>
          <w:p w14:paraId="70297A10">
            <w:pPr>
              <w:pStyle w:val="178"/>
            </w:pPr>
          </w:p>
        </w:tc>
        <w:tc>
          <w:tcPr>
            <w:tcW w:w="1101" w:type="dxa"/>
            <w:vMerge w:val="continue"/>
            <w:tcBorders>
              <w:bottom w:val="single" w:color="auto" w:sz="8" w:space="0"/>
            </w:tcBorders>
            <w:shd w:val="clear" w:color="auto" w:fill="auto"/>
            <w:vAlign w:val="center"/>
          </w:tcPr>
          <w:p w14:paraId="023CAD61">
            <w:pPr>
              <w:pStyle w:val="178"/>
            </w:pPr>
          </w:p>
        </w:tc>
        <w:tc>
          <w:tcPr>
            <w:tcW w:w="2126" w:type="dxa"/>
            <w:tcBorders>
              <w:bottom w:val="single" w:color="auto" w:sz="8" w:space="0"/>
            </w:tcBorders>
            <w:shd w:val="clear" w:color="auto" w:fill="auto"/>
            <w:vAlign w:val="center"/>
          </w:tcPr>
          <w:p w14:paraId="6CD41590">
            <w:pPr>
              <w:pStyle w:val="178"/>
            </w:pPr>
            <w:r>
              <w:rPr>
                <w:rFonts w:hint="eastAsia"/>
              </w:rPr>
              <w:t>设施完好率</w:t>
            </w:r>
          </w:p>
        </w:tc>
        <w:tc>
          <w:tcPr>
            <w:tcW w:w="2127" w:type="dxa"/>
            <w:tcBorders>
              <w:bottom w:val="single" w:color="auto" w:sz="8" w:space="0"/>
            </w:tcBorders>
            <w:shd w:val="clear" w:color="auto" w:fill="auto"/>
            <w:vAlign w:val="center"/>
          </w:tcPr>
          <w:p w14:paraId="1F4C1F6A">
            <w:pPr>
              <w:pStyle w:val="178"/>
            </w:pPr>
            <w:r>
              <w:t>0-5</w:t>
            </w:r>
          </w:p>
        </w:tc>
        <w:tc>
          <w:tcPr>
            <w:tcW w:w="2114" w:type="dxa"/>
            <w:tcBorders>
              <w:bottom w:val="single" w:color="auto" w:sz="8" w:space="0"/>
            </w:tcBorders>
            <w:shd w:val="clear" w:color="auto" w:fill="auto"/>
            <w:vAlign w:val="center"/>
          </w:tcPr>
          <w:p w14:paraId="465DF7DB">
            <w:pPr>
              <w:pStyle w:val="178"/>
            </w:pPr>
            <w:r>
              <w:rPr>
                <w:rFonts w:hint="eastAsia"/>
              </w:rPr>
              <w:t>≥95%得满分</w:t>
            </w:r>
          </w:p>
        </w:tc>
      </w:tr>
    </w:tbl>
    <w:p w14:paraId="692C5A4C">
      <w:pPr>
        <w:pStyle w:val="104"/>
        <w:spacing w:before="240" w:after="240" w:line="360" w:lineRule="auto"/>
      </w:pPr>
      <w:bookmarkStart w:id="55" w:name="_Toc205641559"/>
      <w:r>
        <w:rPr>
          <w:rFonts w:hint="eastAsia"/>
        </w:rPr>
        <w:t>运行管理与后评价</w:t>
      </w:r>
      <w:bookmarkEnd w:id="55"/>
    </w:p>
    <w:p w14:paraId="054D144C">
      <w:pPr>
        <w:pStyle w:val="105"/>
        <w:spacing w:before="120" w:after="120" w:line="360" w:lineRule="auto"/>
      </w:pPr>
      <w:r>
        <w:rPr>
          <w:rFonts w:hint="eastAsia"/>
        </w:rPr>
        <w:t>运行管理原则</w:t>
      </w:r>
    </w:p>
    <w:p w14:paraId="791056E3">
      <w:pPr>
        <w:pStyle w:val="56"/>
        <w:spacing w:line="360" w:lineRule="auto"/>
        <w:ind w:firstLine="420"/>
      </w:pPr>
      <w:r>
        <w:rPr>
          <w:rFonts w:hint="eastAsia"/>
        </w:rPr>
        <w:t>生态水利工程运行管理应坚持生态优先、预防为主、动态调控和持续改进的原则，确保水利功能与生态功能在长期运行中协调稳定。</w:t>
      </w:r>
    </w:p>
    <w:p w14:paraId="3AEE256C">
      <w:pPr>
        <w:pStyle w:val="105"/>
        <w:spacing w:before="120" w:after="120" w:line="360" w:lineRule="auto"/>
      </w:pPr>
      <w:r>
        <w:rPr>
          <w:rFonts w:hint="eastAsia"/>
        </w:rPr>
        <w:t>运行管理要求</w:t>
      </w:r>
    </w:p>
    <w:p w14:paraId="5D1E676B">
      <w:pPr>
        <w:pStyle w:val="56"/>
        <w:spacing w:line="360" w:lineRule="auto"/>
        <w:ind w:firstLine="420"/>
      </w:pPr>
      <w:r>
        <w:rPr>
          <w:rFonts w:hint="eastAsia"/>
        </w:rPr>
        <w:t>制定并实施运行管理制度，明确管理机构、职责分工和操作规程。</w:t>
      </w:r>
    </w:p>
    <w:p w14:paraId="727253C7">
      <w:pPr>
        <w:pStyle w:val="56"/>
        <w:spacing w:line="360" w:lineRule="auto"/>
        <w:ind w:firstLine="420"/>
      </w:pPr>
      <w:r>
        <w:rPr>
          <w:rFonts w:hint="eastAsia"/>
        </w:rPr>
        <w:t>定期开展水文、水质、生物群落及工程结构状况的监测，形成运行监测档案。</w:t>
      </w:r>
    </w:p>
    <w:p w14:paraId="2704E651">
      <w:pPr>
        <w:pStyle w:val="56"/>
        <w:spacing w:line="360" w:lineRule="auto"/>
        <w:ind w:firstLine="420"/>
      </w:pPr>
      <w:r>
        <w:rPr>
          <w:rFonts w:hint="eastAsia"/>
        </w:rPr>
        <w:t>对生态设施（如鱼道、湿地、生态护岸等）进行定期维护和修复，防止功能退化。</w:t>
      </w:r>
    </w:p>
    <w:p w14:paraId="02046FFF">
      <w:pPr>
        <w:pStyle w:val="56"/>
        <w:spacing w:line="360" w:lineRule="auto"/>
        <w:ind w:firstLine="420"/>
      </w:pPr>
      <w:r>
        <w:rPr>
          <w:rFonts w:hint="eastAsia"/>
        </w:rPr>
        <w:t>建立突发事件应急响应机制，包括洪水、干旱、水污染事故等的应急预案。</w:t>
      </w:r>
    </w:p>
    <w:p w14:paraId="7F493072">
      <w:pPr>
        <w:pStyle w:val="56"/>
        <w:spacing w:line="360" w:lineRule="auto"/>
        <w:ind w:firstLine="420"/>
      </w:pPr>
      <w:r>
        <w:rPr>
          <w:rFonts w:hint="eastAsia"/>
        </w:rPr>
        <w:t>保障运行资金投入，确保管理与维护工作的持续性和有效性。</w:t>
      </w:r>
    </w:p>
    <w:p w14:paraId="359B2120">
      <w:pPr>
        <w:pStyle w:val="105"/>
        <w:spacing w:before="120" w:after="120" w:line="360" w:lineRule="auto"/>
      </w:pPr>
      <w:r>
        <w:rPr>
          <w:rFonts w:hint="eastAsia"/>
        </w:rPr>
        <w:t>后评价原则</w:t>
      </w:r>
    </w:p>
    <w:p w14:paraId="1B529B33">
      <w:pPr>
        <w:pStyle w:val="56"/>
        <w:spacing w:line="360" w:lineRule="auto"/>
        <w:ind w:firstLine="420"/>
      </w:pPr>
      <w:r>
        <w:rPr>
          <w:rFonts w:hint="eastAsia"/>
        </w:rPr>
        <w:t>后评价应以科学性、系统性、可追溯性为原则，全面评估工程运行一段时间后在生态效益、水利功能、经济效益及社会影响等方面的表现。</w:t>
      </w:r>
    </w:p>
    <w:p w14:paraId="0CC2D7EB">
      <w:pPr>
        <w:pStyle w:val="105"/>
        <w:spacing w:before="120" w:after="120" w:line="360" w:lineRule="auto"/>
      </w:pPr>
      <w:r>
        <w:rPr>
          <w:rFonts w:hint="eastAsia"/>
        </w:rPr>
        <w:t>后评价内容</w:t>
      </w:r>
    </w:p>
    <w:p w14:paraId="29E1FC42">
      <w:pPr>
        <w:pStyle w:val="165"/>
        <w:spacing w:line="360" w:lineRule="auto"/>
      </w:pPr>
      <w:r>
        <w:rPr>
          <w:rFonts w:hint="eastAsia"/>
        </w:rPr>
        <w:t>水利功能持续性：防洪、供水、灌溉等功能运行稳定性。</w:t>
      </w:r>
    </w:p>
    <w:p w14:paraId="5D97380E">
      <w:pPr>
        <w:pStyle w:val="165"/>
        <w:spacing w:line="360" w:lineRule="auto"/>
      </w:pPr>
      <w:r>
        <w:rPr>
          <w:rFonts w:hint="eastAsia"/>
        </w:rPr>
        <w:t>生态效益维持情况：水质改善成效、生物多样性变化、栖息地质量变化等。</w:t>
      </w:r>
    </w:p>
    <w:p w14:paraId="0D4E6740">
      <w:pPr>
        <w:pStyle w:val="165"/>
        <w:spacing w:line="360" w:lineRule="auto"/>
      </w:pPr>
      <w:r>
        <w:rPr>
          <w:rFonts w:hint="eastAsia"/>
        </w:rPr>
        <w:t>经济与社会效益：运行成本与效益分析、公众满意度、生态旅游与教育功能发挥情况。</w:t>
      </w:r>
    </w:p>
    <w:p w14:paraId="13DBC6E3">
      <w:pPr>
        <w:pStyle w:val="165"/>
        <w:spacing w:line="360" w:lineRule="auto"/>
      </w:pPr>
      <w:r>
        <w:rPr>
          <w:rFonts w:hint="eastAsia"/>
        </w:rPr>
        <w:t>管理与维护效果：制度执行、设施完好率、应急处置效果等。</w:t>
      </w:r>
    </w:p>
    <w:p w14:paraId="7F4346DF">
      <w:pPr>
        <w:pStyle w:val="105"/>
        <w:spacing w:before="120" w:after="120" w:line="360" w:lineRule="auto"/>
      </w:pPr>
      <w:r>
        <w:rPr>
          <w:rFonts w:hint="eastAsia"/>
        </w:rPr>
        <w:t>后评价方法</w:t>
      </w:r>
    </w:p>
    <w:p w14:paraId="285226B2">
      <w:pPr>
        <w:pStyle w:val="56"/>
        <w:spacing w:line="360" w:lineRule="auto"/>
        <w:ind w:firstLine="420"/>
      </w:pPr>
      <w:r>
        <w:rPr>
          <w:rFonts w:hint="eastAsia"/>
        </w:rPr>
        <w:t>结合监测数据、运行记录、专家评审和公众调查等方式，采用定量分析与定性分析相结合的方法进行综合评估，形成后评价报告，并提出优化运行管理和改进工程设计的建议。</w:t>
      </w:r>
    </w:p>
    <w:p w14:paraId="0980688C">
      <w:pPr>
        <w:pStyle w:val="104"/>
        <w:spacing w:before="240" w:after="240" w:line="360" w:lineRule="auto"/>
      </w:pPr>
      <w:bookmarkStart w:id="56" w:name="_Toc205641560"/>
      <w:r>
        <w:rPr>
          <w:rFonts w:hint="eastAsia"/>
        </w:rPr>
        <w:t>监测与数据管理</w:t>
      </w:r>
      <w:bookmarkEnd w:id="56"/>
    </w:p>
    <w:p w14:paraId="52646029">
      <w:pPr>
        <w:pStyle w:val="105"/>
        <w:spacing w:before="120" w:after="120" w:line="360" w:lineRule="auto"/>
      </w:pPr>
      <w:r>
        <w:rPr>
          <w:rFonts w:hint="eastAsia"/>
        </w:rPr>
        <w:t>总则</w:t>
      </w:r>
    </w:p>
    <w:p w14:paraId="6FC9EE8A">
      <w:pPr>
        <w:pStyle w:val="56"/>
        <w:spacing w:line="360" w:lineRule="auto"/>
        <w:ind w:firstLine="420"/>
      </w:pPr>
      <w:r>
        <w:rPr>
          <w:rFonts w:hint="eastAsia"/>
        </w:rPr>
        <w:t>生态水利工程的监测与数据管理应覆盖设计、施工、运行及后评价全过程，确保关键数据的真实性、完整性和可追溯性。监测体系应与工程功能和生态目标相匹配，形成科学、系统、可持续的数据支持平台。</w:t>
      </w:r>
    </w:p>
    <w:p w14:paraId="6312817C">
      <w:pPr>
        <w:pStyle w:val="105"/>
        <w:spacing w:before="120" w:after="120" w:line="360" w:lineRule="auto"/>
      </w:pPr>
      <w:r>
        <w:rPr>
          <w:rFonts w:hint="eastAsia"/>
        </w:rPr>
        <w:t>监测内容</w:t>
      </w:r>
    </w:p>
    <w:p w14:paraId="57FE6FED">
      <w:pPr>
        <w:pStyle w:val="165"/>
        <w:spacing w:line="360" w:lineRule="auto"/>
      </w:pPr>
      <w:r>
        <w:rPr>
          <w:rFonts w:hint="eastAsia"/>
        </w:rPr>
        <w:t>水文监测：包括流量、水位、降雨量、水温等。</w:t>
      </w:r>
    </w:p>
    <w:p w14:paraId="5718B6EE">
      <w:pPr>
        <w:pStyle w:val="165"/>
        <w:spacing w:line="360" w:lineRule="auto"/>
      </w:pPr>
      <w:r>
        <w:rPr>
          <w:rFonts w:hint="eastAsia"/>
        </w:rPr>
        <w:t>水质监测：包括溶解氧、pH值、总氮、总磷、化学需氧量等主要指标。</w:t>
      </w:r>
    </w:p>
    <w:p w14:paraId="6A2EAE83">
      <w:pPr>
        <w:pStyle w:val="165"/>
        <w:spacing w:line="360" w:lineRule="auto"/>
      </w:pPr>
      <w:r>
        <w:rPr>
          <w:rFonts w:hint="eastAsia"/>
        </w:rPr>
        <w:t>生态监测：包括水生生物多样性、栖息地连通性、植被覆盖率、湿地面积变化等。</w:t>
      </w:r>
    </w:p>
    <w:p w14:paraId="1BE9C091">
      <w:pPr>
        <w:pStyle w:val="165"/>
        <w:spacing w:line="360" w:lineRule="auto"/>
      </w:pPr>
      <w:r>
        <w:rPr>
          <w:rFonts w:hint="eastAsia"/>
        </w:rPr>
        <w:t>工程结构监测：包括坝体、护岸、涵洞等关键部位的变形、渗漏及损伤情况。</w:t>
      </w:r>
    </w:p>
    <w:p w14:paraId="718D4082">
      <w:pPr>
        <w:pStyle w:val="165"/>
        <w:spacing w:line="360" w:lineRule="auto"/>
      </w:pPr>
      <w:r>
        <w:rPr>
          <w:rFonts w:hint="eastAsia"/>
        </w:rPr>
        <w:t>景观与社会效益监测：包括景观协调度、公众满意度、生态旅游与教育活动开展频率。</w:t>
      </w:r>
    </w:p>
    <w:p w14:paraId="743CEBC8">
      <w:pPr>
        <w:pStyle w:val="105"/>
        <w:spacing w:before="120" w:after="120" w:line="360" w:lineRule="auto"/>
      </w:pPr>
      <w:r>
        <w:rPr>
          <w:rFonts w:hint="eastAsia"/>
        </w:rPr>
        <w:t>监测方法与频次</w:t>
      </w:r>
    </w:p>
    <w:p w14:paraId="602E3BE9">
      <w:pPr>
        <w:pStyle w:val="56"/>
        <w:spacing w:line="360" w:lineRule="auto"/>
        <w:ind w:firstLine="420"/>
      </w:pPr>
      <w:r>
        <w:rPr>
          <w:rFonts w:hint="eastAsia"/>
        </w:rPr>
        <w:t>水文和水质监测应采用符合国家或行业标准的监测方法，固定点位长期监测。</w:t>
      </w:r>
    </w:p>
    <w:p w14:paraId="68BD34FB">
      <w:pPr>
        <w:pStyle w:val="56"/>
        <w:spacing w:line="360" w:lineRule="auto"/>
        <w:ind w:firstLine="420"/>
      </w:pPr>
      <w:r>
        <w:rPr>
          <w:rFonts w:hint="eastAsia"/>
        </w:rPr>
        <w:t>水文监测建议按日记录，水质监测不少于季度一次，关键时期（如汛期、施工期）应增加频次。</w:t>
      </w:r>
    </w:p>
    <w:p w14:paraId="3DA66B22">
      <w:pPr>
        <w:pStyle w:val="56"/>
        <w:spacing w:line="360" w:lineRule="auto"/>
        <w:ind w:firstLine="420"/>
      </w:pPr>
      <w:r>
        <w:rPr>
          <w:rFonts w:hint="eastAsia"/>
        </w:rPr>
        <w:t>生态监测应在春、夏、秋、冬四季进行，确保数据的代表性。</w:t>
      </w:r>
    </w:p>
    <w:p w14:paraId="3468CB0C">
      <w:pPr>
        <w:pStyle w:val="56"/>
        <w:spacing w:line="360" w:lineRule="auto"/>
        <w:ind w:firstLine="420"/>
      </w:pPr>
      <w:r>
        <w:rPr>
          <w:rFonts w:hint="eastAsia"/>
        </w:rPr>
        <w:t>工程结构监测应每年至少进行一次全面检查，重大工程部位需配备自动化监测设备。</w:t>
      </w:r>
    </w:p>
    <w:p w14:paraId="33426114">
      <w:pPr>
        <w:pStyle w:val="56"/>
        <w:spacing w:line="360" w:lineRule="auto"/>
        <w:ind w:firstLine="420"/>
      </w:pPr>
      <w:r>
        <w:rPr>
          <w:rFonts w:hint="eastAsia"/>
        </w:rPr>
        <w:t>景观与社会效益监测可结合年度公众问卷与专家评审进行。</w:t>
      </w:r>
    </w:p>
    <w:p w14:paraId="6898E8EE">
      <w:pPr>
        <w:pStyle w:val="105"/>
        <w:spacing w:before="120" w:after="120" w:line="360" w:lineRule="auto"/>
      </w:pPr>
      <w:r>
        <w:rPr>
          <w:rFonts w:hint="eastAsia"/>
        </w:rPr>
        <w:t>数据管理要求</w:t>
      </w:r>
    </w:p>
    <w:p w14:paraId="4D2CD272">
      <w:pPr>
        <w:pStyle w:val="56"/>
        <w:spacing w:line="360" w:lineRule="auto"/>
        <w:ind w:firstLine="420"/>
      </w:pPr>
      <w:r>
        <w:rPr>
          <w:rFonts w:hint="eastAsia"/>
        </w:rPr>
        <w:t>监测数据应建立统一数据库，按类别、时间、地点等进行分类存储。</w:t>
      </w:r>
    </w:p>
    <w:p w14:paraId="4B922D0A">
      <w:pPr>
        <w:pStyle w:val="56"/>
        <w:spacing w:line="360" w:lineRule="auto"/>
        <w:ind w:firstLine="420"/>
      </w:pPr>
      <w:r>
        <w:rPr>
          <w:rFonts w:hint="eastAsia"/>
        </w:rPr>
        <w:t>数据存储格式应符合国家或行业数据标准，便于共享与交换。</w:t>
      </w:r>
    </w:p>
    <w:p w14:paraId="41D6B95E">
      <w:pPr>
        <w:pStyle w:val="56"/>
        <w:spacing w:line="360" w:lineRule="auto"/>
        <w:ind w:firstLine="420"/>
      </w:pPr>
      <w:r>
        <w:rPr>
          <w:rFonts w:hint="eastAsia"/>
        </w:rPr>
        <w:t>所有监测数据须保留原始记录，并记录数据采集人、采集时间、设备型号等信息。</w:t>
      </w:r>
    </w:p>
    <w:p w14:paraId="659211BB">
      <w:pPr>
        <w:pStyle w:val="56"/>
        <w:spacing w:line="360" w:lineRule="auto"/>
        <w:ind w:firstLine="420"/>
      </w:pPr>
      <w:r>
        <w:rPr>
          <w:rFonts w:hint="eastAsia"/>
        </w:rPr>
        <w:t>数据应至少保存10年，重要工程应永久存档。</w:t>
      </w:r>
    </w:p>
    <w:p w14:paraId="2FBF10D2">
      <w:pPr>
        <w:pStyle w:val="56"/>
        <w:spacing w:line="360" w:lineRule="auto"/>
        <w:ind w:firstLine="420"/>
      </w:pPr>
      <w:r>
        <w:rPr>
          <w:rFonts w:hint="eastAsia"/>
        </w:rPr>
        <w:t>数据应具备备份与灾难恢复机制，防止数据丢失。</w:t>
      </w:r>
    </w:p>
    <w:p w14:paraId="07D8186F">
      <w:pPr>
        <w:pStyle w:val="105"/>
        <w:spacing w:before="120" w:after="120" w:line="360" w:lineRule="auto"/>
      </w:pPr>
      <w:r>
        <w:rPr>
          <w:rFonts w:hint="eastAsia"/>
        </w:rPr>
        <w:t>数据共享与利用</w:t>
      </w:r>
    </w:p>
    <w:p w14:paraId="082E166C">
      <w:pPr>
        <w:pStyle w:val="56"/>
        <w:spacing w:line="360" w:lineRule="auto"/>
        <w:ind w:firstLine="420"/>
      </w:pPr>
      <w:r>
        <w:rPr>
          <w:rFonts w:hint="eastAsia"/>
        </w:rPr>
        <w:t>鼓励在遵守相关法律法规的前提下，向科研机构、公众和相关管理部门开放数据。</w:t>
      </w:r>
    </w:p>
    <w:p w14:paraId="6B1ED445">
      <w:pPr>
        <w:pStyle w:val="56"/>
        <w:spacing w:line="360" w:lineRule="auto"/>
        <w:ind w:firstLine="420"/>
      </w:pPr>
      <w:r>
        <w:rPr>
          <w:rFonts w:hint="eastAsia"/>
        </w:rPr>
        <w:t>利用监测数据开展趋势分析、预测预警和效果评估，为运行管理与决策提供科学依据。</w:t>
      </w:r>
    </w:p>
    <w:p w14:paraId="5086508D">
      <w:pPr>
        <w:pStyle w:val="56"/>
        <w:spacing w:line="360" w:lineRule="auto"/>
        <w:ind w:firstLine="420"/>
      </w:pPr>
      <w:r>
        <w:rPr>
          <w:rFonts w:hint="eastAsia"/>
        </w:rPr>
        <w:t>建立与区域或流域监测平台的互联互通，实现多源数据融合应用。</w:t>
      </w:r>
    </w:p>
    <w:p w14:paraId="0CEDB5D1">
      <w:pPr>
        <w:pStyle w:val="104"/>
        <w:spacing w:before="240" w:after="240" w:line="360" w:lineRule="auto"/>
      </w:pPr>
      <w:bookmarkStart w:id="57" w:name="_Toc205641561"/>
      <w:r>
        <w:rPr>
          <w:rFonts w:hint="eastAsia"/>
        </w:rPr>
        <w:t>生态风险防控与应急措施</w:t>
      </w:r>
      <w:bookmarkEnd w:id="57"/>
    </w:p>
    <w:p w14:paraId="33D426D0">
      <w:pPr>
        <w:pStyle w:val="105"/>
        <w:spacing w:before="120" w:after="120" w:line="360" w:lineRule="auto"/>
      </w:pPr>
      <w:r>
        <w:rPr>
          <w:rFonts w:hint="eastAsia"/>
        </w:rPr>
        <w:t>总则</w:t>
      </w:r>
    </w:p>
    <w:p w14:paraId="6CE1D7BF">
      <w:pPr>
        <w:pStyle w:val="56"/>
        <w:spacing w:line="360" w:lineRule="auto"/>
        <w:ind w:firstLine="420"/>
      </w:pPr>
      <w:r>
        <w:rPr>
          <w:rFonts w:hint="eastAsia"/>
        </w:rPr>
        <w:t>生态水利工程在运行过程中，可能面临极端气候事件、水质污染事故、生物入侵、结构性故障等风险。应建立完善的风险防控体系和应急预案，确保工程功能与生态效益在突发事件中能够快速恢复。</w:t>
      </w:r>
    </w:p>
    <w:p w14:paraId="45039167">
      <w:pPr>
        <w:pStyle w:val="105"/>
        <w:spacing w:before="120" w:after="120" w:line="360" w:lineRule="auto"/>
      </w:pPr>
      <w:r>
        <w:rPr>
          <w:rFonts w:hint="eastAsia"/>
        </w:rPr>
        <w:t>风险识别</w:t>
      </w:r>
    </w:p>
    <w:p w14:paraId="34EE0060">
      <w:pPr>
        <w:pStyle w:val="165"/>
        <w:spacing w:line="360" w:lineRule="auto"/>
      </w:pPr>
      <w:r>
        <w:rPr>
          <w:rFonts w:hint="eastAsia"/>
        </w:rPr>
        <w:t>自然灾害风险：洪水、干旱、冰冻、台风等极端天气引发的工程功能受损与生态破坏。</w:t>
      </w:r>
    </w:p>
    <w:p w14:paraId="29912231">
      <w:pPr>
        <w:pStyle w:val="165"/>
        <w:spacing w:line="360" w:lineRule="auto"/>
      </w:pPr>
      <w:r>
        <w:rPr>
          <w:rFonts w:hint="eastAsia"/>
        </w:rPr>
        <w:t>水环境风险：上游来水污染、面源污染、突发性有毒有害物质排放。</w:t>
      </w:r>
    </w:p>
    <w:p w14:paraId="3FD977EF">
      <w:pPr>
        <w:pStyle w:val="165"/>
        <w:spacing w:line="360" w:lineRule="auto"/>
      </w:pPr>
      <w:r>
        <w:rPr>
          <w:rFonts w:hint="eastAsia"/>
        </w:rPr>
        <w:t>生态系统风险：外来入侵物种扩散、生物多样性锐减、栖息地退化。</w:t>
      </w:r>
    </w:p>
    <w:p w14:paraId="14DAE644">
      <w:pPr>
        <w:pStyle w:val="165"/>
        <w:spacing w:line="360" w:lineRule="auto"/>
      </w:pPr>
      <w:r>
        <w:rPr>
          <w:rFonts w:hint="eastAsia"/>
        </w:rPr>
        <w:t>工程运行风险：结构失稳、设备故障、运行管理失误。</w:t>
      </w:r>
    </w:p>
    <w:p w14:paraId="6F4AB079">
      <w:pPr>
        <w:pStyle w:val="105"/>
        <w:spacing w:before="120" w:after="120" w:line="360" w:lineRule="auto"/>
      </w:pPr>
      <w:r>
        <w:rPr>
          <w:rFonts w:hint="eastAsia"/>
        </w:rPr>
        <w:t>防控措施</w:t>
      </w:r>
    </w:p>
    <w:p w14:paraId="1F61098B">
      <w:pPr>
        <w:pStyle w:val="165"/>
        <w:spacing w:line="360" w:lineRule="auto"/>
      </w:pPr>
      <w:r>
        <w:rPr>
          <w:rFonts w:hint="eastAsia"/>
        </w:rPr>
        <w:t>监测预警：利用水文、水质和生态监测系统，建立多级预警机制。</w:t>
      </w:r>
    </w:p>
    <w:p w14:paraId="68B7EF70">
      <w:pPr>
        <w:pStyle w:val="165"/>
        <w:spacing w:line="360" w:lineRule="auto"/>
      </w:pPr>
      <w:r>
        <w:rPr>
          <w:rFonts w:hint="eastAsia"/>
        </w:rPr>
        <w:t>设计预防：在设计阶段预留防洪调蓄能力、生态通道冗余空间。</w:t>
      </w:r>
    </w:p>
    <w:p w14:paraId="736982A3">
      <w:pPr>
        <w:pStyle w:val="165"/>
        <w:spacing w:line="360" w:lineRule="auto"/>
      </w:pPr>
      <w:r>
        <w:rPr>
          <w:rFonts w:hint="eastAsia"/>
        </w:rPr>
        <w:t>管理预防：定期培训运行管理人员，提高风险识别与处置能力。</w:t>
      </w:r>
    </w:p>
    <w:p w14:paraId="31C59715">
      <w:pPr>
        <w:pStyle w:val="165"/>
        <w:spacing w:line="360" w:lineRule="auto"/>
      </w:pPr>
      <w:r>
        <w:rPr>
          <w:rFonts w:hint="eastAsia"/>
        </w:rPr>
        <w:t>维护加固：对易受冲刷、侵蚀的生态护岸、鱼道等设施定期加固维护。</w:t>
      </w:r>
    </w:p>
    <w:p w14:paraId="6E80B297">
      <w:pPr>
        <w:pStyle w:val="105"/>
        <w:spacing w:before="120" w:after="120" w:line="360" w:lineRule="auto"/>
      </w:pPr>
      <w:r>
        <w:rPr>
          <w:rFonts w:hint="eastAsia"/>
        </w:rPr>
        <w:t>应急措施</w:t>
      </w:r>
    </w:p>
    <w:p w14:paraId="5A503660">
      <w:pPr>
        <w:pStyle w:val="65"/>
        <w:spacing w:before="120" w:after="120" w:line="360" w:lineRule="auto"/>
      </w:pPr>
      <w:r>
        <w:rPr>
          <w:rFonts w:hint="eastAsia"/>
        </w:rPr>
        <w:t>极端气候事件应急</w:t>
      </w:r>
    </w:p>
    <w:p w14:paraId="6D9344B2">
      <w:pPr>
        <w:pStyle w:val="164"/>
        <w:spacing w:line="360" w:lineRule="auto"/>
      </w:pPr>
      <w:r>
        <w:rPr>
          <w:rFonts w:hint="eastAsia"/>
        </w:rPr>
        <w:t>洪水：启用泄洪设施，调整生态调度方案，防止水生生物大规模流失。</w:t>
      </w:r>
    </w:p>
    <w:p w14:paraId="5958BD61">
      <w:pPr>
        <w:pStyle w:val="164"/>
        <w:spacing w:line="360" w:lineRule="auto"/>
      </w:pPr>
      <w:r>
        <w:rPr>
          <w:rFonts w:hint="eastAsia"/>
        </w:rPr>
        <w:t>干旱：实施应急调水，优先保障生态需水。</w:t>
      </w:r>
    </w:p>
    <w:p w14:paraId="31BF0EE1">
      <w:pPr>
        <w:pStyle w:val="164"/>
        <w:spacing w:line="360" w:lineRule="auto"/>
      </w:pPr>
      <w:r>
        <w:rPr>
          <w:rFonts w:hint="eastAsia"/>
        </w:rPr>
        <w:t>冰冻：防止进水口、闸门结冰影响运行。</w:t>
      </w:r>
    </w:p>
    <w:p w14:paraId="709E64F2">
      <w:pPr>
        <w:pStyle w:val="65"/>
        <w:spacing w:before="120" w:after="120" w:line="360" w:lineRule="auto"/>
      </w:pPr>
      <w:r>
        <w:rPr>
          <w:rFonts w:hint="eastAsia"/>
        </w:rPr>
        <w:t>水质污染应急</w:t>
      </w:r>
    </w:p>
    <w:p w14:paraId="444DE7EC">
      <w:pPr>
        <w:pStyle w:val="132"/>
        <w:numPr>
          <w:ilvl w:val="0"/>
          <w:numId w:val="0"/>
        </w:numPr>
        <w:spacing w:line="360" w:lineRule="auto"/>
        <w:ind w:left="851" w:hanging="426"/>
      </w:pPr>
      <w:r>
        <w:rPr>
          <w:rFonts w:hint="eastAsia"/>
        </w:rPr>
        <w:t>封闭受污染水域入口，防止污染扩散。</w:t>
      </w:r>
    </w:p>
    <w:p w14:paraId="241E3534">
      <w:pPr>
        <w:pStyle w:val="132"/>
        <w:numPr>
          <w:ilvl w:val="0"/>
          <w:numId w:val="0"/>
        </w:numPr>
        <w:spacing w:line="360" w:lineRule="auto"/>
        <w:ind w:left="851" w:hanging="426"/>
      </w:pPr>
      <w:r>
        <w:rPr>
          <w:rFonts w:hint="eastAsia"/>
        </w:rPr>
        <w:t>投加生态友好型净水材料，控制污染物浓度。</w:t>
      </w:r>
    </w:p>
    <w:p w14:paraId="311BFF2F">
      <w:pPr>
        <w:pStyle w:val="132"/>
        <w:numPr>
          <w:ilvl w:val="0"/>
          <w:numId w:val="0"/>
        </w:numPr>
        <w:spacing w:line="360" w:lineRule="auto"/>
        <w:ind w:left="425"/>
      </w:pPr>
      <w:r>
        <w:rPr>
          <w:rFonts w:hint="eastAsia"/>
        </w:rPr>
        <w:t>加强生物修复措施，恢复水体自净能力。</w:t>
      </w:r>
    </w:p>
    <w:p w14:paraId="5C979AAF">
      <w:pPr>
        <w:pStyle w:val="65"/>
        <w:spacing w:before="120" w:after="120" w:line="360" w:lineRule="auto"/>
      </w:pPr>
      <w:r>
        <w:rPr>
          <w:rFonts w:hint="eastAsia"/>
        </w:rPr>
        <w:t>外来物种入侵应急</w:t>
      </w:r>
    </w:p>
    <w:p w14:paraId="4CFCAC9B">
      <w:pPr>
        <w:pStyle w:val="56"/>
        <w:spacing w:line="360" w:lineRule="auto"/>
        <w:ind w:firstLine="420"/>
      </w:pPr>
      <w:r>
        <w:rPr>
          <w:rFonts w:hint="eastAsia"/>
        </w:rPr>
        <w:t>启动物理阻隔（如隔离网）、生物控制（引入天敌）等措施。</w:t>
      </w:r>
    </w:p>
    <w:p w14:paraId="26D7AD33">
      <w:pPr>
        <w:pStyle w:val="56"/>
        <w:spacing w:line="360" w:lineRule="auto"/>
        <w:ind w:firstLine="420"/>
      </w:pPr>
      <w:r>
        <w:rPr>
          <w:rFonts w:hint="eastAsia"/>
        </w:rPr>
        <w:t>对入侵种群进行监测和控制，防止其扩散影响本地生态系统。</w:t>
      </w:r>
    </w:p>
    <w:p w14:paraId="44AA785C">
      <w:pPr>
        <w:pStyle w:val="65"/>
        <w:spacing w:before="120" w:after="120" w:line="360" w:lineRule="auto"/>
      </w:pPr>
      <w:r>
        <w:rPr>
          <w:rFonts w:hint="eastAsia"/>
        </w:rPr>
        <w:t>工程故障应急</w:t>
      </w:r>
    </w:p>
    <w:p w14:paraId="370CAC7E">
      <w:pPr>
        <w:pStyle w:val="56"/>
        <w:spacing w:line="360" w:lineRule="auto"/>
        <w:ind w:firstLine="420"/>
      </w:pPr>
      <w:r>
        <w:rPr>
          <w:rFonts w:hint="eastAsia"/>
        </w:rPr>
        <w:t>对关键结构进行应急加固或临时替代运行。</w:t>
      </w:r>
    </w:p>
    <w:p w14:paraId="1145ABC4">
      <w:pPr>
        <w:pStyle w:val="56"/>
        <w:spacing w:line="360" w:lineRule="auto"/>
        <w:ind w:firstLine="420"/>
      </w:pPr>
      <w:r>
        <w:rPr>
          <w:rFonts w:hint="eastAsia"/>
        </w:rPr>
        <w:t>启动备用泵站、闸门等设施保障工程功能。</w:t>
      </w:r>
    </w:p>
    <w:p w14:paraId="4BDFB3F4">
      <w:pPr>
        <w:pStyle w:val="105"/>
        <w:spacing w:before="120" w:after="120" w:line="360" w:lineRule="auto"/>
      </w:pPr>
      <w:r>
        <w:rPr>
          <w:rFonts w:hint="eastAsia"/>
        </w:rPr>
        <w:t>应急管理要求</w:t>
      </w:r>
    </w:p>
    <w:p w14:paraId="6007663D">
      <w:pPr>
        <w:pStyle w:val="56"/>
        <w:spacing w:line="360" w:lineRule="auto"/>
        <w:ind w:firstLine="420"/>
      </w:pPr>
      <w:r>
        <w:rPr>
          <w:rFonts w:hint="eastAsia"/>
        </w:rPr>
        <w:t>制定多类型应急预案，并定期演练。</w:t>
      </w:r>
    </w:p>
    <w:p w14:paraId="16EA20C2">
      <w:pPr>
        <w:pStyle w:val="56"/>
        <w:spacing w:line="360" w:lineRule="auto"/>
        <w:ind w:firstLine="420"/>
      </w:pPr>
      <w:r>
        <w:rPr>
          <w:rFonts w:hint="eastAsia"/>
        </w:rPr>
        <w:t>建立应急物资储备，包括应急泵机、拦污装置、应急照明设备、应急水质净化材料等。</w:t>
      </w:r>
    </w:p>
    <w:p w14:paraId="3E897D9E">
      <w:pPr>
        <w:pStyle w:val="56"/>
        <w:spacing w:line="360" w:lineRule="auto"/>
        <w:ind w:firstLine="420"/>
      </w:pPr>
      <w:r>
        <w:rPr>
          <w:rFonts w:hint="eastAsia"/>
        </w:rPr>
        <w:t>应急处置全过程应做好记录，并在事后进行复盘分析，优化防控体系。</w:t>
      </w:r>
    </w:p>
    <w:bookmarkEnd w:id="26"/>
    <w:p w14:paraId="3344BF90">
      <w:pPr>
        <w:pStyle w:val="56"/>
        <w:spacing w:line="360" w:lineRule="auto"/>
        <w:ind w:firstLine="0" w:firstLineChars="0"/>
        <w:jc w:val="center"/>
      </w:pPr>
      <w:bookmarkStart w:id="58" w:name="BookMark8"/>
      <w:r>
        <w:rPr>
          <w:rFonts w:hint="eastAsia"/>
        </w:rPr>
        <w:drawing>
          <wp:inline distT="0" distB="0" distL="0" distR="0">
            <wp:extent cx="1485900" cy="317500"/>
            <wp:effectExtent l="0" t="0" r="0" b="6350"/>
            <wp:docPr id="1454732074" name="图片 1"/>
            <wp:cNvGraphicFramePr/>
            <a:graphic xmlns:a="http://schemas.openxmlformats.org/drawingml/2006/main">
              <a:graphicData uri="http://schemas.openxmlformats.org/drawingml/2006/picture">
                <pic:pic xmlns:pic="http://schemas.openxmlformats.org/drawingml/2006/picture">
                  <pic:nvPicPr>
                    <pic:cNvPr id="1454732074"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C4E84">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0D821">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09490">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3934F">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DE1B1">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65C3B">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933CE">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9FFC8">
    <w:pPr>
      <w:pStyle w:val="51"/>
    </w:pPr>
    <w:r>
      <w:fldChar w:fldCharType="begin"/>
    </w:r>
    <w:r>
      <w:instrText xml:space="preserve"> PAGE   \* MERGEFORMAT \* MERGEFORMAT </w:instrText>
    </w:r>
    <w:r>
      <w:fldChar w:fldCharType="separate"/>
    </w:r>
    <w: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E6959">
    <w:pPr>
      <w:pStyle w:val="61"/>
    </w:pPr>
    <w:r>
      <w:fldChar w:fldCharType="begin"/>
    </w:r>
    <w:r>
      <w:instrText xml:space="preserve"> STYLEREF  标准文件_文件编号  \* MERGEFORMAT </w:instrText>
    </w:r>
    <w:r>
      <w:fldChar w:fldCharType="separate"/>
    </w:r>
    <w:r>
      <w:t>T/XJBX 0059—2025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AFB31">
    <w:pPr>
      <w:pStyle w:val="62"/>
    </w:pPr>
    <w:r>
      <w:fldChar w:fldCharType="begin"/>
    </w:r>
    <w:r>
      <w:instrText xml:space="preserve"> STYLEREF  标准文件_文件编号 \* MERGEFORMAT </w:instrText>
    </w:r>
    <w:r>
      <w:fldChar w:fldCharType="separate"/>
    </w:r>
    <w:r>
      <w:t>T/XJBX 0059—2025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9AAA0">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0059—2025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fldChar w:fldCharType="begin"/>
    </w:r>
    <w:r>
      <w:instrText xml:space="preserve"> STYLEREF  标准文件_文件编号 \* MERGEFORMAT </w:instrText>
    </w:r>
    <w:r>
      <w:fldChar w:fldCharType="separate"/>
    </w:r>
    <w:r>
      <w:t>T/XJBX 0059—2025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C4342">
    <w:pPr>
      <w:pStyle w:val="61"/>
    </w:pPr>
    <w:r>
      <w:fldChar w:fldCharType="begin"/>
    </w:r>
    <w:r>
      <w:instrText xml:space="preserve"> STYLEREF  标准文件_文件编号  \* MERGEFORMAT </w:instrText>
    </w:r>
    <w:r>
      <w:fldChar w:fldCharType="separate"/>
    </w:r>
    <w:r>
      <w:t>T/XJBX 0059—2025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0D1BF">
    <w:pPr>
      <w:pStyle w:val="62"/>
    </w:pPr>
    <w:r>
      <w:fldChar w:fldCharType="begin"/>
    </w:r>
    <w:r>
      <w:instrText xml:space="preserve"> STYLEREF  标准文件_文件编号 \* MERGEFORMAT </w:instrText>
    </w:r>
    <w:r>
      <w:fldChar w:fldCharType="separate"/>
    </w:r>
    <w:r>
      <w:t>T/XJBX 0059—2025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F99F5">
    <w:pPr>
      <w:pStyle w:val="61"/>
    </w:pPr>
    <w:r>
      <w:fldChar w:fldCharType="begin"/>
    </w:r>
    <w:r>
      <w:instrText xml:space="preserve"> STYLEREF  标准文件_文件编号  \* MERGEFORMAT </w:instrText>
    </w:r>
    <w:r>
      <w:fldChar w:fldCharType="separate"/>
    </w:r>
    <w:r>
      <w:t>T/XJBX 0059—2025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37152">
    <w:pPr>
      <w:pStyle w:val="62"/>
    </w:pPr>
    <w:r>
      <w:fldChar w:fldCharType="begin"/>
    </w:r>
    <w:r>
      <w:instrText xml:space="preserve"> STYLEREF  标准文件_文件编号 \* MERGEFORMAT </w:instrText>
    </w:r>
    <w:r>
      <w:fldChar w:fldCharType="separate"/>
    </w:r>
    <w:r>
      <w:t>T/XJBX 0059—2025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rgUAyk3QjS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535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5E1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1C8"/>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6F15"/>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1B02"/>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734"/>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212A"/>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4F57"/>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706"/>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37F6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1A766279">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6C3BB73B">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129DA67D">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3C7EEA"/>
    <w:rsid w:val="00A15210"/>
    <w:rsid w:val="00AE1DC6"/>
    <w:rsid w:val="00F85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17</Pages>
  <Words>4144</Words>
  <Characters>4429</Characters>
  <Lines>56</Lines>
  <Paragraphs>16</Paragraphs>
  <TotalTime>50</TotalTime>
  <ScaleCrop>false</ScaleCrop>
  <LinksUpToDate>false</LinksUpToDate>
  <CharactersWithSpaces>4506</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2025-08-11T06:24:39Z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435E58F153A1402AACED4B3BCDF2503C_12</vt:lpwstr>
  </property>
</Properties>
</file>