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11.120.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11.120.10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C 0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8"/>
            </w:textInput>
          </w:ffData>
        </w:fldChar>
      </w:r>
      <w:bookmarkStart w:id="6" w:name="NSTD_CODE_F"/>
      <w:r>
        <w:instrText xml:space="preserve"> FORMTEXT </w:instrText>
      </w:r>
      <w:r>
        <w:fldChar w:fldCharType="separate"/>
      </w:r>
      <w:r>
        <w:t>0058</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hint="eastAsia" w:ascii="黑体" w:hAnsi="黑体" w:eastAsia="黑体"/>
          <w:b w:val="0"/>
          <w:bCs w:val="0"/>
          <w:w w:val="100"/>
        </w:rPr>
      </w:pPr>
    </w:p>
    <w:p w14:paraId="73594FE6">
      <w:pPr>
        <w:pStyle w:val="197"/>
        <w:framePr w:h="6974" w:hRule="exact" w:wrap="around" w:x="1419" w:anchorLock="1"/>
        <w:rPr>
          <w:rFonts w:hint="eastAsia"/>
        </w:rPr>
      </w:pPr>
      <w:r>
        <w:fldChar w:fldCharType="begin">
          <w:ffData>
            <w:name w:val="CSTD_NAME"/>
            <w:enabled/>
            <w:calcOnExit w:val="0"/>
            <w:textInput>
              <w:default w:val="执业药师服务质量管理与评价规范"/>
            </w:textInput>
          </w:ffData>
        </w:fldChar>
      </w:r>
      <w:bookmarkStart w:id="9" w:name="CSTD_NAME"/>
      <w:r>
        <w:instrText xml:space="preserve"> FORMTEXT </w:instrText>
      </w:r>
      <w:r>
        <w:fldChar w:fldCharType="separate"/>
      </w:r>
      <w:r>
        <w:t>执业药师服务质量管理与评价规范</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Specification for quality management and evaluation of licensed pharmacist service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quality management and evaluation of licensed pharmacist services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8EFBA6F">
      <w:pPr>
        <w:pStyle w:val="91"/>
        <w:spacing w:after="360"/>
      </w:pPr>
      <w:bookmarkStart w:id="21" w:name="BookMark1"/>
      <w:r>
        <w:rPr>
          <w:rFonts w:hint="eastAsia"/>
          <w:spacing w:val="320"/>
        </w:rPr>
        <w:t>目</w:t>
      </w:r>
      <w:r>
        <w:rPr>
          <w:rFonts w:hint="eastAsia"/>
        </w:rPr>
        <w:t>次</w:t>
      </w:r>
    </w:p>
    <w:p w14:paraId="2F91F176">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"_Toc205761498" </w:instrText>
      </w:r>
      <w:r>
        <w:fldChar w:fldCharType="separate"/>
      </w:r>
      <w:r>
        <w:rPr>
          <w:rStyle w:val="32"/>
        </w:rPr>
        <w:t>前言</w:t>
      </w:r>
      <w:r>
        <w:tab/>
      </w:r>
      <w:r>
        <w:fldChar w:fldCharType="begin"/>
      </w:r>
      <w:r>
        <w:instrText xml:space="preserve"> PAGEREF _Toc205761498 \h </w:instrText>
      </w:r>
      <w:r>
        <w:fldChar w:fldCharType="separate"/>
      </w:r>
      <w:r>
        <w:t>III</w:t>
      </w:r>
      <w:r>
        <w:fldChar w:fldCharType="end"/>
      </w:r>
      <w:r>
        <w:fldChar w:fldCharType="end"/>
      </w:r>
    </w:p>
    <w:p w14:paraId="0CE901E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"_Toc205761499" </w:instrText>
      </w:r>
      <w:r>
        <w:fldChar w:fldCharType="separate"/>
      </w:r>
      <w:r>
        <w:rPr>
          <w:rStyle w:val="32"/>
        </w:rPr>
        <w:t>引言</w:t>
      </w:r>
      <w:r>
        <w:tab/>
      </w:r>
      <w:r>
        <w:fldChar w:fldCharType="begin"/>
      </w:r>
      <w:r>
        <w:instrText xml:space="preserve"> PAGEREF _Toc205761499 \h </w:instrText>
      </w:r>
      <w:r>
        <w:fldChar w:fldCharType="separate"/>
      </w:r>
      <w:r>
        <w:t>V</w:t>
      </w:r>
      <w:r>
        <w:fldChar w:fldCharType="end"/>
      </w:r>
      <w:r>
        <w:fldChar w:fldCharType="end"/>
      </w:r>
    </w:p>
    <w:p w14:paraId="61FBB491">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"_Toc205761500" </w:instrText>
      </w:r>
      <w:r>
        <w:fldChar w:fldCharType="separate"/>
      </w:r>
      <w:r>
        <w:rPr>
          <w:rStyle w:val="32"/>
        </w:rPr>
        <w:t>1  范围</w:t>
      </w:r>
      <w:r>
        <w:tab/>
      </w:r>
      <w:r>
        <w:fldChar w:fldCharType="begin"/>
      </w:r>
      <w:r>
        <w:instrText xml:space="preserve"> PAGEREF _Toc205761500 \h </w:instrText>
      </w:r>
      <w:r>
        <w:fldChar w:fldCharType="separate"/>
      </w:r>
      <w:r>
        <w:t>1</w:t>
      </w:r>
      <w:r>
        <w:fldChar w:fldCharType="end"/>
      </w:r>
      <w:r>
        <w:fldChar w:fldCharType="end"/>
      </w:r>
    </w:p>
    <w:p w14:paraId="104B05DB">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"_Toc205761501" </w:instrText>
      </w:r>
      <w:r>
        <w:fldChar w:fldCharType="separate"/>
      </w:r>
      <w:r>
        <w:rPr>
          <w:rStyle w:val="32"/>
        </w:rPr>
        <w:t>2  规范性引用文件</w:t>
      </w:r>
      <w:r>
        <w:tab/>
      </w:r>
      <w:r>
        <w:fldChar w:fldCharType="begin"/>
      </w:r>
      <w:r>
        <w:instrText xml:space="preserve"> PAGEREF _Toc205761501 \h </w:instrText>
      </w:r>
      <w:r>
        <w:fldChar w:fldCharType="separate"/>
      </w:r>
      <w:r>
        <w:t>1</w:t>
      </w:r>
      <w:r>
        <w:fldChar w:fldCharType="end"/>
      </w:r>
      <w:r>
        <w:fldChar w:fldCharType="end"/>
      </w:r>
    </w:p>
    <w:p w14:paraId="292C5A9B">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"_Toc205761502" </w:instrText>
      </w:r>
      <w:r>
        <w:fldChar w:fldCharType="separate"/>
      </w:r>
      <w:r>
        <w:rPr>
          <w:rStyle w:val="32"/>
        </w:rPr>
        <w:t>3  术语和定义</w:t>
      </w:r>
      <w:r>
        <w:tab/>
      </w:r>
      <w:r>
        <w:fldChar w:fldCharType="begin"/>
      </w:r>
      <w:r>
        <w:instrText xml:space="preserve"> PAGEREF _Toc205761502 \h </w:instrText>
      </w:r>
      <w:r>
        <w:fldChar w:fldCharType="separate"/>
      </w:r>
      <w:r>
        <w:t>1</w:t>
      </w:r>
      <w:r>
        <w:fldChar w:fldCharType="end"/>
      </w:r>
      <w:r>
        <w:fldChar w:fldCharType="end"/>
      </w:r>
    </w:p>
    <w:p w14:paraId="259CC10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"_Toc205761503" </w:instrText>
      </w:r>
      <w:r>
        <w:fldChar w:fldCharType="separate"/>
      </w:r>
      <w:r>
        <w:rPr>
          <w:rStyle w:val="32"/>
        </w:rPr>
        <w:t>4  服务质量管理原则</w:t>
      </w:r>
      <w:r>
        <w:tab/>
      </w:r>
      <w:r>
        <w:fldChar w:fldCharType="begin"/>
      </w:r>
      <w:r>
        <w:instrText xml:space="preserve"> PAGEREF _Toc205761503 \h </w:instrText>
      </w:r>
      <w:r>
        <w:fldChar w:fldCharType="separate"/>
      </w:r>
      <w:r>
        <w:t>2</w:t>
      </w:r>
      <w:r>
        <w:fldChar w:fldCharType="end"/>
      </w:r>
      <w:r>
        <w:fldChar w:fldCharType="end"/>
      </w:r>
    </w:p>
    <w:p w14:paraId="09A6FA4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"_Toc205761504" </w:instrText>
      </w:r>
      <w:r>
        <w:fldChar w:fldCharType="separate"/>
      </w:r>
      <w:r>
        <w:rPr>
          <w:rStyle w:val="32"/>
        </w:rPr>
        <w:t>5  服务质量管理要求</w:t>
      </w:r>
      <w:r>
        <w:tab/>
      </w:r>
      <w:r>
        <w:fldChar w:fldCharType="begin"/>
      </w:r>
      <w:r>
        <w:instrText xml:space="preserve"> PAGEREF _Toc205761504 \h </w:instrText>
      </w:r>
      <w:r>
        <w:fldChar w:fldCharType="separate"/>
      </w:r>
      <w:r>
        <w:t>3</w:t>
      </w:r>
      <w:r>
        <w:fldChar w:fldCharType="end"/>
      </w:r>
      <w:r>
        <w:fldChar w:fldCharType="end"/>
      </w:r>
    </w:p>
    <w:p w14:paraId="65DC0E25">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"_Toc205761505" </w:instrText>
      </w:r>
      <w:r>
        <w:fldChar w:fldCharType="separate"/>
      </w:r>
      <w:r>
        <w:rPr>
          <w:rStyle w:val="32"/>
        </w:rPr>
        <w:t>6  服务质量评价指标与方法</w:t>
      </w:r>
      <w:r>
        <w:tab/>
      </w:r>
      <w:r>
        <w:fldChar w:fldCharType="begin"/>
      </w:r>
      <w:r>
        <w:instrText xml:space="preserve"> PAGEREF _Toc205761505 \h </w:instrText>
      </w:r>
      <w:r>
        <w:fldChar w:fldCharType="separate"/>
      </w:r>
      <w:r>
        <w:t>5</w:t>
      </w:r>
      <w:r>
        <w:fldChar w:fldCharType="end"/>
      </w:r>
      <w:r>
        <w:fldChar w:fldCharType="end"/>
      </w:r>
    </w:p>
    <w:p w14:paraId="46177C8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"_Toc205761506" </w:instrText>
      </w:r>
      <w:r>
        <w:fldChar w:fldCharType="separate"/>
      </w:r>
      <w:r>
        <w:rPr>
          <w:rStyle w:val="32"/>
        </w:rPr>
        <w:t>7  改进与持续提升措施</w:t>
      </w:r>
      <w:r>
        <w:tab/>
      </w:r>
      <w:r>
        <w:fldChar w:fldCharType="begin"/>
      </w:r>
      <w:r>
        <w:instrText xml:space="preserve"> PAGEREF _Toc205761506 \h </w:instrText>
      </w:r>
      <w:r>
        <w:fldChar w:fldCharType="separate"/>
      </w:r>
      <w:r>
        <w:t>6</w:t>
      </w:r>
      <w:r>
        <w:fldChar w:fldCharType="end"/>
      </w:r>
      <w:r>
        <w:fldChar w:fldCharType="end"/>
      </w:r>
    </w:p>
    <w:p w14:paraId="0E1228A2">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"_Toc205761507" </w:instrText>
      </w:r>
      <w:r>
        <w:fldChar w:fldCharType="separate"/>
      </w:r>
      <w:r>
        <w:rPr>
          <w:rStyle w:val="32"/>
        </w:rPr>
        <w:t>8  附则</w:t>
      </w:r>
      <w:r>
        <w:tab/>
      </w:r>
      <w:r>
        <w:fldChar w:fldCharType="begin"/>
      </w:r>
      <w:r>
        <w:instrText xml:space="preserve"> PAGEREF _Toc205761507 \h </w:instrText>
      </w:r>
      <w:r>
        <w:fldChar w:fldCharType="separate"/>
      </w:r>
      <w:r>
        <w:t>7</w:t>
      </w:r>
      <w:r>
        <w:fldChar w:fldCharType="end"/>
      </w:r>
      <w:r>
        <w:fldChar w:fldCharType="end"/>
      </w:r>
    </w:p>
    <w:p w14:paraId="69AD888B">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"_Toc205761508" </w:instrText>
      </w:r>
      <w:r>
        <w:fldChar w:fldCharType="separate"/>
      </w:r>
      <w:r>
        <w:rPr>
          <w:rStyle w:val="32"/>
        </w:rPr>
        <w:t>参考文献</w:t>
      </w:r>
      <w:r>
        <w:tab/>
      </w:r>
      <w:r>
        <w:fldChar w:fldCharType="begin"/>
      </w:r>
      <w:r>
        <w:instrText xml:space="preserve"> PAGEREF _Toc205761508 \h </w:instrText>
      </w:r>
      <w:r>
        <w:fldChar w:fldCharType="separate"/>
      </w:r>
      <w:r>
        <w:t>8</w:t>
      </w:r>
      <w:r>
        <w:fldChar w:fldCharType="end"/>
      </w:r>
      <w:r>
        <w:fldChar w:fldCharType="end"/>
      </w:r>
    </w:p>
    <w:p w14:paraId="18799FC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6149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本文件起草单位：四川化工职业技术学院。</w:t>
      </w:r>
    </w:p>
    <w:p w14:paraId="55F4A5D1">
      <w:pPr>
        <w:pStyle w:val="56"/>
        <w:spacing w:line="360" w:lineRule="auto"/>
        <w:ind w:firstLine="420"/>
      </w:pPr>
      <w:r>
        <w:rPr>
          <w:rFonts w:hint="eastAsia"/>
        </w:rPr>
        <w:t>本文件主要起草人：张兴。</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761499"/>
      <w:bookmarkStart w:id="25" w:name="BookMark3"/>
      <w:r>
        <w:rPr>
          <w:spacing w:val="320"/>
        </w:rPr>
        <w:t>引</w:t>
      </w:r>
      <w:r>
        <w:t>言</w:t>
      </w:r>
      <w:bookmarkEnd w:id="24"/>
    </w:p>
    <w:p w14:paraId="63B4377B">
      <w:pPr>
        <w:pStyle w:val="56"/>
        <w:spacing w:line="360" w:lineRule="auto"/>
        <w:ind w:firstLine="420"/>
      </w:pPr>
      <w:r>
        <w:rPr>
          <w:rFonts w:hint="eastAsia"/>
        </w:rPr>
        <w:t>执业药师是药学服务体系中直接面向公众的重要力量，在保障药品质量安全、促进合理用药、提高药物治疗水平和推动公众健康方面发挥着不可替代的作用。近年来，随着医疗服务模式的转型升级、公众健康需求的多元化以及药品管理法规的不断完善，社会对执业药师的专业能力、服务质量及职业操守提出了更高要求。</w:t>
      </w:r>
    </w:p>
    <w:p w14:paraId="7A36A71B">
      <w:pPr>
        <w:pStyle w:val="56"/>
        <w:spacing w:line="360" w:lineRule="auto"/>
        <w:ind w:firstLine="420"/>
      </w:pPr>
      <w:r>
        <w:rPr>
          <w:rFonts w:hint="eastAsia"/>
        </w:rPr>
        <w:t>本文件结合药师药学服务胜任力评价标准、药物治疗管理服务要求以及现行执业药师职业资格制度规定，系统总结了执业药师在职业素养、专业能力、服务规范、质量管理和持续改进等方面的核心要求，明确了服务质量评价的原则、指标与方法，旨在构建可量化、可操作、可评价的服务质量管理体系。</w:t>
      </w:r>
    </w:p>
    <w:p w14:paraId="7F4A69FE">
      <w:pPr>
        <w:pStyle w:val="56"/>
        <w:spacing w:line="360" w:lineRule="auto"/>
        <w:ind w:firstLine="420"/>
      </w:pPr>
      <w:r>
        <w:rPr>
          <w:rFonts w:hint="eastAsia"/>
        </w:rPr>
        <w:t>本文件的制定，不仅有助于提升执业药师在处方审核、用药指导、药物治疗管理、患者教育与沟通等环节的能力，还可强化依法执业意识与职业道德规范，保障药学服务的安全性、有效性与连续性。通过实施本文件，可为药学服务质量的持续改进、行业监管的科学化、医疗机构考核的标准化以及公众用药满意度的提升提供有力支撑，从而促进药学服务高质量发展，更好地服务于人民健康。</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hint="eastAsia" w:ascii="黑体" w:hAnsi="黑体" w:eastAsia="黑体"/>
          <w:sz w:val="32"/>
          <w:szCs w:val="32"/>
        </w:rPr>
      </w:pPr>
      <w:bookmarkStart w:id="26" w:name="BookMark4"/>
    </w:p>
    <w:p w14:paraId="71484A10">
      <w:pPr>
        <w:spacing w:line="20" w:lineRule="exact"/>
        <w:jc w:val="center"/>
        <w:rPr>
          <w:rFonts w:hint="eastAsia"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rPr>
              <w:rFonts w:hint="eastAsia"/>
            </w:rPr>
          </w:pPr>
          <w:bookmarkStart w:id="27" w:name="NEW_STAND_NAME"/>
          <w:r>
            <w:rPr>
              <w:rFonts w:hint="eastAsia"/>
            </w:rPr>
            <w:t>执业药师服务质量管理与评价规范</w:t>
          </w:r>
        </w:p>
      </w:sdtContent>
    </w:sdt>
    <w:bookmarkEnd w:id="27"/>
    <w:p w14:paraId="3DB22445">
      <w:pPr>
        <w:pStyle w:val="104"/>
        <w:spacing w:before="240" w:after="240" w:line="360" w:lineRule="auto"/>
      </w:pPr>
      <w:bookmarkStart w:id="28" w:name="_Toc17233325"/>
      <w:bookmarkStart w:id="29" w:name="_Toc97192964"/>
      <w:bookmarkStart w:id="30" w:name="_Toc26648465"/>
      <w:bookmarkStart w:id="31" w:name="_Toc205761500"/>
      <w:bookmarkStart w:id="32" w:name="_Toc26718930"/>
      <w:bookmarkStart w:id="33" w:name="_Toc26986530"/>
      <w:bookmarkStart w:id="34" w:name="_Toc24884211"/>
      <w:bookmarkStart w:id="35" w:name="_Toc17233333"/>
      <w:bookmarkStart w:id="36" w:name="_Toc24884218"/>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32D3CD55">
      <w:pPr>
        <w:pStyle w:val="56"/>
        <w:spacing w:line="360" w:lineRule="auto"/>
        <w:ind w:firstLine="420"/>
      </w:pPr>
      <w:bookmarkStart w:id="38" w:name="_Toc24884219"/>
      <w:bookmarkStart w:id="39" w:name="_Toc26648466"/>
      <w:bookmarkStart w:id="40" w:name="_Toc24884212"/>
      <w:bookmarkStart w:id="41" w:name="_Toc17233326"/>
      <w:bookmarkStart w:id="42" w:name="_Toc17233334"/>
      <w:r>
        <w:rPr>
          <w:rFonts w:hint="eastAsia"/>
        </w:rPr>
        <w:t>本文件规定了执业药师服务质量管理与评价的服务质量管理原则、服务质量管理要求、服务质量评价指标与方法以及改进与持续提升措施，涵盖执业药师在职业素养、专业能力、药学服务行为、药物治疗管理、公众沟通与健康教育、依法执业及持续改进等方面的要求。</w:t>
      </w:r>
    </w:p>
    <w:p w14:paraId="76265264">
      <w:pPr>
        <w:pStyle w:val="56"/>
        <w:spacing w:line="360" w:lineRule="auto"/>
        <w:ind w:firstLine="420"/>
      </w:pPr>
      <w:r>
        <w:rPr>
          <w:rFonts w:hint="eastAsia"/>
        </w:rPr>
        <w:t>本文件适用于医疗机构、药品经营企业及其他提供药学服务的组织对执业药师服务质量的管理、监督与评价，也可供行业协会、监管部门、教育培训机构及执业药师个人在服务质量提升与绩效考核中参考使用。</w:t>
      </w:r>
    </w:p>
    <w:p w14:paraId="3733B2AD">
      <w:pPr>
        <w:pStyle w:val="104"/>
        <w:spacing w:before="240" w:after="240" w:line="360" w:lineRule="auto"/>
      </w:pPr>
      <w:bookmarkStart w:id="43" w:name="_Toc26718931"/>
      <w:bookmarkStart w:id="44" w:name="_Toc26986531"/>
      <w:bookmarkStart w:id="45" w:name="_Toc97192965"/>
      <w:bookmarkStart w:id="46" w:name="_Toc26986772"/>
      <w:bookmarkStart w:id="47" w:name="_Toc20576150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51B92B">
      <w:pPr>
        <w:pStyle w:val="56"/>
        <w:spacing w:line="360" w:lineRule="auto"/>
        <w:ind w:firstLine="420"/>
      </w:pPr>
      <w:r>
        <w:rPr>
          <w:rFonts w:hint="eastAsia"/>
        </w:rPr>
        <w:t>GB/T 1.1—2020 标准化工作导则  第1部分：标准化文件的结构和起草规则</w:t>
      </w:r>
    </w:p>
    <w:p w14:paraId="4A2E4CDE">
      <w:pPr>
        <w:pStyle w:val="56"/>
        <w:spacing w:line="360" w:lineRule="auto"/>
        <w:ind w:firstLine="420"/>
      </w:pPr>
      <w:r>
        <w:rPr>
          <w:rFonts w:hint="eastAsia"/>
        </w:rPr>
        <w:t>GB/T 19000—2016 质量管理体系 基础和术语</w:t>
      </w:r>
    </w:p>
    <w:p w14:paraId="765F4156">
      <w:pPr>
        <w:pStyle w:val="56"/>
        <w:spacing w:line="360" w:lineRule="auto"/>
        <w:ind w:firstLine="420"/>
      </w:pPr>
      <w:r>
        <w:rPr>
          <w:rFonts w:hint="eastAsia"/>
        </w:rPr>
        <w:t>GB/T 19001—2016 质量管理体系 要求</w:t>
      </w:r>
    </w:p>
    <w:p w14:paraId="51F02A4E">
      <w:pPr>
        <w:pStyle w:val="104"/>
        <w:spacing w:before="240" w:after="240" w:line="360" w:lineRule="auto"/>
      </w:pPr>
      <w:bookmarkStart w:id="48" w:name="_Toc205761502"/>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302D84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执业药师 licensed pharmacist</w:t>
      </w:r>
    </w:p>
    <w:p w14:paraId="5F30B90B">
      <w:pPr>
        <w:pStyle w:val="56"/>
        <w:spacing w:line="360" w:lineRule="auto"/>
        <w:ind w:firstLine="420"/>
      </w:pPr>
      <w:r>
        <w:rPr>
          <w:rFonts w:hint="eastAsia"/>
        </w:rPr>
        <w:t>依法取得《执业药师职业资格证书》并经注册，在规定的执业范围内，承担药学服务、药品质量管理及合理用药指导等工作的药学专业技术人员。</w:t>
      </w:r>
    </w:p>
    <w:p w14:paraId="5609C5EB">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药学服务 pharmaceutical care</w:t>
      </w:r>
    </w:p>
    <w:p w14:paraId="4FFAA8A7">
      <w:pPr>
        <w:pStyle w:val="56"/>
        <w:spacing w:line="360" w:lineRule="auto"/>
        <w:ind w:firstLine="420"/>
      </w:pPr>
      <w:r>
        <w:rPr>
          <w:rFonts w:hint="eastAsia"/>
        </w:rPr>
        <w:t>执业药师运用药学及相关专业知识，为患者和公众提供保障用药安全、有效、经济和适宜的全方位服务活动，包括处方审核、用药指导、药物治疗管理、药学信息提供、药学监护、患者教育等。</w:t>
      </w:r>
    </w:p>
    <w:p w14:paraId="4B5159DE">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药物治疗管理 medication therapy management</w:t>
      </w:r>
    </w:p>
    <w:p w14:paraId="0AF18819">
      <w:pPr>
        <w:pStyle w:val="56"/>
        <w:spacing w:line="360" w:lineRule="auto"/>
        <w:ind w:firstLine="420"/>
      </w:pPr>
      <w:r>
        <w:rPr>
          <w:rFonts w:hint="eastAsia"/>
        </w:rPr>
        <w:t>以患者为中心，执业药师通过系统评估患者药物使用的安全性、有效性、经济性、依从性等，制定并实施药学照护计划，跟踪用药全过程，解决药物治疗相关问题，促进治疗目标实现的持续性服务过程。</w:t>
      </w:r>
    </w:p>
    <w:p w14:paraId="409242F3">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药学照护 pharmaceutical care plan</w:t>
      </w:r>
    </w:p>
    <w:p w14:paraId="461F4CCD">
      <w:pPr>
        <w:pStyle w:val="56"/>
        <w:spacing w:line="360" w:lineRule="auto"/>
        <w:ind w:firstLine="420"/>
      </w:pPr>
      <w:r>
        <w:rPr>
          <w:rFonts w:hint="eastAsia"/>
        </w:rPr>
        <w:t>执业药师在药物治疗管理过程中，基于患者具体情况制定的个体化药学干预和随访方案，涵盖用药方案优化、用药安全监测、健康教育及用药依从性管理等内容。</w:t>
      </w:r>
    </w:p>
    <w:p w14:paraId="51838AFF">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药师胜任力 pharmacist competency</w:t>
      </w:r>
    </w:p>
    <w:p w14:paraId="3E7849EE">
      <w:pPr>
        <w:pStyle w:val="56"/>
        <w:spacing w:line="360" w:lineRule="auto"/>
        <w:ind w:firstLine="420"/>
      </w:pPr>
      <w:r>
        <w:rPr>
          <w:rFonts w:hint="eastAsia"/>
        </w:rPr>
        <w:t>执业药师为有效履行药学服务职责所需的综合素质与能力的集合，包括职业道德与服务意识、专业知识与技能、沟通与心理疏导能力、处方审核与调配能力、药物信息分析与提供能力、跨专业协作能力及持续学习能力。</w:t>
      </w:r>
    </w:p>
    <w:p w14:paraId="7E95B870">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服务质量管理 service quality management</w:t>
      </w:r>
    </w:p>
    <w:p w14:paraId="50D19773">
      <w:pPr>
        <w:pStyle w:val="56"/>
        <w:spacing w:line="360" w:lineRule="auto"/>
        <w:ind w:firstLine="420"/>
      </w:pPr>
      <w:r>
        <w:rPr>
          <w:rFonts w:hint="eastAsia"/>
        </w:rPr>
        <w:t>对执业药师服务全过程实施计划、组织、协调、监控和改进的活动，确保药学服务的安全性、有效性、规范性及公众满意度。</w:t>
      </w:r>
    </w:p>
    <w:p w14:paraId="45AAF58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服务质量评价 service quality evaluation</w:t>
      </w:r>
    </w:p>
    <w:p w14:paraId="4A9A7065">
      <w:pPr>
        <w:pStyle w:val="56"/>
        <w:spacing w:line="360" w:lineRule="auto"/>
        <w:ind w:firstLine="420"/>
      </w:pPr>
      <w:r>
        <w:rPr>
          <w:rFonts w:hint="eastAsia"/>
        </w:rPr>
        <w:t>依据规定的标准、指标和方法，对执业药师服务质量进行定量或定性分析的过程，包括数据收集、指标测评、结果分析及改进建议。</w:t>
      </w:r>
    </w:p>
    <w:p w14:paraId="785D4D9B">
      <w:pPr>
        <w:pStyle w:val="104"/>
        <w:spacing w:before="240" w:after="240" w:line="360" w:lineRule="auto"/>
      </w:pPr>
      <w:bookmarkStart w:id="51" w:name="_Toc205761503"/>
      <w:r>
        <w:rPr>
          <w:rFonts w:hint="eastAsia"/>
        </w:rPr>
        <w:t>服务质量管理原则</w:t>
      </w:r>
      <w:bookmarkEnd w:id="51"/>
    </w:p>
    <w:p w14:paraId="0EA2C08B">
      <w:pPr>
        <w:pStyle w:val="105"/>
        <w:spacing w:before="120" w:after="120" w:line="360" w:lineRule="auto"/>
        <w:rPr>
          <w:rFonts w:hint="eastAsia"/>
        </w:rPr>
      </w:pPr>
      <w:r>
        <w:rPr>
          <w:rFonts w:hint="eastAsia"/>
        </w:rPr>
        <w:t>以患者为中心</w:t>
      </w:r>
    </w:p>
    <w:p w14:paraId="14C1474D">
      <w:pPr>
        <w:pStyle w:val="56"/>
        <w:spacing w:line="360" w:lineRule="auto"/>
        <w:ind w:firstLine="420"/>
        <w:rPr>
          <w:rFonts w:hint="eastAsia"/>
        </w:rPr>
      </w:pPr>
      <w:r>
        <w:rPr>
          <w:rFonts w:hint="eastAsia"/>
        </w:rPr>
        <w:t>执业药师应在药学服务全过程中尊重患者的知情权、选择权和隐私权，关注患者的个体差异和特殊需求，充分考虑其用药体验、治疗目标和生活质量，提供个性化的药学照护。应建立患者需求收集与反馈机制，定期分析患者对用药指导、服务态度、沟通方式等方面的满意度，并将结果纳入服务改进计划。</w:t>
      </w:r>
    </w:p>
    <w:p w14:paraId="03062B5E">
      <w:pPr>
        <w:pStyle w:val="105"/>
        <w:spacing w:before="120" w:after="120" w:line="360" w:lineRule="auto"/>
        <w:rPr>
          <w:rFonts w:hint="eastAsia"/>
        </w:rPr>
      </w:pPr>
      <w:r>
        <w:rPr>
          <w:rFonts w:hint="eastAsia"/>
        </w:rPr>
        <w:t>依法执业</w:t>
      </w:r>
    </w:p>
    <w:p w14:paraId="1EBA59A4">
      <w:pPr>
        <w:pStyle w:val="56"/>
        <w:spacing w:line="360" w:lineRule="auto"/>
        <w:ind w:firstLine="420"/>
        <w:rPr>
          <w:rFonts w:hint="eastAsia"/>
        </w:rPr>
      </w:pPr>
      <w:r>
        <w:rPr>
          <w:rFonts w:hint="eastAsia"/>
        </w:rPr>
        <w:t>执业药师必须严格遵守国家法律、法规、规章及相关技术规范，在执业活动中做到合法合规，坚决杜绝违反药品管理规定的行为。应熟练掌握药品分类管理、特殊药品管理、药品储运与处方管理的相关要求，确保全流程符合法规标准。</w:t>
      </w:r>
    </w:p>
    <w:p w14:paraId="1DCC2F5F">
      <w:pPr>
        <w:pStyle w:val="105"/>
        <w:spacing w:before="120" w:after="120" w:line="360" w:lineRule="auto"/>
        <w:rPr>
          <w:rFonts w:hint="eastAsia"/>
        </w:rPr>
      </w:pPr>
      <w:r>
        <w:rPr>
          <w:rFonts w:hint="eastAsia"/>
        </w:rPr>
        <w:t>科学规范</w:t>
      </w:r>
    </w:p>
    <w:p w14:paraId="3D421678">
      <w:pPr>
        <w:pStyle w:val="56"/>
        <w:spacing w:line="360" w:lineRule="auto"/>
        <w:ind w:firstLine="420"/>
        <w:rPr>
          <w:rFonts w:hint="eastAsia"/>
        </w:rPr>
      </w:pPr>
      <w:r>
        <w:rPr>
          <w:rFonts w:hint="eastAsia"/>
        </w:rPr>
        <w:t>执业药师应以药学及相关科学知识为基础，采用循证医学、药物经济学、药物安全性评价等科学方法，确保药学服务合理、有效、规范。应定期更新知识库，利用临床药学信息系统、药物不良反应数据库等工具辅助决策。</w:t>
      </w:r>
    </w:p>
    <w:p w14:paraId="56243A17">
      <w:pPr>
        <w:pStyle w:val="105"/>
        <w:spacing w:before="120" w:after="120" w:line="360" w:lineRule="auto"/>
        <w:rPr>
          <w:rFonts w:hint="eastAsia"/>
        </w:rPr>
      </w:pPr>
      <w:r>
        <w:rPr>
          <w:rFonts w:hint="eastAsia"/>
        </w:rPr>
        <w:t>全过程管理</w:t>
      </w:r>
    </w:p>
    <w:p w14:paraId="46D56743">
      <w:pPr>
        <w:pStyle w:val="56"/>
        <w:spacing w:line="360" w:lineRule="auto"/>
        <w:ind w:firstLine="420"/>
        <w:rPr>
          <w:rFonts w:hint="eastAsia"/>
        </w:rPr>
      </w:pPr>
      <w:r>
        <w:rPr>
          <w:rFonts w:hint="eastAsia"/>
        </w:rPr>
        <w:t>服务质量管理应覆盖处方审核、药品调配、用药指导、药物治疗管理、药学监护、患者随访等全过程，并在各环节建立数字化记录与追踪机制，确保可回溯、可审计。对高风险药品应实行双人复核与用药风险分级管理。</w:t>
      </w:r>
    </w:p>
    <w:p w14:paraId="5A7C78E7">
      <w:pPr>
        <w:pStyle w:val="105"/>
        <w:spacing w:before="120" w:after="120" w:line="360" w:lineRule="auto"/>
        <w:rPr>
          <w:rFonts w:hint="eastAsia"/>
        </w:rPr>
      </w:pPr>
      <w:r>
        <w:rPr>
          <w:rFonts w:hint="eastAsia"/>
        </w:rPr>
        <w:t>持续改进</w:t>
      </w:r>
    </w:p>
    <w:p w14:paraId="74370B1C">
      <w:pPr>
        <w:pStyle w:val="56"/>
        <w:spacing w:line="360" w:lineRule="auto"/>
        <w:ind w:firstLine="420"/>
        <w:rPr>
          <w:rFonts w:hint="eastAsia"/>
        </w:rPr>
      </w:pPr>
      <w:r>
        <w:rPr>
          <w:rFonts w:hint="eastAsia"/>
        </w:rPr>
        <w:t>应通过自我评价、同行评议、患者反馈及质量监测持续发现服务不足，制定并实施改进措施。应将改进计划的执行情况与绩效考核挂钩，形成闭环管理。</w:t>
      </w:r>
    </w:p>
    <w:p w14:paraId="126280FA">
      <w:pPr>
        <w:pStyle w:val="105"/>
        <w:spacing w:before="120" w:after="120" w:line="360" w:lineRule="auto"/>
        <w:rPr>
          <w:rFonts w:hint="eastAsia"/>
        </w:rPr>
      </w:pPr>
      <w:r>
        <w:rPr>
          <w:rFonts w:hint="eastAsia"/>
        </w:rPr>
        <w:t>多方协作</w:t>
      </w:r>
    </w:p>
    <w:p w14:paraId="11ED0D72">
      <w:pPr>
        <w:pStyle w:val="56"/>
        <w:spacing w:line="360" w:lineRule="auto"/>
        <w:ind w:firstLine="420"/>
      </w:pPr>
      <w:r>
        <w:rPr>
          <w:rFonts w:hint="eastAsia"/>
        </w:rPr>
        <w:t>执业药师应积极与医师、护士、公共卫生人员等多学科团队协作，促进用药信息共享和治疗方案优化，实现药学服务与整体医疗服务的有机结合。鼓励跨机构药学联盟或学术平台的合作与交流。</w:t>
      </w:r>
    </w:p>
    <w:p w14:paraId="6FBFB64B">
      <w:pPr>
        <w:pStyle w:val="104"/>
        <w:spacing w:before="240" w:after="240" w:line="360" w:lineRule="auto"/>
      </w:pPr>
      <w:bookmarkStart w:id="52" w:name="_Toc205761504"/>
      <w:r>
        <w:rPr>
          <w:rFonts w:hint="eastAsia"/>
        </w:rPr>
        <w:t>服务质量管理要求</w:t>
      </w:r>
      <w:bookmarkEnd w:id="52"/>
    </w:p>
    <w:p w14:paraId="1D7C357D">
      <w:pPr>
        <w:pStyle w:val="105"/>
        <w:spacing w:before="120" w:after="120" w:line="360" w:lineRule="auto"/>
      </w:pPr>
      <w:r>
        <w:rPr>
          <w:rFonts w:hint="eastAsia"/>
        </w:rPr>
        <w:t>职业素养与服务意识</w:t>
      </w:r>
    </w:p>
    <w:p w14:paraId="411CC0E5">
      <w:pPr>
        <w:pStyle w:val="56"/>
        <w:spacing w:line="360" w:lineRule="auto"/>
        <w:ind w:firstLine="420"/>
      </w:pPr>
      <w:r>
        <w:rPr>
          <w:rFonts w:hint="eastAsia"/>
        </w:rPr>
        <w:t>执业药师应具备良好的职业道德和服务意识，保持热情、周到、主动的服务态度，尊重患者的人格与权利，做到认真倾听、换位思考、表达尊重与情绪自控。应自觉维护公众利益，将保障用药安全有效作为基本准则。</w:t>
      </w:r>
    </w:p>
    <w:p w14:paraId="1502224A">
      <w:pPr>
        <w:pStyle w:val="105"/>
        <w:spacing w:before="120" w:after="120" w:line="360" w:lineRule="auto"/>
      </w:pPr>
      <w:r>
        <w:rPr>
          <w:rFonts w:hint="eastAsia"/>
        </w:rPr>
        <w:t>专业知识与技能</w:t>
      </w:r>
    </w:p>
    <w:p w14:paraId="0DEA2111">
      <w:pPr>
        <w:pStyle w:val="56"/>
        <w:spacing w:line="360" w:lineRule="auto"/>
        <w:ind w:firstLine="420"/>
      </w:pPr>
      <w:r>
        <w:rPr>
          <w:rFonts w:hint="eastAsia"/>
        </w:rPr>
        <w:t>执业药师应系统掌握药理学、药剂学、药物分析、药物化学等现代药物与传统药物相关知识，熟悉药物给药剂量、浓度、单位换算、疗程计算等技能，尤其应关注儿童、老年人、孕妇、哺乳期妇女及肝肾功能不全等特殊人群的用药特点。</w:t>
      </w:r>
    </w:p>
    <w:p w14:paraId="180CD1EC">
      <w:pPr>
        <w:pStyle w:val="105"/>
        <w:spacing w:before="120" w:after="120" w:line="360" w:lineRule="auto"/>
      </w:pPr>
      <w:r>
        <w:rPr>
          <w:rFonts w:hint="eastAsia"/>
        </w:rPr>
        <w:t>处方审核与药品调配</w:t>
      </w:r>
    </w:p>
    <w:p w14:paraId="3EDE087A">
      <w:pPr>
        <w:pStyle w:val="56"/>
        <w:spacing w:line="360" w:lineRule="auto"/>
        <w:ind w:firstLine="420"/>
      </w:pPr>
      <w:r>
        <w:rPr>
          <w:rFonts w:hint="eastAsia"/>
        </w:rPr>
        <w:t>执业药师应严格按照相关法规和技术规范审核处方，确保处方合法、合理、适宜；调配药品时应准确无误，并正确书写药袋或粘贴标签。向患者交付药品时，应提供必要的用药交待与指导，并定期开展处方点评工作。</w:t>
      </w:r>
    </w:p>
    <w:p w14:paraId="52C7AE4B">
      <w:pPr>
        <w:pStyle w:val="105"/>
        <w:spacing w:before="120" w:after="120" w:line="360" w:lineRule="auto"/>
      </w:pPr>
      <w:r>
        <w:rPr>
          <w:rFonts w:hint="eastAsia"/>
        </w:rPr>
        <w:t>用药指导与公众教育</w:t>
      </w:r>
    </w:p>
    <w:p w14:paraId="51764E6F">
      <w:pPr>
        <w:pStyle w:val="56"/>
        <w:spacing w:line="360" w:lineRule="auto"/>
        <w:ind w:firstLine="420"/>
      </w:pPr>
      <w:r>
        <w:rPr>
          <w:rFonts w:hint="eastAsia"/>
        </w:rPr>
        <w:t>执业药师应主动解答公众关于药品名称、成分、适应证、剂型、规格、用法用量、不良反应、禁忌、注意事项、特殊人群用药、药物相互作用、贮藏、有效期、特殊药品管理方法及价格等问题。应开展用药知识宣教，提升公众合理用药水平。</w:t>
      </w:r>
    </w:p>
    <w:p w14:paraId="54FDC32E">
      <w:pPr>
        <w:pStyle w:val="105"/>
        <w:spacing w:before="120" w:after="120" w:line="360" w:lineRule="auto"/>
      </w:pPr>
      <w:r>
        <w:rPr>
          <w:rFonts w:hint="eastAsia"/>
        </w:rPr>
        <w:t>药物治疗管理</w:t>
      </w:r>
    </w:p>
    <w:p w14:paraId="263590AE">
      <w:pPr>
        <w:pStyle w:val="56"/>
        <w:spacing w:line="360" w:lineRule="auto"/>
        <w:ind w:firstLine="420"/>
      </w:pPr>
      <w:r>
        <w:rPr>
          <w:rFonts w:hint="eastAsia"/>
        </w:rPr>
        <w:t>执业药师应以患者为中心，全面评估患者药物相关需求及用药体验，了解患者的治疗目标，并进行适当随访，以评估药物治疗效果。药物治疗管理应包括：</w:t>
      </w:r>
    </w:p>
    <w:p w14:paraId="6FFC3C4C">
      <w:pPr>
        <w:pStyle w:val="174"/>
        <w:spacing w:line="360" w:lineRule="auto"/>
      </w:pPr>
      <w:r>
        <w:rPr>
          <w:rFonts w:hint="eastAsia"/>
        </w:rPr>
        <w:t>识别并确认未达到治疗目标的患者；</w:t>
      </w:r>
    </w:p>
    <w:p w14:paraId="3AA22EB0">
      <w:pPr>
        <w:pStyle w:val="174"/>
        <w:spacing w:line="360" w:lineRule="auto"/>
      </w:pPr>
      <w:r>
        <w:rPr>
          <w:rFonts w:hint="eastAsia"/>
        </w:rPr>
        <w:t>收集患者用药史、偏好及宗教信仰等信息；</w:t>
      </w:r>
    </w:p>
    <w:p w14:paraId="7AE5F22C">
      <w:pPr>
        <w:pStyle w:val="174"/>
        <w:spacing w:line="360" w:lineRule="auto"/>
      </w:pPr>
      <w:r>
        <w:rPr>
          <w:rFonts w:hint="eastAsia"/>
        </w:rPr>
        <w:t>评估药物治疗的安全性、有效性、经济性、适宜性与依从性；</w:t>
      </w:r>
    </w:p>
    <w:p w14:paraId="628872D3">
      <w:pPr>
        <w:pStyle w:val="174"/>
        <w:spacing w:line="360" w:lineRule="auto"/>
      </w:pPr>
      <w:r>
        <w:rPr>
          <w:rFonts w:hint="eastAsia"/>
        </w:rPr>
        <w:t>确认药物治疗相关问题并制定药学照护计划；</w:t>
      </w:r>
    </w:p>
    <w:p w14:paraId="27A9F7C6">
      <w:pPr>
        <w:pStyle w:val="174"/>
        <w:spacing w:line="360" w:lineRule="auto"/>
      </w:pPr>
      <w:r>
        <w:rPr>
          <w:rFonts w:hint="eastAsia"/>
        </w:rPr>
        <w:t>与处方医师沟通并获得患者同意；</w:t>
      </w:r>
    </w:p>
    <w:p w14:paraId="3E9328B8">
      <w:pPr>
        <w:pStyle w:val="174"/>
        <w:spacing w:line="360" w:lineRule="auto"/>
      </w:pPr>
      <w:r>
        <w:rPr>
          <w:rFonts w:hint="eastAsia"/>
        </w:rPr>
        <w:t>记录药学照护全过程；</w:t>
      </w:r>
    </w:p>
    <w:p w14:paraId="2E8DE0C1">
      <w:pPr>
        <w:pStyle w:val="174"/>
        <w:spacing w:line="360" w:lineRule="auto"/>
      </w:pPr>
      <w:r>
        <w:rPr>
          <w:rFonts w:hint="eastAsia"/>
        </w:rPr>
        <w:t>对患者进行随访与效果评估。</w:t>
      </w:r>
    </w:p>
    <w:p w14:paraId="38B74769">
      <w:pPr>
        <w:pStyle w:val="56"/>
        <w:spacing w:line="360" w:lineRule="auto"/>
        <w:ind w:firstLine="420"/>
        <w:rPr>
          <w:rFonts w:hint="eastAsia"/>
        </w:rPr>
      </w:pPr>
      <w:r>
        <w:rPr>
          <w:rFonts w:hint="eastAsia"/>
        </w:rPr>
        <w:t>为确保不同人群的用药安全与有效性，特殊人群用药应注意结合临床实际制定指导方案。特殊人群用药注意要点见表1。</w:t>
      </w:r>
    </w:p>
    <w:p w14:paraId="797B4D87">
      <w:pPr>
        <w:pStyle w:val="112"/>
        <w:spacing w:before="120" w:after="120" w:line="360" w:lineRule="auto"/>
      </w:pPr>
      <w:r>
        <w:rPr>
          <w:rFonts w:hint="eastAsia"/>
        </w:rPr>
        <w:t>特殊人群用药注意要点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694"/>
        <w:gridCol w:w="2615"/>
        <w:gridCol w:w="2334"/>
      </w:tblGrid>
      <w:tr w14:paraId="1E0C3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vAlign w:val="center"/>
          </w:tcPr>
          <w:p w14:paraId="61136576">
            <w:pPr>
              <w:pStyle w:val="178"/>
              <w:rPr>
                <w:rFonts w:hint="eastAsia"/>
              </w:rPr>
            </w:pPr>
            <w:r>
              <w:rPr>
                <w:rFonts w:hint="eastAsia"/>
              </w:rPr>
              <w:t>人群类别</w:t>
            </w:r>
          </w:p>
        </w:tc>
        <w:tc>
          <w:tcPr>
            <w:tcW w:w="2694" w:type="dxa"/>
            <w:tcBorders>
              <w:top w:val="single" w:color="auto" w:sz="8" w:space="0"/>
              <w:bottom w:val="single" w:color="auto" w:sz="8" w:space="0"/>
            </w:tcBorders>
            <w:vAlign w:val="center"/>
          </w:tcPr>
          <w:p w14:paraId="40283CEE">
            <w:pPr>
              <w:pStyle w:val="178"/>
              <w:rPr>
                <w:rFonts w:hint="eastAsia"/>
              </w:rPr>
            </w:pPr>
            <w:r>
              <w:rPr>
                <w:rFonts w:hint="eastAsia"/>
              </w:rPr>
              <w:t>常见药物风险</w:t>
            </w:r>
          </w:p>
        </w:tc>
        <w:tc>
          <w:tcPr>
            <w:tcW w:w="2615" w:type="dxa"/>
            <w:tcBorders>
              <w:top w:val="single" w:color="auto" w:sz="8" w:space="0"/>
              <w:bottom w:val="single" w:color="auto" w:sz="8" w:space="0"/>
            </w:tcBorders>
            <w:vAlign w:val="center"/>
          </w:tcPr>
          <w:p w14:paraId="62B640DD">
            <w:pPr>
              <w:pStyle w:val="178"/>
              <w:rPr>
                <w:rFonts w:hint="eastAsia"/>
              </w:rPr>
            </w:pPr>
            <w:r>
              <w:rPr>
                <w:rFonts w:hint="eastAsia"/>
              </w:rPr>
              <w:t>用药调整要点</w:t>
            </w:r>
          </w:p>
        </w:tc>
        <w:tc>
          <w:tcPr>
            <w:tcW w:w="2334" w:type="dxa"/>
            <w:tcBorders>
              <w:top w:val="single" w:color="auto" w:sz="8" w:space="0"/>
              <w:bottom w:val="single" w:color="auto" w:sz="8" w:space="0"/>
            </w:tcBorders>
            <w:vAlign w:val="center"/>
          </w:tcPr>
          <w:p w14:paraId="04E3464A">
            <w:pPr>
              <w:pStyle w:val="178"/>
              <w:rPr>
                <w:rFonts w:hint="eastAsia"/>
              </w:rPr>
            </w:pPr>
            <w:r>
              <w:rPr>
                <w:rFonts w:hint="eastAsia"/>
              </w:rPr>
              <w:t>药师关注重点</w:t>
            </w:r>
          </w:p>
        </w:tc>
      </w:tr>
      <w:tr w14:paraId="4A8F6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vAlign w:val="center"/>
          </w:tcPr>
          <w:p w14:paraId="56876B55">
            <w:pPr>
              <w:pStyle w:val="178"/>
              <w:rPr>
                <w:rFonts w:hint="eastAsia"/>
              </w:rPr>
            </w:pPr>
            <w:r>
              <w:rPr>
                <w:rFonts w:hint="eastAsia"/>
              </w:rPr>
              <w:t>儿童</w:t>
            </w:r>
          </w:p>
        </w:tc>
        <w:tc>
          <w:tcPr>
            <w:tcW w:w="2694" w:type="dxa"/>
            <w:tcBorders>
              <w:top w:val="single" w:color="auto" w:sz="8" w:space="0"/>
            </w:tcBorders>
            <w:vAlign w:val="center"/>
          </w:tcPr>
          <w:p w14:paraId="242D8A8D">
            <w:pPr>
              <w:pStyle w:val="178"/>
              <w:rPr>
                <w:rFonts w:hint="eastAsia"/>
              </w:rPr>
            </w:pPr>
            <w:r>
              <w:rPr>
                <w:rFonts w:hint="eastAsia"/>
              </w:rPr>
              <w:t>剂量计算误差、服药依从性差</w:t>
            </w:r>
          </w:p>
        </w:tc>
        <w:tc>
          <w:tcPr>
            <w:tcW w:w="2615" w:type="dxa"/>
            <w:tcBorders>
              <w:top w:val="single" w:color="auto" w:sz="8" w:space="0"/>
            </w:tcBorders>
            <w:vAlign w:val="center"/>
          </w:tcPr>
          <w:p w14:paraId="02290191">
            <w:pPr>
              <w:pStyle w:val="178"/>
              <w:rPr>
                <w:rFonts w:hint="eastAsia"/>
              </w:rPr>
            </w:pPr>
            <w:r>
              <w:rPr>
                <w:rFonts w:hint="eastAsia"/>
              </w:rPr>
              <w:t>按体重或体表面积计算剂量；避免超说明书用药</w:t>
            </w:r>
          </w:p>
        </w:tc>
        <w:tc>
          <w:tcPr>
            <w:tcW w:w="2334" w:type="dxa"/>
            <w:tcBorders>
              <w:top w:val="single" w:color="auto" w:sz="8" w:space="0"/>
            </w:tcBorders>
            <w:vAlign w:val="center"/>
          </w:tcPr>
          <w:p w14:paraId="7A2DCFF2">
            <w:pPr>
              <w:pStyle w:val="178"/>
              <w:rPr>
                <w:rFonts w:hint="eastAsia"/>
              </w:rPr>
            </w:pPr>
            <w:r>
              <w:rPr>
                <w:rFonts w:hint="eastAsia"/>
              </w:rPr>
              <w:t>家长用药宣教、剂量复核</w:t>
            </w:r>
          </w:p>
        </w:tc>
      </w:tr>
      <w:tr w14:paraId="2D51B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Align w:val="center"/>
          </w:tcPr>
          <w:p w14:paraId="79786992">
            <w:pPr>
              <w:pStyle w:val="178"/>
              <w:rPr>
                <w:rFonts w:hint="eastAsia"/>
              </w:rPr>
            </w:pPr>
            <w:r>
              <w:rPr>
                <w:rFonts w:hint="eastAsia"/>
              </w:rPr>
              <w:t>老年人</w:t>
            </w:r>
          </w:p>
        </w:tc>
        <w:tc>
          <w:tcPr>
            <w:tcW w:w="2694" w:type="dxa"/>
            <w:vAlign w:val="center"/>
          </w:tcPr>
          <w:p w14:paraId="1B771082">
            <w:pPr>
              <w:pStyle w:val="178"/>
              <w:rPr>
                <w:rFonts w:hint="eastAsia"/>
              </w:rPr>
            </w:pPr>
            <w:r>
              <w:rPr>
                <w:rFonts w:hint="eastAsia"/>
              </w:rPr>
              <w:t>多药联用、药物蓄积</w:t>
            </w:r>
          </w:p>
        </w:tc>
        <w:tc>
          <w:tcPr>
            <w:tcW w:w="2615" w:type="dxa"/>
            <w:vAlign w:val="center"/>
          </w:tcPr>
          <w:p w14:paraId="41C1187A">
            <w:pPr>
              <w:pStyle w:val="178"/>
              <w:rPr>
                <w:rFonts w:hint="eastAsia"/>
              </w:rPr>
            </w:pPr>
            <w:r>
              <w:rPr>
                <w:rFonts w:hint="eastAsia"/>
              </w:rPr>
              <w:t>减量起始，监测肝肾功能</w:t>
            </w:r>
          </w:p>
        </w:tc>
        <w:tc>
          <w:tcPr>
            <w:tcW w:w="2334" w:type="dxa"/>
            <w:vAlign w:val="center"/>
          </w:tcPr>
          <w:p w14:paraId="27D4E493">
            <w:pPr>
              <w:pStyle w:val="178"/>
              <w:rPr>
                <w:rFonts w:hint="eastAsia"/>
              </w:rPr>
            </w:pPr>
            <w:r>
              <w:rPr>
                <w:rFonts w:hint="eastAsia"/>
              </w:rPr>
              <w:t>关注药物相互作用、不良反应</w:t>
            </w:r>
          </w:p>
        </w:tc>
      </w:tr>
      <w:tr w14:paraId="5874B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Align w:val="center"/>
          </w:tcPr>
          <w:p w14:paraId="32D69ADE">
            <w:pPr>
              <w:pStyle w:val="178"/>
              <w:rPr>
                <w:rFonts w:hint="eastAsia"/>
              </w:rPr>
            </w:pPr>
            <w:r>
              <w:rPr>
                <w:rFonts w:hint="eastAsia"/>
              </w:rPr>
              <w:t>孕妇</w:t>
            </w:r>
          </w:p>
        </w:tc>
        <w:tc>
          <w:tcPr>
            <w:tcW w:w="2694" w:type="dxa"/>
            <w:vAlign w:val="center"/>
          </w:tcPr>
          <w:p w14:paraId="6E001295">
            <w:pPr>
              <w:pStyle w:val="178"/>
              <w:rPr>
                <w:rFonts w:hint="eastAsia"/>
              </w:rPr>
            </w:pPr>
            <w:r>
              <w:rPr>
                <w:rFonts w:hint="eastAsia"/>
              </w:rPr>
              <w:t>胎儿畸形风险</w:t>
            </w:r>
          </w:p>
        </w:tc>
        <w:tc>
          <w:tcPr>
            <w:tcW w:w="2615" w:type="dxa"/>
            <w:vAlign w:val="center"/>
          </w:tcPr>
          <w:p w14:paraId="13D5D977">
            <w:pPr>
              <w:pStyle w:val="178"/>
              <w:rPr>
                <w:rFonts w:hint="eastAsia"/>
              </w:rPr>
            </w:pPr>
            <w:r>
              <w:rPr>
                <w:rFonts w:hint="eastAsia"/>
              </w:rPr>
              <w:t>禁用孕期高风险药物</w:t>
            </w:r>
          </w:p>
        </w:tc>
        <w:tc>
          <w:tcPr>
            <w:tcW w:w="2334" w:type="dxa"/>
            <w:vAlign w:val="center"/>
          </w:tcPr>
          <w:p w14:paraId="0E045D1C">
            <w:pPr>
              <w:pStyle w:val="178"/>
              <w:rPr>
                <w:rFonts w:hint="eastAsia"/>
              </w:rPr>
            </w:pPr>
            <w:r>
              <w:rPr>
                <w:rFonts w:hint="eastAsia"/>
              </w:rPr>
              <w:t>用药前需评估风险与获益</w:t>
            </w:r>
          </w:p>
        </w:tc>
      </w:tr>
      <w:tr w14:paraId="28C63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Align w:val="center"/>
          </w:tcPr>
          <w:p w14:paraId="114871DD">
            <w:pPr>
              <w:pStyle w:val="178"/>
              <w:rPr>
                <w:rFonts w:hint="eastAsia"/>
              </w:rPr>
            </w:pPr>
            <w:r>
              <w:rPr>
                <w:rFonts w:hint="eastAsia"/>
              </w:rPr>
              <w:t>哺乳期妇女</w:t>
            </w:r>
          </w:p>
        </w:tc>
        <w:tc>
          <w:tcPr>
            <w:tcW w:w="2694" w:type="dxa"/>
            <w:vAlign w:val="center"/>
          </w:tcPr>
          <w:p w14:paraId="2344F684">
            <w:pPr>
              <w:pStyle w:val="178"/>
              <w:rPr>
                <w:rFonts w:hint="eastAsia"/>
              </w:rPr>
            </w:pPr>
            <w:r>
              <w:rPr>
                <w:rFonts w:hint="eastAsia"/>
              </w:rPr>
              <w:t>母乳排泄药物影响婴儿</w:t>
            </w:r>
          </w:p>
        </w:tc>
        <w:tc>
          <w:tcPr>
            <w:tcW w:w="2615" w:type="dxa"/>
            <w:vAlign w:val="center"/>
          </w:tcPr>
          <w:p w14:paraId="27B1E784">
            <w:pPr>
              <w:pStyle w:val="178"/>
              <w:rPr>
                <w:rFonts w:hint="eastAsia"/>
              </w:rPr>
            </w:pPr>
            <w:r>
              <w:rPr>
                <w:rFonts w:hint="eastAsia"/>
              </w:rPr>
              <w:t>避免在哺乳高峰期用药</w:t>
            </w:r>
          </w:p>
        </w:tc>
        <w:tc>
          <w:tcPr>
            <w:tcW w:w="2334" w:type="dxa"/>
            <w:vAlign w:val="center"/>
          </w:tcPr>
          <w:p w14:paraId="6F0B8A51">
            <w:pPr>
              <w:pStyle w:val="178"/>
              <w:rPr>
                <w:rFonts w:hint="eastAsia"/>
              </w:rPr>
            </w:pPr>
            <w:r>
              <w:rPr>
                <w:rFonts w:hint="eastAsia"/>
              </w:rPr>
              <w:t>药物哺乳期安全性评估</w:t>
            </w:r>
          </w:p>
        </w:tc>
      </w:tr>
      <w:tr w14:paraId="78C3C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Align w:val="center"/>
          </w:tcPr>
          <w:p w14:paraId="583950F1">
            <w:pPr>
              <w:pStyle w:val="178"/>
              <w:rPr>
                <w:rFonts w:hint="eastAsia"/>
              </w:rPr>
            </w:pPr>
            <w:r>
              <w:rPr>
                <w:rFonts w:hint="eastAsia"/>
              </w:rPr>
              <w:t>肝功能不全</w:t>
            </w:r>
          </w:p>
        </w:tc>
        <w:tc>
          <w:tcPr>
            <w:tcW w:w="2694" w:type="dxa"/>
            <w:vAlign w:val="center"/>
          </w:tcPr>
          <w:p w14:paraId="29E31CBF">
            <w:pPr>
              <w:pStyle w:val="178"/>
              <w:rPr>
                <w:rFonts w:hint="eastAsia"/>
              </w:rPr>
            </w:pPr>
            <w:r>
              <w:rPr>
                <w:rFonts w:hint="eastAsia"/>
              </w:rPr>
              <w:t>药物代谢减慢</w:t>
            </w:r>
          </w:p>
        </w:tc>
        <w:tc>
          <w:tcPr>
            <w:tcW w:w="2615" w:type="dxa"/>
            <w:vAlign w:val="center"/>
          </w:tcPr>
          <w:p w14:paraId="08D29425">
            <w:pPr>
              <w:pStyle w:val="178"/>
              <w:rPr>
                <w:rFonts w:hint="eastAsia"/>
              </w:rPr>
            </w:pPr>
            <w:r>
              <w:rPr>
                <w:rFonts w:hint="eastAsia"/>
              </w:rPr>
              <w:t>调整剂量或给药间隔</w:t>
            </w:r>
          </w:p>
        </w:tc>
        <w:tc>
          <w:tcPr>
            <w:tcW w:w="2334" w:type="dxa"/>
            <w:vAlign w:val="center"/>
          </w:tcPr>
          <w:p w14:paraId="118A113B">
            <w:pPr>
              <w:pStyle w:val="178"/>
              <w:rPr>
                <w:rFonts w:hint="eastAsia"/>
              </w:rPr>
            </w:pPr>
            <w:r>
              <w:rPr>
                <w:rFonts w:hint="eastAsia"/>
              </w:rPr>
              <w:t>肝功能监测</w:t>
            </w:r>
          </w:p>
        </w:tc>
      </w:tr>
      <w:tr w14:paraId="213E9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Align w:val="center"/>
          </w:tcPr>
          <w:p w14:paraId="0A365781">
            <w:pPr>
              <w:pStyle w:val="178"/>
              <w:rPr>
                <w:rFonts w:hint="eastAsia"/>
              </w:rPr>
            </w:pPr>
            <w:r>
              <w:rPr>
                <w:rFonts w:hint="eastAsia"/>
              </w:rPr>
              <w:t>肾功能不全</w:t>
            </w:r>
          </w:p>
        </w:tc>
        <w:tc>
          <w:tcPr>
            <w:tcW w:w="2694" w:type="dxa"/>
            <w:vAlign w:val="center"/>
          </w:tcPr>
          <w:p w14:paraId="61C7B8EB">
            <w:pPr>
              <w:pStyle w:val="178"/>
              <w:rPr>
                <w:rFonts w:hint="eastAsia"/>
              </w:rPr>
            </w:pPr>
            <w:r>
              <w:rPr>
                <w:rFonts w:hint="eastAsia"/>
              </w:rPr>
              <w:t>药物排泄延迟</w:t>
            </w:r>
          </w:p>
        </w:tc>
        <w:tc>
          <w:tcPr>
            <w:tcW w:w="2615" w:type="dxa"/>
            <w:vAlign w:val="center"/>
          </w:tcPr>
          <w:p w14:paraId="460DED08">
            <w:pPr>
              <w:pStyle w:val="178"/>
              <w:rPr>
                <w:rFonts w:hint="eastAsia"/>
              </w:rPr>
            </w:pPr>
            <w:r>
              <w:rPr>
                <w:rFonts w:hint="eastAsia"/>
              </w:rPr>
              <w:t>调整剂量或停药</w:t>
            </w:r>
          </w:p>
        </w:tc>
        <w:tc>
          <w:tcPr>
            <w:tcW w:w="2334" w:type="dxa"/>
            <w:vAlign w:val="center"/>
          </w:tcPr>
          <w:p w14:paraId="1F4B27B2">
            <w:pPr>
              <w:pStyle w:val="178"/>
              <w:rPr>
                <w:rFonts w:hint="eastAsia"/>
              </w:rPr>
            </w:pPr>
            <w:r>
              <w:rPr>
                <w:rFonts w:hint="eastAsia"/>
              </w:rPr>
              <w:t>肾功能与药物浓度监测</w:t>
            </w:r>
          </w:p>
        </w:tc>
      </w:tr>
    </w:tbl>
    <w:p w14:paraId="1555D65D">
      <w:pPr>
        <w:pStyle w:val="105"/>
        <w:spacing w:before="120" w:after="120" w:line="360" w:lineRule="auto"/>
      </w:pPr>
      <w:r>
        <w:rPr>
          <w:rFonts w:hint="eastAsia"/>
        </w:rPr>
        <w:t>信息检索与持续学习</w:t>
      </w:r>
    </w:p>
    <w:p w14:paraId="190D6516">
      <w:pPr>
        <w:pStyle w:val="56"/>
        <w:spacing w:line="360" w:lineRule="auto"/>
        <w:ind w:firstLine="420"/>
      </w:pPr>
      <w:r>
        <w:rPr>
          <w:rFonts w:hint="eastAsia"/>
        </w:rPr>
        <w:t>执业药师应具备检索和利用国内外药学文献的能力，及时了解药物治疗最新进展，按规定接受继续教育或实训培养，持续提升专业水平与实践能力。</w:t>
      </w:r>
    </w:p>
    <w:p w14:paraId="3A2879E7">
      <w:pPr>
        <w:pStyle w:val="105"/>
        <w:spacing w:before="120" w:after="120" w:line="360" w:lineRule="auto"/>
      </w:pPr>
      <w:r>
        <w:rPr>
          <w:rFonts w:hint="eastAsia"/>
        </w:rPr>
        <w:t>依法执业与质量管理</w:t>
      </w:r>
    </w:p>
    <w:p w14:paraId="3DD97440">
      <w:pPr>
        <w:pStyle w:val="56"/>
        <w:spacing w:line="360" w:lineRule="auto"/>
        <w:ind w:firstLine="420"/>
      </w:pPr>
      <w:r>
        <w:rPr>
          <w:rFonts w:hint="eastAsia"/>
        </w:rPr>
        <w:t>执业药师应严格遵守药品管理法律法规，参与药品质量管理制度的制定与实施，对发现的违法违规行为有责任提出劝告、制止或拒绝执行，并及时向药品监督管理部门报告。</w:t>
      </w:r>
    </w:p>
    <w:p w14:paraId="6D158842">
      <w:pPr>
        <w:pStyle w:val="105"/>
        <w:spacing w:before="120" w:after="120" w:line="360" w:lineRule="auto"/>
      </w:pPr>
      <w:r>
        <w:rPr>
          <w:rFonts w:hint="eastAsia"/>
        </w:rPr>
        <w:t>隐私保护</w:t>
      </w:r>
    </w:p>
    <w:p w14:paraId="231FCF35">
      <w:pPr>
        <w:pStyle w:val="56"/>
        <w:spacing w:line="360" w:lineRule="auto"/>
        <w:ind w:firstLine="420"/>
        <w:rPr>
          <w:rFonts w:hint="eastAsia"/>
        </w:rPr>
      </w:pPr>
      <w:r>
        <w:rPr>
          <w:rFonts w:hint="eastAsia"/>
        </w:rPr>
        <w:t>执业药师在服务过程中应保护患者隐私，不得泄露患者个人信息及病历资料，确保病历、处方和用药记录在传输和存储过程中的安全性。除法律另有规定或患者书面授权外，不得泄露患者个人信息。</w:t>
      </w:r>
    </w:p>
    <w:p w14:paraId="7B921AAF">
      <w:pPr>
        <w:pStyle w:val="104"/>
        <w:spacing w:before="240" w:after="240" w:line="360" w:lineRule="auto"/>
      </w:pPr>
      <w:bookmarkStart w:id="53" w:name="_Toc205761505"/>
      <w:r>
        <w:rPr>
          <w:rFonts w:hint="eastAsia"/>
        </w:rPr>
        <w:t>服务质量评价指标与方法</w:t>
      </w:r>
      <w:bookmarkEnd w:id="53"/>
    </w:p>
    <w:p w14:paraId="14FF3513">
      <w:pPr>
        <w:pStyle w:val="105"/>
        <w:spacing w:before="120" w:after="120" w:line="360" w:lineRule="auto"/>
      </w:pPr>
      <w:r>
        <w:rPr>
          <w:rFonts w:hint="eastAsia"/>
        </w:rPr>
        <w:t>评价原则</w:t>
      </w:r>
    </w:p>
    <w:p w14:paraId="1DA3E32F">
      <w:pPr>
        <w:pStyle w:val="56"/>
        <w:spacing w:line="360" w:lineRule="auto"/>
        <w:ind w:firstLine="420"/>
      </w:pPr>
      <w:r>
        <w:rPr>
          <w:rFonts w:hint="eastAsia"/>
        </w:rPr>
        <w:t>服务质量评价应坚持客观、公正、科学、可操作的原则，确保评价过程透明、数据真实、结论可靠。评价应兼顾定性与定量方法，综合反映执业药师的服务水平与改进方向。</w:t>
      </w:r>
    </w:p>
    <w:p w14:paraId="047AC939">
      <w:pPr>
        <w:pStyle w:val="105"/>
        <w:spacing w:before="120" w:after="120" w:line="360" w:lineRule="auto"/>
      </w:pPr>
      <w:r>
        <w:rPr>
          <w:rFonts w:hint="eastAsia"/>
        </w:rPr>
        <w:t>评价指标体系</w:t>
      </w:r>
    </w:p>
    <w:p w14:paraId="7586317F">
      <w:pPr>
        <w:pStyle w:val="56"/>
        <w:spacing w:line="360" w:lineRule="auto"/>
        <w:ind w:firstLine="420"/>
      </w:pPr>
      <w:r>
        <w:rPr>
          <w:rFonts w:hint="eastAsia"/>
        </w:rPr>
        <w:t>服务质量评价指标体系可分为一级指标、二级指标与核心测评要素：</w:t>
      </w:r>
    </w:p>
    <w:p w14:paraId="1E0061BB">
      <w:pPr>
        <w:pStyle w:val="174"/>
        <w:numPr>
          <w:ilvl w:val="0"/>
          <w:numId w:val="32"/>
        </w:numPr>
        <w:spacing w:line="360" w:lineRule="auto"/>
      </w:pPr>
      <w:r>
        <w:rPr>
          <w:rFonts w:hint="eastAsia"/>
        </w:rPr>
        <w:t>职业素养与服务态度：</w:t>
      </w:r>
    </w:p>
    <w:p w14:paraId="3D9F59C5">
      <w:pPr>
        <w:pStyle w:val="187"/>
        <w:spacing w:line="360" w:lineRule="auto"/>
      </w:pPr>
      <w:r>
        <w:rPr>
          <w:rFonts w:hint="eastAsia"/>
        </w:rPr>
        <w:t>服务主动性（患者满意度调查得分）；</w:t>
      </w:r>
    </w:p>
    <w:p w14:paraId="2E11521F">
      <w:pPr>
        <w:pStyle w:val="187"/>
        <w:spacing w:line="360" w:lineRule="auto"/>
      </w:pPr>
      <w:r>
        <w:rPr>
          <w:rFonts w:hint="eastAsia"/>
        </w:rPr>
        <w:t>尊重与沟通（患者访谈记录）；</w:t>
      </w:r>
    </w:p>
    <w:p w14:paraId="2D075501">
      <w:pPr>
        <w:pStyle w:val="187"/>
        <w:spacing w:line="360" w:lineRule="auto"/>
      </w:pPr>
      <w:r>
        <w:rPr>
          <w:rFonts w:hint="eastAsia"/>
        </w:rPr>
        <w:t>情绪管理与换位思考表现（同事与主管评价）。</w:t>
      </w:r>
    </w:p>
    <w:p w14:paraId="0CC63443">
      <w:pPr>
        <w:pStyle w:val="174"/>
        <w:spacing w:line="360" w:lineRule="auto"/>
      </w:pPr>
      <w:r>
        <w:rPr>
          <w:rFonts w:hint="eastAsia"/>
        </w:rPr>
        <w:t>专业知识与技能：</w:t>
      </w:r>
    </w:p>
    <w:p w14:paraId="7DDB19ED">
      <w:pPr>
        <w:pStyle w:val="187"/>
        <w:spacing w:line="360" w:lineRule="auto"/>
      </w:pPr>
      <w:r>
        <w:rPr>
          <w:rFonts w:hint="eastAsia"/>
        </w:rPr>
        <w:t>继续教育完成情况（学分、培训时长）；</w:t>
      </w:r>
    </w:p>
    <w:p w14:paraId="680B594F">
      <w:pPr>
        <w:pStyle w:val="187"/>
        <w:spacing w:line="360" w:lineRule="auto"/>
      </w:pPr>
      <w:r>
        <w:rPr>
          <w:rFonts w:hint="eastAsia"/>
        </w:rPr>
        <w:t>药物知识考核成绩；</w:t>
      </w:r>
    </w:p>
    <w:p w14:paraId="16E86486">
      <w:pPr>
        <w:pStyle w:val="187"/>
        <w:spacing w:line="360" w:lineRule="auto"/>
      </w:pPr>
      <w:r>
        <w:rPr>
          <w:rFonts w:hint="eastAsia"/>
        </w:rPr>
        <w:t>特殊人群用药知识掌握程度（考核或案例评估）。</w:t>
      </w:r>
    </w:p>
    <w:p w14:paraId="7CB6EA8E">
      <w:pPr>
        <w:pStyle w:val="56"/>
        <w:spacing w:line="360" w:lineRule="auto"/>
        <w:ind w:firstLine="420"/>
      </w:pPr>
      <w:r>
        <w:rPr>
          <w:rFonts w:hint="eastAsia"/>
        </w:rPr>
        <w:t>c) 处方审核与药品调配质量：</w:t>
      </w:r>
    </w:p>
    <w:p w14:paraId="190A21D3">
      <w:pPr>
        <w:pStyle w:val="187"/>
        <w:spacing w:line="360" w:lineRule="auto"/>
      </w:pPr>
      <w:r>
        <w:rPr>
          <w:rFonts w:hint="eastAsia"/>
        </w:rPr>
        <w:t>处方审核差错率；</w:t>
      </w:r>
    </w:p>
    <w:p w14:paraId="50101D84">
      <w:pPr>
        <w:pStyle w:val="187"/>
        <w:spacing w:line="360" w:lineRule="auto"/>
      </w:pPr>
      <w:r>
        <w:rPr>
          <w:rFonts w:hint="eastAsia"/>
        </w:rPr>
        <w:t>药品调配差错率；</w:t>
      </w:r>
    </w:p>
    <w:p w14:paraId="3126F480">
      <w:pPr>
        <w:pStyle w:val="187"/>
        <w:spacing w:line="360" w:lineRule="auto"/>
      </w:pPr>
      <w:r>
        <w:rPr>
          <w:rFonts w:hint="eastAsia"/>
        </w:rPr>
        <w:t>标签及说明准确率。</w:t>
      </w:r>
    </w:p>
    <w:p w14:paraId="19C39884">
      <w:pPr>
        <w:pStyle w:val="56"/>
        <w:spacing w:line="360" w:lineRule="auto"/>
        <w:ind w:firstLine="420"/>
      </w:pPr>
      <w:r>
        <w:rPr>
          <w:rFonts w:hint="eastAsia"/>
        </w:rPr>
        <w:t>d) 用药指导与公众教育效果：</w:t>
      </w:r>
    </w:p>
    <w:p w14:paraId="55630D30">
      <w:pPr>
        <w:pStyle w:val="187"/>
        <w:spacing w:line="360" w:lineRule="auto"/>
      </w:pPr>
      <w:r>
        <w:rPr>
          <w:rFonts w:hint="eastAsia"/>
        </w:rPr>
        <w:t>用药指导覆盖率（接受指导患者数/总患者数）；</w:t>
      </w:r>
    </w:p>
    <w:p w14:paraId="4AAD1A76">
      <w:pPr>
        <w:pStyle w:val="187"/>
        <w:spacing w:line="360" w:lineRule="auto"/>
      </w:pPr>
      <w:r>
        <w:rPr>
          <w:rFonts w:hint="eastAsia"/>
        </w:rPr>
        <w:t>患者用药依从性变化（随访结果）；</w:t>
      </w:r>
    </w:p>
    <w:p w14:paraId="5492E082">
      <w:pPr>
        <w:pStyle w:val="187"/>
        <w:spacing w:line="360" w:lineRule="auto"/>
      </w:pPr>
      <w:r>
        <w:rPr>
          <w:rFonts w:hint="eastAsia"/>
        </w:rPr>
        <w:t>药学宣教活动次数与受众人数。</w:t>
      </w:r>
    </w:p>
    <w:p w14:paraId="39071FE2">
      <w:pPr>
        <w:pStyle w:val="56"/>
        <w:spacing w:line="360" w:lineRule="auto"/>
        <w:ind w:firstLine="420"/>
      </w:pPr>
      <w:r>
        <w:rPr>
          <w:rFonts w:hint="eastAsia"/>
        </w:rPr>
        <w:t>e) 药物治疗管理能力：</w:t>
      </w:r>
    </w:p>
    <w:p w14:paraId="12ED8B50">
      <w:pPr>
        <w:pStyle w:val="187"/>
        <w:spacing w:line="360" w:lineRule="auto"/>
      </w:pPr>
      <w:r>
        <w:rPr>
          <w:rFonts w:hint="eastAsia"/>
        </w:rPr>
        <w:t>制定药学照护计划比例；</w:t>
      </w:r>
    </w:p>
    <w:p w14:paraId="1076FA7F">
      <w:pPr>
        <w:pStyle w:val="187"/>
        <w:spacing w:line="360" w:lineRule="auto"/>
      </w:pPr>
      <w:r>
        <w:rPr>
          <w:rFonts w:hint="eastAsia"/>
        </w:rPr>
        <w:t>药物治疗问题识别与解决率；</w:t>
      </w:r>
    </w:p>
    <w:p w14:paraId="7438DF6A">
      <w:pPr>
        <w:pStyle w:val="187"/>
        <w:spacing w:line="360" w:lineRule="auto"/>
      </w:pPr>
      <w:r>
        <w:rPr>
          <w:rFonts w:hint="eastAsia"/>
        </w:rPr>
        <w:t>治疗目标达成率（通过患者随访确认）。</w:t>
      </w:r>
    </w:p>
    <w:p w14:paraId="58E4723F">
      <w:pPr>
        <w:pStyle w:val="56"/>
        <w:spacing w:line="360" w:lineRule="auto"/>
        <w:ind w:firstLine="420"/>
      </w:pPr>
      <w:r>
        <w:rPr>
          <w:rFonts w:hint="eastAsia"/>
        </w:rPr>
        <w:t>f) 信息检索与持续学习能力：</w:t>
      </w:r>
    </w:p>
    <w:p w14:paraId="45E71129">
      <w:pPr>
        <w:pStyle w:val="187"/>
        <w:spacing w:line="360" w:lineRule="auto"/>
      </w:pPr>
      <w:r>
        <w:rPr>
          <w:rFonts w:hint="eastAsia"/>
        </w:rPr>
        <w:t>最新药学文献信息引用次数（在工作记录中体现）；</w:t>
      </w:r>
    </w:p>
    <w:p w14:paraId="6BD67BCD">
      <w:pPr>
        <w:pStyle w:val="187"/>
        <w:spacing w:line="360" w:lineRule="auto"/>
      </w:pPr>
      <w:r>
        <w:rPr>
          <w:rFonts w:hint="eastAsia"/>
        </w:rPr>
        <w:t>药学新进展掌握程度（考核结果）。</w:t>
      </w:r>
    </w:p>
    <w:p w14:paraId="40ADC83F">
      <w:pPr>
        <w:pStyle w:val="56"/>
        <w:spacing w:line="360" w:lineRule="auto"/>
        <w:ind w:firstLine="420"/>
      </w:pPr>
      <w:r>
        <w:rPr>
          <w:rFonts w:hint="eastAsia"/>
        </w:rPr>
        <w:t>g) 依法执业与质量管理水平：</w:t>
      </w:r>
    </w:p>
    <w:p w14:paraId="0F51AFFE">
      <w:pPr>
        <w:pStyle w:val="187"/>
        <w:spacing w:line="360" w:lineRule="auto"/>
      </w:pPr>
      <w:r>
        <w:rPr>
          <w:rFonts w:hint="eastAsia"/>
        </w:rPr>
        <w:t>法规遵守情况（无违规记录）；</w:t>
      </w:r>
    </w:p>
    <w:p w14:paraId="6F938ADF">
      <w:pPr>
        <w:pStyle w:val="187"/>
        <w:spacing w:line="360" w:lineRule="auto"/>
      </w:pPr>
      <w:r>
        <w:rPr>
          <w:rFonts w:hint="eastAsia"/>
        </w:rPr>
        <w:t>参与质量管理活动次数；</w:t>
      </w:r>
    </w:p>
    <w:p w14:paraId="5A850035">
      <w:pPr>
        <w:pStyle w:val="187"/>
        <w:spacing w:line="360" w:lineRule="auto"/>
      </w:pPr>
      <w:r>
        <w:rPr>
          <w:rFonts w:hint="eastAsia"/>
        </w:rPr>
        <w:t>违规行为发现与报告数量。</w:t>
      </w:r>
    </w:p>
    <w:p w14:paraId="4FBF14C1">
      <w:pPr>
        <w:pStyle w:val="105"/>
        <w:spacing w:before="120" w:after="120" w:line="360" w:lineRule="auto"/>
      </w:pPr>
      <w:r>
        <w:rPr>
          <w:rFonts w:hint="eastAsia"/>
        </w:rPr>
        <w:t>评价方法</w:t>
      </w:r>
    </w:p>
    <w:p w14:paraId="708C1437">
      <w:pPr>
        <w:pStyle w:val="65"/>
        <w:spacing w:before="120" w:after="120" w:line="360" w:lineRule="auto"/>
      </w:pPr>
      <w:r>
        <w:rPr>
          <w:rFonts w:hint="eastAsia"/>
        </w:rPr>
        <w:t>数据收集</w:t>
      </w:r>
    </w:p>
    <w:p w14:paraId="48F07598">
      <w:pPr>
        <w:pStyle w:val="56"/>
        <w:spacing w:line="360" w:lineRule="auto"/>
        <w:ind w:firstLine="420"/>
      </w:pPr>
      <w:r>
        <w:rPr>
          <w:rFonts w:hint="eastAsia"/>
        </w:rPr>
        <w:t>评价数据可通过现场观察、文件与记录查验、问卷调查、访谈、考核测试及患者随访等方式收集。</w:t>
      </w:r>
    </w:p>
    <w:p w14:paraId="58A5D904">
      <w:pPr>
        <w:pStyle w:val="65"/>
        <w:spacing w:before="120" w:after="120" w:line="360" w:lineRule="auto"/>
      </w:pPr>
      <w:r>
        <w:rPr>
          <w:rFonts w:hint="eastAsia"/>
        </w:rPr>
        <w:t>评分与权重</w:t>
      </w:r>
    </w:p>
    <w:p w14:paraId="6D834657">
      <w:pPr>
        <w:pStyle w:val="56"/>
        <w:spacing w:line="360" w:lineRule="auto"/>
        <w:ind w:firstLine="420"/>
      </w:pPr>
      <w:r>
        <w:rPr>
          <w:rFonts w:hint="eastAsia"/>
        </w:rPr>
        <w:t>各指标应设定合理权重，结合工作性质及岗位职责进行综合评分。权重分配应根据行业特点和管理重点适时调整。</w:t>
      </w:r>
    </w:p>
    <w:p w14:paraId="7215ED9A">
      <w:pPr>
        <w:pStyle w:val="65"/>
        <w:spacing w:before="120" w:after="120" w:line="360" w:lineRule="auto"/>
      </w:pPr>
      <w:r>
        <w:rPr>
          <w:rFonts w:hint="eastAsia"/>
        </w:rPr>
        <w:t>结果分析与分级</w:t>
      </w:r>
    </w:p>
    <w:p w14:paraId="4E4917CB">
      <w:pPr>
        <w:pStyle w:val="56"/>
        <w:spacing w:line="360" w:lineRule="auto"/>
        <w:ind w:firstLine="420"/>
      </w:pPr>
      <w:r>
        <w:rPr>
          <w:rFonts w:hint="eastAsia"/>
        </w:rPr>
        <w:t>根据综合得分，将执业药师服务质量划分为优秀、良好、合格、不合格等等级，并分析存在的不足与改进建议。</w:t>
      </w:r>
    </w:p>
    <w:p w14:paraId="7C99EA9C">
      <w:pPr>
        <w:pStyle w:val="65"/>
        <w:spacing w:before="120" w:after="120" w:line="360" w:lineRule="auto"/>
      </w:pPr>
      <w:r>
        <w:rPr>
          <w:rFonts w:hint="eastAsia"/>
        </w:rPr>
        <w:t>结果反馈与改进</w:t>
      </w:r>
    </w:p>
    <w:p w14:paraId="37CA5756">
      <w:pPr>
        <w:pStyle w:val="56"/>
        <w:spacing w:line="360" w:lineRule="auto"/>
        <w:ind w:firstLine="420"/>
      </w:pPr>
      <w:r>
        <w:rPr>
          <w:rFonts w:hint="eastAsia"/>
        </w:rPr>
        <w:t>评价结果应及时反馈给执业药师本人及所在单位，明确改进措施、时间节点和责任人，并进行跟踪评估。</w:t>
      </w:r>
    </w:p>
    <w:p w14:paraId="1AB16B1F">
      <w:pPr>
        <w:pStyle w:val="104"/>
        <w:spacing w:before="240" w:after="240" w:line="360" w:lineRule="auto"/>
      </w:pPr>
      <w:bookmarkStart w:id="54" w:name="_Toc205761506"/>
      <w:r>
        <w:rPr>
          <w:rFonts w:hint="eastAsia"/>
        </w:rPr>
        <w:t>改进与持续提升措施</w:t>
      </w:r>
      <w:bookmarkEnd w:id="54"/>
    </w:p>
    <w:p w14:paraId="4DC311F0">
      <w:pPr>
        <w:pStyle w:val="105"/>
        <w:spacing w:before="120" w:after="120" w:line="360" w:lineRule="auto"/>
      </w:pPr>
      <w:r>
        <w:rPr>
          <w:rFonts w:hint="eastAsia"/>
        </w:rPr>
        <w:t>改进原则</w:t>
      </w:r>
    </w:p>
    <w:p w14:paraId="4F9408E4">
      <w:pPr>
        <w:pStyle w:val="56"/>
        <w:spacing w:line="360" w:lineRule="auto"/>
        <w:ind w:firstLine="420"/>
      </w:pPr>
      <w:r>
        <w:rPr>
          <w:rFonts w:hint="eastAsia"/>
        </w:rPr>
        <w:t>执业药师服务质量改进应坚持以患者为中心、问题导向、数据驱动和持续提升的原则，确保改进措施切实可行、可量化和可跟踪。</w:t>
      </w:r>
    </w:p>
    <w:p w14:paraId="33AD2584">
      <w:pPr>
        <w:pStyle w:val="105"/>
        <w:spacing w:before="120" w:after="120" w:line="360" w:lineRule="auto"/>
      </w:pPr>
      <w:r>
        <w:rPr>
          <w:rFonts w:hint="eastAsia"/>
        </w:rPr>
        <w:t>问题识别与分析</w:t>
      </w:r>
    </w:p>
    <w:p w14:paraId="1485174A">
      <w:pPr>
        <w:pStyle w:val="56"/>
        <w:spacing w:line="360" w:lineRule="auto"/>
        <w:ind w:firstLine="420"/>
      </w:pPr>
      <w:r>
        <w:rPr>
          <w:rFonts w:hint="eastAsia"/>
        </w:rPr>
        <w:t>应根据服务质量评价结果、患者反馈、同事评议、监管检查以及自我反思，全面识别影响服务质量的薄弱环节。对问题进行分类分析，明确产生原因，包括知识技能不足、服务流程缺陷、沟通障碍、资源配置不足及管理制度不完善等。</w:t>
      </w:r>
    </w:p>
    <w:p w14:paraId="0625FEB4">
      <w:pPr>
        <w:pStyle w:val="105"/>
        <w:spacing w:before="120" w:after="120" w:line="360" w:lineRule="auto"/>
      </w:pPr>
      <w:r>
        <w:rPr>
          <w:rFonts w:hint="eastAsia"/>
        </w:rPr>
        <w:t>制定改进计划</w:t>
      </w:r>
    </w:p>
    <w:p w14:paraId="7AA8FDBA">
      <w:pPr>
        <w:pStyle w:val="56"/>
        <w:spacing w:line="360" w:lineRule="auto"/>
        <w:ind w:firstLine="420"/>
      </w:pPr>
      <w:r>
        <w:rPr>
          <w:rFonts w:hint="eastAsia"/>
        </w:rPr>
        <w:t>针对识别的问题，应制定具体的改进目标、措施、责任分工及完成时限。改进计划应包括短期整改与长期提升两个层面，并明确量化的绩效目标，如差错率降低幅度、患者满意度提升比例、培训完成率等。</w:t>
      </w:r>
    </w:p>
    <w:p w14:paraId="5F4D1D66">
      <w:pPr>
        <w:pStyle w:val="105"/>
        <w:spacing w:before="120" w:after="120" w:line="360" w:lineRule="auto"/>
      </w:pPr>
      <w:r>
        <w:rPr>
          <w:rFonts w:hint="eastAsia"/>
        </w:rPr>
        <w:t>培训与能力提升</w:t>
      </w:r>
    </w:p>
    <w:p w14:paraId="2C6DB736">
      <w:pPr>
        <w:pStyle w:val="56"/>
        <w:spacing w:line="360" w:lineRule="auto"/>
        <w:ind w:firstLine="420"/>
      </w:pPr>
      <w:r>
        <w:rPr>
          <w:rFonts w:hint="eastAsia"/>
        </w:rPr>
        <w:t>应结合药师药学服务胜任力评价标准与药物治疗管理服务要求，制定个性化培训方案，涵盖药学新知识、新技术、新法规，以及沟通技巧、心理疏导、跨学科协作等能力的提升，确保药师专业能力与岗位要求同步发展。</w:t>
      </w:r>
    </w:p>
    <w:p w14:paraId="743C0A29">
      <w:pPr>
        <w:pStyle w:val="105"/>
        <w:spacing w:before="120" w:after="120" w:line="360" w:lineRule="auto"/>
      </w:pPr>
      <w:r>
        <w:rPr>
          <w:rFonts w:hint="eastAsia"/>
        </w:rPr>
        <w:t>制度与流程优化</w:t>
      </w:r>
    </w:p>
    <w:p w14:paraId="3E5ECDB1">
      <w:pPr>
        <w:pStyle w:val="56"/>
        <w:spacing w:line="360" w:lineRule="auto"/>
        <w:ind w:firstLine="420"/>
      </w:pPr>
      <w:r>
        <w:rPr>
          <w:rFonts w:hint="eastAsia"/>
        </w:rPr>
        <w:t>应持续优化药学服务相关的管理制度和工作流程，如处方审核制度、药学照护记录制度、随访与反馈机制、用药宣教流程等，以减少服务环节中的不必要延误与差错。</w:t>
      </w:r>
    </w:p>
    <w:p w14:paraId="381A9AC1">
      <w:pPr>
        <w:pStyle w:val="105"/>
        <w:spacing w:before="120" w:after="120" w:line="360" w:lineRule="auto"/>
      </w:pPr>
      <w:r>
        <w:rPr>
          <w:rFonts w:hint="eastAsia"/>
        </w:rPr>
        <w:t>持续监测与评估</w:t>
      </w:r>
    </w:p>
    <w:p w14:paraId="6FAFA2D2">
      <w:pPr>
        <w:pStyle w:val="56"/>
        <w:spacing w:line="360" w:lineRule="auto"/>
        <w:ind w:firstLine="420"/>
      </w:pPr>
      <w:r>
        <w:rPr>
          <w:rFonts w:hint="eastAsia"/>
        </w:rPr>
        <w:t>改进措施实施后，应通过定期检查、患者随访、绩效考核等方式持续监测效果，比较改进前后的数据变化，确保目标达成。如未达到预期，应分析原因并进一步调整改进方案。</w:t>
      </w:r>
    </w:p>
    <w:p w14:paraId="4B167A49">
      <w:pPr>
        <w:pStyle w:val="105"/>
        <w:spacing w:before="120" w:after="120" w:line="360" w:lineRule="auto"/>
      </w:pPr>
      <w:r>
        <w:rPr>
          <w:rFonts w:hint="eastAsia"/>
        </w:rPr>
        <w:t>信息共享与经验推广</w:t>
      </w:r>
    </w:p>
    <w:p w14:paraId="385E1A30">
      <w:pPr>
        <w:pStyle w:val="56"/>
        <w:spacing w:line="360" w:lineRule="auto"/>
        <w:ind w:firstLine="420"/>
      </w:pPr>
      <w:r>
        <w:rPr>
          <w:rFonts w:hint="eastAsia"/>
        </w:rPr>
        <w:t>鼓励在机构内部和行业内分享服务改进的优秀案例和成功经验，推动先进做法的推广与应用，形成行业内的良性竞争与共同进步氛围。</w:t>
      </w:r>
    </w:p>
    <w:p w14:paraId="5A1D74BE">
      <w:pPr>
        <w:pStyle w:val="104"/>
        <w:spacing w:before="240" w:after="240" w:line="360" w:lineRule="auto"/>
      </w:pPr>
      <w:bookmarkStart w:id="55" w:name="_Toc205761507"/>
      <w:r>
        <w:rPr>
          <w:rFonts w:hint="eastAsia"/>
        </w:rPr>
        <w:t>附则</w:t>
      </w:r>
      <w:bookmarkEnd w:id="55"/>
    </w:p>
    <w:p w14:paraId="2B3FBE7F">
      <w:pPr>
        <w:pStyle w:val="105"/>
        <w:spacing w:before="120" w:after="120" w:line="360" w:lineRule="auto"/>
      </w:pPr>
      <w:r>
        <w:rPr>
          <w:rFonts w:hint="eastAsia"/>
        </w:rPr>
        <w:t>实施与监督</w:t>
      </w:r>
    </w:p>
    <w:p w14:paraId="477BD744">
      <w:pPr>
        <w:pStyle w:val="56"/>
        <w:spacing w:line="360" w:lineRule="auto"/>
        <w:ind w:firstLine="420"/>
      </w:pPr>
      <w:r>
        <w:rPr>
          <w:rFonts w:hint="eastAsia"/>
        </w:rPr>
        <w:t>本文件由行业协会或相关主管部门组织实施，并对实施过程进行监督检查。各单位应根据本文件建立或完善内部的执业药师服务质量管理制度，确保各项要求落地执行。</w:t>
      </w:r>
    </w:p>
    <w:p w14:paraId="5691048B">
      <w:pPr>
        <w:pStyle w:val="105"/>
        <w:spacing w:before="120" w:after="120" w:line="360" w:lineRule="auto"/>
      </w:pPr>
      <w:r>
        <w:rPr>
          <w:rFonts w:hint="eastAsia"/>
        </w:rPr>
        <w:t>解释权</w:t>
      </w:r>
    </w:p>
    <w:p w14:paraId="1468366B">
      <w:pPr>
        <w:pStyle w:val="56"/>
        <w:spacing w:line="360" w:lineRule="auto"/>
        <w:ind w:firstLine="420"/>
      </w:pPr>
      <w:r>
        <w:rPr>
          <w:rFonts w:hint="eastAsia"/>
        </w:rPr>
        <w:t>本文件由制定单位负责解释。解释工作应结合行业发展趋势、政策法规变化以及药学服务实践中的新情况，确保解释内容与行业实际相符合。</w:t>
      </w:r>
    </w:p>
    <w:p w14:paraId="7AD1DB17">
      <w:pPr>
        <w:pStyle w:val="105"/>
        <w:spacing w:before="120" w:after="120" w:line="360" w:lineRule="auto"/>
      </w:pPr>
      <w:r>
        <w:rPr>
          <w:rFonts w:hint="eastAsia"/>
        </w:rPr>
        <w:t>修订要求</w:t>
      </w:r>
    </w:p>
    <w:p w14:paraId="5FCF0DB2">
      <w:pPr>
        <w:pStyle w:val="56"/>
        <w:spacing w:line="360" w:lineRule="auto"/>
        <w:ind w:firstLine="420"/>
      </w:pPr>
      <w:r>
        <w:rPr>
          <w:rFonts w:hint="eastAsia"/>
        </w:rPr>
        <w:t>本文件应根据药学服务技术进步、药品管理法规调整、药学服务模式变化及实施效果反馈，适时进行修订与完善。修订应充分征求执业药师、医疗机构、药品经营企业、监管部门及公众的意见，并经过专家评审后发布。</w:t>
      </w:r>
    </w:p>
    <w:p w14:paraId="20C63B50">
      <w:pPr>
        <w:pStyle w:val="105"/>
        <w:spacing w:before="120" w:after="120" w:line="360" w:lineRule="auto"/>
      </w:pPr>
      <w:r>
        <w:rPr>
          <w:rFonts w:hint="eastAsia"/>
        </w:rPr>
        <w:t>生效日期</w:t>
      </w:r>
    </w:p>
    <w:p w14:paraId="2A62EE40">
      <w:pPr>
        <w:pStyle w:val="56"/>
        <w:spacing w:line="360" w:lineRule="auto"/>
        <w:ind w:firstLine="420"/>
      </w:pPr>
      <w:r>
        <w:rPr>
          <w:rFonts w:hint="eastAsia"/>
        </w:rPr>
        <w:t>本文件自发布之日起施行。</w:t>
      </w:r>
    </w:p>
    <w:p w14:paraId="18BFF269">
      <w:pPr>
        <w:pStyle w:val="56"/>
        <w:ind w:firstLine="420"/>
      </w:pPr>
    </w:p>
    <w:bookmarkEnd w:id="26"/>
    <w:p w14:paraId="5A1F8351">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bookmarkStart w:id="56" w:name="BookMark6"/>
    </w:p>
    <w:p w14:paraId="20538652">
      <w:pPr>
        <w:pStyle w:val="63"/>
        <w:spacing w:after="120" w:line="360" w:lineRule="auto"/>
      </w:pPr>
      <w:bookmarkStart w:id="57" w:name="_Toc205761508"/>
      <w:r>
        <w:rPr>
          <w:rFonts w:hint="eastAsia"/>
          <w:spacing w:val="105"/>
        </w:rPr>
        <w:t>参考文</w:t>
      </w:r>
      <w:r>
        <w:rPr>
          <w:rFonts w:hint="eastAsia"/>
        </w:rPr>
        <w:t>献</w:t>
      </w:r>
      <w:bookmarkEnd w:id="57"/>
    </w:p>
    <w:p w14:paraId="693DBC6A">
      <w:pPr>
        <w:pStyle w:val="56"/>
        <w:spacing w:line="360" w:lineRule="auto"/>
        <w:ind w:firstLine="420"/>
      </w:pPr>
      <w:r>
        <w:rPr>
          <w:rFonts w:hint="eastAsia"/>
        </w:rPr>
        <w:t>[</w:t>
      </w:r>
      <w:r>
        <w:t xml:space="preserve">1] GB/T 15692-2024 </w:t>
      </w:r>
      <w:r>
        <w:rPr>
          <w:rFonts w:hint="eastAsia"/>
        </w:rPr>
        <w:t xml:space="preserve">制药机械 </w:t>
      </w:r>
      <w:r>
        <w:t xml:space="preserve"> </w:t>
      </w:r>
      <w:r>
        <w:rPr>
          <w:rFonts w:hint="eastAsia"/>
        </w:rPr>
        <w:t>术语</w:t>
      </w:r>
    </w:p>
    <w:p w14:paraId="20800FFA">
      <w:pPr>
        <w:pStyle w:val="56"/>
        <w:spacing w:line="360" w:lineRule="auto"/>
        <w:ind w:firstLine="420"/>
      </w:pPr>
      <w:r>
        <w:rPr>
          <w:rFonts w:hint="eastAsia"/>
        </w:rPr>
        <w:t>[</w:t>
      </w:r>
      <w:r>
        <w:t>2] GB/T 34399</w:t>
      </w:r>
      <w:r>
        <w:rPr>
          <w:rFonts w:hint="eastAsia"/>
        </w:rPr>
        <w:t>—</w:t>
      </w:r>
      <w:r>
        <w:t xml:space="preserve">2025 </w:t>
      </w:r>
      <w:r>
        <w:rPr>
          <w:rFonts w:hint="eastAsia"/>
        </w:rPr>
        <w:t xml:space="preserve">医药产品冷链物流温控设施设备验证 </w:t>
      </w:r>
      <w:r>
        <w:t xml:space="preserve"> </w:t>
      </w:r>
      <w:r>
        <w:rPr>
          <w:rFonts w:hint="eastAsia"/>
        </w:rPr>
        <w:t>性能确认技术规范</w:t>
      </w:r>
    </w:p>
    <w:p w14:paraId="410438B7">
      <w:pPr>
        <w:pStyle w:val="56"/>
        <w:spacing w:line="360" w:lineRule="auto"/>
        <w:ind w:firstLine="420"/>
      </w:pPr>
      <w:r>
        <w:rPr>
          <w:rFonts w:hint="eastAsia"/>
        </w:rPr>
        <w:t>[</w:t>
      </w:r>
      <w:r>
        <w:t xml:space="preserve">3] GB/T 44036-2024 </w:t>
      </w:r>
      <w:r>
        <w:rPr>
          <w:rFonts w:hint="eastAsia"/>
        </w:rPr>
        <w:t>中药饮片自动调剂系统技术规范</w:t>
      </w:r>
    </w:p>
    <w:bookmarkEnd w:id="56"/>
    <w:p w14:paraId="5759E67A">
      <w:pPr>
        <w:pStyle w:val="56"/>
        <w:ind w:firstLine="0" w:firstLineChars="0"/>
        <w:jc w:val="center"/>
      </w:pPr>
      <w:bookmarkStart w:id="58" w:name="BookMark8"/>
      <w:r>
        <w:drawing>
          <wp:inline distT="0" distB="0" distL="0" distR="0">
            <wp:extent cx="1485900" cy="317500"/>
            <wp:effectExtent l="0" t="0" r="0" b="6350"/>
            <wp:docPr id="651715468" name="图片 1"/>
            <wp:cNvGraphicFramePr/>
            <a:graphic xmlns:a="http://schemas.openxmlformats.org/drawingml/2006/main">
              <a:graphicData uri="http://schemas.openxmlformats.org/drawingml/2006/picture">
                <pic:pic xmlns:pic="http://schemas.openxmlformats.org/drawingml/2006/picture">
                  <pic:nvPicPr>
                    <pic:cNvPr id="651715468"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54AB5">
    <w:pPr>
      <w:pStyle w:val="51"/>
    </w:pPr>
    <w:r>
      <w:fldChar w:fldCharType="begin"/>
    </w:r>
    <w:r>
      <w:instrText xml:space="preserve"> PAGE   \* MERGEFORMAT \* MERGEFORMAT </w:instrText>
    </w:r>
    <w:r>
      <w:fldChar w:fldCharType="separate"/>
    </w:r>
    <w:r>
      <w:t>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078F">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2DEF">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793D">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4219">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AB8C">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CA9B">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B60E">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431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9110">
    <w:pPr>
      <w:pStyle w:val="62"/>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7B0C">
    <w:pPr>
      <w:pStyle w:val="61"/>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5096">
    <w:pPr>
      <w:pStyle w:val="62"/>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0A04">
    <w:pPr>
      <w:pStyle w:val="61"/>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9083E">
    <w:pPr>
      <w:pStyle w:val="62"/>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181B">
    <w:pPr>
      <w:pStyle w:val="61"/>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D363">
    <w:pPr>
      <w:pStyle w:val="62"/>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BE86">
    <w:pPr>
      <w:pStyle w:val="61"/>
      <w:rPr>
        <w:rFonts w:hint="eastAsia"/>
      </w:rPr>
    </w:pPr>
    <w:r>
      <w:fldChar w:fldCharType="begin"/>
    </w:r>
    <w:r>
      <w:instrText xml:space="preserve"> STYLEREF  标准文件_文件编号  \* MERGEFORMAT </w:instrText>
    </w:r>
    <w:r>
      <w:fldChar w:fldCharType="separate"/>
    </w:r>
    <w:r>
      <w:t>T/XJBX 0058—2025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2FB"/>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D8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72A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6C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21B3"/>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777"/>
    <w:rsid w:val="00AC5DF4"/>
    <w:rsid w:val="00AD0AEF"/>
    <w:rsid w:val="00AD11B7"/>
    <w:rsid w:val="00AD1A94"/>
    <w:rsid w:val="00AD1C05"/>
    <w:rsid w:val="00AD4126"/>
    <w:rsid w:val="00AD421C"/>
    <w:rsid w:val="00AD44FA"/>
    <w:rsid w:val="00AE070A"/>
    <w:rsid w:val="00AE101C"/>
    <w:rsid w:val="00AE2A69"/>
    <w:rsid w:val="00AE37E5"/>
    <w:rsid w:val="00AE5EB4"/>
    <w:rsid w:val="00AE6203"/>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2D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142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102"/>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788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jpe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279C23D8">
          <w:pPr>
            <w:pStyle w:val="5"/>
            <w:rPr>
              <w:rFonts w:hint="eastAsia"/>
            </w:rPr>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0F603A3A">
          <w:pPr>
            <w:pStyle w:val="6"/>
            <w:rPr>
              <w:rFonts w:hint="eastAsia"/>
            </w:rPr>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00C4E5E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92F8C"/>
    <w:rsid w:val="00412D83"/>
    <w:rsid w:val="005228FA"/>
    <w:rsid w:val="009A5E0A"/>
    <w:rsid w:val="00AE1DC6"/>
    <w:rsid w:val="00DE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5216</Words>
  <Characters>5544</Characters>
  <Lines>80</Lines>
  <Paragraphs>221</Paragraphs>
  <TotalTime>200</TotalTime>
  <ScaleCrop>false</ScaleCrop>
  <LinksUpToDate>false</LinksUpToDate>
  <CharactersWithSpaces>5644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2025-08-11T06:24:08Z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A907F1BB935A46E3816640220C723042_12</vt:lpwstr>
  </property>
</Properties>
</file>