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060.3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13.060.30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Z 0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 06</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7"/>
            </w:textInput>
          </w:ffData>
        </w:fldChar>
      </w:r>
      <w:bookmarkStart w:id="6" w:name="NSTD_CODE_F"/>
      <w:r>
        <w:instrText xml:space="preserve"> FORMTEXT </w:instrText>
      </w:r>
      <w:r>
        <w:fldChar w:fldCharType="separate"/>
      </w:r>
      <w:r>
        <w:t>0057</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污水深度处理与回用技术规程"/>
            </w:textInput>
          </w:ffData>
        </w:fldChar>
      </w:r>
      <w:bookmarkStart w:id="9" w:name="CSTD_NAME"/>
      <w:r>
        <w:instrText xml:space="preserve"> FORMTEXT </w:instrText>
      </w:r>
      <w:r>
        <w:fldChar w:fldCharType="separate"/>
      </w:r>
      <w:r>
        <w:t>污水深度处理与回用技术规程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advanced treatment and reuse of wastewater"/>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advanced treatment and reuse of wastewater</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D21D5EB">
      <w:pPr>
        <w:pStyle w:val="91"/>
        <w:spacing w:after="360"/>
        <w:rPr>
          <w:rFonts w:hint="eastAsia"/>
        </w:rPr>
      </w:pPr>
      <w:bookmarkStart w:id="21" w:name="BookMark1"/>
      <w:r>
        <w:rPr>
          <w:rFonts w:hint="eastAsia"/>
          <w:spacing w:val="320"/>
        </w:rPr>
        <w:t>目</w:t>
      </w:r>
      <w:r>
        <w:rPr>
          <w:rFonts w:hint="eastAsia"/>
        </w:rPr>
        <w:t>次</w:t>
      </w:r>
    </w:p>
    <w:p w14:paraId="19A3DB96">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"_Toc205629360" </w:instrText>
      </w:r>
      <w:r>
        <w:fldChar w:fldCharType="separate"/>
      </w:r>
      <w:r>
        <w:rPr>
          <w:rStyle w:val="32"/>
        </w:rPr>
        <w:t>前言</w:t>
      </w:r>
      <w:r>
        <w:tab/>
      </w:r>
      <w:r>
        <w:fldChar w:fldCharType="begin"/>
      </w:r>
      <w:r>
        <w:instrText xml:space="preserve"> PAGEREF _Toc205629360 \h </w:instrText>
      </w:r>
      <w:r>
        <w:fldChar w:fldCharType="separate"/>
      </w:r>
      <w:r>
        <w:t>III</w:t>
      </w:r>
      <w:r>
        <w:fldChar w:fldCharType="end"/>
      </w:r>
      <w:r>
        <w:fldChar w:fldCharType="end"/>
      </w:r>
    </w:p>
    <w:p w14:paraId="3E2BB780">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"_Toc205629361" </w:instrText>
      </w:r>
      <w:r>
        <w:fldChar w:fldCharType="separate"/>
      </w:r>
      <w:r>
        <w:rPr>
          <w:rStyle w:val="32"/>
        </w:rPr>
        <w:t>引言</w:t>
      </w:r>
      <w:r>
        <w:tab/>
      </w:r>
      <w:r>
        <w:fldChar w:fldCharType="begin"/>
      </w:r>
      <w:r>
        <w:instrText xml:space="preserve"> PAGEREF _Toc205629361 \h </w:instrText>
      </w:r>
      <w:r>
        <w:fldChar w:fldCharType="separate"/>
      </w:r>
      <w:r>
        <w:t>V</w:t>
      </w:r>
      <w:r>
        <w:fldChar w:fldCharType="end"/>
      </w:r>
      <w:r>
        <w:fldChar w:fldCharType="end"/>
      </w:r>
    </w:p>
    <w:p w14:paraId="2E2B7135">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"_Toc205629362" </w:instrText>
      </w:r>
      <w:r>
        <w:fldChar w:fldCharType="separate"/>
      </w:r>
      <w:r>
        <w:rPr>
          <w:rStyle w:val="32"/>
        </w:rPr>
        <w:t>1  范围</w:t>
      </w:r>
      <w:r>
        <w:tab/>
      </w:r>
      <w:r>
        <w:fldChar w:fldCharType="begin"/>
      </w:r>
      <w:r>
        <w:instrText xml:space="preserve"> PAGEREF _Toc205629362 \h </w:instrText>
      </w:r>
      <w:r>
        <w:fldChar w:fldCharType="separate"/>
      </w:r>
      <w:r>
        <w:t>1</w:t>
      </w:r>
      <w:r>
        <w:fldChar w:fldCharType="end"/>
      </w:r>
      <w:r>
        <w:fldChar w:fldCharType="end"/>
      </w:r>
    </w:p>
    <w:p w14:paraId="53A2D193">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"_Toc205629363" </w:instrText>
      </w:r>
      <w:r>
        <w:fldChar w:fldCharType="separate"/>
      </w:r>
      <w:r>
        <w:rPr>
          <w:rStyle w:val="32"/>
        </w:rPr>
        <w:t>2  规范性引用文件</w:t>
      </w:r>
      <w:r>
        <w:tab/>
      </w:r>
      <w:r>
        <w:fldChar w:fldCharType="begin"/>
      </w:r>
      <w:r>
        <w:instrText xml:space="preserve"> PAGEREF _Toc205629363 \h </w:instrText>
      </w:r>
      <w:r>
        <w:fldChar w:fldCharType="separate"/>
      </w:r>
      <w:r>
        <w:t>1</w:t>
      </w:r>
      <w:r>
        <w:fldChar w:fldCharType="end"/>
      </w:r>
      <w:r>
        <w:fldChar w:fldCharType="end"/>
      </w:r>
    </w:p>
    <w:p w14:paraId="284ECDA5">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"_Toc205629364" </w:instrText>
      </w:r>
      <w:r>
        <w:fldChar w:fldCharType="separate"/>
      </w:r>
      <w:r>
        <w:rPr>
          <w:rStyle w:val="32"/>
        </w:rPr>
        <w:t>3  术语和定义</w:t>
      </w:r>
      <w:r>
        <w:tab/>
      </w:r>
      <w:r>
        <w:fldChar w:fldCharType="begin"/>
      </w:r>
      <w:r>
        <w:instrText xml:space="preserve"> PAGEREF _Toc205629364 \h </w:instrText>
      </w:r>
      <w:r>
        <w:fldChar w:fldCharType="separate"/>
      </w:r>
      <w:r>
        <w:t>1</w:t>
      </w:r>
      <w:r>
        <w:fldChar w:fldCharType="end"/>
      </w:r>
      <w:r>
        <w:fldChar w:fldCharType="end"/>
      </w:r>
    </w:p>
    <w:p w14:paraId="7233F33A">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"_Toc205629365" </w:instrText>
      </w:r>
      <w:r>
        <w:fldChar w:fldCharType="separate"/>
      </w:r>
      <w:r>
        <w:rPr>
          <w:rStyle w:val="32"/>
        </w:rPr>
        <w:t>4  总则</w:t>
      </w:r>
      <w:r>
        <w:tab/>
      </w:r>
      <w:r>
        <w:fldChar w:fldCharType="begin"/>
      </w:r>
      <w:r>
        <w:instrText xml:space="preserve"> PAGEREF _Toc205629365 \h </w:instrText>
      </w:r>
      <w:r>
        <w:fldChar w:fldCharType="separate"/>
      </w:r>
      <w:r>
        <w:t>2</w:t>
      </w:r>
      <w:r>
        <w:fldChar w:fldCharType="end"/>
      </w:r>
      <w:r>
        <w:fldChar w:fldCharType="end"/>
      </w:r>
    </w:p>
    <w:p w14:paraId="4E06F26D">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"_Toc205629366" </w:instrText>
      </w:r>
      <w:r>
        <w:fldChar w:fldCharType="separate"/>
      </w:r>
      <w:r>
        <w:rPr>
          <w:rStyle w:val="32"/>
        </w:rPr>
        <w:t>5  回用水水质要求</w:t>
      </w:r>
      <w:r>
        <w:tab/>
      </w:r>
      <w:r>
        <w:fldChar w:fldCharType="begin"/>
      </w:r>
      <w:r>
        <w:instrText xml:space="preserve"> PAGEREF _Toc205629366 \h </w:instrText>
      </w:r>
      <w:r>
        <w:fldChar w:fldCharType="separate"/>
      </w:r>
      <w:r>
        <w:t>3</w:t>
      </w:r>
      <w:r>
        <w:fldChar w:fldCharType="end"/>
      </w:r>
      <w:r>
        <w:fldChar w:fldCharType="end"/>
      </w:r>
    </w:p>
    <w:p w14:paraId="7B8F3143">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"_Toc205629367" </w:instrText>
      </w:r>
      <w:r>
        <w:fldChar w:fldCharType="separate"/>
      </w:r>
      <w:r>
        <w:rPr>
          <w:rStyle w:val="32"/>
        </w:rPr>
        <w:t>6  污水深度处理工艺与技术要求</w:t>
      </w:r>
      <w:r>
        <w:tab/>
      </w:r>
      <w:r>
        <w:fldChar w:fldCharType="begin"/>
      </w:r>
      <w:r>
        <w:instrText xml:space="preserve"> PAGEREF _Toc205629367 \h </w:instrText>
      </w:r>
      <w:r>
        <w:fldChar w:fldCharType="separate"/>
      </w:r>
      <w:r>
        <w:t>3</w:t>
      </w:r>
      <w:r>
        <w:fldChar w:fldCharType="end"/>
      </w:r>
      <w:r>
        <w:fldChar w:fldCharType="end"/>
      </w:r>
    </w:p>
    <w:p w14:paraId="3F61C63C">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"_Toc205629368" </w:instrText>
      </w:r>
      <w:r>
        <w:fldChar w:fldCharType="separate"/>
      </w:r>
      <w:r>
        <w:rPr>
          <w:rStyle w:val="32"/>
        </w:rPr>
        <w:t>7  工程设计与施工要求</w:t>
      </w:r>
      <w:r>
        <w:tab/>
      </w:r>
      <w:r>
        <w:fldChar w:fldCharType="begin"/>
      </w:r>
      <w:r>
        <w:instrText xml:space="preserve"> PAGEREF _Toc205629368 \h </w:instrText>
      </w:r>
      <w:r>
        <w:fldChar w:fldCharType="separate"/>
      </w:r>
      <w:r>
        <w:t>5</w:t>
      </w:r>
      <w:r>
        <w:fldChar w:fldCharType="end"/>
      </w:r>
      <w:r>
        <w:fldChar w:fldCharType="end"/>
      </w:r>
    </w:p>
    <w:p w14:paraId="24FEBF0B">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"_Toc205629369" </w:instrText>
      </w:r>
      <w:r>
        <w:fldChar w:fldCharType="separate"/>
      </w:r>
      <w:r>
        <w:rPr>
          <w:rStyle w:val="32"/>
        </w:rPr>
        <w:t>8  运行管理与维护</w:t>
      </w:r>
      <w:r>
        <w:tab/>
      </w:r>
      <w:r>
        <w:fldChar w:fldCharType="begin"/>
      </w:r>
      <w:r>
        <w:instrText xml:space="preserve"> PAGEREF _Toc205629369 \h </w:instrText>
      </w:r>
      <w:r>
        <w:fldChar w:fldCharType="separate"/>
      </w:r>
      <w:r>
        <w:t>6</w:t>
      </w:r>
      <w:r>
        <w:fldChar w:fldCharType="end"/>
      </w:r>
      <w:r>
        <w:fldChar w:fldCharType="end"/>
      </w:r>
    </w:p>
    <w:p w14:paraId="5BF3DB44">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"_Toc205629370" </w:instrText>
      </w:r>
      <w:r>
        <w:fldChar w:fldCharType="separate"/>
      </w:r>
      <w:r>
        <w:rPr>
          <w:rStyle w:val="32"/>
        </w:rPr>
        <w:t>9  监测与数据管理</w:t>
      </w:r>
      <w:r>
        <w:tab/>
      </w:r>
      <w:r>
        <w:fldChar w:fldCharType="begin"/>
      </w:r>
      <w:r>
        <w:instrText xml:space="preserve"> PAGEREF _Toc205629370 \h </w:instrText>
      </w:r>
      <w:r>
        <w:fldChar w:fldCharType="separate"/>
      </w:r>
      <w:r>
        <w:t>7</w:t>
      </w:r>
      <w:r>
        <w:fldChar w:fldCharType="end"/>
      </w:r>
      <w:r>
        <w:fldChar w:fldCharType="end"/>
      </w:r>
    </w:p>
    <w:p w14:paraId="352FAA7A">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"_Toc205629371" </w:instrText>
      </w:r>
      <w:r>
        <w:fldChar w:fldCharType="separate"/>
      </w:r>
      <w:r>
        <w:rPr>
          <w:rStyle w:val="32"/>
        </w:rPr>
        <w:t>10  水质达标评估与改进</w:t>
      </w:r>
      <w:r>
        <w:tab/>
      </w:r>
      <w:r>
        <w:fldChar w:fldCharType="begin"/>
      </w:r>
      <w:r>
        <w:instrText xml:space="preserve"> PAGEREF _Toc205629371 \h </w:instrText>
      </w:r>
      <w:r>
        <w:fldChar w:fldCharType="separate"/>
      </w:r>
      <w:r>
        <w:t>8</w:t>
      </w:r>
      <w:r>
        <w:fldChar w:fldCharType="end"/>
      </w:r>
      <w:r>
        <w:fldChar w:fldCharType="end"/>
      </w:r>
    </w:p>
    <w:p w14:paraId="00ABDDF2">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"_Toc205629372" </w:instrText>
      </w:r>
      <w:r>
        <w:fldChar w:fldCharType="separate"/>
      </w:r>
      <w:r>
        <w:rPr>
          <w:rStyle w:val="32"/>
        </w:rPr>
        <w:t>11  法规政策与合规管理</w:t>
      </w:r>
      <w:r>
        <w:tab/>
      </w:r>
      <w:r>
        <w:fldChar w:fldCharType="begin"/>
      </w:r>
      <w:r>
        <w:instrText xml:space="preserve"> PAGEREF _Toc205629372 \h </w:instrText>
      </w:r>
      <w:r>
        <w:fldChar w:fldCharType="separate"/>
      </w:r>
      <w:r>
        <w:t>9</w:t>
      </w:r>
      <w:r>
        <w:fldChar w:fldCharType="end"/>
      </w:r>
      <w:r>
        <w:fldChar w:fldCharType="end"/>
      </w:r>
    </w:p>
    <w:p w14:paraId="5C6E354D">
      <w:pPr>
        <w:pStyle w:val="19"/>
        <w:tabs>
          <w:tab w:val="right" w:leader="dot" w:pos="9344"/>
        </w:tabs>
        <w:rPr>
          <w:rFonts w:asciiTheme="minorHAnsi" w:hAnsiTheme="minorHAnsi" w:eastAsiaTheme="minorEastAsia" w:cstheme="minorBidi"/>
          <w:szCs w:val="22"/>
        </w:rPr>
      </w:pPr>
      <w:r>
        <w:fldChar w:fldCharType="begin"/>
      </w:r>
      <w:r>
        <w:instrText xml:space="preserve"> HYPERLINK \l "_Toc205629373" </w:instrText>
      </w:r>
      <w:r>
        <w:fldChar w:fldCharType="separate"/>
      </w:r>
      <w:r>
        <w:rPr>
          <w:rStyle w:val="32"/>
        </w:rPr>
        <w:t>12  公共参与与宣传教育</w:t>
      </w:r>
      <w:r>
        <w:tab/>
      </w:r>
      <w:r>
        <w:fldChar w:fldCharType="begin"/>
      </w:r>
      <w:r>
        <w:instrText xml:space="preserve"> PAGEREF _Toc205629373 \h </w:instrText>
      </w:r>
      <w:r>
        <w:fldChar w:fldCharType="separate"/>
      </w:r>
      <w:r>
        <w:t>10</w:t>
      </w:r>
      <w:r>
        <w:fldChar w:fldCharType="end"/>
      </w:r>
      <w:r>
        <w:fldChar w:fldCharType="end"/>
      </w:r>
    </w:p>
    <w:p w14:paraId="0885205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29360"/>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本文件起草单位：潍坊市安丘生态环境监控中心。</w:t>
      </w:r>
    </w:p>
    <w:p w14:paraId="55F4A5D1">
      <w:pPr>
        <w:pStyle w:val="56"/>
        <w:spacing w:line="360" w:lineRule="auto"/>
        <w:ind w:firstLine="420"/>
      </w:pPr>
      <w:r>
        <w:rPr>
          <w:rFonts w:hint="eastAsia"/>
        </w:rPr>
        <w:t>本文件主要起草人：覃燕。</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61" w:name="_GoBack"/>
      <w:bookmarkEnd w:id="61"/>
    </w:p>
    <w:bookmarkEnd w:id="23"/>
    <w:p w14:paraId="66D0A2F3">
      <w:pPr>
        <w:pStyle w:val="89"/>
        <w:spacing w:after="360"/>
      </w:pPr>
      <w:bookmarkStart w:id="24" w:name="_Toc205629361"/>
      <w:bookmarkStart w:id="25" w:name="BookMark3"/>
      <w:r>
        <w:rPr>
          <w:spacing w:val="320"/>
        </w:rPr>
        <w:t>引</w:t>
      </w:r>
      <w:r>
        <w:t>言</w:t>
      </w:r>
      <w:bookmarkEnd w:id="24"/>
    </w:p>
    <w:p w14:paraId="1D5F5480">
      <w:pPr>
        <w:pStyle w:val="56"/>
        <w:spacing w:line="360" w:lineRule="auto"/>
        <w:ind w:firstLine="420"/>
        <w:rPr>
          <w:rFonts w:hint="eastAsia"/>
        </w:rPr>
      </w:pPr>
      <w:r>
        <w:rPr>
          <w:rFonts w:hint="eastAsia"/>
        </w:rPr>
        <w:t>随着水资源短缺问题的日益突出和水环境保护要求的不断提高，污水处理已从单一的达标排放逐渐向资源化利用转变。污水深度处理与回用不仅能够进一步去除常规二级处理工艺难以有效削减的残余污染物，还能实现水资源的循环利用，对缓解供水压力、改善生态环境具有重要意义。</w:t>
      </w:r>
    </w:p>
    <w:p w14:paraId="514E73DC">
      <w:pPr>
        <w:pStyle w:val="56"/>
        <w:spacing w:line="360" w:lineRule="auto"/>
        <w:ind w:firstLine="420"/>
        <w:rPr>
          <w:rFonts w:hint="eastAsia"/>
        </w:rPr>
      </w:pPr>
      <w:r>
        <w:rPr>
          <w:rFonts w:hint="eastAsia"/>
        </w:rPr>
        <w:t>近年来，膜分离、活性炭吸附、臭氧氧化、紫外消毒等深度处理技术在国内外得到了广泛应用，并逐步形成了适用于不同水质条件和用途的成熟工艺体系。然而，不同区域的水质特征、用水需求、经济条件及排放去向差异较大，亟需制定统一的技术规程，对污水深度处理的设计、运行、监测、管理及安全等环节提出规范性要求。</w:t>
      </w:r>
    </w:p>
    <w:p w14:paraId="7F4A69FE">
      <w:pPr>
        <w:pStyle w:val="56"/>
        <w:spacing w:line="360" w:lineRule="auto"/>
        <w:ind w:firstLine="420"/>
      </w:pPr>
      <w:r>
        <w:rPr>
          <w:rFonts w:hint="eastAsia"/>
        </w:rPr>
        <w:t>本文件在总结国内外污水深度处理与回用实践经验的基础上，结合我国相关标准规范和工程案例，提出了适用于工业、市政、农业及景观等多种回用场景的技术路线与管理要求，旨在为设计单位、施工单位、运营管理机构及监管部门提供技术依据，推动污水回用工程的标准化、规范化和可持续发展。</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污水深度处理与回用技术规程</w:t>
          </w:r>
        </w:p>
      </w:sdtContent>
    </w:sdt>
    <w:bookmarkEnd w:id="27"/>
    <w:p w14:paraId="3DB22445">
      <w:pPr>
        <w:pStyle w:val="104"/>
        <w:spacing w:before="240" w:after="240" w:line="360" w:lineRule="auto"/>
      </w:pPr>
      <w:bookmarkStart w:id="28" w:name="_Toc24884218"/>
      <w:bookmarkStart w:id="29" w:name="_Toc26986771"/>
      <w:bookmarkStart w:id="30" w:name="_Toc26718930"/>
      <w:bookmarkStart w:id="31" w:name="_Toc97192964"/>
      <w:bookmarkStart w:id="32" w:name="_Toc17233325"/>
      <w:bookmarkStart w:id="33" w:name="_Toc17233333"/>
      <w:bookmarkStart w:id="34" w:name="_Toc26986530"/>
      <w:bookmarkStart w:id="35" w:name="_Toc24884211"/>
      <w:bookmarkStart w:id="36" w:name="_Toc26648465"/>
      <w:bookmarkStart w:id="37" w:name="_Toc205629362"/>
      <w:r>
        <w:rPr>
          <w:rFonts w:hint="eastAsia"/>
        </w:rPr>
        <w:t>范围</w:t>
      </w:r>
      <w:bookmarkEnd w:id="28"/>
      <w:bookmarkEnd w:id="29"/>
      <w:bookmarkEnd w:id="30"/>
      <w:bookmarkEnd w:id="31"/>
      <w:bookmarkEnd w:id="32"/>
      <w:bookmarkEnd w:id="33"/>
      <w:bookmarkEnd w:id="34"/>
      <w:bookmarkEnd w:id="35"/>
      <w:bookmarkEnd w:id="36"/>
      <w:bookmarkEnd w:id="37"/>
    </w:p>
    <w:p w14:paraId="2B6C7FBD">
      <w:pPr>
        <w:pStyle w:val="56"/>
        <w:spacing w:line="360" w:lineRule="auto"/>
        <w:ind w:firstLine="420"/>
        <w:rPr>
          <w:rFonts w:hint="eastAsia"/>
        </w:rPr>
      </w:pPr>
      <w:bookmarkStart w:id="38" w:name="_Toc17233334"/>
      <w:bookmarkStart w:id="39" w:name="_Toc17233326"/>
      <w:bookmarkStart w:id="40" w:name="_Toc26648466"/>
      <w:bookmarkStart w:id="41" w:name="_Toc24884212"/>
      <w:bookmarkStart w:id="42" w:name="_Toc24884219"/>
      <w:r>
        <w:rPr>
          <w:rFonts w:hint="eastAsia"/>
        </w:rPr>
        <w:t>本文件规定了污水深度处理与回用的基本原则、工艺技术要求、设计与施工规范、运行管理、监测与评价、回用水水质控制及安全保障措施。</w:t>
      </w:r>
    </w:p>
    <w:p w14:paraId="0667CC02">
      <w:pPr>
        <w:pStyle w:val="56"/>
        <w:spacing w:line="360" w:lineRule="auto"/>
        <w:ind w:firstLine="420"/>
        <w:rPr>
          <w:rFonts w:hint="eastAsia"/>
        </w:rPr>
      </w:pPr>
      <w:r>
        <w:rPr>
          <w:rFonts w:hint="eastAsia"/>
        </w:rPr>
        <w:t>本文件适用于城镇生活污水、工业废水经二级处理或相当处理后，为满足进一步水质提升及回用需求所进行的深度处理与回用工程，包括工业回用水、农业灌溉用水、市政杂用水、景观补水及生态补水等多种用途。</w:t>
      </w:r>
    </w:p>
    <w:p w14:paraId="76265264">
      <w:pPr>
        <w:pStyle w:val="56"/>
        <w:spacing w:line="360" w:lineRule="auto"/>
        <w:ind w:firstLine="420"/>
      </w:pPr>
      <w:r>
        <w:rPr>
          <w:rFonts w:hint="eastAsia"/>
        </w:rPr>
        <w:t>本文件不适用于放射性废水、含高浓度有毒有害污染物且无法通过常规深度处理技术达标的特殊废水的处理与回用。</w:t>
      </w:r>
    </w:p>
    <w:p w14:paraId="3733B2AD">
      <w:pPr>
        <w:pStyle w:val="104"/>
        <w:spacing w:before="240" w:after="240" w:line="360" w:lineRule="auto"/>
      </w:pPr>
      <w:bookmarkStart w:id="43" w:name="_Toc97192965"/>
      <w:bookmarkStart w:id="44" w:name="_Toc26718931"/>
      <w:bookmarkStart w:id="45" w:name="_Toc26986531"/>
      <w:bookmarkStart w:id="46" w:name="_Toc205629363"/>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A620C1">
      <w:pPr>
        <w:pStyle w:val="56"/>
        <w:spacing w:line="360" w:lineRule="auto"/>
        <w:ind w:firstLine="420"/>
        <w:rPr>
          <w:rFonts w:hint="eastAsia"/>
        </w:rPr>
      </w:pPr>
      <w:r>
        <w:rPr>
          <w:rFonts w:hint="eastAsia"/>
        </w:rPr>
        <w:t>GB 3838—2002 地表水环境质量标准</w:t>
      </w:r>
    </w:p>
    <w:p w14:paraId="68434189">
      <w:pPr>
        <w:pStyle w:val="56"/>
        <w:spacing w:line="360" w:lineRule="auto"/>
        <w:ind w:firstLine="420"/>
        <w:rPr>
          <w:rFonts w:hint="eastAsia"/>
        </w:rPr>
      </w:pPr>
      <w:r>
        <w:rPr>
          <w:rFonts w:hint="eastAsia"/>
        </w:rPr>
        <w:t>GB 5084—2021 农田灌溉水质标准</w:t>
      </w:r>
    </w:p>
    <w:p w14:paraId="77361229">
      <w:pPr>
        <w:pStyle w:val="56"/>
        <w:spacing w:line="360" w:lineRule="auto"/>
        <w:ind w:firstLine="420"/>
        <w:rPr>
          <w:rFonts w:hint="eastAsia"/>
        </w:rPr>
      </w:pPr>
      <w:r>
        <w:rPr>
          <w:rFonts w:hint="eastAsia"/>
        </w:rPr>
        <w:t>GB 8978 污水综合排放标准</w:t>
      </w:r>
    </w:p>
    <w:p w14:paraId="7063B696">
      <w:pPr>
        <w:pStyle w:val="56"/>
        <w:spacing w:line="360" w:lineRule="auto"/>
        <w:ind w:firstLine="420"/>
        <w:rPr>
          <w:rFonts w:hint="eastAsia"/>
        </w:rPr>
      </w:pPr>
      <w:r>
        <w:rPr>
          <w:rFonts w:hint="eastAsia"/>
        </w:rPr>
        <w:t>GB/T 5750—2023 生活饮用水标准检验方法</w:t>
      </w:r>
    </w:p>
    <w:p w14:paraId="3C6096E6">
      <w:pPr>
        <w:pStyle w:val="56"/>
        <w:spacing w:line="360" w:lineRule="auto"/>
        <w:ind w:firstLine="420"/>
        <w:rPr>
          <w:rFonts w:hint="eastAsia"/>
        </w:rPr>
      </w:pPr>
      <w:r>
        <w:rPr>
          <w:rFonts w:hint="eastAsia"/>
        </w:rPr>
        <w:t>HJ 1147—2020 水质  pH值的测定  电极法</w:t>
      </w:r>
    </w:p>
    <w:p w14:paraId="6089B983">
      <w:pPr>
        <w:pStyle w:val="56"/>
        <w:spacing w:line="360" w:lineRule="auto"/>
        <w:ind w:firstLine="420"/>
        <w:rPr>
          <w:rFonts w:hint="eastAsia"/>
        </w:rPr>
      </w:pPr>
      <w:r>
        <w:rPr>
          <w:rFonts w:hint="eastAsia"/>
        </w:rPr>
        <w:t>HJ/T 91 地表水和污水监测技术规范</w:t>
      </w:r>
    </w:p>
    <w:p w14:paraId="07A7F860">
      <w:pPr>
        <w:pStyle w:val="56"/>
        <w:spacing w:line="360" w:lineRule="auto"/>
        <w:ind w:firstLine="420"/>
      </w:pPr>
      <w:r>
        <w:rPr>
          <w:rFonts w:hint="eastAsia"/>
        </w:rPr>
        <w:t>HJ/T 91-2002 地表水和污水监测技术规范</w:t>
      </w:r>
    </w:p>
    <w:p w14:paraId="51F02A4E">
      <w:pPr>
        <w:pStyle w:val="104"/>
        <w:spacing w:before="240" w:after="240" w:line="360" w:lineRule="auto"/>
      </w:pPr>
      <w:bookmarkStart w:id="48" w:name="_Toc205629364"/>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50BC2F96">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污水深度处理 advanced wastewater treatment</w:t>
      </w:r>
    </w:p>
    <w:p w14:paraId="5E7A78CA">
      <w:pPr>
        <w:pStyle w:val="56"/>
        <w:spacing w:line="360" w:lineRule="auto"/>
        <w:ind w:firstLine="420"/>
        <w:rPr>
          <w:rFonts w:hint="eastAsia"/>
        </w:rPr>
      </w:pPr>
      <w:r>
        <w:rPr>
          <w:rFonts w:hint="eastAsia"/>
        </w:rPr>
        <w:t>在常规二级处理基础上，采用物理、化学或生物等方法进一步去除污水中残余污染物，如营养盐、重金属、持久性有机物和微生物，使水质达到更高标准的处理过程。</w:t>
      </w:r>
    </w:p>
    <w:p w14:paraId="052D4870">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回用水 reclaimed water</w:t>
      </w:r>
    </w:p>
    <w:p w14:paraId="3540A3F0">
      <w:pPr>
        <w:pStyle w:val="56"/>
        <w:spacing w:line="360" w:lineRule="auto"/>
        <w:ind w:firstLine="420"/>
        <w:rPr>
          <w:rFonts w:hint="eastAsia"/>
        </w:rPr>
      </w:pPr>
      <w:r>
        <w:rPr>
          <w:rFonts w:hint="eastAsia"/>
        </w:rPr>
        <w:t>经处理达到特定水质标准后，重新用于工业、农业、市政、景观或生态等非饮用用途的水。</w:t>
      </w:r>
    </w:p>
    <w:p w14:paraId="614B362D">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回用水水质标准 reclaimed water quality standard</w:t>
      </w:r>
    </w:p>
    <w:p w14:paraId="1D6A4FD1">
      <w:pPr>
        <w:pStyle w:val="56"/>
        <w:spacing w:line="360" w:lineRule="auto"/>
        <w:ind w:firstLine="420"/>
        <w:rPr>
          <w:rFonts w:hint="eastAsia"/>
        </w:rPr>
      </w:pPr>
      <w:r>
        <w:rPr>
          <w:rFonts w:hint="eastAsia"/>
        </w:rPr>
        <w:t>针对不同回用用途，规定回用水在物理、化学、生物指标上的限值要求的技术标准。</w:t>
      </w:r>
    </w:p>
    <w:p w14:paraId="081BFF2C">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深度处理工艺 advanced treatment process</w:t>
      </w:r>
    </w:p>
    <w:p w14:paraId="3518EFE2">
      <w:pPr>
        <w:pStyle w:val="56"/>
        <w:spacing w:line="360" w:lineRule="auto"/>
        <w:ind w:firstLine="420"/>
        <w:rPr>
          <w:rFonts w:hint="eastAsia"/>
        </w:rPr>
      </w:pPr>
      <w:r>
        <w:rPr>
          <w:rFonts w:hint="eastAsia"/>
        </w:rPr>
        <w:t>为实现污水深度净化而采用的处理单元或工艺组合，如膜分离、活性炭吸附、臭氧氧化、紫外消毒等。</w:t>
      </w:r>
    </w:p>
    <w:p w14:paraId="55B8C172">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工业回用水 industrial reclaimed water</w:t>
      </w:r>
    </w:p>
    <w:p w14:paraId="2BE207C2">
      <w:pPr>
        <w:pStyle w:val="56"/>
        <w:spacing w:line="360" w:lineRule="auto"/>
        <w:ind w:firstLine="420"/>
        <w:rPr>
          <w:rFonts w:hint="eastAsia"/>
        </w:rPr>
      </w:pPr>
      <w:r>
        <w:rPr>
          <w:rFonts w:hint="eastAsia"/>
        </w:rPr>
        <w:t>经深度处理后用于工业生产过程中的非直接接触饮用水用途的水，如冷却、冲洗、锅炉补水等。</w:t>
      </w:r>
    </w:p>
    <w:p w14:paraId="3E5A5778">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农业灌溉回用水 agricultural irrigation reclaimed water</w:t>
      </w:r>
    </w:p>
    <w:p w14:paraId="2ADA74B5">
      <w:pPr>
        <w:pStyle w:val="56"/>
        <w:spacing w:line="360" w:lineRule="auto"/>
        <w:ind w:firstLine="420"/>
        <w:rPr>
          <w:rFonts w:hint="eastAsia"/>
        </w:rPr>
      </w:pPr>
      <w:r>
        <w:rPr>
          <w:rFonts w:hint="eastAsia"/>
        </w:rPr>
        <w:t>经深度处理后用于农田、园林、温室及牧草地灌溉的水。</w:t>
      </w:r>
    </w:p>
    <w:p w14:paraId="5BD75ACB">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市政杂用水 municipal miscellaneous reclaimed water</w:t>
      </w:r>
    </w:p>
    <w:p w14:paraId="6FC30153">
      <w:pPr>
        <w:pStyle w:val="56"/>
        <w:spacing w:line="360" w:lineRule="auto"/>
        <w:ind w:firstLine="420"/>
        <w:rPr>
          <w:rFonts w:hint="eastAsia"/>
        </w:rPr>
      </w:pPr>
      <w:r>
        <w:rPr>
          <w:rFonts w:hint="eastAsia"/>
        </w:rPr>
        <w:t>经深度处理后用于城市道路清洗、绿化浇灌、建筑施工等公共用途的水。</w:t>
      </w:r>
    </w:p>
    <w:p w14:paraId="2D5E756F">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景观及生态补水 landscape and ecological replenishment water</w:t>
      </w:r>
    </w:p>
    <w:p w14:paraId="11ED0D72">
      <w:pPr>
        <w:pStyle w:val="56"/>
        <w:spacing w:line="360" w:lineRule="auto"/>
        <w:ind w:firstLine="420"/>
      </w:pPr>
      <w:r>
        <w:rPr>
          <w:rFonts w:hint="eastAsia"/>
        </w:rPr>
        <w:t>经深度处理后补充至湖泊、河流、湿地等水体以改善景观效果或恢复生态功能的水。</w:t>
      </w:r>
    </w:p>
    <w:p w14:paraId="5070AC2F">
      <w:pPr>
        <w:pStyle w:val="104"/>
        <w:spacing w:before="240" w:after="240" w:line="360" w:lineRule="auto"/>
        <w:rPr>
          <w:rFonts w:hint="eastAsia"/>
        </w:rPr>
      </w:pPr>
      <w:bookmarkStart w:id="51" w:name="_Toc205629365"/>
      <w:r>
        <w:rPr>
          <w:rFonts w:hint="eastAsia"/>
        </w:rPr>
        <w:t>总则</w:t>
      </w:r>
      <w:bookmarkEnd w:id="51"/>
    </w:p>
    <w:p w14:paraId="0F0875F4">
      <w:pPr>
        <w:pStyle w:val="162"/>
        <w:spacing w:line="360" w:lineRule="auto"/>
        <w:rPr>
          <w:rFonts w:hint="eastAsia"/>
        </w:rPr>
      </w:pPr>
      <w:r>
        <w:rPr>
          <w:rFonts w:hint="eastAsia"/>
        </w:rPr>
        <w:t>污水深度处理与回用工程应遵循安全可靠、经济合理、节能环保、因地制宜的原则，在保障回用水水质达标的前提下，实现资源化利用与环境保护的双重目标。</w:t>
      </w:r>
    </w:p>
    <w:p w14:paraId="230B41F6">
      <w:pPr>
        <w:pStyle w:val="162"/>
        <w:spacing w:line="360" w:lineRule="auto"/>
        <w:rPr>
          <w:rFonts w:hint="eastAsia"/>
        </w:rPr>
      </w:pPr>
      <w:r>
        <w:rPr>
          <w:rFonts w:hint="eastAsia"/>
        </w:rPr>
        <w:t>工程建设应结合污水来源特性、处理水质目标、回用水用途及当地的气候、水文、地质等条件，合理选择深度处理工艺和回用方式，避免出现技术与用途不匹配的情况。</w:t>
      </w:r>
    </w:p>
    <w:p w14:paraId="2B2A9494">
      <w:pPr>
        <w:pStyle w:val="162"/>
        <w:spacing w:line="360" w:lineRule="auto"/>
        <w:rPr>
          <w:rFonts w:hint="eastAsia"/>
        </w:rPr>
      </w:pPr>
      <w:r>
        <w:rPr>
          <w:rFonts w:hint="eastAsia"/>
        </w:rPr>
        <w:t>工程设计、施工、运行与管理应符合国家及地方相关标准和技术规范的要求，优先采用成熟可靠、运行维护方便且具有良好经济性的技术路线。</w:t>
      </w:r>
    </w:p>
    <w:p w14:paraId="6912C80F">
      <w:pPr>
        <w:pStyle w:val="162"/>
        <w:spacing w:line="360" w:lineRule="auto"/>
        <w:rPr>
          <w:rFonts w:hint="eastAsia"/>
        </w:rPr>
      </w:pPr>
      <w:r>
        <w:rPr>
          <w:rFonts w:hint="eastAsia"/>
        </w:rPr>
        <w:t>回用水水质应满足相应用途的水质标准，并通过全过程监控和动态管理确保稳定达标。对于高风险用途，应增加深度处理单元和安全保障措施，降低健康与环境风险。</w:t>
      </w:r>
    </w:p>
    <w:p w14:paraId="474B9088">
      <w:pPr>
        <w:pStyle w:val="162"/>
        <w:spacing w:line="360" w:lineRule="auto"/>
        <w:rPr>
          <w:rFonts w:hint="eastAsia"/>
        </w:rPr>
      </w:pPr>
      <w:r>
        <w:rPr>
          <w:rFonts w:hint="eastAsia"/>
        </w:rPr>
        <w:t>在污水深度处理与回用工程的全生命周期中，应重视节能降耗与污染物削减，避免二次污染的产生，鼓励采用低能耗、高效率、可再生能源利用及废弃物资源化技术。</w:t>
      </w:r>
    </w:p>
    <w:p w14:paraId="4E298868">
      <w:pPr>
        <w:pStyle w:val="162"/>
        <w:spacing w:line="360" w:lineRule="auto"/>
      </w:pPr>
      <w:r>
        <w:rPr>
          <w:rFonts w:hint="eastAsia"/>
        </w:rPr>
        <w:t>应加强管理信息化建设，利用自动化控制、在线监测、大数据分析等手段实现对处理过程、设备运行及水质状况的智能化管理与优化。</w:t>
      </w:r>
    </w:p>
    <w:p w14:paraId="6CF9AE12">
      <w:pPr>
        <w:pStyle w:val="104"/>
        <w:spacing w:before="240" w:after="240" w:line="360" w:lineRule="auto"/>
        <w:rPr>
          <w:rFonts w:hint="eastAsia"/>
        </w:rPr>
      </w:pPr>
      <w:bookmarkStart w:id="52" w:name="_Toc205629366"/>
      <w:r>
        <w:rPr>
          <w:rFonts w:hint="eastAsia"/>
        </w:rPr>
        <w:t>回用水水质要求</w:t>
      </w:r>
      <w:bookmarkEnd w:id="52"/>
    </w:p>
    <w:p w14:paraId="79980BE9">
      <w:pPr>
        <w:pStyle w:val="105"/>
        <w:spacing w:before="120" w:after="120" w:line="360" w:lineRule="auto"/>
        <w:rPr>
          <w:rFonts w:hint="eastAsia"/>
        </w:rPr>
      </w:pPr>
      <w:r>
        <w:rPr>
          <w:rFonts w:hint="eastAsia"/>
        </w:rPr>
        <w:t>一般规定</w:t>
      </w:r>
    </w:p>
    <w:p w14:paraId="590DE75F">
      <w:pPr>
        <w:pStyle w:val="56"/>
        <w:spacing w:line="360" w:lineRule="auto"/>
        <w:ind w:firstLine="420"/>
        <w:rPr>
          <w:rFonts w:hint="eastAsia"/>
        </w:rPr>
      </w:pPr>
      <w:r>
        <w:rPr>
          <w:rFonts w:hint="eastAsia"/>
        </w:rPr>
        <w:t>回用水水质应满足国家及地方现行相关标准的规定，并根据不同用途的特性确定相应的控制指标和限值。水质控制指标应包括物理、化学和生物三类，重点控制浊度、色度、pH、溶解性固体、营养盐、重金属、持久性有机物及病原微生物等。</w:t>
      </w:r>
    </w:p>
    <w:p w14:paraId="063F769B">
      <w:pPr>
        <w:pStyle w:val="105"/>
        <w:spacing w:before="120" w:after="120" w:line="360" w:lineRule="auto"/>
        <w:rPr>
          <w:rFonts w:hint="eastAsia"/>
        </w:rPr>
      </w:pPr>
      <w:r>
        <w:rPr>
          <w:rFonts w:hint="eastAsia"/>
        </w:rPr>
        <w:t>工业回用水</w:t>
      </w:r>
    </w:p>
    <w:p w14:paraId="4BB5D1EE">
      <w:pPr>
        <w:pStyle w:val="56"/>
        <w:spacing w:line="360" w:lineRule="auto"/>
        <w:ind w:firstLine="420"/>
        <w:rPr>
          <w:rFonts w:hint="eastAsia"/>
        </w:rPr>
      </w:pPr>
      <w:r>
        <w:rPr>
          <w:rFonts w:hint="eastAsia"/>
        </w:rPr>
        <w:t>应满足生产工艺对水质的特定要求。对于冷却循环水，应重点控制悬浮物、硬度及腐蚀性指标；对于锅炉补给水，应控制电导率、硅含量及硬度；对于洗涤、冲洗用水，应控制浊度和含油量。</w:t>
      </w:r>
    </w:p>
    <w:p w14:paraId="4989DDB9">
      <w:pPr>
        <w:pStyle w:val="105"/>
        <w:spacing w:before="120" w:after="120" w:line="360" w:lineRule="auto"/>
        <w:rPr>
          <w:rFonts w:hint="eastAsia"/>
        </w:rPr>
      </w:pPr>
      <w:r>
        <w:rPr>
          <w:rFonts w:hint="eastAsia"/>
        </w:rPr>
        <w:t>农业灌溉回用水</w:t>
      </w:r>
    </w:p>
    <w:p w14:paraId="490BEF27">
      <w:pPr>
        <w:pStyle w:val="56"/>
        <w:spacing w:line="360" w:lineRule="auto"/>
        <w:ind w:firstLine="420"/>
        <w:rPr>
          <w:rFonts w:hint="eastAsia"/>
        </w:rPr>
      </w:pPr>
      <w:r>
        <w:rPr>
          <w:rFonts w:hint="eastAsia"/>
        </w:rPr>
        <w:t>应满足作物生长及土壤环境保护的要求，控制氨氮、总氮、总磷等营养盐指标以及重金属和有毒有害物质，防止对土壤造成盐渍化或重金属累积危害。</w:t>
      </w:r>
    </w:p>
    <w:p w14:paraId="32B0A86A">
      <w:pPr>
        <w:pStyle w:val="105"/>
        <w:spacing w:before="120" w:after="120" w:line="360" w:lineRule="auto"/>
        <w:rPr>
          <w:rFonts w:hint="eastAsia"/>
        </w:rPr>
      </w:pPr>
      <w:r>
        <w:rPr>
          <w:rFonts w:hint="eastAsia"/>
        </w:rPr>
        <w:t>市政杂用水</w:t>
      </w:r>
    </w:p>
    <w:p w14:paraId="3E39CB8A">
      <w:pPr>
        <w:pStyle w:val="56"/>
        <w:spacing w:line="360" w:lineRule="auto"/>
        <w:ind w:firstLine="420"/>
        <w:rPr>
          <w:rFonts w:hint="eastAsia"/>
        </w:rPr>
      </w:pPr>
      <w:r>
        <w:rPr>
          <w:rFonts w:hint="eastAsia"/>
        </w:rPr>
        <w:t>包括道路冲洗、绿化浇灌、建筑施工等，应重点控制悬浮物、色度、气味及大肠杆菌群数，防止对公共环境及人体健康造成不良影响。</w:t>
      </w:r>
    </w:p>
    <w:p w14:paraId="6CF42141">
      <w:pPr>
        <w:pStyle w:val="105"/>
        <w:spacing w:before="120" w:after="120" w:line="360" w:lineRule="auto"/>
        <w:rPr>
          <w:rFonts w:hint="eastAsia"/>
        </w:rPr>
      </w:pPr>
      <w:r>
        <w:rPr>
          <w:rFonts w:hint="eastAsia"/>
        </w:rPr>
        <w:t>景观及生态补水</w:t>
      </w:r>
    </w:p>
    <w:p w14:paraId="6CACACCD">
      <w:pPr>
        <w:pStyle w:val="56"/>
        <w:spacing w:line="360" w:lineRule="auto"/>
        <w:ind w:firstLine="420"/>
        <w:rPr>
          <w:rFonts w:hint="eastAsia"/>
        </w:rPr>
      </w:pPr>
      <w:r>
        <w:rPr>
          <w:rFonts w:hint="eastAsia"/>
        </w:rPr>
        <w:t>应满足水体景观效果及生态功能恢复的要求，控制悬浮物、色度、藻类营养物质含量及溶解氧水平，避免引发富营养化或水体异味等问题。</w:t>
      </w:r>
    </w:p>
    <w:p w14:paraId="18DF2E7F">
      <w:pPr>
        <w:pStyle w:val="105"/>
        <w:spacing w:before="120" w:after="120" w:line="360" w:lineRule="auto"/>
        <w:rPr>
          <w:rFonts w:hint="eastAsia"/>
        </w:rPr>
      </w:pPr>
      <w:r>
        <w:rPr>
          <w:rFonts w:hint="eastAsia"/>
        </w:rPr>
        <w:t>监测与达标判定</w:t>
      </w:r>
    </w:p>
    <w:p w14:paraId="2A62EE40">
      <w:pPr>
        <w:pStyle w:val="56"/>
        <w:spacing w:line="360" w:lineRule="auto"/>
        <w:ind w:firstLine="420"/>
      </w:pPr>
      <w:r>
        <w:rPr>
          <w:rFonts w:hint="eastAsia"/>
        </w:rPr>
        <w:t>回用水水质应通过定期或连续监测进行评价，监测频次和项目应与用途及风险等级相匹配。水质达标判定应以连续监测结果或多个采样点的检测结果为依据，不得以一次检测达标替代长期稳定性要求。</w:t>
      </w:r>
    </w:p>
    <w:p w14:paraId="6D6C53A5">
      <w:pPr>
        <w:pStyle w:val="104"/>
        <w:spacing w:before="240" w:after="240" w:line="360" w:lineRule="auto"/>
        <w:rPr>
          <w:rFonts w:hint="eastAsia"/>
        </w:rPr>
      </w:pPr>
      <w:bookmarkStart w:id="53" w:name="_Toc205629367"/>
      <w:r>
        <w:rPr>
          <w:rFonts w:hint="eastAsia"/>
        </w:rPr>
        <w:t>污水深度处理工艺与技术要求</w:t>
      </w:r>
      <w:bookmarkEnd w:id="53"/>
    </w:p>
    <w:p w14:paraId="5DD77DCF">
      <w:pPr>
        <w:pStyle w:val="105"/>
        <w:spacing w:before="120" w:after="120" w:line="360" w:lineRule="auto"/>
        <w:rPr>
          <w:rFonts w:hint="eastAsia"/>
        </w:rPr>
      </w:pPr>
      <w:r>
        <w:rPr>
          <w:rFonts w:hint="eastAsia"/>
        </w:rPr>
        <w:t>总体要求</w:t>
      </w:r>
    </w:p>
    <w:p w14:paraId="2F0247E4">
      <w:pPr>
        <w:pStyle w:val="56"/>
        <w:spacing w:line="360" w:lineRule="auto"/>
        <w:ind w:firstLine="420"/>
        <w:rPr>
          <w:rFonts w:hint="eastAsia"/>
        </w:rPr>
      </w:pPr>
      <w:r>
        <w:rPr>
          <w:rFonts w:hint="eastAsia"/>
        </w:rPr>
        <w:t>污水深度处理工艺的选择应基于水质特性、回用用途、水量变化、运行成本及可维护性综合确定。设计时应优先采用成熟可靠、运行稳定、资源消耗低、环境影响小的技术。对不同用途的回用水，应在工艺组合上做到“因水施策、因用定制”，避免采用单一工艺难以达标的情况。</w:t>
      </w:r>
    </w:p>
    <w:p w14:paraId="058CB991">
      <w:pPr>
        <w:pStyle w:val="56"/>
        <w:spacing w:line="360" w:lineRule="auto"/>
        <w:ind w:firstLine="420"/>
        <w:rPr>
          <w:rFonts w:hint="eastAsia"/>
        </w:rPr>
      </w:pPr>
      <w:r>
        <w:rPr>
          <w:rFonts w:hint="eastAsia"/>
        </w:rPr>
        <w:t>在工程建设前，应进行水质水量监测与评估，确定目标水质，并通过小试或中试验证工艺的可行性。工艺运行过程中，应建立在线监控和手工检测相结合的质量控制体系，确保出水稳定达标。</w:t>
      </w:r>
    </w:p>
    <w:p w14:paraId="5B25D363">
      <w:pPr>
        <w:pStyle w:val="105"/>
        <w:spacing w:before="120" w:after="120" w:line="360" w:lineRule="auto"/>
        <w:rPr>
          <w:rFonts w:hint="eastAsia"/>
        </w:rPr>
      </w:pPr>
      <w:r>
        <w:rPr>
          <w:rFonts w:hint="eastAsia"/>
        </w:rPr>
        <w:t>膜分离技术</w:t>
      </w:r>
    </w:p>
    <w:p w14:paraId="552B7620">
      <w:pPr>
        <w:pStyle w:val="56"/>
        <w:spacing w:line="360" w:lineRule="auto"/>
        <w:ind w:firstLine="420"/>
        <w:rPr>
          <w:rFonts w:hint="eastAsia"/>
        </w:rPr>
      </w:pPr>
      <w:r>
        <w:rPr>
          <w:rFonts w:hint="eastAsia"/>
        </w:rPr>
        <w:t>膜分离技术包括微滤（mf）、超滤（uf）、纳滤（nf）和反渗透（ro）等类型：</w:t>
      </w:r>
    </w:p>
    <w:p w14:paraId="100F2937">
      <w:pPr>
        <w:pStyle w:val="132"/>
        <w:spacing w:line="360" w:lineRule="auto"/>
        <w:rPr>
          <w:rFonts w:hint="eastAsia"/>
        </w:rPr>
      </w:pPr>
      <w:r>
        <w:rPr>
          <w:rFonts w:hint="eastAsia"/>
        </w:rPr>
        <w:t>微滤与超滤：适用于去除悬浮物、胶体和大分子有机物，可作为深度处理的预处理环节，运行压力一般为0.1～0.5mpa，产水浊度可低于0.1ntu；</w:t>
      </w:r>
    </w:p>
    <w:p w14:paraId="708CA51B">
      <w:pPr>
        <w:pStyle w:val="132"/>
        <w:spacing w:line="360" w:lineRule="auto"/>
        <w:rPr>
          <w:rFonts w:hint="eastAsia"/>
        </w:rPr>
      </w:pPr>
      <w:r>
        <w:rPr>
          <w:rFonts w:hint="eastAsia"/>
        </w:rPr>
        <w:t>纳滤：可有效去除部分溶解性盐类、二价和多价离子及小分子有机物，运行压力一般为0.5～1.5mpa；</w:t>
      </w:r>
    </w:p>
    <w:p w14:paraId="45B87FAF">
      <w:pPr>
        <w:pStyle w:val="132"/>
        <w:spacing w:line="360" w:lineRule="auto"/>
        <w:rPr>
          <w:rFonts w:hint="eastAsia"/>
        </w:rPr>
      </w:pPr>
      <w:r>
        <w:rPr>
          <w:rFonts w:hint="eastAsia"/>
        </w:rPr>
        <w:t>反渗透：去除率高，可拦截绝大多数溶解性盐类、有机物和微生物，产水电导率可低于10μs/cm，但能耗和运行成本较高。</w:t>
      </w:r>
    </w:p>
    <w:p w14:paraId="79B6B290">
      <w:pPr>
        <w:pStyle w:val="56"/>
        <w:spacing w:line="360" w:lineRule="auto"/>
        <w:ind w:firstLine="420"/>
        <w:rPr>
          <w:rFonts w:hint="eastAsia"/>
        </w:rPr>
      </w:pPr>
      <w:r>
        <w:rPr>
          <w:rFonts w:hint="eastAsia"/>
        </w:rPr>
        <w:t>膜系统需定期清洗（cip），防止污染与结垢。膜组件应根据进水水质选择合适材料和结构，并在运行中控制跨膜压差不超过设计值。</w:t>
      </w:r>
    </w:p>
    <w:p w14:paraId="5A4D2B36">
      <w:pPr>
        <w:pStyle w:val="105"/>
        <w:spacing w:before="120" w:after="120" w:line="360" w:lineRule="auto"/>
        <w:rPr>
          <w:rFonts w:hint="eastAsia"/>
        </w:rPr>
      </w:pPr>
      <w:r>
        <w:rPr>
          <w:rFonts w:hint="eastAsia"/>
        </w:rPr>
        <w:t>吸附技术</w:t>
      </w:r>
    </w:p>
    <w:p w14:paraId="5D7F9AF2">
      <w:pPr>
        <w:pStyle w:val="56"/>
        <w:spacing w:line="360" w:lineRule="auto"/>
        <w:ind w:firstLine="420"/>
        <w:rPr>
          <w:rFonts w:hint="eastAsia"/>
        </w:rPr>
      </w:pPr>
      <w:r>
        <w:rPr>
          <w:rFonts w:hint="eastAsia"/>
        </w:rPr>
        <w:t>吸附法主要依靠吸附剂（如粉末活性炭、颗粒活性炭、改性沸石、吸附树脂等）去除水中溶解性有机物、重金属离子及异味物质：</w:t>
      </w:r>
    </w:p>
    <w:p w14:paraId="4B70426E">
      <w:pPr>
        <w:pStyle w:val="132"/>
        <w:spacing w:line="360" w:lineRule="auto"/>
        <w:rPr>
          <w:rFonts w:hint="eastAsia"/>
        </w:rPr>
      </w:pPr>
      <w:r>
        <w:rPr>
          <w:rFonts w:hint="eastAsia"/>
        </w:rPr>
        <w:t>活性炭吸附适用于去除色度、嗅味和部分难降解有机物，吸附饱和后需再生或更换；</w:t>
      </w:r>
    </w:p>
    <w:p w14:paraId="29AE18E1">
      <w:pPr>
        <w:pStyle w:val="132"/>
        <w:spacing w:line="360" w:lineRule="auto"/>
        <w:rPr>
          <w:rFonts w:hint="eastAsia"/>
        </w:rPr>
      </w:pPr>
      <w:r>
        <w:rPr>
          <w:rFonts w:hint="eastAsia"/>
        </w:rPr>
        <w:t>吸附树脂可选择性去除特定污染物，适合处理工业回用水中的有机溶剂或金属离子。</w:t>
      </w:r>
    </w:p>
    <w:p w14:paraId="16FD343A">
      <w:pPr>
        <w:pStyle w:val="56"/>
        <w:spacing w:line="360" w:lineRule="auto"/>
        <w:ind w:firstLine="420"/>
        <w:rPr>
          <w:rFonts w:hint="eastAsia"/>
        </w:rPr>
      </w:pPr>
      <w:r>
        <w:rPr>
          <w:rFonts w:hint="eastAsia"/>
        </w:rPr>
        <w:t>吸附工艺通常作为深度处理的补充单元，与过滤、膜分离等工艺联合使用可提高整体水质。</w:t>
      </w:r>
    </w:p>
    <w:p w14:paraId="670DB33C">
      <w:pPr>
        <w:pStyle w:val="105"/>
        <w:spacing w:before="120" w:after="120" w:line="360" w:lineRule="auto"/>
        <w:rPr>
          <w:rFonts w:hint="eastAsia"/>
        </w:rPr>
      </w:pPr>
      <w:r>
        <w:rPr>
          <w:rFonts w:hint="eastAsia"/>
        </w:rPr>
        <w:t>高级氧化技术</w:t>
      </w:r>
    </w:p>
    <w:p w14:paraId="13A201B5">
      <w:pPr>
        <w:pStyle w:val="56"/>
        <w:spacing w:line="360" w:lineRule="auto"/>
        <w:ind w:firstLine="420"/>
        <w:rPr>
          <w:rFonts w:hint="eastAsia"/>
        </w:rPr>
      </w:pPr>
      <w:r>
        <w:rPr>
          <w:rFonts w:hint="eastAsia"/>
        </w:rPr>
        <w:t>高级氧化工艺（aop）通过产生羟基自由基等高活性氧化剂，快速降解难降解有机污染物和部分微量有毒污染物。常用技术包括：</w:t>
      </w:r>
    </w:p>
    <w:p w14:paraId="24A146B0">
      <w:pPr>
        <w:pStyle w:val="132"/>
        <w:spacing w:line="360" w:lineRule="auto"/>
        <w:rPr>
          <w:rFonts w:hint="eastAsia"/>
        </w:rPr>
      </w:pPr>
      <w:r>
        <w:rPr>
          <w:rFonts w:hint="eastAsia"/>
        </w:rPr>
        <w:t>臭氧氧化：可直接氧化有机物，也可与紫外、过氧化氢联用形成更强的氧化体系；</w:t>
      </w:r>
    </w:p>
    <w:p w14:paraId="53F85F76">
      <w:pPr>
        <w:pStyle w:val="132"/>
        <w:spacing w:line="360" w:lineRule="auto"/>
        <w:rPr>
          <w:rFonts w:hint="eastAsia"/>
        </w:rPr>
      </w:pPr>
      <w:r>
        <w:rPr>
          <w:rFonts w:hint="eastAsia"/>
        </w:rPr>
        <w:t>fenton及类fenton反应：利用铁离子和过氧化氢反应产生羟基自由基，适合处理高色度、高有机物废水；</w:t>
      </w:r>
    </w:p>
    <w:p w14:paraId="2C247E73">
      <w:pPr>
        <w:pStyle w:val="132"/>
        <w:spacing w:line="360" w:lineRule="auto"/>
      </w:pPr>
      <w:r>
        <w:rPr>
          <w:rFonts w:hint="eastAsia"/>
        </w:rPr>
        <w:t>光催化氧化：在紫外光照射下利用催化剂（如</w:t>
      </w:r>
      <w:r>
        <w:t>tio₂</w:t>
      </w:r>
      <w:r>
        <w:rPr>
          <w:rFonts w:hint="eastAsia"/>
        </w:rPr>
        <w:t>）氧化分解污染物，适合低浓度有机污染物去除。</w:t>
      </w:r>
    </w:p>
    <w:p w14:paraId="0F13DDDE">
      <w:pPr>
        <w:pStyle w:val="56"/>
        <w:spacing w:line="360" w:lineRule="auto"/>
        <w:ind w:firstLine="420"/>
        <w:rPr>
          <w:rFonts w:hint="eastAsia"/>
        </w:rPr>
      </w:pPr>
      <w:r>
        <w:rPr>
          <w:rFonts w:hint="eastAsia"/>
        </w:rPr>
        <w:t>aop工艺需合理控制反应时间、ph、氧化剂投加量，避免副产物生成并控制运行成本。</w:t>
      </w:r>
    </w:p>
    <w:p w14:paraId="32B20AA6">
      <w:pPr>
        <w:pStyle w:val="105"/>
        <w:spacing w:before="120" w:after="120" w:line="360" w:lineRule="auto"/>
        <w:rPr>
          <w:rFonts w:hint="eastAsia"/>
        </w:rPr>
      </w:pPr>
      <w:r>
        <w:rPr>
          <w:rFonts w:hint="eastAsia"/>
        </w:rPr>
        <w:t>消毒技术</w:t>
      </w:r>
    </w:p>
    <w:p w14:paraId="734F5BC4">
      <w:pPr>
        <w:pStyle w:val="56"/>
        <w:spacing w:line="360" w:lineRule="auto"/>
        <w:ind w:firstLine="420"/>
        <w:rPr>
          <w:rFonts w:hint="eastAsia"/>
        </w:rPr>
      </w:pPr>
      <w:r>
        <w:rPr>
          <w:rFonts w:hint="eastAsia"/>
        </w:rPr>
        <w:t>消毒是深度处理与回用环节必不可少的安全保障措施，主要技术包括：</w:t>
      </w:r>
    </w:p>
    <w:p w14:paraId="4766258C">
      <w:pPr>
        <w:pStyle w:val="132"/>
        <w:spacing w:line="360" w:lineRule="auto"/>
        <w:rPr>
          <w:rFonts w:hint="eastAsia"/>
        </w:rPr>
      </w:pPr>
      <w:r>
        <w:rPr>
          <w:rFonts w:hint="eastAsia"/>
        </w:rPr>
        <w:t>紫外消毒：通过紫外线破坏微生物dna，瞬时杀灭细菌、病毒，优点是无化学残留，但无持续消毒作用；</w:t>
      </w:r>
    </w:p>
    <w:p w14:paraId="0E73A0F4">
      <w:pPr>
        <w:pStyle w:val="132"/>
        <w:spacing w:line="360" w:lineRule="auto"/>
        <w:rPr>
          <w:rFonts w:hint="eastAsia"/>
        </w:rPr>
      </w:pPr>
      <w:r>
        <w:rPr>
          <w:rFonts w:hint="eastAsia"/>
        </w:rPr>
        <w:t>氯化消毒：包括液氯、次氯酸钠、二氧化氯等，具有持续杀菌能力，但可能生成消毒副产物（如三氯甲烷），需控制投加量；</w:t>
      </w:r>
    </w:p>
    <w:p w14:paraId="63E32E74">
      <w:pPr>
        <w:pStyle w:val="132"/>
        <w:spacing w:line="360" w:lineRule="auto"/>
        <w:rPr>
          <w:rFonts w:hint="eastAsia"/>
        </w:rPr>
      </w:pPr>
      <w:r>
        <w:rPr>
          <w:rFonts w:hint="eastAsia"/>
        </w:rPr>
        <w:t>复合消毒：结合紫外与氯化，可兼顾快速杀菌和持续抑菌效果，适合对安全性要求较高的回用水用途。</w:t>
      </w:r>
    </w:p>
    <w:p w14:paraId="6DD432DB">
      <w:pPr>
        <w:pStyle w:val="105"/>
        <w:spacing w:before="120" w:after="120" w:line="360" w:lineRule="auto"/>
      </w:pPr>
      <w:r>
        <w:rPr>
          <w:rFonts w:hint="eastAsia"/>
        </w:rPr>
        <w:t>多单元组合工艺设计原则</w:t>
      </w:r>
    </w:p>
    <w:p w14:paraId="799AD711">
      <w:pPr>
        <w:pStyle w:val="56"/>
        <w:spacing w:line="360" w:lineRule="auto"/>
        <w:ind w:firstLine="420"/>
      </w:pPr>
      <w:r>
        <w:rPr>
          <w:rFonts w:hint="eastAsia"/>
        </w:rPr>
        <w:t>在实际工程中，应根据进水水质、目标出水水质及回用用途，将多种深度处理技术进行科学组合，以实现多污染物协同去除和运行成本最优化。不同用途的回用水推荐组合工艺见表1。</w:t>
      </w:r>
    </w:p>
    <w:p w14:paraId="69FB5726">
      <w:pPr>
        <w:pStyle w:val="112"/>
        <w:spacing w:before="120" w:after="120" w:line="360" w:lineRule="auto"/>
        <w:rPr>
          <w:rFonts w:hint="eastAsia"/>
        </w:rPr>
      </w:pPr>
      <w:r>
        <w:rPr>
          <w:rFonts w:hint="eastAsia"/>
        </w:rPr>
        <w:t>工艺流程与用途</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79"/>
        <w:gridCol w:w="1710"/>
        <w:gridCol w:w="1993"/>
        <w:gridCol w:w="2692"/>
      </w:tblGrid>
      <w:tr w14:paraId="2A483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89" w:type="pct"/>
            <w:tcBorders>
              <w:top w:val="single" w:color="auto" w:sz="8" w:space="0"/>
              <w:bottom w:val="single" w:color="auto" w:sz="8" w:space="0"/>
            </w:tcBorders>
            <w:vAlign w:val="center"/>
          </w:tcPr>
          <w:p w14:paraId="4727CE3E">
            <w:pPr>
              <w:pStyle w:val="178"/>
              <w:rPr>
                <w:rFonts w:hint="eastAsia"/>
              </w:rPr>
            </w:pPr>
            <w:r>
              <w:rPr>
                <w:rFonts w:hint="eastAsia"/>
              </w:rPr>
              <w:t>进水来源及特征</w:t>
            </w:r>
          </w:p>
        </w:tc>
        <w:tc>
          <w:tcPr>
            <w:tcW w:w="912" w:type="pct"/>
            <w:tcBorders>
              <w:top w:val="single" w:color="auto" w:sz="8" w:space="0"/>
              <w:bottom w:val="single" w:color="auto" w:sz="8" w:space="0"/>
            </w:tcBorders>
            <w:shd w:val="clear" w:color="auto" w:fill="auto"/>
            <w:vAlign w:val="center"/>
          </w:tcPr>
          <w:p w14:paraId="0B0396E9">
            <w:pPr>
              <w:pStyle w:val="178"/>
              <w:rPr>
                <w:rFonts w:hint="eastAsia"/>
              </w:rPr>
            </w:pPr>
            <w:r>
              <w:rPr>
                <w:rFonts w:hint="eastAsia"/>
              </w:rPr>
              <w:t>推荐工艺流程</w:t>
            </w:r>
          </w:p>
        </w:tc>
        <w:tc>
          <w:tcPr>
            <w:tcW w:w="1063" w:type="pct"/>
            <w:tcBorders>
              <w:top w:val="single" w:color="auto" w:sz="8" w:space="0"/>
              <w:bottom w:val="single" w:color="auto" w:sz="8" w:space="0"/>
            </w:tcBorders>
            <w:shd w:val="clear" w:color="auto" w:fill="auto"/>
            <w:vAlign w:val="center"/>
          </w:tcPr>
          <w:p w14:paraId="23C10E7C">
            <w:pPr>
              <w:pStyle w:val="178"/>
              <w:rPr>
                <w:rFonts w:hint="eastAsia"/>
              </w:rPr>
            </w:pPr>
            <w:r>
              <w:rPr>
                <w:rFonts w:hint="eastAsia"/>
              </w:rPr>
              <w:t>主要用途</w:t>
            </w:r>
          </w:p>
        </w:tc>
        <w:tc>
          <w:tcPr>
            <w:tcW w:w="1436" w:type="pct"/>
            <w:tcBorders>
              <w:top w:val="single" w:color="auto" w:sz="8" w:space="0"/>
              <w:bottom w:val="single" w:color="auto" w:sz="8" w:space="0"/>
            </w:tcBorders>
            <w:shd w:val="clear" w:color="auto" w:fill="auto"/>
            <w:vAlign w:val="center"/>
          </w:tcPr>
          <w:p w14:paraId="40557A79">
            <w:pPr>
              <w:pStyle w:val="178"/>
              <w:rPr>
                <w:rFonts w:hint="eastAsia"/>
              </w:rPr>
            </w:pPr>
            <w:r>
              <w:rPr>
                <w:rFonts w:hint="eastAsia"/>
              </w:rPr>
              <w:t>技术要点</w:t>
            </w:r>
          </w:p>
        </w:tc>
      </w:tr>
      <w:tr w14:paraId="09D01C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9" w:type="pct"/>
            <w:tcBorders>
              <w:top w:val="single" w:color="auto" w:sz="8" w:space="0"/>
            </w:tcBorders>
            <w:vAlign w:val="center"/>
          </w:tcPr>
          <w:p w14:paraId="2C53904C">
            <w:pPr>
              <w:pStyle w:val="178"/>
              <w:rPr>
                <w:rFonts w:hint="eastAsia"/>
              </w:rPr>
            </w:pPr>
            <w:r>
              <w:rPr>
                <w:rFonts w:hint="eastAsia"/>
              </w:rPr>
              <w:t>城镇污水二级出水，浊度较低，含少量溶解性有机物</w:t>
            </w:r>
          </w:p>
        </w:tc>
        <w:tc>
          <w:tcPr>
            <w:tcW w:w="912" w:type="pct"/>
            <w:tcBorders>
              <w:top w:val="single" w:color="auto" w:sz="8" w:space="0"/>
            </w:tcBorders>
            <w:shd w:val="clear" w:color="auto" w:fill="auto"/>
            <w:vAlign w:val="center"/>
          </w:tcPr>
          <w:p w14:paraId="15CB03DA">
            <w:pPr>
              <w:pStyle w:val="178"/>
              <w:jc w:val="both"/>
            </w:pPr>
            <w:r>
              <w:rPr>
                <w:rFonts w:hint="eastAsia"/>
              </w:rPr>
              <w:t>①超滤</w:t>
            </w:r>
          </w:p>
          <w:p w14:paraId="1637E60D">
            <w:pPr>
              <w:pStyle w:val="178"/>
              <w:jc w:val="both"/>
            </w:pPr>
            <w:r>
              <w:rPr>
                <w:rFonts w:hint="eastAsia"/>
              </w:rPr>
              <w:t>②活性炭吸附</w:t>
            </w:r>
          </w:p>
          <w:p w14:paraId="48539FD9">
            <w:pPr>
              <w:pStyle w:val="178"/>
              <w:jc w:val="both"/>
              <w:rPr>
                <w:rFonts w:hint="eastAsia"/>
              </w:rPr>
            </w:pPr>
            <w:r>
              <w:rPr>
                <w:rFonts w:hint="eastAsia"/>
              </w:rPr>
              <w:t>③紫外消毒</w:t>
            </w:r>
          </w:p>
        </w:tc>
        <w:tc>
          <w:tcPr>
            <w:tcW w:w="1063" w:type="pct"/>
            <w:tcBorders>
              <w:top w:val="single" w:color="auto" w:sz="8" w:space="0"/>
            </w:tcBorders>
            <w:shd w:val="clear" w:color="auto" w:fill="auto"/>
            <w:vAlign w:val="center"/>
          </w:tcPr>
          <w:p w14:paraId="4B2830BB">
            <w:pPr>
              <w:pStyle w:val="178"/>
              <w:rPr>
                <w:rFonts w:hint="eastAsia"/>
              </w:rPr>
            </w:pPr>
            <w:r>
              <w:rPr>
                <w:rFonts w:hint="eastAsia"/>
              </w:rPr>
              <w:t>景观用水</w:t>
            </w:r>
          </w:p>
        </w:tc>
        <w:tc>
          <w:tcPr>
            <w:tcW w:w="1436" w:type="pct"/>
            <w:tcBorders>
              <w:top w:val="single" w:color="auto" w:sz="8" w:space="0"/>
            </w:tcBorders>
            <w:shd w:val="clear" w:color="auto" w:fill="auto"/>
            <w:vAlign w:val="center"/>
          </w:tcPr>
          <w:p w14:paraId="5FE25B29">
            <w:pPr>
              <w:pStyle w:val="178"/>
              <w:rPr>
                <w:rFonts w:hint="eastAsia"/>
              </w:rPr>
            </w:pPr>
            <w:r>
              <w:rPr>
                <w:rFonts w:hint="eastAsia"/>
              </w:rPr>
              <w:t>去除悬浮物、改善色度与气味，保证微生物安全</w:t>
            </w:r>
          </w:p>
        </w:tc>
      </w:tr>
      <w:tr w14:paraId="37EDD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9" w:type="pct"/>
            <w:vAlign w:val="center"/>
          </w:tcPr>
          <w:p w14:paraId="7A92EA32">
            <w:pPr>
              <w:pStyle w:val="178"/>
              <w:rPr>
                <w:rFonts w:hint="eastAsia"/>
              </w:rPr>
            </w:pPr>
            <w:r>
              <w:rPr>
                <w:rFonts w:hint="eastAsia"/>
              </w:rPr>
              <w:t>城镇污水二级出水，电导率较高，工业对水质要求高</w:t>
            </w:r>
          </w:p>
        </w:tc>
        <w:tc>
          <w:tcPr>
            <w:tcW w:w="912" w:type="pct"/>
            <w:shd w:val="clear" w:color="auto" w:fill="auto"/>
            <w:vAlign w:val="center"/>
          </w:tcPr>
          <w:p w14:paraId="672A7F2E">
            <w:pPr>
              <w:pStyle w:val="178"/>
              <w:jc w:val="both"/>
            </w:pPr>
            <w:r>
              <w:rPr>
                <w:rFonts w:hint="eastAsia"/>
              </w:rPr>
              <w:t>①超滤</w:t>
            </w:r>
          </w:p>
          <w:p w14:paraId="5E40F3DB">
            <w:pPr>
              <w:pStyle w:val="178"/>
              <w:jc w:val="both"/>
            </w:pPr>
            <w:r>
              <w:rPr>
                <w:rFonts w:hint="eastAsia"/>
              </w:rPr>
              <w:t>②纳滤/反渗透</w:t>
            </w:r>
          </w:p>
          <w:p w14:paraId="016D194B">
            <w:pPr>
              <w:pStyle w:val="178"/>
              <w:jc w:val="both"/>
              <w:rPr>
                <w:rFonts w:hint="eastAsia"/>
              </w:rPr>
            </w:pPr>
            <w:r>
              <w:rPr>
                <w:rFonts w:hint="eastAsia"/>
              </w:rPr>
              <w:t>③紫外+氯消毒</w:t>
            </w:r>
          </w:p>
        </w:tc>
        <w:tc>
          <w:tcPr>
            <w:tcW w:w="1063" w:type="pct"/>
            <w:shd w:val="clear" w:color="auto" w:fill="auto"/>
            <w:vAlign w:val="center"/>
          </w:tcPr>
          <w:p w14:paraId="516FF96F">
            <w:pPr>
              <w:pStyle w:val="178"/>
              <w:rPr>
                <w:rFonts w:hint="eastAsia"/>
              </w:rPr>
            </w:pPr>
            <w:r>
              <w:rPr>
                <w:rFonts w:hint="eastAsia"/>
              </w:rPr>
              <w:t>高品质工业用水</w:t>
            </w:r>
          </w:p>
        </w:tc>
        <w:tc>
          <w:tcPr>
            <w:tcW w:w="1436" w:type="pct"/>
            <w:shd w:val="clear" w:color="auto" w:fill="auto"/>
            <w:vAlign w:val="center"/>
          </w:tcPr>
          <w:p w14:paraId="4FC0F117">
            <w:pPr>
              <w:pStyle w:val="178"/>
              <w:rPr>
                <w:rFonts w:hint="eastAsia"/>
              </w:rPr>
            </w:pPr>
            <w:r>
              <w:rPr>
                <w:rFonts w:hint="eastAsia"/>
              </w:rPr>
              <w:t>深度脱盐，去除微量有机物，双重消毒保障</w:t>
            </w:r>
          </w:p>
        </w:tc>
      </w:tr>
      <w:tr w14:paraId="4677F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9" w:type="pct"/>
            <w:vAlign w:val="center"/>
          </w:tcPr>
          <w:p w14:paraId="46F4C0F7">
            <w:pPr>
              <w:pStyle w:val="178"/>
              <w:rPr>
                <w:rFonts w:hint="eastAsia"/>
              </w:rPr>
            </w:pPr>
            <w:r>
              <w:rPr>
                <w:rFonts w:hint="eastAsia"/>
              </w:rPr>
              <w:t>城镇污水二级出水，有色度、异味及微量有机污染物</w:t>
            </w:r>
          </w:p>
        </w:tc>
        <w:tc>
          <w:tcPr>
            <w:tcW w:w="912" w:type="pct"/>
            <w:shd w:val="clear" w:color="auto" w:fill="auto"/>
            <w:vAlign w:val="center"/>
          </w:tcPr>
          <w:p w14:paraId="7BB46F1B">
            <w:pPr>
              <w:pStyle w:val="178"/>
              <w:jc w:val="both"/>
            </w:pPr>
            <w:r>
              <w:rPr>
                <w:rFonts w:hint="eastAsia"/>
              </w:rPr>
              <w:t>①絮凝沉淀</w:t>
            </w:r>
          </w:p>
          <w:p w14:paraId="351CFD11">
            <w:pPr>
              <w:pStyle w:val="178"/>
              <w:jc w:val="both"/>
            </w:pPr>
            <w:r>
              <w:rPr>
                <w:rFonts w:hint="eastAsia"/>
              </w:rPr>
              <w:t>②超滤</w:t>
            </w:r>
          </w:p>
          <w:p w14:paraId="5B4DD1A6">
            <w:pPr>
              <w:pStyle w:val="178"/>
              <w:jc w:val="both"/>
            </w:pPr>
            <w:r>
              <w:rPr>
                <w:rFonts w:hint="eastAsia"/>
              </w:rPr>
              <w:t>③臭氧氧化</w:t>
            </w:r>
          </w:p>
          <w:p w14:paraId="43C1BA7D">
            <w:pPr>
              <w:pStyle w:val="178"/>
              <w:jc w:val="both"/>
              <w:rPr>
                <w:rFonts w:hint="eastAsia"/>
              </w:rPr>
            </w:pPr>
            <w:r>
              <w:rPr>
                <w:rFonts w:hint="eastAsia"/>
              </w:rPr>
              <w:t>④活性炭吸附</w:t>
            </w:r>
          </w:p>
        </w:tc>
        <w:tc>
          <w:tcPr>
            <w:tcW w:w="1063" w:type="pct"/>
            <w:shd w:val="clear" w:color="auto" w:fill="auto"/>
            <w:vAlign w:val="center"/>
          </w:tcPr>
          <w:p w14:paraId="7A1C2FA3">
            <w:pPr>
              <w:pStyle w:val="178"/>
              <w:rPr>
                <w:rFonts w:hint="eastAsia"/>
              </w:rPr>
            </w:pPr>
            <w:r>
              <w:rPr>
                <w:rFonts w:hint="eastAsia"/>
              </w:rPr>
              <w:t>高标准市政杂用水</w:t>
            </w:r>
          </w:p>
        </w:tc>
        <w:tc>
          <w:tcPr>
            <w:tcW w:w="1436" w:type="pct"/>
            <w:shd w:val="clear" w:color="auto" w:fill="auto"/>
            <w:vAlign w:val="center"/>
          </w:tcPr>
          <w:p w14:paraId="265C8570">
            <w:pPr>
              <w:pStyle w:val="178"/>
              <w:rPr>
                <w:rFonts w:hint="eastAsia"/>
              </w:rPr>
            </w:pPr>
            <w:r>
              <w:rPr>
                <w:rFonts w:hint="eastAsia"/>
              </w:rPr>
              <w:t>去除色度、气味和难降解有机物</w:t>
            </w:r>
          </w:p>
        </w:tc>
      </w:tr>
      <w:tr w14:paraId="5979A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9" w:type="pct"/>
            <w:vAlign w:val="center"/>
          </w:tcPr>
          <w:p w14:paraId="0CADA80F">
            <w:pPr>
              <w:pStyle w:val="178"/>
              <w:rPr>
                <w:rFonts w:hint="eastAsia"/>
              </w:rPr>
            </w:pPr>
            <w:r>
              <w:rPr>
                <w:rFonts w:hint="eastAsia"/>
              </w:rPr>
              <w:t>工业废水经二级处理，含重金属和特定有机物</w:t>
            </w:r>
          </w:p>
        </w:tc>
        <w:tc>
          <w:tcPr>
            <w:tcW w:w="912" w:type="pct"/>
            <w:shd w:val="clear" w:color="auto" w:fill="auto"/>
            <w:vAlign w:val="center"/>
          </w:tcPr>
          <w:p w14:paraId="6A08043F">
            <w:pPr>
              <w:pStyle w:val="178"/>
              <w:jc w:val="both"/>
            </w:pPr>
            <w:r>
              <w:rPr>
                <w:rFonts w:hint="eastAsia"/>
              </w:rPr>
              <w:t>①絮凝沉淀</w:t>
            </w:r>
          </w:p>
          <w:p w14:paraId="232CFE5D">
            <w:pPr>
              <w:pStyle w:val="178"/>
              <w:jc w:val="both"/>
            </w:pPr>
            <w:r>
              <w:rPr>
                <w:rFonts w:hint="eastAsia"/>
              </w:rPr>
              <w:t>②超滤</w:t>
            </w:r>
          </w:p>
          <w:p w14:paraId="4BAE1EFA">
            <w:pPr>
              <w:pStyle w:val="178"/>
              <w:jc w:val="both"/>
            </w:pPr>
            <w:r>
              <w:rPr>
                <w:rFonts w:hint="eastAsia"/>
              </w:rPr>
              <w:t>③吸附树脂/活性炭</w:t>
            </w:r>
          </w:p>
          <w:p w14:paraId="7006270E">
            <w:pPr>
              <w:pStyle w:val="178"/>
              <w:jc w:val="both"/>
              <w:rPr>
                <w:rFonts w:hint="eastAsia"/>
              </w:rPr>
            </w:pPr>
            <w:r>
              <w:rPr>
                <w:rFonts w:hint="eastAsia"/>
              </w:rPr>
              <w:t>④反渗透</w:t>
            </w:r>
          </w:p>
        </w:tc>
        <w:tc>
          <w:tcPr>
            <w:tcW w:w="1063" w:type="pct"/>
            <w:shd w:val="clear" w:color="auto" w:fill="auto"/>
            <w:vAlign w:val="center"/>
          </w:tcPr>
          <w:p w14:paraId="3715312F">
            <w:pPr>
              <w:pStyle w:val="178"/>
              <w:rPr>
                <w:rFonts w:hint="eastAsia"/>
              </w:rPr>
            </w:pPr>
            <w:r>
              <w:rPr>
                <w:rFonts w:hint="eastAsia"/>
              </w:rPr>
              <w:t>工业循环冷却水</w:t>
            </w:r>
          </w:p>
        </w:tc>
        <w:tc>
          <w:tcPr>
            <w:tcW w:w="1436" w:type="pct"/>
            <w:shd w:val="clear" w:color="auto" w:fill="auto"/>
            <w:vAlign w:val="center"/>
          </w:tcPr>
          <w:p w14:paraId="430CB49C">
            <w:pPr>
              <w:pStyle w:val="178"/>
              <w:rPr>
                <w:rFonts w:hint="eastAsia"/>
              </w:rPr>
            </w:pPr>
            <w:r>
              <w:rPr>
                <w:rFonts w:hint="eastAsia"/>
              </w:rPr>
              <w:t>去除特定污染物及盐类，防止结垢和腐蚀</w:t>
            </w:r>
          </w:p>
        </w:tc>
      </w:tr>
      <w:tr w14:paraId="3E1B8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9" w:type="pct"/>
            <w:vAlign w:val="center"/>
          </w:tcPr>
          <w:p w14:paraId="26F6FE46">
            <w:pPr>
              <w:pStyle w:val="178"/>
              <w:rPr>
                <w:rFonts w:hint="eastAsia"/>
              </w:rPr>
            </w:pPr>
            <w:r>
              <w:rPr>
                <w:rFonts w:hint="eastAsia"/>
              </w:rPr>
              <w:t>城镇污水二级出水，含氮磷较高</w:t>
            </w:r>
          </w:p>
        </w:tc>
        <w:tc>
          <w:tcPr>
            <w:tcW w:w="912" w:type="pct"/>
            <w:shd w:val="clear" w:color="auto" w:fill="auto"/>
            <w:vAlign w:val="center"/>
          </w:tcPr>
          <w:p w14:paraId="6FCDB845">
            <w:pPr>
              <w:pStyle w:val="178"/>
              <w:jc w:val="both"/>
            </w:pPr>
            <w:r>
              <w:rPr>
                <w:rFonts w:hint="eastAsia"/>
              </w:rPr>
              <w:t>①生物脱氮除磷</w:t>
            </w:r>
          </w:p>
          <w:p w14:paraId="2114D6B1">
            <w:pPr>
              <w:pStyle w:val="178"/>
              <w:jc w:val="both"/>
            </w:pPr>
            <w:r>
              <w:rPr>
                <w:rFonts w:hint="eastAsia"/>
              </w:rPr>
              <w:t>②超滤</w:t>
            </w:r>
          </w:p>
          <w:p w14:paraId="2304CC79">
            <w:pPr>
              <w:pStyle w:val="178"/>
              <w:jc w:val="both"/>
              <w:rPr>
                <w:rFonts w:hint="eastAsia"/>
              </w:rPr>
            </w:pPr>
            <w:r>
              <w:rPr>
                <w:rFonts w:hint="eastAsia"/>
              </w:rPr>
              <w:t>③紫外消毒</w:t>
            </w:r>
          </w:p>
        </w:tc>
        <w:tc>
          <w:tcPr>
            <w:tcW w:w="1063" w:type="pct"/>
            <w:shd w:val="clear" w:color="auto" w:fill="auto"/>
            <w:vAlign w:val="center"/>
          </w:tcPr>
          <w:p w14:paraId="0A24FE06">
            <w:pPr>
              <w:pStyle w:val="178"/>
              <w:rPr>
                <w:rFonts w:hint="eastAsia"/>
              </w:rPr>
            </w:pPr>
            <w:r>
              <w:rPr>
                <w:rFonts w:hint="eastAsia"/>
              </w:rPr>
              <w:t>农业灌溉用水</w:t>
            </w:r>
          </w:p>
        </w:tc>
        <w:tc>
          <w:tcPr>
            <w:tcW w:w="1436" w:type="pct"/>
            <w:shd w:val="clear" w:color="auto" w:fill="auto"/>
            <w:vAlign w:val="center"/>
          </w:tcPr>
          <w:p w14:paraId="4831EB45">
            <w:pPr>
              <w:pStyle w:val="178"/>
              <w:rPr>
                <w:rFonts w:hint="eastAsia"/>
              </w:rPr>
            </w:pPr>
            <w:r>
              <w:rPr>
                <w:rFonts w:hint="eastAsia"/>
              </w:rPr>
              <w:t>控制氮磷防止土壤和作物危害</w:t>
            </w:r>
          </w:p>
        </w:tc>
      </w:tr>
    </w:tbl>
    <w:p w14:paraId="0337FC52">
      <w:pPr>
        <w:pStyle w:val="105"/>
        <w:spacing w:before="120" w:after="120" w:line="360" w:lineRule="auto"/>
        <w:rPr>
          <w:rFonts w:hint="eastAsia"/>
        </w:rPr>
      </w:pPr>
      <w:r>
        <w:rPr>
          <w:rFonts w:hint="eastAsia"/>
        </w:rPr>
        <w:t>特殊用途水质保障工艺</w:t>
      </w:r>
    </w:p>
    <w:p w14:paraId="15D79542">
      <w:pPr>
        <w:pStyle w:val="56"/>
        <w:spacing w:line="360" w:lineRule="auto"/>
        <w:ind w:firstLine="420"/>
        <w:rPr>
          <w:rFonts w:hint="eastAsia"/>
        </w:rPr>
      </w:pPr>
      <w:r>
        <w:rPr>
          <w:rFonts w:hint="eastAsia"/>
        </w:rPr>
        <w:t>对于农业灌溉，应增加去除氨氮、总氮、总磷的生物脱氮除磷单元。</w:t>
      </w:r>
    </w:p>
    <w:p w14:paraId="0A85B2B0">
      <w:pPr>
        <w:pStyle w:val="56"/>
        <w:spacing w:line="360" w:lineRule="auto"/>
        <w:ind w:firstLine="420"/>
        <w:rPr>
          <w:rFonts w:hint="eastAsia"/>
        </w:rPr>
      </w:pPr>
      <w:r>
        <w:rPr>
          <w:rFonts w:hint="eastAsia"/>
        </w:rPr>
        <w:t>对于锅炉补水，应增加除盐、除硅、除硬处理。</w:t>
      </w:r>
    </w:p>
    <w:p w14:paraId="305AD961">
      <w:pPr>
        <w:pStyle w:val="56"/>
        <w:spacing w:line="360" w:lineRule="auto"/>
        <w:ind w:firstLine="420"/>
      </w:pPr>
      <w:r>
        <w:rPr>
          <w:rFonts w:hint="eastAsia"/>
        </w:rPr>
        <w:t>对于高风险景观水，应增加藻类控制和防富营养化措施。</w:t>
      </w:r>
    </w:p>
    <w:p w14:paraId="2335C7ED">
      <w:pPr>
        <w:pStyle w:val="104"/>
        <w:spacing w:before="240" w:after="240" w:line="360" w:lineRule="auto"/>
        <w:rPr>
          <w:rFonts w:hint="eastAsia"/>
        </w:rPr>
      </w:pPr>
      <w:bookmarkStart w:id="54" w:name="_Toc205629368"/>
      <w:r>
        <w:rPr>
          <w:rFonts w:hint="eastAsia"/>
        </w:rPr>
        <w:t>工程设计与施工要求</w:t>
      </w:r>
      <w:bookmarkEnd w:id="54"/>
    </w:p>
    <w:p w14:paraId="760EF1E8">
      <w:pPr>
        <w:pStyle w:val="105"/>
        <w:spacing w:before="120" w:after="120" w:line="360" w:lineRule="auto"/>
        <w:rPr>
          <w:rFonts w:hint="eastAsia"/>
        </w:rPr>
      </w:pPr>
      <w:r>
        <w:rPr>
          <w:rFonts w:hint="eastAsia"/>
        </w:rPr>
        <w:t>设计依据与原则</w:t>
      </w:r>
    </w:p>
    <w:p w14:paraId="3663524F">
      <w:pPr>
        <w:pStyle w:val="165"/>
        <w:spacing w:line="360" w:lineRule="auto"/>
        <w:rPr>
          <w:rFonts w:hint="eastAsia"/>
        </w:rPr>
      </w:pPr>
      <w:r>
        <w:rPr>
          <w:rFonts w:hint="eastAsia"/>
        </w:rPr>
        <w:t>设计应遵循国家及地方相关法律法规、标准规范，并结合本规程的技术要求，确保回用水水质稳定达标。设计单位应充分考虑水质、水量、用途、气候条件、能源条件及经济可行性，做到技术可行、经济合理、运行可靠。</w:t>
      </w:r>
    </w:p>
    <w:p w14:paraId="1B597273">
      <w:pPr>
        <w:pStyle w:val="165"/>
        <w:spacing w:line="360" w:lineRule="auto"/>
        <w:rPr>
          <w:rFonts w:hint="eastAsia"/>
        </w:rPr>
      </w:pPr>
      <w:r>
        <w:rPr>
          <w:rFonts w:hint="eastAsia"/>
        </w:rPr>
        <w:t>设计应预留扩容与工艺升级空间，以应对未来水质标准提升或回用规模扩大需求。</w:t>
      </w:r>
    </w:p>
    <w:p w14:paraId="77CEF908">
      <w:pPr>
        <w:pStyle w:val="105"/>
        <w:spacing w:before="120" w:after="120" w:line="360" w:lineRule="auto"/>
        <w:rPr>
          <w:rFonts w:hint="eastAsia"/>
        </w:rPr>
      </w:pPr>
      <w:r>
        <w:rPr>
          <w:rFonts w:hint="eastAsia"/>
        </w:rPr>
        <w:t>工艺流程布置</w:t>
      </w:r>
    </w:p>
    <w:p w14:paraId="5A349A65">
      <w:pPr>
        <w:pStyle w:val="165"/>
        <w:spacing w:line="360" w:lineRule="auto"/>
        <w:rPr>
          <w:rFonts w:hint="eastAsia"/>
        </w:rPr>
      </w:pPr>
      <w:r>
        <w:rPr>
          <w:rFonts w:hint="eastAsia"/>
        </w:rPr>
        <w:t>工艺流程应根据水源水质特征及目标用途合理选择，并在厂区或设施平面布置中尽量缩短水流路径，减少能耗与水头损失。深度处理单元与前端处理设施应在工艺和水力上实现无缝衔接，避免出现水力冲击或水质波动。</w:t>
      </w:r>
    </w:p>
    <w:p w14:paraId="2F140383">
      <w:pPr>
        <w:pStyle w:val="165"/>
        <w:spacing w:line="360" w:lineRule="auto"/>
        <w:rPr>
          <w:rFonts w:hint="eastAsia"/>
        </w:rPr>
      </w:pPr>
      <w:r>
        <w:rPr>
          <w:rFonts w:hint="eastAsia"/>
        </w:rPr>
        <w:t>当采用多级膜分离或高级氧化等高精度工艺时，应设置相应的预处理环节以延长核心单元的使用寿命。</w:t>
      </w:r>
    </w:p>
    <w:p w14:paraId="40110F0B">
      <w:pPr>
        <w:pStyle w:val="105"/>
        <w:spacing w:before="120" w:after="120" w:line="360" w:lineRule="auto"/>
        <w:rPr>
          <w:rFonts w:hint="eastAsia"/>
        </w:rPr>
      </w:pPr>
      <w:r>
        <w:rPr>
          <w:rFonts w:hint="eastAsia"/>
        </w:rPr>
        <w:t>设备选型与配置</w:t>
      </w:r>
    </w:p>
    <w:p w14:paraId="697ADD07">
      <w:pPr>
        <w:pStyle w:val="165"/>
        <w:spacing w:line="360" w:lineRule="auto"/>
        <w:rPr>
          <w:rFonts w:hint="eastAsia"/>
        </w:rPr>
      </w:pPr>
      <w:r>
        <w:rPr>
          <w:rFonts w:hint="eastAsia"/>
        </w:rPr>
        <w:t>设备选型应符合工艺技术要求及运行条件，优先选择节能、高效、维护方便且已在类似工程中有成熟应用的设备。</w:t>
      </w:r>
    </w:p>
    <w:p w14:paraId="6E44D6B6">
      <w:pPr>
        <w:pStyle w:val="165"/>
        <w:spacing w:line="360" w:lineRule="auto"/>
        <w:rPr>
          <w:rFonts w:hint="eastAsia"/>
        </w:rPr>
      </w:pPr>
      <w:r>
        <w:rPr>
          <w:rFonts w:hint="eastAsia"/>
        </w:rPr>
        <w:t>膜组件应根据原水水质选择合适的材质与孔径，并考虑抗污染能力。</w:t>
      </w:r>
    </w:p>
    <w:p w14:paraId="0253D91C">
      <w:pPr>
        <w:pStyle w:val="165"/>
        <w:spacing w:line="360" w:lineRule="auto"/>
        <w:rPr>
          <w:rFonts w:hint="eastAsia"/>
        </w:rPr>
      </w:pPr>
      <w:r>
        <w:rPr>
          <w:rFonts w:hint="eastAsia"/>
        </w:rPr>
        <w:t>吸附装置应具备便于更换与再生的结构。</w:t>
      </w:r>
    </w:p>
    <w:p w14:paraId="15009C18">
      <w:pPr>
        <w:pStyle w:val="165"/>
        <w:spacing w:line="360" w:lineRule="auto"/>
        <w:rPr>
          <w:rFonts w:hint="eastAsia"/>
        </w:rPr>
      </w:pPr>
      <w:r>
        <w:rPr>
          <w:rFonts w:hint="eastAsia"/>
        </w:rPr>
        <w:t>臭氧发生器、紫外设备等应符合安全规范并配置在线强度监测与控制系统。</w:t>
      </w:r>
    </w:p>
    <w:p w14:paraId="30222582">
      <w:pPr>
        <w:pStyle w:val="105"/>
        <w:spacing w:before="120" w:after="120" w:line="360" w:lineRule="auto"/>
        <w:rPr>
          <w:rFonts w:hint="eastAsia"/>
        </w:rPr>
      </w:pPr>
      <w:r>
        <w:rPr>
          <w:rFonts w:hint="eastAsia"/>
        </w:rPr>
        <w:t>管道与输配系统</w:t>
      </w:r>
    </w:p>
    <w:p w14:paraId="2905C82A">
      <w:pPr>
        <w:pStyle w:val="56"/>
        <w:spacing w:line="360" w:lineRule="auto"/>
        <w:ind w:firstLine="420"/>
        <w:rPr>
          <w:rFonts w:hint="eastAsia"/>
        </w:rPr>
      </w:pPr>
      <w:r>
        <w:rPr>
          <w:rFonts w:hint="eastAsia"/>
        </w:rPr>
        <w:t>输配系统应合理分区，防止回用水与饮用水、原污水交叉污染。管材应具有耐腐蚀、耐压、耐化学药剂特性，管道内表面应光滑以减少水头损失。回用水输送系统应配备防倒流装置，并在关键节点设置在线监测点位。</w:t>
      </w:r>
    </w:p>
    <w:p w14:paraId="79FA3228">
      <w:pPr>
        <w:pStyle w:val="105"/>
        <w:spacing w:before="120" w:after="120" w:line="360" w:lineRule="auto"/>
        <w:rPr>
          <w:rFonts w:hint="eastAsia"/>
        </w:rPr>
      </w:pPr>
      <w:r>
        <w:rPr>
          <w:rFonts w:hint="eastAsia"/>
        </w:rPr>
        <w:t>自动化与监控系统布设</w:t>
      </w:r>
    </w:p>
    <w:p w14:paraId="0E63279D">
      <w:pPr>
        <w:pStyle w:val="56"/>
        <w:spacing w:line="360" w:lineRule="auto"/>
        <w:ind w:firstLine="420"/>
        <w:rPr>
          <w:rFonts w:hint="eastAsia"/>
        </w:rPr>
      </w:pPr>
      <w:r>
        <w:rPr>
          <w:rFonts w:hint="eastAsia"/>
        </w:rPr>
        <w:t>应建立集中监控系统，实现进水、各处理单元出水及最终回用水的在线监测和远程控制。主要监控参数包括流量、压力、浊度、余氯、电导率、ph值、温度及关键污染物指标。</w:t>
      </w:r>
    </w:p>
    <w:p w14:paraId="0CF367E9">
      <w:pPr>
        <w:pStyle w:val="56"/>
        <w:spacing w:line="360" w:lineRule="auto"/>
        <w:ind w:firstLine="420"/>
        <w:rPr>
          <w:rFonts w:hint="eastAsia"/>
        </w:rPr>
      </w:pPr>
      <w:r>
        <w:rPr>
          <w:rFonts w:hint="eastAsia"/>
        </w:rPr>
        <w:t>应设置运行参数的报警与联锁保护功能，确保工艺运行的安全与稳定。</w:t>
      </w:r>
    </w:p>
    <w:p w14:paraId="476B343B">
      <w:pPr>
        <w:pStyle w:val="105"/>
        <w:spacing w:before="120" w:after="120" w:line="360" w:lineRule="auto"/>
        <w:rPr>
          <w:rFonts w:hint="eastAsia"/>
        </w:rPr>
      </w:pPr>
      <w:r>
        <w:rPr>
          <w:rFonts w:hint="eastAsia"/>
        </w:rPr>
        <w:t>施工质量控制与验收</w:t>
      </w:r>
    </w:p>
    <w:p w14:paraId="76BF95B8">
      <w:pPr>
        <w:pStyle w:val="165"/>
        <w:spacing w:line="360" w:lineRule="auto"/>
        <w:rPr>
          <w:rFonts w:hint="eastAsia"/>
        </w:rPr>
      </w:pPr>
      <w:r>
        <w:rPr>
          <w:rFonts w:hint="eastAsia"/>
        </w:rPr>
        <w:t>施工单位应严格按照设计文件及相关施工规范进行施工，关键工序应进行旁站监理和隐蔽工程验收。设备安装应符合制造厂技术要求和相关标准，并进行单机试运行和联动调试。</w:t>
      </w:r>
    </w:p>
    <w:p w14:paraId="285226B2">
      <w:pPr>
        <w:pStyle w:val="165"/>
        <w:spacing w:line="360" w:lineRule="auto"/>
      </w:pPr>
      <w:r>
        <w:rPr>
          <w:rFonts w:hint="eastAsia"/>
        </w:rPr>
        <w:t>工程竣工验收应包括外观质量检查、功能性测试、试运行评价及出水水质检测，确保达到设计与规范要求后方可投入运行。</w:t>
      </w:r>
    </w:p>
    <w:p w14:paraId="39649473">
      <w:pPr>
        <w:pStyle w:val="104"/>
        <w:spacing w:before="240" w:after="240" w:line="360" w:lineRule="auto"/>
        <w:rPr>
          <w:rFonts w:hint="eastAsia"/>
        </w:rPr>
      </w:pPr>
      <w:bookmarkStart w:id="55" w:name="_Toc205629369"/>
      <w:r>
        <w:rPr>
          <w:rFonts w:hint="eastAsia"/>
        </w:rPr>
        <w:t>运行管理与维护</w:t>
      </w:r>
      <w:bookmarkEnd w:id="55"/>
    </w:p>
    <w:p w14:paraId="28E25A48">
      <w:pPr>
        <w:pStyle w:val="105"/>
        <w:spacing w:before="120" w:after="120" w:line="360" w:lineRule="auto"/>
        <w:rPr>
          <w:rFonts w:hint="eastAsia"/>
        </w:rPr>
      </w:pPr>
      <w:r>
        <w:rPr>
          <w:rFonts w:hint="eastAsia"/>
        </w:rPr>
        <w:t>运行管理制度</w:t>
      </w:r>
    </w:p>
    <w:p w14:paraId="0EAE352E">
      <w:pPr>
        <w:pStyle w:val="56"/>
        <w:spacing w:line="360" w:lineRule="auto"/>
        <w:ind w:firstLine="420"/>
        <w:rPr>
          <w:rFonts w:hint="eastAsia"/>
        </w:rPr>
      </w:pPr>
      <w:r>
        <w:rPr>
          <w:rFonts w:hint="eastAsia"/>
        </w:rPr>
        <w:t>运行单位应建立完善的运行管理制度，明确岗位职责、操作规程、安全制度和应急预案。制度应覆盖工艺运行、设备维护、药剂管理、水质监测和数据记录等环节。应建立值班制度，确保处理设施连续稳定运行。</w:t>
      </w:r>
    </w:p>
    <w:p w14:paraId="09FB28FB">
      <w:pPr>
        <w:pStyle w:val="105"/>
        <w:spacing w:before="120" w:after="120" w:line="360" w:lineRule="auto"/>
        <w:rPr>
          <w:rFonts w:hint="eastAsia"/>
        </w:rPr>
      </w:pPr>
      <w:r>
        <w:rPr>
          <w:rFonts w:hint="eastAsia"/>
        </w:rPr>
        <w:t>运行参数监控</w:t>
      </w:r>
    </w:p>
    <w:p w14:paraId="035FE8C6">
      <w:pPr>
        <w:pStyle w:val="56"/>
        <w:spacing w:line="360" w:lineRule="auto"/>
        <w:ind w:firstLine="420"/>
        <w:rPr>
          <w:rFonts w:hint="eastAsia"/>
        </w:rPr>
      </w:pPr>
      <w:r>
        <w:rPr>
          <w:rFonts w:hint="eastAsia"/>
        </w:rPr>
        <w:t>各处理单元的运行参数应实时监控，并保持在设计范围内。</w:t>
      </w:r>
    </w:p>
    <w:p w14:paraId="4F445D0F">
      <w:pPr>
        <w:pStyle w:val="56"/>
        <w:spacing w:line="360" w:lineRule="auto"/>
        <w:ind w:firstLine="420"/>
        <w:rPr>
          <w:rFonts w:hint="eastAsia"/>
        </w:rPr>
      </w:pPr>
      <w:r>
        <w:rPr>
          <w:rFonts w:hint="eastAsia"/>
        </w:rPr>
        <w:t>膜分离系统应监控跨膜压差、产水量、回收率和冲洗周期。</w:t>
      </w:r>
    </w:p>
    <w:p w14:paraId="44751001">
      <w:pPr>
        <w:pStyle w:val="56"/>
        <w:spacing w:line="360" w:lineRule="auto"/>
        <w:ind w:firstLine="420"/>
        <w:rPr>
          <w:rFonts w:hint="eastAsia"/>
        </w:rPr>
      </w:pPr>
      <w:r>
        <w:rPr>
          <w:rFonts w:hint="eastAsia"/>
        </w:rPr>
        <w:t>吸附系统应监控进出水水质、压差和吸附剂使用寿命。</w:t>
      </w:r>
    </w:p>
    <w:p w14:paraId="7A72E1F4">
      <w:pPr>
        <w:pStyle w:val="56"/>
        <w:spacing w:line="360" w:lineRule="auto"/>
        <w:ind w:firstLine="420"/>
        <w:rPr>
          <w:rFonts w:hint="eastAsia"/>
        </w:rPr>
      </w:pPr>
      <w:r>
        <w:rPr>
          <w:rFonts w:hint="eastAsia"/>
        </w:rPr>
        <w:t>高级氧化系统应监控氧化剂浓度、反应时间、pH值和温度。</w:t>
      </w:r>
    </w:p>
    <w:p w14:paraId="2BE69D52">
      <w:pPr>
        <w:pStyle w:val="56"/>
        <w:spacing w:line="360" w:lineRule="auto"/>
        <w:ind w:firstLine="420"/>
        <w:rPr>
          <w:rFonts w:hint="eastAsia"/>
        </w:rPr>
      </w:pPr>
      <w:r>
        <w:rPr>
          <w:rFonts w:hint="eastAsia"/>
        </w:rPr>
        <w:t>消毒系统应监控消毒剂余量或紫外强度，确保杀菌效果。</w:t>
      </w:r>
    </w:p>
    <w:p w14:paraId="492E1147">
      <w:pPr>
        <w:pStyle w:val="56"/>
        <w:spacing w:line="360" w:lineRule="auto"/>
        <w:ind w:firstLine="420"/>
        <w:rPr>
          <w:rFonts w:hint="eastAsia"/>
        </w:rPr>
      </w:pPr>
      <w:r>
        <w:rPr>
          <w:rFonts w:hint="eastAsia"/>
        </w:rPr>
        <w:t>出现异常参数应及时分析原因并采取调整措施。</w:t>
      </w:r>
    </w:p>
    <w:p w14:paraId="18C27A32">
      <w:pPr>
        <w:pStyle w:val="105"/>
        <w:spacing w:before="120" w:after="120" w:line="360" w:lineRule="auto"/>
        <w:rPr>
          <w:rFonts w:hint="eastAsia"/>
        </w:rPr>
      </w:pPr>
      <w:r>
        <w:rPr>
          <w:rFonts w:hint="eastAsia"/>
        </w:rPr>
        <w:t>设备维护与保养</w:t>
      </w:r>
    </w:p>
    <w:p w14:paraId="77D688BB">
      <w:pPr>
        <w:pStyle w:val="56"/>
        <w:spacing w:line="360" w:lineRule="auto"/>
        <w:ind w:firstLine="420"/>
        <w:rPr>
          <w:rFonts w:hint="eastAsia"/>
        </w:rPr>
      </w:pPr>
      <w:r>
        <w:rPr>
          <w:rFonts w:hint="eastAsia"/>
        </w:rPr>
        <w:t>应根据设备运行说明书和厂家建议制定维护计划，包括日常检查、定期保养和年度大修。</w:t>
      </w:r>
    </w:p>
    <w:p w14:paraId="02821D5C">
      <w:pPr>
        <w:pStyle w:val="56"/>
        <w:spacing w:line="360" w:lineRule="auto"/>
        <w:ind w:firstLine="420"/>
        <w:rPr>
          <w:rFonts w:hint="eastAsia"/>
        </w:rPr>
      </w:pPr>
      <w:r>
        <w:rPr>
          <w:rFonts w:hint="eastAsia"/>
        </w:rPr>
        <w:t>膜组件应定期进行化学清洗（CIP），防止污染与结垢。</w:t>
      </w:r>
    </w:p>
    <w:p w14:paraId="0B35AC57">
      <w:pPr>
        <w:pStyle w:val="56"/>
        <w:spacing w:line="360" w:lineRule="auto"/>
        <w:ind w:firstLine="420"/>
        <w:rPr>
          <w:rFonts w:hint="eastAsia"/>
        </w:rPr>
      </w:pPr>
      <w:r>
        <w:rPr>
          <w:rFonts w:hint="eastAsia"/>
        </w:rPr>
        <w:t>活性炭应定期反洗并根据饱和程度更换或再生。</w:t>
      </w:r>
    </w:p>
    <w:p w14:paraId="0472A502">
      <w:pPr>
        <w:pStyle w:val="56"/>
        <w:spacing w:line="360" w:lineRule="auto"/>
        <w:ind w:firstLine="420"/>
        <w:rPr>
          <w:rFonts w:hint="eastAsia"/>
        </w:rPr>
      </w:pPr>
      <w:r>
        <w:rPr>
          <w:rFonts w:hint="eastAsia"/>
        </w:rPr>
        <w:t>臭氧发生器应定期检查电极和气源系统，紫外灯管应按寿命更换。</w:t>
      </w:r>
    </w:p>
    <w:p w14:paraId="3D30DE3F">
      <w:pPr>
        <w:pStyle w:val="56"/>
        <w:spacing w:line="360" w:lineRule="auto"/>
        <w:ind w:firstLine="420"/>
        <w:rPr>
          <w:rFonts w:hint="eastAsia"/>
        </w:rPr>
      </w:pPr>
      <w:r>
        <w:rPr>
          <w:rFonts w:hint="eastAsia"/>
        </w:rPr>
        <w:t>维护记录应完整保存，便于追溯与优化运行。</w:t>
      </w:r>
    </w:p>
    <w:p w14:paraId="018AAC5E">
      <w:pPr>
        <w:pStyle w:val="105"/>
        <w:spacing w:before="120" w:after="120" w:line="360" w:lineRule="auto"/>
        <w:rPr>
          <w:rFonts w:hint="eastAsia"/>
        </w:rPr>
      </w:pPr>
      <w:r>
        <w:rPr>
          <w:rFonts w:hint="eastAsia"/>
        </w:rPr>
        <w:t>药剂管理与储存</w:t>
      </w:r>
    </w:p>
    <w:p w14:paraId="40034E51">
      <w:pPr>
        <w:pStyle w:val="56"/>
        <w:spacing w:line="360" w:lineRule="auto"/>
        <w:ind w:firstLine="420"/>
        <w:rPr>
          <w:rFonts w:hint="eastAsia"/>
        </w:rPr>
      </w:pPr>
      <w:r>
        <w:rPr>
          <w:rFonts w:hint="eastAsia"/>
        </w:rPr>
        <w:t>应合理采购、储存和使用化学药剂，建立药剂台账，记录采购批次、用量和库存。药剂存放应分区管理，防止交叉污染，并符合安全储存要求。危险化学品应设置防泄漏、防爆、防火等安全措施。</w:t>
      </w:r>
    </w:p>
    <w:p w14:paraId="0D155E49">
      <w:pPr>
        <w:pStyle w:val="105"/>
        <w:spacing w:before="120" w:after="120" w:line="360" w:lineRule="auto"/>
        <w:rPr>
          <w:rFonts w:hint="eastAsia"/>
        </w:rPr>
      </w:pPr>
      <w:r>
        <w:rPr>
          <w:rFonts w:hint="eastAsia"/>
        </w:rPr>
        <w:t>污泥与废弃物处理</w:t>
      </w:r>
    </w:p>
    <w:p w14:paraId="07CEBB77">
      <w:pPr>
        <w:pStyle w:val="56"/>
        <w:spacing w:line="360" w:lineRule="auto"/>
        <w:ind w:firstLine="420"/>
        <w:rPr>
          <w:rFonts w:hint="eastAsia"/>
        </w:rPr>
      </w:pPr>
      <w:r>
        <w:rPr>
          <w:rFonts w:hint="eastAsia"/>
        </w:rPr>
        <w:t>深度处理过程中产生的污泥、废滤料、废膜元件等应按相关规定安全处置。污泥可采用浓缩、脱水、稳定化等方式处理，防止二次污染。废膜和废滤料应分类收集，并优先考虑资源化利用。</w:t>
      </w:r>
    </w:p>
    <w:p w14:paraId="41372A4D">
      <w:pPr>
        <w:pStyle w:val="105"/>
        <w:spacing w:before="120" w:after="120" w:line="360" w:lineRule="auto"/>
        <w:rPr>
          <w:rFonts w:hint="eastAsia"/>
        </w:rPr>
      </w:pPr>
      <w:r>
        <w:rPr>
          <w:rFonts w:hint="eastAsia"/>
        </w:rPr>
        <w:t>安全防护与应急预案</w:t>
      </w:r>
    </w:p>
    <w:p w14:paraId="7C5E9E3E">
      <w:pPr>
        <w:pStyle w:val="165"/>
        <w:spacing w:line="360" w:lineRule="auto"/>
        <w:rPr>
          <w:rFonts w:hint="eastAsia"/>
        </w:rPr>
      </w:pPr>
      <w:r>
        <w:rPr>
          <w:rFonts w:hint="eastAsia"/>
        </w:rPr>
        <w:t>运行场所应配备必要的安全防护设施，包括防护服、防护眼镜、呼吸防护器具等。</w:t>
      </w:r>
    </w:p>
    <w:p w14:paraId="4CEDC5CD">
      <w:pPr>
        <w:pStyle w:val="165"/>
        <w:spacing w:line="360" w:lineRule="auto"/>
      </w:pPr>
      <w:r>
        <w:rPr>
          <w:rFonts w:hint="eastAsia"/>
        </w:rPr>
        <w:t>应建立应急预案，针对停电、设备故障、药剂泄漏、出水水质超标等情况制定处置措施，并定期组织应急演练，提高应急处置能力。</w:t>
      </w:r>
    </w:p>
    <w:p w14:paraId="799FDFDE">
      <w:pPr>
        <w:pStyle w:val="104"/>
        <w:spacing w:before="240" w:after="240" w:line="360" w:lineRule="auto"/>
        <w:rPr>
          <w:rFonts w:hint="eastAsia"/>
        </w:rPr>
      </w:pPr>
      <w:bookmarkStart w:id="56" w:name="_Toc205629370"/>
      <w:r>
        <w:rPr>
          <w:rFonts w:hint="eastAsia"/>
        </w:rPr>
        <w:t>监测与数据管理</w:t>
      </w:r>
      <w:bookmarkEnd w:id="56"/>
    </w:p>
    <w:p w14:paraId="41489BD7">
      <w:pPr>
        <w:pStyle w:val="105"/>
        <w:spacing w:before="120" w:after="120" w:line="360" w:lineRule="auto"/>
        <w:rPr>
          <w:rFonts w:hint="eastAsia"/>
        </w:rPr>
      </w:pPr>
      <w:r>
        <w:rPr>
          <w:rFonts w:hint="eastAsia"/>
        </w:rPr>
        <w:t>监测点位与采样布设</w:t>
      </w:r>
    </w:p>
    <w:p w14:paraId="198F60DF">
      <w:pPr>
        <w:pStyle w:val="165"/>
        <w:spacing w:line="360" w:lineRule="auto"/>
        <w:rPr>
          <w:rFonts w:hint="eastAsia"/>
        </w:rPr>
      </w:pPr>
      <w:r>
        <w:rPr>
          <w:rFonts w:hint="eastAsia"/>
        </w:rPr>
        <w:t>监测点位应覆盖进水、各深度处理单元出水、最终回用水出水及回用水输送管网关键节点。点位布设应能全面反映处理过程的水质变化，兼顾代表性和可操作性。</w:t>
      </w:r>
    </w:p>
    <w:p w14:paraId="2C8415B7">
      <w:pPr>
        <w:pStyle w:val="165"/>
        <w:spacing w:line="360" w:lineRule="auto"/>
        <w:rPr>
          <w:rFonts w:hint="eastAsia"/>
        </w:rPr>
      </w:pPr>
      <w:r>
        <w:rPr>
          <w:rFonts w:hint="eastAsia"/>
        </w:rPr>
        <w:t>对于回用规模较大或用途较为敏感的系统，应在输配末端设置额外监测点，以便发现管网二次污染问题。</w:t>
      </w:r>
    </w:p>
    <w:p w14:paraId="15E0E020">
      <w:pPr>
        <w:pStyle w:val="105"/>
        <w:spacing w:before="120" w:after="120" w:line="360" w:lineRule="auto"/>
        <w:rPr>
          <w:rFonts w:hint="eastAsia"/>
        </w:rPr>
      </w:pPr>
      <w:r>
        <w:rPr>
          <w:rFonts w:hint="eastAsia"/>
        </w:rPr>
        <w:t>监测项目与频次</w:t>
      </w:r>
    </w:p>
    <w:p w14:paraId="6F02FAE6">
      <w:pPr>
        <w:pStyle w:val="165"/>
        <w:spacing w:line="360" w:lineRule="auto"/>
        <w:rPr>
          <w:rFonts w:hint="eastAsia"/>
        </w:rPr>
      </w:pPr>
      <w:r>
        <w:rPr>
          <w:rFonts w:hint="eastAsia"/>
        </w:rPr>
        <w:t>监测项目应根据回用用途、水质要求和风险等级确定，至少应包括浊度、色度、pH、溶解性总固体、电导率、氨氮、总氮、总磷、化学需氧量、生化需氧量、大肠杆菌群数等。</w:t>
      </w:r>
    </w:p>
    <w:p w14:paraId="60602A23">
      <w:pPr>
        <w:pStyle w:val="165"/>
        <w:spacing w:line="360" w:lineRule="auto"/>
        <w:rPr>
          <w:rFonts w:hint="eastAsia"/>
        </w:rPr>
      </w:pPr>
      <w:r>
        <w:rPr>
          <w:rFonts w:hint="eastAsia"/>
        </w:rPr>
        <w:t>工业锅炉补水、景观水体补水等高风险用途应增加重金属、微量有机物、消毒副产物等专项监测。</w:t>
      </w:r>
    </w:p>
    <w:p w14:paraId="643D5FCC">
      <w:pPr>
        <w:pStyle w:val="165"/>
        <w:spacing w:line="360" w:lineRule="auto"/>
        <w:rPr>
          <w:rFonts w:hint="eastAsia"/>
        </w:rPr>
      </w:pPr>
      <w:r>
        <w:rPr>
          <w:rFonts w:hint="eastAsia"/>
        </w:rPr>
        <w:t>监测频次可分为在线连续监测（关键指标）与人工定期监测（综合指标），人工检测频率不应低于每周一次，高风险用途应不少于每日一次。</w:t>
      </w:r>
    </w:p>
    <w:p w14:paraId="530E70B6">
      <w:pPr>
        <w:pStyle w:val="105"/>
        <w:spacing w:before="120" w:after="120" w:line="360" w:lineRule="auto"/>
        <w:rPr>
          <w:rFonts w:hint="eastAsia"/>
        </w:rPr>
      </w:pPr>
      <w:r>
        <w:rPr>
          <w:rFonts w:hint="eastAsia"/>
        </w:rPr>
        <w:t>数据采集与传输</w:t>
      </w:r>
    </w:p>
    <w:p w14:paraId="6C06DE91">
      <w:pPr>
        <w:pStyle w:val="56"/>
        <w:spacing w:line="360" w:lineRule="auto"/>
        <w:ind w:firstLine="420"/>
        <w:rPr>
          <w:rFonts w:hint="eastAsia"/>
        </w:rPr>
      </w:pPr>
      <w:r>
        <w:rPr>
          <w:rFonts w:hint="eastAsia"/>
        </w:rPr>
        <w:t>应采用自动化监测系统采集关键运行数据，并配备远程传输功能，确保实时数据上传至监控中心或环境管理平台。对于人工监测数据，应在采样后24小时内录入信息系统，确保信息完整和可追溯。</w:t>
      </w:r>
    </w:p>
    <w:p w14:paraId="1F235DFE">
      <w:pPr>
        <w:pStyle w:val="105"/>
        <w:spacing w:before="120" w:after="120" w:line="360" w:lineRule="auto"/>
        <w:rPr>
          <w:rFonts w:hint="eastAsia"/>
        </w:rPr>
      </w:pPr>
      <w:r>
        <w:rPr>
          <w:rFonts w:hint="eastAsia"/>
        </w:rPr>
        <w:t>数据质量控制</w:t>
      </w:r>
    </w:p>
    <w:p w14:paraId="2AD9AACC">
      <w:pPr>
        <w:pStyle w:val="165"/>
        <w:spacing w:line="360" w:lineRule="auto"/>
        <w:rPr>
          <w:rFonts w:hint="eastAsia"/>
        </w:rPr>
      </w:pPr>
      <w:r>
        <w:rPr>
          <w:rFonts w:hint="eastAsia"/>
        </w:rPr>
        <w:t>应建立监测设备定期校准制度，确保检测数据的准确性与一致性。采样与检测应遵循国家相关技术标准和操作规程，必要时引入第三方检测机构进行比对验证。</w:t>
      </w:r>
    </w:p>
    <w:p w14:paraId="7B7A1F8F">
      <w:pPr>
        <w:pStyle w:val="165"/>
        <w:spacing w:line="360" w:lineRule="auto"/>
        <w:rPr>
          <w:rFonts w:hint="eastAsia"/>
        </w:rPr>
      </w:pPr>
      <w:r>
        <w:rPr>
          <w:rFonts w:hint="eastAsia"/>
        </w:rPr>
        <w:t>所有原始监测记录应完整保存，不得随意修改。数据异常应立即复核，并进行原因分析与整改。</w:t>
      </w:r>
    </w:p>
    <w:p w14:paraId="4F2C9CCF">
      <w:pPr>
        <w:pStyle w:val="105"/>
        <w:spacing w:before="120" w:after="120" w:line="360" w:lineRule="auto"/>
        <w:rPr>
          <w:rFonts w:hint="eastAsia"/>
        </w:rPr>
      </w:pPr>
      <w:r>
        <w:rPr>
          <w:rFonts w:hint="eastAsia"/>
        </w:rPr>
        <w:t>数据分析与预警系统</w:t>
      </w:r>
    </w:p>
    <w:p w14:paraId="7D889227">
      <w:pPr>
        <w:pStyle w:val="165"/>
        <w:spacing w:line="360" w:lineRule="auto"/>
        <w:rPr>
          <w:rFonts w:hint="eastAsia"/>
        </w:rPr>
      </w:pPr>
      <w:r>
        <w:rPr>
          <w:rFonts w:hint="eastAsia"/>
        </w:rPr>
        <w:t>应对监测数据进行趋势分析、波动分析和异常检测，发现潜在的水质风险及时发出预警。</w:t>
      </w:r>
    </w:p>
    <w:p w14:paraId="2E498BC7">
      <w:pPr>
        <w:pStyle w:val="165"/>
        <w:spacing w:line="360" w:lineRule="auto"/>
      </w:pPr>
      <w:r>
        <w:rPr>
          <w:rFonts w:hint="eastAsia"/>
        </w:rPr>
        <w:t>建议建立基于大数据和人工智能的预测模型，对季节性变化、用水需求变化及突发事件进行预测分析，为运行调整和应急决策提供依据。</w:t>
      </w:r>
    </w:p>
    <w:p w14:paraId="246572E7">
      <w:pPr>
        <w:pStyle w:val="104"/>
        <w:spacing w:before="240" w:after="240" w:line="360" w:lineRule="auto"/>
        <w:rPr>
          <w:rFonts w:hint="eastAsia"/>
        </w:rPr>
      </w:pPr>
      <w:bookmarkStart w:id="57" w:name="_Toc205629371"/>
      <w:r>
        <w:rPr>
          <w:rFonts w:hint="eastAsia"/>
        </w:rPr>
        <w:t>水质达标评估与改进</w:t>
      </w:r>
      <w:bookmarkEnd w:id="57"/>
    </w:p>
    <w:p w14:paraId="0867E043">
      <w:pPr>
        <w:pStyle w:val="105"/>
        <w:spacing w:before="120" w:after="120" w:line="360" w:lineRule="auto"/>
        <w:rPr>
          <w:rFonts w:hint="eastAsia"/>
        </w:rPr>
      </w:pPr>
      <w:r>
        <w:rPr>
          <w:rFonts w:hint="eastAsia"/>
        </w:rPr>
        <w:t>评估原则</w:t>
      </w:r>
    </w:p>
    <w:p w14:paraId="14132D8E">
      <w:pPr>
        <w:pStyle w:val="56"/>
        <w:spacing w:line="360" w:lineRule="auto"/>
        <w:ind w:firstLine="420"/>
        <w:rPr>
          <w:rFonts w:hint="eastAsia"/>
        </w:rPr>
      </w:pPr>
      <w:r>
        <w:rPr>
          <w:rFonts w:hint="eastAsia"/>
        </w:rPr>
        <w:t>水质达标评估应遵循科学、客观、系统、可追溯的原则，以长期运行数据为依据，综合考量水质稳定性、达标率、波动幅度及水质对回用用途的适配性。评估不仅应关注最终出水，还应重视各关键处理单元的运行效果。</w:t>
      </w:r>
    </w:p>
    <w:p w14:paraId="7F8C2002">
      <w:pPr>
        <w:pStyle w:val="105"/>
        <w:spacing w:before="120" w:after="120" w:line="360" w:lineRule="auto"/>
        <w:rPr>
          <w:rFonts w:hint="eastAsia"/>
        </w:rPr>
      </w:pPr>
      <w:r>
        <w:rPr>
          <w:rFonts w:hint="eastAsia"/>
        </w:rPr>
        <w:t>评估指标体系</w:t>
      </w:r>
    </w:p>
    <w:p w14:paraId="3DB4E343">
      <w:pPr>
        <w:pStyle w:val="56"/>
        <w:spacing w:line="360" w:lineRule="auto"/>
        <w:ind w:firstLine="420"/>
        <w:rPr>
          <w:rFonts w:hint="eastAsia"/>
        </w:rPr>
      </w:pPr>
      <w:r>
        <w:rPr>
          <w:rFonts w:hint="eastAsia"/>
        </w:rPr>
        <w:t>评估指标应覆盖物理、化学、生物三类水质参数，以及运行管理指标：</w:t>
      </w:r>
    </w:p>
    <w:p w14:paraId="35EAAD96">
      <w:pPr>
        <w:pStyle w:val="132"/>
        <w:spacing w:line="360" w:lineRule="auto"/>
        <w:rPr>
          <w:rFonts w:hint="eastAsia"/>
        </w:rPr>
      </w:pPr>
      <w:r>
        <w:rPr>
          <w:rFonts w:hint="eastAsia"/>
        </w:rPr>
        <w:t>物理指标：浊度、色度、温度、悬浮物；</w:t>
      </w:r>
    </w:p>
    <w:p w14:paraId="60A998CE">
      <w:pPr>
        <w:pStyle w:val="132"/>
        <w:spacing w:line="360" w:lineRule="auto"/>
        <w:rPr>
          <w:rFonts w:hint="eastAsia"/>
        </w:rPr>
      </w:pPr>
      <w:r>
        <w:rPr>
          <w:rFonts w:hint="eastAsia"/>
        </w:rPr>
        <w:t>化学指标：pH、溶解性总固体、电导率、氨氮、总氮、总磷、化学需氧量、重金属；</w:t>
      </w:r>
    </w:p>
    <w:p w14:paraId="7DFD3D5F">
      <w:pPr>
        <w:pStyle w:val="132"/>
        <w:spacing w:line="360" w:lineRule="auto"/>
        <w:rPr>
          <w:rFonts w:hint="eastAsia"/>
        </w:rPr>
      </w:pPr>
      <w:r>
        <w:rPr>
          <w:rFonts w:hint="eastAsia"/>
        </w:rPr>
        <w:t>生物指标：大肠杆菌群数、总大肠菌、病原微生物检测结果；</w:t>
      </w:r>
    </w:p>
    <w:p w14:paraId="64CA241A">
      <w:pPr>
        <w:pStyle w:val="132"/>
        <w:spacing w:line="360" w:lineRule="auto"/>
        <w:rPr>
          <w:rFonts w:hint="eastAsia"/>
        </w:rPr>
      </w:pPr>
      <w:r>
        <w:rPr>
          <w:rFonts w:hint="eastAsia"/>
        </w:rPr>
        <w:t>运行管理指标：在线监测合格率、设备运行率、异常处理及时率。</w:t>
      </w:r>
    </w:p>
    <w:p w14:paraId="2D2F6B60">
      <w:pPr>
        <w:pStyle w:val="105"/>
        <w:spacing w:before="120" w:after="120" w:line="360" w:lineRule="auto"/>
        <w:rPr>
          <w:rFonts w:hint="eastAsia"/>
        </w:rPr>
      </w:pPr>
      <w:r>
        <w:rPr>
          <w:rFonts w:hint="eastAsia"/>
        </w:rPr>
        <w:t>达标判定方法</w:t>
      </w:r>
    </w:p>
    <w:p w14:paraId="0F370DEE">
      <w:pPr>
        <w:pStyle w:val="56"/>
        <w:spacing w:line="360" w:lineRule="auto"/>
        <w:ind w:firstLine="420"/>
        <w:rPr>
          <w:rFonts w:hint="eastAsia"/>
        </w:rPr>
      </w:pPr>
      <w:r>
        <w:rPr>
          <w:rFonts w:hint="eastAsia"/>
        </w:rPr>
        <w:t>达标判定应以监测周期内所有监测数据为基础，计算达标率：</w:t>
      </w:r>
    </w:p>
    <w:p w14:paraId="757C4EAC">
      <w:pPr>
        <w:pStyle w:val="132"/>
        <w:spacing w:line="360" w:lineRule="auto"/>
        <w:rPr>
          <w:rFonts w:hint="eastAsia"/>
        </w:rPr>
      </w:pPr>
      <w:r>
        <w:rPr>
          <w:rFonts w:hint="eastAsia"/>
        </w:rPr>
        <w:t>当达标率≥95%且无重大超标事件时，可判定为“稳定达标”；</w:t>
      </w:r>
    </w:p>
    <w:p w14:paraId="6F3DC434">
      <w:pPr>
        <w:pStyle w:val="132"/>
        <w:spacing w:line="360" w:lineRule="auto"/>
        <w:rPr>
          <w:rFonts w:hint="eastAsia"/>
        </w:rPr>
      </w:pPr>
      <w:r>
        <w:rPr>
          <w:rFonts w:hint="eastAsia"/>
        </w:rPr>
        <w:t>当达标率在90%～95%之间，且超标值不超过限值10%时，可判定为“基本达标”，但需制定改进计划；</w:t>
      </w:r>
    </w:p>
    <w:p w14:paraId="31E250D9">
      <w:pPr>
        <w:pStyle w:val="132"/>
        <w:spacing w:line="360" w:lineRule="auto"/>
        <w:rPr>
          <w:rFonts w:hint="eastAsia"/>
        </w:rPr>
      </w:pPr>
      <w:r>
        <w:rPr>
          <w:rFonts w:hint="eastAsia"/>
        </w:rPr>
        <w:t>当达标率＜90%或出现严重超标情况时，应判定为“不达标”，需立即启动整改措施。</w:t>
      </w:r>
    </w:p>
    <w:p w14:paraId="247C437F">
      <w:pPr>
        <w:pStyle w:val="105"/>
        <w:spacing w:before="120" w:after="120" w:line="360" w:lineRule="auto"/>
        <w:rPr>
          <w:rFonts w:hint="eastAsia"/>
        </w:rPr>
      </w:pPr>
      <w:r>
        <w:rPr>
          <w:rFonts w:hint="eastAsia"/>
        </w:rPr>
        <w:t>问题诊断与改进措施</w:t>
      </w:r>
    </w:p>
    <w:p w14:paraId="4E362DF6">
      <w:pPr>
        <w:pStyle w:val="56"/>
        <w:spacing w:line="360" w:lineRule="auto"/>
        <w:ind w:firstLine="420"/>
        <w:rPr>
          <w:rFonts w:hint="eastAsia"/>
        </w:rPr>
      </w:pPr>
      <w:r>
        <w:rPr>
          <w:rFonts w:hint="eastAsia"/>
        </w:rPr>
        <w:t>对评估发现的水质问题，应进行系统诊断，包括：</w:t>
      </w:r>
    </w:p>
    <w:p w14:paraId="588F0D3C">
      <w:pPr>
        <w:pStyle w:val="132"/>
        <w:spacing w:line="360" w:lineRule="auto"/>
        <w:rPr>
          <w:rFonts w:hint="eastAsia"/>
        </w:rPr>
      </w:pPr>
      <w:r>
        <w:rPr>
          <w:rFonts w:hint="eastAsia"/>
        </w:rPr>
        <w:t>分析进水水质波动对出水的影响；</w:t>
      </w:r>
    </w:p>
    <w:p w14:paraId="0969BD90">
      <w:pPr>
        <w:pStyle w:val="132"/>
        <w:spacing w:line="360" w:lineRule="auto"/>
        <w:rPr>
          <w:rFonts w:hint="eastAsia"/>
        </w:rPr>
      </w:pPr>
      <w:r>
        <w:rPr>
          <w:rFonts w:hint="eastAsia"/>
        </w:rPr>
        <w:t>检查工艺运行参数与设计值偏差；</w:t>
      </w:r>
    </w:p>
    <w:p w14:paraId="026178F4">
      <w:pPr>
        <w:pStyle w:val="132"/>
        <w:spacing w:line="360" w:lineRule="auto"/>
        <w:rPr>
          <w:rFonts w:hint="eastAsia"/>
        </w:rPr>
      </w:pPr>
      <w:r>
        <w:rPr>
          <w:rFonts w:hint="eastAsia"/>
        </w:rPr>
        <w:t>检测设备性能与药剂投加准确性；</w:t>
      </w:r>
    </w:p>
    <w:p w14:paraId="2670B09F">
      <w:pPr>
        <w:pStyle w:val="132"/>
        <w:spacing w:line="360" w:lineRule="auto"/>
        <w:rPr>
          <w:rFonts w:hint="eastAsia"/>
        </w:rPr>
      </w:pPr>
      <w:r>
        <w:rPr>
          <w:rFonts w:hint="eastAsia"/>
        </w:rPr>
        <w:t>排查管网二次污染。</w:t>
      </w:r>
    </w:p>
    <w:p w14:paraId="4C348061">
      <w:pPr>
        <w:pStyle w:val="56"/>
        <w:spacing w:line="360" w:lineRule="auto"/>
        <w:ind w:firstLine="420"/>
        <w:rPr>
          <w:rFonts w:hint="eastAsia"/>
        </w:rPr>
      </w:pPr>
      <w:r>
        <w:rPr>
          <w:rFonts w:hint="eastAsia"/>
        </w:rPr>
        <w:t>改进措施可包括调整运行参数、优化药剂投加、增加预处理环节、提高消毒能力、更新或改造处理单元等。</w:t>
      </w:r>
    </w:p>
    <w:p w14:paraId="1C1FAB6F">
      <w:pPr>
        <w:pStyle w:val="105"/>
        <w:spacing w:before="120" w:after="120" w:line="360" w:lineRule="auto"/>
        <w:rPr>
          <w:rFonts w:hint="eastAsia"/>
        </w:rPr>
      </w:pPr>
      <w:r>
        <w:rPr>
          <w:rFonts w:hint="eastAsia"/>
        </w:rPr>
        <w:t>持续改进机制</w:t>
      </w:r>
    </w:p>
    <w:p w14:paraId="06007088">
      <w:pPr>
        <w:pStyle w:val="56"/>
        <w:spacing w:line="360" w:lineRule="auto"/>
        <w:ind w:firstLine="420"/>
        <w:rPr>
          <w:rFonts w:hint="eastAsia"/>
        </w:rPr>
      </w:pPr>
      <w:r>
        <w:rPr>
          <w:rFonts w:hint="eastAsia"/>
        </w:rPr>
        <w:t>运行单位应建立“评估—改进—再评估”的闭环管理机制，将评估结果与人员绩效、设备维护计划、工艺优化方案相结合，推动水质持续提升。对于多次评估均稳定达标的工程，应总结经验并形成标准化运行模式；对于反复出现问题的，应引入第三方技术支持或改造方案。</w:t>
      </w:r>
    </w:p>
    <w:p w14:paraId="4D62513F">
      <w:pPr>
        <w:pStyle w:val="104"/>
        <w:spacing w:before="240" w:after="240" w:line="360" w:lineRule="auto"/>
        <w:rPr>
          <w:rFonts w:hint="eastAsia"/>
        </w:rPr>
      </w:pPr>
      <w:bookmarkStart w:id="58" w:name="_Toc205629372"/>
      <w:r>
        <w:rPr>
          <w:rFonts w:hint="eastAsia"/>
        </w:rPr>
        <w:t>法规政策与合规管理</w:t>
      </w:r>
      <w:bookmarkEnd w:id="58"/>
    </w:p>
    <w:p w14:paraId="0AB48FCB">
      <w:pPr>
        <w:pStyle w:val="105"/>
        <w:spacing w:before="120" w:after="120" w:line="360" w:lineRule="auto"/>
        <w:rPr>
          <w:rFonts w:hint="eastAsia"/>
        </w:rPr>
      </w:pPr>
      <w:r>
        <w:rPr>
          <w:rFonts w:hint="eastAsia"/>
        </w:rPr>
        <w:t>法律法规遵循</w:t>
      </w:r>
    </w:p>
    <w:p w14:paraId="4BFD1FDC">
      <w:pPr>
        <w:pStyle w:val="56"/>
        <w:spacing w:line="360" w:lineRule="auto"/>
        <w:ind w:firstLine="420"/>
        <w:rPr>
          <w:rFonts w:hint="eastAsia"/>
        </w:rPr>
      </w:pPr>
      <w:r>
        <w:rPr>
          <w:rFonts w:hint="eastAsia"/>
        </w:rPr>
        <w:t>污水深度处理与回用的设计、建设、运行、管理等各环节，应符合国家及地方现行的环境保护、水资源管理、公共卫生、安全生产等法律法规及相关标准规范的要求。运行单位应定期梳理和更新适用的法律法规，并将其落实到内部管理制度和操作规程中。</w:t>
      </w:r>
    </w:p>
    <w:p w14:paraId="719238BA">
      <w:pPr>
        <w:pStyle w:val="105"/>
        <w:spacing w:before="120" w:after="120" w:line="360" w:lineRule="auto"/>
        <w:rPr>
          <w:rFonts w:hint="eastAsia"/>
        </w:rPr>
      </w:pPr>
      <w:r>
        <w:rPr>
          <w:rFonts w:hint="eastAsia"/>
        </w:rPr>
        <w:t>排污许可管理</w:t>
      </w:r>
    </w:p>
    <w:p w14:paraId="1197239F">
      <w:pPr>
        <w:pStyle w:val="56"/>
        <w:spacing w:line="360" w:lineRule="auto"/>
        <w:ind w:firstLine="420"/>
        <w:rPr>
          <w:rFonts w:hint="eastAsia"/>
        </w:rPr>
      </w:pPr>
      <w:r>
        <w:rPr>
          <w:rFonts w:hint="eastAsia"/>
        </w:rPr>
        <w:t>涉及排放行为的单位，应依法申请并取得排污许可证，严格按照许可中核定的排放种类、浓度、总量和时段等要求执行。对于需要回用的水量和水质，应在许可申请和审批中明确说明，并将回用设施纳入管理范围。</w:t>
      </w:r>
    </w:p>
    <w:p w14:paraId="647F007C">
      <w:pPr>
        <w:pStyle w:val="105"/>
        <w:spacing w:before="120" w:after="120" w:line="360" w:lineRule="auto"/>
        <w:rPr>
          <w:rFonts w:hint="eastAsia"/>
        </w:rPr>
      </w:pPr>
      <w:r>
        <w:rPr>
          <w:rFonts w:hint="eastAsia"/>
        </w:rPr>
        <w:t>执法检查与整改</w:t>
      </w:r>
    </w:p>
    <w:p w14:paraId="77428FDA">
      <w:pPr>
        <w:pStyle w:val="56"/>
        <w:spacing w:line="360" w:lineRule="auto"/>
        <w:ind w:firstLine="420"/>
        <w:rPr>
          <w:rFonts w:hint="eastAsia"/>
        </w:rPr>
      </w:pPr>
      <w:r>
        <w:rPr>
          <w:rFonts w:hint="eastAsia"/>
        </w:rPr>
        <w:t>环境主管部门应定期或不定期开展执法检查，重点检查污水深度处理设施的运行状况、回用水水质、监测记录、台账管理等。发现违规行为或水质不达标的，应依法责令限期整改，并对拒不整改或造成严重后果的单位依法处罚。</w:t>
      </w:r>
    </w:p>
    <w:p w14:paraId="383E3426">
      <w:pPr>
        <w:pStyle w:val="105"/>
        <w:spacing w:before="120" w:after="120" w:line="360" w:lineRule="auto"/>
        <w:rPr>
          <w:rFonts w:hint="eastAsia"/>
        </w:rPr>
      </w:pPr>
      <w:r>
        <w:rPr>
          <w:rFonts w:hint="eastAsia"/>
        </w:rPr>
        <w:t>信息公开与社会监督</w:t>
      </w:r>
    </w:p>
    <w:p w14:paraId="456356FE">
      <w:pPr>
        <w:pStyle w:val="56"/>
        <w:spacing w:line="360" w:lineRule="auto"/>
        <w:ind w:firstLine="420"/>
        <w:rPr>
          <w:rFonts w:hint="eastAsia"/>
        </w:rPr>
      </w:pPr>
      <w:r>
        <w:rPr>
          <w:rFonts w:hint="eastAsia"/>
        </w:rPr>
        <w:t>运行单位应按照有关规定，及时公开回用水水质监测数据、运行情况和整改措施等信息，接受公众和社会组织的监督。对涉及公共健康和重大环境风险的突发事件，应第一时间向社会发布警示信息和应对措施。</w:t>
      </w:r>
    </w:p>
    <w:p w14:paraId="53E1DFD3">
      <w:pPr>
        <w:pStyle w:val="104"/>
        <w:spacing w:before="240" w:after="240" w:line="360" w:lineRule="auto"/>
        <w:rPr>
          <w:rFonts w:hint="eastAsia"/>
        </w:rPr>
      </w:pPr>
      <w:bookmarkStart w:id="59" w:name="_Toc205629373"/>
      <w:r>
        <w:rPr>
          <w:rFonts w:hint="eastAsia"/>
        </w:rPr>
        <w:t>公共参与与宣传教育</w:t>
      </w:r>
      <w:bookmarkEnd w:id="59"/>
    </w:p>
    <w:p w14:paraId="138DFCE3">
      <w:pPr>
        <w:pStyle w:val="105"/>
        <w:spacing w:before="120" w:after="120" w:line="360" w:lineRule="auto"/>
        <w:rPr>
          <w:rFonts w:hint="eastAsia"/>
        </w:rPr>
      </w:pPr>
      <w:r>
        <w:rPr>
          <w:rFonts w:hint="eastAsia"/>
        </w:rPr>
        <w:t>公众参与机制</w:t>
      </w:r>
    </w:p>
    <w:p w14:paraId="492B521A">
      <w:pPr>
        <w:pStyle w:val="56"/>
        <w:spacing w:line="360" w:lineRule="auto"/>
        <w:ind w:firstLine="420"/>
        <w:rPr>
          <w:rFonts w:hint="eastAsia"/>
        </w:rPr>
      </w:pPr>
      <w:r>
        <w:rPr>
          <w:rFonts w:hint="eastAsia"/>
        </w:rPr>
        <w:t>运行单位和主管部门应建立公众参与渠道，包括意见征集、公众听证、回用水水质公示、突发事件信息通报等，确保公众在污水深度处理与回用的管理中有知情权、参与权和监督权。对于涉及景观补水、生态补水等与公众接触较多的用途，应特别重视公众反馈，并将合理建议纳入改进计划。</w:t>
      </w:r>
    </w:p>
    <w:p w14:paraId="09C0FF6F">
      <w:pPr>
        <w:pStyle w:val="105"/>
        <w:spacing w:before="120" w:after="120" w:line="360" w:lineRule="auto"/>
        <w:rPr>
          <w:rFonts w:hint="eastAsia"/>
        </w:rPr>
      </w:pPr>
      <w:r>
        <w:rPr>
          <w:rFonts w:hint="eastAsia"/>
        </w:rPr>
        <w:t>环境教育与科普宣传</w:t>
      </w:r>
    </w:p>
    <w:p w14:paraId="4C140DA1">
      <w:pPr>
        <w:pStyle w:val="56"/>
        <w:spacing w:line="360" w:lineRule="auto"/>
        <w:ind w:firstLine="420"/>
        <w:rPr>
          <w:rFonts w:hint="eastAsia"/>
        </w:rPr>
      </w:pPr>
      <w:r>
        <w:rPr>
          <w:rFonts w:hint="eastAsia"/>
        </w:rPr>
        <w:t>应定期组织环境保护宣传活动，通过展览、讲座、媒体报道、网络平台等多种形式，普及污水深度处理与回用的原理、益处和安全性，消除公众疑虑，提升节水与环保意识。学校和社区可结合课程与活动，将污水回用知识融入日常教育体系。</w:t>
      </w:r>
    </w:p>
    <w:p w14:paraId="329C3C70">
      <w:pPr>
        <w:pStyle w:val="105"/>
        <w:spacing w:before="120" w:after="120" w:line="360" w:lineRule="auto"/>
        <w:rPr>
          <w:rFonts w:hint="eastAsia"/>
        </w:rPr>
      </w:pPr>
      <w:r>
        <w:rPr>
          <w:rFonts w:hint="eastAsia"/>
        </w:rPr>
        <w:t>社会力量参与治理</w:t>
      </w:r>
    </w:p>
    <w:p w14:paraId="2EC757F9">
      <w:pPr>
        <w:pStyle w:val="56"/>
        <w:spacing w:line="360" w:lineRule="auto"/>
        <w:ind w:firstLine="420"/>
        <w:rPr>
          <w:rFonts w:hint="eastAsia"/>
        </w:rPr>
      </w:pPr>
      <w:r>
        <w:rPr>
          <w:rFonts w:hint="eastAsia"/>
        </w:rPr>
        <w:t>鼓励环保社会组织、志愿者团队、科研院所参与水质监测、设施巡查、环境调研和宣传教育活动。运行单位可与社会组织签订合作协议，开展定期水质检测公示、公众开放日、技术研讨会等活动，形成政府、企业、公众三方协同治理格局。</w:t>
      </w:r>
    </w:p>
    <w:p w14:paraId="3DF27EC8">
      <w:pPr>
        <w:pStyle w:val="105"/>
        <w:spacing w:before="120" w:after="120" w:line="360" w:lineRule="auto"/>
        <w:rPr>
          <w:rFonts w:hint="eastAsia"/>
        </w:rPr>
      </w:pPr>
      <w:r>
        <w:rPr>
          <w:rFonts w:hint="eastAsia"/>
        </w:rPr>
        <w:t>激励与表彰机制</w:t>
      </w:r>
    </w:p>
    <w:p w14:paraId="7B263F5F">
      <w:pPr>
        <w:pStyle w:val="56"/>
        <w:spacing w:line="360" w:lineRule="auto"/>
        <w:ind w:firstLine="420"/>
        <w:rPr>
          <w:rFonts w:hint="eastAsia"/>
        </w:rPr>
      </w:pPr>
      <w:r>
        <w:rPr>
          <w:rFonts w:hint="eastAsia"/>
        </w:rPr>
        <w:t>对在污水回用推广、污染物减排、水质提升等方面作出突出贡献的单位和个人，应通过通报表扬、资金支持、技术培训等方式予以鼓励，推动社会各界持续参与污水深度处理与回用事业。</w:t>
      </w:r>
    </w:p>
    <w:bookmarkEnd w:id="26"/>
    <w:p w14:paraId="614E3589">
      <w:pPr>
        <w:pStyle w:val="56"/>
        <w:spacing w:line="360" w:lineRule="auto"/>
        <w:ind w:firstLine="0" w:firstLineChars="0"/>
        <w:jc w:val="center"/>
        <w:rPr>
          <w:rFonts w:hint="eastAsia"/>
        </w:rPr>
      </w:pPr>
      <w:bookmarkStart w:id="60" w:name="BookMark8"/>
      <w:r>
        <w:rPr>
          <w:rFonts w:hint="eastAsia"/>
        </w:rPr>
        <w:drawing>
          <wp:inline distT="0" distB="0" distL="0" distR="0">
            <wp:extent cx="1485900" cy="317500"/>
            <wp:effectExtent l="0" t="0" r="0" b="6350"/>
            <wp:docPr id="1937237252" name="图片 1"/>
            <wp:cNvGraphicFramePr/>
            <a:graphic xmlns:a="http://schemas.openxmlformats.org/drawingml/2006/main">
              <a:graphicData uri="http://schemas.openxmlformats.org/drawingml/2006/picture">
                <pic:pic xmlns:pic="http://schemas.openxmlformats.org/drawingml/2006/picture">
                  <pic:nvPicPr>
                    <pic:cNvPr id="1937237252"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7B609">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54DC">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5041">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486F">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9C897">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8EB2">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C95AA">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372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9C3C">
    <w:pPr>
      <w:pStyle w:val="61"/>
    </w:pPr>
    <w:r>
      <w:fldChar w:fldCharType="begin"/>
    </w:r>
    <w:r>
      <w:instrText xml:space="preserve"> STYLEREF  标准文件_文件编号  \* MERGEFORMAT </w:instrText>
    </w:r>
    <w:r>
      <w:fldChar w:fldCharType="separate"/>
    </w:r>
    <w:r>
      <w:t>T/XJBX 0057—2025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D3C96">
    <w:pPr>
      <w:pStyle w:val="62"/>
    </w:pPr>
    <w:r>
      <w:fldChar w:fldCharType="begin"/>
    </w:r>
    <w:r>
      <w:instrText xml:space="preserve"> STYLEREF  标准文件_文件编号 \* MERGEFORMAT </w:instrText>
    </w:r>
    <w:r>
      <w:fldChar w:fldCharType="separate"/>
    </w:r>
    <w:r>
      <w:t>T/XJBX 0057—2025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6B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0057—2025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C254">
    <w:pPr>
      <w:pStyle w:val="61"/>
    </w:pPr>
    <w:r>
      <w:fldChar w:fldCharType="begin"/>
    </w:r>
    <w:r>
      <w:instrText xml:space="preserve"> STYLEREF  标准文件_文件编号  \* MERGEFORMAT </w:instrText>
    </w:r>
    <w:r>
      <w:fldChar w:fldCharType="separate"/>
    </w:r>
    <w:r>
      <w:t>T/XJBX 0057—2025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F493">
    <w:pPr>
      <w:pStyle w:val="62"/>
    </w:pPr>
    <w:r>
      <w:fldChar w:fldCharType="begin"/>
    </w:r>
    <w:r>
      <w:instrText xml:space="preserve"> STYLEREF  标准文件_文件编号 \* MERGEFORMAT </w:instrText>
    </w:r>
    <w:r>
      <w:fldChar w:fldCharType="separate"/>
    </w:r>
    <w:r>
      <w:t>T/XJBX 0057—2025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D4F5">
    <w:pPr>
      <w:pStyle w:val="61"/>
    </w:pPr>
    <w:r>
      <w:fldChar w:fldCharType="begin"/>
    </w:r>
    <w:r>
      <w:instrText xml:space="preserve"> STYLEREF  标准文件_文件编号  \* MERGEFORMAT </w:instrText>
    </w:r>
    <w:r>
      <w:fldChar w:fldCharType="separate"/>
    </w:r>
    <w:r>
      <w:t>T/XJBX 0057—2025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158F4">
    <w:pPr>
      <w:pStyle w:val="62"/>
    </w:pPr>
    <w:r>
      <w:fldChar w:fldCharType="begin"/>
    </w:r>
    <w:r>
      <w:instrText xml:space="preserve"> STYLEREF  标准文件_文件编号 \* MERGEFORMAT </w:instrText>
    </w:r>
    <w:r>
      <w:fldChar w:fldCharType="separate"/>
    </w:r>
    <w:r>
      <w:t>T/XJBX 0057—2025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1CD"/>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B7D"/>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D3A"/>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0EA"/>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F0E"/>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9D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2719EC78">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64EB260B">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77C7CD8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5B5E2C"/>
    <w:rsid w:val="00AE1DC6"/>
    <w:rsid w:val="00B9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6309</Words>
  <Characters>6721</Characters>
  <Lines>70</Lines>
  <Paragraphs>19</Paragraphs>
  <TotalTime>42</TotalTime>
  <ScaleCrop>false</ScaleCrop>
  <LinksUpToDate>false</LinksUpToDate>
  <CharactersWithSpaces>6832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2025-08-11T06:23:31Z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F58441975AE245B187D90666325EAA7E_12</vt:lpwstr>
  </property>
</Properties>
</file>