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40.5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91.140.50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47"/>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47</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4"/>
            </w:textInput>
          </w:ffData>
        </w:fldChar>
      </w:r>
      <w:bookmarkStart w:id="6" w:name="NSTD_CODE_F"/>
      <w:r>
        <w:instrText xml:space="preserve"> FORMTEXT </w:instrText>
      </w:r>
      <w:r>
        <w:fldChar w:fldCharType="separate"/>
      </w:r>
      <w:r>
        <w:t>0054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03254CE4">
      <w:pPr>
        <w:pStyle w:val="197"/>
        <w:framePr w:h="6974" w:hRule="exact" w:wrap="around" w:x="1419" w:anchorLock="1"/>
      </w:pPr>
      <w:r>
        <w:fldChar w:fldCharType="begin">
          <w:ffData>
            <w:name w:val="CSTD_NAME"/>
            <w:enabled/>
            <w:calcOnExit w:val="0"/>
            <w:textInput>
              <w:default w:val="可再生能源与建筑电气系统动态负荷协同调控技术规程"/>
            </w:textInput>
          </w:ffData>
        </w:fldChar>
      </w:r>
      <w:bookmarkStart w:id="9" w:name="CSTD_NAME"/>
      <w:r>
        <w:instrText xml:space="preserve"> FORMTEXT </w:instrText>
      </w:r>
      <w:r>
        <w:fldChar w:fldCharType="separate"/>
      </w:r>
      <w:r>
        <w:t>可再生能源与建筑电气系统动态负荷</w:t>
      </w:r>
    </w:p>
    <w:p w14:paraId="73594FE6">
      <w:pPr>
        <w:pStyle w:val="197"/>
        <w:framePr w:h="6974" w:hRule="exact" w:wrap="around" w:x="1419" w:anchorLock="1"/>
      </w:pPr>
      <w:r>
        <w:t>协同调控技术规程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dynamic load coordinated regulation of renewable energy and building electrical system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dynamic load coordinated regulation of renewable energy and building electrical systems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6E12E12">
      <w:pPr>
        <w:pStyle w:val="91"/>
        <w:spacing w:after="360"/>
        <w:rPr>
          <w:rFonts w:hint="eastAsia"/>
        </w:rPr>
      </w:pPr>
      <w:bookmarkStart w:id="21" w:name="BookMark1"/>
      <w:r>
        <w:rPr>
          <w:rFonts w:hint="eastAsia"/>
          <w:spacing w:val="320"/>
        </w:rPr>
        <w:t>目</w:t>
      </w:r>
      <w:r>
        <w:rPr>
          <w:rFonts w:hint="eastAsia"/>
        </w:rPr>
        <w:t>次</w:t>
      </w:r>
    </w:p>
    <w:p w14:paraId="6EB4E75A">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"_Toc205590733" </w:instrText>
      </w:r>
      <w:r>
        <w:fldChar w:fldCharType="separate"/>
      </w:r>
      <w:r>
        <w:rPr>
          <w:rStyle w:val="32"/>
        </w:rPr>
        <w:t>前言</w:t>
      </w:r>
      <w:r>
        <w:tab/>
      </w:r>
      <w:r>
        <w:fldChar w:fldCharType="begin"/>
      </w:r>
      <w:r>
        <w:instrText xml:space="preserve"> PAGEREF _Toc205590733 \h </w:instrText>
      </w:r>
      <w:r>
        <w:fldChar w:fldCharType="separate"/>
      </w:r>
      <w:r>
        <w:t>III</w:t>
      </w:r>
      <w:r>
        <w:fldChar w:fldCharType="end"/>
      </w:r>
      <w:r>
        <w:fldChar w:fldCharType="end"/>
      </w:r>
    </w:p>
    <w:p w14:paraId="2D1C6B1F">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"_Toc205590734" </w:instrText>
      </w:r>
      <w:r>
        <w:fldChar w:fldCharType="separate"/>
      </w:r>
      <w:r>
        <w:rPr>
          <w:rStyle w:val="32"/>
        </w:rPr>
        <w:t>引言</w:t>
      </w:r>
      <w:r>
        <w:tab/>
      </w:r>
      <w:r>
        <w:fldChar w:fldCharType="begin"/>
      </w:r>
      <w:r>
        <w:instrText xml:space="preserve"> PAGEREF _Toc205590734 \h </w:instrText>
      </w:r>
      <w:r>
        <w:fldChar w:fldCharType="separate"/>
      </w:r>
      <w:r>
        <w:t>V</w:t>
      </w:r>
      <w:r>
        <w:fldChar w:fldCharType="end"/>
      </w:r>
      <w:r>
        <w:fldChar w:fldCharType="end"/>
      </w:r>
    </w:p>
    <w:p w14:paraId="36464ED1">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"_Toc205590735" </w:instrText>
      </w:r>
      <w:r>
        <w:fldChar w:fldCharType="separate"/>
      </w:r>
      <w:r>
        <w:rPr>
          <w:rStyle w:val="32"/>
        </w:rPr>
        <w:t>1  范围</w:t>
      </w:r>
      <w:r>
        <w:tab/>
      </w:r>
      <w:r>
        <w:fldChar w:fldCharType="begin"/>
      </w:r>
      <w:r>
        <w:instrText xml:space="preserve"> PAGEREF _Toc205590735 \h </w:instrText>
      </w:r>
      <w:r>
        <w:fldChar w:fldCharType="separate"/>
      </w:r>
      <w:r>
        <w:t>1</w:t>
      </w:r>
      <w:r>
        <w:fldChar w:fldCharType="end"/>
      </w:r>
      <w:r>
        <w:fldChar w:fldCharType="end"/>
      </w:r>
    </w:p>
    <w:p w14:paraId="424A7780">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"_Toc205590736" </w:instrText>
      </w:r>
      <w:r>
        <w:fldChar w:fldCharType="separate"/>
      </w:r>
      <w:r>
        <w:rPr>
          <w:rStyle w:val="32"/>
        </w:rPr>
        <w:t>2  规范性引用文件</w:t>
      </w:r>
      <w:r>
        <w:tab/>
      </w:r>
      <w:r>
        <w:fldChar w:fldCharType="begin"/>
      </w:r>
      <w:r>
        <w:instrText xml:space="preserve"> PAGEREF _Toc205590736 \h </w:instrText>
      </w:r>
      <w:r>
        <w:fldChar w:fldCharType="separate"/>
      </w:r>
      <w:r>
        <w:t>1</w:t>
      </w:r>
      <w:r>
        <w:fldChar w:fldCharType="end"/>
      </w:r>
      <w:r>
        <w:fldChar w:fldCharType="end"/>
      </w:r>
    </w:p>
    <w:p w14:paraId="3DD73F98">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"_Toc205590737" </w:instrText>
      </w:r>
      <w:r>
        <w:fldChar w:fldCharType="separate"/>
      </w:r>
      <w:r>
        <w:rPr>
          <w:rStyle w:val="32"/>
        </w:rPr>
        <w:t>3  术语和定义</w:t>
      </w:r>
      <w:r>
        <w:tab/>
      </w:r>
      <w:r>
        <w:fldChar w:fldCharType="begin"/>
      </w:r>
      <w:r>
        <w:instrText xml:space="preserve"> PAGEREF _Toc205590737 \h </w:instrText>
      </w:r>
      <w:r>
        <w:fldChar w:fldCharType="separate"/>
      </w:r>
      <w:r>
        <w:t>1</w:t>
      </w:r>
      <w:r>
        <w:fldChar w:fldCharType="end"/>
      </w:r>
      <w:r>
        <w:fldChar w:fldCharType="end"/>
      </w:r>
    </w:p>
    <w:p w14:paraId="05AF78BF">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"_Toc205590738" </w:instrText>
      </w:r>
      <w:r>
        <w:fldChar w:fldCharType="separate"/>
      </w:r>
      <w:r>
        <w:rPr>
          <w:rStyle w:val="32"/>
        </w:rPr>
        <w:t>4  总则</w:t>
      </w:r>
      <w:r>
        <w:tab/>
      </w:r>
      <w:r>
        <w:fldChar w:fldCharType="begin"/>
      </w:r>
      <w:r>
        <w:instrText xml:space="preserve"> PAGEREF _Toc205590738 \h </w:instrText>
      </w:r>
      <w:r>
        <w:fldChar w:fldCharType="separate"/>
      </w:r>
      <w:r>
        <w:t>2</w:t>
      </w:r>
      <w:r>
        <w:fldChar w:fldCharType="end"/>
      </w:r>
      <w:r>
        <w:fldChar w:fldCharType="end"/>
      </w:r>
    </w:p>
    <w:p w14:paraId="37B7F8A6">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"_Toc205590739" </w:instrText>
      </w:r>
      <w:r>
        <w:fldChar w:fldCharType="separate"/>
      </w:r>
      <w:r>
        <w:rPr>
          <w:rStyle w:val="32"/>
        </w:rPr>
        <w:t>5  系统构成与功能要求</w:t>
      </w:r>
      <w:r>
        <w:tab/>
      </w:r>
      <w:r>
        <w:fldChar w:fldCharType="begin"/>
      </w:r>
      <w:r>
        <w:instrText xml:space="preserve"> PAGEREF _Toc205590739 \h </w:instrText>
      </w:r>
      <w:r>
        <w:fldChar w:fldCharType="separate"/>
      </w:r>
      <w:r>
        <w:t>3</w:t>
      </w:r>
      <w:r>
        <w:fldChar w:fldCharType="end"/>
      </w:r>
      <w:r>
        <w:fldChar w:fldCharType="end"/>
      </w:r>
    </w:p>
    <w:p w14:paraId="27CADA2A">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"_Toc205590740" </w:instrText>
      </w:r>
      <w:r>
        <w:fldChar w:fldCharType="separate"/>
      </w:r>
      <w:r>
        <w:rPr>
          <w:rStyle w:val="32"/>
        </w:rPr>
        <w:t>6  运行模式与调控策略</w:t>
      </w:r>
      <w:r>
        <w:tab/>
      </w:r>
      <w:r>
        <w:fldChar w:fldCharType="begin"/>
      </w:r>
      <w:r>
        <w:instrText xml:space="preserve"> PAGEREF _Toc205590740 \h </w:instrText>
      </w:r>
      <w:r>
        <w:fldChar w:fldCharType="separate"/>
      </w:r>
      <w:r>
        <w:t>3</w:t>
      </w:r>
      <w:r>
        <w:fldChar w:fldCharType="end"/>
      </w:r>
      <w:r>
        <w:fldChar w:fldCharType="end"/>
      </w:r>
    </w:p>
    <w:p w14:paraId="2C203947">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"_Toc205590741" </w:instrText>
      </w:r>
      <w:r>
        <w:fldChar w:fldCharType="separate"/>
      </w:r>
      <w:r>
        <w:rPr>
          <w:rStyle w:val="32"/>
        </w:rPr>
        <w:t>7  检测与评估方法</w:t>
      </w:r>
      <w:r>
        <w:tab/>
      </w:r>
      <w:r>
        <w:fldChar w:fldCharType="begin"/>
      </w:r>
      <w:r>
        <w:instrText xml:space="preserve"> PAGEREF _Toc205590741 \h </w:instrText>
      </w:r>
      <w:r>
        <w:fldChar w:fldCharType="separate"/>
      </w:r>
      <w:r>
        <w:t>4</w:t>
      </w:r>
      <w:r>
        <w:fldChar w:fldCharType="end"/>
      </w:r>
      <w:r>
        <w:fldChar w:fldCharType="end"/>
      </w:r>
    </w:p>
    <w:p w14:paraId="6B421F39">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"_Toc205590742" </w:instrText>
      </w:r>
      <w:r>
        <w:fldChar w:fldCharType="separate"/>
      </w:r>
      <w:r>
        <w:rPr>
          <w:rStyle w:val="32"/>
        </w:rPr>
        <w:t>8  安全管理与应急措施</w:t>
      </w:r>
      <w:r>
        <w:tab/>
      </w:r>
      <w:r>
        <w:fldChar w:fldCharType="begin"/>
      </w:r>
      <w:r>
        <w:instrText xml:space="preserve"> PAGEREF _Toc205590742 \h </w:instrText>
      </w:r>
      <w:r>
        <w:fldChar w:fldCharType="separate"/>
      </w:r>
      <w:r>
        <w:t>5</w:t>
      </w:r>
      <w:r>
        <w:fldChar w:fldCharType="end"/>
      </w:r>
      <w:r>
        <w:fldChar w:fldCharType="end"/>
      </w:r>
    </w:p>
    <w:p w14:paraId="62B4C404">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"_Toc205590743" </w:instrText>
      </w:r>
      <w:r>
        <w:fldChar w:fldCharType="separate"/>
      </w:r>
      <w:r>
        <w:rPr>
          <w:rStyle w:val="32"/>
        </w:rPr>
        <w:t>9  资料与档案管理</w:t>
      </w:r>
      <w:r>
        <w:tab/>
      </w:r>
      <w:r>
        <w:fldChar w:fldCharType="begin"/>
      </w:r>
      <w:r>
        <w:instrText xml:space="preserve"> PAGEREF _Toc205590743 \h </w:instrText>
      </w:r>
      <w:r>
        <w:fldChar w:fldCharType="separate"/>
      </w:r>
      <w:r>
        <w:t>5</w:t>
      </w:r>
      <w:r>
        <w:fldChar w:fldCharType="end"/>
      </w:r>
      <w:r>
        <w:fldChar w:fldCharType="end"/>
      </w:r>
    </w:p>
    <w:p w14:paraId="4BD0C676">
      <w:pPr>
        <w:pStyle w:val="19"/>
        <w:tabs>
          <w:tab w:val="right" w:leader="dot" w:pos="9344"/>
        </w:tabs>
        <w:rPr>
          <w:rFonts w:asciiTheme="minorHAnsi" w:hAnsiTheme="minorHAnsi" w:eastAsiaTheme="minorEastAsia" w:cstheme="minorBidi"/>
          <w:szCs w:val="22"/>
        </w:rPr>
      </w:pPr>
      <w:r>
        <w:fldChar w:fldCharType="begin"/>
      </w:r>
      <w:r>
        <w:instrText xml:space="preserve"> HYPERLINK \l "_Toc205590744" </w:instrText>
      </w:r>
      <w:r>
        <w:fldChar w:fldCharType="separate"/>
      </w:r>
      <w:r>
        <w:rPr>
          <w:rStyle w:val="32"/>
        </w:rPr>
        <w:t>10  附则</w:t>
      </w:r>
      <w:r>
        <w:tab/>
      </w:r>
      <w:r>
        <w:fldChar w:fldCharType="begin"/>
      </w:r>
      <w:r>
        <w:instrText xml:space="preserve"> PAGEREF _Toc205590744 \h </w:instrText>
      </w:r>
      <w:r>
        <w:fldChar w:fldCharType="separate"/>
      </w:r>
      <w:r>
        <w:t>6</w:t>
      </w:r>
      <w:r>
        <w:fldChar w:fldCharType="end"/>
      </w:r>
      <w:r>
        <w:fldChar w:fldCharType="end"/>
      </w:r>
    </w:p>
    <w:p w14:paraId="1CD05EC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9073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本文件起草单位：广东科学中心。</w:t>
      </w:r>
    </w:p>
    <w:p w14:paraId="55F4A5D1">
      <w:pPr>
        <w:pStyle w:val="56"/>
        <w:spacing w:line="360" w:lineRule="auto"/>
        <w:ind w:firstLine="420"/>
      </w:pPr>
      <w:r>
        <w:rPr>
          <w:rFonts w:hint="eastAsia"/>
        </w:rPr>
        <w:t>本文件主要起草人：李施焜。</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590734"/>
      <w:bookmarkStart w:id="25" w:name="BookMark3"/>
      <w:r>
        <w:rPr>
          <w:spacing w:val="320"/>
        </w:rPr>
        <w:t>引</w:t>
      </w:r>
      <w:r>
        <w:t>言</w:t>
      </w:r>
      <w:bookmarkEnd w:id="24"/>
    </w:p>
    <w:p w14:paraId="0549A757">
      <w:pPr>
        <w:pStyle w:val="56"/>
        <w:spacing w:line="360" w:lineRule="auto"/>
        <w:ind w:firstLine="420"/>
        <w:rPr>
          <w:rFonts w:hint="eastAsia"/>
        </w:rPr>
      </w:pPr>
      <w:r>
        <w:rPr>
          <w:rFonts w:hint="eastAsia"/>
        </w:rPr>
        <w:t>随着可再生能源在建筑领域的广泛应用，建筑用电系统的负荷特性呈现出多元化、波动性和动态变化的趋势。光伏发电、风能利用、储能系统以及智能用能终端的大规模接入，为建筑电气系统的清洁化、低碳化发展提供了重要支撑，但也对电能平衡、系统稳定性和运行安全提出了更高要求。</w:t>
      </w:r>
    </w:p>
    <w:p w14:paraId="644C2E2C">
      <w:pPr>
        <w:pStyle w:val="56"/>
        <w:spacing w:line="360" w:lineRule="auto"/>
        <w:ind w:firstLine="420"/>
        <w:rPr>
          <w:rFonts w:hint="eastAsia"/>
        </w:rPr>
      </w:pPr>
      <w:r>
        <w:rPr>
          <w:rFonts w:hint="eastAsia"/>
        </w:rPr>
        <w:t>本文件表述的动态负荷协同调控技术，是指在可再生能源与建筑电气系统融合运行过程中，基于实时监测与数据分析，通过智能化控制策略实现可再生能源出力与建筑负荷需求的动态匹配与优化调度，从而提高能源利用效率、降低运行成本、减少碳排放，并保障系统运行安全。</w:t>
      </w:r>
    </w:p>
    <w:p w14:paraId="41C59179">
      <w:pPr>
        <w:pStyle w:val="56"/>
        <w:spacing w:line="360" w:lineRule="auto"/>
        <w:ind w:firstLine="420"/>
      </w:pPr>
      <w:r>
        <w:rPr>
          <w:rFonts w:hint="eastAsia"/>
        </w:rPr>
        <w:t>本文件立足于可再生能源与建筑电气系统的深度耦合场景，结合智能电网、物联网、大数据和人工智能等新兴技术，规范了动态负荷协同调控的总体要求、系统构成、运行模式、调控策略、检测与评估方法以及安全管理要求。旨在为建筑能源管理系统设计、建设、运行和优化提供统一的技术依据和实施指南，推动建筑能源系统的绿色化、智能化和可持续发展。</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4C9EF39E">
          <w:pPr>
            <w:pStyle w:val="177"/>
            <w:spacing w:after="0"/>
            <w:rPr>
              <w:rFonts w:hint="eastAsia"/>
            </w:rPr>
          </w:pPr>
          <w:bookmarkStart w:id="27" w:name="NEW_STAND_NAME"/>
          <w:r>
            <w:rPr>
              <w:rFonts w:hint="eastAsia"/>
            </w:rPr>
            <w:t>可再生能源与建筑电气系统动态负荷</w:t>
          </w:r>
        </w:p>
        <w:p w14:paraId="7D4E3E1F">
          <w:pPr>
            <w:pStyle w:val="177"/>
            <w:spacing w:before="0"/>
          </w:pPr>
          <w:r>
            <w:rPr>
              <w:rFonts w:hint="eastAsia"/>
            </w:rPr>
            <w:t>协同调控技术规程</w:t>
          </w:r>
        </w:p>
      </w:sdtContent>
    </w:sdt>
    <w:bookmarkEnd w:id="27"/>
    <w:p w14:paraId="3DB22445">
      <w:pPr>
        <w:pStyle w:val="104"/>
        <w:spacing w:before="240" w:after="240" w:line="360" w:lineRule="auto"/>
      </w:pPr>
      <w:bookmarkStart w:id="28" w:name="_Toc17233325"/>
      <w:bookmarkStart w:id="29" w:name="_Toc17233333"/>
      <w:bookmarkStart w:id="30" w:name="_Toc24884211"/>
      <w:bookmarkStart w:id="31" w:name="_Toc24884218"/>
      <w:bookmarkStart w:id="32" w:name="_Toc97192964"/>
      <w:bookmarkStart w:id="33" w:name="_Toc26648465"/>
      <w:bookmarkStart w:id="34" w:name="_Toc26986530"/>
      <w:bookmarkStart w:id="35" w:name="_Toc26986771"/>
      <w:bookmarkStart w:id="36" w:name="_Toc205590735"/>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765DE3BB">
      <w:pPr>
        <w:pStyle w:val="56"/>
        <w:spacing w:line="360" w:lineRule="auto"/>
        <w:ind w:firstLine="420"/>
        <w:rPr>
          <w:rFonts w:hint="eastAsia"/>
        </w:rPr>
      </w:pPr>
      <w:bookmarkStart w:id="38" w:name="_Toc17233334"/>
      <w:bookmarkStart w:id="39" w:name="_Toc24884212"/>
      <w:bookmarkStart w:id="40" w:name="_Toc24884219"/>
      <w:bookmarkStart w:id="41" w:name="_Toc17233326"/>
      <w:bookmarkStart w:id="42" w:name="_Toc26648466"/>
      <w:r>
        <w:rPr>
          <w:rFonts w:hint="eastAsia"/>
        </w:rPr>
        <w:t>本文件表述了可再生能源与建筑电气系统动态负荷协同调控的总则、系统构成与功能要求、运行模式与调控策略、检测与评估方法、安全管理与应急措施以及资料与档案管理等技术内容，明确了设计、建设、运行、维护和优化全过程的技术要求。</w:t>
      </w:r>
    </w:p>
    <w:p w14:paraId="2DE37130">
      <w:pPr>
        <w:pStyle w:val="56"/>
        <w:spacing w:line="360" w:lineRule="auto"/>
        <w:ind w:firstLine="420"/>
        <w:rPr>
          <w:rFonts w:hint="eastAsia"/>
        </w:rPr>
      </w:pPr>
      <w:r>
        <w:rPr>
          <w:rFonts w:hint="eastAsia"/>
        </w:rPr>
        <w:t>本文件适用于各类新建、改建和扩建建筑中含有可再生能源系统（如光伏、风电、地热能等）与电气系统深度融合运行的动态负荷协同调控工作。</w:t>
      </w:r>
    </w:p>
    <w:p w14:paraId="76265264">
      <w:pPr>
        <w:pStyle w:val="56"/>
        <w:spacing w:line="360" w:lineRule="auto"/>
        <w:ind w:firstLine="420"/>
      </w:pPr>
      <w:r>
        <w:rPr>
          <w:rFonts w:hint="eastAsia"/>
        </w:rPr>
        <w:t>各类公共建筑、工业厂房、商业综合体、住宅小区以及其他配备可再生能源与电气系统的建筑能源管理工程，可参照本文件执行。</w:t>
      </w:r>
    </w:p>
    <w:p w14:paraId="3733B2AD">
      <w:pPr>
        <w:pStyle w:val="104"/>
        <w:spacing w:before="240" w:after="240" w:line="360" w:lineRule="auto"/>
      </w:pPr>
      <w:bookmarkStart w:id="43" w:name="_Toc26718931"/>
      <w:bookmarkStart w:id="44" w:name="_Toc97192965"/>
      <w:bookmarkStart w:id="45" w:name="_Toc205590736"/>
      <w:bookmarkStart w:id="46" w:name="_Toc269865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9E7282">
      <w:pPr>
        <w:pStyle w:val="56"/>
        <w:spacing w:line="360" w:lineRule="auto"/>
        <w:ind w:firstLine="420"/>
        <w:rPr>
          <w:rFonts w:hint="eastAsia"/>
        </w:rPr>
      </w:pPr>
      <w:r>
        <w:t>GB 55015</w:t>
      </w:r>
      <w:r>
        <w:rPr>
          <w:rFonts w:hint="eastAsia"/>
        </w:rPr>
        <w:t>—</w:t>
      </w:r>
      <w:r>
        <w:t>2021</w:t>
      </w:r>
      <w:r>
        <w:rPr>
          <w:rFonts w:hint="eastAsia"/>
        </w:rPr>
        <w:t xml:space="preserve"> 建筑节能与可再生能源利用通用规范</w:t>
      </w:r>
    </w:p>
    <w:p w14:paraId="72729CAE">
      <w:pPr>
        <w:pStyle w:val="56"/>
        <w:spacing w:line="360" w:lineRule="auto"/>
        <w:ind w:firstLine="420"/>
        <w:rPr>
          <w:rFonts w:hint="eastAsia"/>
        </w:rPr>
      </w:pPr>
      <w:r>
        <w:rPr>
          <w:rFonts w:hint="eastAsia"/>
        </w:rPr>
        <w:t>GB/T 12325—2008</w:t>
      </w:r>
      <w:r>
        <w:t xml:space="preserve"> 电能质量</w:t>
      </w:r>
      <w:r>
        <w:rPr>
          <w:rFonts w:hint="eastAsia"/>
        </w:rPr>
        <w:t xml:space="preserve"> </w:t>
      </w:r>
      <w:r>
        <w:t xml:space="preserve"> </w:t>
      </w:r>
      <w:r>
        <w:rPr>
          <w:rFonts w:hint="eastAsia"/>
        </w:rPr>
        <w:t>供电电压偏差</w:t>
      </w:r>
    </w:p>
    <w:p w14:paraId="22C1E8C1">
      <w:pPr>
        <w:pStyle w:val="56"/>
        <w:spacing w:line="360" w:lineRule="auto"/>
        <w:ind w:firstLine="420"/>
        <w:rPr>
          <w:rFonts w:hint="eastAsia"/>
        </w:rPr>
      </w:pPr>
      <w:r>
        <w:rPr>
          <w:rFonts w:hint="eastAsia"/>
        </w:rPr>
        <w:t xml:space="preserve">GB/T 14549—1993 电能质量 </w:t>
      </w:r>
      <w:r>
        <w:t xml:space="preserve"> </w:t>
      </w:r>
      <w:r>
        <w:rPr>
          <w:rFonts w:hint="eastAsia"/>
        </w:rPr>
        <w:t>公用电网谐波</w:t>
      </w:r>
    </w:p>
    <w:p w14:paraId="32C4ED9F">
      <w:pPr>
        <w:pStyle w:val="56"/>
        <w:spacing w:line="360" w:lineRule="auto"/>
        <w:ind w:firstLine="420"/>
        <w:rPr>
          <w:rFonts w:hint="eastAsia"/>
        </w:rPr>
      </w:pPr>
      <w:r>
        <w:rPr>
          <w:rFonts w:hint="eastAsia"/>
        </w:rPr>
        <w:t xml:space="preserve">GB/T 15543—2008 电能质量 </w:t>
      </w:r>
      <w:r>
        <w:t xml:space="preserve"> </w:t>
      </w:r>
      <w:r>
        <w:rPr>
          <w:rFonts w:hint="eastAsia"/>
        </w:rPr>
        <w:t>三相电压不平衡</w:t>
      </w:r>
    </w:p>
    <w:p w14:paraId="7A71427D">
      <w:pPr>
        <w:pStyle w:val="56"/>
        <w:spacing w:line="360" w:lineRule="auto"/>
        <w:ind w:firstLine="420"/>
        <w:rPr>
          <w:rFonts w:hint="eastAsia"/>
        </w:rPr>
      </w:pPr>
      <w:r>
        <w:rPr>
          <w:rFonts w:hint="eastAsia"/>
        </w:rPr>
        <w:t>GB/T 19964—2024 光伏发电站接入电力系统技术规定</w:t>
      </w:r>
    </w:p>
    <w:p w14:paraId="73E1AF1D">
      <w:pPr>
        <w:pStyle w:val="56"/>
        <w:spacing w:line="360" w:lineRule="auto"/>
        <w:ind w:firstLine="420"/>
        <w:rPr>
          <w:rFonts w:hint="eastAsia"/>
        </w:rPr>
      </w:pPr>
      <w:r>
        <w:t>GB/T 36558</w:t>
      </w:r>
      <w:r>
        <w:rPr>
          <w:rFonts w:hint="eastAsia"/>
        </w:rPr>
        <w:t>—</w:t>
      </w:r>
      <w:r>
        <w:t>2023</w:t>
      </w:r>
      <w:r>
        <w:rPr>
          <w:rFonts w:hint="eastAsia"/>
        </w:rPr>
        <w:t xml:space="preserve"> 电力系统电化学储能系统通用技术条件</w:t>
      </w:r>
    </w:p>
    <w:p w14:paraId="51F02A4E">
      <w:pPr>
        <w:pStyle w:val="104"/>
        <w:spacing w:before="240" w:after="240" w:line="360" w:lineRule="auto"/>
      </w:pPr>
      <w:bookmarkStart w:id="48" w:name="_Toc97192966"/>
      <w:bookmarkStart w:id="49" w:name="_Toc205590737"/>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22A4E3F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可再生能源 renewable energy</w:t>
      </w:r>
    </w:p>
    <w:p w14:paraId="2AC979C8">
      <w:pPr>
        <w:pStyle w:val="56"/>
        <w:spacing w:line="360" w:lineRule="auto"/>
        <w:ind w:firstLine="420"/>
        <w:rPr>
          <w:rFonts w:hint="eastAsia"/>
        </w:rPr>
      </w:pPr>
      <w:r>
        <w:rPr>
          <w:rFonts w:hint="eastAsia"/>
        </w:rPr>
        <w:t>来自太阳能、风能、生物质能、地热能等在自然界中可循环补充的能源形式。</w:t>
      </w:r>
    </w:p>
    <w:p w14:paraId="6EE6ECC5">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建筑电气系统 building electrical system</w:t>
      </w:r>
    </w:p>
    <w:p w14:paraId="2C162260">
      <w:pPr>
        <w:pStyle w:val="56"/>
        <w:spacing w:line="360" w:lineRule="auto"/>
        <w:ind w:firstLine="420"/>
        <w:rPr>
          <w:rFonts w:hint="eastAsia"/>
        </w:rPr>
      </w:pPr>
      <w:r>
        <w:rPr>
          <w:rFonts w:hint="eastAsia"/>
        </w:rPr>
        <w:t>建筑中用于电能接入、分配、转换、控制及用电的整体系统，包括配电系统、用电终端及相关控制装置。</w:t>
      </w:r>
    </w:p>
    <w:p w14:paraId="4F98515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动态负荷 dynamic load</w:t>
      </w:r>
    </w:p>
    <w:p w14:paraId="2176277E">
      <w:pPr>
        <w:pStyle w:val="56"/>
        <w:spacing w:line="360" w:lineRule="auto"/>
        <w:ind w:firstLine="420"/>
        <w:rPr>
          <w:rFonts w:hint="eastAsia"/>
        </w:rPr>
      </w:pPr>
      <w:r>
        <w:rPr>
          <w:rFonts w:hint="eastAsia"/>
        </w:rPr>
        <w:t>建筑电气系统在运行过程中随时间变化的用电需求特性，受用户行为、环境条件和设备运行状态等因素影响。</w:t>
      </w:r>
    </w:p>
    <w:p w14:paraId="3FCA0296">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协同调控 coordinated control</w:t>
      </w:r>
    </w:p>
    <w:p w14:paraId="43D203C4">
      <w:pPr>
        <w:pStyle w:val="56"/>
        <w:spacing w:line="360" w:lineRule="auto"/>
        <w:ind w:firstLine="420"/>
        <w:rPr>
          <w:rFonts w:hint="eastAsia"/>
        </w:rPr>
      </w:pPr>
      <w:r>
        <w:rPr>
          <w:rFonts w:hint="eastAsia"/>
        </w:rPr>
        <w:t>通过信息互通和智能控制，实现可再生能源出力与建筑负荷需求之间的实时匹配和优化调度的过程。</w:t>
      </w:r>
    </w:p>
    <w:p w14:paraId="47F93C07">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能源管理系统 energy management system</w:t>
      </w:r>
    </w:p>
    <w:p w14:paraId="3F80BEAC">
      <w:pPr>
        <w:pStyle w:val="56"/>
        <w:spacing w:line="360" w:lineRule="auto"/>
        <w:ind w:firstLine="420"/>
        <w:rPr>
          <w:rFonts w:hint="eastAsia"/>
        </w:rPr>
      </w:pPr>
      <w:r>
        <w:rPr>
          <w:rFonts w:hint="eastAsia"/>
        </w:rPr>
        <w:t>用于实时监测、分析、控制和优化建筑能源生产、分配与消费的软硬件系统。</w:t>
      </w:r>
    </w:p>
    <w:p w14:paraId="5BCCCBE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需求响应 demand response</w:t>
      </w:r>
    </w:p>
    <w:p w14:paraId="5AB6A8C4">
      <w:pPr>
        <w:pStyle w:val="56"/>
        <w:spacing w:line="360" w:lineRule="auto"/>
        <w:ind w:firstLine="420"/>
        <w:rPr>
          <w:rFonts w:hint="eastAsia"/>
        </w:rPr>
      </w:pPr>
      <w:r>
        <w:rPr>
          <w:rFonts w:hint="eastAsia"/>
        </w:rPr>
        <w:t>用户根据电价、激励信号或电网调度指令，自主或自动调整用电行为以配合能源供需平衡的管理机制。</w:t>
      </w:r>
    </w:p>
    <w:p w14:paraId="2C9FEE64">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储能系统 energy storage system</w:t>
      </w:r>
    </w:p>
    <w:p w14:paraId="11ED0D72">
      <w:pPr>
        <w:pStyle w:val="56"/>
        <w:spacing w:line="360" w:lineRule="auto"/>
        <w:ind w:firstLine="420"/>
      </w:pPr>
      <w:r>
        <w:rPr>
          <w:rFonts w:hint="eastAsia"/>
        </w:rPr>
        <w:t>将电能或其他形式的能源进行存储，并在需要时释放的系统，包括电化学储能、机械储能和热储能等类型。</w:t>
      </w:r>
    </w:p>
    <w:p w14:paraId="2A14A062">
      <w:pPr>
        <w:pStyle w:val="104"/>
        <w:spacing w:before="240" w:after="240" w:line="360" w:lineRule="auto"/>
        <w:rPr>
          <w:rFonts w:hint="eastAsia"/>
        </w:rPr>
      </w:pPr>
      <w:bookmarkStart w:id="51" w:name="_Toc205590738"/>
      <w:r>
        <w:rPr>
          <w:rFonts w:hint="eastAsia"/>
        </w:rPr>
        <w:t>总则</w:t>
      </w:r>
      <w:bookmarkEnd w:id="51"/>
    </w:p>
    <w:p w14:paraId="2CBDDD22">
      <w:pPr>
        <w:pStyle w:val="162"/>
        <w:spacing w:line="360" w:lineRule="auto"/>
        <w:rPr>
          <w:rFonts w:hint="eastAsia"/>
        </w:rPr>
      </w:pPr>
      <w:r>
        <w:rPr>
          <w:rFonts w:hint="eastAsia"/>
        </w:rPr>
        <w:t>本文件表述的可再生能源与建筑电气系统动态负荷协同调控应遵循安全可靠、经济高效、绿色低碳、智能灵活的原则，确保系统运行的稳定性与可持续性。</w:t>
      </w:r>
    </w:p>
    <w:p w14:paraId="477EFDFA">
      <w:pPr>
        <w:pStyle w:val="162"/>
        <w:spacing w:line="360" w:lineRule="auto"/>
        <w:rPr>
          <w:rFonts w:hint="eastAsia"/>
        </w:rPr>
      </w:pPr>
      <w:r>
        <w:rPr>
          <w:rFonts w:hint="eastAsia"/>
        </w:rPr>
        <w:t>动态负荷协同调控应在满足建筑用能需求的前提下，优先利用可再生能源出力，并通过优化控制策略提升能源利用率和经济性。</w:t>
      </w:r>
    </w:p>
    <w:p w14:paraId="1B99D0C2">
      <w:pPr>
        <w:pStyle w:val="162"/>
        <w:spacing w:line="360" w:lineRule="auto"/>
        <w:rPr>
          <w:rFonts w:hint="eastAsia"/>
        </w:rPr>
      </w:pPr>
      <w:r>
        <w:rPr>
          <w:rFonts w:hint="eastAsia"/>
        </w:rPr>
        <w:t>建筑电气系统应具备与可再生能源系统、储能系统及能源管理系统的互联互通能力，实现信息实时共享和控制指令快速响应。</w:t>
      </w:r>
    </w:p>
    <w:p w14:paraId="186BB23F">
      <w:pPr>
        <w:pStyle w:val="162"/>
        <w:spacing w:line="360" w:lineRule="auto"/>
        <w:rPr>
          <w:rFonts w:hint="eastAsia"/>
        </w:rPr>
      </w:pPr>
      <w:r>
        <w:rPr>
          <w:rFonts w:hint="eastAsia"/>
        </w:rPr>
        <w:t>应结合建筑功能特点、用能模式及外部电网条件，合理配置可再生能源容量、储能规模及控制设备，以满足动态负荷调控的需要。</w:t>
      </w:r>
    </w:p>
    <w:p w14:paraId="3762A3E0">
      <w:pPr>
        <w:pStyle w:val="162"/>
        <w:spacing w:line="360" w:lineRule="auto"/>
        <w:rPr>
          <w:rFonts w:hint="eastAsia"/>
        </w:rPr>
      </w:pPr>
      <w:r>
        <w:rPr>
          <w:rFonts w:hint="eastAsia"/>
        </w:rPr>
        <w:t>协同调控系统应具备动态监测、预测分析、智能优化和应急处置等功能，并预留系统升级与扩展的接口。</w:t>
      </w:r>
    </w:p>
    <w:p w14:paraId="4E298868">
      <w:pPr>
        <w:pStyle w:val="162"/>
        <w:spacing w:line="360" w:lineRule="auto"/>
      </w:pPr>
      <w:r>
        <w:rPr>
          <w:rFonts w:hint="eastAsia"/>
        </w:rPr>
        <w:t>在系统设计、施工、运行和维护过程中，应严格执行相关国家标准、行业标准及地方规定，确保系统安全运行和环境友好。</w:t>
      </w:r>
    </w:p>
    <w:p w14:paraId="4D87CD3B">
      <w:pPr>
        <w:pStyle w:val="104"/>
        <w:spacing w:before="240" w:after="240" w:line="360" w:lineRule="auto"/>
        <w:rPr>
          <w:rFonts w:hint="eastAsia"/>
        </w:rPr>
      </w:pPr>
      <w:bookmarkStart w:id="52" w:name="_Toc205590739"/>
      <w:r>
        <w:rPr>
          <w:rFonts w:hint="eastAsia"/>
        </w:rPr>
        <w:t>系统构成与功能要求</w:t>
      </w:r>
      <w:bookmarkEnd w:id="52"/>
    </w:p>
    <w:p w14:paraId="425C6CE4">
      <w:pPr>
        <w:pStyle w:val="105"/>
        <w:spacing w:before="120" w:after="120" w:line="360" w:lineRule="auto"/>
        <w:rPr>
          <w:rFonts w:hint="eastAsia"/>
        </w:rPr>
      </w:pPr>
      <w:r>
        <w:rPr>
          <w:rFonts w:hint="eastAsia"/>
        </w:rPr>
        <w:t>总体要求</w:t>
      </w:r>
    </w:p>
    <w:p w14:paraId="6ECA3D5E">
      <w:pPr>
        <w:pStyle w:val="56"/>
        <w:spacing w:line="360" w:lineRule="auto"/>
        <w:ind w:firstLine="420"/>
        <w:rPr>
          <w:rFonts w:hint="eastAsia"/>
        </w:rPr>
      </w:pPr>
      <w:r>
        <w:rPr>
          <w:rFonts w:hint="eastAsia"/>
        </w:rPr>
        <w:t>可再生能源与建筑电气系统的动态负荷协同调控系统应由可再生能源发电单元、建筑电气系统、储能系统、控制与通信系统以及能源管理平台等组成。各组成部分应实现互联互通、数据共享与协同运行。</w:t>
      </w:r>
    </w:p>
    <w:p w14:paraId="46DA5F19">
      <w:pPr>
        <w:pStyle w:val="105"/>
        <w:spacing w:before="120" w:after="120" w:line="360" w:lineRule="auto"/>
        <w:rPr>
          <w:rFonts w:hint="eastAsia"/>
        </w:rPr>
      </w:pPr>
      <w:r>
        <w:rPr>
          <w:rFonts w:hint="eastAsia"/>
        </w:rPr>
        <w:t>主要构成及功能</w:t>
      </w:r>
    </w:p>
    <w:p w14:paraId="427F0DC3">
      <w:pPr>
        <w:pStyle w:val="56"/>
        <w:spacing w:line="360" w:lineRule="auto"/>
        <w:ind w:firstLine="420"/>
        <w:rPr>
          <w:rFonts w:hint="eastAsia"/>
        </w:rPr>
      </w:pPr>
      <w:r>
        <w:rPr>
          <w:rFonts w:hint="eastAsia"/>
        </w:rPr>
        <w:t>系统各组成部分的核心功能及主要技术要求见表1。</w:t>
      </w:r>
    </w:p>
    <w:p w14:paraId="6A5687D5">
      <w:pPr>
        <w:pStyle w:val="112"/>
        <w:spacing w:before="120" w:after="120" w:line="360" w:lineRule="auto"/>
        <w:rPr>
          <w:rFonts w:hint="eastAsia"/>
        </w:rPr>
      </w:pPr>
      <w:r>
        <w:rPr>
          <w:rFonts w:hint="eastAsia"/>
        </w:rPr>
        <w:t>系统主要组成部分及功能要求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693"/>
        <w:gridCol w:w="4241"/>
      </w:tblGrid>
      <w:tr w14:paraId="08BC9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shd w:val="clear" w:color="auto" w:fill="auto"/>
          </w:tcPr>
          <w:p w14:paraId="23995918">
            <w:pPr>
              <w:pStyle w:val="178"/>
            </w:pPr>
            <w:r>
              <w:rPr>
                <w:rFonts w:hint="eastAsia"/>
              </w:rPr>
              <w:t>异常工况</w:t>
            </w:r>
          </w:p>
        </w:tc>
        <w:tc>
          <w:tcPr>
            <w:tcW w:w="2693" w:type="dxa"/>
            <w:tcBorders>
              <w:top w:val="single" w:color="auto" w:sz="8" w:space="0"/>
              <w:bottom w:val="single" w:color="auto" w:sz="8" w:space="0"/>
            </w:tcBorders>
            <w:shd w:val="clear" w:color="auto" w:fill="auto"/>
          </w:tcPr>
          <w:p w14:paraId="4CFBA205">
            <w:pPr>
              <w:pStyle w:val="178"/>
            </w:pPr>
            <w:r>
              <w:rPr>
                <w:rFonts w:hint="eastAsia"/>
              </w:rPr>
              <w:t>主要风险</w:t>
            </w:r>
          </w:p>
        </w:tc>
        <w:tc>
          <w:tcPr>
            <w:tcW w:w="4241" w:type="dxa"/>
            <w:tcBorders>
              <w:top w:val="single" w:color="auto" w:sz="8" w:space="0"/>
              <w:bottom w:val="single" w:color="auto" w:sz="8" w:space="0"/>
            </w:tcBorders>
            <w:shd w:val="clear" w:color="auto" w:fill="auto"/>
          </w:tcPr>
          <w:p w14:paraId="6C836B69">
            <w:pPr>
              <w:pStyle w:val="178"/>
            </w:pPr>
            <w:r>
              <w:rPr>
                <w:rFonts w:hint="eastAsia"/>
              </w:rPr>
              <w:t>应急处置措施</w:t>
            </w:r>
          </w:p>
        </w:tc>
      </w:tr>
      <w:tr w14:paraId="043CA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tcPr>
          <w:p w14:paraId="4583E3CF">
            <w:pPr>
              <w:pStyle w:val="178"/>
            </w:pPr>
            <w:r>
              <w:rPr>
                <w:rFonts w:hint="eastAsia"/>
              </w:rPr>
              <w:t>可再生能源发电单元故障</w:t>
            </w:r>
          </w:p>
        </w:tc>
        <w:tc>
          <w:tcPr>
            <w:tcW w:w="2693" w:type="dxa"/>
            <w:tcBorders>
              <w:top w:val="single" w:color="auto" w:sz="8" w:space="0"/>
            </w:tcBorders>
            <w:shd w:val="clear" w:color="auto" w:fill="auto"/>
          </w:tcPr>
          <w:p w14:paraId="6FC74793">
            <w:pPr>
              <w:pStyle w:val="178"/>
            </w:pPr>
            <w:r>
              <w:rPr>
                <w:rFonts w:hint="eastAsia"/>
              </w:rPr>
              <w:t>出力中断、系统供电不足</w:t>
            </w:r>
          </w:p>
        </w:tc>
        <w:tc>
          <w:tcPr>
            <w:tcW w:w="4241" w:type="dxa"/>
            <w:tcBorders>
              <w:top w:val="single" w:color="auto" w:sz="8" w:space="0"/>
            </w:tcBorders>
            <w:shd w:val="clear" w:color="auto" w:fill="auto"/>
          </w:tcPr>
          <w:p w14:paraId="4B11C844">
            <w:pPr>
              <w:pStyle w:val="178"/>
            </w:pPr>
            <w:r>
              <w:rPr>
                <w:rFonts w:hint="eastAsia"/>
              </w:rPr>
              <w:t>切换至储能或外部电网供电，安排检修</w:t>
            </w:r>
          </w:p>
        </w:tc>
      </w:tr>
      <w:tr w14:paraId="73608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26022289">
            <w:pPr>
              <w:pStyle w:val="178"/>
            </w:pPr>
            <w:r>
              <w:rPr>
                <w:rFonts w:hint="eastAsia"/>
              </w:rPr>
              <w:t>储能系统故障</w:t>
            </w:r>
          </w:p>
        </w:tc>
        <w:tc>
          <w:tcPr>
            <w:tcW w:w="2693" w:type="dxa"/>
            <w:shd w:val="clear" w:color="auto" w:fill="auto"/>
          </w:tcPr>
          <w:p w14:paraId="3AF39E89">
            <w:pPr>
              <w:pStyle w:val="178"/>
            </w:pPr>
            <w:r>
              <w:rPr>
                <w:rFonts w:hint="eastAsia"/>
              </w:rPr>
              <w:t>调峰调谷能力下降</w:t>
            </w:r>
          </w:p>
        </w:tc>
        <w:tc>
          <w:tcPr>
            <w:tcW w:w="4241" w:type="dxa"/>
            <w:shd w:val="clear" w:color="auto" w:fill="auto"/>
          </w:tcPr>
          <w:p w14:paraId="2F15D386">
            <w:pPr>
              <w:pStyle w:val="178"/>
            </w:pPr>
            <w:r>
              <w:rPr>
                <w:rFonts w:hint="eastAsia"/>
              </w:rPr>
              <w:t>优化负荷调度，减少峰时用电，启动备用电源</w:t>
            </w:r>
          </w:p>
        </w:tc>
      </w:tr>
      <w:tr w14:paraId="32A7D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596C36F9">
            <w:pPr>
              <w:pStyle w:val="178"/>
            </w:pPr>
            <w:r>
              <w:rPr>
                <w:rFonts w:hint="eastAsia"/>
              </w:rPr>
              <w:t>电能质量超标</w:t>
            </w:r>
          </w:p>
        </w:tc>
        <w:tc>
          <w:tcPr>
            <w:tcW w:w="2693" w:type="dxa"/>
            <w:shd w:val="clear" w:color="auto" w:fill="auto"/>
          </w:tcPr>
          <w:p w14:paraId="2785D1E4">
            <w:pPr>
              <w:pStyle w:val="178"/>
            </w:pPr>
            <w:r>
              <w:rPr>
                <w:rFonts w:hint="eastAsia"/>
              </w:rPr>
              <w:t>设备损坏、运行不稳定</w:t>
            </w:r>
          </w:p>
        </w:tc>
        <w:tc>
          <w:tcPr>
            <w:tcW w:w="4241" w:type="dxa"/>
            <w:shd w:val="clear" w:color="auto" w:fill="auto"/>
          </w:tcPr>
          <w:p w14:paraId="53D1CCBA">
            <w:pPr>
              <w:pStyle w:val="178"/>
            </w:pPr>
            <w:r>
              <w:rPr>
                <w:rFonts w:hint="eastAsia"/>
              </w:rPr>
              <w:t>启用滤波装置或无功补偿设备，调整运行策略</w:t>
            </w:r>
          </w:p>
        </w:tc>
      </w:tr>
      <w:tr w14:paraId="64804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6D119F09">
            <w:pPr>
              <w:pStyle w:val="178"/>
            </w:pPr>
            <w:r>
              <w:rPr>
                <w:rFonts w:hint="eastAsia"/>
              </w:rPr>
              <w:t>通信链路中断</w:t>
            </w:r>
          </w:p>
        </w:tc>
        <w:tc>
          <w:tcPr>
            <w:tcW w:w="2693" w:type="dxa"/>
            <w:shd w:val="clear" w:color="auto" w:fill="auto"/>
          </w:tcPr>
          <w:p w14:paraId="580F17FA">
            <w:pPr>
              <w:pStyle w:val="178"/>
            </w:pPr>
            <w:r>
              <w:rPr>
                <w:rFonts w:hint="eastAsia"/>
              </w:rPr>
              <w:t>系统失去实时监控与调控能力</w:t>
            </w:r>
          </w:p>
        </w:tc>
        <w:tc>
          <w:tcPr>
            <w:tcW w:w="4241" w:type="dxa"/>
            <w:shd w:val="clear" w:color="auto" w:fill="auto"/>
          </w:tcPr>
          <w:p w14:paraId="5617A776">
            <w:pPr>
              <w:pStyle w:val="178"/>
            </w:pPr>
            <w:r>
              <w:rPr>
                <w:rFonts w:hint="eastAsia"/>
              </w:rPr>
              <w:t>启用备用通信链路，人工监控关键设备运行</w:t>
            </w:r>
          </w:p>
        </w:tc>
      </w:tr>
      <w:tr w14:paraId="32D55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28D5EFB1">
            <w:pPr>
              <w:pStyle w:val="178"/>
            </w:pPr>
            <w:r>
              <w:rPr>
                <w:rFonts w:hint="eastAsia"/>
              </w:rPr>
              <w:t>控制系统故障</w:t>
            </w:r>
          </w:p>
        </w:tc>
        <w:tc>
          <w:tcPr>
            <w:tcW w:w="2693" w:type="dxa"/>
            <w:shd w:val="clear" w:color="auto" w:fill="auto"/>
          </w:tcPr>
          <w:p w14:paraId="3259128C">
            <w:pPr>
              <w:pStyle w:val="178"/>
            </w:pPr>
            <w:r>
              <w:rPr>
                <w:rFonts w:hint="eastAsia"/>
              </w:rPr>
              <w:t>调控指令无法下达</w:t>
            </w:r>
          </w:p>
        </w:tc>
        <w:tc>
          <w:tcPr>
            <w:tcW w:w="4241" w:type="dxa"/>
            <w:shd w:val="clear" w:color="auto" w:fill="auto"/>
          </w:tcPr>
          <w:p w14:paraId="1E295602">
            <w:pPr>
              <w:pStyle w:val="178"/>
            </w:pPr>
            <w:r>
              <w:rPr>
                <w:rFonts w:hint="eastAsia"/>
              </w:rPr>
              <w:t>切换至手动控制模式，启动本地控制程序</w:t>
            </w:r>
          </w:p>
        </w:tc>
      </w:tr>
    </w:tbl>
    <w:p w14:paraId="7BB1577E">
      <w:pPr>
        <w:pStyle w:val="105"/>
        <w:spacing w:before="120" w:after="120" w:line="360" w:lineRule="auto"/>
        <w:rPr>
          <w:rFonts w:hint="eastAsia"/>
        </w:rPr>
      </w:pPr>
      <w:r>
        <w:rPr>
          <w:rFonts w:hint="eastAsia"/>
        </w:rPr>
        <w:t>接口与兼容性</w:t>
      </w:r>
    </w:p>
    <w:p w14:paraId="25FE70A3">
      <w:pPr>
        <w:pStyle w:val="165"/>
        <w:spacing w:line="360" w:lineRule="auto"/>
        <w:rPr>
          <w:rFonts w:hint="eastAsia"/>
        </w:rPr>
      </w:pPr>
      <w:r>
        <w:rPr>
          <w:rFonts w:hint="eastAsia"/>
        </w:rPr>
        <w:t>系统各组成部分应遵循统一的通信协议和数据接口标准。</w:t>
      </w:r>
    </w:p>
    <w:p w14:paraId="37F9868D">
      <w:pPr>
        <w:pStyle w:val="165"/>
        <w:spacing w:line="360" w:lineRule="auto"/>
        <w:rPr>
          <w:rFonts w:hint="eastAsia"/>
        </w:rPr>
      </w:pPr>
      <w:r>
        <w:rPr>
          <w:rFonts w:hint="eastAsia"/>
        </w:rPr>
        <w:t>应具备与建筑自动化系统、智能电网平台及外部管理平台的数据交互能力。</w:t>
      </w:r>
    </w:p>
    <w:p w14:paraId="305AD961">
      <w:pPr>
        <w:pStyle w:val="165"/>
        <w:spacing w:line="360" w:lineRule="auto"/>
      </w:pPr>
      <w:r>
        <w:rPr>
          <w:rFonts w:hint="eastAsia"/>
        </w:rPr>
        <w:t>接口应支持系统后期扩展及新技术接入。</w:t>
      </w:r>
    </w:p>
    <w:p w14:paraId="423BD2CC">
      <w:pPr>
        <w:pStyle w:val="104"/>
        <w:spacing w:before="240" w:after="240" w:line="360" w:lineRule="auto"/>
        <w:rPr>
          <w:rFonts w:hint="eastAsia"/>
        </w:rPr>
      </w:pPr>
      <w:bookmarkStart w:id="53" w:name="_Toc205590740"/>
      <w:r>
        <w:rPr>
          <w:rFonts w:hint="eastAsia"/>
        </w:rPr>
        <w:t>运行模式与调控策略</w:t>
      </w:r>
      <w:bookmarkEnd w:id="53"/>
    </w:p>
    <w:p w14:paraId="4414A5DF">
      <w:pPr>
        <w:pStyle w:val="105"/>
        <w:spacing w:before="120" w:after="120" w:line="360" w:lineRule="auto"/>
        <w:rPr>
          <w:rFonts w:hint="eastAsia"/>
        </w:rPr>
      </w:pPr>
      <w:r>
        <w:rPr>
          <w:rFonts w:hint="eastAsia"/>
        </w:rPr>
        <w:t>总体要求</w:t>
      </w:r>
    </w:p>
    <w:p w14:paraId="672C4535">
      <w:pPr>
        <w:pStyle w:val="56"/>
        <w:spacing w:line="360" w:lineRule="auto"/>
        <w:ind w:firstLine="420"/>
        <w:rPr>
          <w:rFonts w:hint="eastAsia"/>
        </w:rPr>
      </w:pPr>
      <w:r>
        <w:rPr>
          <w:rFonts w:hint="eastAsia"/>
        </w:rPr>
        <w:t>可再生能源与建筑电气系统的动态负荷协同调控应根据可再生能源出力特性、建筑负荷需求及储能状态，选择合适的运行模式和调控策略，确保系统运行的安全性、经济性与灵活性。</w:t>
      </w:r>
    </w:p>
    <w:p w14:paraId="395592A0">
      <w:pPr>
        <w:pStyle w:val="105"/>
        <w:spacing w:before="120" w:after="120" w:line="360" w:lineRule="auto"/>
        <w:rPr>
          <w:rFonts w:hint="eastAsia"/>
        </w:rPr>
      </w:pPr>
      <w:r>
        <w:rPr>
          <w:rFonts w:hint="eastAsia"/>
        </w:rPr>
        <w:t>典型运行模式</w:t>
      </w:r>
    </w:p>
    <w:p w14:paraId="22E6D26D">
      <w:pPr>
        <w:pStyle w:val="56"/>
        <w:spacing w:line="360" w:lineRule="auto"/>
        <w:ind w:firstLine="420"/>
        <w:rPr>
          <w:rFonts w:hint="eastAsia"/>
        </w:rPr>
      </w:pPr>
      <w:r>
        <w:rPr>
          <w:rFonts w:hint="eastAsia"/>
        </w:rPr>
        <w:t>常用的运行模式包括可再生能源优先模式、储能削峰填谷模式、需求响应模式以及综合优化模式。各模式的适用条件与控制重点见表2。</w:t>
      </w:r>
    </w:p>
    <w:p w14:paraId="46E57BA5">
      <w:pPr>
        <w:pStyle w:val="112"/>
        <w:spacing w:before="120" w:after="120" w:line="360" w:lineRule="auto"/>
        <w:rPr>
          <w:rFonts w:hint="eastAsia"/>
        </w:rPr>
      </w:pPr>
      <w:r>
        <w:rPr>
          <w:rFonts w:hint="eastAsia"/>
        </w:rPr>
        <w:t>典型运行模式及控制重点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402"/>
        <w:gridCol w:w="4099"/>
      </w:tblGrid>
      <w:tr w14:paraId="21786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14:paraId="4D279215">
            <w:pPr>
              <w:pStyle w:val="178"/>
            </w:pPr>
            <w:r>
              <w:rPr>
                <w:rFonts w:hint="eastAsia"/>
              </w:rPr>
              <w:t>运行模式</w:t>
            </w:r>
          </w:p>
        </w:tc>
        <w:tc>
          <w:tcPr>
            <w:tcW w:w="3402" w:type="dxa"/>
            <w:tcBorders>
              <w:top w:val="single" w:color="auto" w:sz="8" w:space="0"/>
              <w:bottom w:val="single" w:color="auto" w:sz="8" w:space="0"/>
            </w:tcBorders>
            <w:shd w:val="clear" w:color="auto" w:fill="auto"/>
            <w:vAlign w:val="center"/>
          </w:tcPr>
          <w:p w14:paraId="021C07D3">
            <w:pPr>
              <w:pStyle w:val="178"/>
            </w:pPr>
            <w:r>
              <w:rPr>
                <w:rFonts w:hint="eastAsia"/>
              </w:rPr>
              <w:t>适用条件</w:t>
            </w:r>
          </w:p>
        </w:tc>
        <w:tc>
          <w:tcPr>
            <w:tcW w:w="4099" w:type="dxa"/>
            <w:tcBorders>
              <w:top w:val="single" w:color="auto" w:sz="8" w:space="0"/>
              <w:bottom w:val="single" w:color="auto" w:sz="8" w:space="0"/>
            </w:tcBorders>
            <w:shd w:val="clear" w:color="auto" w:fill="auto"/>
            <w:vAlign w:val="center"/>
          </w:tcPr>
          <w:p w14:paraId="0864E380">
            <w:pPr>
              <w:pStyle w:val="178"/>
            </w:pPr>
            <w:r>
              <w:rPr>
                <w:rFonts w:hint="eastAsia"/>
              </w:rPr>
              <w:t>控制重点</w:t>
            </w:r>
          </w:p>
        </w:tc>
      </w:tr>
      <w:tr w14:paraId="1E669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vAlign w:val="center"/>
          </w:tcPr>
          <w:p w14:paraId="2247C87C">
            <w:pPr>
              <w:pStyle w:val="178"/>
            </w:pPr>
            <w:r>
              <w:rPr>
                <w:rFonts w:hint="eastAsia"/>
              </w:rPr>
              <w:t>可再生能源优先模式</w:t>
            </w:r>
          </w:p>
        </w:tc>
        <w:tc>
          <w:tcPr>
            <w:tcW w:w="3402" w:type="dxa"/>
            <w:tcBorders>
              <w:top w:val="single" w:color="auto" w:sz="8" w:space="0"/>
            </w:tcBorders>
            <w:shd w:val="clear" w:color="auto" w:fill="auto"/>
            <w:vAlign w:val="center"/>
          </w:tcPr>
          <w:p w14:paraId="36E312CE">
            <w:pPr>
              <w:pStyle w:val="178"/>
            </w:pPr>
            <w:r>
              <w:rPr>
                <w:rFonts w:hint="eastAsia"/>
              </w:rPr>
              <w:t>可再生能源出力充足，建筑负荷相对稳定</w:t>
            </w:r>
          </w:p>
        </w:tc>
        <w:tc>
          <w:tcPr>
            <w:tcW w:w="4099" w:type="dxa"/>
            <w:tcBorders>
              <w:top w:val="single" w:color="auto" w:sz="8" w:space="0"/>
            </w:tcBorders>
            <w:shd w:val="clear" w:color="auto" w:fill="auto"/>
            <w:vAlign w:val="center"/>
          </w:tcPr>
          <w:p w14:paraId="40552B2F">
            <w:pPr>
              <w:pStyle w:val="178"/>
            </w:pPr>
            <w:r>
              <w:rPr>
                <w:rFonts w:hint="eastAsia"/>
              </w:rPr>
              <w:t>优先利用可再生能源供电，减少外部电网购电量</w:t>
            </w:r>
          </w:p>
        </w:tc>
      </w:tr>
      <w:tr w14:paraId="1B4C6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5FD6830C">
            <w:pPr>
              <w:pStyle w:val="178"/>
            </w:pPr>
            <w:r>
              <w:rPr>
                <w:rFonts w:hint="eastAsia"/>
              </w:rPr>
              <w:t>储能削峰填谷模式</w:t>
            </w:r>
          </w:p>
        </w:tc>
        <w:tc>
          <w:tcPr>
            <w:tcW w:w="3402" w:type="dxa"/>
            <w:shd w:val="clear" w:color="auto" w:fill="auto"/>
            <w:vAlign w:val="center"/>
          </w:tcPr>
          <w:p w14:paraId="436E4477">
            <w:pPr>
              <w:pStyle w:val="178"/>
            </w:pPr>
            <w:r>
              <w:rPr>
                <w:rFonts w:hint="eastAsia"/>
              </w:rPr>
              <w:t>建筑负荷波动大，电价存在峰谷差</w:t>
            </w:r>
          </w:p>
        </w:tc>
        <w:tc>
          <w:tcPr>
            <w:tcW w:w="4099" w:type="dxa"/>
            <w:shd w:val="clear" w:color="auto" w:fill="auto"/>
            <w:vAlign w:val="center"/>
          </w:tcPr>
          <w:p w14:paraId="784572A7">
            <w:pPr>
              <w:pStyle w:val="178"/>
            </w:pPr>
            <w:r>
              <w:rPr>
                <w:rFonts w:hint="eastAsia"/>
              </w:rPr>
              <w:t>峰时放电、谷时充电，降低用电成本，平滑负荷曲线</w:t>
            </w:r>
          </w:p>
        </w:tc>
      </w:tr>
    </w:tbl>
    <w:p w14:paraId="6645EAAD">
      <w:pPr>
        <w:pStyle w:val="56"/>
        <w:spacing w:before="120" w:beforeLines="50" w:after="120" w:afterLines="50"/>
        <w:ind w:firstLine="0" w:firstLineChars="0"/>
        <w:jc w:val="center"/>
        <w:rPr>
          <w:rFonts w:ascii="黑体" w:hAnsi="黑体" w:eastAsia="黑体"/>
        </w:rPr>
      </w:pPr>
      <w:r>
        <w:rPr>
          <w:rFonts w:hint="eastAsia" w:ascii="黑体" w:hAnsi="黑体" w:eastAsia="黑体"/>
        </w:rPr>
        <w:t>表2  典型运行模式及控制重点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402"/>
        <w:gridCol w:w="4099"/>
      </w:tblGrid>
      <w:tr w14:paraId="38932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14:paraId="2348CF82">
            <w:pPr>
              <w:pStyle w:val="178"/>
            </w:pPr>
            <w:r>
              <w:rPr>
                <w:rFonts w:hint="eastAsia"/>
              </w:rPr>
              <w:t>运行模式</w:t>
            </w:r>
          </w:p>
        </w:tc>
        <w:tc>
          <w:tcPr>
            <w:tcW w:w="3402" w:type="dxa"/>
            <w:tcBorders>
              <w:top w:val="single" w:color="auto" w:sz="8" w:space="0"/>
              <w:bottom w:val="single" w:color="auto" w:sz="8" w:space="0"/>
            </w:tcBorders>
            <w:shd w:val="clear" w:color="auto" w:fill="auto"/>
            <w:vAlign w:val="center"/>
          </w:tcPr>
          <w:p w14:paraId="3B4D6DD7">
            <w:pPr>
              <w:pStyle w:val="178"/>
            </w:pPr>
            <w:r>
              <w:rPr>
                <w:rFonts w:hint="eastAsia"/>
              </w:rPr>
              <w:t>适用条件</w:t>
            </w:r>
          </w:p>
        </w:tc>
        <w:tc>
          <w:tcPr>
            <w:tcW w:w="4099" w:type="dxa"/>
            <w:tcBorders>
              <w:top w:val="single" w:color="auto" w:sz="8" w:space="0"/>
              <w:bottom w:val="single" w:color="auto" w:sz="8" w:space="0"/>
            </w:tcBorders>
            <w:shd w:val="clear" w:color="auto" w:fill="auto"/>
            <w:vAlign w:val="center"/>
          </w:tcPr>
          <w:p w14:paraId="247BB31D">
            <w:pPr>
              <w:pStyle w:val="178"/>
            </w:pPr>
            <w:r>
              <w:rPr>
                <w:rFonts w:hint="eastAsia"/>
              </w:rPr>
              <w:t>控制重点</w:t>
            </w:r>
          </w:p>
        </w:tc>
      </w:tr>
      <w:tr w14:paraId="05908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2D9750A7">
            <w:pPr>
              <w:pStyle w:val="178"/>
            </w:pPr>
            <w:r>
              <w:rPr>
                <w:rFonts w:hint="eastAsia"/>
              </w:rPr>
              <w:t>需求响应模式</w:t>
            </w:r>
          </w:p>
        </w:tc>
        <w:tc>
          <w:tcPr>
            <w:tcW w:w="3402" w:type="dxa"/>
            <w:shd w:val="clear" w:color="auto" w:fill="auto"/>
            <w:vAlign w:val="center"/>
          </w:tcPr>
          <w:p w14:paraId="20FDECEA">
            <w:pPr>
              <w:pStyle w:val="178"/>
            </w:pPr>
            <w:r>
              <w:rPr>
                <w:rFonts w:hint="eastAsia"/>
              </w:rPr>
              <w:t>电网发出需求响应指令或价格信号</w:t>
            </w:r>
          </w:p>
        </w:tc>
        <w:tc>
          <w:tcPr>
            <w:tcW w:w="4099" w:type="dxa"/>
            <w:shd w:val="clear" w:color="auto" w:fill="auto"/>
            <w:vAlign w:val="center"/>
          </w:tcPr>
          <w:p w14:paraId="4876831B">
            <w:pPr>
              <w:pStyle w:val="178"/>
            </w:pPr>
            <w:r>
              <w:rPr>
                <w:rFonts w:hint="eastAsia"/>
              </w:rPr>
              <w:t>通过调整可调节负荷或启动储能参与电网调节</w:t>
            </w:r>
          </w:p>
        </w:tc>
      </w:tr>
      <w:tr w14:paraId="2FAF1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13DF7469">
            <w:pPr>
              <w:pStyle w:val="178"/>
            </w:pPr>
            <w:r>
              <w:rPr>
                <w:rFonts w:hint="eastAsia"/>
              </w:rPr>
              <w:t>综合优化模式</w:t>
            </w:r>
          </w:p>
        </w:tc>
        <w:tc>
          <w:tcPr>
            <w:tcW w:w="3402" w:type="dxa"/>
            <w:shd w:val="clear" w:color="auto" w:fill="auto"/>
            <w:vAlign w:val="center"/>
          </w:tcPr>
          <w:p w14:paraId="7E81951E">
            <w:pPr>
              <w:pStyle w:val="178"/>
            </w:pPr>
            <w:r>
              <w:rPr>
                <w:rFonts w:hint="eastAsia"/>
              </w:rPr>
              <w:t>多能源协同运行、外部条件复杂</w:t>
            </w:r>
          </w:p>
        </w:tc>
        <w:tc>
          <w:tcPr>
            <w:tcW w:w="4099" w:type="dxa"/>
            <w:shd w:val="clear" w:color="auto" w:fill="auto"/>
            <w:vAlign w:val="center"/>
          </w:tcPr>
          <w:p w14:paraId="4C4289D9">
            <w:pPr>
              <w:pStyle w:val="178"/>
            </w:pPr>
            <w:r>
              <w:rPr>
                <w:rFonts w:hint="eastAsia"/>
              </w:rPr>
              <w:t>综合考虑出力预测、负荷预测与储能策略，实现整体最优</w:t>
            </w:r>
          </w:p>
        </w:tc>
      </w:tr>
    </w:tbl>
    <w:p w14:paraId="6130821B">
      <w:pPr>
        <w:pStyle w:val="105"/>
        <w:spacing w:before="120" w:after="120" w:line="360" w:lineRule="auto"/>
        <w:rPr>
          <w:rFonts w:hint="eastAsia"/>
        </w:rPr>
      </w:pPr>
      <w:r>
        <w:rPr>
          <w:rFonts w:hint="eastAsia"/>
        </w:rPr>
        <w:t>调控策略要求</w:t>
      </w:r>
    </w:p>
    <w:p w14:paraId="0FBE7053">
      <w:pPr>
        <w:pStyle w:val="165"/>
        <w:spacing w:line="360" w:lineRule="auto"/>
        <w:rPr>
          <w:rFonts w:hint="eastAsia"/>
        </w:rPr>
      </w:pPr>
      <w:r>
        <w:rPr>
          <w:rFonts w:hint="eastAsia"/>
        </w:rPr>
        <w:t>预测驱动：基于可再生能源出力预测与负荷预测，提前制定调控计划。</w:t>
      </w:r>
    </w:p>
    <w:p w14:paraId="3460D125">
      <w:pPr>
        <w:pStyle w:val="165"/>
        <w:spacing w:line="360" w:lineRule="auto"/>
        <w:rPr>
          <w:rFonts w:hint="eastAsia"/>
        </w:rPr>
      </w:pPr>
      <w:r>
        <w:rPr>
          <w:rFonts w:hint="eastAsia"/>
        </w:rPr>
        <w:t>实时优化：利用能源管理平台进行实时数据分析与策略调整。</w:t>
      </w:r>
    </w:p>
    <w:p w14:paraId="31389251">
      <w:pPr>
        <w:pStyle w:val="165"/>
        <w:spacing w:line="360" w:lineRule="auto"/>
        <w:rPr>
          <w:rFonts w:hint="eastAsia"/>
        </w:rPr>
      </w:pPr>
      <w:r>
        <w:rPr>
          <w:rFonts w:hint="eastAsia"/>
        </w:rPr>
        <w:t>多目标平衡：在满足安全运行的前提下，兼顾经济效益、节能减排和用户舒适性。</w:t>
      </w:r>
    </w:p>
    <w:p w14:paraId="285226B2">
      <w:pPr>
        <w:pStyle w:val="165"/>
        <w:spacing w:line="360" w:lineRule="auto"/>
      </w:pPr>
      <w:r>
        <w:rPr>
          <w:rFonts w:hint="eastAsia"/>
        </w:rPr>
        <w:t>应急切换：当发生电网故障、设备异常或极端天气时，应快速切换至应急运行模式。</w:t>
      </w:r>
    </w:p>
    <w:p w14:paraId="051D42D1">
      <w:pPr>
        <w:pStyle w:val="104"/>
        <w:spacing w:before="240" w:after="240" w:line="360" w:lineRule="auto"/>
        <w:rPr>
          <w:rFonts w:hint="eastAsia"/>
        </w:rPr>
      </w:pPr>
      <w:bookmarkStart w:id="54" w:name="_Toc205590741"/>
      <w:r>
        <w:rPr>
          <w:rFonts w:hint="eastAsia"/>
        </w:rPr>
        <w:t>检测与评估方法</w:t>
      </w:r>
      <w:bookmarkEnd w:id="54"/>
    </w:p>
    <w:p w14:paraId="61090761">
      <w:pPr>
        <w:pStyle w:val="105"/>
        <w:spacing w:before="120" w:after="120" w:line="360" w:lineRule="auto"/>
        <w:rPr>
          <w:rFonts w:hint="eastAsia"/>
        </w:rPr>
      </w:pPr>
      <w:r>
        <w:rPr>
          <w:rFonts w:hint="eastAsia"/>
        </w:rPr>
        <w:t>总体要求</w:t>
      </w:r>
    </w:p>
    <w:p w14:paraId="326CF379">
      <w:pPr>
        <w:pStyle w:val="56"/>
        <w:spacing w:line="360" w:lineRule="auto"/>
        <w:ind w:firstLine="420"/>
        <w:rPr>
          <w:rFonts w:hint="eastAsia"/>
        </w:rPr>
      </w:pPr>
      <w:r>
        <w:rPr>
          <w:rFonts w:hint="eastAsia"/>
        </w:rPr>
        <w:t>动态负荷协同调控系统的检测与评估应覆盖系统的安全性、经济性、可再生能源利用率、能效水平及运行稳定性等方面。评估方法应采用现场检测、运行数据分析与模拟仿真相结合的方式，确保评价结果的科学性与可操作性。</w:t>
      </w:r>
    </w:p>
    <w:p w14:paraId="61DA06B4">
      <w:pPr>
        <w:pStyle w:val="105"/>
        <w:spacing w:before="120" w:after="120" w:line="360" w:lineRule="auto"/>
        <w:rPr>
          <w:rFonts w:hint="eastAsia"/>
        </w:rPr>
      </w:pPr>
      <w:r>
        <w:rPr>
          <w:rFonts w:hint="eastAsia"/>
        </w:rPr>
        <w:t>检测项目与方法</w:t>
      </w:r>
    </w:p>
    <w:p w14:paraId="28C94B98">
      <w:pPr>
        <w:pStyle w:val="165"/>
        <w:spacing w:line="360" w:lineRule="auto"/>
        <w:rPr>
          <w:rFonts w:hint="eastAsia"/>
        </w:rPr>
      </w:pPr>
      <w:r>
        <w:rPr>
          <w:rFonts w:hint="eastAsia"/>
        </w:rPr>
        <w:t>设备运行状态检测：包括可再生能源发电单元、储能系统、配电设备、控制系统的运行参数检测。</w:t>
      </w:r>
    </w:p>
    <w:p w14:paraId="58209352">
      <w:pPr>
        <w:pStyle w:val="165"/>
        <w:spacing w:line="360" w:lineRule="auto"/>
        <w:rPr>
          <w:rFonts w:hint="eastAsia"/>
        </w:rPr>
      </w:pPr>
      <w:r>
        <w:rPr>
          <w:rFonts w:hint="eastAsia"/>
        </w:rPr>
        <w:t>电能质量检测：依据相关标准检测电压偏差、谐波含量、频率偏差及三相不平衡度等指标。</w:t>
      </w:r>
    </w:p>
    <w:p w14:paraId="18820073">
      <w:pPr>
        <w:pStyle w:val="165"/>
        <w:spacing w:line="360" w:lineRule="auto"/>
        <w:rPr>
          <w:rFonts w:hint="eastAsia"/>
        </w:rPr>
      </w:pPr>
      <w:r>
        <w:rPr>
          <w:rFonts w:hint="eastAsia"/>
        </w:rPr>
        <w:t>系统响应性能检测：评估系统对负荷变化和调控指令的响应速度与准确性。</w:t>
      </w:r>
    </w:p>
    <w:p w14:paraId="1FA1D55B">
      <w:pPr>
        <w:pStyle w:val="165"/>
        <w:spacing w:line="360" w:lineRule="auto"/>
        <w:rPr>
          <w:rFonts w:hint="eastAsia"/>
        </w:rPr>
      </w:pPr>
      <w:r>
        <w:rPr>
          <w:rFonts w:hint="eastAsia"/>
        </w:rPr>
        <w:t>数据与通信检测：检查监测数据的准确性、完整性以及通信链路的可靠性。</w:t>
      </w:r>
    </w:p>
    <w:p w14:paraId="19320426">
      <w:pPr>
        <w:pStyle w:val="105"/>
        <w:spacing w:before="120" w:after="120" w:line="360" w:lineRule="auto"/>
        <w:rPr>
          <w:rFonts w:hint="eastAsia"/>
        </w:rPr>
      </w:pPr>
      <w:r>
        <w:rPr>
          <w:rFonts w:hint="eastAsia"/>
        </w:rPr>
        <w:t>评价指标体系</w:t>
      </w:r>
    </w:p>
    <w:p w14:paraId="2ED5EAAA">
      <w:pPr>
        <w:pStyle w:val="56"/>
        <w:spacing w:line="360" w:lineRule="auto"/>
        <w:ind w:firstLine="420"/>
        <w:rPr>
          <w:rFonts w:hint="eastAsia"/>
        </w:rPr>
      </w:pPr>
      <w:r>
        <w:rPr>
          <w:rFonts w:hint="eastAsia"/>
        </w:rPr>
        <w:t>动态负荷协同调控系统的主要评价指标见表3。</w:t>
      </w:r>
    </w:p>
    <w:p w14:paraId="71AE4509">
      <w:pPr>
        <w:pStyle w:val="112"/>
        <w:spacing w:before="120" w:after="120" w:line="360" w:lineRule="auto"/>
        <w:rPr>
          <w:rFonts w:hint="eastAsia"/>
        </w:rPr>
      </w:pPr>
      <w:r>
        <w:rPr>
          <w:rFonts w:hint="eastAsia"/>
        </w:rPr>
        <w:t>动态负荷协同调控系统评价指标体系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1842"/>
        <w:gridCol w:w="4808"/>
      </w:tblGrid>
      <w:tr w14:paraId="08F96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shd w:val="clear" w:color="auto" w:fill="auto"/>
          </w:tcPr>
          <w:p w14:paraId="58072463">
            <w:pPr>
              <w:pStyle w:val="178"/>
            </w:pPr>
            <w:r>
              <w:rPr>
                <w:rFonts w:hint="eastAsia"/>
              </w:rPr>
              <w:t>评价维度</w:t>
            </w:r>
          </w:p>
        </w:tc>
        <w:tc>
          <w:tcPr>
            <w:tcW w:w="1842" w:type="dxa"/>
            <w:tcBorders>
              <w:top w:val="single" w:color="auto" w:sz="8" w:space="0"/>
              <w:bottom w:val="single" w:color="auto" w:sz="8" w:space="0"/>
            </w:tcBorders>
            <w:shd w:val="clear" w:color="auto" w:fill="auto"/>
          </w:tcPr>
          <w:p w14:paraId="250BC741">
            <w:pPr>
              <w:pStyle w:val="178"/>
            </w:pPr>
            <w:r>
              <w:rPr>
                <w:rFonts w:hint="eastAsia"/>
              </w:rPr>
              <w:t>主要指标</w:t>
            </w:r>
          </w:p>
        </w:tc>
        <w:tc>
          <w:tcPr>
            <w:tcW w:w="4808" w:type="dxa"/>
            <w:tcBorders>
              <w:top w:val="single" w:color="auto" w:sz="8" w:space="0"/>
              <w:bottom w:val="single" w:color="auto" w:sz="8" w:space="0"/>
            </w:tcBorders>
            <w:shd w:val="clear" w:color="auto" w:fill="auto"/>
          </w:tcPr>
          <w:p w14:paraId="4FE7C18F">
            <w:pPr>
              <w:pStyle w:val="178"/>
            </w:pPr>
            <w:r>
              <w:rPr>
                <w:rFonts w:hint="eastAsia"/>
              </w:rPr>
              <w:t>指标说明</w:t>
            </w:r>
          </w:p>
        </w:tc>
      </w:tr>
      <w:tr w14:paraId="58D10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shd w:val="clear" w:color="auto" w:fill="auto"/>
          </w:tcPr>
          <w:p w14:paraId="62E167F3">
            <w:pPr>
              <w:pStyle w:val="178"/>
            </w:pPr>
            <w:r>
              <w:rPr>
                <w:rFonts w:hint="eastAsia"/>
              </w:rPr>
              <w:t>安全性</w:t>
            </w:r>
          </w:p>
        </w:tc>
        <w:tc>
          <w:tcPr>
            <w:tcW w:w="1842" w:type="dxa"/>
            <w:tcBorders>
              <w:top w:val="single" w:color="auto" w:sz="8" w:space="0"/>
            </w:tcBorders>
            <w:shd w:val="clear" w:color="auto" w:fill="auto"/>
          </w:tcPr>
          <w:p w14:paraId="7C5DBED9">
            <w:pPr>
              <w:pStyle w:val="178"/>
            </w:pPr>
            <w:r>
              <w:rPr>
                <w:rFonts w:hint="eastAsia"/>
              </w:rPr>
              <w:t>设备故障率</w:t>
            </w:r>
          </w:p>
        </w:tc>
        <w:tc>
          <w:tcPr>
            <w:tcW w:w="4808" w:type="dxa"/>
            <w:tcBorders>
              <w:top w:val="single" w:color="auto" w:sz="8" w:space="0"/>
            </w:tcBorders>
            <w:shd w:val="clear" w:color="auto" w:fill="auto"/>
          </w:tcPr>
          <w:p w14:paraId="336F886A">
            <w:pPr>
              <w:pStyle w:val="178"/>
            </w:pPr>
            <w:r>
              <w:rPr>
                <w:rFonts w:hint="eastAsia"/>
              </w:rPr>
              <w:t>一定运行周期内设备故障次数占比</w:t>
            </w:r>
          </w:p>
        </w:tc>
      </w:tr>
      <w:tr w14:paraId="48DD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6724E1C4">
            <w:pPr>
              <w:pStyle w:val="178"/>
            </w:pPr>
            <w:r>
              <w:rPr>
                <w:rFonts w:hint="eastAsia"/>
              </w:rPr>
              <w:t>安全性</w:t>
            </w:r>
          </w:p>
        </w:tc>
        <w:tc>
          <w:tcPr>
            <w:tcW w:w="1842" w:type="dxa"/>
            <w:shd w:val="clear" w:color="auto" w:fill="auto"/>
          </w:tcPr>
          <w:p w14:paraId="0CF603AF">
            <w:pPr>
              <w:pStyle w:val="178"/>
            </w:pPr>
            <w:r>
              <w:rPr>
                <w:rFonts w:hint="eastAsia"/>
              </w:rPr>
              <w:t>电能质量合格率</w:t>
            </w:r>
          </w:p>
        </w:tc>
        <w:tc>
          <w:tcPr>
            <w:tcW w:w="4808" w:type="dxa"/>
            <w:shd w:val="clear" w:color="auto" w:fill="auto"/>
          </w:tcPr>
          <w:p w14:paraId="54F7FE21">
            <w:pPr>
              <w:pStyle w:val="178"/>
            </w:pPr>
            <w:r>
              <w:rPr>
                <w:rFonts w:hint="eastAsia"/>
              </w:rPr>
              <w:t>满足电能质量标准要求的时长比例</w:t>
            </w:r>
          </w:p>
        </w:tc>
      </w:tr>
      <w:tr w14:paraId="60389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6685A6B7">
            <w:pPr>
              <w:pStyle w:val="178"/>
            </w:pPr>
            <w:r>
              <w:rPr>
                <w:rFonts w:hint="eastAsia"/>
              </w:rPr>
              <w:t>能源利用效率</w:t>
            </w:r>
          </w:p>
        </w:tc>
        <w:tc>
          <w:tcPr>
            <w:tcW w:w="1842" w:type="dxa"/>
            <w:shd w:val="clear" w:color="auto" w:fill="auto"/>
          </w:tcPr>
          <w:p w14:paraId="3059B7D6">
            <w:pPr>
              <w:pStyle w:val="178"/>
            </w:pPr>
            <w:r>
              <w:rPr>
                <w:rFonts w:hint="eastAsia"/>
              </w:rPr>
              <w:t>可再生能源利用率</w:t>
            </w:r>
          </w:p>
        </w:tc>
        <w:tc>
          <w:tcPr>
            <w:tcW w:w="4808" w:type="dxa"/>
            <w:shd w:val="clear" w:color="auto" w:fill="auto"/>
          </w:tcPr>
          <w:p w14:paraId="7CEE6228">
            <w:pPr>
              <w:pStyle w:val="178"/>
            </w:pPr>
            <w:r>
              <w:rPr>
                <w:rFonts w:hint="eastAsia"/>
              </w:rPr>
              <w:t>可再生能源供电量占总供电量比例</w:t>
            </w:r>
          </w:p>
        </w:tc>
      </w:tr>
      <w:tr w14:paraId="7B6CF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76AFB163">
            <w:pPr>
              <w:pStyle w:val="178"/>
            </w:pPr>
            <w:r>
              <w:rPr>
                <w:rFonts w:hint="eastAsia"/>
              </w:rPr>
              <w:t>能源利用效率</w:t>
            </w:r>
          </w:p>
        </w:tc>
        <w:tc>
          <w:tcPr>
            <w:tcW w:w="1842" w:type="dxa"/>
            <w:shd w:val="clear" w:color="auto" w:fill="auto"/>
          </w:tcPr>
          <w:p w14:paraId="4D35086B">
            <w:pPr>
              <w:pStyle w:val="178"/>
            </w:pPr>
            <w:r>
              <w:rPr>
                <w:rFonts w:hint="eastAsia"/>
              </w:rPr>
              <w:t>系统综合能效</w:t>
            </w:r>
          </w:p>
        </w:tc>
        <w:tc>
          <w:tcPr>
            <w:tcW w:w="4808" w:type="dxa"/>
            <w:shd w:val="clear" w:color="auto" w:fill="auto"/>
          </w:tcPr>
          <w:p w14:paraId="0690C89E">
            <w:pPr>
              <w:pStyle w:val="178"/>
            </w:pPr>
            <w:r>
              <w:rPr>
                <w:rFonts w:hint="eastAsia"/>
              </w:rPr>
              <w:t>系统总能效转换效率</w:t>
            </w:r>
          </w:p>
        </w:tc>
      </w:tr>
      <w:tr w14:paraId="47106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1F427ED6">
            <w:pPr>
              <w:pStyle w:val="178"/>
            </w:pPr>
            <w:r>
              <w:rPr>
                <w:rFonts w:hint="eastAsia"/>
              </w:rPr>
              <w:t>经济性</w:t>
            </w:r>
          </w:p>
        </w:tc>
        <w:tc>
          <w:tcPr>
            <w:tcW w:w="1842" w:type="dxa"/>
            <w:shd w:val="clear" w:color="auto" w:fill="auto"/>
          </w:tcPr>
          <w:p w14:paraId="55089B8D">
            <w:pPr>
              <w:pStyle w:val="178"/>
            </w:pPr>
            <w:r>
              <w:rPr>
                <w:rFonts w:hint="eastAsia"/>
              </w:rPr>
              <w:t>峰谷差削减率</w:t>
            </w:r>
          </w:p>
        </w:tc>
        <w:tc>
          <w:tcPr>
            <w:tcW w:w="4808" w:type="dxa"/>
            <w:shd w:val="clear" w:color="auto" w:fill="auto"/>
          </w:tcPr>
          <w:p w14:paraId="464458D3">
            <w:pPr>
              <w:pStyle w:val="178"/>
            </w:pPr>
            <w:r>
              <w:rPr>
                <w:rFonts w:hint="eastAsia"/>
              </w:rPr>
              <w:t>通过调控减少的峰谷负荷差比例</w:t>
            </w:r>
          </w:p>
        </w:tc>
      </w:tr>
      <w:tr w14:paraId="2E89C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5A3FFFE5">
            <w:pPr>
              <w:pStyle w:val="178"/>
            </w:pPr>
            <w:r>
              <w:rPr>
                <w:rFonts w:hint="eastAsia"/>
              </w:rPr>
              <w:t>经济性</w:t>
            </w:r>
          </w:p>
        </w:tc>
        <w:tc>
          <w:tcPr>
            <w:tcW w:w="1842" w:type="dxa"/>
            <w:shd w:val="clear" w:color="auto" w:fill="auto"/>
          </w:tcPr>
          <w:p w14:paraId="6448E5DB">
            <w:pPr>
              <w:pStyle w:val="178"/>
            </w:pPr>
            <w:r>
              <w:rPr>
                <w:rFonts w:hint="eastAsia"/>
              </w:rPr>
              <w:t>节约电费比例</w:t>
            </w:r>
          </w:p>
        </w:tc>
        <w:tc>
          <w:tcPr>
            <w:tcW w:w="4808" w:type="dxa"/>
            <w:shd w:val="clear" w:color="auto" w:fill="auto"/>
          </w:tcPr>
          <w:p w14:paraId="5BA6F173">
            <w:pPr>
              <w:pStyle w:val="178"/>
            </w:pPr>
            <w:r>
              <w:rPr>
                <w:rFonts w:hint="eastAsia"/>
              </w:rPr>
              <w:t>通过调控降低的用电费用占总费用比例</w:t>
            </w:r>
          </w:p>
        </w:tc>
      </w:tr>
      <w:tr w14:paraId="6C473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75F3223C">
            <w:pPr>
              <w:pStyle w:val="178"/>
            </w:pPr>
            <w:r>
              <w:rPr>
                <w:rFonts w:hint="eastAsia"/>
              </w:rPr>
              <w:t>稳定性</w:t>
            </w:r>
          </w:p>
        </w:tc>
        <w:tc>
          <w:tcPr>
            <w:tcW w:w="1842" w:type="dxa"/>
            <w:shd w:val="clear" w:color="auto" w:fill="auto"/>
          </w:tcPr>
          <w:p w14:paraId="0B754293">
            <w:pPr>
              <w:pStyle w:val="178"/>
            </w:pPr>
            <w:r>
              <w:rPr>
                <w:rFonts w:hint="eastAsia"/>
              </w:rPr>
              <w:t>调控响应时间</w:t>
            </w:r>
          </w:p>
        </w:tc>
        <w:tc>
          <w:tcPr>
            <w:tcW w:w="4808" w:type="dxa"/>
            <w:shd w:val="clear" w:color="auto" w:fill="auto"/>
          </w:tcPr>
          <w:p w14:paraId="2C87AEBC">
            <w:pPr>
              <w:pStyle w:val="178"/>
            </w:pPr>
            <w:r>
              <w:rPr>
                <w:rFonts w:hint="eastAsia"/>
              </w:rPr>
              <w:t>接收到指令到调控完成的平均时间</w:t>
            </w:r>
          </w:p>
        </w:tc>
      </w:tr>
      <w:tr w14:paraId="0F46B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shd w:val="clear" w:color="auto" w:fill="auto"/>
          </w:tcPr>
          <w:p w14:paraId="033CC381">
            <w:pPr>
              <w:pStyle w:val="178"/>
            </w:pPr>
            <w:r>
              <w:rPr>
                <w:rFonts w:hint="eastAsia"/>
              </w:rPr>
              <w:t>稳定性</w:t>
            </w:r>
          </w:p>
        </w:tc>
        <w:tc>
          <w:tcPr>
            <w:tcW w:w="1842" w:type="dxa"/>
            <w:shd w:val="clear" w:color="auto" w:fill="auto"/>
          </w:tcPr>
          <w:p w14:paraId="4D24DB71">
            <w:pPr>
              <w:pStyle w:val="178"/>
            </w:pPr>
            <w:r>
              <w:rPr>
                <w:rFonts w:hint="eastAsia"/>
              </w:rPr>
              <w:t>系统可用率</w:t>
            </w:r>
          </w:p>
        </w:tc>
        <w:tc>
          <w:tcPr>
            <w:tcW w:w="4808" w:type="dxa"/>
            <w:shd w:val="clear" w:color="auto" w:fill="auto"/>
          </w:tcPr>
          <w:p w14:paraId="1A036502">
            <w:pPr>
              <w:pStyle w:val="178"/>
            </w:pPr>
            <w:r>
              <w:rPr>
                <w:rFonts w:hint="eastAsia"/>
              </w:rPr>
              <w:t>系统正常运行时间占总运行时间比例</w:t>
            </w:r>
          </w:p>
        </w:tc>
      </w:tr>
    </w:tbl>
    <w:p w14:paraId="6B9AA467">
      <w:pPr>
        <w:pStyle w:val="105"/>
        <w:spacing w:before="120" w:after="120" w:line="360" w:lineRule="auto"/>
        <w:rPr>
          <w:rFonts w:hint="eastAsia"/>
        </w:rPr>
      </w:pPr>
      <w:r>
        <w:rPr>
          <w:rFonts w:hint="eastAsia"/>
        </w:rPr>
        <w:t>评估与改进</w:t>
      </w:r>
    </w:p>
    <w:p w14:paraId="6A345095">
      <w:pPr>
        <w:pStyle w:val="165"/>
        <w:spacing w:line="360" w:lineRule="auto"/>
        <w:rPr>
          <w:rFonts w:hint="eastAsia"/>
        </w:rPr>
      </w:pPr>
      <w:r>
        <w:rPr>
          <w:rFonts w:hint="eastAsia"/>
        </w:rPr>
        <w:t>每年至少开展一次全面评估，并形成评估报告。对存在问题的环节制定整改措施，必要时优化调控策略和系统配置。</w:t>
      </w:r>
    </w:p>
    <w:p w14:paraId="5A8F4B10">
      <w:pPr>
        <w:pStyle w:val="165"/>
        <w:spacing w:line="360" w:lineRule="auto"/>
      </w:pPr>
      <w:r>
        <w:rPr>
          <w:rFonts w:hint="eastAsia"/>
        </w:rPr>
        <w:t>在引入新技术或运行环境发生重大变化时，应重新进行系统评估。</w:t>
      </w:r>
    </w:p>
    <w:p w14:paraId="33F1C512">
      <w:pPr>
        <w:pStyle w:val="104"/>
        <w:spacing w:before="240" w:after="240" w:line="360" w:lineRule="auto"/>
        <w:rPr>
          <w:rFonts w:hint="eastAsia"/>
        </w:rPr>
      </w:pPr>
      <w:bookmarkStart w:id="55" w:name="_Toc205590742"/>
      <w:r>
        <w:rPr>
          <w:rFonts w:hint="eastAsia"/>
        </w:rPr>
        <w:t>安全管理与应急措施</w:t>
      </w:r>
      <w:bookmarkEnd w:id="55"/>
    </w:p>
    <w:p w14:paraId="7E164334">
      <w:pPr>
        <w:pStyle w:val="105"/>
        <w:spacing w:before="120" w:after="120" w:line="360" w:lineRule="auto"/>
        <w:rPr>
          <w:rFonts w:hint="eastAsia"/>
        </w:rPr>
      </w:pPr>
      <w:r>
        <w:rPr>
          <w:rFonts w:hint="eastAsia"/>
        </w:rPr>
        <w:t>总体要求</w:t>
      </w:r>
    </w:p>
    <w:p w14:paraId="371D217F">
      <w:pPr>
        <w:pStyle w:val="56"/>
        <w:spacing w:line="360" w:lineRule="auto"/>
        <w:ind w:firstLine="420"/>
        <w:rPr>
          <w:rFonts w:hint="eastAsia"/>
        </w:rPr>
      </w:pPr>
      <w:r>
        <w:rPr>
          <w:rFonts w:hint="eastAsia"/>
        </w:rPr>
        <w:t>动态负荷协同调控系统的安全管理应覆盖设备运行、数据传输、人员操作等全过程，确保系统在正常和异常工况下均能安全稳定运行。应急措施应做到预案明确、响应及时、责任到位。</w:t>
      </w:r>
    </w:p>
    <w:p w14:paraId="13979A77">
      <w:pPr>
        <w:pStyle w:val="105"/>
        <w:spacing w:before="120" w:after="120" w:line="360" w:lineRule="auto"/>
        <w:rPr>
          <w:rFonts w:hint="eastAsia"/>
        </w:rPr>
      </w:pPr>
      <w:r>
        <w:rPr>
          <w:rFonts w:hint="eastAsia"/>
        </w:rPr>
        <w:t>安全管理要求</w:t>
      </w:r>
    </w:p>
    <w:p w14:paraId="35202149">
      <w:pPr>
        <w:pStyle w:val="165"/>
        <w:spacing w:line="360" w:lineRule="auto"/>
        <w:rPr>
          <w:rFonts w:hint="eastAsia"/>
        </w:rPr>
      </w:pPr>
      <w:r>
        <w:rPr>
          <w:rFonts w:hint="eastAsia"/>
        </w:rPr>
        <w:t>建立安全管理制度，涵盖设备检修、操作规程、权限管理、网络安全防护等方面。</w:t>
      </w:r>
    </w:p>
    <w:p w14:paraId="062FBEAB">
      <w:pPr>
        <w:pStyle w:val="165"/>
        <w:spacing w:line="360" w:lineRule="auto"/>
        <w:rPr>
          <w:rFonts w:hint="eastAsia"/>
        </w:rPr>
      </w:pPr>
      <w:r>
        <w:rPr>
          <w:rFonts w:hint="eastAsia"/>
        </w:rPr>
        <w:t>定期开展设备巡检与维护，及时排除安全隐患。</w:t>
      </w:r>
    </w:p>
    <w:p w14:paraId="076E79E0">
      <w:pPr>
        <w:pStyle w:val="165"/>
        <w:spacing w:line="360" w:lineRule="auto"/>
        <w:rPr>
          <w:rFonts w:hint="eastAsia"/>
        </w:rPr>
      </w:pPr>
      <w:r>
        <w:rPr>
          <w:rFonts w:hint="eastAsia"/>
        </w:rPr>
        <w:t>对运维人员开展安全培训与应急演练，提升应急处置能力。</w:t>
      </w:r>
    </w:p>
    <w:p w14:paraId="05992CB3">
      <w:pPr>
        <w:pStyle w:val="165"/>
        <w:spacing w:line="360" w:lineRule="auto"/>
        <w:rPr>
          <w:rFonts w:hint="eastAsia"/>
        </w:rPr>
      </w:pPr>
      <w:r>
        <w:rPr>
          <w:rFonts w:hint="eastAsia"/>
        </w:rPr>
        <w:t>重要数据应加密存储并定期备份，防止数据丢失与泄露。</w:t>
      </w:r>
    </w:p>
    <w:p w14:paraId="235934F8">
      <w:pPr>
        <w:pStyle w:val="105"/>
        <w:spacing w:before="120" w:after="120" w:line="360" w:lineRule="auto"/>
        <w:rPr>
          <w:rFonts w:hint="eastAsia"/>
        </w:rPr>
      </w:pPr>
      <w:r>
        <w:rPr>
          <w:rFonts w:hint="eastAsia"/>
        </w:rPr>
        <w:t>应急措施</w:t>
      </w:r>
    </w:p>
    <w:p w14:paraId="3051E66F">
      <w:pPr>
        <w:pStyle w:val="56"/>
        <w:spacing w:line="360" w:lineRule="auto"/>
        <w:ind w:firstLine="420"/>
        <w:rPr>
          <w:rFonts w:hint="eastAsia"/>
        </w:rPr>
      </w:pPr>
      <w:r>
        <w:rPr>
          <w:rFonts w:hint="eastAsia"/>
        </w:rPr>
        <w:t>常见异常工况及应急处置要求见表4。</w:t>
      </w:r>
    </w:p>
    <w:p w14:paraId="572FD4B6">
      <w:pPr>
        <w:pStyle w:val="112"/>
        <w:spacing w:before="120" w:after="120" w:line="360" w:lineRule="auto"/>
        <w:rPr>
          <w:rFonts w:hint="eastAsia"/>
        </w:rPr>
      </w:pPr>
      <w:r>
        <w:rPr>
          <w:rFonts w:hint="eastAsia"/>
        </w:rPr>
        <w:t>常见异常工况及应急处置措施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67"/>
        <w:gridCol w:w="2552"/>
        <w:gridCol w:w="3815"/>
      </w:tblGrid>
      <w:tr w14:paraId="44CEF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67" w:type="dxa"/>
            <w:tcBorders>
              <w:top w:val="single" w:color="auto" w:sz="8" w:space="0"/>
              <w:bottom w:val="single" w:color="auto" w:sz="8" w:space="0"/>
            </w:tcBorders>
            <w:shd w:val="clear" w:color="auto" w:fill="auto"/>
          </w:tcPr>
          <w:p w14:paraId="4113117F">
            <w:pPr>
              <w:pStyle w:val="178"/>
            </w:pPr>
            <w:r>
              <w:rPr>
                <w:rFonts w:hint="eastAsia"/>
              </w:rPr>
              <w:t>异常工况</w:t>
            </w:r>
          </w:p>
        </w:tc>
        <w:tc>
          <w:tcPr>
            <w:tcW w:w="2552" w:type="dxa"/>
            <w:tcBorders>
              <w:top w:val="single" w:color="auto" w:sz="8" w:space="0"/>
              <w:bottom w:val="single" w:color="auto" w:sz="8" w:space="0"/>
            </w:tcBorders>
            <w:shd w:val="clear" w:color="auto" w:fill="auto"/>
          </w:tcPr>
          <w:p w14:paraId="13931B7E">
            <w:pPr>
              <w:pStyle w:val="178"/>
            </w:pPr>
            <w:r>
              <w:rPr>
                <w:rFonts w:hint="eastAsia"/>
              </w:rPr>
              <w:t>主要风险</w:t>
            </w:r>
          </w:p>
        </w:tc>
        <w:tc>
          <w:tcPr>
            <w:tcW w:w="3815" w:type="dxa"/>
            <w:tcBorders>
              <w:top w:val="single" w:color="auto" w:sz="8" w:space="0"/>
              <w:bottom w:val="single" w:color="auto" w:sz="8" w:space="0"/>
            </w:tcBorders>
            <w:shd w:val="clear" w:color="auto" w:fill="auto"/>
          </w:tcPr>
          <w:p w14:paraId="0D9268E6">
            <w:pPr>
              <w:pStyle w:val="178"/>
            </w:pPr>
            <w:r>
              <w:rPr>
                <w:rFonts w:hint="eastAsia"/>
              </w:rPr>
              <w:t>应急处置措施</w:t>
            </w:r>
          </w:p>
        </w:tc>
      </w:tr>
      <w:tr w14:paraId="5BC5F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tcBorders>
              <w:top w:val="single" w:color="auto" w:sz="8" w:space="0"/>
            </w:tcBorders>
            <w:shd w:val="clear" w:color="auto" w:fill="auto"/>
          </w:tcPr>
          <w:p w14:paraId="52962858">
            <w:pPr>
              <w:pStyle w:val="178"/>
            </w:pPr>
            <w:r>
              <w:rPr>
                <w:rFonts w:hint="eastAsia"/>
              </w:rPr>
              <w:t>可再生能源发电单元故障</w:t>
            </w:r>
          </w:p>
        </w:tc>
        <w:tc>
          <w:tcPr>
            <w:tcW w:w="2552" w:type="dxa"/>
            <w:tcBorders>
              <w:top w:val="single" w:color="auto" w:sz="8" w:space="0"/>
            </w:tcBorders>
            <w:shd w:val="clear" w:color="auto" w:fill="auto"/>
          </w:tcPr>
          <w:p w14:paraId="65969D6B">
            <w:pPr>
              <w:pStyle w:val="178"/>
            </w:pPr>
            <w:r>
              <w:rPr>
                <w:rFonts w:hint="eastAsia"/>
              </w:rPr>
              <w:t>出力中断、系统供电不足</w:t>
            </w:r>
          </w:p>
        </w:tc>
        <w:tc>
          <w:tcPr>
            <w:tcW w:w="3815" w:type="dxa"/>
            <w:tcBorders>
              <w:top w:val="single" w:color="auto" w:sz="8" w:space="0"/>
            </w:tcBorders>
            <w:shd w:val="clear" w:color="auto" w:fill="auto"/>
          </w:tcPr>
          <w:p w14:paraId="5E220FD3">
            <w:pPr>
              <w:pStyle w:val="178"/>
            </w:pPr>
            <w:r>
              <w:rPr>
                <w:rFonts w:hint="eastAsia"/>
              </w:rPr>
              <w:t>切换至储能或外部电网供电，安排检修</w:t>
            </w:r>
          </w:p>
        </w:tc>
      </w:tr>
      <w:tr w14:paraId="281AC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shd w:val="clear" w:color="auto" w:fill="auto"/>
          </w:tcPr>
          <w:p w14:paraId="54D95C12">
            <w:pPr>
              <w:pStyle w:val="178"/>
            </w:pPr>
            <w:r>
              <w:rPr>
                <w:rFonts w:hint="eastAsia"/>
              </w:rPr>
              <w:t>储能系统故障</w:t>
            </w:r>
          </w:p>
        </w:tc>
        <w:tc>
          <w:tcPr>
            <w:tcW w:w="2552" w:type="dxa"/>
            <w:shd w:val="clear" w:color="auto" w:fill="auto"/>
          </w:tcPr>
          <w:p w14:paraId="31AE07E4">
            <w:pPr>
              <w:pStyle w:val="178"/>
            </w:pPr>
            <w:r>
              <w:rPr>
                <w:rFonts w:hint="eastAsia"/>
              </w:rPr>
              <w:t>调峰调谷能力下降</w:t>
            </w:r>
          </w:p>
        </w:tc>
        <w:tc>
          <w:tcPr>
            <w:tcW w:w="3815" w:type="dxa"/>
            <w:shd w:val="clear" w:color="auto" w:fill="auto"/>
          </w:tcPr>
          <w:p w14:paraId="7C717823">
            <w:pPr>
              <w:pStyle w:val="178"/>
            </w:pPr>
            <w:r>
              <w:rPr>
                <w:rFonts w:hint="eastAsia"/>
              </w:rPr>
              <w:t>优化负荷调度，减少峰时用电，启动备用电源</w:t>
            </w:r>
          </w:p>
        </w:tc>
      </w:tr>
      <w:tr w14:paraId="3BCB7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shd w:val="clear" w:color="auto" w:fill="auto"/>
          </w:tcPr>
          <w:p w14:paraId="2746B778">
            <w:pPr>
              <w:pStyle w:val="178"/>
            </w:pPr>
            <w:r>
              <w:rPr>
                <w:rFonts w:hint="eastAsia"/>
              </w:rPr>
              <w:t>电能质量超标</w:t>
            </w:r>
          </w:p>
        </w:tc>
        <w:tc>
          <w:tcPr>
            <w:tcW w:w="2552" w:type="dxa"/>
            <w:shd w:val="clear" w:color="auto" w:fill="auto"/>
          </w:tcPr>
          <w:p w14:paraId="5EF94245">
            <w:pPr>
              <w:pStyle w:val="178"/>
            </w:pPr>
            <w:r>
              <w:rPr>
                <w:rFonts w:hint="eastAsia"/>
              </w:rPr>
              <w:t>设备损坏、运行不稳定</w:t>
            </w:r>
          </w:p>
        </w:tc>
        <w:tc>
          <w:tcPr>
            <w:tcW w:w="3815" w:type="dxa"/>
            <w:shd w:val="clear" w:color="auto" w:fill="auto"/>
          </w:tcPr>
          <w:p w14:paraId="1B703C71">
            <w:pPr>
              <w:pStyle w:val="178"/>
            </w:pPr>
            <w:r>
              <w:rPr>
                <w:rFonts w:hint="eastAsia"/>
              </w:rPr>
              <w:t>启用滤波装置或无功补偿设备，调整运行策略</w:t>
            </w:r>
          </w:p>
        </w:tc>
      </w:tr>
      <w:tr w14:paraId="62DF3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shd w:val="clear" w:color="auto" w:fill="auto"/>
          </w:tcPr>
          <w:p w14:paraId="08084F73">
            <w:pPr>
              <w:pStyle w:val="178"/>
            </w:pPr>
            <w:r>
              <w:rPr>
                <w:rFonts w:hint="eastAsia"/>
              </w:rPr>
              <w:t>通信链路中断</w:t>
            </w:r>
          </w:p>
        </w:tc>
        <w:tc>
          <w:tcPr>
            <w:tcW w:w="2552" w:type="dxa"/>
            <w:shd w:val="clear" w:color="auto" w:fill="auto"/>
          </w:tcPr>
          <w:p w14:paraId="41DCA194">
            <w:pPr>
              <w:pStyle w:val="178"/>
            </w:pPr>
            <w:r>
              <w:rPr>
                <w:rFonts w:hint="eastAsia"/>
              </w:rPr>
              <w:t>系统失去实时监控与调控能力</w:t>
            </w:r>
          </w:p>
        </w:tc>
        <w:tc>
          <w:tcPr>
            <w:tcW w:w="3815" w:type="dxa"/>
            <w:shd w:val="clear" w:color="auto" w:fill="auto"/>
          </w:tcPr>
          <w:p w14:paraId="482F8A73">
            <w:pPr>
              <w:pStyle w:val="178"/>
            </w:pPr>
            <w:r>
              <w:rPr>
                <w:rFonts w:hint="eastAsia"/>
              </w:rPr>
              <w:t>启用备用通信链路，人工监控关键设备运行</w:t>
            </w:r>
          </w:p>
        </w:tc>
      </w:tr>
      <w:tr w14:paraId="223DE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shd w:val="clear" w:color="auto" w:fill="auto"/>
          </w:tcPr>
          <w:p w14:paraId="28235D0C">
            <w:pPr>
              <w:pStyle w:val="178"/>
            </w:pPr>
            <w:r>
              <w:rPr>
                <w:rFonts w:hint="eastAsia"/>
              </w:rPr>
              <w:t>控制系统故障</w:t>
            </w:r>
          </w:p>
        </w:tc>
        <w:tc>
          <w:tcPr>
            <w:tcW w:w="2552" w:type="dxa"/>
            <w:shd w:val="clear" w:color="auto" w:fill="auto"/>
          </w:tcPr>
          <w:p w14:paraId="6FB55A71">
            <w:pPr>
              <w:pStyle w:val="178"/>
            </w:pPr>
            <w:r>
              <w:rPr>
                <w:rFonts w:hint="eastAsia"/>
              </w:rPr>
              <w:t>调控指令无法下达</w:t>
            </w:r>
          </w:p>
        </w:tc>
        <w:tc>
          <w:tcPr>
            <w:tcW w:w="3815" w:type="dxa"/>
            <w:shd w:val="clear" w:color="auto" w:fill="auto"/>
          </w:tcPr>
          <w:p w14:paraId="1B5B8D06">
            <w:pPr>
              <w:pStyle w:val="178"/>
            </w:pPr>
            <w:r>
              <w:rPr>
                <w:rFonts w:hint="eastAsia"/>
              </w:rPr>
              <w:t>切换至手动控制模式，启动本地控制程序</w:t>
            </w:r>
          </w:p>
        </w:tc>
      </w:tr>
      <w:tr w14:paraId="41904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967" w:type="dxa"/>
            <w:shd w:val="clear" w:color="auto" w:fill="auto"/>
          </w:tcPr>
          <w:p w14:paraId="3D11574D">
            <w:pPr>
              <w:pStyle w:val="178"/>
            </w:pPr>
            <w:r>
              <w:rPr>
                <w:rFonts w:hint="eastAsia"/>
              </w:rPr>
              <w:t>极端天气或自然灾害</w:t>
            </w:r>
          </w:p>
        </w:tc>
        <w:tc>
          <w:tcPr>
            <w:tcW w:w="2552" w:type="dxa"/>
            <w:shd w:val="clear" w:color="auto" w:fill="auto"/>
          </w:tcPr>
          <w:p w14:paraId="5D4EFD03">
            <w:pPr>
              <w:pStyle w:val="178"/>
            </w:pPr>
            <w:r>
              <w:rPr>
                <w:rFonts w:hint="eastAsia"/>
              </w:rPr>
              <w:t>系统大范围中断运行</w:t>
            </w:r>
          </w:p>
        </w:tc>
        <w:tc>
          <w:tcPr>
            <w:tcW w:w="3815" w:type="dxa"/>
            <w:shd w:val="clear" w:color="auto" w:fill="auto"/>
          </w:tcPr>
          <w:p w14:paraId="3A4D4657">
            <w:pPr>
              <w:pStyle w:val="178"/>
            </w:pPr>
            <w:r>
              <w:rPr>
                <w:rFonts w:hint="eastAsia"/>
              </w:rPr>
              <w:t>执行应急预案，优先保障关键负荷供电</w:t>
            </w:r>
          </w:p>
        </w:tc>
      </w:tr>
    </w:tbl>
    <w:p w14:paraId="78DEE477">
      <w:pPr>
        <w:pStyle w:val="105"/>
        <w:spacing w:before="120" w:after="120" w:line="360" w:lineRule="auto"/>
        <w:rPr>
          <w:rFonts w:hint="eastAsia"/>
        </w:rPr>
      </w:pPr>
      <w:r>
        <w:rPr>
          <w:rFonts w:hint="eastAsia"/>
        </w:rPr>
        <w:t>事后评估与改进</w:t>
      </w:r>
    </w:p>
    <w:p w14:paraId="170ADE1E">
      <w:pPr>
        <w:pStyle w:val="165"/>
        <w:spacing w:line="360" w:lineRule="auto"/>
        <w:rPr>
          <w:rFonts w:hint="eastAsia"/>
        </w:rPr>
      </w:pPr>
      <w:r>
        <w:rPr>
          <w:rFonts w:hint="eastAsia"/>
        </w:rPr>
        <w:t>异常事件处置结束后，应进行原因分析和经验总结。</w:t>
      </w:r>
    </w:p>
    <w:p w14:paraId="1725ADFB">
      <w:pPr>
        <w:pStyle w:val="165"/>
        <w:spacing w:line="360" w:lineRule="auto"/>
      </w:pPr>
      <w:r>
        <w:rPr>
          <w:rFonts w:hint="eastAsia"/>
        </w:rPr>
        <w:t>根据评估结果修订应急预案和安全管理制度，防止类似事件再次发生。</w:t>
      </w:r>
    </w:p>
    <w:p w14:paraId="1A31B2AA">
      <w:pPr>
        <w:pStyle w:val="104"/>
        <w:spacing w:before="240" w:after="240" w:line="360" w:lineRule="auto"/>
        <w:rPr>
          <w:rFonts w:hint="eastAsia"/>
        </w:rPr>
      </w:pPr>
      <w:bookmarkStart w:id="56" w:name="_Toc205590743"/>
      <w:r>
        <w:rPr>
          <w:rFonts w:hint="eastAsia"/>
        </w:rPr>
        <w:t>资料与档案管理</w:t>
      </w:r>
      <w:bookmarkEnd w:id="56"/>
    </w:p>
    <w:p w14:paraId="32250991">
      <w:pPr>
        <w:pStyle w:val="105"/>
        <w:spacing w:before="120" w:after="120" w:line="360" w:lineRule="auto"/>
        <w:rPr>
          <w:rFonts w:hint="eastAsia"/>
        </w:rPr>
      </w:pPr>
      <w:r>
        <w:rPr>
          <w:rFonts w:hint="eastAsia"/>
        </w:rPr>
        <w:t>总体要求</w:t>
      </w:r>
    </w:p>
    <w:p w14:paraId="51ECBC4B">
      <w:pPr>
        <w:pStyle w:val="56"/>
        <w:spacing w:line="360" w:lineRule="auto"/>
        <w:ind w:firstLine="420"/>
        <w:rPr>
          <w:rFonts w:hint="eastAsia"/>
        </w:rPr>
      </w:pPr>
      <w:r>
        <w:rPr>
          <w:rFonts w:hint="eastAsia"/>
        </w:rPr>
        <w:t>本文件表述的动态负荷协同调控系统运行全过程形成的技术资料和管理档案，应遵循完整性、规范性、可追溯性和安全性的原则进行管理。资料应真实、准确、齐全，并按规定的时间和格式归档保存，以便后续查验、分析和改进。</w:t>
      </w:r>
    </w:p>
    <w:p w14:paraId="63987827">
      <w:pPr>
        <w:pStyle w:val="105"/>
        <w:spacing w:before="120" w:after="120" w:line="360" w:lineRule="auto"/>
        <w:rPr>
          <w:rFonts w:hint="eastAsia"/>
        </w:rPr>
      </w:pPr>
      <w:r>
        <w:rPr>
          <w:rFonts w:hint="eastAsia"/>
        </w:rPr>
        <w:t>档案分类</w:t>
      </w:r>
    </w:p>
    <w:p w14:paraId="6B466C19">
      <w:pPr>
        <w:pStyle w:val="56"/>
        <w:spacing w:line="360" w:lineRule="auto"/>
        <w:ind w:firstLine="420"/>
        <w:rPr>
          <w:rFonts w:hint="eastAsia"/>
        </w:rPr>
      </w:pPr>
      <w:r>
        <w:rPr>
          <w:rFonts w:hint="eastAsia"/>
        </w:rPr>
        <w:t>档案可按建设、运行、维护、检测评估和应急管理等环节进行分类。各类档案的主要内容、归档时间、保存年限及责任单位见表5。</w:t>
      </w:r>
    </w:p>
    <w:p w14:paraId="38BECEFE">
      <w:pPr>
        <w:pStyle w:val="112"/>
        <w:spacing w:before="120" w:after="120" w:line="360" w:lineRule="auto"/>
        <w:rPr>
          <w:rFonts w:hint="eastAsia"/>
        </w:rPr>
      </w:pPr>
      <w:r>
        <w:rPr>
          <w:rFonts w:hint="eastAsia"/>
        </w:rPr>
        <w:t>动态负荷协同调控系统档案分类及管理要求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2235"/>
        <w:gridCol w:w="1843"/>
        <w:gridCol w:w="1417"/>
        <w:gridCol w:w="1973"/>
      </w:tblGrid>
      <w:tr w14:paraId="3F1A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73839A2B">
            <w:pPr>
              <w:pStyle w:val="178"/>
            </w:pPr>
            <w:r>
              <w:rPr>
                <w:rFonts w:hint="eastAsia"/>
              </w:rPr>
              <w:t>档案类别</w:t>
            </w:r>
          </w:p>
        </w:tc>
        <w:tc>
          <w:tcPr>
            <w:tcW w:w="2235" w:type="dxa"/>
            <w:tcBorders>
              <w:top w:val="single" w:color="auto" w:sz="8" w:space="0"/>
              <w:bottom w:val="single" w:color="auto" w:sz="8" w:space="0"/>
            </w:tcBorders>
            <w:shd w:val="clear" w:color="auto" w:fill="auto"/>
            <w:vAlign w:val="center"/>
          </w:tcPr>
          <w:p w14:paraId="1ABE63D3">
            <w:pPr>
              <w:pStyle w:val="178"/>
            </w:pPr>
            <w:r>
              <w:rPr>
                <w:rFonts w:hint="eastAsia"/>
              </w:rPr>
              <w:t>主要内容</w:t>
            </w:r>
          </w:p>
        </w:tc>
        <w:tc>
          <w:tcPr>
            <w:tcW w:w="1843" w:type="dxa"/>
            <w:tcBorders>
              <w:top w:val="single" w:color="auto" w:sz="8" w:space="0"/>
              <w:bottom w:val="single" w:color="auto" w:sz="8" w:space="0"/>
            </w:tcBorders>
            <w:shd w:val="clear" w:color="auto" w:fill="auto"/>
            <w:vAlign w:val="center"/>
          </w:tcPr>
          <w:p w14:paraId="15086767">
            <w:pPr>
              <w:pStyle w:val="178"/>
            </w:pPr>
            <w:r>
              <w:rPr>
                <w:rFonts w:hint="eastAsia"/>
              </w:rPr>
              <w:t>归档时间</w:t>
            </w:r>
          </w:p>
        </w:tc>
        <w:tc>
          <w:tcPr>
            <w:tcW w:w="1417" w:type="dxa"/>
            <w:tcBorders>
              <w:top w:val="single" w:color="auto" w:sz="8" w:space="0"/>
              <w:bottom w:val="single" w:color="auto" w:sz="8" w:space="0"/>
            </w:tcBorders>
            <w:shd w:val="clear" w:color="auto" w:fill="auto"/>
            <w:vAlign w:val="center"/>
          </w:tcPr>
          <w:p w14:paraId="7E739469">
            <w:pPr>
              <w:pStyle w:val="178"/>
            </w:pPr>
            <w:r>
              <w:rPr>
                <w:rFonts w:hint="eastAsia"/>
              </w:rPr>
              <w:t>保存年限</w:t>
            </w:r>
          </w:p>
        </w:tc>
        <w:tc>
          <w:tcPr>
            <w:tcW w:w="1973" w:type="dxa"/>
            <w:tcBorders>
              <w:top w:val="single" w:color="auto" w:sz="8" w:space="0"/>
              <w:bottom w:val="single" w:color="auto" w:sz="8" w:space="0"/>
            </w:tcBorders>
            <w:shd w:val="clear" w:color="auto" w:fill="auto"/>
            <w:vAlign w:val="center"/>
          </w:tcPr>
          <w:p w14:paraId="3311709D">
            <w:pPr>
              <w:pStyle w:val="178"/>
            </w:pPr>
            <w:r>
              <w:rPr>
                <w:rFonts w:hint="eastAsia"/>
              </w:rPr>
              <w:t>责任单位</w:t>
            </w:r>
          </w:p>
        </w:tc>
      </w:tr>
      <w:tr w14:paraId="46B6F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63FB0A95">
            <w:pPr>
              <w:pStyle w:val="178"/>
            </w:pPr>
            <w:r>
              <w:rPr>
                <w:rFonts w:hint="eastAsia"/>
              </w:rPr>
              <w:t>系统建设文件</w:t>
            </w:r>
          </w:p>
        </w:tc>
        <w:tc>
          <w:tcPr>
            <w:tcW w:w="2235" w:type="dxa"/>
            <w:tcBorders>
              <w:top w:val="single" w:color="auto" w:sz="8" w:space="0"/>
            </w:tcBorders>
            <w:shd w:val="clear" w:color="auto" w:fill="auto"/>
            <w:vAlign w:val="center"/>
          </w:tcPr>
          <w:p w14:paraId="30D1E4A6">
            <w:pPr>
              <w:pStyle w:val="178"/>
            </w:pPr>
            <w:r>
              <w:rPr>
                <w:rFonts w:hint="eastAsia"/>
              </w:rPr>
              <w:t>设计方案、设备清单、施工记录、调试报告</w:t>
            </w:r>
          </w:p>
        </w:tc>
        <w:tc>
          <w:tcPr>
            <w:tcW w:w="1843" w:type="dxa"/>
            <w:tcBorders>
              <w:top w:val="single" w:color="auto" w:sz="8" w:space="0"/>
            </w:tcBorders>
            <w:shd w:val="clear" w:color="auto" w:fill="auto"/>
            <w:vAlign w:val="center"/>
          </w:tcPr>
          <w:p w14:paraId="7F3D8B11">
            <w:pPr>
              <w:pStyle w:val="178"/>
            </w:pPr>
            <w:r>
              <w:rPr>
                <w:rFonts w:hint="eastAsia"/>
              </w:rPr>
              <w:t>系统建成后即时归档</w:t>
            </w:r>
          </w:p>
        </w:tc>
        <w:tc>
          <w:tcPr>
            <w:tcW w:w="1417" w:type="dxa"/>
            <w:tcBorders>
              <w:top w:val="single" w:color="auto" w:sz="8" w:space="0"/>
            </w:tcBorders>
            <w:shd w:val="clear" w:color="auto" w:fill="auto"/>
            <w:vAlign w:val="center"/>
          </w:tcPr>
          <w:p w14:paraId="770D186A">
            <w:pPr>
              <w:pStyle w:val="178"/>
            </w:pPr>
            <w:r>
              <w:rPr>
                <w:rFonts w:hint="eastAsia"/>
              </w:rPr>
              <w:t>≥10年</w:t>
            </w:r>
          </w:p>
        </w:tc>
        <w:tc>
          <w:tcPr>
            <w:tcW w:w="1973" w:type="dxa"/>
            <w:tcBorders>
              <w:top w:val="single" w:color="auto" w:sz="8" w:space="0"/>
            </w:tcBorders>
            <w:shd w:val="clear" w:color="auto" w:fill="auto"/>
            <w:vAlign w:val="center"/>
          </w:tcPr>
          <w:p w14:paraId="4C6E837B">
            <w:pPr>
              <w:pStyle w:val="178"/>
            </w:pPr>
            <w:r>
              <w:rPr>
                <w:rFonts w:hint="eastAsia"/>
              </w:rPr>
              <w:t>建设单位、运维单位</w:t>
            </w:r>
          </w:p>
        </w:tc>
      </w:tr>
      <w:tr w14:paraId="5B26B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36D0989">
            <w:pPr>
              <w:pStyle w:val="178"/>
            </w:pPr>
            <w:r>
              <w:rPr>
                <w:rFonts w:hint="eastAsia"/>
              </w:rPr>
              <w:t>运行记录</w:t>
            </w:r>
          </w:p>
        </w:tc>
        <w:tc>
          <w:tcPr>
            <w:tcW w:w="2235" w:type="dxa"/>
            <w:shd w:val="clear" w:color="auto" w:fill="auto"/>
            <w:vAlign w:val="center"/>
          </w:tcPr>
          <w:p w14:paraId="3913BC30">
            <w:pPr>
              <w:pStyle w:val="178"/>
            </w:pPr>
            <w:r>
              <w:rPr>
                <w:rFonts w:hint="eastAsia"/>
              </w:rPr>
              <w:t>能源出力数据、负荷数据、调控日志</w:t>
            </w:r>
          </w:p>
        </w:tc>
        <w:tc>
          <w:tcPr>
            <w:tcW w:w="1843" w:type="dxa"/>
            <w:shd w:val="clear" w:color="auto" w:fill="auto"/>
            <w:vAlign w:val="center"/>
          </w:tcPr>
          <w:p w14:paraId="45275B2C">
            <w:pPr>
              <w:pStyle w:val="178"/>
            </w:pPr>
            <w:r>
              <w:rPr>
                <w:rFonts w:hint="eastAsia"/>
              </w:rPr>
              <w:t>每月汇总归档</w:t>
            </w:r>
          </w:p>
        </w:tc>
        <w:tc>
          <w:tcPr>
            <w:tcW w:w="1417" w:type="dxa"/>
            <w:shd w:val="clear" w:color="auto" w:fill="auto"/>
            <w:vAlign w:val="center"/>
          </w:tcPr>
          <w:p w14:paraId="11E189BE">
            <w:pPr>
              <w:pStyle w:val="178"/>
            </w:pPr>
            <w:r>
              <w:rPr>
                <w:rFonts w:hint="eastAsia"/>
              </w:rPr>
              <w:t>≥5年</w:t>
            </w:r>
          </w:p>
        </w:tc>
        <w:tc>
          <w:tcPr>
            <w:tcW w:w="1973" w:type="dxa"/>
            <w:shd w:val="clear" w:color="auto" w:fill="auto"/>
            <w:vAlign w:val="center"/>
          </w:tcPr>
          <w:p w14:paraId="146E00F0">
            <w:pPr>
              <w:pStyle w:val="178"/>
            </w:pPr>
            <w:r>
              <w:rPr>
                <w:rFonts w:hint="eastAsia"/>
              </w:rPr>
              <w:t>运维单位</w:t>
            </w:r>
          </w:p>
        </w:tc>
      </w:tr>
      <w:tr w14:paraId="21B14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69BDFD9">
            <w:pPr>
              <w:pStyle w:val="178"/>
            </w:pPr>
            <w:r>
              <w:rPr>
                <w:rFonts w:hint="eastAsia"/>
              </w:rPr>
              <w:t>维护与检修记录</w:t>
            </w:r>
          </w:p>
        </w:tc>
        <w:tc>
          <w:tcPr>
            <w:tcW w:w="2235" w:type="dxa"/>
            <w:shd w:val="clear" w:color="auto" w:fill="auto"/>
            <w:vAlign w:val="center"/>
          </w:tcPr>
          <w:p w14:paraId="54E77CDE">
            <w:pPr>
              <w:pStyle w:val="178"/>
            </w:pPr>
            <w:r>
              <w:rPr>
                <w:rFonts w:hint="eastAsia"/>
              </w:rPr>
              <w:t>巡检记录、维修报告、备件更换记录</w:t>
            </w:r>
          </w:p>
        </w:tc>
        <w:tc>
          <w:tcPr>
            <w:tcW w:w="1843" w:type="dxa"/>
            <w:shd w:val="clear" w:color="auto" w:fill="auto"/>
            <w:vAlign w:val="center"/>
          </w:tcPr>
          <w:p w14:paraId="4FAE465C">
            <w:pPr>
              <w:pStyle w:val="178"/>
            </w:pPr>
            <w:r>
              <w:rPr>
                <w:rFonts w:hint="eastAsia"/>
              </w:rPr>
              <w:t>每次维护或检修后</w:t>
            </w:r>
          </w:p>
        </w:tc>
        <w:tc>
          <w:tcPr>
            <w:tcW w:w="1417" w:type="dxa"/>
            <w:shd w:val="clear" w:color="auto" w:fill="auto"/>
            <w:vAlign w:val="center"/>
          </w:tcPr>
          <w:p w14:paraId="6BCE1EF8">
            <w:pPr>
              <w:pStyle w:val="178"/>
            </w:pPr>
            <w:r>
              <w:rPr>
                <w:rFonts w:hint="eastAsia"/>
              </w:rPr>
              <w:t>≥5年</w:t>
            </w:r>
          </w:p>
        </w:tc>
        <w:tc>
          <w:tcPr>
            <w:tcW w:w="1973" w:type="dxa"/>
            <w:shd w:val="clear" w:color="auto" w:fill="auto"/>
            <w:vAlign w:val="center"/>
          </w:tcPr>
          <w:p w14:paraId="5D871158">
            <w:pPr>
              <w:pStyle w:val="178"/>
            </w:pPr>
            <w:r>
              <w:rPr>
                <w:rFonts w:hint="eastAsia"/>
              </w:rPr>
              <w:t>运维单位</w:t>
            </w:r>
          </w:p>
        </w:tc>
      </w:tr>
      <w:tr w14:paraId="1BFC4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8791EE3">
            <w:pPr>
              <w:pStyle w:val="178"/>
            </w:pPr>
            <w:r>
              <w:rPr>
                <w:rFonts w:hint="eastAsia"/>
              </w:rPr>
              <w:t>检测与评估报告</w:t>
            </w:r>
          </w:p>
        </w:tc>
        <w:tc>
          <w:tcPr>
            <w:tcW w:w="2235" w:type="dxa"/>
            <w:shd w:val="clear" w:color="auto" w:fill="auto"/>
            <w:vAlign w:val="center"/>
          </w:tcPr>
          <w:p w14:paraId="49A2B9D0">
            <w:pPr>
              <w:pStyle w:val="178"/>
            </w:pPr>
            <w:r>
              <w:rPr>
                <w:rFonts w:hint="eastAsia"/>
              </w:rPr>
              <w:t>电能质量检测报告、系统评估报告</w:t>
            </w:r>
          </w:p>
        </w:tc>
        <w:tc>
          <w:tcPr>
            <w:tcW w:w="1843" w:type="dxa"/>
            <w:shd w:val="clear" w:color="auto" w:fill="auto"/>
            <w:vAlign w:val="center"/>
          </w:tcPr>
          <w:p w14:paraId="02BF481E">
            <w:pPr>
              <w:pStyle w:val="178"/>
            </w:pPr>
            <w:r>
              <w:rPr>
                <w:rFonts w:hint="eastAsia"/>
              </w:rPr>
              <w:t>检测或评估完成后</w:t>
            </w:r>
          </w:p>
        </w:tc>
        <w:tc>
          <w:tcPr>
            <w:tcW w:w="1417" w:type="dxa"/>
            <w:shd w:val="clear" w:color="auto" w:fill="auto"/>
            <w:vAlign w:val="center"/>
          </w:tcPr>
          <w:p w14:paraId="7F3E5B6B">
            <w:pPr>
              <w:pStyle w:val="178"/>
            </w:pPr>
            <w:r>
              <w:rPr>
                <w:rFonts w:hint="eastAsia"/>
              </w:rPr>
              <w:t>≥5年</w:t>
            </w:r>
          </w:p>
        </w:tc>
        <w:tc>
          <w:tcPr>
            <w:tcW w:w="1973" w:type="dxa"/>
            <w:shd w:val="clear" w:color="auto" w:fill="auto"/>
            <w:vAlign w:val="center"/>
          </w:tcPr>
          <w:p w14:paraId="164624BE">
            <w:pPr>
              <w:pStyle w:val="178"/>
            </w:pPr>
            <w:r>
              <w:rPr>
                <w:rFonts w:hint="eastAsia"/>
              </w:rPr>
              <w:t>运维单位、管理机构</w:t>
            </w:r>
          </w:p>
        </w:tc>
      </w:tr>
      <w:tr w14:paraId="05EE5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37C1BA7B">
            <w:pPr>
              <w:pStyle w:val="178"/>
            </w:pPr>
            <w:r>
              <w:rPr>
                <w:rFonts w:hint="eastAsia"/>
              </w:rPr>
              <w:t>应急管理资料</w:t>
            </w:r>
          </w:p>
        </w:tc>
        <w:tc>
          <w:tcPr>
            <w:tcW w:w="2235" w:type="dxa"/>
            <w:shd w:val="clear" w:color="auto" w:fill="auto"/>
            <w:vAlign w:val="center"/>
          </w:tcPr>
          <w:p w14:paraId="1E1BE491">
            <w:pPr>
              <w:pStyle w:val="178"/>
            </w:pPr>
            <w:r>
              <w:rPr>
                <w:rFonts w:hint="eastAsia"/>
              </w:rPr>
              <w:t>应急预案、应急演练记录、事件处置报告</w:t>
            </w:r>
          </w:p>
        </w:tc>
        <w:tc>
          <w:tcPr>
            <w:tcW w:w="1843" w:type="dxa"/>
            <w:shd w:val="clear" w:color="auto" w:fill="auto"/>
            <w:vAlign w:val="center"/>
          </w:tcPr>
          <w:p w14:paraId="2F1C4706">
            <w:pPr>
              <w:pStyle w:val="178"/>
            </w:pPr>
            <w:r>
              <w:rPr>
                <w:rFonts w:hint="eastAsia"/>
              </w:rPr>
              <w:t>制定或事件结束后即时归档</w:t>
            </w:r>
          </w:p>
        </w:tc>
        <w:tc>
          <w:tcPr>
            <w:tcW w:w="1417" w:type="dxa"/>
            <w:shd w:val="clear" w:color="auto" w:fill="auto"/>
            <w:vAlign w:val="center"/>
          </w:tcPr>
          <w:p w14:paraId="6ADD7B6E">
            <w:pPr>
              <w:pStyle w:val="178"/>
            </w:pPr>
            <w:r>
              <w:rPr>
                <w:rFonts w:hint="eastAsia"/>
              </w:rPr>
              <w:t>≥5年</w:t>
            </w:r>
          </w:p>
        </w:tc>
        <w:tc>
          <w:tcPr>
            <w:tcW w:w="1973" w:type="dxa"/>
            <w:shd w:val="clear" w:color="auto" w:fill="auto"/>
            <w:vAlign w:val="center"/>
          </w:tcPr>
          <w:p w14:paraId="4DD52B63">
            <w:pPr>
              <w:pStyle w:val="178"/>
            </w:pPr>
            <w:r>
              <w:rPr>
                <w:rFonts w:hint="eastAsia"/>
              </w:rPr>
              <w:t>管理机构、运维单位</w:t>
            </w:r>
          </w:p>
        </w:tc>
      </w:tr>
    </w:tbl>
    <w:p w14:paraId="25468FE2">
      <w:pPr>
        <w:pStyle w:val="105"/>
        <w:spacing w:before="120" w:after="120" w:line="360" w:lineRule="auto"/>
        <w:rPr>
          <w:rFonts w:hint="eastAsia"/>
        </w:rPr>
      </w:pPr>
      <w:r>
        <w:rPr>
          <w:rFonts w:hint="eastAsia"/>
        </w:rPr>
        <w:t>档案移交与共享</w:t>
      </w:r>
    </w:p>
    <w:p w14:paraId="769A793D">
      <w:pPr>
        <w:pStyle w:val="165"/>
        <w:spacing w:line="360" w:lineRule="auto"/>
        <w:rPr>
          <w:rFonts w:hint="eastAsia"/>
        </w:rPr>
      </w:pPr>
      <w:r>
        <w:rPr>
          <w:rFonts w:hint="eastAsia"/>
        </w:rPr>
        <w:t>系统运营权转移、升级改造或拆除时，相关档案应随同移交，双方应签署移交清单。</w:t>
      </w:r>
    </w:p>
    <w:p w14:paraId="2B166DD0">
      <w:pPr>
        <w:pStyle w:val="165"/>
        <w:spacing w:line="360" w:lineRule="auto"/>
        <w:rPr>
          <w:rFonts w:hint="eastAsia"/>
        </w:rPr>
      </w:pPr>
      <w:r>
        <w:rPr>
          <w:rFonts w:hint="eastAsia"/>
        </w:rPr>
        <w:t>在符合法律法规及保密要求的前提下，可将部分档案与科研机构、行业组织共享，用于技术研究与经验交流。</w:t>
      </w:r>
    </w:p>
    <w:p w14:paraId="361567CF">
      <w:pPr>
        <w:pStyle w:val="105"/>
        <w:spacing w:before="120" w:after="120" w:line="360" w:lineRule="auto"/>
        <w:rPr>
          <w:rFonts w:hint="eastAsia"/>
        </w:rPr>
      </w:pPr>
      <w:r>
        <w:rPr>
          <w:rFonts w:hint="eastAsia"/>
        </w:rPr>
        <w:t>档案保密与安全</w:t>
      </w:r>
    </w:p>
    <w:p w14:paraId="1AE58851">
      <w:pPr>
        <w:pStyle w:val="165"/>
        <w:spacing w:line="360" w:lineRule="auto"/>
        <w:rPr>
          <w:rFonts w:hint="eastAsia"/>
        </w:rPr>
      </w:pPr>
      <w:r>
        <w:rPr>
          <w:rFonts w:hint="eastAsia"/>
        </w:rPr>
        <w:t>涉及电网安全、商业机密和个人隐私的档案，应设定访问权限并加密存储。</w:t>
      </w:r>
    </w:p>
    <w:p w14:paraId="5D9709CB">
      <w:pPr>
        <w:pStyle w:val="165"/>
        <w:spacing w:line="360" w:lineRule="auto"/>
      </w:pPr>
      <w:r>
        <w:rPr>
          <w:rFonts w:hint="eastAsia"/>
        </w:rPr>
        <w:t>应建立数字化档案备份机制，防止因硬件故障、自然灾害等造成档案丢失或损坏。</w:t>
      </w:r>
    </w:p>
    <w:p w14:paraId="2CD1BBD0">
      <w:pPr>
        <w:pStyle w:val="104"/>
        <w:spacing w:before="240" w:after="240" w:line="360" w:lineRule="auto"/>
        <w:rPr>
          <w:rFonts w:hint="eastAsia"/>
        </w:rPr>
      </w:pPr>
      <w:bookmarkStart w:id="57" w:name="_Toc205590744"/>
      <w:r>
        <w:rPr>
          <w:rFonts w:hint="eastAsia"/>
        </w:rPr>
        <w:t>附则</w:t>
      </w:r>
      <w:bookmarkEnd w:id="57"/>
    </w:p>
    <w:p w14:paraId="0DA75B35">
      <w:pPr>
        <w:pStyle w:val="162"/>
        <w:spacing w:line="360" w:lineRule="auto"/>
        <w:rPr>
          <w:rFonts w:hint="eastAsia"/>
        </w:rPr>
      </w:pPr>
      <w:r>
        <w:rPr>
          <w:rFonts w:hint="eastAsia"/>
        </w:rPr>
        <w:t>本文件由发布单位负责解释。</w:t>
      </w:r>
    </w:p>
    <w:p w14:paraId="2FA3E6F1">
      <w:pPr>
        <w:pStyle w:val="162"/>
        <w:spacing w:line="360" w:lineRule="auto"/>
        <w:rPr>
          <w:rFonts w:hint="eastAsia"/>
        </w:rPr>
      </w:pPr>
      <w:r>
        <w:rPr>
          <w:rFonts w:hint="eastAsia"/>
        </w:rPr>
        <w:t>本文件的实施过程中，如国家、行业或地方相关法律法规、标准规范进行修订，应及时对本文件进行评估，并在必要时修订，以确保与最新要求保持一致。</w:t>
      </w:r>
    </w:p>
    <w:p w14:paraId="3F332B5C">
      <w:pPr>
        <w:pStyle w:val="162"/>
        <w:spacing w:line="360" w:lineRule="auto"/>
        <w:rPr>
          <w:rFonts w:hint="eastAsia"/>
        </w:rPr>
      </w:pPr>
      <w:r>
        <w:rPr>
          <w:rFonts w:hint="eastAsia"/>
        </w:rPr>
        <w:t>本文件所引用的标准和技术文件，如被修订或替代，除非另有说明，应采用最新版本。</w:t>
      </w:r>
    </w:p>
    <w:p w14:paraId="61ED8101">
      <w:pPr>
        <w:pStyle w:val="162"/>
        <w:spacing w:line="360" w:lineRule="auto"/>
        <w:rPr>
          <w:rFonts w:hint="eastAsia"/>
        </w:rPr>
      </w:pPr>
      <w:r>
        <w:rPr>
          <w:rFonts w:hint="eastAsia"/>
        </w:rPr>
        <w:t>本文件自发布之日起实施，适用于可再生能源与建筑电气系统动态负荷协同调控工作，其他类似能源管理系统可参照执行。</w:t>
      </w:r>
    </w:p>
    <w:bookmarkEnd w:id="26"/>
    <w:p w14:paraId="500F284F">
      <w:pPr>
        <w:pStyle w:val="56"/>
        <w:ind w:firstLine="0" w:firstLineChars="0"/>
        <w:jc w:val="center"/>
        <w:rPr>
          <w:rFonts w:hint="eastAsia"/>
        </w:rPr>
      </w:pPr>
      <w:bookmarkStart w:id="58" w:name="BookMark8"/>
      <w:r>
        <w:rPr>
          <w:rFonts w:hint="eastAsia"/>
        </w:rPr>
        <w:drawing>
          <wp:inline distT="0" distB="0" distL="0" distR="0">
            <wp:extent cx="1485900" cy="317500"/>
            <wp:effectExtent l="0" t="0" r="0" b="6350"/>
            <wp:docPr id="2145669807" name="图片 1"/>
            <wp:cNvGraphicFramePr/>
            <a:graphic xmlns:a="http://schemas.openxmlformats.org/drawingml/2006/main">
              <a:graphicData uri="http://schemas.openxmlformats.org/drawingml/2006/picture">
                <pic:pic xmlns:pic="http://schemas.openxmlformats.org/drawingml/2006/picture">
                  <pic:nvPicPr>
                    <pic:cNvPr id="2145669807"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14A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8447">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A025">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11A8">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1F2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0D0B7">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F273">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F1DF">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5882">
    <w:pPr>
      <w:pStyle w:val="61"/>
    </w:pPr>
    <w:r>
      <w:fldChar w:fldCharType="begin"/>
    </w:r>
    <w:r>
      <w:instrText xml:space="preserve"> STYLEREF  标准文件_文件编号  \* MERGEFORMAT </w:instrText>
    </w:r>
    <w:r>
      <w:fldChar w:fldCharType="separate"/>
    </w:r>
    <w:r>
      <w:t>T/XJBX 0054—2025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A6A">
    <w:pPr>
      <w:pStyle w:val="62"/>
    </w:pPr>
    <w:r>
      <w:fldChar w:fldCharType="begin"/>
    </w:r>
    <w:r>
      <w:instrText xml:space="preserve"> STYLEREF  标准文件_文件编号 \* MERGEFORMAT </w:instrText>
    </w:r>
    <w:r>
      <w:fldChar w:fldCharType="separate"/>
    </w:r>
    <w:r>
      <w:t>T/XJBX 0054—2025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344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B9F9">
    <w:pPr>
      <w:pStyle w:val="61"/>
    </w:pPr>
    <w:r>
      <w:fldChar w:fldCharType="begin"/>
    </w:r>
    <w:r>
      <w:instrText xml:space="preserve"> STYLEREF  标准文件_文件编号  \* MERGEFORMAT </w:instrText>
    </w:r>
    <w:r>
      <w:fldChar w:fldCharType="separate"/>
    </w:r>
    <w:r>
      <w:t>T/XJBX 0054—2025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6642">
    <w:pPr>
      <w:pStyle w:val="62"/>
    </w:pPr>
    <w:r>
      <w:fldChar w:fldCharType="begin"/>
    </w:r>
    <w:r>
      <w:instrText xml:space="preserve"> STYLEREF  标准文件_文件编号 \* MERGEFORMAT </w:instrText>
    </w:r>
    <w:r>
      <w:fldChar w:fldCharType="separate"/>
    </w:r>
    <w:r>
      <w:t>T/XJBX 0054—2025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DD47">
    <w:pPr>
      <w:pStyle w:val="61"/>
    </w:pPr>
    <w:r>
      <w:fldChar w:fldCharType="begin"/>
    </w:r>
    <w:r>
      <w:instrText xml:space="preserve"> STYLEREF  标准文件_文件编号  \* MERGEFORMAT </w:instrText>
    </w:r>
    <w:r>
      <w:fldChar w:fldCharType="separate"/>
    </w:r>
    <w:r>
      <w:t>T/XJBX 0054—2025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64FA">
    <w:pPr>
      <w:pStyle w:val="62"/>
    </w:pPr>
    <w:r>
      <w:fldChar w:fldCharType="begin"/>
    </w:r>
    <w:r>
      <w:instrText xml:space="preserve"> STYLEREF  标准文件_文件编号 \* MERGEFORMAT </w:instrText>
    </w:r>
    <w:r>
      <w:fldChar w:fldCharType="separate"/>
    </w:r>
    <w:r>
      <w:t>T/XJBX 0054—2025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F53"/>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E90"/>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D8E"/>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AB5"/>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B6E"/>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0B1"/>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66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BC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66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32EBCE5">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47E4CB24">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51F5174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52F8B"/>
    <w:rsid w:val="009765CF"/>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3235</Words>
  <Characters>3535</Characters>
  <Lines>46</Lines>
  <Paragraphs>13</Paragraphs>
  <TotalTime>224</TotalTime>
  <ScaleCrop>false</ScaleCrop>
  <LinksUpToDate>false</LinksUpToDate>
  <CharactersWithSpaces>3636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2025-08-11T06:21:07Z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014E78D075F34ABE863BF5DEA98BBB2A_12</vt:lpwstr>
  </property>
</Properties>
</file>