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04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93.040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28"/>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28</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2"/>
            </w:textInput>
          </w:ffData>
        </w:fldChar>
      </w:r>
      <w:bookmarkStart w:id="6" w:name="NSTD_CODE_F"/>
      <w:r>
        <w:instrText xml:space="preserve"> FORMTEXT </w:instrText>
      </w:r>
      <w:r>
        <w:fldChar w:fldCharType="separate"/>
      </w:r>
      <w:r>
        <w:t>0052</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公路桥梁智能预警与应急响应管理准则"/>
            </w:textInput>
          </w:ffData>
        </w:fldChar>
      </w:r>
      <w:bookmarkStart w:id="9" w:name="CSTD_NAME"/>
      <w:r>
        <w:instrText xml:space="preserve"> FORMTEXT </w:instrText>
      </w:r>
      <w:r>
        <w:fldChar w:fldCharType="separate"/>
      </w:r>
      <w:r>
        <w:t>公路桥梁智能预警与应急响应管理准则</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Principles for intelligent early warning and emergency response management of highway and bridge infrastructure"/>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Principles for intelligent early warning and emergency response management of highway and bridge infrastructure</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6C18C0B5">
      <w:pPr>
        <w:pStyle w:val="91"/>
        <w:spacing w:after="360"/>
      </w:pPr>
      <w:bookmarkStart w:id="21" w:name="BookMark1"/>
      <w:r>
        <w:rPr>
          <w:rFonts w:hint="eastAsia"/>
          <w:spacing w:val="320"/>
        </w:rPr>
        <w:t>目</w:t>
      </w:r>
      <w:r>
        <w:rPr>
          <w:rFonts w:hint="eastAsia"/>
        </w:rPr>
        <w:t>次</w:t>
      </w:r>
    </w:p>
    <w:p w14:paraId="6996B9E0">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"_Toc205564992" </w:instrText>
      </w:r>
      <w:r>
        <w:fldChar w:fldCharType="separate"/>
      </w:r>
      <w:r>
        <w:rPr>
          <w:rStyle w:val="32"/>
        </w:rPr>
        <w:t>前言</w:t>
      </w:r>
      <w:r>
        <w:tab/>
      </w:r>
      <w:r>
        <w:fldChar w:fldCharType="begin"/>
      </w:r>
      <w:r>
        <w:instrText xml:space="preserve"> PAGEREF _Toc205564992 \h </w:instrText>
      </w:r>
      <w:r>
        <w:fldChar w:fldCharType="separate"/>
      </w:r>
      <w:r>
        <w:t>III</w:t>
      </w:r>
      <w:r>
        <w:fldChar w:fldCharType="end"/>
      </w:r>
      <w:r>
        <w:fldChar w:fldCharType="end"/>
      </w:r>
    </w:p>
    <w:p w14:paraId="5665A41C">
      <w:pPr>
        <w:pStyle w:val="19"/>
        <w:tabs>
          <w:tab w:val="right" w:leader="dot" w:pos="9344"/>
        </w:tabs>
        <w:rPr>
          <w:rFonts w:asciiTheme="minorHAnsi" w:hAnsiTheme="minorHAnsi" w:eastAsiaTheme="minorEastAsia" w:cstheme="minorBidi"/>
          <w:szCs w:val="22"/>
        </w:rPr>
      </w:pPr>
      <w:r>
        <w:fldChar w:fldCharType="begin"/>
      </w:r>
      <w:r>
        <w:instrText xml:space="preserve"> HYPERLINK \l "_Toc205564993" </w:instrText>
      </w:r>
      <w:r>
        <w:fldChar w:fldCharType="separate"/>
      </w:r>
      <w:r>
        <w:rPr>
          <w:rStyle w:val="32"/>
        </w:rPr>
        <w:t>引言</w:t>
      </w:r>
      <w:r>
        <w:tab/>
      </w:r>
      <w:r>
        <w:fldChar w:fldCharType="begin"/>
      </w:r>
      <w:r>
        <w:instrText xml:space="preserve"> PAGEREF _Toc205564993 \h </w:instrText>
      </w:r>
      <w:r>
        <w:fldChar w:fldCharType="separate"/>
      </w:r>
      <w:r>
        <w:t>V</w:t>
      </w:r>
      <w:r>
        <w:fldChar w:fldCharType="end"/>
      </w:r>
      <w:r>
        <w:fldChar w:fldCharType="end"/>
      </w:r>
    </w:p>
    <w:p w14:paraId="1455A8EE">
      <w:pPr>
        <w:pStyle w:val="19"/>
        <w:tabs>
          <w:tab w:val="right" w:leader="dot" w:pos="9344"/>
        </w:tabs>
        <w:rPr>
          <w:rFonts w:asciiTheme="minorHAnsi" w:hAnsiTheme="minorHAnsi" w:eastAsiaTheme="minorEastAsia" w:cstheme="minorBidi"/>
          <w:szCs w:val="22"/>
        </w:rPr>
      </w:pPr>
      <w:r>
        <w:fldChar w:fldCharType="begin"/>
      </w:r>
      <w:r>
        <w:instrText xml:space="preserve"> HYPERLINK \l "_Toc205564994" </w:instrText>
      </w:r>
      <w:r>
        <w:fldChar w:fldCharType="separate"/>
      </w:r>
      <w:r>
        <w:rPr>
          <w:rStyle w:val="32"/>
        </w:rPr>
        <w:t>1  范围</w:t>
      </w:r>
      <w:r>
        <w:tab/>
      </w:r>
      <w:r>
        <w:fldChar w:fldCharType="begin"/>
      </w:r>
      <w:r>
        <w:instrText xml:space="preserve"> PAGEREF _Toc205564994 \h </w:instrText>
      </w:r>
      <w:r>
        <w:fldChar w:fldCharType="separate"/>
      </w:r>
      <w:r>
        <w:t>1</w:t>
      </w:r>
      <w:r>
        <w:fldChar w:fldCharType="end"/>
      </w:r>
      <w:r>
        <w:fldChar w:fldCharType="end"/>
      </w:r>
    </w:p>
    <w:p w14:paraId="353E755F">
      <w:pPr>
        <w:pStyle w:val="19"/>
        <w:tabs>
          <w:tab w:val="right" w:leader="dot" w:pos="9344"/>
        </w:tabs>
        <w:rPr>
          <w:rFonts w:asciiTheme="minorHAnsi" w:hAnsiTheme="minorHAnsi" w:eastAsiaTheme="minorEastAsia" w:cstheme="minorBidi"/>
          <w:szCs w:val="22"/>
        </w:rPr>
      </w:pPr>
      <w:r>
        <w:fldChar w:fldCharType="begin"/>
      </w:r>
      <w:r>
        <w:instrText xml:space="preserve"> HYPERLINK \l "_Toc205564995" </w:instrText>
      </w:r>
      <w:r>
        <w:fldChar w:fldCharType="separate"/>
      </w:r>
      <w:r>
        <w:rPr>
          <w:rStyle w:val="32"/>
        </w:rPr>
        <w:t>2  规范性引用文件</w:t>
      </w:r>
      <w:r>
        <w:tab/>
      </w:r>
      <w:r>
        <w:fldChar w:fldCharType="begin"/>
      </w:r>
      <w:r>
        <w:instrText xml:space="preserve"> PAGEREF _Toc205564995 \h </w:instrText>
      </w:r>
      <w:r>
        <w:fldChar w:fldCharType="separate"/>
      </w:r>
      <w:r>
        <w:t>1</w:t>
      </w:r>
      <w:r>
        <w:fldChar w:fldCharType="end"/>
      </w:r>
      <w:r>
        <w:fldChar w:fldCharType="end"/>
      </w:r>
    </w:p>
    <w:p w14:paraId="38299F38">
      <w:pPr>
        <w:pStyle w:val="19"/>
        <w:tabs>
          <w:tab w:val="right" w:leader="dot" w:pos="9344"/>
        </w:tabs>
        <w:rPr>
          <w:rFonts w:asciiTheme="minorHAnsi" w:hAnsiTheme="minorHAnsi" w:eastAsiaTheme="minorEastAsia" w:cstheme="minorBidi"/>
          <w:szCs w:val="22"/>
        </w:rPr>
      </w:pPr>
      <w:r>
        <w:fldChar w:fldCharType="begin"/>
      </w:r>
      <w:r>
        <w:instrText xml:space="preserve"> HYPERLINK \l "_Toc205564996" </w:instrText>
      </w:r>
      <w:r>
        <w:fldChar w:fldCharType="separate"/>
      </w:r>
      <w:r>
        <w:rPr>
          <w:rStyle w:val="32"/>
        </w:rPr>
        <w:t>3  术语和定义</w:t>
      </w:r>
      <w:r>
        <w:tab/>
      </w:r>
      <w:r>
        <w:fldChar w:fldCharType="begin"/>
      </w:r>
      <w:r>
        <w:instrText xml:space="preserve"> PAGEREF _Toc205564996 \h </w:instrText>
      </w:r>
      <w:r>
        <w:fldChar w:fldCharType="separate"/>
      </w:r>
      <w:r>
        <w:t>1</w:t>
      </w:r>
      <w:r>
        <w:fldChar w:fldCharType="end"/>
      </w:r>
      <w:r>
        <w:fldChar w:fldCharType="end"/>
      </w:r>
    </w:p>
    <w:p w14:paraId="2FCDFBCA">
      <w:pPr>
        <w:pStyle w:val="19"/>
        <w:tabs>
          <w:tab w:val="right" w:leader="dot" w:pos="9344"/>
        </w:tabs>
        <w:rPr>
          <w:rFonts w:asciiTheme="minorHAnsi" w:hAnsiTheme="minorHAnsi" w:eastAsiaTheme="minorEastAsia" w:cstheme="minorBidi"/>
          <w:szCs w:val="22"/>
        </w:rPr>
      </w:pPr>
      <w:r>
        <w:fldChar w:fldCharType="begin"/>
      </w:r>
      <w:r>
        <w:instrText xml:space="preserve"> HYPERLINK \l "_Toc205564997" </w:instrText>
      </w:r>
      <w:r>
        <w:fldChar w:fldCharType="separate"/>
      </w:r>
      <w:r>
        <w:rPr>
          <w:rStyle w:val="32"/>
        </w:rPr>
        <w:t>4  总则</w:t>
      </w:r>
      <w:r>
        <w:tab/>
      </w:r>
      <w:r>
        <w:fldChar w:fldCharType="begin"/>
      </w:r>
      <w:r>
        <w:instrText xml:space="preserve"> PAGEREF _Toc205564997 \h </w:instrText>
      </w:r>
      <w:r>
        <w:fldChar w:fldCharType="separate"/>
      </w:r>
      <w:r>
        <w:t>2</w:t>
      </w:r>
      <w:r>
        <w:fldChar w:fldCharType="end"/>
      </w:r>
      <w:r>
        <w:fldChar w:fldCharType="end"/>
      </w:r>
    </w:p>
    <w:p w14:paraId="0C414310">
      <w:pPr>
        <w:pStyle w:val="19"/>
        <w:tabs>
          <w:tab w:val="right" w:leader="dot" w:pos="9344"/>
        </w:tabs>
        <w:rPr>
          <w:rFonts w:asciiTheme="minorHAnsi" w:hAnsiTheme="minorHAnsi" w:eastAsiaTheme="minorEastAsia" w:cstheme="minorBidi"/>
          <w:szCs w:val="22"/>
        </w:rPr>
      </w:pPr>
      <w:r>
        <w:fldChar w:fldCharType="begin"/>
      </w:r>
      <w:r>
        <w:instrText xml:space="preserve"> HYPERLINK \l "_Toc205564998" </w:instrText>
      </w:r>
      <w:r>
        <w:fldChar w:fldCharType="separate"/>
      </w:r>
      <w:r>
        <w:rPr>
          <w:rStyle w:val="32"/>
        </w:rPr>
        <w:t>5  系统构成与功能要求</w:t>
      </w:r>
      <w:r>
        <w:tab/>
      </w:r>
      <w:r>
        <w:fldChar w:fldCharType="begin"/>
      </w:r>
      <w:r>
        <w:instrText xml:space="preserve"> PAGEREF _Toc205564998 \h </w:instrText>
      </w:r>
      <w:r>
        <w:fldChar w:fldCharType="separate"/>
      </w:r>
      <w:r>
        <w:t>3</w:t>
      </w:r>
      <w:r>
        <w:fldChar w:fldCharType="end"/>
      </w:r>
      <w:r>
        <w:fldChar w:fldCharType="end"/>
      </w:r>
    </w:p>
    <w:p w14:paraId="3EB665A6">
      <w:pPr>
        <w:pStyle w:val="19"/>
        <w:tabs>
          <w:tab w:val="right" w:leader="dot" w:pos="9344"/>
        </w:tabs>
        <w:rPr>
          <w:rFonts w:asciiTheme="minorHAnsi" w:hAnsiTheme="minorHAnsi" w:eastAsiaTheme="minorEastAsia" w:cstheme="minorBidi"/>
          <w:szCs w:val="22"/>
        </w:rPr>
      </w:pPr>
      <w:r>
        <w:fldChar w:fldCharType="begin"/>
      </w:r>
      <w:r>
        <w:instrText xml:space="preserve"> HYPERLINK \l "_Toc205564999" </w:instrText>
      </w:r>
      <w:r>
        <w:fldChar w:fldCharType="separate"/>
      </w:r>
      <w:r>
        <w:rPr>
          <w:rStyle w:val="32"/>
        </w:rPr>
        <w:t>6  风险分级与预警管理</w:t>
      </w:r>
      <w:r>
        <w:tab/>
      </w:r>
      <w:r>
        <w:fldChar w:fldCharType="begin"/>
      </w:r>
      <w:r>
        <w:instrText xml:space="preserve"> PAGEREF _Toc205564999 \h </w:instrText>
      </w:r>
      <w:r>
        <w:fldChar w:fldCharType="separate"/>
      </w:r>
      <w:r>
        <w:t>3</w:t>
      </w:r>
      <w:r>
        <w:fldChar w:fldCharType="end"/>
      </w:r>
      <w:r>
        <w:fldChar w:fldCharType="end"/>
      </w:r>
    </w:p>
    <w:p w14:paraId="76666AEA">
      <w:pPr>
        <w:pStyle w:val="19"/>
        <w:tabs>
          <w:tab w:val="right" w:leader="dot" w:pos="9344"/>
        </w:tabs>
        <w:rPr>
          <w:rFonts w:asciiTheme="minorHAnsi" w:hAnsiTheme="minorHAnsi" w:eastAsiaTheme="minorEastAsia" w:cstheme="minorBidi"/>
          <w:szCs w:val="22"/>
        </w:rPr>
      </w:pPr>
      <w:r>
        <w:fldChar w:fldCharType="begin"/>
      </w:r>
      <w:r>
        <w:instrText xml:space="preserve"> HYPERLINK \l "_Toc205565000" </w:instrText>
      </w:r>
      <w:r>
        <w:fldChar w:fldCharType="separate"/>
      </w:r>
      <w:r>
        <w:rPr>
          <w:rStyle w:val="32"/>
        </w:rPr>
        <w:t>7  应急响应与处置流程</w:t>
      </w:r>
      <w:r>
        <w:tab/>
      </w:r>
      <w:r>
        <w:fldChar w:fldCharType="begin"/>
      </w:r>
      <w:r>
        <w:instrText xml:space="preserve"> PAGEREF _Toc205565000 \h </w:instrText>
      </w:r>
      <w:r>
        <w:fldChar w:fldCharType="separate"/>
      </w:r>
      <w:r>
        <w:t>4</w:t>
      </w:r>
      <w:r>
        <w:fldChar w:fldCharType="end"/>
      </w:r>
      <w:r>
        <w:fldChar w:fldCharType="end"/>
      </w:r>
    </w:p>
    <w:p w14:paraId="52209C80">
      <w:pPr>
        <w:pStyle w:val="19"/>
        <w:tabs>
          <w:tab w:val="right" w:leader="dot" w:pos="9344"/>
        </w:tabs>
        <w:rPr>
          <w:rFonts w:asciiTheme="minorHAnsi" w:hAnsiTheme="minorHAnsi" w:eastAsiaTheme="minorEastAsia" w:cstheme="minorBidi"/>
          <w:szCs w:val="22"/>
        </w:rPr>
      </w:pPr>
      <w:r>
        <w:fldChar w:fldCharType="begin"/>
      </w:r>
      <w:r>
        <w:instrText xml:space="preserve"> HYPERLINK \l "_Toc205565001" </w:instrText>
      </w:r>
      <w:r>
        <w:fldChar w:fldCharType="separate"/>
      </w:r>
      <w:r>
        <w:rPr>
          <w:rStyle w:val="32"/>
        </w:rPr>
        <w:t>8  系统运行维护与持续改进</w:t>
      </w:r>
      <w:r>
        <w:tab/>
      </w:r>
      <w:r>
        <w:fldChar w:fldCharType="begin"/>
      </w:r>
      <w:r>
        <w:instrText xml:space="preserve"> PAGEREF _Toc205565001 \h </w:instrText>
      </w:r>
      <w:r>
        <w:fldChar w:fldCharType="separate"/>
      </w:r>
      <w:r>
        <w:t>5</w:t>
      </w:r>
      <w:r>
        <w:fldChar w:fldCharType="end"/>
      </w:r>
      <w:r>
        <w:fldChar w:fldCharType="end"/>
      </w:r>
    </w:p>
    <w:p w14:paraId="4820C054">
      <w:pPr>
        <w:pStyle w:val="19"/>
        <w:tabs>
          <w:tab w:val="right" w:leader="dot" w:pos="9344"/>
        </w:tabs>
        <w:rPr>
          <w:rFonts w:asciiTheme="minorHAnsi" w:hAnsiTheme="minorHAnsi" w:eastAsiaTheme="minorEastAsia" w:cstheme="minorBidi"/>
          <w:szCs w:val="22"/>
        </w:rPr>
      </w:pPr>
      <w:r>
        <w:fldChar w:fldCharType="begin"/>
      </w:r>
      <w:r>
        <w:instrText xml:space="preserve"> HYPERLINK \l "_Toc205565002" </w:instrText>
      </w:r>
      <w:r>
        <w:fldChar w:fldCharType="separate"/>
      </w:r>
      <w:r>
        <w:rPr>
          <w:rStyle w:val="32"/>
        </w:rPr>
        <w:t>9  资料与档案管理</w:t>
      </w:r>
      <w:r>
        <w:tab/>
      </w:r>
      <w:r>
        <w:fldChar w:fldCharType="begin"/>
      </w:r>
      <w:r>
        <w:instrText xml:space="preserve"> PAGEREF _Toc205565002 \h </w:instrText>
      </w:r>
      <w:r>
        <w:fldChar w:fldCharType="separate"/>
      </w:r>
      <w:r>
        <w:t>6</w:t>
      </w:r>
      <w:r>
        <w:fldChar w:fldCharType="end"/>
      </w:r>
      <w:r>
        <w:fldChar w:fldCharType="end"/>
      </w:r>
    </w:p>
    <w:p w14:paraId="2B7F2A96">
      <w:pPr>
        <w:pStyle w:val="19"/>
        <w:tabs>
          <w:tab w:val="right" w:leader="dot" w:pos="9344"/>
        </w:tabs>
        <w:rPr>
          <w:rFonts w:asciiTheme="minorHAnsi" w:hAnsiTheme="minorHAnsi" w:eastAsiaTheme="minorEastAsia" w:cstheme="minorBidi"/>
          <w:szCs w:val="22"/>
        </w:rPr>
      </w:pPr>
      <w:r>
        <w:fldChar w:fldCharType="begin"/>
      </w:r>
      <w:r>
        <w:instrText xml:space="preserve"> HYPERLINK \l "_Toc205565003" </w:instrText>
      </w:r>
      <w:r>
        <w:fldChar w:fldCharType="separate"/>
      </w:r>
      <w:r>
        <w:rPr>
          <w:rStyle w:val="32"/>
        </w:rPr>
        <w:t>10  附则</w:t>
      </w:r>
      <w:r>
        <w:tab/>
      </w:r>
      <w:r>
        <w:fldChar w:fldCharType="begin"/>
      </w:r>
      <w:r>
        <w:instrText xml:space="preserve"> PAGEREF _Toc205565003 \h </w:instrText>
      </w:r>
      <w:r>
        <w:fldChar w:fldCharType="separate"/>
      </w:r>
      <w:r>
        <w:t>7</w:t>
      </w:r>
      <w:r>
        <w:fldChar w:fldCharType="end"/>
      </w:r>
      <w:r>
        <w:fldChar w:fldCharType="end"/>
      </w:r>
    </w:p>
    <w:p w14:paraId="5244A5A6">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564992"/>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本文件起草单位：常州工学院。</w:t>
      </w:r>
    </w:p>
    <w:p w14:paraId="55F4A5D1">
      <w:pPr>
        <w:pStyle w:val="56"/>
        <w:spacing w:line="360" w:lineRule="auto"/>
        <w:ind w:firstLine="420"/>
      </w:pPr>
      <w:r>
        <w:rPr>
          <w:rFonts w:hint="eastAsia"/>
        </w:rPr>
        <w:t>本文件主要起草人：邓江桦。</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5564993"/>
      <w:bookmarkStart w:id="25" w:name="BookMark3"/>
      <w:r>
        <w:rPr>
          <w:spacing w:val="320"/>
        </w:rPr>
        <w:t>引</w:t>
      </w:r>
      <w:r>
        <w:t>言</w:t>
      </w:r>
      <w:bookmarkEnd w:id="24"/>
    </w:p>
    <w:p w14:paraId="62A31519">
      <w:pPr>
        <w:pStyle w:val="56"/>
        <w:spacing w:line="360" w:lineRule="auto"/>
        <w:ind w:firstLine="420"/>
      </w:pPr>
      <w:r>
        <w:rPr>
          <w:rFonts w:hint="eastAsia"/>
        </w:rPr>
        <w:t>随着我国公路桥梁规模的不断扩大和服役年限的增加，结构老化、病害发生频率上升以及极端天气事件的增多，使得桥梁安全运行面临更大挑战。传统的人工巡检与定期检测模式在发现隐患的及时性、响应速度和数据连续性方面存在局限，难以满足现代化交通基础设施安全管理的需求。</w:t>
      </w:r>
    </w:p>
    <w:p w14:paraId="6C003122">
      <w:pPr>
        <w:pStyle w:val="56"/>
        <w:spacing w:line="360" w:lineRule="auto"/>
        <w:ind w:firstLine="420"/>
      </w:pPr>
      <w:r>
        <w:rPr>
          <w:rFonts w:hint="eastAsia"/>
        </w:rPr>
        <w:t>智能预警与应急响应技术通过部署传感器网络、物联网终端、视频监测系统以及智能数据分析平台，实现对桥梁结构状态和运行环境的实时感知、动态分析与风险预测。该技术不仅能够提前识别潜在安全风险，还能在突发事件发生时快速触发应急响应机制，提升事故处置效率和桥梁运行保障能力。</w:t>
      </w:r>
    </w:p>
    <w:p w14:paraId="1F7E6B93">
      <w:pPr>
        <w:pStyle w:val="56"/>
        <w:spacing w:line="360" w:lineRule="auto"/>
        <w:ind w:firstLine="420"/>
      </w:pPr>
      <w:r>
        <w:rPr>
          <w:rFonts w:hint="eastAsia"/>
        </w:rPr>
        <w:t>本文件旨在规范公路桥梁智能预警与应急响应系统的建设、运行、维护及管理工作，明确技术架构、数据采集、信息处理、风险预警、应急处置等环节的基本要求，为桥梁管理单位、运营公司、应急管理部门及相关技术服务机构提供统一的技术依据。</w:t>
      </w:r>
    </w:p>
    <w:p w14:paraId="7F4A69FE">
      <w:pPr>
        <w:pStyle w:val="56"/>
        <w:spacing w:line="360" w:lineRule="auto"/>
        <w:ind w:firstLine="420"/>
      </w:pPr>
      <w:r>
        <w:rPr>
          <w:rFonts w:hint="eastAsia"/>
        </w:rPr>
        <w:t>本文件结合我国公路桥梁管理的实际需求，参考国内外先进经验，提出了全生命周期管理理念下的智能预警与应急响应体系构建方法，强调信息化、自动化与科学决策的融合应用，旨在提高桥梁运行安全水平，延长服役寿命，降低突发事件造成的人员伤亡和财产损失。</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公路桥梁智能预警与应急响应管理准则</w:t>
          </w:r>
        </w:p>
      </w:sdtContent>
    </w:sdt>
    <w:bookmarkEnd w:id="27"/>
    <w:p w14:paraId="3DB22445">
      <w:pPr>
        <w:pStyle w:val="104"/>
        <w:spacing w:before="240" w:after="240" w:line="360" w:lineRule="auto"/>
      </w:pPr>
      <w:bookmarkStart w:id="28" w:name="_Toc24884211"/>
      <w:bookmarkStart w:id="29" w:name="_Toc26648465"/>
      <w:bookmarkStart w:id="30" w:name="_Toc205564994"/>
      <w:bookmarkStart w:id="31" w:name="_Toc26986771"/>
      <w:bookmarkStart w:id="32" w:name="_Toc24884218"/>
      <w:bookmarkStart w:id="33" w:name="_Toc17233325"/>
      <w:bookmarkStart w:id="34" w:name="_Toc97192964"/>
      <w:bookmarkStart w:id="35" w:name="_Toc26718930"/>
      <w:bookmarkStart w:id="36" w:name="_Toc26986530"/>
      <w:bookmarkStart w:id="37" w:name="_Toc17233333"/>
      <w:r>
        <w:rPr>
          <w:rFonts w:hint="eastAsia"/>
        </w:rPr>
        <w:t>范围</w:t>
      </w:r>
      <w:bookmarkEnd w:id="28"/>
      <w:bookmarkEnd w:id="29"/>
      <w:bookmarkEnd w:id="30"/>
      <w:bookmarkEnd w:id="31"/>
      <w:bookmarkEnd w:id="32"/>
      <w:bookmarkEnd w:id="33"/>
      <w:bookmarkEnd w:id="34"/>
      <w:bookmarkEnd w:id="35"/>
      <w:bookmarkEnd w:id="36"/>
      <w:bookmarkEnd w:id="37"/>
    </w:p>
    <w:p w14:paraId="7F833535">
      <w:pPr>
        <w:pStyle w:val="56"/>
        <w:spacing w:line="360" w:lineRule="auto"/>
        <w:ind w:firstLine="420"/>
      </w:pPr>
      <w:bookmarkStart w:id="38" w:name="_Toc17233334"/>
      <w:bookmarkStart w:id="39" w:name="_Toc17233326"/>
      <w:bookmarkStart w:id="40" w:name="_Toc24884212"/>
      <w:bookmarkStart w:id="41" w:name="_Toc24884219"/>
      <w:bookmarkStart w:id="42" w:name="_Toc26648466"/>
      <w:r>
        <w:rPr>
          <w:rFonts w:hint="eastAsia"/>
        </w:rPr>
        <w:t>本文件规定了公路桥梁智能预警与应急响应系统的总则、系统构成与功能要求、风险分级与预警管理、应急响应与处置流程、系统运行维护与持续改进及资料与档案管理等内容，涵盖系统建设、运行管理和持续改进等全过程。</w:t>
      </w:r>
    </w:p>
    <w:p w14:paraId="139D1027">
      <w:pPr>
        <w:pStyle w:val="56"/>
        <w:spacing w:line="360" w:lineRule="auto"/>
        <w:ind w:firstLine="420"/>
      </w:pPr>
      <w:r>
        <w:rPr>
          <w:rFonts w:hint="eastAsia"/>
        </w:rPr>
        <w:t>本文件适用于各类公路桥梁（含跨海桥梁、高架桥、特大桥及隧道式桥梁）的智能预警与应急响应管理工作，包括新建桥梁的系统建设和在役桥梁的系统改造、升级。</w:t>
      </w:r>
    </w:p>
    <w:p w14:paraId="76265264">
      <w:pPr>
        <w:pStyle w:val="56"/>
        <w:spacing w:line="360" w:lineRule="auto"/>
        <w:ind w:firstLine="420"/>
      </w:pPr>
      <w:r>
        <w:rPr>
          <w:rFonts w:hint="eastAsia"/>
        </w:rPr>
        <w:t>其他类型的道路交通基础设施在进行安全监测与应急管理时，可参照本文件执行。</w:t>
      </w:r>
    </w:p>
    <w:p w14:paraId="3733B2AD">
      <w:pPr>
        <w:pStyle w:val="104"/>
        <w:spacing w:before="240" w:after="240" w:line="360" w:lineRule="auto"/>
      </w:pPr>
      <w:bookmarkStart w:id="43" w:name="_Toc26718931"/>
      <w:bookmarkStart w:id="44" w:name="_Toc26986772"/>
      <w:bookmarkStart w:id="45" w:name="_Toc97192965"/>
      <w:bookmarkStart w:id="46" w:name="_Toc205564995"/>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7FA3B4">
      <w:pPr>
        <w:pStyle w:val="56"/>
        <w:spacing w:line="360" w:lineRule="auto"/>
        <w:ind w:firstLine="420"/>
      </w:pPr>
      <w:r>
        <w:t>GB 5768.2</w:t>
      </w:r>
      <w:r>
        <w:rPr>
          <w:rFonts w:hint="eastAsia"/>
        </w:rPr>
        <w:t>—</w:t>
      </w:r>
      <w:r>
        <w:t>2022</w:t>
      </w:r>
      <w:r>
        <w:rPr>
          <w:rFonts w:hint="eastAsia"/>
        </w:rPr>
        <w:t xml:space="preserve"> 道路交通标志和标线 </w:t>
      </w:r>
      <w:r>
        <w:t xml:space="preserve"> </w:t>
      </w:r>
      <w:r>
        <w:rPr>
          <w:rFonts w:hint="eastAsia"/>
        </w:rPr>
        <w:t>第2部分：道路交通标志</w:t>
      </w:r>
    </w:p>
    <w:p w14:paraId="1005524C">
      <w:pPr>
        <w:pStyle w:val="56"/>
        <w:spacing w:line="360" w:lineRule="auto"/>
        <w:ind w:firstLine="420"/>
      </w:pPr>
      <w:r>
        <w:rPr>
          <w:rFonts w:hint="eastAsia"/>
        </w:rPr>
        <w:t xml:space="preserve">GB/T 1.1 标准化工作导则 </w:t>
      </w:r>
      <w:r>
        <w:t xml:space="preserve"> </w:t>
      </w:r>
      <w:r>
        <w:rPr>
          <w:rFonts w:hint="eastAsia"/>
        </w:rPr>
        <w:t>第1部分：标准化文件的结构和起草规则</w:t>
      </w:r>
    </w:p>
    <w:p w14:paraId="67F07BBF">
      <w:pPr>
        <w:pStyle w:val="56"/>
        <w:spacing w:line="360" w:lineRule="auto"/>
        <w:ind w:firstLine="420"/>
      </w:pPr>
      <w:r>
        <w:rPr>
          <w:rFonts w:hint="eastAsia"/>
        </w:rPr>
        <w:t>GB/T 28426 桥梁结构健康监测系统技术规范</w:t>
      </w:r>
    </w:p>
    <w:p w14:paraId="03243790">
      <w:pPr>
        <w:pStyle w:val="56"/>
        <w:spacing w:line="360" w:lineRule="auto"/>
        <w:ind w:firstLine="420"/>
      </w:pPr>
      <w:r>
        <w:rPr>
          <w:rFonts w:hint="eastAsia"/>
        </w:rPr>
        <w:t>GB/T 31590 物联网总体技术架构</w:t>
      </w:r>
    </w:p>
    <w:p w14:paraId="4A724E36">
      <w:pPr>
        <w:pStyle w:val="56"/>
        <w:spacing w:line="360" w:lineRule="auto"/>
        <w:ind w:firstLine="420"/>
      </w:pPr>
      <w:r>
        <w:rPr>
          <w:rFonts w:hint="eastAsia"/>
        </w:rPr>
        <w:t xml:space="preserve">GB/T 37228 应急管理 </w:t>
      </w:r>
      <w:r>
        <w:t xml:space="preserve"> </w:t>
      </w:r>
      <w:r>
        <w:rPr>
          <w:rFonts w:hint="eastAsia"/>
        </w:rPr>
        <w:t xml:space="preserve">安全与韧性 </w:t>
      </w:r>
      <w:r>
        <w:t xml:space="preserve"> </w:t>
      </w:r>
      <w:r>
        <w:rPr>
          <w:rFonts w:hint="eastAsia"/>
        </w:rPr>
        <w:t>应急管理  突发事件管理指南</w:t>
      </w:r>
    </w:p>
    <w:p w14:paraId="1F59415E">
      <w:pPr>
        <w:pStyle w:val="56"/>
        <w:spacing w:line="360" w:lineRule="auto"/>
        <w:ind w:firstLine="420"/>
      </w:pPr>
      <w:r>
        <w:t>JTG D60</w:t>
      </w:r>
      <w:r>
        <w:rPr>
          <w:rFonts w:hint="eastAsia"/>
        </w:rPr>
        <w:t>—</w:t>
      </w:r>
      <w:r>
        <w:t>2015</w:t>
      </w:r>
      <w:r>
        <w:rPr>
          <w:rFonts w:hint="eastAsia"/>
        </w:rPr>
        <w:t xml:space="preserve"> 公路桥涵设计通用规范</w:t>
      </w:r>
    </w:p>
    <w:p w14:paraId="4A8962D6">
      <w:pPr>
        <w:pStyle w:val="56"/>
        <w:spacing w:line="360" w:lineRule="auto"/>
        <w:ind w:firstLine="420"/>
      </w:pPr>
      <w:r>
        <w:rPr>
          <w:rFonts w:hint="eastAsia"/>
        </w:rPr>
        <w:t>JT/T 1037—2022 公路桥梁结构监测技术规范</w:t>
      </w:r>
    </w:p>
    <w:p w14:paraId="51F02A4E">
      <w:pPr>
        <w:pStyle w:val="104"/>
        <w:spacing w:before="240" w:after="240" w:line="360" w:lineRule="auto"/>
      </w:pPr>
      <w:bookmarkStart w:id="48" w:name="_Toc97192966"/>
      <w:bookmarkStart w:id="49" w:name="_Toc20556499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73A623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公路桥梁 highway bridge</w:t>
      </w:r>
    </w:p>
    <w:p w14:paraId="65D71FE3">
      <w:pPr>
        <w:pStyle w:val="56"/>
        <w:spacing w:line="360" w:lineRule="auto"/>
        <w:ind w:firstLine="420"/>
      </w:pPr>
      <w:r>
        <w:rPr>
          <w:rFonts w:hint="eastAsia"/>
        </w:rPr>
        <w:t>为保障公路交通通行需求而修建的跨越江河、湖泊、峡谷、道路、铁路等障碍物的结构工程，包括桥面、上部结构、下部结构及附属设施。</w:t>
      </w:r>
    </w:p>
    <w:p w14:paraId="5C69D62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智能预警 intelligent early warning</w:t>
      </w:r>
    </w:p>
    <w:p w14:paraId="6348FE90">
      <w:pPr>
        <w:pStyle w:val="56"/>
        <w:spacing w:line="360" w:lineRule="auto"/>
        <w:ind w:firstLine="420"/>
      </w:pPr>
      <w:r>
        <w:rPr>
          <w:rFonts w:hint="eastAsia"/>
        </w:rPr>
        <w:t>利用传感器、物联网、数据分析、人工智能等技术，对桥梁结构状态及环境条件进行实时监测、分析和预测，并在风险达到设定阈值时自动发出警报的技术和管理过程。</w:t>
      </w:r>
    </w:p>
    <w:p w14:paraId="713EB9F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应急响应 emergency response</w:t>
      </w:r>
    </w:p>
    <w:p w14:paraId="0E71A8A8">
      <w:pPr>
        <w:pStyle w:val="56"/>
        <w:spacing w:line="360" w:lineRule="auto"/>
        <w:ind w:firstLine="420"/>
      </w:pPr>
      <w:r>
        <w:rPr>
          <w:rFonts w:hint="eastAsia"/>
        </w:rPr>
        <w:t>在桥梁发生或可能发生安全事故、结构损伤、交通中断等紧急情况时，按照预定的应急预案，快速采取措施进行处置和救援的全过程。</w:t>
      </w:r>
    </w:p>
    <w:p w14:paraId="30A3C6A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结构健康监测 structural health monitoring</w:t>
      </w:r>
    </w:p>
    <w:p w14:paraId="160994EC">
      <w:pPr>
        <w:pStyle w:val="56"/>
        <w:spacing w:line="360" w:lineRule="auto"/>
        <w:ind w:firstLine="420"/>
      </w:pPr>
      <w:r>
        <w:rPr>
          <w:rFonts w:hint="eastAsia"/>
        </w:rPr>
        <w:t>通过布设多种传感器和监测设备，对桥梁结构的受力、变形、振动、温度等状态参数进行实时或定期采集、传输、分析与评估，以判断其健康状况和运行安全水平的技术体系。</w:t>
      </w:r>
    </w:p>
    <w:p w14:paraId="6889F96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风险阈值 risk threshold</w:t>
      </w:r>
    </w:p>
    <w:p w14:paraId="10326D11">
      <w:pPr>
        <w:pStyle w:val="56"/>
        <w:spacing w:line="360" w:lineRule="auto"/>
        <w:ind w:firstLine="420"/>
      </w:pPr>
      <w:r>
        <w:rPr>
          <w:rFonts w:hint="eastAsia"/>
        </w:rPr>
        <w:t>用于判定桥梁运行状态是否处于安全范围的关键参数值，超过该值即触发风险预警或应急响应措施。</w:t>
      </w:r>
    </w:p>
    <w:p w14:paraId="7B4AAB9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应急预案 emergency plan</w:t>
      </w:r>
    </w:p>
    <w:p w14:paraId="11ED0D72">
      <w:pPr>
        <w:pStyle w:val="56"/>
        <w:spacing w:line="360" w:lineRule="auto"/>
        <w:ind w:firstLine="420"/>
      </w:pPr>
      <w:r>
        <w:rPr>
          <w:rFonts w:hint="eastAsia"/>
        </w:rPr>
        <w:t>针对可能发生的突发事件，预先制定的处置方案，包括应急组织架构、职责分工、处置流程、资源调配和信息通报等内容。</w:t>
      </w:r>
    </w:p>
    <w:p w14:paraId="0ACC38A7">
      <w:pPr>
        <w:pStyle w:val="104"/>
        <w:spacing w:before="240" w:after="240" w:line="360" w:lineRule="auto"/>
      </w:pPr>
      <w:bookmarkStart w:id="51" w:name="_Toc205564997"/>
      <w:r>
        <w:rPr>
          <w:rFonts w:hint="eastAsia"/>
        </w:rPr>
        <w:t>总则</w:t>
      </w:r>
      <w:bookmarkEnd w:id="51"/>
    </w:p>
    <w:p w14:paraId="1C5A415A">
      <w:pPr>
        <w:pStyle w:val="162"/>
        <w:spacing w:line="360" w:lineRule="auto"/>
      </w:pPr>
      <w:r>
        <w:rPr>
          <w:rFonts w:hint="eastAsia"/>
        </w:rPr>
        <w:t>公路桥梁智能预警与应急响应管理应坚持“预防为主、智能感知、快速处置、协同联动”的原则，将技术手段与管理机制有机结合，实现桥梁安全运行的全过程动态管理。</w:t>
      </w:r>
    </w:p>
    <w:p w14:paraId="3E22F988">
      <w:pPr>
        <w:pStyle w:val="162"/>
        <w:spacing w:line="360" w:lineRule="auto"/>
      </w:pPr>
      <w:r>
        <w:rPr>
          <w:rFonts w:hint="eastAsia"/>
        </w:rPr>
        <w:t>应建立覆盖桥梁全寿命周期的智能监测、预警和应急响应体系，确保从设计、建设、运营到养护各阶段的安全信息互通和管理闭环。</w:t>
      </w:r>
    </w:p>
    <w:p w14:paraId="46383DF0">
      <w:pPr>
        <w:pStyle w:val="162"/>
        <w:spacing w:line="360" w:lineRule="auto"/>
      </w:pPr>
      <w:r>
        <w:rPr>
          <w:rFonts w:hint="eastAsia"/>
        </w:rPr>
        <w:t>智能预警系统应与桥梁结构类型、规模、重要性等级及所在环境条件相适应，做到技术先进、运行稳定、维护简便、扩展性强。</w:t>
      </w:r>
    </w:p>
    <w:p w14:paraId="678A52FC">
      <w:pPr>
        <w:pStyle w:val="162"/>
        <w:spacing w:line="360" w:lineRule="auto"/>
      </w:pPr>
      <w:r>
        <w:rPr>
          <w:rFonts w:hint="eastAsia"/>
        </w:rPr>
        <w:t>应急响应体系应与地方政府应急管理部门、公路管理机构、交通执法、公安交警、医疗救援等形成有效联动，明确信息通报和资源调配机制。</w:t>
      </w:r>
    </w:p>
    <w:p w14:paraId="1C076391">
      <w:pPr>
        <w:pStyle w:val="162"/>
        <w:spacing w:line="360" w:lineRule="auto"/>
      </w:pPr>
      <w:r>
        <w:rPr>
          <w:rFonts w:hint="eastAsia"/>
        </w:rPr>
        <w:t>参与桥梁智能预警与应急响应工作的单位和人员，应具备相应的专业能力和资质，熟悉桥梁结构安全评估、监测技术、应急管理流程及相关标准规范。</w:t>
      </w:r>
    </w:p>
    <w:p w14:paraId="305AD961">
      <w:pPr>
        <w:pStyle w:val="162"/>
        <w:spacing w:line="360" w:lineRule="auto"/>
      </w:pPr>
      <w:r>
        <w:rPr>
          <w:rFonts w:hint="eastAsia"/>
        </w:rPr>
        <w:t>在运行管理过程中，应建立信息共享与公众通报机制，确保重大风险和突发事件信息的透明公开，同时保护涉及公共安全和国家安全的敏感数据。</w:t>
      </w:r>
    </w:p>
    <w:p w14:paraId="6BDE6C18">
      <w:pPr>
        <w:pStyle w:val="104"/>
        <w:spacing w:before="240" w:after="240" w:line="360" w:lineRule="auto"/>
      </w:pPr>
      <w:bookmarkStart w:id="52" w:name="_Toc205564998"/>
      <w:r>
        <w:rPr>
          <w:rFonts w:hint="eastAsia"/>
        </w:rPr>
        <w:t>系统构成与功能要求</w:t>
      </w:r>
      <w:bookmarkEnd w:id="52"/>
    </w:p>
    <w:p w14:paraId="5F8E3147">
      <w:pPr>
        <w:pStyle w:val="105"/>
        <w:spacing w:before="120" w:after="120" w:line="360" w:lineRule="auto"/>
      </w:pPr>
      <w:r>
        <w:rPr>
          <w:rFonts w:hint="eastAsia"/>
        </w:rPr>
        <w:t>总体要求</w:t>
      </w:r>
    </w:p>
    <w:p w14:paraId="6D05696D">
      <w:pPr>
        <w:pStyle w:val="56"/>
        <w:spacing w:line="360" w:lineRule="auto"/>
        <w:ind w:firstLine="420"/>
      </w:pPr>
      <w:r>
        <w:rPr>
          <w:rFonts w:hint="eastAsia"/>
        </w:rPr>
        <w:t>公路桥梁智能预警与应急响应系统应由前端感知层、数据传输层、数据处理与分析层、决策与控制层及应急处置层构成。各部分应实现数据互联、信息共享、协同运行，并具备冗余设计和安全防护能力。</w:t>
      </w:r>
    </w:p>
    <w:p w14:paraId="3AFFC135">
      <w:pPr>
        <w:pStyle w:val="105"/>
        <w:spacing w:before="120" w:after="120" w:line="360" w:lineRule="auto"/>
      </w:pPr>
      <w:r>
        <w:rPr>
          <w:rFonts w:hint="eastAsia"/>
        </w:rPr>
        <w:t>系统模块及功能</w:t>
      </w:r>
    </w:p>
    <w:p w14:paraId="00A3E3FA">
      <w:pPr>
        <w:pStyle w:val="56"/>
        <w:spacing w:line="360" w:lineRule="auto"/>
        <w:ind w:firstLine="420"/>
      </w:pPr>
      <w:r>
        <w:rPr>
          <w:rFonts w:hint="eastAsia"/>
        </w:rPr>
        <w:t>系统的主要模块、核心功能及技术要求见表1。</w:t>
      </w:r>
    </w:p>
    <w:p w14:paraId="49A6BFBB">
      <w:pPr>
        <w:pStyle w:val="112"/>
        <w:spacing w:before="120" w:after="120" w:line="360" w:lineRule="auto"/>
      </w:pPr>
      <w:r>
        <w:rPr>
          <w:rFonts w:hint="eastAsia"/>
        </w:rPr>
        <w:t>公路桥梁智能预警与应急响应系统模块及功能要求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3B3A8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14:paraId="2CDD9428">
            <w:pPr>
              <w:pStyle w:val="178"/>
            </w:pPr>
            <w:r>
              <w:rPr>
                <w:rFonts w:hint="eastAsia"/>
              </w:rPr>
              <w:t>模块名称</w:t>
            </w:r>
          </w:p>
        </w:tc>
        <w:tc>
          <w:tcPr>
            <w:tcW w:w="4247" w:type="dxa"/>
            <w:tcBorders>
              <w:top w:val="single" w:color="auto" w:sz="8" w:space="0"/>
              <w:bottom w:val="single" w:color="auto" w:sz="8" w:space="0"/>
            </w:tcBorders>
            <w:shd w:val="clear" w:color="auto" w:fill="auto"/>
            <w:vAlign w:val="center"/>
          </w:tcPr>
          <w:p w14:paraId="4B89A031">
            <w:pPr>
              <w:pStyle w:val="178"/>
            </w:pPr>
            <w:r>
              <w:rPr>
                <w:rFonts w:hint="eastAsia"/>
              </w:rPr>
              <w:t>核心功能</w:t>
            </w:r>
          </w:p>
        </w:tc>
        <w:tc>
          <w:tcPr>
            <w:tcW w:w="3112" w:type="dxa"/>
            <w:tcBorders>
              <w:top w:val="single" w:color="auto" w:sz="8" w:space="0"/>
              <w:bottom w:val="single" w:color="auto" w:sz="8" w:space="0"/>
            </w:tcBorders>
            <w:shd w:val="clear" w:color="auto" w:fill="auto"/>
            <w:vAlign w:val="center"/>
          </w:tcPr>
          <w:p w14:paraId="79D35396">
            <w:pPr>
              <w:pStyle w:val="178"/>
            </w:pPr>
            <w:r>
              <w:rPr>
                <w:rFonts w:hint="eastAsia"/>
              </w:rPr>
              <w:t>技术要求</w:t>
            </w:r>
          </w:p>
        </w:tc>
      </w:tr>
      <w:tr w14:paraId="51CDC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14:paraId="50887BCC">
            <w:pPr>
              <w:pStyle w:val="178"/>
            </w:pPr>
            <w:r>
              <w:rPr>
                <w:rFonts w:hint="eastAsia"/>
              </w:rPr>
              <w:t>前端感知层</w:t>
            </w:r>
          </w:p>
        </w:tc>
        <w:tc>
          <w:tcPr>
            <w:tcW w:w="4247" w:type="dxa"/>
            <w:tcBorders>
              <w:top w:val="single" w:color="auto" w:sz="8" w:space="0"/>
            </w:tcBorders>
            <w:shd w:val="clear" w:color="auto" w:fill="auto"/>
            <w:vAlign w:val="center"/>
          </w:tcPr>
          <w:p w14:paraId="1F021914">
            <w:pPr>
              <w:pStyle w:val="178"/>
            </w:pPr>
            <w:r>
              <w:rPr>
                <w:rFonts w:hint="eastAsia"/>
              </w:rPr>
              <w:t>采集桥梁结构状态参数（应变、位移、振动、裂缝、倾角等）及环境参数（温度、湿度、风速、流速等）</w:t>
            </w:r>
          </w:p>
        </w:tc>
        <w:tc>
          <w:tcPr>
            <w:tcW w:w="3112" w:type="dxa"/>
            <w:tcBorders>
              <w:top w:val="single" w:color="auto" w:sz="8" w:space="0"/>
            </w:tcBorders>
            <w:shd w:val="clear" w:color="auto" w:fill="auto"/>
            <w:vAlign w:val="center"/>
          </w:tcPr>
          <w:p w14:paraId="2E88D12F">
            <w:pPr>
              <w:pStyle w:val="178"/>
            </w:pPr>
            <w:r>
              <w:rPr>
                <w:rFonts w:hint="eastAsia"/>
              </w:rPr>
              <w:t>传感器布设合理、量程和精度满足监测要求，具备防护等级不低于IP65</w:t>
            </w:r>
          </w:p>
        </w:tc>
      </w:tr>
      <w:tr w14:paraId="082556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14:paraId="5E1AC547">
            <w:pPr>
              <w:pStyle w:val="178"/>
            </w:pPr>
            <w:r>
              <w:rPr>
                <w:rFonts w:hint="eastAsia"/>
              </w:rPr>
              <w:t>数据传输层</w:t>
            </w:r>
          </w:p>
        </w:tc>
        <w:tc>
          <w:tcPr>
            <w:tcW w:w="4247" w:type="dxa"/>
            <w:shd w:val="clear" w:color="auto" w:fill="auto"/>
            <w:vAlign w:val="center"/>
          </w:tcPr>
          <w:p w14:paraId="440F0BDC">
            <w:pPr>
              <w:pStyle w:val="178"/>
            </w:pPr>
            <w:r>
              <w:rPr>
                <w:rFonts w:hint="eastAsia"/>
              </w:rPr>
              <w:t>实时传输监测数据至数据中心</w:t>
            </w:r>
          </w:p>
        </w:tc>
        <w:tc>
          <w:tcPr>
            <w:tcW w:w="3112" w:type="dxa"/>
            <w:shd w:val="clear" w:color="auto" w:fill="auto"/>
            <w:vAlign w:val="center"/>
          </w:tcPr>
          <w:p w14:paraId="1046D350">
            <w:pPr>
              <w:pStyle w:val="178"/>
            </w:pPr>
            <w:r>
              <w:rPr>
                <w:rFonts w:hint="eastAsia"/>
              </w:rPr>
              <w:t>支持有线/无线多种通信方式，具备加密传输与链路冗余</w:t>
            </w:r>
          </w:p>
        </w:tc>
      </w:tr>
      <w:tr w14:paraId="75595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14:paraId="1B657D44">
            <w:pPr>
              <w:pStyle w:val="178"/>
            </w:pPr>
            <w:r>
              <w:rPr>
                <w:rFonts w:hint="eastAsia"/>
              </w:rPr>
              <w:t>数据处理与分析层</w:t>
            </w:r>
          </w:p>
        </w:tc>
        <w:tc>
          <w:tcPr>
            <w:tcW w:w="4247" w:type="dxa"/>
            <w:shd w:val="clear" w:color="auto" w:fill="auto"/>
            <w:vAlign w:val="center"/>
          </w:tcPr>
          <w:p w14:paraId="1F834E4E">
            <w:pPr>
              <w:pStyle w:val="178"/>
            </w:pPr>
            <w:r>
              <w:rPr>
                <w:rFonts w:hint="eastAsia"/>
              </w:rPr>
              <w:t>数据清洗、存储、分析与建模；识别结构异常与趋势</w:t>
            </w:r>
          </w:p>
        </w:tc>
        <w:tc>
          <w:tcPr>
            <w:tcW w:w="3112" w:type="dxa"/>
            <w:shd w:val="clear" w:color="auto" w:fill="auto"/>
            <w:vAlign w:val="center"/>
          </w:tcPr>
          <w:p w14:paraId="0B5FCD72">
            <w:pPr>
              <w:pStyle w:val="178"/>
            </w:pPr>
            <w:r>
              <w:rPr>
                <w:rFonts w:hint="eastAsia"/>
              </w:rPr>
              <w:t>采用容错与自恢复机制，具备大数据分析和AI建模能力</w:t>
            </w:r>
          </w:p>
        </w:tc>
      </w:tr>
      <w:tr w14:paraId="53C17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14:paraId="7E6C6089">
            <w:pPr>
              <w:pStyle w:val="178"/>
            </w:pPr>
            <w:r>
              <w:rPr>
                <w:rFonts w:hint="eastAsia"/>
              </w:rPr>
              <w:t>决策与控制层</w:t>
            </w:r>
          </w:p>
        </w:tc>
        <w:tc>
          <w:tcPr>
            <w:tcW w:w="4247" w:type="dxa"/>
            <w:shd w:val="clear" w:color="auto" w:fill="auto"/>
            <w:vAlign w:val="center"/>
          </w:tcPr>
          <w:p w14:paraId="1EC071DD">
            <w:pPr>
              <w:pStyle w:val="178"/>
            </w:pPr>
            <w:r>
              <w:rPr>
                <w:rFonts w:hint="eastAsia"/>
              </w:rPr>
              <w:t>风险识别与分级预警；生成处置建议</w:t>
            </w:r>
          </w:p>
        </w:tc>
        <w:tc>
          <w:tcPr>
            <w:tcW w:w="3112" w:type="dxa"/>
            <w:shd w:val="clear" w:color="auto" w:fill="auto"/>
            <w:vAlign w:val="center"/>
          </w:tcPr>
          <w:p w14:paraId="57DCFC22">
            <w:pPr>
              <w:pStyle w:val="178"/>
            </w:pPr>
            <w:r>
              <w:rPr>
                <w:rFonts w:hint="eastAsia"/>
              </w:rPr>
              <w:t>预警触发时间小于1分钟，具备自动与人工干预双模式</w:t>
            </w:r>
          </w:p>
        </w:tc>
      </w:tr>
      <w:tr w14:paraId="308DD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14:paraId="4104901F">
            <w:pPr>
              <w:pStyle w:val="178"/>
            </w:pPr>
            <w:r>
              <w:rPr>
                <w:rFonts w:hint="eastAsia"/>
              </w:rPr>
              <w:t>应急处置层</w:t>
            </w:r>
          </w:p>
        </w:tc>
        <w:tc>
          <w:tcPr>
            <w:tcW w:w="4247" w:type="dxa"/>
            <w:shd w:val="clear" w:color="auto" w:fill="auto"/>
            <w:vAlign w:val="center"/>
          </w:tcPr>
          <w:p w14:paraId="6719BCE4">
            <w:pPr>
              <w:pStyle w:val="178"/>
            </w:pPr>
            <w:r>
              <w:rPr>
                <w:rFonts w:hint="eastAsia"/>
              </w:rPr>
              <w:t>启动应急预案，调度救援资源，控制交通</w:t>
            </w:r>
          </w:p>
        </w:tc>
        <w:tc>
          <w:tcPr>
            <w:tcW w:w="3112" w:type="dxa"/>
            <w:shd w:val="clear" w:color="auto" w:fill="auto"/>
            <w:vAlign w:val="center"/>
          </w:tcPr>
          <w:p w14:paraId="6170698B">
            <w:pPr>
              <w:pStyle w:val="178"/>
            </w:pPr>
            <w:r>
              <w:rPr>
                <w:rFonts w:hint="eastAsia"/>
              </w:rPr>
              <w:t>与地方应急平台无缝对接，支持跨部门联动</w:t>
            </w:r>
          </w:p>
        </w:tc>
      </w:tr>
    </w:tbl>
    <w:p w14:paraId="37E1BB99">
      <w:pPr>
        <w:pStyle w:val="105"/>
        <w:spacing w:before="120" w:after="120" w:line="360" w:lineRule="auto"/>
      </w:pPr>
      <w:r>
        <w:rPr>
          <w:rFonts w:hint="eastAsia"/>
        </w:rPr>
        <w:t>功能要求细化</w:t>
      </w:r>
    </w:p>
    <w:p w14:paraId="4F116B86">
      <w:pPr>
        <w:pStyle w:val="165"/>
        <w:spacing w:line="360" w:lineRule="auto"/>
      </w:pPr>
      <w:r>
        <w:rPr>
          <w:rFonts w:hint="eastAsia"/>
        </w:rPr>
        <w:t>实时监测：系统应实现关键结构与环境参数的连续采集与实时传输。</w:t>
      </w:r>
    </w:p>
    <w:p w14:paraId="1F5F15C2">
      <w:pPr>
        <w:pStyle w:val="165"/>
        <w:spacing w:line="360" w:lineRule="auto"/>
      </w:pPr>
      <w:r>
        <w:rPr>
          <w:rFonts w:hint="eastAsia"/>
        </w:rPr>
        <w:t>智能预警：基于设定的风险阈值和预测模型，自动生成预警信息并推送至管理人员。</w:t>
      </w:r>
    </w:p>
    <w:p w14:paraId="2D81FC45">
      <w:pPr>
        <w:pStyle w:val="165"/>
        <w:spacing w:line="360" w:lineRule="auto"/>
      </w:pPr>
      <w:r>
        <w:rPr>
          <w:rFonts w:hint="eastAsia"/>
        </w:rPr>
        <w:t>应急联动：在触发应急事件后，自动向相关部门发送指令，启动预案并跟踪处置进度。</w:t>
      </w:r>
    </w:p>
    <w:p w14:paraId="16086DCC">
      <w:pPr>
        <w:pStyle w:val="165"/>
        <w:spacing w:line="360" w:lineRule="auto"/>
      </w:pPr>
      <w:r>
        <w:rPr>
          <w:rFonts w:hint="eastAsia"/>
        </w:rPr>
        <w:t>数据追溯：系统应保留不少于5年的监测数据，并可按时间、位置、事件进行检索。</w:t>
      </w:r>
    </w:p>
    <w:p w14:paraId="285226B2">
      <w:pPr>
        <w:pStyle w:val="165"/>
        <w:spacing w:line="360" w:lineRule="auto"/>
      </w:pPr>
      <w:r>
        <w:rPr>
          <w:rFonts w:hint="eastAsia"/>
        </w:rPr>
        <w:t>安全防护：应具备数据加密、权限管理、防入侵和防篡改等措施，确保系统安全。</w:t>
      </w:r>
    </w:p>
    <w:p w14:paraId="4C00F306">
      <w:pPr>
        <w:pStyle w:val="104"/>
        <w:spacing w:before="240" w:after="240" w:line="360" w:lineRule="auto"/>
      </w:pPr>
      <w:bookmarkStart w:id="53" w:name="_Toc205564999"/>
      <w:r>
        <w:rPr>
          <w:rFonts w:hint="eastAsia"/>
        </w:rPr>
        <w:t>风险分级与预警管理</w:t>
      </w:r>
      <w:bookmarkEnd w:id="53"/>
    </w:p>
    <w:p w14:paraId="290521B8">
      <w:pPr>
        <w:pStyle w:val="105"/>
        <w:spacing w:before="120" w:after="120" w:line="360" w:lineRule="auto"/>
      </w:pPr>
      <w:r>
        <w:rPr>
          <w:rFonts w:hint="eastAsia"/>
        </w:rPr>
        <w:t>总体要求</w:t>
      </w:r>
    </w:p>
    <w:p w14:paraId="44EB602B">
      <w:pPr>
        <w:pStyle w:val="56"/>
        <w:spacing w:line="360" w:lineRule="auto"/>
        <w:ind w:firstLine="420"/>
      </w:pPr>
      <w:r>
        <w:rPr>
          <w:rFonts w:hint="eastAsia"/>
        </w:rPr>
        <w:t>风险分级与预警管理应基于桥梁结构健康监测数据、运行环境参数及历史事件记录，结合预测模型进行动态评估，确保风险识别的及时性和准确性。</w:t>
      </w:r>
    </w:p>
    <w:p w14:paraId="4F533229">
      <w:pPr>
        <w:pStyle w:val="105"/>
        <w:spacing w:before="120" w:after="120" w:line="360" w:lineRule="auto"/>
      </w:pPr>
      <w:r>
        <w:rPr>
          <w:rFonts w:hint="eastAsia"/>
        </w:rPr>
        <w:t>风险等级划分</w:t>
      </w:r>
    </w:p>
    <w:p w14:paraId="45B83A44">
      <w:pPr>
        <w:pStyle w:val="56"/>
        <w:spacing w:line="360" w:lineRule="auto"/>
        <w:ind w:firstLine="420"/>
      </w:pPr>
      <w:r>
        <w:rPr>
          <w:rFonts w:hint="eastAsia"/>
        </w:rPr>
        <w:t>公路桥梁风险等级一般分为四级，从低到高依次为Ⅳ级（低风险）、Ⅲ级（一般风险）、Ⅱ级（较大风险）和Ⅰ级（重大风险）。各等级的典型特征、触发条件及响应措施见表2。</w:t>
      </w:r>
    </w:p>
    <w:p w14:paraId="4DBF91FC">
      <w:pPr>
        <w:pStyle w:val="56"/>
        <w:spacing w:line="360" w:lineRule="auto"/>
        <w:ind w:firstLine="420"/>
      </w:pPr>
    </w:p>
    <w:p w14:paraId="66201EE5">
      <w:pPr>
        <w:pStyle w:val="112"/>
        <w:spacing w:before="120" w:after="120" w:line="360" w:lineRule="auto"/>
      </w:pPr>
      <w:r>
        <w:rPr>
          <w:rFonts w:hint="eastAsia"/>
        </w:rPr>
        <w:t>公路桥梁风险等级划分及响应要求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52DCD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14:paraId="1310F1D1">
            <w:pPr>
              <w:pStyle w:val="178"/>
            </w:pPr>
            <w:r>
              <w:rPr>
                <w:rFonts w:hint="eastAsia"/>
              </w:rPr>
              <w:t>风险等级</w:t>
            </w:r>
          </w:p>
        </w:tc>
        <w:tc>
          <w:tcPr>
            <w:tcW w:w="2333" w:type="dxa"/>
            <w:tcBorders>
              <w:top w:val="single" w:color="auto" w:sz="8" w:space="0"/>
              <w:bottom w:val="single" w:color="auto" w:sz="8" w:space="0"/>
            </w:tcBorders>
            <w:shd w:val="clear" w:color="auto" w:fill="auto"/>
            <w:vAlign w:val="center"/>
          </w:tcPr>
          <w:p w14:paraId="0C199B53">
            <w:pPr>
              <w:pStyle w:val="178"/>
            </w:pPr>
            <w:r>
              <w:rPr>
                <w:rFonts w:hint="eastAsia"/>
              </w:rPr>
              <w:t>典型特征</w:t>
            </w:r>
          </w:p>
        </w:tc>
        <w:tc>
          <w:tcPr>
            <w:tcW w:w="2333" w:type="dxa"/>
            <w:tcBorders>
              <w:top w:val="single" w:color="auto" w:sz="8" w:space="0"/>
              <w:bottom w:val="single" w:color="auto" w:sz="8" w:space="0"/>
            </w:tcBorders>
            <w:shd w:val="clear" w:color="auto" w:fill="auto"/>
            <w:vAlign w:val="center"/>
          </w:tcPr>
          <w:p w14:paraId="4D6872B4">
            <w:pPr>
              <w:pStyle w:val="178"/>
            </w:pPr>
            <w:r>
              <w:rPr>
                <w:rFonts w:hint="eastAsia"/>
              </w:rPr>
              <w:t>触发条件（示例）</w:t>
            </w:r>
          </w:p>
        </w:tc>
        <w:tc>
          <w:tcPr>
            <w:tcW w:w="2334" w:type="dxa"/>
            <w:tcBorders>
              <w:top w:val="single" w:color="auto" w:sz="8" w:space="0"/>
              <w:bottom w:val="single" w:color="auto" w:sz="8" w:space="0"/>
            </w:tcBorders>
            <w:shd w:val="clear" w:color="auto" w:fill="auto"/>
            <w:vAlign w:val="center"/>
          </w:tcPr>
          <w:p w14:paraId="3B053C08">
            <w:pPr>
              <w:pStyle w:val="178"/>
            </w:pPr>
            <w:r>
              <w:rPr>
                <w:rFonts w:hint="eastAsia"/>
              </w:rPr>
              <w:t>响应措施</w:t>
            </w:r>
          </w:p>
        </w:tc>
      </w:tr>
      <w:tr w14:paraId="5370F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14:paraId="7CC490F2">
            <w:pPr>
              <w:pStyle w:val="178"/>
            </w:pPr>
            <w:r>
              <w:rPr>
                <w:rFonts w:hint="eastAsia"/>
              </w:rPr>
              <w:t>Ⅰ级（重大风险）</w:t>
            </w:r>
          </w:p>
        </w:tc>
        <w:tc>
          <w:tcPr>
            <w:tcW w:w="2333" w:type="dxa"/>
            <w:tcBorders>
              <w:top w:val="single" w:color="auto" w:sz="8" w:space="0"/>
            </w:tcBorders>
            <w:shd w:val="clear" w:color="auto" w:fill="auto"/>
            <w:vAlign w:val="center"/>
          </w:tcPr>
          <w:p w14:paraId="1BF98283">
            <w:pPr>
              <w:pStyle w:val="178"/>
            </w:pPr>
            <w:r>
              <w:rPr>
                <w:rFonts w:hint="eastAsia"/>
              </w:rPr>
              <w:t>结构承载力严重不足，存在失稳或坍塌危险；对人身安全构成直接威胁</w:t>
            </w:r>
          </w:p>
        </w:tc>
        <w:tc>
          <w:tcPr>
            <w:tcW w:w="2333" w:type="dxa"/>
            <w:tcBorders>
              <w:top w:val="single" w:color="auto" w:sz="8" w:space="0"/>
            </w:tcBorders>
            <w:shd w:val="clear" w:color="auto" w:fill="auto"/>
            <w:vAlign w:val="center"/>
          </w:tcPr>
          <w:p w14:paraId="4E1092F6">
            <w:pPr>
              <w:pStyle w:val="178"/>
            </w:pPr>
            <w:r>
              <w:rPr>
                <w:rFonts w:hint="eastAsia"/>
              </w:rPr>
              <w:t>应变值超过设计极限的90%以上；主梁或支座发生严重损伤；重大自然灾害影响</w:t>
            </w:r>
          </w:p>
        </w:tc>
        <w:tc>
          <w:tcPr>
            <w:tcW w:w="2334" w:type="dxa"/>
            <w:tcBorders>
              <w:top w:val="single" w:color="auto" w:sz="8" w:space="0"/>
            </w:tcBorders>
            <w:shd w:val="clear" w:color="auto" w:fill="auto"/>
            <w:vAlign w:val="center"/>
          </w:tcPr>
          <w:p w14:paraId="6CE2CA1F">
            <w:pPr>
              <w:pStyle w:val="178"/>
            </w:pPr>
            <w:r>
              <w:rPr>
                <w:rFonts w:hint="eastAsia"/>
              </w:rPr>
              <w:t>立即封闭交通，启动Ⅰ级应急响应，调动跨部门救援力量</w:t>
            </w:r>
          </w:p>
        </w:tc>
      </w:tr>
      <w:tr w14:paraId="64C22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2EC8998D">
            <w:pPr>
              <w:pStyle w:val="178"/>
            </w:pPr>
            <w:r>
              <w:rPr>
                <w:rFonts w:hint="eastAsia"/>
              </w:rPr>
              <w:t>Ⅱ级（较大风险）</w:t>
            </w:r>
          </w:p>
        </w:tc>
        <w:tc>
          <w:tcPr>
            <w:tcW w:w="2333" w:type="dxa"/>
            <w:shd w:val="clear" w:color="auto" w:fill="auto"/>
            <w:vAlign w:val="center"/>
          </w:tcPr>
          <w:p w14:paraId="60B791A2">
            <w:pPr>
              <w:pStyle w:val="178"/>
            </w:pPr>
            <w:r>
              <w:rPr>
                <w:rFonts w:hint="eastAsia"/>
              </w:rPr>
              <w:t>结构出现明显损伤或变形，短期内可能发展为重大风险</w:t>
            </w:r>
          </w:p>
        </w:tc>
        <w:tc>
          <w:tcPr>
            <w:tcW w:w="2333" w:type="dxa"/>
            <w:shd w:val="clear" w:color="auto" w:fill="auto"/>
            <w:vAlign w:val="center"/>
          </w:tcPr>
          <w:p w14:paraId="7D5AE4C4">
            <w:pPr>
              <w:pStyle w:val="178"/>
            </w:pPr>
            <w:r>
              <w:rPr>
                <w:rFonts w:hint="eastAsia"/>
              </w:rPr>
              <w:t>应变值达到设计极限的70%~90%；出现主梁裂缝扩展趋势；重要构件防护失效</w:t>
            </w:r>
          </w:p>
        </w:tc>
        <w:tc>
          <w:tcPr>
            <w:tcW w:w="2334" w:type="dxa"/>
            <w:shd w:val="clear" w:color="auto" w:fill="auto"/>
            <w:vAlign w:val="center"/>
          </w:tcPr>
          <w:p w14:paraId="23072924">
            <w:pPr>
              <w:pStyle w:val="178"/>
            </w:pPr>
            <w:r>
              <w:rPr>
                <w:rFonts w:hint="eastAsia"/>
              </w:rPr>
              <w:t>限制交通通行，启动Ⅱ级应急响应，组织抢险与修复</w:t>
            </w:r>
          </w:p>
        </w:tc>
      </w:tr>
      <w:tr w14:paraId="39053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065EC641">
            <w:pPr>
              <w:pStyle w:val="178"/>
            </w:pPr>
            <w:r>
              <w:rPr>
                <w:rFonts w:hint="eastAsia"/>
              </w:rPr>
              <w:t>Ⅲ级（一般风险）</w:t>
            </w:r>
          </w:p>
        </w:tc>
        <w:tc>
          <w:tcPr>
            <w:tcW w:w="2333" w:type="dxa"/>
            <w:shd w:val="clear" w:color="auto" w:fill="auto"/>
            <w:vAlign w:val="center"/>
          </w:tcPr>
          <w:p w14:paraId="7CE864A1">
            <w:pPr>
              <w:pStyle w:val="178"/>
            </w:pPr>
            <w:r>
              <w:rPr>
                <w:rFonts w:hint="eastAsia"/>
              </w:rPr>
              <w:t>结构轻微损伤，需持续监测和养护</w:t>
            </w:r>
          </w:p>
        </w:tc>
        <w:tc>
          <w:tcPr>
            <w:tcW w:w="2333" w:type="dxa"/>
            <w:shd w:val="clear" w:color="auto" w:fill="auto"/>
            <w:vAlign w:val="center"/>
          </w:tcPr>
          <w:p w14:paraId="7A697D74">
            <w:pPr>
              <w:pStyle w:val="178"/>
            </w:pPr>
            <w:r>
              <w:rPr>
                <w:rFonts w:hint="eastAsia"/>
              </w:rPr>
              <w:t>应变值达到设计极限的50%~70%；构件出现轻微裂缝或锈蚀</w:t>
            </w:r>
          </w:p>
        </w:tc>
        <w:tc>
          <w:tcPr>
            <w:tcW w:w="2334" w:type="dxa"/>
            <w:shd w:val="clear" w:color="auto" w:fill="auto"/>
            <w:vAlign w:val="center"/>
          </w:tcPr>
          <w:p w14:paraId="3BFECCD8">
            <w:pPr>
              <w:pStyle w:val="178"/>
            </w:pPr>
            <w:r>
              <w:rPr>
                <w:rFonts w:hint="eastAsia"/>
              </w:rPr>
              <w:t>加密监测频率，实施养护与加固措施</w:t>
            </w:r>
          </w:p>
        </w:tc>
      </w:tr>
      <w:tr w14:paraId="37A9A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192D52A7">
            <w:pPr>
              <w:pStyle w:val="178"/>
            </w:pPr>
            <w:r>
              <w:rPr>
                <w:rFonts w:hint="eastAsia"/>
              </w:rPr>
              <w:t>Ⅳ级（低风险）</w:t>
            </w:r>
          </w:p>
        </w:tc>
        <w:tc>
          <w:tcPr>
            <w:tcW w:w="2333" w:type="dxa"/>
            <w:shd w:val="clear" w:color="auto" w:fill="auto"/>
            <w:vAlign w:val="center"/>
          </w:tcPr>
          <w:p w14:paraId="7AC8A243">
            <w:pPr>
              <w:pStyle w:val="178"/>
            </w:pPr>
            <w:r>
              <w:rPr>
                <w:rFonts w:hint="eastAsia"/>
              </w:rPr>
              <w:t>结构状态正常，无明显安全隐患</w:t>
            </w:r>
          </w:p>
        </w:tc>
        <w:tc>
          <w:tcPr>
            <w:tcW w:w="2333" w:type="dxa"/>
            <w:shd w:val="clear" w:color="auto" w:fill="auto"/>
            <w:vAlign w:val="center"/>
          </w:tcPr>
          <w:p w14:paraId="7E05DD1F">
            <w:pPr>
              <w:pStyle w:val="178"/>
            </w:pPr>
            <w:r>
              <w:rPr>
                <w:rFonts w:hint="eastAsia"/>
              </w:rPr>
              <w:t>各监测参数处于正常范围</w:t>
            </w:r>
          </w:p>
        </w:tc>
        <w:tc>
          <w:tcPr>
            <w:tcW w:w="2334" w:type="dxa"/>
            <w:shd w:val="clear" w:color="auto" w:fill="auto"/>
            <w:vAlign w:val="center"/>
          </w:tcPr>
          <w:p w14:paraId="4200E6F9">
            <w:pPr>
              <w:pStyle w:val="178"/>
            </w:pPr>
            <w:r>
              <w:rPr>
                <w:rFonts w:hint="eastAsia"/>
              </w:rPr>
              <w:t>按常规周期进行监测与养护</w:t>
            </w:r>
          </w:p>
        </w:tc>
      </w:tr>
    </w:tbl>
    <w:p w14:paraId="74D1D207">
      <w:pPr>
        <w:pStyle w:val="105"/>
        <w:spacing w:before="120" w:after="120" w:line="360" w:lineRule="auto"/>
      </w:pPr>
      <w:r>
        <w:rPr>
          <w:rFonts w:hint="eastAsia"/>
        </w:rPr>
        <w:t>预警分级与发布</w:t>
      </w:r>
    </w:p>
    <w:p w14:paraId="5338761E">
      <w:pPr>
        <w:pStyle w:val="165"/>
        <w:spacing w:line="360" w:lineRule="auto"/>
      </w:pPr>
      <w:r>
        <w:rPr>
          <w:rFonts w:hint="eastAsia"/>
        </w:rPr>
        <w:t>预警级别应与风险等级对应，Ⅰ级风险对应红色预警，Ⅱ级风险对应橙色预警，Ⅲ级风险对应黄色预警，Ⅳ级风险对应蓝色预警。</w:t>
      </w:r>
    </w:p>
    <w:p w14:paraId="13CDA446">
      <w:pPr>
        <w:pStyle w:val="165"/>
        <w:spacing w:line="360" w:lineRule="auto"/>
      </w:pPr>
      <w:r>
        <w:rPr>
          <w:rFonts w:hint="eastAsia"/>
        </w:rPr>
        <w:t>预警发布应通过管理平台、移动终端、短信、邮件等多渠道通知相关责任人和单位。</w:t>
      </w:r>
    </w:p>
    <w:p w14:paraId="21B84241">
      <w:pPr>
        <w:pStyle w:val="165"/>
        <w:spacing w:line="360" w:lineRule="auto"/>
      </w:pPr>
      <w:r>
        <w:rPr>
          <w:rFonts w:hint="eastAsia"/>
        </w:rPr>
        <w:t>预警信息应包括风险等级、触发原因、涉及桥梁、建议措施及联系人信息。</w:t>
      </w:r>
    </w:p>
    <w:p w14:paraId="07718262">
      <w:pPr>
        <w:pStyle w:val="105"/>
        <w:spacing w:before="120" w:after="120" w:line="360" w:lineRule="auto"/>
      </w:pPr>
      <w:r>
        <w:rPr>
          <w:rFonts w:hint="eastAsia"/>
        </w:rPr>
        <w:t>动态调整与升级</w:t>
      </w:r>
    </w:p>
    <w:p w14:paraId="2A65DC11">
      <w:pPr>
        <w:pStyle w:val="56"/>
        <w:spacing w:line="360" w:lineRule="auto"/>
        <w:ind w:firstLine="420"/>
      </w:pPr>
      <w:r>
        <w:rPr>
          <w:rFonts w:hint="eastAsia"/>
        </w:rPr>
        <w:t>系统应根据监测数据变化、气象信息和外部事件实时调整风险等级。</w:t>
      </w:r>
    </w:p>
    <w:p w14:paraId="556F4BD4">
      <w:pPr>
        <w:pStyle w:val="56"/>
        <w:spacing w:line="360" w:lineRule="auto"/>
        <w:ind w:firstLine="420"/>
      </w:pPr>
      <w:r>
        <w:rPr>
          <w:rFonts w:hint="eastAsia"/>
        </w:rPr>
        <w:t>在突发灾害或重大事件期间，应提前提升风险等级并预置应急措施。</w:t>
      </w:r>
    </w:p>
    <w:p w14:paraId="6E83ABEA">
      <w:pPr>
        <w:pStyle w:val="56"/>
        <w:spacing w:line="360" w:lineRule="auto"/>
        <w:ind w:firstLine="420"/>
      </w:pPr>
      <w:r>
        <w:rPr>
          <w:rFonts w:hint="eastAsia"/>
        </w:rPr>
        <w:t>风险解除后，应进行技术复核并恢复到常规监测状态。</w:t>
      </w:r>
    </w:p>
    <w:p w14:paraId="4680F6B2">
      <w:pPr>
        <w:pStyle w:val="104"/>
        <w:spacing w:before="240" w:after="240" w:line="360" w:lineRule="auto"/>
      </w:pPr>
      <w:bookmarkStart w:id="54" w:name="_Toc205565000"/>
      <w:r>
        <w:rPr>
          <w:rFonts w:hint="eastAsia"/>
        </w:rPr>
        <w:t>应急响应与处置流程</w:t>
      </w:r>
      <w:bookmarkEnd w:id="54"/>
    </w:p>
    <w:p w14:paraId="73D13CEB">
      <w:pPr>
        <w:pStyle w:val="105"/>
        <w:spacing w:before="120" w:after="120" w:line="360" w:lineRule="auto"/>
      </w:pPr>
      <w:r>
        <w:rPr>
          <w:rFonts w:hint="eastAsia"/>
        </w:rPr>
        <w:t>总体要求</w:t>
      </w:r>
    </w:p>
    <w:p w14:paraId="3D1AEC1F">
      <w:pPr>
        <w:pStyle w:val="56"/>
        <w:spacing w:line="360" w:lineRule="auto"/>
        <w:ind w:firstLine="420"/>
      </w:pPr>
      <w:r>
        <w:rPr>
          <w:rFonts w:hint="eastAsia"/>
        </w:rPr>
        <w:t>应急响应与处置应与风险分级和预警等级紧密衔接，按照“分级响应、快速决策、协同处置、信息畅通”的原则开展，确保在突发事件发生后能够第一时间控制事态、减少损失。</w:t>
      </w:r>
    </w:p>
    <w:p w14:paraId="77492A41">
      <w:pPr>
        <w:pStyle w:val="105"/>
        <w:spacing w:before="120" w:after="120" w:line="360" w:lineRule="auto"/>
      </w:pPr>
      <w:r>
        <w:rPr>
          <w:rFonts w:hint="eastAsia"/>
        </w:rPr>
        <w:t>响应级别与启动条件</w:t>
      </w:r>
    </w:p>
    <w:p w14:paraId="4CE6E9C9">
      <w:pPr>
        <w:pStyle w:val="56"/>
        <w:spacing w:line="360" w:lineRule="auto"/>
        <w:ind w:firstLine="420"/>
      </w:pPr>
      <w:r>
        <w:rPr>
          <w:rFonts w:hint="eastAsia"/>
        </w:rPr>
        <w:t>不同级别的应急响应对应不同的启动条件、处置步骤和责任分工，具体要求见表3。</w:t>
      </w:r>
    </w:p>
    <w:p w14:paraId="0F24F8FE">
      <w:pPr>
        <w:pStyle w:val="112"/>
        <w:spacing w:before="120" w:after="120" w:line="360" w:lineRule="auto"/>
      </w:pPr>
      <w:r>
        <w:rPr>
          <w:rFonts w:hint="eastAsia"/>
        </w:rPr>
        <w:t>应急响应级别、启动条件与处置步骤</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19F72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14:paraId="0E5993F5">
            <w:pPr>
              <w:pStyle w:val="178"/>
            </w:pPr>
            <w:r>
              <w:rPr>
                <w:rFonts w:hint="eastAsia"/>
              </w:rPr>
              <w:t>响应级别</w:t>
            </w:r>
          </w:p>
        </w:tc>
        <w:tc>
          <w:tcPr>
            <w:tcW w:w="2333" w:type="dxa"/>
            <w:tcBorders>
              <w:top w:val="single" w:color="auto" w:sz="8" w:space="0"/>
              <w:bottom w:val="single" w:color="auto" w:sz="8" w:space="0"/>
            </w:tcBorders>
            <w:shd w:val="clear" w:color="auto" w:fill="auto"/>
            <w:vAlign w:val="center"/>
          </w:tcPr>
          <w:p w14:paraId="1D8DDA06">
            <w:pPr>
              <w:pStyle w:val="178"/>
            </w:pPr>
            <w:r>
              <w:rPr>
                <w:rFonts w:hint="eastAsia"/>
              </w:rPr>
              <w:t>启动条件</w:t>
            </w:r>
          </w:p>
        </w:tc>
        <w:tc>
          <w:tcPr>
            <w:tcW w:w="2333" w:type="dxa"/>
            <w:tcBorders>
              <w:top w:val="single" w:color="auto" w:sz="8" w:space="0"/>
              <w:bottom w:val="single" w:color="auto" w:sz="8" w:space="0"/>
            </w:tcBorders>
            <w:shd w:val="clear" w:color="auto" w:fill="auto"/>
            <w:vAlign w:val="center"/>
          </w:tcPr>
          <w:p w14:paraId="65F1DE9C">
            <w:pPr>
              <w:pStyle w:val="178"/>
            </w:pPr>
            <w:r>
              <w:rPr>
                <w:rFonts w:hint="eastAsia"/>
              </w:rPr>
              <w:t>主要处置步骤</w:t>
            </w:r>
          </w:p>
        </w:tc>
        <w:tc>
          <w:tcPr>
            <w:tcW w:w="2334" w:type="dxa"/>
            <w:tcBorders>
              <w:top w:val="single" w:color="auto" w:sz="8" w:space="0"/>
              <w:bottom w:val="single" w:color="auto" w:sz="8" w:space="0"/>
            </w:tcBorders>
            <w:shd w:val="clear" w:color="auto" w:fill="auto"/>
            <w:vAlign w:val="center"/>
          </w:tcPr>
          <w:p w14:paraId="0AF5FCFD">
            <w:pPr>
              <w:pStyle w:val="178"/>
            </w:pPr>
            <w:r>
              <w:rPr>
                <w:rFonts w:hint="eastAsia"/>
              </w:rPr>
              <w:t>责任单位</w:t>
            </w:r>
          </w:p>
        </w:tc>
      </w:tr>
      <w:tr w14:paraId="3F1C9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14:paraId="38E4B92F">
            <w:pPr>
              <w:pStyle w:val="178"/>
            </w:pPr>
            <w:r>
              <w:rPr>
                <w:rFonts w:hint="eastAsia"/>
              </w:rPr>
              <w:t>Ⅰ级（重大应急响应）</w:t>
            </w:r>
          </w:p>
        </w:tc>
        <w:tc>
          <w:tcPr>
            <w:tcW w:w="2333" w:type="dxa"/>
            <w:tcBorders>
              <w:top w:val="single" w:color="auto" w:sz="8" w:space="0"/>
            </w:tcBorders>
            <w:shd w:val="clear" w:color="auto" w:fill="auto"/>
            <w:vAlign w:val="center"/>
          </w:tcPr>
          <w:p w14:paraId="39A10336">
            <w:pPr>
              <w:pStyle w:val="178"/>
            </w:pPr>
            <w:r>
              <w:rPr>
                <w:rFonts w:hint="eastAsia"/>
              </w:rPr>
              <w:t>发生Ⅰ级重大风险事件，如结构失稳、坍塌、重大交通事故</w:t>
            </w:r>
          </w:p>
        </w:tc>
        <w:tc>
          <w:tcPr>
            <w:tcW w:w="2333" w:type="dxa"/>
            <w:tcBorders>
              <w:top w:val="single" w:color="auto" w:sz="8" w:space="0"/>
            </w:tcBorders>
            <w:shd w:val="clear" w:color="auto" w:fill="auto"/>
            <w:vAlign w:val="center"/>
          </w:tcPr>
          <w:p w14:paraId="7104FEDD">
            <w:pPr>
              <w:pStyle w:val="178"/>
            </w:pPr>
            <w:r>
              <w:rPr>
                <w:rFonts w:hint="eastAsia"/>
              </w:rPr>
              <w:t>立即封闭桥梁交通；启动跨部门联合指挥；组织人员疏散与救援；实施应急加固或拆除</w:t>
            </w:r>
          </w:p>
        </w:tc>
        <w:tc>
          <w:tcPr>
            <w:tcW w:w="2334" w:type="dxa"/>
            <w:tcBorders>
              <w:top w:val="single" w:color="auto" w:sz="8" w:space="0"/>
            </w:tcBorders>
            <w:shd w:val="clear" w:color="auto" w:fill="auto"/>
            <w:vAlign w:val="center"/>
          </w:tcPr>
          <w:p w14:paraId="67B252BA">
            <w:pPr>
              <w:pStyle w:val="178"/>
            </w:pPr>
            <w:r>
              <w:rPr>
                <w:rFonts w:hint="eastAsia"/>
              </w:rPr>
              <w:t>公路管理机构、应急管理部门、公安交警、施工救援单位</w:t>
            </w:r>
          </w:p>
        </w:tc>
      </w:tr>
      <w:tr w14:paraId="2D6C0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482E73AC">
            <w:pPr>
              <w:pStyle w:val="178"/>
            </w:pPr>
            <w:r>
              <w:rPr>
                <w:rFonts w:hint="eastAsia"/>
              </w:rPr>
              <w:t>Ⅱ级（较大应急响应）</w:t>
            </w:r>
          </w:p>
        </w:tc>
        <w:tc>
          <w:tcPr>
            <w:tcW w:w="2333" w:type="dxa"/>
            <w:shd w:val="clear" w:color="auto" w:fill="auto"/>
            <w:vAlign w:val="center"/>
          </w:tcPr>
          <w:p w14:paraId="39186DC5">
            <w:pPr>
              <w:pStyle w:val="178"/>
            </w:pPr>
            <w:r>
              <w:rPr>
                <w:rFonts w:hint="eastAsia"/>
              </w:rPr>
              <w:t>发生Ⅱ级较大风险事件，如关键构件严重损伤、灾害影响结构稳定</w:t>
            </w:r>
          </w:p>
        </w:tc>
        <w:tc>
          <w:tcPr>
            <w:tcW w:w="2333" w:type="dxa"/>
            <w:shd w:val="clear" w:color="auto" w:fill="auto"/>
            <w:vAlign w:val="center"/>
          </w:tcPr>
          <w:p w14:paraId="7937E1B3">
            <w:pPr>
              <w:pStyle w:val="178"/>
            </w:pPr>
            <w:r>
              <w:rPr>
                <w:rFonts w:hint="eastAsia"/>
              </w:rPr>
              <w:t>限制交通通行；组织应急抢修；加强监测频率；协调物资和人员支援</w:t>
            </w:r>
          </w:p>
        </w:tc>
        <w:tc>
          <w:tcPr>
            <w:tcW w:w="2334" w:type="dxa"/>
            <w:shd w:val="clear" w:color="auto" w:fill="auto"/>
            <w:vAlign w:val="center"/>
          </w:tcPr>
          <w:p w14:paraId="6FDA86A3">
            <w:pPr>
              <w:pStyle w:val="178"/>
            </w:pPr>
            <w:r>
              <w:rPr>
                <w:rFonts w:hint="eastAsia"/>
              </w:rPr>
              <w:t>公路管理机构、应急管理部门、施工救援单位</w:t>
            </w:r>
          </w:p>
        </w:tc>
      </w:tr>
    </w:tbl>
    <w:p w14:paraId="060DAEE3">
      <w:pPr>
        <w:pStyle w:val="56"/>
        <w:spacing w:before="120" w:beforeLines="50" w:after="120" w:afterLines="50"/>
        <w:ind w:firstLine="0" w:firstLineChars="0"/>
        <w:jc w:val="center"/>
        <w:rPr>
          <w:rFonts w:ascii="黑体" w:hAnsi="黑体" w:eastAsia="黑体"/>
        </w:rPr>
      </w:pPr>
      <w:r>
        <w:rPr>
          <w:rFonts w:hint="eastAsia" w:ascii="黑体" w:hAnsi="黑体" w:eastAsia="黑体"/>
        </w:rPr>
        <w:t>表3  应急响应级别、启动条件与处置步骤</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7486B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14:paraId="55FAE4E0">
            <w:pPr>
              <w:pStyle w:val="178"/>
            </w:pPr>
            <w:r>
              <w:rPr>
                <w:rFonts w:hint="eastAsia"/>
              </w:rPr>
              <w:t>响应级别</w:t>
            </w:r>
          </w:p>
        </w:tc>
        <w:tc>
          <w:tcPr>
            <w:tcW w:w="2333" w:type="dxa"/>
            <w:tcBorders>
              <w:top w:val="single" w:color="auto" w:sz="8" w:space="0"/>
              <w:bottom w:val="single" w:color="auto" w:sz="8" w:space="0"/>
            </w:tcBorders>
            <w:shd w:val="clear" w:color="auto" w:fill="auto"/>
            <w:vAlign w:val="center"/>
          </w:tcPr>
          <w:p w14:paraId="152B37E0">
            <w:pPr>
              <w:pStyle w:val="178"/>
            </w:pPr>
            <w:r>
              <w:rPr>
                <w:rFonts w:hint="eastAsia"/>
              </w:rPr>
              <w:t>启动条件</w:t>
            </w:r>
          </w:p>
        </w:tc>
        <w:tc>
          <w:tcPr>
            <w:tcW w:w="2333" w:type="dxa"/>
            <w:tcBorders>
              <w:top w:val="single" w:color="auto" w:sz="8" w:space="0"/>
              <w:bottom w:val="single" w:color="auto" w:sz="8" w:space="0"/>
            </w:tcBorders>
            <w:shd w:val="clear" w:color="auto" w:fill="auto"/>
            <w:vAlign w:val="center"/>
          </w:tcPr>
          <w:p w14:paraId="360B3F54">
            <w:pPr>
              <w:pStyle w:val="178"/>
            </w:pPr>
            <w:r>
              <w:rPr>
                <w:rFonts w:hint="eastAsia"/>
              </w:rPr>
              <w:t>主要处置步骤</w:t>
            </w:r>
          </w:p>
        </w:tc>
        <w:tc>
          <w:tcPr>
            <w:tcW w:w="2334" w:type="dxa"/>
            <w:tcBorders>
              <w:top w:val="single" w:color="auto" w:sz="8" w:space="0"/>
              <w:bottom w:val="single" w:color="auto" w:sz="8" w:space="0"/>
            </w:tcBorders>
            <w:shd w:val="clear" w:color="auto" w:fill="auto"/>
            <w:vAlign w:val="center"/>
          </w:tcPr>
          <w:p w14:paraId="688940C5">
            <w:pPr>
              <w:pStyle w:val="178"/>
            </w:pPr>
            <w:r>
              <w:rPr>
                <w:rFonts w:hint="eastAsia"/>
              </w:rPr>
              <w:t>责任单位</w:t>
            </w:r>
          </w:p>
        </w:tc>
      </w:tr>
      <w:tr w14:paraId="4258E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2F8157FB">
            <w:pPr>
              <w:pStyle w:val="178"/>
            </w:pPr>
            <w:r>
              <w:rPr>
                <w:rFonts w:hint="eastAsia"/>
              </w:rPr>
              <w:t>Ⅲ级（一般应急响应）</w:t>
            </w:r>
          </w:p>
        </w:tc>
        <w:tc>
          <w:tcPr>
            <w:tcW w:w="2333" w:type="dxa"/>
            <w:shd w:val="clear" w:color="auto" w:fill="auto"/>
            <w:vAlign w:val="center"/>
          </w:tcPr>
          <w:p w14:paraId="1018F448">
            <w:pPr>
              <w:pStyle w:val="178"/>
            </w:pPr>
            <w:r>
              <w:rPr>
                <w:rFonts w:hint="eastAsia"/>
              </w:rPr>
              <w:t>发生Ⅲ级一般风险事件，如轻微结构损伤、交通安全隐患</w:t>
            </w:r>
          </w:p>
        </w:tc>
        <w:tc>
          <w:tcPr>
            <w:tcW w:w="2333" w:type="dxa"/>
            <w:shd w:val="clear" w:color="auto" w:fill="auto"/>
            <w:vAlign w:val="center"/>
          </w:tcPr>
          <w:p w14:paraId="28601532">
            <w:pPr>
              <w:pStyle w:val="178"/>
            </w:pPr>
            <w:r>
              <w:rPr>
                <w:rFonts w:hint="eastAsia"/>
              </w:rPr>
              <w:t>现场临时处置；安排计划性维修；加强日常巡查</w:t>
            </w:r>
          </w:p>
        </w:tc>
        <w:tc>
          <w:tcPr>
            <w:tcW w:w="2334" w:type="dxa"/>
            <w:shd w:val="clear" w:color="auto" w:fill="auto"/>
            <w:vAlign w:val="center"/>
          </w:tcPr>
          <w:p w14:paraId="0919EAFF">
            <w:pPr>
              <w:pStyle w:val="178"/>
            </w:pPr>
            <w:r>
              <w:rPr>
                <w:rFonts w:hint="eastAsia"/>
              </w:rPr>
              <w:t>公路管理机构、养护单位</w:t>
            </w:r>
          </w:p>
        </w:tc>
      </w:tr>
      <w:tr w14:paraId="6B09C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675E721A">
            <w:pPr>
              <w:pStyle w:val="178"/>
            </w:pPr>
            <w:r>
              <w:rPr>
                <w:rFonts w:hint="eastAsia"/>
              </w:rPr>
              <w:t>Ⅳ级（低级应急响应）</w:t>
            </w:r>
          </w:p>
        </w:tc>
        <w:tc>
          <w:tcPr>
            <w:tcW w:w="2333" w:type="dxa"/>
            <w:shd w:val="clear" w:color="auto" w:fill="auto"/>
            <w:vAlign w:val="center"/>
          </w:tcPr>
          <w:p w14:paraId="2D4C4AB4">
            <w:pPr>
              <w:pStyle w:val="178"/>
            </w:pPr>
            <w:r>
              <w:rPr>
                <w:rFonts w:hint="eastAsia"/>
              </w:rPr>
              <w:t>发生Ⅳ级低风险事件，如监测数据轻微波动</w:t>
            </w:r>
          </w:p>
        </w:tc>
        <w:tc>
          <w:tcPr>
            <w:tcW w:w="2333" w:type="dxa"/>
            <w:shd w:val="clear" w:color="auto" w:fill="auto"/>
            <w:vAlign w:val="center"/>
          </w:tcPr>
          <w:p w14:paraId="62DAAD83">
            <w:pPr>
              <w:pStyle w:val="178"/>
            </w:pPr>
            <w:r>
              <w:rPr>
                <w:rFonts w:hint="eastAsia"/>
              </w:rPr>
              <w:t>按常规养护计划处置；记录并跟踪</w:t>
            </w:r>
          </w:p>
        </w:tc>
        <w:tc>
          <w:tcPr>
            <w:tcW w:w="2334" w:type="dxa"/>
            <w:shd w:val="clear" w:color="auto" w:fill="auto"/>
            <w:vAlign w:val="center"/>
          </w:tcPr>
          <w:p w14:paraId="7A3F576C">
            <w:pPr>
              <w:pStyle w:val="178"/>
            </w:pPr>
            <w:r>
              <w:rPr>
                <w:rFonts w:hint="eastAsia"/>
              </w:rPr>
              <w:t>公路管理机构、养护单</w:t>
            </w:r>
          </w:p>
        </w:tc>
      </w:tr>
    </w:tbl>
    <w:p w14:paraId="16312F3B">
      <w:pPr>
        <w:pStyle w:val="105"/>
        <w:spacing w:before="120" w:after="120" w:line="360" w:lineRule="auto"/>
      </w:pPr>
      <w:r>
        <w:rPr>
          <w:rFonts w:hint="eastAsia"/>
        </w:rPr>
        <w:t>处置流程</w:t>
      </w:r>
    </w:p>
    <w:p w14:paraId="77EDB549">
      <w:pPr>
        <w:pStyle w:val="56"/>
        <w:spacing w:line="360" w:lineRule="auto"/>
        <w:ind w:firstLine="420"/>
      </w:pPr>
      <w:r>
        <w:rPr>
          <w:rFonts w:hint="eastAsia"/>
        </w:rPr>
        <w:t>应急处置的标准流程包括：</w:t>
      </w:r>
    </w:p>
    <w:p w14:paraId="30A29BDA">
      <w:pPr>
        <w:pStyle w:val="174"/>
        <w:spacing w:line="360" w:lineRule="auto"/>
      </w:pPr>
      <w:r>
        <w:rPr>
          <w:rFonts w:hint="eastAsia"/>
        </w:rPr>
        <w:t>事件发现与报告：系统自动报警或人员发现异常后立即上报至桥梁管理平台；</w:t>
      </w:r>
    </w:p>
    <w:p w14:paraId="1E1127B4">
      <w:pPr>
        <w:pStyle w:val="174"/>
        <w:spacing w:line="360" w:lineRule="auto"/>
      </w:pPr>
      <w:r>
        <w:rPr>
          <w:rFonts w:hint="eastAsia"/>
        </w:rPr>
        <w:t>初步研判：管理人员根据监测数据和现场情况，判断风险等级与响应级别；</w:t>
      </w:r>
    </w:p>
    <w:p w14:paraId="3A39F322">
      <w:pPr>
        <w:pStyle w:val="174"/>
        <w:spacing w:line="360" w:lineRule="auto"/>
      </w:pPr>
      <w:r>
        <w:rPr>
          <w:rFonts w:hint="eastAsia"/>
        </w:rPr>
        <w:t>启动响应：按照相应响应级别启动应急预案，并通知相关单位到场；</w:t>
      </w:r>
    </w:p>
    <w:p w14:paraId="64808018">
      <w:pPr>
        <w:pStyle w:val="174"/>
        <w:spacing w:line="360" w:lineRule="auto"/>
      </w:pPr>
      <w:r>
        <w:rPr>
          <w:rFonts w:hint="eastAsia"/>
        </w:rPr>
        <w:t>现场处置：采取封闭、限行、抢修、救援等措施；</w:t>
      </w:r>
    </w:p>
    <w:p w14:paraId="2DB32CD7">
      <w:pPr>
        <w:pStyle w:val="174"/>
        <w:spacing w:line="360" w:lineRule="auto"/>
      </w:pPr>
      <w:r>
        <w:rPr>
          <w:rFonts w:hint="eastAsia"/>
        </w:rPr>
        <w:t>信息通报：向上级主管部门和应急管理部门报告事件进展；</w:t>
      </w:r>
    </w:p>
    <w:p w14:paraId="255FEFB2">
      <w:pPr>
        <w:pStyle w:val="174"/>
        <w:spacing w:line="360" w:lineRule="auto"/>
      </w:pPr>
      <w:r>
        <w:rPr>
          <w:rFonts w:hint="eastAsia"/>
        </w:rPr>
        <w:t>事后评估与总结：事件结束后开展技术评估，总结经验教训，修订应急预案。</w:t>
      </w:r>
    </w:p>
    <w:p w14:paraId="28C506C8">
      <w:pPr>
        <w:pStyle w:val="104"/>
        <w:spacing w:before="240" w:after="240" w:line="360" w:lineRule="auto"/>
      </w:pPr>
      <w:bookmarkStart w:id="55" w:name="_Toc205565001"/>
      <w:r>
        <w:rPr>
          <w:rFonts w:hint="eastAsia"/>
        </w:rPr>
        <w:t>系统运行维护与持续改进</w:t>
      </w:r>
      <w:bookmarkEnd w:id="55"/>
    </w:p>
    <w:p w14:paraId="44001C14">
      <w:pPr>
        <w:pStyle w:val="105"/>
        <w:spacing w:before="120" w:after="120" w:line="360" w:lineRule="auto"/>
      </w:pPr>
      <w:r>
        <w:rPr>
          <w:rFonts w:hint="eastAsia"/>
        </w:rPr>
        <w:t>总体要求</w:t>
      </w:r>
    </w:p>
    <w:p w14:paraId="53421690">
      <w:pPr>
        <w:pStyle w:val="56"/>
        <w:spacing w:line="360" w:lineRule="auto"/>
        <w:ind w:firstLine="420"/>
      </w:pPr>
      <w:r>
        <w:rPr>
          <w:rFonts w:hint="eastAsia"/>
        </w:rPr>
        <w:t>公路桥梁智能预警与应急响应系统应建立长期运行维护机制，确保监测数据的准确性、系统功能的稳定性和应急处置能力的持续有效。运行维护应涵盖硬件设备、软件平台、通信链路、数据存储及安全防护等方面。</w:t>
      </w:r>
    </w:p>
    <w:p w14:paraId="26AADE99">
      <w:pPr>
        <w:pStyle w:val="105"/>
        <w:spacing w:before="120" w:after="120" w:line="360" w:lineRule="auto"/>
      </w:pPr>
      <w:r>
        <w:rPr>
          <w:rFonts w:hint="eastAsia"/>
        </w:rPr>
        <w:t>维护计划与内容</w:t>
      </w:r>
    </w:p>
    <w:p w14:paraId="042A6C60">
      <w:pPr>
        <w:pStyle w:val="56"/>
        <w:spacing w:line="360" w:lineRule="auto"/>
        <w:ind w:firstLine="420"/>
      </w:pPr>
      <w:r>
        <w:rPr>
          <w:rFonts w:hint="eastAsia"/>
        </w:rPr>
        <w:t>系统运行维护工作应制定年度和季度计划，明确维护项目、频率和责任主体。常规维护内容见表4。</w:t>
      </w:r>
    </w:p>
    <w:p w14:paraId="25A76834">
      <w:pPr>
        <w:pStyle w:val="112"/>
        <w:spacing w:before="120" w:after="120" w:line="360" w:lineRule="auto"/>
      </w:pPr>
      <w:r>
        <w:rPr>
          <w:rFonts w:hint="eastAsia"/>
        </w:rPr>
        <w:t>系统运行维护项目、频率及责任主体</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6E13F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14:paraId="419E9EA0">
            <w:pPr>
              <w:pStyle w:val="178"/>
            </w:pPr>
            <w:r>
              <w:rPr>
                <w:rFonts w:hint="eastAsia"/>
              </w:rPr>
              <w:t>维护项目</w:t>
            </w:r>
          </w:p>
        </w:tc>
        <w:tc>
          <w:tcPr>
            <w:tcW w:w="2333" w:type="dxa"/>
            <w:tcBorders>
              <w:top w:val="single" w:color="auto" w:sz="8" w:space="0"/>
              <w:bottom w:val="single" w:color="auto" w:sz="8" w:space="0"/>
            </w:tcBorders>
            <w:shd w:val="clear" w:color="auto" w:fill="auto"/>
          </w:tcPr>
          <w:p w14:paraId="7D3824D5">
            <w:pPr>
              <w:pStyle w:val="178"/>
            </w:pPr>
            <w:r>
              <w:rPr>
                <w:rFonts w:hint="eastAsia"/>
              </w:rPr>
              <w:t>主要内容</w:t>
            </w:r>
          </w:p>
        </w:tc>
        <w:tc>
          <w:tcPr>
            <w:tcW w:w="2333" w:type="dxa"/>
            <w:tcBorders>
              <w:top w:val="single" w:color="auto" w:sz="8" w:space="0"/>
              <w:bottom w:val="single" w:color="auto" w:sz="8" w:space="0"/>
            </w:tcBorders>
            <w:shd w:val="clear" w:color="auto" w:fill="auto"/>
          </w:tcPr>
          <w:p w14:paraId="6DE9EEDF">
            <w:pPr>
              <w:pStyle w:val="178"/>
            </w:pPr>
            <w:r>
              <w:rPr>
                <w:rFonts w:hint="eastAsia"/>
              </w:rPr>
              <w:t>维护频率</w:t>
            </w:r>
          </w:p>
        </w:tc>
        <w:tc>
          <w:tcPr>
            <w:tcW w:w="2334" w:type="dxa"/>
            <w:tcBorders>
              <w:top w:val="single" w:color="auto" w:sz="8" w:space="0"/>
              <w:bottom w:val="single" w:color="auto" w:sz="8" w:space="0"/>
            </w:tcBorders>
            <w:shd w:val="clear" w:color="auto" w:fill="auto"/>
          </w:tcPr>
          <w:p w14:paraId="427DC5A4">
            <w:pPr>
              <w:pStyle w:val="178"/>
            </w:pPr>
            <w:r>
              <w:rPr>
                <w:rFonts w:hint="eastAsia"/>
              </w:rPr>
              <w:t>责任主体</w:t>
            </w:r>
          </w:p>
        </w:tc>
      </w:tr>
      <w:tr w14:paraId="27D86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14:paraId="0FC3A42B">
            <w:pPr>
              <w:pStyle w:val="178"/>
            </w:pPr>
            <w:r>
              <w:rPr>
                <w:rFonts w:hint="eastAsia"/>
              </w:rPr>
              <w:t>传感器与前端设备</w:t>
            </w:r>
          </w:p>
        </w:tc>
        <w:tc>
          <w:tcPr>
            <w:tcW w:w="2333" w:type="dxa"/>
            <w:tcBorders>
              <w:top w:val="single" w:color="auto" w:sz="8" w:space="0"/>
            </w:tcBorders>
            <w:shd w:val="clear" w:color="auto" w:fill="auto"/>
            <w:vAlign w:val="center"/>
          </w:tcPr>
          <w:p w14:paraId="5F7DB918">
            <w:pPr>
              <w:pStyle w:val="178"/>
            </w:pPr>
            <w:r>
              <w:rPr>
                <w:rFonts w:hint="eastAsia"/>
              </w:rPr>
              <w:t>检查安装牢固性、清洁传感器表面、校准精度、检测供电状态</w:t>
            </w:r>
          </w:p>
        </w:tc>
        <w:tc>
          <w:tcPr>
            <w:tcW w:w="2333" w:type="dxa"/>
            <w:tcBorders>
              <w:top w:val="single" w:color="auto" w:sz="8" w:space="0"/>
            </w:tcBorders>
            <w:shd w:val="clear" w:color="auto" w:fill="auto"/>
            <w:vAlign w:val="center"/>
          </w:tcPr>
          <w:p w14:paraId="7532C5C0">
            <w:pPr>
              <w:pStyle w:val="178"/>
            </w:pPr>
            <w:r>
              <w:rPr>
                <w:rFonts w:hint="eastAsia"/>
              </w:rPr>
              <w:t>每季度1次或遇恶劣天气后</w:t>
            </w:r>
          </w:p>
        </w:tc>
        <w:tc>
          <w:tcPr>
            <w:tcW w:w="2334" w:type="dxa"/>
            <w:tcBorders>
              <w:top w:val="single" w:color="auto" w:sz="8" w:space="0"/>
            </w:tcBorders>
            <w:shd w:val="clear" w:color="auto" w:fill="auto"/>
            <w:vAlign w:val="center"/>
          </w:tcPr>
          <w:p w14:paraId="37D95681">
            <w:pPr>
              <w:pStyle w:val="178"/>
            </w:pPr>
            <w:r>
              <w:rPr>
                <w:rFonts w:hint="eastAsia"/>
              </w:rPr>
              <w:t>设备维护单位</w:t>
            </w:r>
          </w:p>
        </w:tc>
      </w:tr>
      <w:tr w14:paraId="39608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33145AFB">
            <w:pPr>
              <w:pStyle w:val="178"/>
            </w:pPr>
            <w:r>
              <w:rPr>
                <w:rFonts w:hint="eastAsia"/>
              </w:rPr>
              <w:t>数据传输链路</w:t>
            </w:r>
          </w:p>
        </w:tc>
        <w:tc>
          <w:tcPr>
            <w:tcW w:w="2333" w:type="dxa"/>
            <w:shd w:val="clear" w:color="auto" w:fill="auto"/>
            <w:vAlign w:val="center"/>
          </w:tcPr>
          <w:p w14:paraId="2EF3170B">
            <w:pPr>
              <w:pStyle w:val="178"/>
            </w:pPr>
            <w:r>
              <w:rPr>
                <w:rFonts w:hint="eastAsia"/>
              </w:rPr>
              <w:t>检测通信质量、修复故障链路、更新通信模块固件</w:t>
            </w:r>
          </w:p>
        </w:tc>
        <w:tc>
          <w:tcPr>
            <w:tcW w:w="2333" w:type="dxa"/>
            <w:shd w:val="clear" w:color="auto" w:fill="auto"/>
            <w:vAlign w:val="center"/>
          </w:tcPr>
          <w:p w14:paraId="3EC7BBE4">
            <w:pPr>
              <w:pStyle w:val="178"/>
            </w:pPr>
            <w:r>
              <w:rPr>
                <w:rFonts w:hint="eastAsia"/>
              </w:rPr>
              <w:t>每季度1次</w:t>
            </w:r>
          </w:p>
        </w:tc>
        <w:tc>
          <w:tcPr>
            <w:tcW w:w="2334" w:type="dxa"/>
            <w:shd w:val="clear" w:color="auto" w:fill="auto"/>
            <w:vAlign w:val="center"/>
          </w:tcPr>
          <w:p w14:paraId="0F7FEAD4">
            <w:pPr>
              <w:pStyle w:val="178"/>
            </w:pPr>
            <w:r>
              <w:rPr>
                <w:rFonts w:hint="eastAsia"/>
              </w:rPr>
              <w:t>系统运维单位</w:t>
            </w:r>
          </w:p>
        </w:tc>
      </w:tr>
      <w:tr w14:paraId="45961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4" w:type="dxa"/>
            <w:tcBorders>
              <w:bottom w:val="single" w:color="auto" w:sz="2" w:space="0"/>
            </w:tcBorders>
            <w:shd w:val="clear" w:color="auto" w:fill="auto"/>
            <w:vAlign w:val="center"/>
          </w:tcPr>
          <w:p w14:paraId="47504E0A">
            <w:pPr>
              <w:pStyle w:val="178"/>
            </w:pPr>
            <w:r>
              <w:rPr>
                <w:rFonts w:hint="eastAsia"/>
              </w:rPr>
              <w:t>数据处理与分析平台</w:t>
            </w:r>
          </w:p>
        </w:tc>
        <w:tc>
          <w:tcPr>
            <w:tcW w:w="2333" w:type="dxa"/>
            <w:tcBorders>
              <w:bottom w:val="single" w:color="auto" w:sz="2" w:space="0"/>
            </w:tcBorders>
            <w:shd w:val="clear" w:color="auto" w:fill="auto"/>
            <w:vAlign w:val="center"/>
          </w:tcPr>
          <w:p w14:paraId="6ECE9E03">
            <w:pPr>
              <w:pStyle w:val="178"/>
            </w:pPr>
            <w:r>
              <w:rPr>
                <w:rFonts w:hint="eastAsia"/>
              </w:rPr>
              <w:t>检查服务器运行状态、更新软件版本、优化算法模型</w:t>
            </w:r>
          </w:p>
        </w:tc>
        <w:tc>
          <w:tcPr>
            <w:tcW w:w="2333" w:type="dxa"/>
            <w:tcBorders>
              <w:bottom w:val="single" w:color="auto" w:sz="2" w:space="0"/>
            </w:tcBorders>
            <w:shd w:val="clear" w:color="auto" w:fill="auto"/>
            <w:vAlign w:val="center"/>
          </w:tcPr>
          <w:p w14:paraId="0790C4C4">
            <w:pPr>
              <w:pStyle w:val="178"/>
            </w:pPr>
            <w:r>
              <w:rPr>
                <w:rFonts w:hint="eastAsia"/>
              </w:rPr>
              <w:t>每半年1次</w:t>
            </w:r>
          </w:p>
        </w:tc>
        <w:tc>
          <w:tcPr>
            <w:tcW w:w="2334" w:type="dxa"/>
            <w:tcBorders>
              <w:bottom w:val="single" w:color="auto" w:sz="2" w:space="0"/>
            </w:tcBorders>
            <w:shd w:val="clear" w:color="auto" w:fill="auto"/>
            <w:vAlign w:val="center"/>
          </w:tcPr>
          <w:p w14:paraId="57D9476D">
            <w:pPr>
              <w:pStyle w:val="178"/>
            </w:pPr>
            <w:r>
              <w:rPr>
                <w:rFonts w:hint="eastAsia"/>
              </w:rPr>
              <w:t>系统运维单位</w:t>
            </w:r>
          </w:p>
        </w:tc>
      </w:tr>
      <w:tr w14:paraId="3B15A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2" w:space="0"/>
              <w:bottom w:val="single" w:color="auto" w:sz="4" w:space="0"/>
            </w:tcBorders>
            <w:shd w:val="clear" w:color="auto" w:fill="auto"/>
            <w:vAlign w:val="center"/>
          </w:tcPr>
          <w:p w14:paraId="391E103C">
            <w:pPr>
              <w:pStyle w:val="178"/>
            </w:pPr>
            <w:r>
              <w:rPr>
                <w:rFonts w:hint="eastAsia"/>
              </w:rPr>
              <w:t>应急响应模块</w:t>
            </w:r>
          </w:p>
        </w:tc>
        <w:tc>
          <w:tcPr>
            <w:tcW w:w="2333" w:type="dxa"/>
            <w:tcBorders>
              <w:top w:val="single" w:color="auto" w:sz="2" w:space="0"/>
              <w:bottom w:val="single" w:color="auto" w:sz="4" w:space="0"/>
            </w:tcBorders>
            <w:shd w:val="clear" w:color="auto" w:fill="auto"/>
            <w:vAlign w:val="center"/>
          </w:tcPr>
          <w:p w14:paraId="51619474">
            <w:pPr>
              <w:pStyle w:val="178"/>
            </w:pPr>
            <w:r>
              <w:rPr>
                <w:rFonts w:hint="eastAsia"/>
              </w:rPr>
              <w:t>测试预案启动功能、核对应急联系人信息、检查联动通道</w:t>
            </w:r>
          </w:p>
        </w:tc>
        <w:tc>
          <w:tcPr>
            <w:tcW w:w="2333" w:type="dxa"/>
            <w:tcBorders>
              <w:top w:val="single" w:color="auto" w:sz="2" w:space="0"/>
              <w:bottom w:val="single" w:color="auto" w:sz="4" w:space="0"/>
            </w:tcBorders>
            <w:shd w:val="clear" w:color="auto" w:fill="auto"/>
            <w:vAlign w:val="center"/>
          </w:tcPr>
          <w:p w14:paraId="27890AFF">
            <w:pPr>
              <w:pStyle w:val="178"/>
            </w:pPr>
            <w:r>
              <w:rPr>
                <w:rFonts w:hint="eastAsia"/>
              </w:rPr>
              <w:t>每季度1次</w:t>
            </w:r>
          </w:p>
        </w:tc>
        <w:tc>
          <w:tcPr>
            <w:tcW w:w="2334" w:type="dxa"/>
            <w:tcBorders>
              <w:top w:val="single" w:color="auto" w:sz="2" w:space="0"/>
              <w:bottom w:val="single" w:color="auto" w:sz="4" w:space="0"/>
            </w:tcBorders>
            <w:shd w:val="clear" w:color="auto" w:fill="auto"/>
            <w:vAlign w:val="center"/>
          </w:tcPr>
          <w:p w14:paraId="4F779ED8">
            <w:pPr>
              <w:pStyle w:val="178"/>
            </w:pPr>
            <w:r>
              <w:rPr>
                <w:rFonts w:hint="eastAsia"/>
              </w:rPr>
              <w:t>桥梁管理机构</w:t>
            </w:r>
          </w:p>
        </w:tc>
      </w:tr>
      <w:tr w14:paraId="29ABE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4" w:space="0"/>
            </w:tcBorders>
            <w:shd w:val="clear" w:color="auto" w:fill="auto"/>
            <w:vAlign w:val="center"/>
          </w:tcPr>
          <w:p w14:paraId="4889614F">
            <w:pPr>
              <w:pStyle w:val="178"/>
            </w:pPr>
            <w:r>
              <w:rPr>
                <w:rFonts w:hint="eastAsia"/>
              </w:rPr>
              <w:t>数据安全与备份</w:t>
            </w:r>
          </w:p>
        </w:tc>
        <w:tc>
          <w:tcPr>
            <w:tcW w:w="2333" w:type="dxa"/>
            <w:tcBorders>
              <w:top w:val="single" w:color="auto" w:sz="4" w:space="0"/>
            </w:tcBorders>
            <w:shd w:val="clear" w:color="auto" w:fill="auto"/>
            <w:vAlign w:val="center"/>
          </w:tcPr>
          <w:p w14:paraId="5966F2DB">
            <w:pPr>
              <w:pStyle w:val="178"/>
            </w:pPr>
            <w:r>
              <w:rPr>
                <w:rFonts w:hint="eastAsia"/>
              </w:rPr>
              <w:t>备份监测数据、检测防火墙和入侵防护系统、核查权限管理</w:t>
            </w:r>
          </w:p>
        </w:tc>
        <w:tc>
          <w:tcPr>
            <w:tcW w:w="2333" w:type="dxa"/>
            <w:tcBorders>
              <w:top w:val="single" w:color="auto" w:sz="4" w:space="0"/>
            </w:tcBorders>
            <w:shd w:val="clear" w:color="auto" w:fill="auto"/>
            <w:vAlign w:val="center"/>
          </w:tcPr>
          <w:p w14:paraId="5D7FAF9F">
            <w:pPr>
              <w:pStyle w:val="178"/>
            </w:pPr>
            <w:r>
              <w:rPr>
                <w:rFonts w:hint="eastAsia"/>
              </w:rPr>
              <w:t>每月1次</w:t>
            </w:r>
          </w:p>
        </w:tc>
        <w:tc>
          <w:tcPr>
            <w:tcW w:w="2334" w:type="dxa"/>
            <w:tcBorders>
              <w:top w:val="single" w:color="auto" w:sz="4" w:space="0"/>
            </w:tcBorders>
            <w:shd w:val="clear" w:color="auto" w:fill="auto"/>
            <w:vAlign w:val="center"/>
          </w:tcPr>
          <w:p w14:paraId="06814E77">
            <w:pPr>
              <w:pStyle w:val="178"/>
            </w:pPr>
            <w:r>
              <w:rPr>
                <w:rFonts w:hint="eastAsia"/>
              </w:rPr>
              <w:t>系统运维单位</w:t>
            </w:r>
          </w:p>
        </w:tc>
      </w:tr>
    </w:tbl>
    <w:p w14:paraId="21DEF585">
      <w:pPr>
        <w:pStyle w:val="105"/>
        <w:spacing w:before="120" w:after="120" w:line="360" w:lineRule="auto"/>
      </w:pPr>
      <w:r>
        <w:rPr>
          <w:rFonts w:hint="eastAsia"/>
        </w:rPr>
        <w:t>性能评估与改进</w:t>
      </w:r>
    </w:p>
    <w:p w14:paraId="4FC92A27">
      <w:pPr>
        <w:pStyle w:val="165"/>
        <w:spacing w:line="360" w:lineRule="auto"/>
      </w:pPr>
      <w:r>
        <w:rPr>
          <w:rFonts w:hint="eastAsia"/>
        </w:rPr>
        <w:t>每年至少进行一次系统性能评估，包括监测准确率、预警及时率、应急响应效率等指标。</w:t>
      </w:r>
    </w:p>
    <w:p w14:paraId="3876B400">
      <w:pPr>
        <w:pStyle w:val="165"/>
        <w:spacing w:line="360" w:lineRule="auto"/>
      </w:pPr>
      <w:r>
        <w:rPr>
          <w:rFonts w:hint="eastAsia"/>
        </w:rPr>
        <w:t>根据评估结果和技术发展趋势，对系统硬件、软件及管理流程进行优化升级。</w:t>
      </w:r>
    </w:p>
    <w:p w14:paraId="171A6156">
      <w:pPr>
        <w:pStyle w:val="165"/>
        <w:spacing w:line="360" w:lineRule="auto"/>
      </w:pPr>
      <w:r>
        <w:rPr>
          <w:rFonts w:hint="eastAsia"/>
        </w:rPr>
        <w:t>在系统运行中出现重大缺陷或故障时，应立即组织专项改进，防止问题再次发生。</w:t>
      </w:r>
    </w:p>
    <w:p w14:paraId="3FD69FCE">
      <w:pPr>
        <w:pStyle w:val="105"/>
        <w:spacing w:before="120" w:after="120" w:line="360" w:lineRule="auto"/>
      </w:pPr>
      <w:r>
        <w:rPr>
          <w:rFonts w:hint="eastAsia"/>
        </w:rPr>
        <w:t>人员培训与能力建设</w:t>
      </w:r>
    </w:p>
    <w:p w14:paraId="5EF596AA">
      <w:pPr>
        <w:pStyle w:val="56"/>
        <w:spacing w:line="360" w:lineRule="auto"/>
        <w:ind w:firstLine="420"/>
      </w:pPr>
      <w:r>
        <w:rPr>
          <w:rFonts w:hint="eastAsia"/>
        </w:rPr>
        <w:t>定期开展系统操作、故障排查、应急处置等方面的培训。鼓励运维人员参与新技术应用研究和行业交流，不断提升技术能力。</w:t>
      </w:r>
    </w:p>
    <w:p w14:paraId="43CEE68C">
      <w:pPr>
        <w:pStyle w:val="104"/>
        <w:spacing w:before="240" w:after="240" w:line="360" w:lineRule="auto"/>
      </w:pPr>
      <w:bookmarkStart w:id="56" w:name="_Toc205565002"/>
      <w:r>
        <w:rPr>
          <w:rFonts w:hint="eastAsia"/>
        </w:rPr>
        <w:t>资料与档案管理</w:t>
      </w:r>
      <w:bookmarkEnd w:id="56"/>
    </w:p>
    <w:p w14:paraId="10A93B8B">
      <w:pPr>
        <w:pStyle w:val="105"/>
        <w:spacing w:before="120" w:after="120" w:line="360" w:lineRule="auto"/>
      </w:pPr>
      <w:r>
        <w:rPr>
          <w:rFonts w:hint="eastAsia"/>
        </w:rPr>
        <w:t>总体要求</w:t>
      </w:r>
    </w:p>
    <w:p w14:paraId="475DF4E0">
      <w:pPr>
        <w:pStyle w:val="56"/>
        <w:spacing w:line="360" w:lineRule="auto"/>
        <w:ind w:firstLine="420"/>
      </w:pPr>
      <w:r>
        <w:rPr>
          <w:rFonts w:hint="eastAsia"/>
        </w:rPr>
        <w:t>公路桥梁智能预警与应急响应相关资料与档案应遵循完整性、规范性、可追溯性和安全性的原则，确保运行全过程形成的技术文件、监测数据、维护记录、应急处置记录等真实、准确、齐全，并按规定归档和保存。</w:t>
      </w:r>
    </w:p>
    <w:p w14:paraId="4F04B670">
      <w:pPr>
        <w:pStyle w:val="105"/>
        <w:spacing w:before="120" w:after="120" w:line="360" w:lineRule="auto"/>
      </w:pPr>
      <w:r>
        <w:rPr>
          <w:rFonts w:hint="eastAsia"/>
        </w:rPr>
        <w:t>档案分类</w:t>
      </w:r>
    </w:p>
    <w:p w14:paraId="02D7D0DD">
      <w:pPr>
        <w:pStyle w:val="56"/>
        <w:spacing w:line="360" w:lineRule="auto"/>
        <w:ind w:firstLine="420"/>
      </w:pPr>
      <w:r>
        <w:rPr>
          <w:rFonts w:hint="eastAsia"/>
        </w:rPr>
        <w:t>档案应按类别进行整理和归档，包括系统建设文件、运行维护记录、监测与预警数据、应急处置资料、培训与演练记录等。各类档案的主要内容、归档时间、保存年限及责任单位见表5。</w:t>
      </w:r>
    </w:p>
    <w:p w14:paraId="0A0D8E0A">
      <w:pPr>
        <w:pStyle w:val="112"/>
        <w:spacing w:before="120" w:after="120" w:line="360" w:lineRule="auto"/>
      </w:pPr>
      <w:r>
        <w:rPr>
          <w:rFonts w:hint="eastAsia"/>
        </w:rPr>
        <w:t>公路桥梁智能预警与应急响应档案分类及管理要求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44048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14:paraId="07C79875">
            <w:pPr>
              <w:pStyle w:val="178"/>
            </w:pPr>
            <w:r>
              <w:rPr>
                <w:rFonts w:hint="eastAsia"/>
              </w:rPr>
              <w:t>档案类别</w:t>
            </w:r>
          </w:p>
        </w:tc>
        <w:tc>
          <w:tcPr>
            <w:tcW w:w="1867" w:type="dxa"/>
            <w:tcBorders>
              <w:top w:val="single" w:color="auto" w:sz="8" w:space="0"/>
              <w:bottom w:val="single" w:color="auto" w:sz="8" w:space="0"/>
            </w:tcBorders>
            <w:shd w:val="clear" w:color="auto" w:fill="auto"/>
            <w:vAlign w:val="center"/>
          </w:tcPr>
          <w:p w14:paraId="0F307615">
            <w:pPr>
              <w:pStyle w:val="178"/>
            </w:pPr>
            <w:r>
              <w:rPr>
                <w:rFonts w:hint="eastAsia"/>
              </w:rPr>
              <w:t>主要内容</w:t>
            </w:r>
          </w:p>
        </w:tc>
        <w:tc>
          <w:tcPr>
            <w:tcW w:w="1867" w:type="dxa"/>
            <w:tcBorders>
              <w:top w:val="single" w:color="auto" w:sz="8" w:space="0"/>
              <w:bottom w:val="single" w:color="auto" w:sz="8" w:space="0"/>
            </w:tcBorders>
            <w:shd w:val="clear" w:color="auto" w:fill="auto"/>
            <w:vAlign w:val="center"/>
          </w:tcPr>
          <w:p w14:paraId="512EB23C">
            <w:pPr>
              <w:pStyle w:val="178"/>
            </w:pPr>
            <w:r>
              <w:rPr>
                <w:rFonts w:hint="eastAsia"/>
              </w:rPr>
              <w:t>归档时间</w:t>
            </w:r>
          </w:p>
        </w:tc>
        <w:tc>
          <w:tcPr>
            <w:tcW w:w="1867" w:type="dxa"/>
            <w:tcBorders>
              <w:top w:val="single" w:color="auto" w:sz="8" w:space="0"/>
              <w:bottom w:val="single" w:color="auto" w:sz="8" w:space="0"/>
            </w:tcBorders>
            <w:shd w:val="clear" w:color="auto" w:fill="auto"/>
            <w:vAlign w:val="center"/>
          </w:tcPr>
          <w:p w14:paraId="077880E4">
            <w:pPr>
              <w:pStyle w:val="178"/>
            </w:pPr>
            <w:r>
              <w:rPr>
                <w:rFonts w:hint="eastAsia"/>
              </w:rPr>
              <w:t>保存年限</w:t>
            </w:r>
          </w:p>
        </w:tc>
        <w:tc>
          <w:tcPr>
            <w:tcW w:w="1867" w:type="dxa"/>
            <w:tcBorders>
              <w:top w:val="single" w:color="auto" w:sz="8" w:space="0"/>
              <w:bottom w:val="single" w:color="auto" w:sz="8" w:space="0"/>
            </w:tcBorders>
            <w:shd w:val="clear" w:color="auto" w:fill="auto"/>
            <w:vAlign w:val="center"/>
          </w:tcPr>
          <w:p w14:paraId="34F55D2E">
            <w:pPr>
              <w:pStyle w:val="178"/>
            </w:pPr>
            <w:r>
              <w:rPr>
                <w:rFonts w:hint="eastAsia"/>
              </w:rPr>
              <w:t>责任单位</w:t>
            </w:r>
          </w:p>
        </w:tc>
      </w:tr>
      <w:tr w14:paraId="2C8C2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14:paraId="7D2CF9C1">
            <w:pPr>
              <w:pStyle w:val="178"/>
            </w:pPr>
            <w:r>
              <w:rPr>
                <w:rFonts w:hint="eastAsia"/>
              </w:rPr>
              <w:t>系统建设文件</w:t>
            </w:r>
          </w:p>
        </w:tc>
        <w:tc>
          <w:tcPr>
            <w:tcW w:w="1867" w:type="dxa"/>
            <w:tcBorders>
              <w:top w:val="single" w:color="auto" w:sz="8" w:space="0"/>
            </w:tcBorders>
            <w:shd w:val="clear" w:color="auto" w:fill="auto"/>
            <w:vAlign w:val="center"/>
          </w:tcPr>
          <w:p w14:paraId="41765015">
            <w:pPr>
              <w:pStyle w:val="178"/>
            </w:pPr>
            <w:r>
              <w:rPr>
                <w:rFonts w:hint="eastAsia"/>
              </w:rPr>
              <w:t>设计方案、施工记录、设备清单、验收报告</w:t>
            </w:r>
          </w:p>
        </w:tc>
        <w:tc>
          <w:tcPr>
            <w:tcW w:w="1867" w:type="dxa"/>
            <w:tcBorders>
              <w:top w:val="single" w:color="auto" w:sz="8" w:space="0"/>
            </w:tcBorders>
            <w:shd w:val="clear" w:color="auto" w:fill="auto"/>
            <w:vAlign w:val="center"/>
          </w:tcPr>
          <w:p w14:paraId="72EB0FEA">
            <w:pPr>
              <w:pStyle w:val="178"/>
            </w:pPr>
            <w:r>
              <w:rPr>
                <w:rFonts w:hint="eastAsia"/>
              </w:rPr>
              <w:t>系统建成后即时归档</w:t>
            </w:r>
          </w:p>
        </w:tc>
        <w:tc>
          <w:tcPr>
            <w:tcW w:w="1867" w:type="dxa"/>
            <w:tcBorders>
              <w:top w:val="single" w:color="auto" w:sz="8" w:space="0"/>
            </w:tcBorders>
            <w:shd w:val="clear" w:color="auto" w:fill="auto"/>
            <w:vAlign w:val="center"/>
          </w:tcPr>
          <w:p w14:paraId="3ECE7F7D">
            <w:pPr>
              <w:pStyle w:val="178"/>
            </w:pPr>
            <w:r>
              <w:rPr>
                <w:rFonts w:hint="eastAsia"/>
              </w:rPr>
              <w:t>≥10年</w:t>
            </w:r>
          </w:p>
        </w:tc>
        <w:tc>
          <w:tcPr>
            <w:tcW w:w="1867" w:type="dxa"/>
            <w:tcBorders>
              <w:top w:val="single" w:color="auto" w:sz="8" w:space="0"/>
            </w:tcBorders>
            <w:shd w:val="clear" w:color="auto" w:fill="auto"/>
            <w:vAlign w:val="center"/>
          </w:tcPr>
          <w:p w14:paraId="12FDC571">
            <w:pPr>
              <w:pStyle w:val="178"/>
            </w:pPr>
            <w:r>
              <w:rPr>
                <w:rFonts w:hint="eastAsia"/>
              </w:rPr>
              <w:t>建设单位、运维单位</w:t>
            </w:r>
          </w:p>
        </w:tc>
      </w:tr>
      <w:tr w14:paraId="2F68A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183A43E2">
            <w:pPr>
              <w:pStyle w:val="178"/>
            </w:pPr>
            <w:r>
              <w:rPr>
                <w:rFonts w:hint="eastAsia"/>
              </w:rPr>
              <w:t>运行维护记录</w:t>
            </w:r>
          </w:p>
        </w:tc>
        <w:tc>
          <w:tcPr>
            <w:tcW w:w="1867" w:type="dxa"/>
            <w:shd w:val="clear" w:color="auto" w:fill="auto"/>
            <w:vAlign w:val="center"/>
          </w:tcPr>
          <w:p w14:paraId="0E4AF88A">
            <w:pPr>
              <w:pStyle w:val="178"/>
            </w:pPr>
            <w:r>
              <w:rPr>
                <w:rFonts w:hint="eastAsia"/>
              </w:rPr>
              <w:t>设备巡检表、维修记录、校准报告</w:t>
            </w:r>
          </w:p>
        </w:tc>
        <w:tc>
          <w:tcPr>
            <w:tcW w:w="1867" w:type="dxa"/>
            <w:shd w:val="clear" w:color="auto" w:fill="auto"/>
            <w:vAlign w:val="center"/>
          </w:tcPr>
          <w:p w14:paraId="6D2D8BE3">
            <w:pPr>
              <w:pStyle w:val="178"/>
            </w:pPr>
            <w:r>
              <w:rPr>
                <w:rFonts w:hint="eastAsia"/>
              </w:rPr>
              <w:t>每次维护后</w:t>
            </w:r>
          </w:p>
        </w:tc>
        <w:tc>
          <w:tcPr>
            <w:tcW w:w="1867" w:type="dxa"/>
            <w:shd w:val="clear" w:color="auto" w:fill="auto"/>
            <w:vAlign w:val="center"/>
          </w:tcPr>
          <w:p w14:paraId="075C87CB">
            <w:pPr>
              <w:pStyle w:val="178"/>
            </w:pPr>
            <w:r>
              <w:rPr>
                <w:rFonts w:hint="eastAsia"/>
              </w:rPr>
              <w:t>≥10年</w:t>
            </w:r>
          </w:p>
        </w:tc>
        <w:tc>
          <w:tcPr>
            <w:tcW w:w="1867" w:type="dxa"/>
            <w:shd w:val="clear" w:color="auto" w:fill="auto"/>
            <w:vAlign w:val="center"/>
          </w:tcPr>
          <w:p w14:paraId="03D221D5">
            <w:pPr>
              <w:pStyle w:val="178"/>
            </w:pPr>
            <w:r>
              <w:rPr>
                <w:rFonts w:hint="eastAsia"/>
              </w:rPr>
              <w:t>运维单位</w:t>
            </w:r>
          </w:p>
        </w:tc>
      </w:tr>
      <w:tr w14:paraId="6BD99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5DBC74DF">
            <w:pPr>
              <w:pStyle w:val="178"/>
            </w:pPr>
            <w:r>
              <w:rPr>
                <w:rFonts w:hint="eastAsia"/>
              </w:rPr>
              <w:t>监测与预警数据</w:t>
            </w:r>
          </w:p>
        </w:tc>
        <w:tc>
          <w:tcPr>
            <w:tcW w:w="1867" w:type="dxa"/>
            <w:shd w:val="clear" w:color="auto" w:fill="auto"/>
            <w:vAlign w:val="center"/>
          </w:tcPr>
          <w:p w14:paraId="21DC8001">
            <w:pPr>
              <w:pStyle w:val="178"/>
            </w:pPr>
            <w:r>
              <w:rPr>
                <w:rFonts w:hint="eastAsia"/>
              </w:rPr>
              <w:t>原始监测数据、分析报告、预警记录</w:t>
            </w:r>
          </w:p>
        </w:tc>
        <w:tc>
          <w:tcPr>
            <w:tcW w:w="1867" w:type="dxa"/>
            <w:shd w:val="clear" w:color="auto" w:fill="auto"/>
            <w:vAlign w:val="center"/>
          </w:tcPr>
          <w:p w14:paraId="23277CE8">
            <w:pPr>
              <w:pStyle w:val="178"/>
            </w:pPr>
            <w:r>
              <w:rPr>
                <w:rFonts w:hint="eastAsia"/>
              </w:rPr>
              <w:t>每季度汇总归档</w:t>
            </w:r>
          </w:p>
        </w:tc>
        <w:tc>
          <w:tcPr>
            <w:tcW w:w="1867" w:type="dxa"/>
            <w:shd w:val="clear" w:color="auto" w:fill="auto"/>
            <w:vAlign w:val="center"/>
          </w:tcPr>
          <w:p w14:paraId="3CEFA241">
            <w:pPr>
              <w:pStyle w:val="178"/>
            </w:pPr>
            <w:r>
              <w:rPr>
                <w:rFonts w:hint="eastAsia"/>
              </w:rPr>
              <w:t>≥10年</w:t>
            </w:r>
          </w:p>
        </w:tc>
        <w:tc>
          <w:tcPr>
            <w:tcW w:w="1867" w:type="dxa"/>
            <w:shd w:val="clear" w:color="auto" w:fill="auto"/>
            <w:vAlign w:val="center"/>
          </w:tcPr>
          <w:p w14:paraId="50306683">
            <w:pPr>
              <w:pStyle w:val="178"/>
            </w:pPr>
            <w:r>
              <w:rPr>
                <w:rFonts w:hint="eastAsia"/>
              </w:rPr>
              <w:t>运维单位、管理机构</w:t>
            </w:r>
          </w:p>
        </w:tc>
      </w:tr>
      <w:tr w14:paraId="669C8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1503E0EB">
            <w:pPr>
              <w:pStyle w:val="178"/>
            </w:pPr>
            <w:r>
              <w:rPr>
                <w:rFonts w:hint="eastAsia"/>
              </w:rPr>
              <w:t>应急处置资料</w:t>
            </w:r>
          </w:p>
        </w:tc>
        <w:tc>
          <w:tcPr>
            <w:tcW w:w="1867" w:type="dxa"/>
            <w:shd w:val="clear" w:color="auto" w:fill="auto"/>
            <w:vAlign w:val="center"/>
          </w:tcPr>
          <w:p w14:paraId="50D85556">
            <w:pPr>
              <w:pStyle w:val="178"/>
            </w:pPr>
            <w:r>
              <w:rPr>
                <w:rFonts w:hint="eastAsia"/>
              </w:rPr>
              <w:t>应急启动记录、处置过程资料、事后评估报告</w:t>
            </w:r>
          </w:p>
        </w:tc>
        <w:tc>
          <w:tcPr>
            <w:tcW w:w="1867" w:type="dxa"/>
            <w:shd w:val="clear" w:color="auto" w:fill="auto"/>
            <w:vAlign w:val="center"/>
          </w:tcPr>
          <w:p w14:paraId="164EA667">
            <w:pPr>
              <w:pStyle w:val="178"/>
            </w:pPr>
            <w:r>
              <w:rPr>
                <w:rFonts w:hint="eastAsia"/>
              </w:rPr>
              <w:t>事件结束后</w:t>
            </w:r>
          </w:p>
        </w:tc>
        <w:tc>
          <w:tcPr>
            <w:tcW w:w="1867" w:type="dxa"/>
            <w:shd w:val="clear" w:color="auto" w:fill="auto"/>
            <w:vAlign w:val="center"/>
          </w:tcPr>
          <w:p w14:paraId="62526EF2">
            <w:pPr>
              <w:pStyle w:val="178"/>
            </w:pPr>
            <w:r>
              <w:rPr>
                <w:rFonts w:hint="eastAsia"/>
              </w:rPr>
              <w:t>≥10年</w:t>
            </w:r>
          </w:p>
        </w:tc>
        <w:tc>
          <w:tcPr>
            <w:tcW w:w="1867" w:type="dxa"/>
            <w:shd w:val="clear" w:color="auto" w:fill="auto"/>
            <w:vAlign w:val="center"/>
          </w:tcPr>
          <w:p w14:paraId="0F77163B">
            <w:pPr>
              <w:pStyle w:val="178"/>
            </w:pPr>
            <w:r>
              <w:rPr>
                <w:rFonts w:hint="eastAsia"/>
              </w:rPr>
              <w:t>管理机构、应急部门</w:t>
            </w:r>
          </w:p>
        </w:tc>
      </w:tr>
      <w:tr w14:paraId="54558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1CFB32CE">
            <w:pPr>
              <w:pStyle w:val="178"/>
            </w:pPr>
            <w:r>
              <w:rPr>
                <w:rFonts w:hint="eastAsia"/>
              </w:rPr>
              <w:t>培训与演练记录</w:t>
            </w:r>
          </w:p>
        </w:tc>
        <w:tc>
          <w:tcPr>
            <w:tcW w:w="1867" w:type="dxa"/>
            <w:shd w:val="clear" w:color="auto" w:fill="auto"/>
            <w:vAlign w:val="center"/>
          </w:tcPr>
          <w:p w14:paraId="6BD8BD0F">
            <w:pPr>
              <w:pStyle w:val="178"/>
            </w:pPr>
            <w:r>
              <w:rPr>
                <w:rFonts w:hint="eastAsia"/>
              </w:rPr>
              <w:t>培训计划、签到表、演练总结报告</w:t>
            </w:r>
          </w:p>
        </w:tc>
        <w:tc>
          <w:tcPr>
            <w:tcW w:w="1867" w:type="dxa"/>
            <w:shd w:val="clear" w:color="auto" w:fill="auto"/>
            <w:vAlign w:val="center"/>
          </w:tcPr>
          <w:p w14:paraId="74D9D970">
            <w:pPr>
              <w:pStyle w:val="178"/>
            </w:pPr>
            <w:r>
              <w:rPr>
                <w:rFonts w:hint="eastAsia"/>
              </w:rPr>
              <w:t>每次培训或演练后</w:t>
            </w:r>
          </w:p>
        </w:tc>
        <w:tc>
          <w:tcPr>
            <w:tcW w:w="1867" w:type="dxa"/>
            <w:shd w:val="clear" w:color="auto" w:fill="auto"/>
            <w:vAlign w:val="center"/>
          </w:tcPr>
          <w:p w14:paraId="64779A97">
            <w:pPr>
              <w:pStyle w:val="178"/>
            </w:pPr>
            <w:r>
              <w:rPr>
                <w:rFonts w:hint="eastAsia"/>
              </w:rPr>
              <w:t>≥5年</w:t>
            </w:r>
          </w:p>
        </w:tc>
        <w:tc>
          <w:tcPr>
            <w:tcW w:w="1867" w:type="dxa"/>
            <w:shd w:val="clear" w:color="auto" w:fill="auto"/>
            <w:vAlign w:val="center"/>
          </w:tcPr>
          <w:p w14:paraId="5B728B44">
            <w:pPr>
              <w:pStyle w:val="178"/>
            </w:pPr>
            <w:r>
              <w:rPr>
                <w:rFonts w:hint="eastAsia"/>
              </w:rPr>
              <w:t>管理机构</w:t>
            </w:r>
          </w:p>
        </w:tc>
      </w:tr>
    </w:tbl>
    <w:p w14:paraId="4DAD117B">
      <w:pPr>
        <w:pStyle w:val="105"/>
        <w:spacing w:before="120" w:after="120" w:line="360" w:lineRule="auto"/>
      </w:pPr>
      <w:r>
        <w:rPr>
          <w:rFonts w:hint="eastAsia"/>
        </w:rPr>
        <w:t>档案移交与共享</w:t>
      </w:r>
    </w:p>
    <w:p w14:paraId="0A5E55B6">
      <w:pPr>
        <w:pStyle w:val="165"/>
        <w:spacing w:line="360" w:lineRule="auto"/>
      </w:pPr>
      <w:r>
        <w:rPr>
          <w:rFonts w:hint="eastAsia"/>
        </w:rPr>
        <w:t>桥梁交接或系统升级改造时，相关档案应随同移交，移交清单由双方签字确认。</w:t>
      </w:r>
    </w:p>
    <w:p w14:paraId="1AEF70B6">
      <w:pPr>
        <w:pStyle w:val="165"/>
        <w:spacing w:line="360" w:lineRule="auto"/>
      </w:pPr>
      <w:r>
        <w:rPr>
          <w:rFonts w:hint="eastAsia"/>
        </w:rPr>
        <w:t>重要档案可在安全可控前提下与相关部门、科研机构共享，用于安全评估与技术研究。</w:t>
      </w:r>
    </w:p>
    <w:p w14:paraId="68082771">
      <w:pPr>
        <w:pStyle w:val="105"/>
        <w:spacing w:before="120" w:after="120" w:line="360" w:lineRule="auto"/>
      </w:pPr>
      <w:r>
        <w:rPr>
          <w:rFonts w:hint="eastAsia"/>
        </w:rPr>
        <w:t>档案保密与安全</w:t>
      </w:r>
    </w:p>
    <w:p w14:paraId="314910CE">
      <w:pPr>
        <w:pStyle w:val="165"/>
        <w:spacing w:line="360" w:lineRule="auto"/>
      </w:pPr>
      <w:r>
        <w:rPr>
          <w:rFonts w:hint="eastAsia"/>
        </w:rPr>
        <w:t>涉及国家安全、公共安全或商业秘密的档案应严格保密，限制访问权限。</w:t>
      </w:r>
    </w:p>
    <w:p w14:paraId="21BC3321">
      <w:pPr>
        <w:pStyle w:val="165"/>
        <w:spacing w:line="360" w:lineRule="auto"/>
      </w:pPr>
      <w:r>
        <w:rPr>
          <w:rFonts w:hint="eastAsia"/>
        </w:rPr>
        <w:t>建立档案数字化备份，防止因灾害、设备故障等造成档案损坏或丢失。</w:t>
      </w:r>
    </w:p>
    <w:p w14:paraId="6D9D9FC5">
      <w:pPr>
        <w:pStyle w:val="104"/>
        <w:spacing w:before="240" w:after="240" w:line="360" w:lineRule="auto"/>
      </w:pPr>
      <w:bookmarkStart w:id="57" w:name="_Toc205565003"/>
      <w:r>
        <w:rPr>
          <w:rFonts w:hint="eastAsia"/>
        </w:rPr>
        <w:t>附则</w:t>
      </w:r>
      <w:bookmarkEnd w:id="57"/>
    </w:p>
    <w:p w14:paraId="562CA598">
      <w:pPr>
        <w:pStyle w:val="162"/>
        <w:spacing w:line="360" w:lineRule="auto"/>
      </w:pPr>
      <w:r>
        <w:rPr>
          <w:rFonts w:hint="eastAsia"/>
        </w:rPr>
        <w:t>本文件由发布单位负责解释。</w:t>
      </w:r>
    </w:p>
    <w:p w14:paraId="7A943D51">
      <w:pPr>
        <w:pStyle w:val="162"/>
        <w:spacing w:line="360" w:lineRule="auto"/>
      </w:pPr>
      <w:r>
        <w:rPr>
          <w:rFonts w:hint="eastAsia"/>
        </w:rPr>
        <w:t>本文件的实施过程中，如国家、行业或地方相关法律法规、标准规范进行修订，应及时对本文件进行评估并适时修订，以保持与最新要求一致。</w:t>
      </w:r>
    </w:p>
    <w:p w14:paraId="5FD47A72">
      <w:pPr>
        <w:pStyle w:val="162"/>
        <w:spacing w:line="360" w:lineRule="auto"/>
      </w:pPr>
      <w:r>
        <w:rPr>
          <w:rFonts w:hint="eastAsia"/>
        </w:rPr>
        <w:t>本文件所引用的标准和技术文件，如被修订或替代，除非另有说明，应采用最新版本。</w:t>
      </w:r>
    </w:p>
    <w:p w14:paraId="44A8CF06">
      <w:pPr>
        <w:pStyle w:val="162"/>
        <w:spacing w:line="360" w:lineRule="auto"/>
      </w:pPr>
      <w:r>
        <w:rPr>
          <w:rFonts w:hint="eastAsia"/>
        </w:rPr>
        <w:t>本文件自发布之日起实施，适用于公路桥梁智能预警与应急响应管理工作，其他交通基础设施的类似系统可参照执行。</w:t>
      </w:r>
    </w:p>
    <w:bookmarkEnd w:id="26"/>
    <w:p w14:paraId="6F104894">
      <w:pPr>
        <w:pStyle w:val="56"/>
        <w:ind w:firstLine="0" w:firstLineChars="0"/>
        <w:jc w:val="center"/>
      </w:pPr>
      <w:bookmarkStart w:id="58" w:name="BookMark8"/>
      <w:r>
        <w:rPr>
          <w:rFonts w:hint="eastAsia"/>
        </w:rPr>
        <w:drawing>
          <wp:inline distT="0" distB="0" distL="0" distR="0">
            <wp:extent cx="1485900" cy="317500"/>
            <wp:effectExtent l="0" t="0" r="0" b="6350"/>
            <wp:docPr id="595700047" name="图片 2"/>
            <wp:cNvGraphicFramePr/>
            <a:graphic xmlns:a="http://schemas.openxmlformats.org/drawingml/2006/main">
              <a:graphicData uri="http://schemas.openxmlformats.org/drawingml/2006/picture">
                <pic:pic xmlns:pic="http://schemas.openxmlformats.org/drawingml/2006/picture">
                  <pic:nvPicPr>
                    <pic:cNvPr id="595700047" name="图片 2"/>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92CE">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64FD5">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2F6A">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35F2A">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E0F8">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80EF">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4EDC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D2BD">
    <w:pPr>
      <w:pStyle w:val="62"/>
    </w:pPr>
    <w:r>
      <w:fldChar w:fldCharType="begin"/>
    </w:r>
    <w:r>
      <w:instrText xml:space="preserve"> STYLEREF  标准文件_文件编号 \* MERGEFORMAT </w:instrText>
    </w:r>
    <w:r>
      <w:fldChar w:fldCharType="separate"/>
    </w:r>
    <w:r>
      <w:t>T/XJBX 0052—2025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0052—2025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0052—2025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0A026">
    <w:pPr>
      <w:pStyle w:val="61"/>
    </w:pPr>
    <w:r>
      <w:fldChar w:fldCharType="begin"/>
    </w:r>
    <w:r>
      <w:instrText xml:space="preserve"> STYLEREF  标准文件_文件编号  \* MERGEFORMAT </w:instrText>
    </w:r>
    <w:r>
      <w:fldChar w:fldCharType="separate"/>
    </w:r>
    <w:r>
      <w:t>T/XJBX 0052—2025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07A9">
    <w:pPr>
      <w:pStyle w:val="62"/>
    </w:pPr>
    <w:r>
      <w:fldChar w:fldCharType="begin"/>
    </w:r>
    <w:r>
      <w:instrText xml:space="preserve"> STYLEREF  标准文件_文件编号 \* MERGEFORMAT </w:instrText>
    </w:r>
    <w:r>
      <w:fldChar w:fldCharType="separate"/>
    </w:r>
    <w:r>
      <w:t>T/XJBX 0052—2025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7FF5">
    <w:pPr>
      <w:pStyle w:val="61"/>
    </w:pPr>
    <w:r>
      <w:fldChar w:fldCharType="begin"/>
    </w:r>
    <w:r>
      <w:instrText xml:space="preserve"> STYLEREF  标准文件_文件编号  \* MERGEFORMAT </w:instrText>
    </w:r>
    <w:r>
      <w:fldChar w:fldCharType="separate"/>
    </w:r>
    <w:r>
      <w:t>T/XJBX 0052—2025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79FB">
    <w:pPr>
      <w:pStyle w:val="62"/>
    </w:pPr>
    <w:r>
      <w:fldChar w:fldCharType="begin"/>
    </w:r>
    <w:r>
      <w:instrText xml:space="preserve"> STYLEREF  标准文件_文件编号 \* MERGEFORMAT </w:instrText>
    </w:r>
    <w:r>
      <w:fldChar w:fldCharType="separate"/>
    </w:r>
    <w:r>
      <w:t>T/XJBX 0052—2025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6A58">
    <w:pPr>
      <w:pStyle w:val="61"/>
    </w:pPr>
    <w:r>
      <w:fldChar w:fldCharType="begin"/>
    </w:r>
    <w:r>
      <w:instrText xml:space="preserve"> STYLEREF  标准文件_文件编号  \* MERGEFORMAT </w:instrText>
    </w:r>
    <w:r>
      <w:fldChar w:fldCharType="separate"/>
    </w:r>
    <w:r>
      <w:t>T/XJBX 0052—2025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15B1"/>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AB2"/>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0EB"/>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686"/>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4A9"/>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C86"/>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573"/>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583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33DCADD1">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74BC06B0">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09F8391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5179F"/>
    <w:rsid w:val="00920405"/>
    <w:rsid w:val="00AE1DC6"/>
    <w:rsid w:val="00B7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3075</Words>
  <Characters>3361</Characters>
  <Lines>51</Lines>
  <Paragraphs>14</Paragraphs>
  <TotalTime>39</TotalTime>
  <ScaleCrop>false</ScaleCrop>
  <LinksUpToDate>false</LinksUpToDate>
  <CharactersWithSpaces>3462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2025-08-11T06:19:59Z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ECAB8F87594E4391A6672937AB26F870_12</vt:lpwstr>
  </property>
</Properties>
</file>