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5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50</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0"/>
            </w:textInput>
          </w:ffData>
        </w:fldChar>
      </w:r>
      <w:bookmarkStart w:id="6" w:name="NSTD_CODE_F"/>
      <w:r>
        <w:instrText xml:space="preserve"> FORMTEXT </w:instrText>
      </w:r>
      <w:r>
        <w:fldChar w:fldCharType="separate"/>
      </w:r>
      <w:r>
        <w:t>0050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06A89548">
      <w:pPr>
        <w:pStyle w:val="197"/>
        <w:framePr w:h="6974" w:hRule="exact" w:wrap="around" w:x="1419" w:anchorLock="1"/>
      </w:pPr>
      <w:r>
        <w:fldChar w:fldCharType="begin">
          <w:ffData>
            <w:name w:val="CSTD_NAME"/>
            <w:enabled/>
            <w:calcOnExit w:val="0"/>
            <w:textInput>
              <w:default w:val="耳鼻喉科临床护理效果大数据分析与持续改进规范"/>
            </w:textInput>
          </w:ffData>
        </w:fldChar>
      </w:r>
      <w:bookmarkStart w:id="9" w:name="CSTD_NAME"/>
      <w:r>
        <w:instrText xml:space="preserve"> FORMTEXT </w:instrText>
      </w:r>
      <w:r>
        <w:fldChar w:fldCharType="separate"/>
      </w:r>
      <w:r>
        <w:t>耳鼻喉科临床护理效果大数据分析</w:t>
      </w:r>
    </w:p>
    <w:p w14:paraId="73594FE6">
      <w:pPr>
        <w:pStyle w:val="197"/>
        <w:framePr w:h="6974" w:hRule="exact" w:wrap="around" w:x="1419" w:anchorLock="1"/>
      </w:pPr>
      <w:r>
        <w:t>与持续改进规范</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big data analysis and continuous improvement of clinical nursing outcomes in otorhinolaryngology"/>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big data analysis and continuous improvement of clinical nursing outcomes in otorhinolaryngology</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A916D3E">
      <w:pPr>
        <w:pStyle w:val="91"/>
        <w:spacing w:after="360"/>
      </w:pPr>
      <w:bookmarkStart w:id="21" w:name="BookMark1"/>
      <w:r>
        <w:rPr>
          <w:rFonts w:hint="eastAsia"/>
          <w:spacing w:val="320"/>
        </w:rPr>
        <w:t>目</w:t>
      </w:r>
      <w:r>
        <w:rPr>
          <w:rFonts w:hint="eastAsia"/>
        </w:rPr>
        <w:t>次</w:t>
      </w:r>
    </w:p>
    <w:p w14:paraId="33AA6E7F">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"_Toc205559569" </w:instrText>
      </w:r>
      <w:r>
        <w:fldChar w:fldCharType="separate"/>
      </w:r>
      <w:r>
        <w:rPr>
          <w:rStyle w:val="32"/>
        </w:rPr>
        <w:t>前言</w:t>
      </w:r>
      <w:r>
        <w:tab/>
      </w:r>
      <w:r>
        <w:fldChar w:fldCharType="begin"/>
      </w:r>
      <w:r>
        <w:instrText xml:space="preserve"> PAGEREF _Toc205559569 \h </w:instrText>
      </w:r>
      <w:r>
        <w:fldChar w:fldCharType="separate"/>
      </w:r>
      <w:r>
        <w:t>III</w:t>
      </w:r>
      <w:r>
        <w:fldChar w:fldCharType="end"/>
      </w:r>
      <w:r>
        <w:fldChar w:fldCharType="end"/>
      </w:r>
    </w:p>
    <w:p w14:paraId="2C5DD1E8">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"_Toc205559570" </w:instrText>
      </w:r>
      <w:r>
        <w:fldChar w:fldCharType="separate"/>
      </w:r>
      <w:r>
        <w:rPr>
          <w:rStyle w:val="32"/>
        </w:rPr>
        <w:t>引言</w:t>
      </w:r>
      <w:r>
        <w:tab/>
      </w:r>
      <w:r>
        <w:fldChar w:fldCharType="begin"/>
      </w:r>
      <w:r>
        <w:instrText xml:space="preserve"> PAGEREF _Toc205559570 \h </w:instrText>
      </w:r>
      <w:r>
        <w:fldChar w:fldCharType="separate"/>
      </w:r>
      <w:r>
        <w:t>V</w:t>
      </w:r>
      <w:r>
        <w:fldChar w:fldCharType="end"/>
      </w:r>
      <w:r>
        <w:fldChar w:fldCharType="end"/>
      </w:r>
    </w:p>
    <w:p w14:paraId="264A8DF8">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"_Toc205559571" </w:instrText>
      </w:r>
      <w:r>
        <w:fldChar w:fldCharType="separate"/>
      </w:r>
      <w:r>
        <w:rPr>
          <w:rStyle w:val="32"/>
        </w:rPr>
        <w:t>1  范围</w:t>
      </w:r>
      <w:r>
        <w:tab/>
      </w:r>
      <w:r>
        <w:fldChar w:fldCharType="begin"/>
      </w:r>
      <w:r>
        <w:instrText xml:space="preserve"> PAGEREF _Toc205559571 \h </w:instrText>
      </w:r>
      <w:r>
        <w:fldChar w:fldCharType="separate"/>
      </w:r>
      <w:r>
        <w:t>1</w:t>
      </w:r>
      <w:r>
        <w:fldChar w:fldCharType="end"/>
      </w:r>
      <w:r>
        <w:fldChar w:fldCharType="end"/>
      </w:r>
    </w:p>
    <w:p w14:paraId="15353106">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"_Toc205559572" </w:instrText>
      </w:r>
      <w:r>
        <w:fldChar w:fldCharType="separate"/>
      </w:r>
      <w:r>
        <w:rPr>
          <w:rStyle w:val="32"/>
        </w:rPr>
        <w:t>2  规范性引用文件</w:t>
      </w:r>
      <w:r>
        <w:tab/>
      </w:r>
      <w:r>
        <w:fldChar w:fldCharType="begin"/>
      </w:r>
      <w:r>
        <w:instrText xml:space="preserve"> PAGEREF _Toc205559572 \h </w:instrText>
      </w:r>
      <w:r>
        <w:fldChar w:fldCharType="separate"/>
      </w:r>
      <w:r>
        <w:t>1</w:t>
      </w:r>
      <w:r>
        <w:fldChar w:fldCharType="end"/>
      </w:r>
      <w:r>
        <w:fldChar w:fldCharType="end"/>
      </w:r>
    </w:p>
    <w:p w14:paraId="34A6630F">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"_Toc205559573" </w:instrText>
      </w:r>
      <w:r>
        <w:fldChar w:fldCharType="separate"/>
      </w:r>
      <w:r>
        <w:rPr>
          <w:rStyle w:val="32"/>
        </w:rPr>
        <w:t>3  术语和定义</w:t>
      </w:r>
      <w:r>
        <w:tab/>
      </w:r>
      <w:r>
        <w:fldChar w:fldCharType="begin"/>
      </w:r>
      <w:r>
        <w:instrText xml:space="preserve"> PAGEREF _Toc205559573 \h </w:instrText>
      </w:r>
      <w:r>
        <w:fldChar w:fldCharType="separate"/>
      </w:r>
      <w:r>
        <w:t>1</w:t>
      </w:r>
      <w:r>
        <w:fldChar w:fldCharType="end"/>
      </w:r>
      <w:r>
        <w:fldChar w:fldCharType="end"/>
      </w:r>
    </w:p>
    <w:p w14:paraId="6E3312E9">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"_Toc205559574" </w:instrText>
      </w:r>
      <w:r>
        <w:fldChar w:fldCharType="separate"/>
      </w:r>
      <w:r>
        <w:rPr>
          <w:rStyle w:val="32"/>
        </w:rPr>
        <w:t>4  总体原则</w:t>
      </w:r>
      <w:r>
        <w:tab/>
      </w:r>
      <w:r>
        <w:fldChar w:fldCharType="begin"/>
      </w:r>
      <w:r>
        <w:instrText xml:space="preserve"> PAGEREF _Toc205559574 \h </w:instrText>
      </w:r>
      <w:r>
        <w:fldChar w:fldCharType="separate"/>
      </w:r>
      <w:r>
        <w:t>2</w:t>
      </w:r>
      <w:r>
        <w:fldChar w:fldCharType="end"/>
      </w:r>
      <w:r>
        <w:fldChar w:fldCharType="end"/>
      </w:r>
    </w:p>
    <w:p w14:paraId="38695407">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"_Toc205559575" </w:instrText>
      </w:r>
      <w:r>
        <w:fldChar w:fldCharType="separate"/>
      </w:r>
      <w:r>
        <w:rPr>
          <w:rStyle w:val="32"/>
        </w:rPr>
        <w:t>5  数据采集与管理</w:t>
      </w:r>
      <w:r>
        <w:tab/>
      </w:r>
      <w:r>
        <w:fldChar w:fldCharType="begin"/>
      </w:r>
      <w:r>
        <w:instrText xml:space="preserve"> PAGEREF _Toc205559575 \h </w:instrText>
      </w:r>
      <w:r>
        <w:fldChar w:fldCharType="separate"/>
      </w:r>
      <w:r>
        <w:t>3</w:t>
      </w:r>
      <w:r>
        <w:fldChar w:fldCharType="end"/>
      </w:r>
      <w:r>
        <w:fldChar w:fldCharType="end"/>
      </w:r>
    </w:p>
    <w:p w14:paraId="3BC97339">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"_Toc205559576" </w:instrText>
      </w:r>
      <w:r>
        <w:fldChar w:fldCharType="separate"/>
      </w:r>
      <w:r>
        <w:rPr>
          <w:rStyle w:val="32"/>
        </w:rPr>
        <w:t>6  数据分析方法</w:t>
      </w:r>
      <w:r>
        <w:tab/>
      </w:r>
      <w:r>
        <w:fldChar w:fldCharType="begin"/>
      </w:r>
      <w:r>
        <w:instrText xml:space="preserve"> PAGEREF _Toc205559576 \h </w:instrText>
      </w:r>
      <w:r>
        <w:fldChar w:fldCharType="separate"/>
      </w:r>
      <w:r>
        <w:t>4</w:t>
      </w:r>
      <w:r>
        <w:fldChar w:fldCharType="end"/>
      </w:r>
      <w:r>
        <w:fldChar w:fldCharType="end"/>
      </w:r>
    </w:p>
    <w:p w14:paraId="3A563403">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"_Toc205559577" </w:instrText>
      </w:r>
      <w:r>
        <w:fldChar w:fldCharType="separate"/>
      </w:r>
      <w:r>
        <w:rPr>
          <w:rStyle w:val="32"/>
        </w:rPr>
        <w:t>7  护理质量评价体系</w:t>
      </w:r>
      <w:r>
        <w:tab/>
      </w:r>
      <w:r>
        <w:fldChar w:fldCharType="begin"/>
      </w:r>
      <w:r>
        <w:instrText xml:space="preserve"> PAGEREF _Toc205559577 \h </w:instrText>
      </w:r>
      <w:r>
        <w:fldChar w:fldCharType="separate"/>
      </w:r>
      <w:r>
        <w:t>5</w:t>
      </w:r>
      <w:r>
        <w:fldChar w:fldCharType="end"/>
      </w:r>
      <w:r>
        <w:fldChar w:fldCharType="end"/>
      </w:r>
    </w:p>
    <w:p w14:paraId="18163CEC">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"_Toc205559578" </w:instrText>
      </w:r>
      <w:r>
        <w:fldChar w:fldCharType="separate"/>
      </w:r>
      <w:r>
        <w:rPr>
          <w:rStyle w:val="32"/>
        </w:rPr>
        <w:t>8  持续改进流程</w:t>
      </w:r>
      <w:r>
        <w:tab/>
      </w:r>
      <w:r>
        <w:fldChar w:fldCharType="begin"/>
      </w:r>
      <w:r>
        <w:instrText xml:space="preserve"> PAGEREF _Toc205559578 \h </w:instrText>
      </w:r>
      <w:r>
        <w:fldChar w:fldCharType="separate"/>
      </w:r>
      <w:r>
        <w:t>5</w:t>
      </w:r>
      <w:r>
        <w:fldChar w:fldCharType="end"/>
      </w:r>
      <w:r>
        <w:fldChar w:fldCharType="end"/>
      </w:r>
    </w:p>
    <w:p w14:paraId="282BD771">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"_Toc205559579" </w:instrText>
      </w:r>
      <w:r>
        <w:fldChar w:fldCharType="separate"/>
      </w:r>
      <w:r>
        <w:rPr>
          <w:rStyle w:val="32"/>
        </w:rPr>
        <w:t>9  信息安全与隐私保护</w:t>
      </w:r>
      <w:r>
        <w:tab/>
      </w:r>
      <w:r>
        <w:fldChar w:fldCharType="begin"/>
      </w:r>
      <w:r>
        <w:instrText xml:space="preserve"> PAGEREF _Toc205559579 \h </w:instrText>
      </w:r>
      <w:r>
        <w:fldChar w:fldCharType="separate"/>
      </w:r>
      <w:r>
        <w:t>6</w:t>
      </w:r>
      <w:r>
        <w:fldChar w:fldCharType="end"/>
      </w:r>
      <w:r>
        <w:fldChar w:fldCharType="end"/>
      </w:r>
    </w:p>
    <w:p w14:paraId="34F4DC40">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"_Toc205559580" </w:instrText>
      </w:r>
      <w:r>
        <w:fldChar w:fldCharType="separate"/>
      </w:r>
      <w:r>
        <w:rPr>
          <w:rStyle w:val="32"/>
        </w:rPr>
        <w:t>10  验收与评估</w:t>
      </w:r>
      <w:r>
        <w:tab/>
      </w:r>
      <w:r>
        <w:fldChar w:fldCharType="begin"/>
      </w:r>
      <w:r>
        <w:instrText xml:space="preserve"> PAGEREF _Toc205559580 \h </w:instrText>
      </w:r>
      <w:r>
        <w:fldChar w:fldCharType="separate"/>
      </w:r>
      <w:r>
        <w:t>7</w:t>
      </w:r>
      <w:r>
        <w:fldChar w:fldCharType="end"/>
      </w:r>
      <w:r>
        <w:fldChar w:fldCharType="end"/>
      </w:r>
    </w:p>
    <w:p w14:paraId="30B240B1">
      <w:pPr>
        <w:pStyle w:val="19"/>
        <w:tabs>
          <w:tab w:val="right" w:leader="dot" w:pos="9344"/>
        </w:tabs>
        <w:rPr>
          <w:rFonts w:asciiTheme="minorHAnsi" w:hAnsiTheme="minorHAnsi" w:eastAsiaTheme="minorEastAsia" w:cstheme="minorBidi"/>
          <w:szCs w:val="22"/>
        </w:rPr>
      </w:pPr>
      <w:r>
        <w:fldChar w:fldCharType="begin"/>
      </w:r>
      <w:r>
        <w:instrText xml:space="preserve"> HYPERLINK \l "_Toc205559581" </w:instrText>
      </w:r>
      <w:r>
        <w:fldChar w:fldCharType="separate"/>
      </w:r>
      <w:r>
        <w:rPr>
          <w:rStyle w:val="32"/>
        </w:rPr>
        <w:t>11  附则</w:t>
      </w:r>
      <w:r>
        <w:tab/>
      </w:r>
      <w:r>
        <w:fldChar w:fldCharType="begin"/>
      </w:r>
      <w:r>
        <w:instrText xml:space="preserve"> PAGEREF _Toc205559581 \h </w:instrText>
      </w:r>
      <w:r>
        <w:fldChar w:fldCharType="separate"/>
      </w:r>
      <w:r>
        <w:t>8</w:t>
      </w:r>
      <w:r>
        <w:fldChar w:fldCharType="end"/>
      </w:r>
      <w:r>
        <w:fldChar w:fldCharType="end"/>
      </w:r>
    </w:p>
    <w:p w14:paraId="0F65D316">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5956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本文件起草单位：陆军第九五八医院。</w:t>
      </w:r>
    </w:p>
    <w:p w14:paraId="07D11BA8">
      <w:pPr>
        <w:pStyle w:val="56"/>
        <w:spacing w:line="360" w:lineRule="auto"/>
        <w:ind w:firstLine="420"/>
      </w:pPr>
      <w:r>
        <w:rPr>
          <w:rFonts w:hint="eastAsia"/>
        </w:rPr>
        <w:t>本文件主要起草人：李小娅。</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559570"/>
      <w:bookmarkStart w:id="25" w:name="BookMark3"/>
      <w:r>
        <w:rPr>
          <w:spacing w:val="320"/>
        </w:rPr>
        <w:t>引</w:t>
      </w:r>
      <w:r>
        <w:t>言</w:t>
      </w:r>
      <w:bookmarkEnd w:id="24"/>
    </w:p>
    <w:p w14:paraId="36B5370F">
      <w:pPr>
        <w:pStyle w:val="56"/>
        <w:spacing w:line="360" w:lineRule="auto"/>
        <w:ind w:firstLine="420"/>
      </w:pPr>
      <w:r>
        <w:rPr>
          <w:rFonts w:hint="eastAsia"/>
        </w:rPr>
        <w:t>耳鼻喉科疾病种类繁多，涵盖耳科、鼻科、咽喉科及头颈相关疾病，患者病情差异大、治疗周期长、复发率较高，对护理质量的稳定性和持续改进提出了较高要求。随着医疗信息化建设和数据采集技术的发展，临床护理工作中积累了大量与患者诊疗过程、护理干预措施、康复结果相关的数据，这为开展基于大数据分析的护理质量评估和持续改进提供了坚实基础。</w:t>
      </w:r>
    </w:p>
    <w:p w14:paraId="73C2D156">
      <w:pPr>
        <w:pStyle w:val="56"/>
        <w:spacing w:line="360" w:lineRule="auto"/>
        <w:ind w:firstLine="420"/>
      </w:pPr>
      <w:r>
        <w:rPr>
          <w:rFonts w:hint="eastAsia"/>
        </w:rPr>
        <w:t>传统护理质量评价多依赖人工记录和抽样分析，存在数据量有限、主观性强、反馈周期长等不足，难以及时发现和纠正问题。通过引入大数据分析技术，可实现护理全过程多维度数据的自动采集、实时分析与动态评估，帮助护理团队精准识别风险点、优化干预措施、提高患者满意度，并推动护理质量持续提升。</w:t>
      </w:r>
    </w:p>
    <w:p w14:paraId="7F4A69FE">
      <w:pPr>
        <w:pStyle w:val="56"/>
        <w:spacing w:line="360" w:lineRule="auto"/>
        <w:ind w:firstLine="420"/>
      </w:pPr>
      <w:r>
        <w:rPr>
          <w:rFonts w:hint="eastAsia"/>
        </w:rPr>
        <w:t>本文件结合耳鼻喉科临床护理的特点与大数据分析的技术优势，对护理效果数据采集、存储与管理、分析模型构建、质量评价体系、持续改进机制等提出规范性要求，旨在为医疗机构建立科学、系统、可追溯的护理质量管理模式提供技术依据。本文件的实施将有助于促进耳鼻喉科护理服务的精准化、个性化和高质量发展，为患者康复效果和生活质量的持续改善提供保障。</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0910C956">
          <w:pPr>
            <w:pStyle w:val="177"/>
            <w:spacing w:after="0"/>
          </w:pPr>
          <w:bookmarkStart w:id="27" w:name="NEW_STAND_NAME"/>
          <w:r>
            <w:rPr>
              <w:rFonts w:hint="eastAsia"/>
            </w:rPr>
            <w:t>耳鼻喉科临床护理效果大数据分析</w:t>
          </w:r>
        </w:p>
        <w:p w14:paraId="7D4E3E1F">
          <w:pPr>
            <w:pStyle w:val="177"/>
            <w:spacing w:before="0"/>
          </w:pPr>
          <w:r>
            <w:rPr>
              <w:rFonts w:hint="eastAsia"/>
            </w:rPr>
            <w:t>与持续改进规范</w:t>
          </w:r>
        </w:p>
      </w:sdtContent>
    </w:sdt>
    <w:bookmarkEnd w:id="27"/>
    <w:p w14:paraId="3DB22445">
      <w:pPr>
        <w:pStyle w:val="104"/>
        <w:spacing w:before="240" w:after="240" w:line="360" w:lineRule="auto"/>
      </w:pPr>
      <w:bookmarkStart w:id="28" w:name="_Toc17233325"/>
      <w:bookmarkStart w:id="29" w:name="_Toc26718930"/>
      <w:bookmarkStart w:id="30" w:name="_Toc26986771"/>
      <w:bookmarkStart w:id="31" w:name="_Toc205559571"/>
      <w:bookmarkStart w:id="32" w:name="_Toc26986530"/>
      <w:bookmarkStart w:id="33" w:name="_Toc24884211"/>
      <w:bookmarkStart w:id="34" w:name="_Toc17233333"/>
      <w:bookmarkStart w:id="35" w:name="_Toc24884218"/>
      <w:bookmarkStart w:id="36" w:name="_Toc26648465"/>
      <w:bookmarkStart w:id="37" w:name="_Toc97192964"/>
      <w:r>
        <w:rPr>
          <w:rFonts w:hint="eastAsia"/>
        </w:rPr>
        <w:t>范围</w:t>
      </w:r>
      <w:bookmarkEnd w:id="28"/>
      <w:bookmarkEnd w:id="29"/>
      <w:bookmarkEnd w:id="30"/>
      <w:bookmarkEnd w:id="31"/>
      <w:bookmarkEnd w:id="32"/>
      <w:bookmarkEnd w:id="33"/>
      <w:bookmarkEnd w:id="34"/>
      <w:bookmarkEnd w:id="35"/>
      <w:bookmarkEnd w:id="36"/>
      <w:bookmarkEnd w:id="37"/>
    </w:p>
    <w:p w14:paraId="0B43F672">
      <w:pPr>
        <w:pStyle w:val="56"/>
        <w:spacing w:line="360" w:lineRule="auto"/>
        <w:ind w:firstLine="420"/>
      </w:pPr>
      <w:bookmarkStart w:id="38" w:name="_Toc17233326"/>
      <w:bookmarkStart w:id="39" w:name="_Toc17233334"/>
      <w:bookmarkStart w:id="40" w:name="_Toc24884212"/>
      <w:bookmarkStart w:id="41" w:name="_Toc26648466"/>
      <w:bookmarkStart w:id="42" w:name="_Toc24884219"/>
      <w:r>
        <w:rPr>
          <w:rFonts w:hint="eastAsia"/>
        </w:rPr>
        <w:t>本文件规定了耳鼻喉科临床护理效果大数据分析与持续改进的基本要求，包括总体原则、数据采集与管理、数据分析方法、护理质量评价体系、持续改进流程、信息安全与隐私保护及验收与评估等内容。</w:t>
      </w:r>
    </w:p>
    <w:p w14:paraId="711AB9F2">
      <w:pPr>
        <w:pStyle w:val="56"/>
        <w:spacing w:line="360" w:lineRule="auto"/>
        <w:ind w:firstLine="420"/>
      </w:pPr>
      <w:r>
        <w:rPr>
          <w:rFonts w:hint="eastAsia"/>
        </w:rPr>
        <w:t>本文件适用于各级医疗机构在耳鼻喉科临床护理工作中开展基于大数据的质量分析与持续改进，也适用于护理管理部门、质量控制中心及相关科研机构的护理数据分析与应用工作。</w:t>
      </w:r>
    </w:p>
    <w:p w14:paraId="76265264">
      <w:pPr>
        <w:pStyle w:val="56"/>
        <w:spacing w:line="360" w:lineRule="auto"/>
        <w:ind w:firstLine="420"/>
      </w:pPr>
      <w:r>
        <w:rPr>
          <w:rFonts w:hint="eastAsia"/>
        </w:rPr>
        <w:t>其他临床科室在护理质量管理中开展大数据分析与持续改进，可参照本文件执行。</w:t>
      </w:r>
    </w:p>
    <w:p w14:paraId="3733B2AD">
      <w:pPr>
        <w:pStyle w:val="104"/>
        <w:spacing w:before="240" w:after="240" w:line="360" w:lineRule="auto"/>
      </w:pPr>
      <w:bookmarkStart w:id="43" w:name="_Toc205559572"/>
      <w:bookmarkStart w:id="44" w:name="_Toc26718931"/>
      <w:bookmarkStart w:id="45" w:name="_Toc26986772"/>
      <w:bookmarkStart w:id="46" w:name="_Toc269865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3DCB51">
      <w:pPr>
        <w:pStyle w:val="56"/>
        <w:spacing w:line="360" w:lineRule="auto"/>
        <w:ind w:firstLine="420"/>
      </w:pPr>
      <w:r>
        <w:rPr>
          <w:rFonts w:hint="eastAsia"/>
        </w:rPr>
        <w:t>GB/T 22239—2</w:t>
      </w:r>
      <w:r>
        <w:t>019</w:t>
      </w:r>
      <w:r>
        <w:rPr>
          <w:rFonts w:hint="eastAsia"/>
        </w:rPr>
        <w:t xml:space="preserve"> 信息安全技术 </w:t>
      </w:r>
      <w:r>
        <w:t xml:space="preserve"> </w:t>
      </w:r>
      <w:r>
        <w:rPr>
          <w:rFonts w:hint="eastAsia"/>
        </w:rPr>
        <w:t>网络安全等级保护基本要求</w:t>
      </w:r>
    </w:p>
    <w:p w14:paraId="7D06F0A1">
      <w:pPr>
        <w:pStyle w:val="56"/>
        <w:spacing w:line="360" w:lineRule="auto"/>
        <w:ind w:firstLine="420"/>
      </w:pPr>
      <w:r>
        <w:rPr>
          <w:rFonts w:hint="eastAsia"/>
        </w:rPr>
        <w:t>GB/T 35273—2</w:t>
      </w:r>
      <w:r>
        <w:t>020</w:t>
      </w:r>
      <w:r>
        <w:rPr>
          <w:rFonts w:hint="eastAsia"/>
        </w:rPr>
        <w:t xml:space="preserve"> 信息安全技术 </w:t>
      </w:r>
      <w:r>
        <w:t xml:space="preserve"> </w:t>
      </w:r>
      <w:r>
        <w:rPr>
          <w:rFonts w:hint="eastAsia"/>
        </w:rPr>
        <w:t>个人信息安全规范</w:t>
      </w:r>
    </w:p>
    <w:p w14:paraId="4B9DFFBE">
      <w:pPr>
        <w:pStyle w:val="56"/>
        <w:spacing w:line="360" w:lineRule="auto"/>
        <w:ind w:firstLine="420"/>
      </w:pPr>
      <w:r>
        <w:rPr>
          <w:rFonts w:hint="eastAsia"/>
        </w:rPr>
        <w:t xml:space="preserve">GB/T </w:t>
      </w:r>
      <w:r>
        <w:t>36626</w:t>
      </w:r>
      <w:r>
        <w:rPr>
          <w:rFonts w:hint="eastAsia"/>
        </w:rPr>
        <w:t>—</w:t>
      </w:r>
      <w:r>
        <w:t>2018</w:t>
      </w:r>
      <w:r>
        <w:rPr>
          <w:rFonts w:hint="eastAsia"/>
        </w:rPr>
        <w:t xml:space="preserve"> 信息安全技术 </w:t>
      </w:r>
      <w:r>
        <w:t xml:space="preserve"> </w:t>
      </w:r>
      <w:r>
        <w:rPr>
          <w:rFonts w:hint="eastAsia"/>
        </w:rPr>
        <w:t>信息系统安全运维管理指南</w:t>
      </w:r>
    </w:p>
    <w:p w14:paraId="07A7F860">
      <w:pPr>
        <w:pStyle w:val="56"/>
        <w:spacing w:line="360" w:lineRule="auto"/>
        <w:ind w:firstLine="420"/>
      </w:pPr>
      <w:r>
        <w:rPr>
          <w:rFonts w:hint="eastAsia"/>
        </w:rPr>
        <w:t>GB/T 37</w:t>
      </w:r>
      <w:r>
        <w:t>973</w:t>
      </w:r>
      <w:r>
        <w:rPr>
          <w:rFonts w:hint="eastAsia"/>
        </w:rPr>
        <w:t>—2</w:t>
      </w:r>
      <w:r>
        <w:t>019</w:t>
      </w:r>
      <w:r>
        <w:rPr>
          <w:rFonts w:hint="eastAsia"/>
        </w:rPr>
        <w:t xml:space="preserve"> 信息安全技术 </w:t>
      </w:r>
      <w:r>
        <w:t xml:space="preserve"> </w:t>
      </w:r>
      <w:r>
        <w:rPr>
          <w:rFonts w:hint="eastAsia"/>
        </w:rPr>
        <w:t>大数据安全管理指南</w:t>
      </w:r>
    </w:p>
    <w:p w14:paraId="51F02A4E">
      <w:pPr>
        <w:pStyle w:val="104"/>
        <w:spacing w:before="240" w:after="240" w:line="360" w:lineRule="auto"/>
      </w:pPr>
      <w:bookmarkStart w:id="48" w:name="_Toc205559573"/>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EFDE5E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耳鼻喉科临床护理效果 otorhinolaryngology clinical nursing outcomes</w:t>
      </w:r>
    </w:p>
    <w:p w14:paraId="3D68B3E4">
      <w:pPr>
        <w:pStyle w:val="56"/>
        <w:spacing w:line="360" w:lineRule="auto"/>
        <w:ind w:firstLine="420"/>
      </w:pPr>
      <w:r>
        <w:rPr>
          <w:rFonts w:hint="eastAsia"/>
        </w:rPr>
        <w:t>通过护理干预在耳鼻喉科患者诊疗过程中所取得的健康改善程度，包括症状缓解、功能恢复、并发症控制、生活质量提升及患者满意度等方面的综合结果。</w:t>
      </w:r>
    </w:p>
    <w:p w14:paraId="073F848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大数据分析 big data analytics</w:t>
      </w:r>
    </w:p>
    <w:p w14:paraId="2ACB40D3">
      <w:pPr>
        <w:pStyle w:val="56"/>
        <w:spacing w:line="360" w:lineRule="auto"/>
        <w:ind w:firstLine="420"/>
      </w:pPr>
      <w:r>
        <w:rPr>
          <w:rFonts w:hint="eastAsia"/>
        </w:rPr>
        <w:t>对来源广泛、类型多样、规模庞大的护理相关数据进行采集、清洗、存储、处理和建模分析的过程，以发现潜在规律、评估护理质量并指导改进决策。</w:t>
      </w:r>
    </w:p>
    <w:p w14:paraId="7ACFF83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持续改进 continuous improvement</w:t>
      </w:r>
    </w:p>
    <w:p w14:paraId="17737AA1">
      <w:pPr>
        <w:pStyle w:val="56"/>
        <w:spacing w:line="360" w:lineRule="auto"/>
        <w:ind w:firstLine="420"/>
      </w:pPr>
      <w:r>
        <w:rPr>
          <w:rFonts w:hint="eastAsia"/>
        </w:rPr>
        <w:t>基于数据分析和质量评估结果，对护理措施、流程、管理体系进行不断优化的管理过程，旨在实现护理质量的长期稳定提升。</w:t>
      </w:r>
    </w:p>
    <w:p w14:paraId="23DA15C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护理质量评价 nursing quality assessment</w:t>
      </w:r>
    </w:p>
    <w:p w14:paraId="00823DB3">
      <w:pPr>
        <w:pStyle w:val="56"/>
        <w:spacing w:line="360" w:lineRule="auto"/>
        <w:ind w:firstLine="420"/>
      </w:pPr>
      <w:r>
        <w:rPr>
          <w:rFonts w:hint="eastAsia"/>
        </w:rPr>
        <w:t>通过设定科学、可量化的指标体系，对护理服务过程、效果及患者体验进行综合评判的活动。</w:t>
      </w:r>
    </w:p>
    <w:p w14:paraId="68CA011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临床护理数据 clinical nursing data</w:t>
      </w:r>
    </w:p>
    <w:p w14:paraId="2898CEFF">
      <w:pPr>
        <w:pStyle w:val="56"/>
        <w:spacing w:line="360" w:lineRule="auto"/>
        <w:ind w:firstLine="420"/>
      </w:pPr>
      <w:r>
        <w:rPr>
          <w:rFonts w:hint="eastAsia"/>
        </w:rPr>
        <w:t>在患者诊疗与护理过程中产生的、能够反映护理活动和健康状况的信息集合，包括结构化数据（如体温、脉搏、药物剂量）和非结构化数据（如护理记录、影像资料）。</w:t>
      </w:r>
    </w:p>
    <w:p w14:paraId="72AB8D0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数据可追溯性 data traceability</w:t>
      </w:r>
    </w:p>
    <w:p w14:paraId="11ED0D72">
      <w:pPr>
        <w:pStyle w:val="56"/>
        <w:spacing w:line="360" w:lineRule="auto"/>
        <w:ind w:firstLine="420"/>
      </w:pPr>
      <w:r>
        <w:rPr>
          <w:rFonts w:hint="eastAsia"/>
        </w:rPr>
        <w:t>确保护理数据从采集、存储、传输到使用的全过程中均可确认其来源、变更记录和责任主体的特性。</w:t>
      </w:r>
    </w:p>
    <w:p w14:paraId="2541EB93">
      <w:pPr>
        <w:pStyle w:val="104"/>
        <w:spacing w:before="240" w:after="240" w:line="360" w:lineRule="auto"/>
      </w:pPr>
      <w:bookmarkStart w:id="51" w:name="_Toc205559574"/>
      <w:r>
        <w:rPr>
          <w:rFonts w:hint="eastAsia"/>
        </w:rPr>
        <w:t>总体原则</w:t>
      </w:r>
      <w:bookmarkEnd w:id="51"/>
    </w:p>
    <w:p w14:paraId="6CF73899">
      <w:pPr>
        <w:pStyle w:val="105"/>
        <w:spacing w:before="120" w:after="120" w:line="360" w:lineRule="auto"/>
      </w:pPr>
      <w:r>
        <w:rPr>
          <w:rFonts w:hint="eastAsia"/>
        </w:rPr>
        <w:t>以患者为中心</w:t>
      </w:r>
    </w:p>
    <w:p w14:paraId="63432962">
      <w:pPr>
        <w:pStyle w:val="56"/>
        <w:spacing w:line="360" w:lineRule="auto"/>
        <w:ind w:firstLine="420"/>
      </w:pPr>
      <w:r>
        <w:rPr>
          <w:rFonts w:hint="eastAsia"/>
        </w:rPr>
        <w:t>大数据分析与持续改进工作应始终围绕患者健康需求和护理质量提升目标展开，确保分析结果和改进措施能够直接促进患者康复、提高生活质量与满意度。</w:t>
      </w:r>
    </w:p>
    <w:p w14:paraId="2BE3F821">
      <w:pPr>
        <w:pStyle w:val="105"/>
        <w:spacing w:before="120" w:after="120" w:line="360" w:lineRule="auto"/>
      </w:pPr>
      <w:r>
        <w:rPr>
          <w:rFonts w:hint="eastAsia"/>
        </w:rPr>
        <w:t>科学性与准确性</w:t>
      </w:r>
    </w:p>
    <w:p w14:paraId="63B2E3AD">
      <w:pPr>
        <w:pStyle w:val="56"/>
        <w:spacing w:line="360" w:lineRule="auto"/>
        <w:ind w:firstLine="420"/>
      </w:pPr>
      <w:r>
        <w:rPr>
          <w:rFonts w:hint="eastAsia"/>
        </w:rPr>
        <w:t>数据采集、处理与分析应基于科学的方法和标准化流程，保证数据的准确性、完整性和时效性，避免因数据偏差影响结论的可靠性。</w:t>
      </w:r>
    </w:p>
    <w:p w14:paraId="721C1E8B">
      <w:pPr>
        <w:pStyle w:val="105"/>
        <w:spacing w:before="120" w:after="120" w:line="360" w:lineRule="auto"/>
      </w:pPr>
      <w:r>
        <w:rPr>
          <w:rFonts w:hint="eastAsia"/>
        </w:rPr>
        <w:t>系统性与全程覆盖</w:t>
      </w:r>
    </w:p>
    <w:p w14:paraId="3BCCAE56">
      <w:pPr>
        <w:pStyle w:val="56"/>
        <w:spacing w:line="360" w:lineRule="auto"/>
        <w:ind w:firstLine="420"/>
      </w:pPr>
      <w:r>
        <w:rPr>
          <w:rFonts w:hint="eastAsia"/>
        </w:rPr>
        <w:t>应覆盖耳鼻喉科护理全过程，包括入院评估、术前准备、术中配合、术后护理、康复指导及随访管理，确保数据分析和改进措施具有全链条效应。</w:t>
      </w:r>
    </w:p>
    <w:p w14:paraId="2699CA33">
      <w:pPr>
        <w:pStyle w:val="105"/>
        <w:spacing w:before="120" w:after="120" w:line="360" w:lineRule="auto"/>
      </w:pPr>
      <w:r>
        <w:rPr>
          <w:rFonts w:hint="eastAsia"/>
        </w:rPr>
        <w:t>动态性与持续性</w:t>
      </w:r>
    </w:p>
    <w:p w14:paraId="74EEDB6B">
      <w:pPr>
        <w:pStyle w:val="56"/>
        <w:spacing w:line="360" w:lineRule="auto"/>
        <w:ind w:firstLine="420"/>
      </w:pPr>
      <w:r>
        <w:rPr>
          <w:rFonts w:hint="eastAsia"/>
        </w:rPr>
        <w:t>大数据分析应具备动态更新和实时反馈能力，使护理团队能够根据最新数据及时调整护理措施，实现持续改进。</w:t>
      </w:r>
    </w:p>
    <w:p w14:paraId="4F02CFE5">
      <w:pPr>
        <w:pStyle w:val="105"/>
        <w:spacing w:before="120" w:after="120" w:line="360" w:lineRule="auto"/>
      </w:pPr>
      <w:r>
        <w:rPr>
          <w:rFonts w:hint="eastAsia"/>
        </w:rPr>
        <w:t>安全性与隐私保护</w:t>
      </w:r>
    </w:p>
    <w:p w14:paraId="39EE600E">
      <w:pPr>
        <w:pStyle w:val="56"/>
        <w:spacing w:line="360" w:lineRule="auto"/>
        <w:ind w:firstLine="420"/>
      </w:pPr>
      <w:r>
        <w:rPr>
          <w:rFonts w:hint="eastAsia"/>
        </w:rPr>
        <w:t>护理数据的采集、存储、传输与使用应符合信息安全和个人隐私保护相关要求，防止数据泄露、篡改或被非法利用。</w:t>
      </w:r>
    </w:p>
    <w:p w14:paraId="3ECD7434">
      <w:pPr>
        <w:pStyle w:val="105"/>
        <w:spacing w:before="120" w:after="120" w:line="360" w:lineRule="auto"/>
      </w:pPr>
      <w:r>
        <w:rPr>
          <w:rFonts w:hint="eastAsia"/>
        </w:rPr>
        <w:t>协作性与共享性</w:t>
      </w:r>
    </w:p>
    <w:p w14:paraId="4E298868">
      <w:pPr>
        <w:pStyle w:val="56"/>
        <w:spacing w:line="360" w:lineRule="auto"/>
        <w:ind w:firstLine="420"/>
      </w:pPr>
      <w:r>
        <w:rPr>
          <w:rFonts w:hint="eastAsia"/>
        </w:rPr>
        <w:t>鼓励护理、医师、信息技术、质量管理等多部门协同合作，推动数据在合法合规前提下的跨部门共享与联合分析，提高决策的全面性与精准性。</w:t>
      </w:r>
    </w:p>
    <w:p w14:paraId="31B07DF8">
      <w:pPr>
        <w:pStyle w:val="104"/>
        <w:spacing w:before="240" w:after="240" w:line="360" w:lineRule="auto"/>
      </w:pPr>
      <w:bookmarkStart w:id="52" w:name="_Toc205559575"/>
      <w:r>
        <w:rPr>
          <w:rFonts w:hint="eastAsia"/>
        </w:rPr>
        <w:t>数据采集与管理</w:t>
      </w:r>
      <w:bookmarkEnd w:id="52"/>
    </w:p>
    <w:p w14:paraId="5ADD607E">
      <w:pPr>
        <w:pStyle w:val="105"/>
        <w:spacing w:before="120" w:after="120" w:line="360" w:lineRule="auto"/>
      </w:pPr>
      <w:r>
        <w:rPr>
          <w:rFonts w:hint="eastAsia"/>
        </w:rPr>
        <w:t>数据采集范围</w:t>
      </w:r>
    </w:p>
    <w:p w14:paraId="5E8BE16B">
      <w:pPr>
        <w:pStyle w:val="56"/>
        <w:spacing w:line="360" w:lineRule="auto"/>
        <w:ind w:firstLine="420"/>
      </w:pPr>
      <w:r>
        <w:rPr>
          <w:rFonts w:hint="eastAsia"/>
        </w:rPr>
        <w:t>数据采集范围包括以下方面：</w:t>
      </w:r>
    </w:p>
    <w:p w14:paraId="79CBB3F6">
      <w:pPr>
        <w:pStyle w:val="132"/>
        <w:spacing w:line="360" w:lineRule="auto"/>
      </w:pPr>
      <w:r>
        <w:rPr>
          <w:rFonts w:hint="eastAsia"/>
        </w:rPr>
        <w:t>患者基本信息：包括性别、年龄、职业、居住地等（需脱敏处理）；</w:t>
      </w:r>
    </w:p>
    <w:p w14:paraId="16C3DDAE">
      <w:pPr>
        <w:pStyle w:val="132"/>
        <w:spacing w:line="360" w:lineRule="auto"/>
      </w:pPr>
      <w:r>
        <w:rPr>
          <w:rFonts w:hint="eastAsia"/>
        </w:rPr>
        <w:t>诊断与病情信息：主要诊断、病情分级、伴随疾病及危险因素；</w:t>
      </w:r>
    </w:p>
    <w:p w14:paraId="731C12AE">
      <w:pPr>
        <w:pStyle w:val="132"/>
        <w:spacing w:line="360" w:lineRule="auto"/>
      </w:pPr>
      <w:r>
        <w:rPr>
          <w:rFonts w:hint="eastAsia"/>
        </w:rPr>
        <w:t>护理过程数据：护理评估、护理计划、干预措施、执行记录；</w:t>
      </w:r>
    </w:p>
    <w:p w14:paraId="17059F70">
      <w:pPr>
        <w:pStyle w:val="132"/>
        <w:spacing w:line="360" w:lineRule="auto"/>
      </w:pPr>
      <w:r>
        <w:rPr>
          <w:rFonts w:hint="eastAsia"/>
        </w:rPr>
        <w:t>临床指标数据：体温、脉搏、呼吸、血压、血氧饱和度、实验室检验结果等；</w:t>
      </w:r>
    </w:p>
    <w:p w14:paraId="4DC259D6">
      <w:pPr>
        <w:pStyle w:val="132"/>
        <w:spacing w:line="360" w:lineRule="auto"/>
      </w:pPr>
      <w:r>
        <w:rPr>
          <w:rFonts w:hint="eastAsia"/>
        </w:rPr>
        <w:t>康复与随访数据：症状改善情况、复发情况、生活质量量表评分；</w:t>
      </w:r>
    </w:p>
    <w:p w14:paraId="33FD51E4">
      <w:pPr>
        <w:pStyle w:val="132"/>
        <w:spacing w:line="360" w:lineRule="auto"/>
      </w:pPr>
      <w:r>
        <w:rPr>
          <w:rFonts w:hint="eastAsia"/>
        </w:rPr>
        <w:t>患者体验与满意度：通过问卷、访谈等方式获取的主观评价数据。</w:t>
      </w:r>
    </w:p>
    <w:p w14:paraId="3A0ECF9B">
      <w:pPr>
        <w:pStyle w:val="105"/>
        <w:spacing w:before="120" w:after="120" w:line="360" w:lineRule="auto"/>
      </w:pPr>
      <w:r>
        <w:rPr>
          <w:rFonts w:hint="eastAsia"/>
        </w:rPr>
        <w:t>数据采集标准化</w:t>
      </w:r>
    </w:p>
    <w:p w14:paraId="653F4559">
      <w:pPr>
        <w:pStyle w:val="165"/>
        <w:spacing w:line="360" w:lineRule="auto"/>
      </w:pPr>
      <w:r>
        <w:rPr>
          <w:rFonts w:hint="eastAsia"/>
        </w:rPr>
        <w:t>应使用统一的编码体系（如ICD、护理诊断分类、统一术语库）保证数据一致性。</w:t>
      </w:r>
    </w:p>
    <w:p w14:paraId="47545195">
      <w:pPr>
        <w:pStyle w:val="165"/>
        <w:spacing w:line="360" w:lineRule="auto"/>
      </w:pPr>
      <w:r>
        <w:rPr>
          <w:rFonts w:hint="eastAsia"/>
        </w:rPr>
        <w:t>临床指标应按统一的计量单位、取值范围和精度进行记录。</w:t>
      </w:r>
    </w:p>
    <w:p w14:paraId="08CA8A56">
      <w:pPr>
        <w:pStyle w:val="165"/>
        <w:spacing w:line="360" w:lineRule="auto"/>
      </w:pPr>
      <w:r>
        <w:rPr>
          <w:rFonts w:hint="eastAsia"/>
        </w:rPr>
        <w:t>非结构化数据（护理记录、影像资料等）应通过自然语言处理和多媒体数据管理技术实现标准化存储。</w:t>
      </w:r>
    </w:p>
    <w:p w14:paraId="27497DDE">
      <w:pPr>
        <w:pStyle w:val="105"/>
        <w:spacing w:before="120" w:after="120" w:line="360" w:lineRule="auto"/>
      </w:pPr>
      <w:r>
        <w:rPr>
          <w:rFonts w:hint="eastAsia"/>
        </w:rPr>
        <w:t>数据质量控制</w:t>
      </w:r>
    </w:p>
    <w:p w14:paraId="496E756E">
      <w:pPr>
        <w:pStyle w:val="165"/>
        <w:spacing w:line="360" w:lineRule="auto"/>
      </w:pPr>
      <w:r>
        <w:rPr>
          <w:rFonts w:hint="eastAsia"/>
        </w:rPr>
        <w:t>建立数据采集审核机制，对采集过程和结果进行双重核查。</w:t>
      </w:r>
    </w:p>
    <w:p w14:paraId="2D9BD740">
      <w:pPr>
        <w:pStyle w:val="165"/>
        <w:spacing w:line="360" w:lineRule="auto"/>
      </w:pPr>
      <w:r>
        <w:rPr>
          <w:rFonts w:hint="eastAsia"/>
        </w:rPr>
        <w:t>对缺失值、异常值进行记录和处理，确保数据完整性和准确性。</w:t>
      </w:r>
    </w:p>
    <w:p w14:paraId="4E9D875E">
      <w:pPr>
        <w:pStyle w:val="165"/>
        <w:spacing w:line="360" w:lineRule="auto"/>
      </w:pPr>
      <w:r>
        <w:rPr>
          <w:rFonts w:hint="eastAsia"/>
        </w:rPr>
        <w:t>定期开展数据质量评估，指标包括准确率、完整率、一致率和及时率。</w:t>
      </w:r>
    </w:p>
    <w:p w14:paraId="34C976D2">
      <w:pPr>
        <w:pStyle w:val="105"/>
        <w:spacing w:before="120" w:after="120" w:line="360" w:lineRule="auto"/>
      </w:pPr>
      <w:r>
        <w:rPr>
          <w:rFonts w:hint="eastAsia"/>
        </w:rPr>
        <w:t>数据存储与管理</w:t>
      </w:r>
    </w:p>
    <w:p w14:paraId="2FE03347">
      <w:pPr>
        <w:pStyle w:val="165"/>
        <w:spacing w:line="360" w:lineRule="auto"/>
      </w:pPr>
      <w:r>
        <w:rPr>
          <w:rFonts w:hint="eastAsia"/>
        </w:rPr>
        <w:t>数据存储应采用分级管理策略，对敏感数据进行加密保存。</w:t>
      </w:r>
    </w:p>
    <w:p w14:paraId="471BEE3A">
      <w:pPr>
        <w:pStyle w:val="165"/>
        <w:spacing w:line="360" w:lineRule="auto"/>
      </w:pPr>
      <w:r>
        <w:rPr>
          <w:rFonts w:hint="eastAsia"/>
        </w:rPr>
        <w:t>应具备数据备份机制，备份周期不超过24小时，并将备份数据存储在异地安全环境中。</w:t>
      </w:r>
    </w:p>
    <w:p w14:paraId="158F1332">
      <w:pPr>
        <w:pStyle w:val="165"/>
        <w:spacing w:line="360" w:lineRule="auto"/>
      </w:pPr>
      <w:r>
        <w:rPr>
          <w:rFonts w:hint="eastAsia"/>
        </w:rPr>
        <w:t>数据访问应实行基于角色的权限控制，重要操作需记录日志并可追溯。</w:t>
      </w:r>
    </w:p>
    <w:p w14:paraId="2CBC3623">
      <w:pPr>
        <w:pStyle w:val="105"/>
        <w:spacing w:before="120" w:after="120" w:line="360" w:lineRule="auto"/>
      </w:pPr>
      <w:r>
        <w:rPr>
          <w:rFonts w:hint="eastAsia"/>
        </w:rPr>
        <w:t>数据可追溯性</w:t>
      </w:r>
    </w:p>
    <w:p w14:paraId="2A62EE40">
      <w:pPr>
        <w:pStyle w:val="56"/>
        <w:spacing w:line="360" w:lineRule="auto"/>
        <w:ind w:firstLine="420"/>
      </w:pPr>
      <w:r>
        <w:rPr>
          <w:rFonts w:hint="eastAsia"/>
        </w:rPr>
        <w:t>所有数据应记录采集时间、采集人、数据来源和修改记录。对数据的每次调用、下载、修改应自动生成审计记录。</w:t>
      </w:r>
    </w:p>
    <w:p w14:paraId="7C84AFD4">
      <w:pPr>
        <w:pStyle w:val="104"/>
        <w:spacing w:before="240" w:after="240" w:line="360" w:lineRule="auto"/>
      </w:pPr>
      <w:bookmarkStart w:id="53" w:name="_Toc205559576"/>
      <w:r>
        <w:rPr>
          <w:rFonts w:hint="eastAsia"/>
        </w:rPr>
        <w:t>数据分析方法</w:t>
      </w:r>
      <w:bookmarkEnd w:id="53"/>
    </w:p>
    <w:p w14:paraId="095A5AEB">
      <w:pPr>
        <w:pStyle w:val="105"/>
        <w:spacing w:before="120" w:after="120" w:line="360" w:lineRule="auto"/>
      </w:pPr>
      <w:r>
        <w:rPr>
          <w:rFonts w:hint="eastAsia"/>
        </w:rPr>
        <w:t>分析目标</w:t>
      </w:r>
    </w:p>
    <w:p w14:paraId="5389327F">
      <w:pPr>
        <w:pStyle w:val="56"/>
        <w:spacing w:line="360" w:lineRule="auto"/>
        <w:ind w:firstLine="420"/>
      </w:pPr>
      <w:r>
        <w:rPr>
          <w:rFonts w:hint="eastAsia"/>
        </w:rPr>
        <w:t>分析目标包含以下三点：</w:t>
      </w:r>
    </w:p>
    <w:p w14:paraId="6A5EA96F">
      <w:pPr>
        <w:pStyle w:val="174"/>
        <w:spacing w:line="360" w:lineRule="auto"/>
      </w:pPr>
      <w:r>
        <w:rPr>
          <w:rFonts w:hint="eastAsia"/>
        </w:rPr>
        <w:t>识别护理过程中的关键影响因素及风险点；</w:t>
      </w:r>
    </w:p>
    <w:p w14:paraId="4C96ECC7">
      <w:pPr>
        <w:pStyle w:val="174"/>
        <w:spacing w:line="360" w:lineRule="auto"/>
      </w:pPr>
      <w:r>
        <w:rPr>
          <w:rFonts w:hint="eastAsia"/>
        </w:rPr>
        <w:t>评估不同护理干预措施对患者康复、并发症发生率、复发率和满意度的影响；</w:t>
      </w:r>
    </w:p>
    <w:p w14:paraId="550665E2">
      <w:pPr>
        <w:pStyle w:val="174"/>
        <w:spacing w:line="360" w:lineRule="auto"/>
      </w:pPr>
      <w:r>
        <w:rPr>
          <w:rFonts w:hint="eastAsia"/>
        </w:rPr>
        <w:t>为持续改进提供数据驱动的决策依据。</w:t>
      </w:r>
    </w:p>
    <w:p w14:paraId="41DB00D9">
      <w:pPr>
        <w:pStyle w:val="105"/>
        <w:spacing w:before="120" w:after="120" w:line="360" w:lineRule="auto"/>
      </w:pPr>
      <w:r>
        <w:rPr>
          <w:rFonts w:hint="eastAsia"/>
        </w:rPr>
        <w:t>分析方法</w:t>
      </w:r>
    </w:p>
    <w:p w14:paraId="13B827D2">
      <w:pPr>
        <w:pStyle w:val="56"/>
        <w:spacing w:line="360" w:lineRule="auto"/>
        <w:ind w:firstLine="420"/>
      </w:pPr>
      <w:r>
        <w:rPr>
          <w:rFonts w:hint="eastAsia"/>
        </w:rPr>
        <w:t>分析方法有描述性统计分析、多因素分析、生存分析、机器学习与人工智能方法以及自然语言处理等方法：</w:t>
      </w:r>
    </w:p>
    <w:p w14:paraId="09BC6E43">
      <w:pPr>
        <w:pStyle w:val="132"/>
        <w:spacing w:line="360" w:lineRule="auto"/>
      </w:pPr>
      <w:r>
        <w:rPr>
          <w:rFonts w:hint="eastAsia"/>
        </w:rPr>
        <w:t>描述性统计分析：用于数据分布、趋势、差异的初步分析；</w:t>
      </w:r>
    </w:p>
    <w:p w14:paraId="1CDEA342">
      <w:pPr>
        <w:pStyle w:val="132"/>
        <w:spacing w:line="360" w:lineRule="auto"/>
      </w:pPr>
      <w:r>
        <w:rPr>
          <w:rFonts w:hint="eastAsia"/>
        </w:rPr>
        <w:t>多因素分析：如多元回归、方差分析、逻辑回归等，用于探讨多变量对护理效果的影响；</w:t>
      </w:r>
    </w:p>
    <w:p w14:paraId="2429E72E">
      <w:pPr>
        <w:pStyle w:val="132"/>
        <w:spacing w:line="360" w:lineRule="auto"/>
      </w:pPr>
      <w:r>
        <w:rPr>
          <w:rFonts w:hint="eastAsia"/>
        </w:rPr>
        <w:t>生存分析：用于评估术后康复时间、复发时间等事件发生情况；</w:t>
      </w:r>
    </w:p>
    <w:p w14:paraId="76969F22">
      <w:pPr>
        <w:pStyle w:val="132"/>
        <w:spacing w:line="360" w:lineRule="auto"/>
      </w:pPr>
      <w:r>
        <w:rPr>
          <w:rFonts w:hint="eastAsia"/>
        </w:rPr>
        <w:t>机器学习与人工智能方法：包括决策树、随机森林、支持向量机、神经网络等，用于预测护理效果与风险；</w:t>
      </w:r>
    </w:p>
    <w:p w14:paraId="0B63C9E0">
      <w:pPr>
        <w:pStyle w:val="132"/>
        <w:spacing w:line="360" w:lineRule="auto"/>
      </w:pPr>
      <w:r>
        <w:rPr>
          <w:rFonts w:hint="eastAsia"/>
        </w:rPr>
        <w:t>自然语言处理：对护理记录、病历等非结构化文本进行语义分析和信息抽取。</w:t>
      </w:r>
    </w:p>
    <w:p w14:paraId="6C5F070A">
      <w:pPr>
        <w:pStyle w:val="105"/>
        <w:spacing w:before="120" w:after="120" w:line="360" w:lineRule="auto"/>
      </w:pPr>
      <w:r>
        <w:rPr>
          <w:rFonts w:hint="eastAsia"/>
        </w:rPr>
        <w:t>模型构建要求</w:t>
      </w:r>
    </w:p>
    <w:p w14:paraId="149DEF6A">
      <w:pPr>
        <w:pStyle w:val="165"/>
        <w:spacing w:line="360" w:lineRule="auto"/>
      </w:pPr>
      <w:r>
        <w:rPr>
          <w:rFonts w:hint="eastAsia"/>
        </w:rPr>
        <w:t>模型应基于高质量、具有代表性的数据集进行训练与验证。</w:t>
      </w:r>
    </w:p>
    <w:p w14:paraId="09F674D3">
      <w:pPr>
        <w:pStyle w:val="165"/>
        <w:spacing w:line="360" w:lineRule="auto"/>
      </w:pPr>
      <w:r>
        <w:rPr>
          <w:rFonts w:hint="eastAsia"/>
        </w:rPr>
        <w:t>变量选择应结合临床意义和统计学指标，避免过拟合。</w:t>
      </w:r>
    </w:p>
    <w:p w14:paraId="4EEC88C9">
      <w:pPr>
        <w:pStyle w:val="165"/>
        <w:spacing w:line="360" w:lineRule="auto"/>
      </w:pPr>
      <w:r>
        <w:rPr>
          <w:rFonts w:hint="eastAsia"/>
        </w:rPr>
        <w:t>模型参数和算法流程应记录完整，确保可重复性与可验证性。</w:t>
      </w:r>
    </w:p>
    <w:p w14:paraId="63486175">
      <w:pPr>
        <w:pStyle w:val="165"/>
        <w:spacing w:line="360" w:lineRule="auto"/>
      </w:pPr>
      <w:r>
        <w:rPr>
          <w:rFonts w:hint="eastAsia"/>
        </w:rPr>
        <w:t>对涉及患者隐私的数据，应在建模前进行脱敏处理。</w:t>
      </w:r>
    </w:p>
    <w:p w14:paraId="3B8254BC">
      <w:pPr>
        <w:pStyle w:val="105"/>
        <w:spacing w:before="120" w:after="120" w:line="360" w:lineRule="auto"/>
      </w:pPr>
      <w:r>
        <w:rPr>
          <w:rFonts w:hint="eastAsia"/>
        </w:rPr>
        <w:t>模型评估与验证</w:t>
      </w:r>
    </w:p>
    <w:p w14:paraId="11F98199">
      <w:pPr>
        <w:pStyle w:val="165"/>
        <w:spacing w:line="360" w:lineRule="auto"/>
      </w:pPr>
      <w:r>
        <w:rPr>
          <w:rFonts w:hint="eastAsia"/>
        </w:rPr>
        <w:t>应采用多种评估指标（如准确率、召回率、AUC值、F1分数等）综合判断模型性能。</w:t>
      </w:r>
    </w:p>
    <w:p w14:paraId="2BED8122">
      <w:pPr>
        <w:pStyle w:val="165"/>
        <w:spacing w:line="360" w:lineRule="auto"/>
      </w:pPr>
      <w:r>
        <w:rPr>
          <w:rFonts w:hint="eastAsia"/>
        </w:rPr>
        <w:t>应进行交叉验证或留出法验证模型的稳定性与泛化能力。</w:t>
      </w:r>
    </w:p>
    <w:p w14:paraId="517FB1D1">
      <w:pPr>
        <w:pStyle w:val="165"/>
        <w:spacing w:line="360" w:lineRule="auto"/>
      </w:pPr>
      <w:r>
        <w:rPr>
          <w:rFonts w:hint="eastAsia"/>
        </w:rPr>
        <w:t>对模型在不同人群、病种、时间段的适用性进行验证，确保普适性。</w:t>
      </w:r>
    </w:p>
    <w:p w14:paraId="5DE24234">
      <w:pPr>
        <w:pStyle w:val="105"/>
        <w:spacing w:before="120" w:after="120" w:line="360" w:lineRule="auto"/>
      </w:pPr>
      <w:r>
        <w:rPr>
          <w:rFonts w:hint="eastAsia"/>
        </w:rPr>
        <w:t>模型更新与优化</w:t>
      </w:r>
    </w:p>
    <w:p w14:paraId="4C12C013">
      <w:pPr>
        <w:pStyle w:val="165"/>
        <w:spacing w:line="360" w:lineRule="auto"/>
      </w:pPr>
      <w:r>
        <w:rPr>
          <w:rFonts w:hint="eastAsia"/>
        </w:rPr>
        <w:t>模型应定期更新，以适应新的护理技术、诊疗方案和患者特征变化。</w:t>
      </w:r>
    </w:p>
    <w:p w14:paraId="065F640F">
      <w:pPr>
        <w:pStyle w:val="165"/>
        <w:spacing w:line="360" w:lineRule="auto"/>
      </w:pPr>
      <w:r>
        <w:rPr>
          <w:rFonts w:hint="eastAsia"/>
        </w:rPr>
        <w:t>对运行中性能下降的模型，应及时优化或替换。</w:t>
      </w:r>
    </w:p>
    <w:p w14:paraId="305AD961">
      <w:pPr>
        <w:pStyle w:val="165"/>
        <w:spacing w:line="360" w:lineRule="auto"/>
      </w:pPr>
      <w:r>
        <w:rPr>
          <w:rFonts w:hint="eastAsia"/>
        </w:rPr>
        <w:t>更新后的模型应经过同等严格的验证与评估，方可投入使用。</w:t>
      </w:r>
    </w:p>
    <w:p w14:paraId="7F70DEE0">
      <w:pPr>
        <w:pStyle w:val="104"/>
        <w:spacing w:before="240" w:after="240" w:line="360" w:lineRule="auto"/>
      </w:pPr>
      <w:bookmarkStart w:id="54" w:name="_Toc205559577"/>
      <w:r>
        <w:rPr>
          <w:rFonts w:hint="eastAsia"/>
        </w:rPr>
        <w:t>护理质量评价体系</w:t>
      </w:r>
      <w:bookmarkEnd w:id="54"/>
    </w:p>
    <w:p w14:paraId="2823424B">
      <w:pPr>
        <w:pStyle w:val="105"/>
        <w:spacing w:before="120" w:after="120" w:line="360" w:lineRule="auto"/>
      </w:pPr>
      <w:r>
        <w:rPr>
          <w:rFonts w:hint="eastAsia"/>
        </w:rPr>
        <w:t>指标体系构成</w:t>
      </w:r>
    </w:p>
    <w:p w14:paraId="6BB30817">
      <w:pPr>
        <w:pStyle w:val="56"/>
        <w:spacing w:line="360" w:lineRule="auto"/>
        <w:ind w:firstLine="420"/>
      </w:pPr>
      <w:r>
        <w:rPr>
          <w:rFonts w:hint="eastAsia"/>
        </w:rPr>
        <w:t>护理质量评价指标应涵盖结构指标、过程指标和结果指标三大类：</w:t>
      </w:r>
    </w:p>
    <w:p w14:paraId="4E4A5A2F">
      <w:pPr>
        <w:pStyle w:val="174"/>
        <w:numPr>
          <w:ilvl w:val="0"/>
          <w:numId w:val="32"/>
        </w:numPr>
        <w:spacing w:line="360" w:lineRule="auto"/>
      </w:pPr>
      <w:r>
        <w:rPr>
          <w:rFonts w:hint="eastAsia"/>
        </w:rPr>
        <w:t>结构指标：反映护理资源配置与条件，包括护理人员配置比、专业资质比例、设备完好率、信息系统支持能力等；</w:t>
      </w:r>
    </w:p>
    <w:p w14:paraId="1572926C">
      <w:pPr>
        <w:pStyle w:val="174"/>
        <w:spacing w:line="360" w:lineRule="auto"/>
      </w:pPr>
      <w:r>
        <w:rPr>
          <w:rFonts w:hint="eastAsia"/>
        </w:rPr>
        <w:t>过程指标：反映护理活动的规范性与执行质量，包括护理评估完成率、护理计划落实率、关键操作合格率、健康教育覆盖率等；</w:t>
      </w:r>
    </w:p>
    <w:p w14:paraId="6767E870">
      <w:pPr>
        <w:pStyle w:val="174"/>
        <w:spacing w:line="360" w:lineRule="auto"/>
      </w:pPr>
      <w:r>
        <w:rPr>
          <w:rFonts w:hint="eastAsia"/>
        </w:rPr>
        <w:t>结果指标：反映护理最终成效，包括患者症状缓解率、并发症发生率、再入院率、康复周期、患者满意度等。</w:t>
      </w:r>
    </w:p>
    <w:p w14:paraId="5C4C3201">
      <w:pPr>
        <w:pStyle w:val="105"/>
        <w:spacing w:before="120" w:after="120" w:line="360" w:lineRule="auto"/>
      </w:pPr>
      <w:r>
        <w:rPr>
          <w:rFonts w:hint="eastAsia"/>
        </w:rPr>
        <w:t>指标设定原则</w:t>
      </w:r>
    </w:p>
    <w:p w14:paraId="72272F98">
      <w:pPr>
        <w:pStyle w:val="165"/>
        <w:spacing w:line="360" w:lineRule="auto"/>
      </w:pPr>
      <w:r>
        <w:rPr>
          <w:rFonts w:hint="eastAsia"/>
        </w:rPr>
        <w:t>科学性：指标应有明确的临床意义和统计学依据。</w:t>
      </w:r>
    </w:p>
    <w:p w14:paraId="6459D540">
      <w:pPr>
        <w:pStyle w:val="165"/>
        <w:spacing w:line="360" w:lineRule="auto"/>
      </w:pPr>
      <w:r>
        <w:rPr>
          <w:rFonts w:hint="eastAsia"/>
        </w:rPr>
        <w:t>可量化：应有清晰的计算方法和统一的计量单位。</w:t>
      </w:r>
    </w:p>
    <w:p w14:paraId="6556DBFA">
      <w:pPr>
        <w:pStyle w:val="165"/>
        <w:spacing w:line="360" w:lineRule="auto"/>
      </w:pPr>
      <w:r>
        <w:rPr>
          <w:rFonts w:hint="eastAsia"/>
        </w:rPr>
        <w:t>可比较：应支持同一机构内部横向比较及不同机构之间纵向比较。</w:t>
      </w:r>
    </w:p>
    <w:p w14:paraId="5041FCF5">
      <w:pPr>
        <w:pStyle w:val="165"/>
        <w:spacing w:line="360" w:lineRule="auto"/>
      </w:pPr>
      <w:r>
        <w:rPr>
          <w:rFonts w:hint="eastAsia"/>
        </w:rPr>
        <w:t>可改进：指标应能反映改进措施的效果变化。</w:t>
      </w:r>
    </w:p>
    <w:p w14:paraId="154FA8D1">
      <w:pPr>
        <w:pStyle w:val="105"/>
        <w:spacing w:before="120" w:after="120" w:line="360" w:lineRule="auto"/>
      </w:pPr>
      <w:r>
        <w:rPr>
          <w:rFonts w:hint="eastAsia"/>
        </w:rPr>
        <w:t>数据采集与计算</w:t>
      </w:r>
    </w:p>
    <w:p w14:paraId="2C0C212F">
      <w:pPr>
        <w:pStyle w:val="165"/>
        <w:spacing w:line="360" w:lineRule="auto"/>
      </w:pPr>
      <w:r>
        <w:rPr>
          <w:rFonts w:hint="eastAsia"/>
        </w:rPr>
        <w:t>评价所需数据应来源于标准化采集系统，确保数据一致性和可追溯性。</w:t>
      </w:r>
    </w:p>
    <w:p w14:paraId="6861D7F2">
      <w:pPr>
        <w:pStyle w:val="165"/>
        <w:spacing w:line="360" w:lineRule="auto"/>
      </w:pPr>
      <w:r>
        <w:rPr>
          <w:rFonts w:hint="eastAsia"/>
        </w:rPr>
        <w:t>指标计算公式应统一，并在系统内固化，防止人为干预计算结果。</w:t>
      </w:r>
    </w:p>
    <w:p w14:paraId="0CA650E2">
      <w:pPr>
        <w:pStyle w:val="165"/>
        <w:spacing w:line="360" w:lineRule="auto"/>
      </w:pPr>
      <w:r>
        <w:rPr>
          <w:rFonts w:hint="eastAsia"/>
        </w:rPr>
        <w:t>对涉及多源数据的指标，应明确数据整合和去重规则。</w:t>
      </w:r>
    </w:p>
    <w:p w14:paraId="4DCDCA34">
      <w:pPr>
        <w:pStyle w:val="105"/>
        <w:spacing w:before="120" w:after="120" w:line="360" w:lineRule="auto"/>
      </w:pPr>
      <w:r>
        <w:rPr>
          <w:rFonts w:hint="eastAsia"/>
        </w:rPr>
        <w:t>评价方法</w:t>
      </w:r>
    </w:p>
    <w:p w14:paraId="6AD300A8">
      <w:pPr>
        <w:pStyle w:val="165"/>
        <w:spacing w:line="360" w:lineRule="auto"/>
      </w:pPr>
      <w:r>
        <w:rPr>
          <w:rFonts w:hint="eastAsia"/>
        </w:rPr>
        <w:t>定期开展护理质量评价，周期可根据机构情况设定为月度、季度或年度。</w:t>
      </w:r>
    </w:p>
    <w:p w14:paraId="3BCD3015">
      <w:pPr>
        <w:pStyle w:val="165"/>
        <w:spacing w:line="360" w:lineRule="auto"/>
      </w:pPr>
      <w:r>
        <w:rPr>
          <w:rFonts w:hint="eastAsia"/>
        </w:rPr>
        <w:t>采用绝对值比较、趋势分析、对照分析等方法评估质量变化。</w:t>
      </w:r>
    </w:p>
    <w:p w14:paraId="49BA63A1">
      <w:pPr>
        <w:pStyle w:val="165"/>
        <w:spacing w:line="360" w:lineRule="auto"/>
      </w:pPr>
      <w:r>
        <w:rPr>
          <w:rFonts w:hint="eastAsia"/>
        </w:rPr>
        <w:t>对低于预警值的指标应自动触发质量改进流程。</w:t>
      </w:r>
    </w:p>
    <w:p w14:paraId="50944F5E">
      <w:pPr>
        <w:pStyle w:val="105"/>
        <w:spacing w:before="120" w:after="120" w:line="360" w:lineRule="auto"/>
      </w:pPr>
      <w:r>
        <w:rPr>
          <w:rFonts w:hint="eastAsia"/>
        </w:rPr>
        <w:t>结果应用</w:t>
      </w:r>
    </w:p>
    <w:p w14:paraId="64B5A8E8">
      <w:pPr>
        <w:pStyle w:val="165"/>
        <w:spacing w:line="360" w:lineRule="auto"/>
      </w:pPr>
      <w:r>
        <w:rPr>
          <w:rFonts w:hint="eastAsia"/>
        </w:rPr>
        <w:t>评价结果应反馈至护理团队、科室管理层和质量管理部门。</w:t>
      </w:r>
    </w:p>
    <w:p w14:paraId="281DAB5E">
      <w:pPr>
        <w:pStyle w:val="165"/>
        <w:spacing w:line="360" w:lineRule="auto"/>
      </w:pPr>
      <w:r>
        <w:rPr>
          <w:rFonts w:hint="eastAsia"/>
        </w:rPr>
        <w:t>对表现优秀的护理单元和个人给予表彰与推广经验。</w:t>
      </w:r>
    </w:p>
    <w:p w14:paraId="1543FBE2">
      <w:pPr>
        <w:pStyle w:val="165"/>
        <w:spacing w:line="360" w:lineRule="auto"/>
      </w:pPr>
      <w:r>
        <w:rPr>
          <w:rFonts w:hint="eastAsia"/>
        </w:rPr>
        <w:t>对存在质量问题的环节制定整改计划，并跟踪落实情况。</w:t>
      </w:r>
    </w:p>
    <w:p w14:paraId="285226B2">
      <w:pPr>
        <w:pStyle w:val="165"/>
        <w:spacing w:line="360" w:lineRule="auto"/>
      </w:pPr>
      <w:r>
        <w:rPr>
          <w:rFonts w:hint="eastAsia"/>
        </w:rPr>
        <w:t>将质量评价结果作为绩效考核和培训重点的依据。</w:t>
      </w:r>
    </w:p>
    <w:p w14:paraId="5C3843CB">
      <w:pPr>
        <w:pStyle w:val="104"/>
        <w:spacing w:before="240" w:after="240" w:line="360" w:lineRule="auto"/>
      </w:pPr>
      <w:bookmarkStart w:id="55" w:name="_Toc205559578"/>
      <w:r>
        <w:rPr>
          <w:rFonts w:hint="eastAsia"/>
        </w:rPr>
        <w:t>持续改进流程</w:t>
      </w:r>
      <w:bookmarkEnd w:id="55"/>
    </w:p>
    <w:p w14:paraId="758D9F94">
      <w:pPr>
        <w:pStyle w:val="105"/>
        <w:spacing w:before="120" w:after="120" w:line="360" w:lineRule="auto"/>
      </w:pPr>
      <w:r>
        <w:rPr>
          <w:rFonts w:hint="eastAsia"/>
        </w:rPr>
        <w:t>问题发现</w:t>
      </w:r>
    </w:p>
    <w:p w14:paraId="552FF2FD">
      <w:pPr>
        <w:pStyle w:val="56"/>
        <w:spacing w:line="360" w:lineRule="auto"/>
        <w:ind w:firstLine="420"/>
      </w:pPr>
      <w:r>
        <w:rPr>
          <w:rFonts w:hint="eastAsia"/>
        </w:rPr>
        <w:t>基于大数据分析结果、护理质量评价指标和患者反馈，自动或人工识别护理过程中的薄弱环节与风险点。</w:t>
      </w:r>
    </w:p>
    <w:p w14:paraId="2B89C86D">
      <w:pPr>
        <w:pStyle w:val="56"/>
        <w:spacing w:line="360" w:lineRule="auto"/>
        <w:ind w:firstLine="420"/>
      </w:pPr>
      <w:r>
        <w:rPr>
          <w:rFonts w:hint="eastAsia"/>
        </w:rPr>
        <w:t>对低于预警阈值的指标应即时触发改进流程。</w:t>
      </w:r>
    </w:p>
    <w:p w14:paraId="5FDAC261">
      <w:pPr>
        <w:pStyle w:val="56"/>
        <w:spacing w:line="360" w:lineRule="auto"/>
        <w:ind w:firstLine="420"/>
      </w:pPr>
      <w:r>
        <w:rPr>
          <w:rFonts w:hint="eastAsia"/>
        </w:rPr>
        <w:t>将并发症高发、护理差错集中出现等突发性事件纳入改进重点。</w:t>
      </w:r>
    </w:p>
    <w:p w14:paraId="0AFB288A">
      <w:pPr>
        <w:pStyle w:val="105"/>
        <w:spacing w:before="120" w:after="120" w:line="360" w:lineRule="auto"/>
      </w:pPr>
      <w:r>
        <w:rPr>
          <w:rFonts w:hint="eastAsia"/>
        </w:rPr>
        <w:t>原因分析</w:t>
      </w:r>
    </w:p>
    <w:p w14:paraId="604EE7CF">
      <w:pPr>
        <w:pStyle w:val="56"/>
        <w:spacing w:line="360" w:lineRule="auto"/>
        <w:ind w:firstLine="420"/>
      </w:pPr>
      <w:r>
        <w:rPr>
          <w:rFonts w:hint="eastAsia"/>
        </w:rPr>
        <w:t>采用鱼骨图、帕累托分析、5Why分析等方法，对问题进行多维度原因剖析。</w:t>
      </w:r>
    </w:p>
    <w:p w14:paraId="4E1FDA72">
      <w:pPr>
        <w:pStyle w:val="56"/>
        <w:spacing w:line="360" w:lineRule="auto"/>
        <w:ind w:firstLine="420"/>
      </w:pPr>
      <w:r>
        <w:rPr>
          <w:rFonts w:hint="eastAsia"/>
        </w:rPr>
        <w:t>分析应结合数据证据、护理人员访谈和现场观察，确保结论客观可靠。</w:t>
      </w:r>
    </w:p>
    <w:p w14:paraId="370C36FC">
      <w:pPr>
        <w:pStyle w:val="56"/>
        <w:spacing w:line="360" w:lineRule="auto"/>
        <w:ind w:firstLine="420"/>
      </w:pPr>
      <w:r>
        <w:rPr>
          <w:rFonts w:hint="eastAsia"/>
        </w:rPr>
        <w:t>明确主要原因与次要原因，并形成书面分析报告。</w:t>
      </w:r>
    </w:p>
    <w:p w14:paraId="032A9A35">
      <w:pPr>
        <w:pStyle w:val="105"/>
        <w:spacing w:before="120" w:after="120" w:line="360" w:lineRule="auto"/>
      </w:pPr>
      <w:r>
        <w:rPr>
          <w:rFonts w:hint="eastAsia"/>
        </w:rPr>
        <w:t>改进措施制定</w:t>
      </w:r>
    </w:p>
    <w:p w14:paraId="146A84AD">
      <w:pPr>
        <w:pStyle w:val="56"/>
        <w:spacing w:line="360" w:lineRule="auto"/>
        <w:ind w:firstLine="420"/>
      </w:pPr>
      <w:r>
        <w:rPr>
          <w:rFonts w:hint="eastAsia"/>
        </w:rPr>
        <w:t>改进措施应针对主要原因，结合最佳实践和临床指南进行设计。</w:t>
      </w:r>
    </w:p>
    <w:p w14:paraId="557094C6">
      <w:pPr>
        <w:pStyle w:val="56"/>
        <w:spacing w:line="360" w:lineRule="auto"/>
        <w:ind w:firstLine="420"/>
      </w:pPr>
      <w:r>
        <w:rPr>
          <w:rFonts w:hint="eastAsia"/>
        </w:rPr>
        <w:t>制定实施计划，明确责任人、时间节点和资源需求。</w:t>
      </w:r>
    </w:p>
    <w:p w14:paraId="5B085C0D">
      <w:pPr>
        <w:pStyle w:val="56"/>
        <w:spacing w:line="360" w:lineRule="auto"/>
        <w:ind w:firstLine="420"/>
      </w:pPr>
      <w:r>
        <w:rPr>
          <w:rFonts w:hint="eastAsia"/>
        </w:rPr>
        <w:t>对涉及流程再造或技术升级的改进措施，应进行可行性评估与风险分析。</w:t>
      </w:r>
    </w:p>
    <w:p w14:paraId="6BE4D6DE">
      <w:pPr>
        <w:pStyle w:val="105"/>
        <w:spacing w:before="120" w:after="120" w:line="360" w:lineRule="auto"/>
      </w:pPr>
      <w:r>
        <w:rPr>
          <w:rFonts w:hint="eastAsia"/>
        </w:rPr>
        <w:t>改进措施实施</w:t>
      </w:r>
    </w:p>
    <w:p w14:paraId="451405EC">
      <w:pPr>
        <w:pStyle w:val="56"/>
        <w:spacing w:line="360" w:lineRule="auto"/>
        <w:ind w:firstLine="420"/>
      </w:pPr>
      <w:r>
        <w:rPr>
          <w:rFonts w:hint="eastAsia"/>
        </w:rPr>
        <w:t>按计划执行改进措施，确保各环节责任落实到人。</w:t>
      </w:r>
    </w:p>
    <w:p w14:paraId="2C341191">
      <w:pPr>
        <w:pStyle w:val="56"/>
        <w:spacing w:line="360" w:lineRule="auto"/>
        <w:ind w:firstLine="420"/>
      </w:pPr>
      <w:r>
        <w:rPr>
          <w:rFonts w:hint="eastAsia"/>
        </w:rPr>
        <w:t>在实施过程中进行阶段性检查，发现问题及时调整方案。</w:t>
      </w:r>
    </w:p>
    <w:p w14:paraId="6492B18E">
      <w:pPr>
        <w:pStyle w:val="56"/>
        <w:spacing w:line="360" w:lineRule="auto"/>
        <w:ind w:firstLine="420"/>
      </w:pPr>
      <w:r>
        <w:rPr>
          <w:rFonts w:hint="eastAsia"/>
        </w:rPr>
        <w:t>对涉及新技术或新流程的改进，应对相关人员进行培训。</w:t>
      </w:r>
    </w:p>
    <w:p w14:paraId="5AD2D6CD">
      <w:pPr>
        <w:pStyle w:val="105"/>
        <w:spacing w:before="120" w:after="120" w:line="360" w:lineRule="auto"/>
      </w:pPr>
      <w:r>
        <w:rPr>
          <w:rFonts w:hint="eastAsia"/>
        </w:rPr>
        <w:t>效果验证</w:t>
      </w:r>
    </w:p>
    <w:p w14:paraId="658767FD">
      <w:pPr>
        <w:pStyle w:val="56"/>
        <w:spacing w:line="360" w:lineRule="auto"/>
        <w:ind w:firstLine="420"/>
      </w:pPr>
      <w:r>
        <w:rPr>
          <w:rFonts w:hint="eastAsia"/>
        </w:rPr>
        <w:t>改进实施完成后，应通过同类数据对比、指标趋势分析等方法验证改进成效。</w:t>
      </w:r>
    </w:p>
    <w:p w14:paraId="16AD35DF">
      <w:pPr>
        <w:pStyle w:val="56"/>
        <w:spacing w:line="360" w:lineRule="auto"/>
        <w:ind w:firstLine="420"/>
      </w:pPr>
      <w:r>
        <w:rPr>
          <w:rFonts w:hint="eastAsia"/>
        </w:rPr>
        <w:t>效果验证周期应与改进措施特性相匹配，既要关注短期成效，也要评估长期效果。</w:t>
      </w:r>
    </w:p>
    <w:p w14:paraId="0DF86124">
      <w:pPr>
        <w:pStyle w:val="56"/>
        <w:spacing w:line="360" w:lineRule="auto"/>
        <w:ind w:firstLine="420"/>
      </w:pPr>
      <w:r>
        <w:rPr>
          <w:rFonts w:hint="eastAsia"/>
        </w:rPr>
        <w:t>改进未达预期的，应重新评估原因并制定二次改进方案。</w:t>
      </w:r>
    </w:p>
    <w:p w14:paraId="55A6E89D">
      <w:pPr>
        <w:pStyle w:val="105"/>
        <w:spacing w:before="120" w:after="120" w:line="360" w:lineRule="auto"/>
      </w:pPr>
      <w:r>
        <w:rPr>
          <w:rFonts w:hint="eastAsia"/>
        </w:rPr>
        <w:t>持续优化</w:t>
      </w:r>
    </w:p>
    <w:p w14:paraId="7F36A580">
      <w:pPr>
        <w:pStyle w:val="56"/>
        <w:spacing w:line="360" w:lineRule="auto"/>
        <w:ind w:firstLine="420"/>
      </w:pPr>
      <w:r>
        <w:rPr>
          <w:rFonts w:hint="eastAsia"/>
        </w:rPr>
        <w:t>将成功的改进措施固化为标准操作规程（SOP）并在全科推广。</w:t>
      </w:r>
    </w:p>
    <w:p w14:paraId="6E7810DD">
      <w:pPr>
        <w:pStyle w:val="56"/>
        <w:spacing w:line="360" w:lineRule="auto"/>
        <w:ind w:firstLine="420"/>
      </w:pPr>
      <w:r>
        <w:rPr>
          <w:rFonts w:hint="eastAsia"/>
        </w:rPr>
        <w:t>建立持续改进案例库，供护理团队借鉴与学习。</w:t>
      </w:r>
    </w:p>
    <w:p w14:paraId="0F2BE7BF">
      <w:pPr>
        <w:pStyle w:val="56"/>
        <w:spacing w:line="360" w:lineRule="auto"/>
        <w:ind w:firstLine="420"/>
      </w:pPr>
      <w:r>
        <w:rPr>
          <w:rFonts w:hint="eastAsia"/>
        </w:rPr>
        <w:t>定期复盘持续改进过程，优化PDCA（计划-执行-检查-处理）循环的执行质量。</w:t>
      </w:r>
    </w:p>
    <w:p w14:paraId="4093D532">
      <w:pPr>
        <w:pStyle w:val="104"/>
        <w:spacing w:before="240" w:after="240" w:line="360" w:lineRule="auto"/>
      </w:pPr>
      <w:bookmarkStart w:id="56" w:name="_Toc205559579"/>
      <w:r>
        <w:rPr>
          <w:rFonts w:hint="eastAsia"/>
        </w:rPr>
        <w:t>信息安全与隐私保护</w:t>
      </w:r>
      <w:bookmarkEnd w:id="56"/>
    </w:p>
    <w:p w14:paraId="0266C4FF">
      <w:pPr>
        <w:pStyle w:val="105"/>
        <w:spacing w:before="120" w:after="120" w:line="360" w:lineRule="auto"/>
      </w:pPr>
      <w:r>
        <w:rPr>
          <w:rFonts w:hint="eastAsia"/>
        </w:rPr>
        <w:t>总体要求</w:t>
      </w:r>
    </w:p>
    <w:p w14:paraId="3BA01858">
      <w:pPr>
        <w:pStyle w:val="56"/>
        <w:spacing w:line="360" w:lineRule="auto"/>
        <w:ind w:firstLine="420"/>
      </w:pPr>
      <w:r>
        <w:rPr>
          <w:rFonts w:hint="eastAsia"/>
        </w:rPr>
        <w:t>护理数据在采集、传输、存储、分析和共享过程中，应遵循国家和行业关于信息安全与个人隐私保护的相关要求，确保数据在全生命周期中不被泄露、篡改或非法使用。</w:t>
      </w:r>
    </w:p>
    <w:p w14:paraId="3A3CD811">
      <w:pPr>
        <w:pStyle w:val="105"/>
        <w:spacing w:before="120" w:after="120" w:line="360" w:lineRule="auto"/>
      </w:pPr>
      <w:r>
        <w:rPr>
          <w:rFonts w:hint="eastAsia"/>
        </w:rPr>
        <w:t>权限管理</w:t>
      </w:r>
    </w:p>
    <w:p w14:paraId="4B39D2DA">
      <w:pPr>
        <w:pStyle w:val="165"/>
        <w:spacing w:line="360" w:lineRule="auto"/>
      </w:pPr>
      <w:r>
        <w:rPr>
          <w:rFonts w:hint="eastAsia"/>
        </w:rPr>
        <w:t>采用基于角色的访问控制（RBAC），为不同角色分配相应的数据访问权限。</w:t>
      </w:r>
    </w:p>
    <w:p w14:paraId="045AC466">
      <w:pPr>
        <w:pStyle w:val="165"/>
        <w:spacing w:line="360" w:lineRule="auto"/>
      </w:pPr>
      <w:r>
        <w:rPr>
          <w:rFonts w:hint="eastAsia"/>
        </w:rPr>
        <w:t>对涉及敏感信息的访问应实施双重身份认证。</w:t>
      </w:r>
    </w:p>
    <w:p w14:paraId="292D304F">
      <w:pPr>
        <w:pStyle w:val="165"/>
        <w:spacing w:line="360" w:lineRule="auto"/>
      </w:pPr>
      <w:r>
        <w:rPr>
          <w:rFonts w:hint="eastAsia"/>
        </w:rPr>
        <w:t>定期审查和更新权限分配，防止超范围访问。</w:t>
      </w:r>
    </w:p>
    <w:p w14:paraId="19C8D1FC">
      <w:pPr>
        <w:pStyle w:val="105"/>
        <w:spacing w:before="120" w:after="120" w:line="360" w:lineRule="auto"/>
      </w:pPr>
      <w:r>
        <w:rPr>
          <w:rFonts w:hint="eastAsia"/>
        </w:rPr>
        <w:t>数据加密与传输安全</w:t>
      </w:r>
    </w:p>
    <w:p w14:paraId="482C7DA6">
      <w:pPr>
        <w:pStyle w:val="165"/>
        <w:spacing w:line="360" w:lineRule="auto"/>
      </w:pPr>
      <w:r>
        <w:rPr>
          <w:rFonts w:hint="eastAsia"/>
        </w:rPr>
        <w:t>所有敏感数据应在存储前进行加密，采用符合国家密码管理要求的加密算法。</w:t>
      </w:r>
    </w:p>
    <w:p w14:paraId="6DDD1F9F">
      <w:pPr>
        <w:pStyle w:val="165"/>
        <w:spacing w:line="360" w:lineRule="auto"/>
      </w:pPr>
      <w:r>
        <w:rPr>
          <w:rFonts w:hint="eastAsia"/>
        </w:rPr>
        <w:t>数据传输应使用安全通信协议（如HTTPS、SSL/TLS、VPN等）防止窃听与篡改。</w:t>
      </w:r>
    </w:p>
    <w:p w14:paraId="5712FA31">
      <w:pPr>
        <w:pStyle w:val="165"/>
        <w:spacing w:line="360" w:lineRule="auto"/>
      </w:pPr>
      <w:r>
        <w:rPr>
          <w:rFonts w:hint="eastAsia"/>
        </w:rPr>
        <w:t>对大文件或影像资料应使用分片加密和断点续传机制。</w:t>
      </w:r>
    </w:p>
    <w:p w14:paraId="5772F9AA">
      <w:pPr>
        <w:pStyle w:val="105"/>
        <w:spacing w:before="120" w:after="120" w:line="360" w:lineRule="auto"/>
      </w:pPr>
      <w:r>
        <w:rPr>
          <w:rFonts w:hint="eastAsia"/>
        </w:rPr>
        <w:t>数据脱敏与匿名化</w:t>
      </w:r>
    </w:p>
    <w:p w14:paraId="70E0C273">
      <w:pPr>
        <w:pStyle w:val="165"/>
        <w:spacing w:line="360" w:lineRule="auto"/>
      </w:pPr>
      <w:r>
        <w:rPr>
          <w:rFonts w:hint="eastAsia"/>
        </w:rPr>
        <w:t>对患者姓名、身份证号、联系方式等直接身份标识信息进行脱敏处理。</w:t>
      </w:r>
    </w:p>
    <w:p w14:paraId="7990B1DB">
      <w:pPr>
        <w:pStyle w:val="165"/>
        <w:spacing w:line="360" w:lineRule="auto"/>
      </w:pPr>
      <w:r>
        <w:rPr>
          <w:rFonts w:hint="eastAsia"/>
        </w:rPr>
        <w:t>在共享或公开发布数据前，应进行匿名化处理，确保无法识别具体个人。</w:t>
      </w:r>
    </w:p>
    <w:p w14:paraId="3F0416F8">
      <w:pPr>
        <w:pStyle w:val="165"/>
        <w:spacing w:line="360" w:lineRule="auto"/>
      </w:pPr>
      <w:r>
        <w:rPr>
          <w:rFonts w:hint="eastAsia"/>
        </w:rPr>
        <w:t>脱敏与匿名化方法应符合医疗数据安全的技术标准。</w:t>
      </w:r>
    </w:p>
    <w:p w14:paraId="50AB8638">
      <w:pPr>
        <w:pStyle w:val="105"/>
        <w:spacing w:before="120" w:after="120" w:line="360" w:lineRule="auto"/>
      </w:pPr>
      <w:r>
        <w:rPr>
          <w:rFonts w:hint="eastAsia"/>
        </w:rPr>
        <w:t>安全审计与监控</w:t>
      </w:r>
    </w:p>
    <w:p w14:paraId="5F490236">
      <w:pPr>
        <w:pStyle w:val="165"/>
        <w:spacing w:line="360" w:lineRule="auto"/>
      </w:pPr>
      <w:r>
        <w:rPr>
          <w:rFonts w:hint="eastAsia"/>
        </w:rPr>
        <w:t>系统应记录所有数据访问、修改、导出和删除操作，并保存不少于12个月。</w:t>
      </w:r>
    </w:p>
    <w:p w14:paraId="0EE6B2BA">
      <w:pPr>
        <w:pStyle w:val="165"/>
        <w:spacing w:line="360" w:lineRule="auto"/>
      </w:pPr>
      <w:r>
        <w:rPr>
          <w:rFonts w:hint="eastAsia"/>
        </w:rPr>
        <w:t>应具备实时安全监控功能，及时发现异常访问行为并发出警报。</w:t>
      </w:r>
    </w:p>
    <w:p w14:paraId="43634CA2">
      <w:pPr>
        <w:pStyle w:val="165"/>
        <w:spacing w:line="360" w:lineRule="auto"/>
      </w:pPr>
      <w:r>
        <w:rPr>
          <w:rFonts w:hint="eastAsia"/>
        </w:rPr>
        <w:t>定期开展安全漏洞扫描和渗透测试，及时修复安全隐患。</w:t>
      </w:r>
    </w:p>
    <w:p w14:paraId="63FB608D">
      <w:pPr>
        <w:pStyle w:val="105"/>
        <w:spacing w:before="120" w:after="120" w:line="360" w:lineRule="auto"/>
      </w:pPr>
      <w:r>
        <w:rPr>
          <w:rFonts w:hint="eastAsia"/>
        </w:rPr>
        <w:t>数据共享合规</w:t>
      </w:r>
    </w:p>
    <w:p w14:paraId="3DB3F703">
      <w:pPr>
        <w:pStyle w:val="165"/>
        <w:spacing w:line="360" w:lineRule="auto"/>
      </w:pPr>
      <w:r>
        <w:rPr>
          <w:rFonts w:hint="eastAsia"/>
        </w:rPr>
        <w:t>跨部门、跨机构共享数据时，应签订数据使用与保密协议。</w:t>
      </w:r>
    </w:p>
    <w:p w14:paraId="3C17F63F">
      <w:pPr>
        <w:pStyle w:val="165"/>
        <w:spacing w:line="360" w:lineRule="auto"/>
      </w:pPr>
      <w:r>
        <w:rPr>
          <w:rFonts w:hint="eastAsia"/>
        </w:rPr>
        <w:t>数据共享范围和用途应严格限定在医疗质量管理与科研等合法合规场景。</w:t>
      </w:r>
    </w:p>
    <w:p w14:paraId="7E4EA5A6">
      <w:pPr>
        <w:pStyle w:val="165"/>
        <w:spacing w:line="360" w:lineRule="auto"/>
      </w:pPr>
      <w:r>
        <w:rPr>
          <w:rFonts w:hint="eastAsia"/>
        </w:rPr>
        <w:t>对外提供数据时，应经机构伦理委员会或数据管理部门审批。</w:t>
      </w:r>
    </w:p>
    <w:p w14:paraId="4650611D">
      <w:pPr>
        <w:pStyle w:val="104"/>
        <w:spacing w:before="240" w:after="240" w:line="360" w:lineRule="auto"/>
      </w:pPr>
      <w:bookmarkStart w:id="57" w:name="_Toc205559580"/>
      <w:r>
        <w:rPr>
          <w:rFonts w:hint="eastAsia"/>
        </w:rPr>
        <w:t>验收与评估</w:t>
      </w:r>
      <w:bookmarkEnd w:id="57"/>
    </w:p>
    <w:p w14:paraId="14AA639D">
      <w:pPr>
        <w:pStyle w:val="105"/>
        <w:spacing w:before="120" w:after="120" w:line="360" w:lineRule="auto"/>
      </w:pPr>
      <w:r>
        <w:rPr>
          <w:rFonts w:hint="eastAsia"/>
        </w:rPr>
        <w:t>总体要求</w:t>
      </w:r>
    </w:p>
    <w:p w14:paraId="67BC3BD9">
      <w:pPr>
        <w:pStyle w:val="56"/>
        <w:spacing w:line="360" w:lineRule="auto"/>
        <w:ind w:firstLine="420"/>
      </w:pPr>
      <w:r>
        <w:rPr>
          <w:rFonts w:hint="eastAsia"/>
        </w:rPr>
        <w:t>耳鼻喉科临床护理效果大数据分析与持续改进体系建设完成后，应依据本文件要求进行全面验收和评估，确保系统功能、性能、安全性及管理机制达到设计目标和合同约定。</w:t>
      </w:r>
    </w:p>
    <w:p w14:paraId="2AD738A4">
      <w:pPr>
        <w:pStyle w:val="105"/>
        <w:spacing w:before="120" w:after="120" w:line="360" w:lineRule="auto"/>
      </w:pPr>
      <w:r>
        <w:rPr>
          <w:rFonts w:hint="eastAsia"/>
        </w:rPr>
        <w:t>验收条件</w:t>
      </w:r>
    </w:p>
    <w:p w14:paraId="69C76059">
      <w:pPr>
        <w:pStyle w:val="56"/>
        <w:spacing w:line="360" w:lineRule="auto"/>
        <w:ind w:firstLine="420"/>
      </w:pPr>
      <w:r>
        <w:rPr>
          <w:rFonts w:hint="eastAsia"/>
        </w:rPr>
        <w:t>验收条件应符合以下要求：</w:t>
      </w:r>
    </w:p>
    <w:p w14:paraId="1DA4C725">
      <w:pPr>
        <w:pStyle w:val="174"/>
        <w:numPr>
          <w:ilvl w:val="0"/>
          <w:numId w:val="33"/>
        </w:numPr>
        <w:spacing w:line="360" w:lineRule="auto"/>
      </w:pPr>
      <w:r>
        <w:rPr>
          <w:rFonts w:hint="eastAsia"/>
        </w:rPr>
        <w:t>完成数据采集、管理、分析、评价与持续改进的全流程功能部署；</w:t>
      </w:r>
    </w:p>
    <w:p w14:paraId="55788891">
      <w:pPr>
        <w:pStyle w:val="174"/>
        <w:spacing w:line="360" w:lineRule="auto"/>
      </w:pPr>
      <w:r>
        <w:rPr>
          <w:rFonts w:hint="eastAsia"/>
        </w:rPr>
        <w:t>所有硬件设备、软件平台及接口运行稳定，功能齐全；</w:t>
      </w:r>
    </w:p>
    <w:p w14:paraId="0C1C1060">
      <w:pPr>
        <w:pStyle w:val="174"/>
        <w:spacing w:line="360" w:lineRule="auto"/>
      </w:pPr>
      <w:r>
        <w:rPr>
          <w:rFonts w:hint="eastAsia"/>
        </w:rPr>
        <w:t>与医院信息系统、护理信息系统、质控系统的对接测试通过；</w:t>
      </w:r>
    </w:p>
    <w:p w14:paraId="2BACE35B">
      <w:pPr>
        <w:pStyle w:val="174"/>
        <w:spacing w:line="360" w:lineRule="auto"/>
      </w:pPr>
      <w:r>
        <w:rPr>
          <w:rFonts w:hint="eastAsia"/>
        </w:rPr>
        <w:t>完成系统试运行，运行时间不少于1个月且无重大故障；</w:t>
      </w:r>
    </w:p>
    <w:p w14:paraId="229AE18B">
      <w:pPr>
        <w:pStyle w:val="174"/>
        <w:spacing w:line="360" w:lineRule="auto"/>
      </w:pPr>
      <w:r>
        <w:rPr>
          <w:rFonts w:hint="eastAsia"/>
        </w:rPr>
        <w:t>提交完整的技术文档、操作手册、培训资料及测试报告。</w:t>
      </w:r>
    </w:p>
    <w:p w14:paraId="54C5833F">
      <w:pPr>
        <w:pStyle w:val="105"/>
        <w:spacing w:before="120" w:after="120" w:line="360" w:lineRule="auto"/>
      </w:pPr>
      <w:r>
        <w:rPr>
          <w:rFonts w:hint="eastAsia"/>
        </w:rPr>
        <w:t>验收流程</w:t>
      </w:r>
    </w:p>
    <w:p w14:paraId="0390CB41">
      <w:pPr>
        <w:pStyle w:val="56"/>
        <w:spacing w:line="360" w:lineRule="auto"/>
        <w:ind w:firstLine="420"/>
      </w:pPr>
      <w:r>
        <w:rPr>
          <w:rFonts w:hint="eastAsia"/>
        </w:rPr>
        <w:t>验收流程如下：</w:t>
      </w:r>
    </w:p>
    <w:p w14:paraId="3848ED6A">
      <w:pPr>
        <w:pStyle w:val="174"/>
        <w:numPr>
          <w:ilvl w:val="0"/>
          <w:numId w:val="34"/>
        </w:numPr>
        <w:spacing w:line="360" w:lineRule="auto"/>
      </w:pPr>
      <w:r>
        <w:rPr>
          <w:rFonts w:hint="eastAsia"/>
        </w:rPr>
        <w:t>资料审查：检查系统设计方案、施工记录、数据质量评估报告、测试文档等；</w:t>
      </w:r>
    </w:p>
    <w:p w14:paraId="60C8DA11">
      <w:pPr>
        <w:pStyle w:val="174"/>
        <w:spacing w:line="360" w:lineRule="auto"/>
      </w:pPr>
      <w:r>
        <w:rPr>
          <w:rFonts w:hint="eastAsia"/>
        </w:rPr>
        <w:t>功能测试：验证数据采集、存储、分析、评价与改进闭环功能是否符合要求；</w:t>
      </w:r>
    </w:p>
    <w:p w14:paraId="1462A0DC">
      <w:pPr>
        <w:pStyle w:val="174"/>
        <w:spacing w:line="360" w:lineRule="auto"/>
      </w:pPr>
      <w:r>
        <w:rPr>
          <w:rFonts w:hint="eastAsia"/>
        </w:rPr>
        <w:t>性能测试：包括系统响应速度、并发处理能力、数据处理效率等；</w:t>
      </w:r>
    </w:p>
    <w:p w14:paraId="26C1D3DE">
      <w:pPr>
        <w:pStyle w:val="174"/>
        <w:spacing w:line="360" w:lineRule="auto"/>
      </w:pPr>
      <w:r>
        <w:rPr>
          <w:rFonts w:hint="eastAsia"/>
        </w:rPr>
        <w:t>安全测试：包括数据加密、权限管理、访问控制、安全审计等环节的验证；</w:t>
      </w:r>
    </w:p>
    <w:p w14:paraId="74E9AB1C">
      <w:pPr>
        <w:pStyle w:val="174"/>
        <w:spacing w:line="360" w:lineRule="auto"/>
      </w:pPr>
      <w:r>
        <w:rPr>
          <w:rFonts w:hint="eastAsia"/>
        </w:rPr>
        <w:t>现场检查：核查设备安装规范性、平台运行状态及网络环境；</w:t>
      </w:r>
    </w:p>
    <w:p w14:paraId="43564B9B">
      <w:pPr>
        <w:pStyle w:val="174"/>
        <w:spacing w:line="360" w:lineRule="auto"/>
      </w:pPr>
      <w:r>
        <w:rPr>
          <w:rFonts w:hint="eastAsia"/>
        </w:rPr>
        <w:t>综合评定：根据测试与检查结果形成验收意见。</w:t>
      </w:r>
    </w:p>
    <w:p w14:paraId="5A263768">
      <w:pPr>
        <w:pStyle w:val="105"/>
        <w:spacing w:before="120" w:after="120" w:line="360" w:lineRule="auto"/>
      </w:pPr>
      <w:r>
        <w:rPr>
          <w:rFonts w:hint="eastAsia"/>
        </w:rPr>
        <w:t>评估指标</w:t>
      </w:r>
    </w:p>
    <w:p w14:paraId="072886A6">
      <w:pPr>
        <w:pStyle w:val="165"/>
        <w:spacing w:line="360" w:lineRule="auto"/>
      </w:pPr>
      <w:r>
        <w:rPr>
          <w:rFonts w:hint="eastAsia"/>
        </w:rPr>
        <w:t>数据采集准确率不低于95%。</w:t>
      </w:r>
    </w:p>
    <w:p w14:paraId="38C23711">
      <w:pPr>
        <w:pStyle w:val="165"/>
        <w:spacing w:line="360" w:lineRule="auto"/>
      </w:pPr>
      <w:r>
        <w:rPr>
          <w:rFonts w:hint="eastAsia"/>
        </w:rPr>
        <w:t>数据分析结果一致率不低于90%。</w:t>
      </w:r>
    </w:p>
    <w:p w14:paraId="0DC759D3">
      <w:pPr>
        <w:pStyle w:val="165"/>
        <w:spacing w:line="360" w:lineRule="auto"/>
      </w:pPr>
      <w:r>
        <w:rPr>
          <w:rFonts w:hint="eastAsia"/>
        </w:rPr>
        <w:t>系统可用性（年平均）不低于99%。</w:t>
      </w:r>
    </w:p>
    <w:p w14:paraId="33CDB48B">
      <w:pPr>
        <w:pStyle w:val="165"/>
        <w:spacing w:line="360" w:lineRule="auto"/>
      </w:pPr>
      <w:r>
        <w:rPr>
          <w:rFonts w:hint="eastAsia"/>
        </w:rPr>
        <w:t>重大安全事件发生率为零。</w:t>
      </w:r>
    </w:p>
    <w:p w14:paraId="7593F782">
      <w:pPr>
        <w:pStyle w:val="165"/>
        <w:spacing w:line="360" w:lineRule="auto"/>
      </w:pPr>
      <w:r>
        <w:rPr>
          <w:rFonts w:hint="eastAsia"/>
        </w:rPr>
        <w:t>用户满意度不低于85%。</w:t>
      </w:r>
    </w:p>
    <w:p w14:paraId="1E525B8B">
      <w:pPr>
        <w:pStyle w:val="105"/>
        <w:spacing w:before="120" w:after="120" w:line="360" w:lineRule="auto"/>
      </w:pPr>
      <w:r>
        <w:rPr>
          <w:rFonts w:hint="eastAsia"/>
        </w:rPr>
        <w:t>验收责任</w:t>
      </w:r>
    </w:p>
    <w:p w14:paraId="588E9EB0">
      <w:pPr>
        <w:pStyle w:val="165"/>
        <w:spacing w:line="360" w:lineRule="auto"/>
      </w:pPr>
      <w:r>
        <w:rPr>
          <w:rFonts w:hint="eastAsia"/>
        </w:rPr>
        <w:t>医疗机构护理管理部门负责组织验收，信息部门、质控部门参与。</w:t>
      </w:r>
    </w:p>
    <w:p w14:paraId="726AB2CE">
      <w:pPr>
        <w:pStyle w:val="165"/>
        <w:spacing w:line="360" w:lineRule="auto"/>
      </w:pPr>
      <w:r>
        <w:rPr>
          <w:rFonts w:hint="eastAsia"/>
        </w:rPr>
        <w:t>系统建设方负责提供全部验收资料并配合测试。</w:t>
      </w:r>
    </w:p>
    <w:p w14:paraId="5C6E299C">
      <w:pPr>
        <w:pStyle w:val="165"/>
        <w:spacing w:line="360" w:lineRule="auto"/>
      </w:pPr>
      <w:r>
        <w:rPr>
          <w:rFonts w:hint="eastAsia"/>
        </w:rPr>
        <w:t>验收结论由牵头部门汇总，报院领导审批后形成正式验收报告。</w:t>
      </w:r>
    </w:p>
    <w:p w14:paraId="0CA19214">
      <w:pPr>
        <w:pStyle w:val="104"/>
        <w:spacing w:before="240" w:after="240" w:line="360" w:lineRule="auto"/>
      </w:pPr>
      <w:bookmarkStart w:id="58" w:name="_Toc205559581"/>
      <w:r>
        <w:rPr>
          <w:rFonts w:hint="eastAsia"/>
        </w:rPr>
        <w:t>附则</w:t>
      </w:r>
      <w:bookmarkEnd w:id="58"/>
    </w:p>
    <w:p w14:paraId="2D6DC117">
      <w:pPr>
        <w:pStyle w:val="105"/>
        <w:spacing w:before="120" w:after="120" w:line="360" w:lineRule="auto"/>
      </w:pPr>
      <w:r>
        <w:rPr>
          <w:rFonts w:hint="eastAsia"/>
        </w:rPr>
        <w:t>实施日期</w:t>
      </w:r>
    </w:p>
    <w:p w14:paraId="66954F31">
      <w:pPr>
        <w:pStyle w:val="56"/>
        <w:spacing w:line="360" w:lineRule="auto"/>
        <w:ind w:firstLine="420"/>
      </w:pPr>
      <w:r>
        <w:rPr>
          <w:rFonts w:hint="eastAsia"/>
        </w:rPr>
        <w:t>本文件自发布之日起施行。鼓励各医疗机构在正式实施前开展试点运行，积累经验后全面推广。</w:t>
      </w:r>
    </w:p>
    <w:p w14:paraId="2CAA8713">
      <w:pPr>
        <w:pStyle w:val="105"/>
        <w:spacing w:before="120" w:after="120" w:line="360" w:lineRule="auto"/>
      </w:pPr>
      <w:r>
        <w:rPr>
          <w:rFonts w:hint="eastAsia"/>
        </w:rPr>
        <w:t>解释机构</w:t>
      </w:r>
    </w:p>
    <w:p w14:paraId="250CA338">
      <w:pPr>
        <w:pStyle w:val="56"/>
        <w:spacing w:line="360" w:lineRule="auto"/>
        <w:ind w:firstLine="420"/>
      </w:pPr>
      <w:r>
        <w:rPr>
          <w:rFonts w:hint="eastAsia"/>
        </w:rPr>
        <w:t>本文件由制定机构负责解释，涉及数据管理、安全技术及护理质量改进等方面的专业问题，可由相关领域专家联合解答。</w:t>
      </w:r>
    </w:p>
    <w:p w14:paraId="1E4E5FC3">
      <w:pPr>
        <w:pStyle w:val="105"/>
        <w:spacing w:before="120" w:after="120" w:line="360" w:lineRule="auto"/>
      </w:pPr>
      <w:r>
        <w:rPr>
          <w:rFonts w:hint="eastAsia"/>
        </w:rPr>
        <w:t>过渡期要求</w:t>
      </w:r>
    </w:p>
    <w:p w14:paraId="3FBC789B">
      <w:pPr>
        <w:pStyle w:val="165"/>
        <w:spacing w:line="360" w:lineRule="auto"/>
      </w:pPr>
      <w:r>
        <w:rPr>
          <w:rFonts w:hint="eastAsia"/>
        </w:rPr>
        <w:t>已在运行的耳鼻喉科护理质量管理系统，可在本文件实施之日起12个月内完成符合性评估，并根据评估结果逐步改造升级。</w:t>
      </w:r>
    </w:p>
    <w:p w14:paraId="3C6BB810">
      <w:pPr>
        <w:pStyle w:val="165"/>
        <w:spacing w:line="360" w:lineRule="auto"/>
      </w:pPr>
      <w:r>
        <w:rPr>
          <w:rFonts w:hint="eastAsia"/>
        </w:rPr>
        <w:t>对于暂不具备全部大数据分析功能的机构，可分阶段实施，优先完成数据采集与质量评价模块建设。</w:t>
      </w:r>
    </w:p>
    <w:p w14:paraId="0B810AEB">
      <w:pPr>
        <w:pStyle w:val="165"/>
        <w:spacing w:line="360" w:lineRule="auto"/>
      </w:pPr>
      <w:r>
        <w:rPr>
          <w:rFonts w:hint="eastAsia"/>
        </w:rPr>
        <w:t>过渡期内，新建系统应一次性满足本文件的全部要求。</w:t>
      </w:r>
    </w:p>
    <w:p w14:paraId="5A7D1895">
      <w:pPr>
        <w:pStyle w:val="105"/>
        <w:spacing w:before="120" w:after="120" w:line="360" w:lineRule="auto"/>
      </w:pPr>
      <w:r>
        <w:rPr>
          <w:rFonts w:hint="eastAsia"/>
        </w:rPr>
        <w:t>与其他文件的关系</w:t>
      </w:r>
    </w:p>
    <w:p w14:paraId="10EAB96A">
      <w:pPr>
        <w:pStyle w:val="56"/>
        <w:spacing w:line="360" w:lineRule="auto"/>
        <w:ind w:firstLine="420"/>
      </w:pPr>
      <w:r>
        <w:rPr>
          <w:rFonts w:hint="eastAsia"/>
        </w:rPr>
        <w:t>本文件为耳鼻喉科临床护理质量管理的技术规范性文件，与国家和行业现行的医疗信息化、数据安全、护理质量管理等相关标准共同使用，若存在不一致之处，应以国家或行业强制性标准为准。</w:t>
      </w:r>
    </w:p>
    <w:bookmarkEnd w:id="26"/>
    <w:p w14:paraId="6AFD76D9">
      <w:pPr>
        <w:pStyle w:val="56"/>
        <w:ind w:firstLine="0" w:firstLineChars="0"/>
        <w:jc w:val="center"/>
      </w:pPr>
      <w:bookmarkStart w:id="59" w:name="BookMark8"/>
      <w:r>
        <w:rPr>
          <w:rFonts w:hint="eastAsia"/>
        </w:rPr>
        <w:drawing>
          <wp:inline distT="0" distB="0" distL="0" distR="0">
            <wp:extent cx="1485900" cy="317500"/>
            <wp:effectExtent l="0" t="0" r="0" b="6350"/>
            <wp:docPr id="1986926168" name="图片 1"/>
            <wp:cNvGraphicFramePr/>
            <a:graphic xmlns:a="http://schemas.openxmlformats.org/drawingml/2006/main">
              <a:graphicData uri="http://schemas.openxmlformats.org/drawingml/2006/picture">
                <pic:pic xmlns:pic="http://schemas.openxmlformats.org/drawingml/2006/picture">
                  <pic:nvPicPr>
                    <pic:cNvPr id="1986926168"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41D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80D6">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9D5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FA53">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56A8">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FD58">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A58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AA86">
    <w:pPr>
      <w:pStyle w:val="62"/>
    </w:pPr>
    <w:r>
      <w:fldChar w:fldCharType="begin"/>
    </w:r>
    <w:r>
      <w:instrText xml:space="preserve"> STYLEREF  标准文件_文件编号 \* MERGEFORMAT </w:instrText>
    </w:r>
    <w:r>
      <w:fldChar w:fldCharType="separate"/>
    </w:r>
    <w:r>
      <w:t>T/XJBX 0050—2025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0D9A">
    <w:pPr>
      <w:pStyle w:val="61"/>
    </w:pPr>
    <w:r>
      <w:fldChar w:fldCharType="begin"/>
    </w:r>
    <w:r>
      <w:instrText xml:space="preserve"> STYLEREF  标准文件_文件编号  \* MERGEFORMAT </w:instrText>
    </w:r>
    <w:r>
      <w:fldChar w:fldCharType="separate"/>
    </w:r>
    <w:r>
      <w:t>T/XJBX 0050—2025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0B09">
    <w:pPr>
      <w:pStyle w:val="62"/>
    </w:pPr>
    <w:r>
      <w:fldChar w:fldCharType="begin"/>
    </w:r>
    <w:r>
      <w:instrText xml:space="preserve"> STYLEREF  标准文件_文件编号 \* MERGEFORMAT </w:instrText>
    </w:r>
    <w:r>
      <w:fldChar w:fldCharType="separate"/>
    </w:r>
    <w:r>
      <w:t>T/XJBX 0050—2025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B867">
    <w:pPr>
      <w:pStyle w:val="61"/>
    </w:pPr>
    <w:r>
      <w:fldChar w:fldCharType="begin"/>
    </w:r>
    <w:r>
      <w:instrText xml:space="preserve"> STYLEREF  标准文件_文件编号  \* MERGEFORMAT </w:instrText>
    </w:r>
    <w:r>
      <w:fldChar w:fldCharType="separate"/>
    </w:r>
    <w:r>
      <w:t>T/XJBX 0050—2025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F6B3">
    <w:pPr>
      <w:pStyle w:val="62"/>
    </w:pPr>
    <w:r>
      <w:fldChar w:fldCharType="begin"/>
    </w:r>
    <w:r>
      <w:instrText xml:space="preserve"> STYLEREF  标准文件_文件编号 \* MERGEFORMAT </w:instrText>
    </w:r>
    <w:r>
      <w:fldChar w:fldCharType="separate"/>
    </w:r>
    <w:r>
      <w:t>T/XJBX 0050—2025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5DAF">
    <w:pPr>
      <w:pStyle w:val="61"/>
    </w:pPr>
    <w:r>
      <w:fldChar w:fldCharType="begin"/>
    </w:r>
    <w:r>
      <w:instrText xml:space="preserve"> STYLEREF  标准文件_文件编号  \* MERGEFORMAT </w:instrText>
    </w:r>
    <w:r>
      <w:fldChar w:fldCharType="separate"/>
    </w:r>
    <w:r>
      <w:t>T/XJBX 0050—2025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C7D"/>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13A"/>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48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994"/>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1D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2AB"/>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E2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B029B14">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AB22005">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3AC522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32553C"/>
    <w:rsid w:val="008F4647"/>
    <w:rsid w:val="00AE1DC6"/>
    <w:rsid w:val="00D0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5765</Words>
  <Characters>6107</Characters>
  <Lines>53</Lines>
  <Paragraphs>15</Paragraphs>
  <TotalTime>38</TotalTime>
  <ScaleCrop>false</ScaleCrop>
  <LinksUpToDate>false</LinksUpToDate>
  <CharactersWithSpaces>6206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2025-08-11T06:18:56Z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2D94D7FAC68347B6B4D595A09C8145FC_12</vt:lpwstr>
  </property>
</Properties>
</file>