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65.02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B 1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16</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48"/>
            </w:textInput>
          </w:ffData>
        </w:fldChar>
      </w:r>
      <w:bookmarkStart w:id="6" w:name="NSTD_CODE_F"/>
      <w:r>
        <w:instrText xml:space="preserve"> FORMTEXT </w:instrText>
      </w:r>
      <w:r>
        <w:fldChar w:fldCharType="separate"/>
      </w:r>
      <w:r>
        <w:t>0048</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672A3B43">
      <w:pPr>
        <w:pStyle w:val="197"/>
        <w:framePr w:h="6974" w:hRule="exact" w:wrap="around" w:x="1419" w:anchorLock="1"/>
      </w:pPr>
      <w:r>
        <w:fldChar w:fldCharType="begin">
          <w:ffData>
            <w:name w:val="CSTD_NAME"/>
            <w:enabled/>
            <w:calcOnExit w:val="0"/>
            <w:textInput>
              <w:default w:val="水稻病虫害防治中无人机智能作业质量规程"/>
            </w:textInput>
          </w:ffData>
        </w:fldChar>
      </w:r>
      <w:bookmarkStart w:id="9" w:name="CSTD_NAME"/>
      <w:r>
        <w:instrText xml:space="preserve"> FORMTEXT </w:instrText>
      </w:r>
      <w:r>
        <w:fldChar w:fldCharType="separate"/>
      </w:r>
      <w:r>
        <w:t>水稻病虫害防治中无人机智能作业</w:t>
      </w:r>
    </w:p>
    <w:p w14:paraId="73594FE6">
      <w:pPr>
        <w:pStyle w:val="197"/>
        <w:framePr w:h="6974" w:hRule="exact" w:wrap="around" w:x="1419" w:anchorLock="1"/>
      </w:pPr>
      <w:r>
        <w:t>质量规程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intelligent UAV operation quality in rice pest and disease control"/>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intelligent UAV operation quality in rice pest and disease control</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F084264">
      <w:pPr>
        <w:pStyle w:val="91"/>
        <w:spacing w:after="360"/>
      </w:pPr>
      <w:bookmarkStart w:id="21" w:name="BookMark1"/>
      <w:r>
        <w:rPr>
          <w:rFonts w:hint="eastAsia"/>
          <w:spacing w:val="320"/>
        </w:rPr>
        <w:t>目</w:t>
      </w:r>
      <w:r>
        <w:rPr>
          <w:rFonts w:hint="eastAsia"/>
        </w:rPr>
        <w:t>次</w:t>
      </w:r>
    </w:p>
    <w:p w14:paraId="10141AF9">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"_Toc205551030" </w:instrText>
      </w:r>
      <w:r>
        <w:fldChar w:fldCharType="separate"/>
      </w:r>
      <w:r>
        <w:rPr>
          <w:rStyle w:val="32"/>
        </w:rPr>
        <w:t>前言</w:t>
      </w:r>
      <w:r>
        <w:tab/>
      </w:r>
      <w:r>
        <w:fldChar w:fldCharType="begin"/>
      </w:r>
      <w:r>
        <w:instrText xml:space="preserve"> PAGEREF _Toc205551030 \h </w:instrText>
      </w:r>
      <w:r>
        <w:fldChar w:fldCharType="separate"/>
      </w:r>
      <w:r>
        <w:t>III</w:t>
      </w:r>
      <w:r>
        <w:fldChar w:fldCharType="end"/>
      </w:r>
      <w:r>
        <w:fldChar w:fldCharType="end"/>
      </w:r>
    </w:p>
    <w:p w14:paraId="6E5B7D20">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"_Toc205551031" </w:instrText>
      </w:r>
      <w:r>
        <w:fldChar w:fldCharType="separate"/>
      </w:r>
      <w:r>
        <w:rPr>
          <w:rStyle w:val="32"/>
        </w:rPr>
        <w:t>引言</w:t>
      </w:r>
      <w:r>
        <w:tab/>
      </w:r>
      <w:r>
        <w:fldChar w:fldCharType="begin"/>
      </w:r>
      <w:r>
        <w:instrText xml:space="preserve"> PAGEREF _Toc205551031 \h </w:instrText>
      </w:r>
      <w:r>
        <w:fldChar w:fldCharType="separate"/>
      </w:r>
      <w:r>
        <w:t>V</w:t>
      </w:r>
      <w:r>
        <w:fldChar w:fldCharType="end"/>
      </w:r>
      <w:r>
        <w:fldChar w:fldCharType="end"/>
      </w:r>
    </w:p>
    <w:p w14:paraId="46DC1715">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"_Toc205551032" </w:instrText>
      </w:r>
      <w:r>
        <w:fldChar w:fldCharType="separate"/>
      </w:r>
      <w:r>
        <w:rPr>
          <w:rStyle w:val="32"/>
        </w:rPr>
        <w:t>1  范围</w:t>
      </w:r>
      <w:r>
        <w:tab/>
      </w:r>
      <w:r>
        <w:fldChar w:fldCharType="begin"/>
      </w:r>
      <w:r>
        <w:instrText xml:space="preserve"> PAGEREF _Toc205551032 \h </w:instrText>
      </w:r>
      <w:r>
        <w:fldChar w:fldCharType="separate"/>
      </w:r>
      <w:r>
        <w:t>1</w:t>
      </w:r>
      <w:r>
        <w:fldChar w:fldCharType="end"/>
      </w:r>
      <w:r>
        <w:fldChar w:fldCharType="end"/>
      </w:r>
    </w:p>
    <w:p w14:paraId="046E4E2F">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"_Toc205551033" </w:instrText>
      </w:r>
      <w:r>
        <w:fldChar w:fldCharType="separate"/>
      </w:r>
      <w:r>
        <w:rPr>
          <w:rStyle w:val="32"/>
        </w:rPr>
        <w:t>2  规范性引用文件</w:t>
      </w:r>
      <w:r>
        <w:tab/>
      </w:r>
      <w:r>
        <w:fldChar w:fldCharType="begin"/>
      </w:r>
      <w:r>
        <w:instrText xml:space="preserve"> PAGEREF _Toc205551033 \h </w:instrText>
      </w:r>
      <w:r>
        <w:fldChar w:fldCharType="separate"/>
      </w:r>
      <w:r>
        <w:t>1</w:t>
      </w:r>
      <w:r>
        <w:fldChar w:fldCharType="end"/>
      </w:r>
      <w:r>
        <w:fldChar w:fldCharType="end"/>
      </w:r>
    </w:p>
    <w:p w14:paraId="16BA147A">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"_Toc205551034" </w:instrText>
      </w:r>
      <w:r>
        <w:fldChar w:fldCharType="separate"/>
      </w:r>
      <w:r>
        <w:rPr>
          <w:rStyle w:val="32"/>
        </w:rPr>
        <w:t>3  术语和定义</w:t>
      </w:r>
      <w:r>
        <w:tab/>
      </w:r>
      <w:r>
        <w:fldChar w:fldCharType="begin"/>
      </w:r>
      <w:r>
        <w:instrText xml:space="preserve"> PAGEREF _Toc205551034 \h </w:instrText>
      </w:r>
      <w:r>
        <w:fldChar w:fldCharType="separate"/>
      </w:r>
      <w:r>
        <w:t>1</w:t>
      </w:r>
      <w:r>
        <w:fldChar w:fldCharType="end"/>
      </w:r>
      <w:r>
        <w:fldChar w:fldCharType="end"/>
      </w:r>
    </w:p>
    <w:p w14:paraId="7BB05705">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"_Toc205551035" </w:instrText>
      </w:r>
      <w:r>
        <w:fldChar w:fldCharType="separate"/>
      </w:r>
      <w:r>
        <w:rPr>
          <w:rStyle w:val="32"/>
        </w:rPr>
        <w:t>4  基本原则</w:t>
      </w:r>
      <w:r>
        <w:tab/>
      </w:r>
      <w:r>
        <w:fldChar w:fldCharType="begin"/>
      </w:r>
      <w:r>
        <w:instrText xml:space="preserve"> PAGEREF _Toc205551035 \h </w:instrText>
      </w:r>
      <w:r>
        <w:fldChar w:fldCharType="separate"/>
      </w:r>
      <w:r>
        <w:t>2</w:t>
      </w:r>
      <w:r>
        <w:fldChar w:fldCharType="end"/>
      </w:r>
      <w:r>
        <w:fldChar w:fldCharType="end"/>
      </w:r>
    </w:p>
    <w:p w14:paraId="37075EB1">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"_Toc205551036" </w:instrText>
      </w:r>
      <w:r>
        <w:fldChar w:fldCharType="separate"/>
      </w:r>
      <w:r>
        <w:rPr>
          <w:rStyle w:val="32"/>
        </w:rPr>
        <w:t>5  作业准备</w:t>
      </w:r>
      <w:r>
        <w:tab/>
      </w:r>
      <w:r>
        <w:fldChar w:fldCharType="begin"/>
      </w:r>
      <w:r>
        <w:instrText xml:space="preserve"> PAGEREF _Toc205551036 \h </w:instrText>
      </w:r>
      <w:r>
        <w:fldChar w:fldCharType="separate"/>
      </w:r>
      <w:r>
        <w:t>3</w:t>
      </w:r>
      <w:r>
        <w:fldChar w:fldCharType="end"/>
      </w:r>
      <w:r>
        <w:fldChar w:fldCharType="end"/>
      </w:r>
    </w:p>
    <w:p w14:paraId="30C87A27">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"_Toc205551037" </w:instrText>
      </w:r>
      <w:r>
        <w:fldChar w:fldCharType="separate"/>
      </w:r>
      <w:r>
        <w:rPr>
          <w:rStyle w:val="32"/>
        </w:rPr>
        <w:t>6  作业过程控制</w:t>
      </w:r>
      <w:r>
        <w:tab/>
      </w:r>
      <w:r>
        <w:fldChar w:fldCharType="begin"/>
      </w:r>
      <w:r>
        <w:instrText xml:space="preserve"> PAGEREF _Toc205551037 \h </w:instrText>
      </w:r>
      <w:r>
        <w:fldChar w:fldCharType="separate"/>
      </w:r>
      <w:r>
        <w:t>4</w:t>
      </w:r>
      <w:r>
        <w:fldChar w:fldCharType="end"/>
      </w:r>
      <w:r>
        <w:fldChar w:fldCharType="end"/>
      </w:r>
    </w:p>
    <w:p w14:paraId="1602F972">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"_Toc205551038" </w:instrText>
      </w:r>
      <w:r>
        <w:fldChar w:fldCharType="separate"/>
      </w:r>
      <w:r>
        <w:rPr>
          <w:rStyle w:val="32"/>
        </w:rPr>
        <w:t>7  作业效果评价</w:t>
      </w:r>
      <w:r>
        <w:tab/>
      </w:r>
      <w:r>
        <w:fldChar w:fldCharType="begin"/>
      </w:r>
      <w:r>
        <w:instrText xml:space="preserve"> PAGEREF _Toc205551038 \h </w:instrText>
      </w:r>
      <w:r>
        <w:fldChar w:fldCharType="separate"/>
      </w:r>
      <w:r>
        <w:t>4</w:t>
      </w:r>
      <w:r>
        <w:fldChar w:fldCharType="end"/>
      </w:r>
      <w:r>
        <w:fldChar w:fldCharType="end"/>
      </w:r>
    </w:p>
    <w:p w14:paraId="0B2844A3">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"_Toc205551039" </w:instrText>
      </w:r>
      <w:r>
        <w:fldChar w:fldCharType="separate"/>
      </w:r>
      <w:r>
        <w:rPr>
          <w:rStyle w:val="32"/>
        </w:rPr>
        <w:t>8  质量验收</w:t>
      </w:r>
      <w:r>
        <w:tab/>
      </w:r>
      <w:r>
        <w:fldChar w:fldCharType="begin"/>
      </w:r>
      <w:r>
        <w:instrText xml:space="preserve"> PAGEREF _Toc205551039 \h </w:instrText>
      </w:r>
      <w:r>
        <w:fldChar w:fldCharType="separate"/>
      </w:r>
      <w:r>
        <w:t>5</w:t>
      </w:r>
      <w:r>
        <w:fldChar w:fldCharType="end"/>
      </w:r>
      <w:r>
        <w:fldChar w:fldCharType="end"/>
      </w:r>
    </w:p>
    <w:p w14:paraId="22DDD9DD">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"_Toc205551040" </w:instrText>
      </w:r>
      <w:r>
        <w:fldChar w:fldCharType="separate"/>
      </w:r>
      <w:r>
        <w:rPr>
          <w:rStyle w:val="32"/>
        </w:rPr>
        <w:t>9  安全与环保要求</w:t>
      </w:r>
      <w:r>
        <w:tab/>
      </w:r>
      <w:r>
        <w:fldChar w:fldCharType="begin"/>
      </w:r>
      <w:r>
        <w:instrText xml:space="preserve"> PAGEREF _Toc205551040 \h </w:instrText>
      </w:r>
      <w:r>
        <w:fldChar w:fldCharType="separate"/>
      </w:r>
      <w:r>
        <w:t>6</w:t>
      </w:r>
      <w:r>
        <w:fldChar w:fldCharType="end"/>
      </w:r>
      <w:r>
        <w:fldChar w:fldCharType="end"/>
      </w:r>
    </w:p>
    <w:p w14:paraId="33FBB30D">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"_Toc205551041" </w:instrText>
      </w:r>
      <w:r>
        <w:fldChar w:fldCharType="separate"/>
      </w:r>
      <w:r>
        <w:rPr>
          <w:rStyle w:val="32"/>
        </w:rPr>
        <w:t>10  运行维护与更新</w:t>
      </w:r>
      <w:r>
        <w:tab/>
      </w:r>
      <w:r>
        <w:fldChar w:fldCharType="begin"/>
      </w:r>
      <w:r>
        <w:instrText xml:space="preserve"> PAGEREF _Toc205551041 \h </w:instrText>
      </w:r>
      <w:r>
        <w:fldChar w:fldCharType="separate"/>
      </w:r>
      <w:r>
        <w:t>7</w:t>
      </w:r>
      <w:r>
        <w:fldChar w:fldCharType="end"/>
      </w:r>
      <w:r>
        <w:fldChar w:fldCharType="end"/>
      </w:r>
    </w:p>
    <w:p w14:paraId="5A10C34D">
      <w:pPr>
        <w:pStyle w:val="19"/>
        <w:tabs>
          <w:tab w:val="right" w:leader="dot" w:pos="9344"/>
        </w:tabs>
        <w:rPr>
          <w:rFonts w:asciiTheme="minorHAnsi" w:hAnsiTheme="minorHAnsi" w:eastAsiaTheme="minorEastAsia" w:cstheme="minorBidi"/>
          <w:szCs w:val="22"/>
        </w:rPr>
      </w:pPr>
      <w:r>
        <w:fldChar w:fldCharType="begin"/>
      </w:r>
      <w:r>
        <w:instrText xml:space="preserve"> HYPERLINK \l "_Toc205551042" </w:instrText>
      </w:r>
      <w:r>
        <w:fldChar w:fldCharType="separate"/>
      </w:r>
      <w:r>
        <w:rPr>
          <w:rStyle w:val="32"/>
        </w:rPr>
        <w:t>11  成果交付与档案管理</w:t>
      </w:r>
      <w:r>
        <w:tab/>
      </w:r>
      <w:r>
        <w:fldChar w:fldCharType="begin"/>
      </w:r>
      <w:r>
        <w:instrText xml:space="preserve"> PAGEREF _Toc205551042 \h </w:instrText>
      </w:r>
      <w:r>
        <w:fldChar w:fldCharType="separate"/>
      </w:r>
      <w:r>
        <w:t>7</w:t>
      </w:r>
      <w:r>
        <w:fldChar w:fldCharType="end"/>
      </w:r>
      <w:r>
        <w:fldChar w:fldCharType="end"/>
      </w:r>
    </w:p>
    <w:p w14:paraId="7C9678B4">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51030"/>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本文件起草单位：陕西省汉中市城固县农业技术推广与培训中心。</w:t>
      </w:r>
    </w:p>
    <w:p w14:paraId="55F4A5D1">
      <w:pPr>
        <w:pStyle w:val="56"/>
        <w:spacing w:line="360" w:lineRule="auto"/>
        <w:ind w:firstLine="420"/>
      </w:pPr>
      <w:r>
        <w:rPr>
          <w:rFonts w:hint="eastAsia"/>
        </w:rPr>
        <w:t>本文件主要起草人：郭明国。</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66D0A2F3">
      <w:pPr>
        <w:pStyle w:val="89"/>
        <w:spacing w:after="360"/>
      </w:pPr>
      <w:bookmarkStart w:id="24" w:name="_Toc205551031"/>
      <w:bookmarkStart w:id="25" w:name="BookMark3"/>
      <w:r>
        <w:rPr>
          <w:spacing w:val="320"/>
        </w:rPr>
        <w:t>引</w:t>
      </w:r>
      <w:r>
        <w:t>言</w:t>
      </w:r>
      <w:bookmarkEnd w:id="24"/>
    </w:p>
    <w:p w14:paraId="75767D4F">
      <w:pPr>
        <w:pStyle w:val="56"/>
        <w:spacing w:line="360" w:lineRule="auto"/>
        <w:ind w:firstLine="420"/>
      </w:pPr>
      <w:r>
        <w:rPr>
          <w:rFonts w:hint="eastAsia"/>
        </w:rPr>
        <w:t>水稻作为我国主要粮食作物，其产量与品质直接关系到国家粮食安全。病虫害是影响水稻生产的重要因素，防治工作质量对确保稳产增产具有决定性作用。随着农业机械化和智能化的发展，无人机在水稻病虫害防治中得到了广泛应用，其作业效率高、覆盖范围广、机动性强，能够显著提升防治的精准性和作业安全性。然而，在实际应用中，不同机型、喷施技术、作业参数和操作规范存在差异，导致防治效果和作业质量参差不齐。</w:t>
      </w:r>
    </w:p>
    <w:p w14:paraId="1B6405FE">
      <w:pPr>
        <w:pStyle w:val="56"/>
        <w:spacing w:line="360" w:lineRule="auto"/>
        <w:ind w:firstLine="420"/>
      </w:pPr>
      <w:r>
        <w:rPr>
          <w:rFonts w:hint="eastAsia"/>
        </w:rPr>
        <w:t>本文件旨在规范水稻病虫害防治中无人机智能作业的质量控制要求，涵盖作业前准备、作业过程控制、作业效果评价及质量验收等环节，确保防治作业的安全性、有效性和环境友好性。本文件的编制综合考虑了水稻病虫害的发生规律、无人机作业的技术特点及田间管理的实际需求，结合精准农业、遥感监测、智能决策等先进技术，建立了从作业规划、施药控制到质量评估的全流程质量管理体系。</w:t>
      </w:r>
    </w:p>
    <w:p w14:paraId="1D7710E0">
      <w:pPr>
        <w:pStyle w:val="56"/>
        <w:spacing w:line="360" w:lineRule="auto"/>
        <w:ind w:firstLine="420"/>
      </w:pPr>
      <w:r>
        <w:rPr>
          <w:rFonts w:hint="eastAsia"/>
        </w:rPr>
        <w:t>本文件的实施将有助于提升水稻病虫害防治的科学化、标准化和智能化水平，提高防治效率，降低药剂使用量，减轻环境负担，并促进农业绿色发展与可持续生产。</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367E45E1">
          <w:pPr>
            <w:pStyle w:val="177"/>
            <w:spacing w:after="0"/>
          </w:pPr>
          <w:bookmarkStart w:id="27" w:name="NEW_STAND_NAME"/>
          <w:r>
            <w:rPr>
              <w:rFonts w:hint="eastAsia"/>
            </w:rPr>
            <w:t>水稻病虫害防治中无人机智能作业</w:t>
          </w:r>
        </w:p>
        <w:p w14:paraId="7D4E3E1F">
          <w:pPr>
            <w:pStyle w:val="177"/>
            <w:spacing w:before="0"/>
          </w:pPr>
          <w:r>
            <w:rPr>
              <w:rFonts w:hint="eastAsia"/>
            </w:rPr>
            <w:t>质量规程</w:t>
          </w:r>
        </w:p>
      </w:sdtContent>
    </w:sdt>
    <w:bookmarkEnd w:id="27"/>
    <w:p w14:paraId="3DB22445">
      <w:pPr>
        <w:pStyle w:val="104"/>
        <w:spacing w:before="240" w:after="240" w:line="360" w:lineRule="auto"/>
      </w:pPr>
      <w:bookmarkStart w:id="28" w:name="_Toc26986771"/>
      <w:bookmarkStart w:id="29" w:name="_Toc26718930"/>
      <w:bookmarkStart w:id="30" w:name="_Toc17233333"/>
      <w:bookmarkStart w:id="31" w:name="_Toc26648465"/>
      <w:bookmarkStart w:id="32" w:name="_Toc205551032"/>
      <w:bookmarkStart w:id="33" w:name="_Toc26986530"/>
      <w:bookmarkStart w:id="34" w:name="_Toc97192964"/>
      <w:bookmarkStart w:id="35" w:name="_Toc17233325"/>
      <w:bookmarkStart w:id="36" w:name="_Toc24884211"/>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0A24559D">
      <w:pPr>
        <w:pStyle w:val="56"/>
        <w:spacing w:line="360" w:lineRule="auto"/>
        <w:ind w:firstLine="420"/>
      </w:pPr>
      <w:bookmarkStart w:id="38" w:name="_Toc26648466"/>
      <w:bookmarkStart w:id="39" w:name="_Toc17233334"/>
      <w:bookmarkStart w:id="40" w:name="_Toc24884212"/>
      <w:bookmarkStart w:id="41" w:name="_Toc17233326"/>
      <w:bookmarkStart w:id="42" w:name="_Toc24884219"/>
      <w:r>
        <w:rPr>
          <w:rFonts w:hint="eastAsia"/>
        </w:rPr>
        <w:t>本文件规定了水稻病虫害防治中无人机智能作业的质量要求，包括基本原则、作业准备、作业过程控制、作业效果评价、质量验收、安全与环保要求、运行维护与更新及成果交付与档案管理等内容。</w:t>
      </w:r>
    </w:p>
    <w:p w14:paraId="0EF8A614">
      <w:pPr>
        <w:pStyle w:val="56"/>
        <w:spacing w:line="360" w:lineRule="auto"/>
        <w:ind w:firstLine="420"/>
      </w:pPr>
      <w:r>
        <w:rPr>
          <w:rFonts w:hint="eastAsia"/>
        </w:rPr>
        <w:t>本文件适用于采用多旋翼、固定翼或单旋翼无人机等飞行平台，结合自动导航、智能喷洒控制系统开展的水稻病虫害防治作业的质量管理与评价工作。</w:t>
      </w:r>
    </w:p>
    <w:p w14:paraId="76265264">
      <w:pPr>
        <w:pStyle w:val="56"/>
        <w:spacing w:line="360" w:lineRule="auto"/>
        <w:ind w:firstLine="420"/>
      </w:pPr>
      <w:r>
        <w:rPr>
          <w:rFonts w:hint="eastAsia"/>
        </w:rPr>
        <w:t>本文件适用于大田水稻、再生稻及其他采用无人机进行病虫害防治的稻作生产场景。采用人工、地面机械或其他航空器进行防治作业的，可参照本文件相关质量要求执行。</w:t>
      </w:r>
    </w:p>
    <w:p w14:paraId="3733B2AD">
      <w:pPr>
        <w:pStyle w:val="104"/>
        <w:spacing w:before="240" w:after="240" w:line="360" w:lineRule="auto"/>
      </w:pPr>
      <w:bookmarkStart w:id="43" w:name="_Toc26986531"/>
      <w:bookmarkStart w:id="44" w:name="_Toc26986772"/>
      <w:bookmarkStart w:id="45" w:name="_Toc205551033"/>
      <w:bookmarkStart w:id="46" w:name="_Toc267189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CBD236">
      <w:pPr>
        <w:pStyle w:val="56"/>
        <w:spacing w:line="360" w:lineRule="auto"/>
        <w:ind w:firstLine="420"/>
      </w:pPr>
      <w:r>
        <w:t>GB 42590</w:t>
      </w:r>
      <w:r>
        <w:rPr>
          <w:rFonts w:hint="eastAsia"/>
        </w:rPr>
        <w:t>—</w:t>
      </w:r>
      <w:r>
        <w:t>2023</w:t>
      </w:r>
      <w:r>
        <w:rPr>
          <w:rFonts w:hint="eastAsia"/>
        </w:rPr>
        <w:t xml:space="preserve"> 民用无人驾驶航空器系统安全要求</w:t>
      </w:r>
    </w:p>
    <w:p w14:paraId="5E38F577">
      <w:pPr>
        <w:pStyle w:val="56"/>
        <w:spacing w:line="360" w:lineRule="auto"/>
        <w:ind w:firstLine="420"/>
      </w:pPr>
      <w:r>
        <w:t>GB/T 8321.10</w:t>
      </w:r>
      <w:r>
        <w:rPr>
          <w:rFonts w:hint="eastAsia"/>
        </w:rPr>
        <w:t>—</w:t>
      </w:r>
      <w:r>
        <w:t>2018</w:t>
      </w:r>
      <w:r>
        <w:rPr>
          <w:rFonts w:hint="eastAsia"/>
        </w:rPr>
        <w:t xml:space="preserve"> 农药合理使用准则</w:t>
      </w:r>
      <w:r>
        <w:rPr>
          <w:rFonts w:hint="eastAsia" w:ascii="Helvetica" w:hAnsi="Helvetica" w:cs="Helvetica"/>
          <w:color w:val="333333"/>
          <w:szCs w:val="21"/>
          <w:shd w:val="clear" w:color="auto" w:fill="FFFFFF"/>
        </w:rPr>
        <w:t>（十）</w:t>
      </w:r>
    </w:p>
    <w:p w14:paraId="563E4EE8">
      <w:pPr>
        <w:pStyle w:val="56"/>
        <w:spacing w:line="360" w:lineRule="auto"/>
        <w:ind w:firstLine="420"/>
      </w:pPr>
      <w:r>
        <w:rPr>
          <w:rFonts w:hint="eastAsia"/>
        </w:rPr>
        <w:t xml:space="preserve">GB/T 20183.1—2024 植物保护机械 </w:t>
      </w:r>
      <w:r>
        <w:t xml:space="preserve"> </w:t>
      </w:r>
      <w:r>
        <w:rPr>
          <w:rFonts w:hint="eastAsia"/>
        </w:rPr>
        <w:t xml:space="preserve">喷雾设备 </w:t>
      </w:r>
      <w:r>
        <w:t xml:space="preserve"> </w:t>
      </w:r>
      <w:r>
        <w:rPr>
          <w:rFonts w:hint="eastAsia"/>
        </w:rPr>
        <w:t>第1部分：喷雾机喷头试验方法</w:t>
      </w:r>
    </w:p>
    <w:p w14:paraId="51F02A4E">
      <w:pPr>
        <w:pStyle w:val="104"/>
        <w:spacing w:before="240" w:after="240" w:line="360" w:lineRule="auto"/>
      </w:pPr>
      <w:bookmarkStart w:id="48" w:name="_Toc205551034"/>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1C295C5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无人机智能作业 unmanned aerial vehicle intelligent operation</w:t>
      </w:r>
    </w:p>
    <w:p w14:paraId="79C7A91A">
      <w:pPr>
        <w:pStyle w:val="56"/>
        <w:spacing w:line="360" w:lineRule="auto"/>
        <w:ind w:firstLine="420"/>
      </w:pPr>
      <w:r>
        <w:rPr>
          <w:rFonts w:hint="eastAsia"/>
        </w:rPr>
        <w:t>利用植保无人机搭载自动导航系统、喷洒控制系统和传感器设备，在预设航线及作业参数条件下，自动或半自动完成水稻病虫害防治作业的过程。</w:t>
      </w:r>
    </w:p>
    <w:p w14:paraId="0C31D24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作业质量 operation quality</w:t>
      </w:r>
    </w:p>
    <w:p w14:paraId="6E5C1680">
      <w:pPr>
        <w:pStyle w:val="56"/>
        <w:spacing w:line="360" w:lineRule="auto"/>
        <w:ind w:firstLine="420"/>
      </w:pPr>
      <w:r>
        <w:rPr>
          <w:rFonts w:hint="eastAsia"/>
        </w:rPr>
        <w:t>衡量无人机施药作业效果的综合指标，主要包括施药均匀度、目标覆盖率、药液沉积量、漂移控制效果及防治效果等。</w:t>
      </w:r>
    </w:p>
    <w:p w14:paraId="45B40FB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施药均匀度 application uniformity</w:t>
      </w:r>
    </w:p>
    <w:p w14:paraId="27CAD22B">
      <w:pPr>
        <w:pStyle w:val="56"/>
        <w:spacing w:line="360" w:lineRule="auto"/>
        <w:ind w:firstLine="420"/>
      </w:pPr>
      <w:r>
        <w:rPr>
          <w:rFonts w:hint="eastAsia"/>
        </w:rPr>
        <w:t>单位面积内农药沉积分布的一致性程度，用于反映喷雾覆盖的均匀性，通常用变异系数表示。</w:t>
      </w:r>
    </w:p>
    <w:p w14:paraId="743E878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药液沉积量 droplet deposition</w:t>
      </w:r>
    </w:p>
    <w:p w14:paraId="1DE368AB">
      <w:pPr>
        <w:pStyle w:val="56"/>
        <w:spacing w:line="360" w:lineRule="auto"/>
        <w:ind w:firstLine="420"/>
      </w:pPr>
      <w:r>
        <w:rPr>
          <w:rFonts w:hint="eastAsia"/>
        </w:rPr>
        <w:t>单位面积上附着的药液质量或体积，用以评估施药剂量是否达到防治要求。</w:t>
      </w:r>
    </w:p>
    <w:p w14:paraId="2079576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漂移控制 drift control</w:t>
      </w:r>
    </w:p>
    <w:p w14:paraId="6A1B8EA4">
      <w:pPr>
        <w:pStyle w:val="56"/>
        <w:spacing w:line="360" w:lineRule="auto"/>
        <w:ind w:firstLine="420"/>
      </w:pPr>
      <w:r>
        <w:rPr>
          <w:rFonts w:hint="eastAsia"/>
        </w:rPr>
        <w:t>通过技术手段和作业参数优化，减少药液在目标区域外沉积或漂移的能力。</w:t>
      </w:r>
    </w:p>
    <w:p w14:paraId="242D1A1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防治效果 control efficacy</w:t>
      </w:r>
    </w:p>
    <w:p w14:paraId="714DADFA">
      <w:pPr>
        <w:pStyle w:val="56"/>
        <w:spacing w:line="360" w:lineRule="auto"/>
        <w:ind w:firstLine="420"/>
      </w:pPr>
      <w:r>
        <w:rPr>
          <w:rFonts w:hint="eastAsia"/>
        </w:rPr>
        <w:t>在施药一定时间后，目标病虫害种群密度下降的比例或病情指数降低的程度。</w:t>
      </w:r>
    </w:p>
    <w:p w14:paraId="5B1C0F6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安全间隔期 safety interval</w:t>
      </w:r>
    </w:p>
    <w:p w14:paraId="5E88B1CC">
      <w:pPr>
        <w:pStyle w:val="56"/>
        <w:spacing w:line="360" w:lineRule="auto"/>
        <w:ind w:firstLine="420"/>
      </w:pPr>
      <w:r>
        <w:rPr>
          <w:rFonts w:hint="eastAsia"/>
        </w:rPr>
        <w:t>从施药作业完成到水稻收获之间所需的最短间隔时间，以确保农产品安全和环境安全。</w:t>
      </w:r>
    </w:p>
    <w:p w14:paraId="2E74D91E">
      <w:pPr>
        <w:pStyle w:val="104"/>
        <w:spacing w:before="240" w:after="240" w:line="360" w:lineRule="auto"/>
      </w:pPr>
      <w:bookmarkStart w:id="51" w:name="_Toc205551035"/>
      <w:r>
        <w:rPr>
          <w:rFonts w:hint="eastAsia"/>
        </w:rPr>
        <w:t>基本原则</w:t>
      </w:r>
      <w:bookmarkEnd w:id="51"/>
    </w:p>
    <w:p w14:paraId="53BA2FE9">
      <w:pPr>
        <w:pStyle w:val="105"/>
        <w:spacing w:before="120" w:after="120" w:line="360" w:lineRule="auto"/>
      </w:pPr>
      <w:r>
        <w:rPr>
          <w:rFonts w:hint="eastAsia"/>
        </w:rPr>
        <w:t>安全性原则</w:t>
      </w:r>
    </w:p>
    <w:p w14:paraId="28CCD995">
      <w:pPr>
        <w:pStyle w:val="56"/>
        <w:spacing w:line="360" w:lineRule="auto"/>
        <w:ind w:firstLine="420"/>
      </w:pPr>
      <w:r>
        <w:rPr>
          <w:rFonts w:hint="eastAsia"/>
        </w:rPr>
        <w:t>无人机作业应确保操作人员、周边人员、水稻作物及生态环境的安全，严格执行农药安全使用规定，防止药液漂移对非防治目标区域造成影响。</w:t>
      </w:r>
    </w:p>
    <w:p w14:paraId="5AF7DE2C">
      <w:pPr>
        <w:pStyle w:val="105"/>
        <w:spacing w:before="120" w:after="120" w:line="360" w:lineRule="auto"/>
      </w:pPr>
      <w:r>
        <w:rPr>
          <w:rFonts w:hint="eastAsia"/>
        </w:rPr>
        <w:t>精准性原则</w:t>
      </w:r>
    </w:p>
    <w:p w14:paraId="721316B2">
      <w:pPr>
        <w:pStyle w:val="56"/>
        <w:spacing w:line="360" w:lineRule="auto"/>
        <w:ind w:firstLine="420"/>
      </w:pPr>
      <w:r>
        <w:rPr>
          <w:rFonts w:hint="eastAsia"/>
        </w:rPr>
        <w:t>作业应基于病虫害发生的空间分布与防治阈值，结合地块边界、作物长势及气象条件，精准规划航线、喷幅及施药量，确保药液沉积量和覆盖率满足防治需求。</w:t>
      </w:r>
    </w:p>
    <w:p w14:paraId="6EB5D441">
      <w:pPr>
        <w:pStyle w:val="105"/>
        <w:spacing w:before="120" w:after="120" w:line="360" w:lineRule="auto"/>
      </w:pPr>
      <w:r>
        <w:rPr>
          <w:rFonts w:hint="eastAsia"/>
        </w:rPr>
        <w:t>高效性原则</w:t>
      </w:r>
    </w:p>
    <w:p w14:paraId="509CB78D">
      <w:pPr>
        <w:pStyle w:val="56"/>
        <w:spacing w:line="360" w:lineRule="auto"/>
        <w:ind w:firstLine="420"/>
      </w:pPr>
      <w:r>
        <w:rPr>
          <w:rFonts w:hint="eastAsia"/>
        </w:rPr>
        <w:t>在保障防治效果的前提下，应合理优化飞行速度、喷幅及作业路径，提升单架次作业效率，减少重复作业和能源消耗。</w:t>
      </w:r>
    </w:p>
    <w:p w14:paraId="08461BB2">
      <w:pPr>
        <w:pStyle w:val="105"/>
        <w:spacing w:before="120" w:after="120" w:line="360" w:lineRule="auto"/>
      </w:pPr>
      <w:r>
        <w:rPr>
          <w:rFonts w:hint="eastAsia"/>
        </w:rPr>
        <w:t>环境友好原则</w:t>
      </w:r>
    </w:p>
    <w:p w14:paraId="04A134B0">
      <w:pPr>
        <w:pStyle w:val="56"/>
        <w:spacing w:line="360" w:lineRule="auto"/>
        <w:ind w:firstLine="420"/>
      </w:pPr>
      <w:r>
        <w:rPr>
          <w:rFonts w:hint="eastAsia"/>
        </w:rPr>
        <w:t>作业过程中应选用环境友好型农药和低漂移喷洒技术，降低对水体、土壤和非靶标生物的影响，实现绿色防控与可持续发展。</w:t>
      </w:r>
    </w:p>
    <w:p w14:paraId="3866C00D">
      <w:pPr>
        <w:pStyle w:val="105"/>
        <w:spacing w:before="120" w:after="120" w:line="360" w:lineRule="auto"/>
      </w:pPr>
      <w:r>
        <w:rPr>
          <w:rFonts w:hint="eastAsia"/>
        </w:rPr>
        <w:t>规范化原则</w:t>
      </w:r>
    </w:p>
    <w:p w14:paraId="58E2764F">
      <w:pPr>
        <w:pStyle w:val="56"/>
        <w:spacing w:line="360" w:lineRule="auto"/>
        <w:ind w:firstLine="420"/>
      </w:pPr>
      <w:r>
        <w:rPr>
          <w:rFonts w:hint="eastAsia"/>
        </w:rPr>
        <w:t>无人机作业各环节应执行统一的作业规程、操作标准和数据记录规范，确保作业可追溯、可验证，并便于后期作业效果评价与管理。</w:t>
      </w:r>
    </w:p>
    <w:p w14:paraId="213A6069">
      <w:pPr>
        <w:pStyle w:val="105"/>
        <w:spacing w:before="120" w:after="120" w:line="360" w:lineRule="auto"/>
      </w:pPr>
      <w:r>
        <w:rPr>
          <w:rFonts w:hint="eastAsia"/>
        </w:rPr>
        <w:t>智能化原则</w:t>
      </w:r>
    </w:p>
    <w:p w14:paraId="57916E31">
      <w:pPr>
        <w:pStyle w:val="56"/>
        <w:spacing w:line="360" w:lineRule="auto"/>
        <w:ind w:firstLine="420"/>
      </w:pPr>
      <w:r>
        <w:rPr>
          <w:rFonts w:hint="eastAsia"/>
        </w:rPr>
        <w:t>应充分利用传感器、地理信息系统（GIS）、遥感监测及作业管理平台，实现作业数据实时采集、传输、分析与优化，提高防治作业的自动化与智能决策水平。</w:t>
      </w:r>
    </w:p>
    <w:p w14:paraId="6683C9CB">
      <w:pPr>
        <w:pStyle w:val="104"/>
        <w:spacing w:before="240" w:after="240" w:line="360" w:lineRule="auto"/>
      </w:pPr>
      <w:bookmarkStart w:id="52" w:name="_Toc205551036"/>
      <w:r>
        <w:rPr>
          <w:rFonts w:hint="eastAsia"/>
        </w:rPr>
        <w:t>作业准备</w:t>
      </w:r>
      <w:bookmarkEnd w:id="52"/>
    </w:p>
    <w:p w14:paraId="68E1567F">
      <w:pPr>
        <w:pStyle w:val="105"/>
        <w:spacing w:before="120" w:after="120" w:line="360" w:lineRule="auto"/>
      </w:pPr>
      <w:r>
        <w:rPr>
          <w:rFonts w:hint="eastAsia"/>
        </w:rPr>
        <w:t>病虫害监测与评估</w:t>
      </w:r>
    </w:p>
    <w:p w14:paraId="27C0399A">
      <w:pPr>
        <w:pStyle w:val="56"/>
        <w:spacing w:line="360" w:lineRule="auto"/>
        <w:ind w:firstLine="420"/>
      </w:pPr>
      <w:r>
        <w:rPr>
          <w:rFonts w:hint="eastAsia"/>
        </w:rPr>
        <w:t>作业前应对水稻田间病虫害发生情况进行调查，可采用人工巡查、植保无人机航拍、遥感监测或病虫害监测系统等手段获取数据。</w:t>
      </w:r>
    </w:p>
    <w:p w14:paraId="146E9F44">
      <w:pPr>
        <w:pStyle w:val="56"/>
        <w:spacing w:line="360" w:lineRule="auto"/>
        <w:ind w:firstLine="420"/>
      </w:pPr>
      <w:r>
        <w:rPr>
          <w:rFonts w:hint="eastAsia"/>
        </w:rPr>
        <w:t>应评估病虫害发生的类型、程度、分布范围及防治阈值，明确作业区域和优先防治地块。</w:t>
      </w:r>
    </w:p>
    <w:p w14:paraId="72E0B0C4">
      <w:pPr>
        <w:pStyle w:val="56"/>
        <w:spacing w:line="360" w:lineRule="auto"/>
        <w:ind w:firstLine="420"/>
      </w:pPr>
      <w:r>
        <w:rPr>
          <w:rFonts w:hint="eastAsia"/>
        </w:rPr>
        <w:t>调查与评估结果应形成记录，作为作业参数设置和药剂选择的依据。</w:t>
      </w:r>
    </w:p>
    <w:p w14:paraId="282BB826">
      <w:pPr>
        <w:pStyle w:val="105"/>
        <w:spacing w:before="120" w:after="120" w:line="360" w:lineRule="auto"/>
      </w:pPr>
      <w:r>
        <w:rPr>
          <w:rFonts w:hint="eastAsia"/>
        </w:rPr>
        <w:t>设备检查与调试</w:t>
      </w:r>
    </w:p>
    <w:p w14:paraId="30444932">
      <w:pPr>
        <w:pStyle w:val="56"/>
        <w:spacing w:line="360" w:lineRule="auto"/>
        <w:ind w:firstLine="420"/>
      </w:pPr>
      <w:r>
        <w:rPr>
          <w:rFonts w:hint="eastAsia"/>
        </w:rPr>
        <w:t>检查无人机机体、动力系统、飞控系统、喷洒系统、电池及传感器状态，确保各部件正常运行。</w:t>
      </w:r>
    </w:p>
    <w:p w14:paraId="46B8D044">
      <w:pPr>
        <w:pStyle w:val="56"/>
        <w:spacing w:line="360" w:lineRule="auto"/>
        <w:ind w:firstLine="420"/>
      </w:pPr>
      <w:r>
        <w:rPr>
          <w:rFonts w:hint="eastAsia"/>
        </w:rPr>
        <w:t>检查喷头类型、喷孔大小及雾化效果，必要时进行更换或清洗。</w:t>
      </w:r>
    </w:p>
    <w:p w14:paraId="3B1A9705">
      <w:pPr>
        <w:pStyle w:val="56"/>
        <w:spacing w:line="360" w:lineRule="auto"/>
        <w:ind w:firstLine="420"/>
      </w:pPr>
      <w:r>
        <w:rPr>
          <w:rFonts w:hint="eastAsia"/>
        </w:rPr>
        <w:t>在地面试运行飞控系统、喷洒系统和导航系统，确保飞行稳定性与喷洒均匀性符合要求。</w:t>
      </w:r>
    </w:p>
    <w:p w14:paraId="27981227">
      <w:pPr>
        <w:pStyle w:val="105"/>
        <w:spacing w:before="120" w:after="120" w:line="360" w:lineRule="auto"/>
      </w:pPr>
      <w:r>
        <w:rPr>
          <w:rFonts w:hint="eastAsia"/>
        </w:rPr>
        <w:t>药剂选择与配置</w:t>
      </w:r>
    </w:p>
    <w:p w14:paraId="0FFD1ECA">
      <w:pPr>
        <w:pStyle w:val="56"/>
        <w:spacing w:line="360" w:lineRule="auto"/>
        <w:ind w:firstLine="420"/>
      </w:pPr>
      <w:r>
        <w:rPr>
          <w:rFonts w:hint="eastAsia"/>
        </w:rPr>
        <w:t>根据监测结果和防治目标，选择对口、低毒、低残留、对水稻安全且环境友好的药剂。</w:t>
      </w:r>
    </w:p>
    <w:p w14:paraId="7C92DCD5">
      <w:pPr>
        <w:pStyle w:val="56"/>
        <w:spacing w:line="360" w:lineRule="auto"/>
        <w:ind w:firstLine="420"/>
      </w:pPr>
      <w:r>
        <w:rPr>
          <w:rFonts w:hint="eastAsia"/>
        </w:rPr>
        <w:t>按照药剂标签或技术说明书的推荐浓度和剂量进行配置，确保溶解均匀，无沉淀或结块。</w:t>
      </w:r>
    </w:p>
    <w:p w14:paraId="292ED316">
      <w:pPr>
        <w:pStyle w:val="56"/>
        <w:spacing w:line="360" w:lineRule="auto"/>
        <w:ind w:firstLine="420"/>
      </w:pPr>
      <w:r>
        <w:rPr>
          <w:rFonts w:hint="eastAsia"/>
        </w:rPr>
        <w:t>配药过程应使用清洁水源，并在专用防护场所进行，严禁在水源地或生活区附近配药。</w:t>
      </w:r>
    </w:p>
    <w:p w14:paraId="2971E04B">
      <w:pPr>
        <w:pStyle w:val="105"/>
        <w:spacing w:before="120" w:after="120" w:line="360" w:lineRule="auto"/>
      </w:pPr>
      <w:r>
        <w:rPr>
          <w:rFonts w:hint="eastAsia"/>
        </w:rPr>
        <w:t>飞行计划制定</w:t>
      </w:r>
    </w:p>
    <w:p w14:paraId="10B6773D">
      <w:pPr>
        <w:pStyle w:val="56"/>
        <w:spacing w:line="360" w:lineRule="auto"/>
        <w:ind w:firstLine="420"/>
      </w:pPr>
      <w:r>
        <w:rPr>
          <w:rFonts w:hint="eastAsia"/>
        </w:rPr>
        <w:t>根据作业区域形状、面积、障碍物分布及地形情况制定飞行航线。</w:t>
      </w:r>
    </w:p>
    <w:p w14:paraId="43091868">
      <w:pPr>
        <w:pStyle w:val="56"/>
        <w:spacing w:line="360" w:lineRule="auto"/>
        <w:ind w:firstLine="420"/>
      </w:pPr>
      <w:r>
        <w:rPr>
          <w:rFonts w:hint="eastAsia"/>
        </w:rPr>
        <w:t>确定飞行高度、速度、喷幅、喷洒量及喷头开启方式等参数。</w:t>
      </w:r>
    </w:p>
    <w:p w14:paraId="4EFA1EEE">
      <w:pPr>
        <w:pStyle w:val="56"/>
        <w:spacing w:line="360" w:lineRule="auto"/>
        <w:ind w:firstLine="420"/>
      </w:pPr>
      <w:r>
        <w:rPr>
          <w:rFonts w:hint="eastAsia"/>
        </w:rPr>
        <w:t>考虑气象条件（风速、风向、温湿度）对作业效果的影响，必要时调整作业时间或参数。</w:t>
      </w:r>
    </w:p>
    <w:p w14:paraId="6C815F6F">
      <w:pPr>
        <w:pStyle w:val="56"/>
        <w:spacing w:line="360" w:lineRule="auto"/>
        <w:ind w:firstLine="420"/>
      </w:pPr>
      <w:r>
        <w:rPr>
          <w:rFonts w:hint="eastAsia"/>
        </w:rPr>
        <w:t>飞行计划应上传至无人机作业管理系统或飞控系统，供作业时调用。</w:t>
      </w:r>
    </w:p>
    <w:p w14:paraId="6D7CE242">
      <w:pPr>
        <w:pStyle w:val="105"/>
        <w:spacing w:before="120" w:after="120" w:line="360" w:lineRule="auto"/>
      </w:pPr>
      <w:r>
        <w:rPr>
          <w:rFonts w:hint="eastAsia"/>
        </w:rPr>
        <w:t>作业人员培训与安全防护</w:t>
      </w:r>
    </w:p>
    <w:p w14:paraId="6B00E992">
      <w:pPr>
        <w:pStyle w:val="56"/>
        <w:spacing w:line="360" w:lineRule="auto"/>
        <w:ind w:firstLine="420"/>
      </w:pPr>
      <w:r>
        <w:rPr>
          <w:rFonts w:hint="eastAsia"/>
        </w:rPr>
        <w:t>作业人员应经过无人机操作、病虫害识别、农药安全使用等方面的培训，并取得相应资质。</w:t>
      </w:r>
    </w:p>
    <w:p w14:paraId="1D0D7FF3">
      <w:pPr>
        <w:pStyle w:val="56"/>
        <w:spacing w:line="360" w:lineRule="auto"/>
        <w:ind w:firstLine="420"/>
      </w:pPr>
      <w:r>
        <w:rPr>
          <w:rFonts w:hint="eastAsia"/>
        </w:rPr>
        <w:t>作业人员应配备并正确佩戴防护眼镜、防毒口罩、防护手套及防护服等。</w:t>
      </w:r>
    </w:p>
    <w:p w14:paraId="2A62EE40">
      <w:pPr>
        <w:pStyle w:val="56"/>
        <w:spacing w:line="360" w:lineRule="auto"/>
        <w:ind w:firstLine="420"/>
      </w:pPr>
      <w:r>
        <w:rPr>
          <w:rFonts w:hint="eastAsia"/>
        </w:rPr>
        <w:t>作业现场应配备应急药剂处置及救护用品。</w:t>
      </w:r>
    </w:p>
    <w:p w14:paraId="57446260">
      <w:pPr>
        <w:pStyle w:val="104"/>
        <w:spacing w:before="240" w:after="240" w:line="360" w:lineRule="auto"/>
      </w:pPr>
      <w:bookmarkStart w:id="53" w:name="_Toc205551037"/>
      <w:r>
        <w:rPr>
          <w:rFonts w:hint="eastAsia"/>
        </w:rPr>
        <w:t>作业过程控制</w:t>
      </w:r>
      <w:bookmarkEnd w:id="53"/>
    </w:p>
    <w:p w14:paraId="757EDE34">
      <w:pPr>
        <w:pStyle w:val="105"/>
        <w:spacing w:before="120" w:after="120" w:line="360" w:lineRule="auto"/>
      </w:pPr>
      <w:r>
        <w:rPr>
          <w:rFonts w:hint="eastAsia"/>
        </w:rPr>
        <w:t>起飞与作业启动</w:t>
      </w:r>
    </w:p>
    <w:p w14:paraId="1F1F6F39">
      <w:pPr>
        <w:pStyle w:val="56"/>
        <w:spacing w:line="360" w:lineRule="auto"/>
        <w:ind w:firstLine="420"/>
      </w:pPr>
      <w:r>
        <w:rPr>
          <w:rFonts w:hint="eastAsia"/>
        </w:rPr>
        <w:t>起飞前应确认飞行区域无无关人员、牲畜及障碍物，设立明显的作业警示标识。</w:t>
      </w:r>
    </w:p>
    <w:p w14:paraId="13FA9AC7">
      <w:pPr>
        <w:pStyle w:val="56"/>
        <w:spacing w:line="360" w:lineRule="auto"/>
        <w:ind w:firstLine="420"/>
      </w:pPr>
      <w:r>
        <w:rPr>
          <w:rFonts w:hint="eastAsia"/>
        </w:rPr>
        <w:t>启动飞行程序前，检查飞控系统、导航系统和喷洒系统状态，确保药液充足且喷头正常。</w:t>
      </w:r>
    </w:p>
    <w:p w14:paraId="10107932">
      <w:pPr>
        <w:pStyle w:val="56"/>
        <w:spacing w:line="360" w:lineRule="auto"/>
        <w:ind w:firstLine="420"/>
      </w:pPr>
      <w:r>
        <w:rPr>
          <w:rFonts w:hint="eastAsia"/>
        </w:rPr>
        <w:t>按飞行计划设定航线和作业参数，并在飞行控制界面确认无误后起飞。</w:t>
      </w:r>
    </w:p>
    <w:p w14:paraId="7F63E378">
      <w:pPr>
        <w:pStyle w:val="105"/>
        <w:spacing w:before="120" w:after="120" w:line="360" w:lineRule="auto"/>
      </w:pPr>
      <w:r>
        <w:rPr>
          <w:rFonts w:hint="eastAsia"/>
        </w:rPr>
        <w:t>飞行与喷洒控制</w:t>
      </w:r>
    </w:p>
    <w:p w14:paraId="361A6E4D">
      <w:pPr>
        <w:pStyle w:val="56"/>
        <w:spacing w:line="360" w:lineRule="auto"/>
        <w:ind w:firstLine="420"/>
      </w:pPr>
      <w:r>
        <w:rPr>
          <w:rFonts w:hint="eastAsia"/>
        </w:rPr>
        <w:t>飞行高度应保持在作物冠层上方2～4 m，确保药液雾滴有效覆盖目标作物。</w:t>
      </w:r>
    </w:p>
    <w:p w14:paraId="2F06559E">
      <w:pPr>
        <w:pStyle w:val="56"/>
        <w:spacing w:line="360" w:lineRule="auto"/>
        <w:ind w:firstLine="420"/>
      </w:pPr>
      <w:r>
        <w:rPr>
          <w:rFonts w:hint="eastAsia"/>
        </w:rPr>
        <w:t>飞行速度应与喷幅、喷头流量匹配，一般控制在3～6 m/s，根据药剂性质和病虫害位置适当调整。</w:t>
      </w:r>
    </w:p>
    <w:p w14:paraId="210F597B">
      <w:pPr>
        <w:pStyle w:val="56"/>
        <w:spacing w:line="360" w:lineRule="auto"/>
        <w:ind w:firstLine="420"/>
      </w:pPr>
      <w:r>
        <w:rPr>
          <w:rFonts w:hint="eastAsia"/>
        </w:rPr>
        <w:t>喷幅应覆盖相邻航线作业带的5%～10%进行重叠，以避免漏喷。</w:t>
      </w:r>
    </w:p>
    <w:p w14:paraId="64E8774F">
      <w:pPr>
        <w:pStyle w:val="56"/>
        <w:spacing w:line="360" w:lineRule="auto"/>
        <w:ind w:firstLine="420"/>
      </w:pPr>
      <w:r>
        <w:rPr>
          <w:rFonts w:hint="eastAsia"/>
        </w:rPr>
        <w:t>对发生集中或严重的病虫害区域，应增加航线密度或降低飞行速度，提升覆盖率和沉积量。</w:t>
      </w:r>
    </w:p>
    <w:p w14:paraId="417734D9">
      <w:pPr>
        <w:pStyle w:val="105"/>
        <w:spacing w:before="120" w:after="120" w:line="360" w:lineRule="auto"/>
      </w:pPr>
      <w:r>
        <w:rPr>
          <w:rFonts w:hint="eastAsia"/>
        </w:rPr>
        <w:t>气象条件控制</w:t>
      </w:r>
    </w:p>
    <w:p w14:paraId="153337CF">
      <w:pPr>
        <w:pStyle w:val="56"/>
        <w:spacing w:line="360" w:lineRule="auto"/>
        <w:ind w:firstLine="420"/>
      </w:pPr>
      <w:r>
        <w:rPr>
          <w:rFonts w:hint="eastAsia"/>
        </w:rPr>
        <w:t>作业应在风速≤3 m/s的条件下进行，避免漂移影响防治效果及非靶标安全。</w:t>
      </w:r>
    </w:p>
    <w:p w14:paraId="68F0C4E8">
      <w:pPr>
        <w:pStyle w:val="56"/>
        <w:spacing w:line="360" w:lineRule="auto"/>
        <w:ind w:firstLine="420"/>
      </w:pPr>
      <w:r>
        <w:rPr>
          <w:rFonts w:hint="eastAsia"/>
        </w:rPr>
        <w:t>避免在降雨、雾霾、大雾或相对湿度＞85%的条件下作业，防止药液稀释或雾滴附着不良。</w:t>
      </w:r>
    </w:p>
    <w:p w14:paraId="77BEE7C5">
      <w:pPr>
        <w:pStyle w:val="56"/>
        <w:spacing w:line="360" w:lineRule="auto"/>
        <w:ind w:firstLine="420"/>
      </w:pPr>
      <w:r>
        <w:rPr>
          <w:rFonts w:hint="eastAsia"/>
        </w:rPr>
        <w:t>作业温度宜为15～30 ℃，避免在高温或低温条件下喷施影响药效。</w:t>
      </w:r>
    </w:p>
    <w:p w14:paraId="1966F4B1">
      <w:pPr>
        <w:pStyle w:val="105"/>
        <w:spacing w:before="120" w:after="120" w:line="360" w:lineRule="auto"/>
      </w:pPr>
      <w:r>
        <w:rPr>
          <w:rFonts w:hint="eastAsia"/>
        </w:rPr>
        <w:t>实时监控与调整</w:t>
      </w:r>
    </w:p>
    <w:p w14:paraId="1DC5F8C1">
      <w:pPr>
        <w:pStyle w:val="56"/>
        <w:spacing w:line="360" w:lineRule="auto"/>
        <w:ind w:firstLine="420"/>
      </w:pPr>
      <w:r>
        <w:rPr>
          <w:rFonts w:hint="eastAsia"/>
        </w:rPr>
        <w:t>作业过程中应通过地面站或作业管理平台实时监控飞行状态、药液余量、喷头工作情况及气象参数。</w:t>
      </w:r>
    </w:p>
    <w:p w14:paraId="4EE4BE68">
      <w:pPr>
        <w:pStyle w:val="56"/>
        <w:spacing w:line="360" w:lineRule="auto"/>
        <w:ind w:firstLine="420"/>
      </w:pPr>
      <w:r>
        <w:rPr>
          <w:rFonts w:hint="eastAsia"/>
        </w:rPr>
        <w:t>当监测到药液流量异常、喷头堵塞、GPS信号丢失或飞行姿态异常时，应立即采取安全着陆、返航或暂停喷洒等措施。</w:t>
      </w:r>
    </w:p>
    <w:p w14:paraId="386981C2">
      <w:pPr>
        <w:pStyle w:val="56"/>
        <w:spacing w:line="360" w:lineRule="auto"/>
        <w:ind w:firstLine="420"/>
      </w:pPr>
      <w:r>
        <w:rPr>
          <w:rFonts w:hint="eastAsia"/>
        </w:rPr>
        <w:t>对监测到的漏喷、重喷或覆盖不足区域，应进行补喷作业。</w:t>
      </w:r>
    </w:p>
    <w:p w14:paraId="21A84C01">
      <w:pPr>
        <w:pStyle w:val="105"/>
        <w:spacing w:before="120" w:after="120" w:line="360" w:lineRule="auto"/>
      </w:pPr>
      <w:r>
        <w:rPr>
          <w:rFonts w:hint="eastAsia"/>
        </w:rPr>
        <w:t>安全防护与应急处置</w:t>
      </w:r>
    </w:p>
    <w:p w14:paraId="5078808E">
      <w:pPr>
        <w:pStyle w:val="56"/>
        <w:spacing w:line="360" w:lineRule="auto"/>
        <w:ind w:firstLine="420"/>
      </w:pPr>
      <w:r>
        <w:rPr>
          <w:rFonts w:hint="eastAsia"/>
        </w:rPr>
        <w:t>作业区域应保持安全警戒，不得擅自进入。</w:t>
      </w:r>
    </w:p>
    <w:p w14:paraId="39E89849">
      <w:pPr>
        <w:pStyle w:val="56"/>
        <w:spacing w:line="360" w:lineRule="auto"/>
        <w:ind w:firstLine="420"/>
      </w:pPr>
      <w:r>
        <w:rPr>
          <w:rFonts w:hint="eastAsia"/>
        </w:rPr>
        <w:t>若发生药液泄漏，应立即停止作业，收集残留药液并按环保要求处理。</w:t>
      </w:r>
    </w:p>
    <w:p w14:paraId="285226B2">
      <w:pPr>
        <w:pStyle w:val="56"/>
        <w:spacing w:line="360" w:lineRule="auto"/>
        <w:ind w:firstLine="420"/>
      </w:pPr>
      <w:r>
        <w:rPr>
          <w:rFonts w:hint="eastAsia"/>
        </w:rPr>
        <w:t>发生设备故障或飞行事故时，应立即采取断电、回收等措施，并记录事故信息。</w:t>
      </w:r>
    </w:p>
    <w:p w14:paraId="23726A82">
      <w:pPr>
        <w:pStyle w:val="104"/>
        <w:spacing w:before="240" w:after="240" w:line="360" w:lineRule="auto"/>
      </w:pPr>
      <w:bookmarkStart w:id="54" w:name="_Toc205551038"/>
      <w:r>
        <w:rPr>
          <w:rFonts w:hint="eastAsia"/>
        </w:rPr>
        <w:t>作业效果评价</w:t>
      </w:r>
      <w:bookmarkEnd w:id="54"/>
    </w:p>
    <w:p w14:paraId="776CB2B9">
      <w:pPr>
        <w:pStyle w:val="105"/>
        <w:spacing w:before="120" w:after="120" w:line="360" w:lineRule="auto"/>
      </w:pPr>
      <w:r>
        <w:rPr>
          <w:rFonts w:hint="eastAsia"/>
        </w:rPr>
        <w:t>总体要求</w:t>
      </w:r>
    </w:p>
    <w:p w14:paraId="20115793">
      <w:pPr>
        <w:pStyle w:val="56"/>
        <w:spacing w:line="360" w:lineRule="auto"/>
        <w:ind w:firstLine="420"/>
      </w:pPr>
      <w:r>
        <w:rPr>
          <w:rFonts w:hint="eastAsia"/>
        </w:rPr>
        <w:t>作业效果评价应在施药完成后按规定时间和方法开展，评价结果应能够客观反映施药均匀度、药液沉积量、目标覆盖率、防治效果等质量指标。</w:t>
      </w:r>
    </w:p>
    <w:p w14:paraId="02C4A477">
      <w:pPr>
        <w:pStyle w:val="105"/>
        <w:spacing w:before="120" w:after="120" w:line="360" w:lineRule="auto"/>
      </w:pPr>
      <w:r>
        <w:rPr>
          <w:rFonts w:hint="eastAsia"/>
        </w:rPr>
        <w:t>施药均匀度评价</w:t>
      </w:r>
    </w:p>
    <w:p w14:paraId="4CE61E81">
      <w:pPr>
        <w:pStyle w:val="56"/>
        <w:spacing w:line="360" w:lineRule="auto"/>
        <w:ind w:firstLine="420"/>
      </w:pPr>
      <w:r>
        <w:rPr>
          <w:rFonts w:hint="eastAsia"/>
        </w:rPr>
        <w:t>采用水敏纸或沉积采样器在作业区域按“S”形或对角线布点采集雾滴沉积样本。</w:t>
      </w:r>
    </w:p>
    <w:p w14:paraId="332D1A53">
      <w:pPr>
        <w:pStyle w:val="56"/>
        <w:spacing w:line="360" w:lineRule="auto"/>
        <w:ind w:firstLine="420"/>
      </w:pPr>
      <w:r>
        <w:rPr>
          <w:rFonts w:hint="eastAsia"/>
        </w:rPr>
        <w:t>通过图像分析系统或显微镜测量雾滴密度与分布，计算变异系数（CV）。</w:t>
      </w:r>
    </w:p>
    <w:p w14:paraId="6457BC5D">
      <w:pPr>
        <w:pStyle w:val="56"/>
        <w:spacing w:line="360" w:lineRule="auto"/>
        <w:ind w:firstLine="420"/>
      </w:pPr>
      <w:r>
        <w:rPr>
          <w:rFonts w:hint="eastAsia"/>
        </w:rPr>
        <w:t>均匀度要求：变异系数一般应≤30%，特殊防治需求时可根据作物和药剂特点调整。</w:t>
      </w:r>
    </w:p>
    <w:p w14:paraId="4463BEC2">
      <w:pPr>
        <w:pStyle w:val="105"/>
        <w:spacing w:before="120" w:after="120" w:line="360" w:lineRule="auto"/>
      </w:pPr>
      <w:r>
        <w:rPr>
          <w:rFonts w:hint="eastAsia"/>
        </w:rPr>
        <w:t>药液沉积量评价</w:t>
      </w:r>
    </w:p>
    <w:p w14:paraId="4199E893">
      <w:pPr>
        <w:pStyle w:val="56"/>
        <w:spacing w:line="360" w:lineRule="auto"/>
        <w:ind w:firstLine="420"/>
      </w:pPr>
      <w:r>
        <w:rPr>
          <w:rFonts w:hint="eastAsia"/>
        </w:rPr>
        <w:t>采用定量采样法收集不同位置的雾滴样本。</w:t>
      </w:r>
    </w:p>
    <w:p w14:paraId="487C2FE9">
      <w:pPr>
        <w:pStyle w:val="56"/>
        <w:spacing w:line="360" w:lineRule="auto"/>
        <w:ind w:firstLine="420"/>
      </w:pPr>
      <w:r>
        <w:rPr>
          <w:rFonts w:hint="eastAsia"/>
        </w:rPr>
        <w:t>通过化学分析或比色法测定单位面积的沉积药液质量或体积。</w:t>
      </w:r>
    </w:p>
    <w:p w14:paraId="5F46D5AF">
      <w:pPr>
        <w:pStyle w:val="56"/>
        <w:spacing w:line="360" w:lineRule="auto"/>
        <w:ind w:firstLine="420"/>
      </w:pPr>
      <w:r>
        <w:rPr>
          <w:rFonts w:hint="eastAsia"/>
        </w:rPr>
        <w:t>沉积量应达到防治技术方案或药剂说明书推荐值的90%以上。</w:t>
      </w:r>
    </w:p>
    <w:p w14:paraId="4C745BDB">
      <w:pPr>
        <w:pStyle w:val="105"/>
        <w:spacing w:before="120" w:after="120" w:line="360" w:lineRule="auto"/>
      </w:pPr>
      <w:r>
        <w:rPr>
          <w:rFonts w:hint="eastAsia"/>
        </w:rPr>
        <w:t>覆盖率评价</w:t>
      </w:r>
    </w:p>
    <w:p w14:paraId="26F4CC28">
      <w:pPr>
        <w:pStyle w:val="56"/>
        <w:spacing w:line="360" w:lineRule="auto"/>
        <w:ind w:firstLine="420"/>
      </w:pPr>
      <w:r>
        <w:rPr>
          <w:rFonts w:hint="eastAsia"/>
        </w:rPr>
        <w:t>使用水敏纸或显色剂检测目标叶片表面雾滴覆盖情况。</w:t>
      </w:r>
    </w:p>
    <w:p w14:paraId="1848EE14">
      <w:pPr>
        <w:pStyle w:val="56"/>
        <w:spacing w:line="360" w:lineRule="auto"/>
        <w:ind w:firstLine="420"/>
      </w:pPr>
      <w:r>
        <w:rPr>
          <w:rFonts w:hint="eastAsia"/>
        </w:rPr>
        <w:t>覆盖率应符合防治要求，一般应≥80%，特殊害虫（如稻飞虱）应确保叶背覆盖。</w:t>
      </w:r>
    </w:p>
    <w:p w14:paraId="424CCFA6">
      <w:pPr>
        <w:pStyle w:val="105"/>
        <w:spacing w:before="120" w:after="120" w:line="360" w:lineRule="auto"/>
      </w:pPr>
      <w:r>
        <w:rPr>
          <w:rFonts w:hint="eastAsia"/>
        </w:rPr>
        <w:t>防治效果评价</w:t>
      </w:r>
    </w:p>
    <w:p w14:paraId="17C6E86D">
      <w:pPr>
        <w:pStyle w:val="56"/>
        <w:spacing w:line="360" w:lineRule="auto"/>
        <w:ind w:firstLine="420"/>
      </w:pPr>
      <w:r>
        <w:rPr>
          <w:rFonts w:hint="eastAsia"/>
        </w:rPr>
        <w:t>施药后按病虫害生长发育周期，在7～14天内进行调查。</w:t>
      </w:r>
    </w:p>
    <w:p w14:paraId="44CF5E43">
      <w:pPr>
        <w:pStyle w:val="56"/>
        <w:spacing w:line="360" w:lineRule="auto"/>
        <w:ind w:firstLine="420"/>
      </w:pPr>
      <w:r>
        <w:rPr>
          <w:rFonts w:hint="eastAsia"/>
        </w:rPr>
        <w:t>计算病虫害防治效果（防治率）或病情指数下降率。</w:t>
      </w:r>
    </w:p>
    <w:p w14:paraId="626000D0">
      <w:pPr>
        <w:pStyle w:val="56"/>
        <w:spacing w:line="360" w:lineRule="auto"/>
        <w:ind w:firstLine="420"/>
      </w:pPr>
      <w:r>
        <w:rPr>
          <w:rFonts w:hint="eastAsia"/>
        </w:rPr>
        <w:t>防治效果应达到防治目标或技术规程要求，一般不低于85%。</w:t>
      </w:r>
    </w:p>
    <w:p w14:paraId="20B0CCA9">
      <w:pPr>
        <w:pStyle w:val="105"/>
        <w:spacing w:before="120" w:after="120" w:line="360" w:lineRule="auto"/>
      </w:pPr>
      <w:r>
        <w:rPr>
          <w:rFonts w:hint="eastAsia"/>
        </w:rPr>
        <w:t>漂移与环境影响评价</w:t>
      </w:r>
    </w:p>
    <w:p w14:paraId="39A83527">
      <w:pPr>
        <w:pStyle w:val="56"/>
        <w:spacing w:line="360" w:lineRule="auto"/>
        <w:ind w:firstLine="420"/>
      </w:pPr>
      <w:r>
        <w:rPr>
          <w:rFonts w:hint="eastAsia"/>
        </w:rPr>
        <w:t>在作业区域外下风向布设监测点，采集漂移药液样本。</w:t>
      </w:r>
    </w:p>
    <w:p w14:paraId="050BF722">
      <w:pPr>
        <w:pStyle w:val="56"/>
        <w:spacing w:line="360" w:lineRule="auto"/>
        <w:ind w:firstLine="420"/>
      </w:pPr>
      <w:r>
        <w:rPr>
          <w:rFonts w:hint="eastAsia"/>
        </w:rPr>
        <w:t>漂移沉积量应低于农药安全使用标准规定的限值。</w:t>
      </w:r>
    </w:p>
    <w:p w14:paraId="37147E49">
      <w:pPr>
        <w:pStyle w:val="56"/>
        <w:spacing w:line="360" w:lineRule="auto"/>
        <w:ind w:firstLine="420"/>
      </w:pPr>
      <w:r>
        <w:rPr>
          <w:rFonts w:hint="eastAsia"/>
        </w:rPr>
        <w:t>应检测作业后周边水体、土壤及非靶标作物的农药残留情况，确保环境安全。</w:t>
      </w:r>
    </w:p>
    <w:p w14:paraId="440D56BB">
      <w:pPr>
        <w:pStyle w:val="104"/>
        <w:spacing w:before="240" w:after="240" w:line="360" w:lineRule="auto"/>
      </w:pPr>
      <w:bookmarkStart w:id="55" w:name="_Toc205551039"/>
      <w:r>
        <w:rPr>
          <w:rFonts w:hint="eastAsia"/>
        </w:rPr>
        <w:t>质量验收</w:t>
      </w:r>
      <w:bookmarkEnd w:id="55"/>
    </w:p>
    <w:p w14:paraId="4EC51CF3">
      <w:pPr>
        <w:pStyle w:val="105"/>
        <w:spacing w:before="120" w:after="120" w:line="360" w:lineRule="auto"/>
      </w:pPr>
      <w:r>
        <w:rPr>
          <w:rFonts w:hint="eastAsia"/>
        </w:rPr>
        <w:t>验收条件</w:t>
      </w:r>
    </w:p>
    <w:p w14:paraId="7AF46805">
      <w:pPr>
        <w:pStyle w:val="56"/>
        <w:spacing w:line="360" w:lineRule="auto"/>
        <w:ind w:firstLine="420"/>
      </w:pPr>
      <w:r>
        <w:rPr>
          <w:rFonts w:hint="eastAsia"/>
        </w:rPr>
        <w:t>作业完成后，已按规定时间和方法完成作业效果评价，并形成完整的评价记录。</w:t>
      </w:r>
    </w:p>
    <w:p w14:paraId="0D478E8A">
      <w:pPr>
        <w:pStyle w:val="56"/>
        <w:spacing w:line="360" w:lineRule="auto"/>
        <w:ind w:firstLine="420"/>
      </w:pPr>
      <w:r>
        <w:rPr>
          <w:rFonts w:hint="eastAsia"/>
        </w:rPr>
        <w:t>作业过程中产生的飞行记录、作业参数、药液配置及使用记录等资料齐全。</w:t>
      </w:r>
    </w:p>
    <w:p w14:paraId="0D340E64">
      <w:pPr>
        <w:pStyle w:val="56"/>
        <w:spacing w:line="360" w:lineRule="auto"/>
        <w:ind w:firstLine="420"/>
      </w:pPr>
      <w:r>
        <w:rPr>
          <w:rFonts w:hint="eastAsia"/>
        </w:rPr>
        <w:t>作业区域已完成必要的安全间隔期提示和环境检查，确保对人员、作物及环境无不良影响。</w:t>
      </w:r>
    </w:p>
    <w:p w14:paraId="4E71E11F">
      <w:pPr>
        <w:pStyle w:val="105"/>
        <w:spacing w:before="120" w:after="120" w:line="360" w:lineRule="auto"/>
      </w:pPr>
      <w:r>
        <w:rPr>
          <w:rFonts w:hint="eastAsia"/>
        </w:rPr>
        <w:t>验收流程</w:t>
      </w:r>
    </w:p>
    <w:p w14:paraId="77533DC4">
      <w:pPr>
        <w:pStyle w:val="56"/>
        <w:spacing w:line="360" w:lineRule="auto"/>
        <w:ind w:firstLine="420"/>
      </w:pPr>
      <w:r>
        <w:rPr>
          <w:rFonts w:hint="eastAsia"/>
        </w:rPr>
        <w:t>验收流程如下：</w:t>
      </w:r>
    </w:p>
    <w:p w14:paraId="01D62F4B">
      <w:pPr>
        <w:pStyle w:val="174"/>
        <w:spacing w:line="360" w:lineRule="auto"/>
      </w:pPr>
      <w:r>
        <w:rPr>
          <w:rFonts w:hint="eastAsia"/>
        </w:rPr>
        <w:t>资料审查：验收单位应对作业计划、飞行日志、药剂使用记录、效果评价报告等进行审核；</w:t>
      </w:r>
    </w:p>
    <w:p w14:paraId="10E0F93C">
      <w:pPr>
        <w:pStyle w:val="174"/>
        <w:spacing w:line="360" w:lineRule="auto"/>
      </w:pPr>
      <w:r>
        <w:rPr>
          <w:rFonts w:hint="eastAsia"/>
        </w:rPr>
        <w:t>现场抽检：在作业区域随机选取样点，对施药均匀度、沉积量、覆盖率及防治效果进行抽查复核；</w:t>
      </w:r>
    </w:p>
    <w:p w14:paraId="21C633FD">
      <w:pPr>
        <w:pStyle w:val="174"/>
        <w:spacing w:line="360" w:lineRule="auto"/>
      </w:pPr>
      <w:r>
        <w:rPr>
          <w:rFonts w:hint="eastAsia"/>
        </w:rPr>
        <w:t>结果比对：将抽检结果与作业效果评价数据进行比对，确认一致性；</w:t>
      </w:r>
    </w:p>
    <w:p w14:paraId="4BC53C70">
      <w:pPr>
        <w:pStyle w:val="174"/>
        <w:spacing w:line="360" w:lineRule="auto"/>
      </w:pPr>
      <w:r>
        <w:rPr>
          <w:rFonts w:hint="eastAsia"/>
        </w:rPr>
        <w:t>意见确认：根据比对结果形成验收意见，并由相关方签署验收单。</w:t>
      </w:r>
    </w:p>
    <w:p w14:paraId="3AA2FC82">
      <w:pPr>
        <w:pStyle w:val="105"/>
        <w:spacing w:before="120" w:after="120" w:line="360" w:lineRule="auto"/>
      </w:pPr>
      <w:r>
        <w:rPr>
          <w:rFonts w:hint="eastAsia"/>
        </w:rPr>
        <w:t>验收判定</w:t>
      </w:r>
    </w:p>
    <w:p w14:paraId="19BDDAA0">
      <w:pPr>
        <w:pStyle w:val="56"/>
        <w:spacing w:line="360" w:lineRule="auto"/>
        <w:ind w:firstLine="420"/>
      </w:pPr>
      <w:r>
        <w:rPr>
          <w:rFonts w:hint="eastAsia"/>
        </w:rPr>
        <w:t>作业均匀度、沉积量、覆盖率、防治效果等核心指标应达到本文件和技术方案要求。</w:t>
      </w:r>
    </w:p>
    <w:p w14:paraId="2378E5F9">
      <w:pPr>
        <w:pStyle w:val="56"/>
        <w:spacing w:line="360" w:lineRule="auto"/>
        <w:ind w:firstLine="420"/>
      </w:pPr>
      <w:r>
        <w:rPr>
          <w:rFonts w:hint="eastAsia"/>
        </w:rPr>
        <w:t>漂移量和环境影响检测结果应符合农药安全使用标准及相关环保规定。</w:t>
      </w:r>
    </w:p>
    <w:p w14:paraId="701B3D9F">
      <w:pPr>
        <w:pStyle w:val="56"/>
        <w:spacing w:line="360" w:lineRule="auto"/>
        <w:ind w:firstLine="420"/>
      </w:pPr>
      <w:r>
        <w:rPr>
          <w:rFonts w:hint="eastAsia"/>
        </w:rPr>
        <w:t>如发现指标未达标或存在重大缺陷，应要求责任方进行补作业或整改，直至达标。</w:t>
      </w:r>
    </w:p>
    <w:p w14:paraId="127E8AFF">
      <w:pPr>
        <w:pStyle w:val="105"/>
        <w:spacing w:before="120" w:after="120" w:line="360" w:lineRule="auto"/>
      </w:pPr>
      <w:r>
        <w:rPr>
          <w:rFonts w:hint="eastAsia"/>
        </w:rPr>
        <w:t>验收责任</w:t>
      </w:r>
    </w:p>
    <w:p w14:paraId="1BA71388">
      <w:pPr>
        <w:pStyle w:val="56"/>
        <w:spacing w:line="360" w:lineRule="auto"/>
        <w:ind w:firstLine="420"/>
      </w:pPr>
      <w:r>
        <w:rPr>
          <w:rFonts w:hint="eastAsia"/>
        </w:rPr>
        <w:t>由委托方（通常为农户、农业合作社或农业服务公司）组织验收。</w:t>
      </w:r>
    </w:p>
    <w:p w14:paraId="73A51967">
      <w:pPr>
        <w:pStyle w:val="56"/>
        <w:spacing w:line="360" w:lineRule="auto"/>
        <w:ind w:firstLine="420"/>
      </w:pPr>
      <w:r>
        <w:rPr>
          <w:rFonts w:hint="eastAsia"/>
        </w:rPr>
        <w:t>作业方负责提供完整的作业和评价记录，并配合现场抽检。</w:t>
      </w:r>
    </w:p>
    <w:p w14:paraId="65D24779">
      <w:pPr>
        <w:pStyle w:val="56"/>
        <w:spacing w:line="360" w:lineRule="auto"/>
        <w:ind w:firstLine="420"/>
      </w:pPr>
      <w:r>
        <w:rPr>
          <w:rFonts w:hint="eastAsia"/>
        </w:rPr>
        <w:t>验收单位对验收结果的真实性、准确性负责，并保存相关记录备查。</w:t>
      </w:r>
    </w:p>
    <w:p w14:paraId="77C111A4">
      <w:pPr>
        <w:pStyle w:val="104"/>
        <w:spacing w:before="240" w:after="240" w:line="360" w:lineRule="auto"/>
      </w:pPr>
      <w:bookmarkStart w:id="56" w:name="_Toc205551040"/>
      <w:r>
        <w:rPr>
          <w:rFonts w:hint="eastAsia"/>
        </w:rPr>
        <w:t>安全与环保要求</w:t>
      </w:r>
      <w:bookmarkEnd w:id="56"/>
    </w:p>
    <w:p w14:paraId="44CEB35E">
      <w:pPr>
        <w:pStyle w:val="105"/>
        <w:spacing w:before="120" w:after="120" w:line="360" w:lineRule="auto"/>
      </w:pPr>
      <w:r>
        <w:rPr>
          <w:rFonts w:hint="eastAsia"/>
        </w:rPr>
        <w:t>作业安全管理</w:t>
      </w:r>
    </w:p>
    <w:p w14:paraId="48C4017A">
      <w:pPr>
        <w:pStyle w:val="56"/>
        <w:spacing w:line="360" w:lineRule="auto"/>
        <w:ind w:firstLine="420"/>
      </w:pPr>
      <w:r>
        <w:rPr>
          <w:rFonts w:hint="eastAsia"/>
        </w:rPr>
        <w:t>作业人员应持有无人机操作资质，并经过农药安全使用与病虫害识别的培训。</w:t>
      </w:r>
    </w:p>
    <w:p w14:paraId="2279877A">
      <w:pPr>
        <w:pStyle w:val="56"/>
        <w:spacing w:line="360" w:lineRule="auto"/>
        <w:ind w:firstLine="420"/>
      </w:pPr>
      <w:r>
        <w:rPr>
          <w:rFonts w:hint="eastAsia"/>
        </w:rPr>
        <w:t>作业现场应设立明显的安全警示标识，并划定警戒区域，禁止无关人员和牲畜进入。</w:t>
      </w:r>
    </w:p>
    <w:p w14:paraId="2B4F2B36">
      <w:pPr>
        <w:pStyle w:val="56"/>
        <w:spacing w:line="360" w:lineRule="auto"/>
        <w:ind w:firstLine="420"/>
      </w:pPr>
      <w:r>
        <w:rPr>
          <w:rFonts w:hint="eastAsia"/>
        </w:rPr>
        <w:t>作业前应评估飞行风险，避开电线、高大树木、建筑物及其他障碍物。</w:t>
      </w:r>
    </w:p>
    <w:p w14:paraId="173992EF">
      <w:pPr>
        <w:pStyle w:val="56"/>
        <w:spacing w:line="360" w:lineRule="auto"/>
        <w:ind w:firstLine="420"/>
      </w:pPr>
      <w:r>
        <w:rPr>
          <w:rFonts w:hint="eastAsia"/>
        </w:rPr>
        <w:t>在飞行中严禁超视距操作，除非具备相应的技术条件和审批手续。</w:t>
      </w:r>
    </w:p>
    <w:p w14:paraId="16C685E9">
      <w:pPr>
        <w:pStyle w:val="56"/>
        <w:spacing w:line="360" w:lineRule="auto"/>
        <w:ind w:firstLine="420"/>
      </w:pPr>
      <w:r>
        <w:rPr>
          <w:rFonts w:hint="eastAsia"/>
        </w:rPr>
        <w:t>遇到突发设备故障、信号丢失或天气突变，应立即停止喷洒并采取安全降落措施。</w:t>
      </w:r>
    </w:p>
    <w:p w14:paraId="3C6DCC94">
      <w:pPr>
        <w:pStyle w:val="105"/>
        <w:spacing w:before="120" w:after="120" w:line="360" w:lineRule="auto"/>
      </w:pPr>
      <w:r>
        <w:rPr>
          <w:rFonts w:hint="eastAsia"/>
        </w:rPr>
        <w:t>农药安全使用</w:t>
      </w:r>
    </w:p>
    <w:p w14:paraId="5B4E1465">
      <w:pPr>
        <w:pStyle w:val="56"/>
        <w:spacing w:line="360" w:lineRule="auto"/>
        <w:ind w:firstLine="420"/>
      </w:pPr>
      <w:r>
        <w:rPr>
          <w:rFonts w:hint="eastAsia"/>
        </w:rPr>
        <w:t>所用农药应符合国家农药登记和质量安全要求，禁止使用国家禁止或限制的高毒、高残留农药。</w:t>
      </w:r>
    </w:p>
    <w:p w14:paraId="5D713D3B">
      <w:pPr>
        <w:pStyle w:val="56"/>
        <w:spacing w:line="360" w:lineRule="auto"/>
        <w:ind w:firstLine="420"/>
      </w:pPr>
      <w:r>
        <w:rPr>
          <w:rFonts w:hint="eastAsia"/>
        </w:rPr>
        <w:t>配药和施药应严格按照标签或技术说明进行，避免超剂量或混用不当。</w:t>
      </w:r>
    </w:p>
    <w:p w14:paraId="5C46F8C4">
      <w:pPr>
        <w:pStyle w:val="56"/>
        <w:spacing w:line="360" w:lineRule="auto"/>
        <w:ind w:firstLine="420"/>
      </w:pPr>
      <w:r>
        <w:rPr>
          <w:rFonts w:hint="eastAsia"/>
        </w:rPr>
        <w:t>配药人员和作业人员应配备并正确使用防护服、防毒口罩、防护手套等个人防护用品。</w:t>
      </w:r>
    </w:p>
    <w:p w14:paraId="29C26C78">
      <w:pPr>
        <w:pStyle w:val="56"/>
        <w:spacing w:line="360" w:lineRule="auto"/>
        <w:ind w:firstLine="420"/>
      </w:pPr>
      <w:r>
        <w:rPr>
          <w:rFonts w:hint="eastAsia"/>
        </w:rPr>
        <w:t>作业结束后，应对喷洒系统进行彻底清洗，废液应集中收集并按环保要求处理，不得随意倾倒。</w:t>
      </w:r>
    </w:p>
    <w:p w14:paraId="6C1BB17E">
      <w:pPr>
        <w:pStyle w:val="105"/>
        <w:spacing w:before="120" w:after="120" w:line="360" w:lineRule="auto"/>
      </w:pPr>
      <w:r>
        <w:rPr>
          <w:rFonts w:hint="eastAsia"/>
        </w:rPr>
        <w:t>环境保护</w:t>
      </w:r>
    </w:p>
    <w:p w14:paraId="7D751306">
      <w:pPr>
        <w:pStyle w:val="56"/>
        <w:spacing w:line="360" w:lineRule="auto"/>
        <w:ind w:firstLine="420"/>
      </w:pPr>
      <w:r>
        <w:rPr>
          <w:rFonts w:hint="eastAsia"/>
        </w:rPr>
        <w:t>作业前应评估下风向及周边水体、养蜂场、蔬菜地等非靶标生物和区域的风险。</w:t>
      </w:r>
    </w:p>
    <w:p w14:paraId="0F67CEE2">
      <w:pPr>
        <w:pStyle w:val="56"/>
        <w:spacing w:line="360" w:lineRule="auto"/>
        <w:ind w:firstLine="420"/>
      </w:pPr>
      <w:r>
        <w:rPr>
          <w:rFonts w:hint="eastAsia"/>
        </w:rPr>
        <w:t>在水源保护区、饮用水源地及生态敏感区域，应禁止或限制施药作业。</w:t>
      </w:r>
    </w:p>
    <w:p w14:paraId="1C7877C4">
      <w:pPr>
        <w:pStyle w:val="56"/>
        <w:spacing w:line="360" w:lineRule="auto"/>
        <w:ind w:firstLine="420"/>
      </w:pPr>
      <w:r>
        <w:rPr>
          <w:rFonts w:hint="eastAsia"/>
        </w:rPr>
        <w:t>施药时应控制漂移量，避免农药进入水体、邻近农田或其他非目标区域。</w:t>
      </w:r>
    </w:p>
    <w:p w14:paraId="54974E81">
      <w:pPr>
        <w:pStyle w:val="56"/>
        <w:spacing w:line="360" w:lineRule="auto"/>
        <w:ind w:firstLine="420"/>
      </w:pPr>
      <w:r>
        <w:rPr>
          <w:rFonts w:hint="eastAsia"/>
        </w:rPr>
        <w:t>作业后应开展环境监测，对周边水体、土壤及非靶标作物的农药残留情况进行检测。</w:t>
      </w:r>
    </w:p>
    <w:p w14:paraId="0CD28D4B">
      <w:pPr>
        <w:pStyle w:val="105"/>
        <w:spacing w:before="120" w:after="120" w:line="360" w:lineRule="auto"/>
      </w:pPr>
      <w:r>
        <w:rPr>
          <w:rFonts w:hint="eastAsia"/>
        </w:rPr>
        <w:t>应急处置</w:t>
      </w:r>
    </w:p>
    <w:p w14:paraId="0483223C">
      <w:pPr>
        <w:pStyle w:val="56"/>
        <w:spacing w:line="360" w:lineRule="auto"/>
        <w:ind w:firstLine="420"/>
      </w:pPr>
      <w:r>
        <w:rPr>
          <w:rFonts w:hint="eastAsia"/>
        </w:rPr>
        <w:t>发生农药中毒事故时，应立即停止作业并将中毒人员转移至安全区域，及时采取急救措施并送医。</w:t>
      </w:r>
    </w:p>
    <w:p w14:paraId="35C4FCD0">
      <w:pPr>
        <w:pStyle w:val="56"/>
        <w:spacing w:line="360" w:lineRule="auto"/>
        <w:ind w:firstLine="420"/>
      </w:pPr>
      <w:r>
        <w:rPr>
          <w:rFonts w:hint="eastAsia"/>
        </w:rPr>
        <w:t>发生农药大面积泄漏时，应立即封锁现场，防止药液流入水源，并按规定进行收集与处置。</w:t>
      </w:r>
    </w:p>
    <w:p w14:paraId="4D271265">
      <w:pPr>
        <w:pStyle w:val="56"/>
        <w:spacing w:line="360" w:lineRule="auto"/>
        <w:ind w:firstLine="420"/>
      </w:pPr>
      <w:r>
        <w:rPr>
          <w:rFonts w:hint="eastAsia"/>
        </w:rPr>
        <w:t>发生对环境造成不良影响的事故时，应及时向相关主管部门报告，并配合开展调查与治理。</w:t>
      </w:r>
    </w:p>
    <w:p w14:paraId="74812A1C">
      <w:pPr>
        <w:pStyle w:val="104"/>
        <w:spacing w:before="240" w:after="240" w:line="360" w:lineRule="auto"/>
      </w:pPr>
      <w:bookmarkStart w:id="57" w:name="_Toc205551041"/>
      <w:r>
        <w:rPr>
          <w:rFonts w:hint="eastAsia"/>
        </w:rPr>
        <w:t>运行维护与更新</w:t>
      </w:r>
      <w:bookmarkEnd w:id="57"/>
    </w:p>
    <w:p w14:paraId="1A397101">
      <w:pPr>
        <w:pStyle w:val="105"/>
        <w:spacing w:before="120" w:after="120" w:line="360" w:lineRule="auto"/>
      </w:pPr>
      <w:r>
        <w:rPr>
          <w:rFonts w:hint="eastAsia"/>
        </w:rPr>
        <w:t>总体要求</w:t>
      </w:r>
    </w:p>
    <w:p w14:paraId="28B0FE85">
      <w:pPr>
        <w:pStyle w:val="56"/>
        <w:spacing w:line="360" w:lineRule="auto"/>
        <w:ind w:firstLine="420"/>
      </w:pPr>
      <w:r>
        <w:rPr>
          <w:rFonts w:hint="eastAsia"/>
        </w:rPr>
        <w:t>运行维护与更新应贯穿无人机植保作业的全周期，涵盖设备、喷洒系统、作业软件及作业数据管理平台，确保作业精度、可靠性与安全性持续满足本文件要求。</w:t>
      </w:r>
    </w:p>
    <w:p w14:paraId="6F7A3C21">
      <w:pPr>
        <w:pStyle w:val="105"/>
        <w:spacing w:before="120" w:after="120" w:line="360" w:lineRule="auto"/>
      </w:pPr>
      <w:r>
        <w:rPr>
          <w:rFonts w:hint="eastAsia"/>
        </w:rPr>
        <w:t>设备维护</w:t>
      </w:r>
    </w:p>
    <w:p w14:paraId="3F61B5E0">
      <w:pPr>
        <w:pStyle w:val="56"/>
        <w:spacing w:line="360" w:lineRule="auto"/>
        <w:ind w:firstLine="420"/>
      </w:pPr>
      <w:r>
        <w:rPr>
          <w:rFonts w:hint="eastAsia"/>
        </w:rPr>
        <w:t>无人机机体、动力系统、飞控系统、喷洒系统及传感器应建立定期检查和维护制度。</w:t>
      </w:r>
    </w:p>
    <w:p w14:paraId="228B1DD4">
      <w:pPr>
        <w:pStyle w:val="56"/>
        <w:spacing w:line="360" w:lineRule="auto"/>
        <w:ind w:firstLine="420"/>
      </w:pPr>
      <w:r>
        <w:rPr>
          <w:rFonts w:hint="eastAsia"/>
        </w:rPr>
        <w:t>喷头、喷管和过滤网应在每次作业后进行清洗，防止堵塞和残留药液腐蚀。</w:t>
      </w:r>
    </w:p>
    <w:p w14:paraId="4E04247B">
      <w:pPr>
        <w:pStyle w:val="56"/>
        <w:spacing w:line="360" w:lineRule="auto"/>
        <w:ind w:firstLine="420"/>
      </w:pPr>
      <w:r>
        <w:rPr>
          <w:rFonts w:hint="eastAsia"/>
        </w:rPr>
        <w:t>电池应按制造商要求进行充放电管理，定期检测容量和健康状态，避免过放或过充。</w:t>
      </w:r>
    </w:p>
    <w:p w14:paraId="0FF8740E">
      <w:pPr>
        <w:pStyle w:val="56"/>
        <w:spacing w:line="360" w:lineRule="auto"/>
        <w:ind w:firstLine="420"/>
      </w:pPr>
      <w:r>
        <w:rPr>
          <w:rFonts w:hint="eastAsia"/>
        </w:rPr>
        <w:t>对发现的部件磨损、裂纹或异常应及时维修或更换，维修记录应归档保存。</w:t>
      </w:r>
    </w:p>
    <w:p w14:paraId="247C01C1">
      <w:pPr>
        <w:pStyle w:val="105"/>
        <w:spacing w:before="120" w:after="120" w:line="360" w:lineRule="auto"/>
      </w:pPr>
      <w:r>
        <w:rPr>
          <w:rFonts w:hint="eastAsia"/>
        </w:rPr>
        <w:t>软件与系统更新</w:t>
      </w:r>
    </w:p>
    <w:p w14:paraId="445C19E3">
      <w:pPr>
        <w:pStyle w:val="56"/>
        <w:spacing w:line="360" w:lineRule="auto"/>
        <w:ind w:firstLine="420"/>
      </w:pPr>
      <w:r>
        <w:rPr>
          <w:rFonts w:hint="eastAsia"/>
        </w:rPr>
        <w:t>飞控系统、作业管理平台和喷洒控制软件应保持最新版本，及时更新以修复漏洞和优化功能。</w:t>
      </w:r>
    </w:p>
    <w:p w14:paraId="1C59EBF7">
      <w:pPr>
        <w:pStyle w:val="56"/>
        <w:spacing w:line="360" w:lineRule="auto"/>
        <w:ind w:firstLine="420"/>
      </w:pPr>
      <w:r>
        <w:rPr>
          <w:rFonts w:hint="eastAsia"/>
        </w:rPr>
        <w:t>更新前应进行兼容性测试，防止影响现有作业数据与航线规划。</w:t>
      </w:r>
    </w:p>
    <w:p w14:paraId="40BE15AF">
      <w:pPr>
        <w:pStyle w:val="56"/>
        <w:spacing w:line="360" w:lineRule="auto"/>
        <w:ind w:firstLine="420"/>
      </w:pPr>
      <w:r>
        <w:rPr>
          <w:rFonts w:hint="eastAsia"/>
        </w:rPr>
        <w:t>对新增功能和操作界面变化，应对操作人员进行培训。</w:t>
      </w:r>
    </w:p>
    <w:p w14:paraId="18173841">
      <w:pPr>
        <w:pStyle w:val="105"/>
        <w:spacing w:before="120" w:after="120" w:line="360" w:lineRule="auto"/>
      </w:pPr>
      <w:r>
        <w:rPr>
          <w:rFonts w:hint="eastAsia"/>
        </w:rPr>
        <w:t>数据与参数更新</w:t>
      </w:r>
    </w:p>
    <w:p w14:paraId="4DD5E137">
      <w:pPr>
        <w:pStyle w:val="56"/>
        <w:spacing w:line="360" w:lineRule="auto"/>
        <w:ind w:firstLine="420"/>
      </w:pPr>
      <w:r>
        <w:rPr>
          <w:rFonts w:hint="eastAsia"/>
        </w:rPr>
        <w:t>作业参数数据库（包括药剂类型、施药量、喷幅、飞行高度、速度等）应根据最新的技术资料和实测数据进行调整。</w:t>
      </w:r>
    </w:p>
    <w:p w14:paraId="212DDF63">
      <w:pPr>
        <w:pStyle w:val="56"/>
        <w:spacing w:line="360" w:lineRule="auto"/>
        <w:ind w:firstLine="420"/>
      </w:pPr>
      <w:r>
        <w:rPr>
          <w:rFonts w:hint="eastAsia"/>
        </w:rPr>
        <w:t>病虫害防治技术要求更新时，应同步修改作业流程和质量控制标准。</w:t>
      </w:r>
    </w:p>
    <w:p w14:paraId="77DF9BB9">
      <w:pPr>
        <w:pStyle w:val="56"/>
        <w:spacing w:line="360" w:lineRule="auto"/>
        <w:ind w:firstLine="420"/>
      </w:pPr>
      <w:r>
        <w:rPr>
          <w:rFonts w:hint="eastAsia"/>
        </w:rPr>
        <w:t>定期对作业数据进行备份，并保存至安全的存储介质或云端平台。</w:t>
      </w:r>
    </w:p>
    <w:p w14:paraId="5C74A071">
      <w:pPr>
        <w:pStyle w:val="105"/>
        <w:spacing w:before="120" w:after="120" w:line="360" w:lineRule="auto"/>
      </w:pPr>
      <w:r>
        <w:rPr>
          <w:rFonts w:hint="eastAsia"/>
        </w:rPr>
        <w:t>持续改进</w:t>
      </w:r>
    </w:p>
    <w:p w14:paraId="013BEAEB">
      <w:pPr>
        <w:pStyle w:val="56"/>
        <w:spacing w:line="360" w:lineRule="auto"/>
        <w:ind w:firstLine="420"/>
      </w:pPr>
      <w:r>
        <w:rPr>
          <w:rFonts w:hint="eastAsia"/>
        </w:rPr>
        <w:t>应定期对作业效果、设备运行状态、人员操作情况进行评估，形成改进方案。</w:t>
      </w:r>
    </w:p>
    <w:p w14:paraId="72AFE101">
      <w:pPr>
        <w:pStyle w:val="56"/>
        <w:spacing w:line="360" w:lineRule="auto"/>
        <w:ind w:firstLine="420"/>
      </w:pPr>
      <w:r>
        <w:rPr>
          <w:rFonts w:hint="eastAsia"/>
        </w:rPr>
        <w:t>鼓励引入人工智能、大数据分析、遥感诊断等新技术，提高作业精准度和自动化水平。</w:t>
      </w:r>
    </w:p>
    <w:p w14:paraId="3E12EC26">
      <w:pPr>
        <w:pStyle w:val="56"/>
        <w:spacing w:line="360" w:lineRule="auto"/>
        <w:ind w:firstLine="420"/>
      </w:pPr>
      <w:r>
        <w:rPr>
          <w:rFonts w:hint="eastAsia"/>
        </w:rPr>
        <w:t>在满足法规要求的前提下，探索应用新型喷洒装置、低漂移喷头和智能航线优化算法。</w:t>
      </w:r>
    </w:p>
    <w:p w14:paraId="3A067A67">
      <w:pPr>
        <w:pStyle w:val="104"/>
        <w:spacing w:before="240" w:after="240" w:line="360" w:lineRule="auto"/>
      </w:pPr>
      <w:bookmarkStart w:id="58" w:name="_Toc205551042"/>
      <w:r>
        <w:rPr>
          <w:rFonts w:hint="eastAsia"/>
        </w:rPr>
        <w:t>成果交付与档案管理</w:t>
      </w:r>
      <w:bookmarkEnd w:id="58"/>
    </w:p>
    <w:p w14:paraId="2592A18E">
      <w:pPr>
        <w:pStyle w:val="105"/>
        <w:spacing w:before="120" w:after="120" w:line="360" w:lineRule="auto"/>
      </w:pPr>
      <w:r>
        <w:rPr>
          <w:rFonts w:hint="eastAsia"/>
        </w:rPr>
        <w:t>总体要求</w:t>
      </w:r>
    </w:p>
    <w:p w14:paraId="054C79CA">
      <w:pPr>
        <w:pStyle w:val="56"/>
        <w:spacing w:line="360" w:lineRule="auto"/>
        <w:ind w:firstLine="420"/>
      </w:pPr>
      <w:r>
        <w:rPr>
          <w:rFonts w:hint="eastAsia"/>
        </w:rPr>
        <w:t>无人机水稻病虫害防治作业完成后，应将作业成果进行整理、审核和归档，确保数据的完整性、准确性和可追溯性，并按合同或任务书要求向委托方交付。</w:t>
      </w:r>
    </w:p>
    <w:p w14:paraId="3FC624EC">
      <w:pPr>
        <w:pStyle w:val="105"/>
        <w:spacing w:before="120" w:after="120" w:line="360" w:lineRule="auto"/>
      </w:pPr>
      <w:r>
        <w:rPr>
          <w:rFonts w:hint="eastAsia"/>
        </w:rPr>
        <w:t>成果内容</w:t>
      </w:r>
    </w:p>
    <w:p w14:paraId="3A3670E2">
      <w:pPr>
        <w:pStyle w:val="56"/>
        <w:spacing w:line="360" w:lineRule="auto"/>
        <w:ind w:firstLine="420"/>
      </w:pPr>
      <w:r>
        <w:rPr>
          <w:rFonts w:hint="eastAsia"/>
        </w:rPr>
        <w:t>成果内容包含以下方面：</w:t>
      </w:r>
    </w:p>
    <w:p w14:paraId="2F834894">
      <w:pPr>
        <w:pStyle w:val="132"/>
        <w:spacing w:line="360" w:lineRule="auto"/>
      </w:pPr>
      <w:r>
        <w:rPr>
          <w:rFonts w:hint="eastAsia"/>
        </w:rPr>
        <w:t>作业记录：包括作业时间、地点、作业面积、作业参数（飞行高度、速度、喷幅、喷量）、气象条件等信息；</w:t>
      </w:r>
    </w:p>
    <w:p w14:paraId="5A841D3F">
      <w:pPr>
        <w:pStyle w:val="132"/>
        <w:spacing w:line="360" w:lineRule="auto"/>
      </w:pPr>
      <w:r>
        <w:rPr>
          <w:rFonts w:hint="eastAsia"/>
        </w:rPr>
        <w:t>航线数据：无人机飞行路径、航点坐标、飞行高度曲线等电子数据文件；</w:t>
      </w:r>
    </w:p>
    <w:p w14:paraId="1962DEAB">
      <w:pPr>
        <w:pStyle w:val="132"/>
        <w:spacing w:line="360" w:lineRule="auto"/>
      </w:pPr>
      <w:r>
        <w:rPr>
          <w:rFonts w:hint="eastAsia"/>
        </w:rPr>
        <w:t>药剂使用情况：药剂名称、配比浓度、施用量及批次信息；</w:t>
      </w:r>
    </w:p>
    <w:p w14:paraId="0105055D">
      <w:pPr>
        <w:pStyle w:val="132"/>
        <w:spacing w:line="360" w:lineRule="auto"/>
      </w:pPr>
      <w:r>
        <w:rPr>
          <w:rFonts w:hint="eastAsia"/>
        </w:rPr>
        <w:t>效果评价报告：施药均匀度、沉积量、覆盖率、防治效果及漂移检测等数据分析结果；</w:t>
      </w:r>
    </w:p>
    <w:p w14:paraId="38AB7FF3">
      <w:pPr>
        <w:pStyle w:val="132"/>
        <w:spacing w:line="360" w:lineRule="auto"/>
      </w:pPr>
      <w:r>
        <w:rPr>
          <w:rFonts w:hint="eastAsia"/>
        </w:rPr>
        <w:t>影像资料：作业过程及效果拍摄的照片、视频或遥感影像；</w:t>
      </w:r>
    </w:p>
    <w:p w14:paraId="26586BD7">
      <w:pPr>
        <w:pStyle w:val="132"/>
        <w:spacing w:line="360" w:lineRule="auto"/>
      </w:pPr>
      <w:r>
        <w:rPr>
          <w:rFonts w:hint="eastAsia"/>
        </w:rPr>
        <w:t>安全与环保记录：施药安全防护措施落实情况及作业后环境检测结果。</w:t>
      </w:r>
    </w:p>
    <w:p w14:paraId="5FCC84C0">
      <w:pPr>
        <w:pStyle w:val="105"/>
        <w:spacing w:before="120" w:after="120" w:line="360" w:lineRule="auto"/>
      </w:pPr>
      <w:r>
        <w:rPr>
          <w:rFonts w:hint="eastAsia"/>
        </w:rPr>
        <w:t>成果格式要求</w:t>
      </w:r>
    </w:p>
    <w:p w14:paraId="440DB53B">
      <w:pPr>
        <w:pStyle w:val="56"/>
        <w:spacing w:line="360" w:lineRule="auto"/>
        <w:ind w:firstLine="420"/>
      </w:pPr>
      <w:r>
        <w:rPr>
          <w:rFonts w:hint="eastAsia"/>
        </w:rPr>
        <w:t>电子数据应采用通用格式（CSV、PDF/A、KML、SHP、MP4等），并附数据说明文档。</w:t>
      </w:r>
    </w:p>
    <w:p w14:paraId="5CEE7F75">
      <w:pPr>
        <w:pStyle w:val="56"/>
        <w:spacing w:line="360" w:lineRule="auto"/>
        <w:ind w:firstLine="420"/>
      </w:pPr>
      <w:r>
        <w:rPr>
          <w:rFonts w:hint="eastAsia"/>
        </w:rPr>
        <w:t>文件命名应符合统一的编码规则，便于检索与调用。</w:t>
      </w:r>
    </w:p>
    <w:p w14:paraId="449CA257">
      <w:pPr>
        <w:pStyle w:val="56"/>
        <w:spacing w:line="360" w:lineRule="auto"/>
        <w:ind w:firstLine="420"/>
      </w:pPr>
      <w:r>
        <w:rPr>
          <w:rFonts w:hint="eastAsia"/>
        </w:rPr>
        <w:t>对大文件应提供完整性校验值。</w:t>
      </w:r>
    </w:p>
    <w:p w14:paraId="2C454AA8">
      <w:pPr>
        <w:pStyle w:val="105"/>
        <w:spacing w:before="120" w:after="120" w:line="360" w:lineRule="auto"/>
      </w:pPr>
      <w:r>
        <w:rPr>
          <w:rFonts w:hint="eastAsia"/>
        </w:rPr>
        <w:t>档案管理</w:t>
      </w:r>
    </w:p>
    <w:p w14:paraId="794DD4C9">
      <w:pPr>
        <w:pStyle w:val="56"/>
        <w:spacing w:line="360" w:lineRule="auto"/>
        <w:ind w:firstLine="420"/>
      </w:pPr>
      <w:r>
        <w:rPr>
          <w:rFonts w:hint="eastAsia"/>
        </w:rPr>
        <w:t>档案应按项目和作业批次分类管理，建立电子目录。</w:t>
      </w:r>
    </w:p>
    <w:p w14:paraId="39E92758">
      <w:pPr>
        <w:pStyle w:val="56"/>
        <w:spacing w:line="360" w:lineRule="auto"/>
        <w:ind w:firstLine="420"/>
      </w:pPr>
      <w:r>
        <w:rPr>
          <w:rFonts w:hint="eastAsia"/>
        </w:rPr>
        <w:t>作业成果应由作业方、委托方及相关监管单位各保存一份，保存期限不得少于三年。</w:t>
      </w:r>
    </w:p>
    <w:p w14:paraId="40972C6B">
      <w:pPr>
        <w:pStyle w:val="56"/>
        <w:spacing w:line="360" w:lineRule="auto"/>
        <w:ind w:firstLine="420"/>
      </w:pPr>
      <w:r>
        <w:rPr>
          <w:rFonts w:hint="eastAsia"/>
        </w:rPr>
        <w:t>涉及病虫害监测数据及农药使用记录的档案，应遵守相关法规和保密要求。</w:t>
      </w:r>
    </w:p>
    <w:p w14:paraId="028FC95C">
      <w:pPr>
        <w:pStyle w:val="56"/>
        <w:spacing w:line="360" w:lineRule="auto"/>
        <w:ind w:firstLine="420"/>
      </w:pPr>
      <w:r>
        <w:rPr>
          <w:rFonts w:hint="eastAsia"/>
        </w:rPr>
        <w:t>档案借阅须履行审批手续，记录借阅人、时间、用途及归还情况。</w:t>
      </w:r>
    </w:p>
    <w:p w14:paraId="039CE4F1">
      <w:pPr>
        <w:pStyle w:val="105"/>
        <w:spacing w:before="120" w:after="120" w:line="360" w:lineRule="auto"/>
      </w:pPr>
      <w:r>
        <w:rPr>
          <w:rFonts w:hint="eastAsia"/>
        </w:rPr>
        <w:t>成果移交</w:t>
      </w:r>
    </w:p>
    <w:p w14:paraId="3507925F">
      <w:pPr>
        <w:pStyle w:val="56"/>
        <w:spacing w:line="360" w:lineRule="auto"/>
        <w:ind w:firstLine="420"/>
      </w:pPr>
      <w:r>
        <w:rPr>
          <w:rFonts w:hint="eastAsia"/>
        </w:rPr>
        <w:t>作业成果应在规定期限内交付委托方，并由双方进行核对签收。</w:t>
      </w:r>
    </w:p>
    <w:p w14:paraId="7E870F6A">
      <w:pPr>
        <w:pStyle w:val="56"/>
        <w:spacing w:line="360" w:lineRule="auto"/>
        <w:ind w:firstLine="420"/>
      </w:pPr>
      <w:r>
        <w:rPr>
          <w:rFonts w:hint="eastAsia"/>
        </w:rPr>
        <w:t>移交时应附成果交接单，注明交付内容、格式、数量及保存介质。</w:t>
      </w:r>
    </w:p>
    <w:p w14:paraId="746B1B07">
      <w:pPr>
        <w:pStyle w:val="56"/>
        <w:spacing w:line="360" w:lineRule="auto"/>
        <w:ind w:firstLine="420"/>
      </w:pPr>
      <w:r>
        <w:rPr>
          <w:rFonts w:hint="eastAsia"/>
        </w:rPr>
        <w:t>双方应在交付文件上签字盖章，作为成果验收和归档的依据。</w:t>
      </w:r>
    </w:p>
    <w:bookmarkEnd w:id="26"/>
    <w:p w14:paraId="4EE02E9D">
      <w:pPr>
        <w:pStyle w:val="56"/>
        <w:ind w:firstLine="0" w:firstLineChars="0"/>
        <w:jc w:val="center"/>
      </w:pPr>
      <w:bookmarkStart w:id="59" w:name="BookMark8"/>
      <w:r>
        <w:rPr>
          <w:rFonts w:hint="eastAsia"/>
        </w:rPr>
        <w:drawing>
          <wp:inline distT="0" distB="0" distL="0" distR="0">
            <wp:extent cx="1485900" cy="317500"/>
            <wp:effectExtent l="0" t="0" r="0" b="6350"/>
            <wp:docPr id="108033785" name="图片 1"/>
            <wp:cNvGraphicFramePr/>
            <a:graphic xmlns:a="http://schemas.openxmlformats.org/drawingml/2006/main">
              <a:graphicData uri="http://schemas.openxmlformats.org/drawingml/2006/picture">
                <pic:pic xmlns:pic="http://schemas.openxmlformats.org/drawingml/2006/picture">
                  <pic:nvPicPr>
                    <pic:cNvPr id="108033785"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F3A5">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84599">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32C54">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7483">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FB60">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A4E9F">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82C5">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88C20">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5C7D">
    <w:pPr>
      <w:pStyle w:val="61"/>
    </w:pPr>
    <w:r>
      <w:fldChar w:fldCharType="begin"/>
    </w:r>
    <w:r>
      <w:instrText xml:space="preserve"> STYLEREF  标准文件_文件编号  \* MERGEFORMAT </w:instrText>
    </w:r>
    <w:r>
      <w:fldChar w:fldCharType="separate"/>
    </w:r>
    <w:r>
      <w:t>T/XJBX 0048—XXXX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A0DC">
    <w:pPr>
      <w:pStyle w:val="62"/>
    </w:pPr>
    <w:r>
      <w:fldChar w:fldCharType="begin"/>
    </w:r>
    <w:r>
      <w:instrText xml:space="preserve"> STYLEREF  标准文件_文件编号 \* MERGEFORMAT </w:instrText>
    </w:r>
    <w:r>
      <w:fldChar w:fldCharType="separate"/>
    </w:r>
    <w:r>
      <w:t>T/XJBX 0048—XXXX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ED4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0048—XXXX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0048—XXXX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95C5">
    <w:pPr>
      <w:pStyle w:val="61"/>
    </w:pPr>
    <w:r>
      <w:fldChar w:fldCharType="begin"/>
    </w:r>
    <w:r>
      <w:instrText xml:space="preserve"> STYLEREF  标准文件_文件编号  \* MERGEFORMAT </w:instrText>
    </w:r>
    <w:r>
      <w:fldChar w:fldCharType="separate"/>
    </w:r>
    <w:r>
      <w:t>T/XJBX 0048—XXXX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76A6">
    <w:pPr>
      <w:pStyle w:val="62"/>
    </w:pPr>
    <w:r>
      <w:fldChar w:fldCharType="begin"/>
    </w:r>
    <w:r>
      <w:instrText xml:space="preserve"> STYLEREF  标准文件_文件编号 \* MERGEFORMAT </w:instrText>
    </w:r>
    <w:r>
      <w:fldChar w:fldCharType="separate"/>
    </w:r>
    <w:r>
      <w:t>T/XJBX 0048—XXXX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78BA">
    <w:pPr>
      <w:pStyle w:val="61"/>
    </w:pPr>
    <w:r>
      <w:fldChar w:fldCharType="begin"/>
    </w:r>
    <w:r>
      <w:instrText xml:space="preserve"> STYLEREF  标准文件_文件编号  \* MERGEFORMAT </w:instrText>
    </w:r>
    <w:r>
      <w:fldChar w:fldCharType="separate"/>
    </w:r>
    <w:r>
      <w:t>T/XJBX 0048—XXXX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106E">
    <w:pPr>
      <w:pStyle w:val="62"/>
    </w:pPr>
    <w:r>
      <w:fldChar w:fldCharType="begin"/>
    </w:r>
    <w:r>
      <w:instrText xml:space="preserve"> STYLEREF  标准文件_文件编号 \* MERGEFORMAT </w:instrText>
    </w:r>
    <w:r>
      <w:fldChar w:fldCharType="separate"/>
    </w:r>
    <w:r>
      <w:t>T/XJBX 0048—XXXX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QUADduRwi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77D42"/>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4FB"/>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028"/>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110"/>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53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3CD"/>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1D4"/>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7A29"/>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684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5C661136">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13A7A544">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37A23C1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A2CD1"/>
    <w:rsid w:val="00542391"/>
    <w:rsid w:val="00AE1DC6"/>
    <w:rsid w:val="00B91566"/>
    <w:rsid w:val="00D9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5938</Words>
  <Characters>6244</Characters>
  <Lines>54</Lines>
  <Paragraphs>15</Paragraphs>
  <TotalTime>30</TotalTime>
  <ScaleCrop>false</ScaleCrop>
  <LinksUpToDate>false</LinksUpToDate>
  <CharactersWithSpaces>6341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2025-08-11T06:17:35Z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E05308B723344B38B205D4926E630A81_12</vt:lpwstr>
  </property>
</Properties>
</file>