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1.140.4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91.140.40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45"/>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45</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47"/>
            </w:textInput>
          </w:ffData>
        </w:fldChar>
      </w:r>
      <w:bookmarkStart w:id="6" w:name="NSTD_CODE_F"/>
      <w:r>
        <w:instrText xml:space="preserve"> FORMTEXT </w:instrText>
      </w:r>
      <w:r>
        <w:fldChar w:fldCharType="separate"/>
      </w:r>
      <w:r>
        <w:t>0047</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510281B1">
      <w:pPr>
        <w:pStyle w:val="197"/>
        <w:framePr w:h="6974" w:hRule="exact" w:wrap="around" w:x="1419" w:anchorLock="1"/>
      </w:pPr>
      <w:r>
        <w:fldChar w:fldCharType="begin">
          <w:ffData>
            <w:name w:val="CSTD_NAME"/>
            <w:enabled/>
            <w:calcOnExit w:val="0"/>
            <w:textInput>
              <w:default w:val="燃气工程建设施工数据精准采集与整合规程"/>
            </w:textInput>
          </w:ffData>
        </w:fldChar>
      </w:r>
      <w:bookmarkStart w:id="9" w:name="CSTD_NAME"/>
      <w:r>
        <w:instrText xml:space="preserve"> FORMTEXT </w:instrText>
      </w:r>
      <w:r>
        <w:fldChar w:fldCharType="separate"/>
      </w:r>
      <w:r>
        <w:t>燃气工程建设施工数据精准采集</w:t>
      </w:r>
    </w:p>
    <w:p w14:paraId="73594FE6">
      <w:pPr>
        <w:pStyle w:val="197"/>
        <w:framePr w:h="6974" w:hRule="exact" w:wrap="around" w:x="1419" w:anchorLock="1"/>
      </w:pPr>
      <w:r>
        <w:t>与整合规程</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Code of practice for accurate data collection and integration in gas engineering construction"/>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Code of practice for accurate data collection and integration in gas engineering construction</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27A6C93E">
      <w:pPr>
        <w:pStyle w:val="91"/>
        <w:spacing w:after="360"/>
      </w:pPr>
      <w:bookmarkStart w:id="21" w:name="BookMark1"/>
      <w:r>
        <w:rPr>
          <w:rFonts w:hint="eastAsia"/>
          <w:spacing w:val="320"/>
        </w:rPr>
        <w:t>目</w:t>
      </w:r>
      <w:r>
        <w:rPr>
          <w:rFonts w:hint="eastAsia"/>
        </w:rPr>
        <w:t>次</w:t>
      </w:r>
    </w:p>
    <w:p w14:paraId="6B0A7060">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"_Toc205544462" </w:instrText>
      </w:r>
      <w:r>
        <w:fldChar w:fldCharType="separate"/>
      </w:r>
      <w:r>
        <w:rPr>
          <w:rStyle w:val="32"/>
        </w:rPr>
        <w:t>前言</w:t>
      </w:r>
      <w:r>
        <w:tab/>
      </w:r>
      <w:r>
        <w:fldChar w:fldCharType="begin"/>
      </w:r>
      <w:r>
        <w:instrText xml:space="preserve"> PAGEREF _Toc205544462 \h </w:instrText>
      </w:r>
      <w:r>
        <w:fldChar w:fldCharType="separate"/>
      </w:r>
      <w:r>
        <w:t>III</w:t>
      </w:r>
      <w:r>
        <w:fldChar w:fldCharType="end"/>
      </w:r>
      <w:r>
        <w:fldChar w:fldCharType="end"/>
      </w:r>
    </w:p>
    <w:p w14:paraId="0A860405">
      <w:pPr>
        <w:pStyle w:val="19"/>
        <w:tabs>
          <w:tab w:val="right" w:leader="dot" w:pos="9344"/>
        </w:tabs>
        <w:rPr>
          <w:rFonts w:asciiTheme="minorHAnsi" w:hAnsiTheme="minorHAnsi" w:eastAsiaTheme="minorEastAsia" w:cstheme="minorBidi"/>
          <w:szCs w:val="22"/>
        </w:rPr>
      </w:pPr>
      <w:r>
        <w:fldChar w:fldCharType="begin"/>
      </w:r>
      <w:r>
        <w:instrText xml:space="preserve"> HYPERLINK \l "_Toc205544463" </w:instrText>
      </w:r>
      <w:r>
        <w:fldChar w:fldCharType="separate"/>
      </w:r>
      <w:r>
        <w:rPr>
          <w:rStyle w:val="32"/>
        </w:rPr>
        <w:t>引言</w:t>
      </w:r>
      <w:r>
        <w:tab/>
      </w:r>
      <w:r>
        <w:fldChar w:fldCharType="begin"/>
      </w:r>
      <w:r>
        <w:instrText xml:space="preserve"> PAGEREF _Toc205544463 \h </w:instrText>
      </w:r>
      <w:r>
        <w:fldChar w:fldCharType="separate"/>
      </w:r>
      <w:r>
        <w:t>V</w:t>
      </w:r>
      <w:r>
        <w:fldChar w:fldCharType="end"/>
      </w:r>
      <w:r>
        <w:fldChar w:fldCharType="end"/>
      </w:r>
    </w:p>
    <w:p w14:paraId="5254F215">
      <w:pPr>
        <w:pStyle w:val="19"/>
        <w:tabs>
          <w:tab w:val="right" w:leader="dot" w:pos="9344"/>
        </w:tabs>
        <w:rPr>
          <w:rFonts w:asciiTheme="minorHAnsi" w:hAnsiTheme="minorHAnsi" w:eastAsiaTheme="minorEastAsia" w:cstheme="minorBidi"/>
          <w:szCs w:val="22"/>
        </w:rPr>
      </w:pPr>
      <w:r>
        <w:fldChar w:fldCharType="begin"/>
      </w:r>
      <w:r>
        <w:instrText xml:space="preserve"> HYPERLINK \l "_Toc205544464" </w:instrText>
      </w:r>
      <w:r>
        <w:fldChar w:fldCharType="separate"/>
      </w:r>
      <w:r>
        <w:rPr>
          <w:rStyle w:val="32"/>
        </w:rPr>
        <w:t>1  范围</w:t>
      </w:r>
      <w:r>
        <w:tab/>
      </w:r>
      <w:r>
        <w:fldChar w:fldCharType="begin"/>
      </w:r>
      <w:r>
        <w:instrText xml:space="preserve"> PAGEREF _Toc205544464 \h </w:instrText>
      </w:r>
      <w:r>
        <w:fldChar w:fldCharType="separate"/>
      </w:r>
      <w:r>
        <w:t>1</w:t>
      </w:r>
      <w:r>
        <w:fldChar w:fldCharType="end"/>
      </w:r>
      <w:r>
        <w:fldChar w:fldCharType="end"/>
      </w:r>
    </w:p>
    <w:p w14:paraId="1FD7E74C">
      <w:pPr>
        <w:pStyle w:val="19"/>
        <w:tabs>
          <w:tab w:val="right" w:leader="dot" w:pos="9344"/>
        </w:tabs>
        <w:rPr>
          <w:rFonts w:asciiTheme="minorHAnsi" w:hAnsiTheme="minorHAnsi" w:eastAsiaTheme="minorEastAsia" w:cstheme="minorBidi"/>
          <w:szCs w:val="22"/>
        </w:rPr>
      </w:pPr>
      <w:r>
        <w:fldChar w:fldCharType="begin"/>
      </w:r>
      <w:r>
        <w:instrText xml:space="preserve"> HYPERLINK \l "_Toc205544465" </w:instrText>
      </w:r>
      <w:r>
        <w:fldChar w:fldCharType="separate"/>
      </w:r>
      <w:r>
        <w:rPr>
          <w:rStyle w:val="32"/>
        </w:rPr>
        <w:t>2  规范性引用文件</w:t>
      </w:r>
      <w:r>
        <w:tab/>
      </w:r>
      <w:r>
        <w:fldChar w:fldCharType="begin"/>
      </w:r>
      <w:r>
        <w:instrText xml:space="preserve"> PAGEREF _Toc205544465 \h </w:instrText>
      </w:r>
      <w:r>
        <w:fldChar w:fldCharType="separate"/>
      </w:r>
      <w:r>
        <w:t>1</w:t>
      </w:r>
      <w:r>
        <w:fldChar w:fldCharType="end"/>
      </w:r>
      <w:r>
        <w:fldChar w:fldCharType="end"/>
      </w:r>
    </w:p>
    <w:p w14:paraId="38D11604">
      <w:pPr>
        <w:pStyle w:val="19"/>
        <w:tabs>
          <w:tab w:val="right" w:leader="dot" w:pos="9344"/>
        </w:tabs>
        <w:rPr>
          <w:rFonts w:asciiTheme="minorHAnsi" w:hAnsiTheme="minorHAnsi" w:eastAsiaTheme="minorEastAsia" w:cstheme="minorBidi"/>
          <w:szCs w:val="22"/>
        </w:rPr>
      </w:pPr>
      <w:r>
        <w:fldChar w:fldCharType="begin"/>
      </w:r>
      <w:r>
        <w:instrText xml:space="preserve"> HYPERLINK \l "_Toc205544466" </w:instrText>
      </w:r>
      <w:r>
        <w:fldChar w:fldCharType="separate"/>
      </w:r>
      <w:r>
        <w:rPr>
          <w:rStyle w:val="32"/>
        </w:rPr>
        <w:t>3  术语和定义</w:t>
      </w:r>
      <w:r>
        <w:tab/>
      </w:r>
      <w:r>
        <w:fldChar w:fldCharType="begin"/>
      </w:r>
      <w:r>
        <w:instrText xml:space="preserve"> PAGEREF _Toc205544466 \h </w:instrText>
      </w:r>
      <w:r>
        <w:fldChar w:fldCharType="separate"/>
      </w:r>
      <w:r>
        <w:t>1</w:t>
      </w:r>
      <w:r>
        <w:fldChar w:fldCharType="end"/>
      </w:r>
      <w:r>
        <w:fldChar w:fldCharType="end"/>
      </w:r>
    </w:p>
    <w:p w14:paraId="48467543">
      <w:pPr>
        <w:pStyle w:val="19"/>
        <w:tabs>
          <w:tab w:val="right" w:leader="dot" w:pos="9344"/>
        </w:tabs>
        <w:rPr>
          <w:rFonts w:asciiTheme="minorHAnsi" w:hAnsiTheme="minorHAnsi" w:eastAsiaTheme="minorEastAsia" w:cstheme="minorBidi"/>
          <w:szCs w:val="22"/>
        </w:rPr>
      </w:pPr>
      <w:r>
        <w:fldChar w:fldCharType="begin"/>
      </w:r>
      <w:r>
        <w:instrText xml:space="preserve"> HYPERLINK \l "_Toc205544467" </w:instrText>
      </w:r>
      <w:r>
        <w:fldChar w:fldCharType="separate"/>
      </w:r>
      <w:r>
        <w:rPr>
          <w:rStyle w:val="32"/>
        </w:rPr>
        <w:t>4  基本原则</w:t>
      </w:r>
      <w:r>
        <w:tab/>
      </w:r>
      <w:r>
        <w:fldChar w:fldCharType="begin"/>
      </w:r>
      <w:r>
        <w:instrText xml:space="preserve"> PAGEREF _Toc205544467 \h </w:instrText>
      </w:r>
      <w:r>
        <w:fldChar w:fldCharType="separate"/>
      </w:r>
      <w:r>
        <w:t>2</w:t>
      </w:r>
      <w:r>
        <w:fldChar w:fldCharType="end"/>
      </w:r>
      <w:r>
        <w:fldChar w:fldCharType="end"/>
      </w:r>
    </w:p>
    <w:p w14:paraId="520D7510">
      <w:pPr>
        <w:pStyle w:val="19"/>
        <w:tabs>
          <w:tab w:val="right" w:leader="dot" w:pos="9344"/>
        </w:tabs>
        <w:rPr>
          <w:rFonts w:asciiTheme="minorHAnsi" w:hAnsiTheme="minorHAnsi" w:eastAsiaTheme="minorEastAsia" w:cstheme="minorBidi"/>
          <w:szCs w:val="22"/>
        </w:rPr>
      </w:pPr>
      <w:r>
        <w:fldChar w:fldCharType="begin"/>
      </w:r>
      <w:r>
        <w:instrText xml:space="preserve"> HYPERLINK \l "_Toc205544468" </w:instrText>
      </w:r>
      <w:r>
        <w:fldChar w:fldCharType="separate"/>
      </w:r>
      <w:r>
        <w:rPr>
          <w:rStyle w:val="32"/>
        </w:rPr>
        <w:t>5  数据分类</w:t>
      </w:r>
      <w:r>
        <w:tab/>
      </w:r>
      <w:r>
        <w:fldChar w:fldCharType="begin"/>
      </w:r>
      <w:r>
        <w:instrText xml:space="preserve"> PAGEREF _Toc205544468 \h </w:instrText>
      </w:r>
      <w:r>
        <w:fldChar w:fldCharType="separate"/>
      </w:r>
      <w:r>
        <w:t>3</w:t>
      </w:r>
      <w:r>
        <w:fldChar w:fldCharType="end"/>
      </w:r>
      <w:r>
        <w:fldChar w:fldCharType="end"/>
      </w:r>
    </w:p>
    <w:p w14:paraId="6950CBF7">
      <w:pPr>
        <w:pStyle w:val="19"/>
        <w:tabs>
          <w:tab w:val="right" w:leader="dot" w:pos="9344"/>
        </w:tabs>
        <w:rPr>
          <w:rFonts w:asciiTheme="minorHAnsi" w:hAnsiTheme="minorHAnsi" w:eastAsiaTheme="minorEastAsia" w:cstheme="minorBidi"/>
          <w:szCs w:val="22"/>
        </w:rPr>
      </w:pPr>
      <w:r>
        <w:fldChar w:fldCharType="begin"/>
      </w:r>
      <w:r>
        <w:instrText xml:space="preserve"> HYPERLINK \l "_Toc205544469" </w:instrText>
      </w:r>
      <w:r>
        <w:fldChar w:fldCharType="separate"/>
      </w:r>
      <w:r>
        <w:rPr>
          <w:rStyle w:val="32"/>
        </w:rPr>
        <w:t>6  数据采集方法与精度要求</w:t>
      </w:r>
      <w:r>
        <w:tab/>
      </w:r>
      <w:r>
        <w:fldChar w:fldCharType="begin"/>
      </w:r>
      <w:r>
        <w:instrText xml:space="preserve"> PAGEREF _Toc205544469 \h </w:instrText>
      </w:r>
      <w:r>
        <w:fldChar w:fldCharType="separate"/>
      </w:r>
      <w:r>
        <w:t>3</w:t>
      </w:r>
      <w:r>
        <w:fldChar w:fldCharType="end"/>
      </w:r>
      <w:r>
        <w:fldChar w:fldCharType="end"/>
      </w:r>
    </w:p>
    <w:p w14:paraId="5BADA4CF">
      <w:pPr>
        <w:pStyle w:val="19"/>
        <w:tabs>
          <w:tab w:val="right" w:leader="dot" w:pos="9344"/>
        </w:tabs>
        <w:rPr>
          <w:rFonts w:asciiTheme="minorHAnsi" w:hAnsiTheme="minorHAnsi" w:eastAsiaTheme="minorEastAsia" w:cstheme="minorBidi"/>
          <w:szCs w:val="22"/>
        </w:rPr>
      </w:pPr>
      <w:r>
        <w:fldChar w:fldCharType="begin"/>
      </w:r>
      <w:r>
        <w:instrText xml:space="preserve"> HYPERLINK \l "_Toc205544470" </w:instrText>
      </w:r>
      <w:r>
        <w:fldChar w:fldCharType="separate"/>
      </w:r>
      <w:r>
        <w:rPr>
          <w:rStyle w:val="32"/>
        </w:rPr>
        <w:t>7  数据整合流程与技术要求</w:t>
      </w:r>
      <w:r>
        <w:tab/>
      </w:r>
      <w:r>
        <w:fldChar w:fldCharType="begin"/>
      </w:r>
      <w:r>
        <w:instrText xml:space="preserve"> PAGEREF _Toc205544470 \h </w:instrText>
      </w:r>
      <w:r>
        <w:fldChar w:fldCharType="separate"/>
      </w:r>
      <w:r>
        <w:t>5</w:t>
      </w:r>
      <w:r>
        <w:fldChar w:fldCharType="end"/>
      </w:r>
      <w:r>
        <w:fldChar w:fldCharType="end"/>
      </w:r>
    </w:p>
    <w:p w14:paraId="2F98907D">
      <w:pPr>
        <w:pStyle w:val="19"/>
        <w:tabs>
          <w:tab w:val="right" w:leader="dot" w:pos="9344"/>
        </w:tabs>
        <w:rPr>
          <w:rFonts w:asciiTheme="minorHAnsi" w:hAnsiTheme="minorHAnsi" w:eastAsiaTheme="minorEastAsia" w:cstheme="minorBidi"/>
          <w:szCs w:val="22"/>
        </w:rPr>
      </w:pPr>
      <w:r>
        <w:fldChar w:fldCharType="begin"/>
      </w:r>
      <w:r>
        <w:instrText xml:space="preserve"> HYPERLINK \l "_Toc205544471" </w:instrText>
      </w:r>
      <w:r>
        <w:fldChar w:fldCharType="separate"/>
      </w:r>
      <w:r>
        <w:rPr>
          <w:rStyle w:val="32"/>
        </w:rPr>
        <w:t>8  数据质量控制与验收</w:t>
      </w:r>
      <w:r>
        <w:tab/>
      </w:r>
      <w:r>
        <w:fldChar w:fldCharType="begin"/>
      </w:r>
      <w:r>
        <w:instrText xml:space="preserve"> PAGEREF _Toc205544471 \h </w:instrText>
      </w:r>
      <w:r>
        <w:fldChar w:fldCharType="separate"/>
      </w:r>
      <w:r>
        <w:t>6</w:t>
      </w:r>
      <w:r>
        <w:fldChar w:fldCharType="end"/>
      </w:r>
      <w:r>
        <w:fldChar w:fldCharType="end"/>
      </w:r>
    </w:p>
    <w:p w14:paraId="0AEBC57C">
      <w:pPr>
        <w:pStyle w:val="19"/>
        <w:tabs>
          <w:tab w:val="right" w:leader="dot" w:pos="9344"/>
        </w:tabs>
        <w:rPr>
          <w:rFonts w:asciiTheme="minorHAnsi" w:hAnsiTheme="minorHAnsi" w:eastAsiaTheme="minorEastAsia" w:cstheme="minorBidi"/>
          <w:szCs w:val="22"/>
        </w:rPr>
      </w:pPr>
      <w:r>
        <w:fldChar w:fldCharType="begin"/>
      </w:r>
      <w:r>
        <w:instrText xml:space="preserve"> HYPERLINK \l "_Toc205544472" </w:instrText>
      </w:r>
      <w:r>
        <w:fldChar w:fldCharType="separate"/>
      </w:r>
      <w:r>
        <w:rPr>
          <w:rStyle w:val="32"/>
        </w:rPr>
        <w:t>9  安全与保密要求</w:t>
      </w:r>
      <w:r>
        <w:tab/>
      </w:r>
      <w:r>
        <w:fldChar w:fldCharType="begin"/>
      </w:r>
      <w:r>
        <w:instrText xml:space="preserve"> PAGEREF _Toc205544472 \h </w:instrText>
      </w:r>
      <w:r>
        <w:fldChar w:fldCharType="separate"/>
      </w:r>
      <w:r>
        <w:t>6</w:t>
      </w:r>
      <w:r>
        <w:fldChar w:fldCharType="end"/>
      </w:r>
      <w:r>
        <w:fldChar w:fldCharType="end"/>
      </w:r>
    </w:p>
    <w:p w14:paraId="1203D0C2">
      <w:pPr>
        <w:pStyle w:val="19"/>
        <w:tabs>
          <w:tab w:val="right" w:leader="dot" w:pos="9344"/>
        </w:tabs>
        <w:rPr>
          <w:rFonts w:asciiTheme="minorHAnsi" w:hAnsiTheme="minorHAnsi" w:eastAsiaTheme="minorEastAsia" w:cstheme="minorBidi"/>
          <w:szCs w:val="22"/>
        </w:rPr>
      </w:pPr>
      <w:r>
        <w:fldChar w:fldCharType="begin"/>
      </w:r>
      <w:r>
        <w:instrText xml:space="preserve"> HYPERLINK \l "_Toc205544473" </w:instrText>
      </w:r>
      <w:r>
        <w:fldChar w:fldCharType="separate"/>
      </w:r>
      <w:r>
        <w:rPr>
          <w:rStyle w:val="32"/>
        </w:rPr>
        <w:t>10  运行维护与更新</w:t>
      </w:r>
      <w:r>
        <w:tab/>
      </w:r>
      <w:r>
        <w:fldChar w:fldCharType="begin"/>
      </w:r>
      <w:r>
        <w:instrText xml:space="preserve"> PAGEREF _Toc205544473 \h </w:instrText>
      </w:r>
      <w:r>
        <w:fldChar w:fldCharType="separate"/>
      </w:r>
      <w:r>
        <w:t>7</w:t>
      </w:r>
      <w:r>
        <w:fldChar w:fldCharType="end"/>
      </w:r>
      <w:r>
        <w:fldChar w:fldCharType="end"/>
      </w:r>
    </w:p>
    <w:p w14:paraId="376C6A7C">
      <w:pPr>
        <w:pStyle w:val="19"/>
        <w:tabs>
          <w:tab w:val="right" w:leader="dot" w:pos="9344"/>
        </w:tabs>
        <w:rPr>
          <w:rFonts w:asciiTheme="minorHAnsi" w:hAnsiTheme="minorHAnsi" w:eastAsiaTheme="minorEastAsia" w:cstheme="minorBidi"/>
          <w:szCs w:val="22"/>
        </w:rPr>
      </w:pPr>
      <w:r>
        <w:fldChar w:fldCharType="begin"/>
      </w:r>
      <w:r>
        <w:instrText xml:space="preserve"> HYPERLINK \l "_Toc205544474" </w:instrText>
      </w:r>
      <w:r>
        <w:fldChar w:fldCharType="separate"/>
      </w:r>
      <w:r>
        <w:rPr>
          <w:rStyle w:val="32"/>
        </w:rPr>
        <w:t>11  成果交付与档案管理</w:t>
      </w:r>
      <w:r>
        <w:tab/>
      </w:r>
      <w:r>
        <w:fldChar w:fldCharType="begin"/>
      </w:r>
      <w:r>
        <w:instrText xml:space="preserve"> PAGEREF _Toc205544474 \h </w:instrText>
      </w:r>
      <w:r>
        <w:fldChar w:fldCharType="separate"/>
      </w:r>
      <w:r>
        <w:t>8</w:t>
      </w:r>
      <w:r>
        <w:fldChar w:fldCharType="end"/>
      </w:r>
      <w:r>
        <w:fldChar w:fldCharType="end"/>
      </w:r>
    </w:p>
    <w:p w14:paraId="027544B5">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544462"/>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本文件起草单位：浙江省绍兴市燃气产业有限公司。</w:t>
      </w:r>
    </w:p>
    <w:p w14:paraId="55F4A5D1">
      <w:pPr>
        <w:pStyle w:val="56"/>
        <w:spacing w:line="360" w:lineRule="auto"/>
        <w:ind w:firstLine="420"/>
      </w:pPr>
      <w:r>
        <w:rPr>
          <w:rFonts w:hint="eastAsia"/>
        </w:rPr>
        <w:t>本文件主要起草人：吕宇。</w:t>
      </w:r>
      <w:bookmarkStart w:id="60" w:name="_GoBack"/>
      <w:bookmarkEnd w:id="60"/>
    </w:p>
    <w:p w14:paraId="1B3EB912">
      <w:pPr>
        <w:pStyle w:val="56"/>
        <w:ind w:firstLine="420"/>
      </w:pPr>
    </w:p>
    <w:p w14:paraId="784B3C9B">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p>
    <w:bookmarkEnd w:id="23"/>
    <w:p w14:paraId="66D0A2F3">
      <w:pPr>
        <w:pStyle w:val="89"/>
        <w:spacing w:after="360"/>
      </w:pPr>
      <w:bookmarkStart w:id="24" w:name="_Toc205544463"/>
      <w:bookmarkStart w:id="25" w:name="BookMark3"/>
      <w:r>
        <w:rPr>
          <w:spacing w:val="320"/>
        </w:rPr>
        <w:t>引</w:t>
      </w:r>
      <w:r>
        <w:t>言</w:t>
      </w:r>
      <w:bookmarkEnd w:id="24"/>
    </w:p>
    <w:p w14:paraId="2512F02A">
      <w:pPr>
        <w:pStyle w:val="56"/>
        <w:spacing w:line="360" w:lineRule="auto"/>
        <w:ind w:firstLine="420"/>
      </w:pPr>
      <w:r>
        <w:rPr>
          <w:rFonts w:hint="eastAsia"/>
        </w:rPr>
        <w:t>随着城市化进程的加快和能源结构优化升级，燃气工程建设规模不断扩大，工程类型涵盖城市燃气输配系统、高压长输管道、液化天然气（LNG）站场、调压站及配气站等多种设施。施工阶段的数据采集与整合是保障工程建设质量、安全运行及后期运维管理的重要基础。然而，在现行工程实践中，燃气工程建设施工数据往往存在采集标准不统一、精度控制不足、数据孤岛和共享困难等问题，导致工程档案不完整、信息传递不畅，影响施工质量控制和后续运维的科学决策。</w:t>
      </w:r>
    </w:p>
    <w:p w14:paraId="6CC891D3">
      <w:pPr>
        <w:pStyle w:val="56"/>
        <w:spacing w:line="360" w:lineRule="auto"/>
        <w:ind w:firstLine="420"/>
      </w:pPr>
      <w:r>
        <w:rPr>
          <w:rFonts w:hint="eastAsia"/>
        </w:rPr>
        <w:t>本文件旨在规范燃气工程建设施工过程中数据精准采集与整合的流程与技术要求，确保施工数据的完整性、准确性和可追溯性，实现多源数据的高效融合与共享，为燃气工程建设全过程质量管理提供可靠的数据支撑。本文件的编制充分考虑了燃气工程施工的多工序、多环节、多参与方特点，结合现代测量技术、物联网感知技术、地理信息系统（GIS）和大数据处理等先进手段，构建了从数据采集、传输、验证、整合到存储的闭环管理体系。</w:t>
      </w:r>
    </w:p>
    <w:p w14:paraId="7F4A69FE">
      <w:pPr>
        <w:pStyle w:val="56"/>
        <w:spacing w:line="360" w:lineRule="auto"/>
        <w:ind w:firstLine="420"/>
      </w:pPr>
      <w:r>
        <w:rPr>
          <w:rFonts w:hint="eastAsia"/>
        </w:rPr>
        <w:t>本文件的实施将有助于提高燃气工程建设的数字化、信息化和智能化水平，促进施工管理模式转型升级，降低安全风险，提升工程质量与运营效率，并为行业信息标准化建设奠定基础。</w:t>
      </w:r>
    </w:p>
    <w:p w14:paraId="41C59179">
      <w:pPr>
        <w:pStyle w:val="56"/>
        <w:ind w:firstLine="420"/>
      </w:pPr>
    </w:p>
    <w:p w14:paraId="3AC90217">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05739AD4">
          <w:pPr>
            <w:pStyle w:val="177"/>
            <w:spacing w:after="0"/>
          </w:pPr>
          <w:bookmarkStart w:id="27" w:name="NEW_STAND_NAME"/>
          <w:r>
            <w:rPr>
              <w:rFonts w:hint="eastAsia"/>
            </w:rPr>
            <w:t>燃气工程建设施工数据精准采集</w:t>
          </w:r>
        </w:p>
        <w:p w14:paraId="7D4E3E1F">
          <w:pPr>
            <w:pStyle w:val="177"/>
            <w:spacing w:before="0"/>
          </w:pPr>
          <w:r>
            <w:rPr>
              <w:rFonts w:hint="eastAsia"/>
            </w:rPr>
            <w:t>与整合规程</w:t>
          </w:r>
        </w:p>
      </w:sdtContent>
    </w:sdt>
    <w:bookmarkEnd w:id="27"/>
    <w:p w14:paraId="3DB22445">
      <w:pPr>
        <w:pStyle w:val="104"/>
        <w:spacing w:before="240" w:after="240" w:line="360" w:lineRule="auto"/>
      </w:pPr>
      <w:bookmarkStart w:id="28" w:name="_Toc24884218"/>
      <w:bookmarkStart w:id="29" w:name="_Toc26648465"/>
      <w:bookmarkStart w:id="30" w:name="_Toc26718930"/>
      <w:bookmarkStart w:id="31" w:name="_Toc17233325"/>
      <w:bookmarkStart w:id="32" w:name="_Toc17233333"/>
      <w:bookmarkStart w:id="33" w:name="_Toc24884211"/>
      <w:bookmarkStart w:id="34" w:name="_Toc26986530"/>
      <w:bookmarkStart w:id="35" w:name="_Toc26986771"/>
      <w:bookmarkStart w:id="36" w:name="_Toc97192964"/>
      <w:bookmarkStart w:id="37" w:name="_Toc205544464"/>
      <w:r>
        <w:rPr>
          <w:rFonts w:hint="eastAsia"/>
        </w:rPr>
        <w:t>范围</w:t>
      </w:r>
      <w:bookmarkEnd w:id="28"/>
      <w:bookmarkEnd w:id="29"/>
      <w:bookmarkEnd w:id="30"/>
      <w:bookmarkEnd w:id="31"/>
      <w:bookmarkEnd w:id="32"/>
      <w:bookmarkEnd w:id="33"/>
      <w:bookmarkEnd w:id="34"/>
      <w:bookmarkEnd w:id="35"/>
      <w:bookmarkEnd w:id="36"/>
      <w:bookmarkEnd w:id="37"/>
    </w:p>
    <w:p w14:paraId="4636AC2C">
      <w:pPr>
        <w:pStyle w:val="56"/>
        <w:spacing w:line="360" w:lineRule="auto"/>
        <w:ind w:firstLine="420"/>
      </w:pPr>
      <w:bookmarkStart w:id="38" w:name="_Toc17233326"/>
      <w:bookmarkStart w:id="39" w:name="_Toc24884219"/>
      <w:bookmarkStart w:id="40" w:name="_Toc17233334"/>
      <w:bookmarkStart w:id="41" w:name="_Toc24884212"/>
      <w:bookmarkStart w:id="42" w:name="_Toc26648466"/>
      <w:r>
        <w:rPr>
          <w:rFonts w:hint="eastAsia"/>
        </w:rPr>
        <w:t>本文件规定了燃气工程建设施工过程中数据精准采集与整合的基本原则、数据分类、数据采集方法与精度要求、数据整合流程与技术要求、数据质量控制与验收、安全与保密要求、运行维护与更新及成果交付与档案管理等要求。</w:t>
      </w:r>
    </w:p>
    <w:p w14:paraId="237EA543">
      <w:pPr>
        <w:pStyle w:val="56"/>
        <w:spacing w:line="360" w:lineRule="auto"/>
        <w:ind w:firstLine="420"/>
      </w:pPr>
      <w:r>
        <w:rPr>
          <w:rFonts w:hint="eastAsia"/>
        </w:rPr>
        <w:t>本文件适用于城市燃气工程、高压输气管道、液化天然气（LNG）站场、调压站、配气站及相关管网工程在施工阶段的数据采集、整理、传输、整合与存储工作。其他类型燃气设施的建设施工数据管理可参照执行。</w:t>
      </w:r>
    </w:p>
    <w:p w14:paraId="76265264">
      <w:pPr>
        <w:pStyle w:val="56"/>
        <w:spacing w:line="360" w:lineRule="auto"/>
        <w:ind w:firstLine="420"/>
      </w:pPr>
      <w:r>
        <w:rPr>
          <w:rFonts w:hint="eastAsia"/>
        </w:rPr>
        <w:t>本文件适用的数据类型包括施工测量数据、材料设备信息、施工过程记录、检测检验数据、地理信息数据、多源传感器采集数据等；不适用于非施工阶段的财务、市场及行政管理类数据。</w:t>
      </w:r>
    </w:p>
    <w:p w14:paraId="3733B2AD">
      <w:pPr>
        <w:pStyle w:val="104"/>
        <w:spacing w:before="240" w:after="240" w:line="360" w:lineRule="auto"/>
      </w:pPr>
      <w:bookmarkStart w:id="43" w:name="_Toc26986772"/>
      <w:bookmarkStart w:id="44" w:name="_Toc26718931"/>
      <w:bookmarkStart w:id="45" w:name="_Toc26986531"/>
      <w:bookmarkStart w:id="46" w:name="_Toc97192965"/>
      <w:bookmarkStart w:id="47" w:name="_Toc205544465"/>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C262579">
      <w:pPr>
        <w:pStyle w:val="56"/>
        <w:spacing w:line="360" w:lineRule="auto"/>
        <w:ind w:firstLine="420"/>
      </w:pPr>
      <w:r>
        <w:rPr>
          <w:rFonts w:hint="eastAsia"/>
        </w:rPr>
        <w:t>GB 50251—</w:t>
      </w:r>
      <w:r>
        <w:t>2015</w:t>
      </w:r>
      <w:r>
        <w:rPr>
          <w:rFonts w:hint="eastAsia"/>
        </w:rPr>
        <w:t xml:space="preserve"> 输气管道工程设计规范</w:t>
      </w:r>
    </w:p>
    <w:p w14:paraId="3C6AEF0E">
      <w:pPr>
        <w:pStyle w:val="56"/>
        <w:spacing w:line="360" w:lineRule="auto"/>
        <w:ind w:firstLine="420"/>
      </w:pPr>
      <w:r>
        <w:t>GB/T 19001</w:t>
      </w:r>
      <w:r>
        <w:rPr>
          <w:rFonts w:hint="eastAsia"/>
        </w:rPr>
        <w:t>—</w:t>
      </w:r>
      <w:r>
        <w:t>2016</w:t>
      </w:r>
      <w:r>
        <w:rPr>
          <w:rFonts w:hint="eastAsia"/>
        </w:rPr>
        <w:t xml:space="preserve"> 质量管理体系 要求</w:t>
      </w:r>
    </w:p>
    <w:p w14:paraId="5798AA4D">
      <w:pPr>
        <w:pStyle w:val="56"/>
        <w:spacing w:line="360" w:lineRule="auto"/>
        <w:ind w:firstLine="420"/>
      </w:pPr>
      <w:r>
        <w:t>GB/T 22239</w:t>
      </w:r>
      <w:r>
        <w:rPr>
          <w:rFonts w:hint="eastAsia"/>
        </w:rPr>
        <w:t>—</w:t>
      </w:r>
      <w:r>
        <w:t>2019</w:t>
      </w:r>
      <w:r>
        <w:rPr>
          <w:rFonts w:hint="eastAsia"/>
        </w:rPr>
        <w:t xml:space="preserve"> 信息安全技术  网络安全等级保护基本要求</w:t>
      </w:r>
    </w:p>
    <w:p w14:paraId="11B5A246">
      <w:pPr>
        <w:pStyle w:val="56"/>
        <w:spacing w:line="360" w:lineRule="auto"/>
        <w:ind w:firstLine="420"/>
      </w:pPr>
      <w:r>
        <w:rPr>
          <w:rFonts w:hint="eastAsia"/>
        </w:rPr>
        <w:t>GB/T 50539—2017 油气输送管道工程测量规范</w:t>
      </w:r>
    </w:p>
    <w:p w14:paraId="2711E16F">
      <w:pPr>
        <w:pStyle w:val="56"/>
        <w:spacing w:line="360" w:lineRule="auto"/>
        <w:ind w:firstLine="420"/>
      </w:pPr>
      <w:r>
        <w:t>GB/T 51455</w:t>
      </w:r>
      <w:r>
        <w:rPr>
          <w:rFonts w:hint="eastAsia"/>
        </w:rPr>
        <w:t>—</w:t>
      </w:r>
      <w:r>
        <w:t>2023</w:t>
      </w:r>
      <w:r>
        <w:rPr>
          <w:rFonts w:hint="eastAsia"/>
        </w:rPr>
        <w:t xml:space="preserve"> 城镇燃气输配工程施工及验收标准</w:t>
      </w:r>
    </w:p>
    <w:p w14:paraId="51F02A4E">
      <w:pPr>
        <w:pStyle w:val="104"/>
        <w:spacing w:before="240" w:after="240" w:line="360" w:lineRule="auto"/>
      </w:pPr>
      <w:bookmarkStart w:id="48" w:name="_Toc97192966"/>
      <w:bookmarkStart w:id="49" w:name="_Toc205544466"/>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07E30CF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数据精准采集 data precise acquisition</w:t>
      </w:r>
    </w:p>
    <w:p w14:paraId="2C759E93">
      <w:pPr>
        <w:pStyle w:val="56"/>
        <w:spacing w:line="360" w:lineRule="auto"/>
        <w:ind w:firstLine="420"/>
      </w:pPr>
      <w:r>
        <w:rPr>
          <w:rFonts w:hint="eastAsia"/>
        </w:rPr>
        <w:t>在燃气工程建设施工过程中，按照规定的精度要求和技术规范，采用合适的仪器设备、传感器及测量方法，对施工相关信息进行高精度、完整化和可追溯的采集过程。</w:t>
      </w:r>
    </w:p>
    <w:p w14:paraId="42131F1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数据整合 data integration</w:t>
      </w:r>
    </w:p>
    <w:p w14:paraId="729DBCC7">
      <w:pPr>
        <w:pStyle w:val="56"/>
        <w:spacing w:line="360" w:lineRule="auto"/>
        <w:ind w:firstLine="420"/>
      </w:pPr>
      <w:r>
        <w:rPr>
          <w:rFonts w:hint="eastAsia"/>
        </w:rPr>
        <w:t>将来源、格式和精度不同的施工数据，经过清洗、转换、关联、融合等处理，形成统一、规范且可用于分析和决策的工程数据集的过程。</w:t>
      </w:r>
    </w:p>
    <w:p w14:paraId="09DDC72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多源数据融合 multi-source data fusion</w:t>
      </w:r>
    </w:p>
    <w:p w14:paraId="1C2CF796">
      <w:pPr>
        <w:pStyle w:val="56"/>
        <w:spacing w:line="360" w:lineRule="auto"/>
        <w:ind w:firstLine="420"/>
      </w:pPr>
      <w:r>
        <w:rPr>
          <w:rFonts w:hint="eastAsia"/>
        </w:rPr>
        <w:t>通过算法和技术手段，将来自不同采集渠道（如现场测量、传感器、BIM模型、无人机航测、地理信息系统等）的数据进行综合处理，以提高信息的完整性、准确性和可用性。</w:t>
      </w:r>
    </w:p>
    <w:p w14:paraId="4A8F80EC">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燃气工程建设施工数据 construction data of gas engineering</w:t>
      </w:r>
    </w:p>
    <w:p w14:paraId="7E51A92F">
      <w:pPr>
        <w:pStyle w:val="56"/>
        <w:spacing w:line="360" w:lineRule="auto"/>
        <w:ind w:firstLine="420"/>
      </w:pPr>
      <w:r>
        <w:rPr>
          <w:rFonts w:hint="eastAsia"/>
        </w:rPr>
        <w:t>在燃气工程建设施工阶段产生的、与工程实体、施工过程、检测检验、地理空间位置及环境相关的各类结构化与非结构化数据的总称。</w:t>
      </w:r>
    </w:p>
    <w:p w14:paraId="7962CB6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数据质量控制 data quality control</w:t>
      </w:r>
    </w:p>
    <w:p w14:paraId="11ED0D72">
      <w:pPr>
        <w:pStyle w:val="56"/>
        <w:spacing w:line="360" w:lineRule="auto"/>
        <w:ind w:firstLine="420"/>
      </w:pPr>
      <w:r>
        <w:rPr>
          <w:rFonts w:hint="eastAsia"/>
        </w:rPr>
        <w:t>对采集、传输、整合、存储全过程中的数据准确性、完整性、一致性和时效性进行监测、评估和纠正的管理活动。</w:t>
      </w:r>
    </w:p>
    <w:p w14:paraId="3982036D">
      <w:pPr>
        <w:pStyle w:val="104"/>
        <w:spacing w:before="240" w:after="240" w:line="360" w:lineRule="auto"/>
      </w:pPr>
      <w:bookmarkStart w:id="51" w:name="_Toc205544467"/>
      <w:r>
        <w:rPr>
          <w:rFonts w:hint="eastAsia"/>
        </w:rPr>
        <w:t>基本原则</w:t>
      </w:r>
      <w:bookmarkEnd w:id="51"/>
    </w:p>
    <w:p w14:paraId="4BCA519A">
      <w:pPr>
        <w:pStyle w:val="105"/>
        <w:spacing w:before="120" w:after="120" w:line="360" w:lineRule="auto"/>
      </w:pPr>
      <w:r>
        <w:rPr>
          <w:rFonts w:hint="eastAsia"/>
        </w:rPr>
        <w:t>全面性原则</w:t>
      </w:r>
    </w:p>
    <w:p w14:paraId="2BA95517">
      <w:pPr>
        <w:pStyle w:val="56"/>
        <w:spacing w:line="360" w:lineRule="auto"/>
        <w:ind w:firstLine="420"/>
      </w:pPr>
      <w:r>
        <w:rPr>
          <w:rFonts w:hint="eastAsia"/>
        </w:rPr>
        <w:t>数据采集应覆盖燃气工程建设施工全过程和各关键环节，包括前期测量放线、管材及设备进场检验、施工过程监测、质量检测、隐蔽工程记录、完工测量等，确保信息的完整性和可追溯性。</w:t>
      </w:r>
    </w:p>
    <w:p w14:paraId="11E2CA01">
      <w:pPr>
        <w:pStyle w:val="105"/>
        <w:spacing w:before="120" w:after="120" w:line="360" w:lineRule="auto"/>
      </w:pPr>
      <w:r>
        <w:rPr>
          <w:rFonts w:hint="eastAsia"/>
        </w:rPr>
        <w:t>精准性原则</w:t>
      </w:r>
    </w:p>
    <w:p w14:paraId="446C3A1E">
      <w:pPr>
        <w:pStyle w:val="56"/>
        <w:spacing w:line="360" w:lineRule="auto"/>
        <w:ind w:firstLine="420"/>
      </w:pPr>
      <w:r>
        <w:rPr>
          <w:rFonts w:hint="eastAsia"/>
        </w:rPr>
        <w:t>数据采集应符合相应的精度等级和技术标准，确保测量误差、采集偏差和时间延迟等控制在允许范围内，并通过校准、比对等方式维持数据的准确性。</w:t>
      </w:r>
    </w:p>
    <w:p w14:paraId="6712C032">
      <w:pPr>
        <w:pStyle w:val="105"/>
        <w:spacing w:before="120" w:after="120" w:line="360" w:lineRule="auto"/>
      </w:pPr>
      <w:r>
        <w:rPr>
          <w:rFonts w:hint="eastAsia"/>
        </w:rPr>
        <w:t>标准化原则</w:t>
      </w:r>
    </w:p>
    <w:p w14:paraId="55642A22">
      <w:pPr>
        <w:pStyle w:val="56"/>
        <w:spacing w:line="360" w:lineRule="auto"/>
        <w:ind w:firstLine="420"/>
      </w:pPr>
      <w:r>
        <w:rPr>
          <w:rFonts w:hint="eastAsia"/>
        </w:rPr>
        <w:t>采集与整合过程应采用统一的编码规则、数据格式、命名规范和分类体系，确保多源数据在整合过程中的兼容性和一致性。</w:t>
      </w:r>
    </w:p>
    <w:p w14:paraId="73733C32">
      <w:pPr>
        <w:pStyle w:val="105"/>
        <w:spacing w:before="120" w:after="120" w:line="360" w:lineRule="auto"/>
      </w:pPr>
      <w:r>
        <w:rPr>
          <w:rFonts w:hint="eastAsia"/>
        </w:rPr>
        <w:t>安全性原则</w:t>
      </w:r>
    </w:p>
    <w:p w14:paraId="26D94CC4">
      <w:pPr>
        <w:pStyle w:val="56"/>
        <w:spacing w:line="360" w:lineRule="auto"/>
        <w:ind w:firstLine="420"/>
      </w:pPr>
      <w:r>
        <w:rPr>
          <w:rFonts w:hint="eastAsia"/>
        </w:rPr>
        <w:t>数据采集、传输、存储及整合应符合信息安全管理要求，防止数据在采集和交换过程中出现泄露、篡改、丢失等情况，并确保权限管理与备份机制健全。</w:t>
      </w:r>
    </w:p>
    <w:p w14:paraId="5D49730D">
      <w:pPr>
        <w:pStyle w:val="105"/>
        <w:spacing w:before="120" w:after="120" w:line="360" w:lineRule="auto"/>
      </w:pPr>
      <w:r>
        <w:rPr>
          <w:rFonts w:hint="eastAsia"/>
        </w:rPr>
        <w:t>实时性与时效性原则</w:t>
      </w:r>
    </w:p>
    <w:p w14:paraId="65CF8FF7">
      <w:pPr>
        <w:pStyle w:val="56"/>
        <w:spacing w:line="360" w:lineRule="auto"/>
        <w:ind w:firstLine="420"/>
      </w:pPr>
      <w:r>
        <w:rPr>
          <w:rFonts w:hint="eastAsia"/>
        </w:rPr>
        <w:t>应根据施工环节的重要性和数据类型的特点，合理确定采集频率和数据更新周期，对关键施工节点、易变数据及高风险作业环节应进行实时或准实时采集。</w:t>
      </w:r>
    </w:p>
    <w:p w14:paraId="40FCDE2F">
      <w:pPr>
        <w:pStyle w:val="105"/>
        <w:spacing w:before="120" w:after="120" w:line="360" w:lineRule="auto"/>
      </w:pPr>
      <w:r>
        <w:rPr>
          <w:rFonts w:hint="eastAsia"/>
        </w:rPr>
        <w:t>协同共享原则</w:t>
      </w:r>
    </w:p>
    <w:p w14:paraId="2A62EE40">
      <w:pPr>
        <w:pStyle w:val="56"/>
        <w:spacing w:line="360" w:lineRule="auto"/>
        <w:ind w:firstLine="420"/>
      </w:pPr>
      <w:r>
        <w:rPr>
          <w:rFonts w:hint="eastAsia"/>
        </w:rPr>
        <w:t>采集与整合过程中应促进建设单位、施工单位、监理单位、设计单位及运维管理方之间的信息协同与共享，避免信息孤岛，提高管理与决策效率。</w:t>
      </w:r>
    </w:p>
    <w:p w14:paraId="481AFA45">
      <w:pPr>
        <w:pStyle w:val="104"/>
        <w:spacing w:before="240" w:after="240" w:line="360" w:lineRule="auto"/>
      </w:pPr>
      <w:bookmarkStart w:id="52" w:name="_Toc205544468"/>
      <w:r>
        <w:rPr>
          <w:rFonts w:hint="eastAsia"/>
        </w:rPr>
        <w:t>数据分类</w:t>
      </w:r>
      <w:bookmarkEnd w:id="52"/>
    </w:p>
    <w:p w14:paraId="4DFFFCC3">
      <w:pPr>
        <w:pStyle w:val="56"/>
        <w:spacing w:line="360" w:lineRule="auto"/>
        <w:ind w:firstLine="420"/>
      </w:pPr>
      <w:r>
        <w:rPr>
          <w:rFonts w:hint="eastAsia"/>
        </w:rPr>
        <w:t>为实现施工数据的精准采集与高效整合，燃气工程建设施工数据可按来源、内容和格式进行分类。</w:t>
      </w:r>
    </w:p>
    <w:p w14:paraId="768631FE">
      <w:pPr>
        <w:pStyle w:val="105"/>
        <w:spacing w:before="120" w:after="120" w:line="360" w:lineRule="auto"/>
      </w:pPr>
      <w:r>
        <w:rPr>
          <w:rFonts w:hint="eastAsia"/>
        </w:rPr>
        <w:t>按来源分类</w:t>
      </w:r>
    </w:p>
    <w:p w14:paraId="3B8D89AF">
      <w:pPr>
        <w:pStyle w:val="56"/>
        <w:spacing w:line="360" w:lineRule="auto"/>
        <w:ind w:firstLine="420"/>
      </w:pPr>
      <w:r>
        <w:rPr>
          <w:rFonts w:hint="eastAsia"/>
        </w:rPr>
        <w:t>按来源可分为以下类别：</w:t>
      </w:r>
    </w:p>
    <w:p w14:paraId="1538D995">
      <w:pPr>
        <w:pStyle w:val="56"/>
        <w:spacing w:line="360" w:lineRule="auto"/>
        <w:ind w:firstLine="420"/>
      </w:pPr>
      <w:r>
        <w:rPr>
          <w:rFonts w:hint="eastAsia"/>
        </w:rPr>
        <w:t>a) 现场测量数据：包括管道定位测量、场地地形测量、竣工测量等；</w:t>
      </w:r>
    </w:p>
    <w:p w14:paraId="40FFE9CB">
      <w:pPr>
        <w:pStyle w:val="56"/>
        <w:spacing w:line="360" w:lineRule="auto"/>
        <w:ind w:firstLine="420"/>
      </w:pPr>
      <w:r>
        <w:rPr>
          <w:rFonts w:hint="eastAsia"/>
        </w:rPr>
        <w:t>b) 传感器与监测设备数据：包括压力、流量、温度、应力、位移、振动等实时监测信息；</w:t>
      </w:r>
    </w:p>
    <w:p w14:paraId="34B8E138">
      <w:pPr>
        <w:pStyle w:val="56"/>
        <w:spacing w:line="360" w:lineRule="auto"/>
        <w:ind w:firstLine="420"/>
      </w:pPr>
      <w:r>
        <w:rPr>
          <w:rFonts w:hint="eastAsia"/>
        </w:rPr>
        <w:t>c) 施工过程记录数据：包括施工日志、影像资料、无人机航拍照片和视频等；</w:t>
      </w:r>
    </w:p>
    <w:p w14:paraId="33A4FE55">
      <w:pPr>
        <w:pStyle w:val="56"/>
        <w:spacing w:line="360" w:lineRule="auto"/>
        <w:ind w:firstLine="420"/>
      </w:pPr>
      <w:r>
        <w:rPr>
          <w:rFonts w:hint="eastAsia"/>
        </w:rPr>
        <w:t>d) 检测检验数据：包括材料进场检验、焊接质量检测、气密性试验等数据；</w:t>
      </w:r>
    </w:p>
    <w:p w14:paraId="5BBDC650">
      <w:pPr>
        <w:pStyle w:val="56"/>
        <w:spacing w:line="360" w:lineRule="auto"/>
        <w:ind w:firstLine="420"/>
      </w:pPr>
      <w:r>
        <w:rPr>
          <w:rFonts w:hint="eastAsia"/>
        </w:rPr>
        <w:t>e) 第三方平台数据：包括来自政府监管平台、设计院BIM模型、GIS系统的关联数据。</w:t>
      </w:r>
    </w:p>
    <w:p w14:paraId="02E5040A">
      <w:pPr>
        <w:pStyle w:val="105"/>
        <w:spacing w:before="120" w:after="120" w:line="360" w:lineRule="auto"/>
      </w:pPr>
      <w:r>
        <w:rPr>
          <w:rFonts w:hint="eastAsia"/>
        </w:rPr>
        <w:t>按内容分类</w:t>
      </w:r>
    </w:p>
    <w:p w14:paraId="74370B51">
      <w:pPr>
        <w:pStyle w:val="56"/>
        <w:spacing w:line="360" w:lineRule="auto"/>
        <w:ind w:firstLine="420"/>
      </w:pPr>
      <w:r>
        <w:rPr>
          <w:rFonts w:hint="eastAsia"/>
        </w:rPr>
        <w:t>按内容可分为以下类别：</w:t>
      </w:r>
    </w:p>
    <w:p w14:paraId="26D89E92">
      <w:pPr>
        <w:pStyle w:val="56"/>
        <w:spacing w:line="360" w:lineRule="auto"/>
        <w:ind w:firstLine="420"/>
      </w:pPr>
      <w:r>
        <w:rPr>
          <w:rFonts w:hint="eastAsia"/>
        </w:rPr>
        <w:t>a) 工程实体数据：描述燃气设施的空间位置、几何尺寸、构造形式和材质属性；</w:t>
      </w:r>
    </w:p>
    <w:p w14:paraId="5F47FD96">
      <w:pPr>
        <w:pStyle w:val="56"/>
        <w:spacing w:line="360" w:lineRule="auto"/>
        <w:ind w:firstLine="420"/>
      </w:pPr>
      <w:r>
        <w:rPr>
          <w:rFonts w:hint="eastAsia"/>
        </w:rPr>
        <w:t>b) 过程控制数据：反映施工进度、作业工序、施工环境参数等动态信息；</w:t>
      </w:r>
    </w:p>
    <w:p w14:paraId="67D85D53">
      <w:pPr>
        <w:pStyle w:val="56"/>
        <w:spacing w:line="360" w:lineRule="auto"/>
        <w:ind w:firstLine="420"/>
      </w:pPr>
      <w:r>
        <w:rPr>
          <w:rFonts w:hint="eastAsia"/>
        </w:rPr>
        <w:t>c) 质量与安全数据：包括质量检验结果、施工安全监测数据、安全隐患记录；</w:t>
      </w:r>
    </w:p>
    <w:p w14:paraId="72812053">
      <w:pPr>
        <w:pStyle w:val="56"/>
        <w:spacing w:line="360" w:lineRule="auto"/>
        <w:ind w:firstLine="420"/>
      </w:pPr>
      <w:r>
        <w:rPr>
          <w:rFonts w:hint="eastAsia"/>
        </w:rPr>
        <w:t>d) 运维关联数据：与后期运行管理相关的关键施工数据，如埋深、管径、接口位置等。</w:t>
      </w:r>
    </w:p>
    <w:p w14:paraId="56A99CD7">
      <w:pPr>
        <w:pStyle w:val="105"/>
        <w:spacing w:before="120" w:after="120" w:line="360" w:lineRule="auto"/>
      </w:pPr>
      <w:r>
        <w:rPr>
          <w:rFonts w:hint="eastAsia"/>
        </w:rPr>
        <w:t>按数据格式分类</w:t>
      </w:r>
    </w:p>
    <w:p w14:paraId="41DA5C07">
      <w:pPr>
        <w:pStyle w:val="56"/>
        <w:spacing w:line="360" w:lineRule="auto"/>
        <w:ind w:firstLine="420"/>
      </w:pPr>
      <w:r>
        <w:rPr>
          <w:rFonts w:hint="eastAsia"/>
        </w:rPr>
        <w:t>按数据格式可分为以下类别：</w:t>
      </w:r>
    </w:p>
    <w:p w14:paraId="43F2CEA7">
      <w:pPr>
        <w:pStyle w:val="56"/>
        <w:spacing w:line="360" w:lineRule="auto"/>
        <w:ind w:firstLine="420"/>
      </w:pPr>
      <w:r>
        <w:rPr>
          <w:rFonts w:hint="eastAsia"/>
        </w:rPr>
        <w:t>a) 结构化数据：如表格、数据库记录、编码信息；</w:t>
      </w:r>
    </w:p>
    <w:p w14:paraId="54EEC1BF">
      <w:pPr>
        <w:pStyle w:val="56"/>
        <w:spacing w:line="360" w:lineRule="auto"/>
        <w:ind w:firstLine="420"/>
      </w:pPr>
      <w:r>
        <w:rPr>
          <w:rFonts w:hint="eastAsia"/>
        </w:rPr>
        <w:t>b) 半结构化数据：如XML、JSON、BIM数据文件；</w:t>
      </w:r>
    </w:p>
    <w:p w14:paraId="305AD961">
      <w:pPr>
        <w:pStyle w:val="56"/>
        <w:spacing w:line="360" w:lineRule="auto"/>
        <w:ind w:firstLine="420"/>
      </w:pPr>
      <w:r>
        <w:rPr>
          <w:rFonts w:hint="eastAsia"/>
        </w:rPr>
        <w:t>c) 非结构化数据：如图像、视频、音频及扫描文档等。</w:t>
      </w:r>
    </w:p>
    <w:p w14:paraId="7E7858FA">
      <w:pPr>
        <w:pStyle w:val="104"/>
        <w:spacing w:before="240" w:after="240" w:line="360" w:lineRule="auto"/>
      </w:pPr>
      <w:bookmarkStart w:id="53" w:name="_Toc205544469"/>
      <w:r>
        <w:rPr>
          <w:rFonts w:hint="eastAsia"/>
        </w:rPr>
        <w:t>数据采集方法与精度要求</w:t>
      </w:r>
      <w:bookmarkEnd w:id="53"/>
    </w:p>
    <w:p w14:paraId="69FA619C">
      <w:pPr>
        <w:pStyle w:val="105"/>
        <w:spacing w:before="120" w:after="120" w:line="360" w:lineRule="auto"/>
      </w:pPr>
      <w:r>
        <w:rPr>
          <w:rFonts w:hint="eastAsia"/>
        </w:rPr>
        <w:t>现场测量数据采集</w:t>
      </w:r>
    </w:p>
    <w:p w14:paraId="6828FDA3">
      <w:pPr>
        <w:pStyle w:val="65"/>
        <w:spacing w:before="120" w:after="120" w:line="360" w:lineRule="auto"/>
      </w:pPr>
      <w:r>
        <w:rPr>
          <w:rFonts w:hint="eastAsia"/>
        </w:rPr>
        <w:t>方法</w:t>
      </w:r>
    </w:p>
    <w:p w14:paraId="457F8200">
      <w:pPr>
        <w:pStyle w:val="56"/>
        <w:spacing w:line="360" w:lineRule="auto"/>
        <w:ind w:firstLine="420"/>
      </w:pPr>
      <w:r>
        <w:rPr>
          <w:rFonts w:hint="eastAsia"/>
        </w:rPr>
        <w:t>采用全站仪、GNSS测量设备、激光扫描仪等进行空间位置测量；场地复杂时可结合无人机航测与地面控制点测量。</w:t>
      </w:r>
    </w:p>
    <w:p w14:paraId="47AB1C28">
      <w:pPr>
        <w:pStyle w:val="65"/>
        <w:spacing w:before="120" w:after="120" w:line="360" w:lineRule="auto"/>
      </w:pPr>
      <w:r>
        <w:rPr>
          <w:rFonts w:hint="eastAsia"/>
        </w:rPr>
        <w:t>精度要求</w:t>
      </w:r>
    </w:p>
    <w:p w14:paraId="39BDC58C">
      <w:pPr>
        <w:pStyle w:val="56"/>
        <w:spacing w:line="360" w:lineRule="auto"/>
        <w:ind w:firstLine="420"/>
      </w:pPr>
      <w:r>
        <w:rPr>
          <w:rFonts w:hint="eastAsia"/>
        </w:rPr>
        <w:t>管道中线位置测量误差不应大于±20 mm。</w:t>
      </w:r>
    </w:p>
    <w:p w14:paraId="6618642F">
      <w:pPr>
        <w:pStyle w:val="56"/>
        <w:spacing w:line="360" w:lineRule="auto"/>
        <w:ind w:firstLine="420"/>
      </w:pPr>
      <w:r>
        <w:rPr>
          <w:rFonts w:hint="eastAsia"/>
        </w:rPr>
        <w:t>高程测量误差不应大于±10 mm。</w:t>
      </w:r>
    </w:p>
    <w:p w14:paraId="2C58F963">
      <w:pPr>
        <w:pStyle w:val="56"/>
        <w:spacing w:line="360" w:lineRule="auto"/>
        <w:ind w:firstLine="420"/>
      </w:pPr>
      <w:r>
        <w:rPr>
          <w:rFonts w:hint="eastAsia"/>
        </w:rPr>
        <w:t>竣工测量数据与设计数据的偏差应符合相关工程验收规范要求。</w:t>
      </w:r>
    </w:p>
    <w:p w14:paraId="58664A32">
      <w:pPr>
        <w:pStyle w:val="105"/>
        <w:spacing w:before="120" w:after="120" w:line="360" w:lineRule="auto"/>
      </w:pPr>
      <w:r>
        <w:rPr>
          <w:rFonts w:hint="eastAsia"/>
        </w:rPr>
        <w:t>传感器与监测设备数据采集</w:t>
      </w:r>
    </w:p>
    <w:p w14:paraId="5A5F027D">
      <w:pPr>
        <w:pStyle w:val="65"/>
        <w:spacing w:before="120" w:after="120" w:line="360" w:lineRule="auto"/>
      </w:pPr>
      <w:r>
        <w:rPr>
          <w:rFonts w:hint="eastAsia"/>
        </w:rPr>
        <w:t>方法</w:t>
      </w:r>
    </w:p>
    <w:p w14:paraId="67395593">
      <w:pPr>
        <w:pStyle w:val="56"/>
        <w:spacing w:line="360" w:lineRule="auto"/>
        <w:ind w:firstLine="420"/>
      </w:pPr>
      <w:r>
        <w:rPr>
          <w:rFonts w:hint="eastAsia"/>
        </w:rPr>
        <w:t>在关键施工节点和高风险作业区域布设压力、流量、温度、应力、位移等在线监测设备，利用物联网网关实现实时采集与远程传输。</w:t>
      </w:r>
    </w:p>
    <w:p w14:paraId="1D94DA72">
      <w:pPr>
        <w:pStyle w:val="65"/>
        <w:spacing w:before="120" w:after="120" w:line="360" w:lineRule="auto"/>
      </w:pPr>
      <w:r>
        <w:rPr>
          <w:rFonts w:hint="eastAsia"/>
        </w:rPr>
        <w:t>精度要求</w:t>
      </w:r>
    </w:p>
    <w:p w14:paraId="2822703D">
      <w:pPr>
        <w:pStyle w:val="56"/>
        <w:spacing w:line="360" w:lineRule="auto"/>
        <w:ind w:firstLine="420"/>
      </w:pPr>
      <w:r>
        <w:rPr>
          <w:rFonts w:hint="eastAsia"/>
        </w:rPr>
        <w:t>压力监测精度不低于量程的±0.5%。</w:t>
      </w:r>
    </w:p>
    <w:p w14:paraId="349D9180">
      <w:pPr>
        <w:pStyle w:val="56"/>
        <w:spacing w:line="360" w:lineRule="auto"/>
        <w:ind w:firstLine="420"/>
      </w:pPr>
      <w:r>
        <w:rPr>
          <w:rFonts w:hint="eastAsia"/>
        </w:rPr>
        <w:t>温度监测精度不低于±0.5 ℃。</w:t>
      </w:r>
    </w:p>
    <w:p w14:paraId="0A90D232">
      <w:pPr>
        <w:pStyle w:val="56"/>
        <w:spacing w:line="360" w:lineRule="auto"/>
        <w:ind w:firstLine="420"/>
      </w:pPr>
      <w:r>
        <w:rPr>
          <w:rFonts w:hint="eastAsia"/>
        </w:rPr>
        <w:t>流量监测精度不低于量程的±1%。</w:t>
      </w:r>
    </w:p>
    <w:p w14:paraId="53412E1D">
      <w:pPr>
        <w:pStyle w:val="105"/>
        <w:spacing w:before="120" w:after="120" w:line="360" w:lineRule="auto"/>
      </w:pPr>
      <w:r>
        <w:rPr>
          <w:rFonts w:hint="eastAsia"/>
        </w:rPr>
        <w:t>施工过程记录数据采集</w:t>
      </w:r>
    </w:p>
    <w:p w14:paraId="1C0EFEC1">
      <w:pPr>
        <w:pStyle w:val="65"/>
        <w:spacing w:before="120" w:after="120" w:line="360" w:lineRule="auto"/>
      </w:pPr>
      <w:r>
        <w:rPr>
          <w:rFonts w:hint="eastAsia"/>
        </w:rPr>
        <w:t>方法</w:t>
      </w:r>
    </w:p>
    <w:p w14:paraId="0692FAA9">
      <w:pPr>
        <w:pStyle w:val="56"/>
        <w:spacing w:line="360" w:lineRule="auto"/>
        <w:ind w:firstLine="420"/>
      </w:pPr>
      <w:r>
        <w:rPr>
          <w:rFonts w:hint="eastAsia"/>
        </w:rPr>
        <w:t>采用数字化施工管理平台录入施工日志；使用高清摄像机、无人机、移动终端进行影像记录，并关联至施工位置坐标。</w:t>
      </w:r>
    </w:p>
    <w:p w14:paraId="61223845">
      <w:pPr>
        <w:pStyle w:val="65"/>
        <w:spacing w:before="120" w:after="120" w:line="360" w:lineRule="auto"/>
      </w:pPr>
      <w:r>
        <w:rPr>
          <w:rFonts w:hint="eastAsia"/>
        </w:rPr>
        <w:t>精度要求</w:t>
      </w:r>
    </w:p>
    <w:p w14:paraId="4FA6DCFE">
      <w:pPr>
        <w:pStyle w:val="56"/>
        <w:spacing w:line="360" w:lineRule="auto"/>
        <w:ind w:firstLine="420"/>
      </w:pPr>
      <w:r>
        <w:rPr>
          <w:rFonts w:hint="eastAsia"/>
        </w:rPr>
        <w:t>影像记录需清晰可辨，视频分辨率不低于1080P，时间戳与工程事件的误差不超过±1 min。</w:t>
      </w:r>
    </w:p>
    <w:p w14:paraId="687336F3">
      <w:pPr>
        <w:pStyle w:val="105"/>
        <w:spacing w:before="120" w:after="120" w:line="360" w:lineRule="auto"/>
      </w:pPr>
      <w:r>
        <w:rPr>
          <w:rFonts w:hint="eastAsia"/>
        </w:rPr>
        <w:t>检测检验数据采集</w:t>
      </w:r>
    </w:p>
    <w:p w14:paraId="2EC0FDFC">
      <w:pPr>
        <w:pStyle w:val="65"/>
        <w:spacing w:before="120" w:after="120" w:line="360" w:lineRule="auto"/>
      </w:pPr>
      <w:r>
        <w:rPr>
          <w:rFonts w:hint="eastAsia"/>
        </w:rPr>
        <w:t>方法</w:t>
      </w:r>
    </w:p>
    <w:p w14:paraId="270FEB1C">
      <w:pPr>
        <w:pStyle w:val="56"/>
        <w:spacing w:line="360" w:lineRule="auto"/>
        <w:ind w:firstLine="420"/>
      </w:pPr>
      <w:r>
        <w:rPr>
          <w:rFonts w:hint="eastAsia"/>
        </w:rPr>
        <w:t>检测机构应使用经校准的检测设备，按相关检验规范采集焊缝无损检测、气密性试验、材料性能检测等数据；</w:t>
      </w:r>
    </w:p>
    <w:p w14:paraId="539501A0">
      <w:pPr>
        <w:pStyle w:val="65"/>
        <w:spacing w:before="120" w:after="120" w:line="360" w:lineRule="auto"/>
      </w:pPr>
      <w:r>
        <w:rPr>
          <w:rFonts w:hint="eastAsia"/>
        </w:rPr>
        <w:t>精度要求</w:t>
      </w:r>
    </w:p>
    <w:p w14:paraId="28BB5B0E">
      <w:pPr>
        <w:pStyle w:val="56"/>
        <w:spacing w:line="360" w:lineRule="auto"/>
        <w:ind w:firstLine="420"/>
      </w:pPr>
      <w:r>
        <w:rPr>
          <w:rFonts w:hint="eastAsia"/>
        </w:rPr>
        <w:t>检测设备的精度等级和校准周期应满足现行国家及行业标准要求，数据记录应准确到相应的有效位数。</w:t>
      </w:r>
    </w:p>
    <w:p w14:paraId="54A3AE84">
      <w:pPr>
        <w:pStyle w:val="105"/>
        <w:spacing w:before="120" w:after="120" w:line="360" w:lineRule="auto"/>
      </w:pPr>
      <w:r>
        <w:rPr>
          <w:rFonts w:hint="eastAsia"/>
        </w:rPr>
        <w:t>第三方平台数据采集</w:t>
      </w:r>
    </w:p>
    <w:p w14:paraId="45DA44CF">
      <w:pPr>
        <w:pStyle w:val="65"/>
        <w:spacing w:before="120" w:after="120" w:line="360" w:lineRule="auto"/>
      </w:pPr>
      <w:r>
        <w:rPr>
          <w:rFonts w:hint="eastAsia"/>
        </w:rPr>
        <w:t>方法</w:t>
      </w:r>
    </w:p>
    <w:p w14:paraId="266AEF79">
      <w:pPr>
        <w:pStyle w:val="56"/>
        <w:spacing w:line="360" w:lineRule="auto"/>
        <w:ind w:firstLine="420"/>
      </w:pPr>
      <w:r>
        <w:rPr>
          <w:rFonts w:hint="eastAsia"/>
        </w:rPr>
        <w:t>通过标准化数据接口（如API、数据交换标准协议）从设计院BIM模型、GIS平台、政府监管平台获取相关数据；</w:t>
      </w:r>
    </w:p>
    <w:p w14:paraId="4E7670C2">
      <w:pPr>
        <w:pStyle w:val="65"/>
        <w:spacing w:before="120" w:after="120" w:line="360" w:lineRule="auto"/>
      </w:pPr>
      <w:r>
        <w:rPr>
          <w:rFonts w:hint="eastAsia"/>
        </w:rPr>
        <w:t>精度要求</w:t>
      </w:r>
    </w:p>
    <w:p w14:paraId="6F71AF8C">
      <w:pPr>
        <w:pStyle w:val="56"/>
        <w:spacing w:line="360" w:lineRule="auto"/>
        <w:ind w:firstLine="420"/>
      </w:pPr>
      <w:r>
        <w:rPr>
          <w:rFonts w:hint="eastAsia"/>
        </w:rPr>
        <w:t>采集的数据应与原平台数据保持一致，不得出现字段缺失或数据失真。</w:t>
      </w:r>
    </w:p>
    <w:p w14:paraId="015E0AB8">
      <w:pPr>
        <w:pStyle w:val="105"/>
        <w:spacing w:before="120" w:after="120" w:line="360" w:lineRule="auto"/>
      </w:pPr>
      <w:r>
        <w:rPr>
          <w:rFonts w:hint="eastAsia"/>
        </w:rPr>
        <w:t>精度控制与复核</w:t>
      </w:r>
    </w:p>
    <w:p w14:paraId="285226B2">
      <w:pPr>
        <w:pStyle w:val="56"/>
        <w:spacing w:line="360" w:lineRule="auto"/>
        <w:ind w:firstLine="420"/>
      </w:pPr>
      <w:r>
        <w:rPr>
          <w:rFonts w:hint="eastAsia"/>
        </w:rPr>
        <w:t>所有采集数据在录入或传输前应经过现场复核与抽检，必要时进行重复测量，确保数据精度达到本文件规定的要求。</w:t>
      </w:r>
    </w:p>
    <w:p w14:paraId="503461F9">
      <w:pPr>
        <w:pStyle w:val="104"/>
        <w:spacing w:before="240" w:after="240" w:line="360" w:lineRule="auto"/>
      </w:pPr>
      <w:bookmarkStart w:id="54" w:name="_Toc205544470"/>
      <w:r>
        <w:rPr>
          <w:rFonts w:hint="eastAsia"/>
        </w:rPr>
        <w:t>数据整合流程与技术要求</w:t>
      </w:r>
      <w:bookmarkEnd w:id="54"/>
    </w:p>
    <w:p w14:paraId="049F6786">
      <w:pPr>
        <w:pStyle w:val="105"/>
        <w:spacing w:before="120" w:after="120" w:line="360" w:lineRule="auto"/>
      </w:pPr>
      <w:r>
        <w:rPr>
          <w:rFonts w:hint="eastAsia"/>
        </w:rPr>
        <w:t>数据整合总体要求</w:t>
      </w:r>
    </w:p>
    <w:p w14:paraId="72533FE4">
      <w:pPr>
        <w:pStyle w:val="56"/>
        <w:spacing w:line="360" w:lineRule="auto"/>
        <w:ind w:firstLine="420"/>
      </w:pPr>
      <w:r>
        <w:rPr>
          <w:rFonts w:hint="eastAsia"/>
        </w:rPr>
        <w:t>数据整合应以工程项目为单元，按照统一的编码规则、坐标系统和数据格式，将不同来源、不同类型、不同时间采集的数据进行关联、融合和归档，确保数据的完整性、一致性与可追溯性。</w:t>
      </w:r>
    </w:p>
    <w:p w14:paraId="338690B2">
      <w:pPr>
        <w:pStyle w:val="105"/>
        <w:spacing w:before="120" w:after="120" w:line="360" w:lineRule="auto"/>
      </w:pPr>
      <w:r>
        <w:rPr>
          <w:rFonts w:hint="eastAsia"/>
        </w:rPr>
        <w:t>数据整合流程</w:t>
      </w:r>
    </w:p>
    <w:p w14:paraId="47E6C486">
      <w:pPr>
        <w:pStyle w:val="56"/>
        <w:spacing w:line="360" w:lineRule="auto"/>
        <w:ind w:firstLine="420"/>
      </w:pPr>
      <w:r>
        <w:rPr>
          <w:rFonts w:hint="eastAsia"/>
        </w:rPr>
        <w:t>数据整合流程如下：</w:t>
      </w:r>
    </w:p>
    <w:p w14:paraId="4C69BDED">
      <w:pPr>
        <w:pStyle w:val="56"/>
        <w:spacing w:line="360" w:lineRule="auto"/>
        <w:ind w:firstLine="420"/>
      </w:pPr>
      <w:r>
        <w:rPr>
          <w:rFonts w:hint="eastAsia"/>
        </w:rPr>
        <w:t>a) 数据采集与接入：各类数据在采集完成后，通过有线网络、无线通信或离线导入方式接入数据整合平台；</w:t>
      </w:r>
    </w:p>
    <w:p w14:paraId="0FA80EF5">
      <w:pPr>
        <w:pStyle w:val="56"/>
        <w:spacing w:line="360" w:lineRule="auto"/>
        <w:ind w:firstLine="420"/>
      </w:pPr>
      <w:r>
        <w:rPr>
          <w:rFonts w:hint="eastAsia"/>
        </w:rPr>
        <w:t>b) 数据清洗：剔除重复、错误、缺失或异常的数据记录，统一字段格式、单位制及精度要求；</w:t>
      </w:r>
    </w:p>
    <w:p w14:paraId="3D528906">
      <w:pPr>
        <w:pStyle w:val="56"/>
        <w:spacing w:line="360" w:lineRule="auto"/>
        <w:ind w:firstLine="420"/>
      </w:pPr>
      <w:r>
        <w:rPr>
          <w:rFonts w:hint="eastAsia"/>
        </w:rPr>
        <w:t>c) 数据转换：对不同格式和结构的数据进行标准化处理，如将非结构化数据生成可索引的元数据；</w:t>
      </w:r>
    </w:p>
    <w:p w14:paraId="225F719D">
      <w:pPr>
        <w:pStyle w:val="56"/>
        <w:spacing w:line="360" w:lineRule="auto"/>
        <w:ind w:firstLine="420"/>
      </w:pPr>
      <w:r>
        <w:rPr>
          <w:rFonts w:hint="eastAsia"/>
        </w:rPr>
        <w:t>d) 数据匹配与关联：按照时间、空间位置及工程编码等关键属性进行关联，确保不同数据源指向同一工程对象或施工事件；</w:t>
      </w:r>
    </w:p>
    <w:p w14:paraId="429663FC">
      <w:pPr>
        <w:pStyle w:val="56"/>
        <w:spacing w:line="360" w:lineRule="auto"/>
        <w:ind w:firstLine="420"/>
      </w:pPr>
      <w:r>
        <w:rPr>
          <w:rFonts w:hint="eastAsia"/>
        </w:rPr>
        <w:t>e) 数据融合：应用多源数据融合算法，综合传感器监测值、现场测量数据及BIM/GIS信息，生成高精度的综合数据集；</w:t>
      </w:r>
    </w:p>
    <w:p w14:paraId="1E868D1F">
      <w:pPr>
        <w:pStyle w:val="56"/>
        <w:spacing w:line="360" w:lineRule="auto"/>
        <w:ind w:firstLine="420"/>
      </w:pPr>
      <w:r>
        <w:rPr>
          <w:rFonts w:hint="eastAsia"/>
        </w:rPr>
        <w:t>f) 数据存储与备份：将整合后的数据存储于安全的数据库或云平台，并建立周期性备份机制；</w:t>
      </w:r>
    </w:p>
    <w:p w14:paraId="2AE0982F">
      <w:pPr>
        <w:pStyle w:val="56"/>
        <w:spacing w:line="360" w:lineRule="auto"/>
        <w:ind w:firstLine="420"/>
      </w:pPr>
      <w:r>
        <w:rPr>
          <w:rFonts w:hint="eastAsia"/>
        </w:rPr>
        <w:t>g) 数据共享与调用：通过权限控制的接口向建设、施工、监理及运维等相关方提供查询、下载和分析功能。</w:t>
      </w:r>
    </w:p>
    <w:p w14:paraId="446A15DE">
      <w:pPr>
        <w:pStyle w:val="105"/>
        <w:spacing w:before="120" w:after="120" w:line="360" w:lineRule="auto"/>
      </w:pPr>
      <w:r>
        <w:rPr>
          <w:rFonts w:hint="eastAsia"/>
        </w:rPr>
        <w:t>技术要求</w:t>
      </w:r>
    </w:p>
    <w:p w14:paraId="2542D808">
      <w:pPr>
        <w:pStyle w:val="56"/>
        <w:spacing w:line="360" w:lineRule="auto"/>
        <w:ind w:firstLine="420"/>
      </w:pPr>
      <w:r>
        <w:rPr>
          <w:rFonts w:hint="eastAsia"/>
        </w:rPr>
        <w:t>数据整合技术应符合以下要求：</w:t>
      </w:r>
    </w:p>
    <w:p w14:paraId="34D5ADBB">
      <w:pPr>
        <w:pStyle w:val="56"/>
        <w:spacing w:line="360" w:lineRule="auto"/>
        <w:ind w:firstLine="420"/>
      </w:pPr>
      <w:r>
        <w:rPr>
          <w:rFonts w:hint="eastAsia"/>
        </w:rPr>
        <w:t>a) 兼容性：数据整合平台应支持常见的工程数据格式（DWG、DXF、IFC、SHP、CSV、JSON等）及主流数据库系统；</w:t>
      </w:r>
    </w:p>
    <w:p w14:paraId="0476AEBC">
      <w:pPr>
        <w:pStyle w:val="56"/>
        <w:spacing w:line="360" w:lineRule="auto"/>
        <w:ind w:firstLine="420"/>
      </w:pPr>
      <w:r>
        <w:rPr>
          <w:rFonts w:hint="eastAsia"/>
        </w:rPr>
        <w:t>b) 一致性：整合后数据在不同系统和终端上的显示和调用应保持一致，不得出现版本混乱或信息冲突；</w:t>
      </w:r>
    </w:p>
    <w:p w14:paraId="581A26EE">
      <w:pPr>
        <w:pStyle w:val="56"/>
        <w:spacing w:line="360" w:lineRule="auto"/>
        <w:ind w:firstLine="420"/>
      </w:pPr>
      <w:r>
        <w:rPr>
          <w:rFonts w:hint="eastAsia"/>
        </w:rPr>
        <w:t>c) 安全性：整合过程中应采用数据加密传输技术，重要数据应存放于安全区并设置访问权限；</w:t>
      </w:r>
    </w:p>
    <w:p w14:paraId="7E5460FC">
      <w:pPr>
        <w:pStyle w:val="56"/>
        <w:spacing w:line="360" w:lineRule="auto"/>
        <w:ind w:firstLine="420"/>
      </w:pPr>
      <w:r>
        <w:rPr>
          <w:rFonts w:hint="eastAsia"/>
        </w:rPr>
        <w:t>d) 可扩展性：整合平台应预留接口和存储能力，以适应未来新型数据源和分析需求的接入；</w:t>
      </w:r>
    </w:p>
    <w:p w14:paraId="1C8CC07F">
      <w:pPr>
        <w:pStyle w:val="56"/>
        <w:spacing w:line="360" w:lineRule="auto"/>
        <w:ind w:firstLine="420"/>
      </w:pPr>
      <w:r>
        <w:rPr>
          <w:rFonts w:hint="eastAsia"/>
        </w:rPr>
        <w:t>e) 可追溯性：整合平台应记录每条数据的采集来源、采集时间、处理过程及修改记录。</w:t>
      </w:r>
    </w:p>
    <w:p w14:paraId="5D86E6D7">
      <w:pPr>
        <w:pStyle w:val="104"/>
        <w:spacing w:before="240" w:after="240" w:line="360" w:lineRule="auto"/>
      </w:pPr>
      <w:bookmarkStart w:id="55" w:name="_Toc205544471"/>
      <w:r>
        <w:rPr>
          <w:rFonts w:hint="eastAsia"/>
        </w:rPr>
        <w:t>数据质量控制与验收</w:t>
      </w:r>
      <w:bookmarkEnd w:id="55"/>
    </w:p>
    <w:p w14:paraId="1B52AD96">
      <w:pPr>
        <w:pStyle w:val="105"/>
        <w:spacing w:before="120" w:after="120" w:line="360" w:lineRule="auto"/>
      </w:pPr>
      <w:r>
        <w:rPr>
          <w:rFonts w:hint="eastAsia"/>
        </w:rPr>
        <w:t>总体要求</w:t>
      </w:r>
    </w:p>
    <w:p w14:paraId="4DDA010C">
      <w:pPr>
        <w:pStyle w:val="56"/>
        <w:spacing w:line="360" w:lineRule="auto"/>
        <w:ind w:firstLine="420"/>
      </w:pPr>
      <w:r>
        <w:rPr>
          <w:rFonts w:hint="eastAsia"/>
        </w:rPr>
        <w:t>数据质量控制应贯穿燃气工程建设施工数据采集、传输、整合、存储及成果交付全过程，确保数据的准确性、完整性、一致性和时效性。质量控制应建立在明确的技术标准、规范流程和责任机制基础之上。</w:t>
      </w:r>
    </w:p>
    <w:p w14:paraId="7076703A">
      <w:pPr>
        <w:pStyle w:val="105"/>
        <w:spacing w:before="120" w:after="120" w:line="360" w:lineRule="auto"/>
      </w:pPr>
      <w:r>
        <w:rPr>
          <w:rFonts w:hint="eastAsia"/>
        </w:rPr>
        <w:t>质量控制环节</w:t>
      </w:r>
    </w:p>
    <w:p w14:paraId="2696B148">
      <w:pPr>
        <w:pStyle w:val="56"/>
        <w:spacing w:line="360" w:lineRule="auto"/>
        <w:ind w:firstLine="420"/>
      </w:pPr>
      <w:r>
        <w:rPr>
          <w:rFonts w:hint="eastAsia"/>
        </w:rPr>
        <w:t>不同质量控制环节要求如下：</w:t>
      </w:r>
    </w:p>
    <w:p w14:paraId="0ABC5E6E">
      <w:pPr>
        <w:pStyle w:val="56"/>
        <w:spacing w:line="360" w:lineRule="auto"/>
        <w:ind w:firstLine="420"/>
      </w:pPr>
      <w:r>
        <w:rPr>
          <w:rFonts w:hint="eastAsia"/>
        </w:rPr>
        <w:t>a) 采集阶段：应制定详细的数据采集方案，明确精度要求、采集方法和设备校准周期；采集人员应具备相应的专业技能，并进行必要的培训与考核。</w:t>
      </w:r>
    </w:p>
    <w:p w14:paraId="777F5116">
      <w:pPr>
        <w:pStyle w:val="56"/>
        <w:spacing w:line="360" w:lineRule="auto"/>
        <w:ind w:firstLine="420"/>
      </w:pPr>
      <w:r>
        <w:rPr>
          <w:rFonts w:hint="eastAsia"/>
        </w:rPr>
        <w:t>b) 传输阶段：传输过程中应采用数据校验、加密及容错机制，防止数据丢失、篡改或损坏。</w:t>
      </w:r>
    </w:p>
    <w:p w14:paraId="6A56C2DC">
      <w:pPr>
        <w:pStyle w:val="56"/>
        <w:spacing w:line="360" w:lineRule="auto"/>
        <w:ind w:firstLine="420"/>
      </w:pPr>
      <w:r>
        <w:rPr>
          <w:rFonts w:hint="eastAsia"/>
        </w:rPr>
        <w:t>c) 整合阶段：在数据清洗、转换、关联及融合过程中，应采用自动化与人工复核相结合的方式，确保数据一致性和完整性。</w:t>
      </w:r>
    </w:p>
    <w:p w14:paraId="1D7E5428">
      <w:pPr>
        <w:pStyle w:val="56"/>
        <w:spacing w:line="360" w:lineRule="auto"/>
        <w:ind w:firstLine="420"/>
      </w:pPr>
      <w:r>
        <w:rPr>
          <w:rFonts w:hint="eastAsia"/>
        </w:rPr>
        <w:t>d) 存储阶段：数据存储介质应符合安全要求，并设置访问权限与备份机制，防止数据丢失或泄露。</w:t>
      </w:r>
    </w:p>
    <w:p w14:paraId="503853BC">
      <w:pPr>
        <w:pStyle w:val="105"/>
        <w:spacing w:before="120" w:after="120" w:line="360" w:lineRule="auto"/>
      </w:pPr>
      <w:r>
        <w:rPr>
          <w:rFonts w:hint="eastAsia"/>
        </w:rPr>
        <w:t>验收要求</w:t>
      </w:r>
    </w:p>
    <w:p w14:paraId="1BF1251F">
      <w:pPr>
        <w:pStyle w:val="165"/>
        <w:spacing w:line="360" w:lineRule="auto"/>
      </w:pPr>
      <w:r>
        <w:rPr>
          <w:rFonts w:hint="eastAsia"/>
        </w:rPr>
        <w:t>验收依据：数据验收应依据本文件及相关技术标准、设计文件、合同要求进行。</w:t>
      </w:r>
    </w:p>
    <w:p w14:paraId="0D29D73A">
      <w:pPr>
        <w:pStyle w:val="165"/>
        <w:spacing w:line="360" w:lineRule="auto"/>
      </w:pPr>
      <w:r>
        <w:rPr>
          <w:rFonts w:hint="eastAsia"/>
        </w:rPr>
        <w:t>验收方式：包括自动化校验与人工抽检，必要时开展现场复测或重复检测。</w:t>
      </w:r>
    </w:p>
    <w:p w14:paraId="1932920E">
      <w:pPr>
        <w:pStyle w:val="165"/>
        <w:spacing w:line="360" w:lineRule="auto"/>
      </w:pPr>
      <w:r>
        <w:rPr>
          <w:rFonts w:hint="eastAsia"/>
        </w:rPr>
        <w:t>验收内容：包括数据精度、完整性、一致性、格式规范性、安全性及可追溯性。</w:t>
      </w:r>
    </w:p>
    <w:p w14:paraId="4419EF96">
      <w:pPr>
        <w:pStyle w:val="165"/>
        <w:spacing w:line="360" w:lineRule="auto"/>
      </w:pPr>
      <w:r>
        <w:rPr>
          <w:rFonts w:hint="eastAsia"/>
        </w:rPr>
        <w:t>验收结果：验收结果应形成书面记录，并由建设单位、施工单位、监理单位等相关方签字确认。</w:t>
      </w:r>
    </w:p>
    <w:p w14:paraId="26D47B6B">
      <w:pPr>
        <w:pStyle w:val="105"/>
        <w:spacing w:before="120" w:after="120" w:line="360" w:lineRule="auto"/>
      </w:pPr>
      <w:r>
        <w:rPr>
          <w:rFonts w:hint="eastAsia"/>
        </w:rPr>
        <w:t>不合格数据处理</w:t>
      </w:r>
    </w:p>
    <w:p w14:paraId="112083A5">
      <w:pPr>
        <w:pStyle w:val="56"/>
        <w:spacing w:line="360" w:lineRule="auto"/>
        <w:ind w:firstLine="420"/>
      </w:pPr>
      <w:r>
        <w:rPr>
          <w:rFonts w:hint="eastAsia"/>
        </w:rPr>
        <w:t>对于验收不合格的数据，应查明原因并进行补测、修正或重采集，直至满足质量要求方可归档入库。</w:t>
      </w:r>
    </w:p>
    <w:p w14:paraId="10BB539A">
      <w:pPr>
        <w:pStyle w:val="104"/>
        <w:spacing w:before="240" w:after="240" w:line="360" w:lineRule="auto"/>
      </w:pPr>
      <w:bookmarkStart w:id="56" w:name="_Toc205544472"/>
      <w:r>
        <w:rPr>
          <w:rFonts w:hint="eastAsia"/>
        </w:rPr>
        <w:t>安全与保密要求</w:t>
      </w:r>
      <w:bookmarkEnd w:id="56"/>
    </w:p>
    <w:p w14:paraId="7D82F815">
      <w:pPr>
        <w:pStyle w:val="105"/>
        <w:spacing w:before="120" w:after="120" w:line="360" w:lineRule="auto"/>
      </w:pPr>
      <w:r>
        <w:rPr>
          <w:rFonts w:hint="eastAsia"/>
        </w:rPr>
        <w:t>总体要求</w:t>
      </w:r>
    </w:p>
    <w:p w14:paraId="2474463A">
      <w:pPr>
        <w:pStyle w:val="56"/>
        <w:spacing w:line="360" w:lineRule="auto"/>
        <w:ind w:firstLine="420"/>
      </w:pPr>
      <w:r>
        <w:rPr>
          <w:rFonts w:hint="eastAsia"/>
        </w:rPr>
        <w:t>燃气工程建设施工数据涉及公共安全、基础设施运行及商业秘密，应严格执行数据安全与保密管理要求，防止数据泄露、篡改、丢失及非法利用。</w:t>
      </w:r>
    </w:p>
    <w:p w14:paraId="507B8DBD">
      <w:pPr>
        <w:pStyle w:val="105"/>
        <w:spacing w:before="120" w:after="120" w:line="360" w:lineRule="auto"/>
      </w:pPr>
      <w:r>
        <w:rPr>
          <w:rFonts w:hint="eastAsia"/>
        </w:rPr>
        <w:t>数据采集安全</w:t>
      </w:r>
    </w:p>
    <w:p w14:paraId="2EF9595D">
      <w:pPr>
        <w:pStyle w:val="56"/>
        <w:spacing w:line="360" w:lineRule="auto"/>
        <w:ind w:firstLine="420"/>
      </w:pPr>
      <w:r>
        <w:rPr>
          <w:rFonts w:hint="eastAsia"/>
        </w:rPr>
        <w:t>采集设备应设置访问控制及身份验证功能，防止未经授权的人员操作。</w:t>
      </w:r>
    </w:p>
    <w:p w14:paraId="2EE60620">
      <w:pPr>
        <w:pStyle w:val="56"/>
        <w:spacing w:line="360" w:lineRule="auto"/>
        <w:ind w:firstLine="420"/>
      </w:pPr>
      <w:r>
        <w:rPr>
          <w:rFonts w:hint="eastAsia"/>
        </w:rPr>
        <w:t>对于使用无线传输的采集设备，应采用加密通信协议，防止数据在传输过程中被截获或篡改。</w:t>
      </w:r>
    </w:p>
    <w:p w14:paraId="2A8D7641">
      <w:pPr>
        <w:pStyle w:val="105"/>
        <w:spacing w:before="120" w:after="120" w:line="360" w:lineRule="auto"/>
      </w:pPr>
      <w:r>
        <w:rPr>
          <w:rFonts w:hint="eastAsia"/>
        </w:rPr>
        <w:t>数据传输安全</w:t>
      </w:r>
    </w:p>
    <w:p w14:paraId="0FFE626C">
      <w:pPr>
        <w:pStyle w:val="56"/>
        <w:spacing w:line="360" w:lineRule="auto"/>
        <w:ind w:firstLine="420"/>
      </w:pPr>
      <w:r>
        <w:rPr>
          <w:rFonts w:hint="eastAsia"/>
        </w:rPr>
        <w:t>传输过程应使用加密算法（如SSL/TLS、VPN等）确保数据机密性和完整性。</w:t>
      </w:r>
    </w:p>
    <w:p w14:paraId="2D1295AA">
      <w:pPr>
        <w:pStyle w:val="56"/>
        <w:spacing w:line="360" w:lineRule="auto"/>
        <w:ind w:firstLine="420"/>
      </w:pPr>
      <w:r>
        <w:rPr>
          <w:rFonts w:hint="eastAsia"/>
        </w:rPr>
        <w:t>对关键业务数据应设置多重验证机制，确保传输源与接收端的身份真实性。</w:t>
      </w:r>
    </w:p>
    <w:p w14:paraId="3D0458B9">
      <w:pPr>
        <w:pStyle w:val="56"/>
        <w:spacing w:line="360" w:lineRule="auto"/>
        <w:ind w:firstLine="420"/>
      </w:pPr>
      <w:r>
        <w:rPr>
          <w:rFonts w:hint="eastAsia"/>
        </w:rPr>
        <w:t>应建立数据传输日志记录制度，保留传输时间、来源、接收方、数据摘要等信息。</w:t>
      </w:r>
    </w:p>
    <w:p w14:paraId="453E2EAD">
      <w:pPr>
        <w:pStyle w:val="105"/>
        <w:spacing w:before="120" w:after="120" w:line="360" w:lineRule="auto"/>
      </w:pPr>
      <w:r>
        <w:rPr>
          <w:rFonts w:hint="eastAsia"/>
        </w:rPr>
        <w:t>数据存储安全</w:t>
      </w:r>
    </w:p>
    <w:p w14:paraId="7D917F3B">
      <w:pPr>
        <w:pStyle w:val="56"/>
        <w:spacing w:line="360" w:lineRule="auto"/>
        <w:ind w:firstLine="420"/>
      </w:pPr>
      <w:r>
        <w:rPr>
          <w:rFonts w:hint="eastAsia"/>
        </w:rPr>
        <w:t>存储介质应放置在符合安全防护要求的机房或设施内，并具备防火、防潮、防震及温湿度控制措施。</w:t>
      </w:r>
    </w:p>
    <w:p w14:paraId="51CAF936">
      <w:pPr>
        <w:pStyle w:val="56"/>
        <w:spacing w:line="360" w:lineRule="auto"/>
        <w:ind w:firstLine="420"/>
      </w:pPr>
      <w:r>
        <w:rPr>
          <w:rFonts w:hint="eastAsia"/>
        </w:rPr>
        <w:t>对重要数据应采取分级存储和周期性备份，备份数据应存放于异地安全位置。</w:t>
      </w:r>
    </w:p>
    <w:p w14:paraId="72C77357">
      <w:pPr>
        <w:pStyle w:val="56"/>
        <w:spacing w:line="360" w:lineRule="auto"/>
        <w:ind w:firstLine="420"/>
      </w:pPr>
      <w:r>
        <w:rPr>
          <w:rFonts w:hint="eastAsia"/>
        </w:rPr>
        <w:t>数据库应配置访问权限控制、加密存储及防病毒、防入侵等安全防护措施。</w:t>
      </w:r>
    </w:p>
    <w:p w14:paraId="7CA28514">
      <w:pPr>
        <w:pStyle w:val="105"/>
        <w:spacing w:before="120" w:after="120" w:line="360" w:lineRule="auto"/>
      </w:pPr>
      <w:r>
        <w:rPr>
          <w:rFonts w:hint="eastAsia"/>
        </w:rPr>
        <w:t>数据共享与发布安全</w:t>
      </w:r>
    </w:p>
    <w:p w14:paraId="01D84682">
      <w:pPr>
        <w:pStyle w:val="56"/>
        <w:spacing w:line="360" w:lineRule="auto"/>
        <w:ind w:firstLine="420"/>
      </w:pPr>
      <w:r>
        <w:rPr>
          <w:rFonts w:hint="eastAsia"/>
        </w:rPr>
        <w:t>对外共享的数据应经过脱敏处理，去除涉及国家安全、商业秘密及个人隐私的信息。</w:t>
      </w:r>
    </w:p>
    <w:p w14:paraId="61158E9D">
      <w:pPr>
        <w:pStyle w:val="56"/>
        <w:spacing w:line="360" w:lineRule="auto"/>
        <w:ind w:firstLine="420"/>
      </w:pPr>
      <w:r>
        <w:rPr>
          <w:rFonts w:hint="eastAsia"/>
        </w:rPr>
        <w:t>数据发布应经主管部门审批，并明确使用范围、使用期限及责任主体。</w:t>
      </w:r>
    </w:p>
    <w:p w14:paraId="130D0F62">
      <w:pPr>
        <w:pStyle w:val="56"/>
        <w:spacing w:line="360" w:lineRule="auto"/>
        <w:ind w:firstLine="420"/>
      </w:pPr>
      <w:r>
        <w:rPr>
          <w:rFonts w:hint="eastAsia"/>
        </w:rPr>
        <w:t>应建立数据共享日志，记录共享对象、时间、数据范围及授权情况。</w:t>
      </w:r>
    </w:p>
    <w:p w14:paraId="4DC97D4B">
      <w:pPr>
        <w:pStyle w:val="105"/>
        <w:spacing w:before="120" w:after="120" w:line="360" w:lineRule="auto"/>
      </w:pPr>
      <w:r>
        <w:rPr>
          <w:rFonts w:hint="eastAsia"/>
        </w:rPr>
        <w:t>保密管理</w:t>
      </w:r>
    </w:p>
    <w:p w14:paraId="45D87CCA">
      <w:pPr>
        <w:pStyle w:val="56"/>
        <w:spacing w:line="360" w:lineRule="auto"/>
        <w:ind w:firstLine="420"/>
      </w:pPr>
      <w:r>
        <w:rPr>
          <w:rFonts w:hint="eastAsia"/>
        </w:rPr>
        <w:t>涉及保密内容的数据应按照保密等级进行分类管理，并执行相应的存储、传输及销毁要求。</w:t>
      </w:r>
    </w:p>
    <w:p w14:paraId="1D38235B">
      <w:pPr>
        <w:pStyle w:val="56"/>
        <w:spacing w:line="360" w:lineRule="auto"/>
        <w:ind w:firstLine="420"/>
      </w:pPr>
      <w:r>
        <w:rPr>
          <w:rFonts w:hint="eastAsia"/>
        </w:rPr>
        <w:t>参与项目的人员应签署保密协议，并接受定期的保密教育与培训。</w:t>
      </w:r>
    </w:p>
    <w:p w14:paraId="0C62DAA9">
      <w:pPr>
        <w:pStyle w:val="56"/>
        <w:spacing w:line="360" w:lineRule="auto"/>
        <w:ind w:firstLine="420"/>
      </w:pPr>
      <w:r>
        <w:rPr>
          <w:rFonts w:hint="eastAsia"/>
        </w:rPr>
        <w:t>对于违规泄露数据的行为，应依法依规追究相关责任。</w:t>
      </w:r>
    </w:p>
    <w:p w14:paraId="2022B349">
      <w:pPr>
        <w:pStyle w:val="104"/>
        <w:spacing w:before="240" w:after="240" w:line="360" w:lineRule="auto"/>
      </w:pPr>
      <w:bookmarkStart w:id="57" w:name="_Toc205544473"/>
      <w:r>
        <w:t>运行维护与更新</w:t>
      </w:r>
      <w:bookmarkEnd w:id="57"/>
    </w:p>
    <w:p w14:paraId="7C542490">
      <w:pPr>
        <w:pStyle w:val="105"/>
        <w:spacing w:before="120" w:after="120" w:line="360" w:lineRule="auto"/>
      </w:pPr>
      <w:r>
        <w:t>总体要求</w:t>
      </w:r>
    </w:p>
    <w:p w14:paraId="6E44AAEB">
      <w:pPr>
        <w:pStyle w:val="56"/>
        <w:spacing w:line="360" w:lineRule="auto"/>
        <w:ind w:firstLine="420"/>
      </w:pPr>
      <w:r>
        <w:t>运行维护与更新应贯穿燃气工程建设施工全周期及竣工后的运维阶段，确保数据管理平台、采集设备和存储系统稳定运行，数据持续保持准确、完整和可用。</w:t>
      </w:r>
    </w:p>
    <w:p w14:paraId="40097F34">
      <w:pPr>
        <w:pStyle w:val="105"/>
        <w:spacing w:before="120" w:after="120" w:line="360" w:lineRule="auto"/>
      </w:pPr>
      <w:r>
        <w:t>运行管理</w:t>
      </w:r>
    </w:p>
    <w:p w14:paraId="391D0B6D">
      <w:pPr>
        <w:pStyle w:val="56"/>
        <w:spacing w:line="360" w:lineRule="auto"/>
        <w:ind w:firstLine="420"/>
      </w:pPr>
      <w:r>
        <w:t>应建立专门的数据管理岗位或部门，负责平台的日常运行监控、故障处理及性能优化</w:t>
      </w:r>
      <w:r>
        <w:rPr>
          <w:rFonts w:hint="eastAsia"/>
        </w:rPr>
        <w:t>。</w:t>
      </w:r>
    </w:p>
    <w:p w14:paraId="13520FD1">
      <w:pPr>
        <w:pStyle w:val="56"/>
        <w:spacing w:line="360" w:lineRule="auto"/>
        <w:ind w:firstLine="420"/>
      </w:pPr>
      <w:r>
        <w:t>运行期间应保持数据采集、传输、整合和存储链路的畅通，发现异常应及时排查并处理</w:t>
      </w:r>
      <w:r>
        <w:rPr>
          <w:rFonts w:hint="eastAsia"/>
        </w:rPr>
        <w:t>。</w:t>
      </w:r>
    </w:p>
    <w:p w14:paraId="5B5DEA70">
      <w:pPr>
        <w:pStyle w:val="56"/>
        <w:spacing w:line="360" w:lineRule="auto"/>
        <w:ind w:firstLine="420"/>
      </w:pPr>
      <w:r>
        <w:t>应对运行过程中的各类操作记录进行归档保存，便于追溯和审计。</w:t>
      </w:r>
    </w:p>
    <w:p w14:paraId="7D202A3B">
      <w:pPr>
        <w:pStyle w:val="105"/>
        <w:spacing w:before="120" w:after="120" w:line="360" w:lineRule="auto"/>
      </w:pPr>
      <w:r>
        <w:t>设备与系统维护</w:t>
      </w:r>
    </w:p>
    <w:p w14:paraId="23C85A3F">
      <w:pPr>
        <w:pStyle w:val="56"/>
        <w:spacing w:line="360" w:lineRule="auto"/>
        <w:ind w:firstLine="420"/>
      </w:pPr>
      <w:r>
        <w:t>数据采集设备应定期校准、检测和维护，确保测量精度及通信稳定性</w:t>
      </w:r>
      <w:r>
        <w:rPr>
          <w:rFonts w:hint="eastAsia"/>
        </w:rPr>
        <w:t>。</w:t>
      </w:r>
    </w:p>
    <w:p w14:paraId="51DEE862">
      <w:pPr>
        <w:pStyle w:val="56"/>
        <w:spacing w:line="360" w:lineRule="auto"/>
        <w:ind w:firstLine="420"/>
      </w:pPr>
      <w:r>
        <w:t>数据管理平台应进行定期软件升级和补丁更新，防范安全漏洞</w:t>
      </w:r>
      <w:r>
        <w:rPr>
          <w:rFonts w:hint="eastAsia"/>
        </w:rPr>
        <w:t>。</w:t>
      </w:r>
    </w:p>
    <w:p w14:paraId="3CF7A846">
      <w:pPr>
        <w:pStyle w:val="56"/>
        <w:spacing w:line="360" w:lineRule="auto"/>
        <w:ind w:firstLine="420"/>
      </w:pPr>
      <w:r>
        <w:t>存储系统应定期检测硬件状态，预防数据因介质故障造成丢失。</w:t>
      </w:r>
    </w:p>
    <w:p w14:paraId="311F3E5E">
      <w:pPr>
        <w:pStyle w:val="105"/>
        <w:spacing w:before="120" w:after="120" w:line="360" w:lineRule="auto"/>
      </w:pPr>
      <w:r>
        <w:t>数据更新</w:t>
      </w:r>
    </w:p>
    <w:p w14:paraId="255EF76F">
      <w:pPr>
        <w:pStyle w:val="56"/>
        <w:spacing w:line="360" w:lineRule="auto"/>
        <w:ind w:firstLine="420"/>
      </w:pPr>
      <w:r>
        <w:t>施工期间，应根据施工进度和现场变化，及时更新测量数据、施工记录及检测结果</w:t>
      </w:r>
      <w:r>
        <w:rPr>
          <w:rFonts w:hint="eastAsia"/>
        </w:rPr>
        <w:t>。</w:t>
      </w:r>
    </w:p>
    <w:p w14:paraId="034BB3C6">
      <w:pPr>
        <w:pStyle w:val="56"/>
        <w:spacing w:line="360" w:lineRule="auto"/>
        <w:ind w:firstLine="420"/>
      </w:pPr>
      <w:r>
        <w:t>工程竣工后，应完成最终数据整合，形成竣工数据成果，并在运维阶段根据设施变更及时更新</w:t>
      </w:r>
      <w:r>
        <w:rPr>
          <w:rFonts w:hint="eastAsia"/>
        </w:rPr>
        <w:t>。</w:t>
      </w:r>
    </w:p>
    <w:p w14:paraId="03FF5A41">
      <w:pPr>
        <w:pStyle w:val="56"/>
        <w:spacing w:line="360" w:lineRule="auto"/>
        <w:ind w:firstLine="420"/>
      </w:pPr>
      <w:r>
        <w:t>对涉及安全运行的关键数据，应采用自动化同步或定期人工更新的方式，保证数据实时性或准实时性。</w:t>
      </w:r>
    </w:p>
    <w:p w14:paraId="3BC681C5">
      <w:pPr>
        <w:pStyle w:val="105"/>
        <w:spacing w:before="120" w:after="120" w:line="360" w:lineRule="auto"/>
      </w:pPr>
      <w:r>
        <w:t>持续改进</w:t>
      </w:r>
    </w:p>
    <w:p w14:paraId="2C5576DE">
      <w:pPr>
        <w:pStyle w:val="56"/>
        <w:spacing w:line="360" w:lineRule="auto"/>
        <w:ind w:firstLine="420"/>
      </w:pPr>
      <w:r>
        <w:t>应定期对数据管理体系运行效果进行评估，发现不足及时优化</w:t>
      </w:r>
      <w:r>
        <w:rPr>
          <w:rFonts w:hint="eastAsia"/>
        </w:rPr>
        <w:t>。</w:t>
      </w:r>
    </w:p>
    <w:p w14:paraId="04763866">
      <w:pPr>
        <w:pStyle w:val="56"/>
        <w:spacing w:line="360" w:lineRule="auto"/>
        <w:ind w:firstLine="420"/>
      </w:pPr>
      <w:r>
        <w:t>根据新技术、新标准和管理需求的变化，适时调整数据采集、整合和管理方法</w:t>
      </w:r>
      <w:r>
        <w:rPr>
          <w:rFonts w:hint="eastAsia"/>
        </w:rPr>
        <w:t>。</w:t>
      </w:r>
    </w:p>
    <w:p w14:paraId="76361466">
      <w:pPr>
        <w:pStyle w:val="56"/>
        <w:spacing w:line="360" w:lineRule="auto"/>
        <w:ind w:firstLine="420"/>
      </w:pPr>
      <w:r>
        <w:t>鼓励引入人工智能、大数据分析等技术，提高数据利用价值和管理效率。</w:t>
      </w:r>
    </w:p>
    <w:p w14:paraId="10667632">
      <w:pPr>
        <w:pStyle w:val="104"/>
        <w:spacing w:before="240" w:after="240" w:line="360" w:lineRule="auto"/>
      </w:pPr>
      <w:bookmarkStart w:id="58" w:name="_Toc205544474"/>
      <w:r>
        <w:t>成果交付与档案管理</w:t>
      </w:r>
      <w:bookmarkEnd w:id="58"/>
    </w:p>
    <w:p w14:paraId="392A4B0C">
      <w:pPr>
        <w:pStyle w:val="105"/>
        <w:spacing w:before="120" w:after="120" w:line="360" w:lineRule="auto"/>
      </w:pPr>
      <w:r>
        <w:t>总体要求</w:t>
      </w:r>
    </w:p>
    <w:p w14:paraId="45D11BA1">
      <w:pPr>
        <w:pStyle w:val="56"/>
        <w:spacing w:line="360" w:lineRule="auto"/>
        <w:ind w:firstLine="420"/>
      </w:pPr>
      <w:r>
        <w:t>燃气工程建设施工数据成果应在工程竣工后按规定格式和内容要求进行整理、审核和归档，确保数据的完整性、准确性、可追溯性和可利用性。成果交付应满足建设单位、监理单位、设计单位及相关管理部门的使用需求。</w:t>
      </w:r>
    </w:p>
    <w:p w14:paraId="4E25158F">
      <w:pPr>
        <w:pStyle w:val="105"/>
        <w:spacing w:before="120" w:after="120" w:line="360" w:lineRule="auto"/>
      </w:pPr>
      <w:r>
        <w:t>成果交付内容</w:t>
      </w:r>
    </w:p>
    <w:p w14:paraId="56E557F6">
      <w:pPr>
        <w:pStyle w:val="56"/>
        <w:spacing w:line="360" w:lineRule="auto"/>
        <w:ind w:firstLine="420"/>
      </w:pPr>
      <w:r>
        <w:rPr>
          <w:rFonts w:hint="eastAsia"/>
        </w:rPr>
        <w:t>成果交付包含以下内容：</w:t>
      </w:r>
    </w:p>
    <w:p w14:paraId="59143729">
      <w:pPr>
        <w:pStyle w:val="56"/>
        <w:spacing w:line="360" w:lineRule="auto"/>
        <w:ind w:firstLine="420"/>
      </w:pPr>
      <w:r>
        <w:t>a) 竣工测量成果：包括管道平面位置图、纵断面图、埋深图及坐标、高程数据文件；</w:t>
      </w:r>
    </w:p>
    <w:p w14:paraId="19058DCB">
      <w:pPr>
        <w:pStyle w:val="56"/>
        <w:spacing w:line="360" w:lineRule="auto"/>
        <w:ind w:firstLine="420"/>
      </w:pPr>
      <w:r>
        <w:t>b) 施工过程记录：包括施工日志、影像资料、检测检验记录及监测数据；</w:t>
      </w:r>
    </w:p>
    <w:p w14:paraId="6E1E0110">
      <w:pPr>
        <w:pStyle w:val="56"/>
        <w:spacing w:line="360" w:lineRule="auto"/>
        <w:ind w:firstLine="420"/>
      </w:pPr>
      <w:r>
        <w:t>c) 设备与材料信息：包括进场检验数据、产品合格证及安装位置说明；</w:t>
      </w:r>
    </w:p>
    <w:p w14:paraId="271E7AFF">
      <w:pPr>
        <w:pStyle w:val="56"/>
        <w:spacing w:line="360" w:lineRule="auto"/>
        <w:ind w:firstLine="420"/>
      </w:pPr>
      <w:r>
        <w:t>d) 数据整合成果：包括整合后的工程BIM模型、GIS数据库、综合数据表及元数据说明文件；</w:t>
      </w:r>
    </w:p>
    <w:p w14:paraId="021DC390">
      <w:pPr>
        <w:pStyle w:val="56"/>
        <w:spacing w:line="360" w:lineRule="auto"/>
        <w:ind w:firstLine="420"/>
      </w:pPr>
      <w:r>
        <w:t>e) 质量与安全记录：包括质量验收报告、安全监测数据及隐患整改记录。</w:t>
      </w:r>
    </w:p>
    <w:p w14:paraId="3334E5EA">
      <w:pPr>
        <w:pStyle w:val="105"/>
        <w:spacing w:before="120" w:after="120" w:line="360" w:lineRule="auto"/>
      </w:pPr>
      <w:r>
        <w:t>成果格式要求</w:t>
      </w:r>
    </w:p>
    <w:p w14:paraId="03416C2D">
      <w:pPr>
        <w:pStyle w:val="56"/>
        <w:spacing w:line="360" w:lineRule="auto"/>
        <w:ind w:firstLine="420"/>
      </w:pPr>
      <w:r>
        <w:t>所有电子数据应采用通用且可长期读取的格式；</w:t>
      </w:r>
    </w:p>
    <w:p w14:paraId="5DF24C09">
      <w:pPr>
        <w:pStyle w:val="56"/>
        <w:spacing w:line="360" w:lineRule="auto"/>
        <w:ind w:firstLine="420"/>
      </w:pPr>
      <w:r>
        <w:t>文件命名应符合统一的编码规则，并附带数据说明文档；</w:t>
      </w:r>
    </w:p>
    <w:p w14:paraId="4AE41725">
      <w:pPr>
        <w:pStyle w:val="56"/>
        <w:spacing w:line="360" w:lineRule="auto"/>
        <w:ind w:firstLine="420"/>
      </w:pPr>
      <w:r>
        <w:t>大型数据文件应提供完整性校验信息。</w:t>
      </w:r>
    </w:p>
    <w:p w14:paraId="666669C9">
      <w:pPr>
        <w:pStyle w:val="105"/>
        <w:spacing w:before="120" w:after="120" w:line="360" w:lineRule="auto"/>
      </w:pPr>
      <w:r>
        <w:t>档案管理</w:t>
      </w:r>
    </w:p>
    <w:p w14:paraId="5F50EF3A">
      <w:pPr>
        <w:pStyle w:val="56"/>
        <w:spacing w:line="360" w:lineRule="auto"/>
        <w:ind w:firstLine="420"/>
      </w:pPr>
      <w:r>
        <w:t>档案应按照项目、阶段、数据类型分类管理，并建立电子目录，便于检索</w:t>
      </w:r>
      <w:r>
        <w:rPr>
          <w:rFonts w:hint="eastAsia"/>
        </w:rPr>
        <w:t>。</w:t>
      </w:r>
    </w:p>
    <w:p w14:paraId="3C23418A">
      <w:pPr>
        <w:pStyle w:val="56"/>
        <w:spacing w:line="360" w:lineRule="auto"/>
        <w:ind w:firstLine="420"/>
      </w:pPr>
      <w:r>
        <w:t>电子档案与纸质档案应同步保存，重要档案应存放于安全的档案室或数据中心</w:t>
      </w:r>
      <w:r>
        <w:rPr>
          <w:rFonts w:hint="eastAsia"/>
        </w:rPr>
        <w:t>。</w:t>
      </w:r>
    </w:p>
    <w:p w14:paraId="5FE28388">
      <w:pPr>
        <w:pStyle w:val="56"/>
        <w:spacing w:line="360" w:lineRule="auto"/>
        <w:ind w:firstLine="420"/>
      </w:pPr>
      <w:r>
        <w:t>档案保存期限应符合国家及行业有关规定，对涉及安全运行的关键数据应实行长期保存制度</w:t>
      </w:r>
      <w:r>
        <w:rPr>
          <w:rFonts w:hint="eastAsia"/>
        </w:rPr>
        <w:t>。</w:t>
      </w:r>
    </w:p>
    <w:p w14:paraId="2B58CA40">
      <w:pPr>
        <w:pStyle w:val="56"/>
        <w:spacing w:line="360" w:lineRule="auto"/>
        <w:ind w:firstLine="420"/>
      </w:pPr>
      <w:r>
        <w:t>档案借阅应履行审批手续，并记录借阅人、时间、用途及归还情况。</w:t>
      </w:r>
    </w:p>
    <w:p w14:paraId="11CDA9B5">
      <w:pPr>
        <w:pStyle w:val="105"/>
        <w:spacing w:before="120" w:after="120" w:line="360" w:lineRule="auto"/>
      </w:pPr>
      <w:r>
        <w:t>移交与确认</w:t>
      </w:r>
    </w:p>
    <w:p w14:paraId="0853C1A2">
      <w:pPr>
        <w:pStyle w:val="56"/>
        <w:spacing w:line="360" w:lineRule="auto"/>
        <w:ind w:firstLine="420"/>
      </w:pPr>
      <w:r>
        <w:t>成果交付应由施工单位整理完成，经监理单位审核，报建设单位验收确认。所有成果移交过程应有书面记录并由相关责任方签字盖章。</w:t>
      </w:r>
    </w:p>
    <w:bookmarkEnd w:id="26"/>
    <w:p w14:paraId="4033902D">
      <w:pPr>
        <w:pStyle w:val="56"/>
        <w:ind w:firstLine="0" w:firstLineChars="0"/>
        <w:jc w:val="center"/>
      </w:pPr>
      <w:bookmarkStart w:id="59" w:name="BookMark8"/>
      <w:r>
        <w:drawing>
          <wp:inline distT="0" distB="0" distL="0" distR="0">
            <wp:extent cx="1485900" cy="317500"/>
            <wp:effectExtent l="0" t="0" r="0" b="6350"/>
            <wp:docPr id="564961775" name="图片 1"/>
            <wp:cNvGraphicFramePr/>
            <a:graphic xmlns:a="http://schemas.openxmlformats.org/drawingml/2006/main">
              <a:graphicData uri="http://schemas.openxmlformats.org/drawingml/2006/picture">
                <pic:pic xmlns:pic="http://schemas.openxmlformats.org/drawingml/2006/picture">
                  <pic:nvPicPr>
                    <pic:cNvPr id="564961775"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9"/>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EAA60">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CA6C9">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71830">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3135F">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7E72F">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80534">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D0C4">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C58D8">
    <w:pPr>
      <w:pStyle w:val="62"/>
    </w:pPr>
    <w:r>
      <w:fldChar w:fldCharType="begin"/>
    </w:r>
    <w:r>
      <w:instrText xml:space="preserve"> STYLEREF  标准文件_文件编号 \* MERGEFORMAT </w:instrText>
    </w:r>
    <w:r>
      <w:fldChar w:fldCharType="separate"/>
    </w:r>
    <w:r>
      <w:t>T/XJBX 0047—2025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0047—2025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0047—2025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8DFFA">
    <w:pPr>
      <w:pStyle w:val="61"/>
    </w:pPr>
    <w:r>
      <w:fldChar w:fldCharType="begin"/>
    </w:r>
    <w:r>
      <w:instrText xml:space="preserve"> STYLEREF  标准文件_文件编号  \* MERGEFORMAT </w:instrText>
    </w:r>
    <w:r>
      <w:fldChar w:fldCharType="separate"/>
    </w:r>
    <w:r>
      <w:t>T/XJBX 0047—2025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F1AB7">
    <w:pPr>
      <w:pStyle w:val="62"/>
    </w:pPr>
    <w:r>
      <w:fldChar w:fldCharType="begin"/>
    </w:r>
    <w:r>
      <w:instrText xml:space="preserve"> STYLEREF  标准文件_文件编号 \* MERGEFORMAT </w:instrText>
    </w:r>
    <w:r>
      <w:fldChar w:fldCharType="separate"/>
    </w:r>
    <w:r>
      <w:t>T/XJBX 0047—2025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BE20A">
    <w:pPr>
      <w:pStyle w:val="61"/>
    </w:pPr>
    <w:r>
      <w:fldChar w:fldCharType="begin"/>
    </w:r>
    <w:r>
      <w:instrText xml:space="preserve"> STYLEREF  标准文件_文件编号  \* MERGEFORMAT </w:instrText>
    </w:r>
    <w:r>
      <w:fldChar w:fldCharType="separate"/>
    </w:r>
    <w:r>
      <w:t>T/XJBX 0047—2025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7406C">
    <w:pPr>
      <w:pStyle w:val="62"/>
    </w:pPr>
    <w:r>
      <w:fldChar w:fldCharType="begin"/>
    </w:r>
    <w:r>
      <w:instrText xml:space="preserve"> STYLEREF  标准文件_文件编号 \* MERGEFORMAT </w:instrText>
    </w:r>
    <w:r>
      <w:fldChar w:fldCharType="separate"/>
    </w:r>
    <w:r>
      <w:t>T/XJBX 0047—2025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EA49C">
    <w:pPr>
      <w:pStyle w:val="61"/>
    </w:pPr>
    <w:r>
      <w:fldChar w:fldCharType="begin"/>
    </w:r>
    <w:r>
      <w:instrText xml:space="preserve"> STYLEREF  标准文件_文件编号  \* MERGEFORMAT </w:instrText>
    </w:r>
    <w:r>
      <w:fldChar w:fldCharType="separate"/>
    </w:r>
    <w:r>
      <w:t>T/XJBX 0047—2025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rgUAyk3QjS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4DF0"/>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5FF"/>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07EAE"/>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2F8C"/>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296A"/>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6F4"/>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4E6"/>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5833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2AFA07E5">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354CA91D">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65D97B7B">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AE1DC6"/>
    <w:rsid w:val="00D23DF4"/>
    <w:rsid w:val="00D74F4B"/>
    <w:rsid w:val="00FB6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17</Pages>
  <Words>6167</Words>
  <Characters>6542</Characters>
  <Lines>57</Lines>
  <Paragraphs>16</Paragraphs>
  <TotalTime>32</TotalTime>
  <ScaleCrop>false</ScaleCrop>
  <LinksUpToDate>false</LinksUpToDate>
  <CharactersWithSpaces>6673</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2025-08-11T06:16:53Z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19D075E09DCA492FA28A3F607E686619_12</vt:lpwstr>
  </property>
</Properties>
</file>