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3.30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13.300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 52"/>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52</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49"/>
            </w:textInput>
          </w:ffData>
        </w:fldChar>
      </w:r>
      <w:bookmarkStart w:id="6" w:name="NSTD_CODE_F"/>
      <w:r>
        <w:instrText xml:space="preserve"> FORMTEXT </w:instrText>
      </w:r>
      <w:r>
        <w:fldChar w:fldCharType="separate"/>
      </w:r>
      <w:r>
        <w:t>0049</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危化品运输智能监测系统建设规程"/>
            </w:textInput>
          </w:ffData>
        </w:fldChar>
      </w:r>
      <w:bookmarkStart w:id="9" w:name="CSTD_NAME"/>
      <w:r>
        <w:instrText xml:space="preserve"> FORMTEXT </w:instrText>
      </w:r>
      <w:r>
        <w:fldChar w:fldCharType="separate"/>
      </w:r>
      <w:r>
        <w:t>危化品运输智能监测系统建设规程</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intelligent monitoring system construction for hazardous chemical transporta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intelligent monitoring system construction for hazardous chemical transportation</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C1AC015">
      <w:pPr>
        <w:pStyle w:val="91"/>
        <w:spacing w:after="360"/>
        <w:rPr>
          <w:rFonts w:hint="eastAsia"/>
        </w:rPr>
      </w:pPr>
      <w:bookmarkStart w:id="21" w:name="BookMark1"/>
      <w:r>
        <w:rPr>
          <w:rFonts w:hint="eastAsia"/>
          <w:spacing w:val="320"/>
        </w:rPr>
        <w:t>目</w:t>
      </w:r>
      <w:r>
        <w:rPr>
          <w:rFonts w:hint="eastAsia"/>
        </w:rPr>
        <w:t>次</w:t>
      </w:r>
    </w:p>
    <w:p w14:paraId="1D0E7179">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"_Toc205552958" </w:instrText>
      </w:r>
      <w:r>
        <w:fldChar w:fldCharType="separate"/>
      </w:r>
      <w:r>
        <w:rPr>
          <w:rStyle w:val="32"/>
        </w:rPr>
        <w:t>前言</w:t>
      </w:r>
      <w:r>
        <w:tab/>
      </w:r>
      <w:r>
        <w:fldChar w:fldCharType="begin"/>
      </w:r>
      <w:r>
        <w:instrText xml:space="preserve"> PAGEREF _Toc205552958 \h </w:instrText>
      </w:r>
      <w:r>
        <w:fldChar w:fldCharType="separate"/>
      </w:r>
      <w:r>
        <w:t>III</w:t>
      </w:r>
      <w:r>
        <w:fldChar w:fldCharType="end"/>
      </w:r>
      <w:r>
        <w:fldChar w:fldCharType="end"/>
      </w:r>
    </w:p>
    <w:p w14:paraId="4E23E787">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"_Toc205552959" </w:instrText>
      </w:r>
      <w:r>
        <w:fldChar w:fldCharType="separate"/>
      </w:r>
      <w:r>
        <w:rPr>
          <w:rStyle w:val="32"/>
        </w:rPr>
        <w:t>引言</w:t>
      </w:r>
      <w:r>
        <w:tab/>
      </w:r>
      <w:r>
        <w:fldChar w:fldCharType="begin"/>
      </w:r>
      <w:r>
        <w:instrText xml:space="preserve"> PAGEREF _Toc205552959 \h </w:instrText>
      </w:r>
      <w:r>
        <w:fldChar w:fldCharType="separate"/>
      </w:r>
      <w:r>
        <w:t>V</w:t>
      </w:r>
      <w:r>
        <w:fldChar w:fldCharType="end"/>
      </w:r>
      <w:r>
        <w:fldChar w:fldCharType="end"/>
      </w:r>
    </w:p>
    <w:p w14:paraId="52760533">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"_Toc205552960" </w:instrText>
      </w:r>
      <w:r>
        <w:fldChar w:fldCharType="separate"/>
      </w:r>
      <w:r>
        <w:rPr>
          <w:rStyle w:val="32"/>
        </w:rPr>
        <w:t>1  范围</w:t>
      </w:r>
      <w:r>
        <w:tab/>
      </w:r>
      <w:r>
        <w:fldChar w:fldCharType="begin"/>
      </w:r>
      <w:r>
        <w:instrText xml:space="preserve"> PAGEREF _Toc205552960 \h </w:instrText>
      </w:r>
      <w:r>
        <w:fldChar w:fldCharType="separate"/>
      </w:r>
      <w:r>
        <w:t>1</w:t>
      </w:r>
      <w:r>
        <w:fldChar w:fldCharType="end"/>
      </w:r>
      <w:r>
        <w:fldChar w:fldCharType="end"/>
      </w:r>
    </w:p>
    <w:p w14:paraId="14B26998">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"_Toc205552961" </w:instrText>
      </w:r>
      <w:r>
        <w:fldChar w:fldCharType="separate"/>
      </w:r>
      <w:r>
        <w:rPr>
          <w:rStyle w:val="32"/>
        </w:rPr>
        <w:t>2  规范性引用文件</w:t>
      </w:r>
      <w:r>
        <w:tab/>
      </w:r>
      <w:r>
        <w:fldChar w:fldCharType="begin"/>
      </w:r>
      <w:r>
        <w:instrText xml:space="preserve"> PAGEREF _Toc205552961 \h </w:instrText>
      </w:r>
      <w:r>
        <w:fldChar w:fldCharType="separate"/>
      </w:r>
      <w:r>
        <w:t>1</w:t>
      </w:r>
      <w:r>
        <w:fldChar w:fldCharType="end"/>
      </w:r>
      <w:r>
        <w:fldChar w:fldCharType="end"/>
      </w:r>
    </w:p>
    <w:p w14:paraId="1B89AD8F">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"_Toc205552962" </w:instrText>
      </w:r>
      <w:r>
        <w:fldChar w:fldCharType="separate"/>
      </w:r>
      <w:r>
        <w:rPr>
          <w:rStyle w:val="32"/>
        </w:rPr>
        <w:t>3  术语和定义</w:t>
      </w:r>
      <w:r>
        <w:tab/>
      </w:r>
      <w:r>
        <w:fldChar w:fldCharType="begin"/>
      </w:r>
      <w:r>
        <w:instrText xml:space="preserve"> PAGEREF _Toc205552962 \h </w:instrText>
      </w:r>
      <w:r>
        <w:fldChar w:fldCharType="separate"/>
      </w:r>
      <w:r>
        <w:t>1</w:t>
      </w:r>
      <w:r>
        <w:fldChar w:fldCharType="end"/>
      </w:r>
      <w:r>
        <w:fldChar w:fldCharType="end"/>
      </w:r>
    </w:p>
    <w:p w14:paraId="0BD4096A">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"_Toc205552963" </w:instrText>
      </w:r>
      <w:r>
        <w:fldChar w:fldCharType="separate"/>
      </w:r>
      <w:r>
        <w:rPr>
          <w:rStyle w:val="32"/>
        </w:rPr>
        <w:t>4  建设原则</w:t>
      </w:r>
      <w:r>
        <w:tab/>
      </w:r>
      <w:r>
        <w:fldChar w:fldCharType="begin"/>
      </w:r>
      <w:r>
        <w:instrText xml:space="preserve"> PAGEREF _Toc205552963 \h </w:instrText>
      </w:r>
      <w:r>
        <w:fldChar w:fldCharType="separate"/>
      </w:r>
      <w:r>
        <w:t>2</w:t>
      </w:r>
      <w:r>
        <w:fldChar w:fldCharType="end"/>
      </w:r>
      <w:r>
        <w:fldChar w:fldCharType="end"/>
      </w:r>
    </w:p>
    <w:p w14:paraId="6079DF67">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"_Toc205552964" </w:instrText>
      </w:r>
      <w:r>
        <w:fldChar w:fldCharType="separate"/>
      </w:r>
      <w:r>
        <w:rPr>
          <w:rStyle w:val="32"/>
        </w:rPr>
        <w:t>5  系统总体架构</w:t>
      </w:r>
      <w:r>
        <w:tab/>
      </w:r>
      <w:r>
        <w:fldChar w:fldCharType="begin"/>
      </w:r>
      <w:r>
        <w:instrText xml:space="preserve"> PAGEREF _Toc205552964 \h </w:instrText>
      </w:r>
      <w:r>
        <w:fldChar w:fldCharType="separate"/>
      </w:r>
      <w:r>
        <w:t>3</w:t>
      </w:r>
      <w:r>
        <w:fldChar w:fldCharType="end"/>
      </w:r>
      <w:r>
        <w:fldChar w:fldCharType="end"/>
      </w:r>
    </w:p>
    <w:p w14:paraId="3E7C5F97">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"_Toc205552965" </w:instrText>
      </w:r>
      <w:r>
        <w:fldChar w:fldCharType="separate"/>
      </w:r>
      <w:r>
        <w:rPr>
          <w:rStyle w:val="32"/>
        </w:rPr>
        <w:t>6  功能配置要求</w:t>
      </w:r>
      <w:r>
        <w:tab/>
      </w:r>
      <w:r>
        <w:fldChar w:fldCharType="begin"/>
      </w:r>
      <w:r>
        <w:instrText xml:space="preserve"> PAGEREF _Toc205552965 \h </w:instrText>
      </w:r>
      <w:r>
        <w:fldChar w:fldCharType="separate"/>
      </w:r>
      <w:r>
        <w:t>4</w:t>
      </w:r>
      <w:r>
        <w:fldChar w:fldCharType="end"/>
      </w:r>
      <w:r>
        <w:fldChar w:fldCharType="end"/>
      </w:r>
    </w:p>
    <w:p w14:paraId="446BF048">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"_Toc205552966" </w:instrText>
      </w:r>
      <w:r>
        <w:fldChar w:fldCharType="separate"/>
      </w:r>
      <w:r>
        <w:rPr>
          <w:rStyle w:val="32"/>
        </w:rPr>
        <w:t>7  数据采集与传输要求</w:t>
      </w:r>
      <w:r>
        <w:tab/>
      </w:r>
      <w:r>
        <w:fldChar w:fldCharType="begin"/>
      </w:r>
      <w:r>
        <w:instrText xml:space="preserve"> PAGEREF _Toc205552966 \h </w:instrText>
      </w:r>
      <w:r>
        <w:fldChar w:fldCharType="separate"/>
      </w:r>
      <w:r>
        <w:t>5</w:t>
      </w:r>
      <w:r>
        <w:fldChar w:fldCharType="end"/>
      </w:r>
      <w:r>
        <w:fldChar w:fldCharType="end"/>
      </w:r>
    </w:p>
    <w:p w14:paraId="7BEDDE7B">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"_Toc205552967" </w:instrText>
      </w:r>
      <w:r>
        <w:fldChar w:fldCharType="separate"/>
      </w:r>
      <w:r>
        <w:rPr>
          <w:rStyle w:val="32"/>
        </w:rPr>
        <w:t>8  监控与预警要求</w:t>
      </w:r>
      <w:r>
        <w:tab/>
      </w:r>
      <w:r>
        <w:fldChar w:fldCharType="begin"/>
      </w:r>
      <w:r>
        <w:instrText xml:space="preserve"> PAGEREF _Toc205552967 \h </w:instrText>
      </w:r>
      <w:r>
        <w:fldChar w:fldCharType="separate"/>
      </w:r>
      <w:r>
        <w:t>6</w:t>
      </w:r>
      <w:r>
        <w:fldChar w:fldCharType="end"/>
      </w:r>
      <w:r>
        <w:fldChar w:fldCharType="end"/>
      </w:r>
    </w:p>
    <w:p w14:paraId="6F7D1D33">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"_Toc205552968" </w:instrText>
      </w:r>
      <w:r>
        <w:fldChar w:fldCharType="separate"/>
      </w:r>
      <w:r>
        <w:rPr>
          <w:rStyle w:val="32"/>
        </w:rPr>
        <w:t>9  应急联动与处置要求</w:t>
      </w:r>
      <w:r>
        <w:tab/>
      </w:r>
      <w:r>
        <w:fldChar w:fldCharType="begin"/>
      </w:r>
      <w:r>
        <w:instrText xml:space="preserve"> PAGEREF _Toc205552968 \h </w:instrText>
      </w:r>
      <w:r>
        <w:fldChar w:fldCharType="separate"/>
      </w:r>
      <w:r>
        <w:t>7</w:t>
      </w:r>
      <w:r>
        <w:fldChar w:fldCharType="end"/>
      </w:r>
      <w:r>
        <w:fldChar w:fldCharType="end"/>
      </w:r>
    </w:p>
    <w:p w14:paraId="2DD62BEF">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"_Toc205552969" </w:instrText>
      </w:r>
      <w:r>
        <w:fldChar w:fldCharType="separate"/>
      </w:r>
      <w:r>
        <w:rPr>
          <w:rStyle w:val="32"/>
        </w:rPr>
        <w:t>10  运行维护与信息安全要求</w:t>
      </w:r>
      <w:r>
        <w:tab/>
      </w:r>
      <w:r>
        <w:fldChar w:fldCharType="begin"/>
      </w:r>
      <w:r>
        <w:instrText xml:space="preserve"> PAGEREF _Toc205552969 \h </w:instrText>
      </w:r>
      <w:r>
        <w:fldChar w:fldCharType="separate"/>
      </w:r>
      <w:r>
        <w:t>8</w:t>
      </w:r>
      <w:r>
        <w:fldChar w:fldCharType="end"/>
      </w:r>
      <w:r>
        <w:fldChar w:fldCharType="end"/>
      </w:r>
    </w:p>
    <w:p w14:paraId="0C6033CA">
      <w:pPr>
        <w:pStyle w:val="19"/>
        <w:tabs>
          <w:tab w:val="right" w:leader="dot" w:pos="9344"/>
        </w:tabs>
        <w:rPr>
          <w:rFonts w:asciiTheme="minorHAnsi" w:hAnsiTheme="minorHAnsi" w:eastAsiaTheme="minorEastAsia" w:cstheme="minorBidi"/>
          <w:szCs w:val="22"/>
        </w:rPr>
      </w:pPr>
      <w:r>
        <w:fldChar w:fldCharType="begin"/>
      </w:r>
      <w:r>
        <w:instrText xml:space="preserve"> HYPERLINK \l "_Toc205552970" </w:instrText>
      </w:r>
      <w:r>
        <w:fldChar w:fldCharType="separate"/>
      </w:r>
      <w:r>
        <w:rPr>
          <w:rStyle w:val="32"/>
        </w:rPr>
        <w:t>11  验收与评估要求</w:t>
      </w:r>
      <w:r>
        <w:tab/>
      </w:r>
      <w:r>
        <w:fldChar w:fldCharType="begin"/>
      </w:r>
      <w:r>
        <w:instrText xml:space="preserve"> PAGEREF _Toc205552970 \h </w:instrText>
      </w:r>
      <w:r>
        <w:fldChar w:fldCharType="separate"/>
      </w:r>
      <w:r>
        <w:t>8</w:t>
      </w:r>
      <w:r>
        <w:fldChar w:fldCharType="end"/>
      </w:r>
      <w:r>
        <w:fldChar w:fldCharType="end"/>
      </w:r>
    </w:p>
    <w:p w14:paraId="632C8ACF">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552958"/>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本文件起草单位：梅州市海龙化工有限公司。</w:t>
      </w:r>
    </w:p>
    <w:p w14:paraId="55F4A5D1">
      <w:pPr>
        <w:pStyle w:val="56"/>
        <w:spacing w:line="360" w:lineRule="auto"/>
        <w:ind w:firstLine="420"/>
      </w:pPr>
      <w:r>
        <w:rPr>
          <w:rFonts w:hint="eastAsia"/>
        </w:rPr>
        <w:t>本文件主要起草人：李伟新。</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60" w:name="_GoBack"/>
      <w:bookmarkEnd w:id="60"/>
    </w:p>
    <w:bookmarkEnd w:id="23"/>
    <w:p w14:paraId="66D0A2F3">
      <w:pPr>
        <w:pStyle w:val="89"/>
        <w:spacing w:after="360"/>
      </w:pPr>
      <w:bookmarkStart w:id="24" w:name="_Toc205552959"/>
      <w:bookmarkStart w:id="25" w:name="BookMark3"/>
      <w:r>
        <w:rPr>
          <w:spacing w:val="320"/>
        </w:rPr>
        <w:t>引</w:t>
      </w:r>
      <w:r>
        <w:t>言</w:t>
      </w:r>
      <w:bookmarkEnd w:id="24"/>
    </w:p>
    <w:p w14:paraId="5D01C127">
      <w:pPr>
        <w:pStyle w:val="56"/>
        <w:spacing w:line="360" w:lineRule="auto"/>
        <w:ind w:firstLine="420"/>
        <w:rPr>
          <w:rFonts w:hint="eastAsia"/>
        </w:rPr>
      </w:pPr>
      <w:r>
        <w:rPr>
          <w:rFonts w:hint="eastAsia"/>
        </w:rPr>
        <w:t>危险化学品在生产、储存、运输和使用过程中具有易燃、易爆、剧毒、强腐蚀等特性，运输环节的安全管理尤为关键。运输过程中一旦发生泄漏、爆炸、燃烧等事故，极易造成重大人员伤亡、财产损失和环境污染。随着危化品运输规模和频率的不断增加，传统的人工监管模式难以满足实时监控、快速预警和精准处置的安全需求。</w:t>
      </w:r>
    </w:p>
    <w:p w14:paraId="09970097">
      <w:pPr>
        <w:pStyle w:val="56"/>
        <w:spacing w:line="360" w:lineRule="auto"/>
        <w:ind w:firstLine="420"/>
        <w:rPr>
          <w:rFonts w:hint="eastAsia"/>
        </w:rPr>
      </w:pPr>
      <w:r>
        <w:rPr>
          <w:rFonts w:hint="eastAsia"/>
        </w:rPr>
        <w:t>近年来，物联网、卫星定位、视频监控、大数据分析、人工智能等技术在危化品运输安全管理中得到快速应用，催生了智能监测系统的建设与推广。该系统能够对运输车辆、驾驶员状态、运输路线、装载情况、环境参数等进行实时采集与分析，实现运输全过程的动态监控、超限报警、异常预警和应急联动，有助于显著提升危化品运输安全水平。</w:t>
      </w:r>
    </w:p>
    <w:p w14:paraId="38189100">
      <w:pPr>
        <w:pStyle w:val="56"/>
        <w:spacing w:line="360" w:lineRule="auto"/>
        <w:ind w:firstLine="420"/>
        <w:rPr>
          <w:rFonts w:hint="eastAsia"/>
        </w:rPr>
      </w:pPr>
      <w:r>
        <w:rPr>
          <w:rFonts w:hint="eastAsia"/>
        </w:rPr>
        <w:t>本文件旨在规范危化品运输智能监测系统的建设要求，涵盖系统架构设计、功能配置、数据采集与传输、监控与预警、运行维护与信息安全等内容，确保系统建设的科学性、实用性和可持续性。本文件的实施将有助于统一技术标准，推动危化品运输安全管理向信息化、网络化、智能化方向发展，提升事故防控与应急处置能力，保障人民生命财产和环境安全。</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危化品运输智能监测系统建设规程</w:t>
          </w:r>
        </w:p>
      </w:sdtContent>
    </w:sdt>
    <w:bookmarkEnd w:id="27"/>
    <w:p w14:paraId="3DB22445">
      <w:pPr>
        <w:pStyle w:val="104"/>
        <w:spacing w:before="240" w:after="240" w:line="360" w:lineRule="auto"/>
      </w:pPr>
      <w:bookmarkStart w:id="28" w:name="_Toc17233325"/>
      <w:bookmarkStart w:id="29" w:name="_Toc17233333"/>
      <w:bookmarkStart w:id="30" w:name="_Toc24884211"/>
      <w:bookmarkStart w:id="31" w:name="_Toc26986771"/>
      <w:bookmarkStart w:id="32" w:name="_Toc26718930"/>
      <w:bookmarkStart w:id="33" w:name="_Toc205552960"/>
      <w:bookmarkStart w:id="34" w:name="_Toc26986530"/>
      <w:bookmarkStart w:id="35" w:name="_Toc24884218"/>
      <w:bookmarkStart w:id="36" w:name="_Toc97192964"/>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637C1844">
      <w:pPr>
        <w:pStyle w:val="56"/>
        <w:spacing w:line="360" w:lineRule="auto"/>
        <w:ind w:firstLine="420"/>
        <w:rPr>
          <w:rFonts w:hint="eastAsia"/>
        </w:rPr>
      </w:pPr>
      <w:bookmarkStart w:id="38" w:name="_Toc24884212"/>
      <w:bookmarkStart w:id="39" w:name="_Toc24884219"/>
      <w:bookmarkStart w:id="40" w:name="_Toc17233334"/>
      <w:bookmarkStart w:id="41" w:name="_Toc26648466"/>
      <w:bookmarkStart w:id="42" w:name="_Toc17233326"/>
      <w:r>
        <w:rPr>
          <w:rFonts w:hint="eastAsia"/>
        </w:rPr>
        <w:t>本文件规定了危化品运输智能监测系统的建设要求，包括建设原则、系统总体架构、功能配置要求、数据采集与传输要求、监控与预警要求、应急联动与处置要求、运行维护与信息安全要求及验收与评估要求等内容。</w:t>
      </w:r>
    </w:p>
    <w:p w14:paraId="03AF774E">
      <w:pPr>
        <w:pStyle w:val="56"/>
        <w:spacing w:line="360" w:lineRule="auto"/>
        <w:ind w:firstLine="420"/>
        <w:rPr>
          <w:rFonts w:hint="eastAsia"/>
        </w:rPr>
      </w:pPr>
      <w:r>
        <w:rPr>
          <w:rFonts w:hint="eastAsia"/>
        </w:rPr>
        <w:t>本文件适用于公路、铁路、水路等危险化学品运输环节的智能监测系统建设，也适用于危化品运输企业、承运单位及相关监管机构的信息化安全监控平台建设。</w:t>
      </w:r>
    </w:p>
    <w:p w14:paraId="76265264">
      <w:pPr>
        <w:pStyle w:val="56"/>
        <w:spacing w:line="360" w:lineRule="auto"/>
        <w:ind w:firstLine="420"/>
      </w:pPr>
      <w:r>
        <w:rPr>
          <w:rFonts w:hint="eastAsia"/>
        </w:rPr>
        <w:t>采用其他运输方式（如航空）或在非运输环节（如储存、装卸）应用的智能监测系统建设，可参照本文件执行。</w:t>
      </w:r>
    </w:p>
    <w:p w14:paraId="3733B2AD">
      <w:pPr>
        <w:pStyle w:val="104"/>
        <w:spacing w:before="240" w:after="240" w:line="360" w:lineRule="auto"/>
      </w:pPr>
      <w:bookmarkStart w:id="43" w:name="_Toc97192965"/>
      <w:bookmarkStart w:id="44" w:name="_Toc26986531"/>
      <w:bookmarkStart w:id="45" w:name="_Toc26986772"/>
      <w:bookmarkStart w:id="46" w:name="_Toc205552961"/>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CAB319">
      <w:pPr>
        <w:pStyle w:val="56"/>
        <w:spacing w:line="360" w:lineRule="auto"/>
        <w:ind w:firstLine="420"/>
      </w:pPr>
      <w:r>
        <w:rPr>
          <w:rFonts w:hint="eastAsia"/>
        </w:rPr>
        <w:t>GB 12268—2</w:t>
      </w:r>
      <w:r>
        <w:t>025</w:t>
      </w:r>
      <w:r>
        <w:rPr>
          <w:rFonts w:hint="eastAsia"/>
        </w:rPr>
        <w:t xml:space="preserve"> 危险货物品名表</w:t>
      </w:r>
    </w:p>
    <w:p w14:paraId="6D76D100">
      <w:pPr>
        <w:pStyle w:val="56"/>
        <w:spacing w:line="360" w:lineRule="auto"/>
        <w:ind w:firstLine="420"/>
        <w:rPr>
          <w:rFonts w:hint="eastAsia"/>
        </w:rPr>
      </w:pPr>
      <w:r>
        <w:rPr>
          <w:rFonts w:hint="eastAsia"/>
        </w:rPr>
        <w:t>GB 13392—2</w:t>
      </w:r>
      <w:r>
        <w:t>023</w:t>
      </w:r>
      <w:r>
        <w:rPr>
          <w:rFonts w:hint="eastAsia"/>
        </w:rPr>
        <w:t xml:space="preserve"> 道路运输危险货物车辆标志</w:t>
      </w:r>
    </w:p>
    <w:p w14:paraId="5348B014">
      <w:pPr>
        <w:pStyle w:val="56"/>
        <w:spacing w:line="360" w:lineRule="auto"/>
        <w:ind w:firstLine="420"/>
      </w:pPr>
      <w:r>
        <w:rPr>
          <w:rFonts w:hint="eastAsia"/>
        </w:rPr>
        <w:t>GB 15603—2</w:t>
      </w:r>
      <w:r>
        <w:t>022</w:t>
      </w:r>
      <w:r>
        <w:rPr>
          <w:rFonts w:hint="eastAsia"/>
        </w:rPr>
        <w:t xml:space="preserve"> 危险化学品仓库储存通则</w:t>
      </w:r>
    </w:p>
    <w:p w14:paraId="07A7F860">
      <w:pPr>
        <w:pStyle w:val="56"/>
        <w:spacing w:line="360" w:lineRule="auto"/>
        <w:ind w:firstLine="420"/>
      </w:pPr>
      <w:r>
        <w:rPr>
          <w:rFonts w:hint="eastAsia"/>
        </w:rPr>
        <w:t>GB/T 22239—2</w:t>
      </w:r>
      <w:r>
        <w:t>019</w:t>
      </w:r>
      <w:r>
        <w:rPr>
          <w:rFonts w:hint="eastAsia"/>
        </w:rPr>
        <w:t xml:space="preserve"> 信息安全技术 </w:t>
      </w:r>
      <w:r>
        <w:t xml:space="preserve"> </w:t>
      </w:r>
      <w:r>
        <w:rPr>
          <w:rFonts w:hint="eastAsia"/>
        </w:rPr>
        <w:t>网络安全等级保护基本要求</w:t>
      </w:r>
    </w:p>
    <w:p w14:paraId="4B1703F5">
      <w:pPr>
        <w:pStyle w:val="56"/>
        <w:spacing w:line="360" w:lineRule="auto"/>
        <w:ind w:firstLine="420"/>
        <w:rPr>
          <w:rFonts w:hint="eastAsia"/>
        </w:rPr>
      </w:pPr>
      <w:r>
        <w:rPr>
          <w:rFonts w:hint="eastAsia"/>
        </w:rPr>
        <w:t>GB/T 35273—2</w:t>
      </w:r>
      <w:r>
        <w:t>020</w:t>
      </w:r>
      <w:r>
        <w:rPr>
          <w:rFonts w:hint="eastAsia"/>
        </w:rPr>
        <w:t xml:space="preserve"> 信息安全技术 个人信息保护规范</w:t>
      </w:r>
    </w:p>
    <w:p w14:paraId="30DE2894">
      <w:pPr>
        <w:pStyle w:val="56"/>
        <w:spacing w:line="360" w:lineRule="auto"/>
        <w:ind w:firstLine="420"/>
      </w:pPr>
      <w:r>
        <w:t>JT/T 794</w:t>
      </w:r>
      <w:r>
        <w:rPr>
          <w:rFonts w:hint="eastAsia"/>
        </w:rPr>
        <w:t>—</w:t>
      </w:r>
      <w:r>
        <w:t xml:space="preserve">2019 </w:t>
      </w:r>
      <w:r>
        <w:rPr>
          <w:rFonts w:hint="eastAsia"/>
        </w:rPr>
        <w:t xml:space="preserve">道路运输车辆卫星定位系统 </w:t>
      </w:r>
      <w:r>
        <w:t xml:space="preserve"> </w:t>
      </w:r>
      <w:r>
        <w:rPr>
          <w:rFonts w:hint="eastAsia"/>
        </w:rPr>
        <w:t>车载终端技术要求</w:t>
      </w:r>
    </w:p>
    <w:p w14:paraId="51F02A4E">
      <w:pPr>
        <w:pStyle w:val="104"/>
        <w:spacing w:before="240" w:after="240" w:line="360" w:lineRule="auto"/>
      </w:pPr>
      <w:bookmarkStart w:id="48" w:name="_Toc97192966"/>
      <w:bookmarkStart w:id="49" w:name="_Toc205552962"/>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5B1208C8">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危化品运输智能监测系统 hazardous chemicals transportation intelligent monitoring system</w:t>
      </w:r>
    </w:p>
    <w:p w14:paraId="5DE7D8C4">
      <w:pPr>
        <w:pStyle w:val="56"/>
        <w:spacing w:line="360" w:lineRule="auto"/>
        <w:ind w:firstLine="420"/>
        <w:rPr>
          <w:rFonts w:hint="eastAsia"/>
        </w:rPr>
      </w:pPr>
      <w:r>
        <w:rPr>
          <w:rFonts w:hint="eastAsia"/>
        </w:rPr>
        <w:t>由传感采集、通信传输、数据处理、监控预警和应急处置等模块组成的综合系统，用于对危化品运输车辆、驾驶员状态、运输路线、装载情况及周边环境进行实时监控和管理。</w:t>
      </w:r>
    </w:p>
    <w:p w14:paraId="4C55D96B">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实时监控 real-time monitoring</w:t>
      </w:r>
    </w:p>
    <w:p w14:paraId="1482AA00">
      <w:pPr>
        <w:pStyle w:val="56"/>
        <w:spacing w:line="360" w:lineRule="auto"/>
        <w:ind w:firstLine="420"/>
        <w:rPr>
          <w:rFonts w:hint="eastAsia"/>
        </w:rPr>
      </w:pPr>
      <w:r>
        <w:rPr>
          <w:rFonts w:hint="eastAsia"/>
        </w:rPr>
        <w:t>在危化品运输过程中，利用传感器、视频、定位等技术，对运输车辆运行状态和环境参数进行即时采集与显示的过程。</w:t>
      </w:r>
    </w:p>
    <w:p w14:paraId="3C8C76C8">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异常预警 abnormality early warning</w:t>
      </w:r>
    </w:p>
    <w:p w14:paraId="73B5AD32">
      <w:pPr>
        <w:pStyle w:val="56"/>
        <w:spacing w:line="360" w:lineRule="auto"/>
        <w:ind w:firstLine="420"/>
        <w:rPr>
          <w:rFonts w:hint="eastAsia"/>
        </w:rPr>
      </w:pPr>
      <w:r>
        <w:rPr>
          <w:rFonts w:hint="eastAsia"/>
        </w:rPr>
        <w:t>当监测数据超出预设阈值或出现异常状态时，系统自动发出提示信息，并向相关管理人员或机构通报的功能。</w:t>
      </w:r>
    </w:p>
    <w:p w14:paraId="0870B08E">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应急联动 emergency linkage</w:t>
      </w:r>
    </w:p>
    <w:p w14:paraId="6631DCE6">
      <w:pPr>
        <w:pStyle w:val="56"/>
        <w:spacing w:line="360" w:lineRule="auto"/>
        <w:ind w:firstLine="420"/>
        <w:rPr>
          <w:rFonts w:hint="eastAsia"/>
        </w:rPr>
      </w:pPr>
      <w:r>
        <w:rPr>
          <w:rFonts w:hint="eastAsia"/>
        </w:rPr>
        <w:t>在发生突发状况或预警事件时，系统自动或经人工确认后，启动预设的应急响应流程，联动相关部门、平台和设备进行处置的机制。</w:t>
      </w:r>
    </w:p>
    <w:p w14:paraId="3484BF1A">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数据采集终端 data acquisition terminal</w:t>
      </w:r>
    </w:p>
    <w:p w14:paraId="63A41C97">
      <w:pPr>
        <w:pStyle w:val="56"/>
        <w:spacing w:line="360" w:lineRule="auto"/>
        <w:ind w:firstLine="420"/>
        <w:rPr>
          <w:rFonts w:hint="eastAsia"/>
        </w:rPr>
      </w:pPr>
      <w:r>
        <w:rPr>
          <w:rFonts w:hint="eastAsia"/>
        </w:rPr>
        <w:t>安装于危化品运输车辆上的设备，用于采集车辆运行、货物状态、环境参数等数据，并将其传输至监控平台。</w:t>
      </w:r>
    </w:p>
    <w:p w14:paraId="0392ED81">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监控平台 monitoring platform</w:t>
      </w:r>
    </w:p>
    <w:p w14:paraId="36AE1F9E">
      <w:pPr>
        <w:pStyle w:val="56"/>
        <w:spacing w:line="360" w:lineRule="auto"/>
        <w:ind w:firstLine="420"/>
        <w:rPr>
          <w:rFonts w:hint="eastAsia"/>
        </w:rPr>
      </w:pPr>
      <w:r>
        <w:rPr>
          <w:rFonts w:hint="eastAsia"/>
        </w:rPr>
        <w:t>用于接收、存储、分析和展示危化品运输相关数据，并提供监控、预警、指挥、调度等功能的信息化系统。</w:t>
      </w:r>
    </w:p>
    <w:p w14:paraId="26B08E82">
      <w:pPr>
        <w:pStyle w:val="104"/>
        <w:spacing w:before="240" w:after="240" w:line="360" w:lineRule="auto"/>
        <w:rPr>
          <w:rFonts w:hint="eastAsia"/>
        </w:rPr>
      </w:pPr>
      <w:bookmarkStart w:id="51" w:name="_Toc205552963"/>
      <w:r>
        <w:rPr>
          <w:rFonts w:hint="eastAsia"/>
        </w:rPr>
        <w:t>建设原则</w:t>
      </w:r>
      <w:bookmarkEnd w:id="51"/>
    </w:p>
    <w:p w14:paraId="5E57DE54">
      <w:pPr>
        <w:pStyle w:val="105"/>
        <w:spacing w:before="120" w:after="120" w:line="360" w:lineRule="auto"/>
        <w:rPr>
          <w:rFonts w:hint="eastAsia"/>
        </w:rPr>
      </w:pPr>
      <w:r>
        <w:rPr>
          <w:rFonts w:hint="eastAsia"/>
        </w:rPr>
        <w:t>安全优先原则</w:t>
      </w:r>
    </w:p>
    <w:p w14:paraId="6BF912D5">
      <w:pPr>
        <w:pStyle w:val="56"/>
        <w:spacing w:line="360" w:lineRule="auto"/>
        <w:ind w:firstLine="420"/>
        <w:rPr>
          <w:rFonts w:hint="eastAsia"/>
        </w:rPr>
      </w:pPr>
      <w:r>
        <w:rPr>
          <w:rFonts w:hint="eastAsia"/>
        </w:rPr>
        <w:t>系统建设应以保障危化品运输全程安全为首要目标，确保监测数据的准确性、实时性和可靠性，最大限度降低运输过程中的事故风险。</w:t>
      </w:r>
    </w:p>
    <w:p w14:paraId="37DFD88A">
      <w:pPr>
        <w:pStyle w:val="105"/>
        <w:spacing w:before="120" w:after="120" w:line="360" w:lineRule="auto"/>
        <w:rPr>
          <w:rFonts w:hint="eastAsia"/>
        </w:rPr>
      </w:pPr>
      <w:r>
        <w:rPr>
          <w:rFonts w:hint="eastAsia"/>
        </w:rPr>
        <w:t>全程可视原则</w:t>
      </w:r>
    </w:p>
    <w:p w14:paraId="2182E9B8">
      <w:pPr>
        <w:pStyle w:val="56"/>
        <w:spacing w:line="360" w:lineRule="auto"/>
        <w:ind w:firstLine="420"/>
        <w:rPr>
          <w:rFonts w:hint="eastAsia"/>
        </w:rPr>
      </w:pPr>
      <w:r>
        <w:rPr>
          <w:rFonts w:hint="eastAsia"/>
        </w:rPr>
        <w:t>应实现运输全过程的可视化管理，包括车辆位置、运行状态、货物状况、驾驶员状态和环境参数等，确保在运输环节任何时间节点都可追溯、可调度、可干预。</w:t>
      </w:r>
    </w:p>
    <w:p w14:paraId="44C082DA">
      <w:pPr>
        <w:pStyle w:val="105"/>
        <w:spacing w:before="120" w:after="120" w:line="360" w:lineRule="auto"/>
        <w:rPr>
          <w:rFonts w:hint="eastAsia"/>
        </w:rPr>
      </w:pPr>
      <w:r>
        <w:rPr>
          <w:rFonts w:hint="eastAsia"/>
        </w:rPr>
        <w:t>技术先进原则</w:t>
      </w:r>
    </w:p>
    <w:p w14:paraId="2868B73E">
      <w:pPr>
        <w:pStyle w:val="56"/>
        <w:spacing w:line="360" w:lineRule="auto"/>
        <w:ind w:firstLine="420"/>
        <w:rPr>
          <w:rFonts w:hint="eastAsia"/>
        </w:rPr>
      </w:pPr>
      <w:r>
        <w:rPr>
          <w:rFonts w:hint="eastAsia"/>
        </w:rPr>
        <w:t>应采用成熟、稳定、可扩展的物联网、卫星定位、视频监控、大数据分析和人工智能等技术，确保系统功能先进、性能稳定，并具备升级迭代能力。</w:t>
      </w:r>
    </w:p>
    <w:p w14:paraId="4D382B50">
      <w:pPr>
        <w:pStyle w:val="105"/>
        <w:spacing w:before="120" w:after="120" w:line="360" w:lineRule="auto"/>
        <w:rPr>
          <w:rFonts w:hint="eastAsia"/>
        </w:rPr>
      </w:pPr>
      <w:r>
        <w:rPr>
          <w:rFonts w:hint="eastAsia"/>
        </w:rPr>
        <w:t>标准统一原则</w:t>
      </w:r>
    </w:p>
    <w:p w14:paraId="7EE269AF">
      <w:pPr>
        <w:pStyle w:val="56"/>
        <w:spacing w:line="360" w:lineRule="auto"/>
        <w:ind w:firstLine="420"/>
        <w:rPr>
          <w:rFonts w:hint="eastAsia"/>
        </w:rPr>
      </w:pPr>
      <w:r>
        <w:rPr>
          <w:rFonts w:hint="eastAsia"/>
        </w:rPr>
        <w:t>系统建设应符合国家及行业相关技术标准和安全规范，采用统一的通信协议、数据格式和接口标准，实现与监管部门平台和企业内部系统的互联互通。</w:t>
      </w:r>
    </w:p>
    <w:p w14:paraId="6A323E24">
      <w:pPr>
        <w:pStyle w:val="105"/>
        <w:spacing w:before="120" w:after="120" w:line="360" w:lineRule="auto"/>
        <w:rPr>
          <w:rFonts w:hint="eastAsia"/>
        </w:rPr>
      </w:pPr>
      <w:r>
        <w:rPr>
          <w:rFonts w:hint="eastAsia"/>
        </w:rPr>
        <w:t>数据安全与隐私保护原则</w:t>
      </w:r>
    </w:p>
    <w:p w14:paraId="2486CFEF">
      <w:pPr>
        <w:pStyle w:val="56"/>
        <w:spacing w:line="360" w:lineRule="auto"/>
        <w:ind w:firstLine="420"/>
        <w:rPr>
          <w:rFonts w:hint="eastAsia"/>
        </w:rPr>
      </w:pPr>
      <w:r>
        <w:rPr>
          <w:rFonts w:hint="eastAsia"/>
        </w:rPr>
        <w:t>应严格执行网络安全和个人信息保护要求，防止监测数据在采集、传输、存储和使用过程中被泄露、篡改或非法利用。</w:t>
      </w:r>
    </w:p>
    <w:p w14:paraId="57CA7650">
      <w:pPr>
        <w:pStyle w:val="105"/>
        <w:spacing w:before="120" w:after="120" w:line="360" w:lineRule="auto"/>
        <w:rPr>
          <w:rFonts w:hint="eastAsia"/>
        </w:rPr>
      </w:pPr>
      <w:r>
        <w:rPr>
          <w:rFonts w:hint="eastAsia"/>
        </w:rPr>
        <w:t>应急响应原则</w:t>
      </w:r>
    </w:p>
    <w:p w14:paraId="0D29BA00">
      <w:pPr>
        <w:pStyle w:val="56"/>
        <w:spacing w:line="360" w:lineRule="auto"/>
        <w:ind w:firstLine="420"/>
        <w:rPr>
          <w:rFonts w:hint="eastAsia"/>
        </w:rPr>
      </w:pPr>
      <w:r>
        <w:rPr>
          <w:rFonts w:hint="eastAsia"/>
        </w:rPr>
        <w:t>系统应具备事故或异常事件的快速响应能力，通过预警、联动、调度和信息上报，实现应急处置的高效化和协同化。</w:t>
      </w:r>
    </w:p>
    <w:p w14:paraId="3C2F41D0">
      <w:pPr>
        <w:pStyle w:val="105"/>
        <w:spacing w:before="120" w:after="120" w:line="360" w:lineRule="auto"/>
        <w:rPr>
          <w:rFonts w:hint="eastAsia"/>
        </w:rPr>
      </w:pPr>
      <w:r>
        <w:rPr>
          <w:rFonts w:hint="eastAsia"/>
        </w:rPr>
        <w:t>经济可行原则</w:t>
      </w:r>
    </w:p>
    <w:p w14:paraId="4E298868">
      <w:pPr>
        <w:pStyle w:val="56"/>
        <w:spacing w:line="360" w:lineRule="auto"/>
        <w:ind w:firstLine="420"/>
      </w:pPr>
      <w:r>
        <w:rPr>
          <w:rFonts w:hint="eastAsia"/>
        </w:rPr>
        <w:t>在保证安全和功能的前提下，应兼顾系统建设成本、运行维护费用及投资回报率，确保经济可行性与长期可持续运行。</w:t>
      </w:r>
    </w:p>
    <w:p w14:paraId="5CCB32F5">
      <w:pPr>
        <w:pStyle w:val="104"/>
        <w:spacing w:before="240" w:after="240" w:line="360" w:lineRule="auto"/>
        <w:rPr>
          <w:rFonts w:hint="eastAsia"/>
        </w:rPr>
      </w:pPr>
      <w:bookmarkStart w:id="52" w:name="_Toc205552964"/>
      <w:r>
        <w:rPr>
          <w:rFonts w:hint="eastAsia"/>
        </w:rPr>
        <w:t>系统总体架构</w:t>
      </w:r>
      <w:bookmarkEnd w:id="52"/>
    </w:p>
    <w:p w14:paraId="7A6ED238">
      <w:pPr>
        <w:pStyle w:val="105"/>
        <w:spacing w:before="120" w:after="120" w:line="360" w:lineRule="auto"/>
        <w:rPr>
          <w:rFonts w:hint="eastAsia"/>
        </w:rPr>
      </w:pPr>
      <w:r>
        <w:rPr>
          <w:rFonts w:hint="eastAsia"/>
        </w:rPr>
        <w:t>架构分层</w:t>
      </w:r>
    </w:p>
    <w:p w14:paraId="088399CB">
      <w:pPr>
        <w:pStyle w:val="56"/>
        <w:spacing w:line="360" w:lineRule="auto"/>
        <w:ind w:firstLine="420"/>
        <w:rPr>
          <w:rFonts w:hint="eastAsia"/>
        </w:rPr>
      </w:pPr>
      <w:r>
        <w:rPr>
          <w:rFonts w:hint="eastAsia"/>
        </w:rPr>
        <w:t>危化品运输智能监测系统总体架构应由感知层、传输层、平台层和应用层构成，并可结合企业或监管机构的需求进行扩展：</w:t>
      </w:r>
    </w:p>
    <w:p w14:paraId="3BAFC681">
      <w:pPr>
        <w:pStyle w:val="174"/>
        <w:spacing w:line="360" w:lineRule="auto"/>
        <w:rPr>
          <w:rFonts w:hint="eastAsia"/>
        </w:rPr>
      </w:pPr>
      <w:r>
        <w:rPr>
          <w:rFonts w:hint="eastAsia"/>
        </w:rPr>
        <w:t>感知层：由安装在运输车辆及货舱的各类传感器、数据采集终端、视频监控设备组成，用于实时采集车辆运行状态、货物参数、驾驶员状态及环境信息；</w:t>
      </w:r>
    </w:p>
    <w:p w14:paraId="615F20D2">
      <w:pPr>
        <w:pStyle w:val="174"/>
        <w:spacing w:line="360" w:lineRule="auto"/>
        <w:rPr>
          <w:rFonts w:hint="eastAsia"/>
        </w:rPr>
      </w:pPr>
      <w:r>
        <w:rPr>
          <w:rFonts w:hint="eastAsia"/>
        </w:rPr>
        <w:t>传输层：采用卫星定位通信、蜂窝移动通信（4G/5G）、专用无线通信等方式，实现数据的安全、稳定、低延时传输；</w:t>
      </w:r>
    </w:p>
    <w:p w14:paraId="197B0FF4">
      <w:pPr>
        <w:pStyle w:val="174"/>
        <w:spacing w:line="360" w:lineRule="auto"/>
        <w:rPr>
          <w:rFonts w:hint="eastAsia"/>
        </w:rPr>
      </w:pPr>
      <w:r>
        <w:rPr>
          <w:rFonts w:hint="eastAsia"/>
        </w:rPr>
        <w:t>平台层：由数据接入、存储、分析、可视化展示和业务逻辑处理模块组成，支持多源异构数据的整合与管理；</w:t>
      </w:r>
    </w:p>
    <w:p w14:paraId="211FBA31">
      <w:pPr>
        <w:pStyle w:val="174"/>
        <w:spacing w:line="360" w:lineRule="auto"/>
        <w:rPr>
          <w:rFonts w:hint="eastAsia"/>
        </w:rPr>
      </w:pPr>
      <w:r>
        <w:rPr>
          <w:rFonts w:hint="eastAsia"/>
        </w:rPr>
        <w:t>应用层：提供实时监控、异常预警、应急联动、统计分析、合规检查和决策支持等功能，并可与政府监管平台、企业管理系统对接。</w:t>
      </w:r>
    </w:p>
    <w:p w14:paraId="20956EF3">
      <w:pPr>
        <w:pStyle w:val="105"/>
        <w:spacing w:before="120" w:after="120" w:line="360" w:lineRule="auto"/>
      </w:pPr>
      <w:r>
        <w:rPr>
          <w:rFonts w:hint="eastAsia"/>
        </w:rPr>
        <w:t>系统组成模块</w:t>
      </w:r>
    </w:p>
    <w:p w14:paraId="72D7F4DC">
      <w:pPr>
        <w:pStyle w:val="56"/>
        <w:spacing w:line="360" w:lineRule="auto"/>
        <w:ind w:firstLine="420"/>
        <w:rPr>
          <w:rFonts w:hint="eastAsia"/>
        </w:rPr>
      </w:pPr>
      <w:r>
        <w:rPr>
          <w:rFonts w:hint="eastAsia"/>
        </w:rPr>
        <w:t>系统组成模块包含以下方面：</w:t>
      </w:r>
    </w:p>
    <w:p w14:paraId="1FCE1780">
      <w:pPr>
        <w:pStyle w:val="132"/>
        <w:spacing w:line="360" w:lineRule="auto"/>
        <w:rPr>
          <w:rFonts w:hint="eastAsia"/>
        </w:rPr>
      </w:pPr>
      <w:r>
        <w:rPr>
          <w:rFonts w:hint="eastAsia"/>
        </w:rPr>
        <w:t>车辆终端模块：包括北斗/GPS定位装置、行驶记录仪、视频监控单元、驾驶员状态监测模块、货舱温湿度/压力/气体浓度传感器等；</w:t>
      </w:r>
    </w:p>
    <w:p w14:paraId="40685E52">
      <w:pPr>
        <w:pStyle w:val="132"/>
        <w:spacing w:line="360" w:lineRule="auto"/>
        <w:rPr>
          <w:rFonts w:hint="eastAsia"/>
        </w:rPr>
      </w:pPr>
      <w:r>
        <w:rPr>
          <w:rFonts w:hint="eastAsia"/>
        </w:rPr>
        <w:t>通信网络模块：包括蜂窝通信模块、卫星通信模块、专用无线电模块，确保多通道、冗余传输；</w:t>
      </w:r>
    </w:p>
    <w:p w14:paraId="7EF73AF0">
      <w:pPr>
        <w:pStyle w:val="132"/>
        <w:spacing w:line="360" w:lineRule="auto"/>
        <w:rPr>
          <w:rFonts w:hint="eastAsia"/>
        </w:rPr>
      </w:pPr>
      <w:r>
        <w:rPr>
          <w:rFonts w:hint="eastAsia"/>
        </w:rPr>
        <w:t>监控平台模块：包括数据接入与处理子系统、GIS地图子系统、视频管理子系统、预警与联动子系统、数据分析与报表子系统；</w:t>
      </w:r>
    </w:p>
    <w:p w14:paraId="6D9D1081">
      <w:pPr>
        <w:pStyle w:val="132"/>
        <w:spacing w:line="360" w:lineRule="auto"/>
        <w:rPr>
          <w:rFonts w:hint="eastAsia"/>
        </w:rPr>
      </w:pPr>
      <w:r>
        <w:rPr>
          <w:rFonts w:hint="eastAsia"/>
        </w:rPr>
        <w:t>安全防护模块：包括网络防火墙、入侵检测系统、数据加密存储与传输、访问控制和日志审计。</w:t>
      </w:r>
    </w:p>
    <w:p w14:paraId="37D2CBD2">
      <w:pPr>
        <w:pStyle w:val="105"/>
        <w:spacing w:before="120" w:after="120" w:line="360" w:lineRule="auto"/>
        <w:rPr>
          <w:rFonts w:hint="eastAsia"/>
        </w:rPr>
      </w:pPr>
      <w:r>
        <w:rPr>
          <w:rFonts w:hint="eastAsia"/>
        </w:rPr>
        <w:t>数据流向</w:t>
      </w:r>
    </w:p>
    <w:p w14:paraId="2CE20178">
      <w:pPr>
        <w:pStyle w:val="56"/>
        <w:spacing w:line="360" w:lineRule="auto"/>
        <w:ind w:firstLine="420"/>
        <w:rPr>
          <w:rFonts w:hint="eastAsia"/>
        </w:rPr>
      </w:pPr>
      <w:r>
        <w:rPr>
          <w:rFonts w:hint="eastAsia"/>
        </w:rPr>
        <w:t>前端采集设备将实时数据传输至通信网络。</w:t>
      </w:r>
    </w:p>
    <w:p w14:paraId="755F2BB0">
      <w:pPr>
        <w:pStyle w:val="56"/>
        <w:spacing w:line="360" w:lineRule="auto"/>
        <w:ind w:firstLine="420"/>
        <w:rPr>
          <w:rFonts w:hint="eastAsia"/>
        </w:rPr>
      </w:pPr>
      <w:r>
        <w:rPr>
          <w:rFonts w:hint="eastAsia"/>
        </w:rPr>
        <w:t>通过加密传输通道将数据上传至监控平台。</w:t>
      </w:r>
    </w:p>
    <w:p w14:paraId="5F1BE9A2">
      <w:pPr>
        <w:pStyle w:val="56"/>
        <w:spacing w:line="360" w:lineRule="auto"/>
        <w:ind w:firstLine="420"/>
        <w:rPr>
          <w:rFonts w:hint="eastAsia"/>
        </w:rPr>
      </w:pPr>
      <w:r>
        <w:rPr>
          <w:rFonts w:hint="eastAsia"/>
        </w:rPr>
        <w:t>平台对数据进行实时分析与存储，触发相应的预警、联动和统计分析。</w:t>
      </w:r>
    </w:p>
    <w:p w14:paraId="4CDEDEDE">
      <w:pPr>
        <w:pStyle w:val="56"/>
        <w:spacing w:line="360" w:lineRule="auto"/>
        <w:ind w:firstLine="420"/>
        <w:rPr>
          <w:rFonts w:hint="eastAsia"/>
        </w:rPr>
      </w:pPr>
      <w:r>
        <w:rPr>
          <w:rFonts w:hint="eastAsia"/>
        </w:rPr>
        <w:t>经处理后的信息可通过PC端、移动端或大屏展示系统提供给相关管理人员使用。</w:t>
      </w:r>
    </w:p>
    <w:p w14:paraId="592B6D1C">
      <w:pPr>
        <w:pStyle w:val="105"/>
        <w:spacing w:before="120" w:after="120" w:line="360" w:lineRule="auto"/>
        <w:rPr>
          <w:rFonts w:hint="eastAsia"/>
        </w:rPr>
      </w:pPr>
      <w:r>
        <w:rPr>
          <w:rFonts w:hint="eastAsia"/>
        </w:rPr>
        <w:t>系统集成要求</w:t>
      </w:r>
    </w:p>
    <w:p w14:paraId="2A62EE40">
      <w:pPr>
        <w:pStyle w:val="56"/>
        <w:spacing w:line="360" w:lineRule="auto"/>
        <w:ind w:firstLine="420"/>
      </w:pPr>
      <w:r>
        <w:rPr>
          <w:rFonts w:hint="eastAsia"/>
        </w:rPr>
        <w:t>系统应支持与行业监管平台、企业ERP系统、安全管理系统等进行数据对接，采用WebService、RESTful API等标准化接口协议，实现数据共享与业务协同。</w:t>
      </w:r>
    </w:p>
    <w:p w14:paraId="0BD1A0F5">
      <w:pPr>
        <w:pStyle w:val="104"/>
        <w:spacing w:before="240" w:after="240" w:line="360" w:lineRule="auto"/>
        <w:rPr>
          <w:rFonts w:hint="eastAsia"/>
        </w:rPr>
      </w:pPr>
      <w:bookmarkStart w:id="53" w:name="_Toc205552965"/>
      <w:r>
        <w:rPr>
          <w:rFonts w:hint="eastAsia"/>
        </w:rPr>
        <w:t>功能配置要求</w:t>
      </w:r>
      <w:bookmarkEnd w:id="53"/>
    </w:p>
    <w:p w14:paraId="04189E7D">
      <w:pPr>
        <w:pStyle w:val="105"/>
        <w:spacing w:before="120" w:after="120" w:line="360" w:lineRule="auto"/>
        <w:rPr>
          <w:rFonts w:hint="eastAsia"/>
        </w:rPr>
      </w:pPr>
      <w:r>
        <w:rPr>
          <w:rFonts w:hint="eastAsia"/>
        </w:rPr>
        <w:t>实时定位与轨迹跟踪</w:t>
      </w:r>
    </w:p>
    <w:p w14:paraId="3F84DFD3">
      <w:pPr>
        <w:pStyle w:val="165"/>
        <w:spacing w:line="360" w:lineRule="auto"/>
        <w:rPr>
          <w:rFonts w:hint="eastAsia"/>
        </w:rPr>
      </w:pPr>
      <w:r>
        <w:rPr>
          <w:rFonts w:hint="eastAsia"/>
        </w:rPr>
        <w:t>系统应具备基于北斗/GPS的实时定位功能，定位精度不低于±10 m。</w:t>
      </w:r>
    </w:p>
    <w:p w14:paraId="678B8741">
      <w:pPr>
        <w:pStyle w:val="165"/>
        <w:spacing w:line="360" w:lineRule="auto"/>
        <w:rPr>
          <w:rFonts w:hint="eastAsia"/>
        </w:rPr>
      </w:pPr>
      <w:r>
        <w:rPr>
          <w:rFonts w:hint="eastAsia"/>
        </w:rPr>
        <w:t>能够实时显示车辆位置、速度、方向及运行状态，并支持历史轨迹回放与导出。</w:t>
      </w:r>
    </w:p>
    <w:p w14:paraId="6ED0AE23">
      <w:pPr>
        <w:pStyle w:val="165"/>
        <w:spacing w:line="360" w:lineRule="auto"/>
        <w:rPr>
          <w:rFonts w:hint="eastAsia"/>
        </w:rPr>
      </w:pPr>
      <w:r>
        <w:rPr>
          <w:rFonts w:hint="eastAsia"/>
        </w:rPr>
        <w:t>轨迹数据应保存不少于12个月，便于事故调查和运营分析。</w:t>
      </w:r>
    </w:p>
    <w:p w14:paraId="0B08450C">
      <w:pPr>
        <w:pStyle w:val="105"/>
        <w:spacing w:before="120" w:after="120" w:line="360" w:lineRule="auto"/>
        <w:rPr>
          <w:rFonts w:hint="eastAsia"/>
        </w:rPr>
      </w:pPr>
      <w:r>
        <w:rPr>
          <w:rFonts w:hint="eastAsia"/>
        </w:rPr>
        <w:t>视频监控与图像采集</w:t>
      </w:r>
    </w:p>
    <w:p w14:paraId="574DA73D">
      <w:pPr>
        <w:pStyle w:val="165"/>
        <w:spacing w:line="360" w:lineRule="auto"/>
        <w:rPr>
          <w:rFonts w:hint="eastAsia"/>
        </w:rPr>
      </w:pPr>
      <w:r>
        <w:rPr>
          <w:rFonts w:hint="eastAsia"/>
        </w:rPr>
        <w:t>车辆前向、后向及货舱内部应配备高清摄像设备，实现视频实时传输与录像存储。</w:t>
      </w:r>
    </w:p>
    <w:p w14:paraId="5915ACBF">
      <w:pPr>
        <w:pStyle w:val="165"/>
        <w:spacing w:line="360" w:lineRule="auto"/>
        <w:rPr>
          <w:rFonts w:hint="eastAsia"/>
        </w:rPr>
      </w:pPr>
      <w:r>
        <w:rPr>
          <w:rFonts w:hint="eastAsia"/>
        </w:rPr>
        <w:t>视频分辨率不低于720P，支持低照度环境下拍摄。</w:t>
      </w:r>
    </w:p>
    <w:p w14:paraId="2F90F035">
      <w:pPr>
        <w:pStyle w:val="165"/>
        <w:spacing w:line="360" w:lineRule="auto"/>
        <w:rPr>
          <w:rFonts w:hint="eastAsia"/>
        </w:rPr>
      </w:pPr>
      <w:r>
        <w:rPr>
          <w:rFonts w:hint="eastAsia"/>
        </w:rPr>
        <w:t>录像保存时间不少于90天，并具备检索、回放、导出功能。</w:t>
      </w:r>
    </w:p>
    <w:p w14:paraId="6F8932BC">
      <w:pPr>
        <w:pStyle w:val="105"/>
        <w:spacing w:before="120" w:after="120" w:line="360" w:lineRule="auto"/>
        <w:rPr>
          <w:rFonts w:hint="eastAsia"/>
        </w:rPr>
      </w:pPr>
      <w:r>
        <w:rPr>
          <w:rFonts w:hint="eastAsia"/>
        </w:rPr>
        <w:t>货物状态监测</w:t>
      </w:r>
    </w:p>
    <w:p w14:paraId="7D6C5825">
      <w:pPr>
        <w:pStyle w:val="165"/>
        <w:spacing w:line="360" w:lineRule="auto"/>
        <w:rPr>
          <w:rFonts w:hint="eastAsia"/>
        </w:rPr>
      </w:pPr>
      <w:r>
        <w:rPr>
          <w:rFonts w:hint="eastAsia"/>
        </w:rPr>
        <w:t>应对货舱温度、湿度、压力、液位、气体浓度（易燃、易爆、有毒气体）等进行实时监测。</w:t>
      </w:r>
    </w:p>
    <w:p w14:paraId="407E7B67">
      <w:pPr>
        <w:pStyle w:val="165"/>
        <w:spacing w:line="360" w:lineRule="auto"/>
        <w:rPr>
          <w:rFonts w:hint="eastAsia"/>
        </w:rPr>
      </w:pPr>
      <w:r>
        <w:rPr>
          <w:rFonts w:hint="eastAsia"/>
        </w:rPr>
        <w:t>监测数据应可与安全阈值比对，超限自动报警。</w:t>
      </w:r>
    </w:p>
    <w:p w14:paraId="4F50F0EA">
      <w:pPr>
        <w:pStyle w:val="165"/>
        <w:spacing w:line="360" w:lineRule="auto"/>
        <w:rPr>
          <w:rFonts w:hint="eastAsia"/>
        </w:rPr>
      </w:pPr>
      <w:r>
        <w:rPr>
          <w:rFonts w:hint="eastAsia"/>
        </w:rPr>
        <w:t>支持多种传感器接入及参数扩展，以适应不同危化品运输需求。</w:t>
      </w:r>
    </w:p>
    <w:p w14:paraId="2FF9A969">
      <w:pPr>
        <w:pStyle w:val="105"/>
        <w:spacing w:before="120" w:after="120" w:line="360" w:lineRule="auto"/>
        <w:rPr>
          <w:rFonts w:hint="eastAsia"/>
        </w:rPr>
      </w:pPr>
      <w:r>
        <w:rPr>
          <w:rFonts w:hint="eastAsia"/>
        </w:rPr>
        <w:t>驾驶员状态监测</w:t>
      </w:r>
    </w:p>
    <w:p w14:paraId="17E4F119">
      <w:pPr>
        <w:pStyle w:val="165"/>
        <w:spacing w:line="360" w:lineRule="auto"/>
        <w:rPr>
          <w:rFonts w:hint="eastAsia"/>
        </w:rPr>
      </w:pPr>
      <w:r>
        <w:rPr>
          <w:rFonts w:hint="eastAsia"/>
        </w:rPr>
        <w:t>配备驾驶员疲劳检测、分心驾驶检测、酒精浓度检测等功能模块。</w:t>
      </w:r>
    </w:p>
    <w:p w14:paraId="4501F84A">
      <w:pPr>
        <w:pStyle w:val="165"/>
        <w:spacing w:line="360" w:lineRule="auto"/>
        <w:rPr>
          <w:rFonts w:hint="eastAsia"/>
        </w:rPr>
      </w:pPr>
      <w:r>
        <w:rPr>
          <w:rFonts w:hint="eastAsia"/>
        </w:rPr>
        <w:t>检测到异常行为时应立即发出车载语音提示，并上传平台预警信息。</w:t>
      </w:r>
    </w:p>
    <w:p w14:paraId="2C15A7C2">
      <w:pPr>
        <w:pStyle w:val="105"/>
        <w:spacing w:before="120" w:after="120" w:line="360" w:lineRule="auto"/>
        <w:rPr>
          <w:rFonts w:hint="eastAsia"/>
        </w:rPr>
      </w:pPr>
      <w:r>
        <w:rPr>
          <w:rFonts w:hint="eastAsia"/>
        </w:rPr>
        <w:t>异常预警与报警</w:t>
      </w:r>
    </w:p>
    <w:p w14:paraId="55D18DB9">
      <w:pPr>
        <w:pStyle w:val="165"/>
        <w:spacing w:line="360" w:lineRule="auto"/>
        <w:rPr>
          <w:rFonts w:hint="eastAsia"/>
        </w:rPr>
      </w:pPr>
      <w:r>
        <w:rPr>
          <w:rFonts w:hint="eastAsia"/>
        </w:rPr>
        <w:t>支持超速、急加速、急刹车、路线偏离、非法停靠等驾驶行为的实时监测与预警。</w:t>
      </w:r>
    </w:p>
    <w:p w14:paraId="6336E0A6">
      <w:pPr>
        <w:pStyle w:val="165"/>
        <w:spacing w:line="360" w:lineRule="auto"/>
        <w:rPr>
          <w:rFonts w:hint="eastAsia"/>
        </w:rPr>
      </w:pPr>
      <w:r>
        <w:rPr>
          <w:rFonts w:hint="eastAsia"/>
        </w:rPr>
        <w:t>支持货舱状态异常、传感器故障、通信中断等运行异常报警。</w:t>
      </w:r>
    </w:p>
    <w:p w14:paraId="4B553677">
      <w:pPr>
        <w:pStyle w:val="165"/>
        <w:spacing w:line="360" w:lineRule="auto"/>
        <w:rPr>
          <w:rFonts w:hint="eastAsia"/>
        </w:rPr>
      </w:pPr>
      <w:r>
        <w:rPr>
          <w:rFonts w:hint="eastAsia"/>
        </w:rPr>
        <w:t>报警信息应包括事件类型、时间、位置及相关参数，并可多渠道推送。</w:t>
      </w:r>
    </w:p>
    <w:p w14:paraId="5E86BF98">
      <w:pPr>
        <w:pStyle w:val="105"/>
        <w:spacing w:before="120" w:after="120" w:line="360" w:lineRule="auto"/>
        <w:rPr>
          <w:rFonts w:hint="eastAsia"/>
        </w:rPr>
      </w:pPr>
      <w:r>
        <w:rPr>
          <w:rFonts w:hint="eastAsia"/>
        </w:rPr>
        <w:t>应急联动</w:t>
      </w:r>
    </w:p>
    <w:p w14:paraId="727112F7">
      <w:pPr>
        <w:pStyle w:val="165"/>
        <w:spacing w:line="360" w:lineRule="auto"/>
        <w:rPr>
          <w:rFonts w:hint="eastAsia"/>
        </w:rPr>
      </w:pPr>
      <w:r>
        <w:rPr>
          <w:rFonts w:hint="eastAsia"/>
        </w:rPr>
        <w:t>具备与企业安全管理中心、政府应急管理平台联动的能力。</w:t>
      </w:r>
    </w:p>
    <w:p w14:paraId="76F18B62">
      <w:pPr>
        <w:pStyle w:val="165"/>
        <w:spacing w:line="360" w:lineRule="auto"/>
        <w:rPr>
          <w:rFonts w:hint="eastAsia"/>
        </w:rPr>
      </w:pPr>
      <w:r>
        <w:rPr>
          <w:rFonts w:hint="eastAsia"/>
        </w:rPr>
        <w:t>支持一键报警功能，事故发生时可快速传输定位、视频、货物状态等信息至应急指挥中心。</w:t>
      </w:r>
    </w:p>
    <w:p w14:paraId="2B7D1FF8">
      <w:pPr>
        <w:pStyle w:val="165"/>
        <w:spacing w:line="360" w:lineRule="auto"/>
        <w:rPr>
          <w:rFonts w:hint="eastAsia"/>
        </w:rPr>
      </w:pPr>
      <w:r>
        <w:rPr>
          <w:rFonts w:hint="eastAsia"/>
        </w:rPr>
        <w:t>可接入应急处置预案，自动生成处置建议和联络信息。</w:t>
      </w:r>
    </w:p>
    <w:p w14:paraId="0DEB5C24">
      <w:pPr>
        <w:pStyle w:val="105"/>
        <w:spacing w:before="120" w:after="120" w:line="360" w:lineRule="auto"/>
        <w:rPr>
          <w:rFonts w:hint="eastAsia"/>
        </w:rPr>
      </w:pPr>
      <w:r>
        <w:rPr>
          <w:rFonts w:hint="eastAsia"/>
        </w:rPr>
        <w:t>数据管理与分析</w:t>
      </w:r>
    </w:p>
    <w:p w14:paraId="193A775F">
      <w:pPr>
        <w:pStyle w:val="165"/>
        <w:spacing w:line="360" w:lineRule="auto"/>
        <w:rPr>
          <w:rFonts w:hint="eastAsia"/>
        </w:rPr>
      </w:pPr>
      <w:r>
        <w:rPr>
          <w:rFonts w:hint="eastAsia"/>
        </w:rPr>
        <w:t>对采集的车辆运行、货物状态、驾驶员行为等数据进行存储、分类、统计与分析。</w:t>
      </w:r>
    </w:p>
    <w:p w14:paraId="73022404">
      <w:pPr>
        <w:pStyle w:val="165"/>
        <w:spacing w:line="360" w:lineRule="auto"/>
        <w:rPr>
          <w:rFonts w:hint="eastAsia"/>
        </w:rPr>
      </w:pPr>
      <w:r>
        <w:rPr>
          <w:rFonts w:hint="eastAsia"/>
        </w:rPr>
        <w:t>支持生成运营分析报告、安全评估报告及合规性检查报告。</w:t>
      </w:r>
    </w:p>
    <w:p w14:paraId="342CA99C">
      <w:pPr>
        <w:pStyle w:val="165"/>
        <w:spacing w:line="360" w:lineRule="auto"/>
        <w:rPr>
          <w:rFonts w:hint="eastAsia"/>
        </w:rPr>
      </w:pPr>
      <w:r>
        <w:rPr>
          <w:rFonts w:hint="eastAsia"/>
        </w:rPr>
        <w:t>提供数据接口，支持与外部系统进行数据交换。</w:t>
      </w:r>
    </w:p>
    <w:p w14:paraId="5E9E778E">
      <w:pPr>
        <w:pStyle w:val="105"/>
        <w:spacing w:before="120" w:after="120" w:line="360" w:lineRule="auto"/>
        <w:rPr>
          <w:rFonts w:hint="eastAsia"/>
        </w:rPr>
      </w:pPr>
      <w:r>
        <w:rPr>
          <w:rFonts w:hint="eastAsia"/>
        </w:rPr>
        <w:t>信息安全与权限管理</w:t>
      </w:r>
    </w:p>
    <w:p w14:paraId="005D5ED4">
      <w:pPr>
        <w:pStyle w:val="165"/>
        <w:spacing w:line="360" w:lineRule="auto"/>
        <w:rPr>
          <w:rFonts w:hint="eastAsia"/>
        </w:rPr>
      </w:pPr>
      <w:r>
        <w:rPr>
          <w:rFonts w:hint="eastAsia"/>
        </w:rPr>
        <w:t>数据传输应采用加密机制，防止信息泄露与篡改。</w:t>
      </w:r>
    </w:p>
    <w:p w14:paraId="190B8F22">
      <w:pPr>
        <w:pStyle w:val="165"/>
        <w:spacing w:line="360" w:lineRule="auto"/>
        <w:rPr>
          <w:rFonts w:hint="eastAsia"/>
        </w:rPr>
      </w:pPr>
      <w:r>
        <w:rPr>
          <w:rFonts w:hint="eastAsia"/>
        </w:rPr>
        <w:t>平台应具备多级用户权限管理和操作日志审计功能。</w:t>
      </w:r>
    </w:p>
    <w:p w14:paraId="305AD961">
      <w:pPr>
        <w:pStyle w:val="165"/>
        <w:spacing w:line="360" w:lineRule="auto"/>
      </w:pPr>
      <w:r>
        <w:rPr>
          <w:rFonts w:hint="eastAsia"/>
        </w:rPr>
        <w:t>对涉及个人隐私和商业机密的信息应进行脱敏处理。</w:t>
      </w:r>
    </w:p>
    <w:p w14:paraId="7FFE45F4">
      <w:pPr>
        <w:pStyle w:val="104"/>
        <w:spacing w:before="240" w:after="240" w:line="360" w:lineRule="auto"/>
        <w:rPr>
          <w:rFonts w:hint="eastAsia"/>
        </w:rPr>
      </w:pPr>
      <w:bookmarkStart w:id="54" w:name="_Toc205552966"/>
      <w:r>
        <w:rPr>
          <w:rFonts w:hint="eastAsia"/>
        </w:rPr>
        <w:t>数据采集与传输要求</w:t>
      </w:r>
      <w:bookmarkEnd w:id="54"/>
    </w:p>
    <w:p w14:paraId="58CE8D50">
      <w:pPr>
        <w:pStyle w:val="105"/>
        <w:spacing w:before="120" w:after="120" w:line="360" w:lineRule="auto"/>
        <w:rPr>
          <w:rFonts w:hint="eastAsia"/>
        </w:rPr>
      </w:pPr>
      <w:r>
        <w:rPr>
          <w:rFonts w:hint="eastAsia"/>
        </w:rPr>
        <w:t>数据采集要求</w:t>
      </w:r>
    </w:p>
    <w:p w14:paraId="071010A8">
      <w:pPr>
        <w:pStyle w:val="165"/>
        <w:spacing w:line="360" w:lineRule="auto"/>
        <w:rPr>
          <w:rFonts w:hint="eastAsia"/>
        </w:rPr>
      </w:pPr>
      <w:r>
        <w:rPr>
          <w:rFonts w:hint="eastAsia"/>
        </w:rPr>
        <w:t>前端采集设备应具备多参数同步采集能力，支持车辆运行状态、货物状态、驾驶员状态及视频图像等数据的同时采集。</w:t>
      </w:r>
    </w:p>
    <w:p w14:paraId="0E5BA14D">
      <w:pPr>
        <w:pStyle w:val="165"/>
        <w:spacing w:line="360" w:lineRule="auto"/>
        <w:rPr>
          <w:rFonts w:hint="eastAsia"/>
        </w:rPr>
      </w:pPr>
      <w:r>
        <w:rPr>
          <w:rFonts w:hint="eastAsia"/>
        </w:rPr>
        <w:t>采集频率应根据参数重要性合理设定：定位信息不低于1次/5秒，货舱状态参数不低于1次/30秒，驾驶员状态检测不低于1次/60秒。</w:t>
      </w:r>
    </w:p>
    <w:p w14:paraId="6C47B726">
      <w:pPr>
        <w:pStyle w:val="165"/>
        <w:spacing w:line="360" w:lineRule="auto"/>
        <w:rPr>
          <w:rFonts w:hint="eastAsia"/>
        </w:rPr>
      </w:pPr>
      <w:r>
        <w:rPr>
          <w:rFonts w:hint="eastAsia"/>
        </w:rPr>
        <w:t>传感器应符合相关计量和精度标准，确保采集数据准确、稳定。</w:t>
      </w:r>
    </w:p>
    <w:p w14:paraId="164A2524">
      <w:pPr>
        <w:pStyle w:val="165"/>
        <w:spacing w:line="360" w:lineRule="auto"/>
        <w:rPr>
          <w:rFonts w:hint="eastAsia"/>
        </w:rPr>
      </w:pPr>
      <w:r>
        <w:rPr>
          <w:rFonts w:hint="eastAsia"/>
        </w:rPr>
        <w:t>数据采集终端应具备本地缓存功能，在通信中断时可存储不少于48小时的采集数据，通信恢复后自动补传。</w:t>
      </w:r>
    </w:p>
    <w:p w14:paraId="7CEEAEAA">
      <w:pPr>
        <w:pStyle w:val="105"/>
        <w:spacing w:before="120" w:after="120" w:line="360" w:lineRule="auto"/>
        <w:rPr>
          <w:rFonts w:hint="eastAsia"/>
        </w:rPr>
      </w:pPr>
      <w:r>
        <w:rPr>
          <w:rFonts w:hint="eastAsia"/>
        </w:rPr>
        <w:t>数据传输要求</w:t>
      </w:r>
    </w:p>
    <w:p w14:paraId="6BAF9B21">
      <w:pPr>
        <w:pStyle w:val="165"/>
        <w:spacing w:line="360" w:lineRule="auto"/>
        <w:rPr>
          <w:rFonts w:hint="eastAsia"/>
        </w:rPr>
      </w:pPr>
      <w:r>
        <w:rPr>
          <w:rFonts w:hint="eastAsia"/>
        </w:rPr>
        <w:t>数据传输应支持蜂窝网络（4G/5G）、卫星通信等多种方式，并具备网络自动切换与冗余传输机制。</w:t>
      </w:r>
    </w:p>
    <w:p w14:paraId="4ADF2611">
      <w:pPr>
        <w:pStyle w:val="165"/>
        <w:spacing w:line="360" w:lineRule="auto"/>
        <w:rPr>
          <w:rFonts w:hint="eastAsia"/>
        </w:rPr>
      </w:pPr>
      <w:r>
        <w:rPr>
          <w:rFonts w:hint="eastAsia"/>
        </w:rPr>
        <w:t>传输延迟应控制在3秒以内，关键报警数据延迟不超过1秒。</w:t>
      </w:r>
    </w:p>
    <w:p w14:paraId="6DC4355C">
      <w:pPr>
        <w:pStyle w:val="165"/>
        <w:spacing w:line="360" w:lineRule="auto"/>
        <w:rPr>
          <w:rFonts w:hint="eastAsia"/>
        </w:rPr>
      </w:pPr>
      <w:r>
        <w:rPr>
          <w:rFonts w:hint="eastAsia"/>
        </w:rPr>
        <w:t>传输过程应采用端到端加密技术（如SSL/TLS、VPN等）确保数据安全。</w:t>
      </w:r>
    </w:p>
    <w:p w14:paraId="1B400CCD">
      <w:pPr>
        <w:pStyle w:val="165"/>
        <w:spacing w:line="360" w:lineRule="auto"/>
        <w:rPr>
          <w:rFonts w:hint="eastAsia"/>
        </w:rPr>
      </w:pPr>
      <w:r>
        <w:rPr>
          <w:rFonts w:hint="eastAsia"/>
        </w:rPr>
        <w:t>数据传输协议应符合国家或行业相关标准，支持与监管平台和企业系统的无缝对接。</w:t>
      </w:r>
    </w:p>
    <w:p w14:paraId="0337CA0D">
      <w:pPr>
        <w:pStyle w:val="165"/>
        <w:spacing w:line="360" w:lineRule="auto"/>
        <w:rPr>
          <w:rFonts w:hint="eastAsia"/>
        </w:rPr>
      </w:pPr>
      <w:r>
        <w:rPr>
          <w:rFonts w:hint="eastAsia"/>
        </w:rPr>
        <w:t>对大数据量的视频文件应采取分片传输与断点续传机制，确保在弱网或网络中断情况下的传输完整性。</w:t>
      </w:r>
    </w:p>
    <w:p w14:paraId="083F869D">
      <w:pPr>
        <w:pStyle w:val="105"/>
        <w:spacing w:before="120" w:after="120" w:line="360" w:lineRule="auto"/>
        <w:rPr>
          <w:rFonts w:hint="eastAsia"/>
        </w:rPr>
      </w:pPr>
      <w:r>
        <w:rPr>
          <w:rFonts w:hint="eastAsia"/>
        </w:rPr>
        <w:t>数据完整性与防篡改</w:t>
      </w:r>
    </w:p>
    <w:p w14:paraId="081BD808">
      <w:pPr>
        <w:pStyle w:val="165"/>
        <w:spacing w:line="360" w:lineRule="auto"/>
        <w:rPr>
          <w:rFonts w:hint="eastAsia"/>
        </w:rPr>
      </w:pPr>
      <w:r>
        <w:rPr>
          <w:rFonts w:hint="eastAsia"/>
        </w:rPr>
        <w:t>每条数据应附带时间戳、设备编号及校验码，确保数据可追溯、可验证。</w:t>
      </w:r>
    </w:p>
    <w:p w14:paraId="2F3B57B7">
      <w:pPr>
        <w:pStyle w:val="165"/>
        <w:spacing w:line="360" w:lineRule="auto"/>
        <w:rPr>
          <w:rFonts w:hint="eastAsia"/>
        </w:rPr>
      </w:pPr>
      <w:r>
        <w:rPr>
          <w:rFonts w:hint="eastAsia"/>
        </w:rPr>
        <w:t>平台应对数据包进行完整性校验，发现数据缺失或异常时应记录并报警。</w:t>
      </w:r>
    </w:p>
    <w:p w14:paraId="12A0D2C9">
      <w:pPr>
        <w:pStyle w:val="165"/>
        <w:spacing w:line="360" w:lineRule="auto"/>
        <w:rPr>
          <w:rFonts w:hint="eastAsia"/>
        </w:rPr>
      </w:pPr>
      <w:r>
        <w:rPr>
          <w:rFonts w:hint="eastAsia"/>
        </w:rPr>
        <w:t>数据存储前应进行数字签名或哈希校验，防止数据在传输和存储过程中的非法篡改。</w:t>
      </w:r>
    </w:p>
    <w:p w14:paraId="6150C177">
      <w:pPr>
        <w:pStyle w:val="105"/>
        <w:spacing w:before="120" w:after="120" w:line="360" w:lineRule="auto"/>
        <w:rPr>
          <w:rFonts w:hint="eastAsia"/>
        </w:rPr>
      </w:pPr>
      <w:r>
        <w:rPr>
          <w:rFonts w:hint="eastAsia"/>
        </w:rPr>
        <w:t>数据冗余与备份</w:t>
      </w:r>
    </w:p>
    <w:p w14:paraId="721AEADD">
      <w:pPr>
        <w:pStyle w:val="165"/>
        <w:spacing w:line="360" w:lineRule="auto"/>
        <w:rPr>
          <w:rFonts w:hint="eastAsia"/>
        </w:rPr>
      </w:pPr>
      <w:r>
        <w:rPr>
          <w:rFonts w:hint="eastAsia"/>
        </w:rPr>
        <w:t>前端设备和平台应采用双备份机制，确保在单点故障情况下数据不丢失。</w:t>
      </w:r>
    </w:p>
    <w:p w14:paraId="0DB10B10">
      <w:pPr>
        <w:pStyle w:val="165"/>
        <w:spacing w:line="360" w:lineRule="auto"/>
        <w:rPr>
          <w:rFonts w:hint="eastAsia"/>
        </w:rPr>
      </w:pPr>
      <w:r>
        <w:rPr>
          <w:rFonts w:hint="eastAsia"/>
        </w:rPr>
        <w:t>平台数据库应进行定期备份，备份周期不超过24小时，并保存在安全的异地存储环境中。</w:t>
      </w:r>
    </w:p>
    <w:p w14:paraId="285226B2">
      <w:pPr>
        <w:pStyle w:val="165"/>
        <w:spacing w:line="360" w:lineRule="auto"/>
      </w:pPr>
      <w:r>
        <w:rPr>
          <w:rFonts w:hint="eastAsia"/>
        </w:rPr>
        <w:t>关键业务数据应采用多活或容灾机制，实现故障自动切换与业务连续性。</w:t>
      </w:r>
    </w:p>
    <w:p w14:paraId="034E4123">
      <w:pPr>
        <w:pStyle w:val="104"/>
        <w:spacing w:before="240" w:after="240" w:line="360" w:lineRule="auto"/>
        <w:rPr>
          <w:rFonts w:hint="eastAsia"/>
        </w:rPr>
      </w:pPr>
      <w:bookmarkStart w:id="55" w:name="_Toc205552967"/>
      <w:r>
        <w:rPr>
          <w:rFonts w:hint="eastAsia"/>
        </w:rPr>
        <w:t>监控与预警要求</w:t>
      </w:r>
      <w:bookmarkEnd w:id="55"/>
    </w:p>
    <w:p w14:paraId="6C259BA0">
      <w:pPr>
        <w:pStyle w:val="105"/>
        <w:spacing w:before="120" w:after="120" w:line="360" w:lineRule="auto"/>
        <w:rPr>
          <w:rFonts w:hint="eastAsia"/>
        </w:rPr>
      </w:pPr>
      <w:r>
        <w:rPr>
          <w:rFonts w:hint="eastAsia"/>
        </w:rPr>
        <w:t>实时监控</w:t>
      </w:r>
    </w:p>
    <w:p w14:paraId="79D04701">
      <w:pPr>
        <w:pStyle w:val="165"/>
        <w:spacing w:line="360" w:lineRule="auto"/>
        <w:rPr>
          <w:rFonts w:hint="eastAsia"/>
        </w:rPr>
      </w:pPr>
      <w:r>
        <w:rPr>
          <w:rFonts w:hint="eastAsia"/>
        </w:rPr>
        <w:t>系统应能够对危化品运输车辆的位置、速度、行驶路线、货舱状态、驾驶员状态及周边环境进行全程实时监控。</w:t>
      </w:r>
    </w:p>
    <w:p w14:paraId="4640E846">
      <w:pPr>
        <w:pStyle w:val="165"/>
        <w:spacing w:line="360" w:lineRule="auto"/>
        <w:rPr>
          <w:rFonts w:hint="eastAsia"/>
        </w:rPr>
      </w:pPr>
      <w:r>
        <w:rPr>
          <w:rFonts w:hint="eastAsia"/>
        </w:rPr>
        <w:t>平台监控界面应具备多视图功能，可同时显示地图、视频、传感器数据及报警信息。</w:t>
      </w:r>
    </w:p>
    <w:p w14:paraId="431BA976">
      <w:pPr>
        <w:pStyle w:val="165"/>
        <w:spacing w:line="360" w:lineRule="auto"/>
        <w:rPr>
          <w:rFonts w:hint="eastAsia"/>
        </w:rPr>
      </w:pPr>
      <w:r>
        <w:rPr>
          <w:rFonts w:hint="eastAsia"/>
        </w:rPr>
        <w:t>监控数据应支持按车辆、路线、时间等条件进行筛选与切换。</w:t>
      </w:r>
    </w:p>
    <w:p w14:paraId="2DFDCC2E">
      <w:pPr>
        <w:pStyle w:val="105"/>
        <w:spacing w:before="120" w:after="120" w:line="360" w:lineRule="auto"/>
        <w:rPr>
          <w:rFonts w:hint="eastAsia"/>
        </w:rPr>
      </w:pPr>
      <w:r>
        <w:rPr>
          <w:rFonts w:hint="eastAsia"/>
        </w:rPr>
        <w:t>事件识别</w:t>
      </w:r>
    </w:p>
    <w:p w14:paraId="7C8EDB85">
      <w:pPr>
        <w:pStyle w:val="165"/>
        <w:spacing w:line="360" w:lineRule="auto"/>
        <w:rPr>
          <w:rFonts w:hint="eastAsia"/>
        </w:rPr>
      </w:pPr>
      <w:r>
        <w:rPr>
          <w:rFonts w:hint="eastAsia"/>
        </w:rPr>
        <w:t>系统应具备对超速、路线偏离、急加速、急刹车、非法停车等驾驶行为的自动识别能力。</w:t>
      </w:r>
    </w:p>
    <w:p w14:paraId="0F888337">
      <w:pPr>
        <w:pStyle w:val="165"/>
        <w:spacing w:line="360" w:lineRule="auto"/>
        <w:rPr>
          <w:rFonts w:hint="eastAsia"/>
        </w:rPr>
      </w:pPr>
      <w:r>
        <w:rPr>
          <w:rFonts w:hint="eastAsia"/>
        </w:rPr>
        <w:t>应能自动识别货舱温度、压力、气体浓度等超限情况。</w:t>
      </w:r>
    </w:p>
    <w:p w14:paraId="031E9F3D">
      <w:pPr>
        <w:pStyle w:val="165"/>
        <w:spacing w:line="360" w:lineRule="auto"/>
        <w:rPr>
          <w:rFonts w:hint="eastAsia"/>
        </w:rPr>
      </w:pPr>
      <w:r>
        <w:rPr>
          <w:rFonts w:hint="eastAsia"/>
        </w:rPr>
        <w:t>应具备传感器故障、通信中断、视频丢失等系统异常的识别功能。</w:t>
      </w:r>
    </w:p>
    <w:p w14:paraId="5F74D080">
      <w:pPr>
        <w:pStyle w:val="105"/>
        <w:spacing w:before="120" w:after="120" w:line="360" w:lineRule="auto"/>
        <w:rPr>
          <w:rFonts w:hint="eastAsia"/>
        </w:rPr>
      </w:pPr>
      <w:r>
        <w:rPr>
          <w:rFonts w:hint="eastAsia"/>
        </w:rPr>
        <w:t>分级预警</w:t>
      </w:r>
    </w:p>
    <w:p w14:paraId="1F6FA288">
      <w:pPr>
        <w:pStyle w:val="165"/>
        <w:spacing w:line="360" w:lineRule="auto"/>
        <w:rPr>
          <w:rFonts w:hint="eastAsia"/>
        </w:rPr>
      </w:pPr>
      <w:r>
        <w:rPr>
          <w:rFonts w:hint="eastAsia"/>
        </w:rPr>
        <w:t>系统应根据事件严重程度，将预警分为一般、重要和重大三个等级。</w:t>
      </w:r>
    </w:p>
    <w:p w14:paraId="18BB01B1">
      <w:pPr>
        <w:pStyle w:val="165"/>
        <w:spacing w:line="360" w:lineRule="auto"/>
        <w:rPr>
          <w:rFonts w:hint="eastAsia"/>
        </w:rPr>
      </w:pPr>
      <w:r>
        <w:rPr>
          <w:rFonts w:hint="eastAsia"/>
        </w:rPr>
        <w:t>一般预警用于提醒驾驶员或管理人员注意，如轻微超速、短时偏离路线等。</w:t>
      </w:r>
    </w:p>
    <w:p w14:paraId="593CA550">
      <w:pPr>
        <w:pStyle w:val="165"/>
        <w:spacing w:line="360" w:lineRule="auto"/>
        <w:rPr>
          <w:rFonts w:hint="eastAsia"/>
        </w:rPr>
      </w:pPr>
      <w:r>
        <w:rPr>
          <w:rFonts w:hint="eastAsia"/>
        </w:rPr>
        <w:t>重要预警需及时通知管理人员并记录，如货舱温度接近安全上限、驾驶员疲劳等。</w:t>
      </w:r>
    </w:p>
    <w:p w14:paraId="069EC8E1">
      <w:pPr>
        <w:pStyle w:val="165"/>
        <w:spacing w:line="360" w:lineRule="auto"/>
        <w:rPr>
          <w:rFonts w:hint="eastAsia"/>
        </w:rPr>
      </w:pPr>
      <w:r>
        <w:rPr>
          <w:rFonts w:hint="eastAsia"/>
        </w:rPr>
        <w:t>重大预警需立即启动应急响应程序，如货舱内可燃气体浓度超标、严重交通事故等。</w:t>
      </w:r>
    </w:p>
    <w:p w14:paraId="04016CD4">
      <w:pPr>
        <w:pStyle w:val="105"/>
        <w:spacing w:before="120" w:after="120" w:line="360" w:lineRule="auto"/>
        <w:rPr>
          <w:rFonts w:hint="eastAsia"/>
        </w:rPr>
      </w:pPr>
      <w:r>
        <w:rPr>
          <w:rFonts w:hint="eastAsia"/>
        </w:rPr>
        <w:t>预警信息推送</w:t>
      </w:r>
    </w:p>
    <w:p w14:paraId="45B8ADBF">
      <w:pPr>
        <w:pStyle w:val="165"/>
        <w:spacing w:line="360" w:lineRule="auto"/>
        <w:rPr>
          <w:rFonts w:hint="eastAsia"/>
        </w:rPr>
      </w:pPr>
      <w:r>
        <w:rPr>
          <w:rFonts w:hint="eastAsia"/>
        </w:rPr>
        <w:t>预警信息应通过多渠道推送，包括平台弹窗、短信、APP推送、语音报警等。</w:t>
      </w:r>
    </w:p>
    <w:p w14:paraId="58EE6315">
      <w:pPr>
        <w:pStyle w:val="165"/>
        <w:spacing w:line="360" w:lineRule="auto"/>
        <w:rPr>
          <w:rFonts w:hint="eastAsia"/>
        </w:rPr>
      </w:pPr>
      <w:r>
        <w:rPr>
          <w:rFonts w:hint="eastAsia"/>
        </w:rPr>
        <w:t>推送内容应包含事件类型、时间、位置、车辆信息及相关参数。</w:t>
      </w:r>
    </w:p>
    <w:p w14:paraId="4C5C0FA5">
      <w:pPr>
        <w:pStyle w:val="165"/>
        <w:spacing w:line="360" w:lineRule="auto"/>
        <w:rPr>
          <w:rFonts w:hint="eastAsia"/>
        </w:rPr>
      </w:pPr>
      <w:r>
        <w:rPr>
          <w:rFonts w:hint="eastAsia"/>
        </w:rPr>
        <w:t>对重大预警，应在30秒内将信息发送至应急管理部门和企业安全管理中心。</w:t>
      </w:r>
    </w:p>
    <w:p w14:paraId="26F2A45B">
      <w:pPr>
        <w:pStyle w:val="105"/>
        <w:spacing w:before="120" w:after="120" w:line="360" w:lineRule="auto"/>
        <w:rPr>
          <w:rFonts w:hint="eastAsia"/>
        </w:rPr>
      </w:pPr>
      <w:r>
        <w:rPr>
          <w:rFonts w:hint="eastAsia"/>
        </w:rPr>
        <w:t>处置反馈</w:t>
      </w:r>
    </w:p>
    <w:p w14:paraId="45981013">
      <w:pPr>
        <w:pStyle w:val="165"/>
        <w:spacing w:line="360" w:lineRule="auto"/>
        <w:rPr>
          <w:rFonts w:hint="eastAsia"/>
        </w:rPr>
      </w:pPr>
      <w:r>
        <w:rPr>
          <w:rFonts w:hint="eastAsia"/>
        </w:rPr>
        <w:t>系统应记录每次预警的处置过程，包括响应时间、处置措施及结果。</w:t>
      </w:r>
    </w:p>
    <w:p w14:paraId="75AD91A6">
      <w:pPr>
        <w:pStyle w:val="165"/>
        <w:spacing w:line="360" w:lineRule="auto"/>
        <w:rPr>
          <w:rFonts w:hint="eastAsia"/>
        </w:rPr>
      </w:pPr>
      <w:r>
        <w:rPr>
          <w:rFonts w:hint="eastAsia"/>
        </w:rPr>
        <w:t>对未处置或处置超时的事件，系统应自动升级为更高级别预警并再次推送。</w:t>
      </w:r>
    </w:p>
    <w:p w14:paraId="1EB98AF6">
      <w:pPr>
        <w:pStyle w:val="165"/>
        <w:spacing w:line="360" w:lineRule="auto"/>
        <w:rPr>
          <w:rFonts w:hint="eastAsia"/>
        </w:rPr>
      </w:pPr>
      <w:r>
        <w:rPr>
          <w:rFonts w:hint="eastAsia"/>
        </w:rPr>
        <w:t>所有预警记录应保存不少于12个月，以备追溯分析。</w:t>
      </w:r>
    </w:p>
    <w:p w14:paraId="4D73A9F3">
      <w:pPr>
        <w:pStyle w:val="104"/>
        <w:spacing w:before="240" w:after="240" w:line="360" w:lineRule="auto"/>
        <w:rPr>
          <w:rFonts w:hint="eastAsia"/>
        </w:rPr>
      </w:pPr>
      <w:bookmarkStart w:id="56" w:name="_Toc205552968"/>
      <w:r>
        <w:rPr>
          <w:rFonts w:hint="eastAsia"/>
        </w:rPr>
        <w:t>应急联动与处置要求</w:t>
      </w:r>
      <w:bookmarkEnd w:id="56"/>
    </w:p>
    <w:p w14:paraId="694BA0B9">
      <w:pPr>
        <w:pStyle w:val="105"/>
        <w:spacing w:before="120" w:after="120" w:line="360" w:lineRule="auto"/>
        <w:rPr>
          <w:rFonts w:hint="eastAsia"/>
        </w:rPr>
      </w:pPr>
      <w:r>
        <w:rPr>
          <w:rFonts w:hint="eastAsia"/>
        </w:rPr>
        <w:t>总体要求</w:t>
      </w:r>
    </w:p>
    <w:p w14:paraId="1561C40F">
      <w:pPr>
        <w:pStyle w:val="56"/>
        <w:spacing w:line="360" w:lineRule="auto"/>
        <w:ind w:firstLine="420"/>
        <w:rPr>
          <w:rFonts w:hint="eastAsia"/>
        </w:rPr>
      </w:pPr>
      <w:r>
        <w:rPr>
          <w:rFonts w:hint="eastAsia"/>
        </w:rPr>
        <w:t>系统应具备在危化品运输过程中发生重大异常或事故时，快速启动应急响应机制的能力，实现信息上报、资源调度和多方协同处置，最大限度减少人员伤亡、财产损失和环境污染。</w:t>
      </w:r>
    </w:p>
    <w:p w14:paraId="5B1DE27A">
      <w:pPr>
        <w:pStyle w:val="105"/>
        <w:spacing w:before="120" w:after="120" w:line="360" w:lineRule="auto"/>
        <w:rPr>
          <w:rFonts w:hint="eastAsia"/>
        </w:rPr>
      </w:pPr>
      <w:r>
        <w:rPr>
          <w:rFonts w:hint="eastAsia"/>
        </w:rPr>
        <w:t>自动联动机制</w:t>
      </w:r>
    </w:p>
    <w:p w14:paraId="248638DD">
      <w:pPr>
        <w:pStyle w:val="165"/>
        <w:spacing w:line="360" w:lineRule="auto"/>
        <w:rPr>
          <w:rFonts w:hint="eastAsia"/>
        </w:rPr>
      </w:pPr>
      <w:r>
        <w:rPr>
          <w:rFonts w:hint="eastAsia"/>
        </w:rPr>
        <w:t>当监测数据触发重大预警阈值时，系统应自动生成应急事件信息，并同步推送至企业安全管理中心和政府应急管理平台。</w:t>
      </w:r>
    </w:p>
    <w:p w14:paraId="4C404842">
      <w:pPr>
        <w:pStyle w:val="165"/>
        <w:spacing w:line="360" w:lineRule="auto"/>
        <w:rPr>
          <w:rFonts w:hint="eastAsia"/>
        </w:rPr>
      </w:pPr>
      <w:r>
        <w:rPr>
          <w:rFonts w:hint="eastAsia"/>
        </w:rPr>
        <w:t>系统应根据事件类型自动调用预设的应急处置预案，并向相关部门推送应急指导信息。</w:t>
      </w:r>
    </w:p>
    <w:p w14:paraId="5920DAE0">
      <w:pPr>
        <w:pStyle w:val="165"/>
        <w:spacing w:line="360" w:lineRule="auto"/>
        <w:rPr>
          <w:rFonts w:hint="eastAsia"/>
        </w:rPr>
      </w:pPr>
      <w:r>
        <w:rPr>
          <w:rFonts w:hint="eastAsia"/>
        </w:rPr>
        <w:t>对具备远程控制功能的运输车辆，应支持远程限速、断油断电等安全干预操作（需符合相关法规）。</w:t>
      </w:r>
    </w:p>
    <w:p w14:paraId="421AE6EF">
      <w:pPr>
        <w:pStyle w:val="105"/>
        <w:spacing w:before="120" w:after="120" w:line="360" w:lineRule="auto"/>
        <w:rPr>
          <w:rFonts w:hint="eastAsia"/>
        </w:rPr>
      </w:pPr>
      <w:r>
        <w:rPr>
          <w:rFonts w:hint="eastAsia"/>
        </w:rPr>
        <w:t>信息上报与共享</w:t>
      </w:r>
    </w:p>
    <w:p w14:paraId="1D1A4315">
      <w:pPr>
        <w:pStyle w:val="165"/>
        <w:spacing w:line="360" w:lineRule="auto"/>
        <w:rPr>
          <w:rFonts w:hint="eastAsia"/>
        </w:rPr>
      </w:pPr>
      <w:r>
        <w:rPr>
          <w:rFonts w:hint="eastAsia"/>
        </w:rPr>
        <w:t>应急事件信息应包括事件类型、发生时间、位置、涉及车辆和货物信息、监测参数及现场视频截图。</w:t>
      </w:r>
    </w:p>
    <w:p w14:paraId="138C3175">
      <w:pPr>
        <w:pStyle w:val="165"/>
        <w:spacing w:line="360" w:lineRule="auto"/>
        <w:rPr>
          <w:rFonts w:hint="eastAsia"/>
        </w:rPr>
      </w:pPr>
      <w:r>
        <w:rPr>
          <w:rFonts w:hint="eastAsia"/>
        </w:rPr>
        <w:t>系统应支持一键上报功能，将关键信息在30秒内传递至应急管理部门、交警、消防、环保等相关单位。</w:t>
      </w:r>
    </w:p>
    <w:p w14:paraId="04520B28">
      <w:pPr>
        <w:pStyle w:val="165"/>
        <w:spacing w:line="360" w:lineRule="auto"/>
        <w:rPr>
          <w:rFonts w:hint="eastAsia"/>
        </w:rPr>
      </w:pPr>
      <w:r>
        <w:rPr>
          <w:rFonts w:hint="eastAsia"/>
        </w:rPr>
        <w:t>应支持多部门间的信息共享和联动指挥，避免重复调度和信息延迟。</w:t>
      </w:r>
    </w:p>
    <w:p w14:paraId="631DE7C7">
      <w:pPr>
        <w:pStyle w:val="105"/>
        <w:spacing w:before="120" w:after="120" w:line="360" w:lineRule="auto"/>
        <w:rPr>
          <w:rFonts w:hint="eastAsia"/>
        </w:rPr>
      </w:pPr>
      <w:r>
        <w:rPr>
          <w:rFonts w:hint="eastAsia"/>
        </w:rPr>
        <w:t>应急指挥与处置</w:t>
      </w:r>
    </w:p>
    <w:p w14:paraId="0D519663">
      <w:pPr>
        <w:pStyle w:val="165"/>
        <w:spacing w:line="360" w:lineRule="auto"/>
        <w:rPr>
          <w:rFonts w:hint="eastAsia"/>
        </w:rPr>
      </w:pPr>
      <w:r>
        <w:rPr>
          <w:rFonts w:hint="eastAsia"/>
        </w:rPr>
        <w:t>系统应与应急指挥平台互联，实现地图标注、视频会商、语音指令下达等功能。</w:t>
      </w:r>
    </w:p>
    <w:p w14:paraId="0E030652">
      <w:pPr>
        <w:pStyle w:val="165"/>
        <w:spacing w:line="360" w:lineRule="auto"/>
        <w:rPr>
          <w:rFonts w:hint="eastAsia"/>
        </w:rPr>
      </w:pPr>
      <w:r>
        <w:rPr>
          <w:rFonts w:hint="eastAsia"/>
        </w:rPr>
        <w:t>应支持应急物资、救援车辆和人员的定位与调度，实时反馈救援进展。</w:t>
      </w:r>
    </w:p>
    <w:p w14:paraId="25162DAA">
      <w:pPr>
        <w:pStyle w:val="165"/>
        <w:spacing w:line="360" w:lineRule="auto"/>
        <w:rPr>
          <w:rFonts w:hint="eastAsia"/>
        </w:rPr>
      </w:pPr>
      <w:r>
        <w:rPr>
          <w:rFonts w:hint="eastAsia"/>
        </w:rPr>
        <w:t>事故处置过程中应实时采集现场数据（如气体浓度、温度、风向等）并传输至指挥中心。</w:t>
      </w:r>
    </w:p>
    <w:p w14:paraId="36B6F5C4">
      <w:pPr>
        <w:pStyle w:val="105"/>
        <w:spacing w:before="120" w:after="120" w:line="360" w:lineRule="auto"/>
        <w:rPr>
          <w:rFonts w:hint="eastAsia"/>
        </w:rPr>
      </w:pPr>
      <w:r>
        <w:rPr>
          <w:rFonts w:hint="eastAsia"/>
        </w:rPr>
        <w:t>事后评估与改进</w:t>
      </w:r>
    </w:p>
    <w:p w14:paraId="23FF3A6B">
      <w:pPr>
        <w:pStyle w:val="165"/>
        <w:spacing w:line="360" w:lineRule="auto"/>
        <w:rPr>
          <w:rFonts w:hint="eastAsia"/>
        </w:rPr>
      </w:pPr>
      <w:r>
        <w:rPr>
          <w:rFonts w:hint="eastAsia"/>
        </w:rPr>
        <w:t>系统应对每次应急处置过程进行全程记录，并生成事后分析报告。</w:t>
      </w:r>
    </w:p>
    <w:p w14:paraId="1170E906">
      <w:pPr>
        <w:pStyle w:val="165"/>
        <w:spacing w:line="360" w:lineRule="auto"/>
        <w:rPr>
          <w:rFonts w:hint="eastAsia"/>
        </w:rPr>
      </w:pPr>
      <w:r>
        <w:rPr>
          <w:rFonts w:hint="eastAsia"/>
        </w:rPr>
        <w:t>应根据评估结果更新和优化应急预案及联动机制。</w:t>
      </w:r>
    </w:p>
    <w:p w14:paraId="69D8563A">
      <w:pPr>
        <w:pStyle w:val="165"/>
        <w:spacing w:line="360" w:lineRule="auto"/>
      </w:pPr>
      <w:r>
        <w:rPr>
          <w:rFonts w:hint="eastAsia"/>
        </w:rPr>
        <w:t>对在处置过程中发现的技术或管理问题，应及时整改并形成闭环管理。</w:t>
      </w:r>
    </w:p>
    <w:p w14:paraId="61BB57F6">
      <w:pPr>
        <w:pStyle w:val="104"/>
        <w:spacing w:before="240" w:after="240" w:line="360" w:lineRule="auto"/>
        <w:rPr>
          <w:rFonts w:hint="eastAsia"/>
        </w:rPr>
      </w:pPr>
      <w:bookmarkStart w:id="57" w:name="_Toc205552969"/>
      <w:r>
        <w:rPr>
          <w:rFonts w:hint="eastAsia"/>
        </w:rPr>
        <w:t>运行维护与信息安全要求</w:t>
      </w:r>
      <w:bookmarkEnd w:id="57"/>
    </w:p>
    <w:p w14:paraId="6B2A5D5E">
      <w:pPr>
        <w:pStyle w:val="105"/>
        <w:spacing w:before="120" w:after="120" w:line="360" w:lineRule="auto"/>
        <w:rPr>
          <w:rFonts w:hint="eastAsia"/>
        </w:rPr>
      </w:pPr>
      <w:r>
        <w:rPr>
          <w:rFonts w:hint="eastAsia"/>
        </w:rPr>
        <w:t>总体要求</w:t>
      </w:r>
    </w:p>
    <w:p w14:paraId="534CD9A8">
      <w:pPr>
        <w:pStyle w:val="56"/>
        <w:spacing w:line="360" w:lineRule="auto"/>
        <w:ind w:firstLine="420"/>
        <w:rPr>
          <w:rFonts w:hint="eastAsia"/>
        </w:rPr>
      </w:pPr>
      <w:r>
        <w:rPr>
          <w:rFonts w:hint="eastAsia"/>
        </w:rPr>
        <w:t>系统运行维护应覆盖硬件设备、软件平台、通信链路及数据管理全生命周期，确保系统高可用性、高安全性和持续性能优化。</w:t>
      </w:r>
    </w:p>
    <w:p w14:paraId="2756CCB8">
      <w:pPr>
        <w:pStyle w:val="105"/>
        <w:spacing w:before="120" w:after="120" w:line="360" w:lineRule="auto"/>
      </w:pPr>
      <w:r>
        <w:rPr>
          <w:rFonts w:hint="eastAsia"/>
        </w:rPr>
        <w:t>运行维护</w:t>
      </w:r>
    </w:p>
    <w:p w14:paraId="718BE301">
      <w:pPr>
        <w:pStyle w:val="56"/>
        <w:spacing w:line="360" w:lineRule="auto"/>
        <w:ind w:firstLine="420"/>
        <w:rPr>
          <w:rFonts w:hint="eastAsia"/>
        </w:rPr>
      </w:pPr>
      <w:r>
        <w:rPr>
          <w:rFonts w:hint="eastAsia"/>
        </w:rPr>
        <w:t>运行维护要求包含以下内容：</w:t>
      </w:r>
    </w:p>
    <w:p w14:paraId="47F882D7">
      <w:pPr>
        <w:pStyle w:val="132"/>
        <w:spacing w:line="360" w:lineRule="auto"/>
        <w:rPr>
          <w:rFonts w:hint="eastAsia"/>
        </w:rPr>
      </w:pPr>
      <w:r>
        <w:rPr>
          <w:rFonts w:hint="eastAsia"/>
        </w:rPr>
        <w:t>建立系统运维管理制度，明确运维人员职责、流程和考核标准；</w:t>
      </w:r>
    </w:p>
    <w:p w14:paraId="23C03D56">
      <w:pPr>
        <w:pStyle w:val="132"/>
        <w:spacing w:line="360" w:lineRule="auto"/>
        <w:rPr>
          <w:rFonts w:hint="eastAsia"/>
        </w:rPr>
      </w:pPr>
      <w:r>
        <w:rPr>
          <w:rFonts w:hint="eastAsia"/>
        </w:rPr>
        <w:t>硬件设备应定期检查和保养，包括车辆终端、传感器、摄像机、通信模块等，确保功能正常；</w:t>
      </w:r>
    </w:p>
    <w:p w14:paraId="20FDCDCF">
      <w:pPr>
        <w:pStyle w:val="132"/>
        <w:spacing w:line="360" w:lineRule="auto"/>
        <w:rPr>
          <w:rFonts w:hint="eastAsia"/>
        </w:rPr>
      </w:pPr>
      <w:r>
        <w:rPr>
          <w:rFonts w:hint="eastAsia"/>
        </w:rPr>
        <w:t>软件平台应定期升级和补丁更新，修复安全漏洞并优化功能；</w:t>
      </w:r>
    </w:p>
    <w:p w14:paraId="43CD2F34">
      <w:pPr>
        <w:pStyle w:val="132"/>
        <w:spacing w:line="360" w:lineRule="auto"/>
        <w:rPr>
          <w:rFonts w:hint="eastAsia"/>
        </w:rPr>
      </w:pPr>
      <w:r>
        <w:rPr>
          <w:rFonts w:hint="eastAsia"/>
        </w:rPr>
        <w:t>通信链路应配置冗余通道，并定期测试切换功能，防止单点故障；</w:t>
      </w:r>
    </w:p>
    <w:p w14:paraId="3198AFCA">
      <w:pPr>
        <w:pStyle w:val="132"/>
        <w:spacing w:line="360" w:lineRule="auto"/>
        <w:rPr>
          <w:rFonts w:hint="eastAsia"/>
        </w:rPr>
      </w:pPr>
      <w:r>
        <w:rPr>
          <w:rFonts w:hint="eastAsia"/>
        </w:rPr>
        <w:t>应建立故障处理机制，重大故障应在2小时内响应并启动应急处理。</w:t>
      </w:r>
    </w:p>
    <w:p w14:paraId="18BF054A">
      <w:pPr>
        <w:pStyle w:val="105"/>
        <w:spacing w:before="120" w:after="120" w:line="360" w:lineRule="auto"/>
        <w:rPr>
          <w:rFonts w:hint="eastAsia"/>
        </w:rPr>
      </w:pPr>
      <w:r>
        <w:rPr>
          <w:rFonts w:hint="eastAsia"/>
        </w:rPr>
        <w:t>信息安全</w:t>
      </w:r>
    </w:p>
    <w:p w14:paraId="733AB4C2">
      <w:pPr>
        <w:pStyle w:val="165"/>
        <w:spacing w:line="360" w:lineRule="auto"/>
        <w:rPr>
          <w:rFonts w:hint="eastAsia"/>
        </w:rPr>
      </w:pPr>
      <w:r>
        <w:rPr>
          <w:rFonts w:hint="eastAsia"/>
        </w:rPr>
        <w:t>数据在采集、传输、存储和处理全过程应采用加密技术，防止非法窃取和篡改。</w:t>
      </w:r>
    </w:p>
    <w:p w14:paraId="2E355E41">
      <w:pPr>
        <w:pStyle w:val="165"/>
        <w:spacing w:line="360" w:lineRule="auto"/>
        <w:rPr>
          <w:rFonts w:hint="eastAsia"/>
        </w:rPr>
      </w:pPr>
      <w:r>
        <w:rPr>
          <w:rFonts w:hint="eastAsia"/>
        </w:rPr>
        <w:t>平台应实行多级访问权限控制，敏感操作需双重身份验证。</w:t>
      </w:r>
    </w:p>
    <w:p w14:paraId="506DAD1E">
      <w:pPr>
        <w:pStyle w:val="165"/>
        <w:spacing w:line="360" w:lineRule="auto"/>
        <w:rPr>
          <w:rFonts w:hint="eastAsia"/>
        </w:rPr>
      </w:pPr>
      <w:r>
        <w:rPr>
          <w:rFonts w:hint="eastAsia"/>
        </w:rPr>
        <w:t>所有用户操作应记录日志并保存不少于12个月。</w:t>
      </w:r>
    </w:p>
    <w:p w14:paraId="1A973902">
      <w:pPr>
        <w:pStyle w:val="165"/>
        <w:spacing w:line="360" w:lineRule="auto"/>
        <w:rPr>
          <w:rFonts w:hint="eastAsia"/>
        </w:rPr>
      </w:pPr>
      <w:r>
        <w:rPr>
          <w:rFonts w:hint="eastAsia"/>
        </w:rPr>
        <w:t>对存储的个人信息和商业机密，应采用脱敏处理并遵守相关隐私保护要求。</w:t>
      </w:r>
    </w:p>
    <w:p w14:paraId="3672C4CA">
      <w:pPr>
        <w:pStyle w:val="165"/>
        <w:spacing w:line="360" w:lineRule="auto"/>
        <w:rPr>
          <w:rFonts w:hint="eastAsia"/>
        </w:rPr>
      </w:pPr>
      <w:r>
        <w:rPr>
          <w:rFonts w:hint="eastAsia"/>
        </w:rPr>
        <w:t>定期开展安全漏洞扫描与渗透测试，及时修复安全隐患。</w:t>
      </w:r>
    </w:p>
    <w:p w14:paraId="14AE3FF6">
      <w:pPr>
        <w:pStyle w:val="105"/>
        <w:spacing w:before="120" w:after="120" w:line="360" w:lineRule="auto"/>
        <w:rPr>
          <w:rFonts w:hint="eastAsia"/>
        </w:rPr>
      </w:pPr>
      <w:r>
        <w:rPr>
          <w:rFonts w:hint="eastAsia"/>
        </w:rPr>
        <w:t>灾备与容灾</w:t>
      </w:r>
    </w:p>
    <w:p w14:paraId="7BD88FDD">
      <w:pPr>
        <w:pStyle w:val="165"/>
        <w:spacing w:line="360" w:lineRule="auto"/>
        <w:rPr>
          <w:rFonts w:hint="eastAsia"/>
        </w:rPr>
      </w:pPr>
      <w:r>
        <w:rPr>
          <w:rFonts w:hint="eastAsia"/>
        </w:rPr>
        <w:t>平台应配置数据备份与恢复机制，备份周期不超过24小时，备份数据应存储于异地安全环境。</w:t>
      </w:r>
    </w:p>
    <w:p w14:paraId="3E1406C6">
      <w:pPr>
        <w:pStyle w:val="165"/>
        <w:spacing w:line="360" w:lineRule="auto"/>
        <w:rPr>
          <w:rFonts w:hint="eastAsia"/>
        </w:rPr>
      </w:pPr>
      <w:r>
        <w:rPr>
          <w:rFonts w:hint="eastAsia"/>
        </w:rPr>
        <w:t>关键业务应具备容灾切换能力，确保重大故障情况下业务不中断。</w:t>
      </w:r>
    </w:p>
    <w:p w14:paraId="2154AC94">
      <w:pPr>
        <w:pStyle w:val="165"/>
        <w:spacing w:line="360" w:lineRule="auto"/>
        <w:rPr>
          <w:rFonts w:hint="eastAsia"/>
        </w:rPr>
      </w:pPr>
      <w:r>
        <w:rPr>
          <w:rFonts w:hint="eastAsia"/>
        </w:rPr>
        <w:t>应定期组织容灾演练，验证应急恢复方案的有效性。</w:t>
      </w:r>
    </w:p>
    <w:p w14:paraId="28A16E0C">
      <w:pPr>
        <w:pStyle w:val="105"/>
        <w:spacing w:before="120" w:after="120" w:line="360" w:lineRule="auto"/>
        <w:rPr>
          <w:rFonts w:hint="eastAsia"/>
        </w:rPr>
      </w:pPr>
      <w:r>
        <w:rPr>
          <w:rFonts w:hint="eastAsia"/>
        </w:rPr>
        <w:t>持续改进</w:t>
      </w:r>
    </w:p>
    <w:p w14:paraId="540792FB">
      <w:pPr>
        <w:pStyle w:val="165"/>
        <w:spacing w:line="360" w:lineRule="auto"/>
        <w:rPr>
          <w:rFonts w:hint="eastAsia"/>
        </w:rPr>
      </w:pPr>
      <w:r>
        <w:rPr>
          <w:rFonts w:hint="eastAsia"/>
        </w:rPr>
        <w:t>应根据运行数据、故障记录和用户反馈，持续优化系统功能与性能。</w:t>
      </w:r>
    </w:p>
    <w:p w14:paraId="419E921B">
      <w:pPr>
        <w:pStyle w:val="165"/>
        <w:spacing w:line="360" w:lineRule="auto"/>
        <w:rPr>
          <w:rFonts w:hint="eastAsia"/>
        </w:rPr>
      </w:pPr>
      <w:r>
        <w:rPr>
          <w:rFonts w:hint="eastAsia"/>
        </w:rPr>
        <w:t>引入人工智能、大数据分析等先进技术，提高系统的智能化水平。</w:t>
      </w:r>
    </w:p>
    <w:p w14:paraId="07683911">
      <w:pPr>
        <w:pStyle w:val="165"/>
        <w:spacing w:line="360" w:lineRule="auto"/>
      </w:pPr>
      <w:r>
        <w:rPr>
          <w:rFonts w:hint="eastAsia"/>
        </w:rPr>
        <w:t>定期对运维人员进行培训，提升安全管理与技术保障能力。</w:t>
      </w:r>
    </w:p>
    <w:p w14:paraId="2492BC56">
      <w:pPr>
        <w:pStyle w:val="104"/>
        <w:spacing w:before="240" w:after="240" w:line="360" w:lineRule="auto"/>
        <w:rPr>
          <w:rFonts w:hint="eastAsia"/>
        </w:rPr>
      </w:pPr>
      <w:bookmarkStart w:id="58" w:name="_Toc205552970"/>
      <w:r>
        <w:rPr>
          <w:rFonts w:hint="eastAsia"/>
        </w:rPr>
        <w:t>验收与评估要求</w:t>
      </w:r>
      <w:bookmarkEnd w:id="58"/>
    </w:p>
    <w:p w14:paraId="2C4FF3BA">
      <w:pPr>
        <w:pStyle w:val="105"/>
        <w:spacing w:before="120" w:after="120" w:line="360" w:lineRule="auto"/>
        <w:rPr>
          <w:rFonts w:hint="eastAsia"/>
        </w:rPr>
      </w:pPr>
      <w:r>
        <w:rPr>
          <w:rFonts w:hint="eastAsia"/>
        </w:rPr>
        <w:t>总体要求</w:t>
      </w:r>
    </w:p>
    <w:p w14:paraId="12460129">
      <w:pPr>
        <w:pStyle w:val="56"/>
        <w:spacing w:line="360" w:lineRule="auto"/>
        <w:ind w:firstLine="420"/>
        <w:rPr>
          <w:rFonts w:hint="eastAsia"/>
        </w:rPr>
      </w:pPr>
      <w:r>
        <w:rPr>
          <w:rFonts w:hint="eastAsia"/>
        </w:rPr>
        <w:t>危化品运输智能监测系统建设完成后，应按照本文件的要求组织验收与评估，确保系统功能、性能、安全性及可用性满足设计目标和合同约定。</w:t>
      </w:r>
    </w:p>
    <w:p w14:paraId="072F873A">
      <w:pPr>
        <w:pStyle w:val="105"/>
        <w:spacing w:before="120" w:after="120" w:line="360" w:lineRule="auto"/>
        <w:rPr>
          <w:rFonts w:hint="eastAsia"/>
        </w:rPr>
      </w:pPr>
      <w:r>
        <w:rPr>
          <w:rFonts w:hint="eastAsia"/>
        </w:rPr>
        <w:t>验收条件</w:t>
      </w:r>
    </w:p>
    <w:p w14:paraId="456367AE">
      <w:pPr>
        <w:pStyle w:val="165"/>
        <w:spacing w:line="360" w:lineRule="auto"/>
        <w:rPr>
          <w:rFonts w:hint="eastAsia"/>
        </w:rPr>
      </w:pPr>
      <w:r>
        <w:rPr>
          <w:rFonts w:hint="eastAsia"/>
        </w:rPr>
        <w:t>系统建设已完成合同及设计方案中规定的全部工作内容。</w:t>
      </w:r>
    </w:p>
    <w:p w14:paraId="118D4D1D">
      <w:pPr>
        <w:pStyle w:val="165"/>
        <w:spacing w:line="360" w:lineRule="auto"/>
        <w:rPr>
          <w:rFonts w:hint="eastAsia"/>
        </w:rPr>
      </w:pPr>
      <w:r>
        <w:rPr>
          <w:rFonts w:hint="eastAsia"/>
        </w:rPr>
        <w:t>所有硬件设备安装调试完成，运行正常。</w:t>
      </w:r>
    </w:p>
    <w:p w14:paraId="74D40F46">
      <w:pPr>
        <w:pStyle w:val="165"/>
        <w:spacing w:line="360" w:lineRule="auto"/>
        <w:rPr>
          <w:rFonts w:hint="eastAsia"/>
        </w:rPr>
      </w:pPr>
      <w:r>
        <w:rPr>
          <w:rFonts w:hint="eastAsia"/>
        </w:rPr>
        <w:t>软件平台部署完成，具备稳定的访问和数据处理能力。</w:t>
      </w:r>
    </w:p>
    <w:p w14:paraId="065AE40C">
      <w:pPr>
        <w:pStyle w:val="165"/>
        <w:spacing w:line="360" w:lineRule="auto"/>
        <w:rPr>
          <w:rFonts w:hint="eastAsia"/>
        </w:rPr>
      </w:pPr>
      <w:r>
        <w:rPr>
          <w:rFonts w:hint="eastAsia"/>
        </w:rPr>
        <w:t>与监管平台及企业内部系统的数据对接测试通过。</w:t>
      </w:r>
    </w:p>
    <w:p w14:paraId="67EB5E53">
      <w:pPr>
        <w:pStyle w:val="165"/>
        <w:spacing w:line="360" w:lineRule="auto"/>
        <w:rPr>
          <w:rFonts w:hint="eastAsia"/>
        </w:rPr>
      </w:pPr>
      <w:r>
        <w:rPr>
          <w:rFonts w:hint="eastAsia"/>
        </w:rPr>
        <w:t>提交完整的技术文档、运维手册、培训资料和测试报告。</w:t>
      </w:r>
    </w:p>
    <w:p w14:paraId="33AA4697">
      <w:pPr>
        <w:pStyle w:val="105"/>
        <w:spacing w:before="120" w:after="120" w:line="360" w:lineRule="auto"/>
      </w:pPr>
      <w:r>
        <w:rPr>
          <w:rFonts w:hint="eastAsia"/>
        </w:rPr>
        <w:t>验收流程</w:t>
      </w:r>
    </w:p>
    <w:p w14:paraId="0CEDF1B3">
      <w:pPr>
        <w:pStyle w:val="56"/>
        <w:spacing w:line="360" w:lineRule="auto"/>
        <w:ind w:firstLine="420"/>
        <w:rPr>
          <w:rFonts w:hint="eastAsia"/>
        </w:rPr>
      </w:pPr>
      <w:r>
        <w:rPr>
          <w:rFonts w:hint="eastAsia"/>
        </w:rPr>
        <w:t>验收流程如下：</w:t>
      </w:r>
    </w:p>
    <w:p w14:paraId="2662EB2B">
      <w:pPr>
        <w:pStyle w:val="174"/>
        <w:numPr>
          <w:ilvl w:val="0"/>
          <w:numId w:val="32"/>
        </w:numPr>
        <w:spacing w:line="360" w:lineRule="auto"/>
        <w:rPr>
          <w:rFonts w:hint="eastAsia"/>
        </w:rPr>
      </w:pPr>
      <w:r>
        <w:rPr>
          <w:rFonts w:hint="eastAsia"/>
        </w:rPr>
        <w:t>资料审查：检查系统设计文件、施工记录、设备清单、测试报告和相关技术文档；</w:t>
      </w:r>
    </w:p>
    <w:p w14:paraId="3BE4A212">
      <w:pPr>
        <w:pStyle w:val="174"/>
        <w:spacing w:line="360" w:lineRule="auto"/>
        <w:rPr>
          <w:rFonts w:hint="eastAsia"/>
        </w:rPr>
      </w:pPr>
      <w:r>
        <w:rPr>
          <w:rFonts w:hint="eastAsia"/>
        </w:rPr>
        <w:t>功能测试：逐项验证系统功能是否符合设计要求，包括实时监控、预警报警、应急联动、数据管理、安全防护等；</w:t>
      </w:r>
    </w:p>
    <w:p w14:paraId="4D2A5106">
      <w:pPr>
        <w:pStyle w:val="174"/>
        <w:spacing w:line="360" w:lineRule="auto"/>
        <w:rPr>
          <w:rFonts w:hint="eastAsia"/>
        </w:rPr>
      </w:pPr>
      <w:r>
        <w:rPr>
          <w:rFonts w:hint="eastAsia"/>
        </w:rPr>
        <w:t>性能测试：检测系统在高并发访问、长时间运行等条件下的稳定性与响应速度；</w:t>
      </w:r>
    </w:p>
    <w:p w14:paraId="6B732DC4">
      <w:pPr>
        <w:pStyle w:val="174"/>
        <w:spacing w:line="360" w:lineRule="auto"/>
        <w:rPr>
          <w:rFonts w:hint="eastAsia"/>
        </w:rPr>
      </w:pPr>
      <w:r>
        <w:rPr>
          <w:rFonts w:hint="eastAsia"/>
        </w:rPr>
        <w:t>安全测试：开展网络安全检测、漏洞扫描及数据保护能力验证；</w:t>
      </w:r>
    </w:p>
    <w:p w14:paraId="3CAFA932">
      <w:pPr>
        <w:pStyle w:val="174"/>
        <w:spacing w:line="360" w:lineRule="auto"/>
        <w:rPr>
          <w:rFonts w:hint="eastAsia"/>
        </w:rPr>
      </w:pPr>
      <w:r>
        <w:rPr>
          <w:rFonts w:hint="eastAsia"/>
        </w:rPr>
        <w:t>现场检查：核查设备安装位置、布线规范、供电与散热条件等；</w:t>
      </w:r>
    </w:p>
    <w:p w14:paraId="39FAB9B5">
      <w:pPr>
        <w:pStyle w:val="174"/>
        <w:spacing w:line="360" w:lineRule="auto"/>
        <w:rPr>
          <w:rFonts w:hint="eastAsia"/>
        </w:rPr>
      </w:pPr>
      <w:r>
        <w:rPr>
          <w:rFonts w:hint="eastAsia"/>
        </w:rPr>
        <w:t>综合评定：根据测试与检查结果形成综合评分和验收结论。</w:t>
      </w:r>
    </w:p>
    <w:p w14:paraId="0DE17C79">
      <w:pPr>
        <w:pStyle w:val="105"/>
        <w:spacing w:before="120" w:after="120" w:line="360" w:lineRule="auto"/>
        <w:rPr>
          <w:rFonts w:hint="eastAsia"/>
        </w:rPr>
      </w:pPr>
      <w:r>
        <w:rPr>
          <w:rFonts w:hint="eastAsia"/>
        </w:rPr>
        <w:t>评估指标</w:t>
      </w:r>
    </w:p>
    <w:p w14:paraId="1E70EBB3">
      <w:pPr>
        <w:pStyle w:val="165"/>
        <w:spacing w:line="360" w:lineRule="auto"/>
        <w:rPr>
          <w:rFonts w:hint="eastAsia"/>
        </w:rPr>
      </w:pPr>
      <w:r>
        <w:rPr>
          <w:rFonts w:hint="eastAsia"/>
        </w:rPr>
        <w:t>系统可用性：年度可用率应不低于99%。</w:t>
      </w:r>
    </w:p>
    <w:p w14:paraId="6D0EFF47">
      <w:pPr>
        <w:pStyle w:val="165"/>
        <w:spacing w:line="360" w:lineRule="auto"/>
        <w:rPr>
          <w:rFonts w:hint="eastAsia"/>
        </w:rPr>
      </w:pPr>
      <w:r>
        <w:rPr>
          <w:rFonts w:hint="eastAsia"/>
        </w:rPr>
        <w:t>数据准确性：采集数据与实际值的偏差应符合相关计量标准。</w:t>
      </w:r>
    </w:p>
    <w:p w14:paraId="73642B0B">
      <w:pPr>
        <w:pStyle w:val="165"/>
        <w:spacing w:line="360" w:lineRule="auto"/>
        <w:rPr>
          <w:rFonts w:hint="eastAsia"/>
        </w:rPr>
      </w:pPr>
      <w:r>
        <w:rPr>
          <w:rFonts w:hint="eastAsia"/>
        </w:rPr>
        <w:t>报警及时性：重大预警信息推送延迟不超过30秒。</w:t>
      </w:r>
    </w:p>
    <w:p w14:paraId="64D446B2">
      <w:pPr>
        <w:pStyle w:val="165"/>
        <w:spacing w:line="360" w:lineRule="auto"/>
        <w:rPr>
          <w:rFonts w:hint="eastAsia"/>
        </w:rPr>
      </w:pPr>
      <w:r>
        <w:rPr>
          <w:rFonts w:hint="eastAsia"/>
        </w:rPr>
        <w:t>安全防护水平：网络与信息安全措施符合国家和行业标准要求。</w:t>
      </w:r>
    </w:p>
    <w:p w14:paraId="3EA904B0">
      <w:pPr>
        <w:pStyle w:val="165"/>
        <w:spacing w:line="360" w:lineRule="auto"/>
        <w:rPr>
          <w:rFonts w:hint="eastAsia"/>
        </w:rPr>
      </w:pPr>
      <w:r>
        <w:rPr>
          <w:rFonts w:hint="eastAsia"/>
        </w:rPr>
        <w:t>用户满意度：运维人员和管理用户的满意度不低于85%。</w:t>
      </w:r>
    </w:p>
    <w:p w14:paraId="41A81B8B">
      <w:pPr>
        <w:pStyle w:val="105"/>
        <w:spacing w:before="120" w:after="120" w:line="360" w:lineRule="auto"/>
        <w:rPr>
          <w:rFonts w:hint="eastAsia"/>
        </w:rPr>
      </w:pPr>
      <w:r>
        <w:rPr>
          <w:rFonts w:hint="eastAsia"/>
        </w:rPr>
        <w:t>验收责任</w:t>
      </w:r>
    </w:p>
    <w:p w14:paraId="693575FD">
      <w:pPr>
        <w:pStyle w:val="165"/>
        <w:spacing w:line="360" w:lineRule="auto"/>
        <w:rPr>
          <w:rFonts w:hint="eastAsia"/>
        </w:rPr>
      </w:pPr>
      <w:r>
        <w:rPr>
          <w:rFonts w:hint="eastAsia"/>
        </w:rPr>
        <w:t>建设单位负责组织验收工作，并邀请监理单位、第三方检测机构及相关监管部门参加。</w:t>
      </w:r>
    </w:p>
    <w:p w14:paraId="42FC6A97">
      <w:pPr>
        <w:pStyle w:val="165"/>
        <w:spacing w:line="360" w:lineRule="auto"/>
        <w:rPr>
          <w:rFonts w:hint="eastAsia"/>
        </w:rPr>
      </w:pPr>
      <w:r>
        <w:rPr>
          <w:rFonts w:hint="eastAsia"/>
        </w:rPr>
        <w:t>系统承建方负责提供完整的验收资料，并配合现场测试与问题整改。</w:t>
      </w:r>
    </w:p>
    <w:p w14:paraId="255AD22F">
      <w:pPr>
        <w:pStyle w:val="165"/>
        <w:spacing w:line="360" w:lineRule="auto"/>
        <w:rPr>
          <w:rFonts w:hint="eastAsia"/>
        </w:rPr>
      </w:pPr>
      <w:r>
        <w:rPr>
          <w:rFonts w:hint="eastAsia"/>
        </w:rPr>
        <w:t>验收结论由建设单位牵头，联合各参与方签署验收报告并存档。</w:t>
      </w:r>
    </w:p>
    <w:bookmarkEnd w:id="26"/>
    <w:p w14:paraId="6BE74E31">
      <w:pPr>
        <w:pStyle w:val="56"/>
        <w:ind w:firstLine="0" w:firstLineChars="0"/>
        <w:jc w:val="center"/>
        <w:rPr>
          <w:rFonts w:hint="eastAsia"/>
        </w:rPr>
      </w:pPr>
      <w:bookmarkStart w:id="59" w:name="BookMark8"/>
      <w:r>
        <w:rPr>
          <w:rFonts w:hint="eastAsia"/>
        </w:rPr>
        <w:drawing>
          <wp:inline distT="0" distB="0" distL="0" distR="0">
            <wp:extent cx="1485900" cy="317500"/>
            <wp:effectExtent l="0" t="0" r="0" b="6350"/>
            <wp:docPr id="2098116167" name="图片 1"/>
            <wp:cNvGraphicFramePr/>
            <a:graphic xmlns:a="http://schemas.openxmlformats.org/drawingml/2006/main">
              <a:graphicData uri="http://schemas.openxmlformats.org/drawingml/2006/picture">
                <pic:pic xmlns:pic="http://schemas.openxmlformats.org/drawingml/2006/picture">
                  <pic:nvPicPr>
                    <pic:cNvPr id="2098116167"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13D70">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64734">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E558">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A5E2">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718A7">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6B6">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5EA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6177">
    <w:pPr>
      <w:pStyle w:val="62"/>
    </w:pPr>
    <w:r>
      <w:fldChar w:fldCharType="begin"/>
    </w:r>
    <w:r>
      <w:instrText xml:space="preserve"> STYLEREF  标准文件_文件编号 \* MERGEFORMAT </w:instrText>
    </w:r>
    <w:r>
      <w:fldChar w:fldCharType="separate"/>
    </w:r>
    <w:r>
      <w:t>T/XJBX 0049—2025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0049—2025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0049—2025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8E03">
    <w:pPr>
      <w:pStyle w:val="61"/>
    </w:pPr>
    <w:r>
      <w:fldChar w:fldCharType="begin"/>
    </w:r>
    <w:r>
      <w:instrText xml:space="preserve"> STYLEREF  标准文件_文件编号  \* MERGEFORMAT </w:instrText>
    </w:r>
    <w:r>
      <w:fldChar w:fldCharType="separate"/>
    </w:r>
    <w:r>
      <w:t>T/XJBX 0049—2025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5E9A1">
    <w:pPr>
      <w:pStyle w:val="62"/>
    </w:pPr>
    <w:r>
      <w:fldChar w:fldCharType="begin"/>
    </w:r>
    <w:r>
      <w:instrText xml:space="preserve"> STYLEREF  标准文件_文件编号 \* MERGEFORMAT </w:instrText>
    </w:r>
    <w:r>
      <w:fldChar w:fldCharType="separate"/>
    </w:r>
    <w:r>
      <w:t>T/XJBX 0049—2025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3622">
    <w:pPr>
      <w:pStyle w:val="61"/>
    </w:pPr>
    <w:r>
      <w:fldChar w:fldCharType="begin"/>
    </w:r>
    <w:r>
      <w:instrText xml:space="preserve"> STYLEREF  标准文件_文件编号  \* MERGEFORMAT </w:instrText>
    </w:r>
    <w:r>
      <w:fldChar w:fldCharType="separate"/>
    </w:r>
    <w:r>
      <w:t>T/XJBX 0049—2025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33229">
    <w:pPr>
      <w:pStyle w:val="62"/>
    </w:pPr>
    <w:r>
      <w:fldChar w:fldCharType="begin"/>
    </w:r>
    <w:r>
      <w:instrText xml:space="preserve"> STYLEREF  标准文件_文件编号 \* MERGEFORMAT </w:instrText>
    </w:r>
    <w:r>
      <w:fldChar w:fldCharType="separate"/>
    </w:r>
    <w:r>
      <w:t>T/XJBX 0049—2025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19965">
    <w:pPr>
      <w:pStyle w:val="61"/>
    </w:pPr>
    <w:r>
      <w:fldChar w:fldCharType="begin"/>
    </w:r>
    <w:r>
      <w:instrText xml:space="preserve"> STYLEREF  标准文件_文件编号  \* MERGEFORMAT </w:instrText>
    </w:r>
    <w:r>
      <w:fldChar w:fldCharType="separate"/>
    </w:r>
    <w:r>
      <w:t>T/XJBX 0049—2025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312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FF9"/>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709"/>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8CF"/>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4FC"/>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8D6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4FCB3118">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3BB42010">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6155369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B6BC2"/>
    <w:rsid w:val="002F4A80"/>
    <w:rsid w:val="00AE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6436</Words>
  <Characters>6830</Characters>
  <Lines>59</Lines>
  <Paragraphs>16</Paragraphs>
  <TotalTime>33</TotalTime>
  <ScaleCrop>false</ScaleCrop>
  <LinksUpToDate>false</LinksUpToDate>
  <CharactersWithSpaces>6931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2025-08-11T06:18:09Z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B408158FE8094A4A8EA1E6373BD4AEFF_12</vt:lpwstr>
  </property>
</Properties>
</file>