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28FE8">
      <w:pPr>
        <w:pStyle w:val="41"/>
        <w:framePr w:w="8178" w:h="856" w:hRule="exact" w:wrap="around" w:x="1893"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9FCF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55787AE">
            <w:pPr>
              <w:pStyle w:val="39"/>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ascii="Times New Roman"/>
                <w:b/>
                <w:bCs/>
                <w:lang w:val="fr-FR"/>
              </w:rPr>
              <w:t>RHA</w:t>
            </w:r>
            <w:bookmarkEnd w:id="0"/>
            <w:r>
              <w:rPr>
                <w:rFonts w:ascii="Times New Roman"/>
                <w:lang w:val="fr-FR"/>
              </w:rPr>
              <w:t xml:space="preserve"> </w:t>
            </w:r>
            <w:r>
              <w:rPr>
                <w:lang w:val="fr-FR"/>
              </w:rPr>
              <w:t>XXX—202X</w:t>
            </w:r>
          </w:p>
        </w:tc>
      </w:tr>
    </w:tbl>
    <w:p w14:paraId="683242FD">
      <w:pPr>
        <w:pStyle w:val="39"/>
        <w:framePr w:wrap="around" w:x="1382" w:y="3031"/>
        <w:jc w:val="center"/>
      </w:pPr>
      <w:r>
        <w:rPr>
          <w:rFonts w:hint="eastAsia"/>
        </w:rPr>
        <w:t>————————————————————————————————————————</w:t>
      </w:r>
    </w:p>
    <w:p w14:paraId="6B40CFA8">
      <w:pPr>
        <w:pStyle w:val="39"/>
        <w:framePr w:wrap="around" w:x="1382" w:y="3031"/>
      </w:pPr>
    </w:p>
    <w:p w14:paraId="1DBD2492">
      <w:pPr>
        <w:pStyle w:val="38"/>
        <w:keepNext/>
        <w:keepLines/>
        <w:framePr w:w="9143" w:h="5262" w:hRule="exact" w:wrap="around" w:vAnchor="page" w:hAnchor="page" w:x="1299" w:y="6897" w:anchorLock="1"/>
        <w:ind w:firstLine="0"/>
        <w:jc w:val="center"/>
        <w:outlineLvl w:val="9"/>
        <w:rPr>
          <w:rFonts w:hint="eastAsia" w:ascii="黑体" w:hAnsi="黑体" w:eastAsia="黑体" w:cs="黑体"/>
          <w:color w:val="000000"/>
          <w:sz w:val="52"/>
          <w:szCs w:val="52"/>
          <w:lang w:val="en-US" w:eastAsia="zh-CN"/>
        </w:rPr>
      </w:pPr>
      <w:bookmarkStart w:id="1" w:name="_Toc30098"/>
      <w:bookmarkStart w:id="2" w:name="_Toc18056"/>
      <w:bookmarkStart w:id="3" w:name="_Toc32449"/>
      <w:bookmarkStart w:id="4" w:name="_Toc23927"/>
      <w:bookmarkStart w:id="5" w:name="_Toc202559127"/>
      <w:bookmarkStart w:id="6" w:name="StdEnglishName"/>
      <w:r>
        <w:rPr>
          <w:rFonts w:hint="eastAsia" w:ascii="黑体" w:hAnsi="黑体" w:eastAsia="黑体" w:cs="黑体"/>
          <w:color w:val="000000"/>
          <w:sz w:val="52"/>
          <w:szCs w:val="52"/>
          <w:lang w:val="en-US" w:eastAsia="zh-CN"/>
        </w:rPr>
        <w:t>人脑胶质瘤类器官制备、鉴定、冻存和复苏操作指南</w:t>
      </w:r>
      <w:bookmarkEnd w:id="1"/>
      <w:bookmarkEnd w:id="2"/>
      <w:bookmarkEnd w:id="3"/>
      <w:bookmarkEnd w:id="4"/>
      <w:bookmarkEnd w:id="5"/>
    </w:p>
    <w:p w14:paraId="7C30B0AE">
      <w:pPr>
        <w:pStyle w:val="38"/>
        <w:keepNext/>
        <w:keepLines/>
        <w:framePr w:w="9143" w:h="5262" w:hRule="exact" w:wrap="around" w:vAnchor="page" w:hAnchor="page" w:x="1299" w:y="6897" w:anchorLock="1"/>
        <w:ind w:firstLine="0"/>
        <w:jc w:val="center"/>
        <w:outlineLvl w:val="9"/>
        <w:rPr>
          <w:rFonts w:ascii="Times New Roman" w:hAnsi="Times New Roman" w:eastAsia="黑体" w:cs="Times New Roman"/>
          <w:color w:val="000000"/>
          <w:sz w:val="28"/>
          <w:szCs w:val="28"/>
          <w:lang w:val="en-US" w:eastAsia="zh-CN"/>
        </w:rPr>
      </w:pPr>
      <w:bookmarkStart w:id="7" w:name="_Toc29878"/>
      <w:bookmarkStart w:id="8" w:name="_Toc31477"/>
      <w:bookmarkStart w:id="9" w:name="_Toc202559128"/>
      <w:bookmarkStart w:id="10" w:name="_Toc17221"/>
      <w:bookmarkStart w:id="11" w:name="_Toc15747"/>
      <w:r>
        <w:rPr>
          <w:rFonts w:ascii="Times New Roman" w:hAnsi="Times New Roman" w:eastAsia="黑体" w:cs="Times New Roman"/>
          <w:color w:val="000000"/>
          <w:sz w:val="28"/>
          <w:szCs w:val="28"/>
          <w:lang w:val="en-US" w:eastAsia="zh-CN"/>
        </w:rPr>
        <w:t>Guideline for preparation,</w:t>
      </w:r>
      <w:r>
        <w:rPr>
          <w:rFonts w:hint="eastAsia" w:ascii="Times New Roman" w:hAnsi="Times New Roman" w:eastAsia="黑体" w:cs="Times New Roman"/>
          <w:color w:val="000000"/>
          <w:sz w:val="28"/>
          <w:szCs w:val="28"/>
          <w:lang w:val="en-US" w:eastAsia="zh-CN"/>
        </w:rPr>
        <w:t xml:space="preserve"> </w:t>
      </w:r>
      <w:r>
        <w:rPr>
          <w:rFonts w:ascii="Times New Roman" w:hAnsi="Times New Roman" w:eastAsia="黑体" w:cs="Times New Roman"/>
          <w:color w:val="000000"/>
          <w:sz w:val="28"/>
          <w:szCs w:val="28"/>
          <w:lang w:val="en-US" w:eastAsia="zh-CN"/>
        </w:rPr>
        <w:t xml:space="preserve">identification, cryopreservation and recovery of </w:t>
      </w:r>
      <w:r>
        <w:rPr>
          <w:rFonts w:hint="eastAsia" w:ascii="Times New Roman" w:hAnsi="Times New Roman" w:eastAsia="黑体" w:cs="Times New Roman"/>
          <w:color w:val="000000"/>
          <w:sz w:val="28"/>
          <w:szCs w:val="28"/>
          <w:lang w:val="en-US" w:eastAsia="zh-CN"/>
        </w:rPr>
        <w:t>patient-derived</w:t>
      </w:r>
      <w:r>
        <w:rPr>
          <w:rFonts w:ascii="Times New Roman" w:hAnsi="Times New Roman" w:eastAsia="黑体" w:cs="Times New Roman"/>
          <w:color w:val="000000"/>
          <w:sz w:val="28"/>
          <w:szCs w:val="28"/>
          <w:lang w:val="en-US" w:eastAsia="zh-CN"/>
        </w:rPr>
        <w:t xml:space="preserve"> glioma organoids</w:t>
      </w:r>
      <w:bookmarkEnd w:id="7"/>
      <w:bookmarkEnd w:id="8"/>
      <w:bookmarkEnd w:id="9"/>
      <w:bookmarkEnd w:id="10"/>
      <w:bookmarkEnd w:id="11"/>
    </w:p>
    <w:p w14:paraId="06E966AD">
      <w:pPr>
        <w:pStyle w:val="38"/>
        <w:keepNext/>
        <w:keepLines/>
        <w:framePr w:w="9143" w:h="5262" w:hRule="exact" w:wrap="around" w:vAnchor="page" w:hAnchor="page" w:x="1299" w:y="6897" w:anchorLock="1"/>
        <w:ind w:firstLine="0"/>
        <w:jc w:val="center"/>
        <w:outlineLvl w:val="9"/>
        <w:rPr>
          <w:rFonts w:hint="eastAsia" w:ascii="黑体" w:hAnsi="黑体" w:eastAsia="黑体" w:cs="黑体"/>
          <w:color w:val="000000"/>
          <w:sz w:val="28"/>
          <w:szCs w:val="28"/>
          <w:lang w:val="en-US" w:eastAsia="zh-CN"/>
        </w:rPr>
      </w:pPr>
      <w:bookmarkStart w:id="12" w:name="_Toc9406"/>
      <w:bookmarkStart w:id="13" w:name="_Toc24744"/>
      <w:bookmarkStart w:id="14" w:name="_Toc3405"/>
      <w:bookmarkStart w:id="15" w:name="_Toc27373"/>
      <w:bookmarkStart w:id="16" w:name="_Toc202559129"/>
      <w:r>
        <w:rPr>
          <w:rFonts w:hint="eastAsia" w:ascii="宋体" w:hAnsi="宋体" w:eastAsia="宋体" w:cs="黑体"/>
          <w:b/>
          <w:bCs/>
          <w:color w:val="000000"/>
          <w:sz w:val="28"/>
          <w:szCs w:val="28"/>
        </w:rPr>
        <w:t>(征求意见稿）</w:t>
      </w:r>
      <w:bookmarkEnd w:id="12"/>
      <w:bookmarkEnd w:id="13"/>
      <w:bookmarkEnd w:id="14"/>
      <w:bookmarkEnd w:id="15"/>
      <w:bookmarkEnd w:id="16"/>
    </w:p>
    <w:p w14:paraId="0B1FFB73">
      <w:pPr>
        <w:pStyle w:val="38"/>
        <w:keepNext/>
        <w:keepLines/>
        <w:framePr w:w="9143" w:h="5262" w:hRule="exact" w:wrap="around" w:vAnchor="page" w:hAnchor="page" w:x="1299" w:y="6897" w:anchorLock="1"/>
        <w:ind w:firstLine="0"/>
        <w:jc w:val="left"/>
        <w:outlineLvl w:val="9"/>
        <w:rPr>
          <w:rFonts w:ascii="Times New Roman" w:hAnsi="Times New Roman" w:cs="Times New Roman"/>
          <w:b/>
          <w:bCs/>
          <w:color w:val="000000"/>
          <w:sz w:val="28"/>
          <w:szCs w:val="28"/>
          <w:lang w:val="en-US" w:eastAsia="zh-CN"/>
        </w:rPr>
      </w:pPr>
    </w:p>
    <w:p w14:paraId="64FE1E1A">
      <w:pPr>
        <w:pStyle w:val="45"/>
        <w:framePr w:w="9331" w:wrap="around" w:hAnchor="page" w:x="1311" w:y="1515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03D5B58C">
      <w:pPr>
        <w:pStyle w:val="43"/>
        <w:framePr w:wrap="around"/>
        <w:rPr>
          <w:rFonts w:hint="eastAsia"/>
          <w:b/>
          <w:sz w:val="28"/>
          <w:szCs w:val="28"/>
        </w:rPr>
      </w:pPr>
      <w:r>
        <w:rPr>
          <w:rFonts w:hint="eastAsia"/>
          <w:sz w:val="28"/>
          <w:szCs w:val="28"/>
        </w:rPr>
        <w:t>中国研究型医院学会 发布</w:t>
      </w:r>
      <w:bookmarkEnd w:id="6"/>
    </w:p>
    <w:p w14:paraId="38A27721">
      <w:pPr>
        <w:rPr>
          <w:rFonts w:hint="eastAsia" w:eastAsia="宋体"/>
        </w:rPr>
      </w:pPr>
    </w:p>
    <w:p w14:paraId="4BC0FA77">
      <w:pPr>
        <w:spacing w:line="360" w:lineRule="auto"/>
        <w:jc w:val="center"/>
        <w:rPr>
          <w:rFonts w:hint="eastAsia" w:ascii="宋体" w:hAnsi="宋体" w:eastAsia="宋体" w:cs="Times New Roman"/>
          <w:bCs/>
          <w:sz w:val="24"/>
          <w:szCs w:val="24"/>
        </w:rPr>
      </w:pPr>
    </w:p>
    <w:p w14:paraId="45557A07">
      <w:pPr>
        <w:spacing w:line="360" w:lineRule="auto"/>
        <w:jc w:val="center"/>
        <w:rPr>
          <w:rFonts w:hint="eastAsia" w:ascii="宋体" w:hAnsi="宋体" w:eastAsia="宋体" w:cs="Times New Roman"/>
          <w:bCs/>
          <w:sz w:val="24"/>
          <w:szCs w:val="24"/>
        </w:rPr>
      </w:pPr>
      <w:bookmarkStart w:id="75" w:name="_GoBack"/>
      <w:bookmarkEnd w:id="75"/>
    </w:p>
    <w:p w14:paraId="25030262">
      <w:pPr>
        <w:pStyle w:val="37"/>
        <w:framePr w:wrap="around" w:vAnchor="page" w:hAnchor="page" w:x="1536" w:y="384"/>
        <w:pBdr>
          <w:top w:val="none" w:color="auto" w:sz="0" w:space="0"/>
          <w:left w:val="none" w:color="auto" w:sz="0" w:space="0"/>
          <w:bottom w:val="none" w:color="auto" w:sz="0" w:space="0"/>
          <w:right w:val="none" w:color="auto" w:sz="0" w:space="0"/>
        </w:pBdr>
        <w:rPr>
          <w:rFonts w:ascii="Times New Roman"/>
          <w:b/>
          <w:bCs/>
        </w:rPr>
      </w:pPr>
      <w:r>
        <w:rPr>
          <w:rFonts w:ascii="Times New Roman"/>
          <w:b/>
          <w:bCs/>
        </w:rPr>
        <w:t>ICS</w:t>
      </w:r>
      <w:r>
        <w:rPr>
          <w:rFonts w:hint="eastAsia" w:ascii="黑体" w:hAnsi="黑体" w:eastAsia="黑体" w:cs="黑体"/>
          <w:b w:val="0"/>
          <w:bCs w:val="0"/>
        </w:rPr>
        <w:t xml:space="preserve"> 11.020</w:t>
      </w:r>
    </w:p>
    <w:p w14:paraId="7F7F3952">
      <w:pPr>
        <w:pStyle w:val="37"/>
        <w:framePr w:wrap="around" w:vAnchor="page" w:hAnchor="page" w:x="1536" w:y="384"/>
        <w:pBdr>
          <w:top w:val="none" w:color="auto" w:sz="0" w:space="0"/>
          <w:left w:val="none" w:color="auto" w:sz="0" w:space="0"/>
          <w:bottom w:val="none" w:color="auto" w:sz="0" w:space="0"/>
          <w:right w:val="none" w:color="auto" w:sz="0" w:space="0"/>
        </w:pBdr>
        <w:rPr>
          <w:rFonts w:ascii="Times New Roman"/>
          <w:b/>
          <w:bCs/>
        </w:rPr>
      </w:pPr>
      <w:r>
        <w:rPr>
          <w:rFonts w:ascii="Times New Roman"/>
          <w:b/>
          <w:bCs/>
        </w:rPr>
        <w:t xml:space="preserve">CCS C </w:t>
      </w:r>
      <w:r>
        <w:rPr>
          <w:rFonts w:hint="eastAsia" w:ascii="黑体" w:hAnsi="黑体" w:eastAsia="黑体" w:cs="黑体"/>
          <w:b w:val="0"/>
          <w:bCs w:val="0"/>
        </w:rPr>
        <w:t>05</w:t>
      </w:r>
    </w:p>
    <w:p w14:paraId="1349DE97">
      <w:pPr>
        <w:widowControl/>
        <w:spacing w:line="360" w:lineRule="auto"/>
        <w:jc w:val="center"/>
        <w:rPr>
          <w:rFonts w:hint="eastAsia" w:ascii="黑体" w:hAnsi="黑体" w:eastAsia="黑体" w:cs="黑体"/>
          <w:sz w:val="32"/>
          <w:szCs w:val="32"/>
        </w:rPr>
        <w:sectPr>
          <w:headerReference r:id="rId7" w:type="first"/>
          <w:headerReference r:id="rId5" w:type="default"/>
          <w:footerReference r:id="rId8" w:type="default"/>
          <w:headerReference r:id="rId6" w:type="even"/>
          <w:footerReference r:id="rId9" w:type="even"/>
          <w:pgSz w:w="11906" w:h="16838"/>
          <w:pgMar w:top="1417" w:right="1134" w:bottom="1134" w:left="1417" w:header="851" w:footer="992" w:gutter="0"/>
          <w:paperSrc/>
          <w:pgNumType w:fmt="decimal" w:start="0"/>
          <w:cols w:space="0" w:num="1"/>
          <w:titlePg/>
          <w:rtlGutter w:val="0"/>
          <w:docGrid w:type="lines" w:linePitch="312" w:charSpace="0"/>
        </w:sectPr>
      </w:pPr>
      <w:r>
        <w:rPr>
          <w:rFonts w:hint="eastAsia" w:eastAsia="宋体"/>
        </w:rPr>
        <w:drawing>
          <wp:anchor distT="0" distB="0" distL="114300" distR="114300" simplePos="0" relativeHeight="251672576" behindDoc="1" locked="0" layoutInCell="1" allowOverlap="1">
            <wp:simplePos x="0" y="0"/>
            <wp:positionH relativeFrom="column">
              <wp:posOffset>253365</wp:posOffset>
            </wp:positionH>
            <wp:positionV relativeFrom="paragraph">
              <wp:posOffset>-2714625</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5"/>
                    <a:stretch>
                      <a:fillRect/>
                    </a:stretch>
                  </pic:blipFill>
                  <pic:spPr>
                    <a:xfrm>
                      <a:off x="0" y="0"/>
                      <a:ext cx="977900" cy="944880"/>
                    </a:xfrm>
                    <a:prstGeom prst="rect">
                      <a:avLst/>
                    </a:prstGeom>
                  </pic:spPr>
                </pic:pic>
              </a:graphicData>
            </a:graphic>
          </wp:anchor>
        </w:drawing>
      </w:r>
      <w:r>
        <w:rPr>
          <w:rFonts w:ascii="宋体" w:hAnsi="宋体"/>
          <w:kern w:val="0"/>
          <w:sz w:val="21"/>
          <w:szCs w:val="21"/>
        </w:rPr>
        <w:drawing>
          <wp:anchor distT="0" distB="0" distL="114300" distR="114300" simplePos="0" relativeHeight="251670528" behindDoc="1" locked="0" layoutInCell="1" allowOverlap="1">
            <wp:simplePos x="0" y="0"/>
            <wp:positionH relativeFrom="column">
              <wp:posOffset>4345305</wp:posOffset>
            </wp:positionH>
            <wp:positionV relativeFrom="paragraph">
              <wp:posOffset>-2851785</wp:posOffset>
            </wp:positionV>
            <wp:extent cx="666115" cy="794385"/>
            <wp:effectExtent l="0" t="0" r="635" b="5080"/>
            <wp:wrapNone/>
            <wp:docPr id="22"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eb17a196bc65457bd63b33c32fb5c54"/>
                    <pic:cNvPicPr>
                      <a:picLocks noChangeAspect="1"/>
                    </pic:cNvPicPr>
                  </pic:nvPicPr>
                  <pic:blipFill>
                    <a:blip r:embed="rId26"/>
                    <a:stretch>
                      <a:fillRect/>
                    </a:stretch>
                  </pic:blipFill>
                  <pic:spPr>
                    <a:xfrm>
                      <a:off x="0" y="0"/>
                      <a:ext cx="666115" cy="794385"/>
                    </a:xfrm>
                    <a:prstGeom prst="rect">
                      <a:avLst/>
                    </a:prstGeom>
                    <a:noFill/>
                    <a:ln>
                      <a:noFill/>
                    </a:ln>
                  </pic:spPr>
                </pic:pic>
              </a:graphicData>
            </a:graphic>
          </wp:anchor>
        </w:drawing>
      </w:r>
    </w:p>
    <w:p w14:paraId="017F5DF9">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rPr>
      </w:pPr>
      <w:r>
        <w:rPr>
          <w:rFonts w:hint="eastAsia" w:ascii="黑体" w:hAnsi="黑体" w:eastAsia="黑体" w:cs="黑体"/>
          <w:sz w:val="32"/>
          <w:szCs w:val="32"/>
        </w:rPr>
        <w:t>目  次</w:t>
      </w:r>
    </w:p>
    <w:sdt>
      <w:sdtPr>
        <w:rPr>
          <w:rFonts w:ascii="宋体" w:hAnsi="宋体" w:eastAsia="宋体" w:cstheme="minorBidi"/>
          <w:kern w:val="2"/>
          <w:sz w:val="21"/>
          <w:szCs w:val="22"/>
          <w:lang w:val="en-US" w:eastAsia="zh-CN" w:bidi="ar-SA"/>
        </w:rPr>
        <w:id w:val="147469588"/>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0BFEEE68">
          <w:pPr>
            <w:spacing w:before="0" w:beforeLines="0" w:after="0" w:afterLines="0" w:line="240" w:lineRule="auto"/>
            <w:ind w:left="0" w:leftChars="0" w:right="0" w:rightChars="0" w:firstLine="0" w:firstLineChars="0"/>
            <w:jc w:val="center"/>
          </w:pPr>
        </w:p>
        <w:p w14:paraId="7D6B490F">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fldChar w:fldCharType="begin"/>
          </w:r>
          <w:r>
            <w:instrText xml:space="preserve">TOC \o "1-1"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_Toc10056 </w:instrText>
          </w:r>
          <w:r>
            <w:rPr>
              <w:rFonts w:hint="eastAsia" w:ascii="宋体" w:hAnsi="宋体" w:eastAsia="宋体" w:cs="宋体"/>
            </w:rPr>
            <w:fldChar w:fldCharType="separate"/>
          </w:r>
          <w:r>
            <w:rPr>
              <w:rFonts w:hint="eastAsia" w:ascii="宋体" w:hAnsi="宋体" w:eastAsia="宋体" w:cs="宋体"/>
              <w:bCs/>
              <w:szCs w:val="32"/>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_Toc10056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0BA4C0B9">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_Toc28721 </w:instrText>
          </w:r>
          <w:r>
            <w:rPr>
              <w:rFonts w:hint="eastAsia" w:ascii="宋体" w:hAnsi="宋体" w:eastAsia="宋体" w:cs="宋体"/>
            </w:rPr>
            <w:fldChar w:fldCharType="separate"/>
          </w:r>
          <w:r>
            <w:rPr>
              <w:rFonts w:hint="eastAsia" w:ascii="宋体" w:hAnsi="宋体" w:eastAsia="宋体" w:cs="宋体"/>
              <w:bCs w:val="0"/>
              <w:szCs w:val="32"/>
            </w:rPr>
            <w:t>引言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_Toc28721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rPr>
            <w:fldChar w:fldCharType="end"/>
          </w:r>
        </w:p>
        <w:p w14:paraId="3C5B7614">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_Toc8025 </w:instrText>
          </w:r>
          <w:r>
            <w:rPr>
              <w:rFonts w:hint="eastAsia" w:ascii="宋体" w:hAnsi="宋体" w:eastAsia="宋体" w:cs="宋体"/>
            </w:rPr>
            <w:fldChar w:fldCharType="separate"/>
          </w:r>
          <w:r>
            <w:rPr>
              <w:rFonts w:hint="eastAsia" w:ascii="宋体" w:hAnsi="宋体" w:eastAsia="宋体" w:cs="宋体"/>
              <w:bCs/>
              <w:i w:val="0"/>
              <w:szCs w:val="21"/>
            </w:rPr>
            <w:t xml:space="preserve">1 </w:t>
          </w:r>
          <w:r>
            <w:rPr>
              <w:rFonts w:hint="eastAsia" w:ascii="宋体" w:hAnsi="宋体" w:eastAsia="宋体" w:cs="宋体"/>
              <w:bCs/>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_Toc8025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E18055A">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_Toc21099 </w:instrText>
          </w:r>
          <w:r>
            <w:rPr>
              <w:rFonts w:hint="eastAsia" w:ascii="宋体" w:hAnsi="宋体" w:eastAsia="宋体" w:cs="宋体"/>
            </w:rPr>
            <w:fldChar w:fldCharType="separate"/>
          </w:r>
          <w:r>
            <w:rPr>
              <w:rFonts w:hint="eastAsia" w:ascii="宋体" w:hAnsi="宋体" w:eastAsia="宋体" w:cs="宋体"/>
              <w:bCs/>
              <w:i w:val="0"/>
              <w:szCs w:val="21"/>
            </w:rPr>
            <w:t xml:space="preserve">2 </w:t>
          </w:r>
          <w:r>
            <w:rPr>
              <w:rFonts w:hint="eastAsia" w:ascii="宋体" w:hAnsi="宋体" w:eastAsia="宋体" w:cs="宋体"/>
              <w:bCs/>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_Toc21099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E803681">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_Toc7428 </w:instrText>
          </w:r>
          <w:r>
            <w:rPr>
              <w:rFonts w:hint="eastAsia" w:ascii="宋体" w:hAnsi="宋体" w:eastAsia="宋体" w:cs="宋体"/>
            </w:rPr>
            <w:fldChar w:fldCharType="separate"/>
          </w:r>
          <w:r>
            <w:rPr>
              <w:rFonts w:hint="eastAsia" w:ascii="宋体" w:hAnsi="宋体" w:eastAsia="宋体" w:cs="宋体"/>
              <w:bCs/>
              <w:i w:val="0"/>
              <w:szCs w:val="21"/>
            </w:rPr>
            <w:t xml:space="preserve">3 </w:t>
          </w:r>
          <w:r>
            <w:rPr>
              <w:rFonts w:hint="eastAsia" w:ascii="宋体" w:hAnsi="宋体" w:eastAsia="宋体" w:cs="宋体"/>
              <w:bCs/>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_Toc7428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D9314E2">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_Toc24953 </w:instrText>
          </w:r>
          <w:r>
            <w:rPr>
              <w:rFonts w:hint="eastAsia" w:ascii="宋体" w:hAnsi="宋体" w:eastAsia="宋体" w:cs="宋体"/>
            </w:rPr>
            <w:fldChar w:fldCharType="separate"/>
          </w:r>
          <w:r>
            <w:rPr>
              <w:rFonts w:hint="eastAsia" w:ascii="宋体" w:hAnsi="宋体" w:eastAsia="宋体" w:cs="宋体"/>
              <w:bCs/>
              <w:i w:val="0"/>
              <w:szCs w:val="21"/>
            </w:rPr>
            <w:t xml:space="preserve">4 </w:t>
          </w:r>
          <w:r>
            <w:rPr>
              <w:rFonts w:hint="eastAsia" w:ascii="宋体" w:hAnsi="宋体" w:eastAsia="宋体" w:cs="宋体"/>
              <w:bCs/>
              <w:szCs w:val="21"/>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_Toc24953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47C117C">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_Toc30795 </w:instrText>
          </w:r>
          <w:r>
            <w:rPr>
              <w:rFonts w:hint="eastAsia" w:ascii="宋体" w:hAnsi="宋体" w:eastAsia="宋体" w:cs="宋体"/>
            </w:rPr>
            <w:fldChar w:fldCharType="separate"/>
          </w:r>
          <w:r>
            <w:rPr>
              <w:rFonts w:hint="eastAsia" w:ascii="宋体" w:hAnsi="宋体" w:eastAsia="宋体" w:cs="宋体"/>
              <w:bCs/>
              <w:i w:val="0"/>
              <w:szCs w:val="21"/>
            </w:rPr>
            <w:t xml:space="preserve">5 </w:t>
          </w:r>
          <w:r>
            <w:rPr>
              <w:rFonts w:hint="eastAsia" w:ascii="宋体" w:hAnsi="宋体" w:eastAsia="宋体" w:cs="宋体"/>
              <w:bCs/>
              <w:szCs w:val="21"/>
            </w:rPr>
            <w:t>胶质瘤类器官制备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_Toc30795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6483410">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_Toc21618 </w:instrText>
          </w:r>
          <w:r>
            <w:rPr>
              <w:rFonts w:hint="eastAsia" w:ascii="宋体" w:hAnsi="宋体" w:eastAsia="宋体" w:cs="宋体"/>
            </w:rPr>
            <w:fldChar w:fldCharType="separate"/>
          </w:r>
          <w:r>
            <w:rPr>
              <w:rFonts w:hint="eastAsia" w:ascii="宋体" w:hAnsi="宋体" w:eastAsia="宋体" w:cs="宋体"/>
              <w:bCs/>
              <w:i w:val="0"/>
              <w:szCs w:val="21"/>
            </w:rPr>
            <w:t xml:space="preserve">6 </w:t>
          </w:r>
          <w:r>
            <w:rPr>
              <w:rFonts w:hint="eastAsia" w:ascii="宋体" w:hAnsi="宋体" w:eastAsia="宋体" w:cs="宋体"/>
              <w:bCs/>
              <w:szCs w:val="21"/>
            </w:rPr>
            <w:t>类器官冻存和复苏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_Toc21618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135CE1B">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_Toc13978 </w:instrText>
          </w:r>
          <w:r>
            <w:rPr>
              <w:rFonts w:hint="eastAsia" w:ascii="宋体" w:hAnsi="宋体" w:eastAsia="宋体" w:cs="宋体"/>
            </w:rPr>
            <w:fldChar w:fldCharType="separate"/>
          </w:r>
          <w:r>
            <w:rPr>
              <w:rFonts w:hint="eastAsia" w:ascii="宋体" w:hAnsi="宋体" w:eastAsia="宋体" w:cs="宋体"/>
              <w:bCs/>
              <w:i w:val="0"/>
              <w:szCs w:val="21"/>
            </w:rPr>
            <w:t xml:space="preserve">7 </w:t>
          </w:r>
          <w:r>
            <w:rPr>
              <w:rFonts w:hint="eastAsia" w:ascii="宋体" w:hAnsi="宋体" w:eastAsia="宋体" w:cs="宋体"/>
              <w:bCs/>
              <w:szCs w:val="21"/>
            </w:rPr>
            <w:t>废弃物处理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_Toc13978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1F340EBD">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_Toc25337 </w:instrText>
          </w:r>
          <w:r>
            <w:rPr>
              <w:rFonts w:hint="eastAsia" w:ascii="宋体" w:hAnsi="宋体" w:eastAsia="宋体" w:cs="宋体"/>
            </w:rPr>
            <w:fldChar w:fldCharType="separate"/>
          </w:r>
          <w:r>
            <w:rPr>
              <w:rFonts w:hint="eastAsia" w:ascii="宋体" w:hAnsi="宋体" w:eastAsia="宋体" w:cs="宋体"/>
              <w:bCs/>
              <w:i w:val="0"/>
              <w:szCs w:val="21"/>
            </w:rPr>
            <w:t xml:space="preserve">8 </w:t>
          </w:r>
          <w:r>
            <w:rPr>
              <w:rFonts w:hint="eastAsia" w:ascii="宋体" w:hAnsi="宋体" w:eastAsia="宋体" w:cs="宋体"/>
              <w:bCs/>
              <w:szCs w:val="21"/>
            </w:rPr>
            <w:t>数据管理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_Toc25337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4787C57">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_Toc330 </w:instrText>
          </w:r>
          <w:r>
            <w:rPr>
              <w:rFonts w:hint="eastAsia" w:ascii="宋体" w:hAnsi="宋体" w:eastAsia="宋体" w:cs="宋体"/>
            </w:rPr>
            <w:fldChar w:fldCharType="separate"/>
          </w:r>
          <w:r>
            <w:rPr>
              <w:rFonts w:hint="eastAsia" w:ascii="宋体" w:hAnsi="宋体" w:eastAsia="宋体" w:cs="宋体"/>
              <w:bCs/>
              <w:i w:val="0"/>
              <w:szCs w:val="21"/>
            </w:rPr>
            <w:t xml:space="preserve">9 </w:t>
          </w:r>
          <w:r>
            <w:rPr>
              <w:rFonts w:hint="eastAsia" w:ascii="宋体" w:hAnsi="宋体" w:eastAsia="宋体" w:cs="宋体"/>
              <w:bCs/>
              <w:szCs w:val="21"/>
            </w:rPr>
            <w:t>质量控制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CDFCA27">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_Toc10301 </w:instrText>
          </w:r>
          <w:r>
            <w:rPr>
              <w:rFonts w:hint="eastAsia" w:ascii="宋体" w:hAnsi="宋体" w:eastAsia="宋体" w:cs="宋体"/>
            </w:rPr>
            <w:fldChar w:fldCharType="separate"/>
          </w:r>
          <w:r>
            <w:rPr>
              <w:rFonts w:hint="eastAsia" w:ascii="宋体" w:hAnsi="宋体" w:eastAsia="宋体" w:cs="宋体"/>
            </w:rPr>
            <w:t>附录A（资料性）人脑胶质瘤类器官培养、冻存和复苏所需耗材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4A100AC">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_Toc4872 </w:instrText>
          </w:r>
          <w:r>
            <w:rPr>
              <w:rFonts w:hint="eastAsia" w:ascii="宋体" w:hAnsi="宋体" w:eastAsia="宋体" w:cs="宋体"/>
            </w:rPr>
            <w:fldChar w:fldCharType="separate"/>
          </w:r>
          <w:r>
            <w:rPr>
              <w:rFonts w:hint="eastAsia" w:ascii="宋体" w:hAnsi="宋体" w:eastAsia="宋体" w:cs="宋体"/>
            </w:rPr>
            <w:t>附件B（资料性）人脑胶质瘤类器官的常用鉴定方法</w:t>
          </w:r>
          <w:r>
            <w:rPr>
              <w:rFonts w:hint="eastAsia" w:ascii="宋体" w:hAnsi="宋体" w:eastAsia="宋体" w:cs="宋体"/>
            </w:rPr>
            <w:tab/>
          </w:r>
          <w:r>
            <w:rPr>
              <w:rFonts w:hint="eastAsia" w:ascii="宋体" w:hAnsi="宋体" w:eastAsia="宋体" w:cs="宋体"/>
              <w:lang w:val="en-US" w:eastAsia="zh-CN"/>
            </w:rPr>
            <w:t>8</w:t>
          </w:r>
          <w:r>
            <w:rPr>
              <w:rFonts w:hint="eastAsia" w:ascii="宋体" w:hAnsi="宋体" w:eastAsia="宋体" w:cs="宋体"/>
            </w:rPr>
            <w:fldChar w:fldCharType="end"/>
          </w:r>
        </w:p>
        <w:p w14:paraId="568F499E">
          <w:pPr>
            <w:pStyle w:val="8"/>
            <w:keepNext w:val="0"/>
            <w:keepLines w:val="0"/>
            <w:pageBreakBefore w:val="0"/>
            <w:widowControl w:val="0"/>
            <w:tabs>
              <w:tab w:val="right" w:leader="dot" w:pos="9355"/>
            </w:tabs>
            <w:kinsoku/>
            <w:wordWrap/>
            <w:overflowPunct/>
            <w:topLinePunct w:val="0"/>
            <w:autoSpaceDE/>
            <w:autoSpaceDN/>
            <w:bidi w:val="0"/>
            <w:adjustRightInd/>
            <w:snapToGrid/>
            <w:textAlignment w:val="auto"/>
          </w:pPr>
          <w:r>
            <w:rPr>
              <w:rFonts w:hint="eastAsia" w:ascii="宋体" w:hAnsi="宋体" w:eastAsia="宋体" w:cs="宋体"/>
            </w:rPr>
            <w:fldChar w:fldCharType="begin"/>
          </w:r>
          <w:r>
            <w:rPr>
              <w:rFonts w:hint="eastAsia" w:ascii="宋体" w:hAnsi="宋体" w:eastAsia="宋体" w:cs="宋体"/>
            </w:rPr>
            <w:instrText xml:space="preserve"> HYPERLINK \l _Toc27332 </w:instrText>
          </w:r>
          <w:r>
            <w:rPr>
              <w:rFonts w:hint="eastAsia" w:ascii="宋体" w:hAnsi="宋体" w:eastAsia="宋体" w:cs="宋体"/>
            </w:rPr>
            <w:fldChar w:fldCharType="separate"/>
          </w:r>
          <w:r>
            <w:rPr>
              <w:rFonts w:hint="eastAsia" w:ascii="宋体" w:hAnsi="宋体" w:eastAsia="宋体" w:cs="宋体"/>
              <w:bCs/>
              <w:szCs w:val="21"/>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_Toc27332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411B8C95">
          <w:r>
            <w:fldChar w:fldCharType="end"/>
          </w:r>
        </w:p>
      </w:sdtContent>
    </w:sdt>
    <w:p w14:paraId="0897B66C"/>
    <w:p w14:paraId="3F371058">
      <w:pPr>
        <w:rPr>
          <w:rFonts w:hint="eastAsia"/>
        </w:rPr>
      </w:pPr>
      <w:r>
        <w:rPr>
          <w:rFonts w:hint="eastAsia" w:ascii="黑体" w:hAnsi="黑体" w:eastAsia="黑体" w:cs="黑体"/>
          <w:b w:val="0"/>
          <w:bCs/>
          <w:sz w:val="32"/>
          <w:szCs w:val="32"/>
        </w:rPr>
        <w:br w:type="page"/>
      </w:r>
    </w:p>
    <w:p w14:paraId="65539C87">
      <w:pPr>
        <w:pStyle w:val="2"/>
        <w:keepNext/>
        <w:keepLines/>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Times New Roman"/>
          <w:sz w:val="24"/>
          <w:szCs w:val="24"/>
        </w:rPr>
      </w:pPr>
      <w:bookmarkStart w:id="17" w:name="_Toc10056"/>
      <w:r>
        <w:rPr>
          <w:rFonts w:hint="eastAsia" w:ascii="黑体" w:hAnsi="黑体" w:eastAsia="黑体" w:cs="黑体"/>
          <w:b w:val="0"/>
          <w:bCs/>
          <w:sz w:val="32"/>
          <w:szCs w:val="32"/>
        </w:rPr>
        <w:t>前  言</w:t>
      </w:r>
      <w:bookmarkEnd w:id="17"/>
    </w:p>
    <w:p w14:paraId="53A8C946">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1.1-2020 《标准化工作导则 第 1 部分：标准化文件的结构和起草规则》的规定起草。</w:t>
      </w:r>
    </w:p>
    <w:p w14:paraId="0D3E614B">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请注意本文件的某些内容可能涉及专利。本文件的发布机构不承担识别专利的责任。</w:t>
      </w:r>
    </w:p>
    <w:p w14:paraId="2D272C13">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w:t>
      </w:r>
      <w:r>
        <w:rPr>
          <w:rFonts w:hint="eastAsia" w:ascii="Times New Roman" w:hAnsi="Times New Roman" w:eastAsia="宋体" w:cs="Times New Roman"/>
          <w:color w:val="FF0000"/>
          <w:szCs w:val="21"/>
        </w:rPr>
        <w:t>中国研究型医院学会临床数据与样本资源库专业委员会分会/专业委员会</w:t>
      </w:r>
      <w:r>
        <w:rPr>
          <w:rFonts w:hint="eastAsia" w:ascii="Times New Roman" w:hAnsi="Times New Roman" w:eastAsia="宋体" w:cs="Times New Roman"/>
          <w:szCs w:val="21"/>
        </w:rPr>
        <w:t>提出。</w:t>
      </w:r>
    </w:p>
    <w:p w14:paraId="52D2A6B9">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7652EE88">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本文件核心起草单位：</w:t>
      </w:r>
    </w:p>
    <w:p w14:paraId="755ECA57">
      <w:pPr>
        <w:ind w:firstLine="420" w:firstLineChars="200"/>
        <w:rPr>
          <w:rFonts w:hint="eastAsia" w:ascii="宋体" w:hAnsi="宋体" w:eastAsia="宋体" w:cs="Times New Roman"/>
          <w:szCs w:val="21"/>
        </w:rPr>
      </w:pPr>
      <w:r>
        <w:rPr>
          <w:rFonts w:hint="eastAsia" w:ascii="Times New Roman" w:hAnsi="Times New Roman" w:eastAsia="宋体" w:cs="Times New Roman"/>
          <w:szCs w:val="21"/>
        </w:rPr>
        <w:t>本文件主要起草人：</w:t>
      </w:r>
    </w:p>
    <w:p w14:paraId="3E11ECF2">
      <w:pPr>
        <w:spacing w:before="312" w:beforeLines="100" w:after="312" w:afterLines="100" w:line="240" w:lineRule="auto"/>
        <w:jc w:val="center"/>
        <w:outlineLvl w:val="0"/>
        <w:rPr>
          <w:rFonts w:hint="eastAsia" w:ascii="黑体" w:hAnsi="黑体" w:eastAsia="黑体" w:cs="黑体"/>
          <w:b w:val="0"/>
          <w:bCs w:val="0"/>
          <w:sz w:val="32"/>
          <w:szCs w:val="32"/>
        </w:rPr>
        <w:sectPr>
          <w:headerReference r:id="rId12" w:type="first"/>
          <w:footerReference r:id="rId15" w:type="first"/>
          <w:headerReference r:id="rId10" w:type="default"/>
          <w:footerReference r:id="rId13" w:type="default"/>
          <w:headerReference r:id="rId11" w:type="even"/>
          <w:footerReference r:id="rId14" w:type="even"/>
          <w:pgSz w:w="11906" w:h="16838"/>
          <w:pgMar w:top="1417" w:right="1134" w:bottom="1134" w:left="1417" w:header="851" w:footer="992" w:gutter="0"/>
          <w:paperSrc/>
          <w:pgNumType w:fmt="upperRoman" w:start="1"/>
          <w:cols w:space="0" w:num="1"/>
          <w:titlePg/>
          <w:rtlGutter w:val="0"/>
          <w:docGrid w:type="lines" w:linePitch="312" w:charSpace="0"/>
        </w:sectPr>
      </w:pPr>
    </w:p>
    <w:p w14:paraId="257AE481">
      <w:pPr>
        <w:spacing w:before="312" w:beforeLines="100" w:after="312" w:afterLines="100" w:line="240" w:lineRule="auto"/>
        <w:jc w:val="center"/>
        <w:outlineLvl w:val="0"/>
        <w:rPr>
          <w:rFonts w:hint="eastAsia" w:ascii="黑体" w:hAnsi="黑体" w:eastAsia="黑体" w:cs="黑体"/>
          <w:b w:val="0"/>
          <w:bCs w:val="0"/>
          <w:sz w:val="32"/>
          <w:szCs w:val="32"/>
        </w:rPr>
      </w:pPr>
      <w:bookmarkStart w:id="18" w:name="_Toc28721"/>
      <w:r>
        <w:rPr>
          <w:rFonts w:hint="eastAsia" w:ascii="黑体" w:hAnsi="黑体" w:eastAsia="黑体" w:cs="黑体"/>
          <w:b w:val="0"/>
          <w:bCs w:val="0"/>
          <w:sz w:val="32"/>
          <w:szCs w:val="32"/>
        </w:rPr>
        <w:t>引  言</w:t>
      </w:r>
      <w:bookmarkEnd w:id="18"/>
    </w:p>
    <w:p w14:paraId="769CFCA1">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脑胶质瘤是最常见的神经系统原发性肿瘤，多呈恶性，具有难治性、易局部播散和复发等特点。区别于其他恶性肿瘤，已开发的药物疗效有限，导致针对性药物的研发在过去十几年中并未取得显著进步，主因之一是脑胶质瘤缺乏可模拟其高度浸润性、独特免疫微环境互作及治疗抵抗微环境的体外模型。</w:t>
      </w:r>
    </w:p>
    <w:p w14:paraId="7F94AF89">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近年来，备受关注的肿瘤类器官模型是一种“由患者肿瘤组织衍生并能在体外自我更新”或“保留了肿瘤干细胞特性”的体外三维(3D)细胞培养物，能够模拟细胞与细胞以及细胞与基质之间的相互作用，</w:t>
      </w:r>
      <w:bookmarkStart w:id="19" w:name="OLE_LINK9"/>
      <w:r>
        <w:rPr>
          <w:rFonts w:hint="eastAsia" w:ascii="Times New Roman" w:hAnsi="Times New Roman" w:eastAsia="宋体" w:cs="Times New Roman"/>
          <w:szCs w:val="21"/>
        </w:rPr>
        <w:t>利用类器官体外培养技术开展脑胶质瘤基础研究和临床治疗学研究具有重要的学术价值</w:t>
      </w:r>
      <w:bookmarkEnd w:id="19"/>
      <w:r>
        <w:rPr>
          <w:rFonts w:hint="eastAsia" w:ascii="Times New Roman" w:hAnsi="Times New Roman" w:eastAsia="宋体" w:cs="Times New Roman"/>
          <w:szCs w:val="21"/>
        </w:rPr>
        <w:t>。由此，多个研究团队尝试利用患者来源组织构建脑胶质瘤类器官（Glioblastoma Organoid, GBO）,并将其用于研究脑胶质瘤的发生发展、转移及潜在治疗靶点。研究发现，GBOs不仅保持了肿瘤异质性，而且多种分子的表达模式与原肿瘤组织非常类似。同时，研究揭示长期培养所构建的大型GBO，可根据不同细胞组合划分为不同区域，包括快速分裂细胞的外部区域及由其包围的主要由非干性衰老细胞和扩散、静止的肿瘤干细胞组成的缺氧核心区域。利用GBO模型检测其对抗肿瘤药物反应的结果显示：GBOs可体现不同来源患者对药物反应的异质性，且其靶向治疗的反应性与肿瘤的突变状态和驱动肿瘤信号途径相符合，提示其作为个性化用药的体外预测模型的潜力。标准化是药敏结果用于个体化治疗的前提。然而，要将这一潜力转化为可靠的临床应用工具，亟需建立从样本处理到功能验证的全程标准化操作规范与质量控制体系。本指南主要聚焦于成人胶质母细胞瘤（GBM）等常见恶性类型，提供的核心框架和原则可供参考，但研究者需注意根据不同胶质瘤亚型（如IDH突变型、儿童弥漫内生型脑桥胶质瘤DIPG）的生物学特性，对具体操作步骤（如消化条件、培养基配方）进行优化和验证。</w:t>
      </w:r>
    </w:p>
    <w:p w14:paraId="0833CFE7">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鉴于此，特组织编写《人脑胶质瘤类器官制备、冻存、复苏和鉴定操作指南》，以利于推动和指导胶质瘤类器官构建的相关研究，促进高质量、标准化胶质瘤类器官生物样本库的建立与共享，辅助研究人员开展脑胶质瘤致病机理、药物筛选和肿瘤治疗等相关研究，规范并引导行业发展。</w:t>
      </w:r>
      <w:bookmarkStart w:id="20" w:name="OLE_LINK3"/>
    </w:p>
    <w:p w14:paraId="2FC0185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32"/>
          <w:szCs w:val="32"/>
        </w:rPr>
        <w:sectPr>
          <w:footerReference r:id="rId16" w:type="default"/>
          <w:footerReference r:id="rId17" w:type="even"/>
          <w:pgSz w:w="11906" w:h="16838"/>
          <w:pgMar w:top="1417" w:right="1134" w:bottom="1134" w:left="1417" w:header="851" w:footer="992" w:gutter="0"/>
          <w:paperSrc/>
          <w:pgNumType w:fmt="upperRoman"/>
          <w:cols w:space="0" w:num="1"/>
          <w:titlePg/>
          <w:rtlGutter w:val="0"/>
          <w:docGrid w:type="lines" w:linePitch="312" w:charSpace="0"/>
        </w:sectPr>
      </w:pPr>
    </w:p>
    <w:p w14:paraId="4BBBA51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28"/>
          <w:szCs w:val="28"/>
        </w:rPr>
      </w:pPr>
      <w:r>
        <w:rPr>
          <w:rFonts w:hint="eastAsia" w:ascii="黑体" w:hAnsi="黑体" w:eastAsia="黑体" w:cs="黑体"/>
          <w:sz w:val="32"/>
          <w:szCs w:val="32"/>
        </w:rPr>
        <w:t>人脑胶质瘤类器官制备、鉴定、冻存和复苏操作指南</w:t>
      </w:r>
      <w:bookmarkEnd w:id="20"/>
    </w:p>
    <w:p w14:paraId="78B84122">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21" w:name="_Toc8025"/>
      <w:bookmarkStart w:id="22" w:name="_Toc21328"/>
      <w:r>
        <w:rPr>
          <w:rFonts w:hint="eastAsia" w:ascii="黑体" w:hAnsi="黑体" w:eastAsia="黑体" w:cs="黑体"/>
          <w:b w:val="0"/>
          <w:bCs/>
          <w:sz w:val="21"/>
          <w:szCs w:val="21"/>
        </w:rPr>
        <w:t>范围</w:t>
      </w:r>
      <w:bookmarkEnd w:id="21"/>
      <w:bookmarkEnd w:id="22"/>
    </w:p>
    <w:p w14:paraId="4FA7ABE3">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本指南提供了人脑胶质瘤类器官的制备、鉴定、传代、冻存和复苏等的规范性操作和推荐方法。</w:t>
      </w:r>
    </w:p>
    <w:p w14:paraId="6E7A0B17">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本指南适用于医疗院校，科研机构、医药企业等人员构建人脑胶质瘤类器官。</w:t>
      </w:r>
    </w:p>
    <w:p w14:paraId="5B085336">
      <w:pPr>
        <w:spacing w:line="240" w:lineRule="auto"/>
        <w:ind w:firstLine="361" w:firstLineChars="200"/>
        <w:rPr>
          <w:rFonts w:hint="eastAsia" w:ascii="宋体" w:hAnsi="宋体" w:eastAsia="宋体" w:cs="宋体"/>
          <w:sz w:val="18"/>
          <w:szCs w:val="18"/>
        </w:rPr>
      </w:pPr>
      <w:r>
        <w:rPr>
          <w:rFonts w:hint="eastAsia" w:ascii="宋体" w:hAnsi="宋体" w:eastAsia="宋体" w:cs="宋体"/>
          <w:b/>
          <w:bCs/>
          <w:sz w:val="18"/>
          <w:szCs w:val="18"/>
        </w:rPr>
        <w:t>注：</w:t>
      </w:r>
      <w:r>
        <w:rPr>
          <w:rFonts w:hint="eastAsia" w:ascii="宋体" w:hAnsi="宋体" w:eastAsia="宋体" w:cs="宋体"/>
          <w:sz w:val="18"/>
          <w:szCs w:val="18"/>
        </w:rPr>
        <w:t>在不引起混淆的情况下，本《人脑胶质瘤类器官制备、鉴定、冻存和复苏操作指南》，简称为“本指南”。</w:t>
      </w:r>
    </w:p>
    <w:p w14:paraId="696D2125">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23" w:name="_Toc21099"/>
      <w:bookmarkStart w:id="24" w:name="_Toc29269"/>
      <w:r>
        <w:rPr>
          <w:rFonts w:hint="eastAsia" w:ascii="黑体" w:hAnsi="黑体" w:eastAsia="黑体" w:cs="黑体"/>
          <w:b w:val="0"/>
          <w:bCs/>
          <w:sz w:val="21"/>
          <w:szCs w:val="21"/>
        </w:rPr>
        <w:t>规范性引用文件</w:t>
      </w:r>
      <w:bookmarkEnd w:id="23"/>
      <w:bookmarkEnd w:id="24"/>
    </w:p>
    <w:p w14:paraId="1A9D832D">
      <w:pPr>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7BE1D0E">
      <w:pPr>
        <w:spacing w:line="240" w:lineRule="auto"/>
        <w:ind w:firstLine="420" w:firstLineChars="200"/>
        <w:rPr>
          <w:rFonts w:ascii="Times New Roman" w:hAnsi="Times New Roman" w:eastAsia="宋体" w:cs="Times New Roman"/>
          <w:szCs w:val="21"/>
        </w:rPr>
      </w:pPr>
      <w:commentRangeStart w:id="0"/>
      <w:r>
        <w:rPr>
          <w:rFonts w:ascii="Times New Roman" w:hAnsi="Times New Roman" w:eastAsia="宋体" w:cs="Times New Roman"/>
          <w:szCs w:val="21"/>
        </w:rPr>
        <w:t>GB 19489-2008 实验室生物安全通用要求</w:t>
      </w:r>
    </w:p>
    <w:p w14:paraId="436D7568">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39707-2020 医疗废物处理处置污染控制标准</w:t>
      </w:r>
      <w:commentRangeEnd w:id="0"/>
      <w:r>
        <w:rPr>
          <w:rStyle w:val="18"/>
        </w:rPr>
        <w:commentReference w:id="0"/>
      </w:r>
    </w:p>
    <w:p w14:paraId="593DF005">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GB/T 38736-2020 人类生物样本保藏伦理要求</w:t>
      </w:r>
    </w:p>
    <w:p w14:paraId="382DD678">
      <w:pPr>
        <w:spacing w:line="240" w:lineRule="auto"/>
        <w:ind w:firstLine="420" w:firstLineChars="200"/>
        <w:rPr>
          <w:rFonts w:ascii="Times New Roman" w:hAnsi="Times New Roman" w:eastAsia="宋体" w:cs="Times New Roman"/>
          <w:szCs w:val="21"/>
        </w:rPr>
      </w:pPr>
      <w:commentRangeStart w:id="1"/>
      <w:r>
        <w:rPr>
          <w:rFonts w:ascii="Times New Roman" w:hAnsi="Times New Roman" w:eastAsia="宋体" w:cs="Times New Roman"/>
          <w:szCs w:val="21"/>
        </w:rPr>
        <w:t>GB/T37864-2019 生物样本库质量和能力通用要求</w:t>
      </w:r>
      <w:commentRangeEnd w:id="1"/>
      <w:r>
        <w:rPr>
          <w:rStyle w:val="18"/>
        </w:rPr>
        <w:commentReference w:id="1"/>
      </w:r>
    </w:p>
    <w:p w14:paraId="51898D96">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25" w:name="_Toc142"/>
      <w:bookmarkStart w:id="26" w:name="_Toc7428"/>
      <w:r>
        <w:rPr>
          <w:rFonts w:hint="eastAsia" w:ascii="黑体" w:hAnsi="黑体" w:eastAsia="黑体" w:cs="黑体"/>
          <w:b w:val="0"/>
          <w:bCs/>
          <w:sz w:val="21"/>
          <w:szCs w:val="21"/>
        </w:rPr>
        <w:t>术语和定义</w:t>
      </w:r>
      <w:bookmarkEnd w:id="25"/>
      <w:bookmarkEnd w:id="26"/>
    </w:p>
    <w:p w14:paraId="2509A516">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下列术语和定义适用于本文件。GB/T 38736-2020 界定的以及下列术语和定义适用于本指南。</w:t>
      </w:r>
    </w:p>
    <w:p w14:paraId="4D58470A">
      <w:pPr>
        <w:spacing w:before="156" w:beforeLines="50" w:after="156" w:afterLines="50" w:line="240" w:lineRule="auto"/>
        <w:rPr>
          <w:rFonts w:hint="eastAsia" w:ascii="黑体" w:hAnsi="黑体" w:eastAsia="黑体" w:cs="黑体"/>
          <w:bCs/>
          <w:szCs w:val="21"/>
        </w:rPr>
      </w:pPr>
      <w:r>
        <w:rPr>
          <w:rFonts w:hint="eastAsia" w:ascii="黑体" w:hAnsi="黑体" w:eastAsia="黑体" w:cs="黑体"/>
          <w:bCs/>
          <w:szCs w:val="21"/>
        </w:rPr>
        <w:t>3.1</w:t>
      </w:r>
    </w:p>
    <w:p w14:paraId="7E0EFE8D">
      <w:pPr>
        <w:spacing w:line="240" w:lineRule="auto"/>
        <w:ind w:firstLine="420" w:firstLineChars="200"/>
        <w:rPr>
          <w:rFonts w:hint="eastAsia" w:ascii="黑体" w:hAnsi="黑体" w:eastAsia="黑体" w:cs="黑体"/>
          <w:bCs/>
          <w:szCs w:val="21"/>
        </w:rPr>
      </w:pPr>
      <w:r>
        <w:rPr>
          <w:rFonts w:hint="eastAsia" w:ascii="黑体" w:hAnsi="黑体" w:eastAsia="黑体" w:cs="黑体"/>
          <w:bCs/>
          <w:szCs w:val="21"/>
        </w:rPr>
        <w:t xml:space="preserve">类器官 </w:t>
      </w:r>
      <w:r>
        <w:rPr>
          <w:rFonts w:hint="eastAsia" w:ascii="Times New Roman" w:hAnsi="Times New Roman" w:eastAsia="黑体" w:cs="Times New Roman"/>
          <w:b/>
          <w:bCs w:val="0"/>
          <w:szCs w:val="21"/>
        </w:rPr>
        <w:t>organoids</w:t>
      </w:r>
    </w:p>
    <w:p w14:paraId="204864F4">
      <w:pPr>
        <w:pStyle w:val="4"/>
        <w:spacing w:line="240" w:lineRule="auto"/>
        <w:ind w:left="0" w:leftChars="0" w:firstLine="420" w:firstLineChars="200"/>
        <w:jc w:val="both"/>
        <w:rPr>
          <w:rFonts w:hint="eastAsia" w:eastAsia="宋体"/>
        </w:rPr>
      </w:pPr>
      <w:bookmarkStart w:id="27" w:name="OLE_LINK6"/>
      <w:bookmarkStart w:id="28" w:name="OLE_LINK4"/>
      <w:bookmarkStart w:id="29" w:name="OLE_LINK5"/>
      <w:r>
        <w:rPr>
          <w:rFonts w:hint="eastAsia" w:ascii="Times New Roman" w:hAnsi="Times New Roman" w:eastAsia="宋体" w:cs="Times New Roman"/>
          <w:bCs/>
          <w:szCs w:val="21"/>
        </w:rPr>
        <w:t>由</w:t>
      </w:r>
      <w:r>
        <w:rPr>
          <w:rFonts w:ascii="Times New Roman" w:hAnsi="Times New Roman" w:eastAsia="宋体" w:cs="Times New Roman"/>
          <w:bCs/>
          <w:szCs w:val="21"/>
        </w:rPr>
        <w:t>干细胞或前体细胞体外培养形成的微型</w:t>
      </w:r>
      <w:r>
        <w:rPr>
          <w:rFonts w:hint="eastAsia" w:ascii="Times New Roman" w:hAnsi="Times New Roman" w:eastAsia="宋体" w:cs="Times New Roman"/>
          <w:bCs/>
          <w:szCs w:val="21"/>
        </w:rPr>
        <w:t>三维细胞</w:t>
      </w:r>
      <w:r>
        <w:rPr>
          <w:rFonts w:ascii="Times New Roman" w:hAnsi="Times New Roman" w:eastAsia="宋体" w:cs="Times New Roman"/>
          <w:bCs/>
          <w:szCs w:val="21"/>
        </w:rPr>
        <w:t>培养物</w:t>
      </w:r>
      <w:r>
        <w:rPr>
          <w:rFonts w:hint="eastAsia" w:ascii="Times New Roman" w:hAnsi="Times New Roman" w:eastAsia="宋体" w:cs="Times New Roman"/>
          <w:bCs/>
          <w:szCs w:val="21"/>
        </w:rPr>
        <w:t>，能高度</w:t>
      </w:r>
      <w:r>
        <w:rPr>
          <w:rFonts w:ascii="Times New Roman" w:hAnsi="Times New Roman" w:eastAsia="宋体" w:cs="Times New Roman"/>
          <w:bCs/>
          <w:szCs w:val="21"/>
        </w:rPr>
        <w:t>模拟体内对应组织器官</w:t>
      </w:r>
      <w:r>
        <w:rPr>
          <w:rFonts w:hint="eastAsia" w:ascii="Times New Roman" w:hAnsi="Times New Roman" w:eastAsia="宋体" w:cs="Times New Roman"/>
          <w:bCs/>
          <w:szCs w:val="21"/>
        </w:rPr>
        <w:t>的</w:t>
      </w:r>
      <w:r>
        <w:rPr>
          <w:rFonts w:ascii="Times New Roman" w:hAnsi="Times New Roman" w:eastAsia="宋体" w:cs="Times New Roman"/>
          <w:bCs/>
          <w:szCs w:val="21"/>
        </w:rPr>
        <w:t>细胞类型组成、形态结构和生理功能</w:t>
      </w:r>
      <w:r>
        <w:rPr>
          <w:rFonts w:hint="eastAsia" w:ascii="Times New Roman" w:hAnsi="Times New Roman" w:eastAsia="宋体" w:cs="Times New Roman"/>
          <w:bCs/>
          <w:szCs w:val="21"/>
        </w:rPr>
        <w:t>等特征。</w:t>
      </w:r>
    </w:p>
    <w:bookmarkEnd w:id="27"/>
    <w:bookmarkEnd w:id="28"/>
    <w:bookmarkEnd w:id="29"/>
    <w:p w14:paraId="4DCB99CA">
      <w:pPr>
        <w:spacing w:before="156" w:beforeLines="50" w:after="156" w:afterLines="50" w:line="240" w:lineRule="auto"/>
        <w:rPr>
          <w:rFonts w:hint="eastAsia" w:ascii="黑体" w:hAnsi="黑体" w:eastAsia="黑体" w:cs="黑体"/>
          <w:bCs/>
          <w:szCs w:val="21"/>
        </w:rPr>
      </w:pPr>
      <w:r>
        <w:rPr>
          <w:rFonts w:hint="eastAsia" w:ascii="黑体" w:hAnsi="黑体" w:eastAsia="黑体" w:cs="黑体"/>
          <w:bCs/>
          <w:szCs w:val="21"/>
        </w:rPr>
        <w:t>3.2</w:t>
      </w:r>
    </w:p>
    <w:p w14:paraId="1455B6B1">
      <w:pPr>
        <w:spacing w:line="240" w:lineRule="auto"/>
        <w:ind w:firstLine="420" w:firstLineChars="200"/>
        <w:rPr>
          <w:rFonts w:hint="eastAsia" w:ascii="Times New Roman" w:hAnsi="Times New Roman" w:eastAsia="黑体" w:cs="Times New Roman"/>
          <w:bCs/>
          <w:szCs w:val="21"/>
        </w:rPr>
      </w:pPr>
      <w:r>
        <w:rPr>
          <w:rFonts w:hint="eastAsia" w:ascii="黑体" w:hAnsi="黑体" w:eastAsia="黑体" w:cs="黑体"/>
          <w:bCs/>
          <w:szCs w:val="21"/>
        </w:rPr>
        <w:t xml:space="preserve">人脑胶质瘤类器官 </w:t>
      </w:r>
      <w:r>
        <w:rPr>
          <w:rFonts w:hint="eastAsia" w:ascii="Times New Roman" w:hAnsi="Times New Roman" w:eastAsia="黑体" w:cs="Times New Roman"/>
          <w:b/>
          <w:bCs w:val="0"/>
          <w:szCs w:val="21"/>
        </w:rPr>
        <w:t>human glioma organoids</w:t>
      </w:r>
    </w:p>
    <w:p w14:paraId="374E53CE">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由人脑胶质瘤来源的肿瘤干细胞，在悬浮培养条件下形成的</w:t>
      </w:r>
      <w:r>
        <w:rPr>
          <w:rFonts w:hint="eastAsia" w:ascii="Times New Roman" w:hAnsi="Times New Roman" w:eastAsia="宋体" w:cs="Times New Roman"/>
          <w:bCs/>
          <w:szCs w:val="21"/>
        </w:rPr>
        <w:t>可模拟肿瘤</w:t>
      </w:r>
      <w:r>
        <w:rPr>
          <w:rFonts w:ascii="Times New Roman" w:hAnsi="Times New Roman" w:eastAsia="宋体" w:cs="Times New Roman"/>
          <w:bCs/>
          <w:szCs w:val="21"/>
        </w:rPr>
        <w:t>组织细胞成分、组织结构及分子表型等关键特征具有相似性的三维多细胞培养物。</w:t>
      </w:r>
    </w:p>
    <w:p w14:paraId="0772C07E">
      <w:pPr>
        <w:spacing w:before="156" w:beforeLines="50" w:after="156" w:afterLines="50" w:line="240" w:lineRule="auto"/>
        <w:rPr>
          <w:rFonts w:hint="eastAsia" w:ascii="黑体" w:hAnsi="黑体" w:eastAsia="黑体" w:cs="黑体"/>
          <w:bCs/>
          <w:szCs w:val="21"/>
        </w:rPr>
      </w:pPr>
      <w:r>
        <w:rPr>
          <w:rFonts w:hint="eastAsia" w:ascii="黑体" w:hAnsi="黑体" w:eastAsia="黑体" w:cs="黑体"/>
          <w:bCs/>
          <w:szCs w:val="21"/>
        </w:rPr>
        <w:t>3.3</w:t>
      </w:r>
    </w:p>
    <w:p w14:paraId="52F1E5D1">
      <w:pPr>
        <w:spacing w:line="240" w:lineRule="auto"/>
        <w:ind w:firstLine="420" w:firstLineChars="200"/>
        <w:rPr>
          <w:rFonts w:hint="eastAsia" w:ascii="Times New Roman" w:hAnsi="Times New Roman" w:eastAsia="黑体" w:cs="Times New Roman"/>
          <w:bCs/>
          <w:szCs w:val="21"/>
        </w:rPr>
      </w:pPr>
      <w:r>
        <w:rPr>
          <w:rFonts w:hint="eastAsia" w:ascii="黑体" w:hAnsi="黑体" w:eastAsia="黑体" w:cs="黑体"/>
          <w:bCs/>
          <w:szCs w:val="21"/>
        </w:rPr>
        <w:t xml:space="preserve">鉴定 </w:t>
      </w:r>
      <w:r>
        <w:rPr>
          <w:rFonts w:hint="eastAsia" w:ascii="Times New Roman" w:hAnsi="Times New Roman" w:eastAsia="黑体" w:cs="Times New Roman"/>
          <w:b/>
          <w:bCs w:val="0"/>
          <w:szCs w:val="21"/>
        </w:rPr>
        <w:t>identification</w:t>
      </w:r>
    </w:p>
    <w:p w14:paraId="250A76EB">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类器官培养成功之后，通过形态学</w:t>
      </w:r>
      <w:r>
        <w:rPr>
          <w:rFonts w:hint="eastAsia" w:ascii="Times New Roman" w:hAnsi="Times New Roman" w:eastAsia="宋体" w:cs="Times New Roman"/>
          <w:bCs/>
          <w:szCs w:val="21"/>
        </w:rPr>
        <w:t>、</w:t>
      </w:r>
      <w:r>
        <w:rPr>
          <w:rFonts w:ascii="Times New Roman" w:hAnsi="Times New Roman" w:eastAsia="宋体" w:cs="Times New Roman"/>
          <w:bCs/>
          <w:szCs w:val="21"/>
        </w:rPr>
        <w:t>病理学</w:t>
      </w:r>
      <w:r>
        <w:rPr>
          <w:rFonts w:hint="eastAsia" w:ascii="Times New Roman" w:hAnsi="Times New Roman" w:eastAsia="宋体" w:cs="Times New Roman"/>
          <w:bCs/>
          <w:szCs w:val="21"/>
        </w:rPr>
        <w:t>、</w:t>
      </w:r>
      <w:r>
        <w:rPr>
          <w:rFonts w:ascii="Times New Roman" w:hAnsi="Times New Roman" w:eastAsia="宋体" w:cs="Times New Roman"/>
          <w:bCs/>
          <w:szCs w:val="21"/>
        </w:rPr>
        <w:t>基因组学等验证其与</w:t>
      </w:r>
      <w:r>
        <w:rPr>
          <w:rFonts w:hint="eastAsia" w:ascii="Times New Roman" w:hAnsi="Times New Roman" w:eastAsia="宋体" w:cs="Times New Roman"/>
          <w:bCs/>
          <w:szCs w:val="21"/>
        </w:rPr>
        <w:t>源</w:t>
      </w:r>
      <w:r>
        <w:rPr>
          <w:rFonts w:ascii="Times New Roman" w:hAnsi="Times New Roman" w:eastAsia="宋体" w:cs="Times New Roman"/>
          <w:bCs/>
          <w:szCs w:val="21"/>
        </w:rPr>
        <w:t>组织的一致性。</w:t>
      </w:r>
    </w:p>
    <w:p w14:paraId="2F525B72">
      <w:pPr>
        <w:spacing w:before="156" w:beforeLines="50" w:after="156" w:afterLines="50" w:line="240" w:lineRule="auto"/>
        <w:rPr>
          <w:rFonts w:hint="eastAsia" w:ascii="黑体" w:hAnsi="黑体" w:eastAsia="黑体" w:cs="黑体"/>
          <w:bCs/>
          <w:szCs w:val="21"/>
        </w:rPr>
      </w:pPr>
      <w:r>
        <w:rPr>
          <w:rFonts w:hint="eastAsia" w:ascii="黑体" w:hAnsi="黑体" w:eastAsia="黑体" w:cs="黑体"/>
          <w:bCs/>
          <w:szCs w:val="21"/>
        </w:rPr>
        <w:t>3.4</w:t>
      </w:r>
    </w:p>
    <w:p w14:paraId="1D80CFBE">
      <w:pPr>
        <w:spacing w:line="240" w:lineRule="auto"/>
        <w:ind w:firstLine="420" w:firstLineChars="200"/>
        <w:rPr>
          <w:rFonts w:hint="eastAsia" w:ascii="Times New Roman" w:hAnsi="Times New Roman" w:eastAsia="黑体" w:cs="Times New Roman"/>
          <w:bCs/>
          <w:szCs w:val="21"/>
        </w:rPr>
      </w:pPr>
      <w:r>
        <w:rPr>
          <w:rFonts w:hint="eastAsia" w:ascii="黑体" w:hAnsi="黑体" w:eastAsia="黑体" w:cs="黑体"/>
          <w:bCs/>
          <w:szCs w:val="21"/>
        </w:rPr>
        <w:t xml:space="preserve">传代 </w:t>
      </w:r>
      <w:r>
        <w:rPr>
          <w:rFonts w:hint="eastAsia" w:ascii="Times New Roman" w:hAnsi="Times New Roman" w:eastAsia="黑体" w:cs="Times New Roman"/>
          <w:b/>
          <w:bCs w:val="0"/>
          <w:szCs w:val="21"/>
        </w:rPr>
        <w:t>passage</w:t>
      </w:r>
    </w:p>
    <w:p w14:paraId="71AE729A">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将培养成功的类器官制备为单细胞或细胞簇后再进行培养，使其形成与上一代类器官有着相同形态功能的新一代类器官的过程。</w:t>
      </w:r>
    </w:p>
    <w:p w14:paraId="4DD9DF0E">
      <w:pPr>
        <w:spacing w:before="156" w:beforeLines="50" w:after="156" w:afterLines="50" w:line="240" w:lineRule="auto"/>
        <w:rPr>
          <w:rFonts w:hint="eastAsia" w:ascii="黑体" w:hAnsi="黑体" w:eastAsia="黑体" w:cs="黑体"/>
          <w:bCs/>
          <w:szCs w:val="21"/>
        </w:rPr>
      </w:pPr>
      <w:r>
        <w:rPr>
          <w:rFonts w:hint="eastAsia" w:ascii="黑体" w:hAnsi="黑体" w:eastAsia="黑体" w:cs="黑体"/>
          <w:bCs/>
          <w:szCs w:val="21"/>
        </w:rPr>
        <w:t>3.5</w:t>
      </w:r>
    </w:p>
    <w:p w14:paraId="4C6F8231">
      <w:pPr>
        <w:spacing w:line="240" w:lineRule="auto"/>
        <w:ind w:firstLine="420" w:firstLineChars="200"/>
        <w:rPr>
          <w:rFonts w:hint="eastAsia" w:ascii="Times New Roman" w:hAnsi="Times New Roman" w:eastAsia="黑体" w:cs="Times New Roman"/>
          <w:bCs/>
          <w:szCs w:val="21"/>
        </w:rPr>
      </w:pPr>
      <w:r>
        <w:rPr>
          <w:rFonts w:hint="eastAsia" w:ascii="黑体" w:hAnsi="黑体" w:eastAsia="黑体" w:cs="黑体"/>
          <w:bCs/>
          <w:szCs w:val="21"/>
        </w:rPr>
        <w:t xml:space="preserve">冻存 </w:t>
      </w:r>
      <w:r>
        <w:rPr>
          <w:rFonts w:hint="eastAsia" w:ascii="Times New Roman" w:hAnsi="Times New Roman" w:eastAsia="黑体" w:cs="Times New Roman"/>
          <w:b/>
          <w:bCs w:val="0"/>
          <w:szCs w:val="21"/>
        </w:rPr>
        <w:t>cryopreservation</w:t>
      </w:r>
    </w:p>
    <w:p w14:paraId="6CE28291">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将类器官置于低温条件下，使其暂停生长，但不影响其活性及状态</w:t>
      </w:r>
      <w:r>
        <w:rPr>
          <w:rFonts w:hint="eastAsia" w:ascii="Times New Roman" w:hAnsi="Times New Roman" w:eastAsia="宋体" w:cs="Times New Roman"/>
          <w:bCs/>
          <w:szCs w:val="21"/>
        </w:rPr>
        <w:t>的</w:t>
      </w:r>
      <w:r>
        <w:rPr>
          <w:rFonts w:ascii="Times New Roman" w:hAnsi="Times New Roman" w:eastAsia="宋体" w:cs="Times New Roman"/>
          <w:bCs/>
          <w:szCs w:val="21"/>
        </w:rPr>
        <w:t>长期保存的过程。</w:t>
      </w:r>
    </w:p>
    <w:p w14:paraId="48CC9825">
      <w:pPr>
        <w:spacing w:before="156" w:beforeLines="50" w:after="156" w:afterLines="50" w:line="240" w:lineRule="auto"/>
        <w:rPr>
          <w:rFonts w:hint="eastAsia" w:ascii="黑体" w:hAnsi="黑体" w:eastAsia="黑体" w:cs="黑体"/>
          <w:bCs/>
          <w:szCs w:val="21"/>
        </w:rPr>
      </w:pPr>
      <w:r>
        <w:rPr>
          <w:rFonts w:hint="eastAsia" w:ascii="黑体" w:hAnsi="黑体" w:eastAsia="黑体" w:cs="黑体"/>
          <w:bCs/>
          <w:szCs w:val="21"/>
        </w:rPr>
        <w:t>3.6</w:t>
      </w:r>
    </w:p>
    <w:p w14:paraId="48B7DCAD">
      <w:pPr>
        <w:spacing w:line="240" w:lineRule="auto"/>
        <w:ind w:firstLine="420" w:firstLineChars="200"/>
        <w:rPr>
          <w:rFonts w:hint="eastAsia" w:ascii="Times New Roman" w:hAnsi="Times New Roman" w:eastAsia="宋体" w:cs="Times New Roman"/>
          <w:bCs/>
          <w:szCs w:val="21"/>
        </w:rPr>
      </w:pPr>
      <w:r>
        <w:rPr>
          <w:rFonts w:hint="eastAsia" w:ascii="黑体" w:hAnsi="黑体" w:eastAsia="黑体" w:cs="黑体"/>
          <w:bCs/>
          <w:szCs w:val="21"/>
        </w:rPr>
        <w:t xml:space="preserve">复苏 </w:t>
      </w:r>
      <w:r>
        <w:rPr>
          <w:rFonts w:hint="eastAsia" w:ascii="Times New Roman" w:hAnsi="Times New Roman" w:eastAsia="宋体" w:cs="Times New Roman"/>
          <w:b/>
          <w:bCs w:val="0"/>
          <w:szCs w:val="21"/>
        </w:rPr>
        <w:t>recovery</w:t>
      </w:r>
    </w:p>
    <w:p w14:paraId="5099B72F">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将冻存的类器官取出解冻后</w:t>
      </w:r>
      <w:r>
        <w:rPr>
          <w:rFonts w:hint="eastAsia" w:ascii="Times New Roman" w:hAnsi="Times New Roman" w:eastAsia="宋体" w:cs="Times New Roman"/>
          <w:bCs/>
          <w:szCs w:val="21"/>
        </w:rPr>
        <w:t>再</w:t>
      </w:r>
      <w:r>
        <w:rPr>
          <w:rFonts w:ascii="Times New Roman" w:hAnsi="Times New Roman" w:eastAsia="宋体" w:cs="Times New Roman"/>
          <w:bCs/>
          <w:szCs w:val="21"/>
        </w:rPr>
        <w:t>进行相应培养</w:t>
      </w:r>
      <w:r>
        <w:rPr>
          <w:rFonts w:hint="eastAsia" w:ascii="Times New Roman" w:hAnsi="Times New Roman" w:eastAsia="宋体" w:cs="Times New Roman"/>
          <w:bCs/>
          <w:szCs w:val="21"/>
        </w:rPr>
        <w:t>，恢复</w:t>
      </w:r>
      <w:r>
        <w:rPr>
          <w:rFonts w:ascii="Times New Roman" w:hAnsi="Times New Roman" w:eastAsia="宋体" w:cs="Times New Roman"/>
          <w:bCs/>
          <w:szCs w:val="21"/>
        </w:rPr>
        <w:t>其继续生长</w:t>
      </w:r>
      <w:r>
        <w:rPr>
          <w:rFonts w:hint="eastAsia" w:ascii="Times New Roman" w:hAnsi="Times New Roman" w:eastAsia="宋体" w:cs="Times New Roman"/>
          <w:bCs/>
          <w:szCs w:val="21"/>
        </w:rPr>
        <w:t>能力</w:t>
      </w:r>
      <w:r>
        <w:rPr>
          <w:rFonts w:ascii="Times New Roman" w:hAnsi="Times New Roman" w:eastAsia="宋体" w:cs="Times New Roman"/>
          <w:bCs/>
          <w:szCs w:val="21"/>
        </w:rPr>
        <w:t>的过程。</w:t>
      </w:r>
    </w:p>
    <w:p w14:paraId="335CCD75">
      <w:pPr>
        <w:spacing w:before="156" w:beforeLines="50" w:after="156" w:afterLines="50" w:line="240" w:lineRule="auto"/>
        <w:rPr>
          <w:rFonts w:hint="eastAsia" w:ascii="黑体" w:hAnsi="黑体" w:eastAsia="黑体" w:cs="黑体"/>
          <w:bCs/>
          <w:szCs w:val="21"/>
        </w:rPr>
      </w:pPr>
      <w:r>
        <w:rPr>
          <w:rFonts w:hint="eastAsia" w:ascii="黑体" w:hAnsi="黑体" w:eastAsia="黑体" w:cs="黑体"/>
          <w:bCs/>
          <w:szCs w:val="21"/>
        </w:rPr>
        <w:t>3.7</w:t>
      </w:r>
    </w:p>
    <w:p w14:paraId="341553DA">
      <w:pPr>
        <w:spacing w:line="240" w:lineRule="auto"/>
        <w:ind w:firstLine="420" w:firstLineChars="200"/>
        <w:rPr>
          <w:rFonts w:hint="eastAsia" w:ascii="Times New Roman" w:hAnsi="Times New Roman" w:eastAsia="黑体" w:cs="Times New Roman"/>
          <w:bCs/>
          <w:szCs w:val="21"/>
        </w:rPr>
      </w:pPr>
      <w:r>
        <w:rPr>
          <w:rFonts w:hint="eastAsia" w:ascii="黑体" w:hAnsi="黑体" w:eastAsia="黑体" w:cs="黑体"/>
          <w:bCs/>
          <w:szCs w:val="21"/>
        </w:rPr>
        <w:t xml:space="preserve">组织保存液 </w:t>
      </w:r>
      <w:r>
        <w:rPr>
          <w:rFonts w:hint="eastAsia" w:ascii="Times New Roman" w:hAnsi="Times New Roman" w:eastAsia="黑体" w:cs="Times New Roman"/>
          <w:b/>
          <w:bCs w:val="0"/>
          <w:szCs w:val="21"/>
        </w:rPr>
        <w:t>tissue preservation solution</w:t>
      </w:r>
    </w:p>
    <w:p w14:paraId="313E9A81">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在离体后（从生物体取出后）</w:t>
      </w:r>
      <w:r>
        <w:rPr>
          <w:rFonts w:hint="eastAsia" w:ascii="Times New Roman" w:hAnsi="Times New Roman" w:eastAsia="宋体" w:cs="Times New Roman"/>
          <w:bCs/>
          <w:szCs w:val="21"/>
        </w:rPr>
        <w:t>为</w:t>
      </w:r>
      <w:r>
        <w:rPr>
          <w:rFonts w:ascii="Times New Roman" w:hAnsi="Times New Roman" w:eastAsia="宋体" w:cs="Times New Roman"/>
          <w:bCs/>
          <w:szCs w:val="21"/>
        </w:rPr>
        <w:t>尽可能长时间地维持生物组织样本的形态结构、生化成分、细胞活力或核酸/蛋白质完整性</w:t>
      </w:r>
      <w:r>
        <w:rPr>
          <w:rFonts w:hint="eastAsia" w:ascii="Times New Roman" w:hAnsi="Times New Roman" w:eastAsia="宋体" w:cs="Times New Roman"/>
          <w:bCs/>
          <w:szCs w:val="21"/>
        </w:rPr>
        <w:t>而配制的液体溶液</w:t>
      </w:r>
      <w:r>
        <w:rPr>
          <w:rFonts w:ascii="Times New Roman" w:hAnsi="Times New Roman" w:eastAsia="宋体" w:cs="Times New Roman"/>
          <w:bCs/>
          <w:szCs w:val="21"/>
        </w:rPr>
        <w:t>。</w:t>
      </w:r>
    </w:p>
    <w:p w14:paraId="330635B5">
      <w:pPr>
        <w:spacing w:before="156" w:beforeLines="50" w:after="156" w:afterLines="50" w:line="240" w:lineRule="auto"/>
        <w:rPr>
          <w:rFonts w:hint="eastAsia" w:ascii="黑体" w:hAnsi="黑体" w:eastAsia="黑体" w:cs="黑体"/>
          <w:bCs/>
          <w:szCs w:val="21"/>
        </w:rPr>
      </w:pPr>
      <w:r>
        <w:rPr>
          <w:rFonts w:hint="eastAsia" w:ascii="黑体" w:hAnsi="黑体" w:eastAsia="黑体" w:cs="黑体"/>
          <w:bCs/>
          <w:szCs w:val="21"/>
        </w:rPr>
        <w:t>3.8</w:t>
      </w:r>
    </w:p>
    <w:p w14:paraId="49BA0534">
      <w:pPr>
        <w:spacing w:line="240" w:lineRule="auto"/>
        <w:ind w:firstLine="420" w:firstLineChars="200"/>
        <w:rPr>
          <w:rFonts w:hint="eastAsia" w:ascii="Times New Roman" w:hAnsi="Times New Roman" w:eastAsia="黑体" w:cs="Times New Roman"/>
          <w:bCs/>
          <w:szCs w:val="21"/>
        </w:rPr>
      </w:pPr>
      <w:r>
        <w:rPr>
          <w:rFonts w:hint="eastAsia" w:ascii="黑体" w:hAnsi="黑体" w:eastAsia="黑体" w:cs="黑体"/>
          <w:bCs/>
          <w:szCs w:val="21"/>
        </w:rPr>
        <w:t xml:space="preserve">知情同意 </w:t>
      </w:r>
      <w:r>
        <w:rPr>
          <w:rFonts w:hint="eastAsia" w:ascii="Times New Roman" w:hAnsi="Times New Roman" w:eastAsia="黑体" w:cs="Times New Roman"/>
          <w:b/>
          <w:bCs w:val="0"/>
          <w:szCs w:val="21"/>
        </w:rPr>
        <w:t>informed consent</w:t>
      </w:r>
    </w:p>
    <w:p w14:paraId="76775053">
      <w:pPr>
        <w:spacing w:line="240" w:lineRule="auto"/>
        <w:ind w:firstLine="420" w:firstLineChars="200"/>
        <w:jc w:val="both"/>
        <w:rPr>
          <w:rFonts w:hint="eastAsia" w:ascii="宋体" w:hAnsi="宋体" w:eastAsia="宋体" w:cs="Times New Roman"/>
          <w:bCs/>
          <w:szCs w:val="21"/>
        </w:rPr>
      </w:pPr>
      <w:r>
        <w:rPr>
          <w:rFonts w:ascii="Times New Roman" w:hAnsi="Times New Roman" w:eastAsia="宋体" w:cs="Times New Roman"/>
          <w:bCs/>
          <w:szCs w:val="21"/>
        </w:rPr>
        <w:t>见GB/T 38736-2020第3.7条。</w:t>
      </w:r>
    </w:p>
    <w:p w14:paraId="5A5184B3">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30" w:name="_Toc24953"/>
      <w:bookmarkStart w:id="31" w:name="_Toc18679"/>
      <w:r>
        <w:rPr>
          <w:rFonts w:hint="eastAsia" w:ascii="黑体" w:hAnsi="黑体" w:eastAsia="黑体" w:cs="黑体"/>
          <w:b w:val="0"/>
          <w:bCs/>
          <w:sz w:val="21"/>
          <w:szCs w:val="21"/>
        </w:rPr>
        <w:t>总则</w:t>
      </w:r>
      <w:bookmarkEnd w:id="30"/>
      <w:bookmarkEnd w:id="31"/>
    </w:p>
    <w:p w14:paraId="045CBBB2">
      <w:pPr>
        <w:pStyle w:val="19"/>
        <w:spacing w:line="240" w:lineRule="auto"/>
        <w:rPr>
          <w:rFonts w:ascii="Times New Roman" w:hAnsi="Times New Roman" w:eastAsia="宋体" w:cs="Times New Roman"/>
        </w:rPr>
      </w:pPr>
      <w:r>
        <w:rPr>
          <w:rFonts w:hint="eastAsia" w:ascii="黑体" w:hAnsi="黑体" w:eastAsia="黑体" w:cs="黑体"/>
        </w:rPr>
        <w:t>4.1</w:t>
      </w:r>
      <w:r>
        <w:rPr>
          <w:rFonts w:ascii="Times New Roman" w:hAnsi="Times New Roman" w:eastAsia="宋体" w:cs="Times New Roman"/>
        </w:rPr>
        <w:t xml:space="preserve"> 人类组织样本采集与处理应符合GB/T 37864-2019的要求。</w:t>
      </w:r>
    </w:p>
    <w:p w14:paraId="74994805">
      <w:pPr>
        <w:pStyle w:val="19"/>
        <w:spacing w:line="240" w:lineRule="auto"/>
        <w:rPr>
          <w:rFonts w:ascii="Times New Roman" w:hAnsi="Times New Roman" w:eastAsia="宋体" w:cs="Times New Roman"/>
        </w:rPr>
      </w:pPr>
      <w:r>
        <w:rPr>
          <w:rFonts w:hint="eastAsia" w:ascii="黑体" w:hAnsi="黑体" w:eastAsia="黑体" w:cs="黑体"/>
        </w:rPr>
        <w:t xml:space="preserve">4.2 </w:t>
      </w:r>
      <w:r>
        <w:rPr>
          <w:rFonts w:hint="eastAsia" w:ascii="Times New Roman" w:hAnsi="Times New Roman" w:eastAsia="宋体" w:cs="Times New Roman"/>
        </w:rPr>
        <w:t>脑</w:t>
      </w:r>
      <w:r>
        <w:rPr>
          <w:rFonts w:ascii="Times New Roman" w:hAnsi="Times New Roman" w:eastAsia="宋体" w:cs="Times New Roman"/>
        </w:rPr>
        <w:t>胶质瘤类器官生物样本库应制定成文和实施适宜的组织样本采集和处理的程序。该程序应可供负责组织样本采集者使用，不论其是否为生物样本库人员。</w:t>
      </w:r>
    </w:p>
    <w:p w14:paraId="376CD609">
      <w:pPr>
        <w:pStyle w:val="19"/>
        <w:spacing w:line="240" w:lineRule="auto"/>
        <w:rPr>
          <w:rFonts w:ascii="Times New Roman" w:hAnsi="Times New Roman" w:eastAsia="宋体" w:cs="Times New Roman"/>
        </w:rPr>
      </w:pPr>
      <w:r>
        <w:rPr>
          <w:rFonts w:hint="eastAsia" w:ascii="黑体" w:hAnsi="黑体" w:eastAsia="黑体" w:cs="黑体"/>
        </w:rPr>
        <w:t>4.3</w:t>
      </w:r>
      <w:r>
        <w:rPr>
          <w:rFonts w:ascii="Times New Roman" w:hAnsi="Times New Roman" w:eastAsia="宋体" w:cs="Times New Roman"/>
        </w:rPr>
        <w:t xml:space="preserve"> 脑胶质瘤类器官生物样本库应建立适当的质量管理体系确保符合用户需求并持续改进。</w:t>
      </w:r>
    </w:p>
    <w:p w14:paraId="655BF899">
      <w:pPr>
        <w:pStyle w:val="19"/>
        <w:spacing w:line="240" w:lineRule="auto"/>
        <w:rPr>
          <w:rFonts w:ascii="Times New Roman" w:hAnsi="Times New Roman" w:eastAsia="宋体" w:cs="Times New Roman"/>
        </w:rPr>
      </w:pPr>
      <w:r>
        <w:rPr>
          <w:rFonts w:hint="eastAsia" w:ascii="黑体" w:hAnsi="黑体" w:eastAsia="黑体" w:cs="黑体"/>
        </w:rPr>
        <w:t xml:space="preserve">4.4 </w:t>
      </w:r>
      <w:r>
        <w:rPr>
          <w:rFonts w:ascii="Times New Roman" w:hAnsi="Times New Roman" w:eastAsia="宋体" w:cs="Times New Roman"/>
        </w:rPr>
        <w:t>脑胶质瘤类器官生物样本库应具备相关的资质和设施环境。</w:t>
      </w:r>
    </w:p>
    <w:p w14:paraId="145D03EA">
      <w:pPr>
        <w:pStyle w:val="19"/>
        <w:spacing w:line="240" w:lineRule="auto"/>
        <w:rPr>
          <w:rFonts w:ascii="Times New Roman" w:hAnsi="Times New Roman" w:eastAsia="宋体" w:cs="Times New Roman"/>
        </w:rPr>
      </w:pPr>
      <w:r>
        <w:rPr>
          <w:rFonts w:hint="eastAsia" w:ascii="黑体" w:hAnsi="黑体" w:eastAsia="黑体" w:cs="黑体"/>
        </w:rPr>
        <w:t xml:space="preserve">4.5 </w:t>
      </w:r>
      <w:r>
        <w:rPr>
          <w:rFonts w:ascii="Times New Roman" w:hAnsi="Times New Roman" w:eastAsia="宋体" w:cs="Times New Roman"/>
        </w:rPr>
        <w:t>脑胶质瘤类器官研究项目应通过伦理审查并履行知情同意程序。</w:t>
      </w:r>
    </w:p>
    <w:p w14:paraId="793A256C">
      <w:pPr>
        <w:pStyle w:val="19"/>
        <w:spacing w:before="0" w:beforeLines="-2147483648" w:after="0" w:afterLines="-2147483648" w:line="240" w:lineRule="auto"/>
        <w:jc w:val="both"/>
        <w:rPr>
          <w:rFonts w:hint="eastAsia" w:ascii="黑体" w:hAnsi="黑体"/>
        </w:rPr>
      </w:pPr>
      <w:r>
        <w:rPr>
          <w:rFonts w:hint="eastAsia" w:ascii="黑体" w:hAnsi="黑体" w:eastAsia="黑体" w:cs="黑体"/>
        </w:rPr>
        <w:t>4.6</w:t>
      </w:r>
      <w:r>
        <w:rPr>
          <w:rFonts w:ascii="Times New Roman" w:hAnsi="Times New Roman" w:eastAsia="宋体" w:cs="Times New Roman"/>
        </w:rPr>
        <w:t xml:space="preserve"> 脑胶质瘤类器官生物样本库管理制度应为组织提供者提供足够的隐私保护，确保</w:t>
      </w:r>
      <w:r>
        <w:rPr>
          <w:rFonts w:ascii="Times New Roman" w:hAnsi="Times New Roman" w:eastAsia="宋体" w:cs="Times New Roman"/>
          <w:bCs/>
          <w:szCs w:val="21"/>
        </w:rPr>
        <w:t>为</w:t>
      </w:r>
      <w:r>
        <w:rPr>
          <w:rFonts w:ascii="Times New Roman" w:hAnsi="Times New Roman" w:eastAsia="宋体" w:cs="Times New Roman"/>
        </w:rPr>
        <w:t>用户/参与者个人信息的保密性。</w:t>
      </w:r>
    </w:p>
    <w:p w14:paraId="46BA8B75">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32" w:name="_Toc14249"/>
      <w:bookmarkStart w:id="33" w:name="_Toc30795"/>
      <w:r>
        <w:rPr>
          <w:rFonts w:hint="eastAsia" w:ascii="黑体" w:hAnsi="黑体" w:eastAsia="黑体" w:cs="黑体"/>
          <w:b w:val="0"/>
          <w:bCs/>
          <w:sz w:val="21"/>
          <w:szCs w:val="21"/>
        </w:rPr>
        <w:t>胶质瘤类器官制备</w:t>
      </w:r>
      <w:bookmarkEnd w:id="32"/>
      <w:bookmarkEnd w:id="33"/>
    </w:p>
    <w:p w14:paraId="7D84DEA4">
      <w:pPr>
        <w:spacing w:before="156" w:beforeLines="50" w:after="156" w:afterLines="50"/>
        <w:rPr>
          <w:rFonts w:ascii="黑体" w:hAnsi="黑体"/>
          <w:b/>
          <w:bCs/>
          <w:sz w:val="21"/>
          <w:szCs w:val="21"/>
        </w:rPr>
      </w:pPr>
      <w:bookmarkStart w:id="34" w:name="_Toc28735"/>
      <w:r>
        <w:rPr>
          <w:rFonts w:ascii="黑体" w:hAnsi="黑体" w:eastAsia="黑体"/>
          <w:b w:val="0"/>
        </w:rPr>
        <w:t xml:space="preserve">5.1 </w:t>
      </w:r>
      <w:r>
        <w:rPr>
          <w:rFonts w:hint="eastAsia" w:ascii="黑体" w:hAnsi="黑体" w:eastAsia="黑体"/>
          <w:b w:val="0"/>
        </w:rPr>
        <w:t>制备原理</w:t>
      </w:r>
      <w:bookmarkEnd w:id="34"/>
    </w:p>
    <w:p w14:paraId="6D5E434B">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在脑胶质瘤培养基作用下，脑胶质瘤的成体干细胞自我增殖，自我分化成一个三维（3D）的，具有一定空间结构的组织类似物。</w:t>
      </w:r>
    </w:p>
    <w:p w14:paraId="54488F0D">
      <w:pPr>
        <w:spacing w:before="156" w:beforeLines="50" w:after="156" w:afterLines="50"/>
        <w:rPr>
          <w:rFonts w:ascii="黑体" w:hAnsi="黑体"/>
          <w:b/>
          <w:bCs/>
          <w:sz w:val="21"/>
          <w:szCs w:val="21"/>
        </w:rPr>
      </w:pPr>
      <w:bookmarkStart w:id="35" w:name="_Toc25387"/>
      <w:r>
        <w:rPr>
          <w:rFonts w:ascii="黑体" w:hAnsi="黑体" w:eastAsia="黑体"/>
          <w:bCs/>
          <w:szCs w:val="21"/>
        </w:rPr>
        <w:t xml:space="preserve">5.2 </w:t>
      </w:r>
      <w:r>
        <w:rPr>
          <w:rFonts w:hint="eastAsia" w:ascii="黑体" w:hAnsi="黑体" w:eastAsia="黑体"/>
          <w:bCs/>
          <w:szCs w:val="21"/>
        </w:rPr>
        <w:t>组织样本采集</w:t>
      </w:r>
      <w:bookmarkEnd w:id="35"/>
    </w:p>
    <w:p w14:paraId="7EA4DAD5">
      <w:pPr>
        <w:pStyle w:val="19"/>
        <w:spacing w:line="240" w:lineRule="auto"/>
        <w:rPr>
          <w:rFonts w:ascii="Times New Roman" w:hAnsi="Times New Roman" w:eastAsia="宋体" w:cs="Times New Roman"/>
        </w:rPr>
      </w:pPr>
      <w:r>
        <w:rPr>
          <w:rFonts w:hint="eastAsia" w:ascii="黑体" w:hAnsi="黑体" w:eastAsia="黑体" w:cs="黑体"/>
        </w:rPr>
        <w:t xml:space="preserve">5.2.1 </w:t>
      </w:r>
      <w:r>
        <w:rPr>
          <w:rFonts w:ascii="Times New Roman" w:hAnsi="Times New Roman" w:eastAsia="宋体" w:cs="Times New Roman"/>
        </w:rPr>
        <w:t>实验室及相关人员应建立起相应的生物安全管控体系，严格控制供体相关疾病传播的风险。</w:t>
      </w:r>
    </w:p>
    <w:p w14:paraId="156C19EA">
      <w:pPr>
        <w:pStyle w:val="19"/>
        <w:spacing w:line="240" w:lineRule="auto"/>
        <w:rPr>
          <w:rFonts w:ascii="Times New Roman" w:hAnsi="Times New Roman" w:eastAsia="宋体" w:cs="Times New Roman"/>
        </w:rPr>
      </w:pPr>
      <w:r>
        <w:rPr>
          <w:rFonts w:hint="eastAsia" w:ascii="黑体" w:hAnsi="黑体" w:eastAsia="黑体" w:cs="黑体"/>
        </w:rPr>
        <w:t xml:space="preserve">5.2.2 </w:t>
      </w:r>
      <w:r>
        <w:rPr>
          <w:rFonts w:ascii="Times New Roman" w:hAnsi="Times New Roman" w:eastAsia="宋体" w:cs="Times New Roman"/>
        </w:rPr>
        <w:t>组织样本的获取及处理人员需接受相应的培训，具备相应操作能力及防护能力。</w:t>
      </w:r>
    </w:p>
    <w:p w14:paraId="6F2AD549">
      <w:pPr>
        <w:pStyle w:val="19"/>
        <w:spacing w:line="240" w:lineRule="auto"/>
        <w:rPr>
          <w:rFonts w:ascii="Times New Roman" w:hAnsi="Times New Roman" w:eastAsia="宋体" w:cs="Times New Roman"/>
        </w:rPr>
      </w:pPr>
      <w:r>
        <w:rPr>
          <w:rFonts w:hint="eastAsia" w:ascii="黑体" w:hAnsi="黑体" w:eastAsia="黑体" w:cs="黑体"/>
        </w:rPr>
        <w:t xml:space="preserve">5.2.3 </w:t>
      </w:r>
      <w:r>
        <w:rPr>
          <w:rFonts w:ascii="Times New Roman" w:hAnsi="Times New Roman" w:eastAsia="宋体" w:cs="Times New Roman"/>
        </w:rPr>
        <w:t>供体组织应当由具有相应医疗资质的机构提供，脑胶质瘤组织样本通过手术切除</w:t>
      </w:r>
      <w:r>
        <w:rPr>
          <w:rFonts w:hint="eastAsia" w:ascii="Times New Roman" w:hAnsi="Times New Roman" w:eastAsia="宋体" w:cs="Times New Roman"/>
        </w:rPr>
        <w:t>/穿刺</w:t>
      </w:r>
      <w:r>
        <w:rPr>
          <w:rFonts w:ascii="Times New Roman" w:hAnsi="Times New Roman" w:eastAsia="宋体" w:cs="Times New Roman"/>
        </w:rPr>
        <w:t>的人脑胶质瘤组织中选取</w:t>
      </w:r>
      <w:r>
        <w:rPr>
          <w:rFonts w:hint="eastAsia" w:ascii="Times New Roman" w:hAnsi="Times New Roman" w:eastAsia="宋体" w:cs="Times New Roman"/>
        </w:rPr>
        <w:t>（在满足临床病理诊断需求后剩余组织才可做类器官）</w:t>
      </w:r>
      <w:r>
        <w:rPr>
          <w:rFonts w:ascii="Times New Roman" w:hAnsi="Times New Roman" w:eastAsia="宋体" w:cs="Times New Roman"/>
        </w:rPr>
        <w:t>，</w:t>
      </w:r>
      <w:r>
        <w:rPr>
          <w:rFonts w:ascii="Times New Roman" w:hAnsi="Times New Roman" w:eastAsia="宋体" w:cs="Times New Roman"/>
          <w:bCs/>
          <w:szCs w:val="21"/>
        </w:rPr>
        <w:t>建议</w:t>
      </w:r>
      <w:r>
        <w:rPr>
          <w:rFonts w:ascii="Times New Roman" w:hAnsi="Times New Roman" w:eastAsia="宋体" w:cs="Times New Roman"/>
        </w:rPr>
        <w:t>组织离体后10分钟内完成取样，取样后马上放入无菌组织保存液中，取样时应选择肿瘤组织丰富，活性好的部位，至少</w:t>
      </w:r>
      <w:r>
        <w:rPr>
          <w:rFonts w:hint="eastAsia" w:ascii="Times New Roman" w:hAnsi="Times New Roman" w:eastAsia="宋体" w:cs="Times New Roman"/>
        </w:rPr>
        <w:t>0.5g</w:t>
      </w:r>
      <w:r>
        <w:rPr>
          <w:rFonts w:ascii="Times New Roman" w:hAnsi="Times New Roman" w:eastAsia="宋体" w:cs="Times New Roman"/>
        </w:rPr>
        <w:t>（</w:t>
      </w:r>
      <w:r>
        <w:rPr>
          <w:rFonts w:hint="eastAsia" w:ascii="Times New Roman" w:hAnsi="Times New Roman" w:eastAsia="宋体" w:cs="Times New Roman"/>
        </w:rPr>
        <w:t>建议1g以上</w:t>
      </w:r>
      <w:r>
        <w:rPr>
          <w:rFonts w:ascii="Times New Roman" w:hAnsi="Times New Roman" w:eastAsia="宋体" w:cs="Times New Roman"/>
        </w:rPr>
        <w:t>）。</w:t>
      </w:r>
    </w:p>
    <w:p w14:paraId="594542F6">
      <w:pPr>
        <w:spacing w:before="156" w:beforeLines="50" w:after="156" w:afterLines="50"/>
        <w:rPr>
          <w:rFonts w:ascii="黑体" w:hAnsi="黑体"/>
          <w:b/>
          <w:bCs/>
          <w:sz w:val="21"/>
          <w:szCs w:val="21"/>
        </w:rPr>
      </w:pPr>
      <w:bookmarkStart w:id="36" w:name="_Toc29770"/>
      <w:r>
        <w:rPr>
          <w:rFonts w:ascii="黑体" w:hAnsi="黑体" w:eastAsia="黑体"/>
          <w:bCs/>
          <w:szCs w:val="21"/>
        </w:rPr>
        <w:t xml:space="preserve">5.3 </w:t>
      </w:r>
      <w:r>
        <w:rPr>
          <w:rFonts w:hint="eastAsia" w:ascii="黑体" w:hAnsi="黑体" w:eastAsia="黑体"/>
          <w:bCs/>
          <w:szCs w:val="21"/>
        </w:rPr>
        <w:t>组织样本的保存和运输</w:t>
      </w:r>
      <w:bookmarkEnd w:id="36"/>
    </w:p>
    <w:p w14:paraId="353404B6">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黑体"/>
        </w:rPr>
      </w:pPr>
      <w:r>
        <w:rPr>
          <w:rFonts w:hint="eastAsia" w:ascii="黑体" w:hAnsi="黑体" w:eastAsia="黑体" w:cs="黑体"/>
        </w:rPr>
        <w:t>5.3.1 采集样本前备物</w:t>
      </w:r>
    </w:p>
    <w:p w14:paraId="5126B181">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无菌组织保存液（保存液应适合保存、转运、不影响组织细胞的生理功能）、组织保存管或离心管、试管架、冰袋、转运箱。</w:t>
      </w:r>
    </w:p>
    <w:p w14:paraId="54748F68">
      <w:pPr>
        <w:pStyle w:val="19"/>
        <w:spacing w:line="240" w:lineRule="auto"/>
        <w:rPr>
          <w:rFonts w:ascii="Times New Roman" w:hAnsi="Times New Roman" w:eastAsia="宋体" w:cs="Times New Roman"/>
        </w:rPr>
      </w:pPr>
      <w:r>
        <w:rPr>
          <w:rFonts w:hint="eastAsia" w:ascii="黑体" w:hAnsi="黑体" w:eastAsia="黑体" w:cs="黑体"/>
        </w:rPr>
        <w:t xml:space="preserve">5.3.2 </w:t>
      </w:r>
      <w:r>
        <w:rPr>
          <w:rFonts w:ascii="Times New Roman" w:hAnsi="Times New Roman" w:eastAsia="宋体" w:cs="Times New Roman"/>
        </w:rPr>
        <w:t>采集的组织样本应完全浸没于含无菌组织保存液的无菌保存管中，严格控制转运温度，</w:t>
      </w:r>
      <w:r>
        <w:rPr>
          <w:rFonts w:ascii="Times New Roman" w:hAnsi="Times New Roman" w:eastAsia="宋体" w:cs="Times New Roman"/>
          <w:bCs/>
          <w:szCs w:val="21"/>
        </w:rPr>
        <w:t>建议</w:t>
      </w:r>
      <w:r>
        <w:rPr>
          <w:rFonts w:ascii="Times New Roman" w:hAnsi="Times New Roman" w:eastAsia="宋体" w:cs="Times New Roman"/>
        </w:rPr>
        <w:t>在低温（2℃～8℃）条件下进行保存和运输，转运过程中应持续监控温度并可溯源，应在</w:t>
      </w:r>
      <w:r>
        <w:rPr>
          <w:rFonts w:hint="eastAsia" w:ascii="Times New Roman" w:hAnsi="Times New Roman" w:eastAsia="宋体" w:cs="Times New Roman"/>
        </w:rPr>
        <w:t>48</w:t>
      </w:r>
      <w:r>
        <w:rPr>
          <w:rFonts w:ascii="Times New Roman" w:hAnsi="Times New Roman" w:eastAsia="宋体" w:cs="Times New Roman"/>
        </w:rPr>
        <w:t>小时内到达实验室，尽快处理样本。</w:t>
      </w:r>
    </w:p>
    <w:p w14:paraId="16AE780D">
      <w:pPr>
        <w:spacing w:before="156" w:beforeLines="50" w:after="156" w:afterLines="50"/>
        <w:rPr>
          <w:rFonts w:ascii="黑体" w:hAnsi="黑体"/>
          <w:b/>
          <w:bCs/>
          <w:sz w:val="21"/>
          <w:szCs w:val="21"/>
        </w:rPr>
      </w:pPr>
      <w:r>
        <w:rPr>
          <w:rFonts w:ascii="黑体" w:hAnsi="黑体" w:eastAsia="黑体"/>
          <w:bCs/>
          <w:szCs w:val="21"/>
        </w:rPr>
        <w:t xml:space="preserve">5.4 </w:t>
      </w:r>
      <w:r>
        <w:rPr>
          <w:rFonts w:hint="eastAsia" w:ascii="黑体" w:hAnsi="黑体" w:eastAsia="黑体"/>
          <w:bCs/>
          <w:szCs w:val="21"/>
        </w:rPr>
        <w:t>类器官培养、鉴定和传代</w:t>
      </w:r>
    </w:p>
    <w:p w14:paraId="3E405A72">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实验前准备：</w:t>
      </w:r>
      <w:r>
        <w:rPr>
          <w:rFonts w:hint="eastAsia" w:ascii="Times New Roman" w:hAnsi="Times New Roman" w:eastAsia="宋体" w:cs="Times New Roman"/>
        </w:rPr>
        <w:t>实验开始前</w:t>
      </w:r>
      <w:r>
        <w:rPr>
          <w:rFonts w:ascii="Times New Roman" w:hAnsi="Times New Roman" w:eastAsia="宋体" w:cs="Times New Roman"/>
        </w:rPr>
        <w:t>建议生物安全柜提前紫外线消毒30min，所有类器官的制备、培养、冻存和复苏应在生物安全柜中保证无菌操作。所用试剂、洗液和器材等应无菌。详细实验耗材准备见附件</w:t>
      </w:r>
      <w:r>
        <w:rPr>
          <w:rFonts w:hint="eastAsia" w:ascii="Times New Roman" w:hAnsi="Times New Roman" w:eastAsia="宋体" w:cs="Times New Roman"/>
        </w:rPr>
        <w:t>A。</w:t>
      </w:r>
    </w:p>
    <w:p w14:paraId="45DAAB71">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5.4.1 类器官培养</w:t>
      </w:r>
    </w:p>
    <w:p w14:paraId="70EFFAB2">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5.4.1.1 消化培养法培养</w:t>
      </w:r>
    </w:p>
    <w:p w14:paraId="1389549D">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黑体"/>
        </w:rPr>
      </w:pPr>
      <w:r>
        <w:rPr>
          <w:rFonts w:hint="eastAsia" w:ascii="黑体" w:hAnsi="黑体" w:eastAsia="黑体" w:cs="黑体"/>
        </w:rPr>
        <w:t>5.4.1.1.1 剪切</w:t>
      </w:r>
    </w:p>
    <w:p w14:paraId="4171670A">
      <w:pPr>
        <w:pStyle w:val="19"/>
        <w:spacing w:line="240" w:lineRule="auto"/>
        <w:ind w:firstLine="420" w:firstLineChars="200"/>
        <w:jc w:val="both"/>
        <w:rPr>
          <w:rFonts w:ascii="Times New Roman" w:hAnsi="Times New Roman" w:eastAsia="宋体" w:cs="Times New Roman"/>
        </w:rPr>
      </w:pPr>
      <w:r>
        <w:rPr>
          <w:rFonts w:ascii="Times New Roman" w:hAnsi="Times New Roman" w:eastAsia="宋体" w:cs="Times New Roman"/>
        </w:rPr>
        <w:t>将新鲜的人脑</w:t>
      </w:r>
      <w:r>
        <w:rPr>
          <w:rFonts w:hint="eastAsia" w:ascii="Times New Roman" w:hAnsi="Times New Roman" w:eastAsia="宋体" w:cs="Times New Roman"/>
        </w:rPr>
        <w:t>胶质瘤</w:t>
      </w:r>
      <w:r>
        <w:rPr>
          <w:rFonts w:ascii="Times New Roman" w:hAnsi="Times New Roman" w:eastAsia="宋体" w:cs="Times New Roman"/>
        </w:rPr>
        <w:t>肿瘤组织转移至50mL离心管，</w:t>
      </w:r>
      <w:r>
        <w:rPr>
          <w:rFonts w:ascii="Times New Roman" w:hAnsi="Times New Roman" w:eastAsia="宋体" w:cs="Times New Roman"/>
          <w:bCs/>
          <w:szCs w:val="21"/>
        </w:rPr>
        <w:t>建议</w:t>
      </w:r>
      <w:r>
        <w:rPr>
          <w:rFonts w:ascii="Times New Roman" w:hAnsi="Times New Roman" w:eastAsia="宋体" w:cs="Times New Roman"/>
        </w:rPr>
        <w:t>用含1%</w:t>
      </w:r>
      <w:r>
        <w:rPr>
          <w:rFonts w:ascii="Times New Roman" w:hAnsi="Times New Roman" w:eastAsia="宋体" w:cs="Times New Roman"/>
          <w:bCs/>
          <w:szCs w:val="21"/>
        </w:rPr>
        <w:t>-2</w:t>
      </w:r>
      <w:r>
        <w:rPr>
          <w:rFonts w:ascii="Times New Roman" w:hAnsi="Times New Roman" w:eastAsia="宋体" w:cs="Times New Roman"/>
        </w:rPr>
        <w:t>%双抗的</w:t>
      </w:r>
      <w:r>
        <w:rPr>
          <w:rFonts w:ascii="Times New Roman" w:hAnsi="Times New Roman" w:eastAsia="宋体" w:cs="Times New Roman"/>
          <w:bCs/>
          <w:szCs w:val="21"/>
        </w:rPr>
        <w:t>预冷</w:t>
      </w:r>
      <w:r>
        <w:rPr>
          <w:rFonts w:ascii="Times New Roman" w:hAnsi="Times New Roman" w:eastAsia="宋体" w:cs="Times New Roman"/>
        </w:rPr>
        <w:t>生理盐水进行数次洗涤，直至清洗液澄清</w:t>
      </w:r>
      <w:r>
        <w:rPr>
          <w:rFonts w:ascii="Times New Roman" w:hAnsi="Times New Roman" w:eastAsia="宋体" w:cs="Times New Roman"/>
          <w:bCs/>
          <w:szCs w:val="21"/>
        </w:rPr>
        <w:t>。</w:t>
      </w:r>
      <w:r>
        <w:rPr>
          <w:rFonts w:ascii="Times New Roman" w:hAnsi="Times New Roman" w:eastAsia="宋体" w:cs="Times New Roman"/>
        </w:rPr>
        <w:t>将样本转移至培养皿中</w:t>
      </w:r>
      <w:r>
        <w:rPr>
          <w:rFonts w:hint="eastAsia" w:ascii="Times New Roman" w:hAnsi="Times New Roman" w:eastAsia="宋体" w:cs="Times New Roman"/>
        </w:rPr>
        <w:t>（弃去多余液体）</w:t>
      </w:r>
      <w:r>
        <w:rPr>
          <w:rFonts w:ascii="Times New Roman" w:hAnsi="Times New Roman" w:eastAsia="宋体" w:cs="Times New Roman"/>
        </w:rPr>
        <w:t>，用眼科剪去除血块、明显坏死的组织成分等杂质</w:t>
      </w:r>
      <w:r>
        <w:rPr>
          <w:rFonts w:hint="eastAsia" w:ascii="Times New Roman" w:hAnsi="Times New Roman" w:eastAsia="宋体" w:cs="Times New Roman"/>
        </w:rPr>
        <w:t>，称重</w:t>
      </w:r>
      <w:r>
        <w:rPr>
          <w:rFonts w:ascii="Times New Roman" w:hAnsi="Times New Roman" w:eastAsia="宋体" w:cs="Times New Roman"/>
        </w:rPr>
        <w:t>，并充分</w:t>
      </w:r>
      <w:r>
        <w:rPr>
          <w:rFonts w:hint="eastAsia" w:ascii="Times New Roman" w:hAnsi="Times New Roman" w:eastAsia="宋体" w:cs="Times New Roman"/>
        </w:rPr>
        <w:t>剪碎为乳糜状（约1mm</w:t>
      </w:r>
      <w:r>
        <w:rPr>
          <w:rFonts w:hint="eastAsia" w:ascii="Times New Roman" w:hAnsi="Times New Roman" w:eastAsia="宋体" w:cs="Times New Roman"/>
          <w:vertAlign w:val="superscript"/>
        </w:rPr>
        <w:t>3</w:t>
      </w:r>
      <w:r>
        <w:rPr>
          <w:rFonts w:hint="eastAsia" w:ascii="Times New Roman" w:hAnsi="Times New Roman" w:eastAsia="宋体" w:cs="Times New Roman"/>
        </w:rPr>
        <w:t>）</w:t>
      </w:r>
      <w:r>
        <w:rPr>
          <w:rFonts w:ascii="Times New Roman" w:hAnsi="Times New Roman" w:eastAsia="宋体" w:cs="Times New Roman"/>
        </w:rPr>
        <w:t>。</w:t>
      </w:r>
    </w:p>
    <w:p w14:paraId="23DD5047">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黑体"/>
        </w:rPr>
      </w:pPr>
      <w:r>
        <w:rPr>
          <w:rFonts w:hint="eastAsia" w:ascii="黑体" w:hAnsi="黑体" w:eastAsia="黑体" w:cs="黑体"/>
        </w:rPr>
        <w:t>5.4.1.1.2 消化</w:t>
      </w:r>
    </w:p>
    <w:p w14:paraId="368AC586">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将剪碎后组织样本转移至离心管中，根据组织量加入适量消化液</w:t>
      </w:r>
      <w:r>
        <w:rPr>
          <w:rFonts w:hint="eastAsia" w:ascii="Times New Roman" w:hAnsi="Times New Roman" w:eastAsia="宋体" w:cs="Times New Roman"/>
        </w:rPr>
        <w:t>，</w:t>
      </w:r>
      <w:r>
        <w:rPr>
          <w:rFonts w:ascii="Times New Roman" w:hAnsi="Times New Roman" w:eastAsia="宋体" w:cs="Times New Roman"/>
        </w:rPr>
        <w:t>置于37℃</w:t>
      </w:r>
      <w:r>
        <w:rPr>
          <w:rFonts w:hint="eastAsia" w:ascii="Times New Roman" w:hAnsi="Times New Roman" w:eastAsia="宋体" w:cs="Times New Roman"/>
        </w:rPr>
        <w:t>环境</w:t>
      </w:r>
      <w:r>
        <w:rPr>
          <w:rFonts w:ascii="Times New Roman" w:hAnsi="Times New Roman" w:eastAsia="宋体" w:cs="Times New Roman"/>
        </w:rPr>
        <w:t>消化。建议每间隔短暂时间观察一次，当混合物中组织块被明显解离破碎，光学显微镜下观察到大量细胞簇时即终止消化，</w:t>
      </w:r>
      <w:r>
        <w:rPr>
          <w:rFonts w:hint="eastAsia" w:ascii="Times New Roman" w:hAnsi="Times New Roman" w:eastAsia="宋体" w:cs="Times New Roman"/>
        </w:rPr>
        <w:t>1200rpm-1500rpm，3min</w:t>
      </w:r>
      <w:r>
        <w:rPr>
          <w:rFonts w:ascii="Times New Roman" w:hAnsi="Times New Roman" w:eastAsia="宋体" w:cs="Times New Roman"/>
        </w:rPr>
        <w:t>离心弃上清，保留沉淀（若使用自动解离系统，则将清洗后组织块置于解离器并加入适量消化液）。</w:t>
      </w:r>
    </w:p>
    <w:p w14:paraId="5F834762">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黑体"/>
        </w:rPr>
      </w:pPr>
      <w:r>
        <w:rPr>
          <w:rFonts w:hint="eastAsia" w:ascii="黑体" w:hAnsi="黑体" w:eastAsia="黑体" w:cs="黑体"/>
        </w:rPr>
        <w:t>5.4.1.1.3 过滤</w:t>
      </w:r>
    </w:p>
    <w:p w14:paraId="04C865D2">
      <w:pPr>
        <w:pStyle w:val="19"/>
        <w:spacing w:line="240" w:lineRule="auto"/>
        <w:ind w:firstLine="420" w:firstLineChars="200"/>
        <w:rPr>
          <w:rFonts w:ascii="Times New Roman" w:hAnsi="Times New Roman" w:eastAsia="宋体" w:cs="Times New Roman"/>
        </w:rPr>
      </w:pPr>
      <w:r>
        <w:rPr>
          <w:rFonts w:hint="eastAsia" w:ascii="Times New Roman" w:hAnsi="Times New Roman" w:eastAsia="宋体" w:cs="Times New Roman"/>
        </w:rPr>
        <w:t>用</w:t>
      </w:r>
      <w:r>
        <w:rPr>
          <w:rFonts w:ascii="Times New Roman" w:hAnsi="Times New Roman" w:eastAsia="宋体" w:cs="Times New Roman"/>
        </w:rPr>
        <w:t>基础培养基重悬</w:t>
      </w:r>
      <w:r>
        <w:rPr>
          <w:rFonts w:hint="eastAsia" w:ascii="Times New Roman" w:hAnsi="Times New Roman" w:eastAsia="宋体" w:cs="Times New Roman"/>
        </w:rPr>
        <w:t>细胞</w:t>
      </w:r>
      <w:r>
        <w:rPr>
          <w:rFonts w:ascii="Times New Roman" w:hAnsi="Times New Roman" w:eastAsia="宋体" w:cs="Times New Roman"/>
        </w:rPr>
        <w:t>沉淀，并用100μm细胞滤网过滤。离心弃上清，保留沉淀。</w:t>
      </w:r>
    </w:p>
    <w:p w14:paraId="3511759A">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黑体"/>
        </w:rPr>
      </w:pPr>
      <w:r>
        <w:rPr>
          <w:rFonts w:hint="eastAsia" w:ascii="黑体" w:hAnsi="黑体" w:eastAsia="黑体" w:cs="黑体"/>
        </w:rPr>
        <w:t>5.4.1.1.4 计数</w:t>
      </w:r>
    </w:p>
    <w:p w14:paraId="16F6EF5A">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用适量体积HBSS溶液重悬细胞沉淀，并进行细胞计数。</w:t>
      </w:r>
    </w:p>
    <w:p w14:paraId="29CEBEAF">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黑体"/>
        </w:rPr>
      </w:pPr>
      <w:r>
        <w:rPr>
          <w:rFonts w:hint="eastAsia" w:ascii="黑体" w:hAnsi="黑体" w:eastAsia="黑体" w:cs="黑体"/>
        </w:rPr>
        <w:t>5.4.1.1.5</w:t>
      </w:r>
      <w:r>
        <w:rPr>
          <w:rFonts w:ascii="黑体" w:hAnsi="黑体" w:eastAsia="黑体" w:cs="黑体"/>
        </w:rPr>
        <w:t xml:space="preserve"> </w:t>
      </w:r>
      <w:r>
        <w:rPr>
          <w:rFonts w:hint="eastAsia" w:ascii="黑体" w:hAnsi="黑体" w:eastAsia="黑体" w:cs="黑体"/>
        </w:rPr>
        <w:t>接种</w:t>
      </w:r>
    </w:p>
    <w:p w14:paraId="1A48FCCE">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根据计数结果取适量类器官培养基（含1% Matrigel浓度）重悬细胞，平均6孔板每孔的细胞量约为1×10</w:t>
      </w:r>
      <w:r>
        <w:rPr>
          <w:rFonts w:ascii="Times New Roman" w:hAnsi="Times New Roman" w:eastAsia="宋体" w:cs="Times New Roman"/>
          <w:vertAlign w:val="superscript"/>
        </w:rPr>
        <w:t>5</w:t>
      </w:r>
      <w:r>
        <w:rPr>
          <w:rFonts w:ascii="Times New Roman" w:hAnsi="Times New Roman" w:eastAsia="宋体" w:cs="Times New Roman"/>
        </w:rPr>
        <w:t>-5×10</w:t>
      </w:r>
      <w:r>
        <w:rPr>
          <w:rFonts w:ascii="Times New Roman" w:hAnsi="Times New Roman" w:eastAsia="宋体" w:cs="Times New Roman"/>
          <w:vertAlign w:val="superscript"/>
        </w:rPr>
        <w:t>5</w:t>
      </w:r>
      <w:r>
        <w:rPr>
          <w:rFonts w:ascii="Times New Roman" w:hAnsi="Times New Roman" w:eastAsia="宋体" w:cs="Times New Roman"/>
        </w:rPr>
        <w:t>细胞。用移液器将细胞悬液滴加到超低粘附6孔培养板中</w:t>
      </w:r>
      <w:r>
        <w:rPr>
          <w:rFonts w:hint="eastAsia" w:ascii="Times New Roman" w:hAnsi="Times New Roman" w:eastAsia="宋体" w:cs="Times New Roman"/>
        </w:rPr>
        <w:t>，</w:t>
      </w:r>
      <w:r>
        <w:rPr>
          <w:rFonts w:ascii="Times New Roman" w:hAnsi="Times New Roman" w:eastAsia="宋体" w:cs="Times New Roman"/>
        </w:rPr>
        <w:t>再将培养板置于摇床上（建议转速为120rpm），置于恒温培养箱在37℃，5% CO</w:t>
      </w:r>
      <w:r>
        <w:rPr>
          <w:rFonts w:ascii="Times New Roman" w:hAnsi="Times New Roman" w:eastAsia="宋体" w:cs="Times New Roman"/>
          <w:vertAlign w:val="subscript"/>
        </w:rPr>
        <w:t>2</w:t>
      </w:r>
      <w:r>
        <w:rPr>
          <w:rFonts w:ascii="Times New Roman" w:hAnsi="Times New Roman" w:eastAsia="宋体" w:cs="Times New Roman"/>
        </w:rPr>
        <w:t>浓度下培养。</w:t>
      </w:r>
    </w:p>
    <w:p w14:paraId="6AC5EB94">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Times New Roman"/>
        </w:rPr>
      </w:pPr>
      <w:r>
        <w:rPr>
          <w:rFonts w:hint="eastAsia" w:ascii="黑体" w:hAnsi="黑体" w:eastAsia="黑体" w:cs="黑体"/>
        </w:rPr>
        <w:t xml:space="preserve">5.4.1.1.6 </w:t>
      </w:r>
      <w:r>
        <w:rPr>
          <w:rFonts w:hint="eastAsia" w:ascii="黑体" w:hAnsi="黑体" w:eastAsia="黑体" w:cs="Times New Roman"/>
        </w:rPr>
        <w:t>观察换液</w:t>
      </w:r>
    </w:p>
    <w:p w14:paraId="7CF25DB6">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根据类器官生长情况，</w:t>
      </w:r>
      <w:r>
        <w:rPr>
          <w:rFonts w:ascii="Times New Roman" w:hAnsi="Times New Roman" w:eastAsia="宋体" w:cs="Times New Roman"/>
          <w:bCs/>
          <w:szCs w:val="21"/>
        </w:rPr>
        <w:t>建议</w:t>
      </w:r>
      <w:r>
        <w:rPr>
          <w:rFonts w:ascii="Times New Roman" w:hAnsi="Times New Roman" w:eastAsia="宋体" w:cs="Times New Roman"/>
        </w:rPr>
        <w:t>每2-3天更换1次类器官培养基，直至类器官形成。</w:t>
      </w:r>
    </w:p>
    <w:p w14:paraId="79020A39">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5.4.1.2 剪切培养法培养</w:t>
      </w:r>
    </w:p>
    <w:p w14:paraId="5E4F1754">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5.4.1.2.1 组织洗涤和称重等步骤同上所述。</w:t>
      </w:r>
    </w:p>
    <w:p w14:paraId="1A9998A3">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5.4.1.2.2 显微剪切</w:t>
      </w:r>
    </w:p>
    <w:p w14:paraId="1B3EDDA4">
      <w:pPr>
        <w:pStyle w:val="19"/>
        <w:spacing w:line="240" w:lineRule="auto"/>
        <w:ind w:firstLine="420" w:firstLineChars="200"/>
        <w:rPr>
          <w:rFonts w:hint="eastAsia" w:ascii="宋体" w:hAnsi="宋体" w:eastAsia="宋体" w:cs="宋体"/>
        </w:rPr>
      </w:pPr>
      <w:r>
        <w:rPr>
          <w:rFonts w:hint="eastAsia" w:ascii="宋体" w:hAnsi="宋体" w:eastAsia="宋体" w:cs="宋体"/>
        </w:rPr>
        <w:t>在安全柜中的立体显微镜下利用无菌刀片或剪刀将肿瘤组织切成直径约</w:t>
      </w:r>
      <w:r>
        <w:rPr>
          <w:rFonts w:ascii="Times New Roman" w:hAnsi="Times New Roman" w:eastAsia="宋体" w:cs="Times New Roman"/>
        </w:rPr>
        <w:t>0.5mm~1mm</w:t>
      </w:r>
      <w:r>
        <w:rPr>
          <w:rFonts w:hint="eastAsia" w:ascii="宋体" w:hAnsi="宋体" w:eastAsia="宋体" w:cs="宋体"/>
        </w:rPr>
        <w:t>的碎片，再用培养基洗涤以去除细胞碎片。</w:t>
      </w:r>
    </w:p>
    <w:p w14:paraId="243A090D">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5.4.1.2.3 裂红</w:t>
      </w:r>
    </w:p>
    <w:p w14:paraId="55C9942D">
      <w:pPr>
        <w:pStyle w:val="19"/>
        <w:spacing w:line="240" w:lineRule="auto"/>
        <w:ind w:firstLine="420" w:firstLineChars="200"/>
        <w:rPr>
          <w:rFonts w:hint="eastAsia" w:ascii="宋体" w:hAnsi="宋体" w:eastAsia="宋体" w:cs="宋体"/>
        </w:rPr>
      </w:pPr>
      <w:r>
        <w:rPr>
          <w:rFonts w:hint="eastAsia" w:ascii="宋体" w:hAnsi="宋体" w:eastAsia="宋体" w:cs="宋体"/>
        </w:rPr>
        <w:t>将肿瘤碎片在红细胞裂解缓冲液中温和孵育裂解红细胞。</w:t>
      </w:r>
    </w:p>
    <w:p w14:paraId="3115ABF1">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5.4.1.2.4 计数接种</w:t>
      </w:r>
    </w:p>
    <w:p w14:paraId="7203BDDA">
      <w:pPr>
        <w:pStyle w:val="19"/>
        <w:spacing w:line="240" w:lineRule="auto"/>
        <w:ind w:firstLine="420" w:firstLineChars="200"/>
        <w:rPr>
          <w:rFonts w:hint="eastAsia" w:ascii="黑体" w:hAnsi="黑体" w:eastAsia="黑体" w:cs="黑体"/>
        </w:rPr>
      </w:pPr>
      <w:r>
        <w:rPr>
          <w:rFonts w:hint="eastAsia" w:ascii="宋体" w:hAnsi="宋体" w:eastAsia="宋体" w:cs="宋体"/>
        </w:rPr>
        <w:t>操作同上所述。</w:t>
      </w:r>
    </w:p>
    <w:p w14:paraId="14973707">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5.4.2 类器官鉴定</w:t>
      </w:r>
    </w:p>
    <w:p w14:paraId="0826D180">
      <w:pPr>
        <w:pStyle w:val="19"/>
        <w:spacing w:line="240" w:lineRule="auto"/>
        <w:rPr>
          <w:rFonts w:ascii="Times New Roman" w:hAnsi="Times New Roman" w:eastAsia="宋体" w:cs="Times New Roman"/>
        </w:rPr>
      </w:pPr>
      <w:r>
        <w:rPr>
          <w:rFonts w:ascii="Times New Roman" w:hAnsi="Times New Roman" w:eastAsia="宋体" w:cs="Times New Roman"/>
        </w:rPr>
        <w:t>类器官培养成功后，可通过形态学</w:t>
      </w:r>
      <w:r>
        <w:rPr>
          <w:rFonts w:hint="eastAsia" w:ascii="Times New Roman" w:hAnsi="Times New Roman" w:eastAsia="宋体" w:cs="Times New Roman"/>
        </w:rPr>
        <w:t>、</w:t>
      </w:r>
      <w:r>
        <w:rPr>
          <w:rFonts w:ascii="Times New Roman" w:hAnsi="Times New Roman" w:eastAsia="宋体" w:cs="Times New Roman"/>
        </w:rPr>
        <w:t>病理学</w:t>
      </w:r>
      <w:r>
        <w:rPr>
          <w:rFonts w:hint="eastAsia" w:ascii="Times New Roman" w:hAnsi="Times New Roman" w:eastAsia="宋体" w:cs="Times New Roman"/>
        </w:rPr>
        <w:t>、</w:t>
      </w:r>
      <w:r>
        <w:rPr>
          <w:rFonts w:ascii="Times New Roman" w:hAnsi="Times New Roman" w:eastAsia="宋体" w:cs="Times New Roman"/>
        </w:rPr>
        <w:t>基因组学等方法验证其与源组织的一致性，确保其保持源组织的病理生理特征。</w:t>
      </w:r>
    </w:p>
    <w:p w14:paraId="543FD9B1">
      <w:pPr>
        <w:pStyle w:val="19"/>
        <w:spacing w:line="240" w:lineRule="auto"/>
        <w:rPr>
          <w:rFonts w:ascii="Times New Roman" w:hAnsi="Times New Roman" w:eastAsia="宋体" w:cs="Times New Roman"/>
        </w:rPr>
      </w:pPr>
      <w:r>
        <w:rPr>
          <w:rFonts w:ascii="Times New Roman" w:hAnsi="Times New Roman" w:eastAsia="宋体" w:cs="Times New Roman"/>
        </w:rPr>
        <w:t>详细形态学，病理学，基因组学等鉴定方法参见附件</w:t>
      </w:r>
      <w:r>
        <w:rPr>
          <w:rFonts w:hint="eastAsia" w:ascii="Times New Roman" w:hAnsi="Times New Roman" w:eastAsia="宋体" w:cs="Times New Roman"/>
        </w:rPr>
        <w:t>B</w:t>
      </w:r>
      <w:r>
        <w:rPr>
          <w:rFonts w:ascii="Times New Roman" w:hAnsi="Times New Roman" w:eastAsia="宋体" w:cs="Times New Roman"/>
        </w:rPr>
        <w:t>。</w:t>
      </w:r>
    </w:p>
    <w:p w14:paraId="308F2C00">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5.4.3 类器官传代</w:t>
      </w:r>
    </w:p>
    <w:p w14:paraId="7F97C786">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5.4.3.1 消化培养法传代</w:t>
      </w:r>
    </w:p>
    <w:p w14:paraId="7CCE637A">
      <w:pPr>
        <w:pStyle w:val="19"/>
        <w:spacing w:line="240" w:lineRule="auto"/>
        <w:rPr>
          <w:rFonts w:ascii="Times New Roman" w:hAnsi="Times New Roman" w:eastAsia="宋体" w:cs="Times New Roman"/>
        </w:rPr>
      </w:pPr>
      <w:r>
        <w:rPr>
          <w:rFonts w:hint="eastAsia" w:ascii="黑体" w:hAnsi="黑体" w:eastAsia="黑体" w:cs="黑体"/>
        </w:rPr>
        <w:t>5.4.3.1.1</w:t>
      </w:r>
      <w:r>
        <w:rPr>
          <w:rFonts w:ascii="Times New Roman" w:hAnsi="Times New Roman" w:eastAsia="宋体" w:cs="Times New Roman"/>
        </w:rPr>
        <w:t xml:space="preserve"> 待类器官平均直径为500µm时，或原代培养7天-10天时可进行传代。</w:t>
      </w:r>
    </w:p>
    <w:p w14:paraId="36BD32FB">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Times New Roman"/>
        </w:rPr>
      </w:pPr>
      <w:r>
        <w:rPr>
          <w:rFonts w:hint="eastAsia" w:ascii="黑体" w:hAnsi="黑体" w:eastAsia="黑体" w:cs="黑体"/>
        </w:rPr>
        <w:t xml:space="preserve">5.4.3.1.2 </w:t>
      </w:r>
      <w:r>
        <w:rPr>
          <w:rFonts w:hint="eastAsia" w:ascii="黑体" w:hAnsi="黑体" w:eastAsia="黑体" w:cs="Times New Roman"/>
        </w:rPr>
        <w:t>收集</w:t>
      </w:r>
    </w:p>
    <w:p w14:paraId="14CB2CA5">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将</w:t>
      </w:r>
      <w:r>
        <w:rPr>
          <w:rFonts w:hint="eastAsia" w:ascii="Times New Roman" w:hAnsi="Times New Roman" w:eastAsia="宋体" w:cs="Times New Roman"/>
        </w:rPr>
        <w:t>上清</w:t>
      </w:r>
      <w:r>
        <w:rPr>
          <w:rFonts w:ascii="Times New Roman" w:hAnsi="Times New Roman" w:eastAsia="宋体" w:cs="Times New Roman"/>
        </w:rPr>
        <w:t>连同</w:t>
      </w:r>
      <w:r>
        <w:rPr>
          <w:rFonts w:hint="eastAsia" w:ascii="Times New Roman" w:hAnsi="Times New Roman" w:eastAsia="宋体" w:cs="Times New Roman"/>
        </w:rPr>
        <w:t>类器官</w:t>
      </w:r>
      <w:r>
        <w:rPr>
          <w:rFonts w:ascii="Times New Roman" w:hAnsi="Times New Roman" w:eastAsia="宋体" w:cs="Times New Roman"/>
        </w:rPr>
        <w:t>全部收集至离心管中；1200rpm，3min离心后</w:t>
      </w:r>
      <w:r>
        <w:rPr>
          <w:rFonts w:hint="eastAsia" w:ascii="Times New Roman" w:hAnsi="Times New Roman" w:eastAsia="宋体" w:cs="Times New Roman"/>
        </w:rPr>
        <w:t>弃</w:t>
      </w:r>
      <w:r>
        <w:rPr>
          <w:rFonts w:ascii="Times New Roman" w:hAnsi="Times New Roman" w:eastAsia="宋体" w:cs="Times New Roman"/>
        </w:rPr>
        <w:t>上清。</w:t>
      </w:r>
    </w:p>
    <w:p w14:paraId="2A0EB061">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5.4.3.1.3 消化</w:t>
      </w:r>
    </w:p>
    <w:p w14:paraId="517C6A04">
      <w:pPr>
        <w:pStyle w:val="19"/>
        <w:spacing w:line="240" w:lineRule="auto"/>
        <w:ind w:firstLine="420" w:firstLineChars="200"/>
        <w:rPr>
          <w:rFonts w:ascii="Times New Roman" w:hAnsi="Times New Roman" w:eastAsia="宋体" w:cs="Times New Roman"/>
        </w:rPr>
      </w:pPr>
      <w:bookmarkStart w:id="37" w:name="OLE_LINK7"/>
      <w:r>
        <w:rPr>
          <w:rFonts w:ascii="Times New Roman" w:hAnsi="Times New Roman" w:eastAsia="宋体" w:cs="Times New Roman"/>
        </w:rPr>
        <w:t>加入适量类器官消化液，重悬细胞沉淀，于37℃培养箱中消化。</w:t>
      </w:r>
      <w:r>
        <w:rPr>
          <w:rFonts w:ascii="Times New Roman" w:hAnsi="Times New Roman" w:eastAsia="宋体" w:cs="Times New Roman"/>
          <w:bCs/>
          <w:szCs w:val="21"/>
        </w:rPr>
        <w:t>并在</w:t>
      </w:r>
      <w:r>
        <w:rPr>
          <w:rFonts w:ascii="Times New Roman" w:hAnsi="Times New Roman" w:eastAsia="宋体" w:cs="Times New Roman"/>
        </w:rPr>
        <w:t>显微镜下观察，</w:t>
      </w:r>
      <w:bookmarkEnd w:id="37"/>
      <w:r>
        <w:rPr>
          <w:rFonts w:ascii="Times New Roman" w:hAnsi="Times New Roman" w:eastAsia="宋体" w:cs="Times New Roman"/>
          <w:bCs/>
          <w:szCs w:val="21"/>
        </w:rPr>
        <w:t>建议</w:t>
      </w:r>
      <w:r>
        <w:rPr>
          <w:rFonts w:ascii="Times New Roman" w:hAnsi="Times New Roman" w:eastAsia="宋体" w:cs="Times New Roman"/>
        </w:rPr>
        <w:t>待类器官大部分消化至约50µm小细胞团时终止消化，离心后去除上清。</w:t>
      </w:r>
    </w:p>
    <w:p w14:paraId="0CA6CBA5">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5.4.3.1.4 计数</w:t>
      </w:r>
    </w:p>
    <w:p w14:paraId="2CFBFE83">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用适量体积HBSS溶液重悬细胞沉淀</w:t>
      </w:r>
      <w:r>
        <w:rPr>
          <w:rFonts w:hint="eastAsia" w:ascii="Times New Roman" w:hAnsi="Times New Roman" w:eastAsia="宋体" w:cs="Times New Roman"/>
        </w:rPr>
        <w:t>并</w:t>
      </w:r>
      <w:r>
        <w:rPr>
          <w:rFonts w:ascii="Times New Roman" w:hAnsi="Times New Roman" w:eastAsia="宋体" w:cs="Times New Roman"/>
        </w:rPr>
        <w:t>计数。</w:t>
      </w:r>
    </w:p>
    <w:p w14:paraId="0F2F400E">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5.4.3.1.5 接种</w:t>
      </w:r>
    </w:p>
    <w:p w14:paraId="218A6450">
      <w:pPr>
        <w:pStyle w:val="19"/>
        <w:spacing w:line="240" w:lineRule="auto"/>
        <w:ind w:firstLine="420" w:firstLineChars="200"/>
        <w:jc w:val="both"/>
        <w:outlineLvl w:val="9"/>
        <w:rPr>
          <w:rFonts w:ascii="Times New Roman" w:hAnsi="Times New Roman" w:eastAsia="宋体" w:cs="Times New Roman"/>
        </w:rPr>
      </w:pPr>
      <w:r>
        <w:rPr>
          <w:rFonts w:ascii="Times New Roman" w:hAnsi="Times New Roman" w:eastAsia="宋体" w:cs="Times New Roman"/>
        </w:rPr>
        <w:t>根据计数结果取适量类器官培养基（含1% Matrigel）重悬细胞，平均6孔板每孔细胞量约为1×10</w:t>
      </w:r>
      <w:r>
        <w:rPr>
          <w:rFonts w:ascii="Times New Roman" w:hAnsi="Times New Roman" w:eastAsia="宋体" w:cs="Times New Roman"/>
          <w:vertAlign w:val="superscript"/>
        </w:rPr>
        <w:t>5</w:t>
      </w:r>
      <w:r>
        <w:rPr>
          <w:rFonts w:ascii="Times New Roman" w:hAnsi="Times New Roman" w:eastAsia="宋体" w:cs="Times New Roman"/>
        </w:rPr>
        <w:t>-5×10</w:t>
      </w:r>
      <w:r>
        <w:rPr>
          <w:rFonts w:ascii="Times New Roman" w:hAnsi="Times New Roman" w:eastAsia="宋体" w:cs="Times New Roman"/>
          <w:vertAlign w:val="superscript"/>
        </w:rPr>
        <w:t>5</w:t>
      </w:r>
      <w:r>
        <w:rPr>
          <w:rFonts w:ascii="Times New Roman" w:hAnsi="Times New Roman" w:eastAsia="宋体" w:cs="Times New Roman"/>
        </w:rPr>
        <w:t>细胞。用移液器将细胞悬液加到超低粘附6孔培养板中</w:t>
      </w:r>
      <w:r>
        <w:rPr>
          <w:rFonts w:hint="eastAsia" w:ascii="Times New Roman" w:hAnsi="Times New Roman" w:eastAsia="宋体" w:cs="Times New Roman"/>
        </w:rPr>
        <w:t>，再</w:t>
      </w:r>
      <w:r>
        <w:rPr>
          <w:rFonts w:ascii="Times New Roman" w:hAnsi="Times New Roman" w:eastAsia="宋体" w:cs="Times New Roman"/>
        </w:rPr>
        <w:t>将培养板置于转速为120rpm的摇床上</w:t>
      </w:r>
      <w:r>
        <w:rPr>
          <w:rFonts w:hint="eastAsia" w:ascii="Times New Roman" w:hAnsi="Times New Roman" w:eastAsia="宋体" w:cs="Times New Roman"/>
        </w:rPr>
        <w:t>，</w:t>
      </w:r>
      <w:r>
        <w:rPr>
          <w:rFonts w:ascii="Times New Roman" w:hAnsi="Times New Roman" w:eastAsia="宋体" w:cs="Times New Roman"/>
        </w:rPr>
        <w:t>置于恒温培养箱在37℃，5% CO</w:t>
      </w:r>
      <w:r>
        <w:rPr>
          <w:rFonts w:ascii="Times New Roman" w:hAnsi="Times New Roman" w:eastAsia="宋体" w:cs="Times New Roman"/>
          <w:vertAlign w:val="subscript"/>
        </w:rPr>
        <w:t>2</w:t>
      </w:r>
      <w:r>
        <w:rPr>
          <w:rFonts w:ascii="Times New Roman" w:hAnsi="Times New Roman" w:eastAsia="宋体" w:cs="Times New Roman"/>
        </w:rPr>
        <w:t>浓度下培养。</w:t>
      </w:r>
      <w:bookmarkStart w:id="38" w:name="_Toc885"/>
    </w:p>
    <w:p w14:paraId="55372701">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5.4.3.2 剪切培养法传代</w:t>
      </w:r>
    </w:p>
    <w:p w14:paraId="3FE03851">
      <w:pPr>
        <w:pStyle w:val="19"/>
        <w:spacing w:line="240" w:lineRule="auto"/>
        <w:rPr>
          <w:rFonts w:ascii="Times New Roman" w:hAnsi="Times New Roman" w:eastAsia="宋体" w:cs="Times New Roman"/>
        </w:rPr>
      </w:pPr>
      <w:r>
        <w:rPr>
          <w:rFonts w:hint="eastAsia" w:ascii="黑体" w:hAnsi="黑体" w:eastAsia="黑体" w:cs="黑体"/>
        </w:rPr>
        <w:t xml:space="preserve">5.4.3.2.1 </w:t>
      </w:r>
      <w:r>
        <w:rPr>
          <w:rFonts w:ascii="Times New Roman" w:hAnsi="Times New Roman" w:eastAsia="宋体" w:cs="Times New Roman"/>
        </w:rPr>
        <w:t>待类器官平均直径为</w:t>
      </w:r>
      <w:r>
        <w:rPr>
          <w:rFonts w:hint="eastAsia" w:ascii="Times New Roman" w:hAnsi="Times New Roman" w:eastAsia="宋体" w:cs="Times New Roman"/>
        </w:rPr>
        <w:t>5</w:t>
      </w:r>
      <w:r>
        <w:rPr>
          <w:rFonts w:ascii="Times New Roman" w:hAnsi="Times New Roman" w:eastAsia="宋体" w:cs="Times New Roman"/>
        </w:rPr>
        <w:t>00 µm时，或原代培养7天-10天时可进行传代。</w:t>
      </w:r>
    </w:p>
    <w:p w14:paraId="0959BADF">
      <w:pPr>
        <w:pStyle w:val="1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rPr>
      </w:pPr>
      <w:r>
        <w:rPr>
          <w:rFonts w:hint="eastAsia" w:ascii="黑体" w:hAnsi="黑体" w:eastAsia="黑体" w:cs="黑体"/>
        </w:rPr>
        <w:t>5.4.3.2.2 类器官剪切</w:t>
      </w:r>
    </w:p>
    <w:p w14:paraId="17DD44EF">
      <w:pPr>
        <w:pStyle w:val="19"/>
        <w:spacing w:line="240" w:lineRule="auto"/>
        <w:ind w:firstLine="420" w:firstLineChars="200"/>
        <w:rPr>
          <w:rFonts w:ascii="Times New Roman" w:hAnsi="Times New Roman" w:eastAsia="宋体" w:cs="Times New Roman"/>
        </w:rPr>
      </w:pPr>
      <w:r>
        <w:rPr>
          <w:rFonts w:hint="eastAsia" w:ascii="Times New Roman" w:hAnsi="Times New Roman" w:eastAsia="宋体" w:cs="Times New Roman"/>
        </w:rPr>
        <w:t>同原代组织分离时操作（将立体显微镜放到安全柜中进行显微剪切）</w:t>
      </w:r>
      <w:r>
        <w:rPr>
          <w:rFonts w:ascii="Times New Roman" w:hAnsi="Times New Roman" w:eastAsia="宋体" w:cs="Times New Roman"/>
        </w:rPr>
        <w:t>。</w:t>
      </w:r>
    </w:p>
    <w:p w14:paraId="0455871B">
      <w:pPr>
        <w:pStyle w:val="19"/>
        <w:spacing w:line="240" w:lineRule="auto"/>
        <w:rPr>
          <w:rFonts w:hint="eastAsia"/>
        </w:rPr>
      </w:pPr>
      <w:r>
        <w:rPr>
          <w:rFonts w:hint="eastAsia" w:ascii="黑体" w:hAnsi="黑体" w:eastAsia="黑体" w:cs="黑体"/>
        </w:rPr>
        <w:t xml:space="preserve">5.4.3.2.3 </w:t>
      </w:r>
      <w:r>
        <w:rPr>
          <w:rFonts w:hint="eastAsia" w:ascii="Times New Roman" w:hAnsi="Times New Roman" w:eastAsia="宋体" w:cs="Times New Roman"/>
        </w:rPr>
        <w:t>计数和接种等后续步骤同消化培养法</w:t>
      </w:r>
      <w:r>
        <w:rPr>
          <w:rFonts w:ascii="Times New Roman" w:hAnsi="Times New Roman" w:eastAsia="宋体" w:cs="Times New Roman"/>
          <w:b/>
        </w:rPr>
        <w:t>。</w:t>
      </w:r>
    </w:p>
    <w:p w14:paraId="602CB9B9">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39" w:name="_Toc21618"/>
      <w:r>
        <w:rPr>
          <w:rFonts w:hint="eastAsia" w:ascii="黑体" w:hAnsi="黑体" w:eastAsia="黑体" w:cs="黑体"/>
          <w:b w:val="0"/>
          <w:bCs/>
          <w:sz w:val="21"/>
          <w:szCs w:val="21"/>
        </w:rPr>
        <w:t>类器官冻存和复苏</w:t>
      </w:r>
      <w:bookmarkEnd w:id="38"/>
      <w:bookmarkEnd w:id="39"/>
    </w:p>
    <w:p w14:paraId="2EDDE0C6">
      <w:pPr>
        <w:spacing w:before="156" w:beforeLines="50" w:after="156" w:afterLines="50"/>
        <w:rPr>
          <w:rFonts w:ascii="黑体" w:hAnsi="黑体"/>
          <w:b/>
          <w:bCs/>
          <w:sz w:val="21"/>
          <w:szCs w:val="21"/>
        </w:rPr>
      </w:pPr>
      <w:bookmarkStart w:id="40" w:name="_Toc19914"/>
      <w:r>
        <w:rPr>
          <w:rFonts w:ascii="黑体" w:hAnsi="黑体" w:eastAsia="黑体"/>
          <w:bCs/>
          <w:szCs w:val="21"/>
        </w:rPr>
        <w:t xml:space="preserve">6.1 </w:t>
      </w:r>
      <w:r>
        <w:rPr>
          <w:rFonts w:hint="eastAsia" w:ascii="黑体" w:hAnsi="黑体" w:eastAsia="黑体"/>
          <w:bCs/>
          <w:szCs w:val="21"/>
        </w:rPr>
        <w:t>类器官冻存</w:t>
      </w:r>
      <w:bookmarkEnd w:id="40"/>
    </w:p>
    <w:p w14:paraId="1104DB5B">
      <w:pPr>
        <w:pStyle w:val="19"/>
        <w:spacing w:line="240" w:lineRule="auto"/>
        <w:rPr>
          <w:rFonts w:ascii="Times New Roman" w:hAnsi="Times New Roman" w:eastAsia="宋体" w:cs="Times New Roman"/>
        </w:rPr>
      </w:pPr>
      <w:r>
        <w:rPr>
          <w:rFonts w:hint="eastAsia" w:ascii="黑体" w:hAnsi="黑体" w:eastAsia="黑体" w:cs="黑体"/>
        </w:rPr>
        <w:t xml:space="preserve">6.1.1 </w:t>
      </w:r>
      <w:r>
        <w:rPr>
          <w:rFonts w:ascii="Times New Roman" w:hAnsi="Times New Roman" w:eastAsia="宋体" w:cs="Times New Roman"/>
        </w:rPr>
        <w:t>预先准备</w:t>
      </w:r>
      <w:r>
        <w:rPr>
          <w:rFonts w:hint="eastAsia" w:ascii="Times New Roman" w:hAnsi="Times New Roman" w:eastAsia="宋体" w:cs="Times New Roman"/>
        </w:rPr>
        <w:t>冻存液（建议</w:t>
      </w:r>
      <w:r>
        <w:rPr>
          <w:rFonts w:ascii="Times New Roman" w:hAnsi="Times New Roman" w:eastAsia="宋体" w:cs="Times New Roman"/>
        </w:rPr>
        <w:t>无血清细胞冻存液或含有10%二甲基亚砜+90%血清冻存液</w:t>
      </w:r>
      <w:r>
        <w:rPr>
          <w:rFonts w:hint="eastAsia" w:ascii="Times New Roman" w:hAnsi="Times New Roman" w:eastAsia="宋体" w:cs="Times New Roman"/>
        </w:rPr>
        <w:t>）</w:t>
      </w:r>
      <w:r>
        <w:rPr>
          <w:rFonts w:ascii="Times New Roman" w:hAnsi="Times New Roman" w:eastAsia="宋体" w:cs="Times New Roman"/>
        </w:rPr>
        <w:t>；</w:t>
      </w:r>
    </w:p>
    <w:p w14:paraId="025FFA38">
      <w:pPr>
        <w:pStyle w:val="19"/>
        <w:spacing w:line="240" w:lineRule="auto"/>
        <w:rPr>
          <w:rFonts w:ascii="Times New Roman" w:hAnsi="Times New Roman" w:eastAsia="宋体" w:cs="Times New Roman"/>
        </w:rPr>
      </w:pPr>
      <w:r>
        <w:rPr>
          <w:rFonts w:hint="eastAsia" w:ascii="黑体" w:hAnsi="黑体" w:eastAsia="黑体" w:cs="黑体"/>
        </w:rPr>
        <w:t xml:space="preserve">6.1.2 </w:t>
      </w:r>
      <w:r>
        <w:rPr>
          <w:rFonts w:hint="eastAsia" w:ascii="宋体" w:hAnsi="宋体" w:eastAsia="宋体" w:cs="宋体"/>
        </w:rPr>
        <w:t>连同上清一起收集类器官，再进行消化或剪切为较小细胞碎片，离心弃上清</w:t>
      </w:r>
      <w:r>
        <w:rPr>
          <w:rFonts w:hint="eastAsia" w:ascii="黑体" w:hAnsi="黑体" w:eastAsia="黑体" w:cs="黑体"/>
        </w:rPr>
        <w:t>。</w:t>
      </w:r>
    </w:p>
    <w:p w14:paraId="370EE6C0">
      <w:pPr>
        <w:pStyle w:val="19"/>
        <w:spacing w:line="240" w:lineRule="auto"/>
        <w:rPr>
          <w:rFonts w:ascii="Times New Roman" w:hAnsi="Times New Roman" w:eastAsia="宋体" w:cs="Times New Roman"/>
        </w:rPr>
      </w:pPr>
      <w:r>
        <w:rPr>
          <w:rFonts w:hint="eastAsia" w:ascii="黑体" w:hAnsi="黑体" w:eastAsia="黑体" w:cs="黑体"/>
        </w:rPr>
        <w:t xml:space="preserve">6.1.3 </w:t>
      </w:r>
      <w:r>
        <w:rPr>
          <w:rFonts w:ascii="Times New Roman" w:hAnsi="Times New Roman" w:eastAsia="宋体" w:cs="Times New Roman"/>
        </w:rPr>
        <w:t>加入适量培养基重悬细胞沉淀，进行细胞计数。</w:t>
      </w:r>
    </w:p>
    <w:p w14:paraId="77914E3D">
      <w:pPr>
        <w:pStyle w:val="19"/>
        <w:spacing w:line="240" w:lineRule="auto"/>
        <w:jc w:val="both"/>
        <w:rPr>
          <w:rFonts w:ascii="Times New Roman" w:hAnsi="Times New Roman" w:eastAsia="宋体" w:cs="Times New Roman"/>
        </w:rPr>
      </w:pPr>
      <w:r>
        <w:rPr>
          <w:rFonts w:hint="eastAsia" w:ascii="黑体" w:hAnsi="黑体" w:eastAsia="黑体" w:cs="黑体"/>
        </w:rPr>
        <w:t xml:space="preserve">6.1.4 </w:t>
      </w:r>
      <w:r>
        <w:rPr>
          <w:rFonts w:ascii="Times New Roman" w:hAnsi="Times New Roman" w:eastAsia="宋体" w:cs="Times New Roman"/>
        </w:rPr>
        <w:t>加入1mL/冻存管体积的冻存液重悬沉淀，转移至冻存管中。建议每管冻存细胞量约为1×10</w:t>
      </w:r>
      <w:r>
        <w:rPr>
          <w:rFonts w:ascii="Times New Roman" w:hAnsi="Times New Roman" w:eastAsia="宋体" w:cs="Times New Roman"/>
          <w:vertAlign w:val="superscript"/>
        </w:rPr>
        <w:t>6</w:t>
      </w:r>
      <w:r>
        <w:rPr>
          <w:rFonts w:ascii="Times New Roman" w:hAnsi="Times New Roman" w:eastAsia="宋体" w:cs="Times New Roman"/>
        </w:rPr>
        <w:t>个，程序降温后放入</w:t>
      </w:r>
      <w:r>
        <w:rPr>
          <w:rFonts w:ascii="Times New Roman" w:hAnsi="Times New Roman" w:eastAsia="宋体" w:cs="Times New Roman"/>
          <w:bCs/>
          <w:szCs w:val="21"/>
        </w:rPr>
        <w:t>-80</w:t>
      </w:r>
      <w:r>
        <w:rPr>
          <w:rFonts w:hint="eastAsia" w:ascii="Times New Roman" w:hAnsi="Times New Roman" w:eastAsia="宋体" w:cs="Times New Roman"/>
          <w:bCs/>
          <w:szCs w:val="21"/>
        </w:rPr>
        <w:t>℃</w:t>
      </w:r>
      <w:r>
        <w:rPr>
          <w:rFonts w:ascii="Times New Roman" w:hAnsi="Times New Roman" w:eastAsia="宋体" w:cs="Times New Roman"/>
          <w:bCs/>
          <w:szCs w:val="21"/>
        </w:rPr>
        <w:t>冰箱</w:t>
      </w:r>
      <w:r>
        <w:rPr>
          <w:rFonts w:hint="eastAsia" w:ascii="Times New Roman" w:hAnsi="Times New Roman" w:eastAsia="宋体" w:cs="Times New Roman"/>
          <w:bCs/>
          <w:szCs w:val="21"/>
        </w:rPr>
        <w:t>24h</w:t>
      </w:r>
      <w:r>
        <w:rPr>
          <w:rFonts w:ascii="Times New Roman" w:hAnsi="Times New Roman" w:eastAsia="宋体" w:cs="Times New Roman"/>
          <w:bCs/>
          <w:szCs w:val="21"/>
        </w:rPr>
        <w:t>后转移到</w:t>
      </w:r>
      <w:r>
        <w:rPr>
          <w:rFonts w:ascii="Times New Roman" w:hAnsi="Times New Roman" w:eastAsia="宋体" w:cs="Times New Roman"/>
        </w:rPr>
        <w:t>液氮罐中长期保存。</w:t>
      </w:r>
    </w:p>
    <w:p w14:paraId="1C737CB0">
      <w:pPr>
        <w:spacing w:before="156" w:beforeLines="50" w:after="156" w:afterLines="50"/>
        <w:rPr>
          <w:rFonts w:hint="eastAsia" w:ascii="黑体" w:hAnsi="黑体"/>
          <w:b/>
          <w:bCs/>
          <w:sz w:val="21"/>
          <w:szCs w:val="21"/>
        </w:rPr>
      </w:pPr>
      <w:bookmarkStart w:id="41" w:name="_Toc2302"/>
      <w:r>
        <w:rPr>
          <w:rFonts w:hint="eastAsia" w:ascii="黑体" w:hAnsi="黑体" w:eastAsia="黑体"/>
          <w:bCs/>
          <w:szCs w:val="21"/>
        </w:rPr>
        <w:t>6.2 类器官复苏</w:t>
      </w:r>
      <w:bookmarkEnd w:id="41"/>
    </w:p>
    <w:p w14:paraId="15832F9A">
      <w:pPr>
        <w:pStyle w:val="19"/>
        <w:spacing w:line="240" w:lineRule="auto"/>
        <w:rPr>
          <w:rFonts w:ascii="Times New Roman" w:hAnsi="Times New Roman" w:eastAsia="宋体" w:cs="Times New Roman"/>
        </w:rPr>
      </w:pPr>
      <w:r>
        <w:rPr>
          <w:rFonts w:hint="eastAsia" w:ascii="黑体" w:hAnsi="黑体" w:eastAsia="黑体" w:cs="黑体"/>
        </w:rPr>
        <w:t xml:space="preserve">6.2.1 </w:t>
      </w:r>
      <w:r>
        <w:rPr>
          <w:rFonts w:ascii="Times New Roman" w:hAnsi="Times New Roman" w:eastAsia="宋体" w:cs="Times New Roman"/>
        </w:rPr>
        <w:t>预先准备一个装有</w:t>
      </w:r>
      <w:r>
        <w:rPr>
          <w:rFonts w:ascii="Times New Roman" w:hAnsi="Times New Roman" w:eastAsia="宋体" w:cs="Times New Roman"/>
          <w:bCs/>
          <w:szCs w:val="21"/>
        </w:rPr>
        <w:t>约</w:t>
      </w:r>
      <w:r>
        <w:rPr>
          <w:rFonts w:ascii="Times New Roman" w:hAnsi="Times New Roman" w:eastAsia="宋体" w:cs="Times New Roman"/>
        </w:rPr>
        <w:t>10mL培养基（细胞冻存液体积和培养基体积比为1:10）的15mL离心管</w:t>
      </w:r>
      <w:r>
        <w:rPr>
          <w:rFonts w:hint="eastAsia" w:ascii="Times New Roman" w:hAnsi="Times New Roman" w:eastAsia="宋体" w:cs="Times New Roman"/>
        </w:rPr>
        <w:t>。</w:t>
      </w:r>
    </w:p>
    <w:p w14:paraId="64C5DB3E">
      <w:pPr>
        <w:pStyle w:val="19"/>
        <w:spacing w:line="240" w:lineRule="auto"/>
        <w:rPr>
          <w:rFonts w:ascii="Times New Roman" w:hAnsi="Times New Roman" w:eastAsia="宋体" w:cs="Times New Roman"/>
        </w:rPr>
      </w:pPr>
      <w:r>
        <w:rPr>
          <w:rFonts w:hint="eastAsia" w:ascii="黑体" w:hAnsi="黑体" w:eastAsia="黑体" w:cs="黑体"/>
        </w:rPr>
        <w:t xml:space="preserve">6.2.2 </w:t>
      </w:r>
      <w:r>
        <w:rPr>
          <w:rFonts w:ascii="Times New Roman" w:hAnsi="Times New Roman" w:eastAsia="宋体" w:cs="Times New Roman"/>
        </w:rPr>
        <w:t>将冻存管从液氮罐中取出后，放入37℃水浴中轻轻摇动冻存管，尽量使其在短时间内全部融化</w:t>
      </w:r>
      <w:r>
        <w:rPr>
          <w:rFonts w:hint="eastAsia" w:ascii="Times New Roman" w:hAnsi="Times New Roman" w:eastAsia="宋体" w:cs="Times New Roman"/>
        </w:rPr>
        <w:t>。</w:t>
      </w:r>
    </w:p>
    <w:p w14:paraId="1578D17D">
      <w:pPr>
        <w:pStyle w:val="19"/>
        <w:spacing w:line="240" w:lineRule="auto"/>
        <w:rPr>
          <w:rFonts w:ascii="Times New Roman" w:hAnsi="Times New Roman" w:eastAsia="宋体" w:cs="Times New Roman"/>
        </w:rPr>
      </w:pPr>
      <w:r>
        <w:rPr>
          <w:rFonts w:hint="eastAsia" w:ascii="黑体" w:hAnsi="黑体" w:eastAsia="黑体" w:cs="黑体"/>
        </w:rPr>
        <w:t xml:space="preserve">6.2.3 </w:t>
      </w:r>
      <w:r>
        <w:rPr>
          <w:rFonts w:ascii="Times New Roman" w:hAnsi="Times New Roman" w:eastAsia="宋体" w:cs="Times New Roman"/>
        </w:rPr>
        <w:t>将融化后的类器官冻存液</w:t>
      </w:r>
      <w:r>
        <w:rPr>
          <w:rFonts w:ascii="Times New Roman" w:hAnsi="Times New Roman" w:eastAsia="宋体" w:cs="Times New Roman"/>
          <w:bCs/>
          <w:szCs w:val="21"/>
        </w:rPr>
        <w:t>悬液</w:t>
      </w:r>
      <w:r>
        <w:rPr>
          <w:rFonts w:ascii="Times New Roman" w:hAnsi="Times New Roman" w:eastAsia="宋体" w:cs="Times New Roman"/>
        </w:rPr>
        <w:t>吸出，加到</w:t>
      </w:r>
      <w:r>
        <w:rPr>
          <w:rFonts w:hint="eastAsia" w:ascii="Times New Roman" w:hAnsi="Times New Roman" w:eastAsia="宋体" w:cs="Times New Roman"/>
        </w:rPr>
        <w:t>预先准备有培养基的</w:t>
      </w:r>
      <w:r>
        <w:rPr>
          <w:rFonts w:ascii="Times New Roman" w:hAnsi="Times New Roman" w:eastAsia="宋体" w:cs="Times New Roman"/>
        </w:rPr>
        <w:t>15mL离心管中</w:t>
      </w:r>
      <w:r>
        <w:rPr>
          <w:rFonts w:hint="eastAsia" w:ascii="Times New Roman" w:hAnsi="Times New Roman" w:eastAsia="宋体" w:cs="Times New Roman"/>
        </w:rPr>
        <w:t>轻轻混匀</w:t>
      </w:r>
      <w:r>
        <w:rPr>
          <w:rFonts w:ascii="Times New Roman" w:hAnsi="Times New Roman" w:eastAsia="宋体" w:cs="Times New Roman"/>
        </w:rPr>
        <w:t>，离心弃上清。</w:t>
      </w:r>
    </w:p>
    <w:p w14:paraId="1BFA51F1">
      <w:pPr>
        <w:pStyle w:val="19"/>
        <w:spacing w:line="240" w:lineRule="auto"/>
        <w:rPr>
          <w:rFonts w:hint="eastAsia" w:ascii="黑体" w:hAnsi="黑体" w:eastAsia="黑体" w:cs="黑体"/>
        </w:rPr>
      </w:pPr>
      <w:r>
        <w:rPr>
          <w:rFonts w:hint="eastAsia" w:ascii="黑体" w:hAnsi="黑体" w:eastAsia="黑体" w:cs="黑体"/>
        </w:rPr>
        <w:t xml:space="preserve">6.2.4 </w:t>
      </w:r>
      <w:r>
        <w:rPr>
          <w:rFonts w:ascii="Times New Roman" w:hAnsi="Times New Roman" w:eastAsia="宋体" w:cs="Times New Roman"/>
        </w:rPr>
        <w:t>加入适量培养基重悬细胞沉淀，进行细胞计数</w:t>
      </w:r>
      <w:r>
        <w:rPr>
          <w:rFonts w:hint="eastAsia" w:ascii="Times New Roman" w:hAnsi="Times New Roman" w:eastAsia="宋体" w:cs="Times New Roman"/>
        </w:rPr>
        <w:t>和接种培养（操作同上所述）</w:t>
      </w:r>
      <w:r>
        <w:rPr>
          <w:rFonts w:ascii="Times New Roman" w:hAnsi="Times New Roman" w:eastAsia="宋体" w:cs="Times New Roman"/>
        </w:rPr>
        <w:t>。</w:t>
      </w:r>
    </w:p>
    <w:p w14:paraId="6D2655ED">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42" w:name="_Toc17339"/>
      <w:bookmarkStart w:id="43" w:name="_Toc13978"/>
      <w:r>
        <w:rPr>
          <w:rFonts w:hint="eastAsia" w:ascii="黑体" w:hAnsi="黑体" w:eastAsia="黑体" w:cs="黑体"/>
          <w:b w:val="0"/>
          <w:bCs/>
          <w:sz w:val="21"/>
          <w:szCs w:val="21"/>
        </w:rPr>
        <w:t>废弃物处理</w:t>
      </w:r>
      <w:bookmarkEnd w:id="42"/>
      <w:bookmarkEnd w:id="43"/>
    </w:p>
    <w:p w14:paraId="72BB5AF5">
      <w:pPr>
        <w:pStyle w:val="19"/>
        <w:spacing w:line="240" w:lineRule="auto"/>
        <w:ind w:firstLine="420" w:firstLineChars="200"/>
        <w:rPr>
          <w:rFonts w:ascii="Times New Roman" w:hAnsi="Times New Roman" w:eastAsia="宋体" w:cs="Times New Roman"/>
        </w:rPr>
      </w:pPr>
      <w:r>
        <w:rPr>
          <w:rFonts w:ascii="Times New Roman" w:hAnsi="Times New Roman" w:eastAsia="宋体" w:cs="Times New Roman"/>
        </w:rPr>
        <w:t>在组织样本采集、保存及转运，类器官培养、鉴定、传代、冻存和复苏等操作过程中产生的废弃物，及使用过的类器官或不合格的类器官，应根据国家相关法律法规的要求分类盛放，严格按照生物样本处置与管理规范进行妥善处置。</w:t>
      </w:r>
    </w:p>
    <w:p w14:paraId="189D5E92">
      <w:pPr>
        <w:pStyle w:val="19"/>
        <w:spacing w:line="240" w:lineRule="auto"/>
        <w:rPr>
          <w:rFonts w:ascii="Times New Roman" w:hAnsi="Times New Roman" w:eastAsia="宋体" w:cs="Times New Roman"/>
          <w:b w:val="0"/>
          <w:bCs w:val="0"/>
        </w:rPr>
      </w:pPr>
      <w:r>
        <w:rPr>
          <w:rFonts w:hint="eastAsia" w:ascii="黑体" w:hAnsi="黑体" w:eastAsia="黑体" w:cs="黑体"/>
          <w:b w:val="0"/>
          <w:bCs w:val="0"/>
        </w:rPr>
        <w:t xml:space="preserve">7.1 </w:t>
      </w:r>
      <w:r>
        <w:rPr>
          <w:rFonts w:hint="eastAsia" w:ascii="Times New Roman" w:hAnsi="Times New Roman" w:eastAsia="宋体" w:cs="Times New Roman"/>
          <w:b w:val="0"/>
          <w:bCs w:val="0"/>
        </w:rPr>
        <w:t>废弃的非感染性医疗废物称一般性医疗废物，应盛放在带有警示标识的黄色包装袋袋内。</w:t>
      </w:r>
    </w:p>
    <w:p w14:paraId="6841BA5D">
      <w:pPr>
        <w:pStyle w:val="19"/>
        <w:spacing w:line="240" w:lineRule="auto"/>
        <w:rPr>
          <w:rFonts w:ascii="Times New Roman" w:hAnsi="Times New Roman" w:eastAsia="宋体" w:cs="Times New Roman"/>
          <w:b w:val="0"/>
          <w:bCs w:val="0"/>
        </w:rPr>
      </w:pPr>
      <w:r>
        <w:rPr>
          <w:rFonts w:hint="eastAsia" w:ascii="黑体" w:hAnsi="黑体" w:eastAsia="黑体" w:cs="黑体"/>
          <w:b w:val="0"/>
          <w:bCs w:val="0"/>
        </w:rPr>
        <w:t xml:space="preserve">7.2 </w:t>
      </w:r>
      <w:r>
        <w:rPr>
          <w:rFonts w:hint="eastAsia" w:ascii="Times New Roman" w:hAnsi="Times New Roman" w:eastAsia="宋体" w:cs="Times New Roman"/>
          <w:b w:val="0"/>
          <w:bCs w:val="0"/>
        </w:rPr>
        <w:t>被血液、体液、排泄物、组织污染等废物称感染性医疗废物，应盛放在带有感染性标识的黄色垃圾袋袋内。</w:t>
      </w:r>
    </w:p>
    <w:p w14:paraId="18129EBC">
      <w:pPr>
        <w:pStyle w:val="19"/>
        <w:spacing w:line="240" w:lineRule="auto"/>
        <w:rPr>
          <w:rFonts w:hint="eastAsia"/>
        </w:rPr>
      </w:pPr>
      <w:r>
        <w:rPr>
          <w:rFonts w:hint="eastAsia" w:ascii="黑体" w:hAnsi="黑体" w:eastAsia="黑体" w:cs="黑体"/>
        </w:rPr>
        <w:t xml:space="preserve">7.3 </w:t>
      </w:r>
      <w:r>
        <w:rPr>
          <w:rFonts w:ascii="Times New Roman" w:hAnsi="Times New Roman" w:eastAsia="宋体" w:cs="Times New Roman"/>
        </w:rPr>
        <w:t>每天由经过培训的单位清洁员负责收集并暂时存放医疗废物，定期交送无害化处理并记录。</w:t>
      </w:r>
    </w:p>
    <w:p w14:paraId="1D605FC6">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44" w:name="_Toc25337"/>
      <w:bookmarkStart w:id="45" w:name="_Toc23974"/>
      <w:r>
        <w:rPr>
          <w:rFonts w:hint="eastAsia" w:ascii="黑体" w:hAnsi="黑体" w:eastAsia="黑体" w:cs="黑体"/>
          <w:b w:val="0"/>
          <w:bCs/>
          <w:sz w:val="21"/>
          <w:szCs w:val="21"/>
        </w:rPr>
        <w:t>数据管理</w:t>
      </w:r>
      <w:bookmarkEnd w:id="44"/>
      <w:bookmarkEnd w:id="45"/>
    </w:p>
    <w:p w14:paraId="154701BA">
      <w:pPr>
        <w:spacing w:line="240" w:lineRule="auto"/>
        <w:ind w:firstLine="0" w:firstLineChars="0"/>
        <w:jc w:val="both"/>
        <w:rPr>
          <w:rFonts w:ascii="Times New Roman" w:hAnsi="Times New Roman" w:eastAsia="宋体" w:cs="Times New Roman"/>
          <w:bCs/>
          <w:szCs w:val="21"/>
        </w:rPr>
      </w:pPr>
      <w:r>
        <w:rPr>
          <w:rFonts w:hint="eastAsia" w:ascii="黑体" w:hAnsi="黑体" w:eastAsia="黑体" w:cs="黑体"/>
          <w:bCs/>
          <w:szCs w:val="21"/>
        </w:rPr>
        <w:t xml:space="preserve">8.1 </w:t>
      </w:r>
      <w:r>
        <w:rPr>
          <w:rFonts w:ascii="Times New Roman" w:hAnsi="Times New Roman" w:eastAsia="宋体" w:cs="Times New Roman"/>
          <w:bCs/>
          <w:szCs w:val="21"/>
        </w:rPr>
        <w:t>根据项目要求进行个人信息和病史信息等采集。充分保护捐献者的隐私权，保护捐赠者的利益和合法权益。</w:t>
      </w:r>
    </w:p>
    <w:p w14:paraId="601A0B65">
      <w:pPr>
        <w:spacing w:line="240" w:lineRule="auto"/>
        <w:ind w:firstLine="0" w:firstLineChars="0"/>
        <w:jc w:val="both"/>
        <w:rPr>
          <w:rFonts w:ascii="Times New Roman" w:hAnsi="Times New Roman" w:eastAsia="宋体" w:cs="Times New Roman"/>
          <w:bCs/>
          <w:szCs w:val="21"/>
        </w:rPr>
      </w:pPr>
      <w:r>
        <w:rPr>
          <w:rFonts w:hint="eastAsia" w:ascii="黑体" w:hAnsi="黑体" w:eastAsia="黑体" w:cs="黑体"/>
          <w:bCs/>
          <w:szCs w:val="21"/>
        </w:rPr>
        <w:t xml:space="preserve">8.2 </w:t>
      </w:r>
      <w:r>
        <w:rPr>
          <w:rFonts w:ascii="Times New Roman" w:hAnsi="Times New Roman" w:eastAsia="宋体" w:cs="Times New Roman"/>
          <w:bCs/>
          <w:szCs w:val="21"/>
        </w:rPr>
        <w:t>宜制定标准化的字段名和字段值，且采用统一、专用的数据库进行管理。</w:t>
      </w:r>
    </w:p>
    <w:p w14:paraId="6233FED3">
      <w:pPr>
        <w:spacing w:line="240" w:lineRule="auto"/>
        <w:ind w:firstLine="0" w:firstLineChars="0"/>
        <w:jc w:val="both"/>
        <w:rPr>
          <w:rFonts w:ascii="Times New Roman" w:hAnsi="Times New Roman" w:eastAsia="宋体" w:cs="Times New Roman"/>
          <w:bCs/>
          <w:szCs w:val="21"/>
        </w:rPr>
      </w:pPr>
      <w:r>
        <w:rPr>
          <w:rFonts w:hint="eastAsia" w:ascii="黑体" w:hAnsi="黑体" w:eastAsia="黑体" w:cs="黑体"/>
          <w:bCs/>
          <w:szCs w:val="21"/>
        </w:rPr>
        <w:t>8.3</w:t>
      </w:r>
      <w:r>
        <w:rPr>
          <w:rFonts w:ascii="Times New Roman" w:hAnsi="Times New Roman" w:eastAsia="宋体" w:cs="Times New Roman"/>
          <w:bCs/>
          <w:szCs w:val="21"/>
        </w:rPr>
        <w:t xml:space="preserve"> 在信息采集过程中，凡涉及捐献者隐私的内容应以编码形式加密，并设定访问权限，相关人员应签署保密协议。</w:t>
      </w:r>
    </w:p>
    <w:p w14:paraId="7FC3DC62">
      <w:pPr>
        <w:spacing w:line="240" w:lineRule="auto"/>
        <w:ind w:firstLine="0" w:firstLineChars="0"/>
        <w:jc w:val="both"/>
        <w:rPr>
          <w:rFonts w:ascii="Times New Roman" w:hAnsi="Times New Roman" w:eastAsia="宋体" w:cs="Times New Roman"/>
          <w:bCs/>
          <w:szCs w:val="21"/>
        </w:rPr>
      </w:pPr>
      <w:r>
        <w:rPr>
          <w:rFonts w:hint="eastAsia" w:ascii="黑体" w:hAnsi="黑体" w:eastAsia="黑体" w:cs="黑体"/>
          <w:bCs/>
          <w:szCs w:val="21"/>
        </w:rPr>
        <w:t>8.4</w:t>
      </w:r>
      <w:r>
        <w:rPr>
          <w:rFonts w:ascii="Times New Roman" w:hAnsi="Times New Roman" w:eastAsia="宋体" w:cs="Times New Roman"/>
          <w:bCs/>
          <w:szCs w:val="21"/>
        </w:rPr>
        <w:t xml:space="preserve"> 为规范临床信息采集，便于数据共享，提高临床信息的收集质量和利用价值，宜建立最小数据集，任何项目在获得伦理批准后均可在此基础上增加所需收集的内容。样本库最小数据集宜包含但不限于以下几方面：</w:t>
      </w:r>
    </w:p>
    <w:p w14:paraId="57B2DF8B">
      <w:pPr>
        <w:spacing w:line="240" w:lineRule="auto"/>
        <w:jc w:val="both"/>
        <w:rPr>
          <w:rFonts w:ascii="黑体" w:hAnsi="黑体" w:eastAsia="黑体" w:cs="Times New Roman"/>
          <w:bCs/>
          <w:szCs w:val="21"/>
        </w:rPr>
      </w:pPr>
      <w:r>
        <w:rPr>
          <w:rFonts w:hint="eastAsia" w:ascii="黑体" w:hAnsi="黑体" w:eastAsia="黑体" w:cs="黑体"/>
          <w:bCs/>
          <w:szCs w:val="21"/>
        </w:rPr>
        <w:t xml:space="preserve">8.4.1 </w:t>
      </w:r>
      <w:r>
        <w:rPr>
          <w:rFonts w:hint="eastAsia" w:ascii="黑体" w:hAnsi="黑体" w:eastAsia="黑体" w:cs="Times New Roman"/>
          <w:bCs/>
          <w:szCs w:val="21"/>
        </w:rPr>
        <w:t>人口统计学信息</w:t>
      </w:r>
    </w:p>
    <w:p w14:paraId="17EAA5D9">
      <w:pPr>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包括但不限于性别、国籍、种族和籍贯等。</w:t>
      </w:r>
    </w:p>
    <w:p w14:paraId="5306072C">
      <w:pPr>
        <w:spacing w:line="240" w:lineRule="auto"/>
        <w:jc w:val="both"/>
        <w:rPr>
          <w:rFonts w:ascii="黑体" w:hAnsi="黑体" w:eastAsia="黑体" w:cs="Times New Roman"/>
          <w:bCs/>
          <w:szCs w:val="21"/>
        </w:rPr>
      </w:pPr>
      <w:r>
        <w:rPr>
          <w:rFonts w:hint="eastAsia" w:ascii="黑体" w:hAnsi="黑体" w:eastAsia="黑体" w:cs="黑体"/>
          <w:bCs/>
          <w:szCs w:val="21"/>
        </w:rPr>
        <w:t>8.4.2</w:t>
      </w:r>
      <w:r>
        <w:rPr>
          <w:rFonts w:ascii="黑体" w:hAnsi="黑体" w:eastAsia="黑体" w:cs="Times New Roman"/>
          <w:bCs/>
          <w:szCs w:val="21"/>
        </w:rPr>
        <w:t xml:space="preserve"> </w:t>
      </w:r>
      <w:r>
        <w:rPr>
          <w:rFonts w:hint="eastAsia" w:ascii="黑体" w:hAnsi="黑体" w:eastAsia="黑体" w:cs="Times New Roman"/>
          <w:bCs/>
          <w:szCs w:val="21"/>
        </w:rPr>
        <w:t>住院一般信息</w:t>
      </w:r>
    </w:p>
    <w:p w14:paraId="1FE92E41">
      <w:pPr>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是否本院首次治疗、医疗机构名称、发病年龄和疾病名称等。</w:t>
      </w:r>
    </w:p>
    <w:p w14:paraId="061086CB">
      <w:pPr>
        <w:spacing w:line="240" w:lineRule="auto"/>
        <w:jc w:val="both"/>
        <w:rPr>
          <w:rFonts w:ascii="黑体" w:hAnsi="黑体" w:eastAsia="黑体" w:cs="Times New Roman"/>
          <w:bCs/>
          <w:szCs w:val="21"/>
        </w:rPr>
      </w:pPr>
      <w:r>
        <w:rPr>
          <w:rFonts w:hint="eastAsia" w:ascii="黑体" w:hAnsi="黑体" w:eastAsia="黑体" w:cs="黑体"/>
          <w:bCs/>
          <w:szCs w:val="21"/>
        </w:rPr>
        <w:t>8.4.3</w:t>
      </w:r>
      <w:r>
        <w:rPr>
          <w:rFonts w:ascii="黑体" w:hAnsi="黑体" w:eastAsia="黑体" w:cs="Times New Roman"/>
          <w:bCs/>
          <w:szCs w:val="21"/>
        </w:rPr>
        <w:t xml:space="preserve"> </w:t>
      </w:r>
      <w:r>
        <w:rPr>
          <w:rFonts w:hint="eastAsia" w:ascii="黑体" w:hAnsi="黑体" w:eastAsia="黑体" w:cs="Times New Roman"/>
          <w:bCs/>
          <w:szCs w:val="21"/>
        </w:rPr>
        <w:t>既往史</w:t>
      </w:r>
    </w:p>
    <w:p w14:paraId="4FA044D6">
      <w:pPr>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包括但不限于高血压、颅内感染、既往手术等。</w:t>
      </w:r>
    </w:p>
    <w:p w14:paraId="0A18AA97">
      <w:pPr>
        <w:spacing w:line="240" w:lineRule="auto"/>
        <w:jc w:val="both"/>
        <w:rPr>
          <w:rFonts w:ascii="黑体" w:hAnsi="黑体" w:eastAsia="黑体" w:cs="Times New Roman"/>
          <w:bCs/>
          <w:szCs w:val="21"/>
        </w:rPr>
      </w:pPr>
      <w:r>
        <w:rPr>
          <w:rFonts w:hint="eastAsia" w:ascii="黑体" w:hAnsi="黑体" w:eastAsia="黑体" w:cs="黑体"/>
          <w:bCs/>
          <w:szCs w:val="21"/>
        </w:rPr>
        <w:t>8.4.4</w:t>
      </w:r>
      <w:r>
        <w:rPr>
          <w:rFonts w:ascii="黑体" w:hAnsi="黑体" w:eastAsia="黑体" w:cs="Times New Roman"/>
          <w:bCs/>
          <w:szCs w:val="21"/>
        </w:rPr>
        <w:t xml:space="preserve"> </w:t>
      </w:r>
      <w:r>
        <w:rPr>
          <w:rFonts w:hint="eastAsia" w:ascii="黑体" w:hAnsi="黑体" w:eastAsia="黑体" w:cs="Times New Roman"/>
          <w:bCs/>
          <w:szCs w:val="21"/>
        </w:rPr>
        <w:t>现病史和体格检查</w:t>
      </w:r>
    </w:p>
    <w:p w14:paraId="527D9BAF">
      <w:pPr>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包括但不限于身高、体重和肥胖指数（BMI）等。</w:t>
      </w:r>
    </w:p>
    <w:p w14:paraId="32C5528B">
      <w:pPr>
        <w:spacing w:line="240" w:lineRule="auto"/>
        <w:jc w:val="both"/>
        <w:rPr>
          <w:rFonts w:ascii="黑体" w:hAnsi="黑体" w:eastAsia="黑体" w:cs="Times New Roman"/>
          <w:bCs/>
          <w:szCs w:val="21"/>
        </w:rPr>
      </w:pPr>
      <w:r>
        <w:rPr>
          <w:rFonts w:hint="eastAsia" w:ascii="黑体" w:hAnsi="黑体" w:eastAsia="黑体" w:cs="黑体"/>
          <w:bCs/>
          <w:szCs w:val="21"/>
        </w:rPr>
        <w:t>8.4.5</w:t>
      </w:r>
      <w:r>
        <w:rPr>
          <w:rFonts w:ascii="黑体" w:hAnsi="黑体" w:eastAsia="黑体" w:cs="Times New Roman"/>
          <w:bCs/>
          <w:szCs w:val="21"/>
        </w:rPr>
        <w:t xml:space="preserve"> </w:t>
      </w:r>
      <w:r>
        <w:rPr>
          <w:rFonts w:hint="eastAsia" w:ascii="黑体" w:hAnsi="黑体" w:eastAsia="黑体" w:cs="Times New Roman"/>
          <w:bCs/>
          <w:szCs w:val="21"/>
        </w:rPr>
        <w:t>家族史</w:t>
      </w:r>
    </w:p>
    <w:p w14:paraId="37CA6F87">
      <w:pPr>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包括但不限于与患者关系和肿瘤名称等。</w:t>
      </w:r>
    </w:p>
    <w:p w14:paraId="3AE17CB1">
      <w:pPr>
        <w:spacing w:line="240" w:lineRule="auto"/>
        <w:jc w:val="both"/>
        <w:rPr>
          <w:rFonts w:ascii="黑体" w:hAnsi="黑体" w:eastAsia="黑体" w:cs="Times New Roman"/>
          <w:bCs/>
          <w:szCs w:val="21"/>
        </w:rPr>
      </w:pPr>
      <w:r>
        <w:rPr>
          <w:rFonts w:hint="eastAsia" w:ascii="黑体" w:hAnsi="黑体" w:eastAsia="黑体" w:cs="黑体"/>
          <w:bCs/>
          <w:szCs w:val="21"/>
        </w:rPr>
        <w:t>8.4.6</w:t>
      </w:r>
      <w:r>
        <w:rPr>
          <w:rFonts w:ascii="黑体" w:hAnsi="黑体" w:eastAsia="黑体" w:cs="Times New Roman"/>
          <w:bCs/>
          <w:szCs w:val="21"/>
        </w:rPr>
        <w:t xml:space="preserve"> </w:t>
      </w:r>
      <w:r>
        <w:rPr>
          <w:rFonts w:hint="eastAsia" w:ascii="黑体" w:hAnsi="黑体" w:eastAsia="黑体" w:cs="Times New Roman"/>
          <w:bCs/>
          <w:szCs w:val="21"/>
        </w:rPr>
        <w:t>诊断信息</w:t>
      </w:r>
    </w:p>
    <w:p w14:paraId="6C25578C">
      <w:pPr>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包括但不限于（一般是基于MR影像学）肿瘤位置、肿瘤大小、肿瘤数目、肿瘤是否强化、边界是否清晰（可以初步判断高低级别）。</w:t>
      </w:r>
    </w:p>
    <w:p w14:paraId="6C2AC80E">
      <w:pPr>
        <w:spacing w:line="240" w:lineRule="auto"/>
        <w:jc w:val="both"/>
        <w:rPr>
          <w:rFonts w:ascii="黑体" w:hAnsi="黑体" w:eastAsia="黑体" w:cs="Times New Roman"/>
          <w:bCs/>
          <w:szCs w:val="21"/>
        </w:rPr>
      </w:pPr>
      <w:r>
        <w:rPr>
          <w:rFonts w:hint="eastAsia" w:ascii="黑体" w:hAnsi="黑体" w:eastAsia="黑体" w:cs="黑体"/>
          <w:bCs/>
          <w:szCs w:val="21"/>
        </w:rPr>
        <w:t xml:space="preserve">8.4.7 </w:t>
      </w:r>
      <w:r>
        <w:rPr>
          <w:rFonts w:hint="eastAsia" w:ascii="黑体" w:hAnsi="黑体" w:eastAsia="黑体" w:cs="Times New Roman"/>
          <w:bCs/>
          <w:szCs w:val="21"/>
        </w:rPr>
        <w:t>病理诊断信息</w:t>
      </w:r>
    </w:p>
    <w:p w14:paraId="6F9C76F7">
      <w:pPr>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包括但不限于肿瘤组织学形态、WHO分级、免疫组化标记（GFAP、Ki67、ATRX等）、分子病理特征（IDH1/2、11p/19q、MGMT、H3K27M等等）。</w:t>
      </w:r>
    </w:p>
    <w:p w14:paraId="48CCDF0D">
      <w:pPr>
        <w:spacing w:line="240" w:lineRule="auto"/>
        <w:jc w:val="both"/>
        <w:rPr>
          <w:rFonts w:ascii="黑体" w:hAnsi="黑体" w:eastAsia="黑体" w:cs="Times New Roman"/>
          <w:bCs/>
          <w:szCs w:val="21"/>
        </w:rPr>
      </w:pPr>
      <w:r>
        <w:rPr>
          <w:rFonts w:hint="eastAsia" w:ascii="黑体" w:hAnsi="黑体" w:eastAsia="黑体" w:cs="黑体"/>
          <w:bCs/>
          <w:szCs w:val="21"/>
        </w:rPr>
        <w:t xml:space="preserve">8.4.8 </w:t>
      </w:r>
      <w:r>
        <w:rPr>
          <w:rFonts w:hint="eastAsia" w:ascii="黑体" w:hAnsi="黑体" w:eastAsia="黑体" w:cs="Times New Roman"/>
          <w:bCs/>
          <w:szCs w:val="21"/>
        </w:rPr>
        <w:t>随访信息</w:t>
      </w:r>
    </w:p>
    <w:p w14:paraId="608CCB27">
      <w:pPr>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包括但不限于随访日期、第几次随访、随访情况、复发转移、死亡、无复发生存时间和总生存时间等。</w:t>
      </w:r>
    </w:p>
    <w:p w14:paraId="145A86E4">
      <w:pPr>
        <w:pStyle w:val="2"/>
        <w:numPr>
          <w:ilvl w:val="0"/>
          <w:numId w:val="1"/>
        </w:numPr>
        <w:spacing w:before="312" w:beforeLines="100" w:after="312" w:afterLines="100" w:line="240" w:lineRule="auto"/>
        <w:ind w:left="0" w:leftChars="0" w:firstLine="0" w:firstLineChars="0"/>
        <w:rPr>
          <w:rFonts w:hint="eastAsia" w:ascii="黑体" w:hAnsi="黑体" w:eastAsia="黑体" w:cs="黑体"/>
          <w:b w:val="0"/>
          <w:bCs/>
          <w:sz w:val="21"/>
          <w:szCs w:val="21"/>
        </w:rPr>
      </w:pPr>
      <w:bookmarkStart w:id="46" w:name="_Toc330"/>
      <w:bookmarkStart w:id="47" w:name="_Toc17392"/>
      <w:r>
        <w:rPr>
          <w:rFonts w:hint="eastAsia" w:ascii="黑体" w:hAnsi="黑体" w:eastAsia="黑体" w:cs="黑体"/>
          <w:b w:val="0"/>
          <w:bCs/>
          <w:sz w:val="21"/>
          <w:szCs w:val="21"/>
        </w:rPr>
        <w:t>质量控制</w:t>
      </w:r>
      <w:bookmarkEnd w:id="46"/>
      <w:bookmarkEnd w:id="47"/>
    </w:p>
    <w:p w14:paraId="6FF585A2">
      <w:pPr>
        <w:pBdr>
          <w:bottom w:val="none" w:color="auto" w:sz="0" w:space="0"/>
        </w:pBdr>
        <w:spacing w:line="240" w:lineRule="auto"/>
        <w:ind w:firstLine="0" w:firstLineChars="0"/>
        <w:jc w:val="both"/>
        <w:rPr>
          <w:rFonts w:ascii="Times New Roman" w:hAnsi="Times New Roman" w:eastAsia="宋体" w:cs="Times New Roman"/>
          <w:bCs/>
          <w:szCs w:val="21"/>
        </w:rPr>
      </w:pPr>
      <w:r>
        <w:rPr>
          <w:rFonts w:hint="eastAsia" w:ascii="黑体" w:hAnsi="黑体" w:eastAsia="黑体" w:cs="黑体"/>
          <w:bCs/>
          <w:szCs w:val="21"/>
        </w:rPr>
        <w:t xml:space="preserve">9.1 </w:t>
      </w:r>
      <w:r>
        <w:rPr>
          <w:rFonts w:ascii="Times New Roman" w:hAnsi="Times New Roman" w:eastAsia="宋体" w:cs="Times New Roman"/>
          <w:bCs/>
          <w:szCs w:val="21"/>
        </w:rPr>
        <w:t>每一批次样本处理过程均应执行QC程序，应保留QC活动和结果的记录，以证明样本及相关数据能满足预期要求。</w:t>
      </w:r>
    </w:p>
    <w:p w14:paraId="39148985">
      <w:pPr>
        <w:pBdr>
          <w:bottom w:val="none" w:color="auto" w:sz="0" w:space="0"/>
        </w:pBdr>
        <w:spacing w:line="240" w:lineRule="auto"/>
        <w:ind w:firstLine="0" w:firstLineChars="0"/>
        <w:jc w:val="both"/>
        <w:rPr>
          <w:rFonts w:ascii="Times New Roman" w:hAnsi="Times New Roman" w:eastAsia="宋体" w:cs="Times New Roman"/>
          <w:bCs/>
          <w:szCs w:val="21"/>
        </w:rPr>
      </w:pPr>
      <w:r>
        <w:rPr>
          <w:rFonts w:hint="eastAsia" w:ascii="黑体" w:hAnsi="黑体" w:eastAsia="黑体" w:cs="黑体"/>
          <w:bCs/>
          <w:szCs w:val="21"/>
        </w:rPr>
        <w:t xml:space="preserve">9.2 </w:t>
      </w:r>
      <w:r>
        <w:rPr>
          <w:rFonts w:ascii="Times New Roman" w:hAnsi="Times New Roman" w:eastAsia="宋体" w:cs="Times New Roman"/>
          <w:bCs/>
          <w:szCs w:val="21"/>
        </w:rPr>
        <w:t>应分析QC数据，如不能满足既定要求，应对不合格生物样本库及相关数据进行有效标识，并采取措施控制其报告和分发范围。</w:t>
      </w:r>
    </w:p>
    <w:p w14:paraId="025AE6F4">
      <w:pPr>
        <w:pBdr>
          <w:bottom w:val="none" w:color="auto" w:sz="0" w:space="0"/>
        </w:pBdr>
        <w:spacing w:before="0" w:beforeLines="-2147483648" w:after="0" w:afterLines="-2147483648" w:line="240" w:lineRule="auto"/>
        <w:ind w:firstLine="0" w:firstLineChars="0"/>
        <w:rPr>
          <w:rFonts w:ascii="Times New Roman" w:hAnsi="Times New Roman" w:eastAsia="宋体" w:cs="Times New Roman"/>
          <w:bCs/>
          <w:szCs w:val="21"/>
        </w:rPr>
      </w:pPr>
      <w:r>
        <w:rPr>
          <w:rFonts w:hint="eastAsia" w:ascii="黑体" w:hAnsi="黑体" w:eastAsia="黑体" w:cs="黑体"/>
          <w:bCs/>
          <w:szCs w:val="21"/>
        </w:rPr>
        <w:t xml:space="preserve">9.3 </w:t>
      </w:r>
      <w:r>
        <w:rPr>
          <w:rFonts w:ascii="Times New Roman" w:hAnsi="Times New Roman" w:eastAsia="宋体" w:cs="Times New Roman"/>
          <w:bCs/>
          <w:szCs w:val="21"/>
        </w:rPr>
        <w:t>生物样本库还应定期分析QC结果的趋势，作为持续改进过程的输入。</w:t>
      </w:r>
      <w:r>
        <w:rPr>
          <w:rFonts w:ascii="Times New Roman" w:hAnsi="Times New Roman" w:eastAsia="宋体" w:cs="Times New Roman"/>
          <w:bCs/>
          <w:szCs w:val="21"/>
        </w:rPr>
        <w:br w:type="page"/>
      </w:r>
    </w:p>
    <w:p w14:paraId="745AC66D">
      <w:pPr>
        <w:jc w:val="center"/>
        <w:outlineLvl w:val="0"/>
        <w:rPr>
          <w:rFonts w:hint="eastAsia" w:ascii="Times New Roman" w:hAnsi="Times New Roman" w:eastAsia="黑体" w:cs="Times New Roman"/>
        </w:rPr>
      </w:pPr>
      <w:bookmarkStart w:id="48" w:name="_Toc10301"/>
      <w:bookmarkStart w:id="49" w:name="_Toc32162"/>
      <w:r>
        <w:rPr>
          <w:rFonts w:hint="eastAsia" w:ascii="Times New Roman" w:hAnsi="Times New Roman" w:eastAsia="黑体" w:cs="Times New Roman"/>
          <w:b w:val="0"/>
        </w:rPr>
        <w:t>附 录 A</w:t>
      </w:r>
      <w:bookmarkEnd w:id="48"/>
      <w:bookmarkEnd w:id="49"/>
    </w:p>
    <w:p w14:paraId="597B2EBF">
      <w:pPr>
        <w:jc w:val="center"/>
        <w:outlineLvl w:val="0"/>
        <w:rPr>
          <w:rFonts w:hint="eastAsia" w:ascii="Times New Roman" w:hAnsi="Times New Roman" w:eastAsia="黑体" w:cs="Times New Roman"/>
        </w:rPr>
      </w:pPr>
      <w:bookmarkStart w:id="50" w:name="_Toc202559142"/>
      <w:bookmarkStart w:id="51" w:name="_Toc10524"/>
      <w:bookmarkStart w:id="52" w:name="_Toc12489"/>
      <w:r>
        <w:rPr>
          <w:rFonts w:hint="eastAsia" w:ascii="Times New Roman" w:hAnsi="Times New Roman" w:eastAsia="黑体" w:cs="Times New Roman"/>
          <w:b w:val="0"/>
        </w:rPr>
        <w:t>（资料性）</w:t>
      </w:r>
      <w:bookmarkEnd w:id="50"/>
      <w:bookmarkEnd w:id="51"/>
      <w:bookmarkEnd w:id="52"/>
    </w:p>
    <w:p w14:paraId="3E53EB07">
      <w:pPr>
        <w:spacing w:after="283"/>
        <w:jc w:val="center"/>
        <w:outlineLvl w:val="0"/>
        <w:rPr>
          <w:rFonts w:hint="eastAsia" w:ascii="黑体" w:hAnsi="黑体" w:eastAsia="黑体"/>
          <w:bCs/>
        </w:rPr>
      </w:pPr>
      <w:bookmarkStart w:id="53" w:name="_Toc202559143"/>
      <w:bookmarkStart w:id="54" w:name="_Toc17612"/>
      <w:bookmarkStart w:id="55" w:name="_Toc4872"/>
      <w:r>
        <w:rPr>
          <w:rFonts w:hint="eastAsia" w:ascii="Times New Roman" w:hAnsi="Times New Roman" w:eastAsia="黑体" w:cs="Times New Roman"/>
          <w:b w:val="0"/>
        </w:rPr>
        <w:t>人脑胶质瘤类器官培养、冻存和复苏所需耗材</w:t>
      </w:r>
      <w:bookmarkEnd w:id="53"/>
      <w:bookmarkEnd w:id="54"/>
      <w:bookmarkEnd w:id="55"/>
      <w:bookmarkStart w:id="56" w:name="_Toc21966"/>
    </w:p>
    <w:p w14:paraId="27C93EB9">
      <w:pPr>
        <w:spacing w:before="156" w:beforeLines="50" w:after="156" w:afterLines="50"/>
        <w:rPr>
          <w:rFonts w:ascii="黑体" w:hAnsi="黑体"/>
          <w:bCs/>
        </w:rPr>
      </w:pPr>
      <w:r>
        <w:rPr>
          <w:rFonts w:ascii="黑体" w:hAnsi="黑体" w:eastAsia="黑体"/>
          <w:b w:val="0"/>
          <w:bCs/>
        </w:rPr>
        <w:t xml:space="preserve">1 </w:t>
      </w:r>
      <w:r>
        <w:rPr>
          <w:rFonts w:hint="eastAsia" w:ascii="黑体" w:hAnsi="黑体" w:eastAsia="黑体"/>
          <w:b w:val="0"/>
          <w:bCs/>
        </w:rPr>
        <w:t>仪器设备</w:t>
      </w:r>
      <w:bookmarkEnd w:id="56"/>
    </w:p>
    <w:p w14:paraId="6E7813F3">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光学显微镜、生物安全柜、二氧化碳细胞培养孵箱、低温离心机、摇床、液氮罐、三种常用低温冰箱（4℃、-20℃、-80℃）、37℃水浴锅等。</w:t>
      </w:r>
    </w:p>
    <w:p w14:paraId="0FA23BD4">
      <w:pPr>
        <w:spacing w:before="156" w:beforeLines="50" w:after="156" w:afterLines="50"/>
        <w:rPr>
          <w:rFonts w:ascii="黑体" w:hAnsi="黑体"/>
          <w:b/>
          <w:bCs/>
          <w:sz w:val="21"/>
          <w:szCs w:val="21"/>
        </w:rPr>
      </w:pPr>
      <w:bookmarkStart w:id="57" w:name="_Toc31573"/>
      <w:r>
        <w:rPr>
          <w:rFonts w:ascii="黑体" w:hAnsi="黑体" w:eastAsia="黑体"/>
          <w:bCs/>
          <w:szCs w:val="21"/>
        </w:rPr>
        <w:t xml:space="preserve">2 </w:t>
      </w:r>
      <w:r>
        <w:rPr>
          <w:rFonts w:hint="eastAsia" w:ascii="黑体" w:hAnsi="黑体" w:eastAsia="黑体"/>
          <w:bCs/>
          <w:szCs w:val="21"/>
        </w:rPr>
        <w:t>耗材</w:t>
      </w:r>
      <w:bookmarkEnd w:id="57"/>
    </w:p>
    <w:p w14:paraId="5DDDF2E1">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15mL和50mL无菌离心管、70μm细胞筛网、100μm细胞筛网、30mm培养皿、</w:t>
      </w:r>
      <w:r>
        <w:rPr>
          <w:rFonts w:hint="eastAsia" w:ascii="Times New Roman" w:hAnsi="Times New Roman" w:eastAsia="宋体" w:cs="Times New Roman"/>
          <w:bCs/>
          <w:szCs w:val="21"/>
        </w:rPr>
        <w:t>低吸附</w:t>
      </w:r>
      <w:r>
        <w:rPr>
          <w:rFonts w:ascii="Times New Roman" w:hAnsi="Times New Roman" w:eastAsia="宋体" w:cs="Times New Roman"/>
          <w:bCs/>
          <w:szCs w:val="21"/>
        </w:rPr>
        <w:t>孔板或芯片、冰盒、细胞冻存盒、无菌镊子、无菌眼科剪、各种移液器和吸头、细胞冻存管等、油性记号笔。</w:t>
      </w:r>
    </w:p>
    <w:p w14:paraId="26BB8ACA">
      <w:pPr>
        <w:spacing w:before="156" w:beforeLines="50" w:after="156" w:afterLines="50"/>
        <w:rPr>
          <w:rFonts w:ascii="黑体" w:hAnsi="黑体"/>
          <w:b/>
          <w:bCs/>
          <w:sz w:val="21"/>
          <w:szCs w:val="21"/>
        </w:rPr>
      </w:pPr>
      <w:bookmarkStart w:id="58" w:name="_Toc524"/>
      <w:r>
        <w:rPr>
          <w:rFonts w:ascii="黑体" w:hAnsi="黑体" w:eastAsia="黑体"/>
          <w:bCs/>
          <w:szCs w:val="21"/>
        </w:rPr>
        <w:t xml:space="preserve">3 </w:t>
      </w:r>
      <w:r>
        <w:rPr>
          <w:rFonts w:hint="eastAsia" w:ascii="黑体" w:hAnsi="黑体" w:eastAsia="黑体"/>
          <w:bCs/>
          <w:szCs w:val="21"/>
        </w:rPr>
        <w:t>试剂</w:t>
      </w:r>
      <w:bookmarkEnd w:id="58"/>
    </w:p>
    <w:p w14:paraId="03C83430">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细胞消化液、细胞缓冲液、组织保存液、细胞悬液、细胞级别二甲基亚砜、脑胶质瘤类器官培养基等。</w:t>
      </w:r>
    </w:p>
    <w:p w14:paraId="3286CFE2">
      <w:pPr>
        <w:spacing w:before="156" w:beforeLines="50" w:after="156" w:afterLines="50" w:line="240" w:lineRule="auto"/>
        <w:ind w:firstLine="0" w:firstLineChars="0"/>
        <w:rPr>
          <w:rFonts w:hint="eastAsia" w:ascii="黑体" w:hAnsi="黑体" w:eastAsia="黑体"/>
          <w:bCs/>
        </w:rPr>
      </w:pPr>
      <w:r>
        <w:rPr>
          <w:rFonts w:hint="eastAsia" w:ascii="黑体" w:hAnsi="黑体" w:eastAsia="黑体"/>
          <w:bCs/>
        </w:rPr>
        <w:t>4 脑胶质瘤类器官培养基</w:t>
      </w:r>
    </w:p>
    <w:p w14:paraId="78E1DEA6">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推荐的脑胶质瘤类器官培养基的组成成分见表A。</w:t>
      </w:r>
    </w:p>
    <w:p w14:paraId="0C278670">
      <w:pPr>
        <w:spacing w:line="360" w:lineRule="auto"/>
        <w:ind w:firstLine="420" w:firstLineChars="200"/>
        <w:jc w:val="center"/>
        <w:rPr>
          <w:rFonts w:ascii="Times New Roman" w:hAnsi="Times New Roman" w:eastAsia="宋体" w:cs="Times New Roman"/>
          <w:bCs/>
          <w:szCs w:val="21"/>
        </w:rPr>
      </w:pPr>
      <w:r>
        <w:rPr>
          <w:rFonts w:hint="eastAsia" w:ascii="黑体" w:hAnsi="黑体" w:eastAsia="黑体" w:cs="黑体"/>
          <w:bCs/>
          <w:szCs w:val="21"/>
        </w:rPr>
        <w:t>表 A</w:t>
      </w:r>
      <w:r>
        <w:rPr>
          <w:rFonts w:ascii="Times New Roman" w:hAnsi="Times New Roman" w:eastAsia="宋体" w:cs="Times New Roman"/>
          <w:bCs/>
          <w:szCs w:val="21"/>
        </w:rPr>
        <w:t xml:space="preserve"> 脑胶质瘤类器官培养基组成成分表</w:t>
      </w:r>
    </w:p>
    <w:tbl>
      <w:tblPr>
        <w:tblStyle w:val="1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1"/>
        <w:gridCol w:w="4288"/>
      </w:tblGrid>
      <w:tr w14:paraId="426E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1" w:type="dxa"/>
          </w:tcPr>
          <w:p w14:paraId="635D1B2D">
            <w:pPr>
              <w:pStyle w:val="49"/>
              <w:spacing w:beforeLines="0" w:afterLines="0" w:line="240" w:lineRule="auto"/>
              <w:rPr>
                <w:rFonts w:ascii="Times New Roman"/>
                <w:sz w:val="21"/>
                <w:szCs w:val="21"/>
              </w:rPr>
            </w:pPr>
            <w:r>
              <w:rPr>
                <w:rFonts w:hint="eastAsia" w:ascii="Times New Roman"/>
                <w:b/>
                <w:sz w:val="21"/>
                <w:szCs w:val="21"/>
              </w:rPr>
              <w:t>中文名称</w:t>
            </w:r>
          </w:p>
        </w:tc>
        <w:tc>
          <w:tcPr>
            <w:tcW w:w="4288" w:type="dxa"/>
          </w:tcPr>
          <w:p w14:paraId="05E878CC">
            <w:pPr>
              <w:pStyle w:val="49"/>
              <w:spacing w:beforeLines="0" w:afterLines="0" w:line="240" w:lineRule="auto"/>
              <w:rPr>
                <w:rFonts w:ascii="Times New Roman"/>
                <w:sz w:val="21"/>
                <w:szCs w:val="21"/>
              </w:rPr>
            </w:pPr>
            <w:r>
              <w:rPr>
                <w:rFonts w:hint="eastAsia" w:ascii="Times New Roman"/>
                <w:b/>
                <w:sz w:val="21"/>
                <w:szCs w:val="21"/>
              </w:rPr>
              <w:t>英文名称</w:t>
            </w:r>
          </w:p>
        </w:tc>
      </w:tr>
      <w:tr w14:paraId="083A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34EF35DE">
            <w:pPr>
              <w:spacing w:line="240" w:lineRule="auto"/>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lang w:bidi="ar"/>
              </w:rPr>
              <w:t>基础培养基</w:t>
            </w:r>
          </w:p>
        </w:tc>
        <w:tc>
          <w:tcPr>
            <w:tcW w:w="4288" w:type="dxa"/>
            <w:vAlign w:val="center"/>
          </w:tcPr>
          <w:p w14:paraId="57F25F30">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sz w:val="21"/>
                <w:szCs w:val="21"/>
                <w:lang w:bidi="ar"/>
              </w:rPr>
              <w:t>Advanced DMEM/F12</w:t>
            </w:r>
          </w:p>
        </w:tc>
      </w:tr>
      <w:tr w14:paraId="3D3C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49CA2775">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WNT 信号通路激活剂</w:t>
            </w:r>
          </w:p>
        </w:tc>
        <w:tc>
          <w:tcPr>
            <w:tcW w:w="4288" w:type="dxa"/>
            <w:vAlign w:val="center"/>
          </w:tcPr>
          <w:p w14:paraId="6B58803A">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R-Spondin 3</w:t>
            </w:r>
          </w:p>
        </w:tc>
      </w:tr>
      <w:tr w14:paraId="61D1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493B1C2D">
            <w:pPr>
              <w:spacing w:line="240" w:lineRule="auto"/>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lang w:bidi="ar"/>
              </w:rPr>
              <w:t>青霉素</w:t>
            </w:r>
            <w:r>
              <w:rPr>
                <w:rFonts w:ascii="Times New Roman" w:hAnsi="Times New Roman" w:eastAsia="宋体" w:cs="Times New Roman"/>
                <w:sz w:val="21"/>
                <w:szCs w:val="21"/>
                <w:lang w:bidi="ar"/>
              </w:rPr>
              <w:t>/</w:t>
            </w:r>
            <w:r>
              <w:rPr>
                <w:rFonts w:hint="eastAsia" w:ascii="Times New Roman" w:hAnsi="Times New Roman" w:eastAsia="宋体" w:cs="Times New Roman"/>
                <w:sz w:val="21"/>
                <w:szCs w:val="21"/>
                <w:lang w:bidi="ar"/>
              </w:rPr>
              <w:t>链霉素</w:t>
            </w:r>
          </w:p>
        </w:tc>
        <w:tc>
          <w:tcPr>
            <w:tcW w:w="4288" w:type="dxa"/>
            <w:vAlign w:val="center"/>
          </w:tcPr>
          <w:p w14:paraId="7BB4CAB4">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sz w:val="21"/>
                <w:szCs w:val="21"/>
                <w:lang w:bidi="ar"/>
              </w:rPr>
              <w:t>Penicillin/streptomycin</w:t>
            </w:r>
          </w:p>
        </w:tc>
      </w:tr>
      <w:tr w14:paraId="26C7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35580320">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sz w:val="21"/>
                <w:szCs w:val="21"/>
                <w:lang w:bidi="ar"/>
              </w:rPr>
              <w:t>L-</w:t>
            </w:r>
            <w:r>
              <w:rPr>
                <w:rFonts w:hint="eastAsia" w:ascii="Times New Roman" w:hAnsi="Times New Roman" w:eastAsia="宋体" w:cs="Times New Roman"/>
                <w:sz w:val="21"/>
                <w:szCs w:val="21"/>
                <w:lang w:bidi="ar"/>
              </w:rPr>
              <w:t>谷氨酰胺</w:t>
            </w:r>
          </w:p>
        </w:tc>
        <w:tc>
          <w:tcPr>
            <w:tcW w:w="4288" w:type="dxa"/>
            <w:vAlign w:val="center"/>
          </w:tcPr>
          <w:p w14:paraId="0C7CB20D">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sz w:val="21"/>
                <w:szCs w:val="21"/>
                <w:lang w:bidi="ar"/>
              </w:rPr>
              <w:t>L-Glutamax</w:t>
            </w:r>
          </w:p>
        </w:tc>
      </w:tr>
      <w:tr w14:paraId="5B09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4A75E281">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ROCK 抑制剂</w:t>
            </w:r>
          </w:p>
        </w:tc>
        <w:tc>
          <w:tcPr>
            <w:tcW w:w="4288" w:type="dxa"/>
            <w:vAlign w:val="center"/>
          </w:tcPr>
          <w:p w14:paraId="277F55BE">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ROCK inhibitor Y-27632</w:t>
            </w:r>
          </w:p>
        </w:tc>
      </w:tr>
      <w:tr w14:paraId="6751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07997F2E">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4-(2-羟乙基)-1-哌嗪乙磺酸</w:t>
            </w:r>
          </w:p>
        </w:tc>
        <w:tc>
          <w:tcPr>
            <w:tcW w:w="4288" w:type="dxa"/>
            <w:vAlign w:val="center"/>
          </w:tcPr>
          <w:p w14:paraId="26B0CA66">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HEPES</w:t>
            </w:r>
          </w:p>
        </w:tc>
      </w:tr>
      <w:tr w14:paraId="1178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3B6FED5E">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sirtuins抑制剂</w:t>
            </w:r>
          </w:p>
        </w:tc>
        <w:tc>
          <w:tcPr>
            <w:tcW w:w="4288" w:type="dxa"/>
            <w:vAlign w:val="center"/>
          </w:tcPr>
          <w:p w14:paraId="4FF1FCB3">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Nicotinamide</w:t>
            </w:r>
          </w:p>
        </w:tc>
      </w:tr>
      <w:tr w14:paraId="5DA1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4C278E73">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TGFβ 抑制剂A83-01</w:t>
            </w:r>
          </w:p>
        </w:tc>
        <w:tc>
          <w:tcPr>
            <w:tcW w:w="4288" w:type="dxa"/>
            <w:vAlign w:val="center"/>
          </w:tcPr>
          <w:p w14:paraId="2490AF4A">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TGFβ inhibitor A83-01</w:t>
            </w:r>
          </w:p>
        </w:tc>
      </w:tr>
      <w:tr w14:paraId="0706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167B3693">
            <w:pPr>
              <w:spacing w:line="240" w:lineRule="auto"/>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lang w:bidi="ar"/>
              </w:rPr>
              <w:t>人表皮细胞因子</w:t>
            </w:r>
          </w:p>
        </w:tc>
        <w:tc>
          <w:tcPr>
            <w:tcW w:w="4288" w:type="dxa"/>
            <w:vAlign w:val="center"/>
          </w:tcPr>
          <w:p w14:paraId="0FE95FA0">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sz w:val="21"/>
                <w:szCs w:val="21"/>
                <w:lang w:bidi="ar"/>
              </w:rPr>
              <w:t>EGF</w:t>
            </w:r>
          </w:p>
        </w:tc>
      </w:tr>
      <w:tr w14:paraId="79C4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1449ACB2">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P38 MAPK 抑制剂</w:t>
            </w:r>
          </w:p>
        </w:tc>
        <w:tc>
          <w:tcPr>
            <w:tcW w:w="4288" w:type="dxa"/>
            <w:vAlign w:val="center"/>
          </w:tcPr>
          <w:p w14:paraId="6972F23E">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SB202190</w:t>
            </w:r>
          </w:p>
        </w:tc>
      </w:tr>
      <w:tr w14:paraId="0784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7389FEE2">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B27添加剂</w:t>
            </w:r>
          </w:p>
        </w:tc>
        <w:tc>
          <w:tcPr>
            <w:tcW w:w="4288" w:type="dxa"/>
            <w:vAlign w:val="center"/>
          </w:tcPr>
          <w:p w14:paraId="1004141F">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B27 supplement</w:t>
            </w:r>
          </w:p>
        </w:tc>
      </w:tr>
      <w:tr w14:paraId="4AA7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08AE2B9B">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乙酰半胱氨酸</w:t>
            </w:r>
          </w:p>
        </w:tc>
        <w:tc>
          <w:tcPr>
            <w:tcW w:w="4288" w:type="dxa"/>
            <w:vAlign w:val="center"/>
          </w:tcPr>
          <w:p w14:paraId="1CCB9F38">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N-acetylcysteine</w:t>
            </w:r>
          </w:p>
        </w:tc>
      </w:tr>
      <w:tr w14:paraId="3C56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1" w:type="dxa"/>
            <w:vAlign w:val="center"/>
          </w:tcPr>
          <w:p w14:paraId="27373CCC">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Primocin抗生素</w:t>
            </w:r>
          </w:p>
        </w:tc>
        <w:tc>
          <w:tcPr>
            <w:tcW w:w="4288" w:type="dxa"/>
            <w:vAlign w:val="center"/>
          </w:tcPr>
          <w:p w14:paraId="0D241569">
            <w:pPr>
              <w:spacing w:line="240" w:lineRule="auto"/>
              <w:jc w:val="center"/>
              <w:textAlignment w:val="center"/>
              <w:rPr>
                <w:rFonts w:ascii="Times New Roman" w:hAnsi="Times New Roman" w:eastAsia="宋体" w:cs="Times New Roman"/>
                <w:sz w:val="21"/>
                <w:szCs w:val="21"/>
              </w:rPr>
            </w:pPr>
            <w:r>
              <w:rPr>
                <w:rStyle w:val="50"/>
                <w:rFonts w:hint="default" w:ascii="Times New Roman" w:hAnsi="Times New Roman" w:cs="Times New Roman"/>
                <w:color w:val="auto"/>
                <w:sz w:val="21"/>
                <w:szCs w:val="21"/>
                <w:lang w:bidi="ar"/>
              </w:rPr>
              <w:t>Primocin</w:t>
            </w:r>
          </w:p>
        </w:tc>
      </w:tr>
    </w:tbl>
    <w:p w14:paraId="6AF923AF">
      <w:pPr>
        <w:rPr>
          <w:rFonts w:hint="eastAsia"/>
          <w:szCs w:val="21"/>
        </w:rPr>
      </w:pPr>
      <w:bookmarkStart w:id="59" w:name="_Toc17710"/>
      <w:r>
        <w:rPr>
          <w:rFonts w:hint="eastAsia"/>
          <w:szCs w:val="21"/>
        </w:rPr>
        <w:br w:type="page"/>
      </w:r>
    </w:p>
    <w:p w14:paraId="72DAD26E">
      <w:pPr>
        <w:jc w:val="center"/>
        <w:outlineLvl w:val="0"/>
        <w:rPr>
          <w:rFonts w:hint="eastAsia" w:ascii="Times New Roman" w:hAnsi="Times New Roman" w:eastAsia="黑体" w:cs="Times New Roman"/>
          <w:sz w:val="21"/>
          <w:szCs w:val="21"/>
        </w:rPr>
      </w:pPr>
      <w:bookmarkStart w:id="60" w:name="_Toc26267"/>
      <w:r>
        <w:rPr>
          <w:rFonts w:hint="eastAsia" w:ascii="Times New Roman" w:hAnsi="Times New Roman" w:eastAsia="黑体" w:cs="Times New Roman"/>
          <w:b w:val="0"/>
          <w:szCs w:val="21"/>
        </w:rPr>
        <w:t xml:space="preserve">附 件 </w:t>
      </w:r>
      <w:bookmarkEnd w:id="59"/>
      <w:r>
        <w:rPr>
          <w:rFonts w:hint="eastAsia" w:ascii="Times New Roman" w:hAnsi="Times New Roman" w:eastAsia="黑体" w:cs="Times New Roman"/>
        </w:rPr>
        <w:t>B</w:t>
      </w:r>
      <w:bookmarkEnd w:id="60"/>
    </w:p>
    <w:p w14:paraId="4FC7A87E">
      <w:pPr>
        <w:jc w:val="center"/>
        <w:outlineLvl w:val="0"/>
        <w:rPr>
          <w:rFonts w:hint="eastAsia" w:ascii="Times New Roman" w:hAnsi="Times New Roman" w:eastAsia="黑体" w:cs="Times New Roman"/>
          <w:sz w:val="21"/>
          <w:szCs w:val="21"/>
        </w:rPr>
      </w:pPr>
      <w:bookmarkStart w:id="61" w:name="_Toc29459"/>
      <w:bookmarkStart w:id="62" w:name="_Toc202559145"/>
      <w:bookmarkStart w:id="63" w:name="_Toc32354"/>
      <w:r>
        <w:rPr>
          <w:rFonts w:hint="eastAsia" w:ascii="Times New Roman" w:hAnsi="Times New Roman" w:eastAsia="黑体" w:cs="Times New Roman"/>
          <w:b w:val="0"/>
          <w:szCs w:val="21"/>
        </w:rPr>
        <w:t>（资料性）</w:t>
      </w:r>
      <w:bookmarkEnd w:id="61"/>
      <w:bookmarkEnd w:id="62"/>
      <w:bookmarkEnd w:id="63"/>
    </w:p>
    <w:p w14:paraId="3997BE38">
      <w:pPr>
        <w:spacing w:after="283"/>
        <w:jc w:val="center"/>
        <w:outlineLvl w:val="0"/>
        <w:rPr>
          <w:rFonts w:hint="eastAsia" w:ascii="Times New Roman" w:hAnsi="Times New Roman" w:eastAsia="黑体" w:cs="Times New Roman"/>
          <w:sz w:val="21"/>
          <w:szCs w:val="21"/>
        </w:rPr>
      </w:pPr>
      <w:bookmarkStart w:id="64" w:name="_Toc29098"/>
      <w:bookmarkStart w:id="65" w:name="_Toc30271"/>
      <w:bookmarkStart w:id="66" w:name="_Toc202559146"/>
      <w:r>
        <w:rPr>
          <w:rFonts w:hint="eastAsia" w:ascii="Times New Roman" w:hAnsi="Times New Roman" w:eastAsia="黑体" w:cs="Times New Roman"/>
          <w:b w:val="0"/>
          <w:szCs w:val="21"/>
        </w:rPr>
        <w:t>人脑胶质瘤类器官的常用鉴定方法</w:t>
      </w:r>
      <w:bookmarkEnd w:id="64"/>
      <w:bookmarkEnd w:id="65"/>
      <w:bookmarkEnd w:id="66"/>
    </w:p>
    <w:p w14:paraId="40D06799">
      <w:pPr>
        <w:spacing w:before="312" w:beforeLines="100" w:after="312" w:afterLines="100"/>
        <w:rPr>
          <w:rFonts w:ascii="黑体" w:hAnsi="黑体"/>
          <w:b/>
          <w:bCs/>
          <w:sz w:val="21"/>
          <w:szCs w:val="21"/>
        </w:rPr>
      </w:pPr>
      <w:bookmarkStart w:id="67" w:name="_Toc1820"/>
      <w:r>
        <w:rPr>
          <w:rFonts w:ascii="黑体" w:hAnsi="黑体" w:eastAsia="黑体"/>
          <w:bCs/>
          <w:szCs w:val="21"/>
        </w:rPr>
        <w:t xml:space="preserve">1 </w:t>
      </w:r>
      <w:r>
        <w:rPr>
          <w:rFonts w:hint="eastAsia" w:ascii="黑体" w:hAnsi="黑体" w:eastAsia="黑体"/>
          <w:bCs/>
          <w:szCs w:val="21"/>
        </w:rPr>
        <w:t>类器官形态学鉴定</w:t>
      </w:r>
      <w:bookmarkEnd w:id="67"/>
    </w:p>
    <w:p w14:paraId="16232769">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1.1 </w:t>
      </w:r>
      <w:r>
        <w:rPr>
          <w:rFonts w:hint="eastAsia" w:ascii="黑体" w:hAnsi="黑体" w:eastAsia="黑体" w:cs="Times New Roman"/>
          <w:bCs/>
          <w:szCs w:val="21"/>
        </w:rPr>
        <w:t>类器官显微镜下状态评估</w:t>
      </w:r>
    </w:p>
    <w:p w14:paraId="1BD611BF">
      <w:pPr>
        <w:spacing w:line="24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在类器官培养的第1天，即可在光学显微镜下进行形态学观察。胶质瘤类器官在培养数天后通常会形成直径50</w:t>
      </w:r>
      <w:r>
        <w:rPr>
          <w:rFonts w:ascii="Times New Roman" w:hAnsi="Times New Roman" w:eastAsia="宋体" w:cs="Times New Roman"/>
          <w:bCs/>
          <w:szCs w:val="21"/>
        </w:rPr>
        <w:t>μm</w:t>
      </w:r>
      <w:r>
        <w:rPr>
          <w:rFonts w:hint="eastAsia" w:ascii="Times New Roman" w:hAnsi="Times New Roman" w:eastAsia="宋体" w:cs="Times New Roman"/>
          <w:bCs/>
          <w:szCs w:val="21"/>
        </w:rPr>
        <w:t>及以上的边缘不规则小细胞团；培养7天左右，可</w:t>
      </w:r>
      <w:r>
        <w:rPr>
          <w:rFonts w:ascii="Times New Roman" w:hAnsi="Times New Roman" w:eastAsia="宋体" w:cs="Times New Roman"/>
          <w:bCs/>
          <w:szCs w:val="21"/>
        </w:rPr>
        <w:t>观察到细胞团直径逐渐增大，边缘开始变得更加规则光滑，立体感增强，并由细胞团往类器官3D球体方向发展；</w:t>
      </w:r>
      <w:r>
        <w:rPr>
          <w:rFonts w:hint="eastAsia" w:ascii="Times New Roman" w:hAnsi="Times New Roman" w:eastAsia="宋体" w:cs="Times New Roman"/>
          <w:bCs/>
          <w:szCs w:val="21"/>
        </w:rPr>
        <w:t>继续培养</w:t>
      </w:r>
      <w:r>
        <w:rPr>
          <w:rFonts w:ascii="Times New Roman" w:hAnsi="Times New Roman" w:eastAsia="宋体" w:cs="Times New Roman"/>
          <w:bCs/>
          <w:szCs w:val="21"/>
        </w:rPr>
        <w:t>，相邻的两个细胞球体可互相聚集接触融合，最终成为直径可达1mm-2mm的3D培养物；脑胶质瘤类器官最大直径可达2mm-3mm，此时球体透光性亦逐渐降低，质感变得更加厚重，这时可选择将培养物进行传代操作，或将培养物用于后续鉴定实验。</w:t>
      </w:r>
      <w:r>
        <w:rPr>
          <w:rFonts w:hint="eastAsia" w:ascii="Times New Roman" w:hAnsi="Times New Roman" w:eastAsia="宋体" w:cs="Times New Roman"/>
          <w:bCs/>
          <w:szCs w:val="21"/>
        </w:rPr>
        <w:t>胶质瘤类器官的大小与形态可能有个体差异。在进行大规模类器官培养及应用时，宜关注各组类器官的大小、形态及数量的均一性。</w:t>
      </w:r>
    </w:p>
    <w:p w14:paraId="7E7389E6">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1.2 </w:t>
      </w:r>
      <w:r>
        <w:rPr>
          <w:rFonts w:hint="eastAsia" w:ascii="黑体" w:hAnsi="黑体" w:eastAsia="黑体" w:cs="Times New Roman"/>
          <w:bCs/>
          <w:szCs w:val="21"/>
        </w:rPr>
        <w:t>单细胞悬液细胞定量评估</w:t>
      </w:r>
    </w:p>
    <w:p w14:paraId="317E41A1">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在类器官传代前应用重组胰酶消化成单细胞悬液。可使用自动化细胞计数仪进行计数。将离心后的细胞沉淀用Advanced</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DMEM/F12培养基重悬（约100μ</w:t>
      </w:r>
      <w:r>
        <w:rPr>
          <w:rFonts w:hint="eastAsia" w:ascii="Times New Roman" w:hAnsi="Times New Roman" w:eastAsia="宋体" w:cs="Times New Roman"/>
          <w:bCs/>
          <w:szCs w:val="21"/>
        </w:rPr>
        <w:t>L</w:t>
      </w:r>
      <w:r>
        <w:rPr>
          <w:rFonts w:ascii="Times New Roman" w:hAnsi="Times New Roman" w:eastAsia="宋体" w:cs="Times New Roman"/>
          <w:bCs/>
          <w:szCs w:val="21"/>
        </w:rPr>
        <w:t>），经吹打混匀后吸取10μ</w:t>
      </w:r>
      <w:r>
        <w:rPr>
          <w:rFonts w:hint="eastAsia" w:ascii="Times New Roman" w:hAnsi="Times New Roman" w:eastAsia="宋体" w:cs="Times New Roman"/>
          <w:bCs/>
          <w:szCs w:val="21"/>
        </w:rPr>
        <w:t>L</w:t>
      </w:r>
      <w:r>
        <w:rPr>
          <w:rFonts w:ascii="Times New Roman" w:hAnsi="Times New Roman" w:eastAsia="宋体" w:cs="Times New Roman"/>
          <w:bCs/>
          <w:szCs w:val="21"/>
        </w:rPr>
        <w:t>细胞悬液进行细胞计数，以活细胞比例&gt;90%表示制备的细胞活力良好。类器官单细胞悬液细胞数不宜低于1.5×10</w:t>
      </w:r>
      <w:r>
        <w:rPr>
          <w:rFonts w:ascii="Times New Roman" w:hAnsi="Times New Roman" w:eastAsia="宋体" w:cs="Times New Roman"/>
          <w:bCs/>
          <w:szCs w:val="21"/>
          <w:vertAlign w:val="superscript"/>
        </w:rPr>
        <w:t>5</w:t>
      </w:r>
      <w:r>
        <w:rPr>
          <w:rFonts w:ascii="Times New Roman" w:hAnsi="Times New Roman" w:eastAsia="宋体" w:cs="Times New Roman"/>
          <w:bCs/>
          <w:szCs w:val="21"/>
        </w:rPr>
        <w:t>/m</w:t>
      </w:r>
      <w:r>
        <w:rPr>
          <w:rFonts w:hint="eastAsia" w:ascii="Times New Roman" w:hAnsi="Times New Roman" w:eastAsia="宋体" w:cs="Times New Roman"/>
          <w:bCs/>
          <w:szCs w:val="21"/>
        </w:rPr>
        <w:t>L</w:t>
      </w:r>
      <w:r>
        <w:rPr>
          <w:rFonts w:ascii="Times New Roman" w:hAnsi="Times New Roman" w:eastAsia="宋体" w:cs="Times New Roman"/>
          <w:bCs/>
          <w:szCs w:val="21"/>
        </w:rPr>
        <w:t>。</w:t>
      </w:r>
    </w:p>
    <w:p w14:paraId="036C5E17">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1.3 </w:t>
      </w:r>
      <w:r>
        <w:rPr>
          <w:rFonts w:hint="eastAsia" w:ascii="黑体" w:hAnsi="黑体" w:eastAsia="黑体" w:cs="Times New Roman"/>
          <w:bCs/>
          <w:szCs w:val="21"/>
        </w:rPr>
        <w:t>细胞活力评估</w:t>
      </w:r>
    </w:p>
    <w:p w14:paraId="6F625891">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在缺乏全自动细胞计数仪时，可采取台盼蓝(Trypan</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blue)染色进行活细胞计数。将离心后的细胞沉淀用Advanced</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DMEM/F12培养基重悬（约100μ</w:t>
      </w:r>
      <w:r>
        <w:rPr>
          <w:rFonts w:hint="eastAsia" w:ascii="Times New Roman" w:hAnsi="Times New Roman" w:eastAsia="宋体" w:cs="Times New Roman"/>
          <w:bCs/>
          <w:szCs w:val="21"/>
        </w:rPr>
        <w:t>L</w:t>
      </w:r>
      <w:r>
        <w:rPr>
          <w:rFonts w:ascii="Times New Roman" w:hAnsi="Times New Roman" w:eastAsia="宋体" w:cs="Times New Roman"/>
          <w:bCs/>
          <w:szCs w:val="21"/>
        </w:rPr>
        <w:t>），经吹打均匀后吸取18μl置于1.5ml的EP管，向EP管中加入2μl中的0.4%的台盼蓝染液充分混匀，染色3min，取10μl细胞悬液加入血细胞计数板，在倒置显微镜10×物镜下计数，分别计数四大格中未染成蓝色和染成蓝色的细胞总数。利用如下公式计算每100μl体积中细胞总数和细胞存活率：</w:t>
      </w:r>
    </w:p>
    <w:p w14:paraId="2AECA611">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总数/100μl=[(未染成蓝色细胞数+蓝色细胞数)/4]×10^3×1.11</w:t>
      </w:r>
    </w:p>
    <w:p w14:paraId="53ABA986">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细胞存活比例=未染成蓝色细胞数/(蓝色细胞数+未染成蓝色细胞数)×100%</w:t>
      </w:r>
    </w:p>
    <w:p w14:paraId="6005EF52">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活细胞比率应&gt;90%可用于类器官细胞培养。</w:t>
      </w:r>
    </w:p>
    <w:p w14:paraId="5EBB035D">
      <w:pPr>
        <w:spacing w:before="312" w:beforeLines="100" w:after="312" w:afterLines="100"/>
        <w:rPr>
          <w:rFonts w:ascii="黑体" w:hAnsi="黑体"/>
          <w:b/>
          <w:bCs/>
          <w:sz w:val="21"/>
          <w:szCs w:val="21"/>
        </w:rPr>
      </w:pPr>
      <w:bookmarkStart w:id="68" w:name="_Toc21786"/>
      <w:r>
        <w:rPr>
          <w:rFonts w:ascii="黑体" w:hAnsi="黑体" w:eastAsia="黑体"/>
          <w:bCs/>
          <w:szCs w:val="21"/>
        </w:rPr>
        <w:t xml:space="preserve">2 </w:t>
      </w:r>
      <w:r>
        <w:rPr>
          <w:rFonts w:hint="eastAsia" w:ascii="黑体" w:hAnsi="黑体" w:eastAsia="黑体"/>
          <w:bCs/>
          <w:szCs w:val="21"/>
        </w:rPr>
        <w:t>类器官病理学鉴定</w:t>
      </w:r>
      <w:bookmarkEnd w:id="68"/>
    </w:p>
    <w:p w14:paraId="477CFA2D">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脑胶质瘤类器官成功构建后，制备冰冻切片或者石蜡包埋切片，</w:t>
      </w:r>
      <w:r>
        <w:rPr>
          <w:rFonts w:hint="eastAsia" w:ascii="Times New Roman" w:hAnsi="Times New Roman" w:eastAsia="宋体" w:cs="Times New Roman"/>
          <w:bCs/>
          <w:szCs w:val="21"/>
        </w:rPr>
        <w:t>通过</w:t>
      </w:r>
      <w:r>
        <w:rPr>
          <w:rFonts w:ascii="Times New Roman" w:hAnsi="Times New Roman" w:eastAsia="宋体" w:cs="Times New Roman"/>
          <w:bCs/>
          <w:szCs w:val="21"/>
        </w:rPr>
        <w:t>苏木素/伊红染色（H&amp;E）进行形态学鉴定，再通过免疫组化染色（</w:t>
      </w:r>
      <w:r>
        <w:rPr>
          <w:rFonts w:hint="eastAsia" w:ascii="Times New Roman" w:hAnsi="Times New Roman" w:eastAsia="宋体" w:cs="Times New Roman"/>
          <w:bCs/>
          <w:szCs w:val="21"/>
        </w:rPr>
        <w:t>建议这些指标：SOX2，GFAP，NESTIN，Ki67，OLIG2，ARTX</w:t>
      </w:r>
      <w:r>
        <w:rPr>
          <w:rFonts w:ascii="Times New Roman" w:hAnsi="Times New Roman" w:eastAsia="宋体" w:cs="Times New Roman"/>
          <w:bCs/>
          <w:szCs w:val="21"/>
        </w:rPr>
        <w:t>）进行生物标志物检测，从而确定类器官是否来自脑胶质瘤细胞。</w:t>
      </w:r>
    </w:p>
    <w:p w14:paraId="20965FB3">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2.1 </w:t>
      </w:r>
      <w:r>
        <w:rPr>
          <w:rFonts w:hint="eastAsia" w:ascii="黑体" w:hAnsi="黑体" w:eastAsia="黑体" w:cs="Times New Roman"/>
          <w:bCs/>
          <w:szCs w:val="21"/>
        </w:rPr>
        <w:t>类器官固定</w:t>
      </w:r>
    </w:p>
    <w:p w14:paraId="43E21737">
      <w:pPr>
        <w:numPr>
          <w:ilvl w:val="0"/>
          <w:numId w:val="0"/>
        </w:num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2.1.1 </w:t>
      </w:r>
      <w:r>
        <w:rPr>
          <w:rFonts w:ascii="Times New Roman" w:hAnsi="Times New Roman" w:eastAsia="宋体" w:cs="Times New Roman"/>
          <w:bCs/>
          <w:szCs w:val="21"/>
        </w:rPr>
        <w:t>把培养基吸走后，加入适量10%中性固定液（或4%PFA固定液）</w:t>
      </w:r>
      <w:r>
        <w:rPr>
          <w:rFonts w:hint="eastAsia" w:ascii="Times New Roman" w:hAnsi="Times New Roman" w:eastAsia="宋体" w:cs="Times New Roman"/>
          <w:bCs/>
          <w:szCs w:val="21"/>
        </w:rPr>
        <w:t>，</w:t>
      </w:r>
      <w:r>
        <w:rPr>
          <w:rFonts w:ascii="Times New Roman" w:hAnsi="Times New Roman" w:eastAsia="宋体" w:cs="Times New Roman"/>
          <w:bCs/>
          <w:szCs w:val="21"/>
        </w:rPr>
        <w:t>室温固定1h（类器官固定时间不要超过2h）；</w:t>
      </w:r>
    </w:p>
    <w:p w14:paraId="53A173DE">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2.1.2 </w:t>
      </w:r>
      <w:r>
        <w:rPr>
          <w:rFonts w:ascii="Times New Roman" w:hAnsi="Times New Roman" w:eastAsia="宋体" w:cs="Times New Roman"/>
          <w:bCs/>
          <w:szCs w:val="21"/>
        </w:rPr>
        <w:t>吸走固定液，加入适量PBS摇晃混匀清洗一遍后，吸走PBS，将类器官浸泡在PBS中</w:t>
      </w:r>
      <w:r>
        <w:rPr>
          <w:rFonts w:hint="eastAsia" w:ascii="Times New Roman" w:hAnsi="Times New Roman" w:eastAsia="宋体" w:cs="Times New Roman"/>
          <w:bCs/>
          <w:szCs w:val="21"/>
        </w:rPr>
        <w:t>短暂置于</w:t>
      </w:r>
      <w:r>
        <w:rPr>
          <w:rFonts w:ascii="Times New Roman" w:hAnsi="Times New Roman" w:eastAsia="宋体" w:cs="Times New Roman"/>
          <w:bCs/>
          <w:szCs w:val="21"/>
        </w:rPr>
        <w:t>4℃冰箱。</w:t>
      </w:r>
    </w:p>
    <w:p w14:paraId="73E6F226">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2.2 </w:t>
      </w:r>
      <w:r>
        <w:rPr>
          <w:rFonts w:hint="eastAsia" w:ascii="黑体" w:hAnsi="黑体" w:eastAsia="黑体" w:cs="Times New Roman"/>
          <w:bCs/>
          <w:szCs w:val="21"/>
        </w:rPr>
        <w:t>类器官石蜡包埋及切片</w:t>
      </w:r>
    </w:p>
    <w:p w14:paraId="7DE48839">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2.2.1 </w:t>
      </w:r>
      <w:r>
        <w:rPr>
          <w:rFonts w:ascii="Times New Roman" w:hAnsi="Times New Roman" w:eastAsia="宋体" w:cs="Times New Roman"/>
          <w:bCs/>
          <w:szCs w:val="21"/>
        </w:rPr>
        <w:t>琼脂包埋：固定、消胶后类器官悬液转移至1.5mL EP管内，1000rpm 离心5min，去除上清，加入50</w:t>
      </w:r>
      <w:r>
        <w:rPr>
          <w:rFonts w:hint="eastAsia" w:ascii="Times New Roman" w:hAnsi="Times New Roman" w:eastAsia="宋体" w:cs="Times New Roman"/>
          <w:bCs/>
          <w:szCs w:val="21"/>
        </w:rPr>
        <w:t xml:space="preserve"> </w:t>
      </w:r>
      <w:bookmarkStart w:id="69" w:name="OLE_LINK2"/>
      <w:r>
        <w:rPr>
          <w:rFonts w:hint="eastAsia" w:ascii="Times New Roman" w:hAnsi="Times New Roman" w:eastAsia="宋体" w:cs="Times New Roman"/>
          <w:bCs/>
          <w:szCs w:val="21"/>
        </w:rPr>
        <w:sym w:font="Symbol" w:char="F06D"/>
      </w:r>
      <w:bookmarkEnd w:id="69"/>
      <w:r>
        <w:rPr>
          <w:rFonts w:hint="eastAsia" w:ascii="Times New Roman" w:hAnsi="Times New Roman" w:eastAsia="宋体" w:cs="Times New Roman"/>
          <w:bCs/>
          <w:szCs w:val="21"/>
        </w:rPr>
        <w:t>L</w:t>
      </w:r>
      <w:r>
        <w:rPr>
          <w:rFonts w:ascii="Times New Roman" w:hAnsi="Times New Roman" w:eastAsia="宋体" w:cs="Times New Roman"/>
          <w:bCs/>
          <w:szCs w:val="21"/>
        </w:rPr>
        <w:t xml:space="preserve"> 2%琼脂重悬类器官，迅速置于冰上冷凝5min；用剪刀将EP管剪破，取出琼脂块，放入包埋盒。</w:t>
      </w:r>
    </w:p>
    <w:p w14:paraId="04937C87">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2.2.2 </w:t>
      </w:r>
      <w:r>
        <w:rPr>
          <w:rFonts w:ascii="Times New Roman" w:hAnsi="Times New Roman" w:eastAsia="宋体" w:cs="Times New Roman"/>
          <w:bCs/>
          <w:szCs w:val="21"/>
        </w:rPr>
        <w:t>脱水：（按下表顺序进行相应处理）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2445"/>
        <w:gridCol w:w="2550"/>
      </w:tblGrid>
      <w:tr w14:paraId="3866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2C643142">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脱水顺序</w:t>
            </w:r>
          </w:p>
        </w:tc>
        <w:tc>
          <w:tcPr>
            <w:tcW w:w="2445" w:type="dxa"/>
            <w:shd w:val="clear" w:color="auto" w:fill="auto"/>
          </w:tcPr>
          <w:p w14:paraId="1AC26BDF">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处理液</w:t>
            </w:r>
          </w:p>
        </w:tc>
        <w:tc>
          <w:tcPr>
            <w:tcW w:w="2550" w:type="dxa"/>
            <w:shd w:val="clear" w:color="auto" w:fill="auto"/>
          </w:tcPr>
          <w:p w14:paraId="2FB11B03">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时间</w:t>
            </w:r>
          </w:p>
        </w:tc>
      </w:tr>
      <w:tr w14:paraId="73B7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3C92D5F1">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w:t>
            </w:r>
          </w:p>
        </w:tc>
        <w:tc>
          <w:tcPr>
            <w:tcW w:w="2445" w:type="dxa"/>
            <w:shd w:val="clear" w:color="auto" w:fill="auto"/>
          </w:tcPr>
          <w:p w14:paraId="682646EE">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75%乙醇</w:t>
            </w:r>
          </w:p>
        </w:tc>
        <w:tc>
          <w:tcPr>
            <w:tcW w:w="2550" w:type="dxa"/>
            <w:shd w:val="clear" w:color="auto" w:fill="auto"/>
          </w:tcPr>
          <w:p w14:paraId="1F7C0423">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40min（可暂停过夜）</w:t>
            </w:r>
          </w:p>
        </w:tc>
      </w:tr>
      <w:tr w14:paraId="03B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5DF2164F">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w:t>
            </w:r>
          </w:p>
        </w:tc>
        <w:tc>
          <w:tcPr>
            <w:tcW w:w="2445" w:type="dxa"/>
            <w:shd w:val="clear" w:color="auto" w:fill="auto"/>
          </w:tcPr>
          <w:p w14:paraId="2B4EAF70">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85%乙醇</w:t>
            </w:r>
          </w:p>
        </w:tc>
        <w:tc>
          <w:tcPr>
            <w:tcW w:w="2550" w:type="dxa"/>
            <w:shd w:val="clear" w:color="auto" w:fill="auto"/>
          </w:tcPr>
          <w:p w14:paraId="04AD3442">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40min</w:t>
            </w:r>
          </w:p>
        </w:tc>
      </w:tr>
      <w:tr w14:paraId="3EFD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226436BB">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3</w:t>
            </w:r>
          </w:p>
        </w:tc>
        <w:tc>
          <w:tcPr>
            <w:tcW w:w="2445" w:type="dxa"/>
            <w:shd w:val="clear" w:color="auto" w:fill="auto"/>
          </w:tcPr>
          <w:p w14:paraId="79946BC9">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95%乙醇Ⅰ</w:t>
            </w:r>
          </w:p>
        </w:tc>
        <w:tc>
          <w:tcPr>
            <w:tcW w:w="2550" w:type="dxa"/>
            <w:shd w:val="clear" w:color="auto" w:fill="auto"/>
          </w:tcPr>
          <w:p w14:paraId="4DF805A4">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20min</w:t>
            </w:r>
          </w:p>
        </w:tc>
      </w:tr>
      <w:tr w14:paraId="7B2F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1302EF8C">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4</w:t>
            </w:r>
          </w:p>
        </w:tc>
        <w:tc>
          <w:tcPr>
            <w:tcW w:w="2445" w:type="dxa"/>
            <w:shd w:val="clear" w:color="auto" w:fill="auto"/>
          </w:tcPr>
          <w:p w14:paraId="72AC9291">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95%乙醇Ⅱ</w:t>
            </w:r>
          </w:p>
        </w:tc>
        <w:tc>
          <w:tcPr>
            <w:tcW w:w="2550" w:type="dxa"/>
            <w:shd w:val="clear" w:color="auto" w:fill="auto"/>
          </w:tcPr>
          <w:p w14:paraId="617FB42B">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20min</w:t>
            </w:r>
          </w:p>
        </w:tc>
      </w:tr>
      <w:tr w14:paraId="32A3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710900EA">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5</w:t>
            </w:r>
          </w:p>
        </w:tc>
        <w:tc>
          <w:tcPr>
            <w:tcW w:w="2445" w:type="dxa"/>
            <w:shd w:val="clear" w:color="auto" w:fill="auto"/>
          </w:tcPr>
          <w:p w14:paraId="0174FEEF">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无水乙醇Ⅰ</w:t>
            </w:r>
          </w:p>
        </w:tc>
        <w:tc>
          <w:tcPr>
            <w:tcW w:w="2550" w:type="dxa"/>
            <w:shd w:val="clear" w:color="auto" w:fill="auto"/>
          </w:tcPr>
          <w:p w14:paraId="0064B5EC">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20min</w:t>
            </w:r>
          </w:p>
        </w:tc>
      </w:tr>
      <w:tr w14:paraId="7152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53F4C592">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6</w:t>
            </w:r>
          </w:p>
        </w:tc>
        <w:tc>
          <w:tcPr>
            <w:tcW w:w="2445" w:type="dxa"/>
            <w:shd w:val="clear" w:color="auto" w:fill="auto"/>
          </w:tcPr>
          <w:p w14:paraId="704C47FB">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无水乙醇Ⅱ</w:t>
            </w:r>
          </w:p>
        </w:tc>
        <w:tc>
          <w:tcPr>
            <w:tcW w:w="2550" w:type="dxa"/>
            <w:shd w:val="clear" w:color="auto" w:fill="auto"/>
          </w:tcPr>
          <w:p w14:paraId="39724F23">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20min</w:t>
            </w:r>
          </w:p>
        </w:tc>
      </w:tr>
      <w:tr w14:paraId="4269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0DEAF432">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7</w:t>
            </w:r>
          </w:p>
        </w:tc>
        <w:tc>
          <w:tcPr>
            <w:tcW w:w="2445" w:type="dxa"/>
            <w:shd w:val="clear" w:color="auto" w:fill="auto"/>
          </w:tcPr>
          <w:p w14:paraId="09A6DD23">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二甲苯Ⅰ</w:t>
            </w:r>
          </w:p>
        </w:tc>
        <w:tc>
          <w:tcPr>
            <w:tcW w:w="2550" w:type="dxa"/>
            <w:shd w:val="clear" w:color="auto" w:fill="auto"/>
          </w:tcPr>
          <w:p w14:paraId="617E3951">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15min</w:t>
            </w:r>
          </w:p>
        </w:tc>
      </w:tr>
      <w:tr w14:paraId="6D05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6D52DC14">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8</w:t>
            </w:r>
          </w:p>
        </w:tc>
        <w:tc>
          <w:tcPr>
            <w:tcW w:w="2445" w:type="dxa"/>
            <w:shd w:val="clear" w:color="auto" w:fill="auto"/>
          </w:tcPr>
          <w:p w14:paraId="1ED1D67E">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二甲苯Ⅱ</w:t>
            </w:r>
          </w:p>
        </w:tc>
        <w:tc>
          <w:tcPr>
            <w:tcW w:w="2550" w:type="dxa"/>
            <w:shd w:val="clear" w:color="auto" w:fill="auto"/>
          </w:tcPr>
          <w:p w14:paraId="731E508D">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15min</w:t>
            </w:r>
          </w:p>
        </w:tc>
      </w:tr>
      <w:tr w14:paraId="5192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76F34635">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9</w:t>
            </w:r>
          </w:p>
        </w:tc>
        <w:tc>
          <w:tcPr>
            <w:tcW w:w="2445" w:type="dxa"/>
            <w:shd w:val="clear" w:color="auto" w:fill="auto"/>
          </w:tcPr>
          <w:p w14:paraId="6DD9545D">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58-60℃石蜡Ⅰ</w:t>
            </w:r>
          </w:p>
        </w:tc>
        <w:tc>
          <w:tcPr>
            <w:tcW w:w="2550" w:type="dxa"/>
            <w:shd w:val="clear" w:color="auto" w:fill="auto"/>
          </w:tcPr>
          <w:p w14:paraId="45867064">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30min</w:t>
            </w:r>
          </w:p>
        </w:tc>
      </w:tr>
      <w:tr w14:paraId="7E70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7D996CA2">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10</w:t>
            </w:r>
          </w:p>
        </w:tc>
        <w:tc>
          <w:tcPr>
            <w:tcW w:w="2445" w:type="dxa"/>
            <w:shd w:val="clear" w:color="auto" w:fill="auto"/>
          </w:tcPr>
          <w:p w14:paraId="01E987B4">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58-60℃石蜡Ⅱ</w:t>
            </w:r>
          </w:p>
        </w:tc>
        <w:tc>
          <w:tcPr>
            <w:tcW w:w="2550" w:type="dxa"/>
            <w:shd w:val="clear" w:color="auto" w:fill="auto"/>
          </w:tcPr>
          <w:p w14:paraId="7707B9D0">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30min</w:t>
            </w:r>
          </w:p>
        </w:tc>
      </w:tr>
      <w:tr w14:paraId="51E5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shd w:val="clear" w:color="auto" w:fill="auto"/>
          </w:tcPr>
          <w:p w14:paraId="356BA86A">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11</w:t>
            </w:r>
          </w:p>
        </w:tc>
        <w:tc>
          <w:tcPr>
            <w:tcW w:w="2445" w:type="dxa"/>
            <w:shd w:val="clear" w:color="auto" w:fill="auto"/>
          </w:tcPr>
          <w:p w14:paraId="7E28C072">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58-60℃石蜡Ⅲ</w:t>
            </w:r>
          </w:p>
        </w:tc>
        <w:tc>
          <w:tcPr>
            <w:tcW w:w="2550" w:type="dxa"/>
            <w:shd w:val="clear" w:color="auto" w:fill="auto"/>
          </w:tcPr>
          <w:p w14:paraId="7C6BE2BA">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60min</w:t>
            </w:r>
          </w:p>
        </w:tc>
      </w:tr>
    </w:tbl>
    <w:p w14:paraId="1A205ED3">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2.2.3</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完成石蜡包埋后</w:t>
      </w:r>
      <w:r>
        <w:rPr>
          <w:rFonts w:hint="eastAsia" w:ascii="Times New Roman" w:hAnsi="Times New Roman" w:eastAsia="宋体" w:cs="Times New Roman"/>
          <w:bCs/>
          <w:szCs w:val="21"/>
        </w:rPr>
        <w:t>，</w:t>
      </w:r>
      <w:r>
        <w:rPr>
          <w:rFonts w:ascii="Times New Roman" w:hAnsi="Times New Roman" w:eastAsia="宋体" w:cs="Times New Roman"/>
          <w:bCs/>
          <w:szCs w:val="21"/>
        </w:rPr>
        <w:t>使用轮转式切片机制作类器官切片，建议每张切片厚度在3μm左右。</w:t>
      </w:r>
    </w:p>
    <w:p w14:paraId="66E28AB5">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2.3 </w:t>
      </w:r>
      <w:r>
        <w:rPr>
          <w:rFonts w:hint="eastAsia" w:ascii="黑体" w:hAnsi="黑体" w:eastAsia="黑体" w:cs="Times New Roman"/>
          <w:bCs/>
          <w:szCs w:val="21"/>
        </w:rPr>
        <w:t>苏木素</w:t>
      </w:r>
      <w:r>
        <w:rPr>
          <w:rFonts w:ascii="黑体" w:hAnsi="黑体" w:eastAsia="黑体" w:cs="Times New Roman"/>
          <w:bCs/>
          <w:szCs w:val="21"/>
        </w:rPr>
        <w:t>&amp;</w:t>
      </w:r>
      <w:r>
        <w:rPr>
          <w:rFonts w:hint="eastAsia" w:ascii="黑体" w:hAnsi="黑体" w:eastAsia="黑体" w:cs="Times New Roman"/>
          <w:bCs/>
          <w:szCs w:val="21"/>
        </w:rPr>
        <w:t>伊红（</w:t>
      </w:r>
      <w:r>
        <w:rPr>
          <w:rFonts w:ascii="Times New Roman" w:hAnsi="Times New Roman" w:eastAsia="黑体" w:cs="Times New Roman"/>
          <w:bCs/>
          <w:szCs w:val="21"/>
        </w:rPr>
        <w:t>H&amp;E</w:t>
      </w:r>
      <w:r>
        <w:rPr>
          <w:rFonts w:hint="eastAsia" w:ascii="Times New Roman" w:hAnsi="Times New Roman" w:eastAsia="黑体" w:cs="Times New Roman"/>
          <w:bCs/>
          <w:szCs w:val="21"/>
        </w:rPr>
        <w:t>）染色</w:t>
      </w:r>
      <w:r>
        <w:rPr>
          <w:rFonts w:hint="eastAsia" w:ascii="黑体" w:hAnsi="黑体" w:eastAsia="黑体" w:cs="Times New Roman"/>
          <w:bCs/>
          <w:szCs w:val="21"/>
        </w:rPr>
        <w:t>鉴定</w:t>
      </w:r>
    </w:p>
    <w:p w14:paraId="1BF03B97">
      <w:pPr>
        <w:spacing w:line="24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方法可参考常规组织HE染色；</w:t>
      </w:r>
    </w:p>
    <w:p w14:paraId="6A2AD0AB">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2.4</w:t>
      </w:r>
      <w:r>
        <w:rPr>
          <w:rFonts w:hint="eastAsia" w:ascii="黑体" w:hAnsi="黑体" w:eastAsia="黑体" w:cs="Times New Roman"/>
          <w:bCs/>
          <w:szCs w:val="21"/>
        </w:rPr>
        <w:t xml:space="preserve"> 免疫组化鉴定</w:t>
      </w:r>
    </w:p>
    <w:p w14:paraId="55FE4C26">
      <w:pPr>
        <w:spacing w:line="24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方法可参考常规组织免疫组化</w:t>
      </w:r>
      <w:r>
        <w:rPr>
          <w:rFonts w:ascii="Times New Roman" w:hAnsi="Times New Roman" w:eastAsia="宋体" w:cs="Times New Roman"/>
          <w:bCs/>
          <w:szCs w:val="21"/>
        </w:rPr>
        <w:t>。</w:t>
      </w:r>
    </w:p>
    <w:p w14:paraId="17BC385B">
      <w:pPr>
        <w:spacing w:before="312" w:beforeLines="100" w:after="312" w:afterLines="100"/>
        <w:rPr>
          <w:rFonts w:ascii="黑体" w:hAnsi="黑体"/>
          <w:b/>
          <w:bCs/>
          <w:sz w:val="21"/>
          <w:szCs w:val="21"/>
        </w:rPr>
      </w:pPr>
      <w:bookmarkStart w:id="70" w:name="_Toc27539"/>
      <w:r>
        <w:rPr>
          <w:rFonts w:ascii="黑体" w:hAnsi="黑体" w:eastAsia="黑体"/>
          <w:bCs/>
          <w:szCs w:val="21"/>
        </w:rPr>
        <w:t xml:space="preserve">3 </w:t>
      </w:r>
      <w:r>
        <w:rPr>
          <w:rFonts w:hint="eastAsia" w:ascii="黑体" w:hAnsi="黑体" w:eastAsia="黑体"/>
          <w:bCs/>
          <w:szCs w:val="21"/>
        </w:rPr>
        <w:t>类器官基因组学鉴定</w:t>
      </w:r>
      <w:bookmarkEnd w:id="70"/>
    </w:p>
    <w:p w14:paraId="2ACAB9C6">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3.1</w:t>
      </w:r>
      <w:r>
        <w:rPr>
          <w:rFonts w:hint="eastAsia" w:ascii="黑体" w:hAnsi="黑体" w:eastAsia="黑体" w:cs="Times New Roman"/>
          <w:bCs/>
          <w:szCs w:val="21"/>
        </w:rPr>
        <w:t>类器官样本处理</w:t>
      </w:r>
    </w:p>
    <w:p w14:paraId="3E45BC0B">
      <w:pPr>
        <w:numPr>
          <w:ilvl w:val="0"/>
          <w:numId w:val="0"/>
        </w:num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3.1.1</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取200μ</w:t>
      </w:r>
      <w:r>
        <w:rPr>
          <w:rFonts w:hint="eastAsia" w:ascii="Times New Roman" w:hAnsi="Times New Roman" w:eastAsia="宋体" w:cs="Times New Roman"/>
          <w:bCs/>
          <w:szCs w:val="21"/>
        </w:rPr>
        <w:t>L</w:t>
      </w:r>
      <w:r>
        <w:rPr>
          <w:rFonts w:ascii="Times New Roman" w:hAnsi="Times New Roman" w:eastAsia="宋体" w:cs="Times New Roman"/>
          <w:bCs/>
          <w:szCs w:val="21"/>
        </w:rPr>
        <w:t>脑胶质瘤类器官样本至1.5mL EP管中，取之前将样本上下颠倒混匀。</w:t>
      </w:r>
    </w:p>
    <w:p w14:paraId="144BC70B">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3.1.2 </w:t>
      </w:r>
      <w:r>
        <w:rPr>
          <w:rFonts w:ascii="Times New Roman" w:hAnsi="Times New Roman" w:eastAsia="宋体" w:cs="Times New Roman"/>
          <w:bCs/>
          <w:szCs w:val="21"/>
        </w:rPr>
        <w:t>在样</w:t>
      </w:r>
      <w:r>
        <w:rPr>
          <w:rFonts w:hint="eastAsia" w:ascii="Times New Roman" w:hAnsi="Times New Roman" w:eastAsia="宋体" w:cs="Times New Roman"/>
          <w:bCs/>
          <w:szCs w:val="21"/>
        </w:rPr>
        <w:t>本</w:t>
      </w:r>
      <w:r>
        <w:rPr>
          <w:rFonts w:ascii="Times New Roman" w:hAnsi="Times New Roman" w:eastAsia="宋体" w:cs="Times New Roman"/>
          <w:bCs/>
          <w:szCs w:val="21"/>
        </w:rPr>
        <w:t>中加入500</w:t>
      </w:r>
      <w:bookmarkStart w:id="71" w:name="OLE_LINK8"/>
      <w:r>
        <w:rPr>
          <w:rFonts w:ascii="Times New Roman" w:hAnsi="Times New Roman" w:eastAsia="宋体" w:cs="Times New Roman"/>
          <w:bCs/>
          <w:szCs w:val="21"/>
        </w:rPr>
        <w:t>μ</w:t>
      </w:r>
      <w:bookmarkEnd w:id="71"/>
      <w:r>
        <w:rPr>
          <w:rFonts w:ascii="Times New Roman" w:hAnsi="Times New Roman" w:eastAsia="宋体" w:cs="Times New Roman"/>
          <w:bCs/>
          <w:szCs w:val="21"/>
        </w:rPr>
        <w:t>L的Buffer FLA，上下颠倒混匀10</w:t>
      </w:r>
      <w:r>
        <w:rPr>
          <w:rFonts w:hint="eastAsia" w:ascii="Times New Roman" w:hAnsi="Times New Roman" w:eastAsia="宋体" w:cs="Times New Roman"/>
          <w:bCs/>
          <w:szCs w:val="21"/>
        </w:rPr>
        <w:t>秒</w:t>
      </w:r>
      <w:r>
        <w:rPr>
          <w:rFonts w:ascii="Times New Roman" w:hAnsi="Times New Roman" w:eastAsia="宋体" w:cs="Times New Roman"/>
          <w:bCs/>
          <w:szCs w:val="21"/>
        </w:rPr>
        <w:t>，10000rpm室温离心1min，去除上清，留下细胞核沉淀。（如果裂解不彻底，出现分层，可再加入500μL的Buffer FLA重新裂解一次）</w:t>
      </w:r>
    </w:p>
    <w:p w14:paraId="3A1FAAB1">
      <w:pPr>
        <w:pStyle w:val="52"/>
        <w:numPr>
          <w:ilvl w:val="1"/>
          <w:numId w:val="2"/>
        </w:numPr>
        <w:spacing w:before="156" w:beforeLines="50" w:after="156" w:afterLines="50"/>
        <w:ind w:firstLineChars="0"/>
        <w:rPr>
          <w:rFonts w:ascii="黑体" w:hAnsi="黑体" w:eastAsia="黑体" w:cs="Times New Roman"/>
          <w:bCs/>
          <w:szCs w:val="21"/>
        </w:rPr>
      </w:pPr>
      <w:r>
        <w:rPr>
          <w:rFonts w:hint="eastAsia" w:ascii="Times New Roman" w:hAnsi="Times New Roman" w:eastAsia="黑体" w:cs="Times New Roman"/>
          <w:bCs/>
          <w:szCs w:val="21"/>
        </w:rPr>
        <w:t>类器官</w:t>
      </w:r>
      <w:r>
        <w:rPr>
          <w:rFonts w:ascii="Times New Roman" w:hAnsi="Times New Roman" w:eastAsia="黑体" w:cs="Times New Roman"/>
          <w:bCs/>
          <w:szCs w:val="21"/>
        </w:rPr>
        <w:t>DNA</w:t>
      </w:r>
      <w:r>
        <w:rPr>
          <w:rFonts w:hint="eastAsia" w:ascii="黑体" w:hAnsi="黑体" w:eastAsia="黑体" w:cs="Times New Roman"/>
          <w:bCs/>
          <w:szCs w:val="21"/>
        </w:rPr>
        <w:t>提取</w:t>
      </w:r>
    </w:p>
    <w:p w14:paraId="6BE41CE4">
      <w:pPr>
        <w:pStyle w:val="52"/>
        <w:numPr>
          <w:ilvl w:val="0"/>
          <w:numId w:val="0"/>
        </w:numPr>
        <w:spacing w:line="360" w:lineRule="auto"/>
        <w:ind w:left="0"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参考商品化试剂盒提取DNA，建议洗脱体积20ul左右，浓度在50ng/ul-200ng/ul</w:t>
      </w:r>
      <w:r>
        <w:rPr>
          <w:rFonts w:ascii="Times New Roman" w:hAnsi="Times New Roman" w:eastAsia="宋体" w:cs="Times New Roman"/>
          <w:bCs/>
          <w:szCs w:val="21"/>
        </w:rPr>
        <w:t>。</w:t>
      </w:r>
    </w:p>
    <w:p w14:paraId="293559CE">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3.3 </w:t>
      </w:r>
      <w:r>
        <w:rPr>
          <w:rFonts w:hint="eastAsia" w:ascii="黑体" w:hAnsi="黑体" w:eastAsia="黑体" w:cs="Times New Roman"/>
          <w:bCs/>
          <w:szCs w:val="21"/>
        </w:rPr>
        <w:t>类</w:t>
      </w:r>
      <w:r>
        <w:rPr>
          <w:rFonts w:hint="eastAsia" w:ascii="Times New Roman" w:hAnsi="Times New Roman" w:eastAsia="黑体" w:cs="Times New Roman"/>
          <w:bCs/>
          <w:szCs w:val="21"/>
        </w:rPr>
        <w:t>器官</w:t>
      </w:r>
      <w:r>
        <w:rPr>
          <w:rFonts w:ascii="Times New Roman" w:hAnsi="Times New Roman" w:eastAsia="黑体" w:cs="Times New Roman"/>
          <w:bCs/>
          <w:szCs w:val="21"/>
        </w:rPr>
        <w:t>DNA</w:t>
      </w:r>
      <w:r>
        <w:rPr>
          <w:rFonts w:hint="eastAsia" w:ascii="Times New Roman" w:hAnsi="Times New Roman" w:eastAsia="黑体" w:cs="Times New Roman"/>
          <w:bCs/>
          <w:szCs w:val="21"/>
        </w:rPr>
        <w:t>文库</w:t>
      </w:r>
      <w:r>
        <w:rPr>
          <w:rFonts w:hint="eastAsia" w:ascii="黑体" w:hAnsi="黑体" w:eastAsia="黑体" w:cs="Times New Roman"/>
          <w:bCs/>
          <w:szCs w:val="21"/>
        </w:rPr>
        <w:t>构建</w:t>
      </w:r>
    </w:p>
    <w:p w14:paraId="1750E8EA">
      <w:pPr>
        <w:spacing w:line="240" w:lineRule="auto"/>
        <w:rPr>
          <w:rFonts w:ascii="黑体" w:hAnsi="黑体" w:eastAsia="黑体" w:cs="Times New Roman"/>
          <w:bCs/>
          <w:szCs w:val="21"/>
        </w:rPr>
      </w:pPr>
      <w:r>
        <w:rPr>
          <w:rFonts w:ascii="黑体" w:hAnsi="黑体" w:eastAsia="黑体" w:cs="Times New Roman"/>
          <w:bCs/>
          <w:szCs w:val="21"/>
        </w:rPr>
        <w:t xml:space="preserve">3.3.1 </w:t>
      </w:r>
      <w:r>
        <w:rPr>
          <w:rFonts w:hint="eastAsia" w:ascii="黑体" w:hAnsi="黑体" w:eastAsia="黑体" w:cs="Times New Roman"/>
          <w:bCs/>
          <w:szCs w:val="21"/>
        </w:rPr>
        <w:t>片段化</w:t>
      </w:r>
    </w:p>
    <w:p w14:paraId="7EC2FACA">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将提取的基因组DNA用超声打断仪打断或者用酶切，将DNA片段化处理。</w:t>
      </w:r>
    </w:p>
    <w:p w14:paraId="0F34F0EC">
      <w:pPr>
        <w:spacing w:line="240" w:lineRule="auto"/>
        <w:rPr>
          <w:rFonts w:ascii="黑体" w:hAnsi="黑体" w:eastAsia="黑体" w:cs="Times New Roman"/>
          <w:bCs/>
          <w:szCs w:val="21"/>
        </w:rPr>
      </w:pPr>
      <w:r>
        <w:rPr>
          <w:rFonts w:ascii="黑体" w:hAnsi="黑体" w:eastAsia="黑体" w:cs="Times New Roman"/>
          <w:bCs/>
          <w:szCs w:val="21"/>
        </w:rPr>
        <w:t xml:space="preserve">3.3.2 </w:t>
      </w:r>
      <w:r>
        <w:rPr>
          <w:rFonts w:hint="eastAsia" w:ascii="黑体" w:hAnsi="黑体" w:eastAsia="黑体" w:cs="Times New Roman"/>
          <w:bCs/>
          <w:szCs w:val="21"/>
        </w:rPr>
        <w:t>末端修复</w:t>
      </w:r>
    </w:p>
    <w:p w14:paraId="191C181D">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DNA片段进行末端修复，向3’端加上腺嘌呤（A）尾巴，5’端磷酸化。</w:t>
      </w:r>
    </w:p>
    <w:p w14:paraId="37245AA5">
      <w:pPr>
        <w:spacing w:line="240" w:lineRule="auto"/>
        <w:rPr>
          <w:rFonts w:ascii="黑体" w:hAnsi="黑体" w:eastAsia="黑体" w:cs="Times New Roman"/>
          <w:bCs/>
          <w:szCs w:val="21"/>
        </w:rPr>
      </w:pPr>
      <w:r>
        <w:rPr>
          <w:rFonts w:ascii="黑体" w:hAnsi="黑体" w:eastAsia="黑体" w:cs="Times New Roman"/>
          <w:bCs/>
          <w:szCs w:val="21"/>
        </w:rPr>
        <w:t xml:space="preserve">3.3.3 </w:t>
      </w:r>
      <w:r>
        <w:rPr>
          <w:rFonts w:hint="eastAsia" w:ascii="黑体" w:hAnsi="黑体" w:eastAsia="黑体" w:cs="Times New Roman"/>
          <w:bCs/>
          <w:szCs w:val="21"/>
        </w:rPr>
        <w:t>接头连接</w:t>
      </w:r>
    </w:p>
    <w:p w14:paraId="65D5C668">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在DNA的两端连接上可以与测序芯片结合的接头。</w:t>
      </w:r>
    </w:p>
    <w:p w14:paraId="5529749F">
      <w:pPr>
        <w:spacing w:line="240" w:lineRule="auto"/>
        <w:ind w:firstLine="0" w:firstLineChars="0"/>
        <w:rPr>
          <w:rFonts w:ascii="黑体" w:hAnsi="黑体" w:eastAsia="黑体" w:cs="Times New Roman"/>
          <w:bCs/>
          <w:szCs w:val="21"/>
        </w:rPr>
      </w:pPr>
      <w:r>
        <w:rPr>
          <w:rFonts w:ascii="黑体" w:hAnsi="黑体" w:eastAsia="黑体" w:cs="Times New Roman"/>
          <w:bCs/>
          <w:szCs w:val="21"/>
        </w:rPr>
        <w:t xml:space="preserve">3.3.4 </w:t>
      </w:r>
      <w:r>
        <w:rPr>
          <w:rFonts w:hint="eastAsia" w:ascii="黑体" w:hAnsi="黑体" w:eastAsia="黑体" w:cs="Times New Roman"/>
          <w:bCs/>
          <w:szCs w:val="21"/>
        </w:rPr>
        <w:t>文</w:t>
      </w:r>
      <w:r>
        <w:rPr>
          <w:rFonts w:hint="eastAsia" w:ascii="Times New Roman" w:hAnsi="Times New Roman" w:eastAsia="黑体" w:cs="Times New Roman"/>
          <w:bCs/>
          <w:szCs w:val="21"/>
        </w:rPr>
        <w:t>库</w:t>
      </w:r>
      <w:r>
        <w:rPr>
          <w:rFonts w:ascii="Times New Roman" w:hAnsi="Times New Roman" w:eastAsia="黑体" w:cs="Times New Roman"/>
          <w:bCs/>
          <w:szCs w:val="21"/>
        </w:rPr>
        <w:t>PCR</w:t>
      </w:r>
      <w:r>
        <w:rPr>
          <w:rFonts w:hint="eastAsia" w:ascii="Times New Roman" w:hAnsi="Times New Roman" w:eastAsia="黑体" w:cs="Times New Roman"/>
          <w:bCs/>
          <w:szCs w:val="21"/>
        </w:rPr>
        <w:t>富集及</w:t>
      </w:r>
      <w:r>
        <w:rPr>
          <w:rFonts w:ascii="Times New Roman" w:hAnsi="Times New Roman" w:eastAsia="黑体" w:cs="Times New Roman"/>
          <w:bCs/>
          <w:szCs w:val="21"/>
        </w:rPr>
        <w:t>PCR</w:t>
      </w:r>
      <w:r>
        <w:rPr>
          <w:rFonts w:hint="eastAsia" w:ascii="Times New Roman" w:hAnsi="Times New Roman" w:eastAsia="黑体" w:cs="Times New Roman"/>
          <w:bCs/>
          <w:szCs w:val="21"/>
        </w:rPr>
        <w:t>产物纯</w:t>
      </w:r>
      <w:r>
        <w:rPr>
          <w:rFonts w:hint="eastAsia" w:ascii="黑体" w:hAnsi="黑体" w:eastAsia="黑体" w:cs="Times New Roman"/>
          <w:bCs/>
          <w:szCs w:val="21"/>
        </w:rPr>
        <w:t>化。</w:t>
      </w:r>
    </w:p>
    <w:p w14:paraId="438BC3C8">
      <w:pPr>
        <w:spacing w:line="240" w:lineRule="auto"/>
        <w:rPr>
          <w:rFonts w:ascii="黑体" w:hAnsi="黑体" w:eastAsia="黑体" w:cs="Times New Roman"/>
          <w:bCs/>
          <w:szCs w:val="21"/>
        </w:rPr>
      </w:pPr>
      <w:r>
        <w:rPr>
          <w:rFonts w:ascii="黑体" w:hAnsi="黑体" w:eastAsia="黑体" w:cs="Times New Roman"/>
          <w:bCs/>
          <w:szCs w:val="21"/>
        </w:rPr>
        <w:t xml:space="preserve">3.3.5 </w:t>
      </w:r>
      <w:r>
        <w:rPr>
          <w:rFonts w:hint="eastAsia" w:ascii="黑体" w:hAnsi="黑体" w:eastAsia="黑体" w:cs="Times New Roman"/>
          <w:bCs/>
          <w:szCs w:val="21"/>
        </w:rPr>
        <w:t>文库质检</w:t>
      </w:r>
    </w:p>
    <w:p w14:paraId="326BE6BB">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使用Qubit测定文库浓度进行质检，产物总量高于300ng以上合格；DNA片段集中在200bp-400bp，且无明显杂峰，无大量小片段及大片段，则文库合格。</w:t>
      </w:r>
    </w:p>
    <w:p w14:paraId="707F6E25">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3.4 </w:t>
      </w:r>
      <w:r>
        <w:rPr>
          <w:rFonts w:hint="eastAsia" w:ascii="黑体" w:hAnsi="黑体" w:eastAsia="黑体" w:cs="Times New Roman"/>
          <w:bCs/>
          <w:szCs w:val="21"/>
        </w:rPr>
        <w:t>杂交</w:t>
      </w:r>
    </w:p>
    <w:p w14:paraId="63B175F4">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3.4.1 </w:t>
      </w:r>
      <w:r>
        <w:rPr>
          <w:rFonts w:ascii="Times New Roman" w:hAnsi="Times New Roman" w:eastAsia="宋体" w:cs="Times New Roman"/>
          <w:bCs/>
          <w:szCs w:val="21"/>
        </w:rPr>
        <w:t>对文库进行杂交封闭，真空浓缩。</w:t>
      </w:r>
    </w:p>
    <w:p w14:paraId="2A06FCDD">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3.4.2 </w:t>
      </w:r>
      <w:r>
        <w:rPr>
          <w:rFonts w:ascii="Times New Roman" w:hAnsi="Times New Roman" w:eastAsia="宋体" w:cs="Times New Roman"/>
          <w:bCs/>
          <w:szCs w:val="21"/>
        </w:rPr>
        <w:t>在浓缩后的文库加入杂交缓冲液以及杂交探针，进行文库杂交捕获。</w:t>
      </w:r>
    </w:p>
    <w:p w14:paraId="691F815A">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3.4.3 </w:t>
      </w:r>
      <w:r>
        <w:rPr>
          <w:rFonts w:ascii="Times New Roman" w:hAnsi="Times New Roman" w:eastAsia="宋体" w:cs="Times New Roman"/>
          <w:bCs/>
          <w:szCs w:val="21"/>
        </w:rPr>
        <w:t>然后用配制好的洗脱液，准备链霉亲和素磁珠。</w:t>
      </w:r>
    </w:p>
    <w:p w14:paraId="78B23614">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3.4.4 </w:t>
      </w:r>
      <w:r>
        <w:rPr>
          <w:rFonts w:ascii="Times New Roman" w:hAnsi="Times New Roman" w:eastAsia="宋体" w:cs="Times New Roman"/>
          <w:bCs/>
          <w:szCs w:val="21"/>
        </w:rPr>
        <w:t>文库与链霉亲和素磁珠结合。</w:t>
      </w:r>
    </w:p>
    <w:p w14:paraId="67D19C0B">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3.4.5 </w:t>
      </w:r>
      <w:r>
        <w:rPr>
          <w:rFonts w:ascii="Times New Roman" w:hAnsi="Times New Roman" w:eastAsia="宋体" w:cs="Times New Roman"/>
          <w:bCs/>
          <w:szCs w:val="21"/>
        </w:rPr>
        <w:t>使用提前配制好的洗脱液洗脱未结合DNA。</w:t>
      </w:r>
    </w:p>
    <w:p w14:paraId="6F5C38B8">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3.4.6 </w:t>
      </w:r>
      <w:r>
        <w:rPr>
          <w:rFonts w:ascii="Times New Roman" w:hAnsi="Times New Roman" w:eastAsia="宋体" w:cs="Times New Roman"/>
          <w:bCs/>
          <w:szCs w:val="21"/>
        </w:rPr>
        <w:t>接着将捕获文库的PCR富集，富集后将PCR产物纯化。</w:t>
      </w:r>
    </w:p>
    <w:p w14:paraId="3FF8EC2C">
      <w:pPr>
        <w:spacing w:line="240" w:lineRule="auto"/>
        <w:ind w:firstLine="0" w:firstLineChars="0"/>
        <w:rPr>
          <w:rFonts w:ascii="Times New Roman" w:hAnsi="Times New Roman" w:eastAsia="宋体" w:cs="Times New Roman"/>
          <w:bCs/>
          <w:szCs w:val="21"/>
        </w:rPr>
      </w:pPr>
      <w:r>
        <w:rPr>
          <w:rFonts w:ascii="黑体" w:hAnsi="黑体" w:eastAsia="黑体" w:cs="Times New Roman"/>
          <w:bCs/>
          <w:szCs w:val="21"/>
        </w:rPr>
        <w:t xml:space="preserve">3.4.7 </w:t>
      </w:r>
      <w:r>
        <w:rPr>
          <w:rFonts w:ascii="Times New Roman" w:hAnsi="Times New Roman" w:eastAsia="宋体" w:cs="Times New Roman"/>
          <w:bCs/>
          <w:szCs w:val="21"/>
        </w:rPr>
        <w:t>质检：使用Qubit测定文库浓度，浓度不低于1ng/μL，则为合格。</w:t>
      </w:r>
    </w:p>
    <w:p w14:paraId="4B891B3E">
      <w:pPr>
        <w:spacing w:before="156" w:beforeLines="50" w:after="156" w:afterLines="50" w:line="240" w:lineRule="auto"/>
        <w:ind w:firstLine="0" w:firstLineChars="0"/>
        <w:rPr>
          <w:rFonts w:ascii="黑体" w:hAnsi="黑体" w:eastAsia="黑体" w:cs="Times New Roman"/>
          <w:bCs/>
          <w:szCs w:val="21"/>
        </w:rPr>
      </w:pPr>
      <w:r>
        <w:rPr>
          <w:rFonts w:ascii="黑体" w:hAnsi="黑体" w:eastAsia="黑体" w:cs="Times New Roman"/>
          <w:bCs/>
          <w:szCs w:val="21"/>
        </w:rPr>
        <w:t xml:space="preserve">3.5 </w:t>
      </w:r>
      <w:r>
        <w:rPr>
          <w:rFonts w:hint="eastAsia" w:ascii="黑体" w:hAnsi="黑体" w:eastAsia="黑体" w:cs="Times New Roman"/>
          <w:bCs/>
          <w:szCs w:val="21"/>
        </w:rPr>
        <w:t>类器官分子分型鉴定</w:t>
      </w:r>
    </w:p>
    <w:p w14:paraId="65E6E965">
      <w:pPr>
        <w:spacing w:line="24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对于脑胶质瘤而言，建议分为多种亚型，包括星形细胞脑胶质瘤、弥漫性胶质母细胞瘤、少突胶质细胞瘤等。这些亚型可以通过检测肿瘤细胞中的分子标记物来进行鉴定：星形细胞脑胶质瘤（IDH1、ATRX、p53），弥漫性胶质母细胞瘤（1p/19q染色体缺失、IDH1、MGMT甲基化），少突胶质细胞瘤（BRAF V600E、FGFR1基因重排），短暂性胶质细胞增生症（BRAF V600E、CDKN2A）。</w:t>
      </w:r>
    </w:p>
    <w:p w14:paraId="4CEED18C">
      <w:pPr>
        <w:widowControl w:val="0"/>
        <w:ind w:firstLine="420" w:firstLineChars="200"/>
        <w:jc w:val="both"/>
        <w:rPr>
          <w:rFonts w:hint="eastAsia" w:ascii="宋体" w:hAnsi="宋体" w:eastAsia="宋体" w:cs="Times New Roman"/>
          <w:bCs/>
          <w:szCs w:val="21"/>
        </w:rPr>
      </w:pPr>
      <w:r>
        <w:rPr>
          <w:rFonts w:ascii="Times New Roman" w:hAnsi="Times New Roman" w:eastAsia="宋体" w:cs="Times New Roman"/>
          <w:bCs/>
          <w:szCs w:val="21"/>
        </w:rPr>
        <w:t>此外，针对脑胶质瘤类器官的鉴定，可以将正常脑组织分为神经元和神经胶质细胞两个主要谱系。神经胶质细胞又可分为多个亚型，包括少突胶质细胞、星形胶质细胞和寡突胶质细胞等。在脑胶质瘤类器官中，通常会检测神经干细胞标记物CD133、CD15和CD44等，以及神经胶质细胞标记物GFAP和S100B等。以上识别脑胶质瘤或者正常脑胶质细胞的生物标志物均可用于分子层面的鉴定，包括但不限于RNA-seq或者荧光定量PCR实验用于检测目标基因的转录水平变化，免疫印迹实验用于检测目标蛋白表达水平变化等。</w:t>
      </w:r>
    </w:p>
    <w:p w14:paraId="00E9BA5C">
      <w:pPr>
        <w:widowControl/>
        <w:jc w:val="both"/>
        <w:rPr>
          <w:rFonts w:hint="eastAsia" w:ascii="宋体" w:hAnsi="宋体" w:eastAsia="宋体" w:cs="Times New Roman"/>
          <w:bCs/>
          <w:szCs w:val="21"/>
        </w:rPr>
      </w:pPr>
      <w:r>
        <w:rPr>
          <w:rFonts w:ascii="宋体" w:hAnsi="宋体" w:eastAsia="宋体" w:cs="Times New Roman"/>
          <w:bCs/>
          <w:szCs w:val="21"/>
        </w:rPr>
        <w:br w:type="page"/>
      </w:r>
    </w:p>
    <w:p w14:paraId="6DF74021">
      <w:pPr>
        <w:pStyle w:val="2"/>
        <w:spacing w:before="0" w:after="0" w:line="240" w:lineRule="auto"/>
        <w:jc w:val="center"/>
        <w:rPr>
          <w:rFonts w:hint="eastAsia" w:ascii="黑体" w:hAnsi="黑体" w:eastAsia="黑体"/>
          <w:b w:val="0"/>
          <w:bCs/>
          <w:sz w:val="21"/>
          <w:szCs w:val="21"/>
        </w:rPr>
      </w:pPr>
      <w:bookmarkStart w:id="72" w:name="_Toc25726"/>
      <w:bookmarkStart w:id="73" w:name="_Toc27332"/>
      <w:r>
        <w:rPr>
          <w:rFonts w:hint="eastAsia" w:ascii="黑体" w:hAnsi="黑体" w:eastAsia="黑体"/>
          <w:b w:val="0"/>
          <w:bCs/>
          <w:sz w:val="21"/>
          <w:szCs w:val="21"/>
        </w:rPr>
        <w:t>参  考  文  献</w:t>
      </w:r>
      <w:bookmarkEnd w:id="72"/>
      <w:bookmarkEnd w:id="73"/>
    </w:p>
    <w:p w14:paraId="352EF4BA">
      <w:pPr>
        <w:rPr>
          <w:rFonts w:hint="eastAsia" w:ascii="Times New Roman" w:hAnsi="Times New Roman" w:eastAsia="宋体" w:cs="Times New Roman"/>
        </w:rPr>
      </w:pPr>
    </w:p>
    <w:p w14:paraId="416433BA">
      <w:pPr>
        <w:pStyle w:val="19"/>
        <w:spacing w:line="240" w:lineRule="auto"/>
        <w:rPr>
          <w:rFonts w:ascii="Times New Roman" w:hAnsi="Times New Roman" w:eastAsia="宋体" w:cs="Times New Roman"/>
        </w:rPr>
      </w:pPr>
      <w:r>
        <w:rPr>
          <w:rFonts w:ascii="Times New Roman" w:hAnsi="Times New Roman" w:eastAsia="宋体" w:cs="Times New Roman"/>
        </w:rPr>
        <w:t xml:space="preserve">[1] </w:t>
      </w:r>
      <w:r>
        <w:rPr>
          <w:rFonts w:hint="eastAsia" w:ascii="Times New Roman" w:hAnsi="Times New Roman" w:eastAsia="宋体" w:cs="Times New Roman"/>
        </w:rPr>
        <w:t>中华人民共和国国务院</w:t>
      </w:r>
      <w:r>
        <w:rPr>
          <w:rFonts w:ascii="Times New Roman" w:hAnsi="Times New Roman" w:eastAsia="宋体" w:cs="Times New Roman"/>
        </w:rPr>
        <w:t>.</w:t>
      </w:r>
      <w:r>
        <w:rPr>
          <w:rFonts w:hint="eastAsia" w:ascii="Times New Roman" w:hAnsi="Times New Roman" w:eastAsia="宋体" w:cs="Times New Roman"/>
        </w:rPr>
        <w:t>《中华人民共和国人类遗传资源管理条例》（中华人民共和国国务院令第</w:t>
      </w:r>
      <w:r>
        <w:rPr>
          <w:rFonts w:ascii="Times New Roman" w:hAnsi="Times New Roman" w:eastAsia="宋体" w:cs="Times New Roman"/>
        </w:rPr>
        <w:t>717</w:t>
      </w:r>
      <w:r>
        <w:rPr>
          <w:rFonts w:hint="eastAsia" w:ascii="Times New Roman" w:hAnsi="Times New Roman" w:eastAsia="宋体" w:cs="Times New Roman"/>
        </w:rPr>
        <w:t>号</w:t>
      </w:r>
    </w:p>
    <w:p w14:paraId="3C2140DC">
      <w:pPr>
        <w:pStyle w:val="19"/>
        <w:spacing w:line="240" w:lineRule="auto"/>
        <w:rPr>
          <w:rFonts w:ascii="Times New Roman" w:hAnsi="Times New Roman" w:eastAsia="宋体" w:cs="Times New Roman"/>
        </w:rPr>
      </w:pPr>
      <w:r>
        <w:rPr>
          <w:rFonts w:hint="eastAsia" w:ascii="Times New Roman" w:hAnsi="Times New Roman" w:eastAsia="宋体" w:cs="Times New Roman"/>
        </w:rPr>
        <w:t>[2] T∕CSCB 0001-2020 干细胞通用要求</w:t>
      </w:r>
    </w:p>
    <w:p w14:paraId="62C20D0A">
      <w:pPr>
        <w:pStyle w:val="19"/>
        <w:spacing w:line="240" w:lineRule="auto"/>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中国抗癌协会脑胶质瘤专业委员会</w:t>
      </w:r>
      <w:r>
        <w:rPr>
          <w:rFonts w:ascii="Times New Roman" w:hAnsi="Times New Roman" w:eastAsia="宋体" w:cs="Times New Roman"/>
        </w:rPr>
        <w:t xml:space="preserve">. </w:t>
      </w:r>
      <w:r>
        <w:rPr>
          <w:rFonts w:hint="eastAsia" w:ascii="Times New Roman" w:hAnsi="Times New Roman" w:eastAsia="宋体" w:cs="Times New Roman"/>
        </w:rPr>
        <w:t>中国抗癌协会脑胶质瘤整合诊治指南（精简版）</w:t>
      </w:r>
      <w:r>
        <w:rPr>
          <w:rFonts w:ascii="Times New Roman" w:hAnsi="Times New Roman" w:eastAsia="宋体" w:cs="Times New Roman"/>
        </w:rPr>
        <w:t xml:space="preserve">[J]. </w:t>
      </w:r>
      <w:r>
        <w:rPr>
          <w:rFonts w:hint="eastAsia" w:ascii="Times New Roman" w:hAnsi="Times New Roman" w:eastAsia="宋体" w:cs="Times New Roman"/>
        </w:rPr>
        <w:t>中国肿瘤临床</w:t>
      </w:r>
      <w:r>
        <w:rPr>
          <w:rFonts w:ascii="Times New Roman" w:hAnsi="Times New Roman" w:eastAsia="宋体" w:cs="Times New Roman"/>
        </w:rPr>
        <w:t>, 2022, 49(16): 811-818.</w:t>
      </w:r>
    </w:p>
    <w:p w14:paraId="497B1FA9">
      <w:pPr>
        <w:pStyle w:val="19"/>
        <w:spacing w:line="240" w:lineRule="auto"/>
        <w:rPr>
          <w:rFonts w:ascii="Times New Roman" w:hAnsi="Times New Roman" w:eastAsia="宋体" w:cs="Times New Roman"/>
        </w:rPr>
      </w:pPr>
      <w:r>
        <w:rPr>
          <w:rFonts w:ascii="Times New Roman" w:hAnsi="Times New Roman" w:eastAsia="宋体" w:cs="Times New Roman"/>
        </w:rPr>
        <w:t xml:space="preserve">[4] </w:t>
      </w:r>
      <w:r>
        <w:rPr>
          <w:rFonts w:hint="eastAsia" w:ascii="Times New Roman" w:hAnsi="Times New Roman" w:eastAsia="宋体" w:cs="Times New Roman"/>
        </w:rPr>
        <w:t>中国抗癌协会肿瘤多学科诊疗专业委员会</w:t>
      </w:r>
      <w:r>
        <w:rPr>
          <w:rFonts w:ascii="Times New Roman" w:hAnsi="Times New Roman" w:eastAsia="宋体" w:cs="Times New Roman"/>
        </w:rPr>
        <w:t xml:space="preserve">, </w:t>
      </w:r>
      <w:r>
        <w:rPr>
          <w:rFonts w:hint="eastAsia" w:ascii="Times New Roman" w:hAnsi="Times New Roman" w:eastAsia="宋体" w:cs="Times New Roman"/>
        </w:rPr>
        <w:t>中国抗癌协会肿瘤内分泌专业委员会</w:t>
      </w:r>
      <w:r>
        <w:rPr>
          <w:rFonts w:ascii="Times New Roman" w:hAnsi="Times New Roman" w:eastAsia="宋体" w:cs="Times New Roman"/>
        </w:rPr>
        <w:t xml:space="preserve">. </w:t>
      </w:r>
      <w:r>
        <w:rPr>
          <w:rFonts w:hint="eastAsia" w:ascii="Times New Roman" w:hAnsi="Times New Roman" w:eastAsia="宋体" w:cs="Times New Roman"/>
        </w:rPr>
        <w:t>肿瘤类器官诊治平台的质量控制标准中国专家共识</w:t>
      </w:r>
      <w:r>
        <w:rPr>
          <w:rFonts w:ascii="Times New Roman" w:hAnsi="Times New Roman" w:eastAsia="宋体" w:cs="Times New Roman"/>
        </w:rPr>
        <w:t>(2022</w:t>
      </w:r>
      <w:r>
        <w:rPr>
          <w:rFonts w:hint="eastAsia" w:ascii="Times New Roman" w:hAnsi="Times New Roman" w:eastAsia="宋体" w:cs="Times New Roman"/>
        </w:rPr>
        <w:t>年版</w:t>
      </w:r>
      <w:r>
        <w:rPr>
          <w:rFonts w:ascii="Times New Roman" w:hAnsi="Times New Roman" w:eastAsia="宋体" w:cs="Times New Roman"/>
        </w:rPr>
        <w:t xml:space="preserve">)[J]. </w:t>
      </w:r>
      <w:r>
        <w:rPr>
          <w:rFonts w:hint="eastAsia" w:ascii="Times New Roman" w:hAnsi="Times New Roman" w:eastAsia="宋体" w:cs="Times New Roman"/>
        </w:rPr>
        <w:t>中国癌症杂志</w:t>
      </w:r>
      <w:r>
        <w:rPr>
          <w:rFonts w:ascii="Times New Roman" w:hAnsi="Times New Roman" w:eastAsia="宋体" w:cs="Times New Roman"/>
        </w:rPr>
        <w:t>, 2022, 32(7):657-668</w:t>
      </w:r>
    </w:p>
    <w:p w14:paraId="137A66DF">
      <w:pPr>
        <w:pStyle w:val="19"/>
        <w:spacing w:line="240" w:lineRule="auto"/>
        <w:rPr>
          <w:rFonts w:ascii="Times New Roman" w:hAnsi="Times New Roman" w:eastAsia="宋体" w:cs="Times New Roman"/>
        </w:rPr>
      </w:pPr>
      <w:r>
        <w:rPr>
          <w:rFonts w:ascii="Times New Roman" w:hAnsi="Times New Roman" w:eastAsia="宋体" w:cs="Times New Roman"/>
        </w:rPr>
        <w:t>[5] </w:t>
      </w:r>
      <w:r>
        <w:rPr>
          <w:rFonts w:hint="eastAsia" w:ascii="Times New Roman" w:hAnsi="Times New Roman" w:eastAsia="宋体" w:cs="Times New Roman"/>
        </w:rPr>
        <w:t>国家卫生健康委员会医政医管局</w:t>
      </w:r>
      <w:r>
        <w:rPr>
          <w:rFonts w:ascii="Times New Roman" w:hAnsi="Times New Roman" w:eastAsia="宋体" w:cs="Times New Roman"/>
        </w:rPr>
        <w:t xml:space="preserve">. </w:t>
      </w:r>
      <w:r>
        <w:rPr>
          <w:rFonts w:hint="eastAsia" w:ascii="Times New Roman" w:hAnsi="Times New Roman" w:eastAsia="宋体" w:cs="Times New Roman"/>
        </w:rPr>
        <w:t>脑胶质瘤诊疗规范</w:t>
      </w:r>
      <w:r>
        <w:rPr>
          <w:rFonts w:ascii="Times New Roman" w:hAnsi="Times New Roman" w:eastAsia="宋体" w:cs="Times New Roman"/>
        </w:rPr>
        <w:t>(2018</w:t>
      </w:r>
      <w:r>
        <w:rPr>
          <w:rFonts w:hint="eastAsia" w:ascii="Times New Roman" w:hAnsi="Times New Roman" w:eastAsia="宋体" w:cs="Times New Roman"/>
        </w:rPr>
        <w:t>年版</w:t>
      </w:r>
      <w:r>
        <w:rPr>
          <w:rFonts w:ascii="Times New Roman" w:hAnsi="Times New Roman" w:eastAsia="宋体" w:cs="Times New Roman"/>
        </w:rPr>
        <w:t xml:space="preserve">)[J]. </w:t>
      </w:r>
      <w:r>
        <w:rPr>
          <w:rFonts w:hint="eastAsia" w:ascii="Times New Roman" w:hAnsi="Times New Roman" w:eastAsia="宋体" w:cs="Times New Roman"/>
        </w:rPr>
        <w:t>中华神经外科杂志</w:t>
      </w:r>
      <w:r>
        <w:rPr>
          <w:rFonts w:ascii="Times New Roman" w:hAnsi="Times New Roman" w:eastAsia="宋体" w:cs="Times New Roman"/>
        </w:rPr>
        <w:t>, 2019, 35(3): 217-239. [Medical administration of National Health Commission. Standard for diagnosis and treatment of glioma(2018)[J]. Zhonghua Shen Jing Wai Ke Za Zhi, 2019, 35(3): 217-239.</w:t>
      </w:r>
    </w:p>
    <w:p w14:paraId="59C92FA2">
      <w:pPr>
        <w:pStyle w:val="19"/>
        <w:spacing w:line="240" w:lineRule="auto"/>
        <w:rPr>
          <w:rFonts w:ascii="Times New Roman" w:hAnsi="Times New Roman" w:eastAsia="宋体" w:cs="Times New Roman"/>
        </w:rPr>
      </w:pPr>
      <w:commentRangeStart w:id="2"/>
      <w:r>
        <w:rPr>
          <w:rFonts w:ascii="Times New Roman" w:hAnsi="Times New Roman" w:eastAsia="宋体" w:cs="Times New Roman"/>
        </w:rPr>
        <w:t>[6]</w:t>
      </w:r>
      <w:r>
        <w:rPr>
          <w:rFonts w:hint="eastAsia" w:ascii="Times New Roman" w:hAnsi="Times New Roman" w:eastAsia="宋体" w:cs="Times New Roman"/>
        </w:rPr>
        <w:t>《药物临床试验质量管理规范》</w:t>
      </w:r>
    </w:p>
    <w:p w14:paraId="163543A7">
      <w:pPr>
        <w:pStyle w:val="19"/>
        <w:spacing w:line="240" w:lineRule="auto"/>
        <w:rPr>
          <w:rFonts w:ascii="Times New Roman" w:hAnsi="Times New Roman" w:eastAsia="宋体" w:cs="Times New Roman"/>
        </w:rPr>
      </w:pPr>
      <w:r>
        <w:rPr>
          <w:rFonts w:ascii="Times New Roman" w:hAnsi="Times New Roman" w:eastAsia="宋体" w:cs="Times New Roman"/>
        </w:rPr>
        <w:t>[7]</w:t>
      </w:r>
      <w:r>
        <w:rPr>
          <w:rFonts w:hint="eastAsia" w:ascii="Times New Roman" w:hAnsi="Times New Roman" w:eastAsia="宋体" w:cs="Times New Roman"/>
        </w:rPr>
        <w:t>《中华人民共和国药典》</w:t>
      </w:r>
    </w:p>
    <w:p w14:paraId="1471236E">
      <w:pPr>
        <w:pStyle w:val="19"/>
        <w:spacing w:line="240" w:lineRule="auto"/>
        <w:rPr>
          <w:rFonts w:ascii="Times New Roman" w:hAnsi="Times New Roman" w:eastAsia="宋体" w:cs="Times New Roman"/>
        </w:rPr>
      </w:pPr>
      <w:r>
        <w:rPr>
          <w:rFonts w:ascii="Times New Roman" w:hAnsi="Times New Roman" w:eastAsia="宋体" w:cs="Times New Roman"/>
        </w:rPr>
        <w:t>[8]</w:t>
      </w:r>
      <w:r>
        <w:rPr>
          <w:rFonts w:hint="eastAsia" w:ascii="Times New Roman" w:hAnsi="Times New Roman" w:eastAsia="宋体" w:cs="Times New Roman"/>
        </w:rPr>
        <w:t>《全国临床检验操作规程》</w:t>
      </w:r>
      <w:commentRangeEnd w:id="2"/>
      <w:r>
        <w:rPr>
          <w:rStyle w:val="18"/>
          <w:rFonts w:hint="eastAsia" w:ascii="Times New Roman" w:hAnsi="Times New Roman" w:eastAsia="宋体" w:cs="Times New Roman"/>
        </w:rPr>
        <w:commentReference w:id="2"/>
      </w:r>
    </w:p>
    <w:p w14:paraId="5368EA8F">
      <w:pPr>
        <w:pStyle w:val="19"/>
        <w:spacing w:line="240" w:lineRule="auto"/>
        <w:rPr>
          <w:rFonts w:ascii="Times New Roman" w:hAnsi="Times New Roman" w:eastAsia="宋体" w:cs="Times New Roman"/>
          <w:lang w:val="fr-FR"/>
        </w:rPr>
      </w:pPr>
      <w:r>
        <w:rPr>
          <w:rFonts w:ascii="Times New Roman" w:hAnsi="Times New Roman" w:eastAsia="宋体" w:cs="Times New Roman"/>
          <w:lang w:val="nl-NL"/>
        </w:rPr>
        <w:t xml:space="preserve">[9] Jiang T, Mao Y, Ma W, et al. </w:t>
      </w:r>
      <w:r>
        <w:rPr>
          <w:rFonts w:ascii="Times New Roman" w:hAnsi="Times New Roman" w:eastAsia="宋体" w:cs="Times New Roman"/>
        </w:rPr>
        <w:t xml:space="preserve">CGCG clinical practice guidelines for the management of adult diffuse gliomas[J]. </w:t>
      </w:r>
      <w:r>
        <w:rPr>
          <w:rFonts w:ascii="Times New Roman" w:hAnsi="Times New Roman" w:eastAsia="宋体" w:cs="Times New Roman"/>
          <w:lang w:val="fr-FR"/>
        </w:rPr>
        <w:t>Cancer Lett, 2016,375(2): 263-273.</w:t>
      </w:r>
    </w:p>
    <w:p w14:paraId="7AFB413E">
      <w:pPr>
        <w:pStyle w:val="19"/>
        <w:spacing w:line="240" w:lineRule="auto"/>
        <w:rPr>
          <w:rFonts w:ascii="Times New Roman" w:hAnsi="Times New Roman" w:eastAsia="宋体" w:cs="Times New Roman"/>
        </w:rPr>
      </w:pPr>
      <w:r>
        <w:rPr>
          <w:rFonts w:ascii="Times New Roman" w:hAnsi="Times New Roman" w:eastAsia="宋体" w:cs="Times New Roman"/>
          <w:lang w:val="fr-FR"/>
        </w:rPr>
        <w:t xml:space="preserve">[10] Pace A, Dirven L, Koekkoek JAF, et al. </w:t>
      </w:r>
      <w:r>
        <w:rPr>
          <w:rFonts w:ascii="Times New Roman" w:hAnsi="Times New Roman" w:eastAsia="宋体" w:cs="Times New Roman"/>
        </w:rPr>
        <w:t>European Association for Neuro-Oncology (EANO) guidelines for palliative care in adults with glioma[J]. Lancet Oncol, 2017,18(6): e330-e340.</w:t>
      </w:r>
    </w:p>
    <w:p w14:paraId="1402EACD">
      <w:pPr>
        <w:pStyle w:val="19"/>
        <w:spacing w:line="240" w:lineRule="auto"/>
        <w:rPr>
          <w:rFonts w:ascii="Times New Roman" w:hAnsi="Times New Roman" w:eastAsia="宋体" w:cs="Times New Roman"/>
        </w:rPr>
      </w:pPr>
      <w:r>
        <w:rPr>
          <w:rFonts w:ascii="Times New Roman" w:hAnsi="Times New Roman" w:eastAsia="宋体" w:cs="Times New Roman"/>
        </w:rPr>
        <w:t>[11] Tuveson D, Clevers H. Cancer modeling meets human organoid technology. Science. 2019,364(6444):952-955.</w:t>
      </w:r>
    </w:p>
    <w:p w14:paraId="4EF676F0">
      <w:pPr>
        <w:pStyle w:val="19"/>
        <w:spacing w:line="240" w:lineRule="auto"/>
        <w:rPr>
          <w:rFonts w:ascii="Times New Roman" w:hAnsi="Times New Roman" w:eastAsia="宋体" w:cs="Times New Roman"/>
        </w:rPr>
      </w:pPr>
      <w:r>
        <w:rPr>
          <w:rFonts w:ascii="Times New Roman" w:hAnsi="Times New Roman" w:eastAsia="宋体" w:cs="Times New Roman"/>
        </w:rPr>
        <w:t>[12] Mollica PA, Booth-Creech EN, Reid JA, et al. 3D bioprinted mammary organoids and tumoroids in human mammary derived ECM hydrogels. Acta Biomater. 2019,95</w:t>
      </w:r>
      <w:commentRangeStart w:id="3"/>
      <w:r>
        <w:rPr>
          <w:rFonts w:ascii="Times New Roman" w:hAnsi="Times New Roman" w:eastAsia="宋体" w:cs="Times New Roman"/>
        </w:rPr>
        <w:t>(?):</w:t>
      </w:r>
      <w:commentRangeEnd w:id="3"/>
      <w:r>
        <w:rPr>
          <w:rStyle w:val="18"/>
          <w:rFonts w:hint="eastAsia" w:ascii="Times New Roman" w:hAnsi="Times New Roman" w:eastAsia="宋体" w:cs="Times New Roman"/>
        </w:rPr>
        <w:commentReference w:id="3"/>
      </w:r>
      <w:r>
        <w:rPr>
          <w:rFonts w:ascii="Times New Roman" w:hAnsi="Times New Roman" w:eastAsia="宋体" w:cs="Times New Roman"/>
        </w:rPr>
        <w:t>201-213.</w:t>
      </w:r>
    </w:p>
    <w:p w14:paraId="603DC56E">
      <w:pPr>
        <w:pStyle w:val="19"/>
        <w:spacing w:line="240" w:lineRule="auto"/>
        <w:rPr>
          <w:rFonts w:ascii="Times New Roman" w:hAnsi="Times New Roman" w:eastAsia="宋体" w:cs="Times New Roman"/>
        </w:rPr>
      </w:pPr>
      <w:r>
        <w:rPr>
          <w:rFonts w:ascii="Times New Roman" w:hAnsi="Times New Roman" w:eastAsia="宋体" w:cs="Times New Roman"/>
        </w:rPr>
        <w:t>[13] Yan H, Parsons DW, Jin G, et al. IDH1 and IDH2 mutations in gliomas. N Engl J Med. 2009 Feb 19,360(8):765-73.</w:t>
      </w:r>
    </w:p>
    <w:p w14:paraId="3CCBEA8C">
      <w:pPr>
        <w:pStyle w:val="19"/>
        <w:spacing w:line="240" w:lineRule="auto"/>
        <w:rPr>
          <w:rFonts w:ascii="Times New Roman" w:hAnsi="Times New Roman" w:eastAsia="宋体" w:cs="Times New Roman"/>
        </w:rPr>
      </w:pPr>
      <w:r>
        <w:rPr>
          <w:rFonts w:ascii="Times New Roman" w:hAnsi="Times New Roman" w:eastAsia="宋体" w:cs="Times New Roman"/>
        </w:rPr>
        <w:t>[14] Deng L, Xiong P, Luo Y, et al. Association between IDH1/2 mutations and brain glioma grade. Oncol Lett. 2018,16(4):5405-5409.</w:t>
      </w:r>
    </w:p>
    <w:p w14:paraId="75F1D1AD">
      <w:pPr>
        <w:pStyle w:val="19"/>
        <w:spacing w:line="240" w:lineRule="auto"/>
        <w:rPr>
          <w:rFonts w:ascii="Times New Roman" w:hAnsi="Times New Roman" w:eastAsia="宋体" w:cs="Times New Roman"/>
        </w:rPr>
      </w:pPr>
      <w:r>
        <w:rPr>
          <w:rFonts w:ascii="Times New Roman" w:hAnsi="Times New Roman" w:eastAsia="宋体" w:cs="Times New Roman"/>
        </w:rPr>
        <w:t>[15] Galbraith K, Snuderl M. Molecular Pathology of Gliomas. Surg Pathol Clin. 2021,14(3):379-386.</w:t>
      </w:r>
    </w:p>
    <w:p w14:paraId="5905CB5D">
      <w:pPr>
        <w:pStyle w:val="19"/>
        <w:spacing w:line="240" w:lineRule="auto"/>
        <w:rPr>
          <w:rFonts w:ascii="Times New Roman" w:hAnsi="Times New Roman" w:eastAsia="宋体" w:cs="Times New Roman"/>
        </w:rPr>
      </w:pPr>
      <w:r>
        <w:rPr>
          <w:rFonts w:ascii="Times New Roman" w:hAnsi="Times New Roman" w:eastAsia="宋体" w:cs="Times New Roman"/>
        </w:rPr>
        <w:t>[16] Mohile NA, Messersmith H, Gatson NT, et al. Therapy for Diffuse Astrocytic and Oligodendroglial Tumors in Adults: ASCO-SNO Guideline. J Clin Oncol. 2022,40(4):403-426.</w:t>
      </w:r>
    </w:p>
    <w:p w14:paraId="4E578FD1">
      <w:pPr>
        <w:pStyle w:val="19"/>
        <w:spacing w:line="240" w:lineRule="auto"/>
        <w:rPr>
          <w:rFonts w:ascii="Times New Roman" w:hAnsi="Times New Roman" w:eastAsia="宋体" w:cs="Times New Roman"/>
        </w:rPr>
      </w:pPr>
      <w:r>
        <w:rPr>
          <w:rFonts w:ascii="Times New Roman" w:hAnsi="Times New Roman" w:eastAsia="宋体" w:cs="Times New Roman"/>
        </w:rPr>
        <w:t>[17] Kristensen BW, Priesterbach-Ackley LP, Petersen JK, Wesseling P. Molecular pathology of tumors of the central nervous system. Ann Oncol. 2019,30(8):1265-1278.</w:t>
      </w:r>
    </w:p>
    <w:p w14:paraId="10352763">
      <w:pPr>
        <w:pStyle w:val="19"/>
        <w:spacing w:line="240" w:lineRule="auto"/>
        <w:rPr>
          <w:rFonts w:ascii="Times New Roman" w:hAnsi="Times New Roman" w:eastAsia="宋体" w:cs="Times New Roman"/>
          <w:lang w:val="nl-NL"/>
        </w:rPr>
      </w:pPr>
      <w:r>
        <w:rPr>
          <w:rFonts w:ascii="Times New Roman" w:hAnsi="Times New Roman" w:eastAsia="宋体" w:cs="Times New Roman"/>
        </w:rPr>
        <w:t xml:space="preserve">[18] Wu F, Yin YY, Fan WH, et al. Immunological profiles of human oligodendrogliomas define two distinct molecular subtypes. </w:t>
      </w:r>
      <w:r>
        <w:rPr>
          <w:rFonts w:ascii="Times New Roman" w:hAnsi="Times New Roman" w:eastAsia="宋体" w:cs="Times New Roman"/>
          <w:lang w:val="nl-NL"/>
        </w:rPr>
        <w:t>EBioMedicine. 2023</w:t>
      </w:r>
      <w:commentRangeStart w:id="4"/>
      <w:r>
        <w:rPr>
          <w:rFonts w:ascii="Times New Roman" w:hAnsi="Times New Roman" w:eastAsia="宋体" w:cs="Times New Roman"/>
          <w:lang w:val="nl-NL"/>
        </w:rPr>
        <w:t>;87:104410.</w:t>
      </w:r>
      <w:commentRangeEnd w:id="4"/>
      <w:r>
        <w:rPr>
          <w:rStyle w:val="18"/>
          <w:rFonts w:hint="eastAsia" w:ascii="Times New Roman" w:hAnsi="Times New Roman" w:eastAsia="宋体" w:cs="Times New Roman"/>
        </w:rPr>
        <w:commentReference w:id="4"/>
      </w:r>
    </w:p>
    <w:p w14:paraId="6234A800">
      <w:pPr>
        <w:pStyle w:val="19"/>
        <w:spacing w:line="240" w:lineRule="auto"/>
        <w:rPr>
          <w:rFonts w:ascii="Times New Roman" w:hAnsi="Times New Roman" w:eastAsia="宋体" w:cs="Times New Roman"/>
          <w:lang w:val="nl-NL"/>
        </w:rPr>
      </w:pPr>
      <w:r>
        <w:rPr>
          <w:rFonts w:ascii="Times New Roman" w:hAnsi="Times New Roman" w:eastAsia="宋体" w:cs="Times New Roman"/>
          <w:lang w:val="nl-NL"/>
        </w:rPr>
        <w:t xml:space="preserve">[19] Wong QH, Li KK, Wang WW, et al. </w:t>
      </w:r>
      <w:r>
        <w:rPr>
          <w:rFonts w:ascii="Times New Roman" w:hAnsi="Times New Roman" w:eastAsia="宋体" w:cs="Times New Roman"/>
        </w:rPr>
        <w:t>Molecular landscape of IDH-mutant primary astrocytoma Grade IV/glioblastomas</w:t>
      </w:r>
      <w:commentRangeStart w:id="5"/>
      <w:r>
        <w:rPr>
          <w:rFonts w:ascii="Times New Roman" w:hAnsi="Times New Roman" w:eastAsia="宋体" w:cs="Times New Roman"/>
        </w:rPr>
        <w:t xml:space="preserve"> [published correction appears in Mod Pathol. </w:t>
      </w:r>
      <w:r>
        <w:rPr>
          <w:rFonts w:ascii="Times New Roman" w:hAnsi="Times New Roman" w:eastAsia="宋体" w:cs="Times New Roman"/>
          <w:lang w:val="nl-NL"/>
        </w:rPr>
        <w:t>2021,34(6):1231]. Mod Pathol. 2021;34(7):1245-1260.</w:t>
      </w:r>
      <w:commentRangeEnd w:id="5"/>
      <w:r>
        <w:rPr>
          <w:rStyle w:val="18"/>
          <w:rFonts w:hint="eastAsia" w:ascii="Times New Roman" w:hAnsi="Times New Roman" w:eastAsia="宋体" w:cs="Times New Roman"/>
        </w:rPr>
        <w:commentReference w:id="5"/>
      </w:r>
    </w:p>
    <w:p w14:paraId="191DFA32">
      <w:pPr>
        <w:pStyle w:val="19"/>
        <w:spacing w:line="240" w:lineRule="auto"/>
        <w:rPr>
          <w:rFonts w:ascii="Times New Roman" w:hAnsi="Times New Roman" w:eastAsia="宋体" w:cs="Times New Roman"/>
          <w:lang w:val="fr-FR"/>
        </w:rPr>
      </w:pPr>
      <w:r>
        <w:rPr>
          <w:rFonts w:ascii="Times New Roman" w:hAnsi="Times New Roman" w:eastAsia="宋体" w:cs="Times New Roman"/>
          <w:lang w:val="nl-NL"/>
        </w:rPr>
        <w:t xml:space="preserve">[20] Felix M, Friedel D, Jayavelu AK, et al. </w:t>
      </w:r>
      <w:r>
        <w:rPr>
          <w:rFonts w:ascii="Times New Roman" w:hAnsi="Times New Roman" w:eastAsia="宋体" w:cs="Times New Roman"/>
        </w:rPr>
        <w:t xml:space="preserve">HIP1R and vimentin immunohistochemistry predict 1p/19q status in IDH-mutant glioma. </w:t>
      </w:r>
      <w:r>
        <w:rPr>
          <w:rFonts w:ascii="Times New Roman" w:hAnsi="Times New Roman" w:eastAsia="宋体" w:cs="Times New Roman"/>
          <w:lang w:val="fr-FR"/>
        </w:rPr>
        <w:t>Neuro Oncol. 2022,24(12):2121-2132.</w:t>
      </w:r>
    </w:p>
    <w:p w14:paraId="2E13FCBF">
      <w:pPr>
        <w:pStyle w:val="19"/>
        <w:spacing w:line="240" w:lineRule="auto"/>
        <w:rPr>
          <w:rFonts w:ascii="Times New Roman" w:hAnsi="Times New Roman" w:eastAsia="宋体" w:cs="Times New Roman"/>
        </w:rPr>
      </w:pPr>
      <w:r>
        <w:rPr>
          <w:rFonts w:ascii="Times New Roman" w:hAnsi="Times New Roman" w:eastAsia="宋体" w:cs="Times New Roman"/>
          <w:lang w:val="fr-FR"/>
        </w:rPr>
        <w:t xml:space="preserve">[21] Cimino PJ, Ketchum C, Turakulov R, et al. </w:t>
      </w:r>
      <w:r>
        <w:rPr>
          <w:rFonts w:ascii="Times New Roman" w:hAnsi="Times New Roman" w:eastAsia="宋体" w:cs="Times New Roman"/>
        </w:rPr>
        <w:t>Expanded analysis of high-grade astrocytoma with piloid features identifies an epigenetically and clinically distinct subtype associated with neurofibromatosis type 1. Acta Neuropathol. 2023,145(1):71-82.</w:t>
      </w:r>
    </w:p>
    <w:p w14:paraId="4FD40826">
      <w:pPr>
        <w:pStyle w:val="19"/>
        <w:spacing w:line="240" w:lineRule="auto"/>
        <w:rPr>
          <w:rFonts w:ascii="Times New Roman" w:hAnsi="Times New Roman" w:eastAsia="宋体" w:cs="Times New Roman"/>
        </w:rPr>
      </w:pPr>
      <w:r>
        <w:rPr>
          <w:rFonts w:ascii="Times New Roman" w:hAnsi="Times New Roman" w:eastAsia="宋体" w:cs="Times New Roman"/>
        </w:rPr>
        <w:t>[22] Biczok A, Strübing FL, Eder JM, et al. Molecular diagnostics helps to identify distinct subgroups of spinal astrocytomas. Acta Neuropathol Commun. 2021,9(1)</w:t>
      </w:r>
      <w:commentRangeStart w:id="6"/>
      <w:r>
        <w:rPr>
          <w:rFonts w:ascii="Times New Roman" w:hAnsi="Times New Roman" w:eastAsia="宋体" w:cs="Times New Roman"/>
        </w:rPr>
        <w:t>:119.</w:t>
      </w:r>
      <w:commentRangeEnd w:id="6"/>
      <w:r>
        <w:rPr>
          <w:rStyle w:val="18"/>
          <w:rFonts w:hint="eastAsia" w:ascii="Times New Roman" w:hAnsi="Times New Roman" w:eastAsia="宋体" w:cs="Times New Roman"/>
        </w:rPr>
        <w:commentReference w:id="6"/>
      </w:r>
    </w:p>
    <w:p w14:paraId="14496EB4">
      <w:pPr>
        <w:pStyle w:val="19"/>
        <w:spacing w:line="240" w:lineRule="auto"/>
        <w:rPr>
          <w:rFonts w:ascii="Times New Roman" w:hAnsi="Times New Roman" w:eastAsia="宋体" w:cs="Times New Roman"/>
        </w:rPr>
      </w:pPr>
      <w:r>
        <w:rPr>
          <w:rFonts w:ascii="Times New Roman" w:hAnsi="Times New Roman" w:eastAsia="宋体" w:cs="Times New Roman"/>
          <w:lang w:val="fr-FR"/>
        </w:rPr>
        <w:t xml:space="preserve">[23] LeBlanc VG, Trinh DL, Aslanpour S, et al. </w:t>
      </w:r>
      <w:r>
        <w:rPr>
          <w:rFonts w:ascii="Times New Roman" w:hAnsi="Times New Roman" w:eastAsia="宋体" w:cs="Times New Roman"/>
        </w:rPr>
        <w:t>Single-cell landscapes of primary glioblastomas and matched explants and cell lines show variable retention of inter- and intratumor heterogeneity. Cancer Cell. 2022,40(4):379-392.</w:t>
      </w:r>
    </w:p>
    <w:p w14:paraId="60289B26">
      <w:pPr>
        <w:pStyle w:val="19"/>
        <w:spacing w:line="240" w:lineRule="auto"/>
        <w:rPr>
          <w:rFonts w:ascii="Times New Roman" w:hAnsi="Times New Roman" w:eastAsia="宋体" w:cs="Times New Roman"/>
        </w:rPr>
      </w:pPr>
      <w:r>
        <w:rPr>
          <w:rFonts w:ascii="Times New Roman" w:hAnsi="Times New Roman" w:eastAsia="宋体" w:cs="Times New Roman"/>
        </w:rPr>
        <w:t>[24] Linkous A, Balamatsias D, Snuderl M, et al. Modeling Patient-Derived Glioblastoma with Cerebral Organoids. Cell Rep. 2019,26(12):3203-3211.</w:t>
      </w:r>
    </w:p>
    <w:p w14:paraId="10D4DDA5">
      <w:pPr>
        <w:pStyle w:val="19"/>
        <w:spacing w:line="240" w:lineRule="auto"/>
        <w:rPr>
          <w:rFonts w:ascii="Times New Roman" w:hAnsi="Times New Roman" w:eastAsia="宋体" w:cs="Times New Roman"/>
        </w:rPr>
      </w:pPr>
      <w:r>
        <w:rPr>
          <w:rFonts w:ascii="Times New Roman" w:hAnsi="Times New Roman" w:eastAsia="宋体" w:cs="Times New Roman"/>
        </w:rPr>
        <w:t>[25] Jacob F, Salinas RD, Zhang DY, et al. A Patient-Derived Glioblastoma Organoid Model and Biobank Recapitulates Inter- and Intra-tumoral Heterogeneity. Cell. 2020,180(1):188-204.</w:t>
      </w:r>
    </w:p>
    <w:p w14:paraId="5147B871">
      <w:pPr>
        <w:pStyle w:val="19"/>
        <w:spacing w:line="240" w:lineRule="auto"/>
        <w:rPr>
          <w:rFonts w:ascii="Times New Roman" w:hAnsi="Times New Roman" w:eastAsia="宋体" w:cs="Times New Roman"/>
        </w:rPr>
      </w:pPr>
      <w:r>
        <w:rPr>
          <w:rFonts w:ascii="Times New Roman" w:hAnsi="Times New Roman" w:eastAsia="宋体" w:cs="Times New Roman"/>
        </w:rPr>
        <w:t>[26] Abdullah KG, Bird CE, Buehler JD, et al. Establishment of patient-derived organoid models of lower-grade glioma. Neuro Oncol. 2022,24(4):612-623.</w:t>
      </w:r>
    </w:p>
    <w:p w14:paraId="477B950D">
      <w:pPr>
        <w:pStyle w:val="19"/>
        <w:spacing w:line="240" w:lineRule="auto"/>
        <w:rPr>
          <w:rFonts w:ascii="Times New Roman" w:hAnsi="Times New Roman" w:eastAsia="宋体" w:cs="Times New Roman"/>
        </w:rPr>
      </w:pPr>
      <w:r>
        <w:rPr>
          <w:rFonts w:ascii="Times New Roman" w:hAnsi="Times New Roman" w:eastAsia="宋体" w:cs="Times New Roman"/>
        </w:rPr>
        <w:t>[27] Pawlowski KD, Duffy JT, Babak MV, Balyasnikova IV. Modeling glioblastoma complexity with organoids for personalized treatments. Trends Mol Med. 2023,29(4):282-296.</w:t>
      </w:r>
    </w:p>
    <w:p w14:paraId="141C0018">
      <w:pPr>
        <w:pStyle w:val="19"/>
        <w:spacing w:line="240" w:lineRule="auto"/>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1892300</wp:posOffset>
                </wp:positionH>
                <wp:positionV relativeFrom="paragraph">
                  <wp:posOffset>2014220</wp:posOffset>
                </wp:positionV>
                <wp:extent cx="1663700" cy="0"/>
                <wp:effectExtent l="0" t="0" r="0" b="0"/>
                <wp:wrapNone/>
                <wp:docPr id="1741427172" name="直接连接符 6"/>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149pt;margin-top:158.6pt;height:0pt;width:131pt;z-index:251661312;mso-width-relative:page;mso-height-relative:page;" filled="f" stroked="t" coordsize="21600,21600" o:gfxdata="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nly&#10;BNcAAAALAQAADwAAAAAAAAABACAAAAAiAAAAZHJzL2Rvd25yZXYueG1sUEsBAhQAFAAAAAgAh07i&#10;QLQFabDqAQAAugMAAA4AAAAAAAAAAQAgAAAAJgEAAGRycy9lMm9Eb2MueG1sUEsFBgAAAAAGAAYA&#10;WQEAAIIFAAAAAA==&#10;">
                <v:fill on="f" focussize="0,0"/>
                <v:stroke weight="0.5pt" color="#000000 [3200]" miterlimit="8" joinstyle="miter"/>
                <v:imagedata o:title=""/>
                <o:lock v:ext="edit" aspectratio="f"/>
              </v:line>
            </w:pict>
          </mc:Fallback>
        </mc:AlternateContent>
      </w:r>
      <w:r>
        <w:rPr>
          <w:rFonts w:ascii="Times New Roman" w:hAnsi="Times New Roman" w:eastAsia="宋体" w:cs="Times New Roman"/>
          <w:lang w:val="fr-FR"/>
        </w:rPr>
        <w:t xml:space="preserve">[28] Jin WL, Jin MZ, Tu YY. </w:t>
      </w:r>
      <w:r>
        <w:rPr>
          <w:rFonts w:ascii="Times New Roman" w:hAnsi="Times New Roman" w:eastAsia="宋体" w:cs="Times New Roman"/>
        </w:rPr>
        <w:t>Organoids: A Platform Ready for Glioblastoma Precision Medicine?. Trends Cancer. 2020,6(4):265-267.</w:t>
      </w:r>
    </w:p>
    <w:sectPr>
      <w:headerReference r:id="rId20" w:type="first"/>
      <w:footerReference r:id="rId23" w:type="first"/>
      <w:headerReference r:id="rId18" w:type="default"/>
      <w:footerReference r:id="rId21" w:type="default"/>
      <w:headerReference r:id="rId19" w:type="even"/>
      <w:footerReference r:id="rId22" w:type="even"/>
      <w:pgSz w:w="11906" w:h="16838"/>
      <w:pgMar w:top="1417" w:right="1134" w:bottom="1134" w:left="1417" w:header="851" w:footer="992" w:gutter="0"/>
      <w:paperSrc/>
      <w:pgNumType w:fmt="decimal" w:start="1"/>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腾 王" w:date="2025-07-04T22:04:00Z" w:initials="">
    <w:p w14:paraId="5AA86C26">
      <w:pPr>
        <w:pStyle w:val="4"/>
        <w:rPr>
          <w:rFonts w:hint="eastAsia"/>
        </w:rPr>
      </w:pPr>
      <w:bookmarkStart w:id="74" w:name="OLE_LINK1"/>
      <w:r>
        <w:rPr>
          <w:rFonts w:hint="eastAsia"/>
        </w:rPr>
        <w:t>至少引用一次</w:t>
      </w:r>
      <w:bookmarkEnd w:id="74"/>
    </w:p>
  </w:comment>
  <w:comment w:id="1" w:author="腾 王" w:date="2025-07-04T22:04:00Z" w:initials="">
    <w:p w14:paraId="3BF4CA3F">
      <w:pPr>
        <w:pStyle w:val="4"/>
        <w:rPr>
          <w:rFonts w:hint="eastAsia"/>
        </w:rPr>
      </w:pPr>
      <w:r>
        <w:rPr>
          <w:rFonts w:hint="eastAsia"/>
        </w:rPr>
        <w:t>至少引用一次</w:t>
      </w:r>
    </w:p>
  </w:comment>
  <w:comment w:id="2" w:author="腾 王" w:date="2025-07-04T22:02:00Z" w:initials="">
    <w:p w14:paraId="2FAD00C4">
      <w:pPr>
        <w:pStyle w:val="4"/>
        <w:rPr>
          <w:rFonts w:hint="eastAsia"/>
        </w:rPr>
      </w:pPr>
      <w:r>
        <w:rPr>
          <w:rFonts w:hint="eastAsia"/>
        </w:rPr>
        <w:t>修改引用格式</w:t>
      </w:r>
    </w:p>
  </w:comment>
  <w:comment w:id="3" w:author="腾 王" w:date="2025-07-04T22:01:00Z" w:initials="">
    <w:p w14:paraId="5927D8CC">
      <w:pPr>
        <w:pStyle w:val="4"/>
        <w:rPr>
          <w:rFonts w:hint="eastAsia"/>
        </w:rPr>
      </w:pPr>
      <w:r>
        <w:rPr>
          <w:rFonts w:hint="eastAsia"/>
        </w:rPr>
        <w:t>补充</w:t>
      </w:r>
    </w:p>
  </w:comment>
  <w:comment w:id="4" w:author="腾 王" w:date="2025-07-04T22:01:00Z" w:initials="">
    <w:p w14:paraId="5464E73E">
      <w:pPr>
        <w:pStyle w:val="4"/>
        <w:rPr>
          <w:rFonts w:hint="eastAsia"/>
        </w:rPr>
      </w:pPr>
      <w:r>
        <w:rPr>
          <w:rFonts w:hint="eastAsia"/>
        </w:rPr>
        <w:t>修改</w:t>
      </w:r>
    </w:p>
  </w:comment>
  <w:comment w:id="5" w:author="腾 王" w:date="2025-07-04T22:01:00Z" w:initials="">
    <w:p w14:paraId="3CC32E2D">
      <w:pPr>
        <w:pStyle w:val="4"/>
        <w:rPr>
          <w:rFonts w:hint="eastAsia"/>
        </w:rPr>
      </w:pPr>
      <w:r>
        <w:rPr>
          <w:rFonts w:hint="eastAsia"/>
        </w:rPr>
        <w:t>修改</w:t>
      </w:r>
    </w:p>
  </w:comment>
  <w:comment w:id="6" w:author="腾 王" w:date="2025-07-04T22:00:00Z" w:initials="">
    <w:p w14:paraId="6E528C75">
      <w:pPr>
        <w:pStyle w:val="4"/>
        <w:rPr>
          <w:rFonts w:hint="eastAsia"/>
        </w:rPr>
      </w:pPr>
      <w:r>
        <w:rPr>
          <w:rFonts w:hint="eastAsia"/>
        </w:rPr>
        <w:t>单页文献不建议引用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A86C26" w15:done="0"/>
  <w15:commentEx w15:paraId="3BF4CA3F" w15:done="0"/>
  <w15:commentEx w15:paraId="2FAD00C4" w15:done="0"/>
  <w15:commentEx w15:paraId="5927D8CC" w15:done="0"/>
  <w15:commentEx w15:paraId="5464E73E" w15:done="0"/>
  <w15:commentEx w15:paraId="3CC32E2D" w15:done="0"/>
  <w15:commentEx w15:paraId="6E528C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D27A">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713D8905">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0BE7EF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713D8905">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0BE7EF3">
                    <w:pPr>
                      <w:rPr>
                        <w:rFonts w:hint="eastAsia"/>
                      </w:rPr>
                    </w:pPr>
                  </w:p>
                </w:txbxContent>
              </v:textbox>
            </v:shape>
          </w:pict>
        </mc:Fallback>
      </mc:AlternateContent>
    </w:r>
  </w:p>
  <w:p w14:paraId="44639B24">
    <w:pPr>
      <w:pStyle w:val="6"/>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A1CE">
    <w:pPr>
      <w:pStyle w:val="6"/>
    </w:pPr>
    <w:r>
      <w:rPr>
        <w:sz w:val="18"/>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25EC5">
                          <w:pPr>
                            <w:pStyle w:val="6"/>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F25EC5">
                    <w:pPr>
                      <w:pStyle w:val="6"/>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0DD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3BBD">
    <w:pPr>
      <w:pStyle w:val="6"/>
      <w:jc w:val="right"/>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3DC9F">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83DC9F">
                    <w:pPr>
                      <w:pStyle w:val="6"/>
                    </w:pPr>
                    <w:r>
                      <w:fldChar w:fldCharType="begin"/>
                    </w:r>
                    <w:r>
                      <w:instrText xml:space="preserve"> PAGE  \* MERGEFORMAT </w:instrText>
                    </w:r>
                    <w:r>
                      <w:fldChar w:fldCharType="separate"/>
                    </w:r>
                    <w:r>
                      <w:t>I</w:t>
                    </w:r>
                    <w:r>
                      <w:fldChar w:fldCharType="end"/>
                    </w:r>
                  </w:p>
                </w:txbxContent>
              </v:textbox>
            </v:shape>
          </w:pict>
        </mc:Fallback>
      </mc:AlternateContent>
    </w:r>
  </w:p>
  <w:p w14:paraId="33A85E54">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1E47">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0A7D9">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8F0A7D9">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6F36">
    <w:pPr>
      <w:pStyle w:val="6"/>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652D">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186652D">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EF07">
    <w:pPr>
      <w:pStyle w:val="6"/>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E14B3">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EAE14B3">
                    <w:pPr>
                      <w:pStyle w:val="6"/>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3AE44">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053AE44">
                    <w:pPr>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E49E">
    <w:pPr>
      <w:pStyle w:val="6"/>
      <w:tabs>
        <w:tab w:val="clear" w:pos="4153"/>
      </w:tabs>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D9373">
                          <w:pPr>
                            <w:pStyle w:val="6"/>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D5D9373">
                    <w:pPr>
                      <w:pStyle w:val="6"/>
                    </w:pPr>
                    <w:r>
                      <w:fldChar w:fldCharType="begin"/>
                    </w:r>
                    <w:r>
                      <w:instrText xml:space="preserve"> PAGE  \* MERGEFORMAT </w:instrText>
                    </w:r>
                    <w:r>
                      <w:fldChar w:fldCharType="separate"/>
                    </w:r>
                    <w:r>
                      <w:t>IV</w:t>
                    </w:r>
                    <w:r>
                      <w:fldChar w:fldCharType="end"/>
                    </w:r>
                  </w:p>
                </w:txbxContent>
              </v:textbox>
            </v:shape>
          </w:pict>
        </mc:Fallback>
      </mc:AlternateContent>
    </w:r>
    <w:r>
      <w:rPr>
        <w:rFonts w:hint="eastAsia" w:eastAsia="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FA259">
    <w:pPr>
      <w:pStyle w:val="6"/>
      <w:jc w:val="right"/>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EC47">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51FEC47">
                    <w:pPr>
                      <w:pStyle w:val="6"/>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B5D60">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5FFB5D60">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5414">
    <w:pPr>
      <w:pStyle w:val="6"/>
      <w:tabs>
        <w:tab w:val="clear" w:pos="4153"/>
      </w:tabs>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468EF">
                          <w:pPr>
                            <w:pStyle w:val="6"/>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E5468EF">
                    <w:pPr>
                      <w:pStyle w:val="6"/>
                    </w:pPr>
                    <w:r>
                      <w:fldChar w:fldCharType="begin"/>
                    </w:r>
                    <w:r>
                      <w:instrText xml:space="preserve"> PAGE  \* MERGEFORMAT </w:instrText>
                    </w:r>
                    <w:r>
                      <w:fldChar w:fldCharType="separate"/>
                    </w:r>
                    <w:r>
                      <w:t>IV</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FCF7">
    <w:pPr>
      <w:pStyle w:val="7"/>
      <w:pBdr>
        <w:bottom w:val="none" w:color="auto" w:sz="0" w:space="1"/>
      </w:pBdr>
      <w:jc w:val="right"/>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0499">
    <w:pPr>
      <w:pStyle w:val="7"/>
      <w:pBdr>
        <w:bottom w:val="none" w:color="auto" w:sz="0" w:space="1"/>
      </w:pBdr>
      <w:jc w:val="both"/>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p w14:paraId="1A0B59A3">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769E">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231C">
    <w:pPr>
      <w:pStyle w:val="7"/>
      <w:pBdr>
        <w:bottom w:val="none" w:color="auto" w:sz="0" w:space="1"/>
      </w:pBdr>
      <w:jc w:val="right"/>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D0B0">
    <w:pPr>
      <w:pStyle w:val="7"/>
      <w:pBdr>
        <w:bottom w:val="none" w:color="auto" w:sz="0" w:space="1"/>
      </w:pBdr>
      <w:jc w:val="both"/>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p w14:paraId="6072FBD1">
    <w:pPr>
      <w:pStyle w:val="7"/>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3637">
    <w:pPr>
      <w:pStyle w:val="7"/>
      <w:pBdr>
        <w:bottom w:val="none" w:color="auto" w:sz="0" w:space="1"/>
      </w:pBdr>
      <w:jc w:val="right"/>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p w14:paraId="69F42C2C">
    <w:pPr>
      <w:pStyle w:val="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2AD3">
    <w:pPr>
      <w:pStyle w:val="7"/>
      <w:pBdr>
        <w:bottom w:val="none" w:color="auto" w:sz="0" w:space="1"/>
      </w:pBdr>
      <w:jc w:val="both"/>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11CF">
    <w:pPr>
      <w:pStyle w:val="7"/>
      <w:pBdr>
        <w:bottom w:val="none" w:color="auto" w:sz="0" w:space="1"/>
      </w:pBdr>
      <w:jc w:val="right"/>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p w14:paraId="77C2B7CF">
    <w:pPr>
      <w:pStyle w:val="7"/>
      <w:pBdr>
        <w:bottom w:val="none" w:color="auto" w:sz="0" w:space="1"/>
      </w:pBdr>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B949">
    <w:pPr>
      <w:pStyle w:val="7"/>
      <w:pBdr>
        <w:bottom w:val="none" w:color="auto" w:sz="0" w:space="1"/>
      </w:pBdr>
      <w:jc w:val="both"/>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12B9E"/>
    <w:multiLevelType w:val="multilevel"/>
    <w:tmpl w:val="12512B9E"/>
    <w:lvl w:ilvl="0" w:tentative="0">
      <w:start w:val="1"/>
      <w:numFmt w:val="decimal"/>
      <w:suff w:val="space"/>
      <w:lvlText w:val="%1"/>
      <w:lvlJc w:val="left"/>
      <w:pPr>
        <w:ind w:left="0" w:firstLine="0"/>
      </w:pPr>
      <w:rPr>
        <w:rFonts w:hint="default" w:ascii="黑体" w:hAnsi="黑体" w:eastAsia="黑体" w:cs="Times New Roman"/>
        <w:i w:val="0"/>
        <w:szCs w:val="21"/>
      </w:rPr>
    </w:lvl>
    <w:lvl w:ilvl="1" w:tentative="0">
      <w:start w:val="1"/>
      <w:numFmt w:val="decimal"/>
      <w:lvlText w:val="%1.%2"/>
      <w:lvlJc w:val="left"/>
      <w:pPr>
        <w:ind w:left="0" w:firstLine="0"/>
      </w:pPr>
      <w:rPr>
        <w:rFonts w:hint="default" w:ascii="黑体" w:hAnsi="黑体" w:eastAsia="黑体" w:cs="黑体"/>
        <w:b w:val="0"/>
        <w:bCs w:val="0"/>
        <w:sz w:val="21"/>
        <w:szCs w:val="21"/>
      </w:rPr>
    </w:lvl>
    <w:lvl w:ilvl="2" w:tentative="0">
      <w:start w:val="1"/>
      <w:numFmt w:val="decimal"/>
      <w:suff w:val="space"/>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587F3CE2"/>
    <w:multiLevelType w:val="multilevel"/>
    <w:tmpl w:val="587F3CE2"/>
    <w:lvl w:ilvl="0" w:tentative="0">
      <w:start w:val="3"/>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腾 王">
    <w15:presenceInfo w15:providerId="None" w15:userId="腾 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6687E"/>
    <w:rsid w:val="00072491"/>
    <w:rsid w:val="00072815"/>
    <w:rsid w:val="00073AC5"/>
    <w:rsid w:val="00074472"/>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0B92"/>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3D6"/>
    <w:rsid w:val="00105858"/>
    <w:rsid w:val="00110C41"/>
    <w:rsid w:val="00113BFA"/>
    <w:rsid w:val="00114735"/>
    <w:rsid w:val="0011477A"/>
    <w:rsid w:val="00114D77"/>
    <w:rsid w:val="00116438"/>
    <w:rsid w:val="0011708B"/>
    <w:rsid w:val="001171E7"/>
    <w:rsid w:val="00121EE3"/>
    <w:rsid w:val="001248BA"/>
    <w:rsid w:val="001270E5"/>
    <w:rsid w:val="0012776E"/>
    <w:rsid w:val="001302FE"/>
    <w:rsid w:val="001354DB"/>
    <w:rsid w:val="00135D3F"/>
    <w:rsid w:val="00136B06"/>
    <w:rsid w:val="0014094F"/>
    <w:rsid w:val="0015254C"/>
    <w:rsid w:val="00152A6A"/>
    <w:rsid w:val="00153874"/>
    <w:rsid w:val="001545CB"/>
    <w:rsid w:val="00155351"/>
    <w:rsid w:val="001643EB"/>
    <w:rsid w:val="00172DF1"/>
    <w:rsid w:val="00173FC5"/>
    <w:rsid w:val="00177C9E"/>
    <w:rsid w:val="00181FAF"/>
    <w:rsid w:val="0018623D"/>
    <w:rsid w:val="00191DFD"/>
    <w:rsid w:val="00192EBC"/>
    <w:rsid w:val="0019364D"/>
    <w:rsid w:val="00193CC8"/>
    <w:rsid w:val="00193D37"/>
    <w:rsid w:val="00193DB4"/>
    <w:rsid w:val="001A0393"/>
    <w:rsid w:val="001A22EE"/>
    <w:rsid w:val="001A3586"/>
    <w:rsid w:val="001A5115"/>
    <w:rsid w:val="001A56CB"/>
    <w:rsid w:val="001A7742"/>
    <w:rsid w:val="001B1A2E"/>
    <w:rsid w:val="001B2C09"/>
    <w:rsid w:val="001B6FBB"/>
    <w:rsid w:val="001D5230"/>
    <w:rsid w:val="001D737C"/>
    <w:rsid w:val="001E186D"/>
    <w:rsid w:val="001E637A"/>
    <w:rsid w:val="001E64A9"/>
    <w:rsid w:val="001E6E82"/>
    <w:rsid w:val="001E74EF"/>
    <w:rsid w:val="001E781A"/>
    <w:rsid w:val="001F0E47"/>
    <w:rsid w:val="001F3A00"/>
    <w:rsid w:val="00201D5E"/>
    <w:rsid w:val="00206199"/>
    <w:rsid w:val="00206D47"/>
    <w:rsid w:val="002100B3"/>
    <w:rsid w:val="00211CEC"/>
    <w:rsid w:val="002120B7"/>
    <w:rsid w:val="00214163"/>
    <w:rsid w:val="00214910"/>
    <w:rsid w:val="0021602E"/>
    <w:rsid w:val="00217F4A"/>
    <w:rsid w:val="002203FE"/>
    <w:rsid w:val="002204BD"/>
    <w:rsid w:val="0022139D"/>
    <w:rsid w:val="00222A03"/>
    <w:rsid w:val="002257B9"/>
    <w:rsid w:val="002262E4"/>
    <w:rsid w:val="0022631D"/>
    <w:rsid w:val="00231B51"/>
    <w:rsid w:val="00237A6E"/>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5F7D"/>
    <w:rsid w:val="002774C4"/>
    <w:rsid w:val="00280651"/>
    <w:rsid w:val="00284BE6"/>
    <w:rsid w:val="00285085"/>
    <w:rsid w:val="00285401"/>
    <w:rsid w:val="00287B4E"/>
    <w:rsid w:val="0029058B"/>
    <w:rsid w:val="002A2912"/>
    <w:rsid w:val="002A747A"/>
    <w:rsid w:val="002B2A24"/>
    <w:rsid w:val="002B3A01"/>
    <w:rsid w:val="002B4433"/>
    <w:rsid w:val="002B626D"/>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3183"/>
    <w:rsid w:val="0033587F"/>
    <w:rsid w:val="003400F5"/>
    <w:rsid w:val="00342DE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57E2"/>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348"/>
    <w:rsid w:val="003D5F18"/>
    <w:rsid w:val="003D705C"/>
    <w:rsid w:val="003D7F21"/>
    <w:rsid w:val="003E37B5"/>
    <w:rsid w:val="003E61AA"/>
    <w:rsid w:val="003E71CC"/>
    <w:rsid w:val="003E7EBB"/>
    <w:rsid w:val="003F1381"/>
    <w:rsid w:val="003F2AD8"/>
    <w:rsid w:val="004026DB"/>
    <w:rsid w:val="004065F6"/>
    <w:rsid w:val="0040710E"/>
    <w:rsid w:val="0041083D"/>
    <w:rsid w:val="004165A5"/>
    <w:rsid w:val="00417131"/>
    <w:rsid w:val="0042069E"/>
    <w:rsid w:val="004218BD"/>
    <w:rsid w:val="00422DA8"/>
    <w:rsid w:val="004230EB"/>
    <w:rsid w:val="00425509"/>
    <w:rsid w:val="0043034C"/>
    <w:rsid w:val="00433002"/>
    <w:rsid w:val="0043424B"/>
    <w:rsid w:val="00434575"/>
    <w:rsid w:val="00436831"/>
    <w:rsid w:val="0044366C"/>
    <w:rsid w:val="004447DF"/>
    <w:rsid w:val="00450814"/>
    <w:rsid w:val="0045238F"/>
    <w:rsid w:val="00453FDA"/>
    <w:rsid w:val="004552E8"/>
    <w:rsid w:val="004564E4"/>
    <w:rsid w:val="0046052C"/>
    <w:rsid w:val="00463CEE"/>
    <w:rsid w:val="004678FD"/>
    <w:rsid w:val="00472C4F"/>
    <w:rsid w:val="00473BCE"/>
    <w:rsid w:val="00474290"/>
    <w:rsid w:val="00475E70"/>
    <w:rsid w:val="0048130D"/>
    <w:rsid w:val="004827C7"/>
    <w:rsid w:val="004833E2"/>
    <w:rsid w:val="004869BA"/>
    <w:rsid w:val="0049165F"/>
    <w:rsid w:val="00493599"/>
    <w:rsid w:val="004A48C8"/>
    <w:rsid w:val="004A5FED"/>
    <w:rsid w:val="004A6F6F"/>
    <w:rsid w:val="004B3892"/>
    <w:rsid w:val="004C52AF"/>
    <w:rsid w:val="004C57D2"/>
    <w:rsid w:val="004C7695"/>
    <w:rsid w:val="004D1A69"/>
    <w:rsid w:val="004D3B8F"/>
    <w:rsid w:val="004D6899"/>
    <w:rsid w:val="004E1256"/>
    <w:rsid w:val="004E4111"/>
    <w:rsid w:val="004F2091"/>
    <w:rsid w:val="004F2362"/>
    <w:rsid w:val="004F5102"/>
    <w:rsid w:val="004F78EB"/>
    <w:rsid w:val="005002C5"/>
    <w:rsid w:val="0050659A"/>
    <w:rsid w:val="00506993"/>
    <w:rsid w:val="00506E46"/>
    <w:rsid w:val="00512B61"/>
    <w:rsid w:val="00516FA2"/>
    <w:rsid w:val="00517A06"/>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0F78"/>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173A"/>
    <w:rsid w:val="00606253"/>
    <w:rsid w:val="00611C44"/>
    <w:rsid w:val="00615DB0"/>
    <w:rsid w:val="00616CB3"/>
    <w:rsid w:val="00617CBE"/>
    <w:rsid w:val="00620574"/>
    <w:rsid w:val="00632C53"/>
    <w:rsid w:val="006333F0"/>
    <w:rsid w:val="0063386D"/>
    <w:rsid w:val="00633AF5"/>
    <w:rsid w:val="00633B40"/>
    <w:rsid w:val="0063405C"/>
    <w:rsid w:val="00635D2D"/>
    <w:rsid w:val="006367B9"/>
    <w:rsid w:val="006376F3"/>
    <w:rsid w:val="006421D1"/>
    <w:rsid w:val="00647139"/>
    <w:rsid w:val="00647B91"/>
    <w:rsid w:val="00652BCD"/>
    <w:rsid w:val="0065301E"/>
    <w:rsid w:val="00656AE6"/>
    <w:rsid w:val="006620AD"/>
    <w:rsid w:val="00667D7C"/>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299D"/>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3E4F"/>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394E"/>
    <w:rsid w:val="007A4113"/>
    <w:rsid w:val="007A6239"/>
    <w:rsid w:val="007A7289"/>
    <w:rsid w:val="007B236A"/>
    <w:rsid w:val="007B238D"/>
    <w:rsid w:val="007B582A"/>
    <w:rsid w:val="007B6256"/>
    <w:rsid w:val="007C112A"/>
    <w:rsid w:val="007C29C5"/>
    <w:rsid w:val="007C2EA9"/>
    <w:rsid w:val="007D0F89"/>
    <w:rsid w:val="007D4F08"/>
    <w:rsid w:val="007D792F"/>
    <w:rsid w:val="007D7D68"/>
    <w:rsid w:val="007E0FB8"/>
    <w:rsid w:val="007E3E71"/>
    <w:rsid w:val="007E7EE7"/>
    <w:rsid w:val="007F0A1D"/>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3C63"/>
    <w:rsid w:val="0082597C"/>
    <w:rsid w:val="00825E6F"/>
    <w:rsid w:val="0082758F"/>
    <w:rsid w:val="00832AF6"/>
    <w:rsid w:val="00833D20"/>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0DCD"/>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195"/>
    <w:rsid w:val="008B0383"/>
    <w:rsid w:val="008B4528"/>
    <w:rsid w:val="008B58AE"/>
    <w:rsid w:val="008B5A83"/>
    <w:rsid w:val="008B65FF"/>
    <w:rsid w:val="008B7BD5"/>
    <w:rsid w:val="008C0A0A"/>
    <w:rsid w:val="008C57A8"/>
    <w:rsid w:val="008C5F0B"/>
    <w:rsid w:val="008C7770"/>
    <w:rsid w:val="008C7B4E"/>
    <w:rsid w:val="008D2276"/>
    <w:rsid w:val="008D654F"/>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2269"/>
    <w:rsid w:val="00925F87"/>
    <w:rsid w:val="009319AF"/>
    <w:rsid w:val="0093620A"/>
    <w:rsid w:val="009417FB"/>
    <w:rsid w:val="00941E08"/>
    <w:rsid w:val="00953BEB"/>
    <w:rsid w:val="009559BA"/>
    <w:rsid w:val="00956AF5"/>
    <w:rsid w:val="0096348D"/>
    <w:rsid w:val="00966453"/>
    <w:rsid w:val="00966FDA"/>
    <w:rsid w:val="00974E52"/>
    <w:rsid w:val="00986BAD"/>
    <w:rsid w:val="00986E01"/>
    <w:rsid w:val="0099233B"/>
    <w:rsid w:val="00993146"/>
    <w:rsid w:val="00994B6C"/>
    <w:rsid w:val="00994BB5"/>
    <w:rsid w:val="00996E5C"/>
    <w:rsid w:val="009977E5"/>
    <w:rsid w:val="00997BBE"/>
    <w:rsid w:val="009A4D49"/>
    <w:rsid w:val="009A6EEE"/>
    <w:rsid w:val="009B316A"/>
    <w:rsid w:val="009B34F9"/>
    <w:rsid w:val="009B7ED1"/>
    <w:rsid w:val="009B7F79"/>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005B"/>
    <w:rsid w:val="00A328D6"/>
    <w:rsid w:val="00A349C8"/>
    <w:rsid w:val="00A41BFF"/>
    <w:rsid w:val="00A4287E"/>
    <w:rsid w:val="00A45393"/>
    <w:rsid w:val="00A47318"/>
    <w:rsid w:val="00A533EE"/>
    <w:rsid w:val="00A538A2"/>
    <w:rsid w:val="00A5515E"/>
    <w:rsid w:val="00A562AD"/>
    <w:rsid w:val="00A5638E"/>
    <w:rsid w:val="00A56B7A"/>
    <w:rsid w:val="00A63B7D"/>
    <w:rsid w:val="00A67DE3"/>
    <w:rsid w:val="00A7062A"/>
    <w:rsid w:val="00A73985"/>
    <w:rsid w:val="00A74C0B"/>
    <w:rsid w:val="00A758C1"/>
    <w:rsid w:val="00A77E26"/>
    <w:rsid w:val="00A77ECE"/>
    <w:rsid w:val="00A82F9A"/>
    <w:rsid w:val="00A8449E"/>
    <w:rsid w:val="00A846DA"/>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C73BA"/>
    <w:rsid w:val="00AD0063"/>
    <w:rsid w:val="00AD160F"/>
    <w:rsid w:val="00AE1A22"/>
    <w:rsid w:val="00AE2575"/>
    <w:rsid w:val="00AE5A09"/>
    <w:rsid w:val="00AE728D"/>
    <w:rsid w:val="00AF06BC"/>
    <w:rsid w:val="00AF1AF8"/>
    <w:rsid w:val="00AF3627"/>
    <w:rsid w:val="00B01B00"/>
    <w:rsid w:val="00B02AEE"/>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563B"/>
    <w:rsid w:val="00B7612D"/>
    <w:rsid w:val="00B77856"/>
    <w:rsid w:val="00B80205"/>
    <w:rsid w:val="00B82E58"/>
    <w:rsid w:val="00B85BB1"/>
    <w:rsid w:val="00B85F1A"/>
    <w:rsid w:val="00B872B5"/>
    <w:rsid w:val="00B8785F"/>
    <w:rsid w:val="00B91590"/>
    <w:rsid w:val="00B931BE"/>
    <w:rsid w:val="00B9676D"/>
    <w:rsid w:val="00B96E4E"/>
    <w:rsid w:val="00B96F07"/>
    <w:rsid w:val="00B9752F"/>
    <w:rsid w:val="00B97B02"/>
    <w:rsid w:val="00BA18FC"/>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0F24"/>
    <w:rsid w:val="00C02BEE"/>
    <w:rsid w:val="00C059DE"/>
    <w:rsid w:val="00C1250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763B7"/>
    <w:rsid w:val="00C8003B"/>
    <w:rsid w:val="00C80209"/>
    <w:rsid w:val="00C81392"/>
    <w:rsid w:val="00C82EA3"/>
    <w:rsid w:val="00C8377A"/>
    <w:rsid w:val="00C84565"/>
    <w:rsid w:val="00C8639E"/>
    <w:rsid w:val="00C87391"/>
    <w:rsid w:val="00C91631"/>
    <w:rsid w:val="00C933C9"/>
    <w:rsid w:val="00C94331"/>
    <w:rsid w:val="00C96D61"/>
    <w:rsid w:val="00CA0A0F"/>
    <w:rsid w:val="00CA2AB5"/>
    <w:rsid w:val="00CA35B1"/>
    <w:rsid w:val="00CB0507"/>
    <w:rsid w:val="00CB396B"/>
    <w:rsid w:val="00CB40A9"/>
    <w:rsid w:val="00CB4F35"/>
    <w:rsid w:val="00CB540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E7E65"/>
    <w:rsid w:val="00CF0035"/>
    <w:rsid w:val="00CF16D7"/>
    <w:rsid w:val="00CF5064"/>
    <w:rsid w:val="00CF574B"/>
    <w:rsid w:val="00CF57DF"/>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9FA"/>
    <w:rsid w:val="00D44C91"/>
    <w:rsid w:val="00D45E93"/>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14D"/>
    <w:rsid w:val="00DD6879"/>
    <w:rsid w:val="00DE0EB6"/>
    <w:rsid w:val="00DE299F"/>
    <w:rsid w:val="00DE31CD"/>
    <w:rsid w:val="00DF015E"/>
    <w:rsid w:val="00DF663D"/>
    <w:rsid w:val="00E00BFE"/>
    <w:rsid w:val="00E011BA"/>
    <w:rsid w:val="00E01280"/>
    <w:rsid w:val="00E01DD3"/>
    <w:rsid w:val="00E0339B"/>
    <w:rsid w:val="00E0357C"/>
    <w:rsid w:val="00E04D39"/>
    <w:rsid w:val="00E0660B"/>
    <w:rsid w:val="00E07C8E"/>
    <w:rsid w:val="00E1642E"/>
    <w:rsid w:val="00E222C0"/>
    <w:rsid w:val="00E22B4B"/>
    <w:rsid w:val="00E267F4"/>
    <w:rsid w:val="00E30FAC"/>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19EB"/>
    <w:rsid w:val="00E77497"/>
    <w:rsid w:val="00E7799F"/>
    <w:rsid w:val="00E80BD6"/>
    <w:rsid w:val="00E821F9"/>
    <w:rsid w:val="00E8309B"/>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0FB"/>
    <w:rsid w:val="00EB6CD2"/>
    <w:rsid w:val="00EB78C2"/>
    <w:rsid w:val="00EC033F"/>
    <w:rsid w:val="00EC1EDA"/>
    <w:rsid w:val="00EC32D6"/>
    <w:rsid w:val="00EC4D7D"/>
    <w:rsid w:val="00EC4E98"/>
    <w:rsid w:val="00EC5C1D"/>
    <w:rsid w:val="00EC695D"/>
    <w:rsid w:val="00ED621F"/>
    <w:rsid w:val="00EE2ECE"/>
    <w:rsid w:val="00EE5689"/>
    <w:rsid w:val="00EF2A4E"/>
    <w:rsid w:val="00EF42A9"/>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75430"/>
    <w:rsid w:val="00F7734A"/>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3CC7"/>
    <w:rsid w:val="00FD794C"/>
    <w:rsid w:val="00FE39F2"/>
    <w:rsid w:val="00FE5400"/>
    <w:rsid w:val="00FE6472"/>
    <w:rsid w:val="00FE6B1E"/>
    <w:rsid w:val="00FF1ABE"/>
    <w:rsid w:val="00FF1E6D"/>
    <w:rsid w:val="00FF46F9"/>
    <w:rsid w:val="00FF7904"/>
    <w:rsid w:val="0100390C"/>
    <w:rsid w:val="01041951"/>
    <w:rsid w:val="011E3D92"/>
    <w:rsid w:val="01390BCC"/>
    <w:rsid w:val="0156352C"/>
    <w:rsid w:val="016F283F"/>
    <w:rsid w:val="01791910"/>
    <w:rsid w:val="018F4C90"/>
    <w:rsid w:val="01C506B1"/>
    <w:rsid w:val="01CD7566"/>
    <w:rsid w:val="01E925F2"/>
    <w:rsid w:val="01F1594A"/>
    <w:rsid w:val="01F66ABD"/>
    <w:rsid w:val="0227136C"/>
    <w:rsid w:val="025832D3"/>
    <w:rsid w:val="02704AC1"/>
    <w:rsid w:val="027A76EE"/>
    <w:rsid w:val="02A14C7A"/>
    <w:rsid w:val="02D06B1E"/>
    <w:rsid w:val="02D16D39"/>
    <w:rsid w:val="02DA4630"/>
    <w:rsid w:val="02E84657"/>
    <w:rsid w:val="02F0175E"/>
    <w:rsid w:val="02FA25DD"/>
    <w:rsid w:val="03060F81"/>
    <w:rsid w:val="03165668"/>
    <w:rsid w:val="032064E7"/>
    <w:rsid w:val="03280EF8"/>
    <w:rsid w:val="032D650E"/>
    <w:rsid w:val="035E4919"/>
    <w:rsid w:val="036C34DA"/>
    <w:rsid w:val="0374238F"/>
    <w:rsid w:val="03E07A24"/>
    <w:rsid w:val="03E72B61"/>
    <w:rsid w:val="04021749"/>
    <w:rsid w:val="04245977"/>
    <w:rsid w:val="046247CF"/>
    <w:rsid w:val="04844B5F"/>
    <w:rsid w:val="048605CC"/>
    <w:rsid w:val="0490144A"/>
    <w:rsid w:val="04A10F62"/>
    <w:rsid w:val="04A86794"/>
    <w:rsid w:val="04C94AE8"/>
    <w:rsid w:val="04D00BF6"/>
    <w:rsid w:val="04DA239D"/>
    <w:rsid w:val="04DA26C6"/>
    <w:rsid w:val="04E37937"/>
    <w:rsid w:val="04EA23B7"/>
    <w:rsid w:val="04FD0162"/>
    <w:rsid w:val="052120A3"/>
    <w:rsid w:val="05967A84"/>
    <w:rsid w:val="05DB66F5"/>
    <w:rsid w:val="05E40C54"/>
    <w:rsid w:val="06091B7E"/>
    <w:rsid w:val="06233BF8"/>
    <w:rsid w:val="067A7CBC"/>
    <w:rsid w:val="06874187"/>
    <w:rsid w:val="06A42377"/>
    <w:rsid w:val="06AE1485"/>
    <w:rsid w:val="06B331CE"/>
    <w:rsid w:val="06B75E22"/>
    <w:rsid w:val="06C23411"/>
    <w:rsid w:val="06F35CC1"/>
    <w:rsid w:val="06F86E33"/>
    <w:rsid w:val="06FF6413"/>
    <w:rsid w:val="070036FD"/>
    <w:rsid w:val="070F6DDC"/>
    <w:rsid w:val="07177C01"/>
    <w:rsid w:val="07587E1D"/>
    <w:rsid w:val="076170CE"/>
    <w:rsid w:val="0774295E"/>
    <w:rsid w:val="077966B4"/>
    <w:rsid w:val="077E37DC"/>
    <w:rsid w:val="078828AD"/>
    <w:rsid w:val="07A93675"/>
    <w:rsid w:val="07B54D24"/>
    <w:rsid w:val="07C733D5"/>
    <w:rsid w:val="07CD206E"/>
    <w:rsid w:val="080540FD"/>
    <w:rsid w:val="08123F24"/>
    <w:rsid w:val="082A74C0"/>
    <w:rsid w:val="08493DEA"/>
    <w:rsid w:val="08752E31"/>
    <w:rsid w:val="08A234FA"/>
    <w:rsid w:val="08A92671"/>
    <w:rsid w:val="08AF5C17"/>
    <w:rsid w:val="08BB45BC"/>
    <w:rsid w:val="08CC67C9"/>
    <w:rsid w:val="09150170"/>
    <w:rsid w:val="09167A44"/>
    <w:rsid w:val="09300B06"/>
    <w:rsid w:val="093525C0"/>
    <w:rsid w:val="09475E50"/>
    <w:rsid w:val="094822F4"/>
    <w:rsid w:val="0958005D"/>
    <w:rsid w:val="098350DA"/>
    <w:rsid w:val="09A63BC4"/>
    <w:rsid w:val="09C75F1C"/>
    <w:rsid w:val="09E85885"/>
    <w:rsid w:val="0A3C34DB"/>
    <w:rsid w:val="0A652A31"/>
    <w:rsid w:val="0A742C74"/>
    <w:rsid w:val="0A9D666F"/>
    <w:rsid w:val="0AA417AC"/>
    <w:rsid w:val="0AAE4C83"/>
    <w:rsid w:val="0AAE6186"/>
    <w:rsid w:val="0ACA0AE6"/>
    <w:rsid w:val="0AE20526"/>
    <w:rsid w:val="0AF344E1"/>
    <w:rsid w:val="0AF9CB7F"/>
    <w:rsid w:val="0B1A381C"/>
    <w:rsid w:val="0B36617C"/>
    <w:rsid w:val="0B5F1B77"/>
    <w:rsid w:val="0B696551"/>
    <w:rsid w:val="0B755EDB"/>
    <w:rsid w:val="0B9E444D"/>
    <w:rsid w:val="0BF027CF"/>
    <w:rsid w:val="0BF64289"/>
    <w:rsid w:val="0C0415C2"/>
    <w:rsid w:val="0C232BA4"/>
    <w:rsid w:val="0C37664F"/>
    <w:rsid w:val="0C405504"/>
    <w:rsid w:val="0C73257B"/>
    <w:rsid w:val="0CB63A18"/>
    <w:rsid w:val="0CD43E9E"/>
    <w:rsid w:val="0CE045F1"/>
    <w:rsid w:val="0D077DD0"/>
    <w:rsid w:val="0D3853D7"/>
    <w:rsid w:val="0DB76503"/>
    <w:rsid w:val="0DBF06AB"/>
    <w:rsid w:val="0DDE3227"/>
    <w:rsid w:val="0DF173CF"/>
    <w:rsid w:val="0DF25C50"/>
    <w:rsid w:val="0E010CC3"/>
    <w:rsid w:val="0E034A3B"/>
    <w:rsid w:val="0E0C0187"/>
    <w:rsid w:val="0E5B4877"/>
    <w:rsid w:val="0E6A4064"/>
    <w:rsid w:val="0E710DAC"/>
    <w:rsid w:val="0E745939"/>
    <w:rsid w:val="0E9B2EC6"/>
    <w:rsid w:val="0EA63619"/>
    <w:rsid w:val="0EAF071F"/>
    <w:rsid w:val="0EAF3BDB"/>
    <w:rsid w:val="0EFB6B77"/>
    <w:rsid w:val="0F340C24"/>
    <w:rsid w:val="0F3A26DF"/>
    <w:rsid w:val="0F5337A0"/>
    <w:rsid w:val="0F615EBD"/>
    <w:rsid w:val="0F6A2898"/>
    <w:rsid w:val="0F7C2CF7"/>
    <w:rsid w:val="0F7D57DE"/>
    <w:rsid w:val="0F877EC3"/>
    <w:rsid w:val="0FA22032"/>
    <w:rsid w:val="0FAE6C29"/>
    <w:rsid w:val="0FD276F7"/>
    <w:rsid w:val="0FDC5544"/>
    <w:rsid w:val="0FE10DAC"/>
    <w:rsid w:val="102D2243"/>
    <w:rsid w:val="103F0232"/>
    <w:rsid w:val="108300B5"/>
    <w:rsid w:val="10945E1E"/>
    <w:rsid w:val="109D1539"/>
    <w:rsid w:val="109E4EEF"/>
    <w:rsid w:val="10B65D95"/>
    <w:rsid w:val="10B97633"/>
    <w:rsid w:val="10BB15FD"/>
    <w:rsid w:val="10EA216F"/>
    <w:rsid w:val="10F00B45"/>
    <w:rsid w:val="110805BA"/>
    <w:rsid w:val="110A66FB"/>
    <w:rsid w:val="114A1C52"/>
    <w:rsid w:val="115E01DA"/>
    <w:rsid w:val="11603F53"/>
    <w:rsid w:val="117D361B"/>
    <w:rsid w:val="11965BC6"/>
    <w:rsid w:val="11A2533F"/>
    <w:rsid w:val="11BF6ECB"/>
    <w:rsid w:val="11C269BB"/>
    <w:rsid w:val="11E64458"/>
    <w:rsid w:val="11EC3A38"/>
    <w:rsid w:val="120C7C36"/>
    <w:rsid w:val="12174F59"/>
    <w:rsid w:val="122D5041"/>
    <w:rsid w:val="12372F05"/>
    <w:rsid w:val="12575356"/>
    <w:rsid w:val="12577104"/>
    <w:rsid w:val="1261630C"/>
    <w:rsid w:val="127A7296"/>
    <w:rsid w:val="1299771C"/>
    <w:rsid w:val="12AA1929"/>
    <w:rsid w:val="12BB3B36"/>
    <w:rsid w:val="12D270D2"/>
    <w:rsid w:val="12E7492B"/>
    <w:rsid w:val="12EC0194"/>
    <w:rsid w:val="131D034D"/>
    <w:rsid w:val="134358DA"/>
    <w:rsid w:val="1356385F"/>
    <w:rsid w:val="13596425"/>
    <w:rsid w:val="1376180B"/>
    <w:rsid w:val="137E6912"/>
    <w:rsid w:val="13836007"/>
    <w:rsid w:val="13A14AC4"/>
    <w:rsid w:val="13DD188A"/>
    <w:rsid w:val="14027543"/>
    <w:rsid w:val="141A2ADF"/>
    <w:rsid w:val="143D5402"/>
    <w:rsid w:val="143F2545"/>
    <w:rsid w:val="1448764C"/>
    <w:rsid w:val="145002AE"/>
    <w:rsid w:val="147A532B"/>
    <w:rsid w:val="148F64BF"/>
    <w:rsid w:val="14DB04C0"/>
    <w:rsid w:val="14E530ED"/>
    <w:rsid w:val="14E94EBB"/>
    <w:rsid w:val="15091456"/>
    <w:rsid w:val="150C03F7"/>
    <w:rsid w:val="151E65FF"/>
    <w:rsid w:val="15282FD9"/>
    <w:rsid w:val="15293C43"/>
    <w:rsid w:val="158226E9"/>
    <w:rsid w:val="159D39C7"/>
    <w:rsid w:val="15A703A2"/>
    <w:rsid w:val="15A85EC8"/>
    <w:rsid w:val="15C56A7A"/>
    <w:rsid w:val="15CE3B81"/>
    <w:rsid w:val="15DF0D88"/>
    <w:rsid w:val="161812A0"/>
    <w:rsid w:val="162E2871"/>
    <w:rsid w:val="16315EBE"/>
    <w:rsid w:val="163A442E"/>
    <w:rsid w:val="16B72867"/>
    <w:rsid w:val="16DF3B6C"/>
    <w:rsid w:val="16E318AE"/>
    <w:rsid w:val="16F47421"/>
    <w:rsid w:val="17013AE2"/>
    <w:rsid w:val="172872C1"/>
    <w:rsid w:val="17306175"/>
    <w:rsid w:val="17342109"/>
    <w:rsid w:val="1739327C"/>
    <w:rsid w:val="17546308"/>
    <w:rsid w:val="17683B61"/>
    <w:rsid w:val="17B9667A"/>
    <w:rsid w:val="18021EF2"/>
    <w:rsid w:val="181266C5"/>
    <w:rsid w:val="18290481"/>
    <w:rsid w:val="183B1275"/>
    <w:rsid w:val="184E71FB"/>
    <w:rsid w:val="186C142F"/>
    <w:rsid w:val="188D7D23"/>
    <w:rsid w:val="18952734"/>
    <w:rsid w:val="18954E2A"/>
    <w:rsid w:val="18D47700"/>
    <w:rsid w:val="18D53478"/>
    <w:rsid w:val="18DE057F"/>
    <w:rsid w:val="19017DC9"/>
    <w:rsid w:val="19037FE5"/>
    <w:rsid w:val="19391017"/>
    <w:rsid w:val="19443653"/>
    <w:rsid w:val="19595E57"/>
    <w:rsid w:val="197B7B7C"/>
    <w:rsid w:val="198C7FDB"/>
    <w:rsid w:val="19996254"/>
    <w:rsid w:val="19B80DD0"/>
    <w:rsid w:val="19C01A32"/>
    <w:rsid w:val="19C257AA"/>
    <w:rsid w:val="19E3647E"/>
    <w:rsid w:val="1A057D8D"/>
    <w:rsid w:val="1A0A53A3"/>
    <w:rsid w:val="1A3B555D"/>
    <w:rsid w:val="1A3D12D5"/>
    <w:rsid w:val="1A8E7D82"/>
    <w:rsid w:val="1AFA5418"/>
    <w:rsid w:val="1B0167A6"/>
    <w:rsid w:val="1B4E306E"/>
    <w:rsid w:val="1B4F12C0"/>
    <w:rsid w:val="1B6D1F0E"/>
    <w:rsid w:val="1BA57132"/>
    <w:rsid w:val="1BB05AD7"/>
    <w:rsid w:val="1BDBADB8"/>
    <w:rsid w:val="1BFC644E"/>
    <w:rsid w:val="1C1F0DE8"/>
    <w:rsid w:val="1C2F10F1"/>
    <w:rsid w:val="1C5A43C0"/>
    <w:rsid w:val="1C705992"/>
    <w:rsid w:val="1C872CDB"/>
    <w:rsid w:val="1C972D18"/>
    <w:rsid w:val="1CB22EFF"/>
    <w:rsid w:val="1CBC7EEB"/>
    <w:rsid w:val="1D3A7D4E"/>
    <w:rsid w:val="1D41732E"/>
    <w:rsid w:val="1D5E7B70"/>
    <w:rsid w:val="1D6A62DB"/>
    <w:rsid w:val="1DC37D43"/>
    <w:rsid w:val="1DD27F86"/>
    <w:rsid w:val="1DD72298"/>
    <w:rsid w:val="1DEC729A"/>
    <w:rsid w:val="1DED3012"/>
    <w:rsid w:val="1DF51446"/>
    <w:rsid w:val="1E0068A1"/>
    <w:rsid w:val="1E1B36DB"/>
    <w:rsid w:val="1E20314D"/>
    <w:rsid w:val="1E543091"/>
    <w:rsid w:val="1E5906A7"/>
    <w:rsid w:val="1E94348E"/>
    <w:rsid w:val="1E9D67E6"/>
    <w:rsid w:val="1EA731C1"/>
    <w:rsid w:val="1ECC2C27"/>
    <w:rsid w:val="1ED3045A"/>
    <w:rsid w:val="1EEB7D15"/>
    <w:rsid w:val="1EF26B32"/>
    <w:rsid w:val="1F152820"/>
    <w:rsid w:val="1F1D16D5"/>
    <w:rsid w:val="1F2B2044"/>
    <w:rsid w:val="1F3D3B25"/>
    <w:rsid w:val="1F443106"/>
    <w:rsid w:val="1F59095F"/>
    <w:rsid w:val="1F5F6ADA"/>
    <w:rsid w:val="1F69491A"/>
    <w:rsid w:val="1F861028"/>
    <w:rsid w:val="1F95077E"/>
    <w:rsid w:val="1FA92F69"/>
    <w:rsid w:val="1FD04999"/>
    <w:rsid w:val="1FE72BC6"/>
    <w:rsid w:val="1FF468DA"/>
    <w:rsid w:val="1FFC578E"/>
    <w:rsid w:val="20234AC9"/>
    <w:rsid w:val="20367649"/>
    <w:rsid w:val="20515ADA"/>
    <w:rsid w:val="20566C4C"/>
    <w:rsid w:val="205F70D2"/>
    <w:rsid w:val="206A26F8"/>
    <w:rsid w:val="206E0FC8"/>
    <w:rsid w:val="208337BA"/>
    <w:rsid w:val="20937EA1"/>
    <w:rsid w:val="20A05C93"/>
    <w:rsid w:val="20B10327"/>
    <w:rsid w:val="20EE50D7"/>
    <w:rsid w:val="210B3EDB"/>
    <w:rsid w:val="21154D5A"/>
    <w:rsid w:val="211A595D"/>
    <w:rsid w:val="2144119B"/>
    <w:rsid w:val="214473ED"/>
    <w:rsid w:val="21507B40"/>
    <w:rsid w:val="215F5FD5"/>
    <w:rsid w:val="216A2C5E"/>
    <w:rsid w:val="216B6728"/>
    <w:rsid w:val="217F6677"/>
    <w:rsid w:val="218855E2"/>
    <w:rsid w:val="21945CDD"/>
    <w:rsid w:val="219A0DBB"/>
    <w:rsid w:val="219E68AA"/>
    <w:rsid w:val="21B53E47"/>
    <w:rsid w:val="21E8421C"/>
    <w:rsid w:val="21FF50C2"/>
    <w:rsid w:val="221B014E"/>
    <w:rsid w:val="221F18D6"/>
    <w:rsid w:val="221F7512"/>
    <w:rsid w:val="223631D9"/>
    <w:rsid w:val="22370D00"/>
    <w:rsid w:val="22381929"/>
    <w:rsid w:val="224D0523"/>
    <w:rsid w:val="22573150"/>
    <w:rsid w:val="22AF0896"/>
    <w:rsid w:val="22DD18A7"/>
    <w:rsid w:val="22DF27E2"/>
    <w:rsid w:val="23046E34"/>
    <w:rsid w:val="2308502F"/>
    <w:rsid w:val="231879A1"/>
    <w:rsid w:val="232E3EB1"/>
    <w:rsid w:val="2335523F"/>
    <w:rsid w:val="23394637"/>
    <w:rsid w:val="23607DE2"/>
    <w:rsid w:val="23803049"/>
    <w:rsid w:val="23B02BC5"/>
    <w:rsid w:val="23CD36CA"/>
    <w:rsid w:val="23ED5B1A"/>
    <w:rsid w:val="23FE7D27"/>
    <w:rsid w:val="24044C11"/>
    <w:rsid w:val="24294678"/>
    <w:rsid w:val="24547947"/>
    <w:rsid w:val="24883EA7"/>
    <w:rsid w:val="248B0E8F"/>
    <w:rsid w:val="249935AC"/>
    <w:rsid w:val="2500187D"/>
    <w:rsid w:val="250F386E"/>
    <w:rsid w:val="25253091"/>
    <w:rsid w:val="254554E2"/>
    <w:rsid w:val="25506360"/>
    <w:rsid w:val="255B4D05"/>
    <w:rsid w:val="258306BF"/>
    <w:rsid w:val="259F061D"/>
    <w:rsid w:val="25AE0DB5"/>
    <w:rsid w:val="25AE0F03"/>
    <w:rsid w:val="25B763DF"/>
    <w:rsid w:val="25BF34E6"/>
    <w:rsid w:val="25C428AA"/>
    <w:rsid w:val="25E66CC5"/>
    <w:rsid w:val="25FD5DBC"/>
    <w:rsid w:val="25FE5651"/>
    <w:rsid w:val="261D1FBA"/>
    <w:rsid w:val="26215F4F"/>
    <w:rsid w:val="26472A30"/>
    <w:rsid w:val="26664EE7"/>
    <w:rsid w:val="266B3893"/>
    <w:rsid w:val="26773DC1"/>
    <w:rsid w:val="26867B60"/>
    <w:rsid w:val="26B11081"/>
    <w:rsid w:val="26E154C3"/>
    <w:rsid w:val="26E52AD8"/>
    <w:rsid w:val="27053663"/>
    <w:rsid w:val="273D0B66"/>
    <w:rsid w:val="274779FD"/>
    <w:rsid w:val="2786250D"/>
    <w:rsid w:val="27A504B9"/>
    <w:rsid w:val="27CC5A46"/>
    <w:rsid w:val="27D50D9F"/>
    <w:rsid w:val="28101DD7"/>
    <w:rsid w:val="283F446A"/>
    <w:rsid w:val="284F6DA3"/>
    <w:rsid w:val="28553C8E"/>
    <w:rsid w:val="28612632"/>
    <w:rsid w:val="286A22CA"/>
    <w:rsid w:val="286E124F"/>
    <w:rsid w:val="288822B5"/>
    <w:rsid w:val="2895052E"/>
    <w:rsid w:val="289A4C22"/>
    <w:rsid w:val="28CA467C"/>
    <w:rsid w:val="28D56B7C"/>
    <w:rsid w:val="28F33BD2"/>
    <w:rsid w:val="291B4ED7"/>
    <w:rsid w:val="292A336C"/>
    <w:rsid w:val="29314551"/>
    <w:rsid w:val="294361DC"/>
    <w:rsid w:val="296879F1"/>
    <w:rsid w:val="29766717"/>
    <w:rsid w:val="299D3B3E"/>
    <w:rsid w:val="29A808AE"/>
    <w:rsid w:val="29ED1E90"/>
    <w:rsid w:val="29EE5620"/>
    <w:rsid w:val="2A1536D4"/>
    <w:rsid w:val="2A2953D2"/>
    <w:rsid w:val="2A61691A"/>
    <w:rsid w:val="2A704DAF"/>
    <w:rsid w:val="2A73489F"/>
    <w:rsid w:val="2A895E70"/>
    <w:rsid w:val="2AA64C74"/>
    <w:rsid w:val="2AB90504"/>
    <w:rsid w:val="2ACB3B4E"/>
    <w:rsid w:val="2AF37D16"/>
    <w:rsid w:val="2AFF35D5"/>
    <w:rsid w:val="2B01074E"/>
    <w:rsid w:val="2B012EED"/>
    <w:rsid w:val="2B05199B"/>
    <w:rsid w:val="2B434271"/>
    <w:rsid w:val="2B4F0E68"/>
    <w:rsid w:val="2B762899"/>
    <w:rsid w:val="2B794137"/>
    <w:rsid w:val="2B7B3A0B"/>
    <w:rsid w:val="2B8F395A"/>
    <w:rsid w:val="2BA03472"/>
    <w:rsid w:val="2BD870AF"/>
    <w:rsid w:val="2BFD08C4"/>
    <w:rsid w:val="2C1856FE"/>
    <w:rsid w:val="2C275941"/>
    <w:rsid w:val="2C4B2AA0"/>
    <w:rsid w:val="2C5C383D"/>
    <w:rsid w:val="2C6D3C9C"/>
    <w:rsid w:val="2C9F6F43"/>
    <w:rsid w:val="2CB73099"/>
    <w:rsid w:val="2CBA4A07"/>
    <w:rsid w:val="2CC6647A"/>
    <w:rsid w:val="2CCE400E"/>
    <w:rsid w:val="2CD0422B"/>
    <w:rsid w:val="2CE126D5"/>
    <w:rsid w:val="2D03086E"/>
    <w:rsid w:val="2D07221A"/>
    <w:rsid w:val="2D0D0FDB"/>
    <w:rsid w:val="2D263E4A"/>
    <w:rsid w:val="2D360531"/>
    <w:rsid w:val="2D3E73E6"/>
    <w:rsid w:val="2D546C0A"/>
    <w:rsid w:val="2D5D6C5F"/>
    <w:rsid w:val="2D713318"/>
    <w:rsid w:val="2D8C0151"/>
    <w:rsid w:val="2D8C63A3"/>
    <w:rsid w:val="2D9708A4"/>
    <w:rsid w:val="2DBB4A92"/>
    <w:rsid w:val="2DC45B3D"/>
    <w:rsid w:val="2DC84F02"/>
    <w:rsid w:val="2DEA4E78"/>
    <w:rsid w:val="2E183793"/>
    <w:rsid w:val="2E3737E1"/>
    <w:rsid w:val="2E47409D"/>
    <w:rsid w:val="2E530C6F"/>
    <w:rsid w:val="2E6D7F83"/>
    <w:rsid w:val="2E8D23D3"/>
    <w:rsid w:val="2E9848D4"/>
    <w:rsid w:val="2EA8720D"/>
    <w:rsid w:val="2EDC2A13"/>
    <w:rsid w:val="2EE30245"/>
    <w:rsid w:val="2F1A353B"/>
    <w:rsid w:val="2F546A4D"/>
    <w:rsid w:val="2F807842"/>
    <w:rsid w:val="2FA774C5"/>
    <w:rsid w:val="2FBF258E"/>
    <w:rsid w:val="2FE98631"/>
    <w:rsid w:val="30124237"/>
    <w:rsid w:val="30180494"/>
    <w:rsid w:val="30316D8E"/>
    <w:rsid w:val="303D3985"/>
    <w:rsid w:val="304765B2"/>
    <w:rsid w:val="30640F12"/>
    <w:rsid w:val="30670569"/>
    <w:rsid w:val="30703D5A"/>
    <w:rsid w:val="307B625B"/>
    <w:rsid w:val="30C85944"/>
    <w:rsid w:val="30C96FC7"/>
    <w:rsid w:val="30D20571"/>
    <w:rsid w:val="30DA5FB3"/>
    <w:rsid w:val="30E6401D"/>
    <w:rsid w:val="311566B0"/>
    <w:rsid w:val="316867E0"/>
    <w:rsid w:val="317258B0"/>
    <w:rsid w:val="317433D6"/>
    <w:rsid w:val="31857392"/>
    <w:rsid w:val="318B0720"/>
    <w:rsid w:val="31B61C41"/>
    <w:rsid w:val="31CB4594"/>
    <w:rsid w:val="31CC1D9A"/>
    <w:rsid w:val="31D25C01"/>
    <w:rsid w:val="31D67BED"/>
    <w:rsid w:val="31F75DB5"/>
    <w:rsid w:val="3216448E"/>
    <w:rsid w:val="32171FB4"/>
    <w:rsid w:val="32250B75"/>
    <w:rsid w:val="324E1E79"/>
    <w:rsid w:val="324F5BF1"/>
    <w:rsid w:val="326C67A3"/>
    <w:rsid w:val="327802F3"/>
    <w:rsid w:val="3291200B"/>
    <w:rsid w:val="32C739DA"/>
    <w:rsid w:val="32CB171C"/>
    <w:rsid w:val="32D103B5"/>
    <w:rsid w:val="32DB74D3"/>
    <w:rsid w:val="32F6606D"/>
    <w:rsid w:val="33024A12"/>
    <w:rsid w:val="330469DC"/>
    <w:rsid w:val="333D3C9C"/>
    <w:rsid w:val="337E22EA"/>
    <w:rsid w:val="33811DDB"/>
    <w:rsid w:val="33857B1D"/>
    <w:rsid w:val="33955886"/>
    <w:rsid w:val="33B6701C"/>
    <w:rsid w:val="33EB644C"/>
    <w:rsid w:val="33F46A50"/>
    <w:rsid w:val="34012F1B"/>
    <w:rsid w:val="34050C5E"/>
    <w:rsid w:val="34207846"/>
    <w:rsid w:val="34585D41"/>
    <w:rsid w:val="34796F56"/>
    <w:rsid w:val="347A44FC"/>
    <w:rsid w:val="34803EC8"/>
    <w:rsid w:val="34A42225"/>
    <w:rsid w:val="34B9379B"/>
    <w:rsid w:val="34C95797"/>
    <w:rsid w:val="34E00D83"/>
    <w:rsid w:val="34F767F8"/>
    <w:rsid w:val="35123632"/>
    <w:rsid w:val="351A24E7"/>
    <w:rsid w:val="35270097"/>
    <w:rsid w:val="352E1AEE"/>
    <w:rsid w:val="357339A5"/>
    <w:rsid w:val="35977693"/>
    <w:rsid w:val="359F479A"/>
    <w:rsid w:val="35AE2C2F"/>
    <w:rsid w:val="35C10210"/>
    <w:rsid w:val="35DC154A"/>
    <w:rsid w:val="35E772E4"/>
    <w:rsid w:val="36201D7F"/>
    <w:rsid w:val="366559E4"/>
    <w:rsid w:val="36951585"/>
    <w:rsid w:val="369770D4"/>
    <w:rsid w:val="369B1405"/>
    <w:rsid w:val="36A6706D"/>
    <w:rsid w:val="36AA5AEC"/>
    <w:rsid w:val="36C22E36"/>
    <w:rsid w:val="36DB3EF8"/>
    <w:rsid w:val="36F6488E"/>
    <w:rsid w:val="377B6E48"/>
    <w:rsid w:val="378D6B0A"/>
    <w:rsid w:val="3793032E"/>
    <w:rsid w:val="379F4ACB"/>
    <w:rsid w:val="37DC3A83"/>
    <w:rsid w:val="37FF87FA"/>
    <w:rsid w:val="380C36C8"/>
    <w:rsid w:val="381274A5"/>
    <w:rsid w:val="381C47C8"/>
    <w:rsid w:val="38237891"/>
    <w:rsid w:val="382504A7"/>
    <w:rsid w:val="38523D46"/>
    <w:rsid w:val="386C12AB"/>
    <w:rsid w:val="387B562F"/>
    <w:rsid w:val="388760E5"/>
    <w:rsid w:val="388F4F9A"/>
    <w:rsid w:val="389E342F"/>
    <w:rsid w:val="38A26A7B"/>
    <w:rsid w:val="38B30C88"/>
    <w:rsid w:val="38C048EA"/>
    <w:rsid w:val="391D4354"/>
    <w:rsid w:val="392456E2"/>
    <w:rsid w:val="395B4E7C"/>
    <w:rsid w:val="39785A2E"/>
    <w:rsid w:val="3995038E"/>
    <w:rsid w:val="39A7493C"/>
    <w:rsid w:val="39DBFAB0"/>
    <w:rsid w:val="3A176FF5"/>
    <w:rsid w:val="3A23576A"/>
    <w:rsid w:val="3A2B2E7D"/>
    <w:rsid w:val="3A3B5C69"/>
    <w:rsid w:val="3A500759"/>
    <w:rsid w:val="3A5E6B4F"/>
    <w:rsid w:val="3A7E52C6"/>
    <w:rsid w:val="3A7E7074"/>
    <w:rsid w:val="3AA50AA5"/>
    <w:rsid w:val="3ABF5D5B"/>
    <w:rsid w:val="3B003F2D"/>
    <w:rsid w:val="3B2E2848"/>
    <w:rsid w:val="3B442B51"/>
    <w:rsid w:val="3B4F136D"/>
    <w:rsid w:val="3B5275F0"/>
    <w:rsid w:val="3BAF03A5"/>
    <w:rsid w:val="3BB30F9F"/>
    <w:rsid w:val="3BD11425"/>
    <w:rsid w:val="3BF861C1"/>
    <w:rsid w:val="3C1C4D96"/>
    <w:rsid w:val="3C4A1903"/>
    <w:rsid w:val="3C591B47"/>
    <w:rsid w:val="3CA25899"/>
    <w:rsid w:val="3CAC611A"/>
    <w:rsid w:val="3CF63839"/>
    <w:rsid w:val="3D233F03"/>
    <w:rsid w:val="3D3954D4"/>
    <w:rsid w:val="3D423942"/>
    <w:rsid w:val="3D581DFE"/>
    <w:rsid w:val="3D600CB3"/>
    <w:rsid w:val="3D672041"/>
    <w:rsid w:val="3D6F7148"/>
    <w:rsid w:val="3DBD4357"/>
    <w:rsid w:val="3DC92CFC"/>
    <w:rsid w:val="3DCF94A2"/>
    <w:rsid w:val="3DE9514C"/>
    <w:rsid w:val="3DEB0EC4"/>
    <w:rsid w:val="3DFF227A"/>
    <w:rsid w:val="3E1F0B6E"/>
    <w:rsid w:val="3E2972F7"/>
    <w:rsid w:val="3E55633E"/>
    <w:rsid w:val="3E6B5B61"/>
    <w:rsid w:val="3E854E75"/>
    <w:rsid w:val="3E907376"/>
    <w:rsid w:val="3EAE7781"/>
    <w:rsid w:val="3EB10224"/>
    <w:rsid w:val="3EB2553E"/>
    <w:rsid w:val="3ED23E32"/>
    <w:rsid w:val="3F027B6D"/>
    <w:rsid w:val="3F0D09C6"/>
    <w:rsid w:val="3F1955BD"/>
    <w:rsid w:val="3F3FB454"/>
    <w:rsid w:val="3F55469F"/>
    <w:rsid w:val="3F731171"/>
    <w:rsid w:val="3F779754"/>
    <w:rsid w:val="3F7F03E3"/>
    <w:rsid w:val="3F984734"/>
    <w:rsid w:val="3FA78228"/>
    <w:rsid w:val="3FAD337C"/>
    <w:rsid w:val="3FAFC05D"/>
    <w:rsid w:val="3FCF3ECE"/>
    <w:rsid w:val="3FE060DB"/>
    <w:rsid w:val="3FF1653A"/>
    <w:rsid w:val="3FFC45CF"/>
    <w:rsid w:val="3FFD6C58"/>
    <w:rsid w:val="405A40DF"/>
    <w:rsid w:val="406867FC"/>
    <w:rsid w:val="40AE7F87"/>
    <w:rsid w:val="40D94C41"/>
    <w:rsid w:val="41197AF6"/>
    <w:rsid w:val="413A3D72"/>
    <w:rsid w:val="4149719B"/>
    <w:rsid w:val="4162149D"/>
    <w:rsid w:val="41635215"/>
    <w:rsid w:val="417B60BB"/>
    <w:rsid w:val="417E7959"/>
    <w:rsid w:val="41B65345"/>
    <w:rsid w:val="41C757A4"/>
    <w:rsid w:val="42002A64"/>
    <w:rsid w:val="423A41C8"/>
    <w:rsid w:val="427D2044"/>
    <w:rsid w:val="42925DB2"/>
    <w:rsid w:val="42982C9D"/>
    <w:rsid w:val="42A41642"/>
    <w:rsid w:val="42D2752E"/>
    <w:rsid w:val="42DF08CC"/>
    <w:rsid w:val="430B16C1"/>
    <w:rsid w:val="43301127"/>
    <w:rsid w:val="43686B13"/>
    <w:rsid w:val="43B12F69"/>
    <w:rsid w:val="43DB72E5"/>
    <w:rsid w:val="443133A9"/>
    <w:rsid w:val="44316F05"/>
    <w:rsid w:val="44753296"/>
    <w:rsid w:val="4497145E"/>
    <w:rsid w:val="449776B0"/>
    <w:rsid w:val="455E20DB"/>
    <w:rsid w:val="458F1038"/>
    <w:rsid w:val="45AC0F39"/>
    <w:rsid w:val="45B74A22"/>
    <w:rsid w:val="45CA5863"/>
    <w:rsid w:val="45DE30BD"/>
    <w:rsid w:val="45E05087"/>
    <w:rsid w:val="45FE550D"/>
    <w:rsid w:val="461E795D"/>
    <w:rsid w:val="463E3B5B"/>
    <w:rsid w:val="4654512D"/>
    <w:rsid w:val="4687467B"/>
    <w:rsid w:val="46C2653A"/>
    <w:rsid w:val="46D7D84A"/>
    <w:rsid w:val="46D85D5E"/>
    <w:rsid w:val="4726479D"/>
    <w:rsid w:val="47290367"/>
    <w:rsid w:val="47371E57"/>
    <w:rsid w:val="473C62ED"/>
    <w:rsid w:val="473F5DDD"/>
    <w:rsid w:val="474223FA"/>
    <w:rsid w:val="477041E8"/>
    <w:rsid w:val="4774055A"/>
    <w:rsid w:val="477912EF"/>
    <w:rsid w:val="4791488A"/>
    <w:rsid w:val="47C50090"/>
    <w:rsid w:val="47FE1767"/>
    <w:rsid w:val="48027536"/>
    <w:rsid w:val="480F4DB2"/>
    <w:rsid w:val="48254FD3"/>
    <w:rsid w:val="48417E13"/>
    <w:rsid w:val="484511D1"/>
    <w:rsid w:val="484F02A2"/>
    <w:rsid w:val="48777D12"/>
    <w:rsid w:val="488066AD"/>
    <w:rsid w:val="488717E9"/>
    <w:rsid w:val="48D367DD"/>
    <w:rsid w:val="48E00EFA"/>
    <w:rsid w:val="48F14348"/>
    <w:rsid w:val="490B241B"/>
    <w:rsid w:val="494871CB"/>
    <w:rsid w:val="4970227E"/>
    <w:rsid w:val="497A30FC"/>
    <w:rsid w:val="49A14B2D"/>
    <w:rsid w:val="49A2495C"/>
    <w:rsid w:val="49FB376E"/>
    <w:rsid w:val="4A227A1C"/>
    <w:rsid w:val="4A315EB1"/>
    <w:rsid w:val="4A325785"/>
    <w:rsid w:val="4A5751EC"/>
    <w:rsid w:val="4A603B63"/>
    <w:rsid w:val="4A68534B"/>
    <w:rsid w:val="4AAA7A11"/>
    <w:rsid w:val="4ACC3E2B"/>
    <w:rsid w:val="4ACE3700"/>
    <w:rsid w:val="4AD96A85"/>
    <w:rsid w:val="4AFB026D"/>
    <w:rsid w:val="4AFC64BF"/>
    <w:rsid w:val="4AFD5D93"/>
    <w:rsid w:val="4B0C5FD6"/>
    <w:rsid w:val="4B4E2A92"/>
    <w:rsid w:val="4B775B45"/>
    <w:rsid w:val="4B7B26B2"/>
    <w:rsid w:val="4B971D44"/>
    <w:rsid w:val="4B9A1834"/>
    <w:rsid w:val="4BB328F5"/>
    <w:rsid w:val="4BC13157"/>
    <w:rsid w:val="4BF278C2"/>
    <w:rsid w:val="4BF61160"/>
    <w:rsid w:val="4C2630C7"/>
    <w:rsid w:val="4C2720F7"/>
    <w:rsid w:val="4C303B79"/>
    <w:rsid w:val="4C4243A5"/>
    <w:rsid w:val="4C6D519A"/>
    <w:rsid w:val="4C917AB4"/>
    <w:rsid w:val="4C983FC5"/>
    <w:rsid w:val="4CA961D2"/>
    <w:rsid w:val="4CB93F3C"/>
    <w:rsid w:val="4CBE1552"/>
    <w:rsid w:val="4CBF22C9"/>
    <w:rsid w:val="4CE03BBE"/>
    <w:rsid w:val="4CEE0089"/>
    <w:rsid w:val="4D3A1520"/>
    <w:rsid w:val="4D467EC5"/>
    <w:rsid w:val="4D534390"/>
    <w:rsid w:val="4D706CF0"/>
    <w:rsid w:val="4D725485"/>
    <w:rsid w:val="4D785BA5"/>
    <w:rsid w:val="4D970721"/>
    <w:rsid w:val="4D9F7583"/>
    <w:rsid w:val="4DAB7D28"/>
    <w:rsid w:val="4DBA7F6B"/>
    <w:rsid w:val="4DE80F7C"/>
    <w:rsid w:val="4E1458CD"/>
    <w:rsid w:val="4E265601"/>
    <w:rsid w:val="4E37780E"/>
    <w:rsid w:val="4E5C7274"/>
    <w:rsid w:val="4E726A98"/>
    <w:rsid w:val="4E802F63"/>
    <w:rsid w:val="4E9D1D67"/>
    <w:rsid w:val="4EA03605"/>
    <w:rsid w:val="4EBB21ED"/>
    <w:rsid w:val="4EBB3F9B"/>
    <w:rsid w:val="4EF23735"/>
    <w:rsid w:val="4F0771E0"/>
    <w:rsid w:val="4F082F58"/>
    <w:rsid w:val="4F0A09C7"/>
    <w:rsid w:val="4F4641AC"/>
    <w:rsid w:val="4F5D14F6"/>
    <w:rsid w:val="4F5D5052"/>
    <w:rsid w:val="4FC41575"/>
    <w:rsid w:val="4FD03A76"/>
    <w:rsid w:val="4FD80B7D"/>
    <w:rsid w:val="4FDD43E5"/>
    <w:rsid w:val="4FF43C08"/>
    <w:rsid w:val="4FFA6D45"/>
    <w:rsid w:val="500D3A84"/>
    <w:rsid w:val="500E459E"/>
    <w:rsid w:val="50334005"/>
    <w:rsid w:val="5038161B"/>
    <w:rsid w:val="50410350"/>
    <w:rsid w:val="504F52E3"/>
    <w:rsid w:val="50C85080"/>
    <w:rsid w:val="50D35197"/>
    <w:rsid w:val="50EF2622"/>
    <w:rsid w:val="50F10148"/>
    <w:rsid w:val="510F05CE"/>
    <w:rsid w:val="511E6A63"/>
    <w:rsid w:val="512E4EF8"/>
    <w:rsid w:val="51442D4D"/>
    <w:rsid w:val="5160707C"/>
    <w:rsid w:val="516C77CE"/>
    <w:rsid w:val="517C0CB4"/>
    <w:rsid w:val="519D4D68"/>
    <w:rsid w:val="5201260D"/>
    <w:rsid w:val="52120376"/>
    <w:rsid w:val="522307D5"/>
    <w:rsid w:val="526130AB"/>
    <w:rsid w:val="52695CFB"/>
    <w:rsid w:val="52862B12"/>
    <w:rsid w:val="52AA2CA4"/>
    <w:rsid w:val="52B21B59"/>
    <w:rsid w:val="52DD4E28"/>
    <w:rsid w:val="52DF3C86"/>
    <w:rsid w:val="52E837CD"/>
    <w:rsid w:val="53080051"/>
    <w:rsid w:val="53236914"/>
    <w:rsid w:val="53283BC9"/>
    <w:rsid w:val="53476745"/>
    <w:rsid w:val="536B4EEB"/>
    <w:rsid w:val="53755060"/>
    <w:rsid w:val="538C05FC"/>
    <w:rsid w:val="539E451F"/>
    <w:rsid w:val="53A70F92"/>
    <w:rsid w:val="53B13BBE"/>
    <w:rsid w:val="53BF62DB"/>
    <w:rsid w:val="5402266C"/>
    <w:rsid w:val="540E7263"/>
    <w:rsid w:val="541505F1"/>
    <w:rsid w:val="542B571F"/>
    <w:rsid w:val="5439223A"/>
    <w:rsid w:val="5441014C"/>
    <w:rsid w:val="5458779C"/>
    <w:rsid w:val="547A0454"/>
    <w:rsid w:val="5480410B"/>
    <w:rsid w:val="549B52D9"/>
    <w:rsid w:val="54A43723"/>
    <w:rsid w:val="54CF7897"/>
    <w:rsid w:val="54D933CD"/>
    <w:rsid w:val="54DA60C8"/>
    <w:rsid w:val="54DF6509"/>
    <w:rsid w:val="54E029AD"/>
    <w:rsid w:val="54E57FC4"/>
    <w:rsid w:val="54EF2BF0"/>
    <w:rsid w:val="550E6ADE"/>
    <w:rsid w:val="55313209"/>
    <w:rsid w:val="553F0BCB"/>
    <w:rsid w:val="55482300"/>
    <w:rsid w:val="556E1434"/>
    <w:rsid w:val="557761E3"/>
    <w:rsid w:val="55A83AF5"/>
    <w:rsid w:val="55E84731"/>
    <w:rsid w:val="561E1EC1"/>
    <w:rsid w:val="56206DD9"/>
    <w:rsid w:val="5630526E"/>
    <w:rsid w:val="563211C9"/>
    <w:rsid w:val="563C147E"/>
    <w:rsid w:val="56505911"/>
    <w:rsid w:val="567333AD"/>
    <w:rsid w:val="567F1D52"/>
    <w:rsid w:val="568A7075"/>
    <w:rsid w:val="569357FD"/>
    <w:rsid w:val="5695689F"/>
    <w:rsid w:val="569D7A29"/>
    <w:rsid w:val="56A96DCF"/>
    <w:rsid w:val="56B56D53"/>
    <w:rsid w:val="56BE4828"/>
    <w:rsid w:val="56CA5ADC"/>
    <w:rsid w:val="56CD1401"/>
    <w:rsid w:val="56D007FF"/>
    <w:rsid w:val="56F444EE"/>
    <w:rsid w:val="57392849"/>
    <w:rsid w:val="57650F48"/>
    <w:rsid w:val="57743881"/>
    <w:rsid w:val="577978D6"/>
    <w:rsid w:val="577A3010"/>
    <w:rsid w:val="578F4AB4"/>
    <w:rsid w:val="57A37CC2"/>
    <w:rsid w:val="57A44166"/>
    <w:rsid w:val="57A557E8"/>
    <w:rsid w:val="57B123DF"/>
    <w:rsid w:val="57B819BF"/>
    <w:rsid w:val="57FB5E4F"/>
    <w:rsid w:val="5838665C"/>
    <w:rsid w:val="5847689F"/>
    <w:rsid w:val="58555460"/>
    <w:rsid w:val="5865319B"/>
    <w:rsid w:val="58AB1524"/>
    <w:rsid w:val="58B303D9"/>
    <w:rsid w:val="58C93758"/>
    <w:rsid w:val="58DA3BB7"/>
    <w:rsid w:val="58EA0AB1"/>
    <w:rsid w:val="58FA7DB6"/>
    <w:rsid w:val="592B61C1"/>
    <w:rsid w:val="59611BE3"/>
    <w:rsid w:val="597204CD"/>
    <w:rsid w:val="597731B4"/>
    <w:rsid w:val="5980475F"/>
    <w:rsid w:val="5980650D"/>
    <w:rsid w:val="5985482F"/>
    <w:rsid w:val="598A738C"/>
    <w:rsid w:val="59A76C35"/>
    <w:rsid w:val="59C4289D"/>
    <w:rsid w:val="59D95C1D"/>
    <w:rsid w:val="59E92304"/>
    <w:rsid w:val="5A0663B8"/>
    <w:rsid w:val="5A1924BD"/>
    <w:rsid w:val="5A225816"/>
    <w:rsid w:val="5A3A2B60"/>
    <w:rsid w:val="5A492DA3"/>
    <w:rsid w:val="5A8913F1"/>
    <w:rsid w:val="5A902780"/>
    <w:rsid w:val="5A932270"/>
    <w:rsid w:val="5AB6510A"/>
    <w:rsid w:val="5AC61022"/>
    <w:rsid w:val="5AC62645"/>
    <w:rsid w:val="5AD05272"/>
    <w:rsid w:val="5AD20FEA"/>
    <w:rsid w:val="5AF745AD"/>
    <w:rsid w:val="5AFA6C28"/>
    <w:rsid w:val="5B113E9E"/>
    <w:rsid w:val="5B177EB7"/>
    <w:rsid w:val="5B215656"/>
    <w:rsid w:val="5B503CBD"/>
    <w:rsid w:val="5B6F05E7"/>
    <w:rsid w:val="5B81656C"/>
    <w:rsid w:val="5B991B08"/>
    <w:rsid w:val="5BC79F6F"/>
    <w:rsid w:val="5BD40616"/>
    <w:rsid w:val="5BF907F8"/>
    <w:rsid w:val="5C050F4B"/>
    <w:rsid w:val="5C125416"/>
    <w:rsid w:val="5C2A09B2"/>
    <w:rsid w:val="5C3C6F62"/>
    <w:rsid w:val="5C3D6937"/>
    <w:rsid w:val="5C58425A"/>
    <w:rsid w:val="5C696B87"/>
    <w:rsid w:val="5C761E49"/>
    <w:rsid w:val="5C82259C"/>
    <w:rsid w:val="5CA00C74"/>
    <w:rsid w:val="5CAE1F2B"/>
    <w:rsid w:val="5CBE6B9C"/>
    <w:rsid w:val="5CC04E72"/>
    <w:rsid w:val="5CD050B5"/>
    <w:rsid w:val="5CE46DB3"/>
    <w:rsid w:val="5CF87D4D"/>
    <w:rsid w:val="5CFF04D1"/>
    <w:rsid w:val="5D002955"/>
    <w:rsid w:val="5D042FB1"/>
    <w:rsid w:val="5D192F00"/>
    <w:rsid w:val="5D276C9F"/>
    <w:rsid w:val="5D3D64C3"/>
    <w:rsid w:val="5D521F6E"/>
    <w:rsid w:val="5D5850AB"/>
    <w:rsid w:val="5D5B7A88"/>
    <w:rsid w:val="5D8D744A"/>
    <w:rsid w:val="5D8F6D1E"/>
    <w:rsid w:val="5D902A97"/>
    <w:rsid w:val="5D9867FA"/>
    <w:rsid w:val="5DAB167E"/>
    <w:rsid w:val="5DBA7B13"/>
    <w:rsid w:val="5DC7295C"/>
    <w:rsid w:val="5DC82230"/>
    <w:rsid w:val="5DDE1A54"/>
    <w:rsid w:val="5DE84681"/>
    <w:rsid w:val="5E1436C8"/>
    <w:rsid w:val="5E2F22B0"/>
    <w:rsid w:val="5E3444BF"/>
    <w:rsid w:val="5E4E4E2C"/>
    <w:rsid w:val="5E56783C"/>
    <w:rsid w:val="5E6EAFF2"/>
    <w:rsid w:val="5EA50BC4"/>
    <w:rsid w:val="5EB56C59"/>
    <w:rsid w:val="5EBF96FF"/>
    <w:rsid w:val="5EDF838C"/>
    <w:rsid w:val="5EEF1947"/>
    <w:rsid w:val="5F053010"/>
    <w:rsid w:val="5F0B4ACB"/>
    <w:rsid w:val="5F313E05"/>
    <w:rsid w:val="5F553F98"/>
    <w:rsid w:val="5F920D48"/>
    <w:rsid w:val="5FD17AC2"/>
    <w:rsid w:val="5FD65450"/>
    <w:rsid w:val="5FDEFEA2"/>
    <w:rsid w:val="60025ECE"/>
    <w:rsid w:val="60045493"/>
    <w:rsid w:val="60455DBA"/>
    <w:rsid w:val="60591866"/>
    <w:rsid w:val="605C71A6"/>
    <w:rsid w:val="606A3A73"/>
    <w:rsid w:val="60732830"/>
    <w:rsid w:val="609E06BC"/>
    <w:rsid w:val="609F196E"/>
    <w:rsid w:val="60A32AE1"/>
    <w:rsid w:val="60D84E80"/>
    <w:rsid w:val="60F4333C"/>
    <w:rsid w:val="60FD0443"/>
    <w:rsid w:val="61025A59"/>
    <w:rsid w:val="61045C75"/>
    <w:rsid w:val="61251748"/>
    <w:rsid w:val="612E684E"/>
    <w:rsid w:val="61452CD9"/>
    <w:rsid w:val="6146003C"/>
    <w:rsid w:val="61616C24"/>
    <w:rsid w:val="61686204"/>
    <w:rsid w:val="61DF5D9B"/>
    <w:rsid w:val="61F730E4"/>
    <w:rsid w:val="62173786"/>
    <w:rsid w:val="622163B3"/>
    <w:rsid w:val="62287742"/>
    <w:rsid w:val="624D53FA"/>
    <w:rsid w:val="626A5FAC"/>
    <w:rsid w:val="628726BA"/>
    <w:rsid w:val="628F5A13"/>
    <w:rsid w:val="629D0130"/>
    <w:rsid w:val="62B56469"/>
    <w:rsid w:val="62B66AFB"/>
    <w:rsid w:val="62BD432E"/>
    <w:rsid w:val="62E775FD"/>
    <w:rsid w:val="632329D3"/>
    <w:rsid w:val="63302D52"/>
    <w:rsid w:val="63640C4D"/>
    <w:rsid w:val="636B1FDC"/>
    <w:rsid w:val="63732C3E"/>
    <w:rsid w:val="639E7AC5"/>
    <w:rsid w:val="63A92B04"/>
    <w:rsid w:val="63BE65AF"/>
    <w:rsid w:val="63C416EC"/>
    <w:rsid w:val="63D95197"/>
    <w:rsid w:val="63DE1DF7"/>
    <w:rsid w:val="63E4035B"/>
    <w:rsid w:val="640F405A"/>
    <w:rsid w:val="641A33C9"/>
    <w:rsid w:val="64245231"/>
    <w:rsid w:val="64C03C61"/>
    <w:rsid w:val="64C5571C"/>
    <w:rsid w:val="64CA6FED"/>
    <w:rsid w:val="64DA334D"/>
    <w:rsid w:val="64EA6F30"/>
    <w:rsid w:val="64F93F45"/>
    <w:rsid w:val="650F518F"/>
    <w:rsid w:val="65167D25"/>
    <w:rsid w:val="654E74BF"/>
    <w:rsid w:val="65562818"/>
    <w:rsid w:val="655645C6"/>
    <w:rsid w:val="655B56FC"/>
    <w:rsid w:val="656B62C3"/>
    <w:rsid w:val="65720290"/>
    <w:rsid w:val="65731133"/>
    <w:rsid w:val="657A4758"/>
    <w:rsid w:val="657B402C"/>
    <w:rsid w:val="65A27D92"/>
    <w:rsid w:val="65CB0B10"/>
    <w:rsid w:val="65E10413"/>
    <w:rsid w:val="65FD2C93"/>
    <w:rsid w:val="66234CA7"/>
    <w:rsid w:val="66473F86"/>
    <w:rsid w:val="664F0CB2"/>
    <w:rsid w:val="666F3B91"/>
    <w:rsid w:val="66860EDB"/>
    <w:rsid w:val="66996E60"/>
    <w:rsid w:val="66A575B3"/>
    <w:rsid w:val="66C920CB"/>
    <w:rsid w:val="66E225B5"/>
    <w:rsid w:val="66E3632D"/>
    <w:rsid w:val="66E8749F"/>
    <w:rsid w:val="66F26544"/>
    <w:rsid w:val="66F61BBC"/>
    <w:rsid w:val="67112E9A"/>
    <w:rsid w:val="671D35ED"/>
    <w:rsid w:val="673F17B5"/>
    <w:rsid w:val="675D60DF"/>
    <w:rsid w:val="677FECC8"/>
    <w:rsid w:val="678D25CA"/>
    <w:rsid w:val="67A45ABC"/>
    <w:rsid w:val="67B4474D"/>
    <w:rsid w:val="67B850C4"/>
    <w:rsid w:val="67D30150"/>
    <w:rsid w:val="67DE40D5"/>
    <w:rsid w:val="67DF6AF4"/>
    <w:rsid w:val="67F46F82"/>
    <w:rsid w:val="685079F2"/>
    <w:rsid w:val="68880F3A"/>
    <w:rsid w:val="68964C95"/>
    <w:rsid w:val="689C0D1F"/>
    <w:rsid w:val="68B367D9"/>
    <w:rsid w:val="68E02B24"/>
    <w:rsid w:val="68F44821"/>
    <w:rsid w:val="69286279"/>
    <w:rsid w:val="6938024E"/>
    <w:rsid w:val="694C025D"/>
    <w:rsid w:val="695B664F"/>
    <w:rsid w:val="695D1084"/>
    <w:rsid w:val="695D65BF"/>
    <w:rsid w:val="696C43B8"/>
    <w:rsid w:val="69735746"/>
    <w:rsid w:val="69886D18"/>
    <w:rsid w:val="69912070"/>
    <w:rsid w:val="69BD230E"/>
    <w:rsid w:val="69D81B09"/>
    <w:rsid w:val="69E71C90"/>
    <w:rsid w:val="69E91EAC"/>
    <w:rsid w:val="69F30635"/>
    <w:rsid w:val="69FD7706"/>
    <w:rsid w:val="6A017062"/>
    <w:rsid w:val="6A0C16F7"/>
    <w:rsid w:val="6A162576"/>
    <w:rsid w:val="6A1D3904"/>
    <w:rsid w:val="6A3A2708"/>
    <w:rsid w:val="6A3C1FDC"/>
    <w:rsid w:val="6A4D243B"/>
    <w:rsid w:val="6A5D1F52"/>
    <w:rsid w:val="6A617C95"/>
    <w:rsid w:val="6A6634FD"/>
    <w:rsid w:val="6A6E0071"/>
    <w:rsid w:val="6A8B4D12"/>
    <w:rsid w:val="6A9E67F3"/>
    <w:rsid w:val="6AB04778"/>
    <w:rsid w:val="6AB9362D"/>
    <w:rsid w:val="6ACA3A8C"/>
    <w:rsid w:val="6B124E35"/>
    <w:rsid w:val="6B367958"/>
    <w:rsid w:val="6B381786"/>
    <w:rsid w:val="6B3E1D84"/>
    <w:rsid w:val="6B6A2B79"/>
    <w:rsid w:val="6B80239C"/>
    <w:rsid w:val="6B826114"/>
    <w:rsid w:val="6B8579B3"/>
    <w:rsid w:val="6BA51E03"/>
    <w:rsid w:val="6BAB3306"/>
    <w:rsid w:val="6BBF215B"/>
    <w:rsid w:val="6BC66F18"/>
    <w:rsid w:val="6BE648F5"/>
    <w:rsid w:val="6BEA5A68"/>
    <w:rsid w:val="6BF30DC0"/>
    <w:rsid w:val="6BF6440D"/>
    <w:rsid w:val="6C1A00FB"/>
    <w:rsid w:val="6C1F3963"/>
    <w:rsid w:val="6C2142DB"/>
    <w:rsid w:val="6C2F2BD6"/>
    <w:rsid w:val="6C3C2D18"/>
    <w:rsid w:val="6C44786E"/>
    <w:rsid w:val="6C5F1FB2"/>
    <w:rsid w:val="6C6D0B73"/>
    <w:rsid w:val="6C891725"/>
    <w:rsid w:val="6CAD5413"/>
    <w:rsid w:val="6CB26586"/>
    <w:rsid w:val="6CC938CF"/>
    <w:rsid w:val="6CD3474E"/>
    <w:rsid w:val="6CD52274"/>
    <w:rsid w:val="6CD65934"/>
    <w:rsid w:val="6CF04872"/>
    <w:rsid w:val="6CF365A1"/>
    <w:rsid w:val="6D062D75"/>
    <w:rsid w:val="6D34343E"/>
    <w:rsid w:val="6D5E2269"/>
    <w:rsid w:val="6D6B4986"/>
    <w:rsid w:val="6D800432"/>
    <w:rsid w:val="6D8869DC"/>
    <w:rsid w:val="6DCEC8C2"/>
    <w:rsid w:val="6DD469CF"/>
    <w:rsid w:val="6DE309C1"/>
    <w:rsid w:val="6DF826BE"/>
    <w:rsid w:val="6E843F52"/>
    <w:rsid w:val="6E895A0C"/>
    <w:rsid w:val="6EBBEF1C"/>
    <w:rsid w:val="6ED22F0F"/>
    <w:rsid w:val="6EF2535F"/>
    <w:rsid w:val="6F12155D"/>
    <w:rsid w:val="6F1277AF"/>
    <w:rsid w:val="6F4EF41A"/>
    <w:rsid w:val="6F6A3147"/>
    <w:rsid w:val="6F732E12"/>
    <w:rsid w:val="6F7915DC"/>
    <w:rsid w:val="6F7D6EFF"/>
    <w:rsid w:val="6F9C76D0"/>
    <w:rsid w:val="6FAD572A"/>
    <w:rsid w:val="6FADD98B"/>
    <w:rsid w:val="6FAF4325"/>
    <w:rsid w:val="6FC0545D"/>
    <w:rsid w:val="6FC860C0"/>
    <w:rsid w:val="6FCF38F2"/>
    <w:rsid w:val="6FCFF70C"/>
    <w:rsid w:val="6FDB5DD9"/>
    <w:rsid w:val="6FEF7AF1"/>
    <w:rsid w:val="6FF45107"/>
    <w:rsid w:val="6FF675F6"/>
    <w:rsid w:val="6FFF835F"/>
    <w:rsid w:val="700A492A"/>
    <w:rsid w:val="700C06A3"/>
    <w:rsid w:val="700E441B"/>
    <w:rsid w:val="70120D53"/>
    <w:rsid w:val="7019691C"/>
    <w:rsid w:val="701E08C7"/>
    <w:rsid w:val="70253512"/>
    <w:rsid w:val="70383246"/>
    <w:rsid w:val="70932323"/>
    <w:rsid w:val="70F133F4"/>
    <w:rsid w:val="710650F2"/>
    <w:rsid w:val="712D267F"/>
    <w:rsid w:val="71384CEB"/>
    <w:rsid w:val="7161057A"/>
    <w:rsid w:val="71706A0F"/>
    <w:rsid w:val="717A5967"/>
    <w:rsid w:val="71810C1C"/>
    <w:rsid w:val="71AD7C63"/>
    <w:rsid w:val="71BB2380"/>
    <w:rsid w:val="71CA25C3"/>
    <w:rsid w:val="71E116BB"/>
    <w:rsid w:val="722F0678"/>
    <w:rsid w:val="724A3704"/>
    <w:rsid w:val="72691DDC"/>
    <w:rsid w:val="727D13E4"/>
    <w:rsid w:val="727D3B37"/>
    <w:rsid w:val="72A20E4A"/>
    <w:rsid w:val="72A72905"/>
    <w:rsid w:val="72B01473"/>
    <w:rsid w:val="72C1224B"/>
    <w:rsid w:val="72C17BAA"/>
    <w:rsid w:val="72C25048"/>
    <w:rsid w:val="72C749C9"/>
    <w:rsid w:val="72DD81B8"/>
    <w:rsid w:val="72DF209E"/>
    <w:rsid w:val="72EE22E1"/>
    <w:rsid w:val="7306587D"/>
    <w:rsid w:val="730833A3"/>
    <w:rsid w:val="733A72D5"/>
    <w:rsid w:val="73563D79"/>
    <w:rsid w:val="737907C3"/>
    <w:rsid w:val="73830C7C"/>
    <w:rsid w:val="738549F4"/>
    <w:rsid w:val="738B5D82"/>
    <w:rsid w:val="73CB43D1"/>
    <w:rsid w:val="73CD1EF7"/>
    <w:rsid w:val="73EF00BF"/>
    <w:rsid w:val="74273CFD"/>
    <w:rsid w:val="74322378"/>
    <w:rsid w:val="7463285B"/>
    <w:rsid w:val="747131CA"/>
    <w:rsid w:val="7476258E"/>
    <w:rsid w:val="74A25BF9"/>
    <w:rsid w:val="74AA54A4"/>
    <w:rsid w:val="74B17A6A"/>
    <w:rsid w:val="74E97204"/>
    <w:rsid w:val="750834C0"/>
    <w:rsid w:val="75152628"/>
    <w:rsid w:val="751C56B1"/>
    <w:rsid w:val="7521074C"/>
    <w:rsid w:val="754049A5"/>
    <w:rsid w:val="754639D2"/>
    <w:rsid w:val="7548217D"/>
    <w:rsid w:val="755EF08E"/>
    <w:rsid w:val="757271FA"/>
    <w:rsid w:val="75BE5F9B"/>
    <w:rsid w:val="75D92DD5"/>
    <w:rsid w:val="75DA6B4D"/>
    <w:rsid w:val="763C3364"/>
    <w:rsid w:val="768F5B89"/>
    <w:rsid w:val="76C770D1"/>
    <w:rsid w:val="76DAA9CB"/>
    <w:rsid w:val="76DE441B"/>
    <w:rsid w:val="76FF0615"/>
    <w:rsid w:val="76FF152C"/>
    <w:rsid w:val="77335508"/>
    <w:rsid w:val="7747539D"/>
    <w:rsid w:val="77514BED"/>
    <w:rsid w:val="775E5A5C"/>
    <w:rsid w:val="777B71C8"/>
    <w:rsid w:val="777FBC86"/>
    <w:rsid w:val="7789082B"/>
    <w:rsid w:val="7791578C"/>
    <w:rsid w:val="779F004E"/>
    <w:rsid w:val="77AE0291"/>
    <w:rsid w:val="77AFCE9C"/>
    <w:rsid w:val="77EB3293"/>
    <w:rsid w:val="77EF417C"/>
    <w:rsid w:val="78160310"/>
    <w:rsid w:val="78177BE5"/>
    <w:rsid w:val="78707CA6"/>
    <w:rsid w:val="78760DAF"/>
    <w:rsid w:val="7883527A"/>
    <w:rsid w:val="78AC47D1"/>
    <w:rsid w:val="78B96EEE"/>
    <w:rsid w:val="78BE2756"/>
    <w:rsid w:val="78C95383"/>
    <w:rsid w:val="78E0091E"/>
    <w:rsid w:val="78E22219"/>
    <w:rsid w:val="790F4D60"/>
    <w:rsid w:val="79330A4E"/>
    <w:rsid w:val="79352A18"/>
    <w:rsid w:val="79426EE3"/>
    <w:rsid w:val="79570BE0"/>
    <w:rsid w:val="797A042B"/>
    <w:rsid w:val="798E6F68"/>
    <w:rsid w:val="79CB0C87"/>
    <w:rsid w:val="79EB1329"/>
    <w:rsid w:val="79FD4EFD"/>
    <w:rsid w:val="79FE105C"/>
    <w:rsid w:val="7A0917AF"/>
    <w:rsid w:val="7A277378"/>
    <w:rsid w:val="7A3E76AA"/>
    <w:rsid w:val="7A460C55"/>
    <w:rsid w:val="7A4C491F"/>
    <w:rsid w:val="7A813A3B"/>
    <w:rsid w:val="7A910122"/>
    <w:rsid w:val="7AA02113"/>
    <w:rsid w:val="7ABC4A73"/>
    <w:rsid w:val="7ACA3634"/>
    <w:rsid w:val="7ACC7DC7"/>
    <w:rsid w:val="7AEE7323"/>
    <w:rsid w:val="7B024B7C"/>
    <w:rsid w:val="7B1623D5"/>
    <w:rsid w:val="7B38234C"/>
    <w:rsid w:val="7B821C79"/>
    <w:rsid w:val="7B8C2698"/>
    <w:rsid w:val="7BD562A2"/>
    <w:rsid w:val="7BDF0A19"/>
    <w:rsid w:val="7BE6624C"/>
    <w:rsid w:val="7BED7F44"/>
    <w:rsid w:val="7C077F70"/>
    <w:rsid w:val="7C1C539B"/>
    <w:rsid w:val="7C422161"/>
    <w:rsid w:val="7C6B04FF"/>
    <w:rsid w:val="7C776EA4"/>
    <w:rsid w:val="7C7951F7"/>
    <w:rsid w:val="7C9B5288"/>
    <w:rsid w:val="7CA26617"/>
    <w:rsid w:val="7CB453F7"/>
    <w:rsid w:val="7CB63E70"/>
    <w:rsid w:val="7CD460A4"/>
    <w:rsid w:val="7CFBAB6C"/>
    <w:rsid w:val="7D1C34FC"/>
    <w:rsid w:val="7D1E6D02"/>
    <w:rsid w:val="7D39684F"/>
    <w:rsid w:val="7D397A50"/>
    <w:rsid w:val="7D4A280A"/>
    <w:rsid w:val="7D7004C3"/>
    <w:rsid w:val="7D785021"/>
    <w:rsid w:val="7D871368"/>
    <w:rsid w:val="7DA97531"/>
    <w:rsid w:val="7DBE286F"/>
    <w:rsid w:val="7DFD554D"/>
    <w:rsid w:val="7E0E3E3D"/>
    <w:rsid w:val="7E1F50D4"/>
    <w:rsid w:val="7E2B07E0"/>
    <w:rsid w:val="7E2D0162"/>
    <w:rsid w:val="7E5F22E5"/>
    <w:rsid w:val="7E675C0B"/>
    <w:rsid w:val="7E722019"/>
    <w:rsid w:val="7E7318ED"/>
    <w:rsid w:val="7E7E3A3C"/>
    <w:rsid w:val="7E7F64E4"/>
    <w:rsid w:val="7E827868"/>
    <w:rsid w:val="7E941F8F"/>
    <w:rsid w:val="7EA036EC"/>
    <w:rsid w:val="7EAD12A3"/>
    <w:rsid w:val="7EBE700C"/>
    <w:rsid w:val="7ECD36F3"/>
    <w:rsid w:val="7ED14F91"/>
    <w:rsid w:val="7EDE7957"/>
    <w:rsid w:val="7EEB25A8"/>
    <w:rsid w:val="7EEEACED"/>
    <w:rsid w:val="7EF3419B"/>
    <w:rsid w:val="7F014A77"/>
    <w:rsid w:val="7F0F3F28"/>
    <w:rsid w:val="7F3D12C8"/>
    <w:rsid w:val="7F405C73"/>
    <w:rsid w:val="7F4219EB"/>
    <w:rsid w:val="7F567244"/>
    <w:rsid w:val="7F5F7EB6"/>
    <w:rsid w:val="7F6D2D0B"/>
    <w:rsid w:val="7F833DB1"/>
    <w:rsid w:val="7F83E04E"/>
    <w:rsid w:val="7FBE8658"/>
    <w:rsid w:val="7FD782BC"/>
    <w:rsid w:val="7FD8234F"/>
    <w:rsid w:val="7FDD34C2"/>
    <w:rsid w:val="7FDFB9C9"/>
    <w:rsid w:val="7FE40CF4"/>
    <w:rsid w:val="7FE900B8"/>
    <w:rsid w:val="7FED4EB5"/>
    <w:rsid w:val="7FF30F37"/>
    <w:rsid w:val="7FFBC0AC"/>
    <w:rsid w:val="7FFC595B"/>
    <w:rsid w:val="7FFF8002"/>
    <w:rsid w:val="97A718DE"/>
    <w:rsid w:val="9BBFD00B"/>
    <w:rsid w:val="9E7D1A54"/>
    <w:rsid w:val="A5FE7E3C"/>
    <w:rsid w:val="A6EEC4E1"/>
    <w:rsid w:val="A7ED4CFD"/>
    <w:rsid w:val="AF6D47D0"/>
    <w:rsid w:val="AFFFD4A5"/>
    <w:rsid w:val="B6C7935C"/>
    <w:rsid w:val="BAFB597B"/>
    <w:rsid w:val="BBE727E7"/>
    <w:rsid w:val="BD3E0A6D"/>
    <w:rsid w:val="BD737697"/>
    <w:rsid w:val="BEF9AD9B"/>
    <w:rsid w:val="BF2FB070"/>
    <w:rsid w:val="BF5BB92A"/>
    <w:rsid w:val="BFDF7761"/>
    <w:rsid w:val="BFFCC7B6"/>
    <w:rsid w:val="CF5FD44C"/>
    <w:rsid w:val="D4DF207F"/>
    <w:rsid w:val="D5FDAA9F"/>
    <w:rsid w:val="D75F3E47"/>
    <w:rsid w:val="D7C3204C"/>
    <w:rsid w:val="DA5EA0B5"/>
    <w:rsid w:val="DDBFF62C"/>
    <w:rsid w:val="DDEF3726"/>
    <w:rsid w:val="DFAB383A"/>
    <w:rsid w:val="DFB9BF01"/>
    <w:rsid w:val="DFD87068"/>
    <w:rsid w:val="E4FFAF2D"/>
    <w:rsid w:val="E6F784D0"/>
    <w:rsid w:val="E7FD883F"/>
    <w:rsid w:val="EF7003D8"/>
    <w:rsid w:val="F1FF006F"/>
    <w:rsid w:val="F35F384F"/>
    <w:rsid w:val="F4EFB42C"/>
    <w:rsid w:val="F57ED4E3"/>
    <w:rsid w:val="F63D405D"/>
    <w:rsid w:val="F6EBC0AA"/>
    <w:rsid w:val="F769E095"/>
    <w:rsid w:val="F7C5CBE3"/>
    <w:rsid w:val="F7F705D4"/>
    <w:rsid w:val="F97F6ABD"/>
    <w:rsid w:val="F9FECD00"/>
    <w:rsid w:val="FA765A18"/>
    <w:rsid w:val="FAEB20D6"/>
    <w:rsid w:val="FAED191C"/>
    <w:rsid w:val="FB64954D"/>
    <w:rsid w:val="FB76588E"/>
    <w:rsid w:val="FB775FD6"/>
    <w:rsid w:val="FBCF0335"/>
    <w:rsid w:val="FBFFBBCE"/>
    <w:rsid w:val="FEBB53F8"/>
    <w:rsid w:val="FEFC27D4"/>
    <w:rsid w:val="FEFF4084"/>
    <w:rsid w:val="FF39AD62"/>
    <w:rsid w:val="FF3E3E40"/>
    <w:rsid w:val="FF7BDB52"/>
    <w:rsid w:val="FFAD8E17"/>
    <w:rsid w:val="FFBFB721"/>
    <w:rsid w:val="FFBFD18E"/>
    <w:rsid w:val="FFDF16A0"/>
    <w:rsid w:val="FFE743DB"/>
    <w:rsid w:val="FFEF230B"/>
    <w:rsid w:val="FFF8D7C5"/>
    <w:rsid w:val="FFFC4E4E"/>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alloon Text"/>
    <w:basedOn w:val="1"/>
    <w:link w:val="30"/>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unhideWhenUsed/>
    <w:qFormat/>
    <w:uiPriority w:val="39"/>
    <w:pPr>
      <w:ind w:left="420" w:leftChars="200"/>
    </w:pPr>
  </w:style>
  <w:style w:type="paragraph" w:styleId="10">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4"/>
    <w:next w:val="4"/>
    <w:link w:val="29"/>
    <w:autoRedefine/>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autoRedefine/>
    <w:qFormat/>
    <w:uiPriority w:val="20"/>
    <w:rPr>
      <w:i/>
      <w:iCs/>
    </w:rPr>
  </w:style>
  <w:style w:type="character" w:styleId="17">
    <w:name w:val="Hyperlink"/>
    <w:basedOn w:val="15"/>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5"/>
    <w:autoRedefine/>
    <w:unhideWhenUsed/>
    <w:qFormat/>
    <w:uiPriority w:val="99"/>
    <w:rPr>
      <w:sz w:val="21"/>
      <w:szCs w:val="21"/>
    </w:rPr>
  </w:style>
  <w:style w:type="paragraph" w:customStyle="1" w:styleId="19">
    <w:name w:val="列出段落1"/>
    <w:basedOn w:val="1"/>
    <w:link w:val="23"/>
    <w:autoRedefine/>
    <w:qFormat/>
    <w:uiPriority w:val="34"/>
    <w:pPr>
      <w:spacing w:line="360" w:lineRule="auto"/>
    </w:pPr>
  </w:style>
  <w:style w:type="character" w:customStyle="1" w:styleId="20">
    <w:name w:val="页眉 字符"/>
    <w:basedOn w:val="15"/>
    <w:link w:val="7"/>
    <w:autoRedefine/>
    <w:qFormat/>
    <w:uiPriority w:val="99"/>
    <w:rPr>
      <w:sz w:val="18"/>
      <w:szCs w:val="18"/>
    </w:rPr>
  </w:style>
  <w:style w:type="character" w:customStyle="1" w:styleId="21">
    <w:name w:val="页脚 字符"/>
    <w:basedOn w:val="15"/>
    <w:link w:val="6"/>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5"/>
    <w:link w:val="19"/>
    <w:autoRedefine/>
    <w:qFormat/>
    <w:uiPriority w:val="34"/>
    <w:rPr>
      <w:rFonts w:asciiTheme="minorHAnsi" w:hAnsiTheme="minorHAnsi" w:eastAsiaTheme="minorEastAsia" w:cstheme="minorBidi"/>
      <w:kern w:val="2"/>
      <w:sz w:val="21"/>
      <w:szCs w:val="22"/>
    </w:rPr>
  </w:style>
  <w:style w:type="character" w:customStyle="1" w:styleId="24">
    <w:name w:val="EndNote Bibliography Title 字符"/>
    <w:basedOn w:val="23"/>
    <w:link w:val="22"/>
    <w:autoRedefine/>
    <w:qFormat/>
    <w:uiPriority w:val="0"/>
    <w:rPr>
      <w:rFonts w:ascii="等线" w:hAnsi="等线" w:eastAsia="等线" w:cstheme="minorBidi"/>
      <w:kern w:val="2"/>
      <w:sz w:val="20"/>
      <w:szCs w:val="22"/>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cstheme="minorBidi"/>
      <w:kern w:val="2"/>
      <w:sz w:val="20"/>
      <w:szCs w:val="22"/>
    </w:rPr>
  </w:style>
  <w:style w:type="character" w:customStyle="1" w:styleId="27">
    <w:name w:val="未处理的提及1"/>
    <w:basedOn w:val="15"/>
    <w:autoRedefine/>
    <w:unhideWhenUsed/>
    <w:qFormat/>
    <w:uiPriority w:val="99"/>
    <w:rPr>
      <w:color w:val="605E5C"/>
      <w:shd w:val="clear" w:color="auto" w:fill="E1DFDD"/>
    </w:rPr>
  </w:style>
  <w:style w:type="character" w:customStyle="1" w:styleId="28">
    <w:name w:val="批注文字 字符"/>
    <w:basedOn w:val="15"/>
    <w:link w:val="4"/>
    <w:autoRedefine/>
    <w:semiHidden/>
    <w:qFormat/>
    <w:uiPriority w:val="99"/>
  </w:style>
  <w:style w:type="character" w:customStyle="1" w:styleId="29">
    <w:name w:val="批注主题 字符"/>
    <w:basedOn w:val="28"/>
    <w:link w:val="12"/>
    <w:autoRedefine/>
    <w:semiHidden/>
    <w:qFormat/>
    <w:uiPriority w:val="99"/>
    <w:rPr>
      <w:b/>
      <w:bCs/>
    </w:rPr>
  </w:style>
  <w:style w:type="character" w:customStyle="1" w:styleId="30">
    <w:name w:val="批注框文本 字符"/>
    <w:basedOn w:val="15"/>
    <w:link w:val="5"/>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5"/>
    <w:link w:val="10"/>
    <w:autoRedefine/>
    <w:semiHidden/>
    <w:qFormat/>
    <w:uiPriority w:val="99"/>
    <w:rPr>
      <w:rFonts w:ascii="宋体" w:hAnsi="宋体" w:eastAsia="宋体" w:cs="宋体"/>
      <w:kern w:val="0"/>
      <w:sz w:val="24"/>
      <w:szCs w:val="24"/>
    </w:rPr>
  </w:style>
  <w:style w:type="character" w:customStyle="1" w:styleId="33">
    <w:name w:val="y2iqfc"/>
    <w:basedOn w:val="15"/>
    <w:autoRedefine/>
    <w:qFormat/>
    <w:uiPriority w:val="0"/>
  </w:style>
  <w:style w:type="character" w:customStyle="1" w:styleId="34">
    <w:name w:val="inner-text-paragraph-org"/>
    <w:basedOn w:val="15"/>
    <w:autoRedefine/>
    <w:qFormat/>
    <w:uiPriority w:val="0"/>
  </w:style>
  <w:style w:type="character" w:customStyle="1" w:styleId="35">
    <w:name w:val="未处理的提及2"/>
    <w:basedOn w:val="15"/>
    <w:autoRedefine/>
    <w:unhideWhenUsed/>
    <w:qFormat/>
    <w:uiPriority w:val="99"/>
    <w:rPr>
      <w:color w:val="605E5C"/>
      <w:shd w:val="clear" w:color="auto" w:fill="E1DFDD"/>
    </w:rPr>
  </w:style>
  <w:style w:type="character" w:customStyle="1" w:styleId="36">
    <w:name w:val="列表段落 字符1"/>
    <w:basedOn w:val="15"/>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9416" w:h="1134" w:hRule="exact" w:hSpace="125" w:vSpace="181" w:wrap="around" w:vAnchor="page" w:hAnchor="page" w:x="1296" w:y="15631" w:anchorLock="1"/>
      <w:pBdr>
        <w:top w:val="single" w:color="auto" w:sz="4" w:space="1"/>
        <w:left w:val="none" w:color="auto" w:sz="0" w:space="4"/>
        <w:bottom w:val="none" w:color="auto" w:sz="0" w:space="1"/>
        <w:right w:val="none" w:color="auto" w:sz="0" w:space="4"/>
      </w:pBdr>
      <w:jc w:val="center"/>
      <w:pPrChange w:id="0" w:author="腾 王" w:date="2025-07-04T22:06: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1" w:author="腾 王" w:date="2025-07-04T22:06:00Z">
        <w:rPr>
          <w:rFonts w:ascii="宋体" w:eastAsia="宋体"/>
          <w:b/>
          <w:spacing w:val="20"/>
          <w:w w:val="135"/>
          <w:sz w:val="28"/>
          <w:lang w:val="en-US" w:eastAsia="zh-CN" w:bidi="ar-SA"/>
        </w:rPr>
      </w:rPrChange>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autoRedefine/>
    <w:qFormat/>
    <w:uiPriority w:val="0"/>
    <w:pPr>
      <w:framePr w:wrap="around"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autoRedefine/>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9">
    <w:name w:val="标准文件_附录表标题"/>
    <w:next w:val="48"/>
    <w:qFormat/>
    <w:uiPriority w:val="0"/>
    <w:p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character" w:customStyle="1" w:styleId="50">
    <w:name w:val="font21"/>
    <w:basedOn w:val="15"/>
    <w:qFormat/>
    <w:uiPriority w:val="0"/>
    <w:rPr>
      <w:rFonts w:hint="eastAsia" w:ascii="宋体" w:hAnsi="宋体" w:eastAsia="宋体" w:cs="宋体"/>
      <w:color w:val="000000"/>
      <w:sz w:val="18"/>
      <w:szCs w:val="18"/>
      <w:u w:val="none"/>
    </w:rPr>
  </w:style>
  <w:style w:type="paragraph" w:customStyle="1" w:styleId="5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styleId="52">
    <w:name w:val="List Paragraph"/>
    <w:basedOn w:val="1"/>
    <w:unhideWhenUsed/>
    <w:qFormat/>
    <w:uiPriority w:val="99"/>
    <w:pPr>
      <w:ind w:firstLine="420" w:firstLineChars="200"/>
    </w:pPr>
  </w:style>
  <w:style w:type="paragraph" w:customStyle="1" w:styleId="5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7009</Words>
  <Characters>8559</Characters>
  <Lines>113</Lines>
  <Paragraphs>31</Paragraphs>
  <TotalTime>0</TotalTime>
  <ScaleCrop>false</ScaleCrop>
  <LinksUpToDate>false</LinksUpToDate>
  <CharactersWithSpaces>8829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2025-06-30T10:20:00Z</dcterms:created>
  <dc:creator>Family</dc:creator>
  <cp:lastModifiedBy>张海洋</cp:lastModifiedBy>
  <cp:lastPrinted>2021-10-23T03:40:00Z</cp:lastPrinted>
  <dcterms:modified xsi:type="dcterms:W3CDTF">2025-08-04T01:39:35Z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4F708431B9B743299915669A93110AB7_13</vt:lpwstr>
  </property>
  <property fmtid="{D5CDD505-2E9C-101B-9397-08002B2CF9AE}" pid="4" name="KSOTemplateDocerSaveRecord">
    <vt:lpwstr>eyJoZGlkIjoiYTFiOTU5N2QyZWQ4YzQwYmY5MWRmZDcxMzY1YjhiZjciLCJ1c2VySWQiOiI1NTQ1MzI2MjYifQ==</vt:lpwstr>
  </property>
</Properties>
</file>