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30262">
      <w:pPr>
        <w:pStyle w:val="33"/>
        <w:framePr w:hSpace="180" w:vSpace="180" w:wrap="around" w:vAnchor="page" w:hAnchor="page" w:x="1536" w:y="384" w:anchorLock="1"/>
        <w:rPr>
          <w:rFonts w:ascii="Times New Roman"/>
          <w:b/>
          <w:bCs/>
        </w:rPr>
      </w:pPr>
      <w:r>
        <w:rPr>
          <w:rFonts w:ascii="Times New Roman"/>
          <w:b/>
          <w:bCs/>
        </w:rPr>
        <w:t>ICS</w:t>
      </w:r>
      <w:r>
        <w:rPr>
          <w:rFonts w:hint="eastAsia" w:ascii="黑体" w:hAnsi="黑体" w:eastAsia="黑体" w:cs="黑体"/>
          <w:b w:val="0"/>
          <w:bCs w:val="0"/>
        </w:rPr>
        <w:t xml:space="preserve"> 11.020</w:t>
      </w:r>
    </w:p>
    <w:p w14:paraId="7F7F3952">
      <w:pPr>
        <w:pStyle w:val="33"/>
        <w:framePr w:hSpace="180" w:vSpace="180" w:wrap="around" w:vAnchor="page" w:hAnchor="page" w:x="1536" w:y="384" w:anchorLock="1"/>
        <w:rPr>
          <w:rFonts w:ascii="Times New Roman"/>
          <w:b/>
          <w:bCs/>
        </w:rPr>
      </w:pPr>
      <w:r>
        <w:rPr>
          <w:rFonts w:ascii="Times New Roman"/>
          <w:b/>
          <w:bCs/>
        </w:rPr>
        <w:t xml:space="preserve">CCS C </w:t>
      </w:r>
      <w:r>
        <w:rPr>
          <w:rFonts w:hint="eastAsia" w:ascii="黑体" w:hAnsi="黑体" w:eastAsia="黑体" w:cs="黑体"/>
          <w:b w:val="0"/>
          <w:bCs w:val="0"/>
        </w:rPr>
        <w:t>05</w:t>
      </w:r>
    </w:p>
    <w:p w14:paraId="0B446E48">
      <w:pPr>
        <w:spacing w:before="2" w:line="310" w:lineRule="auto"/>
        <w:ind w:left="300" w:right="8225"/>
        <w:rPr>
          <w:rFonts w:ascii="Times New Roman" w:hAnsi="Times New Roman" w:eastAsia="宋体" w:cs="Times New Roman"/>
          <w:b/>
          <w:bCs/>
          <w:color w:val="000000"/>
          <w:w w:val="99"/>
          <w:szCs w:val="21"/>
        </w:rPr>
      </w:pPr>
      <w:r>
        <w:rPr>
          <w:rFonts w:hint="eastAsia" w:eastAsia="宋体"/>
        </w:rPr>
        <w:drawing>
          <wp:anchor distT="0" distB="0" distL="114300" distR="114300" simplePos="0" relativeHeight="251672576" behindDoc="1" locked="0" layoutInCell="1" allowOverlap="1">
            <wp:simplePos x="0" y="0"/>
            <wp:positionH relativeFrom="column">
              <wp:posOffset>253365</wp:posOffset>
            </wp:positionH>
            <wp:positionV relativeFrom="paragraph">
              <wp:posOffset>-306705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4"/>
                    <a:stretch>
                      <a:fillRect/>
                    </a:stretch>
                  </pic:blipFill>
                  <pic:spPr>
                    <a:xfrm>
                      <a:off x="0" y="0"/>
                      <a:ext cx="977900" cy="944880"/>
                    </a:xfrm>
                    <a:prstGeom prst="rect">
                      <a:avLst/>
                    </a:prstGeom>
                  </pic:spPr>
                </pic:pic>
              </a:graphicData>
            </a:graphic>
          </wp:anchor>
        </w:drawing>
      </w:r>
      <w:r>
        <w:rPr>
          <w:rFonts w:ascii="宋体" w:hAnsi="宋体"/>
          <w:kern w:val="0"/>
          <w:sz w:val="21"/>
          <w:szCs w:val="21"/>
        </w:rPr>
        <w:drawing>
          <wp:anchor distT="0" distB="0" distL="114300" distR="114300" simplePos="0" relativeHeight="251666432" behindDoc="1" locked="0" layoutInCell="1" allowOverlap="1">
            <wp:simplePos x="0" y="0"/>
            <wp:positionH relativeFrom="column">
              <wp:posOffset>4345305</wp:posOffset>
            </wp:positionH>
            <wp:positionV relativeFrom="paragraph">
              <wp:posOffset>-443865</wp:posOffset>
            </wp:positionV>
            <wp:extent cx="666115" cy="794385"/>
            <wp:effectExtent l="0" t="0" r="635" b="5080"/>
            <wp:wrapNone/>
            <wp:docPr id="22"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eb17a196bc65457bd63b33c32fb5c54"/>
                    <pic:cNvPicPr>
                      <a:picLocks noChangeAspect="1"/>
                    </pic:cNvPicPr>
                  </pic:nvPicPr>
                  <pic:blipFill>
                    <a:blip r:embed="rId25"/>
                    <a:stretch>
                      <a:fillRect/>
                    </a:stretch>
                  </pic:blipFill>
                  <pic:spPr>
                    <a:xfrm>
                      <a:off x="0" y="0"/>
                      <a:ext cx="666115" cy="794385"/>
                    </a:xfrm>
                    <a:prstGeom prst="rect">
                      <a:avLst/>
                    </a:prstGeom>
                    <a:noFill/>
                    <a:ln>
                      <a:noFill/>
                    </a:ln>
                  </pic:spPr>
                </pic:pic>
              </a:graphicData>
            </a:graphic>
          </wp:anchor>
        </w:drawing>
      </w:r>
    </w:p>
    <w:p w14:paraId="60C9CCE6">
      <w:pPr>
        <w:spacing w:before="2" w:line="310" w:lineRule="auto"/>
        <w:ind w:left="300" w:right="8225"/>
        <w:rPr>
          <w:rFonts w:ascii="Times New Roman" w:hAnsi="Times New Roman" w:eastAsia="宋体" w:cs="Times New Roman"/>
          <w:b/>
          <w:bCs/>
          <w:color w:val="000000"/>
          <w:w w:val="99"/>
          <w:szCs w:val="21"/>
        </w:rPr>
      </w:pPr>
    </w:p>
    <w:p w14:paraId="286311A5">
      <w:pPr>
        <w:spacing w:line="240" w:lineRule="exact"/>
        <w:rPr>
          <w:rFonts w:ascii="Times New Roman" w:hAnsi="Times New Roman" w:eastAsia="宋体" w:cs="Times New Roman"/>
          <w:w w:val="99"/>
          <w:sz w:val="24"/>
          <w:szCs w:val="24"/>
        </w:rPr>
      </w:pPr>
    </w:p>
    <w:p w14:paraId="7BA8B025">
      <w:pPr>
        <w:spacing w:after="1" w:line="240" w:lineRule="exact"/>
        <w:rPr>
          <w:rFonts w:ascii="Times New Roman" w:hAnsi="Times New Roman" w:eastAsia="宋体" w:cs="Times New Roman"/>
          <w:w w:val="99"/>
          <w:sz w:val="24"/>
          <w:szCs w:val="24"/>
        </w:rPr>
      </w:pPr>
    </w:p>
    <w:p w14:paraId="2D65EB3D">
      <w:pPr>
        <w:pStyle w:val="34"/>
        <w:framePr w:w="8178" w:h="856" w:hRule="exact" w:hSpace="181" w:vSpace="181" w:wrap="around" w:vAnchor="page" w:hAnchor="page" w:x="2055" w:y="2221" w:anchorLock="1"/>
        <w:rPr>
          <w:rFonts w:hint="eastAsia" w:ascii="黑体" w:hAnsi="黑体" w:eastAsia="黑体"/>
          <w:b w:val="0"/>
          <w:sz w:val="56"/>
          <w:szCs w:val="52"/>
        </w:rPr>
      </w:pPr>
      <w:r>
        <w:rPr>
          <w:rFonts w:hint="eastAsia" w:ascii="黑体" w:hAnsi="黑体"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5B57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FB42027">
            <w:pPr>
              <w:pStyle w:val="37"/>
              <w:framePr w:wrap="around" w:x="1382" w:y="3031"/>
              <w:rPr>
                <w:lang w:val="fr-FR"/>
              </w:rPr>
            </w:pPr>
            <w:r>
              <w:rPr>
                <w:rFonts w:ascii="Times New Roman"/>
                <w:b/>
                <w:bCs/>
                <w:lang w:val="fr-FR"/>
              </w:rPr>
              <w:t>T/C</w:t>
            </w:r>
            <w:bookmarkStart w:id="0" w:name="StdNo1"/>
            <w:r>
              <w:rPr>
                <w:rFonts w:ascii="Times New Roman"/>
                <w:b/>
                <w:bCs/>
                <w:lang w:val="fr-FR"/>
              </w:rPr>
              <w:t>RHA</w:t>
            </w:r>
            <w:bookmarkEnd w:id="0"/>
            <w:r>
              <w:rPr>
                <w:rFonts w:hint="eastAsia" w:ascii="Times New Roman"/>
                <w:lang w:val="fr-FR"/>
              </w:rPr>
              <w:t xml:space="preserve"> </w:t>
            </w:r>
            <w:r>
              <w:rPr>
                <w:rFonts w:hint="eastAsia" w:ascii="黑体" w:hAnsi="黑体" w:cs="黑体"/>
                <w:lang w:val="en-US" w:eastAsia="zh-CN"/>
              </w:rPr>
              <w:t>181</w:t>
            </w:r>
            <w:r>
              <w:rPr>
                <w:rFonts w:hint="eastAsia" w:hAnsi="黑体" w:cs="黑体"/>
                <w:lang w:val="fr-FR"/>
              </w:rPr>
              <w:t>—202</w:t>
            </w:r>
            <w:r>
              <w:rPr>
                <w:rFonts w:hint="eastAsia" w:hAnsi="黑体" w:cs="黑体"/>
                <w:lang w:val="en-US" w:eastAsia="zh-CN"/>
              </w:rPr>
              <w:t>5</w:t>
            </w:r>
          </w:p>
        </w:tc>
      </w:tr>
    </w:tbl>
    <w:p w14:paraId="3A03A35A">
      <w:pPr>
        <w:pStyle w:val="37"/>
        <w:framePr w:wrap="around" w:x="1382" w:y="3031"/>
        <w:jc w:val="center"/>
        <w:rPr>
          <w:lang w:val="fr-FR"/>
        </w:rPr>
      </w:pPr>
      <w:r>
        <w:rPr>
          <w:rFonts w:hint="eastAsia"/>
          <w:lang w:val="fr-FR"/>
        </w:rPr>
        <w:t>————————————————————————————————————————</w:t>
      </w:r>
    </w:p>
    <w:p w14:paraId="3B4FCEC9">
      <w:pPr>
        <w:pStyle w:val="37"/>
        <w:framePr w:wrap="around" w:x="1382" w:y="3031"/>
        <w:rPr>
          <w:lang w:val="fr-FR"/>
        </w:rPr>
      </w:pPr>
    </w:p>
    <w:p w14:paraId="273A5296">
      <w:pPr>
        <w:spacing w:line="240" w:lineRule="exact"/>
        <w:rPr>
          <w:rFonts w:ascii="Times New Roman" w:hAnsi="Times New Roman" w:eastAsia="宋体"/>
          <w:sz w:val="24"/>
          <w:szCs w:val="24"/>
        </w:rPr>
      </w:pPr>
    </w:p>
    <w:p w14:paraId="3E338ECC">
      <w:pPr>
        <w:spacing w:line="240" w:lineRule="exact"/>
        <w:rPr>
          <w:rFonts w:ascii="Times New Roman" w:hAnsi="Times New Roman" w:eastAsia="宋体"/>
          <w:sz w:val="24"/>
          <w:szCs w:val="24"/>
        </w:rPr>
      </w:pPr>
    </w:p>
    <w:p w14:paraId="5AF9FE33">
      <w:pPr>
        <w:spacing w:line="240" w:lineRule="exact"/>
        <w:rPr>
          <w:rFonts w:ascii="Times New Roman" w:hAnsi="Times New Roman" w:eastAsia="宋体"/>
          <w:sz w:val="24"/>
          <w:szCs w:val="24"/>
        </w:rPr>
      </w:pPr>
    </w:p>
    <w:p w14:paraId="4EBBED77">
      <w:pPr>
        <w:spacing w:line="240" w:lineRule="exact"/>
        <w:rPr>
          <w:rFonts w:ascii="Times New Roman" w:hAnsi="Times New Roman" w:eastAsia="宋体"/>
          <w:sz w:val="24"/>
          <w:szCs w:val="24"/>
        </w:rPr>
      </w:pPr>
    </w:p>
    <w:p w14:paraId="1A91D675">
      <w:pPr>
        <w:spacing w:line="240" w:lineRule="exact"/>
        <w:rPr>
          <w:rFonts w:ascii="Times New Roman" w:hAnsi="Times New Roman" w:eastAsia="宋体"/>
          <w:sz w:val="24"/>
          <w:szCs w:val="24"/>
        </w:rPr>
      </w:pPr>
      <w:bookmarkStart w:id="34" w:name="_GoBack"/>
      <w:bookmarkEnd w:id="34"/>
    </w:p>
    <w:p w14:paraId="67DD1361">
      <w:pPr>
        <w:spacing w:line="240" w:lineRule="exact"/>
        <w:rPr>
          <w:rFonts w:ascii="Times New Roman" w:hAnsi="Times New Roman" w:eastAsia="宋体"/>
          <w:sz w:val="24"/>
          <w:szCs w:val="24"/>
        </w:rPr>
      </w:pPr>
    </w:p>
    <w:p w14:paraId="273D5804">
      <w:pPr>
        <w:spacing w:line="360" w:lineRule="auto"/>
        <w:rPr>
          <w:rFonts w:ascii="Times New Roman" w:hAnsi="Times New Roman" w:eastAsia="宋体"/>
          <w:sz w:val="24"/>
          <w:szCs w:val="24"/>
        </w:rPr>
      </w:pPr>
    </w:p>
    <w:p w14:paraId="77665AE1">
      <w:pPr>
        <w:spacing w:line="360" w:lineRule="auto"/>
        <w:rPr>
          <w:rFonts w:ascii="Times New Roman" w:hAnsi="Times New Roman" w:eastAsia="宋体"/>
          <w:sz w:val="24"/>
          <w:szCs w:val="24"/>
        </w:rPr>
      </w:pPr>
    </w:p>
    <w:p w14:paraId="602D93C7">
      <w:pPr>
        <w:spacing w:line="360" w:lineRule="auto"/>
        <w:jc w:val="center"/>
        <w:rPr>
          <w:rFonts w:ascii="黑体" w:hAnsi="黑体" w:eastAsia="黑体" w:cs="Calibri"/>
          <w:color w:val="000000"/>
          <w:spacing w:val="40"/>
          <w:sz w:val="48"/>
          <w:szCs w:val="48"/>
        </w:rPr>
      </w:pPr>
      <w:r>
        <w:rPr>
          <w:rFonts w:hint="eastAsia" w:ascii="黑体" w:hAnsi="黑体" w:eastAsia="黑体" w:cs="Calibri"/>
          <w:color w:val="000000"/>
          <w:spacing w:val="40"/>
          <w:sz w:val="48"/>
          <w:szCs w:val="48"/>
        </w:rPr>
        <w:t>脊髓性肌萎缩症“</w:t>
      </w:r>
      <w:r>
        <w:rPr>
          <w:rFonts w:hint="eastAsia" w:ascii="黑体" w:hAnsi="黑体" w:eastAsia="黑体" w:cs="宋体"/>
          <w:color w:val="000000"/>
          <w:spacing w:val="40"/>
          <w:sz w:val="48"/>
          <w:szCs w:val="48"/>
        </w:rPr>
        <w:t>筛查</w:t>
      </w:r>
      <w:r>
        <w:rPr>
          <w:rFonts w:ascii="黑体" w:hAnsi="黑体" w:eastAsia="黑体" w:cs="Calibri"/>
          <w:color w:val="000000"/>
          <w:spacing w:val="40"/>
          <w:sz w:val="48"/>
          <w:szCs w:val="48"/>
        </w:rPr>
        <w:t>-</w:t>
      </w:r>
      <w:r>
        <w:rPr>
          <w:rFonts w:hint="eastAsia" w:ascii="黑体" w:hAnsi="黑体" w:eastAsia="黑体" w:cs="宋体"/>
          <w:color w:val="000000"/>
          <w:spacing w:val="40"/>
          <w:sz w:val="48"/>
          <w:szCs w:val="48"/>
        </w:rPr>
        <w:t>诊断</w:t>
      </w:r>
      <w:r>
        <w:rPr>
          <w:rFonts w:ascii="黑体" w:hAnsi="黑体" w:eastAsia="黑体" w:cs="Calibri"/>
          <w:color w:val="000000"/>
          <w:spacing w:val="40"/>
          <w:sz w:val="48"/>
          <w:szCs w:val="48"/>
        </w:rPr>
        <w:t>-</w:t>
      </w:r>
      <w:r>
        <w:rPr>
          <w:rFonts w:hint="eastAsia" w:ascii="黑体" w:hAnsi="黑体" w:eastAsia="黑体" w:cs="宋体"/>
          <w:color w:val="000000"/>
          <w:spacing w:val="40"/>
          <w:sz w:val="48"/>
          <w:szCs w:val="48"/>
        </w:rPr>
        <w:t>治疗”一体化中心建设标准</w:t>
      </w:r>
    </w:p>
    <w:p w14:paraId="6E781EFF">
      <w:pPr>
        <w:spacing w:after="90" w:line="360" w:lineRule="auto"/>
        <w:jc w:val="center"/>
        <w:rPr>
          <w:rFonts w:ascii="Times New Roman" w:hAnsi="Times New Roman" w:eastAsia="宋体" w:cs="Times New Roman"/>
          <w:sz w:val="24"/>
          <w:szCs w:val="24"/>
        </w:rPr>
      </w:pPr>
      <w:r>
        <w:rPr>
          <w:rFonts w:ascii="Times New Roman" w:hAnsi="Times New Roman" w:eastAsia="宋体" w:cs="Times New Roman"/>
          <w:b w:val="0"/>
          <w:bCs w:val="0"/>
          <w:color w:val="000000"/>
          <w:spacing w:val="1"/>
          <w:sz w:val="28"/>
          <w:szCs w:val="28"/>
        </w:rPr>
        <w:t xml:space="preserve">Spinal </w:t>
      </w:r>
      <w:r>
        <w:rPr>
          <w:rFonts w:hint="eastAsia" w:ascii="Times New Roman" w:hAnsi="Times New Roman" w:eastAsia="宋体" w:cs="Times New Roman"/>
          <w:b w:val="0"/>
          <w:bCs w:val="0"/>
          <w:color w:val="000000"/>
          <w:spacing w:val="1"/>
          <w:sz w:val="28"/>
          <w:szCs w:val="28"/>
        </w:rPr>
        <w:t>m</w:t>
      </w:r>
      <w:r>
        <w:rPr>
          <w:rFonts w:ascii="Times New Roman" w:hAnsi="Times New Roman" w:eastAsia="宋体" w:cs="Times New Roman"/>
          <w:b w:val="0"/>
          <w:bCs w:val="0"/>
          <w:color w:val="000000"/>
          <w:spacing w:val="1"/>
          <w:sz w:val="28"/>
          <w:szCs w:val="28"/>
        </w:rPr>
        <w:t xml:space="preserve">uscular </w:t>
      </w:r>
      <w:r>
        <w:rPr>
          <w:rFonts w:hint="eastAsia" w:ascii="Times New Roman" w:hAnsi="Times New Roman" w:eastAsia="宋体" w:cs="Times New Roman"/>
          <w:b w:val="0"/>
          <w:bCs w:val="0"/>
          <w:color w:val="000000"/>
          <w:spacing w:val="1"/>
          <w:sz w:val="28"/>
          <w:szCs w:val="28"/>
        </w:rPr>
        <w:t>a</w:t>
      </w:r>
      <w:r>
        <w:rPr>
          <w:rFonts w:ascii="Times New Roman" w:hAnsi="Times New Roman" w:eastAsia="宋体" w:cs="Times New Roman"/>
          <w:b w:val="0"/>
          <w:bCs w:val="0"/>
          <w:color w:val="000000"/>
          <w:spacing w:val="1"/>
          <w:sz w:val="28"/>
          <w:szCs w:val="28"/>
        </w:rPr>
        <w:t>trophy "</w:t>
      </w:r>
      <w:r>
        <w:rPr>
          <w:rFonts w:hint="eastAsia" w:ascii="Times New Roman" w:hAnsi="Times New Roman" w:eastAsia="宋体" w:cs="Times New Roman"/>
          <w:b w:val="0"/>
          <w:bCs w:val="0"/>
          <w:color w:val="000000"/>
          <w:spacing w:val="1"/>
          <w:sz w:val="28"/>
          <w:szCs w:val="28"/>
        </w:rPr>
        <w:t>s</w:t>
      </w:r>
      <w:r>
        <w:rPr>
          <w:rFonts w:ascii="Times New Roman" w:hAnsi="Times New Roman" w:eastAsia="宋体" w:cs="Times New Roman"/>
          <w:b w:val="0"/>
          <w:bCs w:val="0"/>
          <w:color w:val="000000"/>
          <w:spacing w:val="1"/>
          <w:sz w:val="28"/>
          <w:szCs w:val="28"/>
        </w:rPr>
        <w:t>creening-</w:t>
      </w:r>
      <w:r>
        <w:rPr>
          <w:rFonts w:hint="eastAsia" w:ascii="Times New Roman" w:hAnsi="Times New Roman" w:eastAsia="宋体" w:cs="Times New Roman"/>
          <w:b w:val="0"/>
          <w:bCs w:val="0"/>
          <w:color w:val="000000"/>
          <w:spacing w:val="1"/>
          <w:sz w:val="28"/>
          <w:szCs w:val="28"/>
        </w:rPr>
        <w:t>d</w:t>
      </w:r>
      <w:r>
        <w:rPr>
          <w:rFonts w:ascii="Times New Roman" w:hAnsi="Times New Roman" w:eastAsia="宋体" w:cs="Times New Roman"/>
          <w:b w:val="0"/>
          <w:bCs w:val="0"/>
          <w:color w:val="000000"/>
          <w:spacing w:val="1"/>
          <w:sz w:val="28"/>
          <w:szCs w:val="28"/>
        </w:rPr>
        <w:t>iagnosis-</w:t>
      </w:r>
      <w:r>
        <w:rPr>
          <w:rFonts w:hint="eastAsia" w:ascii="Times New Roman" w:hAnsi="Times New Roman" w:eastAsia="宋体" w:cs="Times New Roman"/>
          <w:b w:val="0"/>
          <w:bCs w:val="0"/>
          <w:color w:val="000000"/>
          <w:spacing w:val="1"/>
          <w:sz w:val="28"/>
          <w:szCs w:val="28"/>
        </w:rPr>
        <w:t>t</w:t>
      </w:r>
      <w:r>
        <w:rPr>
          <w:rFonts w:ascii="Times New Roman" w:hAnsi="Times New Roman" w:eastAsia="宋体" w:cs="Times New Roman"/>
          <w:b w:val="0"/>
          <w:bCs w:val="0"/>
          <w:color w:val="000000"/>
          <w:spacing w:val="1"/>
          <w:sz w:val="28"/>
          <w:szCs w:val="28"/>
        </w:rPr>
        <w:t xml:space="preserve">reatment" </w:t>
      </w:r>
      <w:r>
        <w:rPr>
          <w:rFonts w:hint="eastAsia" w:ascii="Times New Roman" w:hAnsi="Times New Roman" w:eastAsia="宋体" w:cs="Times New Roman"/>
          <w:b w:val="0"/>
          <w:bCs w:val="0"/>
          <w:color w:val="000000"/>
          <w:spacing w:val="1"/>
          <w:sz w:val="28"/>
          <w:szCs w:val="28"/>
        </w:rPr>
        <w:t>i</w:t>
      </w:r>
      <w:r>
        <w:rPr>
          <w:rFonts w:ascii="Times New Roman" w:hAnsi="Times New Roman" w:eastAsia="宋体" w:cs="Times New Roman"/>
          <w:b w:val="0"/>
          <w:bCs w:val="0"/>
          <w:color w:val="000000"/>
          <w:spacing w:val="1"/>
          <w:sz w:val="28"/>
          <w:szCs w:val="28"/>
        </w:rPr>
        <w:t xml:space="preserve">ntegrated </w:t>
      </w:r>
      <w:r>
        <w:rPr>
          <w:rFonts w:hint="eastAsia" w:ascii="Times New Roman" w:hAnsi="Times New Roman" w:eastAsia="宋体" w:cs="Times New Roman"/>
          <w:b w:val="0"/>
          <w:bCs w:val="0"/>
          <w:color w:val="000000"/>
          <w:spacing w:val="1"/>
          <w:sz w:val="28"/>
          <w:szCs w:val="28"/>
        </w:rPr>
        <w:t>c</w:t>
      </w:r>
      <w:r>
        <w:rPr>
          <w:rFonts w:ascii="Times New Roman" w:hAnsi="Times New Roman" w:eastAsia="宋体" w:cs="Times New Roman"/>
          <w:b w:val="0"/>
          <w:bCs w:val="0"/>
          <w:color w:val="000000"/>
          <w:spacing w:val="1"/>
          <w:sz w:val="28"/>
          <w:szCs w:val="28"/>
        </w:rPr>
        <w:t xml:space="preserve">enter </w:t>
      </w:r>
      <w:r>
        <w:rPr>
          <w:rFonts w:hint="eastAsia" w:ascii="Times New Roman" w:hAnsi="Times New Roman" w:eastAsia="宋体" w:cs="Times New Roman"/>
          <w:b w:val="0"/>
          <w:bCs w:val="0"/>
          <w:color w:val="000000"/>
          <w:spacing w:val="1"/>
          <w:sz w:val="28"/>
          <w:szCs w:val="28"/>
        </w:rPr>
        <w:t>c</w:t>
      </w:r>
      <w:r>
        <w:rPr>
          <w:rFonts w:ascii="Times New Roman" w:hAnsi="Times New Roman" w:eastAsia="宋体" w:cs="Times New Roman"/>
          <w:b w:val="0"/>
          <w:bCs w:val="0"/>
          <w:color w:val="000000"/>
          <w:spacing w:val="1"/>
          <w:sz w:val="28"/>
          <w:szCs w:val="28"/>
        </w:rPr>
        <w:t xml:space="preserve">onstruction </w:t>
      </w:r>
      <w:r>
        <w:rPr>
          <w:rFonts w:hint="eastAsia" w:ascii="Times New Roman" w:hAnsi="Times New Roman" w:eastAsia="宋体" w:cs="Times New Roman"/>
          <w:b w:val="0"/>
          <w:bCs w:val="0"/>
          <w:color w:val="000000"/>
          <w:spacing w:val="1"/>
          <w:sz w:val="28"/>
          <w:szCs w:val="28"/>
        </w:rPr>
        <w:t>c</w:t>
      </w:r>
      <w:r>
        <w:rPr>
          <w:rFonts w:ascii="Times New Roman" w:hAnsi="Times New Roman" w:eastAsia="宋体" w:cs="Times New Roman"/>
          <w:b w:val="0"/>
          <w:bCs w:val="0"/>
          <w:color w:val="000000"/>
          <w:spacing w:val="1"/>
          <w:sz w:val="28"/>
          <w:szCs w:val="28"/>
        </w:rPr>
        <w:t>riteria</w:t>
      </w:r>
    </w:p>
    <w:p w14:paraId="1149FBF3">
      <w:pPr>
        <w:spacing w:after="12" w:line="200" w:lineRule="exact"/>
        <w:rPr>
          <w:rFonts w:ascii="Times New Roman" w:hAnsi="Times New Roman" w:eastAsia="宋体" w:cs="Times New Roman"/>
          <w:sz w:val="20"/>
          <w:szCs w:val="20"/>
        </w:rPr>
      </w:pPr>
    </w:p>
    <w:p w14:paraId="5E534E8D">
      <w:pPr>
        <w:ind w:left="3263" w:right="-20"/>
        <w:rPr>
          <w:rFonts w:ascii="Times New Roman" w:hAnsi="Times New Roman" w:eastAsia="宋体"/>
          <w:color w:val="000000"/>
          <w:sz w:val="28"/>
          <w:szCs w:val="28"/>
        </w:rPr>
      </w:pPr>
      <w:r>
        <w:rPr>
          <w:rFonts w:hint="eastAsia" w:ascii="Times New Roman" w:hAnsi="Times New Roman" w:eastAsia="宋体" w:cs="Calibri"/>
          <w:color w:val="000000"/>
          <w:spacing w:val="0"/>
          <w:sz w:val="28"/>
          <w:szCs w:val="28"/>
        </w:rPr>
        <w:t>（征求意见稿</w:t>
      </w:r>
      <w:r>
        <w:rPr>
          <w:rFonts w:ascii="Times New Roman" w:hAnsi="Times New Roman" w:eastAsia="宋体" w:cs="Calibri"/>
          <w:color w:val="000000"/>
          <w:sz w:val="28"/>
          <w:szCs w:val="28"/>
        </w:rPr>
        <w:t>）</w:t>
      </w:r>
    </w:p>
    <w:p w14:paraId="3CF956AF">
      <w:pPr>
        <w:spacing w:line="240" w:lineRule="exact"/>
        <w:rPr>
          <w:rFonts w:ascii="Times New Roman" w:hAnsi="Times New Roman" w:eastAsia="宋体"/>
          <w:sz w:val="24"/>
          <w:szCs w:val="24"/>
        </w:rPr>
      </w:pPr>
    </w:p>
    <w:p w14:paraId="447F3AC9">
      <w:pPr>
        <w:spacing w:line="240" w:lineRule="exact"/>
        <w:rPr>
          <w:rFonts w:ascii="Times New Roman" w:hAnsi="Times New Roman" w:eastAsia="宋体"/>
          <w:sz w:val="24"/>
          <w:szCs w:val="24"/>
        </w:rPr>
      </w:pPr>
    </w:p>
    <w:p w14:paraId="5FFF083C">
      <w:pPr>
        <w:spacing w:line="240" w:lineRule="exact"/>
        <w:rPr>
          <w:rFonts w:ascii="Times New Roman" w:hAnsi="Times New Roman" w:eastAsia="宋体"/>
          <w:sz w:val="24"/>
          <w:szCs w:val="24"/>
        </w:rPr>
      </w:pPr>
    </w:p>
    <w:p w14:paraId="55EBD01E">
      <w:pPr>
        <w:spacing w:line="240" w:lineRule="exact"/>
        <w:rPr>
          <w:rFonts w:ascii="Times New Roman" w:hAnsi="Times New Roman" w:eastAsia="宋体"/>
          <w:sz w:val="24"/>
          <w:szCs w:val="24"/>
        </w:rPr>
      </w:pPr>
    </w:p>
    <w:p w14:paraId="529C056F">
      <w:pPr>
        <w:spacing w:line="240" w:lineRule="exact"/>
        <w:rPr>
          <w:rFonts w:ascii="Times New Roman" w:hAnsi="Times New Roman" w:eastAsia="宋体"/>
          <w:sz w:val="24"/>
          <w:szCs w:val="24"/>
        </w:rPr>
      </w:pPr>
    </w:p>
    <w:p w14:paraId="65039252">
      <w:pPr>
        <w:spacing w:line="240" w:lineRule="exact"/>
        <w:rPr>
          <w:rFonts w:ascii="Times New Roman" w:hAnsi="Times New Roman" w:eastAsia="宋体"/>
          <w:sz w:val="24"/>
          <w:szCs w:val="24"/>
        </w:rPr>
      </w:pPr>
    </w:p>
    <w:p w14:paraId="55115125">
      <w:pPr>
        <w:spacing w:line="240" w:lineRule="exact"/>
        <w:rPr>
          <w:rFonts w:ascii="Times New Roman" w:hAnsi="Times New Roman" w:eastAsia="宋体"/>
          <w:sz w:val="24"/>
          <w:szCs w:val="24"/>
        </w:rPr>
      </w:pPr>
    </w:p>
    <w:p w14:paraId="1462CDDD">
      <w:pPr>
        <w:spacing w:line="240" w:lineRule="exact"/>
        <w:rPr>
          <w:rFonts w:ascii="Times New Roman" w:hAnsi="Times New Roman" w:eastAsia="宋体"/>
          <w:sz w:val="24"/>
          <w:szCs w:val="24"/>
        </w:rPr>
      </w:pPr>
    </w:p>
    <w:p w14:paraId="2D804D76">
      <w:pPr>
        <w:spacing w:line="240" w:lineRule="exact"/>
        <w:rPr>
          <w:rFonts w:ascii="Times New Roman" w:hAnsi="Times New Roman" w:eastAsia="宋体"/>
          <w:sz w:val="24"/>
          <w:szCs w:val="24"/>
        </w:rPr>
      </w:pPr>
    </w:p>
    <w:p w14:paraId="2E2867DB">
      <w:pPr>
        <w:spacing w:line="240" w:lineRule="exact"/>
        <w:rPr>
          <w:rFonts w:ascii="Times New Roman" w:hAnsi="Times New Roman" w:eastAsia="宋体"/>
          <w:sz w:val="24"/>
          <w:szCs w:val="24"/>
        </w:rPr>
      </w:pPr>
    </w:p>
    <w:p w14:paraId="5F251B0B">
      <w:pPr>
        <w:spacing w:line="240" w:lineRule="exact"/>
        <w:rPr>
          <w:rFonts w:ascii="Times New Roman" w:hAnsi="Times New Roman" w:eastAsia="宋体"/>
          <w:sz w:val="24"/>
          <w:szCs w:val="24"/>
        </w:rPr>
      </w:pPr>
    </w:p>
    <w:p w14:paraId="2D8B50B6">
      <w:pPr>
        <w:spacing w:line="240" w:lineRule="exact"/>
        <w:rPr>
          <w:rFonts w:ascii="Times New Roman" w:hAnsi="Times New Roman" w:eastAsia="宋体"/>
          <w:sz w:val="24"/>
          <w:szCs w:val="24"/>
        </w:rPr>
      </w:pPr>
    </w:p>
    <w:p w14:paraId="54A4162E">
      <w:pPr>
        <w:spacing w:line="240" w:lineRule="exact"/>
        <w:rPr>
          <w:rFonts w:ascii="Times New Roman" w:hAnsi="Times New Roman" w:eastAsia="宋体"/>
          <w:sz w:val="24"/>
          <w:szCs w:val="24"/>
        </w:rPr>
      </w:pPr>
    </w:p>
    <w:p w14:paraId="35F3C82A">
      <w:pPr>
        <w:spacing w:after="10" w:line="220" w:lineRule="exact"/>
        <w:rPr>
          <w:rFonts w:ascii="Times New Roman" w:hAnsi="Times New Roman" w:eastAsia="宋体"/>
        </w:rPr>
      </w:pPr>
    </w:p>
    <w:p w14:paraId="573CCDA2">
      <w:pPr>
        <w:spacing w:after="15" w:line="240" w:lineRule="exact"/>
        <w:rPr>
          <w:rFonts w:ascii="Times New Roman" w:hAnsi="Times New Roman" w:eastAsia="宋体"/>
          <w:spacing w:val="9"/>
          <w:sz w:val="24"/>
          <w:szCs w:val="24"/>
        </w:rPr>
      </w:pPr>
    </w:p>
    <w:p w14:paraId="77DD7FDD">
      <w:pPr>
        <w:pStyle w:val="35"/>
        <w:framePr w:wrap="around" w:x="1206"/>
        <w:rPr>
          <w:rFonts w:hint="eastAsia"/>
          <w:b/>
        </w:rPr>
      </w:pPr>
      <w:r>
        <w:rPr>
          <w:rFonts w:hint="eastAsia"/>
        </w:rPr>
        <w:t>中国研究型医院学会 发布</w:t>
      </w:r>
    </w:p>
    <w:p w14:paraId="52A9A1C8">
      <w:pPr>
        <w:pStyle w:val="36"/>
        <w:framePr w:w="9331" w:h="471" w:hRule="exact" w:wrap="auto" w:vAnchor="page" w:hAnchor="page" w:x="1308" w:y="15100"/>
        <w:rPr>
          <w:rFonts w:ascii="Times New Roman" w:hAnsi="Times New Roman" w:eastAsia="宋体"/>
          <w:color w:val="000000"/>
          <w:sz w:val="32"/>
          <w:szCs w:val="32"/>
        </w:rPr>
        <w:sectPr>
          <w:footerReference r:id="rId7" w:type="first"/>
          <w:headerReference r:id="rId5" w:type="default"/>
          <w:headerReference r:id="rId6" w:type="even"/>
          <w:pgSz w:w="11905" w:h="16838"/>
          <w:pgMar w:top="1417" w:right="1134" w:bottom="1134" w:left="1417" w:header="0" w:footer="0" w:gutter="0"/>
          <w:paperSrc/>
          <w:cols w:space="0" w:num="1"/>
          <w:titlePg/>
          <w:rtlGutter w:val="0"/>
          <w:docGrid w:linePitch="0" w:charSpace="0"/>
        </w:sectPr>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64384" behindDoc="0" locked="1" layoutInCell="1" allowOverlap="1">
                <wp:simplePos x="0" y="0"/>
                <wp:positionH relativeFrom="margin">
                  <wp:posOffset>-280035</wp:posOffset>
                </wp:positionH>
                <wp:positionV relativeFrom="margin">
                  <wp:posOffset>8956675</wp:posOffset>
                </wp:positionV>
                <wp:extent cx="6119495" cy="635"/>
                <wp:effectExtent l="0" t="0" r="0" b="0"/>
                <wp:wrapSquare wrapText="bothSides"/>
                <wp:docPr id="908360976" name="直线 7"/>
                <wp:cNvGraphicFramePr/>
                <a:graphic xmlns:a="http://schemas.openxmlformats.org/drawingml/2006/main">
                  <a:graphicData uri="http://schemas.microsoft.com/office/word/2010/wordprocessingShape">
                    <wps:wsp>
                      <wps:cNvCnPr/>
                      <wps:spPr>
                        <a:xfrm>
                          <a:off x="0" y="0"/>
                          <a:ext cx="611949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22.05pt;margin-top:705.25pt;height:0.05pt;width:481.85pt;mso-position-horizontal-relative:margin;mso-position-vertical-relative:margin;mso-wrap-distance-bottom:0pt;mso-wrap-distance-left:9pt;mso-wrap-distance-right:9pt;mso-wrap-distance-top:0pt;z-index:251664384;mso-width-relative:page;mso-height-relative:page;" filled="f" stroked="t" coordsize="21600,21600" o:gfxdata="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yzdu&#10;2QAAAA0BAAAPAAAAAAAAAAEAIAAAACIAAABkcnMvZG93bnJldi54bWxQSwECFAAUAAAACACHTuJA&#10;OGhob+cBAADZAwAADgAAAAAAAAABACAAAAAoAQAAZHJzL2Uyb0RvYy54bWxQSwUGAAAAAAYABgBZ&#10;AQAAgQUAAAAA&#10;">
                <v:fill on="f" focussize="0,0"/>
                <v:stroke color="#000000" joinstyle="round"/>
                <v:imagedata o:title=""/>
                <o:lock v:ext="edit" aspectratio="f"/>
                <w10:wrap type="square"/>
                <w10:anchorlock/>
              </v:line>
            </w:pict>
          </mc:Fallback>
        </mc:AlternateContent>
      </w:r>
    </w:p>
    <w:p w14:paraId="7688105B">
      <w:pPr>
        <w:keepNext w:val="0"/>
        <w:keepLines w:val="0"/>
        <w:pageBreakBefore w:val="0"/>
        <w:widowControl w:val="0"/>
        <w:kinsoku/>
        <w:wordWrap/>
        <w:overflowPunct/>
        <w:topLinePunct w:val="0"/>
        <w:autoSpaceDE/>
        <w:autoSpaceDN/>
        <w:bidi w:val="0"/>
        <w:adjustRightInd/>
        <w:snapToGrid/>
        <w:spacing w:before="0" w:beforeLines="50" w:after="0" w:afterLines="50"/>
        <w:ind w:left="0" w:right="0"/>
        <w:jc w:val="center"/>
        <w:textAlignment w:val="auto"/>
        <w:rPr>
          <w:rFonts w:ascii="Times New Roman" w:hAnsi="Times New Roman" w:eastAsia="宋体" w:cs="微软雅黑"/>
          <w:color w:val="000000"/>
          <w:sz w:val="18"/>
          <w:szCs w:val="18"/>
          <w:lang w:val="de-DE"/>
        </w:rPr>
      </w:pPr>
      <w:r>
        <w:rPr>
          <w:rFonts w:hint="eastAsia" w:ascii="黑体" w:hAnsi="黑体" w:eastAsia="黑体" w:cs="Calibri"/>
          <w:color w:val="000000"/>
          <w:sz w:val="32"/>
          <w:szCs w:val="32"/>
        </w:rPr>
        <w:t>目</w:t>
      </w:r>
      <w:r>
        <w:rPr>
          <w:rFonts w:ascii="黑体" w:hAnsi="黑体" w:eastAsia="黑体" w:cs="Calibri"/>
          <w:color w:val="000000"/>
          <w:sz w:val="32"/>
          <w:szCs w:val="32"/>
          <w:lang w:val="de-DE"/>
        </w:rPr>
        <w:t xml:space="preserve">  </w:t>
      </w:r>
      <w:r>
        <w:rPr>
          <w:rFonts w:hint="eastAsia" w:ascii="黑体" w:hAnsi="黑体" w:eastAsia="黑体" w:cs="Calibri"/>
          <w:color w:val="000000"/>
          <w:sz w:val="32"/>
          <w:szCs w:val="32"/>
        </w:rPr>
        <w:t>次</w:t>
      </w:r>
    </w:p>
    <w:sdt>
      <w:sdtPr>
        <w:rPr>
          <w:rFonts w:ascii="Times New Roman" w:hAnsi="Times New Roman" w:eastAsia="宋体"/>
          <w:lang w:val="zh-CN"/>
        </w:rPr>
        <w:id w:val="301044503"/>
        <w:docPartObj>
          <w:docPartGallery w:val="Table of Contents"/>
          <w:docPartUnique/>
        </w:docPartObj>
      </w:sdtPr>
      <w:sdtEndPr>
        <w:rPr>
          <w:rFonts w:ascii="Times New Roman" w:hAnsi="Times New Roman" w:eastAsia="宋体"/>
          <w:b/>
          <w:bCs/>
          <w:lang w:val="zh-CN"/>
        </w:rPr>
      </w:sdtEndPr>
      <w:sdtContent>
        <w:p w14:paraId="02F7AE83">
          <w:pPr>
            <w:ind w:left="0" w:right="0"/>
            <w:jc w:val="center"/>
            <w:rPr>
              <w:rFonts w:ascii="黑体" w:hAnsi="黑体" w:eastAsia="黑体" w:cs="Calibri"/>
              <w:color w:val="000000"/>
              <w:lang w:val="de-DE"/>
            </w:rPr>
          </w:pPr>
        </w:p>
        <w:p w14:paraId="67A43E0E">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Fonts w:ascii="Times New Roman" w:hAnsi="Times New Roman" w:eastAsia="宋体"/>
              <w:sz w:val="21"/>
              <w:szCs w:val="21"/>
            </w:rPr>
            <w:fldChar w:fldCharType="begin"/>
          </w:r>
          <w:r>
            <w:rPr>
              <w:rFonts w:ascii="Times New Roman" w:hAnsi="Times New Roman" w:eastAsia="宋体"/>
              <w:sz w:val="21"/>
              <w:szCs w:val="21"/>
            </w:rPr>
            <w:instrText xml:space="preserve"> TOC \o "1-3" \h \z \u </w:instrText>
          </w:r>
          <w:r>
            <w:rPr>
              <w:rFonts w:ascii="Times New Roman" w:hAnsi="Times New Roman" w:eastAsia="宋体"/>
              <w:kern w:val="0"/>
              <w:sz w:val="21"/>
              <w:szCs w:val="21"/>
              <w:lang w:val="en-US"/>
            </w:rPr>
            <w:fldChar w:fldCharType="separate"/>
          </w: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"_Toc203680705"</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前言</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_Toc203680705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I</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_Toc203680705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I</w:t>
          </w:r>
          <w:r>
            <w:rPr>
              <w:rFonts w:hint="eastAsia" w:ascii="Times New Roman" w:hAnsi="Times New Roman" w:eastAsia="宋体"/>
              <w:sz w:val="21"/>
              <w:szCs w:val="21"/>
            </w:rPr>
            <w:fldChar w:fldCharType="end"/>
          </w:r>
        </w:p>
        <w:p w14:paraId="1046F418">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"_Toc203680707"</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ascii="Times New Roman" w:hAnsi="Times New Roman" w:eastAsia="宋体" w:cs="Times New Roman"/>
              <w:sz w:val="21"/>
              <w:szCs w:val="21"/>
            </w:rPr>
            <w:t xml:space="preserve">1 </w:t>
          </w:r>
          <w:r>
            <w:rPr>
              <w:rStyle w:val="17"/>
              <w:rFonts w:hint="eastAsia" w:ascii="Times New Roman" w:hAnsi="Times New Roman" w:eastAsia="宋体" w:cs="Times New Roman"/>
              <w:sz w:val="21"/>
              <w:szCs w:val="21"/>
            </w:rPr>
            <w:t>范围</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_Toc203680707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1</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0D0EF332">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"_Toc203680708"</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2 规范性引用文件</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_Toc203680708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1</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11947AAB">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"_Toc203680709"</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3 术语和定义</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_Toc203680709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1</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083299C3">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"_Toc203680710"</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4 缩略语</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_Toc203680710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2</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184184B1">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"_Toc203680711"</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5 脊髓性肌萎缩症 “筛查-诊断-治疗”一体化中心建设标准</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_Toc203680711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2</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248C2C48">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"_Toc203680712"</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6</w:t>
          </w:r>
          <w:r>
            <w:rPr>
              <w:rStyle w:val="17"/>
              <w:rFonts w:ascii="Times New Roman" w:hAnsi="Times New Roman" w:eastAsia="宋体" w:cs="Times New Roman"/>
              <w:sz w:val="21"/>
              <w:szCs w:val="21"/>
            </w:rPr>
            <w:t xml:space="preserve"> </w:t>
          </w:r>
          <w:r>
            <w:rPr>
              <w:rStyle w:val="17"/>
              <w:rFonts w:hint="eastAsia" w:ascii="Times New Roman" w:hAnsi="Times New Roman" w:eastAsia="宋体" w:cs="Times New Roman"/>
              <w:b w:val="0"/>
              <w:bCs w:val="0"/>
              <w:sz w:val="21"/>
              <w:szCs w:val="21"/>
            </w:rPr>
            <w:t>人员配置</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_Toc203680712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5</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308B7F8D">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"_Toc203680713"</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7</w:t>
          </w:r>
          <w:r>
            <w:rPr>
              <w:rStyle w:val="17"/>
              <w:rFonts w:ascii="Times New Roman" w:hAnsi="Times New Roman" w:eastAsia="宋体" w:cs="Times New Roman"/>
              <w:sz w:val="21"/>
              <w:szCs w:val="21"/>
            </w:rPr>
            <w:t xml:space="preserve"> </w:t>
          </w:r>
          <w:r>
            <w:rPr>
              <w:rStyle w:val="17"/>
              <w:rFonts w:hint="eastAsia" w:ascii="Times New Roman" w:hAnsi="Times New Roman" w:eastAsia="宋体" w:cs="Times New Roman"/>
              <w:sz w:val="21"/>
              <w:szCs w:val="21"/>
            </w:rPr>
            <w:t>基本设施</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_Toc203680713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5</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72A9234E">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"_Toc203680714"</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8 专科设备</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_Toc203680714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5</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5DBC546E">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"_Toc203680715"</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cs="Times New Roman"/>
              <w:sz w:val="21"/>
              <w:szCs w:val="21"/>
            </w:rPr>
            <w:t>9 人员管理</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_Toc203680715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6</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61792D97">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"_Toc203680716"</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sz w:val="21"/>
              <w:szCs w:val="21"/>
            </w:rPr>
            <w:t>附录</w:t>
          </w:r>
          <w:r>
            <w:rPr>
              <w:rStyle w:val="17"/>
              <w:rFonts w:ascii="Times New Roman" w:hAnsi="Times New Roman" w:eastAsia="宋体"/>
              <w:sz w:val="21"/>
              <w:szCs w:val="21"/>
            </w:rPr>
            <w:t>A</w:t>
          </w:r>
          <w:r>
            <w:rPr>
              <w:rStyle w:val="17"/>
              <w:rFonts w:hint="eastAsia" w:ascii="Times New Roman" w:hAnsi="Times New Roman" w:eastAsia="宋体"/>
              <w:sz w:val="21"/>
              <w:szCs w:val="21"/>
            </w:rPr>
            <w:t>（资料性）</w:t>
          </w:r>
          <w:r>
            <w:rPr>
              <w:rStyle w:val="17"/>
              <w:rFonts w:ascii="Times New Roman" w:hAnsi="Times New Roman" w:eastAsia="宋体"/>
              <w:sz w:val="21"/>
              <w:szCs w:val="21"/>
            </w:rPr>
            <w:t>SMA</w:t>
          </w:r>
          <w:r>
            <w:rPr>
              <w:rStyle w:val="17"/>
              <w:rFonts w:hint="eastAsia" w:ascii="Times New Roman" w:hAnsi="Times New Roman" w:eastAsia="宋体"/>
              <w:sz w:val="21"/>
              <w:szCs w:val="21"/>
            </w:rPr>
            <w:t>随访管理表</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_Toc203680716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7</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00D6D546">
          <w:pPr>
            <w:pStyle w:val="10"/>
            <w:tabs>
              <w:tab w:val="right" w:leader="dot" w:pos="9344"/>
            </w:tabs>
            <w:spacing w:after="0" w:line="240" w:lineRule="auto"/>
            <w:jc w:val="both"/>
            <w:rPr>
              <w:rFonts w:hint="eastAsia" w:ascii="Times New Roman" w:hAnsi="Times New Roman" w:eastAsia="宋体" w:cs="Times New Roman"/>
              <w:kern w:val="2"/>
              <w:sz w:val="21"/>
              <w:szCs w:val="21"/>
              <w14:ligatures w14:val="standardContextual"/>
            </w:rPr>
          </w:pPr>
          <w:r>
            <w:rPr>
              <w:rStyle w:val="17"/>
              <w:rFonts w:hint="eastAsia" w:ascii="Times New Roman" w:hAnsi="Times New Roman" w:eastAsia="宋体"/>
              <w:sz w:val="21"/>
              <w:szCs w:val="21"/>
            </w:rPr>
            <w:fldChar w:fldCharType="begin"/>
          </w:r>
          <w:r>
            <w:rPr>
              <w:rStyle w:val="17"/>
              <w:rFonts w:hint="eastAsia" w:ascii="Times New Roman" w:hAnsi="Times New Roman" w:eastAsia="宋体"/>
              <w:sz w:val="21"/>
              <w:szCs w:val="21"/>
            </w:rPr>
            <w:instrText xml:space="preserve"> </w:instrText>
          </w:r>
          <w:r>
            <w:rPr>
              <w:rFonts w:hint="eastAsia" w:ascii="Times New Roman" w:hAnsi="Times New Roman" w:eastAsia="宋体"/>
              <w:sz w:val="21"/>
              <w:szCs w:val="21"/>
            </w:rPr>
            <w:instrText xml:space="preserve">HYPERLINK \l "_Toc203680719"</w:instrText>
          </w:r>
          <w:r>
            <w:rPr>
              <w:rStyle w:val="17"/>
              <w:rFonts w:hint="eastAsia" w:ascii="Times New Roman" w:hAnsi="Times New Roman" w:eastAsia="宋体"/>
              <w:sz w:val="21"/>
              <w:szCs w:val="21"/>
            </w:rPr>
            <w:instrText xml:space="preserve"> </w:instrText>
          </w:r>
          <w:r>
            <w:rPr>
              <w:rStyle w:val="17"/>
              <w:rFonts w:hint="eastAsia" w:ascii="Times New Roman" w:hAnsi="Times New Roman" w:eastAsia="宋体"/>
              <w:sz w:val="21"/>
              <w:szCs w:val="21"/>
            </w:rPr>
            <w:fldChar w:fldCharType="separate"/>
          </w:r>
          <w:r>
            <w:rPr>
              <w:rStyle w:val="17"/>
              <w:rFonts w:hint="eastAsia" w:ascii="Times New Roman" w:hAnsi="Times New Roman" w:eastAsia="宋体"/>
              <w:sz w:val="21"/>
              <w:szCs w:val="21"/>
            </w:rPr>
            <w:t>参考文献</w:t>
          </w:r>
          <w:r>
            <w:rPr>
              <w:rFonts w:hint="eastAsia" w:ascii="Times New Roman" w:hAnsi="Times New Roman" w:eastAsia="宋体"/>
              <w:sz w:val="21"/>
              <w:szCs w:val="21"/>
            </w:rPr>
            <w:tab/>
          </w:r>
          <w:r>
            <w:rPr>
              <w:rFonts w:hint="eastAsia" w:ascii="Times New Roman" w:hAnsi="Times New Roman" w:eastAsia="宋体"/>
              <w:sz w:val="21"/>
              <w:szCs w:val="21"/>
            </w:rPr>
            <w:fldChar w:fldCharType="begin"/>
          </w:r>
          <w:r>
            <w:rPr>
              <w:rFonts w:hint="eastAsia" w:ascii="Times New Roman" w:hAnsi="Times New Roman" w:eastAsia="宋体"/>
              <w:sz w:val="21"/>
              <w:szCs w:val="21"/>
            </w:rPr>
            <w:instrText xml:space="preserve"> PAGEREF _Toc203680719 \h </w:instrText>
          </w:r>
          <w:r>
            <w:rPr>
              <w:rFonts w:hint="eastAsia" w:ascii="Times New Roman" w:hAnsi="Times New Roman" w:eastAsia="宋体"/>
              <w:sz w:val="21"/>
              <w:szCs w:val="21"/>
            </w:rPr>
            <w:fldChar w:fldCharType="separate"/>
          </w:r>
          <w:r>
            <w:rPr>
              <w:rFonts w:hint="eastAsia" w:ascii="Times New Roman" w:hAnsi="Times New Roman" w:eastAsia="宋体"/>
              <w:sz w:val="21"/>
              <w:szCs w:val="21"/>
            </w:rPr>
            <w:t>10</w:t>
          </w:r>
          <w:r>
            <w:rPr>
              <w:rFonts w:hint="eastAsia" w:ascii="Times New Roman" w:hAnsi="Times New Roman" w:eastAsia="宋体"/>
              <w:sz w:val="21"/>
              <w:szCs w:val="21"/>
            </w:rPr>
            <w:fldChar w:fldCharType="end"/>
          </w:r>
          <w:r>
            <w:rPr>
              <w:rStyle w:val="17"/>
              <w:rFonts w:hint="eastAsia" w:ascii="Times New Roman" w:hAnsi="Times New Roman" w:eastAsia="宋体"/>
              <w:sz w:val="21"/>
              <w:szCs w:val="21"/>
            </w:rPr>
            <w:fldChar w:fldCharType="end"/>
          </w:r>
        </w:p>
        <w:p w14:paraId="121317CB">
          <w:pPr>
            <w:rPr>
              <w:rFonts w:ascii="Times New Roman" w:hAnsi="Times New Roman" w:eastAsia="宋体"/>
              <w:b/>
              <w:bCs/>
              <w:lang w:val="zh-CN"/>
            </w:rPr>
          </w:pPr>
          <w:r>
            <w:rPr>
              <w:rFonts w:ascii="Times New Roman" w:hAnsi="Times New Roman" w:eastAsia="宋体" w:cs="Times New Roman"/>
              <w:szCs w:val="21"/>
              <w:lang w:val="zh-CN"/>
            </w:rPr>
            <w:fldChar w:fldCharType="end"/>
          </w:r>
          <w:bookmarkStart w:id="1" w:name="_Toc203680705"/>
        </w:p>
      </w:sdtContent>
    </w:sdt>
    <w:p w14:paraId="6F7D9565">
      <w:pPr>
        <w:rPr>
          <w:rFonts w:ascii="Times New Roman" w:hAnsi="Times New Roman" w:eastAsia="宋体"/>
          <w:b/>
          <w:bCs/>
          <w:lang w:val="zh-CN"/>
        </w:rPr>
      </w:pPr>
    </w:p>
    <w:p w14:paraId="346B9A31">
      <w:pPr>
        <w:rPr>
          <w:rFonts w:ascii="Times New Roman" w:hAnsi="Times New Roman" w:eastAsia="宋体"/>
          <w:b/>
          <w:bCs/>
          <w:lang w:val="zh-CN"/>
        </w:rPr>
      </w:pPr>
    </w:p>
    <w:p w14:paraId="42A35B22">
      <w:r>
        <w:rPr>
          <w:rFonts w:ascii="Times New Roman" w:hAnsi="Times New Roman" w:eastAsia="宋体"/>
          <w:b/>
          <w:bCs/>
          <w:lang w:val="zh-CN"/>
        </w:rPr>
        <w:br w:type="page"/>
      </w:r>
    </w:p>
    <w:p w14:paraId="7171B448">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ascii="黑体" w:hAnsi="黑体" w:eastAsia="黑体"/>
          <w:color w:val="000000"/>
          <w:sz w:val="32"/>
          <w:szCs w:val="32"/>
        </w:rPr>
      </w:pPr>
      <w:r>
        <w:rPr>
          <w:rFonts w:hint="eastAsia" w:ascii="黑体" w:hAnsi="黑体" w:eastAsia="黑体" w:cs="Calibri"/>
          <w:color w:val="000000"/>
          <w:sz w:val="32"/>
          <w:szCs w:val="32"/>
        </w:rPr>
        <w:t>前  言</w:t>
      </w:r>
      <w:bookmarkEnd w:id="1"/>
    </w:p>
    <w:p w14:paraId="01C4F091">
      <w:pPr>
        <w:spacing w:after="11" w:line="120" w:lineRule="exact"/>
        <w:rPr>
          <w:rFonts w:ascii="Times New Roman" w:hAnsi="Times New Roman" w:eastAsia="宋体"/>
          <w:sz w:val="12"/>
          <w:szCs w:val="12"/>
        </w:rPr>
      </w:pPr>
    </w:p>
    <w:p w14:paraId="7B4D9468">
      <w:pPr>
        <w:ind w:firstLine="420" w:firstLineChars="200"/>
        <w:rPr>
          <w:rFonts w:ascii="Times New Roman" w:hAnsi="Times New Roman" w:eastAsia="宋体" w:cs="Calibri"/>
          <w:color w:val="000000"/>
          <w:szCs w:val="21"/>
        </w:rPr>
      </w:pPr>
      <w:r>
        <w:rPr>
          <w:rFonts w:ascii="Times New Roman" w:hAnsi="Times New Roman" w:eastAsia="宋体" w:cs="Calibri"/>
          <w:color w:val="000000"/>
          <w:szCs w:val="21"/>
        </w:rPr>
        <w:t>本</w:t>
      </w:r>
      <w:r>
        <w:rPr>
          <w:rFonts w:ascii="Times New Roman" w:hAnsi="Times New Roman" w:eastAsia="宋体" w:cs="Calibri"/>
          <w:color w:val="000000"/>
          <w:spacing w:val="1"/>
          <w:szCs w:val="21"/>
        </w:rPr>
        <w:t>文</w:t>
      </w:r>
      <w:r>
        <w:rPr>
          <w:rFonts w:ascii="Times New Roman" w:hAnsi="Times New Roman" w:eastAsia="宋体" w:cs="Calibri"/>
          <w:color w:val="000000"/>
          <w:szCs w:val="21"/>
        </w:rPr>
        <w:t>件</w:t>
      </w:r>
      <w:r>
        <w:rPr>
          <w:rFonts w:ascii="Times New Roman" w:hAnsi="Times New Roman" w:eastAsia="宋体" w:cs="Calibri"/>
          <w:color w:val="000000"/>
          <w:spacing w:val="2"/>
          <w:szCs w:val="21"/>
        </w:rPr>
        <w:t>按</w:t>
      </w:r>
      <w:r>
        <w:rPr>
          <w:rFonts w:ascii="Times New Roman" w:hAnsi="Times New Roman" w:eastAsia="宋体" w:cs="Calibri"/>
          <w:color w:val="000000"/>
          <w:szCs w:val="21"/>
        </w:rPr>
        <w:t>照G</w:t>
      </w:r>
      <w:r>
        <w:rPr>
          <w:rFonts w:ascii="Times New Roman" w:hAnsi="Times New Roman" w:eastAsia="宋体" w:cs="Calibri"/>
          <w:color w:val="000000"/>
          <w:spacing w:val="-1"/>
          <w:w w:val="91"/>
          <w:szCs w:val="21"/>
        </w:rPr>
        <w:t>B</w:t>
      </w:r>
      <w:r>
        <w:rPr>
          <w:rFonts w:ascii="Times New Roman" w:hAnsi="Times New Roman" w:eastAsia="宋体" w:cs="Calibri"/>
          <w:color w:val="000000"/>
          <w:szCs w:val="21"/>
        </w:rPr>
        <w:t>/</w:t>
      </w:r>
      <w:r>
        <w:rPr>
          <w:rFonts w:ascii="Times New Roman" w:hAnsi="Times New Roman" w:eastAsia="宋体" w:cs="Calibri"/>
          <w:color w:val="000000"/>
          <w:spacing w:val="-1"/>
          <w:w w:val="102"/>
          <w:szCs w:val="21"/>
        </w:rPr>
        <w:t>T</w:t>
      </w:r>
      <w:r>
        <w:rPr>
          <w:rFonts w:ascii="Times New Roman" w:hAnsi="Times New Roman" w:eastAsia="宋体" w:cs="Calibri"/>
          <w:color w:val="000000"/>
          <w:spacing w:val="4"/>
          <w:szCs w:val="21"/>
        </w:rPr>
        <w:t xml:space="preserve"> </w:t>
      </w:r>
      <w:r>
        <w:rPr>
          <w:rFonts w:ascii="Times New Roman" w:hAnsi="Times New Roman" w:eastAsia="宋体" w:cs="Calibri"/>
          <w:color w:val="000000"/>
          <w:spacing w:val="6"/>
          <w:w w:val="98"/>
          <w:szCs w:val="21"/>
        </w:rPr>
        <w:t>1</w:t>
      </w:r>
      <w:r>
        <w:rPr>
          <w:rFonts w:ascii="Times New Roman" w:hAnsi="Times New Roman" w:eastAsia="宋体" w:cs="Calibri"/>
          <w:color w:val="000000"/>
          <w:spacing w:val="7"/>
          <w:szCs w:val="21"/>
        </w:rPr>
        <w:t>.</w:t>
      </w:r>
      <w:r>
        <w:rPr>
          <w:rFonts w:ascii="Times New Roman" w:hAnsi="Times New Roman" w:eastAsia="宋体" w:cs="Calibri"/>
          <w:color w:val="000000"/>
          <w:spacing w:val="7"/>
          <w:w w:val="98"/>
          <w:szCs w:val="21"/>
        </w:rPr>
        <w:t>1</w:t>
      </w:r>
      <w:r>
        <w:rPr>
          <w:rFonts w:ascii="Times New Roman" w:hAnsi="Times New Roman" w:eastAsia="宋体" w:cs="Calibri"/>
          <w:color w:val="000000"/>
          <w:spacing w:val="6"/>
          <w:szCs w:val="21"/>
        </w:rPr>
        <w:t>-</w:t>
      </w:r>
      <w:r>
        <w:rPr>
          <w:rFonts w:ascii="Times New Roman" w:hAnsi="Times New Roman" w:eastAsia="宋体" w:cs="Calibri"/>
          <w:color w:val="000000"/>
          <w:spacing w:val="7"/>
          <w:w w:val="98"/>
          <w:szCs w:val="21"/>
        </w:rPr>
        <w:t>202</w:t>
      </w:r>
      <w:r>
        <w:rPr>
          <w:rFonts w:ascii="Times New Roman" w:hAnsi="Times New Roman" w:eastAsia="宋体" w:cs="Calibri"/>
          <w:color w:val="000000"/>
          <w:spacing w:val="-88"/>
          <w:w w:val="98"/>
          <w:szCs w:val="21"/>
        </w:rPr>
        <w:t>0</w:t>
      </w:r>
      <w:r>
        <w:rPr>
          <w:rFonts w:ascii="Times New Roman" w:hAnsi="Times New Roman" w:eastAsia="宋体" w:cs="Calibri"/>
          <w:color w:val="000000"/>
          <w:spacing w:val="7"/>
          <w:szCs w:val="21"/>
        </w:rPr>
        <w:t>《</w:t>
      </w:r>
      <w:r>
        <w:rPr>
          <w:rFonts w:ascii="Times New Roman" w:hAnsi="Times New Roman" w:eastAsia="宋体" w:cs="Calibri"/>
          <w:color w:val="000000"/>
          <w:spacing w:val="6"/>
          <w:szCs w:val="21"/>
        </w:rPr>
        <w:t>标</w:t>
      </w:r>
      <w:r>
        <w:rPr>
          <w:rFonts w:ascii="Times New Roman" w:hAnsi="Times New Roman" w:eastAsia="宋体" w:cs="Calibri"/>
          <w:color w:val="000000"/>
          <w:spacing w:val="8"/>
          <w:szCs w:val="21"/>
        </w:rPr>
        <w:t>准</w:t>
      </w:r>
      <w:r>
        <w:rPr>
          <w:rFonts w:ascii="Times New Roman" w:hAnsi="Times New Roman" w:eastAsia="宋体" w:cs="Calibri"/>
          <w:color w:val="000000"/>
          <w:spacing w:val="6"/>
          <w:szCs w:val="21"/>
        </w:rPr>
        <w:t>化</w:t>
      </w:r>
      <w:r>
        <w:rPr>
          <w:rFonts w:ascii="Times New Roman" w:hAnsi="Times New Roman" w:eastAsia="宋体" w:cs="Calibri"/>
          <w:color w:val="000000"/>
          <w:spacing w:val="7"/>
          <w:szCs w:val="21"/>
        </w:rPr>
        <w:t>工</w:t>
      </w:r>
      <w:r>
        <w:rPr>
          <w:rFonts w:ascii="Times New Roman" w:hAnsi="Times New Roman" w:eastAsia="宋体" w:cs="Calibri"/>
          <w:color w:val="000000"/>
          <w:spacing w:val="6"/>
          <w:szCs w:val="21"/>
        </w:rPr>
        <w:t>作</w:t>
      </w:r>
      <w:r>
        <w:rPr>
          <w:rFonts w:ascii="Times New Roman" w:hAnsi="Times New Roman" w:eastAsia="宋体" w:cs="Calibri"/>
          <w:color w:val="000000"/>
          <w:spacing w:val="8"/>
          <w:szCs w:val="21"/>
        </w:rPr>
        <w:t>导</w:t>
      </w:r>
      <w:r>
        <w:rPr>
          <w:rFonts w:ascii="Times New Roman" w:hAnsi="Times New Roman" w:eastAsia="宋体" w:cs="Calibri"/>
          <w:color w:val="000000"/>
          <w:spacing w:val="6"/>
          <w:szCs w:val="21"/>
        </w:rPr>
        <w:t>则</w:t>
      </w:r>
      <w:r>
        <w:rPr>
          <w:rFonts w:ascii="Times New Roman" w:hAnsi="Times New Roman" w:eastAsia="宋体" w:cs="Calibri"/>
          <w:color w:val="000000"/>
          <w:szCs w:val="21"/>
        </w:rPr>
        <w:t>第</w:t>
      </w:r>
      <w:r>
        <w:rPr>
          <w:rFonts w:ascii="Times New Roman" w:hAnsi="Times New Roman" w:eastAsia="宋体" w:cs="Calibri"/>
          <w:color w:val="000000"/>
          <w:w w:val="98"/>
          <w:szCs w:val="21"/>
        </w:rPr>
        <w:t>1</w:t>
      </w:r>
      <w:r>
        <w:rPr>
          <w:rFonts w:ascii="Times New Roman" w:hAnsi="Times New Roman" w:eastAsia="宋体" w:cs="Calibri"/>
          <w:color w:val="000000"/>
          <w:spacing w:val="2"/>
          <w:szCs w:val="21"/>
        </w:rPr>
        <w:t>部</w:t>
      </w:r>
      <w:r>
        <w:rPr>
          <w:rFonts w:ascii="Times New Roman" w:hAnsi="Times New Roman" w:eastAsia="宋体" w:cs="Calibri"/>
          <w:color w:val="000000"/>
          <w:spacing w:val="5"/>
          <w:szCs w:val="21"/>
        </w:rPr>
        <w:t>分</w:t>
      </w:r>
      <w:r>
        <w:rPr>
          <w:rFonts w:ascii="Times New Roman" w:hAnsi="Times New Roman" w:eastAsia="宋体" w:cs="Calibri"/>
          <w:color w:val="000000"/>
          <w:spacing w:val="4"/>
          <w:szCs w:val="21"/>
        </w:rPr>
        <w:t>:</w:t>
      </w:r>
      <w:r>
        <w:rPr>
          <w:rFonts w:hint="eastAsia" w:ascii="Times New Roman" w:hAnsi="Times New Roman" w:eastAsia="宋体" w:cs="Calibri"/>
          <w:color w:val="000000"/>
          <w:spacing w:val="4"/>
          <w:szCs w:val="21"/>
        </w:rPr>
        <w:t xml:space="preserve"> </w:t>
      </w:r>
      <w:r>
        <w:rPr>
          <w:rFonts w:ascii="Times New Roman" w:hAnsi="Times New Roman" w:eastAsia="宋体" w:cs="Calibri"/>
          <w:color w:val="000000"/>
          <w:spacing w:val="3"/>
          <w:szCs w:val="21"/>
        </w:rPr>
        <w:t>标</w:t>
      </w:r>
      <w:r>
        <w:rPr>
          <w:rFonts w:ascii="Times New Roman" w:hAnsi="Times New Roman" w:eastAsia="宋体" w:cs="Calibri"/>
          <w:color w:val="000000"/>
          <w:spacing w:val="5"/>
          <w:szCs w:val="21"/>
        </w:rPr>
        <w:t>准</w:t>
      </w:r>
      <w:r>
        <w:rPr>
          <w:rFonts w:ascii="Times New Roman" w:hAnsi="Times New Roman" w:eastAsia="宋体" w:cs="Calibri"/>
          <w:color w:val="000000"/>
          <w:spacing w:val="2"/>
          <w:szCs w:val="21"/>
        </w:rPr>
        <w:t>化</w:t>
      </w:r>
      <w:r>
        <w:rPr>
          <w:rFonts w:ascii="Times New Roman" w:hAnsi="Times New Roman" w:eastAsia="宋体" w:cs="Calibri"/>
          <w:color w:val="000000"/>
          <w:spacing w:val="5"/>
          <w:szCs w:val="21"/>
        </w:rPr>
        <w:t>文</w:t>
      </w:r>
      <w:r>
        <w:rPr>
          <w:rFonts w:ascii="Times New Roman" w:hAnsi="Times New Roman" w:eastAsia="宋体" w:cs="Calibri"/>
          <w:color w:val="000000"/>
          <w:spacing w:val="3"/>
          <w:szCs w:val="21"/>
        </w:rPr>
        <w:t>件</w:t>
      </w:r>
      <w:r>
        <w:rPr>
          <w:rFonts w:ascii="Times New Roman" w:hAnsi="Times New Roman" w:eastAsia="宋体" w:cs="Calibri"/>
          <w:color w:val="000000"/>
          <w:spacing w:val="5"/>
          <w:szCs w:val="21"/>
        </w:rPr>
        <w:t>的</w:t>
      </w:r>
      <w:r>
        <w:rPr>
          <w:rFonts w:ascii="Times New Roman" w:hAnsi="Times New Roman" w:eastAsia="宋体" w:cs="Calibri"/>
          <w:color w:val="000000"/>
          <w:spacing w:val="3"/>
          <w:szCs w:val="21"/>
        </w:rPr>
        <w:t>结</w:t>
      </w:r>
      <w:r>
        <w:rPr>
          <w:rFonts w:ascii="Times New Roman" w:hAnsi="Times New Roman" w:eastAsia="宋体" w:cs="Calibri"/>
          <w:color w:val="000000"/>
          <w:spacing w:val="5"/>
          <w:szCs w:val="21"/>
        </w:rPr>
        <w:t>构</w:t>
      </w:r>
      <w:r>
        <w:rPr>
          <w:rFonts w:ascii="Times New Roman" w:hAnsi="Times New Roman" w:eastAsia="宋体" w:cs="Calibri"/>
          <w:color w:val="000000"/>
          <w:spacing w:val="2"/>
          <w:szCs w:val="21"/>
        </w:rPr>
        <w:t>和</w:t>
      </w:r>
      <w:r>
        <w:rPr>
          <w:rFonts w:ascii="Times New Roman" w:hAnsi="Times New Roman" w:eastAsia="宋体" w:cs="Calibri"/>
          <w:color w:val="000000"/>
          <w:spacing w:val="5"/>
          <w:szCs w:val="21"/>
        </w:rPr>
        <w:t>起</w:t>
      </w:r>
      <w:r>
        <w:rPr>
          <w:rFonts w:ascii="Times New Roman" w:hAnsi="Times New Roman" w:eastAsia="宋体" w:cs="Calibri"/>
          <w:color w:val="000000"/>
          <w:spacing w:val="3"/>
          <w:szCs w:val="21"/>
        </w:rPr>
        <w:t>草</w:t>
      </w:r>
      <w:r>
        <w:rPr>
          <w:rFonts w:ascii="Times New Roman" w:hAnsi="Times New Roman" w:eastAsia="宋体" w:cs="Calibri"/>
          <w:color w:val="000000"/>
          <w:spacing w:val="5"/>
          <w:szCs w:val="21"/>
        </w:rPr>
        <w:t>规</w:t>
      </w:r>
      <w:r>
        <w:rPr>
          <w:rFonts w:ascii="Times New Roman" w:hAnsi="Times New Roman" w:eastAsia="宋体" w:cs="Calibri"/>
          <w:color w:val="000000"/>
          <w:spacing w:val="3"/>
          <w:szCs w:val="21"/>
        </w:rPr>
        <w:t>则》</w:t>
      </w:r>
      <w:r>
        <w:rPr>
          <w:rFonts w:ascii="Times New Roman" w:hAnsi="Times New Roman" w:eastAsia="宋体" w:cs="Calibri"/>
          <w:color w:val="000000"/>
          <w:szCs w:val="21"/>
        </w:rPr>
        <w:t>的</w:t>
      </w:r>
      <w:r>
        <w:rPr>
          <w:rFonts w:ascii="Times New Roman" w:hAnsi="Times New Roman" w:eastAsia="宋体" w:cs="Calibri"/>
          <w:color w:val="000000"/>
          <w:spacing w:val="1"/>
          <w:szCs w:val="21"/>
        </w:rPr>
        <w:t>规</w:t>
      </w:r>
      <w:r>
        <w:rPr>
          <w:rFonts w:ascii="Times New Roman" w:hAnsi="Times New Roman" w:eastAsia="宋体" w:cs="Calibri"/>
          <w:color w:val="000000"/>
          <w:szCs w:val="21"/>
        </w:rPr>
        <w:t>定</w:t>
      </w:r>
      <w:r>
        <w:rPr>
          <w:rFonts w:ascii="Times New Roman" w:hAnsi="Times New Roman" w:eastAsia="宋体" w:cs="Calibri"/>
          <w:color w:val="000000"/>
          <w:spacing w:val="2"/>
          <w:szCs w:val="21"/>
        </w:rPr>
        <w:t>起</w:t>
      </w:r>
      <w:r>
        <w:rPr>
          <w:rFonts w:ascii="Times New Roman" w:hAnsi="Times New Roman" w:eastAsia="宋体" w:cs="Calibri"/>
          <w:color w:val="000000"/>
          <w:szCs w:val="21"/>
        </w:rPr>
        <w:t>草。</w:t>
      </w:r>
    </w:p>
    <w:p w14:paraId="7AC5F0AC">
      <w:pPr>
        <w:spacing w:line="240" w:lineRule="auto"/>
        <w:ind w:left="0" w:right="0" w:firstLine="420"/>
        <w:rPr>
          <w:rFonts w:ascii="Times New Roman" w:hAnsi="Times New Roman" w:eastAsia="宋体" w:cs="Times New Roman"/>
          <w:color w:val="auto"/>
          <w:szCs w:val="21"/>
        </w:rPr>
      </w:pPr>
      <w:r>
        <w:rPr>
          <w:rFonts w:hint="eastAsia" w:ascii="Times New Roman" w:hAnsi="Times New Roman" w:eastAsia="宋体" w:cs="Times New Roman"/>
          <w:szCs w:val="21"/>
        </w:rPr>
        <w:t>考虑到本文件中的某些条款可能涉及专利，本文件的发布机构不负责对任何该类专利的鉴别。</w:t>
      </w:r>
    </w:p>
    <w:p w14:paraId="4A1D2496">
      <w:pPr>
        <w:spacing w:line="240" w:lineRule="auto"/>
        <w:ind w:left="0" w:right="0" w:firstLine="420" w:firstLineChars="200"/>
        <w:rPr>
          <w:rFonts w:ascii="Times New Roman" w:hAnsi="Times New Roman" w:eastAsia="宋体" w:cs="Calibri"/>
          <w:color w:val="000000"/>
          <w:szCs w:val="21"/>
        </w:rPr>
      </w:pPr>
      <w:r>
        <w:rPr>
          <w:rFonts w:ascii="Times New Roman" w:hAnsi="Times New Roman" w:eastAsia="宋体" w:cs="Calibri"/>
          <w:color w:val="000000"/>
          <w:szCs w:val="21"/>
        </w:rPr>
        <w:t>本</w:t>
      </w:r>
      <w:r>
        <w:rPr>
          <w:rFonts w:ascii="Times New Roman" w:hAnsi="Times New Roman" w:eastAsia="宋体" w:cs="Calibri"/>
          <w:color w:val="000000"/>
          <w:spacing w:val="1"/>
          <w:szCs w:val="21"/>
        </w:rPr>
        <w:t>文</w:t>
      </w:r>
      <w:r>
        <w:rPr>
          <w:rFonts w:ascii="Times New Roman" w:hAnsi="Times New Roman" w:eastAsia="宋体" w:cs="Calibri"/>
          <w:color w:val="000000"/>
          <w:szCs w:val="21"/>
        </w:rPr>
        <w:t>件</w:t>
      </w:r>
      <w:r>
        <w:rPr>
          <w:rFonts w:ascii="Times New Roman" w:hAnsi="Times New Roman" w:eastAsia="宋体" w:cs="Calibri"/>
          <w:color w:val="000000"/>
          <w:spacing w:val="2"/>
          <w:szCs w:val="21"/>
        </w:rPr>
        <w:t>由</w:t>
      </w:r>
      <w:r>
        <w:rPr>
          <w:rFonts w:ascii="Times New Roman" w:hAnsi="Times New Roman" w:eastAsia="宋体" w:cs="Calibri"/>
          <w:color w:val="000000"/>
          <w:szCs w:val="21"/>
        </w:rPr>
        <w:t>中</w:t>
      </w:r>
      <w:r>
        <w:rPr>
          <w:rFonts w:ascii="Times New Roman" w:hAnsi="Times New Roman" w:eastAsia="宋体" w:cs="Calibri"/>
          <w:color w:val="000000"/>
          <w:spacing w:val="2"/>
          <w:szCs w:val="21"/>
        </w:rPr>
        <w:t>国</w:t>
      </w:r>
      <w:r>
        <w:rPr>
          <w:rFonts w:ascii="Times New Roman" w:hAnsi="Times New Roman" w:eastAsia="宋体" w:cs="Calibri"/>
          <w:color w:val="000000"/>
          <w:szCs w:val="21"/>
        </w:rPr>
        <w:t>研</w:t>
      </w:r>
      <w:r>
        <w:rPr>
          <w:rFonts w:ascii="Times New Roman" w:hAnsi="Times New Roman" w:eastAsia="宋体" w:cs="Calibri"/>
          <w:color w:val="000000"/>
          <w:spacing w:val="2"/>
          <w:szCs w:val="21"/>
        </w:rPr>
        <w:t>究</w:t>
      </w:r>
      <w:r>
        <w:rPr>
          <w:rFonts w:ascii="Times New Roman" w:hAnsi="Times New Roman" w:eastAsia="宋体" w:cs="Calibri"/>
          <w:color w:val="000000"/>
          <w:szCs w:val="21"/>
        </w:rPr>
        <w:t>型</w:t>
      </w:r>
      <w:r>
        <w:rPr>
          <w:rFonts w:ascii="Times New Roman" w:hAnsi="Times New Roman" w:eastAsia="宋体" w:cs="Calibri"/>
          <w:color w:val="000000"/>
          <w:spacing w:val="2"/>
          <w:szCs w:val="21"/>
        </w:rPr>
        <w:t>医</w:t>
      </w:r>
      <w:r>
        <w:rPr>
          <w:rFonts w:ascii="Times New Roman" w:hAnsi="Times New Roman" w:eastAsia="宋体" w:cs="Calibri"/>
          <w:color w:val="000000"/>
          <w:szCs w:val="21"/>
        </w:rPr>
        <w:t>院</w:t>
      </w:r>
      <w:r>
        <w:rPr>
          <w:rFonts w:ascii="Times New Roman" w:hAnsi="Times New Roman" w:eastAsia="宋体" w:cs="Calibri"/>
          <w:color w:val="000000"/>
          <w:spacing w:val="2"/>
          <w:szCs w:val="21"/>
        </w:rPr>
        <w:t>学</w:t>
      </w:r>
      <w:r>
        <w:rPr>
          <w:rFonts w:ascii="Times New Roman" w:hAnsi="Times New Roman" w:eastAsia="宋体" w:cs="Calibri"/>
          <w:color w:val="000000"/>
          <w:szCs w:val="21"/>
        </w:rPr>
        <w:t>会</w:t>
      </w:r>
      <w:r>
        <w:rPr>
          <w:rFonts w:ascii="Times New Roman" w:hAnsi="Times New Roman" w:eastAsia="宋体" w:cs="Calibri"/>
          <w:color w:val="000000"/>
          <w:spacing w:val="2"/>
          <w:szCs w:val="21"/>
        </w:rPr>
        <w:t>冲</w:t>
      </w:r>
      <w:r>
        <w:rPr>
          <w:rFonts w:ascii="Times New Roman" w:hAnsi="Times New Roman" w:eastAsia="宋体" w:cs="Calibri"/>
          <w:color w:val="000000"/>
          <w:szCs w:val="21"/>
        </w:rPr>
        <w:t>击</w:t>
      </w:r>
      <w:r>
        <w:rPr>
          <w:rFonts w:ascii="Times New Roman" w:hAnsi="Times New Roman" w:eastAsia="宋体" w:cs="Calibri"/>
          <w:color w:val="000000"/>
          <w:spacing w:val="2"/>
          <w:szCs w:val="21"/>
        </w:rPr>
        <w:t>波</w:t>
      </w:r>
      <w:r>
        <w:rPr>
          <w:rFonts w:ascii="Times New Roman" w:hAnsi="Times New Roman" w:eastAsia="宋体" w:cs="Calibri"/>
          <w:color w:val="000000"/>
          <w:szCs w:val="21"/>
        </w:rPr>
        <w:t>医</w:t>
      </w:r>
      <w:r>
        <w:rPr>
          <w:rFonts w:ascii="Times New Roman" w:hAnsi="Times New Roman" w:eastAsia="宋体" w:cs="Calibri"/>
          <w:color w:val="000000"/>
          <w:spacing w:val="2"/>
          <w:szCs w:val="21"/>
        </w:rPr>
        <w:t>学</w:t>
      </w:r>
      <w:r>
        <w:rPr>
          <w:rFonts w:ascii="Times New Roman" w:hAnsi="Times New Roman" w:eastAsia="宋体" w:cs="Calibri"/>
          <w:color w:val="000000"/>
          <w:szCs w:val="21"/>
        </w:rPr>
        <w:t>专</w:t>
      </w:r>
      <w:r>
        <w:rPr>
          <w:rFonts w:ascii="Times New Roman" w:hAnsi="Times New Roman" w:eastAsia="宋体" w:cs="Calibri"/>
          <w:color w:val="000000"/>
          <w:spacing w:val="2"/>
          <w:szCs w:val="21"/>
        </w:rPr>
        <w:t>业</w:t>
      </w:r>
      <w:r>
        <w:rPr>
          <w:rFonts w:ascii="Times New Roman" w:hAnsi="Times New Roman" w:eastAsia="宋体" w:cs="Calibri"/>
          <w:color w:val="000000"/>
          <w:szCs w:val="21"/>
        </w:rPr>
        <w:t>委</w:t>
      </w:r>
      <w:r>
        <w:rPr>
          <w:rFonts w:ascii="Times New Roman" w:hAnsi="Times New Roman" w:eastAsia="宋体" w:cs="Calibri"/>
          <w:color w:val="000000"/>
          <w:spacing w:val="2"/>
          <w:szCs w:val="21"/>
        </w:rPr>
        <w:t>员</w:t>
      </w:r>
      <w:r>
        <w:rPr>
          <w:rFonts w:ascii="Times New Roman" w:hAnsi="Times New Roman" w:eastAsia="宋体" w:cs="Calibri"/>
          <w:color w:val="000000"/>
          <w:szCs w:val="21"/>
        </w:rPr>
        <w:t>会</w:t>
      </w:r>
      <w:r>
        <w:rPr>
          <w:rFonts w:ascii="Times New Roman" w:hAnsi="Times New Roman" w:eastAsia="宋体" w:cs="Calibri"/>
          <w:color w:val="000000"/>
          <w:spacing w:val="2"/>
          <w:szCs w:val="21"/>
        </w:rPr>
        <w:t>提</w:t>
      </w:r>
      <w:r>
        <w:rPr>
          <w:rFonts w:ascii="Times New Roman" w:hAnsi="Times New Roman" w:eastAsia="宋体" w:cs="Calibri"/>
          <w:color w:val="000000"/>
          <w:szCs w:val="21"/>
        </w:rPr>
        <w:t>出。</w:t>
      </w:r>
    </w:p>
    <w:p w14:paraId="506EC101">
      <w:pPr>
        <w:spacing w:line="240" w:lineRule="auto"/>
        <w:ind w:left="0" w:right="0" w:firstLine="420" w:firstLineChars="200"/>
        <w:rPr>
          <w:rFonts w:ascii="Times New Roman" w:hAnsi="Times New Roman" w:eastAsia="宋体" w:cs="Calibri"/>
          <w:color w:val="000000"/>
          <w:szCs w:val="21"/>
        </w:rPr>
      </w:pPr>
      <w:r>
        <w:rPr>
          <w:rFonts w:ascii="Times New Roman" w:hAnsi="Times New Roman" w:eastAsia="宋体" w:cs="Calibri"/>
          <w:color w:val="000000"/>
          <w:szCs w:val="21"/>
        </w:rPr>
        <w:t>本</w:t>
      </w:r>
      <w:r>
        <w:rPr>
          <w:rFonts w:ascii="Times New Roman" w:hAnsi="Times New Roman" w:eastAsia="宋体" w:cs="Calibri"/>
          <w:color w:val="000000"/>
          <w:spacing w:val="1"/>
          <w:szCs w:val="21"/>
        </w:rPr>
        <w:t>文</w:t>
      </w:r>
      <w:r>
        <w:rPr>
          <w:rFonts w:ascii="Times New Roman" w:hAnsi="Times New Roman" w:eastAsia="宋体" w:cs="Calibri"/>
          <w:color w:val="000000"/>
          <w:szCs w:val="21"/>
        </w:rPr>
        <w:t>件</w:t>
      </w:r>
      <w:r>
        <w:rPr>
          <w:rFonts w:ascii="Times New Roman" w:hAnsi="Times New Roman" w:eastAsia="宋体" w:cs="Calibri"/>
          <w:color w:val="000000"/>
          <w:spacing w:val="2"/>
          <w:szCs w:val="21"/>
        </w:rPr>
        <w:t>由</w:t>
      </w:r>
      <w:r>
        <w:rPr>
          <w:rFonts w:ascii="Times New Roman" w:hAnsi="Times New Roman" w:eastAsia="宋体" w:cs="Calibri"/>
          <w:color w:val="000000"/>
          <w:szCs w:val="21"/>
        </w:rPr>
        <w:t>中</w:t>
      </w:r>
      <w:r>
        <w:rPr>
          <w:rFonts w:ascii="Times New Roman" w:hAnsi="Times New Roman" w:eastAsia="宋体" w:cs="Calibri"/>
          <w:color w:val="000000"/>
          <w:spacing w:val="2"/>
          <w:szCs w:val="21"/>
        </w:rPr>
        <w:t>国</w:t>
      </w:r>
      <w:r>
        <w:rPr>
          <w:rFonts w:ascii="Times New Roman" w:hAnsi="Times New Roman" w:eastAsia="宋体" w:cs="Calibri"/>
          <w:color w:val="000000"/>
          <w:szCs w:val="21"/>
        </w:rPr>
        <w:t>研</w:t>
      </w:r>
      <w:r>
        <w:rPr>
          <w:rFonts w:ascii="Times New Roman" w:hAnsi="Times New Roman" w:eastAsia="宋体" w:cs="Calibri"/>
          <w:color w:val="000000"/>
          <w:spacing w:val="2"/>
          <w:szCs w:val="21"/>
        </w:rPr>
        <w:t>究</w:t>
      </w:r>
      <w:r>
        <w:rPr>
          <w:rFonts w:ascii="Times New Roman" w:hAnsi="Times New Roman" w:eastAsia="宋体" w:cs="Calibri"/>
          <w:color w:val="000000"/>
          <w:szCs w:val="21"/>
        </w:rPr>
        <w:t>型</w:t>
      </w:r>
      <w:r>
        <w:rPr>
          <w:rFonts w:ascii="Times New Roman" w:hAnsi="Times New Roman" w:eastAsia="宋体" w:cs="Calibri"/>
          <w:color w:val="000000"/>
          <w:spacing w:val="2"/>
          <w:szCs w:val="21"/>
        </w:rPr>
        <w:t>医</w:t>
      </w:r>
      <w:r>
        <w:rPr>
          <w:rFonts w:ascii="Times New Roman" w:hAnsi="Times New Roman" w:eastAsia="宋体" w:cs="Calibri"/>
          <w:color w:val="000000"/>
          <w:szCs w:val="21"/>
        </w:rPr>
        <w:t>院</w:t>
      </w:r>
      <w:r>
        <w:rPr>
          <w:rFonts w:ascii="Times New Roman" w:hAnsi="Times New Roman" w:eastAsia="宋体" w:cs="Calibri"/>
          <w:color w:val="000000"/>
          <w:spacing w:val="2"/>
          <w:szCs w:val="21"/>
        </w:rPr>
        <w:t>学</w:t>
      </w:r>
      <w:r>
        <w:rPr>
          <w:rFonts w:ascii="Times New Roman" w:hAnsi="Times New Roman" w:eastAsia="宋体" w:cs="Calibri"/>
          <w:color w:val="000000"/>
          <w:szCs w:val="21"/>
        </w:rPr>
        <w:t>会</w:t>
      </w:r>
      <w:r>
        <w:rPr>
          <w:rFonts w:ascii="Times New Roman" w:hAnsi="Times New Roman" w:eastAsia="宋体" w:cs="Calibri"/>
          <w:color w:val="000000"/>
          <w:spacing w:val="2"/>
          <w:szCs w:val="21"/>
        </w:rPr>
        <w:t>归</w:t>
      </w:r>
      <w:r>
        <w:rPr>
          <w:rFonts w:ascii="Times New Roman" w:hAnsi="Times New Roman" w:eastAsia="宋体" w:cs="Calibri"/>
          <w:color w:val="000000"/>
          <w:szCs w:val="21"/>
        </w:rPr>
        <w:t>口。</w:t>
      </w:r>
    </w:p>
    <w:p w14:paraId="69793063">
      <w:pPr>
        <w:spacing w:line="240" w:lineRule="auto"/>
        <w:ind w:left="0" w:right="0" w:firstLine="420" w:firstLineChars="200"/>
        <w:rPr>
          <w:rFonts w:hint="eastAsia" w:ascii="Times New Roman" w:hAnsi="Times New Roman" w:eastAsia="宋体"/>
          <w:szCs w:val="21"/>
          <w:lang w:eastAsia="zh-CN"/>
        </w:rPr>
      </w:pPr>
      <w:r>
        <w:rPr>
          <w:rFonts w:hint="eastAsia" w:ascii="Times New Roman" w:hAnsi="Times New Roman" w:eastAsia="宋体" w:cs="宋体"/>
          <w:szCs w:val="21"/>
        </w:rPr>
        <w:t>本</w:t>
      </w:r>
      <w:r>
        <w:rPr>
          <w:rFonts w:hint="eastAsia" w:ascii="Times New Roman" w:hAnsi="Times New Roman" w:eastAsia="宋体" w:cs="宋体"/>
          <w:spacing w:val="1"/>
          <w:szCs w:val="21"/>
        </w:rPr>
        <w:t>文</w:t>
      </w:r>
      <w:r>
        <w:rPr>
          <w:rFonts w:hint="eastAsia" w:ascii="Times New Roman" w:hAnsi="Times New Roman" w:eastAsia="宋体" w:cs="宋体"/>
          <w:szCs w:val="21"/>
        </w:rPr>
        <w:t>件</w:t>
      </w:r>
      <w:r>
        <w:rPr>
          <w:rFonts w:hint="eastAsia" w:ascii="Times New Roman" w:hAnsi="Times New Roman" w:eastAsia="宋体" w:cs="宋体"/>
          <w:spacing w:val="2"/>
          <w:szCs w:val="21"/>
        </w:rPr>
        <w:t>起</w:t>
      </w:r>
      <w:r>
        <w:rPr>
          <w:rFonts w:hint="eastAsia" w:ascii="Times New Roman" w:hAnsi="Times New Roman" w:eastAsia="宋体" w:cs="宋体"/>
          <w:szCs w:val="21"/>
        </w:rPr>
        <w:t>草</w:t>
      </w:r>
      <w:r>
        <w:rPr>
          <w:rFonts w:hint="eastAsia" w:ascii="Times New Roman" w:hAnsi="Times New Roman" w:eastAsia="宋体" w:cs="宋体"/>
          <w:spacing w:val="2"/>
          <w:szCs w:val="21"/>
        </w:rPr>
        <w:t>单</w:t>
      </w:r>
      <w:r>
        <w:rPr>
          <w:rFonts w:hint="eastAsia" w:ascii="Times New Roman" w:hAnsi="Times New Roman" w:eastAsia="宋体" w:cs="宋体"/>
          <w:szCs w:val="21"/>
        </w:rPr>
        <w:t>位：</w:t>
      </w:r>
      <w:r>
        <w:rPr>
          <w:rFonts w:hint="eastAsia" w:ascii="Times New Roman" w:hAnsi="Times New Roman" w:eastAsia="宋体" w:cs="宋体"/>
          <w:szCs w:val="21"/>
          <w:lang w:eastAsia="zh-CN"/>
        </w:rPr>
        <w:t>。</w:t>
      </w:r>
    </w:p>
    <w:p w14:paraId="6F8B493C">
      <w:pPr>
        <w:spacing w:line="240" w:lineRule="auto"/>
        <w:ind w:firstLine="420" w:firstLineChars="200"/>
        <w:rPr>
          <w:rFonts w:hint="eastAsia" w:ascii="Times New Roman" w:hAnsi="Times New Roman" w:eastAsia="宋体" w:cs="等线"/>
          <w:color w:val="000000"/>
          <w:w w:val="99"/>
          <w:sz w:val="18"/>
          <w:szCs w:val="18"/>
          <w:lang w:eastAsia="zh-CN"/>
        </w:rPr>
        <w:sectPr>
          <w:headerReference r:id="rId10" w:type="first"/>
          <w:footerReference r:id="rId13" w:type="first"/>
          <w:headerReference r:id="rId8" w:type="default"/>
          <w:footerReference r:id="rId11" w:type="default"/>
          <w:headerReference r:id="rId9" w:type="even"/>
          <w:footerReference r:id="rId12" w:type="even"/>
          <w:pgSz w:w="11905" w:h="16838"/>
          <w:pgMar w:top="1417" w:right="1134" w:bottom="1134" w:left="1417" w:header="0" w:footer="0" w:gutter="0"/>
          <w:paperSrc/>
          <w:pgNumType w:fmt="upperRoman" w:start="1"/>
          <w:cols w:space="0" w:num="1"/>
          <w:titlePg/>
          <w:rtlGutter w:val="0"/>
          <w:docGrid w:linePitch="0" w:charSpace="0"/>
        </w:sectPr>
      </w:pPr>
      <w:r>
        <w:rPr>
          <w:rFonts w:hint="eastAsia" w:ascii="Times New Roman" w:hAnsi="Times New Roman" w:eastAsia="宋体" w:cs="宋体"/>
          <w:szCs w:val="21"/>
        </w:rPr>
        <w:t>本</w:t>
      </w:r>
      <w:r>
        <w:rPr>
          <w:rFonts w:hint="eastAsia" w:ascii="Times New Roman" w:hAnsi="Times New Roman" w:eastAsia="宋体" w:cs="宋体"/>
          <w:spacing w:val="1"/>
          <w:szCs w:val="21"/>
        </w:rPr>
        <w:t>文</w:t>
      </w:r>
      <w:r>
        <w:rPr>
          <w:rFonts w:hint="eastAsia" w:ascii="Times New Roman" w:hAnsi="Times New Roman" w:eastAsia="宋体" w:cs="宋体"/>
          <w:szCs w:val="21"/>
        </w:rPr>
        <w:t>件</w:t>
      </w:r>
      <w:r>
        <w:rPr>
          <w:rFonts w:hint="eastAsia" w:ascii="Times New Roman" w:hAnsi="Times New Roman" w:eastAsia="宋体" w:cs="宋体"/>
          <w:spacing w:val="2"/>
          <w:szCs w:val="21"/>
        </w:rPr>
        <w:t>主</w:t>
      </w:r>
      <w:r>
        <w:rPr>
          <w:rFonts w:hint="eastAsia" w:ascii="Times New Roman" w:hAnsi="Times New Roman" w:eastAsia="宋体" w:cs="宋体"/>
          <w:szCs w:val="21"/>
        </w:rPr>
        <w:t>要</w:t>
      </w:r>
      <w:r>
        <w:rPr>
          <w:rFonts w:hint="eastAsia" w:ascii="Times New Roman" w:hAnsi="Times New Roman" w:eastAsia="宋体" w:cs="宋体"/>
          <w:spacing w:val="2"/>
          <w:szCs w:val="21"/>
        </w:rPr>
        <w:t>起</w:t>
      </w:r>
      <w:r>
        <w:rPr>
          <w:rFonts w:hint="eastAsia" w:ascii="Times New Roman" w:hAnsi="Times New Roman" w:eastAsia="宋体" w:cs="宋体"/>
          <w:szCs w:val="21"/>
        </w:rPr>
        <w:t>草</w:t>
      </w:r>
      <w:r>
        <w:rPr>
          <w:rFonts w:hint="eastAsia" w:ascii="Times New Roman" w:hAnsi="Times New Roman" w:eastAsia="宋体" w:cs="宋体"/>
          <w:spacing w:val="2"/>
          <w:szCs w:val="21"/>
        </w:rPr>
        <w:t>人</w:t>
      </w:r>
      <w:r>
        <w:rPr>
          <w:rFonts w:hint="eastAsia" w:ascii="Times New Roman" w:hAnsi="Times New Roman" w:eastAsia="宋体" w:cs="宋体"/>
          <w:szCs w:val="21"/>
        </w:rPr>
        <w:t>：</w:t>
      </w:r>
      <w:r>
        <w:rPr>
          <w:rFonts w:hint="eastAsia" w:ascii="Times New Roman" w:hAnsi="Times New Roman" w:eastAsia="宋体" w:cs="等线"/>
          <w:color w:val="000000"/>
          <w:w w:val="99"/>
          <w:sz w:val="18"/>
          <w:szCs w:val="18"/>
          <w:lang w:eastAsia="zh-CN"/>
        </w:rPr>
        <w:t>。</w:t>
      </w:r>
    </w:p>
    <w:p w14:paraId="7F5C4652">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jc w:val="center"/>
        <w:textAlignment w:val="auto"/>
        <w:rPr>
          <w:rFonts w:ascii="Times New Roman" w:hAnsi="Times New Roman" w:eastAsia="宋体"/>
          <w:sz w:val="24"/>
          <w:szCs w:val="24"/>
        </w:rPr>
      </w:pPr>
      <w:r>
        <w:rPr>
          <w:rFonts w:hint="eastAsia" w:ascii="黑体" w:hAnsi="黑体" w:eastAsia="黑体" w:cs="Calibri"/>
          <w:b w:val="0"/>
          <w:bCs w:val="0"/>
          <w:color w:val="000000"/>
          <w:sz w:val="32"/>
          <w:szCs w:val="32"/>
        </w:rPr>
        <w:t>髓性肌萎缩症“筛查-诊断-治疗”一体化中心建设标准</w:t>
      </w:r>
    </w:p>
    <w:p w14:paraId="0893339A">
      <w:pPr>
        <w:pStyle w:val="21"/>
        <w:numPr>
          <w:ilvl w:val="0"/>
          <w:numId w:val="1"/>
        </w:numPr>
        <w:tabs>
          <w:tab w:val="left" w:pos="420"/>
        </w:tabs>
        <w:spacing w:before="240" w:beforeLines="100" w:after="240" w:afterLines="100"/>
        <w:ind w:left="360" w:right="0" w:hanging="360" w:firstLineChars="0"/>
        <w:outlineLvl w:val="0"/>
        <w:rPr>
          <w:rFonts w:hint="eastAsia" w:ascii="Times New Roman" w:hAnsi="Times New Roman" w:eastAsia="宋体"/>
          <w:color w:val="000000"/>
          <w:szCs w:val="21"/>
        </w:rPr>
      </w:pPr>
      <w:bookmarkStart w:id="2" w:name="_Toc203680661"/>
      <w:bookmarkStart w:id="3" w:name="_Toc203680706"/>
      <w:r>
        <w:rPr>
          <w:rFonts w:hint="eastAsia" w:ascii="黑体" w:hAnsi="黑体" w:eastAsia="黑体" w:cs="宋体"/>
          <w:b w:val="0"/>
          <w:bCs w:val="0"/>
          <w:color w:val="000000"/>
          <w:szCs w:val="21"/>
        </w:rPr>
        <w:t>范围</w:t>
      </w:r>
      <w:bookmarkEnd w:id="2"/>
      <w:bookmarkEnd w:id="3"/>
      <w:bookmarkStart w:id="4" w:name="_Toc203680707"/>
      <w:bookmarkEnd w:id="4"/>
    </w:p>
    <w:p w14:paraId="131A0663">
      <w:pPr>
        <w:pStyle w:val="4"/>
        <w:spacing w:before="0" w:line="240" w:lineRule="auto"/>
        <w:ind w:left="0" w:right="0" w:firstLine="420" w:firstLineChars="200"/>
        <w:rPr>
          <w:rFonts w:hint="eastAsia" w:ascii="Times New Roman" w:hAnsi="Times New Roman" w:eastAsia="宋体" w:cs="宋体"/>
          <w:color w:val="000000"/>
          <w:spacing w:val="2"/>
          <w:lang w:eastAsia="zh-CN"/>
        </w:rPr>
      </w:pPr>
      <w:r>
        <w:rPr>
          <w:rFonts w:ascii="Times New Roman" w:hAnsi="Times New Roman" w:eastAsia="宋体"/>
          <w:lang w:eastAsia="zh-CN"/>
        </w:rPr>
        <w:t>本文件规定了</w:t>
      </w:r>
      <w:r>
        <w:rPr>
          <w:rFonts w:hint="eastAsia" w:ascii="Times New Roman" w:hAnsi="Times New Roman" w:eastAsia="宋体" w:cs="宋体"/>
          <w:color w:val="000000"/>
          <w:spacing w:val="2"/>
          <w:lang w:eastAsia="zh-CN"/>
        </w:rPr>
        <w:t>脊髓性肌萎缩症（Spinal Muscular Atrophy, SMA）筛查、诊断与治疗一体化中心的分类及建设标准、人员要求、基本设施、专科设备和信息化建设要求。</w:t>
      </w:r>
    </w:p>
    <w:p w14:paraId="6873C154">
      <w:pPr>
        <w:spacing w:line="240" w:lineRule="auto"/>
        <w:ind w:left="0" w:right="0" w:firstLine="428" w:firstLineChars="200"/>
        <w:rPr>
          <w:rFonts w:ascii="Times New Roman" w:hAnsi="Times New Roman" w:eastAsia="宋体" w:cs="宋体"/>
          <w:spacing w:val="2"/>
          <w:szCs w:val="21"/>
        </w:rPr>
      </w:pPr>
      <w:r>
        <w:rPr>
          <w:rFonts w:hint="eastAsia" w:ascii="Times New Roman" w:hAnsi="Times New Roman" w:eastAsia="宋体" w:cs="宋体"/>
          <w:spacing w:val="2"/>
          <w:szCs w:val="21"/>
        </w:rPr>
        <w:t>本文件适用于各级人民政府、行业主管单位、各级医疗机构及有关单位组建SMA“筛查-诊断-治疗”一体化中心体系提供参考。</w:t>
      </w:r>
    </w:p>
    <w:p w14:paraId="5DA1393B">
      <w:pPr>
        <w:spacing w:line="240" w:lineRule="auto"/>
        <w:ind w:left="0" w:right="0" w:firstLine="428" w:firstLineChars="200"/>
        <w:rPr>
          <w:rFonts w:ascii="Times New Roman" w:hAnsi="Times New Roman" w:eastAsia="宋体" w:cs="Calibri"/>
          <w:color w:val="000000"/>
          <w:spacing w:val="2"/>
          <w:szCs w:val="21"/>
        </w:rPr>
      </w:pPr>
      <w:commentRangeStart w:id="0"/>
      <w:r>
        <w:rPr>
          <w:rFonts w:hint="eastAsia" w:ascii="Times New Roman" w:hAnsi="Times New Roman" w:eastAsia="宋体" w:cs="宋体"/>
          <w:color w:val="000000"/>
          <w:spacing w:val="2"/>
          <w:szCs w:val="21"/>
        </w:rPr>
        <w:t>本文件每3</w:t>
      </w:r>
      <w:r>
        <w:rPr>
          <w:rFonts w:ascii="Times New Roman" w:hAnsi="Times New Roman" w:eastAsia="宋体" w:cs="宋体"/>
          <w:color w:val="000000"/>
          <w:spacing w:val="2"/>
          <w:szCs w:val="21"/>
        </w:rPr>
        <w:t>-5</w:t>
      </w:r>
      <w:r>
        <w:rPr>
          <w:rFonts w:hint="eastAsia" w:ascii="Times New Roman" w:hAnsi="Times New Roman" w:eastAsia="宋体" w:cs="宋体"/>
          <w:color w:val="000000"/>
          <w:spacing w:val="2"/>
          <w:szCs w:val="21"/>
        </w:rPr>
        <w:t>年</w:t>
      </w:r>
      <w:r>
        <w:rPr>
          <w:rFonts w:ascii="Times New Roman" w:hAnsi="Times New Roman" w:eastAsia="宋体" w:cs="宋体"/>
          <w:color w:val="000000"/>
          <w:spacing w:val="2"/>
          <w:szCs w:val="21"/>
        </w:rPr>
        <w:t>根据国内</w:t>
      </w:r>
      <w:r>
        <w:rPr>
          <w:rFonts w:hint="eastAsia" w:ascii="Times New Roman" w:hAnsi="Times New Roman" w:eastAsia="宋体" w:cs="宋体"/>
          <w:color w:val="000000"/>
          <w:spacing w:val="2"/>
          <w:szCs w:val="21"/>
        </w:rPr>
        <w:t>外</w:t>
      </w:r>
      <w:r>
        <w:rPr>
          <w:rFonts w:ascii="Times New Roman" w:hAnsi="Times New Roman" w:eastAsia="宋体" w:cs="宋体"/>
          <w:color w:val="000000"/>
          <w:spacing w:val="2"/>
          <w:szCs w:val="21"/>
        </w:rPr>
        <w:t>临床实践</w:t>
      </w:r>
      <w:r>
        <w:rPr>
          <w:rFonts w:hint="eastAsia" w:ascii="Times New Roman" w:hAnsi="Times New Roman" w:eastAsia="宋体" w:cs="宋体"/>
          <w:color w:val="000000"/>
          <w:spacing w:val="2"/>
          <w:szCs w:val="21"/>
        </w:rPr>
        <w:t>指南及时</w:t>
      </w:r>
      <w:r>
        <w:rPr>
          <w:rFonts w:ascii="Times New Roman" w:hAnsi="Times New Roman" w:eastAsia="宋体" w:cs="宋体"/>
          <w:color w:val="000000"/>
          <w:spacing w:val="2"/>
          <w:szCs w:val="21"/>
        </w:rPr>
        <w:t>更新，以确保标准的科学性和适用性。</w:t>
      </w:r>
      <w:commentRangeEnd w:id="0"/>
      <w:r>
        <w:rPr>
          <w:rStyle w:val="18"/>
        </w:rPr>
        <w:commentReference w:id="0"/>
      </w:r>
    </w:p>
    <w:p w14:paraId="40150697">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5" w:name="_Toc203680708"/>
      <w:r>
        <w:rPr>
          <w:rFonts w:hint="eastAsia" w:ascii="黑体" w:hAnsi="黑体" w:eastAsia="黑体" w:cs="宋体"/>
          <w:b w:val="0"/>
          <w:bCs w:val="0"/>
          <w:color w:val="000000"/>
          <w:szCs w:val="21"/>
        </w:rPr>
        <w:t>规范性引用文件</w:t>
      </w:r>
      <w:bookmarkEnd w:id="5"/>
    </w:p>
    <w:p w14:paraId="1561748A">
      <w:pPr>
        <w:pStyle w:val="4"/>
        <w:ind w:firstLine="428" w:firstLineChars="200"/>
        <w:rPr>
          <w:rFonts w:ascii="Times New Roman" w:hAnsi="Times New Roman" w:eastAsia="宋体" w:cs="Calibri"/>
          <w:color w:val="000000"/>
          <w:szCs w:val="21"/>
          <w:lang w:eastAsia="zh-CN"/>
        </w:rPr>
      </w:pPr>
      <w:r>
        <w:rPr>
          <w:rFonts w:hint="eastAsia" w:ascii="Times New Roman" w:hAnsi="Times New Roman" w:eastAsia="宋体" w:cs="宋体"/>
          <w:color w:val="000000"/>
          <w:spacing w:val="2"/>
          <w:lang w:eastAsia="zh-CN"/>
        </w:rPr>
        <w:t>下列文件中的内容通过文中的规范性引用而构成本文件必不可少的条款。其中，标注日期的引用文件，仅该日期对应的版本适用于本文件；不注日期的引用文件，其最新版本（包括所有的修</w:t>
      </w:r>
      <w:r>
        <w:rPr>
          <w:rFonts w:hint="eastAsia" w:ascii="Times New Roman" w:hAnsi="Times New Roman" w:eastAsia="宋体" w:cs="Calibri"/>
          <w:color w:val="000000"/>
          <w:lang w:eastAsia="zh-CN"/>
        </w:rPr>
        <w:t>改</w:t>
      </w:r>
      <w:r>
        <w:rPr>
          <w:rFonts w:hint="eastAsia" w:ascii="Times New Roman" w:hAnsi="Times New Roman" w:eastAsia="宋体" w:cs="Calibri"/>
          <w:color w:val="000000"/>
          <w:spacing w:val="1"/>
          <w:lang w:eastAsia="zh-CN"/>
        </w:rPr>
        <w:t>单</w:t>
      </w:r>
      <w:r>
        <w:rPr>
          <w:rFonts w:hint="eastAsia" w:ascii="Times New Roman" w:hAnsi="Times New Roman" w:eastAsia="宋体" w:cs="Calibri"/>
          <w:color w:val="000000"/>
          <w:lang w:eastAsia="zh-CN"/>
        </w:rPr>
        <w:t>）</w:t>
      </w:r>
      <w:r>
        <w:rPr>
          <w:rFonts w:hint="eastAsia" w:ascii="Times New Roman" w:hAnsi="Times New Roman" w:eastAsia="宋体" w:cs="Calibri"/>
          <w:color w:val="000000"/>
          <w:spacing w:val="2"/>
          <w:lang w:eastAsia="zh-CN"/>
        </w:rPr>
        <w:t>适</w:t>
      </w:r>
      <w:r>
        <w:rPr>
          <w:rFonts w:hint="eastAsia" w:ascii="Times New Roman" w:hAnsi="Times New Roman" w:eastAsia="宋体" w:cs="Calibri"/>
          <w:color w:val="000000"/>
          <w:lang w:eastAsia="zh-CN"/>
        </w:rPr>
        <w:t>用</w:t>
      </w:r>
      <w:r>
        <w:rPr>
          <w:rFonts w:hint="eastAsia" w:ascii="Times New Roman" w:hAnsi="Times New Roman" w:eastAsia="宋体" w:cs="Calibri"/>
          <w:color w:val="000000"/>
          <w:spacing w:val="2"/>
          <w:lang w:eastAsia="zh-CN"/>
        </w:rPr>
        <w:t>于</w:t>
      </w:r>
      <w:r>
        <w:rPr>
          <w:rFonts w:hint="eastAsia" w:ascii="Times New Roman" w:hAnsi="Times New Roman" w:eastAsia="宋体" w:cs="Calibri"/>
          <w:color w:val="000000"/>
          <w:lang w:eastAsia="zh-CN"/>
        </w:rPr>
        <w:t>本</w:t>
      </w:r>
      <w:r>
        <w:rPr>
          <w:rFonts w:hint="eastAsia" w:ascii="Times New Roman" w:hAnsi="Times New Roman" w:eastAsia="宋体" w:cs="Calibri"/>
          <w:color w:val="000000"/>
          <w:spacing w:val="2"/>
          <w:lang w:eastAsia="zh-CN"/>
        </w:rPr>
        <w:t>文</w:t>
      </w:r>
      <w:r>
        <w:rPr>
          <w:rFonts w:hint="eastAsia" w:ascii="Times New Roman" w:hAnsi="Times New Roman" w:eastAsia="宋体" w:cs="Calibri"/>
          <w:color w:val="000000"/>
          <w:lang w:eastAsia="zh-CN"/>
        </w:rPr>
        <w:t>件。</w:t>
      </w:r>
    </w:p>
    <w:p w14:paraId="56C0956B">
      <w:pPr>
        <w:pStyle w:val="4"/>
        <w:ind w:firstLine="400" w:firstLineChars="200"/>
        <w:rPr>
          <w:rFonts w:ascii="Times New Roman" w:hAnsi="Times New Roman" w:eastAsia="宋体"/>
          <w:sz w:val="12"/>
          <w:szCs w:val="12"/>
          <w:lang w:eastAsia="zh-CN"/>
        </w:rPr>
      </w:pPr>
      <w:bookmarkStart w:id="6" w:name="OLE_LINK3"/>
      <w:commentRangeStart w:id="1"/>
      <w:r>
        <w:rPr>
          <w:rFonts w:hint="eastAsia" w:ascii="Times New Roman" w:hAnsi="Times New Roman" w:eastAsia="宋体" w:cs="宋体"/>
          <w:color w:val="000000"/>
          <w:kern w:val="0"/>
          <w:sz w:val="20"/>
          <w:szCs w:val="20"/>
          <w:lang w:eastAsia="zh-CN" w:bidi="ar"/>
        </w:rPr>
        <w:t>《脊髓性肌萎缩症多学科管理专家共识（</w:t>
      </w:r>
      <w:r>
        <w:rPr>
          <w:rFonts w:ascii="Times New Roman" w:hAnsi="Times New Roman" w:eastAsia="宋体" w:cs="宋体"/>
          <w:color w:val="000000"/>
          <w:kern w:val="0"/>
          <w:sz w:val="20"/>
          <w:szCs w:val="20"/>
          <w:lang w:eastAsia="zh-CN" w:bidi="ar"/>
        </w:rPr>
        <w:t>2019</w:t>
      </w:r>
      <w:r>
        <w:rPr>
          <w:rFonts w:hint="eastAsia" w:ascii="Times New Roman" w:hAnsi="Times New Roman" w:eastAsia="宋体" w:cs="宋体"/>
          <w:color w:val="000000"/>
          <w:kern w:val="0"/>
          <w:sz w:val="20"/>
          <w:szCs w:val="20"/>
          <w:lang w:eastAsia="zh-CN" w:bidi="ar"/>
        </w:rPr>
        <w:t>年版）》</w:t>
      </w:r>
    </w:p>
    <w:p w14:paraId="12D6BCF8">
      <w:pPr>
        <w:pStyle w:val="4"/>
        <w:ind w:firstLine="428" w:firstLineChars="200"/>
        <w:rPr>
          <w:rFonts w:ascii="Times New Roman" w:hAnsi="Times New Roman" w:eastAsia="宋体" w:cs="宋体"/>
          <w:color w:val="000000"/>
          <w:spacing w:val="2"/>
          <w:szCs w:val="21"/>
          <w:lang w:eastAsia="zh-CN"/>
        </w:rPr>
      </w:pPr>
      <w:r>
        <w:rPr>
          <w:rFonts w:hint="eastAsia" w:ascii="Times New Roman" w:hAnsi="Times New Roman" w:eastAsia="宋体" w:cs="宋体"/>
          <w:color w:val="000000"/>
          <w:spacing w:val="2"/>
          <w:lang w:eastAsia="zh-CN"/>
        </w:rPr>
        <w:t>《脊髓性肌萎缩症新生儿筛查专家共识（</w:t>
      </w:r>
      <w:r>
        <w:rPr>
          <w:rFonts w:ascii="Times New Roman" w:hAnsi="Times New Roman" w:eastAsia="宋体" w:cs="宋体"/>
          <w:color w:val="000000"/>
          <w:spacing w:val="2"/>
          <w:lang w:eastAsia="zh-CN"/>
        </w:rPr>
        <w:t>2023</w:t>
      </w:r>
      <w:r>
        <w:rPr>
          <w:rFonts w:hint="eastAsia" w:ascii="Times New Roman" w:hAnsi="Times New Roman" w:eastAsia="宋体" w:cs="宋体"/>
          <w:color w:val="000000"/>
          <w:spacing w:val="2"/>
          <w:lang w:eastAsia="zh-CN"/>
        </w:rPr>
        <w:t>版）》</w:t>
      </w:r>
    </w:p>
    <w:p w14:paraId="4BF37B91">
      <w:pPr>
        <w:pStyle w:val="4"/>
        <w:ind w:firstLine="428" w:firstLineChars="200"/>
        <w:rPr>
          <w:rFonts w:ascii="Times New Roman" w:hAnsi="Times New Roman" w:eastAsia="宋体" w:cs="宋体"/>
          <w:color w:val="000000"/>
          <w:spacing w:val="2"/>
          <w:szCs w:val="21"/>
          <w:lang w:eastAsia="zh-CN"/>
        </w:rPr>
      </w:pPr>
      <w:r>
        <w:rPr>
          <w:rFonts w:hint="eastAsia" w:ascii="Times New Roman" w:hAnsi="Times New Roman" w:eastAsia="宋体" w:cs="宋体"/>
          <w:color w:val="000000"/>
          <w:spacing w:val="2"/>
          <w:lang w:eastAsia="zh-CN"/>
        </w:rPr>
        <w:t>《新生儿疾病筛查技术规范（</w:t>
      </w:r>
      <w:r>
        <w:rPr>
          <w:rFonts w:ascii="Times New Roman" w:hAnsi="Times New Roman" w:eastAsia="宋体" w:cs="宋体"/>
          <w:color w:val="000000"/>
          <w:spacing w:val="2"/>
          <w:lang w:eastAsia="zh-CN"/>
        </w:rPr>
        <w:t>2010</w:t>
      </w:r>
      <w:r>
        <w:rPr>
          <w:rFonts w:hint="eastAsia" w:ascii="Times New Roman" w:hAnsi="Times New Roman" w:eastAsia="宋体" w:cs="宋体"/>
          <w:color w:val="000000"/>
          <w:spacing w:val="2"/>
          <w:lang w:eastAsia="zh-CN"/>
        </w:rPr>
        <w:t>版）》</w:t>
      </w:r>
    </w:p>
    <w:p w14:paraId="64B1BB78">
      <w:pPr>
        <w:pStyle w:val="4"/>
        <w:ind w:firstLine="428" w:firstLineChars="200"/>
        <w:rPr>
          <w:rFonts w:ascii="Times New Roman" w:hAnsi="Times New Roman" w:eastAsia="宋体" w:cs="宋体"/>
          <w:color w:val="000000"/>
          <w:spacing w:val="2"/>
          <w:szCs w:val="21"/>
          <w:lang w:eastAsia="zh-CN"/>
        </w:rPr>
      </w:pPr>
      <w:r>
        <w:rPr>
          <w:rFonts w:hint="eastAsia" w:ascii="Times New Roman" w:hAnsi="Times New Roman" w:eastAsia="宋体" w:cs="宋体"/>
          <w:color w:val="000000"/>
          <w:spacing w:val="2"/>
          <w:lang w:eastAsia="zh-CN"/>
        </w:rPr>
        <w:t>《脊髓性肌萎缩症呼吸管理专家共识</w:t>
      </w:r>
      <w:r>
        <w:rPr>
          <w:rFonts w:ascii="Times New Roman" w:hAnsi="Times New Roman" w:eastAsia="宋体" w:cs="宋体"/>
          <w:color w:val="000000"/>
          <w:spacing w:val="2"/>
          <w:lang w:eastAsia="zh-CN"/>
        </w:rPr>
        <w:t>(2022</w:t>
      </w:r>
      <w:r>
        <w:rPr>
          <w:rFonts w:hint="eastAsia" w:ascii="Times New Roman" w:hAnsi="Times New Roman" w:eastAsia="宋体" w:cs="宋体"/>
          <w:color w:val="000000"/>
          <w:spacing w:val="2"/>
          <w:lang w:eastAsia="zh-CN"/>
        </w:rPr>
        <w:t>版</w:t>
      </w:r>
      <w:r>
        <w:rPr>
          <w:rFonts w:ascii="Times New Roman" w:hAnsi="Times New Roman" w:eastAsia="宋体" w:cs="宋体"/>
          <w:color w:val="000000"/>
          <w:spacing w:val="2"/>
          <w:lang w:eastAsia="zh-CN"/>
        </w:rPr>
        <w:t>)</w:t>
      </w:r>
      <w:r>
        <w:rPr>
          <w:rFonts w:hint="eastAsia" w:ascii="Times New Roman" w:hAnsi="Times New Roman" w:eastAsia="宋体" w:cs="宋体"/>
          <w:color w:val="000000"/>
          <w:spacing w:val="2"/>
          <w:lang w:eastAsia="zh-CN"/>
        </w:rPr>
        <w:t>》</w:t>
      </w:r>
    </w:p>
    <w:p w14:paraId="73E1ADF5">
      <w:pPr>
        <w:pStyle w:val="4"/>
        <w:ind w:firstLine="428" w:firstLineChars="200"/>
        <w:rPr>
          <w:rFonts w:ascii="Times New Roman" w:hAnsi="Times New Roman" w:eastAsia="宋体" w:cs="宋体"/>
          <w:color w:val="000000"/>
          <w:spacing w:val="2"/>
          <w:szCs w:val="21"/>
          <w:lang w:eastAsia="zh-CN"/>
        </w:rPr>
      </w:pPr>
      <w:r>
        <w:rPr>
          <w:rFonts w:hint="eastAsia" w:ascii="Times New Roman" w:hAnsi="Times New Roman" w:eastAsia="宋体" w:cs="宋体"/>
          <w:color w:val="000000"/>
          <w:spacing w:val="2"/>
          <w:lang w:eastAsia="zh-CN"/>
        </w:rPr>
        <w:t>《脊髓性肌萎缩症中国三级预防指南》</w:t>
      </w:r>
    </w:p>
    <w:p w14:paraId="389CFF24">
      <w:pPr>
        <w:pStyle w:val="4"/>
        <w:ind w:firstLine="428" w:firstLineChars="200"/>
        <w:rPr>
          <w:rFonts w:ascii="Times New Roman" w:hAnsi="Times New Roman" w:eastAsia="宋体" w:cs="宋体"/>
          <w:color w:val="000000"/>
          <w:spacing w:val="2"/>
          <w:szCs w:val="21"/>
          <w:lang w:eastAsia="zh-CN"/>
        </w:rPr>
      </w:pPr>
      <w:r>
        <w:rPr>
          <w:rFonts w:hint="eastAsia" w:ascii="Times New Roman" w:hAnsi="Times New Roman" w:eastAsia="宋体" w:cs="宋体"/>
          <w:color w:val="000000"/>
          <w:spacing w:val="2"/>
          <w:lang w:eastAsia="zh-CN"/>
        </w:rPr>
        <w:t>《脊髓性肌萎缩症康复管理专家共识》</w:t>
      </w:r>
    </w:p>
    <w:p w14:paraId="67064C2D">
      <w:pPr>
        <w:pStyle w:val="4"/>
        <w:ind w:firstLine="428" w:firstLineChars="200"/>
        <w:rPr>
          <w:rFonts w:ascii="Times New Roman" w:hAnsi="Times New Roman" w:eastAsia="宋体" w:cs="宋体"/>
          <w:color w:val="000000"/>
          <w:spacing w:val="2"/>
          <w:szCs w:val="21"/>
          <w:lang w:eastAsia="zh-CN"/>
        </w:rPr>
      </w:pPr>
      <w:r>
        <w:rPr>
          <w:rFonts w:hint="eastAsia" w:ascii="Times New Roman" w:hAnsi="Times New Roman" w:eastAsia="宋体" w:cs="宋体"/>
          <w:color w:val="000000"/>
          <w:spacing w:val="2"/>
          <w:lang w:eastAsia="zh-CN"/>
        </w:rPr>
        <w:t>《罕见病诊疗指南（</w:t>
      </w:r>
      <w:r>
        <w:rPr>
          <w:rFonts w:ascii="Times New Roman" w:hAnsi="Times New Roman" w:eastAsia="宋体" w:cs="宋体"/>
          <w:color w:val="000000"/>
          <w:spacing w:val="2"/>
          <w:lang w:eastAsia="zh-CN"/>
        </w:rPr>
        <w:t>2024</w:t>
      </w:r>
      <w:r>
        <w:rPr>
          <w:rFonts w:hint="eastAsia" w:ascii="Times New Roman" w:hAnsi="Times New Roman" w:eastAsia="宋体" w:cs="宋体"/>
          <w:color w:val="000000"/>
          <w:spacing w:val="2"/>
          <w:lang w:eastAsia="zh-CN"/>
        </w:rPr>
        <w:t>年版）》</w:t>
      </w:r>
    </w:p>
    <w:p w14:paraId="53B5B8DD">
      <w:pPr>
        <w:pStyle w:val="4"/>
        <w:ind w:firstLine="428" w:firstLineChars="200"/>
        <w:rPr>
          <w:rFonts w:ascii="Times New Roman" w:hAnsi="Times New Roman" w:eastAsia="宋体" w:cs="宋体"/>
          <w:color w:val="000000"/>
          <w:spacing w:val="2"/>
          <w:szCs w:val="21"/>
          <w:lang w:eastAsia="zh-CN"/>
        </w:rPr>
      </w:pPr>
      <w:r>
        <w:rPr>
          <w:rFonts w:hint="eastAsia" w:ascii="Times New Roman" w:hAnsi="Times New Roman" w:eastAsia="宋体" w:cs="宋体"/>
          <w:color w:val="000000"/>
          <w:spacing w:val="2"/>
          <w:lang w:eastAsia="zh-CN"/>
        </w:rPr>
        <w:t>《医疗机构新生儿遗传代谢病筛查实验室技术规范》</w:t>
      </w:r>
    </w:p>
    <w:p w14:paraId="3CB1C8F9">
      <w:pPr>
        <w:pStyle w:val="4"/>
        <w:ind w:firstLine="420" w:firstLineChars="200"/>
        <w:rPr>
          <w:rFonts w:ascii="Times New Roman" w:hAnsi="Times New Roman" w:eastAsia="宋体"/>
          <w:lang w:eastAsia="zh-CN"/>
        </w:rPr>
      </w:pPr>
      <w:r>
        <w:rPr>
          <w:rFonts w:ascii="Times New Roman" w:hAnsi="Times New Roman" w:eastAsia="宋体"/>
          <w:lang w:eastAsia="zh-CN"/>
        </w:rPr>
        <w:t>《罕见病诊疗指南（2019 年版）》（国家卫生健康委）</w:t>
      </w:r>
    </w:p>
    <w:p w14:paraId="0B77D466">
      <w:pPr>
        <w:pStyle w:val="4"/>
        <w:ind w:firstLine="420" w:firstLineChars="200"/>
        <w:rPr>
          <w:rFonts w:ascii="Times New Roman" w:hAnsi="Times New Roman" w:eastAsia="宋体"/>
          <w:lang w:eastAsia="zh-CN"/>
        </w:rPr>
      </w:pPr>
      <w:r>
        <w:rPr>
          <w:rFonts w:ascii="Times New Roman" w:hAnsi="Times New Roman" w:eastAsia="宋体"/>
          <w:lang w:eastAsia="zh-CN"/>
        </w:rPr>
        <w:t>《医疗机构临床实验室管理办法》（2023 年修订）</w:t>
      </w:r>
    </w:p>
    <w:p w14:paraId="25264ED3">
      <w:pPr>
        <w:pStyle w:val="4"/>
        <w:ind w:firstLine="420" w:firstLineChars="200"/>
        <w:rPr>
          <w:rFonts w:ascii="Times New Roman" w:hAnsi="Times New Roman" w:eastAsia="宋体" w:cs="宋体"/>
          <w:color w:val="000000"/>
          <w:spacing w:val="2"/>
          <w:szCs w:val="21"/>
          <w:lang w:eastAsia="zh-CN"/>
        </w:rPr>
      </w:pPr>
      <w:r>
        <w:rPr>
          <w:rFonts w:ascii="Times New Roman" w:hAnsi="Times New Roman" w:eastAsia="宋体"/>
          <w:lang w:eastAsia="zh-CN"/>
        </w:rPr>
        <w:t>《药物临床试验质量管理规范（GCP）》（2020 年版）</w:t>
      </w:r>
      <w:bookmarkEnd w:id="6"/>
    </w:p>
    <w:p w14:paraId="17CBD26F">
      <w:pPr>
        <w:pStyle w:val="4"/>
        <w:ind w:firstLine="356" w:firstLineChars="200"/>
        <w:rPr>
          <w:rFonts w:hint="eastAsia"/>
          <w:lang w:eastAsia="zh-CN"/>
        </w:rPr>
      </w:pPr>
      <w:r>
        <w:rPr>
          <w:rFonts w:ascii="Times New Roman" w:hAnsi="Times New Roman" w:eastAsia="宋体" w:cs="Calibri"/>
          <w:color w:val="000000"/>
          <w:spacing w:val="5"/>
          <w:w w:val="80"/>
          <w:szCs w:val="21"/>
          <w:lang w:eastAsia="zh-CN"/>
        </w:rPr>
        <w:t>D</w:t>
      </w:r>
      <w:r>
        <w:rPr>
          <w:rFonts w:ascii="Times New Roman" w:hAnsi="Times New Roman" w:eastAsia="宋体" w:cs="Calibri"/>
          <w:color w:val="000000"/>
          <w:spacing w:val="5"/>
          <w:w w:val="91"/>
          <w:szCs w:val="21"/>
          <w:lang w:eastAsia="zh-CN"/>
        </w:rPr>
        <w:t>B</w:t>
      </w:r>
      <w:r>
        <w:rPr>
          <w:rFonts w:ascii="Times New Roman" w:hAnsi="Times New Roman" w:eastAsia="宋体" w:cs="Calibri"/>
          <w:color w:val="000000"/>
          <w:spacing w:val="3"/>
          <w:w w:val="98"/>
          <w:szCs w:val="21"/>
          <w:lang w:eastAsia="zh-CN"/>
        </w:rPr>
        <w:t>11</w:t>
      </w:r>
      <w:r>
        <w:rPr>
          <w:rFonts w:ascii="Times New Roman" w:hAnsi="Times New Roman" w:eastAsia="宋体" w:cs="Calibri"/>
          <w:color w:val="000000"/>
          <w:spacing w:val="5"/>
          <w:szCs w:val="21"/>
          <w:lang w:eastAsia="zh-CN"/>
        </w:rPr>
        <w:t>/</w:t>
      </w:r>
      <w:r>
        <w:rPr>
          <w:rFonts w:ascii="Times New Roman" w:hAnsi="Times New Roman" w:eastAsia="宋体" w:cs="Calibri"/>
          <w:color w:val="000000"/>
          <w:spacing w:val="4"/>
          <w:w w:val="102"/>
          <w:szCs w:val="21"/>
          <w:lang w:eastAsia="zh-CN"/>
        </w:rPr>
        <w:t>T</w:t>
      </w:r>
      <w:r>
        <w:rPr>
          <w:rFonts w:ascii="Times New Roman" w:hAnsi="Times New Roman" w:eastAsia="宋体" w:cs="Calibri"/>
          <w:color w:val="000000"/>
          <w:spacing w:val="57"/>
          <w:szCs w:val="21"/>
          <w:lang w:eastAsia="zh-CN"/>
        </w:rPr>
        <w:t xml:space="preserve"> </w:t>
      </w:r>
      <w:r>
        <w:rPr>
          <w:rFonts w:ascii="Times New Roman" w:hAnsi="Times New Roman" w:eastAsia="宋体" w:cs="Calibri"/>
          <w:color w:val="000000"/>
          <w:spacing w:val="11"/>
          <w:w w:val="98"/>
          <w:szCs w:val="21"/>
          <w:lang w:eastAsia="zh-CN"/>
        </w:rPr>
        <w:t>765</w:t>
      </w:r>
      <w:r>
        <w:rPr>
          <w:rFonts w:ascii="Times New Roman" w:hAnsi="Times New Roman" w:eastAsia="宋体" w:cs="Calibri"/>
          <w:color w:val="000000"/>
          <w:spacing w:val="10"/>
          <w:szCs w:val="21"/>
          <w:lang w:eastAsia="zh-CN"/>
        </w:rPr>
        <w:t>.</w:t>
      </w:r>
      <w:r>
        <w:rPr>
          <w:rFonts w:ascii="Times New Roman" w:hAnsi="Times New Roman" w:eastAsia="宋体" w:cs="Calibri"/>
          <w:color w:val="000000"/>
          <w:spacing w:val="10"/>
          <w:w w:val="98"/>
          <w:szCs w:val="21"/>
          <w:lang w:eastAsia="zh-CN"/>
        </w:rPr>
        <w:t>1</w:t>
      </w:r>
      <w:r>
        <w:rPr>
          <w:rFonts w:ascii="Times New Roman" w:hAnsi="Times New Roman" w:eastAsia="宋体" w:cs="Calibri"/>
          <w:color w:val="000000"/>
          <w:spacing w:val="60"/>
          <w:szCs w:val="21"/>
          <w:lang w:eastAsia="zh-CN"/>
        </w:rPr>
        <w:t xml:space="preserve"> </w:t>
      </w:r>
      <w:r>
        <w:rPr>
          <w:rFonts w:hint="eastAsia" w:ascii="Times New Roman" w:hAnsi="Times New Roman" w:eastAsia="宋体" w:cs="Calibri"/>
          <w:color w:val="000000"/>
          <w:szCs w:val="21"/>
          <w:lang w:eastAsia="zh-CN"/>
        </w:rPr>
        <w:t>档</w:t>
      </w:r>
      <w:r>
        <w:rPr>
          <w:rFonts w:hint="eastAsia" w:ascii="Times New Roman" w:hAnsi="Times New Roman" w:eastAsia="宋体" w:cs="Calibri"/>
          <w:color w:val="000000"/>
          <w:spacing w:val="2"/>
          <w:szCs w:val="21"/>
          <w:lang w:eastAsia="zh-CN"/>
        </w:rPr>
        <w:t>案</w:t>
      </w:r>
      <w:r>
        <w:rPr>
          <w:rFonts w:hint="eastAsia" w:ascii="Times New Roman" w:hAnsi="Times New Roman" w:eastAsia="宋体" w:cs="Calibri"/>
          <w:color w:val="000000"/>
          <w:szCs w:val="21"/>
          <w:lang w:eastAsia="zh-CN"/>
        </w:rPr>
        <w:t>数</w:t>
      </w:r>
      <w:r>
        <w:rPr>
          <w:rFonts w:hint="eastAsia" w:ascii="Times New Roman" w:hAnsi="Times New Roman" w:eastAsia="宋体" w:cs="Calibri"/>
          <w:color w:val="000000"/>
          <w:spacing w:val="2"/>
          <w:szCs w:val="21"/>
          <w:lang w:eastAsia="zh-CN"/>
        </w:rPr>
        <w:t>字</w:t>
      </w:r>
      <w:r>
        <w:rPr>
          <w:rFonts w:hint="eastAsia" w:ascii="Times New Roman" w:hAnsi="Times New Roman" w:eastAsia="宋体" w:cs="Calibri"/>
          <w:color w:val="000000"/>
          <w:szCs w:val="21"/>
          <w:lang w:eastAsia="zh-CN"/>
        </w:rPr>
        <w:t>化</w:t>
      </w:r>
      <w:r>
        <w:rPr>
          <w:rFonts w:hint="eastAsia" w:ascii="Times New Roman" w:hAnsi="Times New Roman" w:eastAsia="宋体" w:cs="Calibri"/>
          <w:color w:val="000000"/>
          <w:spacing w:val="1"/>
          <w:szCs w:val="21"/>
          <w:lang w:eastAsia="zh-CN"/>
        </w:rPr>
        <w:t>规</w:t>
      </w:r>
      <w:r>
        <w:rPr>
          <w:rFonts w:hint="eastAsia" w:ascii="Times New Roman" w:hAnsi="Times New Roman" w:eastAsia="宋体" w:cs="Calibri"/>
          <w:color w:val="000000"/>
          <w:szCs w:val="21"/>
          <w:lang w:eastAsia="zh-CN"/>
        </w:rPr>
        <w:t>范</w:t>
      </w:r>
      <w:commentRangeEnd w:id="1"/>
      <w:r>
        <w:rPr>
          <w:rStyle w:val="18"/>
          <w:rFonts w:asciiTheme="minorHAnsi" w:hAnsiTheme="minorHAnsi" w:eastAsiaTheme="minorEastAsia" w:cstheme="minorBidi"/>
          <w:lang w:eastAsia="zh-CN"/>
        </w:rPr>
        <w:commentReference w:id="1"/>
      </w:r>
    </w:p>
    <w:p w14:paraId="5B610F0F">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7" w:name="_Toc203680709"/>
      <w:r>
        <w:rPr>
          <w:rFonts w:hint="eastAsia" w:ascii="黑体" w:hAnsi="黑体" w:eastAsia="黑体" w:cs="宋体"/>
          <w:b w:val="0"/>
          <w:bCs w:val="0"/>
          <w:color w:val="000000"/>
          <w:szCs w:val="21"/>
        </w:rPr>
        <w:t>术语和定义</w:t>
      </w:r>
      <w:bookmarkEnd w:id="7"/>
    </w:p>
    <w:p w14:paraId="1F0D0816">
      <w:pPr>
        <w:ind w:left="420" w:right="-20"/>
        <w:rPr>
          <w:rFonts w:ascii="Times New Roman" w:hAnsi="Times New Roman" w:eastAsia="宋体"/>
          <w:color w:val="000000"/>
          <w:szCs w:val="21"/>
        </w:rPr>
      </w:pPr>
      <w:r>
        <w:rPr>
          <w:rFonts w:ascii="Times New Roman" w:hAnsi="Times New Roman" w:eastAsia="宋体" w:cs="Calibri"/>
          <w:color w:val="000000"/>
          <w:szCs w:val="21"/>
        </w:rPr>
        <w:t>下</w:t>
      </w:r>
      <w:r>
        <w:rPr>
          <w:rFonts w:ascii="Times New Roman" w:hAnsi="Times New Roman" w:eastAsia="宋体" w:cs="Calibri"/>
          <w:color w:val="000000"/>
          <w:spacing w:val="1"/>
          <w:szCs w:val="21"/>
        </w:rPr>
        <w:t>列</w:t>
      </w:r>
      <w:r>
        <w:rPr>
          <w:rFonts w:ascii="Times New Roman" w:hAnsi="Times New Roman" w:eastAsia="宋体" w:cs="Calibri"/>
          <w:color w:val="000000"/>
          <w:szCs w:val="21"/>
        </w:rPr>
        <w:t>术</w:t>
      </w:r>
      <w:r>
        <w:rPr>
          <w:rFonts w:ascii="Times New Roman" w:hAnsi="Times New Roman" w:eastAsia="宋体" w:cs="Calibri"/>
          <w:color w:val="000000"/>
          <w:spacing w:val="2"/>
          <w:szCs w:val="21"/>
        </w:rPr>
        <w:t>语</w:t>
      </w:r>
      <w:r>
        <w:rPr>
          <w:rFonts w:ascii="Times New Roman" w:hAnsi="Times New Roman" w:eastAsia="宋体" w:cs="Calibri"/>
          <w:color w:val="000000"/>
          <w:szCs w:val="21"/>
        </w:rPr>
        <w:t>和</w:t>
      </w:r>
      <w:r>
        <w:rPr>
          <w:rFonts w:ascii="Times New Roman" w:hAnsi="Times New Roman" w:eastAsia="宋体" w:cs="Calibri"/>
          <w:color w:val="000000"/>
          <w:spacing w:val="2"/>
          <w:szCs w:val="21"/>
        </w:rPr>
        <w:t>定</w:t>
      </w:r>
      <w:r>
        <w:rPr>
          <w:rFonts w:ascii="Times New Roman" w:hAnsi="Times New Roman" w:eastAsia="宋体" w:cs="Calibri"/>
          <w:color w:val="000000"/>
          <w:szCs w:val="21"/>
        </w:rPr>
        <w:t>义</w:t>
      </w:r>
      <w:r>
        <w:rPr>
          <w:rFonts w:ascii="Times New Roman" w:hAnsi="Times New Roman" w:eastAsia="宋体" w:cs="Calibri"/>
          <w:color w:val="000000"/>
          <w:spacing w:val="2"/>
          <w:szCs w:val="21"/>
        </w:rPr>
        <w:t>适</w:t>
      </w:r>
      <w:r>
        <w:rPr>
          <w:rFonts w:ascii="Times New Roman" w:hAnsi="Times New Roman" w:eastAsia="宋体" w:cs="Calibri"/>
          <w:color w:val="000000"/>
          <w:szCs w:val="21"/>
        </w:rPr>
        <w:t>用</w:t>
      </w:r>
      <w:r>
        <w:rPr>
          <w:rFonts w:ascii="Times New Roman" w:hAnsi="Times New Roman" w:eastAsia="宋体" w:cs="Calibri"/>
          <w:color w:val="000000"/>
          <w:spacing w:val="2"/>
          <w:szCs w:val="21"/>
        </w:rPr>
        <w:t>于</w:t>
      </w:r>
      <w:r>
        <w:rPr>
          <w:rFonts w:ascii="Times New Roman" w:hAnsi="Times New Roman" w:eastAsia="宋体" w:cs="Calibri"/>
          <w:color w:val="000000"/>
          <w:szCs w:val="21"/>
        </w:rPr>
        <w:t>本</w:t>
      </w:r>
      <w:r>
        <w:rPr>
          <w:rFonts w:ascii="Times New Roman" w:hAnsi="Times New Roman" w:eastAsia="宋体" w:cs="Calibri"/>
          <w:color w:val="000000"/>
          <w:spacing w:val="2"/>
          <w:szCs w:val="21"/>
        </w:rPr>
        <w:t>文</w:t>
      </w:r>
      <w:r>
        <w:rPr>
          <w:rFonts w:ascii="Times New Roman" w:hAnsi="Times New Roman" w:eastAsia="宋体" w:cs="Calibri"/>
          <w:color w:val="000000"/>
          <w:szCs w:val="21"/>
        </w:rPr>
        <w:t>件。</w:t>
      </w:r>
    </w:p>
    <w:p w14:paraId="49EE411E">
      <w:pPr>
        <w:tabs>
          <w:tab w:val="left" w:pos="523"/>
        </w:tabs>
        <w:spacing w:before="120" w:beforeLines="50" w:after="120" w:afterLines="50" w:line="240" w:lineRule="auto"/>
        <w:ind w:right="-23"/>
        <w:rPr>
          <w:rFonts w:ascii="黑体" w:hAnsi="黑体" w:eastAsia="黑体" w:cs="Calibri"/>
          <w:b w:val="0"/>
          <w:bCs w:val="0"/>
          <w:color w:val="000000"/>
          <w:spacing w:val="0"/>
          <w:w w:val="100"/>
          <w:szCs w:val="21"/>
        </w:rPr>
      </w:pPr>
      <w:r>
        <w:rPr>
          <w:rFonts w:ascii="黑体" w:hAnsi="黑体" w:eastAsia="黑体" w:cs="Calibri"/>
          <w:b w:val="0"/>
          <w:bCs w:val="0"/>
          <w:color w:val="000000"/>
          <w:spacing w:val="0"/>
          <w:w w:val="100"/>
          <w:szCs w:val="21"/>
        </w:rPr>
        <w:t>3</w:t>
      </w:r>
      <w:r>
        <w:rPr>
          <w:rFonts w:ascii="黑体" w:hAnsi="黑体" w:eastAsia="黑体" w:cs="Calibri"/>
          <w:b w:val="0"/>
          <w:bCs w:val="0"/>
          <w:color w:val="000000"/>
          <w:spacing w:val="0"/>
          <w:szCs w:val="21"/>
        </w:rPr>
        <w:t>.</w:t>
      </w:r>
      <w:r>
        <w:rPr>
          <w:rFonts w:ascii="黑体" w:hAnsi="黑体" w:eastAsia="黑体" w:cs="Calibri"/>
          <w:b w:val="0"/>
          <w:bCs w:val="0"/>
          <w:color w:val="000000"/>
          <w:spacing w:val="0"/>
          <w:w w:val="100"/>
          <w:szCs w:val="21"/>
        </w:rPr>
        <w:t>1</w:t>
      </w:r>
    </w:p>
    <w:p w14:paraId="308A0573">
      <w:pPr>
        <w:spacing w:line="240" w:lineRule="auto"/>
        <w:ind w:left="0" w:right="0" w:firstLine="428" w:firstLineChars="200"/>
        <w:rPr>
          <w:rFonts w:ascii="Times New Roman" w:hAnsi="Times New Roman" w:eastAsia="宋体" w:cs="宋体"/>
          <w:b/>
          <w:bCs/>
          <w:color w:val="000000"/>
          <w:spacing w:val="2"/>
          <w:szCs w:val="21"/>
        </w:rPr>
      </w:pPr>
      <w:r>
        <w:rPr>
          <w:rFonts w:hint="eastAsia" w:ascii="Times New Roman" w:hAnsi="Times New Roman" w:eastAsia="黑体" w:cs="Times New Roman"/>
          <w:b w:val="0"/>
          <w:bCs w:val="0"/>
          <w:color w:val="000000"/>
          <w:spacing w:val="2"/>
          <w:szCs w:val="21"/>
        </w:rPr>
        <w:t>脊髓性肌萎缩症</w:t>
      </w:r>
      <w:r>
        <w:rPr>
          <w:rFonts w:ascii="Times New Roman" w:hAnsi="Times New Roman" w:eastAsia="黑体" w:cs="Times New Roman"/>
          <w:b w:val="0"/>
          <w:bCs w:val="0"/>
          <w:color w:val="000000"/>
          <w:spacing w:val="2"/>
          <w:szCs w:val="21"/>
        </w:rPr>
        <w:t xml:space="preserve"> </w:t>
      </w:r>
      <w:r>
        <w:rPr>
          <w:rFonts w:ascii="Times New Roman" w:hAnsi="Times New Roman" w:eastAsia="黑体" w:cs="Times New Roman"/>
          <w:b/>
          <w:bCs/>
          <w:color w:val="000000"/>
          <w:spacing w:val="2"/>
          <w:szCs w:val="21"/>
        </w:rPr>
        <w:t>Spinal Muscular Atrophy; SMA</w:t>
      </w:r>
    </w:p>
    <w:p w14:paraId="1C8DCF24">
      <w:pPr>
        <w:spacing w:after="0" w:line="240" w:lineRule="auto"/>
        <w:ind w:firstLine="428" w:firstLineChars="200"/>
        <w:rPr>
          <w:rFonts w:ascii="Times New Roman" w:hAnsi="Times New Roman" w:eastAsia="宋体"/>
          <w:spacing w:val="6"/>
        </w:rPr>
      </w:pPr>
      <w:r>
        <w:rPr>
          <w:rFonts w:hint="eastAsia" w:ascii="Times New Roman" w:hAnsi="Times New Roman" w:eastAsia="宋体" w:cs="宋体"/>
          <w:color w:val="000000"/>
          <w:spacing w:val="2"/>
          <w:szCs w:val="21"/>
        </w:rPr>
        <w:t>脊髓性肌萎缩症（</w:t>
      </w:r>
      <w:r>
        <w:rPr>
          <w:rFonts w:ascii="Times New Roman" w:hAnsi="Times New Roman" w:eastAsia="宋体" w:cs="宋体"/>
          <w:color w:val="000000"/>
          <w:spacing w:val="2"/>
          <w:szCs w:val="21"/>
        </w:rPr>
        <w:t>Spinal Muscular Atrophy, SMA）是一种常染色体隐性遗传的退行性神经肌肉疾病，</w:t>
      </w:r>
      <w:r>
        <w:rPr>
          <w:rFonts w:hint="eastAsia" w:ascii="Times New Roman" w:hAnsi="Times New Roman" w:eastAsia="宋体" w:cs="宋体"/>
          <w:color w:val="000000"/>
          <w:spacing w:val="2"/>
          <w:szCs w:val="21"/>
        </w:rPr>
        <w:t>由</w:t>
      </w:r>
      <w:r>
        <w:rPr>
          <w:rFonts w:ascii="Times New Roman" w:hAnsi="Times New Roman" w:eastAsia="宋体" w:cs="宋体"/>
          <w:color w:val="000000"/>
          <w:spacing w:val="2"/>
          <w:szCs w:val="21"/>
        </w:rPr>
        <w:t>5号染色体上SMN1</w:t>
      </w:r>
      <w:r>
        <w:rPr>
          <w:rFonts w:hint="eastAsia" w:ascii="Times New Roman" w:hAnsi="Times New Roman" w:eastAsia="宋体" w:cs="宋体"/>
          <w:color w:val="000000"/>
          <w:spacing w:val="2"/>
          <w:szCs w:val="21"/>
        </w:rPr>
        <w:t>基因</w:t>
      </w:r>
      <w:r>
        <w:rPr>
          <w:rFonts w:ascii="Times New Roman" w:hAnsi="Times New Roman" w:eastAsia="宋体" w:cs="宋体"/>
          <w:color w:val="000000"/>
          <w:spacing w:val="2"/>
          <w:szCs w:val="21"/>
        </w:rPr>
        <w:t>突变导致编码的运动神经元</w:t>
      </w:r>
      <w:r>
        <w:rPr>
          <w:rFonts w:hint="eastAsia" w:ascii="Times New Roman" w:hAnsi="Times New Roman" w:eastAsia="宋体" w:cs="宋体"/>
          <w:color w:val="000000"/>
          <w:spacing w:val="2"/>
          <w:szCs w:val="21"/>
        </w:rPr>
        <w:t>存活</w:t>
      </w:r>
      <w:r>
        <w:rPr>
          <w:rFonts w:ascii="Times New Roman" w:hAnsi="Times New Roman" w:eastAsia="宋体" w:cs="宋体"/>
          <w:color w:val="000000"/>
          <w:spacing w:val="2"/>
          <w:szCs w:val="21"/>
        </w:rPr>
        <w:t>蛋白（Survival Motor Neuron Protein, SMN）表达</w:t>
      </w:r>
      <w:r>
        <w:rPr>
          <w:rFonts w:hint="eastAsia" w:ascii="Times New Roman" w:hAnsi="Times New Roman" w:eastAsia="宋体" w:cs="宋体"/>
          <w:color w:val="000000"/>
          <w:spacing w:val="2"/>
          <w:szCs w:val="21"/>
        </w:rPr>
        <w:t>降低。</w:t>
      </w:r>
      <w:r>
        <w:rPr>
          <w:rFonts w:ascii="Times New Roman" w:hAnsi="Times New Roman" w:eastAsia="宋体" w:cs="宋体"/>
          <w:color w:val="000000"/>
          <w:spacing w:val="2"/>
          <w:szCs w:val="21"/>
        </w:rPr>
        <w:t>SMN表达减少导致α运动神经元</w:t>
      </w:r>
      <w:r>
        <w:rPr>
          <w:rFonts w:hint="eastAsia" w:ascii="Times New Roman" w:hAnsi="Times New Roman" w:eastAsia="宋体" w:cs="宋体"/>
          <w:color w:val="000000"/>
          <w:spacing w:val="2"/>
          <w:szCs w:val="21"/>
        </w:rPr>
        <w:t>变性和</w:t>
      </w:r>
      <w:r>
        <w:rPr>
          <w:rFonts w:ascii="Times New Roman" w:hAnsi="Times New Roman" w:eastAsia="宋体" w:cs="宋体"/>
          <w:color w:val="000000"/>
          <w:spacing w:val="2"/>
          <w:szCs w:val="21"/>
        </w:rPr>
        <w:t>功能障碍</w:t>
      </w:r>
      <w:r>
        <w:rPr>
          <w:rFonts w:hint="eastAsia" w:ascii="Times New Roman" w:hAnsi="Times New Roman" w:eastAsia="宋体" w:cs="宋体"/>
          <w:color w:val="000000"/>
          <w:spacing w:val="2"/>
          <w:szCs w:val="21"/>
        </w:rPr>
        <w:t>，出现</w:t>
      </w:r>
      <w:r>
        <w:rPr>
          <w:rFonts w:ascii="Times New Roman" w:hAnsi="Times New Roman" w:eastAsia="宋体" w:cs="宋体"/>
          <w:color w:val="000000"/>
          <w:spacing w:val="2"/>
          <w:szCs w:val="21"/>
        </w:rPr>
        <w:t>严重肌肉无力和肌萎缩，具有高致残性</w:t>
      </w:r>
      <w:r>
        <w:rPr>
          <w:rFonts w:hint="eastAsia" w:ascii="Times New Roman" w:hAnsi="Times New Roman" w:eastAsia="宋体" w:cs="宋体"/>
          <w:color w:val="000000"/>
          <w:spacing w:val="2"/>
          <w:szCs w:val="21"/>
        </w:rPr>
        <w:t>和致死性。</w:t>
      </w:r>
      <w:r>
        <w:rPr>
          <w:rFonts w:ascii="Times New Roman" w:hAnsi="Times New Roman" w:eastAsia="宋体" w:cs="宋体"/>
          <w:color w:val="000000"/>
          <w:spacing w:val="2"/>
          <w:szCs w:val="21"/>
        </w:rPr>
        <w:t>SMA通常在婴幼儿期发病，但不同类型的SMA可呈现不同的发病时间和临床表现。</w:t>
      </w:r>
    </w:p>
    <w:p w14:paraId="07504F01">
      <w:pPr>
        <w:tabs>
          <w:tab w:val="left" w:pos="523"/>
        </w:tabs>
        <w:spacing w:before="120" w:beforeLines="50" w:after="120" w:afterLines="50" w:line="240" w:lineRule="auto"/>
        <w:ind w:right="-23"/>
        <w:rPr>
          <w:rFonts w:ascii="黑体" w:hAnsi="黑体" w:eastAsia="黑体" w:cs="Calibri"/>
          <w:b w:val="0"/>
          <w:bCs w:val="0"/>
          <w:color w:val="000000"/>
          <w:spacing w:val="0"/>
          <w:w w:val="100"/>
          <w:szCs w:val="21"/>
        </w:rPr>
      </w:pPr>
      <w:r>
        <w:rPr>
          <w:rFonts w:ascii="黑体" w:hAnsi="黑体" w:eastAsia="黑体" w:cs="Calibri"/>
          <w:b w:val="0"/>
          <w:bCs w:val="0"/>
          <w:color w:val="000000"/>
          <w:spacing w:val="0"/>
          <w:w w:val="100"/>
          <w:szCs w:val="21"/>
        </w:rPr>
        <w:t>3</w:t>
      </w:r>
      <w:r>
        <w:rPr>
          <w:rFonts w:ascii="黑体" w:hAnsi="黑体" w:eastAsia="黑体" w:cs="Calibri"/>
          <w:b w:val="0"/>
          <w:bCs w:val="0"/>
          <w:color w:val="000000"/>
          <w:spacing w:val="0"/>
          <w:szCs w:val="21"/>
        </w:rPr>
        <w:t>.</w:t>
      </w:r>
      <w:r>
        <w:rPr>
          <w:rFonts w:ascii="黑体" w:hAnsi="黑体" w:eastAsia="黑体" w:cs="Calibri"/>
          <w:b w:val="0"/>
          <w:bCs w:val="0"/>
          <w:color w:val="000000"/>
          <w:spacing w:val="0"/>
          <w:w w:val="100"/>
          <w:szCs w:val="21"/>
        </w:rPr>
        <w:t>2</w:t>
      </w:r>
    </w:p>
    <w:p w14:paraId="29FCC489">
      <w:pPr>
        <w:spacing w:line="240" w:lineRule="auto"/>
        <w:ind w:left="0" w:right="0" w:firstLine="428" w:firstLineChars="200"/>
        <w:rPr>
          <w:rFonts w:ascii="Times New Roman" w:hAnsi="Times New Roman" w:eastAsia="宋体" w:cs="宋体"/>
          <w:b/>
          <w:bCs/>
          <w:color w:val="000000"/>
          <w:spacing w:val="2"/>
          <w:szCs w:val="21"/>
        </w:rPr>
      </w:pPr>
      <w:commentRangeStart w:id="2"/>
      <w:r>
        <w:rPr>
          <w:rFonts w:hint="eastAsia" w:ascii="Times New Roman" w:hAnsi="Times New Roman" w:eastAsia="黑体" w:cs="Times New Roman"/>
          <w:b w:val="0"/>
          <w:bCs w:val="0"/>
          <w:color w:val="000000"/>
          <w:spacing w:val="2"/>
          <w:szCs w:val="21"/>
        </w:rPr>
        <w:t>运动神经元存活基因</w:t>
      </w:r>
      <w:r>
        <w:rPr>
          <w:rFonts w:ascii="Times New Roman" w:hAnsi="Times New Roman" w:eastAsia="黑体" w:cs="Times New Roman"/>
          <w:b w:val="0"/>
          <w:bCs w:val="0"/>
          <w:color w:val="000000"/>
          <w:spacing w:val="2"/>
          <w:szCs w:val="21"/>
        </w:rPr>
        <w:t>1</w:t>
      </w:r>
      <w:commentRangeEnd w:id="2"/>
      <w:r>
        <w:rPr>
          <w:rStyle w:val="18"/>
        </w:rPr>
        <w:commentReference w:id="2"/>
      </w:r>
      <w:r>
        <w:rPr>
          <w:rFonts w:ascii="Times New Roman" w:hAnsi="Times New Roman" w:eastAsia="黑体" w:cs="Times New Roman"/>
          <w:b w:val="0"/>
          <w:bCs w:val="0"/>
          <w:color w:val="000000"/>
          <w:spacing w:val="2"/>
          <w:szCs w:val="21"/>
        </w:rPr>
        <w:t xml:space="preserve"> S</w:t>
      </w:r>
      <w:r>
        <w:rPr>
          <w:rFonts w:ascii="Times New Roman" w:hAnsi="Times New Roman" w:eastAsia="黑体" w:cs="Times New Roman"/>
          <w:b/>
          <w:bCs/>
          <w:color w:val="000000"/>
          <w:spacing w:val="2"/>
          <w:szCs w:val="21"/>
        </w:rPr>
        <w:t>urvival Motor Neuron 1 Gene; SMN1</w:t>
      </w:r>
    </w:p>
    <w:p w14:paraId="42EC03C4">
      <w:pPr>
        <w:spacing w:line="240" w:lineRule="auto"/>
        <w:ind w:left="0" w:right="0" w:firstLine="428"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2"/>
          <w:szCs w:val="21"/>
        </w:rPr>
        <w:t>运动神经元存活基因</w:t>
      </w:r>
      <w:r>
        <w:rPr>
          <w:rFonts w:ascii="Times New Roman" w:hAnsi="Times New Roman" w:eastAsia="宋体" w:cs="宋体"/>
          <w:color w:val="000000"/>
          <w:spacing w:val="2"/>
          <w:szCs w:val="21"/>
        </w:rPr>
        <w:t>1</w:t>
      </w:r>
      <w:r>
        <w:rPr>
          <w:rFonts w:hint="eastAsia" w:ascii="Times New Roman" w:hAnsi="Times New Roman" w:eastAsia="宋体" w:cs="宋体"/>
          <w:color w:val="000000"/>
          <w:spacing w:val="2"/>
          <w:szCs w:val="21"/>
        </w:rPr>
        <w:t>（</w:t>
      </w:r>
      <w:r>
        <w:rPr>
          <w:rFonts w:ascii="Times New Roman" w:hAnsi="Times New Roman" w:eastAsia="宋体" w:cs="宋体"/>
          <w:color w:val="000000"/>
          <w:spacing w:val="2"/>
          <w:szCs w:val="21"/>
        </w:rPr>
        <w:t>Survival Motor Neuron 1 Gene, SMN1</w:t>
      </w:r>
      <w:r>
        <w:rPr>
          <w:rFonts w:hint="eastAsia" w:ascii="Times New Roman" w:hAnsi="Times New Roman" w:eastAsia="宋体" w:cs="宋体"/>
          <w:color w:val="000000"/>
          <w:spacing w:val="2"/>
          <w:szCs w:val="21"/>
        </w:rPr>
        <w:t>）</w:t>
      </w:r>
      <w:r>
        <w:rPr>
          <w:rFonts w:ascii="Times New Roman" w:hAnsi="Times New Roman" w:eastAsia="宋体" w:cs="宋体"/>
          <w:color w:val="000000"/>
          <w:spacing w:val="2"/>
          <w:szCs w:val="21"/>
        </w:rPr>
        <w:t>是一种</w:t>
      </w:r>
      <w:r>
        <w:rPr>
          <w:rFonts w:hint="eastAsia" w:ascii="Times New Roman" w:hAnsi="Times New Roman" w:eastAsia="宋体" w:cs="宋体"/>
          <w:color w:val="000000"/>
          <w:spacing w:val="2"/>
          <w:szCs w:val="21"/>
        </w:rPr>
        <w:t>产生</w:t>
      </w:r>
      <w:r>
        <w:rPr>
          <w:rFonts w:ascii="Times New Roman" w:hAnsi="Times New Roman" w:eastAsia="宋体" w:cs="宋体"/>
          <w:color w:val="000000"/>
          <w:spacing w:val="2"/>
          <w:szCs w:val="21"/>
        </w:rPr>
        <w:t>运动神经元生存所必需的SMN蛋白的基因。该基因的缺失或突变是SMA的主要致病原因</w:t>
      </w:r>
      <w:r>
        <w:rPr>
          <w:rFonts w:hint="eastAsia" w:ascii="Times New Roman" w:hAnsi="Times New Roman" w:eastAsia="宋体" w:cs="宋体"/>
          <w:color w:val="000000"/>
          <w:spacing w:val="2"/>
          <w:szCs w:val="21"/>
        </w:rPr>
        <w:t>。</w:t>
      </w:r>
      <w:r>
        <w:rPr>
          <w:rFonts w:ascii="Times New Roman" w:hAnsi="Times New Roman" w:eastAsia="宋体" w:cs="宋体"/>
          <w:i w:val="0"/>
          <w:iCs w:val="0"/>
          <w:color w:val="000000"/>
          <w:spacing w:val="2"/>
          <w:szCs w:val="21"/>
        </w:rPr>
        <w:t xml:space="preserve"> </w:t>
      </w:r>
    </w:p>
    <w:p w14:paraId="10F74264">
      <w:pPr>
        <w:tabs>
          <w:tab w:val="left" w:pos="523"/>
        </w:tabs>
        <w:spacing w:before="120" w:beforeLines="50" w:after="120" w:afterLines="50" w:line="240" w:lineRule="auto"/>
        <w:ind w:right="-23"/>
        <w:rPr>
          <w:rFonts w:ascii="黑体" w:hAnsi="黑体" w:eastAsia="黑体" w:cs="Calibri"/>
          <w:b w:val="0"/>
          <w:bCs w:val="0"/>
          <w:color w:val="000000"/>
          <w:spacing w:val="0"/>
          <w:w w:val="100"/>
          <w:szCs w:val="21"/>
        </w:rPr>
      </w:pPr>
      <w:r>
        <w:rPr>
          <w:rFonts w:ascii="黑体" w:hAnsi="黑体" w:eastAsia="黑体" w:cs="Calibri"/>
          <w:b w:val="0"/>
          <w:bCs w:val="0"/>
          <w:color w:val="000000"/>
          <w:spacing w:val="0"/>
          <w:w w:val="100"/>
          <w:szCs w:val="21"/>
        </w:rPr>
        <w:t>3</w:t>
      </w:r>
      <w:r>
        <w:rPr>
          <w:rFonts w:ascii="黑体" w:hAnsi="黑体" w:eastAsia="黑体" w:cs="Calibri"/>
          <w:b w:val="0"/>
          <w:bCs w:val="0"/>
          <w:color w:val="000000"/>
          <w:spacing w:val="0"/>
          <w:szCs w:val="21"/>
        </w:rPr>
        <w:t>.</w:t>
      </w:r>
      <w:r>
        <w:rPr>
          <w:rFonts w:hint="eastAsia" w:ascii="黑体" w:hAnsi="黑体" w:eastAsia="黑体" w:cs="Calibri"/>
          <w:color w:val="000000"/>
          <w:szCs w:val="21"/>
        </w:rPr>
        <w:t>3</w:t>
      </w:r>
    </w:p>
    <w:p w14:paraId="2188C80A">
      <w:pPr>
        <w:spacing w:line="240" w:lineRule="auto"/>
        <w:ind w:left="0" w:right="0" w:firstLine="428" w:firstLineChars="200"/>
        <w:rPr>
          <w:rFonts w:ascii="Times New Roman" w:hAnsi="Times New Roman" w:eastAsia="宋体" w:cs="宋体"/>
          <w:color w:val="000000"/>
          <w:spacing w:val="2"/>
          <w:szCs w:val="21"/>
        </w:rPr>
      </w:pPr>
      <w:commentRangeStart w:id="3"/>
      <w:r>
        <w:rPr>
          <w:rFonts w:hint="eastAsia" w:ascii="Times New Roman" w:hAnsi="Times New Roman" w:eastAsia="黑体" w:cs="Times New Roman"/>
          <w:b w:val="0"/>
          <w:bCs w:val="0"/>
          <w:color w:val="000000"/>
          <w:spacing w:val="2"/>
          <w:szCs w:val="21"/>
        </w:rPr>
        <w:t>运动神经元存活基因</w:t>
      </w:r>
      <w:r>
        <w:rPr>
          <w:rFonts w:ascii="Times New Roman" w:hAnsi="Times New Roman" w:eastAsia="黑体" w:cs="Times New Roman"/>
          <w:b w:val="0"/>
          <w:bCs w:val="0"/>
          <w:color w:val="000000"/>
          <w:spacing w:val="2"/>
          <w:szCs w:val="21"/>
        </w:rPr>
        <w:t>2</w:t>
      </w:r>
      <w:commentRangeEnd w:id="3"/>
      <w:r>
        <w:rPr>
          <w:rStyle w:val="18"/>
        </w:rPr>
        <w:commentReference w:id="3"/>
      </w:r>
      <w:r>
        <w:rPr>
          <w:rFonts w:ascii="Times New Roman" w:hAnsi="Times New Roman" w:eastAsia="黑体" w:cs="Times New Roman"/>
          <w:b w:val="0"/>
          <w:bCs w:val="0"/>
          <w:color w:val="000000"/>
          <w:spacing w:val="2"/>
          <w:szCs w:val="21"/>
        </w:rPr>
        <w:t xml:space="preserve"> </w:t>
      </w:r>
      <w:r>
        <w:rPr>
          <w:rFonts w:ascii="Times New Roman" w:hAnsi="Times New Roman" w:eastAsia="黑体" w:cs="Times New Roman"/>
          <w:b/>
          <w:bCs/>
          <w:color w:val="000000"/>
          <w:spacing w:val="2"/>
          <w:szCs w:val="21"/>
        </w:rPr>
        <w:t>Survival Motor Neuron 2 Gene; SMN2</w:t>
      </w:r>
    </w:p>
    <w:p w14:paraId="6E6A486C">
      <w:pPr>
        <w:spacing w:line="240" w:lineRule="auto"/>
        <w:ind w:left="0" w:right="0" w:firstLine="428"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2"/>
          <w:szCs w:val="21"/>
        </w:rPr>
        <w:t>运动神经元生存基因</w:t>
      </w:r>
      <w:r>
        <w:rPr>
          <w:rFonts w:ascii="Times New Roman" w:hAnsi="Times New Roman" w:eastAsia="宋体" w:cs="宋体"/>
          <w:color w:val="000000"/>
          <w:spacing w:val="2"/>
          <w:szCs w:val="21"/>
        </w:rPr>
        <w:t>2（Survival Motor Neuron 2 Gene, SMN2）是一种与</w:t>
      </w:r>
      <w:r>
        <w:rPr>
          <w:rFonts w:ascii="Times New Roman" w:hAnsi="Times New Roman" w:eastAsia="宋体" w:cs="宋体"/>
          <w:i w:val="0"/>
          <w:iCs w:val="0"/>
          <w:color w:val="000000"/>
          <w:spacing w:val="2"/>
          <w:szCs w:val="21"/>
        </w:rPr>
        <w:t>SMN1</w:t>
      </w:r>
      <w:r>
        <w:rPr>
          <w:rFonts w:ascii="Times New Roman" w:hAnsi="Times New Roman" w:eastAsia="宋体" w:cs="宋体"/>
          <w:color w:val="000000"/>
          <w:spacing w:val="2"/>
          <w:szCs w:val="21"/>
        </w:rPr>
        <w:t>高度同源的基因，其编码的SMN蛋白因外显子7的剪接效率缺陷而产量显著降低</w:t>
      </w:r>
      <w:r>
        <w:rPr>
          <w:rFonts w:hint="eastAsia" w:ascii="Times New Roman" w:hAnsi="Times New Roman" w:eastAsia="宋体" w:cs="宋体"/>
          <w:color w:val="000000"/>
          <w:spacing w:val="2"/>
          <w:szCs w:val="21"/>
        </w:rPr>
        <w:t>。该</w:t>
      </w:r>
      <w:r>
        <w:rPr>
          <w:rFonts w:ascii="Times New Roman" w:hAnsi="Times New Roman" w:eastAsia="宋体" w:cs="宋体"/>
          <w:color w:val="000000"/>
          <w:spacing w:val="2"/>
          <w:szCs w:val="21"/>
        </w:rPr>
        <w:t>基因的拷贝数直接影响SMA的发病类型及严重程度</w:t>
      </w:r>
      <w:r>
        <w:rPr>
          <w:rFonts w:hint="eastAsia" w:ascii="Times New Roman" w:hAnsi="Times New Roman" w:eastAsia="宋体" w:cs="宋体"/>
          <w:color w:val="000000"/>
          <w:spacing w:val="2"/>
          <w:szCs w:val="21"/>
        </w:rPr>
        <w:t>，是新生儿筛查后制定治疗方案的重要依据</w:t>
      </w:r>
      <w:r>
        <w:rPr>
          <w:rFonts w:ascii="Times New Roman" w:hAnsi="Times New Roman" w:eastAsia="宋体" w:cs="宋体"/>
          <w:color w:val="000000"/>
          <w:spacing w:val="2"/>
          <w:szCs w:val="21"/>
        </w:rPr>
        <w:t>。</w:t>
      </w:r>
    </w:p>
    <w:p w14:paraId="664846E1">
      <w:pPr>
        <w:tabs>
          <w:tab w:val="left" w:pos="523"/>
        </w:tabs>
        <w:spacing w:before="120" w:beforeLines="50" w:after="120" w:afterLines="50" w:line="240" w:lineRule="auto"/>
        <w:ind w:right="-23"/>
        <w:rPr>
          <w:rFonts w:ascii="黑体" w:hAnsi="黑体" w:eastAsia="黑体" w:cs="Calibri"/>
          <w:b w:val="0"/>
          <w:bCs w:val="0"/>
          <w:color w:val="000000"/>
          <w:spacing w:val="0"/>
          <w:w w:val="100"/>
          <w:szCs w:val="21"/>
        </w:rPr>
      </w:pPr>
      <w:r>
        <w:rPr>
          <w:rFonts w:ascii="黑体" w:hAnsi="黑体" w:eastAsia="黑体" w:cs="Calibri"/>
          <w:b w:val="0"/>
          <w:bCs w:val="0"/>
          <w:color w:val="000000"/>
          <w:spacing w:val="0"/>
          <w:w w:val="100"/>
          <w:szCs w:val="21"/>
        </w:rPr>
        <w:t>3</w:t>
      </w:r>
      <w:r>
        <w:rPr>
          <w:rFonts w:ascii="黑体" w:hAnsi="黑体" w:eastAsia="黑体" w:cs="Calibri"/>
          <w:b w:val="0"/>
          <w:bCs w:val="0"/>
          <w:color w:val="000000"/>
          <w:spacing w:val="0"/>
          <w:szCs w:val="21"/>
        </w:rPr>
        <w:t>.</w:t>
      </w:r>
      <w:r>
        <w:rPr>
          <w:rFonts w:hint="eastAsia" w:ascii="黑体" w:hAnsi="黑体" w:eastAsia="黑体" w:cs="Calibri"/>
          <w:color w:val="000000"/>
          <w:szCs w:val="21"/>
        </w:rPr>
        <w:t>4</w:t>
      </w:r>
    </w:p>
    <w:p w14:paraId="3A3EDA12">
      <w:pPr>
        <w:spacing w:line="240" w:lineRule="auto"/>
        <w:ind w:left="0" w:right="0" w:firstLine="428" w:firstLineChars="200"/>
        <w:rPr>
          <w:rFonts w:ascii="Times New Roman" w:hAnsi="Times New Roman" w:eastAsia="宋体" w:cs="宋体"/>
          <w:b/>
          <w:bCs/>
          <w:color w:val="000000"/>
          <w:spacing w:val="2"/>
          <w:szCs w:val="21"/>
        </w:rPr>
      </w:pPr>
      <w:r>
        <w:rPr>
          <w:rFonts w:hint="eastAsia" w:ascii="Times New Roman" w:hAnsi="Times New Roman" w:eastAsia="黑体" w:cs="Times New Roman"/>
          <w:b w:val="0"/>
          <w:bCs w:val="0"/>
          <w:color w:val="000000"/>
          <w:spacing w:val="2"/>
          <w:szCs w:val="21"/>
        </w:rPr>
        <w:t>多学科诊疗</w:t>
      </w:r>
      <w:r>
        <w:rPr>
          <w:rFonts w:ascii="Times New Roman" w:hAnsi="Times New Roman" w:eastAsia="黑体" w:cs="Times New Roman"/>
          <w:b w:val="0"/>
          <w:bCs w:val="0"/>
          <w:color w:val="000000"/>
          <w:spacing w:val="2"/>
          <w:szCs w:val="21"/>
        </w:rPr>
        <w:t xml:space="preserve"> </w:t>
      </w:r>
      <w:r>
        <w:rPr>
          <w:rFonts w:ascii="Times New Roman" w:hAnsi="Times New Roman" w:eastAsia="黑体" w:cs="Times New Roman"/>
          <w:b/>
          <w:bCs/>
          <w:color w:val="000000"/>
          <w:spacing w:val="2"/>
          <w:szCs w:val="21"/>
        </w:rPr>
        <w:t>Multidisciplinary Treatment; MDT</w:t>
      </w:r>
    </w:p>
    <w:p w14:paraId="3DB84783">
      <w:pPr>
        <w:spacing w:after="0" w:line="240" w:lineRule="auto"/>
        <w:ind w:firstLine="642" w:firstLineChars="300"/>
        <w:rPr>
          <w:rFonts w:ascii="Times New Roman" w:hAnsi="Times New Roman" w:eastAsia="宋体"/>
          <w:sz w:val="14"/>
          <w:szCs w:val="14"/>
        </w:rPr>
      </w:pPr>
      <w:r>
        <w:rPr>
          <w:rFonts w:hint="eastAsia" w:ascii="Times New Roman" w:hAnsi="Times New Roman" w:eastAsia="宋体" w:cs="宋体"/>
          <w:color w:val="000000"/>
          <w:spacing w:val="2"/>
          <w:szCs w:val="21"/>
        </w:rPr>
        <w:t>多学科诊疗（</w:t>
      </w:r>
      <w:r>
        <w:rPr>
          <w:rFonts w:ascii="Times New Roman" w:hAnsi="Times New Roman" w:eastAsia="宋体" w:cs="宋体"/>
          <w:color w:val="000000"/>
          <w:spacing w:val="2"/>
          <w:szCs w:val="21"/>
        </w:rPr>
        <w:t>Multidisciplinary T</w:t>
      </w:r>
      <w:r>
        <w:rPr>
          <w:rFonts w:hint="eastAsia" w:ascii="Times New Roman" w:hAnsi="Times New Roman" w:eastAsia="宋体" w:cs="宋体"/>
          <w:color w:val="000000"/>
          <w:spacing w:val="2"/>
          <w:szCs w:val="21"/>
        </w:rPr>
        <w:t>reatment,</w:t>
      </w:r>
      <w:r>
        <w:rPr>
          <w:rFonts w:ascii="Times New Roman" w:hAnsi="Times New Roman" w:eastAsia="宋体" w:cs="宋体"/>
          <w:color w:val="000000"/>
          <w:spacing w:val="2"/>
          <w:szCs w:val="21"/>
        </w:rPr>
        <w:t xml:space="preserve"> MDT）是现代医学领域的重要协作模式，其通过系统整合多学科医疗资源与专业知识，构建由</w:t>
      </w:r>
      <w:r>
        <w:rPr>
          <w:rFonts w:hint="eastAsia" w:ascii="Times New Roman" w:hAnsi="Times New Roman" w:eastAsia="宋体" w:cs="宋体"/>
          <w:color w:val="000000"/>
          <w:spacing w:val="2"/>
          <w:szCs w:val="21"/>
        </w:rPr>
        <w:t>神经科、呼吸科、康复医学科、营养科、骨科、心理科及遗传咨询科</w:t>
      </w:r>
      <w:r>
        <w:rPr>
          <w:rFonts w:ascii="Times New Roman" w:hAnsi="Times New Roman" w:eastAsia="宋体" w:cs="宋体"/>
          <w:color w:val="000000"/>
          <w:spacing w:val="2"/>
          <w:szCs w:val="21"/>
        </w:rPr>
        <w:t>等跨领域专家组成的协</w:t>
      </w:r>
      <w:r>
        <w:rPr>
          <w:rFonts w:hint="eastAsia" w:ascii="Times New Roman" w:hAnsi="Times New Roman" w:eastAsia="宋体" w:cs="宋体"/>
          <w:color w:val="000000"/>
          <w:spacing w:val="2"/>
          <w:szCs w:val="21"/>
        </w:rPr>
        <w:t>作</w:t>
      </w:r>
      <w:r>
        <w:rPr>
          <w:rFonts w:ascii="Times New Roman" w:hAnsi="Times New Roman" w:eastAsia="宋体" w:cs="宋体"/>
          <w:color w:val="000000"/>
          <w:spacing w:val="2"/>
          <w:szCs w:val="21"/>
        </w:rPr>
        <w:t>诊疗团队。该模式以循证医学为基础，针对脊髓性肌萎缩症（SMA）等复杂临床病例，通过定期联合会诊与动态评估机制，制定涵盖疾病干预、功能维护、并发症防控及人文关怀的全方位、个体化诊疗策略。临床实践表明，MDT模式不仅能显著提升疑难重症的诊疗精准度，更通过优化医疗资源配置实现了治</w:t>
      </w:r>
      <w:r>
        <w:rPr>
          <w:rFonts w:hint="eastAsia" w:ascii="Times New Roman" w:hAnsi="Times New Roman" w:eastAsia="宋体" w:cs="宋体"/>
          <w:color w:val="000000"/>
          <w:spacing w:val="2"/>
          <w:szCs w:val="21"/>
        </w:rPr>
        <w:t>疗效率与患者生存质量的双重改善，体现了</w:t>
      </w:r>
      <w:r>
        <w:rPr>
          <w:rFonts w:ascii="Times New Roman" w:hAnsi="Times New Roman" w:eastAsia="宋体" w:cs="宋体"/>
          <w:color w:val="000000"/>
          <w:spacing w:val="2"/>
          <w:szCs w:val="21"/>
        </w:rPr>
        <w:t>"以患者为中心"的整合医学理念。</w:t>
      </w:r>
    </w:p>
    <w:p w14:paraId="619C3FC2">
      <w:pPr>
        <w:tabs>
          <w:tab w:val="left" w:pos="523"/>
        </w:tabs>
        <w:spacing w:before="120" w:beforeLines="50" w:after="120" w:afterLines="50"/>
        <w:ind w:right="-23"/>
        <w:rPr>
          <w:rFonts w:ascii="黑体" w:hAnsi="黑体" w:eastAsia="黑体" w:cs="Calibri"/>
          <w:b w:val="0"/>
          <w:bCs w:val="0"/>
          <w:color w:val="000000"/>
          <w:spacing w:val="0"/>
          <w:w w:val="100"/>
          <w:szCs w:val="21"/>
        </w:rPr>
      </w:pPr>
      <w:r>
        <w:rPr>
          <w:rFonts w:ascii="黑体" w:hAnsi="黑体" w:eastAsia="黑体" w:cs="Calibri"/>
          <w:b w:val="0"/>
          <w:bCs w:val="0"/>
          <w:color w:val="000000"/>
          <w:spacing w:val="0"/>
          <w:w w:val="100"/>
          <w:szCs w:val="21"/>
        </w:rPr>
        <w:t>3</w:t>
      </w:r>
      <w:r>
        <w:rPr>
          <w:rFonts w:ascii="黑体" w:hAnsi="黑体" w:eastAsia="黑体" w:cs="Calibri"/>
          <w:b w:val="0"/>
          <w:bCs w:val="0"/>
          <w:color w:val="000000"/>
          <w:spacing w:val="0"/>
          <w:szCs w:val="21"/>
        </w:rPr>
        <w:t>.</w:t>
      </w:r>
      <w:r>
        <w:rPr>
          <w:rFonts w:hint="eastAsia" w:ascii="黑体" w:hAnsi="黑体" w:eastAsia="黑体" w:cs="Calibri"/>
          <w:color w:val="000000"/>
          <w:szCs w:val="21"/>
        </w:rPr>
        <w:t>5</w:t>
      </w:r>
    </w:p>
    <w:p w14:paraId="3CF47734">
      <w:pPr>
        <w:spacing w:line="240" w:lineRule="auto"/>
        <w:ind w:left="0" w:right="0" w:firstLine="428" w:firstLineChars="200"/>
        <w:rPr>
          <w:rFonts w:ascii="Times New Roman" w:hAnsi="Times New Roman" w:eastAsia="宋体" w:cs="宋体"/>
          <w:b/>
          <w:bCs/>
          <w:color w:val="000000"/>
          <w:spacing w:val="2"/>
          <w:szCs w:val="21"/>
        </w:rPr>
      </w:pPr>
      <w:r>
        <w:rPr>
          <w:rFonts w:hint="eastAsia" w:ascii="Times New Roman" w:hAnsi="Times New Roman" w:eastAsia="黑体" w:cs="Times New Roman"/>
          <w:b w:val="0"/>
          <w:bCs w:val="0"/>
          <w:color w:val="000000"/>
          <w:spacing w:val="2"/>
          <w:szCs w:val="21"/>
        </w:rPr>
        <w:t>新生儿筛查</w:t>
      </w:r>
      <w:r>
        <w:rPr>
          <w:rFonts w:ascii="Times New Roman" w:hAnsi="Times New Roman" w:eastAsia="黑体" w:cs="Times New Roman"/>
          <w:b w:val="0"/>
          <w:bCs w:val="0"/>
          <w:color w:val="000000"/>
          <w:spacing w:val="2"/>
          <w:szCs w:val="21"/>
        </w:rPr>
        <w:t xml:space="preserve"> </w:t>
      </w:r>
      <w:r>
        <w:rPr>
          <w:rFonts w:ascii="Times New Roman" w:hAnsi="Times New Roman" w:eastAsia="黑体" w:cs="Times New Roman"/>
          <w:b/>
          <w:bCs/>
          <w:color w:val="000000"/>
          <w:spacing w:val="2"/>
          <w:szCs w:val="21"/>
        </w:rPr>
        <w:t>Newborn Screening; NBS</w:t>
      </w:r>
    </w:p>
    <w:p w14:paraId="520AC846">
      <w:pPr>
        <w:spacing w:after="0" w:line="240" w:lineRule="auto"/>
        <w:ind w:firstLine="428" w:firstLineChars="200"/>
        <w:rPr>
          <w:rFonts w:ascii="Times New Roman" w:hAnsi="Times New Roman" w:eastAsia="宋体"/>
          <w:spacing w:val="6"/>
          <w:sz w:val="16"/>
          <w:szCs w:val="16"/>
        </w:rPr>
      </w:pPr>
      <w:r>
        <w:rPr>
          <w:rFonts w:hint="eastAsia" w:ascii="Times New Roman" w:hAnsi="Times New Roman" w:eastAsia="宋体" w:cs="宋体"/>
          <w:color w:val="000000"/>
          <w:spacing w:val="2"/>
          <w:szCs w:val="21"/>
        </w:rPr>
        <w:t>新生儿筛查（</w:t>
      </w:r>
      <w:r>
        <w:rPr>
          <w:rFonts w:ascii="Times New Roman" w:hAnsi="Times New Roman" w:eastAsia="宋体" w:cs="宋体"/>
          <w:color w:val="000000"/>
          <w:spacing w:val="2"/>
          <w:szCs w:val="21"/>
        </w:rPr>
        <w:t>Newborn Screening, NBS）是一项在婴儿出生后不久进行的健康检查，目的是及早发现某些遗传性、代谢性或先天性疾病。</w:t>
      </w:r>
      <w:r>
        <w:rPr>
          <w:rFonts w:hint="eastAsia" w:ascii="Times New Roman" w:hAnsi="Times New Roman" w:eastAsia="宋体" w:cs="宋体"/>
          <w:color w:val="000000"/>
          <w:spacing w:val="2"/>
          <w:szCs w:val="21"/>
        </w:rPr>
        <w:t>目前</w:t>
      </w:r>
      <w:r>
        <w:rPr>
          <w:rFonts w:ascii="Times New Roman" w:hAnsi="Times New Roman" w:eastAsia="宋体" w:cs="宋体"/>
          <w:color w:val="000000"/>
          <w:spacing w:val="2"/>
          <w:szCs w:val="21"/>
        </w:rPr>
        <w:t>通过对新生儿进行</w:t>
      </w:r>
      <w:r>
        <w:rPr>
          <w:rFonts w:ascii="Times New Roman" w:hAnsi="Times New Roman" w:eastAsia="宋体" w:cs="宋体"/>
          <w:i/>
          <w:iCs/>
          <w:color w:val="000000"/>
          <w:spacing w:val="2"/>
          <w:szCs w:val="21"/>
        </w:rPr>
        <w:t>SMN1</w:t>
      </w:r>
      <w:r>
        <w:rPr>
          <w:rFonts w:ascii="Times New Roman" w:hAnsi="Times New Roman" w:eastAsia="宋体" w:cs="宋体"/>
          <w:color w:val="000000"/>
          <w:spacing w:val="2"/>
          <w:szCs w:val="21"/>
        </w:rPr>
        <w:t>基因</w:t>
      </w:r>
      <w:r>
        <w:rPr>
          <w:rFonts w:hint="eastAsia" w:ascii="Times New Roman" w:hAnsi="Times New Roman" w:eastAsia="宋体" w:cs="宋体"/>
          <w:color w:val="000000"/>
          <w:spacing w:val="2"/>
          <w:szCs w:val="21"/>
        </w:rPr>
        <w:t>7号外显子</w:t>
      </w:r>
      <w:r>
        <w:rPr>
          <w:rFonts w:ascii="Times New Roman" w:hAnsi="Times New Roman" w:eastAsia="宋体" w:cs="宋体"/>
          <w:color w:val="000000"/>
          <w:spacing w:val="2"/>
          <w:szCs w:val="21"/>
        </w:rPr>
        <w:t>的拷贝数检测，能够早期识别SMA患儿，提前启动治疗。</w:t>
      </w:r>
    </w:p>
    <w:p w14:paraId="02B1FB9A">
      <w:pPr>
        <w:tabs>
          <w:tab w:val="left" w:pos="523"/>
        </w:tabs>
        <w:spacing w:before="120" w:beforeLines="50" w:after="120" w:afterLines="50"/>
        <w:ind w:right="-23"/>
        <w:rPr>
          <w:rFonts w:ascii="黑体" w:hAnsi="黑体" w:eastAsia="黑体" w:cs="Calibri"/>
          <w:b w:val="0"/>
          <w:bCs w:val="0"/>
          <w:color w:val="000000"/>
          <w:spacing w:val="0"/>
          <w:w w:val="100"/>
          <w:szCs w:val="21"/>
        </w:rPr>
      </w:pPr>
      <w:r>
        <w:rPr>
          <w:rFonts w:ascii="黑体" w:hAnsi="黑体" w:eastAsia="黑体" w:cs="Calibri"/>
          <w:b w:val="0"/>
          <w:bCs w:val="0"/>
          <w:color w:val="000000"/>
          <w:spacing w:val="0"/>
          <w:w w:val="100"/>
          <w:szCs w:val="21"/>
        </w:rPr>
        <w:t>3</w:t>
      </w:r>
      <w:r>
        <w:rPr>
          <w:rFonts w:ascii="黑体" w:hAnsi="黑体" w:eastAsia="黑体" w:cs="Calibri"/>
          <w:b w:val="0"/>
          <w:bCs w:val="0"/>
          <w:color w:val="000000"/>
          <w:spacing w:val="0"/>
          <w:szCs w:val="21"/>
        </w:rPr>
        <w:t>.</w:t>
      </w:r>
      <w:r>
        <w:rPr>
          <w:rFonts w:hint="eastAsia" w:ascii="黑体" w:hAnsi="黑体" w:eastAsia="黑体" w:cs="Calibri"/>
          <w:color w:val="000000"/>
          <w:szCs w:val="21"/>
        </w:rPr>
        <w:t>6</w:t>
      </w:r>
    </w:p>
    <w:p w14:paraId="20267921">
      <w:pPr>
        <w:spacing w:line="240" w:lineRule="auto"/>
        <w:ind w:left="0" w:right="0" w:firstLine="428" w:firstLineChars="200"/>
        <w:rPr>
          <w:rFonts w:ascii="Times New Roman" w:hAnsi="Times New Roman" w:eastAsia="宋体" w:cs="宋体"/>
          <w:b/>
          <w:bCs/>
          <w:color w:val="000000"/>
          <w:spacing w:val="2"/>
          <w:szCs w:val="21"/>
        </w:rPr>
      </w:pPr>
      <w:commentRangeStart w:id="4"/>
      <w:r>
        <w:rPr>
          <w:rFonts w:hint="eastAsia" w:ascii="Times New Roman" w:hAnsi="Times New Roman" w:eastAsia="黑体" w:cs="Times New Roman"/>
          <w:b w:val="0"/>
          <w:bCs w:val="0"/>
          <w:color w:val="000000"/>
          <w:spacing w:val="2"/>
          <w:szCs w:val="21"/>
        </w:rPr>
        <w:t>疾病修正治疗</w:t>
      </w:r>
      <w:commentRangeEnd w:id="4"/>
      <w:r>
        <w:rPr>
          <w:rStyle w:val="18"/>
        </w:rPr>
        <w:commentReference w:id="4"/>
      </w:r>
      <w:r>
        <w:rPr>
          <w:rFonts w:ascii="Times New Roman" w:hAnsi="Times New Roman" w:eastAsia="黑体" w:cs="Times New Roman"/>
          <w:b w:val="0"/>
          <w:bCs w:val="0"/>
          <w:color w:val="000000"/>
          <w:spacing w:val="2"/>
          <w:szCs w:val="21"/>
        </w:rPr>
        <w:t xml:space="preserve"> </w:t>
      </w:r>
      <w:r>
        <w:rPr>
          <w:rFonts w:ascii="Times New Roman" w:hAnsi="Times New Roman" w:eastAsia="黑体" w:cs="Times New Roman"/>
          <w:b/>
          <w:bCs/>
          <w:color w:val="000000"/>
          <w:spacing w:val="2"/>
          <w:szCs w:val="21"/>
        </w:rPr>
        <w:t>Disease Modifying Therapy; DMT</w:t>
      </w:r>
    </w:p>
    <w:p w14:paraId="58F304A0">
      <w:pPr>
        <w:ind w:right="0" w:firstLine="428" w:firstLineChars="200"/>
        <w:rPr>
          <w:rFonts w:ascii="Times New Roman" w:hAnsi="Times New Roman" w:eastAsia="宋体" w:cs="Calibri"/>
          <w:color w:val="000000"/>
          <w:spacing w:val="21"/>
          <w:w w:val="98"/>
          <w:szCs w:val="21"/>
        </w:rPr>
      </w:pPr>
      <w:r>
        <w:rPr>
          <w:rFonts w:hint="eastAsia" w:ascii="Times New Roman" w:hAnsi="Times New Roman" w:eastAsia="宋体" w:cs="宋体"/>
          <w:color w:val="000000"/>
          <w:spacing w:val="2"/>
          <w:szCs w:val="21"/>
        </w:rPr>
        <w:t>疾病修饰治疗（</w:t>
      </w:r>
      <w:r>
        <w:rPr>
          <w:rFonts w:ascii="Times New Roman" w:hAnsi="Times New Roman" w:eastAsia="宋体" w:cs="宋体"/>
          <w:color w:val="000000"/>
          <w:spacing w:val="2"/>
          <w:szCs w:val="21"/>
        </w:rPr>
        <w:t>Disease Modifying Therapy, DMT）是指能够减缓或逆转SMA进程的治疗方法。包括药物治疗，如诺西那生（nusinersen）和利司扑兰（risdiplam）</w:t>
      </w:r>
      <w:r>
        <w:rPr>
          <w:rFonts w:hint="eastAsia" w:ascii="Times New Roman" w:hAnsi="Times New Roman" w:eastAsia="宋体" w:cs="宋体"/>
          <w:color w:val="000000"/>
          <w:spacing w:val="2"/>
          <w:szCs w:val="21"/>
        </w:rPr>
        <w:t>等</w:t>
      </w:r>
      <w:r>
        <w:rPr>
          <w:rFonts w:ascii="Times New Roman" w:hAnsi="Times New Roman" w:eastAsia="宋体" w:cs="宋体"/>
          <w:color w:val="000000"/>
          <w:spacing w:val="2"/>
          <w:szCs w:val="21"/>
        </w:rPr>
        <w:t>，这些药物通过增加或恢复SMN蛋白的表达，改善运动神经元功能。</w:t>
      </w:r>
    </w:p>
    <w:p w14:paraId="12AA2AF8">
      <w:pPr>
        <w:tabs>
          <w:tab w:val="left" w:pos="523"/>
        </w:tabs>
        <w:spacing w:before="120" w:beforeLines="50" w:after="120" w:afterLines="50"/>
        <w:ind w:right="-23"/>
        <w:rPr>
          <w:rFonts w:ascii="黑体" w:hAnsi="黑体" w:eastAsia="黑体" w:cs="Calibri"/>
          <w:b w:val="0"/>
          <w:bCs w:val="0"/>
          <w:color w:val="000000"/>
          <w:spacing w:val="0"/>
          <w:w w:val="100"/>
          <w:szCs w:val="21"/>
        </w:rPr>
      </w:pPr>
      <w:r>
        <w:rPr>
          <w:rFonts w:ascii="黑体" w:hAnsi="黑体" w:eastAsia="黑体" w:cs="Calibri"/>
          <w:b w:val="0"/>
          <w:bCs w:val="0"/>
          <w:color w:val="000000"/>
          <w:spacing w:val="0"/>
          <w:w w:val="100"/>
          <w:szCs w:val="21"/>
        </w:rPr>
        <w:t>3</w:t>
      </w:r>
      <w:r>
        <w:rPr>
          <w:rFonts w:ascii="黑体" w:hAnsi="黑体" w:eastAsia="黑体" w:cs="Calibri"/>
          <w:b w:val="0"/>
          <w:bCs w:val="0"/>
          <w:color w:val="000000"/>
          <w:spacing w:val="0"/>
          <w:szCs w:val="21"/>
        </w:rPr>
        <w:t>.</w:t>
      </w:r>
      <w:r>
        <w:rPr>
          <w:rFonts w:hint="eastAsia" w:ascii="黑体" w:hAnsi="黑体" w:eastAsia="黑体" w:cs="Calibri"/>
          <w:color w:val="000000"/>
          <w:szCs w:val="21"/>
        </w:rPr>
        <w:t>7</w:t>
      </w:r>
    </w:p>
    <w:p w14:paraId="7D83C265">
      <w:pPr>
        <w:spacing w:line="240" w:lineRule="auto"/>
        <w:ind w:left="0" w:right="0" w:firstLine="428" w:firstLineChars="200"/>
        <w:rPr>
          <w:rFonts w:ascii="Times New Roman" w:hAnsi="Times New Roman" w:eastAsia="黑体" w:cs="Times New Roman"/>
          <w:b w:val="0"/>
          <w:bCs w:val="0"/>
          <w:color w:val="000000"/>
          <w:spacing w:val="2"/>
          <w:szCs w:val="21"/>
        </w:rPr>
      </w:pPr>
      <w:r>
        <w:rPr>
          <w:rFonts w:hint="eastAsia" w:ascii="Times New Roman" w:hAnsi="Times New Roman" w:eastAsia="黑体" w:cs="Times New Roman"/>
          <w:b w:val="0"/>
          <w:bCs w:val="0"/>
          <w:color w:val="000000"/>
          <w:spacing w:val="2"/>
          <w:szCs w:val="21"/>
        </w:rPr>
        <w:t>运动功能评分</w:t>
      </w:r>
      <w:r>
        <w:rPr>
          <w:rFonts w:hint="eastAsia" w:ascii="Times New Roman" w:hAnsi="Times New Roman" w:eastAsia="黑体" w:cs="Times New Roman"/>
          <w:color w:val="000000"/>
          <w:spacing w:val="2"/>
          <w:szCs w:val="21"/>
        </w:rPr>
        <w:t xml:space="preserve"> </w:t>
      </w:r>
      <w:r>
        <w:rPr>
          <w:rFonts w:ascii="Times New Roman" w:hAnsi="Times New Roman" w:eastAsia="黑体" w:cs="Times New Roman"/>
          <w:b/>
          <w:bCs/>
          <w:color w:val="000000"/>
          <w:spacing w:val="2"/>
          <w:szCs w:val="21"/>
        </w:rPr>
        <w:t>Motor Function Assessment; MFA</w:t>
      </w:r>
    </w:p>
    <w:p w14:paraId="2A9B4C6E">
      <w:pPr>
        <w:spacing w:line="240" w:lineRule="auto"/>
        <w:ind w:left="0" w:right="0" w:firstLine="428"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2"/>
          <w:szCs w:val="21"/>
        </w:rPr>
        <w:t>运动功能评分（</w:t>
      </w:r>
      <w:r>
        <w:rPr>
          <w:rFonts w:ascii="Times New Roman" w:hAnsi="Times New Roman" w:eastAsia="宋体" w:cs="宋体"/>
          <w:color w:val="000000"/>
          <w:spacing w:val="2"/>
          <w:szCs w:val="21"/>
        </w:rPr>
        <w:t>Motor Function Assessment, MFA</w:t>
      </w:r>
      <w:r>
        <w:rPr>
          <w:rFonts w:hint="eastAsia" w:ascii="Times New Roman" w:hAnsi="Times New Roman" w:eastAsia="宋体" w:cs="宋体"/>
          <w:color w:val="000000"/>
          <w:spacing w:val="2"/>
          <w:szCs w:val="21"/>
        </w:rPr>
        <w:t>）是通过特定的量表或评分系统（如</w:t>
      </w:r>
      <w:r>
        <w:rPr>
          <w:rFonts w:ascii="Times New Roman" w:hAnsi="Times New Roman" w:eastAsia="宋体" w:cs="宋体"/>
          <w:color w:val="000000"/>
          <w:spacing w:val="2"/>
          <w:szCs w:val="21"/>
        </w:rPr>
        <w:t>HINE2、CHOP INTEND、HFMSE</w:t>
      </w:r>
      <w:r>
        <w:rPr>
          <w:rFonts w:hint="eastAsia" w:ascii="Times New Roman" w:hAnsi="Times New Roman" w:eastAsia="宋体" w:cs="宋体"/>
          <w:color w:val="000000"/>
          <w:spacing w:val="2"/>
          <w:szCs w:val="21"/>
        </w:rPr>
        <w:t>、</w:t>
      </w:r>
      <w:r>
        <w:rPr>
          <w:rFonts w:ascii="Times New Roman" w:hAnsi="Times New Roman" w:eastAsia="宋体" w:cs="宋体"/>
          <w:color w:val="000000"/>
          <w:spacing w:val="2"/>
          <w:szCs w:val="21"/>
        </w:rPr>
        <w:t>RULM</w:t>
      </w:r>
      <w:r>
        <w:rPr>
          <w:rFonts w:hint="eastAsia" w:ascii="Times New Roman" w:hAnsi="Times New Roman" w:eastAsia="宋体" w:cs="宋体"/>
          <w:color w:val="000000"/>
          <w:spacing w:val="2"/>
          <w:szCs w:val="21"/>
        </w:rPr>
        <w:t>、</w:t>
      </w:r>
      <w:r>
        <w:rPr>
          <w:rFonts w:ascii="Times New Roman" w:hAnsi="Times New Roman" w:eastAsia="宋体" w:cs="宋体"/>
          <w:color w:val="000000"/>
          <w:spacing w:val="2"/>
          <w:szCs w:val="21"/>
        </w:rPr>
        <w:t>MFM</w:t>
      </w:r>
      <w:r>
        <w:rPr>
          <w:rFonts w:hint="eastAsia" w:ascii="Times New Roman" w:hAnsi="Times New Roman" w:eastAsia="宋体" w:cs="宋体"/>
          <w:color w:val="000000"/>
          <w:spacing w:val="2"/>
          <w:szCs w:val="21"/>
        </w:rPr>
        <w:t>、6</w:t>
      </w:r>
      <w:r>
        <w:rPr>
          <w:rFonts w:ascii="Times New Roman" w:hAnsi="Times New Roman" w:eastAsia="宋体" w:cs="宋体"/>
          <w:color w:val="000000"/>
          <w:spacing w:val="2"/>
          <w:szCs w:val="21"/>
        </w:rPr>
        <w:t>MWT</w:t>
      </w:r>
      <w:r>
        <w:rPr>
          <w:rFonts w:hint="eastAsia" w:ascii="Times New Roman" w:hAnsi="Times New Roman" w:eastAsia="宋体" w:cs="宋体"/>
          <w:color w:val="000000"/>
          <w:spacing w:val="2"/>
          <w:szCs w:val="21"/>
        </w:rPr>
        <w:t>等</w:t>
      </w:r>
      <w:r>
        <w:rPr>
          <w:rFonts w:ascii="Times New Roman" w:hAnsi="Times New Roman" w:eastAsia="宋体" w:cs="宋体"/>
          <w:color w:val="000000"/>
          <w:spacing w:val="2"/>
          <w:szCs w:val="21"/>
        </w:rPr>
        <w:t>）对SMA患者的运动功能进行评估，用于量化患者的运动能力和疾病进展情况。这些评分可帮助医生制定治疗计划和随访策略。</w:t>
      </w:r>
    </w:p>
    <w:p w14:paraId="1A4D9344">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8" w:name="_Toc203680710"/>
      <w:bookmarkStart w:id="9" w:name="_Toc194854857"/>
      <w:r>
        <w:rPr>
          <w:rFonts w:hint="eastAsia" w:ascii="黑体" w:hAnsi="黑体" w:eastAsia="黑体" w:cs="宋体"/>
          <w:b w:val="0"/>
          <w:bCs w:val="0"/>
          <w:color w:val="000000"/>
          <w:szCs w:val="21"/>
        </w:rPr>
        <w:t>缩略语</w:t>
      </w:r>
      <w:bookmarkEnd w:id="8"/>
      <w:bookmarkEnd w:id="9"/>
    </w:p>
    <w:p w14:paraId="73E73BD1">
      <w:pPr>
        <w:spacing w:after="0" w:line="240" w:lineRule="auto"/>
        <w:ind w:firstLine="420" w:firstLineChars="200"/>
        <w:rPr>
          <w:rFonts w:ascii="Times New Roman" w:hAnsi="Times New Roman" w:eastAsia="宋体"/>
          <w:szCs w:val="21"/>
        </w:rPr>
      </w:pPr>
      <w:r>
        <w:rPr>
          <w:rFonts w:ascii="Times New Roman" w:hAnsi="Times New Roman" w:eastAsia="宋体" w:cs="Calibri"/>
          <w:color w:val="000000"/>
          <w:szCs w:val="21"/>
        </w:rPr>
        <w:t>下</w:t>
      </w:r>
      <w:r>
        <w:rPr>
          <w:rFonts w:ascii="Times New Roman" w:hAnsi="Times New Roman" w:eastAsia="宋体" w:cs="Calibri"/>
          <w:color w:val="000000"/>
          <w:spacing w:val="1"/>
          <w:szCs w:val="21"/>
        </w:rPr>
        <w:t>列</w:t>
      </w:r>
      <w:r>
        <w:rPr>
          <w:rFonts w:hint="eastAsia" w:ascii="Times New Roman" w:hAnsi="Times New Roman" w:eastAsia="宋体" w:cs="Calibri"/>
          <w:color w:val="000000"/>
          <w:szCs w:val="21"/>
        </w:rPr>
        <w:t>缩略语</w:t>
      </w:r>
      <w:r>
        <w:rPr>
          <w:rFonts w:ascii="Times New Roman" w:hAnsi="Times New Roman" w:eastAsia="宋体" w:cs="Calibri"/>
          <w:color w:val="000000"/>
          <w:spacing w:val="2"/>
          <w:szCs w:val="21"/>
        </w:rPr>
        <w:t>适</w:t>
      </w:r>
      <w:r>
        <w:rPr>
          <w:rFonts w:ascii="Times New Roman" w:hAnsi="Times New Roman" w:eastAsia="宋体" w:cs="Calibri"/>
          <w:color w:val="000000"/>
          <w:szCs w:val="21"/>
        </w:rPr>
        <w:t>用</w:t>
      </w:r>
      <w:r>
        <w:rPr>
          <w:rFonts w:ascii="Times New Roman" w:hAnsi="Times New Roman" w:eastAsia="宋体" w:cs="Calibri"/>
          <w:color w:val="000000"/>
          <w:spacing w:val="2"/>
          <w:szCs w:val="21"/>
        </w:rPr>
        <w:t>于</w:t>
      </w:r>
      <w:r>
        <w:rPr>
          <w:rFonts w:ascii="Times New Roman" w:hAnsi="Times New Roman" w:eastAsia="宋体" w:cs="Calibri"/>
          <w:color w:val="000000"/>
          <w:szCs w:val="21"/>
        </w:rPr>
        <w:t>本</w:t>
      </w:r>
      <w:r>
        <w:rPr>
          <w:rFonts w:ascii="Times New Roman" w:hAnsi="Times New Roman" w:eastAsia="宋体" w:cs="Calibri"/>
          <w:color w:val="000000"/>
          <w:spacing w:val="2"/>
          <w:szCs w:val="21"/>
        </w:rPr>
        <w:t>文</w:t>
      </w:r>
      <w:r>
        <w:rPr>
          <w:rFonts w:ascii="Times New Roman" w:hAnsi="Times New Roman" w:eastAsia="宋体" w:cs="Calibri"/>
          <w:color w:val="000000"/>
          <w:szCs w:val="21"/>
        </w:rPr>
        <w:t>件。</w:t>
      </w:r>
    </w:p>
    <w:p w14:paraId="3193A70C">
      <w:pPr>
        <w:spacing w:after="0" w:line="240" w:lineRule="auto"/>
        <w:ind w:firstLine="420" w:firstLineChars="200"/>
        <w:rPr>
          <w:rFonts w:ascii="Times New Roman" w:hAnsi="Times New Roman" w:eastAsia="宋体"/>
          <w:szCs w:val="21"/>
        </w:rPr>
      </w:pPr>
      <w:commentRangeStart w:id="5"/>
      <w:r>
        <w:rPr>
          <w:rFonts w:ascii="Times New Roman" w:hAnsi="Times New Roman" w:eastAsia="宋体"/>
          <w:szCs w:val="21"/>
        </w:rPr>
        <w:t>SDT Center</w:t>
      </w:r>
      <w:commentRangeEnd w:id="5"/>
      <w:r>
        <w:rPr>
          <w:rStyle w:val="18"/>
        </w:rPr>
        <w:commentReference w:id="5"/>
      </w:r>
      <w:r>
        <w:rPr>
          <w:rFonts w:ascii="Times New Roman" w:hAnsi="Times New Roman" w:eastAsia="宋体"/>
          <w:szCs w:val="21"/>
        </w:rPr>
        <w:t>：</w:t>
      </w:r>
      <w:r>
        <w:rPr>
          <w:rFonts w:hint="eastAsia" w:ascii="Times New Roman" w:hAnsi="Times New Roman" w:eastAsia="宋体"/>
          <w:szCs w:val="21"/>
        </w:rPr>
        <w:t>筛查</w:t>
      </w:r>
      <w:r>
        <w:rPr>
          <w:rFonts w:ascii="Times New Roman" w:hAnsi="Times New Roman" w:eastAsia="宋体"/>
          <w:szCs w:val="21"/>
        </w:rPr>
        <w:t>-</w:t>
      </w:r>
      <w:r>
        <w:rPr>
          <w:rFonts w:hint="eastAsia" w:ascii="Times New Roman" w:hAnsi="Times New Roman" w:eastAsia="宋体"/>
          <w:szCs w:val="21"/>
        </w:rPr>
        <w:t>诊断</w:t>
      </w:r>
      <w:r>
        <w:rPr>
          <w:rFonts w:ascii="Times New Roman" w:hAnsi="Times New Roman" w:eastAsia="宋体"/>
          <w:szCs w:val="21"/>
        </w:rPr>
        <w:t>-</w:t>
      </w:r>
      <w:r>
        <w:rPr>
          <w:rFonts w:hint="eastAsia" w:ascii="Times New Roman" w:hAnsi="Times New Roman" w:eastAsia="宋体"/>
          <w:szCs w:val="21"/>
        </w:rPr>
        <w:t>治疗一体化中心（</w:t>
      </w:r>
      <w:r>
        <w:rPr>
          <w:rFonts w:ascii="Times New Roman" w:hAnsi="Times New Roman" w:eastAsia="宋体"/>
          <w:szCs w:val="21"/>
        </w:rPr>
        <w:t>Screening-Diagnosis-Treatment Integrated Center</w:t>
      </w:r>
      <w:r>
        <w:rPr>
          <w:rFonts w:hint="eastAsia" w:ascii="Times New Roman" w:hAnsi="Times New Roman" w:eastAsia="宋体"/>
          <w:szCs w:val="21"/>
        </w:rPr>
        <w:t>）</w:t>
      </w:r>
    </w:p>
    <w:p w14:paraId="010DF214">
      <w:pPr>
        <w:spacing w:after="0" w:line="240" w:lineRule="auto"/>
        <w:ind w:firstLine="420" w:firstLineChars="200"/>
        <w:rPr>
          <w:rFonts w:ascii="Times New Roman" w:hAnsi="Times New Roman" w:eastAsia="宋体"/>
          <w:spacing w:val="21"/>
          <w:w w:val="98"/>
          <w:sz w:val="20"/>
          <w:szCs w:val="20"/>
        </w:rPr>
      </w:pPr>
      <w:r>
        <w:rPr>
          <w:rFonts w:ascii="Times New Roman" w:hAnsi="Times New Roman" w:eastAsia="宋体"/>
          <w:szCs w:val="21"/>
        </w:rPr>
        <w:t>GCP：药物临床试验质量管理规范（Good Clinical Practice）</w:t>
      </w:r>
    </w:p>
    <w:p w14:paraId="354FDC43">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10" w:name="_Toc203680711"/>
      <w:r>
        <w:rPr>
          <w:rFonts w:hint="eastAsia" w:ascii="黑体" w:hAnsi="黑体" w:eastAsia="黑体" w:cs="宋体"/>
          <w:b w:val="0"/>
          <w:bCs w:val="0"/>
          <w:color w:val="000000"/>
          <w:szCs w:val="21"/>
        </w:rPr>
        <w:t>脊髓性肌萎缩症 “筛查-诊断-治疗”一体化中心建设标准</w:t>
      </w:r>
      <w:bookmarkEnd w:id="10"/>
    </w:p>
    <w:p w14:paraId="33D5BB48">
      <w:pPr>
        <w:spacing w:before="120" w:beforeLines="50" w:after="120" w:afterLines="50"/>
        <w:ind w:right="0"/>
        <w:rPr>
          <w:rFonts w:ascii="Times New Roman" w:hAnsi="Times New Roman" w:eastAsia="宋体" w:cs="Calibri"/>
          <w:b/>
          <w:bCs/>
          <w:color w:val="000000"/>
          <w:spacing w:val="2"/>
          <w:szCs w:val="21"/>
        </w:rPr>
      </w:pPr>
      <w:r>
        <w:rPr>
          <w:rFonts w:ascii="黑体" w:hAnsi="黑体" w:eastAsia="黑体" w:cs="宋体"/>
          <w:color w:val="000000"/>
          <w:spacing w:val="2"/>
          <w:szCs w:val="21"/>
        </w:rPr>
        <w:t xml:space="preserve">5.1 </w:t>
      </w:r>
      <w:r>
        <w:rPr>
          <w:rFonts w:ascii="Times New Roman" w:hAnsi="Times New Roman" w:eastAsia="黑体" w:cs="Times New Roman"/>
          <w:b w:val="0"/>
          <w:bCs w:val="0"/>
          <w:color w:val="000000"/>
          <w:spacing w:val="2"/>
          <w:szCs w:val="21"/>
        </w:rPr>
        <w:t>SMA</w:t>
      </w:r>
      <w:r>
        <w:rPr>
          <w:rFonts w:hint="eastAsia" w:ascii="Times New Roman" w:hAnsi="Times New Roman" w:eastAsia="黑体" w:cs="Times New Roman"/>
          <w:b w:val="0"/>
          <w:bCs w:val="0"/>
          <w:color w:val="000000"/>
          <w:spacing w:val="2"/>
          <w:szCs w:val="21"/>
        </w:rPr>
        <w:t>“</w:t>
      </w:r>
      <w:r>
        <w:rPr>
          <w:rFonts w:hint="eastAsia" w:ascii="黑体" w:hAnsi="黑体" w:eastAsia="黑体" w:cs="宋体"/>
          <w:b w:val="0"/>
          <w:bCs w:val="0"/>
          <w:color w:val="000000"/>
          <w:spacing w:val="2"/>
          <w:szCs w:val="21"/>
        </w:rPr>
        <w:t>筛查</w:t>
      </w:r>
      <w:r>
        <w:rPr>
          <w:rFonts w:ascii="黑体" w:hAnsi="黑体" w:eastAsia="黑体" w:cs="宋体"/>
          <w:b w:val="0"/>
          <w:bCs w:val="0"/>
          <w:color w:val="000000"/>
          <w:spacing w:val="2"/>
          <w:szCs w:val="21"/>
        </w:rPr>
        <w:t>-</w:t>
      </w:r>
      <w:r>
        <w:rPr>
          <w:rFonts w:hint="eastAsia" w:ascii="黑体" w:hAnsi="黑体" w:eastAsia="黑体" w:cs="宋体"/>
          <w:b w:val="0"/>
          <w:bCs w:val="0"/>
          <w:color w:val="000000"/>
          <w:spacing w:val="2"/>
          <w:szCs w:val="21"/>
        </w:rPr>
        <w:t>诊断</w:t>
      </w:r>
      <w:r>
        <w:rPr>
          <w:rFonts w:ascii="黑体" w:hAnsi="黑体" w:eastAsia="黑体" w:cs="宋体"/>
          <w:b w:val="0"/>
          <w:bCs w:val="0"/>
          <w:color w:val="000000"/>
          <w:spacing w:val="2"/>
          <w:szCs w:val="21"/>
        </w:rPr>
        <w:t>-</w:t>
      </w:r>
      <w:r>
        <w:rPr>
          <w:rFonts w:hint="eastAsia" w:ascii="黑体" w:hAnsi="黑体" w:eastAsia="黑体" w:cs="宋体"/>
          <w:b w:val="0"/>
          <w:bCs w:val="0"/>
          <w:color w:val="000000"/>
          <w:spacing w:val="2"/>
          <w:szCs w:val="21"/>
        </w:rPr>
        <w:t>治疗”一体化中心建设标准</w:t>
      </w:r>
    </w:p>
    <w:p w14:paraId="0DF20211">
      <w:pPr>
        <w:widowControl/>
        <w:ind w:firstLine="420" w:firstLineChars="200"/>
        <w:jc w:val="left"/>
        <w:rPr>
          <w:rFonts w:ascii="Times New Roman" w:hAnsi="Times New Roman" w:eastAsia="宋体" w:cs="Calibri"/>
          <w:color w:val="000000"/>
          <w:szCs w:val="21"/>
        </w:rPr>
      </w:pPr>
      <w:r>
        <w:rPr>
          <w:rFonts w:ascii="Times New Roman" w:hAnsi="Times New Roman" w:eastAsia="宋体" w:cs="Calibri"/>
          <w:color w:val="000000"/>
          <w:szCs w:val="21"/>
        </w:rPr>
        <w:t>SMA</w:t>
      </w:r>
      <w:r>
        <w:rPr>
          <w:rFonts w:hint="eastAsia" w:ascii="Times New Roman" w:hAnsi="Times New Roman" w:eastAsia="宋体" w:cs="Calibri"/>
          <w:color w:val="000000"/>
          <w:szCs w:val="21"/>
        </w:rPr>
        <w:t>“筛查</w:t>
      </w:r>
      <w:r>
        <w:rPr>
          <w:rFonts w:ascii="Times New Roman" w:hAnsi="Times New Roman" w:eastAsia="宋体" w:cs="Calibri"/>
          <w:color w:val="000000"/>
          <w:szCs w:val="21"/>
        </w:rPr>
        <w:t>-诊</w:t>
      </w:r>
      <w:r>
        <w:rPr>
          <w:rFonts w:hint="eastAsia" w:ascii="Times New Roman" w:hAnsi="Times New Roman" w:eastAsia="宋体" w:cs="Calibri"/>
          <w:color w:val="000000"/>
          <w:szCs w:val="21"/>
        </w:rPr>
        <w:t>断</w:t>
      </w:r>
      <w:r>
        <w:rPr>
          <w:rFonts w:ascii="Times New Roman" w:hAnsi="Times New Roman" w:eastAsia="宋体" w:cs="Calibri"/>
          <w:color w:val="000000"/>
          <w:szCs w:val="21"/>
        </w:rPr>
        <w:t>-治</w:t>
      </w:r>
      <w:r>
        <w:rPr>
          <w:rFonts w:hint="eastAsia" w:ascii="Times New Roman" w:hAnsi="Times New Roman" w:eastAsia="宋体" w:cs="Calibri"/>
          <w:color w:val="000000"/>
          <w:szCs w:val="21"/>
        </w:rPr>
        <w:t>疗”一体化中心分类级最低标准，见表</w:t>
      </w:r>
      <w:r>
        <w:rPr>
          <w:rFonts w:ascii="Times New Roman" w:hAnsi="Times New Roman" w:eastAsia="宋体" w:cs="Calibri"/>
          <w:color w:val="000000"/>
          <w:szCs w:val="21"/>
        </w:rPr>
        <w:t>1</w:t>
      </w:r>
      <w:r>
        <w:rPr>
          <w:rFonts w:hint="eastAsia" w:ascii="Times New Roman" w:hAnsi="Times New Roman" w:eastAsia="宋体" w:cs="Calibri"/>
          <w:color w:val="000000"/>
          <w:szCs w:val="21"/>
        </w:rPr>
        <w:t>。</w:t>
      </w:r>
    </w:p>
    <w:p w14:paraId="4F10676E">
      <w:pPr>
        <w:tabs>
          <w:tab w:val="left" w:pos="523"/>
        </w:tabs>
        <w:ind w:right="-20"/>
        <w:jc w:val="center"/>
        <w:rPr>
          <w:rFonts w:ascii="Times New Roman" w:hAnsi="Times New Roman" w:eastAsia="宋体"/>
        </w:rPr>
      </w:pPr>
      <w:r>
        <w:rPr>
          <w:rFonts w:hint="eastAsia" w:ascii="Times New Roman" w:hAnsi="Times New Roman" w:eastAsia="宋体"/>
          <w:b w:val="0"/>
          <w:bCs w:val="0"/>
        </w:rPr>
        <w:t>表</w:t>
      </w:r>
      <w:r>
        <w:rPr>
          <w:rFonts w:ascii="Times New Roman" w:hAnsi="Times New Roman" w:eastAsia="宋体"/>
          <w:b w:val="0"/>
          <w:bCs w:val="0"/>
        </w:rPr>
        <w:t>1</w:t>
      </w:r>
      <w:r>
        <w:rPr>
          <w:rFonts w:hint="eastAsia" w:ascii="Times New Roman" w:hAnsi="Times New Roman" w:eastAsia="宋体"/>
        </w:rPr>
        <w:t xml:space="preserve"> </w:t>
      </w:r>
      <w:r>
        <w:rPr>
          <w:rFonts w:ascii="Times New Roman" w:hAnsi="Times New Roman" w:eastAsia="宋体"/>
          <w:b w:val="0"/>
          <w:bCs w:val="0"/>
        </w:rPr>
        <w:t>SMA</w:t>
      </w:r>
      <w:r>
        <w:rPr>
          <w:rFonts w:hint="eastAsia" w:ascii="Times New Roman" w:hAnsi="Times New Roman" w:eastAsia="宋体"/>
          <w:b w:val="0"/>
          <w:bCs w:val="0"/>
        </w:rPr>
        <w:t>“筛查</w:t>
      </w:r>
      <w:r>
        <w:rPr>
          <w:rFonts w:ascii="Times New Roman" w:hAnsi="Times New Roman" w:eastAsia="宋体"/>
          <w:b w:val="0"/>
          <w:bCs w:val="0"/>
        </w:rPr>
        <w:t>-</w:t>
      </w:r>
      <w:r>
        <w:rPr>
          <w:rFonts w:hint="eastAsia" w:ascii="Times New Roman" w:hAnsi="Times New Roman" w:eastAsia="宋体"/>
          <w:b w:val="0"/>
          <w:bCs w:val="0"/>
        </w:rPr>
        <w:t>诊断</w:t>
      </w:r>
      <w:r>
        <w:rPr>
          <w:rFonts w:ascii="Times New Roman" w:hAnsi="Times New Roman" w:eastAsia="宋体"/>
          <w:b w:val="0"/>
          <w:bCs w:val="0"/>
        </w:rPr>
        <w:t>-</w:t>
      </w:r>
      <w:r>
        <w:rPr>
          <w:rFonts w:hint="eastAsia" w:ascii="Times New Roman" w:hAnsi="Times New Roman" w:eastAsia="宋体"/>
          <w:b w:val="0"/>
          <w:bCs w:val="0"/>
        </w:rPr>
        <w:t>治疗”一体化中心分类及最低标准指标</w:t>
      </w:r>
    </w:p>
    <w:tbl>
      <w:tblPr>
        <w:tblStyle w:val="14"/>
        <w:tblW w:w="8738" w:type="dxa"/>
        <w:tblInd w:w="91" w:type="dxa"/>
        <w:tblLayout w:type="autofit"/>
        <w:tblCellMar>
          <w:top w:w="0" w:type="dxa"/>
          <w:left w:w="108" w:type="dxa"/>
          <w:bottom w:w="0" w:type="dxa"/>
          <w:right w:w="108" w:type="dxa"/>
        </w:tblCellMar>
      </w:tblPr>
      <w:tblGrid>
        <w:gridCol w:w="1056"/>
        <w:gridCol w:w="1056"/>
        <w:gridCol w:w="1478"/>
        <w:gridCol w:w="1984"/>
        <w:gridCol w:w="3164"/>
      </w:tblGrid>
      <w:tr w14:paraId="7DACA32E">
        <w:tblPrEx>
          <w:tblCellMar>
            <w:top w:w="0" w:type="dxa"/>
            <w:left w:w="108" w:type="dxa"/>
            <w:bottom w:w="0" w:type="dxa"/>
            <w:right w:w="108" w:type="dxa"/>
          </w:tblCellMar>
        </w:tblPrEx>
        <w:trPr>
          <w:trHeight w:val="66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1069">
            <w:pPr>
              <w:widowControl/>
              <w:jc w:val="center"/>
              <w:textAlignment w:val="center"/>
              <w:rPr>
                <w:rFonts w:ascii="Times New Roman" w:hAnsi="Times New Roman" w:eastAsia="宋体" w:cs="宋体"/>
                <w:b/>
                <w:bCs/>
                <w:color w:val="000000"/>
                <w:sz w:val="18"/>
                <w:szCs w:val="18"/>
              </w:rPr>
            </w:pPr>
            <w:r>
              <w:rPr>
                <w:rFonts w:hint="eastAsia" w:ascii="Times New Roman" w:hAnsi="Times New Roman" w:eastAsia="宋体" w:cs="宋体"/>
                <w:b/>
                <w:bCs/>
                <w:color w:val="000000"/>
                <w:kern w:val="0"/>
                <w:sz w:val="18"/>
                <w:szCs w:val="18"/>
                <w:lang w:bidi="ar"/>
              </w:rPr>
              <w:t>等级类型</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5340">
            <w:pPr>
              <w:widowControl/>
              <w:jc w:val="center"/>
              <w:textAlignment w:val="center"/>
              <w:rPr>
                <w:rFonts w:ascii="Times New Roman" w:hAnsi="Times New Roman" w:eastAsia="宋体" w:cs="宋体"/>
                <w:b/>
                <w:bCs/>
                <w:color w:val="000000"/>
                <w:sz w:val="18"/>
                <w:szCs w:val="18"/>
              </w:rPr>
            </w:pPr>
            <w:r>
              <w:rPr>
                <w:rFonts w:hint="eastAsia" w:ascii="Times New Roman" w:hAnsi="Times New Roman" w:eastAsia="宋体" w:cs="宋体"/>
                <w:b/>
                <w:bCs/>
                <w:color w:val="000000"/>
                <w:kern w:val="0"/>
                <w:sz w:val="18"/>
                <w:szCs w:val="18"/>
                <w:lang w:bidi="ar"/>
              </w:rPr>
              <w:t>定义</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68D">
            <w:pPr>
              <w:widowControl/>
              <w:jc w:val="center"/>
              <w:textAlignment w:val="center"/>
              <w:rPr>
                <w:rFonts w:ascii="Times New Roman" w:hAnsi="Times New Roman" w:eastAsia="宋体" w:cs="宋体"/>
                <w:b/>
                <w:bCs/>
                <w:color w:val="000000"/>
                <w:sz w:val="18"/>
                <w:szCs w:val="18"/>
              </w:rPr>
            </w:pPr>
            <w:r>
              <w:rPr>
                <w:rFonts w:hint="eastAsia" w:ascii="Times New Roman" w:hAnsi="Times New Roman" w:eastAsia="宋体" w:cs="宋体"/>
                <w:b/>
                <w:bCs/>
                <w:color w:val="000000"/>
                <w:kern w:val="0"/>
                <w:sz w:val="18"/>
                <w:szCs w:val="18"/>
                <w:lang w:bidi="ar"/>
              </w:rPr>
              <w:t>核心服务</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4311">
            <w:pPr>
              <w:widowControl/>
              <w:jc w:val="center"/>
              <w:textAlignment w:val="center"/>
              <w:rPr>
                <w:rFonts w:ascii="Times New Roman" w:hAnsi="Times New Roman" w:eastAsia="宋体" w:cs="宋体"/>
                <w:b/>
                <w:bCs/>
                <w:color w:val="000000"/>
                <w:sz w:val="18"/>
                <w:szCs w:val="18"/>
              </w:rPr>
            </w:pPr>
            <w:r>
              <w:rPr>
                <w:rFonts w:hint="eastAsia" w:ascii="Times New Roman" w:hAnsi="Times New Roman" w:eastAsia="宋体" w:cs="宋体"/>
                <w:b/>
                <w:bCs/>
                <w:color w:val="000000"/>
                <w:kern w:val="0"/>
                <w:sz w:val="18"/>
                <w:szCs w:val="18"/>
                <w:lang w:bidi="ar"/>
              </w:rPr>
              <w:t>关键特征</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C6D4">
            <w:pPr>
              <w:widowControl/>
              <w:jc w:val="center"/>
              <w:textAlignment w:val="center"/>
              <w:rPr>
                <w:rFonts w:ascii="Times New Roman" w:hAnsi="Times New Roman" w:eastAsia="宋体" w:cs="宋体"/>
                <w:b/>
                <w:bCs/>
                <w:color w:val="000000"/>
                <w:sz w:val="18"/>
                <w:szCs w:val="18"/>
              </w:rPr>
            </w:pPr>
            <w:r>
              <w:rPr>
                <w:rFonts w:hint="eastAsia" w:ascii="Times New Roman" w:hAnsi="Times New Roman" w:eastAsia="宋体" w:cs="宋体"/>
                <w:b/>
                <w:bCs/>
                <w:color w:val="000000"/>
                <w:kern w:val="0"/>
                <w:sz w:val="18"/>
                <w:szCs w:val="18"/>
                <w:lang w:bidi="ar"/>
              </w:rPr>
              <w:t>最低标准指标</w:t>
            </w:r>
          </w:p>
        </w:tc>
      </w:tr>
      <w:tr w14:paraId="1C0D67AA">
        <w:tblPrEx>
          <w:tblCellMar>
            <w:top w:w="0" w:type="dxa"/>
            <w:left w:w="108" w:type="dxa"/>
            <w:bottom w:w="0" w:type="dxa"/>
            <w:right w:w="108" w:type="dxa"/>
          </w:tblCellMar>
        </w:tblPrEx>
        <w:trPr>
          <w:trHeight w:val="15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8B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173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筛查、诊断、常规治疗与随访</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9DAB">
            <w:pPr>
              <w:widowControl/>
              <w:jc w:val="center"/>
              <w:textAlignment w:val="center"/>
              <w:rPr>
                <w:rFonts w:hint="eastAsia" w:ascii="宋体" w:hAnsi="宋体" w:eastAsia="宋体" w:cs="宋体"/>
                <w:color w:val="000000"/>
                <w:kern w:val="0"/>
                <w:sz w:val="18"/>
                <w:szCs w:val="18"/>
                <w:lang w:bidi="ar"/>
              </w:rPr>
            </w:pPr>
            <w:bookmarkStart w:id="11" w:name="_Hlk194850911"/>
            <w:r>
              <w:rPr>
                <w:rFonts w:hint="eastAsia" w:ascii="宋体" w:hAnsi="宋体" w:eastAsia="宋体" w:cs="宋体"/>
                <w:color w:val="000000"/>
                <w:kern w:val="0"/>
                <w:sz w:val="18"/>
                <w:szCs w:val="18"/>
                <w:lang w:bidi="ar"/>
              </w:rPr>
              <w:t>1.对SMA可进行新生儿筛查或/和对具有SMA</w:t>
            </w:r>
          </w:p>
          <w:p w14:paraId="52D991A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高危画像的患者进行筛查；</w:t>
            </w:r>
          </w:p>
          <w:bookmarkEnd w:id="11"/>
          <w:p w14:paraId="4BED704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2.对在二三级中心确诊并已制订治疗方案的SMA患者进行慢性期用药和康复管理。</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1E7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SMA新生儿筛查或/和高危患儿筛查、疑似患者</w:t>
            </w:r>
            <w:r>
              <w:rPr>
                <w:rFonts w:hint="eastAsia" w:ascii="宋体" w:hAnsi="宋体" w:eastAsia="宋体" w:cs="宋体"/>
                <w:i/>
                <w:iCs/>
                <w:color w:val="000000"/>
                <w:kern w:val="0"/>
                <w:sz w:val="18"/>
                <w:szCs w:val="18"/>
                <w:lang w:bidi="ar"/>
              </w:rPr>
              <w:t>SMN1</w:t>
            </w:r>
            <w:r>
              <w:rPr>
                <w:rFonts w:hint="eastAsia" w:ascii="宋体" w:hAnsi="宋体" w:eastAsia="宋体" w:cs="宋体"/>
                <w:color w:val="000000"/>
                <w:kern w:val="0"/>
                <w:sz w:val="18"/>
                <w:szCs w:val="18"/>
                <w:lang w:bidi="ar"/>
              </w:rPr>
              <w:t>基因拷贝数检测；SMA患者慢性期常规治疗、康复管理</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11E0">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配有能诊治SMA的专科门诊，能完成SMA筛查与诊断、提供初步治疗方案、指导家庭康复治疗；对接二三级中心进行双向转诊。</w:t>
            </w:r>
          </w:p>
        </w:tc>
      </w:tr>
      <w:tr w14:paraId="50E03188">
        <w:tblPrEx>
          <w:tblCellMar>
            <w:top w:w="0" w:type="dxa"/>
            <w:left w:w="108" w:type="dxa"/>
            <w:bottom w:w="0" w:type="dxa"/>
            <w:right w:w="108" w:type="dxa"/>
          </w:tblCellMar>
        </w:tblPrEx>
        <w:trPr>
          <w:trHeight w:val="222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9B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A1E8">
            <w:pPr>
              <w:widowControl/>
              <w:jc w:val="center"/>
              <w:textAlignment w:val="center"/>
              <w:rPr>
                <w:rFonts w:hint="eastAsia" w:ascii="宋体" w:hAnsi="宋体" w:eastAsia="宋体" w:cs="宋体"/>
                <w:color w:val="000000"/>
                <w:sz w:val="18"/>
                <w:szCs w:val="18"/>
              </w:rPr>
            </w:pPr>
            <w:bookmarkStart w:id="12" w:name="OLE_LINK1"/>
            <w:r>
              <w:rPr>
                <w:rFonts w:hint="eastAsia" w:ascii="宋体" w:hAnsi="宋体" w:eastAsia="宋体" w:cs="宋体"/>
                <w:color w:val="000000"/>
                <w:kern w:val="0"/>
                <w:sz w:val="18"/>
                <w:szCs w:val="18"/>
                <w:lang w:bidi="ar"/>
              </w:rPr>
              <w:t>筛查、诊断、多学科诊疗与随访</w:t>
            </w:r>
            <w:bookmarkEnd w:id="12"/>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29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1.具备一级中心的服务功能，2.对疑难患者进行进一步鉴别诊断，完成常规治疗随访，3.组建多学科团队对SMA患者的常见并发症进行管理与诊治。</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8D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在达到一级中心关键特征的基础上，还需具备：</w:t>
            </w:r>
            <w:r>
              <w:rPr>
                <w:rFonts w:hint="eastAsia" w:ascii="宋体" w:hAnsi="宋体" w:eastAsia="宋体" w:cs="宋体"/>
                <w:i/>
                <w:iCs/>
                <w:color w:val="000000"/>
                <w:kern w:val="0"/>
                <w:sz w:val="18"/>
                <w:szCs w:val="18"/>
                <w:lang w:bidi="ar"/>
              </w:rPr>
              <w:t>SMN1</w:t>
            </w:r>
            <w:r>
              <w:rPr>
                <w:rFonts w:hint="eastAsia" w:ascii="宋体" w:hAnsi="宋体" w:eastAsia="宋体" w:cs="宋体"/>
                <w:color w:val="000000"/>
                <w:kern w:val="0"/>
                <w:sz w:val="18"/>
                <w:szCs w:val="18"/>
                <w:lang w:bidi="ar"/>
              </w:rPr>
              <w:t>基因点微小变异等少见形式的检测能力、、组建多学科团队开展SMA DMT治疗以及常见合并症的管理、开展遗传咨询</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449F">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配有神经肌肉疾病专科门诊及能收治SMA患者的病房；组建了除神经科以外，至少包括康复科、呼吸科、骨科、麻醉、营养科、医学遗传学等的多学科团队；能完成SMA筛查；配备PCR实验室，能开展包括拷贝数变异和微小变异在内的SMN1基因检测；可提供包括DMT在内的常规治疗方案，并通过多学科诊疗的形式对患者进行康复、呼吸、骨科、麻醉、营养、医学遗传学等方面的全面指导；配备无创通气设备及血氧饱和度监测仪，并制定呼吸衰竭应急预案；能开展肠内与肠外营养支持；对接一、三级中心进行双向转诊。</w:t>
            </w:r>
            <w:r>
              <w:rPr>
                <w:rFonts w:hint="eastAsia" w:ascii="宋体" w:hAnsi="宋体" w:eastAsia="宋体" w:cs="宋体"/>
                <w:color w:val="000000"/>
                <w:sz w:val="18"/>
                <w:szCs w:val="18"/>
              </w:rPr>
              <w:t>有能力开展遗传咨询。</w:t>
            </w:r>
          </w:p>
          <w:p w14:paraId="7B42E88C">
            <w:pPr>
              <w:widowControl/>
              <w:textAlignment w:val="center"/>
              <w:rPr>
                <w:rFonts w:hint="eastAsia" w:ascii="宋体" w:hAnsi="宋体" w:eastAsia="宋体" w:cs="宋体"/>
                <w:color w:val="000000"/>
                <w:sz w:val="18"/>
                <w:szCs w:val="18"/>
              </w:rPr>
            </w:pPr>
          </w:p>
        </w:tc>
      </w:tr>
      <w:tr w14:paraId="1F7796D6">
        <w:tblPrEx>
          <w:tblCellMar>
            <w:top w:w="0" w:type="dxa"/>
            <w:left w:w="108" w:type="dxa"/>
            <w:bottom w:w="0" w:type="dxa"/>
            <w:right w:w="108" w:type="dxa"/>
          </w:tblCellMar>
        </w:tblPrEx>
        <w:trPr>
          <w:trHeight w:val="258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3C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三级</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B25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筛查、诊断、多学科诊疗、严重合并症的诊治、随访</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7E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1.具备一级、二级中心服务功能，2.能对合并重症感染、重度脊柱畸形等严重合并症者开展诊治；3.指导一二级中心的建设并进行质控；4.可开展SMA的临床试验研究，完成患者临床数据和生物样本采集和保存。</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D0B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在达到二级中心关键特征的基础上，还需具备：对严重合并症或者合并其他严重疾病的患者进行治疗，拥有完善的重症抢救设施以治疗合并严重感染的SMA患者，拥有手术治疗合并严重脊柱畸形患者的能力；建设和管理SMA患者临床数据和生物样本库，能开展科研和转化研究；指导一、二级中心的建设和监管。</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5AD8">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应能达到二级中心的标准，在此基础上还需具备：配备可收治重症SMA患者的ICU病房；MDT团队拥有完善的三级学科亚专业（至少应包括神经、呼吸、脊柱或骨科、康复、内分泌、营养或消化、麻醉、</w:t>
            </w:r>
            <w:r>
              <w:rPr>
                <w:rFonts w:hint="eastAsia" w:ascii="宋体" w:hAnsi="宋体" w:eastAsia="宋体" w:cs="宋体"/>
                <w:color w:val="000000"/>
                <w:kern w:val="0"/>
                <w:sz w:val="18"/>
                <w:szCs w:val="18"/>
                <w:lang w:bidi="ar"/>
              </w:rPr>
              <w:t>医学遗传学、</w:t>
            </w:r>
            <w:r>
              <w:rPr>
                <w:rFonts w:hint="eastAsia" w:ascii="宋体" w:hAnsi="宋体" w:eastAsia="宋体" w:cs="宋体"/>
                <w:color w:val="000000"/>
                <w:sz w:val="18"/>
                <w:szCs w:val="18"/>
              </w:rPr>
              <w:t>重症医学亚专业），有精神心理/</w:t>
            </w:r>
            <w:r>
              <w:rPr>
                <w:rFonts w:hint="eastAsia" w:ascii="宋体" w:hAnsi="宋体" w:eastAsia="宋体" w:cs="宋体"/>
                <w:color w:val="000000"/>
                <w:kern w:val="0"/>
                <w:sz w:val="18"/>
                <w:szCs w:val="18"/>
                <w:lang w:bidi="ar"/>
              </w:rPr>
              <w:t>社工/慈善咨询团队</w:t>
            </w:r>
            <w:r>
              <w:rPr>
                <w:rFonts w:hint="eastAsia" w:ascii="宋体" w:hAnsi="宋体" w:eastAsia="宋体" w:cs="宋体"/>
                <w:color w:val="000000"/>
                <w:sz w:val="18"/>
                <w:szCs w:val="18"/>
              </w:rPr>
              <w:t>；可处理SMA的严重并发症（如重度脊柱侧弯、严重呼吸道感染并呼吸衰竭）及SMA其它合并症。。有能力开展遗传咨询，有SMA患者临床数据和生物样本库。应具备SMA临床试验资质。指导一、二级中心的建设并进行质控。对接一、二级中心进行双向转诊。</w:t>
            </w:r>
          </w:p>
          <w:p w14:paraId="5885C8DC">
            <w:pPr>
              <w:widowControl/>
              <w:textAlignment w:val="center"/>
              <w:rPr>
                <w:rFonts w:hint="eastAsia" w:ascii="宋体" w:hAnsi="宋体" w:eastAsia="宋体" w:cs="宋体"/>
                <w:color w:val="000000"/>
                <w:sz w:val="18"/>
                <w:szCs w:val="18"/>
              </w:rPr>
            </w:pPr>
          </w:p>
        </w:tc>
      </w:tr>
    </w:tbl>
    <w:p w14:paraId="441ED539">
      <w:pPr>
        <w:spacing w:before="120" w:beforeLines="50" w:after="120" w:afterLines="50" w:line="240" w:lineRule="auto"/>
        <w:rPr>
          <w:rFonts w:ascii="Times New Roman" w:hAnsi="Times New Roman" w:eastAsia="宋体"/>
          <w:b/>
          <w:bCs/>
          <w:sz w:val="28"/>
          <w:szCs w:val="28"/>
        </w:rPr>
      </w:pPr>
      <w:r>
        <w:rPr>
          <w:rFonts w:ascii="黑体" w:hAnsi="黑体" w:eastAsia="黑体" w:cs="宋体"/>
          <w:color w:val="000000"/>
          <w:spacing w:val="2"/>
          <w:w w:val="100"/>
          <w:szCs w:val="21"/>
        </w:rPr>
        <w:t xml:space="preserve">5.2 </w:t>
      </w:r>
      <w:r>
        <w:rPr>
          <w:rFonts w:ascii="Times New Roman" w:hAnsi="Times New Roman" w:eastAsia="黑体" w:cs="Times New Roman"/>
          <w:b w:val="0"/>
          <w:bCs w:val="0"/>
          <w:color w:val="000000"/>
          <w:spacing w:val="2"/>
          <w:szCs w:val="21"/>
        </w:rPr>
        <w:t>SMA“</w:t>
      </w:r>
      <w:r>
        <w:rPr>
          <w:rFonts w:hint="eastAsia" w:ascii="Times New Roman" w:hAnsi="Times New Roman" w:eastAsia="黑体" w:cs="Times New Roman"/>
          <w:b w:val="0"/>
          <w:bCs w:val="0"/>
          <w:color w:val="000000"/>
          <w:spacing w:val="2"/>
          <w:szCs w:val="21"/>
        </w:rPr>
        <w:t>筛查</w:t>
      </w:r>
      <w:r>
        <w:rPr>
          <w:rFonts w:ascii="Times New Roman" w:hAnsi="Times New Roman" w:eastAsia="黑体" w:cs="Times New Roman"/>
          <w:b w:val="0"/>
          <w:bCs w:val="0"/>
          <w:color w:val="000000"/>
          <w:spacing w:val="2"/>
          <w:szCs w:val="21"/>
        </w:rPr>
        <w:t>-</w:t>
      </w:r>
      <w:r>
        <w:rPr>
          <w:rFonts w:hint="eastAsia" w:ascii="Times New Roman" w:hAnsi="Times New Roman" w:eastAsia="黑体" w:cs="Times New Roman"/>
          <w:b w:val="0"/>
          <w:bCs w:val="0"/>
          <w:color w:val="000000"/>
          <w:spacing w:val="2"/>
          <w:szCs w:val="21"/>
        </w:rPr>
        <w:t>诊断</w:t>
      </w:r>
      <w:r>
        <w:rPr>
          <w:rFonts w:ascii="Times New Roman" w:hAnsi="Times New Roman" w:eastAsia="黑体" w:cs="Times New Roman"/>
          <w:b w:val="0"/>
          <w:bCs w:val="0"/>
          <w:color w:val="000000"/>
          <w:spacing w:val="2"/>
          <w:szCs w:val="21"/>
        </w:rPr>
        <w:t>-</w:t>
      </w:r>
      <w:r>
        <w:rPr>
          <w:rFonts w:hint="eastAsia" w:ascii="Times New Roman" w:hAnsi="Times New Roman" w:eastAsia="黑体" w:cs="Times New Roman"/>
          <w:b w:val="0"/>
          <w:bCs w:val="0"/>
          <w:color w:val="000000"/>
          <w:spacing w:val="2"/>
          <w:szCs w:val="21"/>
        </w:rPr>
        <w:t>治疗</w:t>
      </w:r>
      <w:r>
        <w:rPr>
          <w:rFonts w:ascii="Times New Roman" w:hAnsi="Times New Roman" w:eastAsia="黑体" w:cs="Times New Roman"/>
          <w:b w:val="0"/>
          <w:bCs w:val="0"/>
          <w:color w:val="000000"/>
          <w:spacing w:val="2"/>
          <w:szCs w:val="21"/>
        </w:rPr>
        <w:t>”</w:t>
      </w:r>
      <w:r>
        <w:rPr>
          <w:rFonts w:hint="eastAsia" w:ascii="黑体" w:hAnsi="黑体" w:eastAsia="黑体" w:cs="宋体"/>
          <w:b w:val="0"/>
          <w:bCs w:val="0"/>
          <w:color w:val="000000"/>
          <w:spacing w:val="2"/>
          <w:szCs w:val="21"/>
        </w:rPr>
        <w:t>一体化中心核心服务内容</w:t>
      </w:r>
    </w:p>
    <w:p w14:paraId="2B538051">
      <w:pPr>
        <w:spacing w:line="240" w:lineRule="auto"/>
        <w:ind w:left="0" w:right="0" w:firstLine="420" w:firstLineChars="200"/>
        <w:rPr>
          <w:rFonts w:ascii="Times New Roman" w:hAnsi="Times New Roman" w:eastAsia="宋体" w:cs="宋体"/>
          <w:color w:val="000000"/>
          <w:spacing w:val="0"/>
          <w:szCs w:val="21"/>
        </w:rPr>
      </w:pPr>
      <w:bookmarkStart w:id="13" w:name="_Hlk183800338"/>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“筛查</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诊断</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治疗”一体化中心旨在提供对</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患者从筛查、诊断到治疗管理的全周期、一体化服务，其目的是，完善临床诊疗路径，推动</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症状前治疗，整体提高</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临床诊疗质量，为患者提供优质、便捷的临床服务。具体服务内容包含筛查、诊断和治疗与随访四个方面。</w:t>
      </w:r>
    </w:p>
    <w:p w14:paraId="0F321EDA">
      <w:pPr>
        <w:spacing w:line="240" w:lineRule="auto"/>
        <w:ind w:left="0" w:right="0" w:firstLine="420"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0"/>
          <w:szCs w:val="21"/>
        </w:rPr>
        <w:t>结合中国医疗体系与资源的实际情况，不具备新生儿筛查能力的诊治中心可以与筛查中心合作，实现尽早启动</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症状前治疗的工作。</w:t>
      </w:r>
    </w:p>
    <w:p w14:paraId="56AFAD46">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left="0" w:right="0" w:firstLine="0"/>
        <w:textAlignment w:val="auto"/>
        <w:rPr>
          <w:rFonts w:ascii="Times New Roman" w:hAnsi="Times New Roman" w:eastAsia="宋体" w:cs="宋体"/>
          <w:color w:val="000000"/>
          <w:spacing w:val="2"/>
          <w:szCs w:val="21"/>
        </w:rPr>
      </w:pPr>
      <w:r>
        <w:rPr>
          <w:rFonts w:ascii="黑体" w:hAnsi="黑体" w:eastAsia="黑体" w:cs="Calibri"/>
          <w:color w:val="000000"/>
          <w:spacing w:val="0"/>
          <w:w w:val="98"/>
          <w:szCs w:val="21"/>
        </w:rPr>
        <w:t>5</w:t>
      </w:r>
      <w:r>
        <w:rPr>
          <w:rFonts w:ascii="黑体" w:hAnsi="黑体" w:eastAsia="黑体" w:cs="Calibri"/>
          <w:color w:val="000000"/>
          <w:spacing w:val="0"/>
          <w:szCs w:val="21"/>
        </w:rPr>
        <w:t>.2.</w:t>
      </w:r>
      <w:r>
        <w:rPr>
          <w:rFonts w:ascii="黑体" w:hAnsi="黑体" w:eastAsia="黑体" w:cs="Calibri"/>
          <w:color w:val="000000"/>
          <w:spacing w:val="0"/>
          <w:w w:val="98"/>
          <w:szCs w:val="21"/>
        </w:rPr>
        <w:t>1</w:t>
      </w:r>
      <w:bookmarkEnd w:id="13"/>
      <w:r>
        <w:rPr>
          <w:rFonts w:ascii="黑体" w:hAnsi="黑体" w:eastAsia="黑体" w:cs="Calibri"/>
          <w:color w:val="000000"/>
          <w:szCs w:val="21"/>
        </w:rPr>
        <w:t xml:space="preserve"> </w:t>
      </w:r>
      <w:r>
        <w:rPr>
          <w:rFonts w:ascii="Times New Roman" w:hAnsi="Times New Roman" w:eastAsia="黑体" w:cs="Times New Roman"/>
          <w:b w:val="0"/>
          <w:bCs w:val="0"/>
        </w:rPr>
        <w:t>SMA</w:t>
      </w:r>
      <w:r>
        <w:rPr>
          <w:rFonts w:hint="eastAsia" w:ascii="黑体" w:hAnsi="黑体" w:eastAsia="黑体" w:cs="Times New Roman"/>
          <w:b w:val="0"/>
          <w:bCs w:val="0"/>
        </w:rPr>
        <w:t>筛查服务</w:t>
      </w:r>
    </w:p>
    <w:p w14:paraId="7EB67C4F">
      <w:pPr>
        <w:spacing w:line="240" w:lineRule="auto"/>
        <w:ind w:left="0" w:right="0" w:firstLine="420" w:firstLineChars="200"/>
        <w:rPr>
          <w:rFonts w:ascii="Times New Roman" w:hAnsi="Times New Roman" w:eastAsia="宋体" w:cs="宋体"/>
          <w:color w:val="000000"/>
          <w:spacing w:val="0"/>
          <w:szCs w:val="21"/>
        </w:rPr>
      </w:pPr>
      <w:bookmarkStart w:id="14" w:name="_Hlk183802875"/>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筛查的目标人群包括三类：</w:t>
      </w:r>
      <w:r>
        <w:rPr>
          <w:rFonts w:ascii="Times New Roman" w:hAnsi="Times New Roman" w:eastAsia="宋体" w:cs="宋体"/>
          <w:color w:val="000000"/>
          <w:spacing w:val="0"/>
          <w:szCs w:val="21"/>
        </w:rPr>
        <w:t xml:space="preserve">1. </w:t>
      </w:r>
      <w:r>
        <w:rPr>
          <w:rFonts w:hint="eastAsia" w:ascii="Times New Roman" w:hAnsi="Times New Roman" w:eastAsia="宋体" w:cs="宋体"/>
          <w:color w:val="000000"/>
          <w:spacing w:val="0"/>
          <w:szCs w:val="21"/>
        </w:rPr>
        <w:t>新生儿；</w:t>
      </w:r>
      <w:r>
        <w:rPr>
          <w:rFonts w:ascii="Times New Roman" w:hAnsi="Times New Roman" w:eastAsia="宋体" w:cs="宋体"/>
          <w:color w:val="000000"/>
          <w:spacing w:val="0"/>
          <w:szCs w:val="21"/>
        </w:rPr>
        <w:t xml:space="preserve">2. </w:t>
      </w:r>
      <w:r>
        <w:rPr>
          <w:rFonts w:hint="eastAsia" w:ascii="Times New Roman" w:hAnsi="Times New Roman" w:eastAsia="宋体" w:cs="宋体"/>
          <w:color w:val="000000"/>
          <w:spacing w:val="0"/>
          <w:szCs w:val="21"/>
        </w:rPr>
        <w:t>表现出类似</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症状画像的以运动功能损害为主要表现的肌无力患者；</w:t>
      </w:r>
      <w:r>
        <w:rPr>
          <w:rFonts w:ascii="Times New Roman" w:hAnsi="Times New Roman" w:eastAsia="宋体" w:cs="宋体"/>
          <w:color w:val="000000"/>
          <w:spacing w:val="0"/>
          <w:szCs w:val="21"/>
        </w:rPr>
        <w:t>3</w:t>
      </w:r>
      <w:r>
        <w:rPr>
          <w:rFonts w:hint="eastAsia" w:ascii="Times New Roman" w:hAnsi="Times New Roman" w:eastAsia="宋体" w:cs="宋体"/>
          <w:color w:val="000000"/>
          <w:spacing w:val="0"/>
          <w:szCs w:val="21"/>
        </w:rPr>
        <w:t>、</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患者家系成员。儿童</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高危患者识别信号：婴儿（小于</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岁）：运动发育迟缓或停滞、倒退，肢体松软，反复呼吸道感染，吸吮无力，眼神交流正常；低龄儿童（</w:t>
      </w:r>
      <w:r>
        <w:rPr>
          <w:rFonts w:ascii="Times New Roman" w:hAnsi="Times New Roman" w:eastAsia="宋体" w:cs="宋体"/>
          <w:color w:val="000000"/>
          <w:spacing w:val="0"/>
          <w:szCs w:val="21"/>
        </w:rPr>
        <w:t>1-6</w:t>
      </w:r>
      <w:r>
        <w:rPr>
          <w:rFonts w:hint="eastAsia" w:ascii="Times New Roman" w:hAnsi="Times New Roman" w:eastAsia="宋体" w:cs="宋体"/>
          <w:color w:val="000000"/>
          <w:spacing w:val="0"/>
          <w:szCs w:val="21"/>
        </w:rPr>
        <w:t>岁）：运动发育停滞或倒退，易疲劳，肌无力，频繁跌到，反复呼吸道感染、咳嗽无力，关节挛缩；大龄儿童以及青少年：运动功能进行性减退，易疲劳，频繁跌倒，脊柱侧弯</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关节挛缩。查体发现膝反射减退或消失、四肢肌力下降（近端为主）及肌张力下降，以及肌电图提示运动神经传导</w:t>
      </w:r>
      <w:r>
        <w:rPr>
          <w:rFonts w:ascii="Times New Roman" w:hAnsi="Times New Roman" w:eastAsia="宋体" w:cs="宋体"/>
          <w:color w:val="000000"/>
          <w:spacing w:val="0"/>
          <w:szCs w:val="21"/>
        </w:rPr>
        <w:t>CMAP</w:t>
      </w:r>
      <w:r>
        <w:rPr>
          <w:rFonts w:hint="eastAsia" w:ascii="Times New Roman" w:hAnsi="Times New Roman" w:eastAsia="宋体" w:cs="宋体"/>
          <w:color w:val="000000"/>
          <w:spacing w:val="0"/>
          <w:szCs w:val="21"/>
        </w:rPr>
        <w:t>波幅下降是各型</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的特点。</w:t>
      </w:r>
    </w:p>
    <w:bookmarkEnd w:id="14"/>
    <w:p w14:paraId="08EA99D7">
      <w:pPr>
        <w:spacing w:line="240" w:lineRule="auto"/>
        <w:ind w:left="0" w:right="0" w:firstLine="420" w:firstLineChars="200"/>
        <w:rPr>
          <w:rFonts w:ascii="Times New Roman" w:hAnsi="Times New Roman" w:eastAsia="宋体" w:cs="宋体"/>
          <w:color w:val="000000"/>
          <w:spacing w:val="0"/>
          <w:szCs w:val="21"/>
        </w:rPr>
      </w:pP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筛查要求以及流程：</w:t>
      </w:r>
    </w:p>
    <w:p w14:paraId="6FA62A8D">
      <w:pPr>
        <w:spacing w:line="240" w:lineRule="auto"/>
        <w:ind w:left="0" w:right="0" w:firstLine="420" w:firstLineChars="200"/>
        <w:rPr>
          <w:rFonts w:hint="eastAsia" w:ascii="Times New Roman" w:hAnsi="Times New Roman" w:eastAsia="宋体" w:cs="宋体"/>
          <w:color w:val="000000"/>
          <w:spacing w:val="0"/>
          <w:szCs w:val="21"/>
          <w:lang w:eastAsia="zh-CN"/>
        </w:rPr>
      </w:pPr>
      <w:r>
        <w:rPr>
          <w:rFonts w:hint="eastAsia" w:ascii="Times New Roman" w:hAnsi="Times New Roman" w:eastAsia="宋体" w:cs="宋体"/>
          <w:color w:val="000000"/>
          <w:spacing w:val="0"/>
          <w:szCs w:val="21"/>
          <w:lang w:val="en-US" w:eastAsia="zh-CN"/>
        </w:rPr>
        <w:t>a</w:t>
      </w:r>
      <w:r>
        <w:rPr>
          <w:rFonts w:hint="eastAsia" w:ascii="Times New Roman" w:hAnsi="Times New Roman" w:eastAsia="宋体" w:cs="宋体"/>
          <w:color w:val="000000"/>
          <w:spacing w:val="0"/>
          <w:szCs w:val="21"/>
          <w:lang w:eastAsia="zh-CN"/>
        </w:rPr>
        <w:t>）</w:t>
      </w:r>
      <w:r>
        <w:rPr>
          <w:rFonts w:hint="eastAsia" w:ascii="Times New Roman" w:hAnsi="Times New Roman" w:eastAsia="宋体" w:cs="宋体"/>
          <w:color w:val="000000"/>
          <w:spacing w:val="0"/>
          <w:szCs w:val="21"/>
        </w:rPr>
        <w:t>筛查中心所在医疗机构资质、专业技术人员资质、仪器试剂资质以及实验室工作区域及设备配置、数据解读、质量控制等方面均应遵循我国《新生儿疾病筛查技术规范（</w:t>
      </w:r>
      <w:r>
        <w:rPr>
          <w:rFonts w:ascii="Times New Roman" w:hAnsi="Times New Roman" w:eastAsia="宋体" w:cs="宋体"/>
          <w:color w:val="000000"/>
          <w:spacing w:val="0"/>
          <w:szCs w:val="21"/>
        </w:rPr>
        <w:t>2023</w:t>
      </w:r>
      <w:r>
        <w:rPr>
          <w:rFonts w:hint="eastAsia" w:ascii="Times New Roman" w:hAnsi="Times New Roman" w:eastAsia="宋体" w:cs="宋体"/>
          <w:color w:val="000000"/>
          <w:spacing w:val="0"/>
          <w:szCs w:val="21"/>
        </w:rPr>
        <w:t>版）》、《新生儿遗传代谢病筛查组织管理及血片采集技术规范专家共识》和《</w:t>
      </w:r>
      <w:bookmarkStart w:id="15" w:name="OLE_LINK2"/>
      <w:r>
        <w:rPr>
          <w:rFonts w:hint="eastAsia" w:ascii="Times New Roman" w:hAnsi="Times New Roman" w:eastAsia="宋体" w:cs="宋体"/>
          <w:color w:val="000000"/>
          <w:spacing w:val="0"/>
          <w:szCs w:val="21"/>
        </w:rPr>
        <w:t>新生儿遗传代谢病筛查实验室检测技术规范专家共识</w:t>
      </w:r>
      <w:bookmarkEnd w:id="15"/>
      <w:r>
        <w:rPr>
          <w:rFonts w:hint="eastAsia" w:ascii="Times New Roman" w:hAnsi="Times New Roman" w:eastAsia="宋体" w:cs="宋体"/>
          <w:color w:val="000000"/>
          <w:spacing w:val="0"/>
          <w:szCs w:val="21"/>
        </w:rPr>
        <w:t>》的相关规定要求执行及管理</w:t>
      </w:r>
      <w:r>
        <w:rPr>
          <w:rFonts w:hint="eastAsia" w:ascii="Times New Roman" w:hAnsi="Times New Roman" w:eastAsia="宋体" w:cs="宋体"/>
          <w:color w:val="000000"/>
          <w:spacing w:val="0"/>
          <w:szCs w:val="21"/>
          <w:lang w:eastAsia="zh-CN"/>
        </w:rPr>
        <w:t>；</w:t>
      </w:r>
    </w:p>
    <w:p w14:paraId="73048230">
      <w:pPr>
        <w:spacing w:line="240" w:lineRule="auto"/>
        <w:ind w:left="0" w:right="0" w:firstLine="420" w:firstLineChars="200"/>
        <w:rPr>
          <w:rFonts w:hint="eastAsia" w:ascii="Times New Roman" w:hAnsi="Times New Roman" w:eastAsia="宋体" w:cs="宋体"/>
          <w:color w:val="000000"/>
          <w:spacing w:val="0"/>
          <w:szCs w:val="21"/>
          <w:lang w:eastAsia="zh-CN"/>
        </w:rPr>
      </w:pPr>
      <w:r>
        <w:rPr>
          <w:rFonts w:hint="eastAsia" w:ascii="Times New Roman" w:hAnsi="Times New Roman" w:eastAsia="宋体" w:cs="宋体"/>
          <w:color w:val="000000"/>
          <w:spacing w:val="0"/>
          <w:szCs w:val="21"/>
          <w:lang w:val="en-US" w:eastAsia="zh-CN"/>
        </w:rPr>
        <w:t>b</w:t>
      </w:r>
      <w:r>
        <w:rPr>
          <w:rFonts w:hint="eastAsia" w:ascii="Times New Roman" w:hAnsi="Times New Roman" w:eastAsia="宋体" w:cs="宋体"/>
          <w:color w:val="000000"/>
          <w:spacing w:val="0"/>
          <w:szCs w:val="21"/>
          <w:lang w:eastAsia="zh-CN"/>
        </w:rPr>
        <w:t>）</w:t>
      </w:r>
      <w:r>
        <w:rPr>
          <w:rFonts w:hint="eastAsia" w:ascii="Times New Roman" w:hAnsi="Times New Roman" w:eastAsia="宋体" w:cs="宋体"/>
          <w:color w:val="000000"/>
          <w:spacing w:val="0"/>
          <w:szCs w:val="21"/>
        </w:rPr>
        <w:t>各中心应在充分知情同意的原则下、取得患者</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家长的书面同意后开展新生儿</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筛查</w:t>
      </w:r>
      <w:r>
        <w:rPr>
          <w:rFonts w:hint="eastAsia" w:ascii="Times New Roman" w:hAnsi="Times New Roman" w:eastAsia="宋体" w:cs="宋体"/>
          <w:color w:val="000000"/>
          <w:spacing w:val="0"/>
          <w:szCs w:val="21"/>
          <w:lang w:eastAsia="zh-CN"/>
        </w:rPr>
        <w:t>；</w:t>
      </w:r>
    </w:p>
    <w:p w14:paraId="08E789AF">
      <w:pPr>
        <w:spacing w:line="240" w:lineRule="auto"/>
        <w:ind w:left="0" w:right="0" w:firstLine="420" w:firstLineChars="200"/>
        <w:rPr>
          <w:rFonts w:hint="eastAsia" w:ascii="Times New Roman" w:hAnsi="Times New Roman" w:eastAsia="宋体" w:cs="宋体"/>
          <w:color w:val="000000"/>
          <w:spacing w:val="0"/>
          <w:szCs w:val="21"/>
          <w:lang w:eastAsia="zh-CN"/>
        </w:rPr>
      </w:pPr>
      <w:r>
        <w:rPr>
          <w:rFonts w:hint="eastAsia" w:ascii="Times New Roman" w:hAnsi="Times New Roman" w:eastAsia="宋体" w:cs="宋体"/>
          <w:color w:val="000000"/>
          <w:spacing w:val="0"/>
          <w:szCs w:val="21"/>
          <w:lang w:val="en-US" w:eastAsia="zh-CN"/>
        </w:rPr>
        <w:t>c</w:t>
      </w:r>
      <w:r>
        <w:rPr>
          <w:rFonts w:hint="eastAsia" w:ascii="Times New Roman" w:hAnsi="Times New Roman" w:eastAsia="宋体" w:cs="宋体"/>
          <w:color w:val="000000"/>
          <w:spacing w:val="0"/>
          <w:szCs w:val="21"/>
          <w:lang w:eastAsia="zh-CN"/>
        </w:rPr>
        <w:t>）</w:t>
      </w:r>
      <w:r>
        <w:rPr>
          <w:rFonts w:hint="eastAsia" w:ascii="Times New Roman" w:hAnsi="Times New Roman" w:eastAsia="宋体" w:cs="宋体"/>
          <w:color w:val="000000"/>
          <w:spacing w:val="0"/>
          <w:szCs w:val="21"/>
        </w:rPr>
        <w:t>筛查仅针对</w:t>
      </w:r>
      <w:r>
        <w:rPr>
          <w:rFonts w:ascii="Times New Roman" w:hAnsi="Times New Roman" w:eastAsia="宋体" w:cs="宋体"/>
          <w:i w:val="0"/>
          <w:iCs w:val="0"/>
          <w:color w:val="000000"/>
          <w:spacing w:val="0"/>
          <w:szCs w:val="21"/>
        </w:rPr>
        <w:t>SMN1</w:t>
      </w:r>
      <w:r>
        <w:rPr>
          <w:rFonts w:hint="eastAsia" w:ascii="Times New Roman" w:hAnsi="Times New Roman" w:eastAsia="宋体" w:cs="宋体"/>
          <w:color w:val="000000"/>
          <w:spacing w:val="0"/>
          <w:szCs w:val="21"/>
        </w:rPr>
        <w:t>基因</w:t>
      </w:r>
      <w:r>
        <w:rPr>
          <w:rFonts w:ascii="Times New Roman" w:hAnsi="Times New Roman" w:eastAsia="宋体" w:cs="宋体"/>
          <w:color w:val="000000"/>
          <w:spacing w:val="0"/>
          <w:szCs w:val="21"/>
        </w:rPr>
        <w:t>7</w:t>
      </w:r>
      <w:r>
        <w:rPr>
          <w:rFonts w:hint="eastAsia" w:ascii="Times New Roman" w:hAnsi="Times New Roman" w:eastAsia="宋体" w:cs="宋体"/>
          <w:color w:val="000000"/>
          <w:spacing w:val="0"/>
          <w:szCs w:val="21"/>
        </w:rPr>
        <w:t>号外显子纯合缺失所致</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，筛查方法应根据国家法规要求、行业技术规范和本机构实验室的实际情况等选择，对于筛查阳性的患者，后续能提供</w:t>
      </w:r>
      <w:r>
        <w:rPr>
          <w:rFonts w:ascii="Times New Roman" w:hAnsi="Times New Roman" w:eastAsia="宋体" w:cs="宋体"/>
          <w:color w:val="000000"/>
          <w:spacing w:val="0"/>
          <w:szCs w:val="21"/>
        </w:rPr>
        <w:t>MLPA/</w:t>
      </w:r>
      <w:r>
        <w:rPr>
          <w:rFonts w:hint="eastAsia" w:ascii="Times New Roman" w:hAnsi="Times New Roman" w:eastAsia="宋体" w:cs="宋体"/>
          <w:color w:val="000000"/>
          <w:spacing w:val="0"/>
          <w:szCs w:val="21"/>
        </w:rPr>
        <w:t>定量</w:t>
      </w:r>
      <w:r>
        <w:rPr>
          <w:rFonts w:ascii="Times New Roman" w:hAnsi="Times New Roman" w:eastAsia="宋体" w:cs="宋体"/>
          <w:color w:val="000000"/>
          <w:spacing w:val="0"/>
          <w:szCs w:val="21"/>
        </w:rPr>
        <w:t>PCR</w:t>
      </w:r>
      <w:r>
        <w:rPr>
          <w:rFonts w:hint="eastAsia" w:ascii="Times New Roman" w:hAnsi="Times New Roman" w:eastAsia="宋体" w:cs="宋体"/>
          <w:color w:val="000000"/>
          <w:spacing w:val="0"/>
          <w:szCs w:val="21"/>
        </w:rPr>
        <w:t>确诊服务</w:t>
      </w:r>
      <w:r>
        <w:rPr>
          <w:rFonts w:hint="eastAsia" w:ascii="Times New Roman" w:hAnsi="Times New Roman" w:eastAsia="宋体" w:cs="宋体"/>
          <w:color w:val="000000"/>
          <w:spacing w:val="0"/>
          <w:szCs w:val="21"/>
          <w:lang w:eastAsia="zh-CN"/>
        </w:rPr>
        <w:t>；</w:t>
      </w:r>
    </w:p>
    <w:p w14:paraId="0E7ABBA8">
      <w:pPr>
        <w:spacing w:line="240" w:lineRule="auto"/>
        <w:ind w:left="0" w:right="0" w:firstLine="420"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0"/>
          <w:szCs w:val="21"/>
          <w:lang w:val="en-US" w:eastAsia="zh-CN"/>
        </w:rPr>
        <w:t>d</w:t>
      </w:r>
      <w:r>
        <w:rPr>
          <w:rFonts w:hint="eastAsia" w:ascii="Times New Roman" w:hAnsi="Times New Roman" w:eastAsia="宋体" w:cs="宋体"/>
          <w:color w:val="000000"/>
          <w:spacing w:val="0"/>
          <w:szCs w:val="21"/>
          <w:lang w:eastAsia="zh-CN"/>
        </w:rPr>
        <w:t>）</w:t>
      </w:r>
      <w:r>
        <w:rPr>
          <w:rFonts w:hint="eastAsia" w:ascii="Times New Roman" w:hAnsi="Times New Roman" w:eastAsia="宋体" w:cs="宋体"/>
          <w:color w:val="000000"/>
          <w:spacing w:val="0"/>
          <w:szCs w:val="21"/>
        </w:rPr>
        <w:t>筛查中心应建立完善的从筛查到诊断的流程，建议确诊实验在筛查阳性后的</w:t>
      </w:r>
      <w:r>
        <w:rPr>
          <w:rFonts w:ascii="Times New Roman" w:hAnsi="Times New Roman" w:eastAsia="宋体" w:cs="宋体"/>
          <w:color w:val="000000"/>
          <w:spacing w:val="0"/>
          <w:szCs w:val="21"/>
        </w:rPr>
        <w:t>2</w:t>
      </w:r>
      <w:r>
        <w:rPr>
          <w:rFonts w:hint="eastAsia" w:ascii="Times New Roman" w:hAnsi="Times New Roman" w:eastAsia="宋体" w:cs="宋体"/>
          <w:color w:val="000000"/>
          <w:spacing w:val="0"/>
          <w:szCs w:val="21"/>
        </w:rPr>
        <w:t>周内完成，自出生进行新生儿筛查再到确诊实验的完成，周期不超过</w:t>
      </w:r>
      <w:r>
        <w:rPr>
          <w:rFonts w:ascii="Times New Roman" w:hAnsi="Times New Roman" w:eastAsia="宋体" w:cs="宋体"/>
          <w:color w:val="000000"/>
          <w:spacing w:val="0"/>
          <w:szCs w:val="21"/>
        </w:rPr>
        <w:t>30</w:t>
      </w:r>
      <w:r>
        <w:rPr>
          <w:rFonts w:hint="eastAsia" w:ascii="Times New Roman" w:hAnsi="Times New Roman" w:eastAsia="宋体" w:cs="宋体"/>
          <w:color w:val="000000"/>
          <w:spacing w:val="0"/>
          <w:szCs w:val="21"/>
        </w:rPr>
        <w:t>天。</w:t>
      </w:r>
    </w:p>
    <w:p w14:paraId="48B5FF00">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left="0" w:right="0" w:firstLine="0"/>
        <w:textAlignment w:val="auto"/>
        <w:rPr>
          <w:rFonts w:ascii="Times New Roman" w:hAnsi="Times New Roman" w:eastAsia="宋体" w:cs="Times New Roman"/>
        </w:rPr>
      </w:pPr>
      <w:r>
        <w:rPr>
          <w:rFonts w:ascii="黑体" w:hAnsi="黑体" w:eastAsia="黑体" w:cs="Calibri"/>
          <w:color w:val="000000"/>
          <w:spacing w:val="0"/>
          <w:w w:val="100"/>
          <w:szCs w:val="21"/>
        </w:rPr>
        <w:t>5</w:t>
      </w:r>
      <w:r>
        <w:rPr>
          <w:rFonts w:ascii="黑体" w:hAnsi="黑体" w:eastAsia="黑体" w:cs="Calibri"/>
          <w:color w:val="000000"/>
          <w:spacing w:val="0"/>
          <w:szCs w:val="21"/>
        </w:rPr>
        <w:t>.2.</w:t>
      </w:r>
      <w:r>
        <w:rPr>
          <w:rFonts w:ascii="黑体" w:hAnsi="黑体" w:eastAsia="黑体" w:cs="Calibri"/>
          <w:color w:val="000000"/>
          <w:spacing w:val="0"/>
          <w:w w:val="100"/>
          <w:szCs w:val="21"/>
        </w:rPr>
        <w:t>2</w:t>
      </w:r>
      <w:r>
        <w:rPr>
          <w:rFonts w:ascii="黑体" w:hAnsi="黑体" w:eastAsia="黑体" w:cs="宋体"/>
          <w:color w:val="000000"/>
          <w:spacing w:val="2"/>
          <w:szCs w:val="21"/>
        </w:rPr>
        <w:t xml:space="preserve"> </w:t>
      </w:r>
      <w:r>
        <w:rPr>
          <w:rFonts w:ascii="Times New Roman" w:hAnsi="Times New Roman" w:eastAsia="黑体" w:cs="Times New Roman"/>
          <w:b w:val="0"/>
          <w:bCs w:val="0"/>
          <w:color w:val="000000"/>
          <w:spacing w:val="2"/>
          <w:szCs w:val="21"/>
        </w:rPr>
        <w:t>SMA</w:t>
      </w:r>
      <w:r>
        <w:rPr>
          <w:rFonts w:hint="eastAsia" w:ascii="黑体" w:hAnsi="黑体" w:eastAsia="黑体" w:cs="宋体"/>
          <w:b w:val="0"/>
          <w:bCs w:val="0"/>
          <w:color w:val="000000"/>
          <w:spacing w:val="2"/>
          <w:szCs w:val="21"/>
        </w:rPr>
        <w:t>诊断服务</w:t>
      </w:r>
    </w:p>
    <w:p w14:paraId="1721683C">
      <w:pPr>
        <w:spacing w:line="240" w:lineRule="auto"/>
        <w:ind w:left="0" w:right="0" w:firstLine="420" w:firstLineChars="200"/>
        <w:rPr>
          <w:rFonts w:ascii="Times New Roman" w:hAnsi="Times New Roman" w:eastAsia="宋体" w:cs="宋体"/>
          <w:color w:val="000000"/>
          <w:spacing w:val="0"/>
          <w:szCs w:val="21"/>
        </w:rPr>
      </w:pPr>
      <w:bookmarkStart w:id="16" w:name="_Hlk183803681"/>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诊断服务包括对</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进行临床诊断与评估以及通过</w:t>
      </w:r>
      <w:r>
        <w:rPr>
          <w:rFonts w:ascii="Times New Roman" w:hAnsi="Times New Roman" w:eastAsia="宋体" w:cs="宋体"/>
          <w:i w:val="0"/>
          <w:iCs w:val="0"/>
          <w:color w:val="000000"/>
          <w:spacing w:val="0"/>
          <w:szCs w:val="21"/>
        </w:rPr>
        <w:t>SMN1</w:t>
      </w:r>
      <w:r>
        <w:rPr>
          <w:rFonts w:hint="eastAsia" w:ascii="Times New Roman" w:hAnsi="Times New Roman" w:eastAsia="宋体" w:cs="宋体"/>
          <w:color w:val="000000"/>
          <w:spacing w:val="0"/>
          <w:szCs w:val="21"/>
        </w:rPr>
        <w:t>与</w:t>
      </w:r>
      <w:r>
        <w:rPr>
          <w:rFonts w:ascii="Times New Roman" w:hAnsi="Times New Roman" w:eastAsia="宋体" w:cs="宋体"/>
          <w:i w:val="0"/>
          <w:iCs w:val="0"/>
          <w:color w:val="000000"/>
          <w:spacing w:val="0"/>
          <w:szCs w:val="21"/>
        </w:rPr>
        <w:t>SMN2</w:t>
      </w:r>
      <w:r>
        <w:rPr>
          <w:rFonts w:hint="eastAsia" w:ascii="Times New Roman" w:hAnsi="Times New Roman" w:eastAsia="宋体" w:cs="宋体"/>
          <w:color w:val="000000"/>
          <w:spacing w:val="0"/>
          <w:szCs w:val="21"/>
        </w:rPr>
        <w:t>基因分析对</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做出确切诊断。</w:t>
      </w:r>
    </w:p>
    <w:bookmarkEnd w:id="16"/>
    <w:p w14:paraId="6E3D9B82">
      <w:pPr>
        <w:spacing w:line="240" w:lineRule="auto"/>
        <w:ind w:left="0" w:right="0" w:firstLine="420" w:firstLineChars="200"/>
        <w:rPr>
          <w:rFonts w:ascii="Times New Roman" w:hAnsi="Times New Roman" w:eastAsia="宋体" w:cs="宋体"/>
          <w:color w:val="000000"/>
          <w:spacing w:val="0"/>
          <w:szCs w:val="21"/>
        </w:rPr>
      </w:pPr>
      <w:bookmarkStart w:id="17" w:name="_Hlk183803775"/>
      <w:r>
        <w:rPr>
          <w:rFonts w:ascii="Times New Roman" w:hAnsi="Times New Roman" w:eastAsia="宋体" w:cs="宋体"/>
          <w:b w:val="0"/>
          <w:bCs w:val="0"/>
          <w:color w:val="000000"/>
          <w:spacing w:val="0"/>
          <w:szCs w:val="21"/>
        </w:rPr>
        <w:t>SMA</w:t>
      </w:r>
      <w:r>
        <w:rPr>
          <w:rFonts w:hint="eastAsia" w:ascii="Times New Roman" w:hAnsi="Times New Roman" w:eastAsia="宋体" w:cs="宋体"/>
          <w:b w:val="0"/>
          <w:bCs w:val="0"/>
          <w:color w:val="000000"/>
          <w:spacing w:val="0"/>
          <w:szCs w:val="21"/>
        </w:rPr>
        <w:t>的临床诊断与评估：</w:t>
      </w:r>
      <w:r>
        <w:rPr>
          <w:rFonts w:hint="eastAsia" w:ascii="Times New Roman" w:hAnsi="Times New Roman" w:eastAsia="宋体" w:cs="宋体"/>
          <w:color w:val="000000"/>
          <w:spacing w:val="0"/>
          <w:szCs w:val="21"/>
        </w:rPr>
        <w:t>结合症状与体征特点，或结合肌电图等辅助检查，对</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患者做出初步临床诊断。新生儿筛查发现的</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患者可为症状前或者疾病早期，临床评价有助于发现患者细微的疾病特征。</w:t>
      </w:r>
    </w:p>
    <w:p w14:paraId="2D62C0A8">
      <w:pPr>
        <w:spacing w:line="240" w:lineRule="auto"/>
        <w:ind w:left="0" w:right="0" w:firstLine="420" w:firstLineChars="200"/>
        <w:rPr>
          <w:rFonts w:ascii="Times New Roman" w:hAnsi="Times New Roman" w:eastAsia="宋体" w:cs="宋体"/>
          <w:color w:val="000000"/>
          <w:spacing w:val="2"/>
          <w:szCs w:val="21"/>
        </w:rPr>
      </w:pPr>
      <w:r>
        <w:rPr>
          <w:rFonts w:ascii="Times New Roman" w:hAnsi="Times New Roman" w:eastAsia="宋体" w:cs="宋体"/>
          <w:b w:val="0"/>
          <w:bCs w:val="0"/>
          <w:color w:val="000000"/>
          <w:spacing w:val="0"/>
          <w:szCs w:val="21"/>
        </w:rPr>
        <w:t>SMA</w:t>
      </w:r>
      <w:r>
        <w:rPr>
          <w:rFonts w:hint="eastAsia" w:ascii="Times New Roman" w:hAnsi="Times New Roman" w:eastAsia="宋体" w:cs="宋体"/>
          <w:b w:val="0"/>
          <w:bCs w:val="0"/>
          <w:color w:val="000000"/>
          <w:spacing w:val="0"/>
          <w:szCs w:val="21"/>
        </w:rPr>
        <w:t>的遗传学诊断：</w:t>
      </w:r>
      <w:r>
        <w:rPr>
          <w:rFonts w:hint="eastAsia" w:ascii="Times New Roman" w:hAnsi="Times New Roman" w:eastAsia="宋体" w:cs="宋体"/>
          <w:color w:val="000000"/>
          <w:spacing w:val="0"/>
          <w:szCs w:val="21"/>
        </w:rPr>
        <w:t>对于筛查阳性或者临床疑诊患者，应采用</w:t>
      </w:r>
      <w:r>
        <w:rPr>
          <w:rFonts w:ascii="Times New Roman" w:hAnsi="Times New Roman" w:eastAsia="宋体" w:cs="宋体"/>
          <w:color w:val="000000"/>
          <w:spacing w:val="0"/>
          <w:szCs w:val="21"/>
        </w:rPr>
        <w:t>MLPA</w:t>
      </w:r>
      <w:r>
        <w:rPr>
          <w:rFonts w:hint="eastAsia" w:ascii="Times New Roman" w:hAnsi="Times New Roman" w:eastAsia="宋体" w:cs="宋体"/>
          <w:color w:val="000000"/>
          <w:spacing w:val="0"/>
          <w:szCs w:val="21"/>
        </w:rPr>
        <w:t>、定量</w:t>
      </w:r>
      <w:r>
        <w:rPr>
          <w:rFonts w:ascii="Times New Roman" w:hAnsi="Times New Roman" w:eastAsia="宋体" w:cs="宋体"/>
          <w:color w:val="000000"/>
          <w:spacing w:val="0"/>
          <w:szCs w:val="21"/>
        </w:rPr>
        <w:t>PCR</w:t>
      </w:r>
      <w:r>
        <w:rPr>
          <w:rFonts w:hint="eastAsia" w:ascii="Times New Roman" w:hAnsi="Times New Roman" w:eastAsia="宋体" w:cs="宋体"/>
          <w:color w:val="000000"/>
          <w:spacing w:val="0"/>
          <w:szCs w:val="21"/>
        </w:rPr>
        <w:t>等国际公认的技术，进行</w:t>
      </w:r>
      <w:r>
        <w:rPr>
          <w:rFonts w:ascii="Times New Roman" w:hAnsi="Times New Roman" w:eastAsia="宋体" w:cs="宋体"/>
          <w:i w:val="0"/>
          <w:iCs w:val="0"/>
          <w:color w:val="000000"/>
          <w:spacing w:val="0"/>
          <w:szCs w:val="21"/>
        </w:rPr>
        <w:t>SMN1</w:t>
      </w:r>
      <w:r>
        <w:rPr>
          <w:rFonts w:hint="eastAsia" w:ascii="Times New Roman" w:hAnsi="Times New Roman" w:eastAsia="宋体" w:cs="宋体"/>
          <w:color w:val="000000"/>
          <w:spacing w:val="0"/>
          <w:szCs w:val="21"/>
        </w:rPr>
        <w:t>与</w:t>
      </w:r>
      <w:r>
        <w:rPr>
          <w:rFonts w:ascii="Times New Roman" w:hAnsi="Times New Roman" w:eastAsia="宋体" w:cs="宋体"/>
          <w:i w:val="0"/>
          <w:iCs w:val="0"/>
          <w:color w:val="000000"/>
          <w:spacing w:val="0"/>
          <w:szCs w:val="21"/>
        </w:rPr>
        <w:t>SMN2</w:t>
      </w:r>
      <w:r>
        <w:rPr>
          <w:rFonts w:hint="eastAsia" w:ascii="Times New Roman" w:hAnsi="Times New Roman" w:eastAsia="宋体" w:cs="宋体"/>
          <w:color w:val="000000"/>
          <w:spacing w:val="0"/>
          <w:szCs w:val="21"/>
        </w:rPr>
        <w:t>基因拷贝数定量检测，以明确诊断，并根据</w:t>
      </w:r>
      <w:r>
        <w:rPr>
          <w:rFonts w:ascii="Times New Roman" w:hAnsi="Times New Roman" w:eastAsia="宋体" w:cs="宋体"/>
          <w:i w:val="0"/>
          <w:iCs w:val="0"/>
          <w:color w:val="000000"/>
          <w:spacing w:val="0"/>
          <w:szCs w:val="21"/>
        </w:rPr>
        <w:t>SMN2</w:t>
      </w:r>
      <w:r>
        <w:rPr>
          <w:rFonts w:hint="eastAsia" w:ascii="Times New Roman" w:hAnsi="Times New Roman" w:eastAsia="宋体" w:cs="宋体"/>
          <w:color w:val="000000"/>
          <w:spacing w:val="0"/>
          <w:szCs w:val="21"/>
        </w:rPr>
        <w:t>基因拷贝数对患者进行基因水平的分型。对于</w:t>
      </w:r>
      <w:r>
        <w:rPr>
          <w:rFonts w:ascii="Times New Roman" w:hAnsi="Times New Roman" w:eastAsia="宋体" w:cs="宋体"/>
          <w:i w:val="0"/>
          <w:iCs w:val="0"/>
          <w:color w:val="000000"/>
          <w:spacing w:val="0"/>
          <w:szCs w:val="21"/>
        </w:rPr>
        <w:t>SMN1</w:t>
      </w:r>
      <w:r>
        <w:rPr>
          <w:rFonts w:hint="eastAsia" w:ascii="Times New Roman" w:hAnsi="Times New Roman" w:eastAsia="宋体" w:cs="宋体"/>
          <w:color w:val="000000"/>
          <w:spacing w:val="0"/>
          <w:szCs w:val="21"/>
        </w:rPr>
        <w:t>基因非</w:t>
      </w:r>
      <w:r>
        <w:rPr>
          <w:rFonts w:ascii="Times New Roman" w:hAnsi="Times New Roman" w:eastAsia="宋体" w:cs="宋体"/>
          <w:color w:val="000000"/>
          <w:spacing w:val="0"/>
          <w:szCs w:val="21"/>
        </w:rPr>
        <w:t>7</w:t>
      </w:r>
      <w:r>
        <w:rPr>
          <w:rFonts w:hint="eastAsia" w:ascii="Times New Roman" w:hAnsi="Times New Roman" w:eastAsia="宋体" w:cs="宋体"/>
          <w:color w:val="000000"/>
          <w:spacing w:val="0"/>
          <w:szCs w:val="21"/>
        </w:rPr>
        <w:t>号外显子纯合缺失、但是临床高度疑诊</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的患者，在经仔细临床评估后，应对</w:t>
      </w:r>
      <w:r>
        <w:rPr>
          <w:rFonts w:ascii="Times New Roman" w:hAnsi="Times New Roman" w:eastAsia="宋体" w:cs="宋体"/>
          <w:color w:val="000000"/>
          <w:spacing w:val="0"/>
          <w:szCs w:val="21"/>
        </w:rPr>
        <w:t>SMN1</w:t>
      </w:r>
      <w:r>
        <w:rPr>
          <w:rFonts w:hint="eastAsia" w:ascii="Times New Roman" w:hAnsi="Times New Roman" w:eastAsia="宋体" w:cs="宋体"/>
          <w:color w:val="000000"/>
          <w:spacing w:val="0"/>
          <w:szCs w:val="21"/>
        </w:rPr>
        <w:t>基因序列中的微小变异进行进一步分析，以诊断非</w:t>
      </w:r>
      <w:r>
        <w:rPr>
          <w:rFonts w:ascii="Times New Roman" w:hAnsi="Times New Roman" w:eastAsia="宋体" w:cs="宋体"/>
          <w:i w:val="0"/>
          <w:iCs w:val="0"/>
          <w:color w:val="000000"/>
          <w:spacing w:val="0"/>
          <w:szCs w:val="21"/>
        </w:rPr>
        <w:t>SMN1</w:t>
      </w:r>
      <w:r>
        <w:rPr>
          <w:rFonts w:hint="eastAsia" w:ascii="Times New Roman" w:hAnsi="Times New Roman" w:eastAsia="宋体" w:cs="宋体"/>
          <w:color w:val="000000"/>
          <w:spacing w:val="0"/>
          <w:szCs w:val="21"/>
        </w:rPr>
        <w:t>基因</w:t>
      </w:r>
      <w:r>
        <w:rPr>
          <w:rFonts w:ascii="Times New Roman" w:hAnsi="Times New Roman" w:eastAsia="宋体" w:cs="宋体"/>
          <w:color w:val="000000"/>
          <w:spacing w:val="0"/>
          <w:szCs w:val="21"/>
        </w:rPr>
        <w:t>7</w:t>
      </w:r>
      <w:r>
        <w:rPr>
          <w:rFonts w:hint="eastAsia" w:ascii="Times New Roman" w:hAnsi="Times New Roman" w:eastAsia="宋体" w:cs="宋体"/>
          <w:color w:val="000000"/>
          <w:spacing w:val="0"/>
          <w:szCs w:val="21"/>
        </w:rPr>
        <w:t>号外显子纯合缺失型的</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w:t>
      </w:r>
    </w:p>
    <w:p w14:paraId="1CC264C1">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left="0" w:right="0" w:firstLine="0"/>
        <w:textAlignment w:val="auto"/>
        <w:rPr>
          <w:rFonts w:ascii="Times New Roman" w:hAnsi="Times New Roman" w:eastAsia="宋体" w:cs="宋体"/>
          <w:color w:val="000000"/>
          <w:spacing w:val="2"/>
          <w:szCs w:val="21"/>
        </w:rPr>
      </w:pPr>
      <w:r>
        <w:rPr>
          <w:rFonts w:ascii="黑体" w:hAnsi="黑体" w:eastAsia="黑体" w:cs="Calibri"/>
          <w:color w:val="000000"/>
          <w:spacing w:val="0"/>
          <w:w w:val="100"/>
          <w:szCs w:val="21"/>
        </w:rPr>
        <w:t>5</w:t>
      </w:r>
      <w:r>
        <w:rPr>
          <w:rFonts w:ascii="黑体" w:hAnsi="黑体" w:eastAsia="黑体" w:cs="Calibri"/>
          <w:color w:val="000000"/>
          <w:spacing w:val="0"/>
          <w:szCs w:val="21"/>
        </w:rPr>
        <w:t>.2.</w:t>
      </w:r>
      <w:r>
        <w:rPr>
          <w:rFonts w:ascii="黑体" w:hAnsi="黑体" w:eastAsia="黑体" w:cs="Calibri"/>
          <w:color w:val="000000"/>
          <w:spacing w:val="0"/>
          <w:w w:val="100"/>
          <w:szCs w:val="21"/>
        </w:rPr>
        <w:t>3</w:t>
      </w:r>
      <w:r>
        <w:rPr>
          <w:rFonts w:ascii="黑体" w:hAnsi="黑体" w:eastAsia="黑体" w:cs="宋体"/>
          <w:color w:val="000000"/>
          <w:spacing w:val="2"/>
          <w:szCs w:val="21"/>
        </w:rPr>
        <w:t xml:space="preserve"> </w:t>
      </w:r>
      <w:r>
        <w:rPr>
          <w:rFonts w:ascii="Times New Roman" w:hAnsi="Times New Roman" w:eastAsia="黑体" w:cs="Times New Roman"/>
          <w:b w:val="0"/>
          <w:bCs w:val="0"/>
          <w:color w:val="000000"/>
          <w:spacing w:val="2"/>
          <w:szCs w:val="21"/>
        </w:rPr>
        <w:t>SMA</w:t>
      </w:r>
      <w:r>
        <w:rPr>
          <w:rFonts w:hint="eastAsia" w:ascii="黑体" w:hAnsi="黑体" w:eastAsia="黑体" w:cs="宋体"/>
          <w:b w:val="0"/>
          <w:bCs w:val="0"/>
          <w:color w:val="000000"/>
          <w:spacing w:val="2"/>
          <w:szCs w:val="21"/>
        </w:rPr>
        <w:t>治疗与随访服务</w:t>
      </w:r>
    </w:p>
    <w:p w14:paraId="50BB3180">
      <w:pPr>
        <w:spacing w:line="240" w:lineRule="auto"/>
        <w:ind w:left="0" w:right="0" w:firstLine="420" w:firstLineChars="200"/>
        <w:rPr>
          <w:rFonts w:ascii="Times New Roman" w:hAnsi="Times New Roman" w:eastAsia="宋体" w:cs="宋体"/>
          <w:color w:val="000000"/>
          <w:spacing w:val="0"/>
          <w:szCs w:val="21"/>
        </w:rPr>
      </w:pP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治疗服务包括</w:t>
      </w:r>
      <w:r>
        <w:rPr>
          <w:rFonts w:ascii="Times New Roman" w:hAnsi="Times New Roman" w:eastAsia="宋体" w:cs="宋体"/>
          <w:color w:val="000000"/>
          <w:spacing w:val="0"/>
          <w:szCs w:val="21"/>
        </w:rPr>
        <w:t>DMT</w:t>
      </w:r>
      <w:r>
        <w:rPr>
          <w:rFonts w:hint="eastAsia" w:ascii="Times New Roman" w:hAnsi="Times New Roman" w:eastAsia="宋体" w:cs="宋体"/>
          <w:color w:val="000000"/>
          <w:spacing w:val="0"/>
          <w:szCs w:val="21"/>
        </w:rPr>
        <w:t>药物治疗、多学科诊治、严重合并症与并发症治疗、患者的随访与管理。</w:t>
      </w:r>
    </w:p>
    <w:p w14:paraId="23ECDBAB">
      <w:pPr>
        <w:spacing w:line="240" w:lineRule="auto"/>
        <w:ind w:left="0" w:right="0" w:firstLine="420" w:firstLineChars="200"/>
        <w:rPr>
          <w:rFonts w:ascii="Times New Roman" w:hAnsi="Times New Roman" w:eastAsia="宋体" w:cs="宋体"/>
          <w:color w:val="000000"/>
          <w:spacing w:val="0"/>
          <w:szCs w:val="21"/>
        </w:rPr>
      </w:pPr>
      <w:r>
        <w:rPr>
          <w:rFonts w:ascii="Times New Roman" w:hAnsi="Times New Roman" w:eastAsia="宋体" w:cs="宋体"/>
          <w:b w:val="0"/>
          <w:bCs w:val="0"/>
          <w:color w:val="000000"/>
          <w:spacing w:val="0"/>
          <w:szCs w:val="21"/>
        </w:rPr>
        <w:t>DMT</w:t>
      </w:r>
      <w:r>
        <w:rPr>
          <w:rFonts w:hint="eastAsia" w:ascii="Times New Roman" w:hAnsi="Times New Roman" w:eastAsia="宋体" w:cs="宋体"/>
          <w:b w:val="0"/>
          <w:bCs w:val="0"/>
          <w:color w:val="000000"/>
          <w:spacing w:val="0"/>
          <w:szCs w:val="21"/>
        </w:rPr>
        <w:t>药物治疗：</w:t>
      </w:r>
      <w:r>
        <w:rPr>
          <w:rFonts w:hint="eastAsia" w:ascii="Times New Roman" w:hAnsi="Times New Roman" w:eastAsia="宋体" w:cs="宋体"/>
          <w:color w:val="000000"/>
          <w:spacing w:val="0"/>
          <w:szCs w:val="21"/>
        </w:rPr>
        <w:t>在</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诊断明确后，应根据相应指南与专家共识的推荐，为患者启动</w:t>
      </w:r>
      <w:r>
        <w:rPr>
          <w:rFonts w:ascii="Times New Roman" w:hAnsi="Times New Roman" w:eastAsia="宋体" w:cs="宋体"/>
          <w:color w:val="000000"/>
          <w:spacing w:val="0"/>
          <w:szCs w:val="21"/>
        </w:rPr>
        <w:t>DMT</w:t>
      </w:r>
      <w:r>
        <w:rPr>
          <w:rFonts w:hint="eastAsia" w:ascii="Times New Roman" w:hAnsi="Times New Roman" w:eastAsia="宋体" w:cs="宋体"/>
          <w:color w:val="000000"/>
          <w:spacing w:val="0"/>
          <w:szCs w:val="21"/>
        </w:rPr>
        <w:t>。我国目前批准上市的</w:t>
      </w:r>
      <w:r>
        <w:rPr>
          <w:rFonts w:ascii="Times New Roman" w:hAnsi="Times New Roman" w:eastAsia="宋体" w:cs="宋体"/>
          <w:color w:val="000000"/>
          <w:spacing w:val="0"/>
          <w:szCs w:val="21"/>
        </w:rPr>
        <w:t>DMT</w:t>
      </w:r>
      <w:r>
        <w:rPr>
          <w:rFonts w:hint="eastAsia" w:ascii="Times New Roman" w:hAnsi="Times New Roman" w:eastAsia="宋体" w:cs="宋体"/>
          <w:color w:val="000000"/>
          <w:spacing w:val="0"/>
          <w:szCs w:val="21"/>
        </w:rPr>
        <w:t>药物包括利司扑兰（口服）与诺西那生（鞘内注射），以及未来可能在国内上市的</w:t>
      </w:r>
      <w:r>
        <w:rPr>
          <w:rFonts w:ascii="Times New Roman" w:hAnsi="Times New Roman" w:eastAsia="宋体" w:cs="宋体"/>
          <w:color w:val="000000"/>
          <w:spacing w:val="0"/>
          <w:szCs w:val="21"/>
        </w:rPr>
        <w:t>SMN1</w:t>
      </w:r>
      <w:r>
        <w:rPr>
          <w:rFonts w:hint="eastAsia" w:ascii="Times New Roman" w:hAnsi="Times New Roman" w:eastAsia="宋体" w:cs="宋体"/>
          <w:color w:val="000000"/>
          <w:spacing w:val="0"/>
          <w:szCs w:val="21"/>
        </w:rPr>
        <w:t>基因治疗的靶向药物，中心应根据治疗的可及性并在与患者及其家属进行充分沟通的情况下，规范地开展</w:t>
      </w:r>
      <w:r>
        <w:rPr>
          <w:rFonts w:ascii="Times New Roman" w:hAnsi="Times New Roman" w:eastAsia="宋体" w:cs="宋体"/>
          <w:color w:val="000000"/>
          <w:spacing w:val="0"/>
          <w:szCs w:val="21"/>
        </w:rPr>
        <w:t>DMT</w:t>
      </w:r>
      <w:r>
        <w:rPr>
          <w:rFonts w:hint="eastAsia" w:ascii="Times New Roman" w:hAnsi="Times New Roman" w:eastAsia="宋体" w:cs="宋体"/>
          <w:color w:val="000000"/>
          <w:spacing w:val="0"/>
          <w:szCs w:val="21"/>
        </w:rPr>
        <w:t>药物治疗。</w:t>
      </w:r>
    </w:p>
    <w:p w14:paraId="10F8DFDE">
      <w:pPr>
        <w:spacing w:line="240" w:lineRule="auto"/>
        <w:ind w:left="0" w:right="0" w:firstLine="420" w:firstLineChars="200"/>
        <w:rPr>
          <w:rFonts w:ascii="Times New Roman" w:hAnsi="Times New Roman" w:eastAsia="宋体" w:cs="宋体"/>
          <w:color w:val="000000"/>
          <w:spacing w:val="0"/>
          <w:szCs w:val="21"/>
        </w:rPr>
      </w:pPr>
      <w:r>
        <w:rPr>
          <w:rFonts w:hint="eastAsia" w:ascii="Times New Roman" w:hAnsi="Times New Roman" w:eastAsia="宋体" w:cs="宋体"/>
          <w:b w:val="0"/>
          <w:bCs w:val="0"/>
          <w:color w:val="000000"/>
          <w:spacing w:val="0"/>
          <w:szCs w:val="21"/>
        </w:rPr>
        <w:t>多学科诊治：</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是一种累及全身多系统的疾病。因此，</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患者的治疗管理应包括</w:t>
      </w:r>
      <w:r>
        <w:rPr>
          <w:rFonts w:ascii="Times New Roman" w:hAnsi="Times New Roman" w:eastAsia="宋体" w:cs="宋体"/>
          <w:color w:val="000000"/>
          <w:spacing w:val="0"/>
          <w:szCs w:val="21"/>
        </w:rPr>
        <w:t>DMT</w:t>
      </w:r>
      <w:r>
        <w:rPr>
          <w:rFonts w:hint="eastAsia" w:ascii="Times New Roman" w:hAnsi="Times New Roman" w:eastAsia="宋体" w:cs="宋体"/>
          <w:color w:val="000000"/>
          <w:spacing w:val="0"/>
          <w:szCs w:val="21"/>
        </w:rPr>
        <w:t>药物治疗、呼吸管理、心脏功能管理、康复管理、营养管理、骨骼畸形管理、日常护理、遗传咨询等多个方面。中心应能规范指导并处理</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患者多系统中面临的问题。</w:t>
      </w:r>
    </w:p>
    <w:p w14:paraId="125E569E">
      <w:pPr>
        <w:spacing w:line="240" w:lineRule="auto"/>
        <w:ind w:left="0" w:right="0" w:firstLine="420" w:firstLineChars="200"/>
        <w:rPr>
          <w:rFonts w:ascii="Times New Roman" w:hAnsi="Times New Roman" w:eastAsia="宋体" w:cs="宋体"/>
          <w:color w:val="000000"/>
          <w:spacing w:val="0"/>
          <w:szCs w:val="21"/>
        </w:rPr>
      </w:pPr>
      <w:r>
        <w:rPr>
          <w:rFonts w:hint="eastAsia" w:ascii="Times New Roman" w:hAnsi="Times New Roman" w:eastAsia="宋体" w:cs="宋体"/>
          <w:b w:val="0"/>
          <w:bCs w:val="0"/>
          <w:color w:val="000000"/>
          <w:spacing w:val="0"/>
          <w:szCs w:val="21"/>
        </w:rPr>
        <w:t>严重合并症与合并疾病的治疗：</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患者可能面临危及生命的严重合并症，比如重度脊柱侧弯、严重呼吸系统感染伴发呼吸衰竭等，中心应能对此类严重合并症开展救治。</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患者如同时合并其他疾病，由于</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本身的严重性，会导致其他疾病救治的复杂，如合并先天性心脏病，或遇到骨折等，</w:t>
      </w:r>
      <w:r>
        <w:rPr>
          <w:rStyle w:val="15"/>
          <w:rFonts w:ascii="Times New Roman" w:hAnsi="Times New Roman" w:eastAsia="宋体" w:cs="宋体"/>
          <w:color w:val="000000"/>
          <w:szCs w:val="21"/>
        </w:rPr>
        <w:t>中心应识别此类复杂情况，及时转诊或治疗，</w:t>
      </w:r>
      <w:r>
        <w:rPr>
          <w:rFonts w:hint="eastAsia" w:ascii="Times New Roman" w:hAnsi="Times New Roman" w:eastAsia="宋体" w:cs="宋体"/>
          <w:color w:val="000000"/>
          <w:spacing w:val="0"/>
          <w:szCs w:val="21"/>
        </w:rPr>
        <w:t>保证</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患者得到合理医治。</w:t>
      </w:r>
    </w:p>
    <w:p w14:paraId="322BDA2C">
      <w:pPr>
        <w:spacing w:line="240" w:lineRule="auto"/>
        <w:ind w:left="0" w:right="0" w:firstLine="420" w:firstLineChars="200"/>
        <w:rPr>
          <w:rFonts w:ascii="Times New Roman" w:hAnsi="Times New Roman" w:eastAsia="宋体" w:cs="宋体"/>
          <w:color w:val="000000"/>
          <w:spacing w:val="2"/>
          <w:szCs w:val="21"/>
        </w:rPr>
      </w:pPr>
      <w:r>
        <w:rPr>
          <w:rFonts w:hint="eastAsia" w:ascii="Times New Roman" w:hAnsi="Times New Roman" w:eastAsia="宋体" w:cs="宋体"/>
          <w:b w:val="0"/>
          <w:bCs w:val="0"/>
          <w:color w:val="000000"/>
          <w:spacing w:val="0"/>
          <w:szCs w:val="21"/>
        </w:rPr>
        <w:t>随访与管理：</w:t>
      </w:r>
      <w:r>
        <w:rPr>
          <w:rFonts w:hint="eastAsia" w:ascii="Times New Roman" w:hAnsi="Times New Roman" w:eastAsia="宋体" w:cs="宋体"/>
          <w:color w:val="000000"/>
          <w:spacing w:val="0"/>
          <w:szCs w:val="21"/>
        </w:rPr>
        <w:t>对患者进行运动、呼吸、心脏、营养、骨骼等多方面的随访评估，形成固定的随访周期，对患者进行长期的跟踪和指导。</w:t>
      </w:r>
    </w:p>
    <w:p w14:paraId="67D83A7F">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left="0" w:right="-23"/>
        <w:textAlignment w:val="auto"/>
        <w:rPr>
          <w:rFonts w:ascii="Times New Roman" w:hAnsi="Times New Roman" w:eastAsia="宋体" w:cs="宋体"/>
          <w:color w:val="000000"/>
          <w:spacing w:val="2"/>
          <w:szCs w:val="21"/>
        </w:rPr>
      </w:pPr>
      <w:r>
        <w:rPr>
          <w:rFonts w:ascii="黑体" w:hAnsi="黑体" w:eastAsia="黑体" w:cs="宋体"/>
          <w:color w:val="000000"/>
          <w:spacing w:val="2"/>
          <w:szCs w:val="21"/>
        </w:rPr>
        <w:t xml:space="preserve">5.3 </w:t>
      </w:r>
      <w:r>
        <w:rPr>
          <w:rFonts w:hint="eastAsia" w:ascii="黑体" w:hAnsi="黑体" w:eastAsia="黑体" w:cs="宋体"/>
          <w:b w:val="0"/>
          <w:bCs w:val="0"/>
          <w:color w:val="000000"/>
          <w:spacing w:val="2"/>
          <w:szCs w:val="21"/>
        </w:rPr>
        <w:t>设置要求</w:t>
      </w:r>
    </w:p>
    <w:bookmarkEnd w:id="17"/>
    <w:p w14:paraId="19230444">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left="0" w:right="0"/>
        <w:textAlignment w:val="auto"/>
        <w:rPr>
          <w:rFonts w:ascii="黑体" w:hAnsi="黑体" w:eastAsia="黑体" w:cs="宋体"/>
          <w:color w:val="000000"/>
          <w:spacing w:val="2"/>
          <w:szCs w:val="21"/>
        </w:rPr>
      </w:pPr>
      <w:bookmarkStart w:id="18" w:name="_Hlk183804043"/>
      <w:bookmarkStart w:id="19" w:name="_Hlk183805626"/>
      <w:r>
        <w:rPr>
          <w:rFonts w:ascii="黑体" w:hAnsi="黑体" w:eastAsia="黑体" w:cs="宋体"/>
          <w:color w:val="000000"/>
          <w:spacing w:val="2"/>
          <w:szCs w:val="21"/>
        </w:rPr>
        <w:t xml:space="preserve">5.3.1 </w:t>
      </w:r>
      <w:bookmarkEnd w:id="18"/>
      <w:r>
        <w:rPr>
          <w:rFonts w:hint="eastAsia" w:ascii="黑体" w:hAnsi="黑体" w:eastAsia="黑体" w:cs="宋体"/>
          <w:color w:val="000000"/>
          <w:spacing w:val="2"/>
          <w:szCs w:val="21"/>
        </w:rPr>
        <w:t>一级中心</w:t>
      </w:r>
    </w:p>
    <w:p w14:paraId="423B68E7">
      <w:pPr>
        <w:spacing w:line="293" w:lineRule="auto"/>
        <w:ind w:left="0" w:right="0" w:firstLine="428"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2"/>
          <w:szCs w:val="21"/>
        </w:rPr>
        <w:t>以筛查（</w:t>
      </w:r>
      <w:r>
        <w:rPr>
          <w:rFonts w:ascii="Times New Roman" w:hAnsi="Times New Roman" w:eastAsia="宋体" w:cs="宋体"/>
          <w:color w:val="000000"/>
          <w:spacing w:val="2"/>
          <w:szCs w:val="21"/>
        </w:rPr>
        <w:t>新生儿筛查或/和</w:t>
      </w:r>
      <w:r>
        <w:rPr>
          <w:rFonts w:hint="eastAsia" w:ascii="Times New Roman" w:hAnsi="Times New Roman" w:eastAsia="宋体" w:cs="宋体"/>
          <w:color w:val="000000"/>
          <w:spacing w:val="2"/>
          <w:szCs w:val="21"/>
        </w:rPr>
        <w:t>高危画像患者筛查）与基础治疗为核心，应有较为全面的内外科学三级学科构架，需至少设置神经科和康复医学科；配备神经内科病房，可完成DMT药物治疗。</w:t>
      </w:r>
    </w:p>
    <w:p w14:paraId="42A4B8EE">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left="0" w:right="0"/>
        <w:textAlignment w:val="auto"/>
        <w:rPr>
          <w:rFonts w:ascii="黑体" w:hAnsi="黑体" w:eastAsia="黑体" w:cs="宋体"/>
          <w:color w:val="000000"/>
          <w:spacing w:val="2"/>
          <w:szCs w:val="21"/>
        </w:rPr>
      </w:pPr>
      <w:r>
        <w:rPr>
          <w:rFonts w:ascii="黑体" w:hAnsi="黑体" w:eastAsia="黑体" w:cs="宋体"/>
          <w:color w:val="000000"/>
          <w:spacing w:val="2"/>
          <w:szCs w:val="21"/>
        </w:rPr>
        <w:t xml:space="preserve">5.3.2 </w:t>
      </w:r>
      <w:r>
        <w:rPr>
          <w:rFonts w:hint="eastAsia" w:ascii="黑体" w:hAnsi="黑体" w:eastAsia="黑体" w:cs="宋体"/>
          <w:color w:val="000000"/>
          <w:spacing w:val="2"/>
          <w:szCs w:val="21"/>
        </w:rPr>
        <w:t>二级中心</w:t>
      </w:r>
    </w:p>
    <w:p w14:paraId="689FAEDA">
      <w:pPr>
        <w:spacing w:line="240" w:lineRule="auto"/>
        <w:ind w:left="0" w:right="0" w:firstLine="420" w:firstLineChars="200"/>
        <w:rPr>
          <w:rFonts w:ascii="Times New Roman" w:hAnsi="Times New Roman" w:eastAsia="宋体" w:cs="宋体"/>
          <w:color w:val="000000"/>
          <w:spacing w:val="0"/>
          <w:szCs w:val="21"/>
        </w:rPr>
      </w:pPr>
      <w:r>
        <w:rPr>
          <w:rFonts w:hint="eastAsia" w:ascii="Times New Roman" w:hAnsi="Times New Roman" w:eastAsia="宋体" w:cs="宋体"/>
          <w:color w:val="000000"/>
          <w:spacing w:val="0"/>
          <w:szCs w:val="21"/>
        </w:rPr>
        <w:t>具备一级中心建设条件的基础上，侧重多学科诊疗与常规治疗，应有全面的内外科学三级学科构架，需至少设置</w:t>
      </w:r>
      <w:bookmarkStart w:id="20" w:name="_Hlk183446557"/>
      <w:r>
        <w:rPr>
          <w:rFonts w:hint="eastAsia" w:ascii="Times New Roman" w:hAnsi="Times New Roman" w:eastAsia="宋体" w:cs="宋体"/>
          <w:color w:val="000000"/>
          <w:spacing w:val="0"/>
          <w:szCs w:val="21"/>
        </w:rPr>
        <w:t>神经科、康复医学科、呼吸科、心血管科、消化营养科、重症医学科</w:t>
      </w:r>
      <w:bookmarkEnd w:id="20"/>
      <w:r>
        <w:rPr>
          <w:rFonts w:hint="eastAsia" w:ascii="Times New Roman" w:hAnsi="Times New Roman" w:eastAsia="宋体" w:cs="宋体"/>
          <w:color w:val="000000"/>
          <w:spacing w:val="0"/>
          <w:szCs w:val="21"/>
        </w:rPr>
        <w:t>等专科；应组建了至少包含上述专业的</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多学科诊疗团队，并建立规范的多学科诊疗流程；应有能力开展肠内与肠外营养支持；需设置神经内科病房、重症监护病房、手术室，配备符合国家临检中心要求的</w:t>
      </w:r>
      <w:r>
        <w:rPr>
          <w:rFonts w:ascii="Times New Roman" w:hAnsi="Times New Roman" w:eastAsia="宋体" w:cs="宋体"/>
          <w:color w:val="000000"/>
          <w:spacing w:val="0"/>
          <w:szCs w:val="21"/>
        </w:rPr>
        <w:t>PCR</w:t>
      </w:r>
      <w:r>
        <w:rPr>
          <w:rFonts w:hint="eastAsia" w:ascii="Times New Roman" w:hAnsi="Times New Roman" w:eastAsia="宋体" w:cs="宋体"/>
          <w:color w:val="000000"/>
          <w:spacing w:val="0"/>
          <w:szCs w:val="21"/>
        </w:rPr>
        <w:t>实验室。</w:t>
      </w:r>
    </w:p>
    <w:p w14:paraId="2CBF428B">
      <w:pPr>
        <w:keepNext w:val="0"/>
        <w:keepLines w:val="0"/>
        <w:pageBreakBefore w:val="0"/>
        <w:widowControl w:val="0"/>
        <w:kinsoku/>
        <w:wordWrap/>
        <w:overflowPunct/>
        <w:topLinePunct w:val="0"/>
        <w:autoSpaceDE/>
        <w:autoSpaceDN/>
        <w:bidi w:val="0"/>
        <w:adjustRightInd/>
        <w:snapToGrid/>
        <w:spacing w:before="144" w:beforeLines="50" w:after="144" w:afterLines="50" w:line="240" w:lineRule="auto"/>
        <w:ind w:left="0" w:right="0"/>
        <w:textAlignment w:val="auto"/>
        <w:rPr>
          <w:rFonts w:ascii="黑体" w:hAnsi="黑体" w:eastAsia="黑体" w:cs="宋体"/>
          <w:color w:val="000000"/>
          <w:spacing w:val="2"/>
          <w:szCs w:val="21"/>
        </w:rPr>
      </w:pPr>
      <w:r>
        <w:rPr>
          <w:rFonts w:ascii="黑体" w:hAnsi="黑体" w:eastAsia="黑体" w:cs="宋体"/>
          <w:color w:val="000000"/>
          <w:spacing w:val="2"/>
          <w:szCs w:val="21"/>
        </w:rPr>
        <w:t xml:space="preserve">5.3.3 </w:t>
      </w:r>
      <w:r>
        <w:rPr>
          <w:rFonts w:hint="eastAsia" w:ascii="黑体" w:hAnsi="黑体" w:eastAsia="黑体" w:cs="宋体"/>
          <w:color w:val="000000"/>
          <w:spacing w:val="2"/>
          <w:szCs w:val="21"/>
        </w:rPr>
        <w:t>三级中心</w:t>
      </w:r>
    </w:p>
    <w:p w14:paraId="4EF466BD">
      <w:pPr>
        <w:spacing w:line="240" w:lineRule="auto"/>
        <w:ind w:left="0" w:right="0" w:firstLine="420"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0"/>
          <w:szCs w:val="21"/>
        </w:rPr>
        <w:t>以承担疑难复杂及危重症诊疗为核心，同时兼具区域医疗中心职能；拥有完整的内外科三级学科构架或者儿科三级学科构架，至少需要设置神经科、康复医学科、呼吸科、心血管科、消化营养科、重症医学科、麻醉科、脊柱外科（骨科）等专科；应组建至少包含上述专业的</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多学科诊疗团队，并建立规范的多学科诊疗流程；应有能力开展肠内与肠外营养支持、实施重症患者救治、开展重度脊柱侧弯整形手术；有能力开展遗传咨询；需设置神经内科病房、重症监护病房、手术室，建议配备符合规范的</w:t>
      </w:r>
      <w:r>
        <w:rPr>
          <w:rFonts w:ascii="Times New Roman" w:hAnsi="Times New Roman" w:eastAsia="宋体" w:cs="宋体"/>
          <w:color w:val="000000"/>
          <w:spacing w:val="0"/>
          <w:szCs w:val="21"/>
        </w:rPr>
        <w:t>PCR</w:t>
      </w:r>
      <w:r>
        <w:rPr>
          <w:rFonts w:hint="eastAsia" w:ascii="Times New Roman" w:hAnsi="Times New Roman" w:eastAsia="宋体" w:cs="宋体"/>
          <w:color w:val="000000"/>
          <w:spacing w:val="0"/>
          <w:szCs w:val="21"/>
        </w:rPr>
        <w:t>实验室及生物样本库，通过国家药物临床试验质量管理规范（</w:t>
      </w:r>
      <w:r>
        <w:rPr>
          <w:rFonts w:ascii="Times New Roman" w:hAnsi="Times New Roman" w:eastAsia="宋体" w:cs="宋体"/>
          <w:color w:val="000000"/>
          <w:spacing w:val="0"/>
          <w:szCs w:val="21"/>
        </w:rPr>
        <w:t>GCP</w:t>
      </w:r>
      <w:r>
        <w:rPr>
          <w:rFonts w:hint="eastAsia" w:ascii="Times New Roman" w:hAnsi="Times New Roman" w:eastAsia="宋体" w:cs="宋体"/>
          <w:color w:val="000000"/>
          <w:spacing w:val="0"/>
          <w:szCs w:val="21"/>
        </w:rPr>
        <w:t>）备案，可开展符合伦理要求的临床试验。</w:t>
      </w:r>
      <w:bookmarkEnd w:id="19"/>
    </w:p>
    <w:p w14:paraId="20754825">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21" w:name="_Toc203680712"/>
      <w:r>
        <w:rPr>
          <w:rFonts w:hint="eastAsia" w:ascii="黑体" w:hAnsi="黑体" w:eastAsia="黑体" w:cs="宋体"/>
          <w:b w:val="0"/>
          <w:bCs w:val="0"/>
          <w:color w:val="000000"/>
          <w:szCs w:val="21"/>
        </w:rPr>
        <w:t>人员配置</w:t>
      </w:r>
      <w:bookmarkEnd w:id="21"/>
    </w:p>
    <w:p w14:paraId="19E9BFC9">
      <w:pPr>
        <w:spacing w:before="120" w:beforeLines="50" w:after="120" w:afterLines="50"/>
        <w:rPr>
          <w:rFonts w:hint="eastAsia" w:ascii="黑体" w:hAnsi="黑体" w:eastAsia="黑体" w:cs="宋体"/>
          <w:color w:val="000000"/>
          <w:spacing w:val="2"/>
          <w:szCs w:val="21"/>
        </w:rPr>
      </w:pPr>
      <w:r>
        <w:rPr>
          <w:rFonts w:hint="eastAsia" w:ascii="黑体" w:hAnsi="黑体" w:eastAsia="黑体" w:cs="宋体"/>
          <w:color w:val="000000"/>
          <w:spacing w:val="2"/>
          <w:szCs w:val="21"/>
        </w:rPr>
        <w:t>6</w:t>
      </w:r>
      <w:r>
        <w:rPr>
          <w:rFonts w:ascii="黑体" w:hAnsi="黑体" w:eastAsia="黑体" w:cs="宋体"/>
          <w:color w:val="000000"/>
          <w:spacing w:val="2"/>
          <w:szCs w:val="21"/>
        </w:rPr>
        <w:t xml:space="preserve">.1 </w:t>
      </w:r>
      <w:r>
        <w:rPr>
          <w:rFonts w:hint="eastAsia" w:ascii="黑体" w:hAnsi="黑体" w:eastAsia="黑体" w:cs="宋体"/>
          <w:color w:val="000000"/>
          <w:spacing w:val="2"/>
          <w:szCs w:val="21"/>
        </w:rPr>
        <w:t>一级中心</w:t>
      </w:r>
    </w:p>
    <w:p w14:paraId="64DBD4A2">
      <w:pPr>
        <w:spacing w:line="240" w:lineRule="auto"/>
        <w:ind w:left="0" w:right="0" w:firstLine="420" w:firstLineChars="200"/>
        <w:rPr>
          <w:rFonts w:ascii="Times New Roman" w:hAnsi="Times New Roman" w:eastAsia="宋体" w:cs="宋体"/>
          <w:color w:val="000000"/>
          <w:spacing w:val="0"/>
          <w:szCs w:val="21"/>
        </w:rPr>
      </w:pPr>
      <w:r>
        <w:rPr>
          <w:rFonts w:hint="eastAsia" w:ascii="Times New Roman" w:hAnsi="Times New Roman" w:eastAsia="宋体" w:cs="宋体"/>
          <w:color w:val="000000"/>
          <w:spacing w:val="0"/>
          <w:szCs w:val="21"/>
        </w:rPr>
        <w:t>一级中心应至少配备</w:t>
      </w:r>
      <w:bookmarkStart w:id="22" w:name="_Hlk183807402"/>
      <w:r>
        <w:rPr>
          <w:rFonts w:hint="eastAsia" w:ascii="Times New Roman" w:hAnsi="Times New Roman" w:eastAsia="宋体" w:cs="宋体"/>
          <w:color w:val="000000"/>
          <w:spacing w:val="0"/>
          <w:szCs w:val="21"/>
        </w:rPr>
        <w:t>中心负责人</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w:t>
      </w:r>
      <w:bookmarkEnd w:id="22"/>
      <w:bookmarkStart w:id="23" w:name="_Hlk183807387"/>
      <w:r>
        <w:rPr>
          <w:rFonts w:hint="eastAsia" w:ascii="Times New Roman" w:hAnsi="Times New Roman" w:eastAsia="宋体" w:cs="宋体"/>
          <w:color w:val="000000"/>
          <w:spacing w:val="0"/>
          <w:szCs w:val="21"/>
        </w:rPr>
        <w:t>；拥有高级职称、诊治神经肌肉专病的神经内科医生</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名；拥有中级及以上职称、可从事新生儿或</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和高危筛查的临床医生</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名；拥有中级及以上职称的康复治疗师</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名；中心专员</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名，主要用于新生儿和</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或高危筛查工作的协调、召回、随访。上述人员可以有交叉，但总人数≥</w:t>
      </w:r>
      <w:r>
        <w:rPr>
          <w:rFonts w:ascii="Times New Roman" w:hAnsi="Times New Roman" w:eastAsia="宋体" w:cs="宋体"/>
          <w:color w:val="000000"/>
          <w:spacing w:val="0"/>
          <w:szCs w:val="21"/>
        </w:rPr>
        <w:t>3</w:t>
      </w:r>
      <w:r>
        <w:rPr>
          <w:rFonts w:hint="eastAsia" w:ascii="Times New Roman" w:hAnsi="Times New Roman" w:eastAsia="宋体" w:cs="宋体"/>
          <w:color w:val="000000"/>
          <w:spacing w:val="0"/>
          <w:szCs w:val="21"/>
        </w:rPr>
        <w:t>人。</w:t>
      </w:r>
    </w:p>
    <w:bookmarkEnd w:id="23"/>
    <w:p w14:paraId="141534C7">
      <w:pPr>
        <w:spacing w:before="120" w:beforeLines="50" w:after="120" w:afterLines="50"/>
        <w:rPr>
          <w:rFonts w:hint="eastAsia" w:ascii="黑体" w:hAnsi="黑体" w:eastAsia="黑体" w:cs="宋体"/>
          <w:color w:val="000000"/>
          <w:spacing w:val="2"/>
          <w:szCs w:val="21"/>
        </w:rPr>
      </w:pPr>
      <w:bookmarkStart w:id="24" w:name="_Hlk183807512"/>
      <w:r>
        <w:rPr>
          <w:rFonts w:hint="eastAsia" w:ascii="黑体" w:hAnsi="黑体" w:eastAsia="黑体" w:cs="宋体"/>
          <w:color w:val="000000"/>
          <w:spacing w:val="2"/>
          <w:szCs w:val="21"/>
        </w:rPr>
        <w:t>6</w:t>
      </w:r>
      <w:r>
        <w:rPr>
          <w:rFonts w:ascii="黑体" w:hAnsi="黑体" w:eastAsia="黑体" w:cs="宋体"/>
          <w:color w:val="000000"/>
          <w:spacing w:val="2"/>
          <w:szCs w:val="21"/>
        </w:rPr>
        <w:t>.</w:t>
      </w:r>
      <w:r>
        <w:rPr>
          <w:rFonts w:hint="eastAsia" w:ascii="黑体" w:hAnsi="黑体" w:eastAsia="黑体" w:cs="宋体"/>
          <w:color w:val="000000"/>
          <w:spacing w:val="2"/>
          <w:szCs w:val="21"/>
        </w:rPr>
        <w:t>2</w:t>
      </w:r>
      <w:r>
        <w:rPr>
          <w:rFonts w:ascii="黑体" w:hAnsi="黑体" w:eastAsia="黑体" w:cs="宋体"/>
          <w:color w:val="000000"/>
          <w:spacing w:val="2"/>
          <w:szCs w:val="21"/>
        </w:rPr>
        <w:t xml:space="preserve"> </w:t>
      </w:r>
      <w:r>
        <w:rPr>
          <w:rFonts w:hint="eastAsia" w:ascii="黑体" w:hAnsi="黑体" w:eastAsia="黑体" w:cs="宋体"/>
          <w:color w:val="000000"/>
          <w:spacing w:val="2"/>
          <w:szCs w:val="21"/>
        </w:rPr>
        <w:t>二级中心</w:t>
      </w:r>
    </w:p>
    <w:p w14:paraId="60792E0E">
      <w:pPr>
        <w:spacing w:line="240" w:lineRule="auto"/>
        <w:ind w:left="0" w:right="0" w:firstLine="420" w:firstLineChars="200"/>
        <w:rPr>
          <w:rFonts w:ascii="Times New Roman" w:hAnsi="Times New Roman" w:eastAsia="宋体" w:cs="宋体"/>
          <w:color w:val="000000"/>
          <w:spacing w:val="0"/>
          <w:szCs w:val="21"/>
        </w:rPr>
      </w:pPr>
      <w:r>
        <w:rPr>
          <w:rFonts w:hint="eastAsia" w:ascii="Times New Roman" w:hAnsi="Times New Roman" w:eastAsia="宋体" w:cs="宋体"/>
          <w:color w:val="000000"/>
          <w:spacing w:val="0"/>
          <w:szCs w:val="21"/>
        </w:rPr>
        <w:t>应建立</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多学科诊疗团队，至少应包括神经科、康复医学科、呼吸科、心血管科、消化营养科、重症医学科医生各</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名，其中牵头人员必须拥有高级职称且为临床医生，其他人员需拥有中级或以上技术职称；拥有中级及以上职称、可从事新生儿或</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和高危筛查的临床医生</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名；拥有中级或以上职称的遗传检测实验室主管</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名；拥有</w:t>
      </w:r>
      <w:r>
        <w:rPr>
          <w:rFonts w:ascii="Times New Roman" w:hAnsi="Times New Roman" w:eastAsia="宋体" w:cs="宋体"/>
          <w:color w:val="000000"/>
          <w:spacing w:val="0"/>
          <w:szCs w:val="21"/>
        </w:rPr>
        <w:t>PCR</w:t>
      </w:r>
      <w:r>
        <w:rPr>
          <w:rFonts w:hint="eastAsia" w:ascii="Times New Roman" w:hAnsi="Times New Roman" w:eastAsia="宋体" w:cs="宋体"/>
          <w:color w:val="000000"/>
          <w:spacing w:val="0"/>
          <w:szCs w:val="21"/>
        </w:rPr>
        <w:t>上岗资格的实验室检测人员</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名；中心专员</w:t>
      </w:r>
      <w:r>
        <w:rPr>
          <w:rFonts w:ascii="Times New Roman" w:hAnsi="Times New Roman" w:eastAsia="宋体" w:cs="宋体"/>
          <w:color w:val="000000"/>
          <w:spacing w:val="0"/>
          <w:szCs w:val="21"/>
        </w:rPr>
        <w:t>1</w:t>
      </w:r>
      <w:r>
        <w:rPr>
          <w:rFonts w:hint="eastAsia" w:ascii="Times New Roman" w:hAnsi="Times New Roman" w:eastAsia="宋体" w:cs="宋体"/>
          <w:color w:val="000000"/>
          <w:spacing w:val="0"/>
          <w:szCs w:val="21"/>
        </w:rPr>
        <w:t>名，主要用于新生儿或</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和高危筛查工作的协调、召回、随访。</w:t>
      </w:r>
    </w:p>
    <w:p w14:paraId="369F545B">
      <w:pPr>
        <w:spacing w:before="120" w:beforeLines="50" w:after="120" w:afterLines="50"/>
        <w:rPr>
          <w:rFonts w:hint="eastAsia" w:ascii="黑体" w:hAnsi="黑体" w:eastAsia="黑体" w:cs="宋体"/>
          <w:color w:val="000000"/>
          <w:spacing w:val="2"/>
          <w:szCs w:val="21"/>
        </w:rPr>
      </w:pPr>
      <w:r>
        <w:rPr>
          <w:rFonts w:hint="eastAsia" w:ascii="黑体" w:hAnsi="黑体" w:eastAsia="黑体" w:cs="宋体"/>
          <w:color w:val="000000"/>
          <w:spacing w:val="2"/>
          <w:szCs w:val="21"/>
        </w:rPr>
        <w:t>6</w:t>
      </w:r>
      <w:r>
        <w:rPr>
          <w:rFonts w:ascii="黑体" w:hAnsi="黑体" w:eastAsia="黑体" w:cs="宋体"/>
          <w:color w:val="000000"/>
          <w:spacing w:val="2"/>
          <w:szCs w:val="21"/>
        </w:rPr>
        <w:t>.</w:t>
      </w:r>
      <w:r>
        <w:rPr>
          <w:rFonts w:hint="eastAsia" w:ascii="黑体" w:hAnsi="黑体" w:eastAsia="黑体" w:cs="宋体"/>
          <w:color w:val="000000"/>
          <w:spacing w:val="2"/>
          <w:szCs w:val="21"/>
        </w:rPr>
        <w:t>3</w:t>
      </w:r>
      <w:r>
        <w:rPr>
          <w:rFonts w:ascii="黑体" w:hAnsi="黑体" w:eastAsia="黑体" w:cs="宋体"/>
          <w:color w:val="000000"/>
          <w:spacing w:val="2"/>
          <w:szCs w:val="21"/>
        </w:rPr>
        <w:t xml:space="preserve"> </w:t>
      </w:r>
      <w:r>
        <w:rPr>
          <w:rFonts w:hint="eastAsia" w:ascii="黑体" w:hAnsi="黑体" w:eastAsia="黑体" w:cs="宋体"/>
          <w:color w:val="000000"/>
          <w:spacing w:val="2"/>
          <w:szCs w:val="21"/>
        </w:rPr>
        <w:t>三级中心</w:t>
      </w:r>
    </w:p>
    <w:p w14:paraId="035B6468">
      <w:pPr>
        <w:spacing w:line="240" w:lineRule="auto"/>
        <w:ind w:left="0" w:right="0" w:firstLine="420"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0"/>
          <w:szCs w:val="21"/>
        </w:rPr>
        <w:t>应建立</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多学科诊疗团队，其在二级中心基础上，应进一步包含麻醉科、脊柱科（外科）、心理科等专科成员。</w:t>
      </w:r>
    </w:p>
    <w:p w14:paraId="5FB1942C">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25" w:name="_Toc203680713"/>
      <w:r>
        <w:rPr>
          <w:rFonts w:hint="eastAsia" w:ascii="黑体" w:hAnsi="黑体" w:eastAsia="黑体" w:cs="宋体"/>
          <w:b w:val="0"/>
          <w:bCs w:val="0"/>
          <w:color w:val="000000"/>
          <w:szCs w:val="21"/>
        </w:rPr>
        <w:t>基本设施</w:t>
      </w:r>
      <w:bookmarkEnd w:id="25"/>
      <w:bookmarkStart w:id="26" w:name="_Hlk183809548"/>
    </w:p>
    <w:p w14:paraId="79763918">
      <w:pPr>
        <w:spacing w:line="240" w:lineRule="auto"/>
        <w:ind w:left="0" w:right="0" w:firstLine="420" w:firstLineChars="200"/>
        <w:rPr>
          <w:rFonts w:ascii="Times New Roman" w:hAnsi="Times New Roman" w:eastAsia="宋体" w:cs="宋体"/>
          <w:color w:val="000000"/>
          <w:spacing w:val="0"/>
          <w:szCs w:val="21"/>
        </w:rPr>
      </w:pP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“筛查</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诊断</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治疗”一体化中心业务用房至少应当设有神经肌肉疾病门诊、神经运动功能评估和留观等功能区域，三级中心应具备重症监护病房。提供住院服务的，还应当设有住院病房。住院病房建筑设施符合国家无障碍设计相关标准。</w:t>
      </w:r>
    </w:p>
    <w:p w14:paraId="67156478">
      <w:pPr>
        <w:spacing w:line="240" w:lineRule="auto"/>
        <w:ind w:left="0" w:right="0" w:firstLine="420"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0"/>
          <w:szCs w:val="21"/>
        </w:rPr>
        <w:t>新生儿筛查中心应建立符合国家标准的相应实验室。符合标准的生物样本库。</w:t>
      </w:r>
    </w:p>
    <w:p w14:paraId="6051D033">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27" w:name="_Toc203680714"/>
      <w:r>
        <w:rPr>
          <w:rFonts w:hint="eastAsia" w:ascii="黑体" w:hAnsi="黑体" w:eastAsia="黑体" w:cs="宋体"/>
          <w:b w:val="0"/>
          <w:bCs w:val="0"/>
          <w:color w:val="000000"/>
          <w:szCs w:val="21"/>
        </w:rPr>
        <w:t>专科设备</w:t>
      </w:r>
      <w:bookmarkEnd w:id="24"/>
      <w:bookmarkEnd w:id="27"/>
    </w:p>
    <w:p w14:paraId="3DAD2897">
      <w:pPr>
        <w:spacing w:line="240" w:lineRule="auto"/>
        <w:ind w:left="0" w:right="0" w:firstLine="420" w:firstLineChars="200"/>
        <w:rPr>
          <w:rFonts w:ascii="Times New Roman" w:hAnsi="Times New Roman" w:eastAsia="宋体" w:cs="宋体"/>
          <w:color w:val="000000"/>
          <w:szCs w:val="21"/>
        </w:rPr>
      </w:pPr>
      <w:r>
        <w:rPr>
          <w:rFonts w:hint="eastAsia" w:ascii="Times New Roman" w:hAnsi="Times New Roman" w:eastAsia="宋体" w:cs="宋体"/>
          <w:color w:val="000000"/>
          <w:spacing w:val="0"/>
          <w:szCs w:val="21"/>
        </w:rPr>
        <w:t>根据所开展</w:t>
      </w:r>
      <w:r>
        <w:rPr>
          <w:rFonts w:ascii="Times New Roman" w:hAnsi="Times New Roman" w:eastAsia="宋体" w:cs="宋体"/>
          <w:color w:val="000000"/>
          <w:spacing w:val="0"/>
          <w:szCs w:val="21"/>
        </w:rPr>
        <w:t>SMA</w:t>
      </w:r>
      <w:r>
        <w:rPr>
          <w:rFonts w:hint="eastAsia" w:ascii="Times New Roman" w:hAnsi="Times New Roman" w:eastAsia="宋体" w:cs="宋体"/>
          <w:color w:val="000000"/>
          <w:spacing w:val="0"/>
          <w:szCs w:val="21"/>
        </w:rPr>
        <w:t>“筛查</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诊断</w:t>
      </w:r>
      <w:r>
        <w:rPr>
          <w:rFonts w:ascii="Times New Roman" w:hAnsi="Times New Roman" w:eastAsia="宋体" w:cs="宋体"/>
          <w:color w:val="000000"/>
          <w:spacing w:val="0"/>
          <w:szCs w:val="21"/>
        </w:rPr>
        <w:t>-</w:t>
      </w:r>
      <w:r>
        <w:rPr>
          <w:rFonts w:hint="eastAsia" w:ascii="Times New Roman" w:hAnsi="Times New Roman" w:eastAsia="宋体" w:cs="宋体"/>
          <w:color w:val="000000"/>
          <w:spacing w:val="0"/>
          <w:szCs w:val="21"/>
        </w:rPr>
        <w:t>治疗”一体化中心的等级进行专业设置，配备满足开展业务需要的专科设备。</w:t>
      </w:r>
      <w:r>
        <w:rPr>
          <w:rFonts w:hint="eastAsia" w:ascii="Times New Roman" w:hAnsi="Times New Roman" w:eastAsia="宋体" w:cs="宋体"/>
          <w:color w:val="000000"/>
          <w:szCs w:val="21"/>
        </w:rPr>
        <w:t>依据技术发展，每</w:t>
      </w:r>
      <w:r>
        <w:rPr>
          <w:rFonts w:ascii="Times New Roman" w:hAnsi="Times New Roman" w:eastAsia="宋体" w:cs="宋体"/>
          <w:color w:val="000000"/>
          <w:szCs w:val="21"/>
        </w:rPr>
        <w:t>3-5</w:t>
      </w:r>
      <w:r>
        <w:rPr>
          <w:rFonts w:hint="eastAsia" w:ascii="Times New Roman" w:hAnsi="Times New Roman" w:eastAsia="宋体" w:cs="宋体"/>
          <w:color w:val="000000"/>
          <w:szCs w:val="21"/>
        </w:rPr>
        <w:t>年对核心设备进行性能评估与升级。</w:t>
      </w:r>
    </w:p>
    <w:p w14:paraId="39C383C6">
      <w:pPr>
        <w:spacing w:before="120" w:beforeLines="50" w:after="120" w:afterLines="50" w:line="240" w:lineRule="auto"/>
        <w:ind w:left="0" w:right="0"/>
        <w:rPr>
          <w:rFonts w:ascii="黑体" w:hAnsi="黑体" w:eastAsia="黑体" w:cs="宋体"/>
          <w:color w:val="000000"/>
          <w:spacing w:val="2"/>
          <w:szCs w:val="21"/>
        </w:rPr>
      </w:pPr>
      <w:r>
        <w:rPr>
          <w:rFonts w:ascii="黑体" w:hAnsi="黑体" w:eastAsia="黑体" w:cs="宋体"/>
          <w:color w:val="000000"/>
          <w:spacing w:val="2"/>
          <w:szCs w:val="21"/>
        </w:rPr>
        <w:t xml:space="preserve">8.1 </w:t>
      </w:r>
      <w:r>
        <w:rPr>
          <w:rFonts w:hint="eastAsia" w:ascii="黑体" w:hAnsi="黑体" w:eastAsia="黑体" w:cs="宋体"/>
          <w:color w:val="000000"/>
          <w:spacing w:val="2"/>
          <w:szCs w:val="21"/>
        </w:rPr>
        <w:t>一级中心</w:t>
      </w:r>
    </w:p>
    <w:p w14:paraId="36FB108F">
      <w:pPr>
        <w:spacing w:line="240" w:lineRule="auto"/>
        <w:ind w:left="0" w:right="0" w:firstLine="420" w:firstLineChars="200"/>
        <w:rPr>
          <w:rFonts w:ascii="Times New Roman" w:hAnsi="Times New Roman" w:eastAsia="宋体" w:cs="宋体"/>
          <w:color w:val="000000"/>
          <w:spacing w:val="0"/>
          <w:szCs w:val="21"/>
        </w:rPr>
      </w:pPr>
      <w:r>
        <w:rPr>
          <w:rFonts w:hint="eastAsia" w:ascii="Times New Roman" w:hAnsi="Times New Roman" w:eastAsia="宋体" w:cs="宋体"/>
          <w:color w:val="000000"/>
          <w:spacing w:val="0"/>
          <w:szCs w:val="21"/>
        </w:rPr>
        <w:t>基础设备应包括血生化检测仪。</w:t>
      </w:r>
    </w:p>
    <w:p w14:paraId="4415EAE3">
      <w:pPr>
        <w:spacing w:before="120" w:beforeLines="50" w:after="120" w:afterLines="50" w:line="240" w:lineRule="auto"/>
        <w:ind w:left="0" w:right="0"/>
        <w:rPr>
          <w:rFonts w:ascii="黑体" w:hAnsi="黑体" w:eastAsia="黑体" w:cs="宋体"/>
          <w:color w:val="000000"/>
          <w:spacing w:val="2"/>
          <w:szCs w:val="21"/>
        </w:rPr>
      </w:pPr>
      <w:r>
        <w:rPr>
          <w:rFonts w:ascii="黑体" w:hAnsi="黑体" w:eastAsia="黑体" w:cs="宋体"/>
          <w:color w:val="000000"/>
          <w:spacing w:val="2"/>
          <w:szCs w:val="21"/>
        </w:rPr>
        <w:t xml:space="preserve">8.2 </w:t>
      </w:r>
      <w:r>
        <w:rPr>
          <w:rFonts w:hint="eastAsia" w:ascii="黑体" w:hAnsi="黑体" w:eastAsia="黑体" w:cs="宋体"/>
          <w:color w:val="000000"/>
          <w:spacing w:val="2"/>
          <w:szCs w:val="21"/>
        </w:rPr>
        <w:t>二级中心</w:t>
      </w:r>
    </w:p>
    <w:p w14:paraId="58B70069">
      <w:pPr>
        <w:spacing w:line="240" w:lineRule="auto"/>
        <w:ind w:left="0" w:right="0" w:firstLine="420" w:firstLineChars="200"/>
        <w:rPr>
          <w:rFonts w:ascii="Times New Roman" w:hAnsi="Times New Roman" w:eastAsia="宋体" w:cs="宋体"/>
          <w:color w:val="000000"/>
          <w:spacing w:val="0"/>
          <w:szCs w:val="21"/>
        </w:rPr>
      </w:pPr>
      <w:r>
        <w:rPr>
          <w:rFonts w:hint="eastAsia" w:ascii="Times New Roman" w:hAnsi="Times New Roman" w:eastAsia="宋体" w:cs="宋体"/>
          <w:color w:val="000000"/>
          <w:spacing w:val="0"/>
          <w:szCs w:val="21"/>
        </w:rPr>
        <w:t>基础设备应包括血生化检测仪，配备肌电图、心电图、≥</w:t>
      </w:r>
      <w:r>
        <w:rPr>
          <w:rFonts w:ascii="Times New Roman" w:hAnsi="Times New Roman" w:eastAsia="宋体" w:cs="宋体"/>
          <w:color w:val="000000"/>
          <w:spacing w:val="0"/>
          <w:szCs w:val="21"/>
        </w:rPr>
        <w:t>3.0T</w:t>
      </w:r>
      <w:r>
        <w:rPr>
          <w:rFonts w:hint="eastAsia" w:ascii="Times New Roman" w:hAnsi="Times New Roman" w:eastAsia="宋体" w:cs="宋体"/>
          <w:color w:val="000000"/>
          <w:spacing w:val="0"/>
          <w:szCs w:val="21"/>
        </w:rPr>
        <w:t>核磁共振、彩色超声、肺功能检测仪、双能</w:t>
      </w:r>
      <w:r>
        <w:rPr>
          <w:rFonts w:ascii="Times New Roman" w:hAnsi="Times New Roman" w:eastAsia="宋体" w:cs="宋体"/>
          <w:color w:val="000000"/>
          <w:spacing w:val="0"/>
          <w:szCs w:val="21"/>
        </w:rPr>
        <w:t>X</w:t>
      </w:r>
      <w:r>
        <w:rPr>
          <w:rFonts w:hint="eastAsia" w:ascii="Times New Roman" w:hAnsi="Times New Roman" w:eastAsia="宋体" w:cs="宋体"/>
          <w:color w:val="000000"/>
          <w:spacing w:val="0"/>
          <w:szCs w:val="21"/>
        </w:rPr>
        <w:t>线骨密度检测仪、分子检测所需要的设备（能完成</w:t>
      </w:r>
      <w:r>
        <w:rPr>
          <w:rFonts w:ascii="Times New Roman" w:hAnsi="Times New Roman" w:eastAsia="宋体" w:cs="宋体"/>
          <w:color w:val="000000"/>
          <w:spacing w:val="0"/>
          <w:szCs w:val="21"/>
        </w:rPr>
        <w:t>MLPA</w:t>
      </w:r>
      <w:r>
        <w:rPr>
          <w:rFonts w:hint="eastAsia" w:ascii="Times New Roman" w:hAnsi="Times New Roman" w:eastAsia="宋体" w:cs="宋体"/>
          <w:color w:val="000000"/>
          <w:spacing w:val="0"/>
          <w:szCs w:val="21"/>
        </w:rPr>
        <w:t>、</w:t>
      </w:r>
      <w:r>
        <w:rPr>
          <w:rFonts w:ascii="Times New Roman" w:hAnsi="Times New Roman" w:eastAsia="宋体" w:cs="宋体"/>
          <w:color w:val="000000"/>
          <w:spacing w:val="0"/>
          <w:szCs w:val="21"/>
        </w:rPr>
        <w:t>qPCR</w:t>
      </w:r>
      <w:r>
        <w:rPr>
          <w:rFonts w:hint="eastAsia" w:ascii="Times New Roman" w:hAnsi="Times New Roman" w:eastAsia="宋体" w:cs="宋体"/>
          <w:color w:val="000000"/>
          <w:spacing w:val="0"/>
          <w:szCs w:val="21"/>
        </w:rPr>
        <w:t>等检测）。</w:t>
      </w:r>
    </w:p>
    <w:p w14:paraId="5C036E34">
      <w:pPr>
        <w:spacing w:before="120" w:beforeLines="50" w:after="120" w:afterLines="50" w:line="240" w:lineRule="auto"/>
        <w:ind w:left="0" w:right="0"/>
        <w:rPr>
          <w:rFonts w:ascii="黑体" w:hAnsi="黑体" w:eastAsia="黑体" w:cs="宋体"/>
          <w:color w:val="000000"/>
          <w:spacing w:val="2"/>
          <w:szCs w:val="21"/>
        </w:rPr>
      </w:pPr>
      <w:r>
        <w:rPr>
          <w:rFonts w:ascii="黑体" w:hAnsi="黑体" w:eastAsia="黑体" w:cs="宋体"/>
          <w:color w:val="000000"/>
          <w:spacing w:val="2"/>
          <w:szCs w:val="21"/>
        </w:rPr>
        <w:t xml:space="preserve">8.3 </w:t>
      </w:r>
      <w:r>
        <w:rPr>
          <w:rFonts w:hint="eastAsia" w:ascii="黑体" w:hAnsi="黑体" w:eastAsia="黑体" w:cs="宋体"/>
          <w:color w:val="000000"/>
          <w:spacing w:val="2"/>
          <w:szCs w:val="21"/>
        </w:rPr>
        <w:t>三级中心</w:t>
      </w:r>
    </w:p>
    <w:p w14:paraId="0BC055C3">
      <w:pPr>
        <w:spacing w:line="240" w:lineRule="auto"/>
        <w:ind w:left="0" w:right="0" w:firstLine="420" w:firstLineChars="200"/>
        <w:rPr>
          <w:rFonts w:ascii="Times New Roman" w:hAnsi="Times New Roman" w:eastAsia="宋体" w:cs="宋体"/>
          <w:color w:val="000000"/>
          <w:spacing w:val="2"/>
          <w:szCs w:val="21"/>
        </w:rPr>
      </w:pPr>
      <w:r>
        <w:rPr>
          <w:rFonts w:hint="eastAsia" w:ascii="Times New Roman" w:hAnsi="Times New Roman" w:eastAsia="宋体" w:cs="宋体"/>
          <w:color w:val="000000"/>
          <w:spacing w:val="0"/>
          <w:szCs w:val="21"/>
        </w:rPr>
        <w:t>基础设备应包括血生化检测仪，配备肌电图、心电图、≥</w:t>
      </w:r>
      <w:r>
        <w:rPr>
          <w:rFonts w:ascii="Times New Roman" w:hAnsi="Times New Roman" w:eastAsia="宋体" w:cs="宋体"/>
          <w:color w:val="000000"/>
          <w:spacing w:val="0"/>
          <w:szCs w:val="21"/>
        </w:rPr>
        <w:t>3.0T</w:t>
      </w:r>
      <w:r>
        <w:rPr>
          <w:rFonts w:hint="eastAsia" w:ascii="Times New Roman" w:hAnsi="Times New Roman" w:eastAsia="宋体" w:cs="宋体"/>
          <w:color w:val="000000"/>
          <w:spacing w:val="0"/>
          <w:szCs w:val="21"/>
        </w:rPr>
        <w:t>核磁振、彩色超声、肺功能检测仪、双能</w:t>
      </w:r>
      <w:r>
        <w:rPr>
          <w:rFonts w:ascii="Times New Roman" w:hAnsi="Times New Roman" w:eastAsia="宋体" w:cs="宋体"/>
          <w:color w:val="000000"/>
          <w:spacing w:val="0"/>
          <w:szCs w:val="21"/>
        </w:rPr>
        <w:t>X</w:t>
      </w:r>
      <w:r>
        <w:rPr>
          <w:rFonts w:hint="eastAsia" w:ascii="Times New Roman" w:hAnsi="Times New Roman" w:eastAsia="宋体" w:cs="宋体"/>
          <w:color w:val="000000"/>
          <w:spacing w:val="0"/>
          <w:szCs w:val="21"/>
        </w:rPr>
        <w:t>线骨密度检测仪、分子检测所需要的设备（能完成</w:t>
      </w:r>
      <w:r>
        <w:rPr>
          <w:rFonts w:ascii="Times New Roman" w:hAnsi="Times New Roman" w:eastAsia="宋体" w:cs="宋体"/>
          <w:color w:val="000000"/>
          <w:spacing w:val="0"/>
          <w:szCs w:val="21"/>
        </w:rPr>
        <w:t>MLPA</w:t>
      </w:r>
      <w:r>
        <w:rPr>
          <w:rFonts w:hint="eastAsia" w:ascii="Times New Roman" w:hAnsi="Times New Roman" w:eastAsia="宋体" w:cs="宋体"/>
          <w:color w:val="000000"/>
          <w:spacing w:val="0"/>
          <w:szCs w:val="21"/>
        </w:rPr>
        <w:t>、</w:t>
      </w:r>
      <w:r>
        <w:rPr>
          <w:rFonts w:ascii="Times New Roman" w:hAnsi="Times New Roman" w:eastAsia="宋体" w:cs="宋体"/>
          <w:color w:val="000000"/>
          <w:spacing w:val="0"/>
          <w:szCs w:val="21"/>
        </w:rPr>
        <w:t>qPCR</w:t>
      </w:r>
      <w:r>
        <w:rPr>
          <w:rFonts w:hint="eastAsia" w:ascii="Times New Roman" w:hAnsi="Times New Roman" w:eastAsia="宋体" w:cs="宋体"/>
          <w:color w:val="000000"/>
          <w:spacing w:val="0"/>
          <w:szCs w:val="21"/>
        </w:rPr>
        <w:t>，一代、二代测序等检测）、生物样本库。</w:t>
      </w:r>
      <w:bookmarkEnd w:id="26"/>
    </w:p>
    <w:p w14:paraId="460F80D2">
      <w:pPr>
        <w:pStyle w:val="21"/>
        <w:numPr>
          <w:ilvl w:val="0"/>
          <w:numId w:val="1"/>
        </w:numPr>
        <w:tabs>
          <w:tab w:val="left" w:pos="420"/>
        </w:tabs>
        <w:spacing w:before="240" w:beforeLines="100" w:after="240" w:afterLines="100"/>
        <w:ind w:left="360" w:right="0" w:hanging="360" w:firstLineChars="0"/>
        <w:outlineLvl w:val="0"/>
        <w:rPr>
          <w:rFonts w:hint="eastAsia" w:ascii="黑体" w:hAnsi="黑体" w:eastAsia="黑体" w:cs="宋体"/>
          <w:b w:val="0"/>
          <w:bCs w:val="0"/>
          <w:color w:val="000000"/>
          <w:szCs w:val="21"/>
        </w:rPr>
      </w:pPr>
      <w:bookmarkStart w:id="28" w:name="_Toc203680715"/>
      <w:r>
        <w:rPr>
          <w:rFonts w:hint="eastAsia" w:ascii="黑体" w:hAnsi="黑体" w:eastAsia="黑体" w:cs="宋体"/>
          <w:b w:val="0"/>
          <w:bCs w:val="0"/>
          <w:color w:val="000000"/>
          <w:szCs w:val="21"/>
        </w:rPr>
        <w:t>人员管理</w:t>
      </w:r>
      <w:bookmarkEnd w:id="28"/>
    </w:p>
    <w:p w14:paraId="21F734E4">
      <w:pPr>
        <w:spacing w:before="120" w:beforeLines="50" w:after="120" w:afterLines="50"/>
        <w:ind w:right="0"/>
        <w:rPr>
          <w:rFonts w:ascii="Times New Roman" w:hAnsi="Times New Roman" w:eastAsia="宋体" w:cs="Calibri"/>
          <w:b/>
          <w:bCs/>
          <w:color w:val="000000"/>
          <w:szCs w:val="21"/>
        </w:rPr>
      </w:pPr>
      <w:r>
        <w:rPr>
          <w:rFonts w:ascii="黑体" w:hAnsi="黑体" w:eastAsia="黑体" w:cs="宋体"/>
          <w:b w:val="0"/>
          <w:bCs w:val="0"/>
          <w:color w:val="000000"/>
          <w:spacing w:val="2"/>
          <w:szCs w:val="21"/>
        </w:rPr>
        <w:t xml:space="preserve">9.1 </w:t>
      </w:r>
      <w:r>
        <w:rPr>
          <w:rFonts w:hint="eastAsia" w:ascii="黑体" w:hAnsi="黑体" w:eastAsia="黑体" w:cs="宋体"/>
          <w:b w:val="0"/>
          <w:bCs w:val="0"/>
          <w:color w:val="000000"/>
          <w:spacing w:val="2"/>
          <w:szCs w:val="21"/>
        </w:rPr>
        <w:t>档案管理</w:t>
      </w:r>
    </w:p>
    <w:p w14:paraId="07733988">
      <w:pPr>
        <w:spacing w:line="240" w:lineRule="auto"/>
        <w:ind w:firstLine="420" w:firstLineChars="200"/>
        <w:rPr>
          <w:rFonts w:ascii="Times New Roman" w:hAnsi="Times New Roman" w:eastAsia="宋体" w:cs="Times New Roman"/>
        </w:rPr>
      </w:pPr>
      <w:r>
        <w:rPr>
          <w:rFonts w:hint="eastAsia" w:ascii="Times New Roman" w:hAnsi="Times New Roman" w:eastAsia="宋体" w:cs="宋体"/>
          <w:color w:val="000000"/>
          <w:szCs w:val="21"/>
        </w:rPr>
        <w:t>应及时建立人员电子和纸质档案。人员档案除基本信息外，重点记录专业培训经历、参与诊疗病例数、科研成果等业务能力指标，动态更新档案内容，为人员考核晋升提供全面依据。</w:t>
      </w:r>
    </w:p>
    <w:p w14:paraId="475CFD55">
      <w:pPr>
        <w:spacing w:before="120" w:beforeLines="50" w:after="120" w:afterLines="50" w:line="240" w:lineRule="auto"/>
        <w:ind w:firstLine="0" w:firstLineChars="0"/>
        <w:rPr>
          <w:rFonts w:ascii="Times New Roman" w:hAnsi="Times New Roman" w:eastAsia="宋体" w:cs="Times New Roman"/>
        </w:rPr>
      </w:pPr>
      <w:r>
        <w:rPr>
          <w:rFonts w:ascii="黑体" w:hAnsi="黑体" w:eastAsia="黑体" w:cs="宋体"/>
          <w:b w:val="0"/>
          <w:bCs w:val="0"/>
          <w:color w:val="000000"/>
          <w:spacing w:val="2"/>
          <w:szCs w:val="21"/>
        </w:rPr>
        <w:t xml:space="preserve">9.2 </w:t>
      </w:r>
      <w:r>
        <w:rPr>
          <w:rFonts w:hint="eastAsia" w:ascii="黑体" w:hAnsi="黑体" w:eastAsia="黑体" w:cs="宋体"/>
          <w:b w:val="0"/>
          <w:bCs w:val="0"/>
          <w:color w:val="000000"/>
          <w:spacing w:val="2"/>
          <w:szCs w:val="21"/>
        </w:rPr>
        <w:t>日常管理</w:t>
      </w:r>
    </w:p>
    <w:p w14:paraId="50645886">
      <w:pPr>
        <w:spacing w:line="240" w:lineRule="auto"/>
        <w:ind w:firstLine="420" w:firstLineChars="200"/>
        <w:rPr>
          <w:rFonts w:ascii="Times New Roman" w:hAnsi="Times New Roman" w:eastAsia="宋体" w:cs="宋体"/>
          <w:color w:val="000000"/>
          <w:szCs w:val="21"/>
        </w:rPr>
      </w:pPr>
      <w:r>
        <w:rPr>
          <w:rFonts w:hint="eastAsia" w:ascii="Times New Roman" w:hAnsi="Times New Roman" w:eastAsia="宋体" w:cs="宋体"/>
          <w:color w:val="000000"/>
          <w:szCs w:val="21"/>
        </w:rPr>
        <w:t>日常管理的要求如下：</w:t>
      </w:r>
    </w:p>
    <w:p w14:paraId="34A4EA7E">
      <w:pPr>
        <w:spacing w:after="0" w:line="240" w:lineRule="auto"/>
        <w:ind w:firstLine="420" w:firstLineChars="200"/>
        <w:rPr>
          <w:rFonts w:hint="eastAsia" w:ascii="Times New Roman" w:hAnsi="Times New Roman" w:eastAsia="宋体" w:cs="宋体"/>
          <w:color w:val="000000"/>
          <w:szCs w:val="21"/>
          <w:lang w:eastAsia="zh-CN"/>
        </w:rPr>
      </w:pPr>
      <w:r>
        <w:rPr>
          <w:rFonts w:ascii="Times New Roman" w:hAnsi="Times New Roman" w:eastAsia="宋体" w:cs="宋体"/>
          <w:color w:val="000000"/>
          <w:szCs w:val="21"/>
        </w:rPr>
        <w:t xml:space="preserve">a) </w:t>
      </w:r>
      <w:r>
        <w:rPr>
          <w:rFonts w:hint="eastAsia" w:ascii="Times New Roman" w:hAnsi="Times New Roman" w:eastAsia="宋体" w:cs="宋体"/>
          <w:color w:val="000000"/>
          <w:szCs w:val="21"/>
        </w:rPr>
        <w:t>应建立人员日常管理制度，细化考勤、值班、继续教育等规定，确保医疗工作连续性与人员专业成长</w:t>
      </w:r>
      <w:r>
        <w:rPr>
          <w:rFonts w:hint="eastAsia" w:ascii="Times New Roman" w:hAnsi="Times New Roman" w:eastAsia="宋体" w:cs="宋体"/>
          <w:color w:val="000000"/>
          <w:szCs w:val="21"/>
          <w:lang w:eastAsia="zh-CN"/>
        </w:rPr>
        <w:t>；</w:t>
      </w:r>
    </w:p>
    <w:p w14:paraId="77686474">
      <w:pPr>
        <w:spacing w:line="240" w:lineRule="auto"/>
        <w:ind w:firstLine="420" w:firstLineChars="200"/>
        <w:rPr>
          <w:rFonts w:ascii="Times New Roman" w:hAnsi="Times New Roman" w:eastAsia="宋体" w:cs="宋体"/>
          <w:color w:val="000000"/>
          <w:szCs w:val="21"/>
        </w:rPr>
      </w:pPr>
      <w:r>
        <w:rPr>
          <w:rFonts w:ascii="Times New Roman" w:hAnsi="Times New Roman" w:eastAsia="宋体" w:cs="宋体"/>
          <w:color w:val="000000"/>
          <w:szCs w:val="21"/>
        </w:rPr>
        <w:t xml:space="preserve">b) </w:t>
      </w:r>
      <w:r>
        <w:rPr>
          <w:rFonts w:hint="eastAsia" w:ascii="Times New Roman" w:hAnsi="Times New Roman" w:eastAsia="宋体" w:cs="宋体"/>
          <w:color w:val="000000"/>
          <w:szCs w:val="21"/>
        </w:rPr>
        <w:t>撰写患者治疗工作报告等，明确规范报告内容框架、数据收集标准与分析方法，要求定期上报并归档，为医疗质量改进提供数据支撑。</w:t>
      </w:r>
    </w:p>
    <w:p w14:paraId="11079B65">
      <w:pPr>
        <w:widowControl/>
        <w:jc w:val="left"/>
        <w:rPr>
          <w:rFonts w:ascii="Times New Roman" w:hAnsi="Times New Roman" w:eastAsia="宋体"/>
        </w:rPr>
      </w:pPr>
      <w:r>
        <w:rPr>
          <w:rFonts w:ascii="Times New Roman" w:hAnsi="Times New Roman" w:eastAsia="宋体"/>
        </w:rPr>
        <w:br w:type="page"/>
      </w:r>
    </w:p>
    <w:p w14:paraId="2AD0B4A0">
      <w:pPr>
        <w:jc w:val="center"/>
        <w:outlineLvl w:val="0"/>
        <w:rPr>
          <w:rFonts w:hint="eastAsia" w:ascii="黑体" w:hAnsi="黑体" w:eastAsia="黑体" w:cs="黑体"/>
        </w:rPr>
      </w:pPr>
      <w:bookmarkStart w:id="29" w:name="_Toc203680716"/>
      <w:r>
        <w:rPr>
          <w:rFonts w:hint="eastAsia" w:ascii="黑体" w:hAnsi="黑体" w:eastAsia="黑体" w:cs="黑体"/>
        </w:rPr>
        <w:t>附 录 A</w:t>
      </w:r>
      <w:bookmarkEnd w:id="29"/>
    </w:p>
    <w:p w14:paraId="7E9BC318">
      <w:pPr>
        <w:jc w:val="center"/>
        <w:outlineLvl w:val="0"/>
        <w:rPr>
          <w:rFonts w:ascii="Times New Roman" w:hAnsi="Times New Roman" w:eastAsia="黑体" w:cs="Times New Roman"/>
        </w:rPr>
      </w:pPr>
      <w:bookmarkStart w:id="30" w:name="_Toc203680717"/>
      <w:r>
        <w:rPr>
          <w:rFonts w:ascii="Times New Roman" w:hAnsi="Times New Roman" w:eastAsia="黑体" w:cs="Times New Roman"/>
        </w:rPr>
        <w:t>(</w:t>
      </w:r>
      <w:r>
        <w:rPr>
          <w:rFonts w:hint="eastAsia" w:ascii="Times New Roman" w:hAnsi="Times New Roman" w:eastAsia="黑体" w:cs="Times New Roman"/>
        </w:rPr>
        <w:t>资料性</w:t>
      </w:r>
      <w:r>
        <w:rPr>
          <w:rFonts w:ascii="Times New Roman" w:hAnsi="Times New Roman" w:eastAsia="黑体" w:cs="Times New Roman"/>
        </w:rPr>
        <w:t>)</w:t>
      </w:r>
      <w:bookmarkEnd w:id="30"/>
    </w:p>
    <w:p w14:paraId="66C29F67">
      <w:pPr>
        <w:keepNext w:val="0"/>
        <w:keepLines w:val="0"/>
        <w:pageBreakBefore w:val="0"/>
        <w:widowControl w:val="0"/>
        <w:kinsoku/>
        <w:wordWrap/>
        <w:overflowPunct/>
        <w:topLinePunct w:val="0"/>
        <w:autoSpaceDE/>
        <w:autoSpaceDN/>
        <w:bidi w:val="0"/>
        <w:adjustRightInd/>
        <w:snapToGrid/>
        <w:spacing w:after="283"/>
        <w:jc w:val="center"/>
        <w:textAlignment w:val="auto"/>
        <w:outlineLvl w:val="0"/>
        <w:rPr>
          <w:rFonts w:ascii="Times New Roman" w:hAnsi="Times New Roman" w:eastAsia="宋体"/>
        </w:rPr>
      </w:pPr>
      <w:bookmarkStart w:id="31" w:name="_Toc203680718"/>
      <w:r>
        <w:rPr>
          <w:rFonts w:ascii="Times New Roman" w:hAnsi="Times New Roman" w:eastAsia="黑体" w:cs="Times New Roman"/>
        </w:rPr>
        <w:t>SMA</w:t>
      </w:r>
      <w:r>
        <w:rPr>
          <w:rFonts w:hint="eastAsia" w:ascii="Times New Roman" w:hAnsi="Times New Roman" w:eastAsia="黑体" w:cs="Times New Roman"/>
        </w:rPr>
        <w:t>随访管理表</w:t>
      </w:r>
      <w:bookmarkEnd w:id="31"/>
    </w:p>
    <w:p w14:paraId="62748DF7">
      <w:pPr>
        <w:ind w:firstLine="420" w:firstLineChars="200"/>
        <w:rPr>
          <w:rFonts w:hint="eastAsia" w:ascii="Times New Roman" w:hAnsi="Times New Roman" w:eastAsia="宋体" w:cs="Times New Roman"/>
          <w:b w:val="0"/>
          <w:bCs w:val="0"/>
        </w:rPr>
      </w:pPr>
      <w:r>
        <w:rPr>
          <w:rFonts w:hint="eastAsia" w:ascii="Times New Roman" w:hAnsi="Times New Roman" w:eastAsia="宋体" w:cs="Times New Roman"/>
          <w:b w:val="0"/>
          <w:bCs w:val="0"/>
        </w:rPr>
        <w:t>推荐：长期管理，优先选择【一城一医】小程序随访管理SMA患者。本小程序属于中国研究医院学会所有，委托第三方运营维护，数据签署安全保密协议。</w:t>
      </w:r>
    </w:p>
    <w:p w14:paraId="7039FE56">
      <w:pPr>
        <w:rPr>
          <w:rFonts w:ascii="Times New Roman" w:hAnsi="Times New Roman" w:eastAsia="宋体"/>
        </w:rPr>
      </w:pPr>
    </w:p>
    <w:p w14:paraId="37F5D23D">
      <w:pPr>
        <w:spacing w:before="117" w:line="220" w:lineRule="auto"/>
      </w:pPr>
      <w:r>
        <w:rPr>
          <w:rFonts w:hint="eastAsia" w:ascii="Times New Roman" w:hAnsi="Times New Roman" w:eastAsia="宋体" w:cs="宋体"/>
          <w:spacing w:val="-10"/>
          <w:sz w:val="21"/>
          <w:szCs w:val="21"/>
        </w:rPr>
        <w:t>编号</w:t>
      </w:r>
      <w:r>
        <w:rPr>
          <w:rFonts w:ascii="Times New Roman" w:hAnsi="Times New Roman" w:eastAsia="宋体" w:cs="宋体"/>
          <w:spacing w:val="-56"/>
          <w:sz w:val="21"/>
          <w:szCs w:val="21"/>
        </w:rPr>
        <w:t xml:space="preserve"> </w:t>
      </w:r>
      <w:r>
        <w:rPr>
          <w:rFonts w:ascii="Times New Roman" w:hAnsi="Times New Roman" w:eastAsia="宋体" w:cs="Calibri"/>
          <w:spacing w:val="-10"/>
          <w:sz w:val="21"/>
          <w:szCs w:val="21"/>
        </w:rPr>
        <w:t>No.</w:t>
      </w:r>
      <w:r>
        <w:rPr>
          <w:rFonts w:ascii="Times New Roman" w:hAnsi="Times New Roman" w:eastAsia="宋体" w:cs="Calibri"/>
          <w:sz w:val="21"/>
          <w:szCs w:val="21"/>
          <w:u w:val="single"/>
        </w:rPr>
        <w:t xml:space="preserve">       </w:t>
      </w:r>
    </w:p>
    <w:p w14:paraId="6C8F3BB5">
      <w:pPr>
        <w:spacing w:before="120" w:beforeLines="50" w:after="120" w:afterLines="50" w:line="240" w:lineRule="auto"/>
        <w:ind w:firstLine="0" w:firstLineChars="0"/>
        <w:jc w:val="center"/>
        <w:outlineLvl w:val="9"/>
        <w:rPr>
          <w:rFonts w:ascii="Times New Roman" w:hAnsi="Times New Roman" w:eastAsia="宋体" w:cs="宋体"/>
          <w:b/>
          <w:bCs/>
          <w:spacing w:val="-11"/>
          <w:sz w:val="32"/>
          <w:szCs w:val="32"/>
        </w:rPr>
      </w:pPr>
      <w:r>
        <w:rPr>
          <w:rFonts w:hint="eastAsia" w:ascii="Times New Roman" w:hAnsi="Times New Roman" w:eastAsia="宋体" w:cs="宋体"/>
          <w:b/>
          <w:bCs/>
          <w:spacing w:val="-11"/>
          <w:sz w:val="32"/>
          <w:szCs w:val="32"/>
        </w:rPr>
        <w:t>脊髓性肌萎缩症</w:t>
      </w:r>
      <w:r>
        <w:rPr>
          <w:rFonts w:ascii="Times New Roman" w:hAnsi="Times New Roman" w:eastAsia="宋体" w:cs="宋体"/>
          <w:b/>
          <w:bCs/>
          <w:spacing w:val="-11"/>
          <w:sz w:val="32"/>
          <w:szCs w:val="32"/>
        </w:rPr>
        <w:t>患者诊疗</w:t>
      </w:r>
      <w:r>
        <w:rPr>
          <w:rFonts w:hint="eastAsia" w:ascii="Times New Roman" w:hAnsi="Times New Roman" w:eastAsia="宋体" w:cs="宋体"/>
          <w:b/>
          <w:bCs/>
          <w:spacing w:val="-11"/>
          <w:sz w:val="32"/>
          <w:szCs w:val="32"/>
        </w:rPr>
        <w:t>登记</w:t>
      </w:r>
      <w:r>
        <w:rPr>
          <w:rFonts w:ascii="Times New Roman" w:hAnsi="Times New Roman" w:eastAsia="宋体" w:cs="宋体"/>
          <w:b/>
          <w:bCs/>
          <w:spacing w:val="-11"/>
          <w:sz w:val="32"/>
          <w:szCs w:val="32"/>
        </w:rPr>
        <w:t>表</w:t>
      </w:r>
    </w:p>
    <w:p w14:paraId="4DF28EE1">
      <w:pPr>
        <w:spacing w:before="61"/>
        <w:rPr>
          <w:rFonts w:ascii="Times New Roman" w:hAnsi="Times New Roman" w:eastAsia="宋体"/>
        </w:rPr>
      </w:pPr>
    </w:p>
    <w:tbl>
      <w:tblPr>
        <w:tblStyle w:val="25"/>
        <w:tblW w:w="8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3"/>
        <w:gridCol w:w="1304"/>
        <w:gridCol w:w="1714"/>
        <w:gridCol w:w="1642"/>
        <w:gridCol w:w="282"/>
        <w:gridCol w:w="1090"/>
        <w:gridCol w:w="1651"/>
      </w:tblGrid>
      <w:tr w14:paraId="08CF0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43" w:type="dxa"/>
            <w:tcBorders>
              <w:tl2br w:val="nil"/>
              <w:tr2bl w:val="nil"/>
            </w:tcBorders>
          </w:tcPr>
          <w:p w14:paraId="6D603EF4">
            <w:pPr>
              <w:pStyle w:val="24"/>
              <w:spacing w:before="0" w:line="240" w:lineRule="auto"/>
              <w:ind w:left="0"/>
              <w:jc w:val="center"/>
              <w:rPr>
                <w:rFonts w:hint="eastAsia" w:ascii="宋体" w:hAnsi="宋体" w:eastAsia="宋体" w:cs="宋体"/>
                <w:b/>
                <w:bCs/>
                <w:sz w:val="18"/>
                <w:szCs w:val="18"/>
              </w:rPr>
            </w:pPr>
            <w:r>
              <w:rPr>
                <w:rFonts w:hint="eastAsia" w:ascii="宋体" w:hAnsi="宋体" w:eastAsia="宋体" w:cs="宋体"/>
                <w:b/>
                <w:bCs/>
                <w:spacing w:val="-2"/>
                <w:sz w:val="18"/>
                <w:szCs w:val="18"/>
              </w:rPr>
              <w:t>姓名</w:t>
            </w:r>
          </w:p>
        </w:tc>
        <w:tc>
          <w:tcPr>
            <w:tcW w:w="1304" w:type="dxa"/>
            <w:tcBorders>
              <w:tl2br w:val="nil"/>
              <w:tr2bl w:val="nil"/>
            </w:tcBorders>
          </w:tcPr>
          <w:p w14:paraId="205C0217">
            <w:pPr>
              <w:jc w:val="center"/>
              <w:rPr>
                <w:rFonts w:hint="eastAsia" w:ascii="宋体" w:hAnsi="宋体" w:eastAsia="宋体" w:cs="宋体"/>
                <w:b/>
                <w:bCs/>
                <w:sz w:val="18"/>
                <w:szCs w:val="18"/>
              </w:rPr>
            </w:pPr>
          </w:p>
        </w:tc>
        <w:tc>
          <w:tcPr>
            <w:tcW w:w="1714" w:type="dxa"/>
            <w:tcBorders>
              <w:tl2br w:val="nil"/>
              <w:tr2bl w:val="nil"/>
            </w:tcBorders>
          </w:tcPr>
          <w:p w14:paraId="04C8F21E">
            <w:pPr>
              <w:pStyle w:val="24"/>
              <w:spacing w:before="0" w:line="240" w:lineRule="auto"/>
              <w:ind w:left="0"/>
              <w:jc w:val="center"/>
              <w:rPr>
                <w:rFonts w:hint="eastAsia" w:ascii="宋体" w:hAnsi="宋体" w:eastAsia="宋体" w:cs="宋体"/>
                <w:b/>
                <w:bCs/>
                <w:sz w:val="18"/>
                <w:szCs w:val="18"/>
              </w:rPr>
            </w:pPr>
            <w:r>
              <w:rPr>
                <w:rFonts w:hint="eastAsia" w:ascii="宋体" w:hAnsi="宋体" w:eastAsia="宋体" w:cs="宋体"/>
                <w:b/>
                <w:bCs/>
                <w:spacing w:val="-3"/>
                <w:sz w:val="18"/>
                <w:szCs w:val="18"/>
              </w:rPr>
              <w:t>性别</w:t>
            </w:r>
          </w:p>
        </w:tc>
        <w:tc>
          <w:tcPr>
            <w:tcW w:w="1642" w:type="dxa"/>
            <w:tcBorders>
              <w:tl2br w:val="nil"/>
              <w:tr2bl w:val="nil"/>
            </w:tcBorders>
          </w:tcPr>
          <w:p w14:paraId="2BFD207F">
            <w:pPr>
              <w:jc w:val="center"/>
              <w:rPr>
                <w:rFonts w:hint="eastAsia" w:ascii="宋体" w:hAnsi="宋体" w:eastAsia="宋体" w:cs="宋体"/>
                <w:b/>
                <w:bCs/>
                <w:sz w:val="18"/>
                <w:szCs w:val="18"/>
              </w:rPr>
            </w:pPr>
          </w:p>
        </w:tc>
        <w:tc>
          <w:tcPr>
            <w:tcW w:w="1372" w:type="dxa"/>
            <w:gridSpan w:val="2"/>
            <w:tcBorders>
              <w:tl2br w:val="nil"/>
              <w:tr2bl w:val="nil"/>
            </w:tcBorders>
          </w:tcPr>
          <w:p w14:paraId="28D47970">
            <w:pPr>
              <w:pStyle w:val="24"/>
              <w:spacing w:before="0" w:line="240" w:lineRule="auto"/>
              <w:ind w:left="0"/>
              <w:jc w:val="center"/>
              <w:rPr>
                <w:rFonts w:hint="eastAsia" w:ascii="宋体" w:hAnsi="宋体" w:eastAsia="宋体" w:cs="宋体"/>
                <w:b/>
                <w:bCs/>
                <w:sz w:val="18"/>
                <w:szCs w:val="18"/>
              </w:rPr>
            </w:pPr>
            <w:r>
              <w:rPr>
                <w:rFonts w:hint="eastAsia" w:ascii="宋体" w:hAnsi="宋体" w:eastAsia="宋体" w:cs="宋体"/>
                <w:b/>
                <w:bCs/>
                <w:spacing w:val="-7"/>
                <w:sz w:val="18"/>
                <w:szCs w:val="18"/>
              </w:rPr>
              <w:t>门诊号</w:t>
            </w:r>
            <w:r>
              <w:rPr>
                <w:rFonts w:hint="eastAsia" w:ascii="宋体" w:hAnsi="宋体" w:eastAsia="宋体" w:cs="宋体"/>
                <w:b/>
                <w:bCs/>
                <w:spacing w:val="-7"/>
                <w:sz w:val="18"/>
                <w:szCs w:val="18"/>
                <w:lang w:eastAsia="zh-CN"/>
              </w:rPr>
              <w:t>/住院号</w:t>
            </w:r>
          </w:p>
        </w:tc>
        <w:tc>
          <w:tcPr>
            <w:tcW w:w="1651" w:type="dxa"/>
            <w:tcBorders>
              <w:tl2br w:val="nil"/>
              <w:tr2bl w:val="nil"/>
            </w:tcBorders>
          </w:tcPr>
          <w:p w14:paraId="7A43743B">
            <w:pPr>
              <w:rPr>
                <w:rFonts w:hint="eastAsia" w:ascii="宋体" w:hAnsi="宋体" w:eastAsia="宋体" w:cs="宋体"/>
                <w:sz w:val="18"/>
                <w:szCs w:val="18"/>
              </w:rPr>
            </w:pPr>
          </w:p>
        </w:tc>
      </w:tr>
      <w:tr w14:paraId="097F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243" w:type="dxa"/>
            <w:tcBorders>
              <w:tl2br w:val="nil"/>
              <w:tr2bl w:val="nil"/>
            </w:tcBorders>
          </w:tcPr>
          <w:p w14:paraId="08F15E72">
            <w:pPr>
              <w:pStyle w:val="24"/>
              <w:spacing w:before="0" w:line="240" w:lineRule="auto"/>
              <w:jc w:val="center"/>
              <w:rPr>
                <w:rFonts w:hint="eastAsia" w:ascii="宋体" w:hAnsi="宋体" w:eastAsia="宋体" w:cs="宋体"/>
                <w:b/>
                <w:bCs/>
                <w:sz w:val="18"/>
                <w:szCs w:val="18"/>
                <w:lang w:eastAsia="zh-CN"/>
              </w:rPr>
            </w:pPr>
            <w:r>
              <w:rPr>
                <w:rFonts w:hint="eastAsia" w:ascii="宋体" w:hAnsi="宋体" w:eastAsia="宋体" w:cs="宋体"/>
                <w:b/>
                <w:bCs/>
                <w:sz w:val="18"/>
                <w:szCs w:val="18"/>
              </w:rPr>
              <w:t>出生日期</w:t>
            </w:r>
          </w:p>
        </w:tc>
        <w:tc>
          <w:tcPr>
            <w:tcW w:w="1304" w:type="dxa"/>
            <w:tcBorders>
              <w:tl2br w:val="nil"/>
              <w:tr2bl w:val="nil"/>
            </w:tcBorders>
          </w:tcPr>
          <w:p w14:paraId="2EC0F99B">
            <w:pPr>
              <w:jc w:val="center"/>
              <w:rPr>
                <w:rFonts w:hint="eastAsia" w:ascii="宋体" w:hAnsi="宋体" w:eastAsia="宋体" w:cs="宋体"/>
                <w:b/>
                <w:bCs/>
                <w:sz w:val="18"/>
                <w:szCs w:val="18"/>
              </w:rPr>
            </w:pPr>
          </w:p>
        </w:tc>
        <w:tc>
          <w:tcPr>
            <w:tcW w:w="1714" w:type="dxa"/>
            <w:tcBorders>
              <w:tl2br w:val="nil"/>
              <w:tr2bl w:val="nil"/>
            </w:tcBorders>
          </w:tcPr>
          <w:p w14:paraId="3C348002">
            <w:pPr>
              <w:pStyle w:val="24"/>
              <w:spacing w:before="0" w:line="240" w:lineRule="auto"/>
              <w:jc w:val="center"/>
              <w:rPr>
                <w:rFonts w:hint="eastAsia" w:ascii="宋体" w:hAnsi="宋体" w:eastAsia="宋体" w:cs="宋体"/>
                <w:b/>
                <w:bCs/>
                <w:sz w:val="18"/>
                <w:szCs w:val="18"/>
                <w:lang w:eastAsia="zh-CN"/>
              </w:rPr>
            </w:pPr>
            <w:r>
              <w:rPr>
                <w:rFonts w:hint="eastAsia" w:ascii="宋体" w:hAnsi="宋体" w:eastAsia="宋体" w:cs="宋体"/>
                <w:b/>
                <w:bCs/>
                <w:spacing w:val="-1"/>
                <w:sz w:val="18"/>
                <w:szCs w:val="18"/>
                <w:lang w:eastAsia="zh-CN"/>
              </w:rPr>
              <w:t>新筛阳性/发病日期</w:t>
            </w:r>
          </w:p>
        </w:tc>
        <w:tc>
          <w:tcPr>
            <w:tcW w:w="1642" w:type="dxa"/>
            <w:tcBorders>
              <w:tl2br w:val="nil"/>
              <w:tr2bl w:val="nil"/>
            </w:tcBorders>
          </w:tcPr>
          <w:p w14:paraId="451F9841">
            <w:pPr>
              <w:jc w:val="center"/>
              <w:rPr>
                <w:rFonts w:hint="eastAsia" w:ascii="宋体" w:hAnsi="宋体" w:eastAsia="宋体" w:cs="宋体"/>
                <w:b/>
                <w:bCs/>
                <w:sz w:val="18"/>
                <w:szCs w:val="18"/>
              </w:rPr>
            </w:pPr>
            <w:r>
              <w:rPr>
                <w:rFonts w:hint="eastAsia" w:ascii="宋体" w:hAnsi="宋体" w:eastAsia="宋体" w:cs="宋体"/>
                <w:b/>
                <w:bCs/>
                <w:sz w:val="18"/>
                <w:szCs w:val="18"/>
              </w:rPr>
              <w:t>要标注</w:t>
            </w:r>
          </w:p>
        </w:tc>
        <w:tc>
          <w:tcPr>
            <w:tcW w:w="1372" w:type="dxa"/>
            <w:gridSpan w:val="2"/>
            <w:tcBorders>
              <w:tl2br w:val="nil"/>
              <w:tr2bl w:val="nil"/>
            </w:tcBorders>
          </w:tcPr>
          <w:p w14:paraId="6820D30C">
            <w:pPr>
              <w:pStyle w:val="24"/>
              <w:spacing w:before="0" w:line="240" w:lineRule="auto"/>
              <w:ind w:left="0"/>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就诊日期</w:t>
            </w:r>
          </w:p>
        </w:tc>
        <w:tc>
          <w:tcPr>
            <w:tcW w:w="1651" w:type="dxa"/>
            <w:tcBorders>
              <w:tl2br w:val="nil"/>
              <w:tr2bl w:val="nil"/>
            </w:tcBorders>
          </w:tcPr>
          <w:p w14:paraId="4E4D609B">
            <w:pPr>
              <w:rPr>
                <w:rFonts w:hint="eastAsia" w:ascii="宋体" w:hAnsi="宋体" w:eastAsia="宋体" w:cs="宋体"/>
                <w:sz w:val="18"/>
                <w:szCs w:val="18"/>
              </w:rPr>
            </w:pPr>
          </w:p>
        </w:tc>
      </w:tr>
      <w:tr w14:paraId="29842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243" w:type="dxa"/>
            <w:tcBorders>
              <w:tl2br w:val="nil"/>
              <w:tr2bl w:val="nil"/>
            </w:tcBorders>
          </w:tcPr>
          <w:p w14:paraId="0BCEF29A">
            <w:pPr>
              <w:pStyle w:val="24"/>
              <w:spacing w:before="0" w:line="240" w:lineRule="auto"/>
              <w:ind w:left="0"/>
              <w:jc w:val="center"/>
              <w:rPr>
                <w:rFonts w:hint="eastAsia" w:ascii="宋体" w:hAnsi="宋体" w:eastAsia="宋体" w:cs="宋体"/>
                <w:b/>
                <w:bCs/>
                <w:sz w:val="18"/>
                <w:szCs w:val="18"/>
              </w:rPr>
            </w:pPr>
            <w:r>
              <w:rPr>
                <w:rFonts w:hint="eastAsia" w:ascii="宋体" w:hAnsi="宋体" w:eastAsia="宋体" w:cs="宋体"/>
                <w:b/>
                <w:bCs/>
                <w:spacing w:val="-3"/>
                <w:sz w:val="18"/>
                <w:szCs w:val="18"/>
              </w:rPr>
              <w:t>身高</w:t>
            </w:r>
          </w:p>
        </w:tc>
        <w:tc>
          <w:tcPr>
            <w:tcW w:w="1304" w:type="dxa"/>
            <w:tcBorders>
              <w:tl2br w:val="nil"/>
              <w:tr2bl w:val="nil"/>
            </w:tcBorders>
          </w:tcPr>
          <w:p w14:paraId="1D3DBA1D">
            <w:pPr>
              <w:jc w:val="center"/>
              <w:rPr>
                <w:rFonts w:hint="eastAsia" w:ascii="宋体" w:hAnsi="宋体" w:eastAsia="宋体" w:cs="宋体"/>
                <w:b/>
                <w:bCs/>
                <w:sz w:val="18"/>
                <w:szCs w:val="18"/>
              </w:rPr>
            </w:pPr>
          </w:p>
        </w:tc>
        <w:tc>
          <w:tcPr>
            <w:tcW w:w="1714" w:type="dxa"/>
            <w:tcBorders>
              <w:tl2br w:val="nil"/>
              <w:tr2bl w:val="nil"/>
            </w:tcBorders>
          </w:tcPr>
          <w:p w14:paraId="6419BEE7">
            <w:pPr>
              <w:pStyle w:val="24"/>
              <w:spacing w:before="0" w:line="240" w:lineRule="auto"/>
              <w:ind w:left="0"/>
              <w:jc w:val="center"/>
              <w:rPr>
                <w:rFonts w:hint="eastAsia" w:ascii="宋体" w:hAnsi="宋体" w:eastAsia="宋体" w:cs="宋体"/>
                <w:b/>
                <w:bCs/>
                <w:sz w:val="18"/>
                <w:szCs w:val="18"/>
              </w:rPr>
            </w:pPr>
            <w:r>
              <w:rPr>
                <w:rFonts w:hint="eastAsia" w:ascii="宋体" w:hAnsi="宋体" w:eastAsia="宋体" w:cs="宋体"/>
                <w:b/>
                <w:bCs/>
                <w:spacing w:val="-2"/>
                <w:sz w:val="18"/>
                <w:szCs w:val="18"/>
              </w:rPr>
              <w:t>体重</w:t>
            </w:r>
          </w:p>
        </w:tc>
        <w:tc>
          <w:tcPr>
            <w:tcW w:w="1642" w:type="dxa"/>
            <w:tcBorders>
              <w:tl2br w:val="nil"/>
              <w:tr2bl w:val="nil"/>
            </w:tcBorders>
          </w:tcPr>
          <w:p w14:paraId="4ABD91FD">
            <w:pPr>
              <w:jc w:val="center"/>
              <w:rPr>
                <w:rFonts w:hint="eastAsia" w:ascii="宋体" w:hAnsi="宋体" w:eastAsia="宋体" w:cs="宋体"/>
                <w:b/>
                <w:bCs/>
                <w:sz w:val="18"/>
                <w:szCs w:val="18"/>
              </w:rPr>
            </w:pPr>
          </w:p>
        </w:tc>
        <w:tc>
          <w:tcPr>
            <w:tcW w:w="1372" w:type="dxa"/>
            <w:gridSpan w:val="2"/>
            <w:tcBorders>
              <w:tl2br w:val="nil"/>
              <w:tr2bl w:val="nil"/>
            </w:tcBorders>
          </w:tcPr>
          <w:p w14:paraId="65966A3A">
            <w:pPr>
              <w:pStyle w:val="24"/>
              <w:spacing w:before="0" w:line="240" w:lineRule="auto"/>
              <w:ind w:left="0"/>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确诊日期</w:t>
            </w:r>
          </w:p>
          <w:p w14:paraId="567632AC">
            <w:pPr>
              <w:pStyle w:val="24"/>
              <w:spacing w:before="0" w:line="240" w:lineRule="auto"/>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（基因报告日期）</w:t>
            </w:r>
          </w:p>
        </w:tc>
        <w:tc>
          <w:tcPr>
            <w:tcW w:w="1651" w:type="dxa"/>
            <w:tcBorders>
              <w:tl2br w:val="nil"/>
              <w:tr2bl w:val="nil"/>
            </w:tcBorders>
          </w:tcPr>
          <w:p w14:paraId="0F82D724">
            <w:pPr>
              <w:rPr>
                <w:rFonts w:hint="eastAsia" w:ascii="宋体" w:hAnsi="宋体" w:eastAsia="宋体" w:cs="宋体"/>
                <w:sz w:val="18"/>
                <w:szCs w:val="18"/>
              </w:rPr>
            </w:pPr>
          </w:p>
        </w:tc>
      </w:tr>
      <w:tr w14:paraId="06FE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243" w:type="dxa"/>
            <w:tcBorders>
              <w:tl2br w:val="nil"/>
              <w:tr2bl w:val="nil"/>
            </w:tcBorders>
            <w:vAlign w:val="center"/>
          </w:tcPr>
          <w:p w14:paraId="129AE481">
            <w:pPr>
              <w:pStyle w:val="24"/>
              <w:spacing w:before="0" w:line="240" w:lineRule="auto"/>
              <w:ind w:left="0"/>
              <w:jc w:val="center"/>
              <w:rPr>
                <w:rFonts w:hint="eastAsia" w:ascii="宋体" w:hAnsi="宋体" w:eastAsia="宋体" w:cs="宋体"/>
                <w:b/>
                <w:bCs/>
                <w:spacing w:val="-3"/>
                <w:sz w:val="18"/>
                <w:szCs w:val="18"/>
              </w:rPr>
            </w:pPr>
            <w:r>
              <w:rPr>
                <w:rStyle w:val="32"/>
                <w:rFonts w:hint="eastAsia" w:ascii="宋体" w:hAnsi="宋体" w:eastAsia="宋体" w:cs="宋体"/>
                <w:sz w:val="18"/>
                <w:szCs w:val="18"/>
              </w:rPr>
              <w:t>联系电话</w:t>
            </w:r>
          </w:p>
        </w:tc>
        <w:tc>
          <w:tcPr>
            <w:tcW w:w="1304" w:type="dxa"/>
            <w:tcBorders>
              <w:tl2br w:val="nil"/>
              <w:tr2bl w:val="nil"/>
            </w:tcBorders>
            <w:vAlign w:val="center"/>
          </w:tcPr>
          <w:p w14:paraId="5B3CE388">
            <w:pPr>
              <w:jc w:val="center"/>
              <w:rPr>
                <w:rFonts w:hint="eastAsia" w:ascii="宋体" w:hAnsi="宋体" w:eastAsia="宋体" w:cs="宋体"/>
                <w:b/>
                <w:bCs/>
                <w:sz w:val="18"/>
                <w:szCs w:val="18"/>
              </w:rPr>
            </w:pPr>
          </w:p>
        </w:tc>
        <w:tc>
          <w:tcPr>
            <w:tcW w:w="1714" w:type="dxa"/>
            <w:tcBorders>
              <w:tl2br w:val="nil"/>
              <w:tr2bl w:val="nil"/>
            </w:tcBorders>
            <w:vAlign w:val="center"/>
          </w:tcPr>
          <w:p w14:paraId="49F1BADD">
            <w:pPr>
              <w:pStyle w:val="24"/>
              <w:spacing w:before="0" w:line="240" w:lineRule="auto"/>
              <w:ind w:left="0"/>
              <w:jc w:val="center"/>
              <w:rPr>
                <w:rFonts w:hint="eastAsia" w:ascii="宋体" w:hAnsi="宋体" w:eastAsia="宋体" w:cs="宋体"/>
                <w:b/>
                <w:bCs/>
                <w:spacing w:val="-2"/>
                <w:sz w:val="18"/>
                <w:szCs w:val="18"/>
              </w:rPr>
            </w:pPr>
            <w:r>
              <w:rPr>
                <w:rStyle w:val="32"/>
                <w:rFonts w:hint="eastAsia" w:ascii="宋体" w:hAnsi="宋体" w:eastAsia="宋体" w:cs="宋体"/>
                <w:sz w:val="18"/>
                <w:szCs w:val="18"/>
              </w:rPr>
              <w:t>地址</w:t>
            </w:r>
          </w:p>
        </w:tc>
        <w:tc>
          <w:tcPr>
            <w:tcW w:w="1642" w:type="dxa"/>
            <w:tcBorders>
              <w:tl2br w:val="nil"/>
              <w:tr2bl w:val="nil"/>
            </w:tcBorders>
            <w:vAlign w:val="center"/>
          </w:tcPr>
          <w:p w14:paraId="599A7DAF">
            <w:pPr>
              <w:jc w:val="center"/>
              <w:rPr>
                <w:rFonts w:hint="eastAsia" w:ascii="宋体" w:hAnsi="宋体" w:eastAsia="宋体" w:cs="宋体"/>
                <w:b/>
                <w:bCs/>
                <w:sz w:val="18"/>
                <w:szCs w:val="18"/>
              </w:rPr>
            </w:pPr>
          </w:p>
        </w:tc>
        <w:tc>
          <w:tcPr>
            <w:tcW w:w="1372" w:type="dxa"/>
            <w:gridSpan w:val="2"/>
            <w:tcBorders>
              <w:tl2br w:val="nil"/>
              <w:tr2bl w:val="nil"/>
            </w:tcBorders>
            <w:vAlign w:val="center"/>
          </w:tcPr>
          <w:p w14:paraId="16D494C5">
            <w:pPr>
              <w:pStyle w:val="24"/>
              <w:spacing w:before="0" w:line="240" w:lineRule="auto"/>
              <w:ind w:left="0"/>
              <w:jc w:val="center"/>
              <w:rPr>
                <w:rFonts w:hint="eastAsia" w:ascii="宋体" w:hAnsi="宋体" w:eastAsia="宋体" w:cs="宋体"/>
                <w:b/>
                <w:bCs/>
                <w:sz w:val="18"/>
                <w:szCs w:val="18"/>
                <w:lang w:eastAsia="zh-CN"/>
              </w:rPr>
            </w:pPr>
            <w:r>
              <w:rPr>
                <w:rStyle w:val="32"/>
                <w:rFonts w:hint="eastAsia" w:ascii="宋体" w:hAnsi="宋体" w:eastAsia="宋体" w:cs="宋体"/>
                <w:sz w:val="18"/>
                <w:szCs w:val="18"/>
              </w:rPr>
              <w:t>邮箱</w:t>
            </w:r>
          </w:p>
        </w:tc>
        <w:tc>
          <w:tcPr>
            <w:tcW w:w="1651" w:type="dxa"/>
            <w:tcBorders>
              <w:tl2br w:val="nil"/>
              <w:tr2bl w:val="nil"/>
            </w:tcBorders>
          </w:tcPr>
          <w:p w14:paraId="745BF625">
            <w:pPr>
              <w:rPr>
                <w:rFonts w:hint="eastAsia" w:ascii="宋体" w:hAnsi="宋体" w:eastAsia="宋体" w:cs="宋体"/>
                <w:sz w:val="18"/>
                <w:szCs w:val="18"/>
              </w:rPr>
            </w:pPr>
          </w:p>
        </w:tc>
      </w:tr>
      <w:tr w14:paraId="38409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243" w:type="dxa"/>
            <w:vMerge w:val="restart"/>
            <w:tcBorders>
              <w:tl2br w:val="nil"/>
              <w:tr2bl w:val="nil"/>
            </w:tcBorders>
          </w:tcPr>
          <w:p w14:paraId="4EDA6A58">
            <w:pPr>
              <w:pStyle w:val="24"/>
              <w:spacing w:before="0" w:line="240" w:lineRule="auto"/>
              <w:ind w:left="0"/>
              <w:jc w:val="center"/>
              <w:rPr>
                <w:rFonts w:hint="eastAsia" w:ascii="宋体" w:hAnsi="宋体" w:eastAsia="宋体" w:cs="宋体"/>
                <w:b/>
                <w:bCs/>
                <w:sz w:val="18"/>
                <w:szCs w:val="18"/>
                <w:lang w:eastAsia="zh-CN"/>
              </w:rPr>
            </w:pPr>
          </w:p>
          <w:p w14:paraId="2C2E99E5">
            <w:pPr>
              <w:pStyle w:val="24"/>
              <w:spacing w:before="0" w:line="240" w:lineRule="auto"/>
              <w:ind w:left="0"/>
              <w:jc w:val="center"/>
              <w:rPr>
                <w:rFonts w:hint="eastAsia" w:ascii="宋体" w:hAnsi="宋体" w:eastAsia="宋体" w:cs="宋体"/>
                <w:b/>
                <w:bCs/>
                <w:sz w:val="18"/>
                <w:szCs w:val="18"/>
                <w:lang w:eastAsia="zh-CN"/>
              </w:rPr>
            </w:pPr>
          </w:p>
          <w:p w14:paraId="12D2BD90">
            <w:pPr>
              <w:pStyle w:val="24"/>
              <w:spacing w:before="0" w:line="240" w:lineRule="auto"/>
              <w:ind w:left="0"/>
              <w:jc w:val="center"/>
              <w:rPr>
                <w:rFonts w:hint="eastAsia" w:ascii="宋体" w:hAnsi="宋体" w:eastAsia="宋体" w:cs="宋体"/>
                <w:b/>
                <w:bCs/>
                <w:sz w:val="18"/>
                <w:szCs w:val="18"/>
                <w:lang w:eastAsia="zh-CN"/>
              </w:rPr>
            </w:pPr>
          </w:p>
          <w:p w14:paraId="39BEE8D9">
            <w:pPr>
              <w:pStyle w:val="24"/>
              <w:spacing w:before="0" w:line="240" w:lineRule="auto"/>
              <w:ind w:left="0"/>
              <w:jc w:val="center"/>
              <w:rPr>
                <w:rFonts w:hint="eastAsia" w:ascii="宋体" w:hAnsi="宋体" w:eastAsia="宋体" w:cs="宋体"/>
                <w:b/>
                <w:bCs/>
                <w:sz w:val="18"/>
                <w:szCs w:val="18"/>
                <w:lang w:eastAsia="zh-CN"/>
              </w:rPr>
            </w:pPr>
          </w:p>
          <w:p w14:paraId="6BF794C3">
            <w:pPr>
              <w:pStyle w:val="24"/>
              <w:spacing w:before="0" w:line="240" w:lineRule="auto"/>
              <w:ind w:left="0"/>
              <w:jc w:val="center"/>
              <w:rPr>
                <w:rFonts w:hint="eastAsia" w:ascii="宋体" w:hAnsi="宋体" w:eastAsia="宋体" w:cs="宋体"/>
                <w:b/>
                <w:bCs/>
                <w:sz w:val="18"/>
                <w:szCs w:val="18"/>
                <w:lang w:eastAsia="zh-CN"/>
              </w:rPr>
            </w:pPr>
          </w:p>
          <w:p w14:paraId="1412E511">
            <w:pPr>
              <w:pStyle w:val="24"/>
              <w:spacing w:before="0" w:line="240" w:lineRule="auto"/>
              <w:ind w:left="0"/>
              <w:jc w:val="center"/>
              <w:rPr>
                <w:rFonts w:hint="eastAsia" w:ascii="宋体" w:hAnsi="宋体" w:eastAsia="宋体" w:cs="宋体"/>
                <w:b/>
                <w:bCs/>
                <w:sz w:val="18"/>
                <w:szCs w:val="18"/>
                <w:lang w:eastAsia="zh-CN"/>
              </w:rPr>
            </w:pPr>
          </w:p>
          <w:p w14:paraId="33EA8A21">
            <w:pPr>
              <w:pStyle w:val="24"/>
              <w:spacing w:before="0" w:line="240" w:lineRule="auto"/>
              <w:ind w:left="0"/>
              <w:jc w:val="center"/>
              <w:rPr>
                <w:rFonts w:hint="eastAsia" w:ascii="宋体" w:hAnsi="宋体" w:eastAsia="宋体" w:cs="宋体"/>
                <w:b/>
                <w:bCs/>
                <w:sz w:val="18"/>
                <w:szCs w:val="18"/>
                <w:lang w:eastAsia="zh-CN"/>
              </w:rPr>
            </w:pPr>
          </w:p>
          <w:p w14:paraId="47C1DC5E">
            <w:pPr>
              <w:pStyle w:val="24"/>
              <w:spacing w:before="0" w:line="240" w:lineRule="auto"/>
              <w:ind w:left="0"/>
              <w:jc w:val="center"/>
              <w:rPr>
                <w:rFonts w:hint="eastAsia" w:ascii="宋体" w:hAnsi="宋体" w:eastAsia="宋体" w:cs="宋体"/>
                <w:b/>
                <w:bCs/>
                <w:sz w:val="18"/>
                <w:szCs w:val="18"/>
                <w:lang w:eastAsia="zh-CN"/>
              </w:rPr>
            </w:pPr>
          </w:p>
          <w:p w14:paraId="732FEDD1">
            <w:pPr>
              <w:pStyle w:val="24"/>
              <w:spacing w:before="0" w:line="240" w:lineRule="auto"/>
              <w:ind w:left="0"/>
              <w:jc w:val="center"/>
              <w:rPr>
                <w:rFonts w:hint="eastAsia" w:ascii="宋体" w:hAnsi="宋体" w:eastAsia="宋体" w:cs="宋体"/>
                <w:b/>
                <w:bCs/>
                <w:sz w:val="18"/>
                <w:szCs w:val="18"/>
                <w:lang w:eastAsia="zh-CN"/>
              </w:rPr>
            </w:pPr>
          </w:p>
          <w:p w14:paraId="10C36BCE">
            <w:pPr>
              <w:pStyle w:val="24"/>
              <w:spacing w:before="0" w:line="240" w:lineRule="auto"/>
              <w:ind w:left="0"/>
              <w:jc w:val="center"/>
              <w:rPr>
                <w:rFonts w:hint="eastAsia" w:ascii="宋体" w:hAnsi="宋体" w:eastAsia="宋体" w:cs="宋体"/>
                <w:b/>
                <w:bCs/>
                <w:sz w:val="18"/>
                <w:szCs w:val="18"/>
                <w:lang w:eastAsia="zh-CN"/>
              </w:rPr>
            </w:pPr>
          </w:p>
          <w:p w14:paraId="340B817F">
            <w:pPr>
              <w:pStyle w:val="24"/>
              <w:spacing w:before="0" w:line="240" w:lineRule="auto"/>
              <w:ind w:left="0"/>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临床症状</w:t>
            </w:r>
          </w:p>
        </w:tc>
        <w:tc>
          <w:tcPr>
            <w:tcW w:w="4942" w:type="dxa"/>
            <w:gridSpan w:val="4"/>
            <w:tcBorders>
              <w:tl2br w:val="nil"/>
              <w:tr2bl w:val="nil"/>
            </w:tcBorders>
          </w:tcPr>
          <w:p w14:paraId="3873BFCD">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患儿几个月会抬头？</w:t>
            </w:r>
          </w:p>
        </w:tc>
        <w:tc>
          <w:tcPr>
            <w:tcW w:w="2741" w:type="dxa"/>
            <w:gridSpan w:val="2"/>
            <w:tcBorders>
              <w:tl2br w:val="nil"/>
              <w:tr2bl w:val="nil"/>
            </w:tcBorders>
          </w:tcPr>
          <w:p w14:paraId="4B91ED12">
            <w:pPr>
              <w:spacing w:line="240" w:lineRule="auto"/>
              <w:rPr>
                <w:rFonts w:hint="eastAsia" w:ascii="宋体" w:hAnsi="宋体" w:eastAsia="宋体" w:cs="宋体"/>
                <w:sz w:val="18"/>
                <w:szCs w:val="18"/>
              </w:rPr>
            </w:pPr>
          </w:p>
        </w:tc>
      </w:tr>
      <w:tr w14:paraId="7412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243" w:type="dxa"/>
            <w:vMerge w:val="continue"/>
            <w:tcBorders>
              <w:tl2br w:val="nil"/>
              <w:tr2bl w:val="nil"/>
            </w:tcBorders>
          </w:tcPr>
          <w:p w14:paraId="21F8B8B7">
            <w:pPr>
              <w:jc w:val="center"/>
              <w:rPr>
                <w:rFonts w:hint="eastAsia" w:ascii="宋体" w:hAnsi="宋体" w:eastAsia="宋体" w:cs="宋体"/>
                <w:sz w:val="18"/>
                <w:szCs w:val="18"/>
              </w:rPr>
            </w:pPr>
          </w:p>
        </w:tc>
        <w:tc>
          <w:tcPr>
            <w:tcW w:w="4942" w:type="dxa"/>
            <w:gridSpan w:val="4"/>
            <w:tcBorders>
              <w:tl2br w:val="nil"/>
              <w:tr2bl w:val="nil"/>
            </w:tcBorders>
          </w:tcPr>
          <w:p w14:paraId="5DD30FDB">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患儿几个月会翻身？</w:t>
            </w:r>
          </w:p>
        </w:tc>
        <w:tc>
          <w:tcPr>
            <w:tcW w:w="2741" w:type="dxa"/>
            <w:gridSpan w:val="2"/>
            <w:tcBorders>
              <w:tl2br w:val="nil"/>
              <w:tr2bl w:val="nil"/>
            </w:tcBorders>
          </w:tcPr>
          <w:p w14:paraId="05143A6D">
            <w:pPr>
              <w:spacing w:line="240" w:lineRule="auto"/>
              <w:rPr>
                <w:rFonts w:hint="eastAsia" w:ascii="宋体" w:hAnsi="宋体" w:eastAsia="宋体" w:cs="宋体"/>
                <w:sz w:val="18"/>
                <w:szCs w:val="18"/>
              </w:rPr>
            </w:pPr>
          </w:p>
        </w:tc>
      </w:tr>
      <w:tr w14:paraId="1A520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3" w:type="dxa"/>
            <w:vMerge w:val="continue"/>
            <w:tcBorders>
              <w:tl2br w:val="nil"/>
              <w:tr2bl w:val="nil"/>
            </w:tcBorders>
          </w:tcPr>
          <w:p w14:paraId="740A6C11">
            <w:pPr>
              <w:jc w:val="center"/>
              <w:rPr>
                <w:rFonts w:hint="eastAsia" w:ascii="宋体" w:hAnsi="宋体" w:eastAsia="宋体" w:cs="宋体"/>
                <w:sz w:val="18"/>
                <w:szCs w:val="18"/>
              </w:rPr>
            </w:pPr>
          </w:p>
        </w:tc>
        <w:tc>
          <w:tcPr>
            <w:tcW w:w="4942" w:type="dxa"/>
            <w:gridSpan w:val="4"/>
            <w:tcBorders>
              <w:tl2br w:val="nil"/>
              <w:tr2bl w:val="nil"/>
            </w:tcBorders>
          </w:tcPr>
          <w:p w14:paraId="4EE0AF80">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患儿几个月会无支撑独坐？</w:t>
            </w:r>
          </w:p>
        </w:tc>
        <w:tc>
          <w:tcPr>
            <w:tcW w:w="2741" w:type="dxa"/>
            <w:gridSpan w:val="2"/>
            <w:tcBorders>
              <w:tl2br w:val="nil"/>
              <w:tr2bl w:val="nil"/>
            </w:tcBorders>
          </w:tcPr>
          <w:p w14:paraId="1CB9ADEC">
            <w:pPr>
              <w:spacing w:line="240" w:lineRule="auto"/>
              <w:rPr>
                <w:rFonts w:hint="eastAsia" w:ascii="宋体" w:hAnsi="宋体" w:eastAsia="宋体" w:cs="宋体"/>
                <w:sz w:val="18"/>
                <w:szCs w:val="18"/>
              </w:rPr>
            </w:pPr>
          </w:p>
        </w:tc>
      </w:tr>
      <w:tr w14:paraId="1277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243" w:type="dxa"/>
            <w:vMerge w:val="continue"/>
            <w:tcBorders>
              <w:tl2br w:val="nil"/>
              <w:tr2bl w:val="nil"/>
            </w:tcBorders>
          </w:tcPr>
          <w:p w14:paraId="585E5411">
            <w:pPr>
              <w:jc w:val="center"/>
              <w:rPr>
                <w:rFonts w:hint="eastAsia" w:ascii="宋体" w:hAnsi="宋体" w:eastAsia="宋体" w:cs="宋体"/>
                <w:sz w:val="18"/>
                <w:szCs w:val="18"/>
              </w:rPr>
            </w:pPr>
          </w:p>
        </w:tc>
        <w:tc>
          <w:tcPr>
            <w:tcW w:w="4942" w:type="dxa"/>
            <w:gridSpan w:val="4"/>
            <w:tcBorders>
              <w:tl2br w:val="nil"/>
              <w:tr2bl w:val="nil"/>
            </w:tcBorders>
          </w:tcPr>
          <w:p w14:paraId="35CBEE96">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患儿多大会扶站？</w:t>
            </w:r>
          </w:p>
        </w:tc>
        <w:tc>
          <w:tcPr>
            <w:tcW w:w="2741" w:type="dxa"/>
            <w:gridSpan w:val="2"/>
            <w:tcBorders>
              <w:tl2br w:val="nil"/>
              <w:tr2bl w:val="nil"/>
            </w:tcBorders>
          </w:tcPr>
          <w:p w14:paraId="6B8CC53C">
            <w:pPr>
              <w:spacing w:line="240" w:lineRule="auto"/>
              <w:rPr>
                <w:rFonts w:hint="eastAsia" w:ascii="宋体" w:hAnsi="宋体" w:eastAsia="宋体" w:cs="宋体"/>
                <w:sz w:val="18"/>
                <w:szCs w:val="18"/>
              </w:rPr>
            </w:pPr>
          </w:p>
        </w:tc>
      </w:tr>
      <w:tr w14:paraId="397E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1243" w:type="dxa"/>
            <w:vMerge w:val="continue"/>
            <w:tcBorders>
              <w:tl2br w:val="nil"/>
              <w:tr2bl w:val="nil"/>
            </w:tcBorders>
          </w:tcPr>
          <w:p w14:paraId="0C770A33">
            <w:pPr>
              <w:jc w:val="center"/>
              <w:rPr>
                <w:rFonts w:hint="eastAsia" w:ascii="宋体" w:hAnsi="宋体" w:eastAsia="宋体" w:cs="宋体"/>
                <w:sz w:val="18"/>
                <w:szCs w:val="18"/>
              </w:rPr>
            </w:pPr>
          </w:p>
        </w:tc>
        <w:tc>
          <w:tcPr>
            <w:tcW w:w="4942" w:type="dxa"/>
            <w:gridSpan w:val="4"/>
            <w:tcBorders>
              <w:tl2br w:val="nil"/>
              <w:tr2bl w:val="nil"/>
            </w:tcBorders>
          </w:tcPr>
          <w:p w14:paraId="4DCF0937">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患儿多大学会无支撑独站？</w:t>
            </w:r>
          </w:p>
        </w:tc>
        <w:tc>
          <w:tcPr>
            <w:tcW w:w="2741" w:type="dxa"/>
            <w:gridSpan w:val="2"/>
            <w:tcBorders>
              <w:tl2br w:val="nil"/>
              <w:tr2bl w:val="nil"/>
            </w:tcBorders>
          </w:tcPr>
          <w:p w14:paraId="1AA14FC9">
            <w:pPr>
              <w:spacing w:line="240" w:lineRule="auto"/>
              <w:rPr>
                <w:rFonts w:hint="eastAsia" w:ascii="宋体" w:hAnsi="宋体" w:eastAsia="宋体" w:cs="宋体"/>
                <w:sz w:val="18"/>
                <w:szCs w:val="18"/>
              </w:rPr>
            </w:pPr>
          </w:p>
        </w:tc>
      </w:tr>
      <w:tr w14:paraId="3823A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243" w:type="dxa"/>
            <w:vMerge w:val="continue"/>
            <w:tcBorders>
              <w:tl2br w:val="nil"/>
              <w:tr2bl w:val="nil"/>
            </w:tcBorders>
          </w:tcPr>
          <w:p w14:paraId="46DF7EC8">
            <w:pPr>
              <w:jc w:val="center"/>
              <w:rPr>
                <w:rFonts w:hint="eastAsia" w:ascii="宋体" w:hAnsi="宋体" w:eastAsia="宋体" w:cs="宋体"/>
                <w:sz w:val="18"/>
                <w:szCs w:val="18"/>
              </w:rPr>
            </w:pPr>
          </w:p>
        </w:tc>
        <w:tc>
          <w:tcPr>
            <w:tcW w:w="4942" w:type="dxa"/>
            <w:gridSpan w:val="4"/>
            <w:tcBorders>
              <w:tl2br w:val="nil"/>
              <w:tr2bl w:val="nil"/>
            </w:tcBorders>
          </w:tcPr>
          <w:p w14:paraId="070F986D">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患儿多大会扶走？</w:t>
            </w:r>
          </w:p>
        </w:tc>
        <w:tc>
          <w:tcPr>
            <w:tcW w:w="2741" w:type="dxa"/>
            <w:gridSpan w:val="2"/>
            <w:tcBorders>
              <w:tl2br w:val="nil"/>
              <w:tr2bl w:val="nil"/>
            </w:tcBorders>
          </w:tcPr>
          <w:p w14:paraId="7C5731EF">
            <w:pPr>
              <w:spacing w:line="240" w:lineRule="auto"/>
              <w:rPr>
                <w:rFonts w:hint="eastAsia" w:ascii="宋体" w:hAnsi="宋体" w:eastAsia="宋体" w:cs="宋体"/>
                <w:sz w:val="18"/>
                <w:szCs w:val="18"/>
              </w:rPr>
            </w:pPr>
          </w:p>
        </w:tc>
      </w:tr>
      <w:tr w14:paraId="7B26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tcPr>
          <w:p w14:paraId="49FF1DE1">
            <w:pPr>
              <w:jc w:val="center"/>
              <w:rPr>
                <w:rFonts w:hint="eastAsia" w:ascii="宋体" w:hAnsi="宋体" w:eastAsia="宋体" w:cs="宋体"/>
                <w:sz w:val="18"/>
                <w:szCs w:val="18"/>
              </w:rPr>
            </w:pPr>
          </w:p>
        </w:tc>
        <w:tc>
          <w:tcPr>
            <w:tcW w:w="4942" w:type="dxa"/>
            <w:gridSpan w:val="4"/>
            <w:tcBorders>
              <w:tl2br w:val="nil"/>
              <w:tr2bl w:val="nil"/>
            </w:tcBorders>
          </w:tcPr>
          <w:p w14:paraId="5B2A1003">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患儿多大会独走？</w:t>
            </w:r>
          </w:p>
        </w:tc>
        <w:tc>
          <w:tcPr>
            <w:tcW w:w="2741" w:type="dxa"/>
            <w:gridSpan w:val="2"/>
            <w:tcBorders>
              <w:tl2br w:val="nil"/>
              <w:tr2bl w:val="nil"/>
            </w:tcBorders>
          </w:tcPr>
          <w:p w14:paraId="77B523AB">
            <w:pPr>
              <w:spacing w:line="240" w:lineRule="auto"/>
              <w:rPr>
                <w:rFonts w:hint="eastAsia" w:ascii="宋体" w:hAnsi="宋体" w:eastAsia="宋体" w:cs="宋体"/>
                <w:sz w:val="18"/>
                <w:szCs w:val="18"/>
              </w:rPr>
            </w:pPr>
          </w:p>
        </w:tc>
      </w:tr>
      <w:tr w14:paraId="2B44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tcPr>
          <w:p w14:paraId="09B733E8">
            <w:pPr>
              <w:jc w:val="center"/>
              <w:rPr>
                <w:rFonts w:hint="eastAsia" w:ascii="宋体" w:hAnsi="宋体" w:eastAsia="宋体" w:cs="宋体"/>
                <w:sz w:val="18"/>
                <w:szCs w:val="18"/>
              </w:rPr>
            </w:pPr>
          </w:p>
        </w:tc>
        <w:tc>
          <w:tcPr>
            <w:tcW w:w="4942" w:type="dxa"/>
            <w:gridSpan w:val="4"/>
            <w:tcBorders>
              <w:tl2br w:val="nil"/>
              <w:tr2bl w:val="nil"/>
            </w:tcBorders>
          </w:tcPr>
          <w:p w14:paraId="544EEE92">
            <w:pPr>
              <w:spacing w:line="240" w:lineRule="auto"/>
              <w:jc w:val="center"/>
              <w:rPr>
                <w:rFonts w:hint="eastAsia" w:ascii="宋体" w:hAnsi="宋体" w:eastAsia="宋体" w:cs="宋体"/>
                <w:sz w:val="18"/>
                <w:szCs w:val="18"/>
              </w:rPr>
            </w:pPr>
            <w:r>
              <w:rPr>
                <w:rFonts w:hint="eastAsia" w:ascii="宋体" w:hAnsi="宋体" w:eastAsia="宋体" w:cs="宋体"/>
                <w:sz w:val="18"/>
                <w:szCs w:val="18"/>
              </w:rPr>
              <w:t>肌无力情况</w:t>
            </w:r>
          </w:p>
        </w:tc>
        <w:tc>
          <w:tcPr>
            <w:tcW w:w="2741" w:type="dxa"/>
            <w:gridSpan w:val="2"/>
            <w:tcBorders>
              <w:tl2br w:val="nil"/>
              <w:tr2bl w:val="nil"/>
            </w:tcBorders>
          </w:tcPr>
          <w:p w14:paraId="73234614">
            <w:pPr>
              <w:spacing w:line="240" w:lineRule="auto"/>
              <w:rPr>
                <w:rFonts w:hint="eastAsia" w:ascii="宋体" w:hAnsi="宋体" w:eastAsia="宋体" w:cs="宋体"/>
                <w:sz w:val="18"/>
                <w:szCs w:val="18"/>
              </w:rPr>
            </w:pPr>
          </w:p>
        </w:tc>
      </w:tr>
      <w:tr w14:paraId="331B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tcPr>
          <w:p w14:paraId="7C4219AA">
            <w:pPr>
              <w:jc w:val="center"/>
              <w:rPr>
                <w:rFonts w:hint="eastAsia" w:ascii="宋体" w:hAnsi="宋体" w:eastAsia="宋体" w:cs="宋体"/>
                <w:sz w:val="18"/>
                <w:szCs w:val="18"/>
              </w:rPr>
            </w:pPr>
          </w:p>
        </w:tc>
        <w:tc>
          <w:tcPr>
            <w:tcW w:w="4942" w:type="dxa"/>
            <w:gridSpan w:val="4"/>
            <w:tcBorders>
              <w:tl2br w:val="nil"/>
              <w:tr2bl w:val="nil"/>
            </w:tcBorders>
          </w:tcPr>
          <w:p w14:paraId="0EDF8140">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是否存在睡眠不足（睡眠通气不足）和呼吸暂停的情况？</w:t>
            </w:r>
          </w:p>
        </w:tc>
        <w:tc>
          <w:tcPr>
            <w:tcW w:w="2741" w:type="dxa"/>
            <w:gridSpan w:val="2"/>
            <w:tcBorders>
              <w:tl2br w:val="nil"/>
              <w:tr2bl w:val="nil"/>
            </w:tcBorders>
          </w:tcPr>
          <w:p w14:paraId="2F6E3CB5">
            <w:pPr>
              <w:spacing w:line="240" w:lineRule="auto"/>
              <w:rPr>
                <w:rFonts w:hint="eastAsia" w:ascii="宋体" w:hAnsi="宋体" w:eastAsia="宋体" w:cs="宋体"/>
                <w:sz w:val="18"/>
                <w:szCs w:val="18"/>
              </w:rPr>
            </w:pPr>
          </w:p>
        </w:tc>
      </w:tr>
      <w:tr w14:paraId="15C88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tcPr>
          <w:p w14:paraId="496FE14C">
            <w:pPr>
              <w:jc w:val="center"/>
              <w:rPr>
                <w:rFonts w:hint="eastAsia" w:ascii="宋体" w:hAnsi="宋体" w:eastAsia="宋体" w:cs="宋体"/>
                <w:sz w:val="18"/>
                <w:szCs w:val="18"/>
              </w:rPr>
            </w:pPr>
          </w:p>
        </w:tc>
        <w:tc>
          <w:tcPr>
            <w:tcW w:w="4942" w:type="dxa"/>
            <w:gridSpan w:val="4"/>
            <w:tcBorders>
              <w:tl2br w:val="nil"/>
              <w:tr2bl w:val="nil"/>
            </w:tcBorders>
          </w:tcPr>
          <w:p w14:paraId="64230B0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是否存在脊柱侧弯的情况？</w:t>
            </w:r>
          </w:p>
        </w:tc>
        <w:tc>
          <w:tcPr>
            <w:tcW w:w="2741" w:type="dxa"/>
            <w:gridSpan w:val="2"/>
            <w:tcBorders>
              <w:tl2br w:val="nil"/>
              <w:tr2bl w:val="nil"/>
            </w:tcBorders>
          </w:tcPr>
          <w:p w14:paraId="2F6A22DF">
            <w:pPr>
              <w:spacing w:line="240" w:lineRule="auto"/>
              <w:rPr>
                <w:rFonts w:hint="eastAsia" w:ascii="宋体" w:hAnsi="宋体" w:eastAsia="宋体" w:cs="宋体"/>
                <w:sz w:val="18"/>
                <w:szCs w:val="18"/>
              </w:rPr>
            </w:pPr>
          </w:p>
        </w:tc>
      </w:tr>
      <w:tr w14:paraId="6163C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tcPr>
          <w:p w14:paraId="483034A8">
            <w:pPr>
              <w:jc w:val="center"/>
              <w:rPr>
                <w:rFonts w:hint="eastAsia" w:ascii="宋体" w:hAnsi="宋体" w:eastAsia="宋体" w:cs="宋体"/>
                <w:sz w:val="18"/>
                <w:szCs w:val="18"/>
              </w:rPr>
            </w:pPr>
          </w:p>
        </w:tc>
        <w:tc>
          <w:tcPr>
            <w:tcW w:w="4942" w:type="dxa"/>
            <w:gridSpan w:val="4"/>
            <w:tcBorders>
              <w:tl2br w:val="nil"/>
              <w:tr2bl w:val="nil"/>
            </w:tcBorders>
          </w:tcPr>
          <w:p w14:paraId="7C60F821">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是否存在关节挛缩的情况？</w:t>
            </w:r>
          </w:p>
        </w:tc>
        <w:tc>
          <w:tcPr>
            <w:tcW w:w="2741" w:type="dxa"/>
            <w:gridSpan w:val="2"/>
            <w:tcBorders>
              <w:tl2br w:val="nil"/>
              <w:tr2bl w:val="nil"/>
            </w:tcBorders>
          </w:tcPr>
          <w:p w14:paraId="2F1C07CB">
            <w:pPr>
              <w:spacing w:line="240" w:lineRule="auto"/>
              <w:rPr>
                <w:rFonts w:hint="eastAsia" w:ascii="宋体" w:hAnsi="宋体" w:eastAsia="宋体" w:cs="宋体"/>
                <w:sz w:val="18"/>
                <w:szCs w:val="18"/>
              </w:rPr>
            </w:pPr>
          </w:p>
        </w:tc>
      </w:tr>
      <w:tr w14:paraId="69F3D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tcPr>
          <w:p w14:paraId="4D235DB7">
            <w:pPr>
              <w:jc w:val="center"/>
              <w:rPr>
                <w:rFonts w:hint="eastAsia" w:ascii="宋体" w:hAnsi="宋体" w:eastAsia="宋体" w:cs="宋体"/>
                <w:sz w:val="18"/>
                <w:szCs w:val="18"/>
              </w:rPr>
            </w:pPr>
          </w:p>
        </w:tc>
        <w:tc>
          <w:tcPr>
            <w:tcW w:w="4942" w:type="dxa"/>
            <w:gridSpan w:val="4"/>
            <w:tcBorders>
              <w:tl2br w:val="nil"/>
              <w:tr2bl w:val="nil"/>
            </w:tcBorders>
          </w:tcPr>
          <w:p w14:paraId="60CF19F5">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是否存在喂养困难的情况？</w:t>
            </w:r>
          </w:p>
        </w:tc>
        <w:tc>
          <w:tcPr>
            <w:tcW w:w="2741" w:type="dxa"/>
            <w:gridSpan w:val="2"/>
            <w:tcBorders>
              <w:tl2br w:val="nil"/>
              <w:tr2bl w:val="nil"/>
            </w:tcBorders>
          </w:tcPr>
          <w:p w14:paraId="0423BC1A">
            <w:pPr>
              <w:spacing w:line="240" w:lineRule="auto"/>
              <w:rPr>
                <w:rFonts w:hint="eastAsia" w:ascii="宋体" w:hAnsi="宋体" w:eastAsia="宋体" w:cs="宋体"/>
                <w:sz w:val="18"/>
                <w:szCs w:val="18"/>
              </w:rPr>
            </w:pPr>
          </w:p>
        </w:tc>
      </w:tr>
      <w:tr w14:paraId="2440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 w:hRule="atLeast"/>
        </w:trPr>
        <w:tc>
          <w:tcPr>
            <w:tcW w:w="1243" w:type="dxa"/>
            <w:vMerge w:val="continue"/>
            <w:tcBorders>
              <w:tl2br w:val="nil"/>
              <w:tr2bl w:val="nil"/>
            </w:tcBorders>
          </w:tcPr>
          <w:p w14:paraId="200C3421">
            <w:pPr>
              <w:jc w:val="center"/>
              <w:rPr>
                <w:rFonts w:hint="eastAsia" w:ascii="宋体" w:hAnsi="宋体" w:eastAsia="宋体" w:cs="宋体"/>
                <w:sz w:val="18"/>
                <w:szCs w:val="18"/>
              </w:rPr>
            </w:pPr>
          </w:p>
        </w:tc>
        <w:tc>
          <w:tcPr>
            <w:tcW w:w="4942" w:type="dxa"/>
            <w:gridSpan w:val="4"/>
            <w:tcBorders>
              <w:tl2br w:val="nil"/>
              <w:tr2bl w:val="nil"/>
            </w:tcBorders>
          </w:tcPr>
          <w:p w14:paraId="0F389635">
            <w:pPr>
              <w:spacing w:line="240" w:lineRule="auto"/>
              <w:jc w:val="center"/>
              <w:rPr>
                <w:rFonts w:hint="eastAsia" w:ascii="宋体" w:hAnsi="宋体" w:eastAsia="宋体" w:cs="宋体"/>
                <w:sz w:val="18"/>
                <w:szCs w:val="18"/>
              </w:rPr>
            </w:pPr>
            <w:r>
              <w:rPr>
                <w:rFonts w:hint="eastAsia" w:ascii="宋体" w:hAnsi="宋体" w:eastAsia="宋体" w:cs="宋体"/>
                <w:sz w:val="18"/>
                <w:szCs w:val="18"/>
              </w:rPr>
              <w:t>是否反复发生肺炎及呼吸衰竭？</w:t>
            </w:r>
          </w:p>
        </w:tc>
        <w:tc>
          <w:tcPr>
            <w:tcW w:w="2741" w:type="dxa"/>
            <w:gridSpan w:val="2"/>
            <w:tcBorders>
              <w:tl2br w:val="nil"/>
              <w:tr2bl w:val="nil"/>
            </w:tcBorders>
          </w:tcPr>
          <w:p w14:paraId="08E715EC">
            <w:pPr>
              <w:spacing w:line="240" w:lineRule="auto"/>
              <w:rPr>
                <w:rFonts w:hint="eastAsia" w:ascii="宋体" w:hAnsi="宋体" w:eastAsia="宋体" w:cs="宋体"/>
                <w:sz w:val="18"/>
                <w:szCs w:val="18"/>
              </w:rPr>
            </w:pPr>
          </w:p>
        </w:tc>
      </w:tr>
      <w:tr w14:paraId="6F9A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243" w:type="dxa"/>
            <w:tcBorders>
              <w:tl2br w:val="nil"/>
              <w:tr2bl w:val="nil"/>
            </w:tcBorders>
          </w:tcPr>
          <w:p w14:paraId="4B1B14FF">
            <w:pPr>
              <w:pStyle w:val="24"/>
              <w:spacing w:before="0" w:line="240" w:lineRule="auto"/>
              <w:ind w:left="0"/>
              <w:jc w:val="center"/>
              <w:rPr>
                <w:rFonts w:hint="eastAsia" w:ascii="宋体" w:hAnsi="宋体" w:eastAsia="宋体" w:cs="宋体"/>
                <w:b/>
                <w:bCs/>
                <w:sz w:val="18"/>
                <w:szCs w:val="18"/>
                <w:lang w:eastAsia="zh-CN"/>
              </w:rPr>
            </w:pPr>
          </w:p>
          <w:p w14:paraId="6901450A">
            <w:pPr>
              <w:pStyle w:val="24"/>
              <w:spacing w:before="0" w:line="240" w:lineRule="auto"/>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家族史</w:t>
            </w:r>
          </w:p>
        </w:tc>
        <w:tc>
          <w:tcPr>
            <w:tcW w:w="7683" w:type="dxa"/>
            <w:gridSpan w:val="6"/>
            <w:tcBorders>
              <w:tl2br w:val="nil"/>
              <w:tr2bl w:val="nil"/>
            </w:tcBorders>
          </w:tcPr>
          <w:p w14:paraId="70C278A1">
            <w:pPr>
              <w:rPr>
                <w:rFonts w:hint="eastAsia" w:ascii="宋体" w:hAnsi="宋体" w:eastAsia="宋体" w:cs="宋体"/>
                <w:sz w:val="18"/>
                <w:szCs w:val="18"/>
              </w:rPr>
            </w:pPr>
          </w:p>
        </w:tc>
      </w:tr>
      <w:tr w14:paraId="4AA1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243" w:type="dxa"/>
            <w:tcBorders>
              <w:tl2br w:val="nil"/>
              <w:tr2bl w:val="nil"/>
            </w:tcBorders>
          </w:tcPr>
          <w:p w14:paraId="1E58A84A">
            <w:pPr>
              <w:pStyle w:val="24"/>
              <w:spacing w:before="0" w:line="240" w:lineRule="auto"/>
              <w:ind w:left="0"/>
              <w:jc w:val="center"/>
              <w:rPr>
                <w:rFonts w:hint="eastAsia" w:ascii="宋体" w:hAnsi="宋体" w:eastAsia="宋体" w:cs="宋体"/>
                <w:b/>
                <w:bCs/>
                <w:sz w:val="18"/>
                <w:szCs w:val="18"/>
                <w:lang w:eastAsia="zh-CN"/>
              </w:rPr>
            </w:pPr>
          </w:p>
          <w:p w14:paraId="1E8C34FD">
            <w:pPr>
              <w:pStyle w:val="24"/>
              <w:spacing w:before="0" w:line="240" w:lineRule="auto"/>
              <w:ind w:firstLine="181" w:firstLineChars="100"/>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基因检测</w:t>
            </w:r>
          </w:p>
        </w:tc>
        <w:tc>
          <w:tcPr>
            <w:tcW w:w="7683" w:type="dxa"/>
            <w:gridSpan w:val="6"/>
            <w:tcBorders>
              <w:tl2br w:val="nil"/>
              <w:tr2bl w:val="nil"/>
            </w:tcBorders>
          </w:tcPr>
          <w:p w14:paraId="03D98270">
            <w:pPr>
              <w:pStyle w:val="24"/>
              <w:spacing w:before="0" w:line="240" w:lineRule="auto"/>
              <w:ind w:left="0" w:right="0" w:hanging="5"/>
              <w:rPr>
                <w:rFonts w:hint="eastAsia" w:ascii="宋体" w:hAnsi="宋体" w:eastAsia="宋体" w:cs="宋体"/>
                <w:sz w:val="18"/>
                <w:szCs w:val="18"/>
              </w:rPr>
            </w:pPr>
          </w:p>
          <w:p w14:paraId="4D477D5F">
            <w:pPr>
              <w:pStyle w:val="24"/>
              <w:spacing w:before="0" w:line="240" w:lineRule="auto"/>
              <w:ind w:right="0"/>
              <w:rPr>
                <w:rFonts w:hint="eastAsia" w:ascii="宋体" w:hAnsi="宋体" w:eastAsia="宋体" w:cs="宋体"/>
                <w:sz w:val="18"/>
                <w:szCs w:val="18"/>
              </w:rPr>
            </w:pPr>
          </w:p>
        </w:tc>
      </w:tr>
      <w:tr w14:paraId="5CC6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43" w:type="dxa"/>
            <w:vMerge w:val="restart"/>
            <w:tcBorders>
              <w:tl2br w:val="nil"/>
              <w:tr2bl w:val="nil"/>
            </w:tcBorders>
          </w:tcPr>
          <w:p w14:paraId="32A4DA17">
            <w:pPr>
              <w:pStyle w:val="24"/>
              <w:spacing w:before="0" w:line="240" w:lineRule="auto"/>
              <w:ind w:left="0"/>
              <w:jc w:val="center"/>
              <w:rPr>
                <w:rFonts w:hint="eastAsia" w:ascii="宋体" w:hAnsi="宋体" w:eastAsia="宋体" w:cs="宋体"/>
                <w:spacing w:val="-1"/>
                <w:sz w:val="18"/>
                <w:szCs w:val="18"/>
                <w:lang w:eastAsia="zh-CN"/>
              </w:rPr>
            </w:pPr>
          </w:p>
          <w:p w14:paraId="794F70DB">
            <w:pPr>
              <w:pStyle w:val="24"/>
              <w:spacing w:before="0" w:line="240" w:lineRule="auto"/>
              <w:ind w:left="0"/>
              <w:jc w:val="center"/>
              <w:rPr>
                <w:rFonts w:hint="eastAsia" w:ascii="宋体" w:hAnsi="宋体" w:eastAsia="宋体" w:cs="宋体"/>
                <w:spacing w:val="-1"/>
                <w:sz w:val="18"/>
                <w:szCs w:val="18"/>
                <w:lang w:eastAsia="zh-CN"/>
              </w:rPr>
            </w:pPr>
          </w:p>
          <w:p w14:paraId="77A96CDA">
            <w:pPr>
              <w:pStyle w:val="24"/>
              <w:spacing w:before="0" w:line="240" w:lineRule="auto"/>
              <w:ind w:left="0"/>
              <w:jc w:val="center"/>
              <w:rPr>
                <w:rFonts w:hint="eastAsia" w:ascii="宋体" w:hAnsi="宋体" w:eastAsia="宋体" w:cs="宋体"/>
                <w:spacing w:val="-1"/>
                <w:sz w:val="18"/>
                <w:szCs w:val="18"/>
                <w:lang w:eastAsia="zh-CN"/>
              </w:rPr>
            </w:pPr>
          </w:p>
          <w:p w14:paraId="39C1EB98">
            <w:pPr>
              <w:pStyle w:val="24"/>
              <w:spacing w:before="0" w:line="240" w:lineRule="auto"/>
              <w:ind w:left="0"/>
              <w:jc w:val="center"/>
              <w:rPr>
                <w:rFonts w:hint="eastAsia" w:ascii="宋体" w:hAnsi="宋体" w:eastAsia="宋体" w:cs="宋体"/>
                <w:spacing w:val="-1"/>
                <w:sz w:val="18"/>
                <w:szCs w:val="18"/>
                <w:lang w:eastAsia="zh-CN"/>
              </w:rPr>
            </w:pPr>
          </w:p>
          <w:p w14:paraId="5F77FE8F">
            <w:pPr>
              <w:pStyle w:val="24"/>
              <w:spacing w:before="0" w:line="240" w:lineRule="auto"/>
              <w:ind w:left="0"/>
              <w:jc w:val="center"/>
              <w:rPr>
                <w:rFonts w:hint="eastAsia" w:ascii="宋体" w:hAnsi="宋体" w:eastAsia="宋体" w:cs="宋体"/>
                <w:spacing w:val="-1"/>
                <w:sz w:val="18"/>
                <w:szCs w:val="18"/>
                <w:lang w:eastAsia="zh-CN"/>
              </w:rPr>
            </w:pPr>
          </w:p>
          <w:p w14:paraId="196D93B6">
            <w:pPr>
              <w:pStyle w:val="24"/>
              <w:spacing w:before="0" w:line="240" w:lineRule="auto"/>
              <w:ind w:left="0"/>
              <w:jc w:val="center"/>
              <w:rPr>
                <w:rFonts w:hint="eastAsia" w:ascii="宋体" w:hAnsi="宋体" w:eastAsia="宋体" w:cs="宋体"/>
                <w:spacing w:val="-1"/>
                <w:sz w:val="18"/>
                <w:szCs w:val="18"/>
                <w:lang w:eastAsia="zh-CN"/>
              </w:rPr>
            </w:pPr>
          </w:p>
          <w:p w14:paraId="1BC865D7">
            <w:pPr>
              <w:pStyle w:val="24"/>
              <w:spacing w:before="0" w:line="240" w:lineRule="auto"/>
              <w:ind w:left="0"/>
              <w:jc w:val="center"/>
              <w:rPr>
                <w:rFonts w:hint="eastAsia" w:ascii="宋体" w:hAnsi="宋体" w:eastAsia="宋体" w:cs="宋体"/>
                <w:sz w:val="18"/>
                <w:szCs w:val="18"/>
              </w:rPr>
            </w:pPr>
            <w:r>
              <w:rPr>
                <w:rFonts w:hint="eastAsia" w:ascii="宋体" w:hAnsi="宋体" w:eastAsia="宋体" w:cs="宋体"/>
                <w:b/>
                <w:bCs/>
                <w:spacing w:val="-1"/>
                <w:sz w:val="18"/>
                <w:szCs w:val="18"/>
                <w:lang w:eastAsia="zh-CN"/>
              </w:rPr>
              <w:t>辅助</w:t>
            </w:r>
            <w:r>
              <w:rPr>
                <w:rFonts w:hint="eastAsia" w:ascii="宋体" w:hAnsi="宋体" w:eastAsia="宋体" w:cs="宋体"/>
                <w:b/>
                <w:bCs/>
                <w:spacing w:val="-1"/>
                <w:sz w:val="18"/>
                <w:szCs w:val="18"/>
              </w:rPr>
              <w:t>检查</w:t>
            </w:r>
          </w:p>
        </w:tc>
        <w:tc>
          <w:tcPr>
            <w:tcW w:w="7683" w:type="dxa"/>
            <w:gridSpan w:val="6"/>
            <w:tcBorders>
              <w:tl2br w:val="nil"/>
              <w:tr2bl w:val="nil"/>
            </w:tcBorders>
          </w:tcPr>
          <w:p w14:paraId="71F7AFD6">
            <w:pPr>
              <w:pStyle w:val="24"/>
              <w:spacing w:before="0" w:line="240" w:lineRule="auto"/>
              <w:ind w:left="0"/>
              <w:rPr>
                <w:rFonts w:hint="eastAsia" w:ascii="宋体" w:hAnsi="宋体" w:eastAsia="宋体" w:cs="宋体"/>
                <w:spacing w:val="-13"/>
                <w:sz w:val="18"/>
                <w:szCs w:val="18"/>
              </w:rPr>
            </w:pPr>
            <w:r>
              <w:rPr>
                <w:rFonts w:hint="eastAsia" w:ascii="宋体" w:hAnsi="宋体" w:eastAsia="宋体" w:cs="宋体"/>
                <w:spacing w:val="-13"/>
                <w:sz w:val="18"/>
                <w:szCs w:val="18"/>
                <w:lang w:eastAsia="zh-CN"/>
              </w:rPr>
              <w:t>肌电图</w:t>
            </w:r>
            <w:r>
              <w:rPr>
                <w:rFonts w:hint="eastAsia" w:ascii="宋体" w:hAnsi="宋体" w:eastAsia="宋体" w:cs="宋体"/>
                <w:spacing w:val="-13"/>
                <w:sz w:val="18"/>
                <w:szCs w:val="18"/>
              </w:rPr>
              <w:t>：</w:t>
            </w:r>
          </w:p>
          <w:p w14:paraId="46219090">
            <w:pPr>
              <w:pStyle w:val="24"/>
              <w:spacing w:before="0" w:line="240" w:lineRule="auto"/>
              <w:ind w:left="0"/>
              <w:rPr>
                <w:rFonts w:hint="eastAsia" w:ascii="宋体" w:hAnsi="宋体" w:eastAsia="宋体" w:cs="宋体"/>
                <w:spacing w:val="-13"/>
                <w:sz w:val="18"/>
                <w:szCs w:val="18"/>
              </w:rPr>
            </w:pPr>
          </w:p>
          <w:p w14:paraId="10B3CCD7">
            <w:pPr>
              <w:pStyle w:val="24"/>
              <w:spacing w:before="0" w:line="240" w:lineRule="auto"/>
              <w:ind w:left="0"/>
              <w:rPr>
                <w:rFonts w:hint="eastAsia" w:ascii="宋体" w:hAnsi="宋体" w:eastAsia="宋体" w:cs="宋体"/>
                <w:spacing w:val="-13"/>
                <w:sz w:val="18"/>
                <w:szCs w:val="18"/>
              </w:rPr>
            </w:pPr>
          </w:p>
        </w:tc>
      </w:tr>
      <w:tr w14:paraId="72066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43" w:type="dxa"/>
            <w:vMerge w:val="continue"/>
            <w:tcBorders>
              <w:tl2br w:val="nil"/>
              <w:tr2bl w:val="nil"/>
            </w:tcBorders>
          </w:tcPr>
          <w:p w14:paraId="3659B711">
            <w:pPr>
              <w:rPr>
                <w:rFonts w:hint="eastAsia" w:ascii="宋体" w:hAnsi="宋体" w:eastAsia="宋体" w:cs="宋体"/>
                <w:sz w:val="18"/>
                <w:szCs w:val="18"/>
              </w:rPr>
            </w:pPr>
          </w:p>
        </w:tc>
        <w:tc>
          <w:tcPr>
            <w:tcW w:w="7683" w:type="dxa"/>
            <w:gridSpan w:val="6"/>
            <w:tcBorders>
              <w:tl2br w:val="nil"/>
              <w:tr2bl w:val="nil"/>
            </w:tcBorders>
          </w:tcPr>
          <w:p w14:paraId="2AD0D21B">
            <w:pPr>
              <w:pStyle w:val="24"/>
              <w:spacing w:before="0" w:line="240" w:lineRule="auto"/>
              <w:ind w:left="0"/>
              <w:rPr>
                <w:rFonts w:hint="eastAsia" w:ascii="宋体" w:hAnsi="宋体" w:eastAsia="宋体" w:cs="宋体"/>
                <w:spacing w:val="-10"/>
                <w:sz w:val="18"/>
                <w:szCs w:val="18"/>
                <w:lang w:eastAsia="zh-CN"/>
              </w:rPr>
            </w:pPr>
            <w:r>
              <w:rPr>
                <w:rFonts w:hint="eastAsia" w:ascii="宋体" w:hAnsi="宋体" w:eastAsia="宋体" w:cs="宋体"/>
                <w:spacing w:val="-13"/>
                <w:sz w:val="18"/>
                <w:szCs w:val="18"/>
                <w:lang w:eastAsia="zh-CN"/>
              </w:rPr>
              <w:t>运动功能评分项目及对应评分</w:t>
            </w:r>
            <w:r>
              <w:rPr>
                <w:rFonts w:hint="eastAsia" w:ascii="宋体" w:hAnsi="宋体" w:eastAsia="宋体" w:cs="宋体"/>
                <w:spacing w:val="-10"/>
                <w:sz w:val="18"/>
                <w:szCs w:val="18"/>
                <w:lang w:eastAsia="zh-CN"/>
              </w:rPr>
              <w:t>：</w:t>
            </w:r>
          </w:p>
          <w:p w14:paraId="281921DD">
            <w:pPr>
              <w:pStyle w:val="24"/>
              <w:spacing w:before="0" w:line="240" w:lineRule="auto"/>
              <w:ind w:left="0"/>
              <w:rPr>
                <w:rFonts w:hint="eastAsia" w:ascii="宋体" w:hAnsi="宋体" w:eastAsia="宋体" w:cs="宋体"/>
                <w:spacing w:val="-10"/>
                <w:sz w:val="18"/>
                <w:szCs w:val="18"/>
                <w:lang w:eastAsia="zh-CN"/>
              </w:rPr>
            </w:pPr>
          </w:p>
          <w:p w14:paraId="6734DCC5">
            <w:pPr>
              <w:pStyle w:val="24"/>
              <w:spacing w:before="0" w:line="240" w:lineRule="auto"/>
              <w:ind w:left="0"/>
              <w:rPr>
                <w:rFonts w:hint="eastAsia" w:ascii="宋体" w:hAnsi="宋体" w:eastAsia="宋体" w:cs="宋体"/>
                <w:spacing w:val="-10"/>
                <w:sz w:val="18"/>
                <w:szCs w:val="18"/>
                <w:lang w:eastAsia="zh-CN"/>
              </w:rPr>
            </w:pPr>
          </w:p>
        </w:tc>
      </w:tr>
      <w:tr w14:paraId="4DB7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243" w:type="dxa"/>
            <w:vMerge w:val="continue"/>
            <w:tcBorders>
              <w:tl2br w:val="nil"/>
              <w:tr2bl w:val="nil"/>
            </w:tcBorders>
          </w:tcPr>
          <w:p w14:paraId="7ADD3488">
            <w:pPr>
              <w:rPr>
                <w:rFonts w:hint="eastAsia" w:ascii="宋体" w:hAnsi="宋体" w:eastAsia="宋体" w:cs="宋体"/>
                <w:sz w:val="18"/>
                <w:szCs w:val="18"/>
              </w:rPr>
            </w:pPr>
          </w:p>
        </w:tc>
        <w:tc>
          <w:tcPr>
            <w:tcW w:w="7683" w:type="dxa"/>
            <w:gridSpan w:val="6"/>
            <w:tcBorders>
              <w:tl2br w:val="nil"/>
              <w:tr2bl w:val="nil"/>
            </w:tcBorders>
          </w:tcPr>
          <w:p w14:paraId="13353354">
            <w:pPr>
              <w:pStyle w:val="24"/>
              <w:spacing w:before="0" w:line="240" w:lineRule="auto"/>
              <w:ind w:left="0"/>
              <w:rPr>
                <w:rFonts w:hint="eastAsia" w:ascii="宋体" w:hAnsi="宋体" w:eastAsia="宋体" w:cs="宋体"/>
                <w:spacing w:val="-13"/>
                <w:sz w:val="18"/>
                <w:szCs w:val="18"/>
                <w:lang w:eastAsia="zh-CN"/>
              </w:rPr>
            </w:pPr>
            <w:r>
              <w:rPr>
                <w:rFonts w:hint="eastAsia" w:ascii="宋体" w:hAnsi="宋体" w:eastAsia="宋体" w:cs="宋体"/>
                <w:spacing w:val="-13"/>
                <w:sz w:val="18"/>
                <w:szCs w:val="18"/>
                <w:lang w:eastAsia="zh-CN"/>
              </w:rPr>
              <w:t>脊柱全长测力线：</w:t>
            </w:r>
            <w:r>
              <w:rPr>
                <w:rFonts w:hint="eastAsia" w:ascii="宋体" w:hAnsi="宋体" w:eastAsia="宋体" w:cs="宋体"/>
                <w:b/>
                <w:bCs/>
                <w:snapToGrid w:val="0"/>
                <w:color w:val="000000"/>
                <w:spacing w:val="-1"/>
                <w:kern w:val="0"/>
                <w:sz w:val="18"/>
                <w:szCs w:val="18"/>
                <w:lang w:eastAsia="zh-CN"/>
              </w:rPr>
              <w:t>Cobbs角</w:t>
            </w:r>
          </w:p>
          <w:p w14:paraId="7AFEE2F9">
            <w:pPr>
              <w:pStyle w:val="24"/>
              <w:spacing w:before="0" w:line="240" w:lineRule="auto"/>
              <w:ind w:left="0"/>
              <w:rPr>
                <w:rFonts w:hint="eastAsia" w:ascii="宋体" w:hAnsi="宋体" w:eastAsia="宋体" w:cs="宋体"/>
                <w:spacing w:val="-13"/>
                <w:sz w:val="18"/>
                <w:szCs w:val="18"/>
                <w:lang w:eastAsia="zh-CN"/>
              </w:rPr>
            </w:pPr>
          </w:p>
          <w:p w14:paraId="1F5652E9">
            <w:pPr>
              <w:pStyle w:val="24"/>
              <w:spacing w:before="0" w:line="240" w:lineRule="auto"/>
              <w:ind w:left="0"/>
              <w:rPr>
                <w:rFonts w:hint="eastAsia" w:ascii="宋体" w:hAnsi="宋体" w:eastAsia="宋体" w:cs="宋体"/>
                <w:spacing w:val="-13"/>
                <w:sz w:val="18"/>
                <w:szCs w:val="18"/>
                <w:lang w:eastAsia="zh-CN"/>
              </w:rPr>
            </w:pPr>
          </w:p>
        </w:tc>
      </w:tr>
      <w:tr w14:paraId="2FD45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243" w:type="dxa"/>
            <w:vMerge w:val="continue"/>
            <w:tcBorders>
              <w:tl2br w:val="nil"/>
              <w:tr2bl w:val="nil"/>
            </w:tcBorders>
          </w:tcPr>
          <w:p w14:paraId="1158B0F8">
            <w:pPr>
              <w:rPr>
                <w:rFonts w:hint="eastAsia" w:ascii="宋体" w:hAnsi="宋体" w:eastAsia="宋体" w:cs="宋体"/>
                <w:sz w:val="18"/>
                <w:szCs w:val="18"/>
              </w:rPr>
            </w:pPr>
          </w:p>
        </w:tc>
        <w:tc>
          <w:tcPr>
            <w:tcW w:w="7683" w:type="dxa"/>
            <w:gridSpan w:val="6"/>
            <w:tcBorders>
              <w:tl2br w:val="nil"/>
              <w:tr2bl w:val="nil"/>
            </w:tcBorders>
          </w:tcPr>
          <w:p w14:paraId="1289DC69">
            <w:pPr>
              <w:pStyle w:val="24"/>
              <w:spacing w:before="0" w:line="240" w:lineRule="auto"/>
              <w:ind w:left="0"/>
              <w:rPr>
                <w:rFonts w:hint="eastAsia" w:ascii="宋体" w:hAnsi="宋体" w:eastAsia="宋体" w:cs="宋体"/>
                <w:spacing w:val="-13"/>
                <w:sz w:val="18"/>
                <w:szCs w:val="18"/>
                <w:lang w:eastAsia="zh-CN"/>
              </w:rPr>
            </w:pPr>
            <w:r>
              <w:rPr>
                <w:rFonts w:hint="eastAsia" w:ascii="宋体" w:hAnsi="宋体" w:eastAsia="宋体" w:cs="宋体"/>
                <w:spacing w:val="-13"/>
                <w:sz w:val="18"/>
                <w:szCs w:val="18"/>
                <w:lang w:eastAsia="zh-CN"/>
              </w:rPr>
              <w:t>心肌酶学：</w:t>
            </w:r>
          </w:p>
          <w:p w14:paraId="4DD9521B">
            <w:pPr>
              <w:pStyle w:val="24"/>
              <w:spacing w:before="0" w:line="240" w:lineRule="auto"/>
              <w:ind w:left="0"/>
              <w:rPr>
                <w:rFonts w:hint="eastAsia" w:ascii="宋体" w:hAnsi="宋体" w:eastAsia="宋体" w:cs="宋体"/>
                <w:spacing w:val="-13"/>
                <w:sz w:val="18"/>
                <w:szCs w:val="18"/>
                <w:lang w:eastAsia="zh-CN"/>
              </w:rPr>
            </w:pPr>
          </w:p>
          <w:p w14:paraId="252FA4DC">
            <w:pPr>
              <w:pStyle w:val="24"/>
              <w:spacing w:before="0" w:line="240" w:lineRule="auto"/>
              <w:ind w:left="0"/>
              <w:rPr>
                <w:rFonts w:hint="eastAsia" w:ascii="宋体" w:hAnsi="宋体" w:eastAsia="宋体" w:cs="宋体"/>
                <w:spacing w:val="-13"/>
                <w:sz w:val="18"/>
                <w:szCs w:val="18"/>
                <w:lang w:eastAsia="zh-CN"/>
              </w:rPr>
            </w:pPr>
          </w:p>
        </w:tc>
      </w:tr>
      <w:tr w14:paraId="1ECD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243" w:type="dxa"/>
            <w:vMerge w:val="continue"/>
            <w:tcBorders>
              <w:tl2br w:val="nil"/>
              <w:tr2bl w:val="nil"/>
            </w:tcBorders>
          </w:tcPr>
          <w:p w14:paraId="003173F5">
            <w:pPr>
              <w:rPr>
                <w:rFonts w:hint="eastAsia" w:ascii="宋体" w:hAnsi="宋体" w:eastAsia="宋体" w:cs="宋体"/>
                <w:sz w:val="18"/>
                <w:szCs w:val="18"/>
              </w:rPr>
            </w:pPr>
          </w:p>
        </w:tc>
        <w:tc>
          <w:tcPr>
            <w:tcW w:w="7683" w:type="dxa"/>
            <w:gridSpan w:val="6"/>
            <w:tcBorders>
              <w:tl2br w:val="nil"/>
              <w:tr2bl w:val="nil"/>
            </w:tcBorders>
          </w:tcPr>
          <w:p w14:paraId="043A3CA6">
            <w:pPr>
              <w:pStyle w:val="24"/>
              <w:spacing w:before="0" w:line="240" w:lineRule="auto"/>
              <w:ind w:left="0"/>
              <w:rPr>
                <w:rFonts w:hint="eastAsia" w:ascii="宋体" w:hAnsi="宋体" w:eastAsia="宋体" w:cs="宋体"/>
                <w:spacing w:val="-13"/>
                <w:sz w:val="18"/>
                <w:szCs w:val="18"/>
              </w:rPr>
            </w:pPr>
            <w:r>
              <w:rPr>
                <w:rFonts w:hint="eastAsia" w:ascii="宋体" w:hAnsi="宋体" w:eastAsia="宋体" w:cs="宋体"/>
                <w:spacing w:val="-13"/>
                <w:sz w:val="18"/>
                <w:szCs w:val="18"/>
              </w:rPr>
              <w:t>其他：</w:t>
            </w:r>
          </w:p>
          <w:p w14:paraId="49355A16">
            <w:pPr>
              <w:pStyle w:val="24"/>
              <w:spacing w:before="0" w:line="240" w:lineRule="auto"/>
              <w:ind w:left="0"/>
              <w:rPr>
                <w:rFonts w:hint="eastAsia" w:ascii="宋体" w:hAnsi="宋体" w:eastAsia="宋体" w:cs="宋体"/>
                <w:spacing w:val="-13"/>
                <w:sz w:val="18"/>
                <w:szCs w:val="18"/>
              </w:rPr>
            </w:pPr>
          </w:p>
        </w:tc>
      </w:tr>
    </w:tbl>
    <w:p w14:paraId="5BEB5671">
      <w:pPr>
        <w:rPr>
          <w:rFonts w:ascii="Times New Roman" w:hAnsi="Times New Roman" w:eastAsia="宋体"/>
        </w:rPr>
        <w:sectPr>
          <w:footerReference r:id="rId16" w:type="first"/>
          <w:footerReference r:id="rId14" w:type="default"/>
          <w:footerReference r:id="rId15" w:type="even"/>
          <w:pgSz w:w="11905" w:h="16838"/>
          <w:pgMar w:top="1417" w:right="1134" w:bottom="1134" w:left="1417" w:header="0" w:footer="0" w:gutter="0"/>
          <w:paperSrc/>
          <w:pgNumType w:fmt="decimal" w:start="1"/>
          <w:cols w:space="0" w:num="1"/>
          <w:titlePg/>
          <w:rtlGutter w:val="0"/>
          <w:docGrid w:linePitch="286" w:charSpace="0"/>
        </w:sectPr>
      </w:pPr>
    </w:p>
    <w:p w14:paraId="6E600431">
      <w:pPr>
        <w:spacing w:before="120" w:beforeLines="50" w:after="120" w:afterLines="50" w:line="240" w:lineRule="auto"/>
        <w:jc w:val="center"/>
        <w:outlineLvl w:val="9"/>
        <w:rPr>
          <w:rFonts w:ascii="Times New Roman" w:hAnsi="Times New Roman" w:eastAsia="宋体" w:cs="宋体"/>
          <w:b/>
          <w:bCs/>
          <w:spacing w:val="-11"/>
          <w:sz w:val="32"/>
          <w:szCs w:val="32"/>
        </w:rPr>
      </w:pPr>
      <w:r>
        <w:rPr>
          <w:rFonts w:hint="eastAsia" w:ascii="Times New Roman" w:hAnsi="Times New Roman" w:eastAsia="宋体" w:cs="宋体"/>
          <w:b/>
          <w:bCs/>
          <w:spacing w:val="-11"/>
          <w:sz w:val="32"/>
          <w:szCs w:val="32"/>
        </w:rPr>
        <w:t>脊髓性肌萎缩症患者</w:t>
      </w:r>
      <w:r>
        <w:rPr>
          <w:rFonts w:ascii="Times New Roman" w:hAnsi="Times New Roman" w:eastAsia="宋体" w:cs="宋体"/>
          <w:b/>
          <w:bCs/>
          <w:spacing w:val="-11"/>
          <w:sz w:val="32"/>
          <w:szCs w:val="32"/>
        </w:rPr>
        <w:t>诊治/随访建议</w:t>
      </w:r>
      <w:r>
        <w:rPr>
          <w:rFonts w:hint="eastAsia" w:ascii="Times New Roman" w:hAnsi="Times New Roman" w:eastAsia="宋体" w:cs="宋体"/>
          <w:b/>
          <w:bCs/>
          <w:spacing w:val="-11"/>
          <w:sz w:val="32"/>
          <w:szCs w:val="32"/>
        </w:rPr>
        <w:t>表</w:t>
      </w:r>
    </w:p>
    <w:tbl>
      <w:tblPr>
        <w:tblStyle w:val="25"/>
        <w:tblW w:w="8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1226"/>
        <w:gridCol w:w="19"/>
        <w:gridCol w:w="1245"/>
        <w:gridCol w:w="1246"/>
        <w:gridCol w:w="1245"/>
        <w:gridCol w:w="1245"/>
        <w:gridCol w:w="1247"/>
      </w:tblGrid>
      <w:tr w14:paraId="7BF11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970" w:type="dxa"/>
            <w:gridSpan w:val="8"/>
          </w:tcPr>
          <w:p w14:paraId="6AA5F691">
            <w:pPr>
              <w:pStyle w:val="24"/>
              <w:spacing w:before="0" w:line="240" w:lineRule="auto"/>
              <w:ind w:left="0"/>
              <w:jc w:val="center"/>
              <w:rPr>
                <w:rFonts w:hint="eastAsia" w:ascii="宋体" w:hAnsi="宋体" w:eastAsia="宋体" w:cs="宋体"/>
                <w:b/>
                <w:bCs/>
                <w:spacing w:val="5"/>
                <w:sz w:val="27"/>
                <w:szCs w:val="27"/>
                <w:lang w:eastAsia="zh-CN"/>
              </w:rPr>
            </w:pPr>
            <w:r>
              <w:rPr>
                <w:rFonts w:hint="eastAsia" w:ascii="宋体" w:hAnsi="宋体" w:eastAsia="宋体" w:cs="宋体"/>
                <w:b/>
                <w:bCs/>
                <w:spacing w:val="5"/>
                <w:sz w:val="36"/>
                <w:szCs w:val="36"/>
                <w:lang w:eastAsia="zh-CN"/>
              </w:rPr>
              <w:t>治疗建议</w:t>
            </w:r>
          </w:p>
        </w:tc>
      </w:tr>
      <w:tr w14:paraId="210A5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restart"/>
          </w:tcPr>
          <w:p w14:paraId="6ACA479E">
            <w:pPr>
              <w:pStyle w:val="24"/>
              <w:spacing w:before="0" w:line="240" w:lineRule="auto"/>
              <w:ind w:left="0"/>
              <w:rPr>
                <w:rFonts w:hint="eastAsia" w:ascii="宋体" w:hAnsi="宋体" w:eastAsia="宋体" w:cs="宋体"/>
                <w:b/>
                <w:bCs/>
                <w:spacing w:val="-1"/>
              </w:rPr>
            </w:pPr>
          </w:p>
          <w:p w14:paraId="6D2A57EE">
            <w:pPr>
              <w:pStyle w:val="24"/>
              <w:spacing w:before="0" w:line="240" w:lineRule="auto"/>
              <w:ind w:left="0" w:firstLine="211" w:firstLineChars="100"/>
              <w:rPr>
                <w:rFonts w:hint="eastAsia" w:ascii="宋体" w:hAnsi="宋体" w:eastAsia="宋体" w:cs="宋体"/>
                <w:b/>
                <w:bCs/>
                <w:lang w:eastAsia="zh-CN"/>
              </w:rPr>
            </w:pPr>
          </w:p>
          <w:p w14:paraId="0C7C3615">
            <w:pPr>
              <w:pStyle w:val="24"/>
              <w:spacing w:before="0" w:line="240" w:lineRule="auto"/>
              <w:ind w:left="0" w:firstLine="211" w:firstLineChars="100"/>
              <w:rPr>
                <w:rFonts w:hint="eastAsia" w:ascii="宋体" w:hAnsi="宋体" w:eastAsia="宋体" w:cs="宋体"/>
                <w:b/>
                <w:bCs/>
                <w:lang w:eastAsia="zh-CN"/>
              </w:rPr>
            </w:pPr>
          </w:p>
          <w:p w14:paraId="14337768">
            <w:pPr>
              <w:pStyle w:val="24"/>
              <w:spacing w:before="0" w:line="240" w:lineRule="auto"/>
              <w:ind w:left="0" w:firstLine="211" w:firstLineChars="100"/>
              <w:rPr>
                <w:rFonts w:hint="eastAsia" w:ascii="宋体" w:hAnsi="宋体" w:eastAsia="宋体" w:cs="宋体"/>
                <w:b/>
                <w:bCs/>
                <w:lang w:eastAsia="zh-CN"/>
              </w:rPr>
            </w:pPr>
          </w:p>
          <w:p w14:paraId="157897F7">
            <w:pPr>
              <w:pStyle w:val="24"/>
              <w:spacing w:before="0" w:line="240" w:lineRule="auto"/>
              <w:ind w:left="0" w:firstLine="211" w:firstLineChars="100"/>
              <w:rPr>
                <w:rFonts w:hint="eastAsia" w:ascii="宋体" w:hAnsi="宋体" w:eastAsia="宋体" w:cs="宋体"/>
                <w:b/>
                <w:bCs/>
                <w:lang w:eastAsia="zh-CN"/>
              </w:rPr>
            </w:pPr>
          </w:p>
          <w:p w14:paraId="4E6AA7A3">
            <w:pPr>
              <w:pStyle w:val="24"/>
              <w:spacing w:before="0" w:line="240" w:lineRule="auto"/>
              <w:ind w:left="0" w:firstLine="211" w:firstLineChars="100"/>
              <w:rPr>
                <w:rFonts w:hint="eastAsia" w:ascii="宋体" w:hAnsi="宋体" w:eastAsia="宋体" w:cs="宋体"/>
                <w:b/>
                <w:bCs/>
                <w:lang w:eastAsia="zh-CN"/>
              </w:rPr>
            </w:pPr>
          </w:p>
          <w:p w14:paraId="6CADE7F0">
            <w:pPr>
              <w:pStyle w:val="24"/>
              <w:spacing w:before="0" w:line="240" w:lineRule="auto"/>
              <w:ind w:left="0" w:firstLine="211" w:firstLineChars="100"/>
              <w:rPr>
                <w:rFonts w:hint="eastAsia" w:ascii="宋体" w:hAnsi="宋体" w:eastAsia="宋体" w:cs="宋体"/>
                <w:b/>
                <w:bCs/>
                <w:lang w:eastAsia="zh-CN"/>
              </w:rPr>
            </w:pPr>
          </w:p>
          <w:p w14:paraId="66A7C637">
            <w:pPr>
              <w:pStyle w:val="24"/>
              <w:spacing w:before="0" w:line="240" w:lineRule="auto"/>
              <w:ind w:left="0" w:firstLine="211" w:firstLineChars="100"/>
              <w:rPr>
                <w:rFonts w:hint="eastAsia" w:ascii="宋体" w:hAnsi="宋体" w:eastAsia="宋体" w:cs="宋体"/>
                <w:b/>
                <w:bCs/>
                <w:lang w:eastAsia="zh-CN"/>
              </w:rPr>
            </w:pPr>
          </w:p>
          <w:p w14:paraId="4D6C18B3">
            <w:pPr>
              <w:pStyle w:val="24"/>
              <w:spacing w:before="0" w:line="240" w:lineRule="auto"/>
              <w:ind w:left="0" w:firstLine="211" w:firstLineChars="100"/>
              <w:rPr>
                <w:rFonts w:hint="eastAsia" w:ascii="宋体" w:hAnsi="宋体" w:eastAsia="宋体" w:cs="宋体"/>
              </w:rPr>
            </w:pPr>
            <w:r>
              <w:rPr>
                <w:rFonts w:hint="eastAsia" w:ascii="宋体" w:hAnsi="宋体" w:eastAsia="宋体" w:cs="宋体"/>
                <w:b/>
                <w:bCs/>
                <w:lang w:eastAsia="zh-CN"/>
              </w:rPr>
              <w:t>治疗情况</w:t>
            </w:r>
          </w:p>
        </w:tc>
        <w:tc>
          <w:tcPr>
            <w:tcW w:w="3736" w:type="dxa"/>
            <w:gridSpan w:val="4"/>
          </w:tcPr>
          <w:p w14:paraId="46FC7A5F">
            <w:pPr>
              <w:spacing w:line="240" w:lineRule="auto"/>
              <w:jc w:val="center"/>
              <w:rPr>
                <w:rFonts w:hint="eastAsia" w:ascii="宋体" w:hAnsi="宋体" w:eastAsia="宋体" w:cs="宋体"/>
                <w:szCs w:val="21"/>
              </w:rPr>
            </w:pPr>
            <w:r>
              <w:rPr>
                <w:rFonts w:hint="eastAsia" w:ascii="宋体" w:hAnsi="宋体" w:eastAsia="宋体" w:cs="宋体"/>
                <w:szCs w:val="21"/>
              </w:rPr>
              <w:t>诺西那生治疗</w:t>
            </w:r>
          </w:p>
        </w:tc>
        <w:tc>
          <w:tcPr>
            <w:tcW w:w="3737" w:type="dxa"/>
            <w:gridSpan w:val="3"/>
          </w:tcPr>
          <w:p w14:paraId="5EEF6534">
            <w:pPr>
              <w:spacing w:line="240" w:lineRule="auto"/>
              <w:jc w:val="center"/>
              <w:rPr>
                <w:rFonts w:hint="eastAsia" w:ascii="宋体" w:hAnsi="宋体" w:eastAsia="宋体" w:cs="宋体"/>
                <w:sz w:val="24"/>
                <w:szCs w:val="24"/>
              </w:rPr>
            </w:pPr>
          </w:p>
        </w:tc>
      </w:tr>
      <w:tr w14:paraId="7806A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25708E22">
            <w:pPr>
              <w:rPr>
                <w:rFonts w:hint="eastAsia" w:ascii="宋体" w:hAnsi="宋体" w:eastAsia="宋体" w:cs="宋体"/>
              </w:rPr>
            </w:pPr>
          </w:p>
        </w:tc>
        <w:tc>
          <w:tcPr>
            <w:tcW w:w="3736" w:type="dxa"/>
            <w:gridSpan w:val="4"/>
          </w:tcPr>
          <w:p w14:paraId="6A096CD7">
            <w:pPr>
              <w:spacing w:line="240" w:lineRule="auto"/>
              <w:jc w:val="center"/>
              <w:rPr>
                <w:rFonts w:hint="eastAsia" w:ascii="宋体" w:hAnsi="宋体" w:eastAsia="宋体" w:cs="宋体"/>
                <w:szCs w:val="21"/>
              </w:rPr>
            </w:pPr>
            <w:r>
              <w:rPr>
                <w:rFonts w:hint="eastAsia" w:ascii="宋体" w:hAnsi="宋体" w:eastAsia="宋体" w:cs="宋体"/>
                <w:szCs w:val="21"/>
              </w:rPr>
              <w:t>利司扑兰治疗</w:t>
            </w:r>
          </w:p>
        </w:tc>
        <w:tc>
          <w:tcPr>
            <w:tcW w:w="3737" w:type="dxa"/>
            <w:gridSpan w:val="3"/>
          </w:tcPr>
          <w:p w14:paraId="06A160AE">
            <w:pPr>
              <w:spacing w:line="240" w:lineRule="auto"/>
              <w:jc w:val="center"/>
              <w:rPr>
                <w:rFonts w:hint="eastAsia" w:ascii="宋体" w:hAnsi="宋体" w:eastAsia="宋体" w:cs="宋体"/>
                <w:sz w:val="24"/>
                <w:szCs w:val="24"/>
              </w:rPr>
            </w:pPr>
          </w:p>
        </w:tc>
      </w:tr>
      <w:tr w14:paraId="6273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5B6A4272">
            <w:pPr>
              <w:rPr>
                <w:rFonts w:hint="eastAsia" w:ascii="宋体" w:hAnsi="宋体" w:eastAsia="宋体" w:cs="宋体"/>
              </w:rPr>
            </w:pPr>
          </w:p>
        </w:tc>
        <w:tc>
          <w:tcPr>
            <w:tcW w:w="3736" w:type="dxa"/>
            <w:gridSpan w:val="4"/>
          </w:tcPr>
          <w:p w14:paraId="1683E5CF">
            <w:pPr>
              <w:spacing w:line="240" w:lineRule="auto"/>
              <w:jc w:val="center"/>
              <w:rPr>
                <w:rFonts w:hint="eastAsia" w:ascii="宋体" w:hAnsi="宋体" w:eastAsia="宋体" w:cs="宋体"/>
                <w:szCs w:val="21"/>
              </w:rPr>
            </w:pPr>
            <w:r>
              <w:rPr>
                <w:rFonts w:hint="eastAsia" w:ascii="宋体" w:hAnsi="宋体" w:eastAsia="宋体" w:cs="宋体"/>
                <w:szCs w:val="21"/>
              </w:rPr>
              <w:t>其他DMT药物治疗</w:t>
            </w:r>
          </w:p>
        </w:tc>
        <w:tc>
          <w:tcPr>
            <w:tcW w:w="3737" w:type="dxa"/>
            <w:gridSpan w:val="3"/>
          </w:tcPr>
          <w:p w14:paraId="5D13FA3C">
            <w:pPr>
              <w:spacing w:line="240" w:lineRule="auto"/>
              <w:jc w:val="center"/>
              <w:rPr>
                <w:rFonts w:hint="eastAsia" w:ascii="宋体" w:hAnsi="宋体" w:eastAsia="宋体" w:cs="宋体"/>
                <w:sz w:val="24"/>
                <w:szCs w:val="24"/>
              </w:rPr>
            </w:pPr>
          </w:p>
        </w:tc>
      </w:tr>
      <w:tr w14:paraId="048E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3357D28C">
            <w:pPr>
              <w:rPr>
                <w:rFonts w:hint="eastAsia" w:ascii="宋体" w:hAnsi="宋体" w:eastAsia="宋体" w:cs="宋体"/>
              </w:rPr>
            </w:pPr>
          </w:p>
        </w:tc>
        <w:tc>
          <w:tcPr>
            <w:tcW w:w="3736" w:type="dxa"/>
            <w:gridSpan w:val="4"/>
          </w:tcPr>
          <w:p w14:paraId="4B352418">
            <w:pPr>
              <w:spacing w:line="240" w:lineRule="auto"/>
              <w:jc w:val="center"/>
              <w:rPr>
                <w:rFonts w:hint="eastAsia" w:ascii="宋体" w:hAnsi="宋体" w:eastAsia="宋体" w:cs="宋体"/>
                <w:szCs w:val="21"/>
              </w:rPr>
            </w:pPr>
            <w:r>
              <w:rPr>
                <w:rFonts w:hint="eastAsia" w:ascii="宋体" w:hAnsi="宋体" w:eastAsia="宋体" w:cs="宋体"/>
                <w:szCs w:val="21"/>
              </w:rPr>
              <w:t>功能康复治疗</w:t>
            </w:r>
          </w:p>
        </w:tc>
        <w:tc>
          <w:tcPr>
            <w:tcW w:w="3737" w:type="dxa"/>
            <w:gridSpan w:val="3"/>
          </w:tcPr>
          <w:p w14:paraId="50B68163">
            <w:pPr>
              <w:spacing w:line="240" w:lineRule="auto"/>
              <w:jc w:val="center"/>
              <w:rPr>
                <w:rFonts w:hint="eastAsia" w:ascii="宋体" w:hAnsi="宋体" w:eastAsia="宋体" w:cs="宋体"/>
                <w:sz w:val="24"/>
                <w:szCs w:val="24"/>
              </w:rPr>
            </w:pPr>
          </w:p>
        </w:tc>
      </w:tr>
      <w:tr w14:paraId="61CC6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6D323BB1">
            <w:pPr>
              <w:rPr>
                <w:rFonts w:hint="eastAsia" w:ascii="宋体" w:hAnsi="宋体" w:eastAsia="宋体" w:cs="宋体"/>
              </w:rPr>
            </w:pPr>
          </w:p>
        </w:tc>
        <w:tc>
          <w:tcPr>
            <w:tcW w:w="3736" w:type="dxa"/>
            <w:gridSpan w:val="4"/>
          </w:tcPr>
          <w:p w14:paraId="3B28F667">
            <w:pPr>
              <w:spacing w:line="240" w:lineRule="auto"/>
              <w:jc w:val="center"/>
              <w:rPr>
                <w:rFonts w:hint="eastAsia" w:ascii="宋体" w:hAnsi="宋体" w:eastAsia="宋体" w:cs="宋体"/>
                <w:szCs w:val="21"/>
              </w:rPr>
            </w:pPr>
            <w:r>
              <w:rPr>
                <w:rFonts w:hint="eastAsia" w:ascii="宋体" w:hAnsi="宋体" w:eastAsia="宋体" w:cs="宋体"/>
                <w:szCs w:val="21"/>
              </w:rPr>
              <w:t>肺康复治疗</w:t>
            </w:r>
          </w:p>
        </w:tc>
        <w:tc>
          <w:tcPr>
            <w:tcW w:w="3737" w:type="dxa"/>
            <w:gridSpan w:val="3"/>
          </w:tcPr>
          <w:p w14:paraId="2D81A60F">
            <w:pPr>
              <w:spacing w:line="240" w:lineRule="auto"/>
              <w:jc w:val="center"/>
              <w:rPr>
                <w:rFonts w:hint="eastAsia" w:ascii="宋体" w:hAnsi="宋体" w:eastAsia="宋体" w:cs="宋体"/>
                <w:sz w:val="24"/>
                <w:szCs w:val="24"/>
              </w:rPr>
            </w:pPr>
          </w:p>
        </w:tc>
      </w:tr>
      <w:tr w14:paraId="1FB01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78F3FB71">
            <w:pPr>
              <w:rPr>
                <w:rFonts w:hint="eastAsia" w:ascii="宋体" w:hAnsi="宋体" w:eastAsia="宋体" w:cs="宋体"/>
              </w:rPr>
            </w:pPr>
          </w:p>
        </w:tc>
        <w:tc>
          <w:tcPr>
            <w:tcW w:w="3736" w:type="dxa"/>
            <w:gridSpan w:val="4"/>
          </w:tcPr>
          <w:p w14:paraId="43020CA5">
            <w:pPr>
              <w:spacing w:line="240" w:lineRule="auto"/>
              <w:jc w:val="center"/>
              <w:rPr>
                <w:rFonts w:hint="eastAsia" w:ascii="宋体" w:hAnsi="宋体" w:eastAsia="宋体" w:cs="宋体"/>
                <w:szCs w:val="21"/>
              </w:rPr>
            </w:pPr>
            <w:r>
              <w:rPr>
                <w:rFonts w:hint="eastAsia" w:ascii="宋体" w:hAnsi="宋体" w:eastAsia="宋体" w:cs="宋体"/>
                <w:szCs w:val="21"/>
              </w:rPr>
              <w:t>呼吸机治疗</w:t>
            </w:r>
          </w:p>
        </w:tc>
        <w:tc>
          <w:tcPr>
            <w:tcW w:w="3737" w:type="dxa"/>
            <w:gridSpan w:val="3"/>
          </w:tcPr>
          <w:p w14:paraId="40ABF3AD">
            <w:pPr>
              <w:spacing w:line="240" w:lineRule="auto"/>
              <w:jc w:val="center"/>
              <w:rPr>
                <w:rFonts w:hint="eastAsia" w:ascii="宋体" w:hAnsi="宋体" w:eastAsia="宋体" w:cs="宋体"/>
                <w:sz w:val="24"/>
                <w:szCs w:val="24"/>
              </w:rPr>
            </w:pPr>
          </w:p>
        </w:tc>
      </w:tr>
      <w:tr w14:paraId="77556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415FFB38">
            <w:pPr>
              <w:rPr>
                <w:rFonts w:hint="eastAsia" w:ascii="宋体" w:hAnsi="宋体" w:eastAsia="宋体" w:cs="宋体"/>
              </w:rPr>
            </w:pPr>
          </w:p>
        </w:tc>
        <w:tc>
          <w:tcPr>
            <w:tcW w:w="3736" w:type="dxa"/>
            <w:gridSpan w:val="4"/>
          </w:tcPr>
          <w:p w14:paraId="1A35750E">
            <w:pPr>
              <w:spacing w:line="240" w:lineRule="auto"/>
              <w:jc w:val="center"/>
              <w:rPr>
                <w:rFonts w:hint="eastAsia" w:ascii="宋体" w:hAnsi="宋体" w:eastAsia="宋体" w:cs="宋体"/>
                <w:szCs w:val="21"/>
              </w:rPr>
            </w:pPr>
            <w:r>
              <w:rPr>
                <w:rFonts w:hint="eastAsia" w:ascii="宋体" w:hAnsi="宋体" w:eastAsia="宋体" w:cs="宋体"/>
                <w:szCs w:val="21"/>
              </w:rPr>
              <w:t>营养支持治疗</w:t>
            </w:r>
          </w:p>
        </w:tc>
        <w:tc>
          <w:tcPr>
            <w:tcW w:w="3737" w:type="dxa"/>
            <w:gridSpan w:val="3"/>
          </w:tcPr>
          <w:p w14:paraId="0FD8482C">
            <w:pPr>
              <w:spacing w:line="240" w:lineRule="auto"/>
              <w:jc w:val="center"/>
              <w:rPr>
                <w:rFonts w:hint="eastAsia" w:ascii="宋体" w:hAnsi="宋体" w:eastAsia="宋体" w:cs="宋体"/>
                <w:sz w:val="24"/>
                <w:szCs w:val="24"/>
              </w:rPr>
            </w:pPr>
          </w:p>
        </w:tc>
      </w:tr>
      <w:tr w14:paraId="3AF51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228EFAD0">
            <w:pPr>
              <w:rPr>
                <w:rFonts w:hint="eastAsia" w:ascii="宋体" w:hAnsi="宋体" w:eastAsia="宋体" w:cs="宋体"/>
              </w:rPr>
            </w:pPr>
          </w:p>
        </w:tc>
        <w:tc>
          <w:tcPr>
            <w:tcW w:w="3736" w:type="dxa"/>
            <w:gridSpan w:val="4"/>
          </w:tcPr>
          <w:p w14:paraId="6238B0E3">
            <w:pPr>
              <w:spacing w:line="240" w:lineRule="auto"/>
              <w:jc w:val="center"/>
              <w:rPr>
                <w:rFonts w:hint="eastAsia" w:ascii="宋体" w:hAnsi="宋体" w:eastAsia="宋体" w:cs="宋体"/>
                <w:szCs w:val="21"/>
              </w:rPr>
            </w:pPr>
            <w:r>
              <w:rPr>
                <w:rFonts w:hint="eastAsia" w:ascii="宋体" w:hAnsi="宋体" w:eastAsia="宋体" w:cs="宋体"/>
                <w:szCs w:val="21"/>
              </w:rPr>
              <w:t>消化道造瘘治疗</w:t>
            </w:r>
          </w:p>
        </w:tc>
        <w:tc>
          <w:tcPr>
            <w:tcW w:w="3737" w:type="dxa"/>
            <w:gridSpan w:val="3"/>
          </w:tcPr>
          <w:p w14:paraId="33E6DE90">
            <w:pPr>
              <w:spacing w:line="240" w:lineRule="auto"/>
              <w:jc w:val="center"/>
              <w:rPr>
                <w:rFonts w:hint="eastAsia" w:ascii="宋体" w:hAnsi="宋体" w:eastAsia="宋体" w:cs="宋体"/>
                <w:sz w:val="24"/>
                <w:szCs w:val="24"/>
              </w:rPr>
            </w:pPr>
          </w:p>
        </w:tc>
      </w:tr>
      <w:tr w14:paraId="4F3C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683DE063">
            <w:pPr>
              <w:rPr>
                <w:rFonts w:hint="eastAsia" w:ascii="宋体" w:hAnsi="宋体" w:eastAsia="宋体" w:cs="宋体"/>
              </w:rPr>
            </w:pPr>
          </w:p>
        </w:tc>
        <w:tc>
          <w:tcPr>
            <w:tcW w:w="3736" w:type="dxa"/>
            <w:gridSpan w:val="4"/>
          </w:tcPr>
          <w:p w14:paraId="28D62F20">
            <w:pPr>
              <w:spacing w:line="240" w:lineRule="auto"/>
              <w:jc w:val="center"/>
              <w:rPr>
                <w:rFonts w:hint="eastAsia" w:ascii="宋体" w:hAnsi="宋体" w:eastAsia="宋体" w:cs="宋体"/>
                <w:szCs w:val="21"/>
              </w:rPr>
            </w:pPr>
            <w:r>
              <w:rPr>
                <w:rFonts w:hint="eastAsia" w:ascii="宋体" w:hAnsi="宋体" w:eastAsia="宋体" w:cs="宋体"/>
                <w:szCs w:val="21"/>
              </w:rPr>
              <w:t>骨关节畸形手术治疗</w:t>
            </w:r>
          </w:p>
        </w:tc>
        <w:tc>
          <w:tcPr>
            <w:tcW w:w="3737" w:type="dxa"/>
            <w:gridSpan w:val="3"/>
          </w:tcPr>
          <w:p w14:paraId="3BDAAD73">
            <w:pPr>
              <w:spacing w:line="240" w:lineRule="auto"/>
              <w:jc w:val="center"/>
              <w:rPr>
                <w:rFonts w:hint="eastAsia" w:ascii="宋体" w:hAnsi="宋体" w:eastAsia="宋体" w:cs="宋体"/>
                <w:sz w:val="24"/>
                <w:szCs w:val="24"/>
              </w:rPr>
            </w:pPr>
          </w:p>
        </w:tc>
      </w:tr>
      <w:tr w14:paraId="6B7C9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 w:hRule="atLeast"/>
        </w:trPr>
        <w:tc>
          <w:tcPr>
            <w:tcW w:w="1497" w:type="dxa"/>
            <w:vMerge w:val="continue"/>
          </w:tcPr>
          <w:p w14:paraId="70196F61">
            <w:pPr>
              <w:rPr>
                <w:rFonts w:hint="eastAsia" w:ascii="宋体" w:hAnsi="宋体" w:eastAsia="宋体" w:cs="宋体"/>
              </w:rPr>
            </w:pPr>
          </w:p>
        </w:tc>
        <w:tc>
          <w:tcPr>
            <w:tcW w:w="3736" w:type="dxa"/>
            <w:gridSpan w:val="4"/>
          </w:tcPr>
          <w:p w14:paraId="1AD2C01F">
            <w:pPr>
              <w:spacing w:line="240" w:lineRule="auto"/>
              <w:jc w:val="center"/>
              <w:rPr>
                <w:rFonts w:hint="eastAsia" w:ascii="宋体" w:hAnsi="宋体" w:eastAsia="宋体" w:cs="宋体"/>
                <w:szCs w:val="21"/>
              </w:rPr>
            </w:pPr>
            <w:r>
              <w:rPr>
                <w:rFonts w:hint="eastAsia" w:ascii="宋体" w:hAnsi="宋体" w:eastAsia="宋体" w:cs="宋体"/>
                <w:szCs w:val="21"/>
              </w:rPr>
              <w:t>神经心理监测及干预</w:t>
            </w:r>
          </w:p>
        </w:tc>
        <w:tc>
          <w:tcPr>
            <w:tcW w:w="3737" w:type="dxa"/>
            <w:gridSpan w:val="3"/>
          </w:tcPr>
          <w:p w14:paraId="22211DAF">
            <w:pPr>
              <w:spacing w:line="240" w:lineRule="auto"/>
              <w:jc w:val="center"/>
              <w:rPr>
                <w:rFonts w:hint="eastAsia" w:ascii="宋体" w:hAnsi="宋体" w:eastAsia="宋体" w:cs="宋体"/>
                <w:sz w:val="24"/>
                <w:szCs w:val="24"/>
              </w:rPr>
            </w:pPr>
          </w:p>
        </w:tc>
      </w:tr>
      <w:tr w14:paraId="2A44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97" w:type="dxa"/>
            <w:vMerge w:val="continue"/>
          </w:tcPr>
          <w:p w14:paraId="253ECF0E">
            <w:pPr>
              <w:rPr>
                <w:rFonts w:hint="eastAsia" w:ascii="宋体" w:hAnsi="宋体" w:eastAsia="宋体" w:cs="宋体"/>
              </w:rPr>
            </w:pPr>
          </w:p>
        </w:tc>
        <w:tc>
          <w:tcPr>
            <w:tcW w:w="3736" w:type="dxa"/>
            <w:gridSpan w:val="4"/>
          </w:tcPr>
          <w:p w14:paraId="759A0CBF">
            <w:pPr>
              <w:jc w:val="center"/>
              <w:rPr>
                <w:rFonts w:hint="eastAsia" w:ascii="宋体" w:hAnsi="宋体" w:eastAsia="宋体" w:cs="宋体"/>
                <w:szCs w:val="21"/>
              </w:rPr>
            </w:pPr>
            <w:r>
              <w:rPr>
                <w:rFonts w:hint="eastAsia" w:ascii="宋体" w:hAnsi="宋体" w:eastAsia="宋体" w:cs="宋体"/>
                <w:szCs w:val="21"/>
              </w:rPr>
              <w:t>遗传咨询</w:t>
            </w:r>
          </w:p>
        </w:tc>
        <w:tc>
          <w:tcPr>
            <w:tcW w:w="3737" w:type="dxa"/>
            <w:gridSpan w:val="3"/>
          </w:tcPr>
          <w:p w14:paraId="31E7F239">
            <w:pPr>
              <w:jc w:val="center"/>
              <w:rPr>
                <w:rFonts w:hint="eastAsia" w:ascii="宋体" w:hAnsi="宋体" w:eastAsia="宋体" w:cs="宋体"/>
                <w:sz w:val="24"/>
                <w:szCs w:val="24"/>
              </w:rPr>
            </w:pPr>
          </w:p>
        </w:tc>
      </w:tr>
      <w:tr w14:paraId="3E01C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970" w:type="dxa"/>
            <w:gridSpan w:val="8"/>
          </w:tcPr>
          <w:p w14:paraId="1A049CD8">
            <w:pPr>
              <w:spacing w:line="240" w:lineRule="auto"/>
              <w:jc w:val="center"/>
              <w:rPr>
                <w:rFonts w:ascii="Times New Roman" w:hAnsi="Times New Roman" w:eastAsia="宋体"/>
                <w:sz w:val="24"/>
                <w:szCs w:val="24"/>
              </w:rPr>
            </w:pPr>
            <w:r>
              <w:rPr>
                <w:rFonts w:hint="eastAsia" w:ascii="Times New Roman" w:hAnsi="Times New Roman" w:eastAsia="宋体"/>
                <w:b/>
                <w:bCs/>
                <w:spacing w:val="5"/>
                <w:sz w:val="36"/>
                <w:szCs w:val="36"/>
              </w:rPr>
              <w:t>随访建议</w:t>
            </w:r>
          </w:p>
        </w:tc>
      </w:tr>
      <w:tr w14:paraId="24F3B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497" w:type="dxa"/>
            <w:vMerge w:val="restart"/>
          </w:tcPr>
          <w:p w14:paraId="6561ED41">
            <w:pPr>
              <w:widowControl w:val="0"/>
              <w:jc w:val="center"/>
              <w:rPr>
                <w:rFonts w:ascii="Times New Roman" w:hAnsi="Times New Roman" w:eastAsia="宋体" w:cs="宋体"/>
                <w:b/>
                <w:bCs/>
                <w:snapToGrid w:val="0"/>
                <w:color w:val="000000"/>
                <w:spacing w:val="-1"/>
                <w:kern w:val="0"/>
                <w:szCs w:val="21"/>
              </w:rPr>
            </w:pPr>
          </w:p>
          <w:p w14:paraId="78D7C73A">
            <w:pPr>
              <w:widowControl w:val="0"/>
              <w:jc w:val="center"/>
              <w:rPr>
                <w:rFonts w:ascii="Times New Roman" w:hAnsi="Times New Roman" w:eastAsia="宋体" w:cs="宋体"/>
                <w:b/>
                <w:bCs/>
                <w:snapToGrid w:val="0"/>
                <w:color w:val="000000"/>
                <w:spacing w:val="-1"/>
                <w:kern w:val="0"/>
                <w:szCs w:val="21"/>
              </w:rPr>
            </w:pPr>
          </w:p>
          <w:p w14:paraId="0902FC80">
            <w:pPr>
              <w:widowControl w:val="0"/>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用药后不良反应</w:t>
            </w:r>
            <w:r>
              <w:rPr>
                <w:rFonts w:ascii="Times New Roman" w:hAnsi="Times New Roman" w:eastAsia="宋体" w:cs="宋体"/>
                <w:b/>
                <w:bCs/>
                <w:snapToGrid w:val="0"/>
                <w:color w:val="000000"/>
                <w:spacing w:val="-1"/>
                <w:kern w:val="0"/>
                <w:szCs w:val="21"/>
              </w:rPr>
              <w:br w:type="textWrapping"/>
            </w:r>
          </w:p>
        </w:tc>
        <w:tc>
          <w:tcPr>
            <w:tcW w:w="1245" w:type="dxa"/>
            <w:gridSpan w:val="2"/>
          </w:tcPr>
          <w:p w14:paraId="529D7ADD">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1月</w:t>
            </w:r>
          </w:p>
        </w:tc>
        <w:tc>
          <w:tcPr>
            <w:tcW w:w="1245" w:type="dxa"/>
          </w:tcPr>
          <w:p w14:paraId="7E7F4B3F">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3</w:t>
            </w:r>
            <w:r>
              <w:rPr>
                <w:rFonts w:ascii="Times New Roman" w:hAnsi="Times New Roman" w:eastAsia="宋体" w:cs="宋体"/>
                <w:b/>
                <w:bCs/>
                <w:snapToGrid w:val="0"/>
                <w:color w:val="000000"/>
                <w:spacing w:val="-1"/>
                <w:kern w:val="0"/>
                <w:szCs w:val="21"/>
              </w:rPr>
              <w:t>/4</w:t>
            </w:r>
            <w:r>
              <w:rPr>
                <w:rFonts w:hint="eastAsia" w:ascii="Times New Roman" w:hAnsi="Times New Roman" w:eastAsia="宋体" w:cs="宋体"/>
                <w:b/>
                <w:bCs/>
                <w:snapToGrid w:val="0"/>
                <w:color w:val="000000"/>
                <w:spacing w:val="-1"/>
                <w:kern w:val="0"/>
                <w:szCs w:val="21"/>
              </w:rPr>
              <w:t>月</w:t>
            </w:r>
          </w:p>
        </w:tc>
        <w:tc>
          <w:tcPr>
            <w:tcW w:w="1246" w:type="dxa"/>
          </w:tcPr>
          <w:p w14:paraId="74769D5B">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6</w:t>
            </w:r>
            <w:r>
              <w:rPr>
                <w:rFonts w:ascii="Times New Roman" w:hAnsi="Times New Roman" w:eastAsia="宋体" w:cs="宋体"/>
                <w:b/>
                <w:bCs/>
                <w:snapToGrid w:val="0"/>
                <w:color w:val="000000"/>
                <w:spacing w:val="-1"/>
                <w:kern w:val="0"/>
                <w:szCs w:val="21"/>
              </w:rPr>
              <w:t>/8</w:t>
            </w:r>
            <w:r>
              <w:rPr>
                <w:rFonts w:hint="eastAsia" w:ascii="Times New Roman" w:hAnsi="Times New Roman" w:eastAsia="宋体" w:cs="宋体"/>
                <w:b/>
                <w:bCs/>
                <w:snapToGrid w:val="0"/>
                <w:color w:val="000000"/>
                <w:spacing w:val="-1"/>
                <w:kern w:val="0"/>
                <w:szCs w:val="21"/>
              </w:rPr>
              <w:t>月</w:t>
            </w:r>
          </w:p>
        </w:tc>
        <w:tc>
          <w:tcPr>
            <w:tcW w:w="1245" w:type="dxa"/>
          </w:tcPr>
          <w:p w14:paraId="057F9470">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12月</w:t>
            </w:r>
          </w:p>
        </w:tc>
        <w:tc>
          <w:tcPr>
            <w:tcW w:w="1245" w:type="dxa"/>
          </w:tcPr>
          <w:p w14:paraId="0A6E4137">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18月</w:t>
            </w:r>
          </w:p>
        </w:tc>
        <w:tc>
          <w:tcPr>
            <w:tcW w:w="1247" w:type="dxa"/>
          </w:tcPr>
          <w:p w14:paraId="42C89B1F">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24月</w:t>
            </w:r>
          </w:p>
        </w:tc>
      </w:tr>
      <w:tr w14:paraId="0E825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497" w:type="dxa"/>
            <w:vMerge w:val="continue"/>
          </w:tcPr>
          <w:p w14:paraId="353FAF43">
            <w:pPr>
              <w:widowControl w:val="0"/>
              <w:jc w:val="center"/>
              <w:rPr>
                <w:rFonts w:ascii="Times New Roman" w:hAnsi="Times New Roman" w:eastAsia="宋体"/>
              </w:rPr>
            </w:pPr>
          </w:p>
        </w:tc>
        <w:tc>
          <w:tcPr>
            <w:tcW w:w="1245" w:type="dxa"/>
            <w:gridSpan w:val="2"/>
          </w:tcPr>
          <w:p w14:paraId="67335E27">
            <w:pPr>
              <w:widowControl w:val="0"/>
              <w:jc w:val="center"/>
              <w:rPr>
                <w:rFonts w:ascii="Times New Roman" w:hAnsi="Times New Roman" w:eastAsia="宋体"/>
              </w:rPr>
            </w:pPr>
          </w:p>
        </w:tc>
        <w:tc>
          <w:tcPr>
            <w:tcW w:w="1245" w:type="dxa"/>
          </w:tcPr>
          <w:p w14:paraId="38AFDC94">
            <w:pPr>
              <w:widowControl w:val="0"/>
              <w:jc w:val="center"/>
              <w:rPr>
                <w:rFonts w:ascii="Times New Roman" w:hAnsi="Times New Roman" w:eastAsia="宋体"/>
              </w:rPr>
            </w:pPr>
          </w:p>
        </w:tc>
        <w:tc>
          <w:tcPr>
            <w:tcW w:w="1246" w:type="dxa"/>
          </w:tcPr>
          <w:p w14:paraId="4DADEE82">
            <w:pPr>
              <w:widowControl w:val="0"/>
              <w:jc w:val="center"/>
              <w:rPr>
                <w:rFonts w:ascii="Times New Roman" w:hAnsi="Times New Roman" w:eastAsia="宋体"/>
              </w:rPr>
            </w:pPr>
          </w:p>
        </w:tc>
        <w:tc>
          <w:tcPr>
            <w:tcW w:w="1245" w:type="dxa"/>
          </w:tcPr>
          <w:p w14:paraId="24A3DBC7">
            <w:pPr>
              <w:widowControl w:val="0"/>
              <w:jc w:val="center"/>
              <w:rPr>
                <w:rFonts w:ascii="Times New Roman" w:hAnsi="Times New Roman" w:eastAsia="宋体"/>
              </w:rPr>
            </w:pPr>
          </w:p>
        </w:tc>
        <w:tc>
          <w:tcPr>
            <w:tcW w:w="1245" w:type="dxa"/>
          </w:tcPr>
          <w:p w14:paraId="3D332002">
            <w:pPr>
              <w:widowControl w:val="0"/>
              <w:jc w:val="center"/>
              <w:rPr>
                <w:rFonts w:ascii="Times New Roman" w:hAnsi="Times New Roman" w:eastAsia="宋体"/>
              </w:rPr>
            </w:pPr>
          </w:p>
        </w:tc>
        <w:tc>
          <w:tcPr>
            <w:tcW w:w="1247" w:type="dxa"/>
          </w:tcPr>
          <w:p w14:paraId="6D5FC7D6">
            <w:pPr>
              <w:widowControl w:val="0"/>
              <w:jc w:val="center"/>
              <w:rPr>
                <w:rFonts w:ascii="Times New Roman" w:hAnsi="Times New Roman" w:eastAsia="宋体" w:cs="宋体"/>
                <w:b/>
                <w:bCs/>
                <w:snapToGrid w:val="0"/>
                <w:color w:val="000000"/>
                <w:spacing w:val="-1"/>
                <w:kern w:val="0"/>
                <w:szCs w:val="21"/>
              </w:rPr>
            </w:pPr>
          </w:p>
        </w:tc>
      </w:tr>
      <w:tr w14:paraId="0E1F6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97" w:type="dxa"/>
            <w:vMerge w:val="restart"/>
          </w:tcPr>
          <w:p w14:paraId="75E59475">
            <w:pPr>
              <w:widowControl w:val="0"/>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运动功能评分</w:t>
            </w:r>
          </w:p>
          <w:p w14:paraId="12089CBF">
            <w:pPr>
              <w:widowControl w:val="0"/>
              <w:jc w:val="center"/>
              <w:rPr>
                <w:rFonts w:ascii="Times New Roman" w:hAnsi="Times New Roman" w:eastAsia="宋体" w:cs="宋体"/>
                <w:b/>
                <w:bCs/>
                <w:snapToGrid w:val="0"/>
                <w:color w:val="000000"/>
                <w:spacing w:val="-1"/>
                <w:kern w:val="0"/>
                <w:sz w:val="15"/>
                <w:szCs w:val="15"/>
              </w:rPr>
            </w:pPr>
            <w:r>
              <w:rPr>
                <w:rFonts w:hint="eastAsia" w:ascii="Times New Roman" w:hAnsi="Times New Roman" w:eastAsia="宋体" w:cs="宋体"/>
                <w:b/>
                <w:bCs/>
                <w:snapToGrid w:val="0"/>
                <w:color w:val="000000"/>
                <w:spacing w:val="-1"/>
                <w:kern w:val="0"/>
                <w:sz w:val="15"/>
                <w:szCs w:val="15"/>
              </w:rPr>
              <w:t>最少一种</w:t>
            </w:r>
          </w:p>
          <w:p w14:paraId="4E630F49">
            <w:pPr>
              <w:widowControl w:val="0"/>
              <w:jc w:val="center"/>
              <w:rPr>
                <w:rFonts w:ascii="Times New Roman" w:hAnsi="Times New Roman" w:eastAsia="宋体" w:cs="宋体"/>
                <w:b/>
                <w:bCs/>
                <w:snapToGrid w:val="0"/>
                <w:color w:val="000000"/>
                <w:spacing w:val="-1"/>
                <w:kern w:val="0"/>
                <w:sz w:val="15"/>
                <w:szCs w:val="15"/>
              </w:rPr>
            </w:pPr>
            <w:r>
              <w:rPr>
                <w:rFonts w:ascii="Times New Roman" w:hAnsi="Times New Roman" w:eastAsia="宋体" w:cs="宋体"/>
                <w:snapToGrid w:val="0"/>
                <w:color w:val="000000"/>
                <w:spacing w:val="-1"/>
                <w:kern w:val="0"/>
                <w:sz w:val="15"/>
                <w:szCs w:val="15"/>
              </w:rPr>
              <w:t>HINE2</w:t>
            </w:r>
          </w:p>
          <w:p w14:paraId="7FE2B917">
            <w:pPr>
              <w:widowControl w:val="0"/>
              <w:jc w:val="center"/>
              <w:rPr>
                <w:rFonts w:ascii="Times New Roman" w:hAnsi="Times New Roman" w:eastAsia="宋体" w:cs="宋体"/>
                <w:b/>
                <w:bCs/>
                <w:snapToGrid w:val="0"/>
                <w:color w:val="000000"/>
                <w:spacing w:val="-1"/>
                <w:kern w:val="0"/>
                <w:sz w:val="15"/>
                <w:szCs w:val="15"/>
              </w:rPr>
            </w:pPr>
            <w:r>
              <w:rPr>
                <w:rFonts w:ascii="Times New Roman" w:hAnsi="Times New Roman" w:eastAsia="宋体" w:cs="宋体"/>
                <w:b/>
                <w:bCs/>
                <w:snapToGrid w:val="0"/>
                <w:color w:val="000000"/>
                <w:spacing w:val="-1"/>
                <w:kern w:val="0"/>
                <w:sz w:val="15"/>
                <w:szCs w:val="15"/>
              </w:rPr>
              <w:t>CHOP INTEND</w:t>
            </w:r>
          </w:p>
          <w:p w14:paraId="0D721A3D">
            <w:pPr>
              <w:widowControl w:val="0"/>
              <w:jc w:val="center"/>
              <w:rPr>
                <w:rFonts w:ascii="Times New Roman" w:hAnsi="Times New Roman" w:eastAsia="宋体" w:cs="宋体"/>
                <w:snapToGrid w:val="0"/>
                <w:color w:val="000000"/>
                <w:spacing w:val="-1"/>
                <w:kern w:val="0"/>
                <w:sz w:val="15"/>
                <w:szCs w:val="15"/>
              </w:rPr>
            </w:pPr>
            <w:r>
              <w:rPr>
                <w:rFonts w:ascii="Times New Roman" w:hAnsi="Times New Roman" w:eastAsia="宋体" w:cs="宋体"/>
                <w:snapToGrid w:val="0"/>
                <w:color w:val="000000"/>
                <w:spacing w:val="-1"/>
                <w:kern w:val="0"/>
                <w:sz w:val="15"/>
                <w:szCs w:val="15"/>
              </w:rPr>
              <w:t>HFMSE</w:t>
            </w:r>
          </w:p>
          <w:p w14:paraId="173C8A8F">
            <w:pPr>
              <w:widowControl w:val="0"/>
              <w:jc w:val="center"/>
              <w:rPr>
                <w:rFonts w:ascii="Times New Roman" w:hAnsi="Times New Roman" w:eastAsia="宋体" w:cs="宋体"/>
                <w:b/>
                <w:bCs/>
                <w:snapToGrid w:val="0"/>
                <w:color w:val="000000"/>
                <w:spacing w:val="-1"/>
                <w:kern w:val="0"/>
                <w:sz w:val="15"/>
                <w:szCs w:val="15"/>
              </w:rPr>
            </w:pPr>
            <w:r>
              <w:rPr>
                <w:rFonts w:ascii="Times New Roman" w:hAnsi="Times New Roman" w:eastAsia="宋体" w:cs="宋体"/>
                <w:snapToGrid w:val="0"/>
                <w:color w:val="000000"/>
                <w:spacing w:val="-1"/>
                <w:kern w:val="0"/>
                <w:sz w:val="15"/>
                <w:szCs w:val="15"/>
              </w:rPr>
              <w:t>6MWT</w:t>
            </w:r>
            <w:r>
              <w:rPr>
                <w:rFonts w:ascii="Times New Roman" w:hAnsi="Times New Roman" w:eastAsia="宋体" w:cs="宋体"/>
                <w:b/>
                <w:bCs/>
                <w:snapToGrid w:val="0"/>
                <w:color w:val="000000"/>
                <w:spacing w:val="-1"/>
                <w:kern w:val="0"/>
                <w:sz w:val="15"/>
                <w:szCs w:val="15"/>
              </w:rPr>
              <w:t xml:space="preserve"> </w:t>
            </w:r>
          </w:p>
          <w:p w14:paraId="1477B5AF">
            <w:pPr>
              <w:widowControl w:val="0"/>
              <w:jc w:val="center"/>
              <w:rPr>
                <w:rFonts w:ascii="Times New Roman" w:hAnsi="Times New Roman" w:eastAsia="宋体" w:cs="宋体"/>
                <w:snapToGrid w:val="0"/>
                <w:color w:val="000000"/>
                <w:spacing w:val="-1"/>
                <w:kern w:val="0"/>
                <w:sz w:val="15"/>
                <w:szCs w:val="15"/>
              </w:rPr>
            </w:pPr>
            <w:r>
              <w:rPr>
                <w:rFonts w:ascii="Times New Roman" w:hAnsi="Times New Roman" w:eastAsia="宋体" w:cs="宋体"/>
                <w:snapToGrid w:val="0"/>
                <w:color w:val="000000"/>
                <w:spacing w:val="-1"/>
                <w:kern w:val="0"/>
                <w:sz w:val="15"/>
                <w:szCs w:val="15"/>
              </w:rPr>
              <w:t>RULM</w:t>
            </w:r>
          </w:p>
          <w:p w14:paraId="05FE793F">
            <w:pPr>
              <w:widowControl w:val="0"/>
              <w:jc w:val="center"/>
              <w:rPr>
                <w:rFonts w:ascii="Times New Roman" w:hAnsi="Times New Roman" w:eastAsia="宋体" w:cs="宋体"/>
                <w:b/>
                <w:bCs/>
                <w:snapToGrid w:val="0"/>
                <w:color w:val="000000"/>
                <w:spacing w:val="-1"/>
                <w:kern w:val="0"/>
                <w:sz w:val="15"/>
                <w:szCs w:val="15"/>
              </w:rPr>
            </w:pPr>
            <w:r>
              <w:rPr>
                <w:rFonts w:ascii="Times New Roman" w:hAnsi="Times New Roman" w:eastAsia="宋体" w:cs="宋体"/>
                <w:snapToGrid w:val="0"/>
                <w:color w:val="000000"/>
                <w:spacing w:val="-1"/>
                <w:kern w:val="0"/>
                <w:sz w:val="15"/>
                <w:szCs w:val="15"/>
              </w:rPr>
              <w:t>MFM</w:t>
            </w:r>
          </w:p>
        </w:tc>
        <w:tc>
          <w:tcPr>
            <w:tcW w:w="1245" w:type="dxa"/>
            <w:gridSpan w:val="2"/>
          </w:tcPr>
          <w:p w14:paraId="0E7E06EF">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1月</w:t>
            </w:r>
          </w:p>
        </w:tc>
        <w:tc>
          <w:tcPr>
            <w:tcW w:w="1245" w:type="dxa"/>
          </w:tcPr>
          <w:p w14:paraId="13DCB646">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3</w:t>
            </w:r>
            <w:r>
              <w:rPr>
                <w:rFonts w:ascii="Times New Roman" w:hAnsi="Times New Roman" w:eastAsia="宋体" w:cs="宋体"/>
                <w:b/>
                <w:bCs/>
                <w:snapToGrid w:val="0"/>
                <w:color w:val="000000"/>
                <w:spacing w:val="-1"/>
                <w:kern w:val="0"/>
                <w:szCs w:val="21"/>
              </w:rPr>
              <w:t>/4</w:t>
            </w:r>
            <w:r>
              <w:rPr>
                <w:rFonts w:hint="eastAsia" w:ascii="Times New Roman" w:hAnsi="Times New Roman" w:eastAsia="宋体" w:cs="宋体"/>
                <w:b/>
                <w:bCs/>
                <w:snapToGrid w:val="0"/>
                <w:color w:val="000000"/>
                <w:spacing w:val="-1"/>
                <w:kern w:val="0"/>
                <w:szCs w:val="21"/>
              </w:rPr>
              <w:t>月</w:t>
            </w:r>
          </w:p>
        </w:tc>
        <w:tc>
          <w:tcPr>
            <w:tcW w:w="1246" w:type="dxa"/>
          </w:tcPr>
          <w:p w14:paraId="15495ECB">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6</w:t>
            </w:r>
            <w:r>
              <w:rPr>
                <w:rFonts w:ascii="Times New Roman" w:hAnsi="Times New Roman" w:eastAsia="宋体" w:cs="宋体"/>
                <w:b/>
                <w:bCs/>
                <w:snapToGrid w:val="0"/>
                <w:color w:val="000000"/>
                <w:spacing w:val="-1"/>
                <w:kern w:val="0"/>
                <w:szCs w:val="21"/>
              </w:rPr>
              <w:t>/8</w:t>
            </w:r>
            <w:r>
              <w:rPr>
                <w:rFonts w:hint="eastAsia" w:ascii="Times New Roman" w:hAnsi="Times New Roman" w:eastAsia="宋体" w:cs="宋体"/>
                <w:b/>
                <w:bCs/>
                <w:snapToGrid w:val="0"/>
                <w:color w:val="000000"/>
                <w:spacing w:val="-1"/>
                <w:kern w:val="0"/>
                <w:szCs w:val="21"/>
              </w:rPr>
              <w:t>月</w:t>
            </w:r>
          </w:p>
        </w:tc>
        <w:tc>
          <w:tcPr>
            <w:tcW w:w="1245" w:type="dxa"/>
          </w:tcPr>
          <w:p w14:paraId="3AC65089">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12月</w:t>
            </w:r>
          </w:p>
        </w:tc>
        <w:tc>
          <w:tcPr>
            <w:tcW w:w="1245" w:type="dxa"/>
          </w:tcPr>
          <w:p w14:paraId="650C79D9">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18月</w:t>
            </w:r>
          </w:p>
        </w:tc>
        <w:tc>
          <w:tcPr>
            <w:tcW w:w="1247" w:type="dxa"/>
          </w:tcPr>
          <w:p w14:paraId="2AAB711F">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24月</w:t>
            </w:r>
          </w:p>
        </w:tc>
      </w:tr>
      <w:tr w14:paraId="72918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497" w:type="dxa"/>
            <w:vMerge w:val="continue"/>
          </w:tcPr>
          <w:p w14:paraId="668BC9F3">
            <w:pPr>
              <w:widowControl w:val="0"/>
              <w:jc w:val="center"/>
              <w:rPr>
                <w:rFonts w:ascii="Times New Roman" w:hAnsi="Times New Roman" w:eastAsia="宋体"/>
              </w:rPr>
            </w:pPr>
          </w:p>
        </w:tc>
        <w:tc>
          <w:tcPr>
            <w:tcW w:w="1245" w:type="dxa"/>
            <w:gridSpan w:val="2"/>
          </w:tcPr>
          <w:p w14:paraId="1BCF5DA6">
            <w:pPr>
              <w:widowControl w:val="0"/>
              <w:jc w:val="center"/>
              <w:rPr>
                <w:rFonts w:ascii="Times New Roman" w:hAnsi="Times New Roman" w:eastAsia="宋体"/>
              </w:rPr>
            </w:pPr>
          </w:p>
        </w:tc>
        <w:tc>
          <w:tcPr>
            <w:tcW w:w="1245" w:type="dxa"/>
          </w:tcPr>
          <w:p w14:paraId="7D487222">
            <w:pPr>
              <w:widowControl w:val="0"/>
              <w:jc w:val="center"/>
              <w:rPr>
                <w:rFonts w:ascii="Times New Roman" w:hAnsi="Times New Roman" w:eastAsia="宋体"/>
              </w:rPr>
            </w:pPr>
          </w:p>
        </w:tc>
        <w:tc>
          <w:tcPr>
            <w:tcW w:w="1246" w:type="dxa"/>
          </w:tcPr>
          <w:p w14:paraId="5F4F7178">
            <w:pPr>
              <w:widowControl w:val="0"/>
              <w:jc w:val="center"/>
              <w:rPr>
                <w:rFonts w:ascii="Times New Roman" w:hAnsi="Times New Roman" w:eastAsia="宋体"/>
              </w:rPr>
            </w:pPr>
          </w:p>
        </w:tc>
        <w:tc>
          <w:tcPr>
            <w:tcW w:w="1245" w:type="dxa"/>
          </w:tcPr>
          <w:p w14:paraId="05C0F0D3">
            <w:pPr>
              <w:widowControl w:val="0"/>
              <w:jc w:val="center"/>
              <w:rPr>
                <w:rFonts w:ascii="Times New Roman" w:hAnsi="Times New Roman" w:eastAsia="宋体"/>
              </w:rPr>
            </w:pPr>
          </w:p>
        </w:tc>
        <w:tc>
          <w:tcPr>
            <w:tcW w:w="1245" w:type="dxa"/>
          </w:tcPr>
          <w:p w14:paraId="55E3752A">
            <w:pPr>
              <w:widowControl w:val="0"/>
              <w:jc w:val="center"/>
              <w:rPr>
                <w:rFonts w:ascii="Times New Roman" w:hAnsi="Times New Roman" w:eastAsia="宋体"/>
              </w:rPr>
            </w:pPr>
          </w:p>
        </w:tc>
        <w:tc>
          <w:tcPr>
            <w:tcW w:w="1247" w:type="dxa"/>
          </w:tcPr>
          <w:p w14:paraId="1212B409">
            <w:pPr>
              <w:widowControl w:val="0"/>
              <w:jc w:val="center"/>
              <w:rPr>
                <w:rFonts w:ascii="Times New Roman" w:hAnsi="Times New Roman" w:eastAsia="宋体"/>
              </w:rPr>
            </w:pPr>
          </w:p>
        </w:tc>
      </w:tr>
      <w:tr w14:paraId="58D99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497" w:type="dxa"/>
            <w:vMerge w:val="restart"/>
          </w:tcPr>
          <w:p w14:paraId="406B6E15">
            <w:pPr>
              <w:widowControl w:val="0"/>
              <w:jc w:val="center"/>
              <w:rPr>
                <w:rFonts w:ascii="Times New Roman" w:hAnsi="Times New Roman" w:eastAsia="宋体" w:cs="宋体"/>
                <w:b/>
                <w:bCs/>
                <w:snapToGrid w:val="0"/>
                <w:color w:val="000000"/>
                <w:spacing w:val="-1"/>
                <w:kern w:val="0"/>
                <w:szCs w:val="21"/>
              </w:rPr>
            </w:pPr>
          </w:p>
          <w:p w14:paraId="5AE1529C">
            <w:pPr>
              <w:widowControl w:val="0"/>
              <w:rPr>
                <w:rFonts w:ascii="Times New Roman" w:hAnsi="Times New Roman" w:eastAsia="宋体"/>
              </w:rPr>
            </w:pPr>
            <w:r>
              <w:rPr>
                <w:rFonts w:hint="eastAsia" w:ascii="Times New Roman" w:hAnsi="Times New Roman" w:eastAsia="宋体" w:cs="宋体"/>
                <w:b/>
                <w:bCs/>
                <w:snapToGrid w:val="0"/>
                <w:color w:val="000000"/>
                <w:spacing w:val="-1"/>
                <w:kern w:val="0"/>
                <w:szCs w:val="21"/>
              </w:rPr>
              <w:t>基本指标（删除）</w:t>
            </w:r>
          </w:p>
        </w:tc>
        <w:tc>
          <w:tcPr>
            <w:tcW w:w="1245" w:type="dxa"/>
            <w:gridSpan w:val="2"/>
          </w:tcPr>
          <w:p w14:paraId="112B1CA4">
            <w:pPr>
              <w:widowControl w:val="0"/>
              <w:spacing w:line="240" w:lineRule="auto"/>
              <w:jc w:val="center"/>
              <w:rPr>
                <w:rFonts w:ascii="Times New Roman" w:hAnsi="Times New Roman" w:eastAsia="宋体" w:cs="宋体"/>
                <w:b/>
                <w:bCs/>
                <w:snapToGrid w:val="0"/>
                <w:color w:val="000000"/>
                <w:spacing w:val="-1"/>
                <w:kern w:val="0"/>
                <w:szCs w:val="21"/>
              </w:rPr>
            </w:pPr>
          </w:p>
        </w:tc>
        <w:tc>
          <w:tcPr>
            <w:tcW w:w="1245" w:type="dxa"/>
          </w:tcPr>
          <w:p w14:paraId="3DF67D9F">
            <w:pPr>
              <w:widowControl w:val="0"/>
              <w:spacing w:line="240" w:lineRule="auto"/>
              <w:jc w:val="center"/>
              <w:rPr>
                <w:rFonts w:ascii="Times New Roman" w:hAnsi="Times New Roman" w:eastAsia="宋体" w:cs="宋体"/>
                <w:b/>
                <w:bCs/>
                <w:snapToGrid w:val="0"/>
                <w:color w:val="000000"/>
                <w:spacing w:val="-1"/>
                <w:kern w:val="0"/>
                <w:szCs w:val="21"/>
              </w:rPr>
            </w:pPr>
          </w:p>
        </w:tc>
        <w:tc>
          <w:tcPr>
            <w:tcW w:w="1246" w:type="dxa"/>
          </w:tcPr>
          <w:p w14:paraId="343DFF86">
            <w:pPr>
              <w:widowControl w:val="0"/>
              <w:spacing w:line="240" w:lineRule="auto"/>
              <w:jc w:val="center"/>
              <w:rPr>
                <w:rFonts w:ascii="Times New Roman" w:hAnsi="Times New Roman" w:eastAsia="宋体" w:cs="宋体"/>
                <w:b/>
                <w:bCs/>
                <w:snapToGrid w:val="0"/>
                <w:color w:val="000000"/>
                <w:spacing w:val="-1"/>
                <w:kern w:val="0"/>
                <w:szCs w:val="21"/>
              </w:rPr>
            </w:pPr>
          </w:p>
        </w:tc>
        <w:tc>
          <w:tcPr>
            <w:tcW w:w="1245" w:type="dxa"/>
          </w:tcPr>
          <w:p w14:paraId="49808B73">
            <w:pPr>
              <w:widowControl w:val="0"/>
              <w:spacing w:line="240" w:lineRule="auto"/>
              <w:jc w:val="center"/>
              <w:rPr>
                <w:rFonts w:ascii="Times New Roman" w:hAnsi="Times New Roman" w:eastAsia="宋体" w:cs="宋体"/>
                <w:b/>
                <w:bCs/>
                <w:snapToGrid w:val="0"/>
                <w:color w:val="000000"/>
                <w:spacing w:val="-1"/>
                <w:kern w:val="0"/>
                <w:szCs w:val="21"/>
              </w:rPr>
            </w:pPr>
          </w:p>
        </w:tc>
        <w:tc>
          <w:tcPr>
            <w:tcW w:w="1245" w:type="dxa"/>
          </w:tcPr>
          <w:p w14:paraId="63729776">
            <w:pPr>
              <w:widowControl w:val="0"/>
              <w:spacing w:line="240" w:lineRule="auto"/>
              <w:jc w:val="center"/>
              <w:rPr>
                <w:rFonts w:ascii="Times New Roman" w:hAnsi="Times New Roman" w:eastAsia="宋体" w:cs="宋体"/>
                <w:b/>
                <w:bCs/>
                <w:snapToGrid w:val="0"/>
                <w:color w:val="000000"/>
                <w:spacing w:val="-1"/>
                <w:kern w:val="0"/>
                <w:szCs w:val="21"/>
              </w:rPr>
            </w:pPr>
          </w:p>
        </w:tc>
        <w:tc>
          <w:tcPr>
            <w:tcW w:w="1247" w:type="dxa"/>
          </w:tcPr>
          <w:p w14:paraId="3E297E28">
            <w:pPr>
              <w:widowControl w:val="0"/>
              <w:spacing w:line="240" w:lineRule="auto"/>
              <w:jc w:val="center"/>
              <w:rPr>
                <w:rFonts w:ascii="Times New Roman" w:hAnsi="Times New Roman" w:eastAsia="宋体" w:cs="宋体"/>
                <w:b/>
                <w:bCs/>
                <w:snapToGrid w:val="0"/>
                <w:color w:val="000000"/>
                <w:spacing w:val="-1"/>
                <w:kern w:val="0"/>
                <w:szCs w:val="21"/>
              </w:rPr>
            </w:pPr>
          </w:p>
        </w:tc>
      </w:tr>
      <w:tr w14:paraId="6E6FC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497" w:type="dxa"/>
            <w:vMerge w:val="continue"/>
          </w:tcPr>
          <w:p w14:paraId="2F137A64">
            <w:pPr>
              <w:widowControl w:val="0"/>
              <w:jc w:val="center"/>
              <w:rPr>
                <w:rFonts w:ascii="Times New Roman" w:hAnsi="Times New Roman" w:eastAsia="宋体"/>
              </w:rPr>
            </w:pPr>
          </w:p>
        </w:tc>
        <w:tc>
          <w:tcPr>
            <w:tcW w:w="1245" w:type="dxa"/>
            <w:gridSpan w:val="2"/>
          </w:tcPr>
          <w:p w14:paraId="194B2DB7">
            <w:pPr>
              <w:widowControl w:val="0"/>
              <w:jc w:val="center"/>
              <w:rPr>
                <w:rFonts w:ascii="Times New Roman" w:hAnsi="Times New Roman" w:eastAsia="宋体"/>
              </w:rPr>
            </w:pPr>
          </w:p>
        </w:tc>
        <w:tc>
          <w:tcPr>
            <w:tcW w:w="1245" w:type="dxa"/>
          </w:tcPr>
          <w:p w14:paraId="742581B8">
            <w:pPr>
              <w:widowControl w:val="0"/>
              <w:jc w:val="center"/>
              <w:rPr>
                <w:rFonts w:ascii="Times New Roman" w:hAnsi="Times New Roman" w:eastAsia="宋体"/>
              </w:rPr>
            </w:pPr>
          </w:p>
        </w:tc>
        <w:tc>
          <w:tcPr>
            <w:tcW w:w="1246" w:type="dxa"/>
          </w:tcPr>
          <w:p w14:paraId="5DEE718B">
            <w:pPr>
              <w:widowControl w:val="0"/>
              <w:jc w:val="center"/>
              <w:rPr>
                <w:rFonts w:ascii="Times New Roman" w:hAnsi="Times New Roman" w:eastAsia="宋体"/>
              </w:rPr>
            </w:pPr>
          </w:p>
        </w:tc>
        <w:tc>
          <w:tcPr>
            <w:tcW w:w="1245" w:type="dxa"/>
          </w:tcPr>
          <w:p w14:paraId="1F86CB86">
            <w:pPr>
              <w:widowControl w:val="0"/>
              <w:jc w:val="center"/>
              <w:rPr>
                <w:rFonts w:ascii="Times New Roman" w:hAnsi="Times New Roman" w:eastAsia="宋体"/>
              </w:rPr>
            </w:pPr>
          </w:p>
        </w:tc>
        <w:tc>
          <w:tcPr>
            <w:tcW w:w="1245" w:type="dxa"/>
          </w:tcPr>
          <w:p w14:paraId="113A87FC">
            <w:pPr>
              <w:widowControl w:val="0"/>
              <w:jc w:val="center"/>
              <w:rPr>
                <w:rFonts w:ascii="Times New Roman" w:hAnsi="Times New Roman" w:eastAsia="宋体"/>
              </w:rPr>
            </w:pPr>
          </w:p>
        </w:tc>
        <w:tc>
          <w:tcPr>
            <w:tcW w:w="1247" w:type="dxa"/>
          </w:tcPr>
          <w:p w14:paraId="0D7F79C9">
            <w:pPr>
              <w:widowControl w:val="0"/>
              <w:jc w:val="center"/>
              <w:rPr>
                <w:rFonts w:ascii="Times New Roman" w:hAnsi="Times New Roman" w:eastAsia="宋体"/>
              </w:rPr>
            </w:pPr>
          </w:p>
        </w:tc>
      </w:tr>
      <w:tr w14:paraId="37296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97" w:type="dxa"/>
            <w:vMerge w:val="restart"/>
          </w:tcPr>
          <w:p w14:paraId="5028919C">
            <w:pPr>
              <w:widowControl w:val="0"/>
              <w:jc w:val="center"/>
              <w:rPr>
                <w:rFonts w:ascii="Times New Roman" w:hAnsi="Times New Roman" w:eastAsia="宋体" w:cs="宋体"/>
                <w:b/>
                <w:bCs/>
                <w:snapToGrid w:val="0"/>
                <w:color w:val="000000"/>
                <w:spacing w:val="-1"/>
                <w:kern w:val="0"/>
                <w:szCs w:val="21"/>
              </w:rPr>
            </w:pPr>
          </w:p>
          <w:p w14:paraId="3F66FF7D">
            <w:pPr>
              <w:widowControl w:val="0"/>
              <w:jc w:val="center"/>
              <w:rPr>
                <w:rFonts w:ascii="Times New Roman" w:hAnsi="Times New Roman" w:eastAsia="宋体" w:cs="宋体"/>
                <w:b/>
                <w:bCs/>
                <w:snapToGrid w:val="0"/>
                <w:color w:val="000000"/>
                <w:spacing w:val="-1"/>
                <w:kern w:val="0"/>
                <w:szCs w:val="21"/>
              </w:rPr>
            </w:pPr>
          </w:p>
          <w:p w14:paraId="1E7BDE54">
            <w:pPr>
              <w:widowControl w:val="0"/>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脊柱全长测力线</w:t>
            </w:r>
          </w:p>
          <w:p w14:paraId="6D6434E0">
            <w:pPr>
              <w:widowControl w:val="0"/>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Cobbs角？</w:t>
            </w:r>
          </w:p>
        </w:tc>
        <w:tc>
          <w:tcPr>
            <w:tcW w:w="1245" w:type="dxa"/>
            <w:gridSpan w:val="2"/>
          </w:tcPr>
          <w:p w14:paraId="384D66BE">
            <w:pPr>
              <w:widowControl w:val="0"/>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1月</w:t>
            </w:r>
          </w:p>
        </w:tc>
        <w:tc>
          <w:tcPr>
            <w:tcW w:w="1245" w:type="dxa"/>
          </w:tcPr>
          <w:p w14:paraId="0C6B5A1F">
            <w:pPr>
              <w:widowControl w:val="0"/>
              <w:spacing w:line="240" w:lineRule="auto"/>
              <w:jc w:val="center"/>
              <w:rPr>
                <w:rFonts w:ascii="Times New Roman" w:hAnsi="Times New Roman" w:eastAsia="宋体" w:cs="宋体"/>
                <w:b/>
                <w:bCs/>
                <w:snapToGrid w:val="0"/>
                <w:color w:val="000000"/>
                <w:spacing w:val="-1"/>
                <w:kern w:val="0"/>
                <w:szCs w:val="21"/>
              </w:rPr>
            </w:pPr>
          </w:p>
        </w:tc>
        <w:tc>
          <w:tcPr>
            <w:tcW w:w="1246" w:type="dxa"/>
          </w:tcPr>
          <w:p w14:paraId="0D6D1B9A">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6月</w:t>
            </w:r>
          </w:p>
        </w:tc>
        <w:tc>
          <w:tcPr>
            <w:tcW w:w="1245" w:type="dxa"/>
          </w:tcPr>
          <w:p w14:paraId="2DC8893C">
            <w:pPr>
              <w:widowControl w:val="0"/>
              <w:spacing w:line="240" w:lineRule="auto"/>
              <w:jc w:val="center"/>
              <w:rPr>
                <w:rFonts w:ascii="Times New Roman" w:hAnsi="Times New Roman" w:eastAsia="宋体" w:cs="宋体"/>
                <w:b/>
                <w:bCs/>
                <w:snapToGrid w:val="0"/>
                <w:color w:val="000000"/>
                <w:spacing w:val="-1"/>
                <w:kern w:val="0"/>
                <w:szCs w:val="21"/>
              </w:rPr>
            </w:pPr>
          </w:p>
        </w:tc>
        <w:tc>
          <w:tcPr>
            <w:tcW w:w="1245" w:type="dxa"/>
          </w:tcPr>
          <w:p w14:paraId="014595AC">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12月</w:t>
            </w:r>
          </w:p>
        </w:tc>
        <w:tc>
          <w:tcPr>
            <w:tcW w:w="1247" w:type="dxa"/>
          </w:tcPr>
          <w:p w14:paraId="658B96E9">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24月</w:t>
            </w:r>
          </w:p>
        </w:tc>
      </w:tr>
      <w:tr w14:paraId="279FF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497" w:type="dxa"/>
            <w:vMerge w:val="continue"/>
          </w:tcPr>
          <w:p w14:paraId="4A888B64">
            <w:pPr>
              <w:widowControl w:val="0"/>
              <w:jc w:val="center"/>
              <w:rPr>
                <w:rFonts w:ascii="Times New Roman" w:hAnsi="Times New Roman" w:eastAsia="宋体"/>
              </w:rPr>
            </w:pPr>
          </w:p>
        </w:tc>
        <w:tc>
          <w:tcPr>
            <w:tcW w:w="1245" w:type="dxa"/>
            <w:gridSpan w:val="2"/>
          </w:tcPr>
          <w:p w14:paraId="735853AA">
            <w:pPr>
              <w:widowControl w:val="0"/>
              <w:jc w:val="center"/>
              <w:rPr>
                <w:rFonts w:ascii="Times New Roman" w:hAnsi="Times New Roman" w:eastAsia="宋体"/>
              </w:rPr>
            </w:pPr>
          </w:p>
        </w:tc>
        <w:tc>
          <w:tcPr>
            <w:tcW w:w="1245" w:type="dxa"/>
          </w:tcPr>
          <w:p w14:paraId="1E8EA6E2">
            <w:pPr>
              <w:widowControl w:val="0"/>
              <w:jc w:val="center"/>
              <w:rPr>
                <w:rFonts w:ascii="Times New Roman" w:hAnsi="Times New Roman" w:eastAsia="宋体"/>
              </w:rPr>
            </w:pPr>
          </w:p>
        </w:tc>
        <w:tc>
          <w:tcPr>
            <w:tcW w:w="1246" w:type="dxa"/>
          </w:tcPr>
          <w:p w14:paraId="61A4E4F8">
            <w:pPr>
              <w:widowControl w:val="0"/>
              <w:jc w:val="center"/>
              <w:rPr>
                <w:rFonts w:ascii="Times New Roman" w:hAnsi="Times New Roman" w:eastAsia="宋体"/>
              </w:rPr>
            </w:pPr>
          </w:p>
        </w:tc>
        <w:tc>
          <w:tcPr>
            <w:tcW w:w="1245" w:type="dxa"/>
          </w:tcPr>
          <w:p w14:paraId="0DF0F921">
            <w:pPr>
              <w:widowControl w:val="0"/>
              <w:jc w:val="center"/>
              <w:rPr>
                <w:rFonts w:ascii="Times New Roman" w:hAnsi="Times New Roman" w:eastAsia="宋体"/>
              </w:rPr>
            </w:pPr>
          </w:p>
        </w:tc>
        <w:tc>
          <w:tcPr>
            <w:tcW w:w="1245" w:type="dxa"/>
          </w:tcPr>
          <w:p w14:paraId="70922434">
            <w:pPr>
              <w:widowControl w:val="0"/>
              <w:jc w:val="center"/>
              <w:rPr>
                <w:rFonts w:ascii="Times New Roman" w:hAnsi="Times New Roman" w:eastAsia="宋体"/>
              </w:rPr>
            </w:pPr>
          </w:p>
        </w:tc>
        <w:tc>
          <w:tcPr>
            <w:tcW w:w="1247" w:type="dxa"/>
          </w:tcPr>
          <w:p w14:paraId="3183C817">
            <w:pPr>
              <w:widowControl w:val="0"/>
              <w:jc w:val="center"/>
              <w:rPr>
                <w:rFonts w:ascii="Times New Roman" w:hAnsi="Times New Roman" w:eastAsia="宋体"/>
              </w:rPr>
            </w:pPr>
          </w:p>
        </w:tc>
      </w:tr>
      <w:tr w14:paraId="6DF0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97" w:type="dxa"/>
            <w:vMerge w:val="restart"/>
          </w:tcPr>
          <w:p w14:paraId="3E8A7249">
            <w:pPr>
              <w:widowControl w:val="0"/>
              <w:jc w:val="center"/>
              <w:rPr>
                <w:rFonts w:ascii="Times New Roman" w:hAnsi="Times New Roman" w:eastAsia="宋体" w:cs="宋体"/>
                <w:b/>
                <w:bCs/>
                <w:snapToGrid w:val="0"/>
                <w:color w:val="000000"/>
                <w:spacing w:val="-1"/>
                <w:kern w:val="0"/>
                <w:szCs w:val="21"/>
              </w:rPr>
            </w:pPr>
          </w:p>
          <w:p w14:paraId="604F28D1">
            <w:pPr>
              <w:widowControl w:val="0"/>
              <w:jc w:val="center"/>
              <w:rPr>
                <w:rFonts w:ascii="Times New Roman" w:hAnsi="Times New Roman" w:eastAsia="宋体" w:cs="宋体"/>
                <w:b/>
                <w:bCs/>
                <w:snapToGrid w:val="0"/>
                <w:color w:val="000000"/>
                <w:spacing w:val="-1"/>
                <w:kern w:val="0"/>
                <w:szCs w:val="21"/>
              </w:rPr>
            </w:pPr>
          </w:p>
          <w:p w14:paraId="57DDD302">
            <w:pPr>
              <w:widowControl w:val="0"/>
              <w:jc w:val="center"/>
              <w:rPr>
                <w:rFonts w:ascii="Times New Roman" w:hAnsi="Times New Roman" w:eastAsia="宋体"/>
              </w:rPr>
            </w:pPr>
            <w:r>
              <w:rPr>
                <w:rFonts w:hint="eastAsia" w:ascii="Times New Roman" w:hAnsi="Times New Roman" w:eastAsia="宋体" w:cs="宋体"/>
                <w:b/>
                <w:bCs/>
                <w:snapToGrid w:val="0"/>
                <w:color w:val="000000"/>
                <w:spacing w:val="-1"/>
                <w:kern w:val="0"/>
                <w:szCs w:val="21"/>
              </w:rPr>
              <w:t>肺功能</w:t>
            </w:r>
          </w:p>
        </w:tc>
        <w:tc>
          <w:tcPr>
            <w:tcW w:w="1245" w:type="dxa"/>
            <w:gridSpan w:val="2"/>
          </w:tcPr>
          <w:p w14:paraId="73F4E1F1">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1月</w:t>
            </w:r>
          </w:p>
        </w:tc>
        <w:tc>
          <w:tcPr>
            <w:tcW w:w="1245" w:type="dxa"/>
          </w:tcPr>
          <w:p w14:paraId="148CE22D">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3</w:t>
            </w:r>
            <w:r>
              <w:rPr>
                <w:rFonts w:ascii="Times New Roman" w:hAnsi="Times New Roman" w:eastAsia="宋体" w:cs="宋体"/>
                <w:b/>
                <w:bCs/>
                <w:snapToGrid w:val="0"/>
                <w:color w:val="000000"/>
                <w:spacing w:val="-1"/>
                <w:kern w:val="0"/>
                <w:szCs w:val="21"/>
              </w:rPr>
              <w:t>/4</w:t>
            </w:r>
            <w:r>
              <w:rPr>
                <w:rFonts w:hint="eastAsia" w:ascii="Times New Roman" w:hAnsi="Times New Roman" w:eastAsia="宋体" w:cs="宋体"/>
                <w:b/>
                <w:bCs/>
                <w:snapToGrid w:val="0"/>
                <w:color w:val="000000"/>
                <w:spacing w:val="-1"/>
                <w:kern w:val="0"/>
                <w:szCs w:val="21"/>
              </w:rPr>
              <w:t>月</w:t>
            </w:r>
          </w:p>
        </w:tc>
        <w:tc>
          <w:tcPr>
            <w:tcW w:w="1246" w:type="dxa"/>
          </w:tcPr>
          <w:p w14:paraId="7BCD8321">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6</w:t>
            </w:r>
            <w:r>
              <w:rPr>
                <w:rFonts w:ascii="Times New Roman" w:hAnsi="Times New Roman" w:eastAsia="宋体" w:cs="宋体"/>
                <w:b/>
                <w:bCs/>
                <w:snapToGrid w:val="0"/>
                <w:color w:val="000000"/>
                <w:spacing w:val="-1"/>
                <w:kern w:val="0"/>
                <w:szCs w:val="21"/>
              </w:rPr>
              <w:t>/8</w:t>
            </w:r>
            <w:r>
              <w:rPr>
                <w:rFonts w:hint="eastAsia" w:ascii="Times New Roman" w:hAnsi="Times New Roman" w:eastAsia="宋体" w:cs="宋体"/>
                <w:b/>
                <w:bCs/>
                <w:snapToGrid w:val="0"/>
                <w:color w:val="000000"/>
                <w:spacing w:val="-1"/>
                <w:kern w:val="0"/>
                <w:szCs w:val="21"/>
              </w:rPr>
              <w:t>月</w:t>
            </w:r>
          </w:p>
        </w:tc>
        <w:tc>
          <w:tcPr>
            <w:tcW w:w="1245" w:type="dxa"/>
          </w:tcPr>
          <w:p w14:paraId="162C7E54">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12月</w:t>
            </w:r>
          </w:p>
        </w:tc>
        <w:tc>
          <w:tcPr>
            <w:tcW w:w="1245" w:type="dxa"/>
          </w:tcPr>
          <w:p w14:paraId="43F72160">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18月</w:t>
            </w:r>
          </w:p>
        </w:tc>
        <w:tc>
          <w:tcPr>
            <w:tcW w:w="1247" w:type="dxa"/>
          </w:tcPr>
          <w:p w14:paraId="7AC836F0">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24月</w:t>
            </w:r>
          </w:p>
        </w:tc>
      </w:tr>
      <w:tr w14:paraId="1EA4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497" w:type="dxa"/>
            <w:vMerge w:val="continue"/>
          </w:tcPr>
          <w:p w14:paraId="4201AAAE">
            <w:pPr>
              <w:widowControl w:val="0"/>
              <w:jc w:val="center"/>
              <w:rPr>
                <w:rFonts w:ascii="Times New Roman" w:hAnsi="Times New Roman" w:eastAsia="宋体"/>
              </w:rPr>
            </w:pPr>
          </w:p>
        </w:tc>
        <w:tc>
          <w:tcPr>
            <w:tcW w:w="1245" w:type="dxa"/>
            <w:gridSpan w:val="2"/>
          </w:tcPr>
          <w:p w14:paraId="54FD9C9E">
            <w:pPr>
              <w:widowControl w:val="0"/>
              <w:jc w:val="center"/>
              <w:rPr>
                <w:rFonts w:ascii="Times New Roman" w:hAnsi="Times New Roman" w:eastAsia="宋体"/>
              </w:rPr>
            </w:pPr>
          </w:p>
        </w:tc>
        <w:tc>
          <w:tcPr>
            <w:tcW w:w="1245" w:type="dxa"/>
          </w:tcPr>
          <w:p w14:paraId="206E3736">
            <w:pPr>
              <w:widowControl w:val="0"/>
              <w:jc w:val="center"/>
              <w:rPr>
                <w:rFonts w:ascii="Times New Roman" w:hAnsi="Times New Roman" w:eastAsia="宋体"/>
              </w:rPr>
            </w:pPr>
          </w:p>
        </w:tc>
        <w:tc>
          <w:tcPr>
            <w:tcW w:w="1246" w:type="dxa"/>
          </w:tcPr>
          <w:p w14:paraId="3F48D5FA">
            <w:pPr>
              <w:widowControl w:val="0"/>
              <w:jc w:val="center"/>
              <w:rPr>
                <w:rFonts w:ascii="Times New Roman" w:hAnsi="Times New Roman" w:eastAsia="宋体"/>
              </w:rPr>
            </w:pPr>
          </w:p>
        </w:tc>
        <w:tc>
          <w:tcPr>
            <w:tcW w:w="1245" w:type="dxa"/>
          </w:tcPr>
          <w:p w14:paraId="6845BCF9">
            <w:pPr>
              <w:widowControl w:val="0"/>
              <w:jc w:val="center"/>
              <w:rPr>
                <w:rFonts w:ascii="Times New Roman" w:hAnsi="Times New Roman" w:eastAsia="宋体"/>
              </w:rPr>
            </w:pPr>
          </w:p>
        </w:tc>
        <w:tc>
          <w:tcPr>
            <w:tcW w:w="1245" w:type="dxa"/>
          </w:tcPr>
          <w:p w14:paraId="566F7E8A">
            <w:pPr>
              <w:widowControl w:val="0"/>
              <w:jc w:val="center"/>
              <w:rPr>
                <w:rFonts w:ascii="Times New Roman" w:hAnsi="Times New Roman" w:eastAsia="宋体"/>
              </w:rPr>
            </w:pPr>
          </w:p>
        </w:tc>
        <w:tc>
          <w:tcPr>
            <w:tcW w:w="1247" w:type="dxa"/>
          </w:tcPr>
          <w:p w14:paraId="0E56450F">
            <w:pPr>
              <w:widowControl w:val="0"/>
              <w:jc w:val="center"/>
              <w:rPr>
                <w:rFonts w:ascii="Times New Roman" w:hAnsi="Times New Roman" w:eastAsia="宋体"/>
              </w:rPr>
            </w:pPr>
          </w:p>
        </w:tc>
      </w:tr>
      <w:tr w14:paraId="3C06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497" w:type="dxa"/>
            <w:vMerge w:val="restart"/>
          </w:tcPr>
          <w:p w14:paraId="16346164">
            <w:pPr>
              <w:widowControl w:val="0"/>
              <w:jc w:val="center"/>
              <w:rPr>
                <w:rFonts w:ascii="Times New Roman" w:hAnsi="Times New Roman" w:eastAsia="宋体" w:cs="宋体"/>
                <w:b/>
                <w:bCs/>
                <w:snapToGrid w:val="0"/>
                <w:color w:val="000000"/>
                <w:spacing w:val="-1"/>
                <w:kern w:val="0"/>
                <w:szCs w:val="21"/>
              </w:rPr>
            </w:pPr>
          </w:p>
          <w:p w14:paraId="281D582E">
            <w:pPr>
              <w:widowControl w:val="0"/>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用药后患儿生活质量改变情况</w:t>
            </w:r>
          </w:p>
          <w:p w14:paraId="72890155">
            <w:pPr>
              <w:widowControl w:val="0"/>
              <w:rPr>
                <w:rFonts w:ascii="Times New Roman" w:hAnsi="Times New Roman" w:eastAsia="宋体"/>
              </w:rPr>
            </w:pPr>
          </w:p>
        </w:tc>
        <w:tc>
          <w:tcPr>
            <w:tcW w:w="1245" w:type="dxa"/>
            <w:gridSpan w:val="2"/>
          </w:tcPr>
          <w:p w14:paraId="0D050913">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1月</w:t>
            </w:r>
          </w:p>
        </w:tc>
        <w:tc>
          <w:tcPr>
            <w:tcW w:w="1245" w:type="dxa"/>
          </w:tcPr>
          <w:p w14:paraId="1539E6A9">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3</w:t>
            </w:r>
            <w:r>
              <w:rPr>
                <w:rFonts w:ascii="Times New Roman" w:hAnsi="Times New Roman" w:eastAsia="宋体" w:cs="宋体"/>
                <w:b/>
                <w:bCs/>
                <w:snapToGrid w:val="0"/>
                <w:color w:val="000000"/>
                <w:spacing w:val="-1"/>
                <w:kern w:val="0"/>
                <w:szCs w:val="21"/>
              </w:rPr>
              <w:t>/4</w:t>
            </w:r>
            <w:r>
              <w:rPr>
                <w:rFonts w:hint="eastAsia" w:ascii="Times New Roman" w:hAnsi="Times New Roman" w:eastAsia="宋体" w:cs="宋体"/>
                <w:b/>
                <w:bCs/>
                <w:snapToGrid w:val="0"/>
                <w:color w:val="000000"/>
                <w:spacing w:val="-1"/>
                <w:kern w:val="0"/>
                <w:szCs w:val="21"/>
              </w:rPr>
              <w:t>月</w:t>
            </w:r>
          </w:p>
        </w:tc>
        <w:tc>
          <w:tcPr>
            <w:tcW w:w="1246" w:type="dxa"/>
          </w:tcPr>
          <w:p w14:paraId="6952A32E">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6</w:t>
            </w:r>
            <w:r>
              <w:rPr>
                <w:rFonts w:ascii="Times New Roman" w:hAnsi="Times New Roman" w:eastAsia="宋体" w:cs="宋体"/>
                <w:b/>
                <w:bCs/>
                <w:snapToGrid w:val="0"/>
                <w:color w:val="000000"/>
                <w:spacing w:val="-1"/>
                <w:kern w:val="0"/>
                <w:szCs w:val="21"/>
              </w:rPr>
              <w:t>/8</w:t>
            </w:r>
            <w:r>
              <w:rPr>
                <w:rFonts w:hint="eastAsia" w:ascii="Times New Roman" w:hAnsi="Times New Roman" w:eastAsia="宋体" w:cs="宋体"/>
                <w:b/>
                <w:bCs/>
                <w:snapToGrid w:val="0"/>
                <w:color w:val="000000"/>
                <w:spacing w:val="-1"/>
                <w:kern w:val="0"/>
                <w:szCs w:val="21"/>
              </w:rPr>
              <w:t>月</w:t>
            </w:r>
          </w:p>
        </w:tc>
        <w:tc>
          <w:tcPr>
            <w:tcW w:w="1245" w:type="dxa"/>
          </w:tcPr>
          <w:p w14:paraId="224B07FC">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12月</w:t>
            </w:r>
          </w:p>
        </w:tc>
        <w:tc>
          <w:tcPr>
            <w:tcW w:w="1245" w:type="dxa"/>
          </w:tcPr>
          <w:p w14:paraId="337E1415">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18月</w:t>
            </w:r>
          </w:p>
        </w:tc>
        <w:tc>
          <w:tcPr>
            <w:tcW w:w="1247" w:type="dxa"/>
          </w:tcPr>
          <w:p w14:paraId="06D532B0">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24月</w:t>
            </w:r>
          </w:p>
        </w:tc>
      </w:tr>
      <w:tr w14:paraId="02C5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497" w:type="dxa"/>
            <w:vMerge w:val="continue"/>
          </w:tcPr>
          <w:p w14:paraId="57017695">
            <w:pPr>
              <w:widowControl w:val="0"/>
              <w:jc w:val="center"/>
              <w:rPr>
                <w:rFonts w:ascii="Times New Roman" w:hAnsi="Times New Roman" w:eastAsia="宋体"/>
              </w:rPr>
            </w:pPr>
          </w:p>
        </w:tc>
        <w:tc>
          <w:tcPr>
            <w:tcW w:w="1245" w:type="dxa"/>
            <w:gridSpan w:val="2"/>
          </w:tcPr>
          <w:p w14:paraId="6E2F1F86">
            <w:pPr>
              <w:widowControl w:val="0"/>
              <w:jc w:val="center"/>
              <w:rPr>
                <w:rFonts w:ascii="Times New Roman" w:hAnsi="Times New Roman" w:eastAsia="宋体"/>
              </w:rPr>
            </w:pPr>
          </w:p>
        </w:tc>
        <w:tc>
          <w:tcPr>
            <w:tcW w:w="1245" w:type="dxa"/>
          </w:tcPr>
          <w:p w14:paraId="20D93904">
            <w:pPr>
              <w:widowControl w:val="0"/>
              <w:jc w:val="center"/>
              <w:rPr>
                <w:rFonts w:ascii="Times New Roman" w:hAnsi="Times New Roman" w:eastAsia="宋体"/>
              </w:rPr>
            </w:pPr>
          </w:p>
        </w:tc>
        <w:tc>
          <w:tcPr>
            <w:tcW w:w="1246" w:type="dxa"/>
          </w:tcPr>
          <w:p w14:paraId="486D0021">
            <w:pPr>
              <w:widowControl w:val="0"/>
              <w:jc w:val="center"/>
              <w:rPr>
                <w:rFonts w:ascii="Times New Roman" w:hAnsi="Times New Roman" w:eastAsia="宋体"/>
              </w:rPr>
            </w:pPr>
          </w:p>
        </w:tc>
        <w:tc>
          <w:tcPr>
            <w:tcW w:w="1245" w:type="dxa"/>
          </w:tcPr>
          <w:p w14:paraId="18AADC3D">
            <w:pPr>
              <w:widowControl w:val="0"/>
              <w:jc w:val="center"/>
              <w:rPr>
                <w:rFonts w:ascii="Times New Roman" w:hAnsi="Times New Roman" w:eastAsia="宋体"/>
              </w:rPr>
            </w:pPr>
          </w:p>
        </w:tc>
        <w:tc>
          <w:tcPr>
            <w:tcW w:w="1245" w:type="dxa"/>
          </w:tcPr>
          <w:p w14:paraId="6DCFD95D">
            <w:pPr>
              <w:widowControl w:val="0"/>
              <w:jc w:val="center"/>
              <w:rPr>
                <w:rFonts w:ascii="Times New Roman" w:hAnsi="Times New Roman" w:eastAsia="宋体"/>
              </w:rPr>
            </w:pPr>
          </w:p>
        </w:tc>
        <w:tc>
          <w:tcPr>
            <w:tcW w:w="1247" w:type="dxa"/>
          </w:tcPr>
          <w:p w14:paraId="59D2B062">
            <w:pPr>
              <w:widowControl w:val="0"/>
              <w:jc w:val="center"/>
              <w:rPr>
                <w:rFonts w:ascii="Times New Roman" w:hAnsi="Times New Roman" w:eastAsia="宋体"/>
              </w:rPr>
            </w:pPr>
          </w:p>
        </w:tc>
      </w:tr>
      <w:tr w14:paraId="630B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497" w:type="dxa"/>
            <w:vMerge w:val="restart"/>
          </w:tcPr>
          <w:p w14:paraId="6BDF4095">
            <w:pPr>
              <w:widowControl w:val="0"/>
              <w:jc w:val="center"/>
              <w:rPr>
                <w:rFonts w:ascii="Times New Roman" w:hAnsi="Times New Roman" w:eastAsia="宋体" w:cs="宋体"/>
                <w:b/>
                <w:bCs/>
                <w:snapToGrid w:val="0"/>
                <w:color w:val="000000"/>
                <w:spacing w:val="-1"/>
                <w:kern w:val="0"/>
                <w:szCs w:val="21"/>
              </w:rPr>
            </w:pPr>
          </w:p>
          <w:p w14:paraId="6EBD94C8">
            <w:pPr>
              <w:widowControl w:val="0"/>
              <w:rPr>
                <w:rFonts w:ascii="Times New Roman" w:hAnsi="Times New Roman" w:eastAsia="宋体"/>
              </w:rPr>
            </w:pPr>
            <w:r>
              <w:rPr>
                <w:rFonts w:hint="eastAsia" w:ascii="Times New Roman" w:hAnsi="Times New Roman" w:eastAsia="宋体" w:cs="宋体"/>
                <w:b/>
                <w:bCs/>
                <w:snapToGrid w:val="0"/>
                <w:color w:val="000000"/>
                <w:spacing w:val="-1"/>
                <w:kern w:val="0"/>
                <w:szCs w:val="21"/>
              </w:rPr>
              <w:t>用药期间除SMA外的任何疾病情况</w:t>
            </w:r>
          </w:p>
        </w:tc>
        <w:tc>
          <w:tcPr>
            <w:tcW w:w="1245" w:type="dxa"/>
            <w:gridSpan w:val="2"/>
          </w:tcPr>
          <w:p w14:paraId="7A01A8C6">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1月</w:t>
            </w:r>
          </w:p>
        </w:tc>
        <w:tc>
          <w:tcPr>
            <w:tcW w:w="1245" w:type="dxa"/>
          </w:tcPr>
          <w:p w14:paraId="2CB4B854">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3</w:t>
            </w:r>
            <w:r>
              <w:rPr>
                <w:rFonts w:ascii="Times New Roman" w:hAnsi="Times New Roman" w:eastAsia="宋体" w:cs="宋体"/>
                <w:b/>
                <w:bCs/>
                <w:snapToGrid w:val="0"/>
                <w:color w:val="000000"/>
                <w:spacing w:val="-1"/>
                <w:kern w:val="0"/>
                <w:szCs w:val="21"/>
              </w:rPr>
              <w:t>/4</w:t>
            </w:r>
            <w:r>
              <w:rPr>
                <w:rFonts w:hint="eastAsia" w:ascii="Times New Roman" w:hAnsi="Times New Roman" w:eastAsia="宋体" w:cs="宋体"/>
                <w:b/>
                <w:bCs/>
                <w:snapToGrid w:val="0"/>
                <w:color w:val="000000"/>
                <w:spacing w:val="-1"/>
                <w:kern w:val="0"/>
                <w:szCs w:val="21"/>
              </w:rPr>
              <w:t>月</w:t>
            </w:r>
          </w:p>
        </w:tc>
        <w:tc>
          <w:tcPr>
            <w:tcW w:w="1246" w:type="dxa"/>
          </w:tcPr>
          <w:p w14:paraId="2C1046DC">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6</w:t>
            </w:r>
            <w:r>
              <w:rPr>
                <w:rFonts w:ascii="Times New Roman" w:hAnsi="Times New Roman" w:eastAsia="宋体" w:cs="宋体"/>
                <w:b/>
                <w:bCs/>
                <w:snapToGrid w:val="0"/>
                <w:color w:val="000000"/>
                <w:spacing w:val="-1"/>
                <w:kern w:val="0"/>
                <w:szCs w:val="21"/>
              </w:rPr>
              <w:t>/8</w:t>
            </w:r>
            <w:r>
              <w:rPr>
                <w:rFonts w:hint="eastAsia" w:ascii="Times New Roman" w:hAnsi="Times New Roman" w:eastAsia="宋体" w:cs="宋体"/>
                <w:b/>
                <w:bCs/>
                <w:snapToGrid w:val="0"/>
                <w:color w:val="000000"/>
                <w:spacing w:val="-1"/>
                <w:kern w:val="0"/>
                <w:szCs w:val="21"/>
              </w:rPr>
              <w:t>月</w:t>
            </w:r>
          </w:p>
        </w:tc>
        <w:tc>
          <w:tcPr>
            <w:tcW w:w="1245" w:type="dxa"/>
          </w:tcPr>
          <w:p w14:paraId="077B1F52">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12月</w:t>
            </w:r>
          </w:p>
        </w:tc>
        <w:tc>
          <w:tcPr>
            <w:tcW w:w="1245" w:type="dxa"/>
          </w:tcPr>
          <w:p w14:paraId="196D4583">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18月</w:t>
            </w:r>
          </w:p>
        </w:tc>
        <w:tc>
          <w:tcPr>
            <w:tcW w:w="1247" w:type="dxa"/>
          </w:tcPr>
          <w:p w14:paraId="10107953">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24月</w:t>
            </w:r>
          </w:p>
        </w:tc>
      </w:tr>
      <w:tr w14:paraId="7ADD8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497" w:type="dxa"/>
            <w:vMerge w:val="continue"/>
          </w:tcPr>
          <w:p w14:paraId="3E6E8B1F">
            <w:pPr>
              <w:widowControl w:val="0"/>
              <w:jc w:val="center"/>
              <w:rPr>
                <w:rFonts w:ascii="Times New Roman" w:hAnsi="Times New Roman" w:eastAsia="宋体"/>
              </w:rPr>
            </w:pPr>
          </w:p>
        </w:tc>
        <w:tc>
          <w:tcPr>
            <w:tcW w:w="1245" w:type="dxa"/>
            <w:gridSpan w:val="2"/>
          </w:tcPr>
          <w:p w14:paraId="31DC060B">
            <w:pPr>
              <w:widowControl w:val="0"/>
              <w:jc w:val="center"/>
              <w:rPr>
                <w:rFonts w:ascii="Times New Roman" w:hAnsi="Times New Roman" w:eastAsia="宋体"/>
              </w:rPr>
            </w:pPr>
          </w:p>
        </w:tc>
        <w:tc>
          <w:tcPr>
            <w:tcW w:w="1245" w:type="dxa"/>
          </w:tcPr>
          <w:p w14:paraId="60E0AF68">
            <w:pPr>
              <w:widowControl w:val="0"/>
              <w:jc w:val="center"/>
              <w:rPr>
                <w:rFonts w:ascii="Times New Roman" w:hAnsi="Times New Roman" w:eastAsia="宋体"/>
              </w:rPr>
            </w:pPr>
          </w:p>
        </w:tc>
        <w:tc>
          <w:tcPr>
            <w:tcW w:w="1246" w:type="dxa"/>
          </w:tcPr>
          <w:p w14:paraId="26B619B3">
            <w:pPr>
              <w:widowControl w:val="0"/>
              <w:jc w:val="center"/>
              <w:rPr>
                <w:rFonts w:ascii="Times New Roman" w:hAnsi="Times New Roman" w:eastAsia="宋体"/>
              </w:rPr>
            </w:pPr>
          </w:p>
        </w:tc>
        <w:tc>
          <w:tcPr>
            <w:tcW w:w="1245" w:type="dxa"/>
          </w:tcPr>
          <w:p w14:paraId="3304B79A">
            <w:pPr>
              <w:widowControl w:val="0"/>
              <w:jc w:val="center"/>
              <w:rPr>
                <w:rFonts w:ascii="Times New Roman" w:hAnsi="Times New Roman" w:eastAsia="宋体"/>
              </w:rPr>
            </w:pPr>
          </w:p>
        </w:tc>
        <w:tc>
          <w:tcPr>
            <w:tcW w:w="1245" w:type="dxa"/>
          </w:tcPr>
          <w:p w14:paraId="57046509">
            <w:pPr>
              <w:widowControl w:val="0"/>
              <w:jc w:val="center"/>
              <w:rPr>
                <w:rFonts w:ascii="Times New Roman" w:hAnsi="Times New Roman" w:eastAsia="宋体"/>
              </w:rPr>
            </w:pPr>
          </w:p>
        </w:tc>
        <w:tc>
          <w:tcPr>
            <w:tcW w:w="1247" w:type="dxa"/>
          </w:tcPr>
          <w:p w14:paraId="5EA4FF28">
            <w:pPr>
              <w:widowControl w:val="0"/>
              <w:jc w:val="center"/>
              <w:rPr>
                <w:rFonts w:ascii="Times New Roman" w:hAnsi="Times New Roman" w:eastAsia="宋体"/>
              </w:rPr>
            </w:pPr>
          </w:p>
        </w:tc>
      </w:tr>
      <w:tr w14:paraId="15BFD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97" w:type="dxa"/>
            <w:vMerge w:val="restart"/>
          </w:tcPr>
          <w:p w14:paraId="1FE3A564">
            <w:pPr>
              <w:widowControl w:val="0"/>
              <w:jc w:val="center"/>
              <w:rPr>
                <w:rFonts w:ascii="Times New Roman" w:hAnsi="Times New Roman" w:eastAsia="宋体" w:cs="宋体"/>
                <w:b/>
                <w:bCs/>
                <w:snapToGrid w:val="0"/>
                <w:color w:val="000000"/>
                <w:spacing w:val="-1"/>
                <w:kern w:val="0"/>
                <w:szCs w:val="21"/>
              </w:rPr>
            </w:pPr>
          </w:p>
          <w:p w14:paraId="7B4CA97E">
            <w:pPr>
              <w:widowControl w:val="0"/>
              <w:jc w:val="center"/>
              <w:rPr>
                <w:rFonts w:ascii="Times New Roman" w:hAnsi="Times New Roman" w:eastAsia="宋体"/>
              </w:rPr>
            </w:pPr>
            <w:r>
              <w:rPr>
                <w:rFonts w:hint="eastAsia" w:ascii="Times New Roman" w:hAnsi="Times New Roman" w:eastAsia="宋体" w:cs="宋体"/>
                <w:b/>
                <w:bCs/>
                <w:snapToGrid w:val="0"/>
                <w:color w:val="000000"/>
                <w:spacing w:val="-1"/>
                <w:kern w:val="0"/>
                <w:szCs w:val="21"/>
              </w:rPr>
              <w:t>用药后家长生活质量改变情况</w:t>
            </w:r>
          </w:p>
        </w:tc>
        <w:tc>
          <w:tcPr>
            <w:tcW w:w="1245" w:type="dxa"/>
            <w:gridSpan w:val="2"/>
          </w:tcPr>
          <w:p w14:paraId="470F4182">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1月</w:t>
            </w:r>
          </w:p>
        </w:tc>
        <w:tc>
          <w:tcPr>
            <w:tcW w:w="1245" w:type="dxa"/>
          </w:tcPr>
          <w:p w14:paraId="2F50E016">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3</w:t>
            </w:r>
            <w:r>
              <w:rPr>
                <w:rFonts w:ascii="Times New Roman" w:hAnsi="Times New Roman" w:eastAsia="宋体" w:cs="宋体"/>
                <w:b/>
                <w:bCs/>
                <w:snapToGrid w:val="0"/>
                <w:color w:val="000000"/>
                <w:spacing w:val="-1"/>
                <w:kern w:val="0"/>
                <w:szCs w:val="21"/>
              </w:rPr>
              <w:t>/4</w:t>
            </w:r>
            <w:r>
              <w:rPr>
                <w:rFonts w:hint="eastAsia" w:ascii="Times New Roman" w:hAnsi="Times New Roman" w:eastAsia="宋体" w:cs="宋体"/>
                <w:b/>
                <w:bCs/>
                <w:snapToGrid w:val="0"/>
                <w:color w:val="000000"/>
                <w:spacing w:val="-1"/>
                <w:kern w:val="0"/>
                <w:szCs w:val="21"/>
              </w:rPr>
              <w:t>月</w:t>
            </w:r>
          </w:p>
        </w:tc>
        <w:tc>
          <w:tcPr>
            <w:tcW w:w="1246" w:type="dxa"/>
          </w:tcPr>
          <w:p w14:paraId="4CB166E3">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6</w:t>
            </w:r>
            <w:r>
              <w:rPr>
                <w:rFonts w:ascii="Times New Roman" w:hAnsi="Times New Roman" w:eastAsia="宋体" w:cs="宋体"/>
                <w:b/>
                <w:bCs/>
                <w:snapToGrid w:val="0"/>
                <w:color w:val="000000"/>
                <w:spacing w:val="-1"/>
                <w:kern w:val="0"/>
                <w:szCs w:val="21"/>
              </w:rPr>
              <w:t>/8</w:t>
            </w:r>
            <w:r>
              <w:rPr>
                <w:rFonts w:hint="eastAsia" w:ascii="Times New Roman" w:hAnsi="Times New Roman" w:eastAsia="宋体" w:cs="宋体"/>
                <w:b/>
                <w:bCs/>
                <w:snapToGrid w:val="0"/>
                <w:color w:val="000000"/>
                <w:spacing w:val="-1"/>
                <w:kern w:val="0"/>
                <w:szCs w:val="21"/>
              </w:rPr>
              <w:t>月</w:t>
            </w:r>
          </w:p>
        </w:tc>
        <w:tc>
          <w:tcPr>
            <w:tcW w:w="1245" w:type="dxa"/>
          </w:tcPr>
          <w:p w14:paraId="4CC4E376">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12月</w:t>
            </w:r>
          </w:p>
        </w:tc>
        <w:tc>
          <w:tcPr>
            <w:tcW w:w="1245" w:type="dxa"/>
          </w:tcPr>
          <w:p w14:paraId="38570D45">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18月</w:t>
            </w:r>
          </w:p>
        </w:tc>
        <w:tc>
          <w:tcPr>
            <w:tcW w:w="1247" w:type="dxa"/>
          </w:tcPr>
          <w:p w14:paraId="7EA4DD04">
            <w:pPr>
              <w:widowControl w:val="0"/>
              <w:spacing w:line="240" w:lineRule="auto"/>
              <w:jc w:val="center"/>
              <w:rPr>
                <w:rFonts w:ascii="Times New Roman" w:hAnsi="Times New Roman" w:eastAsia="宋体" w:cs="宋体"/>
                <w:b/>
                <w:bCs/>
                <w:snapToGrid w:val="0"/>
                <w:color w:val="000000"/>
                <w:spacing w:val="-1"/>
                <w:kern w:val="0"/>
                <w:szCs w:val="21"/>
              </w:rPr>
            </w:pPr>
            <w:r>
              <w:rPr>
                <w:rFonts w:hint="eastAsia" w:ascii="Times New Roman" w:hAnsi="Times New Roman" w:eastAsia="宋体" w:cs="宋体"/>
                <w:b/>
                <w:bCs/>
                <w:snapToGrid w:val="0"/>
                <w:color w:val="000000"/>
                <w:spacing w:val="-1"/>
                <w:kern w:val="0"/>
                <w:szCs w:val="21"/>
              </w:rPr>
              <w:t>24月</w:t>
            </w:r>
          </w:p>
        </w:tc>
      </w:tr>
      <w:tr w14:paraId="10033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497" w:type="dxa"/>
            <w:vMerge w:val="continue"/>
          </w:tcPr>
          <w:p w14:paraId="7AC956FC">
            <w:pPr>
              <w:widowControl w:val="0"/>
              <w:jc w:val="center"/>
              <w:rPr>
                <w:rFonts w:ascii="Times New Roman" w:hAnsi="Times New Roman" w:eastAsia="宋体"/>
              </w:rPr>
            </w:pPr>
          </w:p>
        </w:tc>
        <w:tc>
          <w:tcPr>
            <w:tcW w:w="1245" w:type="dxa"/>
            <w:gridSpan w:val="2"/>
          </w:tcPr>
          <w:p w14:paraId="191AEA00">
            <w:pPr>
              <w:widowControl w:val="0"/>
              <w:jc w:val="center"/>
              <w:rPr>
                <w:rFonts w:ascii="Times New Roman" w:hAnsi="Times New Roman" w:eastAsia="宋体"/>
              </w:rPr>
            </w:pPr>
          </w:p>
        </w:tc>
        <w:tc>
          <w:tcPr>
            <w:tcW w:w="1245" w:type="dxa"/>
          </w:tcPr>
          <w:p w14:paraId="388FBD92">
            <w:pPr>
              <w:widowControl w:val="0"/>
              <w:jc w:val="center"/>
              <w:rPr>
                <w:rFonts w:ascii="Times New Roman" w:hAnsi="Times New Roman" w:eastAsia="宋体"/>
              </w:rPr>
            </w:pPr>
          </w:p>
        </w:tc>
        <w:tc>
          <w:tcPr>
            <w:tcW w:w="1246" w:type="dxa"/>
          </w:tcPr>
          <w:p w14:paraId="7D684D06">
            <w:pPr>
              <w:widowControl w:val="0"/>
              <w:jc w:val="center"/>
              <w:rPr>
                <w:rFonts w:ascii="Times New Roman" w:hAnsi="Times New Roman" w:eastAsia="宋体"/>
              </w:rPr>
            </w:pPr>
          </w:p>
        </w:tc>
        <w:tc>
          <w:tcPr>
            <w:tcW w:w="1245" w:type="dxa"/>
          </w:tcPr>
          <w:p w14:paraId="255FC7DB">
            <w:pPr>
              <w:widowControl w:val="0"/>
              <w:jc w:val="center"/>
              <w:rPr>
                <w:rFonts w:ascii="Times New Roman" w:hAnsi="Times New Roman" w:eastAsia="宋体"/>
              </w:rPr>
            </w:pPr>
          </w:p>
        </w:tc>
        <w:tc>
          <w:tcPr>
            <w:tcW w:w="1245" w:type="dxa"/>
          </w:tcPr>
          <w:p w14:paraId="6682ECF4">
            <w:pPr>
              <w:widowControl w:val="0"/>
              <w:jc w:val="center"/>
              <w:rPr>
                <w:rFonts w:ascii="Times New Roman" w:hAnsi="Times New Roman" w:eastAsia="宋体"/>
              </w:rPr>
            </w:pPr>
          </w:p>
        </w:tc>
        <w:tc>
          <w:tcPr>
            <w:tcW w:w="1247" w:type="dxa"/>
          </w:tcPr>
          <w:p w14:paraId="47C94905">
            <w:pPr>
              <w:widowControl w:val="0"/>
              <w:jc w:val="center"/>
              <w:rPr>
                <w:rFonts w:ascii="Times New Roman" w:hAnsi="Times New Roman" w:eastAsia="宋体"/>
              </w:rPr>
            </w:pPr>
          </w:p>
        </w:tc>
      </w:tr>
      <w:tr w14:paraId="3A9D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97" w:type="dxa"/>
            <w:vMerge w:val="restart"/>
          </w:tcPr>
          <w:p w14:paraId="65BE420B">
            <w:pPr>
              <w:widowControl w:val="0"/>
              <w:jc w:val="center"/>
              <w:rPr>
                <w:rFonts w:ascii="Times New Roman" w:hAnsi="Times New Roman" w:eastAsia="宋体" w:cs="宋体"/>
                <w:b/>
                <w:bCs/>
                <w:snapToGrid w:val="0"/>
                <w:color w:val="000000"/>
                <w:spacing w:val="-1"/>
                <w:kern w:val="0"/>
                <w:szCs w:val="21"/>
              </w:rPr>
            </w:pPr>
          </w:p>
          <w:p w14:paraId="4EF8817A">
            <w:pPr>
              <w:widowControl w:val="0"/>
              <w:jc w:val="center"/>
              <w:rPr>
                <w:rFonts w:ascii="Times New Roman" w:hAnsi="Times New Roman" w:eastAsia="宋体" w:cs="宋体"/>
                <w:b/>
                <w:bCs/>
                <w:snapToGrid w:val="0"/>
                <w:color w:val="000000"/>
                <w:spacing w:val="-1"/>
                <w:kern w:val="0"/>
                <w:szCs w:val="21"/>
              </w:rPr>
            </w:pPr>
          </w:p>
          <w:p w14:paraId="2E8C0B39">
            <w:pPr>
              <w:widowControl w:val="0"/>
              <w:jc w:val="center"/>
              <w:rPr>
                <w:rFonts w:ascii="Times New Roman" w:hAnsi="Times New Roman" w:eastAsia="宋体" w:cs="宋体"/>
                <w:b/>
                <w:bCs/>
                <w:snapToGrid w:val="0"/>
                <w:color w:val="000000"/>
                <w:spacing w:val="-1"/>
                <w:kern w:val="0"/>
                <w:szCs w:val="21"/>
              </w:rPr>
            </w:pPr>
          </w:p>
          <w:p w14:paraId="4D9764BF">
            <w:pPr>
              <w:widowControl w:val="0"/>
              <w:jc w:val="center"/>
              <w:rPr>
                <w:rFonts w:ascii="Times New Roman" w:hAnsi="Times New Roman" w:eastAsia="宋体" w:cs="宋体"/>
                <w:b/>
                <w:bCs/>
                <w:snapToGrid w:val="0"/>
                <w:color w:val="000000"/>
                <w:spacing w:val="-1"/>
                <w:kern w:val="0"/>
                <w:szCs w:val="21"/>
              </w:rPr>
            </w:pPr>
          </w:p>
          <w:p w14:paraId="4400C176">
            <w:pPr>
              <w:widowControl w:val="0"/>
              <w:jc w:val="center"/>
              <w:rPr>
                <w:rFonts w:ascii="Times New Roman" w:hAnsi="Times New Roman" w:eastAsia="宋体" w:cs="宋体"/>
                <w:b/>
                <w:bCs/>
                <w:snapToGrid w:val="0"/>
                <w:color w:val="000000"/>
                <w:spacing w:val="-1"/>
                <w:kern w:val="0"/>
                <w:szCs w:val="21"/>
              </w:rPr>
            </w:pPr>
          </w:p>
          <w:p w14:paraId="6C0AB00B">
            <w:pPr>
              <w:widowControl w:val="0"/>
              <w:jc w:val="center"/>
              <w:rPr>
                <w:rFonts w:ascii="Times New Roman" w:hAnsi="Times New Roman" w:eastAsia="宋体" w:cs="宋体"/>
                <w:b/>
                <w:bCs/>
                <w:snapToGrid w:val="0"/>
                <w:color w:val="000000"/>
                <w:spacing w:val="-1"/>
                <w:kern w:val="0"/>
                <w:szCs w:val="21"/>
              </w:rPr>
            </w:pPr>
          </w:p>
          <w:p w14:paraId="71109093">
            <w:pPr>
              <w:widowControl w:val="0"/>
              <w:jc w:val="center"/>
              <w:rPr>
                <w:rFonts w:ascii="Times New Roman" w:hAnsi="Times New Roman" w:eastAsia="宋体" w:cs="宋体"/>
                <w:b/>
                <w:bCs/>
                <w:snapToGrid w:val="0"/>
                <w:color w:val="000000"/>
                <w:spacing w:val="-1"/>
                <w:kern w:val="0"/>
                <w:szCs w:val="21"/>
                <w:lang w:eastAsia="en-US"/>
              </w:rPr>
            </w:pPr>
            <w:r>
              <w:rPr>
                <w:rFonts w:hint="eastAsia" w:ascii="Times New Roman" w:hAnsi="Times New Roman" w:eastAsia="宋体" w:cs="宋体"/>
                <w:b/>
                <w:bCs/>
                <w:snapToGrid w:val="0"/>
                <w:color w:val="000000"/>
                <w:spacing w:val="-1"/>
                <w:kern w:val="0"/>
                <w:szCs w:val="21"/>
              </w:rPr>
              <w:t>生长发育情况</w:t>
            </w:r>
          </w:p>
          <w:p w14:paraId="23875DE7">
            <w:pPr>
              <w:pStyle w:val="24"/>
              <w:spacing w:before="0" w:line="240" w:lineRule="auto"/>
              <w:ind w:left="0" w:firstLine="211" w:firstLineChars="100"/>
              <w:rPr>
                <w:rFonts w:ascii="Times New Roman" w:hAnsi="Times New Roman"/>
                <w:b/>
                <w:bCs/>
                <w:lang w:eastAsia="zh-CN"/>
              </w:rPr>
            </w:pPr>
          </w:p>
        </w:tc>
        <w:tc>
          <w:tcPr>
            <w:tcW w:w="1226" w:type="dxa"/>
          </w:tcPr>
          <w:p w14:paraId="1B2A1C32">
            <w:pPr>
              <w:jc w:val="center"/>
              <w:rPr>
                <w:rFonts w:ascii="Times New Roman" w:hAnsi="Times New Roman" w:eastAsia="宋体"/>
                <w:szCs w:val="21"/>
              </w:rPr>
            </w:pPr>
            <w:r>
              <w:rPr>
                <w:rFonts w:hint="eastAsia" w:ascii="Times New Roman" w:hAnsi="Times New Roman" w:eastAsia="宋体"/>
                <w:szCs w:val="21"/>
              </w:rPr>
              <w:t>年龄</w:t>
            </w:r>
          </w:p>
          <w:p w14:paraId="39886343">
            <w:pPr>
              <w:jc w:val="center"/>
              <w:rPr>
                <w:rFonts w:ascii="Times New Roman" w:hAnsi="Times New Roman" w:eastAsia="宋体"/>
                <w:szCs w:val="21"/>
              </w:rPr>
            </w:pPr>
            <w:r>
              <w:rPr>
                <w:rFonts w:hint="eastAsia" w:ascii="Times New Roman" w:hAnsi="Times New Roman" w:eastAsia="宋体"/>
                <w:szCs w:val="21"/>
              </w:rPr>
              <w:t>（月龄）</w:t>
            </w:r>
          </w:p>
          <w:p w14:paraId="4054C48D">
            <w:pPr>
              <w:jc w:val="center"/>
              <w:rPr>
                <w:rFonts w:ascii="Times New Roman" w:hAnsi="Times New Roman" w:eastAsia="宋体"/>
                <w:szCs w:val="21"/>
              </w:rPr>
            </w:pPr>
          </w:p>
        </w:tc>
        <w:tc>
          <w:tcPr>
            <w:tcW w:w="1264" w:type="dxa"/>
            <w:gridSpan w:val="2"/>
          </w:tcPr>
          <w:p w14:paraId="0F052C71">
            <w:pPr>
              <w:jc w:val="center"/>
              <w:rPr>
                <w:rFonts w:ascii="Times New Roman" w:hAnsi="Times New Roman" w:eastAsia="宋体"/>
                <w:sz w:val="24"/>
                <w:szCs w:val="24"/>
              </w:rPr>
            </w:pPr>
          </w:p>
        </w:tc>
        <w:tc>
          <w:tcPr>
            <w:tcW w:w="1246" w:type="dxa"/>
          </w:tcPr>
          <w:p w14:paraId="5486AF03">
            <w:pPr>
              <w:jc w:val="center"/>
              <w:rPr>
                <w:rFonts w:ascii="Times New Roman" w:hAnsi="Times New Roman" w:eastAsia="宋体"/>
                <w:sz w:val="24"/>
                <w:szCs w:val="24"/>
              </w:rPr>
            </w:pPr>
          </w:p>
        </w:tc>
        <w:tc>
          <w:tcPr>
            <w:tcW w:w="1245" w:type="dxa"/>
          </w:tcPr>
          <w:p w14:paraId="4DF4D643">
            <w:pPr>
              <w:jc w:val="center"/>
              <w:rPr>
                <w:rFonts w:ascii="Times New Roman" w:hAnsi="Times New Roman" w:eastAsia="宋体"/>
                <w:sz w:val="24"/>
                <w:szCs w:val="24"/>
              </w:rPr>
            </w:pPr>
          </w:p>
        </w:tc>
        <w:tc>
          <w:tcPr>
            <w:tcW w:w="1245" w:type="dxa"/>
          </w:tcPr>
          <w:p w14:paraId="44CCAFD1">
            <w:pPr>
              <w:jc w:val="center"/>
              <w:rPr>
                <w:rFonts w:ascii="Times New Roman" w:hAnsi="Times New Roman" w:eastAsia="宋体"/>
                <w:sz w:val="24"/>
                <w:szCs w:val="24"/>
              </w:rPr>
            </w:pPr>
          </w:p>
        </w:tc>
        <w:tc>
          <w:tcPr>
            <w:tcW w:w="1247" w:type="dxa"/>
          </w:tcPr>
          <w:p w14:paraId="7B81B8D8">
            <w:pPr>
              <w:jc w:val="center"/>
              <w:rPr>
                <w:rFonts w:ascii="Times New Roman" w:hAnsi="Times New Roman" w:eastAsia="宋体"/>
                <w:sz w:val="24"/>
                <w:szCs w:val="24"/>
              </w:rPr>
            </w:pPr>
          </w:p>
        </w:tc>
      </w:tr>
      <w:tr w14:paraId="1CD4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497" w:type="dxa"/>
            <w:vMerge w:val="continue"/>
          </w:tcPr>
          <w:p w14:paraId="390B5B7A">
            <w:pPr>
              <w:rPr>
                <w:rFonts w:ascii="Times New Roman" w:hAnsi="Times New Roman" w:eastAsia="宋体"/>
              </w:rPr>
            </w:pPr>
          </w:p>
        </w:tc>
        <w:tc>
          <w:tcPr>
            <w:tcW w:w="1226" w:type="dxa"/>
          </w:tcPr>
          <w:p w14:paraId="03C13549">
            <w:pPr>
              <w:jc w:val="center"/>
              <w:rPr>
                <w:rFonts w:ascii="Times New Roman" w:hAnsi="Times New Roman" w:eastAsia="宋体"/>
                <w:szCs w:val="21"/>
              </w:rPr>
            </w:pPr>
            <w:r>
              <w:rPr>
                <w:rFonts w:hint="eastAsia" w:ascii="Times New Roman" w:hAnsi="Times New Roman" w:eastAsia="宋体"/>
                <w:szCs w:val="21"/>
              </w:rPr>
              <w:t>头围</w:t>
            </w:r>
          </w:p>
          <w:p w14:paraId="2625DC75">
            <w:pPr>
              <w:jc w:val="center"/>
              <w:rPr>
                <w:rFonts w:ascii="Times New Roman" w:hAnsi="Times New Roman" w:eastAsia="宋体"/>
                <w:szCs w:val="21"/>
              </w:rPr>
            </w:pPr>
            <w:r>
              <w:rPr>
                <w:rFonts w:hint="eastAsia" w:ascii="Times New Roman" w:hAnsi="Times New Roman" w:eastAsia="宋体"/>
                <w:szCs w:val="21"/>
              </w:rPr>
              <w:t>（cm）</w:t>
            </w:r>
          </w:p>
          <w:p w14:paraId="15872B0E">
            <w:pPr>
              <w:jc w:val="center"/>
              <w:rPr>
                <w:rFonts w:ascii="Times New Roman" w:hAnsi="Times New Roman" w:eastAsia="宋体"/>
                <w:szCs w:val="21"/>
              </w:rPr>
            </w:pPr>
          </w:p>
        </w:tc>
        <w:tc>
          <w:tcPr>
            <w:tcW w:w="1264" w:type="dxa"/>
            <w:gridSpan w:val="2"/>
          </w:tcPr>
          <w:p w14:paraId="7D8B748D">
            <w:pPr>
              <w:jc w:val="center"/>
              <w:rPr>
                <w:rFonts w:ascii="Times New Roman" w:hAnsi="Times New Roman" w:eastAsia="宋体"/>
                <w:sz w:val="24"/>
                <w:szCs w:val="24"/>
              </w:rPr>
            </w:pPr>
          </w:p>
        </w:tc>
        <w:tc>
          <w:tcPr>
            <w:tcW w:w="1246" w:type="dxa"/>
          </w:tcPr>
          <w:p w14:paraId="6A033577">
            <w:pPr>
              <w:jc w:val="center"/>
              <w:rPr>
                <w:rFonts w:ascii="Times New Roman" w:hAnsi="Times New Roman" w:eastAsia="宋体"/>
                <w:sz w:val="24"/>
                <w:szCs w:val="24"/>
              </w:rPr>
            </w:pPr>
          </w:p>
        </w:tc>
        <w:tc>
          <w:tcPr>
            <w:tcW w:w="1245" w:type="dxa"/>
          </w:tcPr>
          <w:p w14:paraId="1826F3F8">
            <w:pPr>
              <w:jc w:val="center"/>
              <w:rPr>
                <w:rFonts w:ascii="Times New Roman" w:hAnsi="Times New Roman" w:eastAsia="宋体"/>
                <w:sz w:val="24"/>
                <w:szCs w:val="24"/>
              </w:rPr>
            </w:pPr>
          </w:p>
        </w:tc>
        <w:tc>
          <w:tcPr>
            <w:tcW w:w="1245" w:type="dxa"/>
          </w:tcPr>
          <w:p w14:paraId="296A2D7D">
            <w:pPr>
              <w:jc w:val="center"/>
              <w:rPr>
                <w:rFonts w:ascii="Times New Roman" w:hAnsi="Times New Roman" w:eastAsia="宋体"/>
                <w:sz w:val="24"/>
                <w:szCs w:val="24"/>
              </w:rPr>
            </w:pPr>
          </w:p>
        </w:tc>
        <w:tc>
          <w:tcPr>
            <w:tcW w:w="1247" w:type="dxa"/>
          </w:tcPr>
          <w:p w14:paraId="695FD752">
            <w:pPr>
              <w:jc w:val="center"/>
              <w:rPr>
                <w:rFonts w:ascii="Times New Roman" w:hAnsi="Times New Roman" w:eastAsia="宋体"/>
                <w:sz w:val="24"/>
                <w:szCs w:val="24"/>
              </w:rPr>
            </w:pPr>
          </w:p>
        </w:tc>
      </w:tr>
      <w:tr w14:paraId="7EC2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497" w:type="dxa"/>
            <w:vMerge w:val="continue"/>
          </w:tcPr>
          <w:p w14:paraId="16A14A95">
            <w:pPr>
              <w:rPr>
                <w:rFonts w:ascii="Times New Roman" w:hAnsi="Times New Roman" w:eastAsia="宋体"/>
              </w:rPr>
            </w:pPr>
          </w:p>
        </w:tc>
        <w:tc>
          <w:tcPr>
            <w:tcW w:w="1226" w:type="dxa"/>
          </w:tcPr>
          <w:p w14:paraId="44B704CE">
            <w:pPr>
              <w:jc w:val="center"/>
              <w:rPr>
                <w:rFonts w:ascii="Times New Roman" w:hAnsi="Times New Roman" w:eastAsia="宋体"/>
                <w:szCs w:val="21"/>
              </w:rPr>
            </w:pPr>
            <w:r>
              <w:rPr>
                <w:rFonts w:hint="eastAsia" w:ascii="Times New Roman" w:hAnsi="Times New Roman" w:eastAsia="宋体"/>
                <w:szCs w:val="21"/>
              </w:rPr>
              <w:t>身高</w:t>
            </w:r>
            <w:r>
              <w:rPr>
                <w:rFonts w:hint="eastAsia" w:ascii="Times New Roman" w:hAnsi="Times New Roman" w:eastAsia="宋体"/>
                <w:szCs w:val="21"/>
              </w:rPr>
              <w:br w:type="textWrapping"/>
            </w:r>
            <w:r>
              <w:rPr>
                <w:rFonts w:hint="eastAsia" w:ascii="Times New Roman" w:hAnsi="Times New Roman" w:eastAsia="宋体"/>
                <w:szCs w:val="21"/>
              </w:rPr>
              <w:t>（cm）</w:t>
            </w:r>
          </w:p>
          <w:p w14:paraId="3C402209">
            <w:pPr>
              <w:jc w:val="center"/>
              <w:rPr>
                <w:rFonts w:ascii="Times New Roman" w:hAnsi="Times New Roman" w:eastAsia="宋体"/>
                <w:szCs w:val="21"/>
              </w:rPr>
            </w:pPr>
          </w:p>
        </w:tc>
        <w:tc>
          <w:tcPr>
            <w:tcW w:w="1264" w:type="dxa"/>
            <w:gridSpan w:val="2"/>
          </w:tcPr>
          <w:p w14:paraId="03668CE3">
            <w:pPr>
              <w:jc w:val="center"/>
              <w:rPr>
                <w:rFonts w:ascii="Times New Roman" w:hAnsi="Times New Roman" w:eastAsia="宋体"/>
                <w:sz w:val="24"/>
                <w:szCs w:val="24"/>
              </w:rPr>
            </w:pPr>
          </w:p>
        </w:tc>
        <w:tc>
          <w:tcPr>
            <w:tcW w:w="1246" w:type="dxa"/>
          </w:tcPr>
          <w:p w14:paraId="10379D3C">
            <w:pPr>
              <w:jc w:val="center"/>
              <w:rPr>
                <w:rFonts w:ascii="Times New Roman" w:hAnsi="Times New Roman" w:eastAsia="宋体"/>
                <w:sz w:val="24"/>
                <w:szCs w:val="24"/>
              </w:rPr>
            </w:pPr>
          </w:p>
        </w:tc>
        <w:tc>
          <w:tcPr>
            <w:tcW w:w="1245" w:type="dxa"/>
          </w:tcPr>
          <w:p w14:paraId="4097C630">
            <w:pPr>
              <w:jc w:val="center"/>
              <w:rPr>
                <w:rFonts w:ascii="Times New Roman" w:hAnsi="Times New Roman" w:eastAsia="宋体"/>
                <w:sz w:val="24"/>
                <w:szCs w:val="24"/>
              </w:rPr>
            </w:pPr>
          </w:p>
        </w:tc>
        <w:tc>
          <w:tcPr>
            <w:tcW w:w="1245" w:type="dxa"/>
          </w:tcPr>
          <w:p w14:paraId="199AEC8B">
            <w:pPr>
              <w:jc w:val="center"/>
              <w:rPr>
                <w:rFonts w:ascii="Times New Roman" w:hAnsi="Times New Roman" w:eastAsia="宋体"/>
                <w:sz w:val="24"/>
                <w:szCs w:val="24"/>
              </w:rPr>
            </w:pPr>
          </w:p>
        </w:tc>
        <w:tc>
          <w:tcPr>
            <w:tcW w:w="1247" w:type="dxa"/>
          </w:tcPr>
          <w:p w14:paraId="67714073">
            <w:pPr>
              <w:jc w:val="center"/>
              <w:rPr>
                <w:rFonts w:ascii="Times New Roman" w:hAnsi="Times New Roman" w:eastAsia="宋体"/>
                <w:sz w:val="24"/>
                <w:szCs w:val="24"/>
              </w:rPr>
            </w:pPr>
          </w:p>
        </w:tc>
      </w:tr>
      <w:tr w14:paraId="7C17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497" w:type="dxa"/>
            <w:vMerge w:val="continue"/>
          </w:tcPr>
          <w:p w14:paraId="01CB4F85">
            <w:pPr>
              <w:rPr>
                <w:rFonts w:ascii="Times New Roman" w:hAnsi="Times New Roman" w:eastAsia="宋体"/>
              </w:rPr>
            </w:pPr>
          </w:p>
        </w:tc>
        <w:tc>
          <w:tcPr>
            <w:tcW w:w="1226" w:type="dxa"/>
          </w:tcPr>
          <w:p w14:paraId="6FB65E15">
            <w:pPr>
              <w:jc w:val="center"/>
              <w:rPr>
                <w:rFonts w:ascii="Times New Roman" w:hAnsi="Times New Roman" w:eastAsia="宋体"/>
                <w:szCs w:val="21"/>
              </w:rPr>
            </w:pPr>
            <w:r>
              <w:rPr>
                <w:rFonts w:hint="eastAsia" w:ascii="Times New Roman" w:hAnsi="Times New Roman" w:eastAsia="宋体"/>
                <w:szCs w:val="21"/>
              </w:rPr>
              <w:t>体重</w:t>
            </w:r>
          </w:p>
          <w:p w14:paraId="42443162">
            <w:pPr>
              <w:jc w:val="center"/>
              <w:rPr>
                <w:rFonts w:ascii="Times New Roman" w:hAnsi="Times New Roman" w:eastAsia="宋体"/>
                <w:szCs w:val="21"/>
              </w:rPr>
            </w:pPr>
            <w:r>
              <w:rPr>
                <w:rFonts w:hint="eastAsia" w:ascii="Times New Roman" w:hAnsi="Times New Roman" w:eastAsia="宋体"/>
                <w:szCs w:val="21"/>
              </w:rPr>
              <w:t>（kg）</w:t>
            </w:r>
          </w:p>
          <w:p w14:paraId="4D2760C8">
            <w:pPr>
              <w:jc w:val="center"/>
              <w:rPr>
                <w:rFonts w:ascii="Times New Roman" w:hAnsi="Times New Roman" w:eastAsia="宋体"/>
                <w:szCs w:val="21"/>
              </w:rPr>
            </w:pPr>
          </w:p>
        </w:tc>
        <w:tc>
          <w:tcPr>
            <w:tcW w:w="1264" w:type="dxa"/>
            <w:gridSpan w:val="2"/>
          </w:tcPr>
          <w:p w14:paraId="7AB8ACDF">
            <w:pPr>
              <w:jc w:val="center"/>
              <w:rPr>
                <w:rFonts w:ascii="Times New Roman" w:hAnsi="Times New Roman" w:eastAsia="宋体"/>
                <w:sz w:val="24"/>
                <w:szCs w:val="24"/>
              </w:rPr>
            </w:pPr>
          </w:p>
        </w:tc>
        <w:tc>
          <w:tcPr>
            <w:tcW w:w="1246" w:type="dxa"/>
          </w:tcPr>
          <w:p w14:paraId="19CCED83">
            <w:pPr>
              <w:jc w:val="center"/>
              <w:rPr>
                <w:rFonts w:ascii="Times New Roman" w:hAnsi="Times New Roman" w:eastAsia="宋体"/>
                <w:sz w:val="24"/>
                <w:szCs w:val="24"/>
              </w:rPr>
            </w:pPr>
          </w:p>
        </w:tc>
        <w:tc>
          <w:tcPr>
            <w:tcW w:w="1245" w:type="dxa"/>
          </w:tcPr>
          <w:p w14:paraId="65C06FDD">
            <w:pPr>
              <w:jc w:val="center"/>
              <w:rPr>
                <w:rFonts w:ascii="Times New Roman" w:hAnsi="Times New Roman" w:eastAsia="宋体"/>
                <w:sz w:val="24"/>
                <w:szCs w:val="24"/>
              </w:rPr>
            </w:pPr>
          </w:p>
        </w:tc>
        <w:tc>
          <w:tcPr>
            <w:tcW w:w="1245" w:type="dxa"/>
          </w:tcPr>
          <w:p w14:paraId="229050BF">
            <w:pPr>
              <w:jc w:val="center"/>
              <w:rPr>
                <w:rFonts w:ascii="Times New Roman" w:hAnsi="Times New Roman" w:eastAsia="宋体"/>
                <w:sz w:val="24"/>
                <w:szCs w:val="24"/>
              </w:rPr>
            </w:pPr>
          </w:p>
        </w:tc>
        <w:tc>
          <w:tcPr>
            <w:tcW w:w="1247" w:type="dxa"/>
          </w:tcPr>
          <w:p w14:paraId="1576729A">
            <w:pPr>
              <w:jc w:val="center"/>
              <w:rPr>
                <w:rFonts w:ascii="Times New Roman" w:hAnsi="Times New Roman" w:eastAsia="宋体"/>
                <w:sz w:val="24"/>
                <w:szCs w:val="24"/>
              </w:rPr>
            </w:pPr>
          </w:p>
        </w:tc>
      </w:tr>
      <w:tr w14:paraId="2E92A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9" w:hRule="atLeast"/>
        </w:trPr>
        <w:tc>
          <w:tcPr>
            <w:tcW w:w="1497" w:type="dxa"/>
          </w:tcPr>
          <w:p w14:paraId="206B326F">
            <w:pPr>
              <w:pStyle w:val="24"/>
              <w:spacing w:before="0" w:line="240" w:lineRule="auto"/>
              <w:ind w:left="0" w:firstLine="211" w:firstLineChars="100"/>
              <w:rPr>
                <w:rFonts w:ascii="Times New Roman" w:hAnsi="Times New Roman"/>
                <w:b/>
                <w:bCs/>
                <w:lang w:eastAsia="zh-CN"/>
              </w:rPr>
            </w:pPr>
          </w:p>
          <w:p w14:paraId="4B7A9C92">
            <w:pPr>
              <w:pStyle w:val="24"/>
              <w:spacing w:before="0" w:line="240" w:lineRule="auto"/>
              <w:ind w:left="0" w:firstLine="211" w:firstLineChars="100"/>
              <w:rPr>
                <w:rFonts w:ascii="Times New Roman" w:hAnsi="Times New Roman"/>
                <w:b/>
                <w:bCs/>
                <w:lang w:eastAsia="zh-CN"/>
              </w:rPr>
            </w:pPr>
          </w:p>
          <w:p w14:paraId="39D57B7C">
            <w:pPr>
              <w:pStyle w:val="24"/>
              <w:spacing w:before="0" w:line="240" w:lineRule="auto"/>
              <w:ind w:left="0" w:firstLine="211" w:firstLineChars="100"/>
              <w:rPr>
                <w:rFonts w:ascii="Times New Roman" w:hAnsi="Times New Roman"/>
                <w:b/>
                <w:bCs/>
                <w:lang w:eastAsia="zh-CN"/>
              </w:rPr>
            </w:pPr>
          </w:p>
          <w:p w14:paraId="4DEF13D8">
            <w:pPr>
              <w:pStyle w:val="24"/>
              <w:spacing w:before="0" w:line="240" w:lineRule="auto"/>
              <w:ind w:left="0" w:firstLine="211" w:firstLineChars="100"/>
              <w:rPr>
                <w:rFonts w:ascii="Times New Roman" w:hAnsi="Times New Roman"/>
                <w:b/>
                <w:bCs/>
                <w:lang w:eastAsia="zh-CN"/>
              </w:rPr>
            </w:pPr>
          </w:p>
          <w:p w14:paraId="67D93077">
            <w:pPr>
              <w:pStyle w:val="24"/>
              <w:spacing w:before="0" w:line="240" w:lineRule="auto"/>
              <w:ind w:left="0" w:firstLine="211" w:firstLineChars="100"/>
              <w:rPr>
                <w:rFonts w:ascii="Times New Roman" w:hAnsi="Times New Roman"/>
                <w:b/>
                <w:bCs/>
                <w:lang w:eastAsia="zh-CN"/>
              </w:rPr>
            </w:pPr>
          </w:p>
          <w:p w14:paraId="12252DC2">
            <w:pPr>
              <w:pStyle w:val="24"/>
              <w:spacing w:before="0" w:line="240" w:lineRule="auto"/>
              <w:ind w:left="0" w:firstLine="211" w:firstLineChars="100"/>
              <w:rPr>
                <w:rFonts w:ascii="Times New Roman" w:hAnsi="Times New Roman"/>
                <w:b/>
                <w:bCs/>
                <w:lang w:eastAsia="zh-CN"/>
              </w:rPr>
            </w:pPr>
          </w:p>
          <w:p w14:paraId="37592DDD">
            <w:pPr>
              <w:pStyle w:val="24"/>
              <w:spacing w:before="0" w:line="240" w:lineRule="auto"/>
              <w:ind w:left="0" w:firstLine="211" w:firstLineChars="100"/>
              <w:rPr>
                <w:rFonts w:ascii="Times New Roman" w:hAnsi="Times New Roman"/>
                <w:b/>
                <w:bCs/>
                <w:lang w:eastAsia="zh-CN"/>
              </w:rPr>
            </w:pPr>
          </w:p>
          <w:p w14:paraId="73414E93">
            <w:pPr>
              <w:pStyle w:val="24"/>
              <w:spacing w:before="0" w:line="240" w:lineRule="auto"/>
              <w:ind w:left="0" w:firstLine="211" w:firstLineChars="100"/>
              <w:rPr>
                <w:rFonts w:ascii="Times New Roman" w:hAnsi="Times New Roman"/>
                <w:b/>
                <w:bCs/>
                <w:lang w:eastAsia="zh-CN"/>
              </w:rPr>
            </w:pPr>
          </w:p>
          <w:p w14:paraId="2B704EB2">
            <w:pPr>
              <w:pStyle w:val="24"/>
              <w:spacing w:before="0" w:line="240" w:lineRule="auto"/>
              <w:ind w:left="0" w:firstLine="211" w:firstLineChars="100"/>
              <w:rPr>
                <w:rFonts w:ascii="Times New Roman" w:hAnsi="Times New Roman"/>
                <w:b/>
                <w:bCs/>
                <w:lang w:eastAsia="zh-CN"/>
              </w:rPr>
            </w:pPr>
          </w:p>
          <w:p w14:paraId="0E87CEB8">
            <w:pPr>
              <w:pStyle w:val="24"/>
              <w:spacing w:before="0" w:line="240" w:lineRule="auto"/>
              <w:ind w:left="0" w:firstLine="211" w:firstLineChars="100"/>
              <w:rPr>
                <w:rFonts w:ascii="Times New Roman" w:hAnsi="Times New Roman"/>
                <w:b/>
                <w:bCs/>
                <w:lang w:eastAsia="zh-CN"/>
              </w:rPr>
            </w:pPr>
          </w:p>
          <w:p w14:paraId="0B122A56">
            <w:pPr>
              <w:pStyle w:val="24"/>
              <w:spacing w:before="0" w:line="240" w:lineRule="auto"/>
              <w:ind w:left="0" w:firstLine="211" w:firstLineChars="100"/>
              <w:rPr>
                <w:rFonts w:ascii="Times New Roman" w:hAnsi="Times New Roman"/>
                <w:b/>
                <w:bCs/>
                <w:lang w:eastAsia="zh-CN"/>
              </w:rPr>
            </w:pPr>
            <w:r>
              <w:rPr>
                <w:rFonts w:hint="eastAsia" w:ascii="Times New Roman" w:hAnsi="Times New Roman"/>
                <w:b/>
                <w:bCs/>
                <w:lang w:eastAsia="zh-CN"/>
              </w:rPr>
              <w:t>其他</w:t>
            </w:r>
          </w:p>
        </w:tc>
        <w:tc>
          <w:tcPr>
            <w:tcW w:w="7473" w:type="dxa"/>
            <w:gridSpan w:val="7"/>
          </w:tcPr>
          <w:p w14:paraId="52EECF47">
            <w:pPr>
              <w:rPr>
                <w:rFonts w:ascii="Times New Roman" w:hAnsi="Times New Roman" w:eastAsia="宋体"/>
              </w:rPr>
            </w:pPr>
          </w:p>
        </w:tc>
      </w:tr>
    </w:tbl>
    <w:p w14:paraId="4BFC6F1E">
      <w:pPr>
        <w:rPr>
          <w:rFonts w:ascii="Times New Roman" w:hAnsi="Times New Roman" w:eastAsia="宋体"/>
        </w:rPr>
        <w:sectPr>
          <w:headerReference r:id="rId19" w:type="first"/>
          <w:footerReference r:id="rId22" w:type="first"/>
          <w:headerReference r:id="rId17" w:type="default"/>
          <w:footerReference r:id="rId20" w:type="default"/>
          <w:headerReference r:id="rId18" w:type="even"/>
          <w:footerReference r:id="rId21" w:type="even"/>
          <w:pgSz w:w="11905" w:h="16838"/>
          <w:pgMar w:top="1417" w:right="1134" w:bottom="1134" w:left="1417" w:header="0" w:footer="0" w:gutter="0"/>
          <w:paperSrc/>
          <w:pgNumType w:fmt="decimal"/>
          <w:cols w:space="0" w:num="1"/>
          <w:titlePg/>
          <w:rtlGutter w:val="0"/>
          <w:docGrid w:linePitch="0" w:charSpace="0"/>
        </w:sectPr>
      </w:pPr>
    </w:p>
    <w:p w14:paraId="2E3FBDA6">
      <w:pPr>
        <w:jc w:val="center"/>
        <w:outlineLvl w:val="0"/>
        <w:rPr>
          <w:rFonts w:ascii="黑体" w:hAnsi="黑体" w:eastAsia="黑体"/>
        </w:rPr>
      </w:pPr>
      <w:bookmarkStart w:id="32" w:name="_Toc203680719"/>
      <w:r>
        <w:rPr>
          <w:rFonts w:hint="eastAsia" w:ascii="黑体" w:hAnsi="黑体" w:eastAsia="黑体"/>
        </w:rPr>
        <w:t>参</w:t>
      </w:r>
      <w:r>
        <w:rPr>
          <w:rFonts w:ascii="黑体" w:hAnsi="黑体" w:eastAsia="黑体"/>
        </w:rPr>
        <w:t xml:space="preserve">  </w:t>
      </w:r>
      <w:r>
        <w:rPr>
          <w:rFonts w:hint="eastAsia" w:ascii="黑体" w:hAnsi="黑体" w:eastAsia="黑体"/>
        </w:rPr>
        <w:t>考</w:t>
      </w:r>
      <w:r>
        <w:rPr>
          <w:rFonts w:ascii="黑体" w:hAnsi="黑体" w:eastAsia="黑体"/>
        </w:rPr>
        <w:t xml:space="preserve">  </w:t>
      </w:r>
      <w:r>
        <w:rPr>
          <w:rFonts w:hint="eastAsia" w:ascii="黑体" w:hAnsi="黑体" w:eastAsia="黑体"/>
        </w:rPr>
        <w:t>文</w:t>
      </w:r>
      <w:r>
        <w:rPr>
          <w:rFonts w:ascii="黑体" w:hAnsi="黑体" w:eastAsia="黑体"/>
        </w:rPr>
        <w:t xml:space="preserve">  </w:t>
      </w:r>
      <w:r>
        <w:rPr>
          <w:rFonts w:hint="eastAsia" w:ascii="黑体" w:hAnsi="黑体" w:eastAsia="黑体"/>
        </w:rPr>
        <w:t>献</w:t>
      </w:r>
      <w:bookmarkEnd w:id="32"/>
    </w:p>
    <w:p w14:paraId="5E5B446C">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宋体"/>
          <w:color w:val="000000"/>
          <w:kern w:val="0"/>
          <w:sz w:val="20"/>
          <w:szCs w:val="20"/>
          <w:lang w:bidi="ar"/>
        </w:rPr>
        <w:t>北</w:t>
      </w:r>
      <w:r>
        <w:rPr>
          <w:rFonts w:hint="eastAsia" w:ascii="Times New Roman" w:hAnsi="Times New Roman" w:eastAsia="宋体" w:cs="Times New Roman"/>
          <w:color w:val="000000"/>
          <w:kern w:val="0"/>
          <w:sz w:val="21"/>
          <w:szCs w:val="21"/>
          <w:lang w:bidi="ar"/>
        </w:rPr>
        <w:t>京医学会罕见病分会</w:t>
      </w:r>
      <w:r>
        <w:rPr>
          <w:rFonts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bidi="ar"/>
        </w:rPr>
        <w:t>北京医学会医学遗传学分会</w:t>
      </w:r>
      <w:r>
        <w:rPr>
          <w:rFonts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bidi="ar"/>
        </w:rPr>
        <w:t>北京医学会神经病学分会神经肌肉病学组</w:t>
      </w:r>
      <w:r>
        <w:rPr>
          <w:rFonts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bidi="ar"/>
        </w:rPr>
        <w:t>等</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脊髓性肌萎缩症多学科管理专家共识</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中华医学杂志</w:t>
      </w:r>
      <w:r>
        <w:rPr>
          <w:rFonts w:ascii="Times New Roman" w:hAnsi="Times New Roman" w:eastAsia="宋体" w:cs="Times New Roman"/>
          <w:color w:val="000000"/>
          <w:kern w:val="0"/>
          <w:sz w:val="21"/>
          <w:szCs w:val="21"/>
          <w:lang w:bidi="ar"/>
        </w:rPr>
        <w:t>,2019,99(19):1460-1467.</w:t>
      </w:r>
    </w:p>
    <w:p w14:paraId="6E5CC922">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Lai W,Yi D,Na H,et al.Clinical characteristics and anaesthetic management of severe scoliosis patients with spinal muscular atrophy: case series.2024,86(2):643-649.</w:t>
      </w:r>
    </w:p>
    <w:p w14:paraId="789D1EC0">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北京医学会医学遗传学分会，北京罕见病诊疗与保障学会</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脊髓性肌萎缩症遗传学诊断专家共识</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中华医学杂志</w:t>
      </w:r>
      <w:r>
        <w:rPr>
          <w:rFonts w:ascii="Times New Roman" w:hAnsi="Times New Roman" w:eastAsia="宋体" w:cs="Times New Roman"/>
          <w:color w:val="000000"/>
          <w:kern w:val="0"/>
          <w:sz w:val="21"/>
          <w:szCs w:val="21"/>
          <w:lang w:bidi="ar"/>
        </w:rPr>
        <w:t>,2020,100(40):3130-3140.</w:t>
      </w:r>
    </w:p>
    <w:p w14:paraId="3EB1A044">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中华医学会儿科学分会康复学组，中国康复医学会物理治疗专委会</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脊髓性肌萎缩症康复管理专家共识</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中华儿科杂志</w:t>
      </w:r>
      <w:r>
        <w:rPr>
          <w:rFonts w:ascii="Times New Roman" w:hAnsi="Times New Roman" w:eastAsia="宋体" w:cs="Times New Roman"/>
          <w:color w:val="000000"/>
          <w:kern w:val="0"/>
          <w:sz w:val="21"/>
          <w:szCs w:val="21"/>
          <w:lang w:bidi="ar"/>
        </w:rPr>
        <w:t>,2022,60(09):883-887.</w:t>
      </w:r>
    </w:p>
    <w:p w14:paraId="3F5E1590">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中国医师协会儿科医师分会，中国医师协会儿科医师分会儿童呼吸学组</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脊髓性肌萎缩症呼吸管理专家共识</w:t>
      </w:r>
      <w:r>
        <w:rPr>
          <w:rFonts w:ascii="Times New Roman" w:hAnsi="Times New Roman" w:eastAsia="宋体" w:cs="Times New Roman"/>
          <w:color w:val="000000"/>
          <w:kern w:val="0"/>
          <w:sz w:val="21"/>
          <w:szCs w:val="21"/>
          <w:lang w:bidi="ar"/>
        </w:rPr>
        <w:t>(2022</w:t>
      </w:r>
      <w:r>
        <w:rPr>
          <w:rFonts w:hint="eastAsia" w:ascii="Times New Roman" w:hAnsi="Times New Roman" w:eastAsia="宋体" w:cs="Times New Roman"/>
          <w:color w:val="000000"/>
          <w:kern w:val="0"/>
          <w:sz w:val="21"/>
          <w:szCs w:val="21"/>
          <w:lang w:bidi="ar"/>
        </w:rPr>
        <w:t>版</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中华实用儿科临床杂志</w:t>
      </w:r>
      <w:r>
        <w:rPr>
          <w:rFonts w:ascii="Times New Roman" w:hAnsi="Times New Roman" w:eastAsia="宋体" w:cs="Times New Roman"/>
          <w:color w:val="000000"/>
          <w:kern w:val="0"/>
          <w:sz w:val="21"/>
          <w:szCs w:val="21"/>
          <w:lang w:bidi="ar"/>
        </w:rPr>
        <w:t>,2022,37(06):401-411.</w:t>
      </w:r>
    </w:p>
    <w:p w14:paraId="176E0C62">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脊髓性肌萎缩症胚胎着床前遗传学检测专家共识编写组</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脊髓性肌萎缩症的胚胎着床前遗传学检测专家共识</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中华医学遗传学杂志</w:t>
      </w:r>
      <w:r>
        <w:rPr>
          <w:rFonts w:ascii="Times New Roman" w:hAnsi="Times New Roman" w:eastAsia="宋体" w:cs="Times New Roman"/>
          <w:color w:val="000000"/>
          <w:kern w:val="0"/>
          <w:sz w:val="21"/>
          <w:szCs w:val="21"/>
          <w:lang w:bidi="ar"/>
        </w:rPr>
        <w:t>,2022,39(02):129-134.</w:t>
      </w:r>
    </w:p>
    <w:p w14:paraId="73DDC19F">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中国研究型医院学会神经科学专业委员会</w:t>
      </w:r>
      <w:r>
        <w:rPr>
          <w:rFonts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bidi="ar"/>
        </w:rPr>
        <w:t>中国出生缺陷干预救助基金会神经与肌肉疾病防控专项基金组织专家组</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脊髓性肌萎缩症新生儿筛查专家共识（</w:t>
      </w:r>
      <w:r>
        <w:rPr>
          <w:rFonts w:ascii="Times New Roman" w:hAnsi="Times New Roman" w:eastAsia="宋体" w:cs="Times New Roman"/>
          <w:color w:val="000000"/>
          <w:kern w:val="0"/>
          <w:sz w:val="21"/>
          <w:szCs w:val="21"/>
          <w:lang w:bidi="ar"/>
        </w:rPr>
        <w:t>2023</w:t>
      </w:r>
      <w:r>
        <w:rPr>
          <w:rFonts w:hint="eastAsia" w:ascii="Times New Roman" w:hAnsi="Times New Roman" w:eastAsia="宋体" w:cs="Times New Roman"/>
          <w:color w:val="000000"/>
          <w:kern w:val="0"/>
          <w:sz w:val="21"/>
          <w:szCs w:val="21"/>
          <w:lang w:bidi="ar"/>
        </w:rPr>
        <w:t>版）</w:t>
      </w:r>
      <w:r>
        <w:rPr>
          <w:rFonts w:ascii="Times New Roman" w:hAnsi="Times New Roman" w:eastAsia="宋体" w:cs="Times New Roman"/>
          <w:color w:val="000000"/>
          <w:kern w:val="0"/>
          <w:sz w:val="21"/>
          <w:szCs w:val="21"/>
          <w:lang w:bidi="ar"/>
        </w:rPr>
        <w:t xml:space="preserve">[J]. </w:t>
      </w:r>
      <w:r>
        <w:rPr>
          <w:rFonts w:hint="eastAsia" w:ascii="Times New Roman" w:hAnsi="Times New Roman" w:eastAsia="宋体" w:cs="Times New Roman"/>
          <w:color w:val="000000"/>
          <w:kern w:val="0"/>
          <w:sz w:val="21"/>
          <w:szCs w:val="21"/>
          <w:lang w:bidi="ar"/>
        </w:rPr>
        <w:t>中华医学杂志</w:t>
      </w:r>
      <w:r>
        <w:rPr>
          <w:rFonts w:ascii="Times New Roman" w:hAnsi="Times New Roman" w:eastAsia="宋体" w:cs="Times New Roman"/>
          <w:color w:val="000000"/>
          <w:kern w:val="0"/>
          <w:sz w:val="21"/>
          <w:szCs w:val="21"/>
          <w:lang w:bidi="ar"/>
        </w:rPr>
        <w:t>,2023,103(27): 2075-2081.</w:t>
      </w:r>
    </w:p>
    <w:p w14:paraId="1E4767DD">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翦烨敏</w:t>
      </w:r>
      <w:r>
        <w:rPr>
          <w:rFonts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bidi="ar"/>
        </w:rPr>
        <w:t>吴丽文</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脊髓性肌萎缩病情监测生物标志物的研究进展</w:t>
      </w:r>
      <w:r>
        <w:rPr>
          <w:rFonts w:ascii="Times New Roman" w:hAnsi="Times New Roman" w:eastAsia="宋体" w:cs="Times New Roman"/>
          <w:color w:val="000000"/>
          <w:kern w:val="0"/>
          <w:sz w:val="21"/>
          <w:szCs w:val="21"/>
          <w:lang w:bidi="ar"/>
        </w:rPr>
        <w:t xml:space="preserve">[J]. </w:t>
      </w:r>
      <w:r>
        <w:rPr>
          <w:rFonts w:hint="eastAsia" w:ascii="Times New Roman" w:hAnsi="Times New Roman" w:eastAsia="宋体" w:cs="Times New Roman"/>
          <w:color w:val="000000"/>
          <w:kern w:val="0"/>
          <w:sz w:val="21"/>
          <w:szCs w:val="21"/>
          <w:lang w:bidi="ar"/>
        </w:rPr>
        <w:t>中华医学遗传学杂志</w:t>
      </w:r>
      <w:r>
        <w:rPr>
          <w:rFonts w:ascii="Times New Roman" w:hAnsi="Times New Roman" w:eastAsia="宋体" w:cs="Times New Roman"/>
          <w:color w:val="000000"/>
          <w:kern w:val="0"/>
          <w:sz w:val="21"/>
          <w:szCs w:val="21"/>
          <w:lang w:bidi="ar"/>
        </w:rPr>
        <w:t>,2024,41(01): 106-112.</w:t>
      </w:r>
    </w:p>
    <w:p w14:paraId="66F9BB51">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中华预防医学会出生缺陷预防与控制专业委员会新生儿遗传代谢病筛查学组</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新生儿遗传代谢病筛查实验室检测技术规范专家共识</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中华新生儿科杂志（中英文）</w:t>
      </w:r>
      <w:r>
        <w:rPr>
          <w:rFonts w:ascii="Times New Roman" w:hAnsi="Times New Roman" w:eastAsia="宋体" w:cs="Times New Roman"/>
          <w:color w:val="000000"/>
          <w:kern w:val="0"/>
          <w:sz w:val="21"/>
          <w:szCs w:val="21"/>
          <w:lang w:bidi="ar"/>
        </w:rPr>
        <w:t>,2023,38(08):</w:t>
      </w:r>
      <w:r>
        <w:rPr>
          <w:rFonts w:hint="eastAsia" w:ascii="Times New Roman" w:hAnsi="Times New Roman" w:eastAsia="宋体" w:cs="Times New Roman"/>
          <w:szCs w:val="21"/>
        </w:rPr>
        <w:t xml:space="preserve"> </w:t>
      </w:r>
      <w:r>
        <w:rPr>
          <w:rFonts w:ascii="Times New Roman" w:hAnsi="Times New Roman" w:eastAsia="宋体" w:cs="Times New Roman"/>
          <w:color w:val="000000"/>
          <w:kern w:val="0"/>
          <w:sz w:val="21"/>
          <w:szCs w:val="21"/>
          <w:lang w:bidi="ar"/>
        </w:rPr>
        <w:t>449-454.</w:t>
      </w:r>
    </w:p>
    <w:p w14:paraId="7240575E">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中华预防医学会出生缺陷预防与控制专业委员会新生儿遗传代谢病筛查学组</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新生儿遗传代谢病筛查组织管理及血片采集技术规范专家共识</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中华新生儿科杂志（中英文）</w:t>
      </w:r>
      <w:r>
        <w:rPr>
          <w:rFonts w:ascii="Times New Roman" w:hAnsi="Times New Roman" w:eastAsia="宋体" w:cs="Times New Roman"/>
          <w:color w:val="000000"/>
          <w:kern w:val="0"/>
          <w:sz w:val="21"/>
          <w:szCs w:val="21"/>
          <w:lang w:bidi="ar"/>
        </w:rPr>
        <w:t>, 2023, 38(6): 321-326.</w:t>
      </w:r>
    </w:p>
    <w:p w14:paraId="7BD927BF">
      <w:pPr>
        <w:widowControl/>
        <w:numPr>
          <w:ilvl w:val="0"/>
          <w:numId w:val="2"/>
        </w:numP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mc:AlternateContent>
          <mc:Choice Requires="wps">
            <w:drawing>
              <wp:anchor distT="0" distB="0" distL="114300" distR="114300" simplePos="0" relativeHeight="251668480" behindDoc="0" locked="0" layoutInCell="1" allowOverlap="1">
                <wp:simplePos x="0" y="0"/>
                <wp:positionH relativeFrom="column">
                  <wp:posOffset>1488440</wp:posOffset>
                </wp:positionH>
                <wp:positionV relativeFrom="paragraph">
                  <wp:posOffset>7521575</wp:posOffset>
                </wp:positionV>
                <wp:extent cx="1820545" cy="0"/>
                <wp:effectExtent l="0" t="4445" r="0" b="5080"/>
                <wp:wrapNone/>
                <wp:docPr id="975143455" name="直接连接符 18"/>
                <wp:cNvGraphicFramePr/>
                <a:graphic xmlns:a="http://schemas.openxmlformats.org/drawingml/2006/main">
                  <a:graphicData uri="http://schemas.microsoft.com/office/word/2010/wordprocessingShape">
                    <wps:wsp>
                      <wps:cNvCnPr/>
                      <wps:spPr>
                        <a:xfrm>
                          <a:off x="0" y="0"/>
                          <a:ext cx="1820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8" o:spid="_x0000_s1026" o:spt="20" style="position:absolute;left:0pt;margin-left:117.2pt;margin-top:592.25pt;height:0pt;width:143.35pt;z-index:251668480;mso-width-relative:page;mso-height-relative:page;" filled="f" stroked="t" coordsize="21600,21600" o:gfxdata="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2+VEdgAAAANAQAADwAAAAAAAAABACAAAAAiAAAAZHJzL2Rvd25yZXYueG1sUEsBAhQAFAAAAAgA&#10;h07iQJSfudbsAQAAugMAAA4AAAAAAAAAAQAgAAAAJwEAAGRycy9lMm9Eb2MueG1sUEsFBgAAAAAG&#10;AAYAWQEAAIUFA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color w:val="000000"/>
          <w:kern w:val="0"/>
          <w:sz w:val="21"/>
          <w:szCs w:val="21"/>
          <w:lang w:bidi="ar"/>
        </w:rPr>
        <w:t>国家卫生健康委员会临床检验中心新生儿遗传代谢病筛查室间质评委员会</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新生儿遗传代谢病筛查随访专家共识</w:t>
      </w:r>
      <w:r>
        <w:rPr>
          <w:rFonts w:ascii="Times New Roman" w:hAnsi="Times New Roman" w:eastAsia="宋体" w:cs="Times New Roman"/>
          <w:color w:val="000000"/>
          <w:kern w:val="0"/>
          <w:sz w:val="21"/>
          <w:szCs w:val="21"/>
          <w:lang w:bidi="ar"/>
        </w:rPr>
        <w:t xml:space="preserve">[J/OL]. </w:t>
      </w:r>
      <w:r>
        <w:rPr>
          <w:rFonts w:hint="eastAsia" w:ascii="Times New Roman" w:hAnsi="Times New Roman" w:eastAsia="宋体" w:cs="Times New Roman"/>
          <w:color w:val="000000"/>
          <w:kern w:val="0"/>
          <w:sz w:val="21"/>
          <w:szCs w:val="21"/>
          <w:lang w:bidi="ar"/>
        </w:rPr>
        <w:t>中华医学遗传学杂志</w:t>
      </w:r>
      <w:r>
        <w:rPr>
          <w:rFonts w:ascii="Times New Roman" w:hAnsi="Times New Roman" w:eastAsia="宋体" w:cs="Times New Roman"/>
          <w:color w:val="000000"/>
          <w:kern w:val="0"/>
          <w:sz w:val="21"/>
          <w:szCs w:val="21"/>
          <w:lang w:bidi="ar"/>
        </w:rPr>
        <w:t>, 2020, 37(4): 367-372.</w:t>
      </w:r>
    </w:p>
    <w:p w14:paraId="6DB47138">
      <w:pPr>
        <w:widowControl/>
        <w:numPr>
          <w:ilvl w:val="0"/>
          <w:numId w:val="2"/>
        </w:numPr>
        <w:jc w:val="both"/>
        <w:rPr>
          <w:rFonts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bidi="ar"/>
        </w:rPr>
        <w:t>中华医学会神经病学分会</w:t>
      </w:r>
      <w:r>
        <w:rPr>
          <w:rFonts w:ascii="Times New Roman" w:hAnsi="Times New Roman" w:eastAsia="宋体" w:cs="Times New Roman"/>
          <w:color w:val="000000"/>
          <w:kern w:val="0"/>
          <w:sz w:val="21"/>
          <w:szCs w:val="21"/>
          <w:lang w:bidi="ar"/>
        </w:rPr>
        <w:t>,</w:t>
      </w:r>
      <w:r>
        <w:rPr>
          <w:rFonts w:hint="eastAsia" w:ascii="Times New Roman" w:hAnsi="Times New Roman" w:eastAsia="宋体" w:cs="Times New Roman"/>
          <w:color w:val="000000"/>
          <w:kern w:val="0"/>
          <w:sz w:val="21"/>
          <w:szCs w:val="21"/>
          <w:lang w:bidi="ar"/>
        </w:rPr>
        <w:t>中华医学会神经病学分会神经遗传学组</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脊髓性肌萎缩症中国三级预防指南</w:t>
      </w:r>
      <w:r>
        <w:rPr>
          <w:rFonts w:ascii="Times New Roman" w:hAnsi="Times New Roman" w:eastAsia="宋体" w:cs="Times New Roman"/>
          <w:color w:val="000000"/>
          <w:kern w:val="0"/>
          <w:sz w:val="21"/>
          <w:szCs w:val="21"/>
          <w:lang w:bidi="ar"/>
        </w:rPr>
        <w:t xml:space="preserve">. </w:t>
      </w:r>
      <w:r>
        <w:rPr>
          <w:rFonts w:hint="eastAsia" w:ascii="Times New Roman" w:hAnsi="Times New Roman" w:eastAsia="宋体" w:cs="Times New Roman"/>
          <w:color w:val="000000"/>
          <w:kern w:val="0"/>
          <w:sz w:val="21"/>
          <w:szCs w:val="21"/>
          <w:lang w:bidi="ar"/>
        </w:rPr>
        <w:t>中华神经科杂志</w:t>
      </w:r>
      <w:r>
        <w:rPr>
          <w:rFonts w:ascii="Times New Roman" w:hAnsi="Times New Roman" w:eastAsia="宋体" w:cs="Times New Roman"/>
          <w:color w:val="000000"/>
          <w:kern w:val="0"/>
          <w:sz w:val="21"/>
          <w:szCs w:val="21"/>
          <w:lang w:bidi="ar"/>
        </w:rPr>
        <w:t>,2023,56(05):476-484.</w:t>
      </w:r>
    </w:p>
    <w:p w14:paraId="05611BF8">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Astrid ,Max B,Katharina D,et al.Effect of nusinersen on motor, respiratory and bulbar function in early-onset spinal muscular atrophy.Brain.2023,146(2):668-677.</w:t>
      </w:r>
    </w:p>
    <w:p w14:paraId="794EAD3E">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Crystal JJ,Eduardo FT,Basil TD.Challenges and opportunities in spinal muscular atrophy therapeutics.Lancet Neurol.2024,23(2):205-218.</w:t>
      </w:r>
    </w:p>
    <w:p w14:paraId="053C0062">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Erik L,Sophia A,Astrid P,et al.Caregiver Burden of Spinal Muscular Atrophy: A Systematic Review.Pharmacoeconomics.2023,41(3):275-293.</w:t>
      </w:r>
    </w:p>
    <w:p w14:paraId="041BA8EA">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John RB,John LP.A Paradigm Shift for the Management of Critically Ill Patients With Spinal Muscular Atrophy.Respir Care.2023,68(10):1481-1482.</w:t>
      </w:r>
    </w:p>
    <w:p w14:paraId="777C0A5D">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Jodi A,Aoife S,Gabriella Q,et al.Living with Dysphagia: A Survey Exploring the Experiences of Adults Living with Neuromuscular Disease and their Caregivers in the United Kingdom.J Neuromuscul Dis.2024,11(2): 389-410.</w:t>
      </w:r>
    </w:p>
    <w:p w14:paraId="24730741">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Laura I,Maja B,Joenna D.Experiences of Health Care and Psychosocial Needs in Parents of Children with Spinal Muscular Atrophy.Int J Environ Res Public Health.2023,20(7): 5360.</w:t>
      </w:r>
    </w:p>
    <w:p w14:paraId="34683DE3">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Victor DA,Basil TD,Ahmad AA,Life-Saving Treatments for Spinal Muscular Atrophy: Global Access and Availability.Neurol Clin Pract.2024,14(1)</w:t>
      </w:r>
      <w:commentRangeStart w:id="6"/>
      <w:r>
        <w:rPr>
          <w:rFonts w:ascii="Times New Roman" w:hAnsi="Times New Roman" w:eastAsia="宋体" w:cs="Times New Roman"/>
          <w:color w:val="000000"/>
          <w:kern w:val="0"/>
          <w:sz w:val="21"/>
          <w:szCs w:val="21"/>
          <w:lang w:bidi="ar"/>
        </w:rPr>
        <w:t>:e200224.</w:t>
      </w:r>
      <w:commentRangeEnd w:id="6"/>
      <w:r>
        <w:rPr>
          <w:rStyle w:val="18"/>
          <w:rFonts w:hint="eastAsia" w:ascii="Times New Roman" w:hAnsi="Times New Roman" w:eastAsia="宋体" w:cs="Times New Roman"/>
        </w:rPr>
        <w:commentReference w:id="6"/>
      </w:r>
    </w:p>
    <w:p w14:paraId="7F2CFD6E">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Vasantha LG,Miguel AF,Heinz J.New treatments in spinal muscular atrophy.Arch Dis Child.2023,108(7):511-517.</w:t>
      </w:r>
    </w:p>
    <w:p w14:paraId="5C590233">
      <w:pPr>
        <w:widowControl/>
        <w:numPr>
          <w:ilvl w:val="0"/>
          <w:numId w:val="2"/>
        </w:numPr>
        <w:jc w:val="both"/>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 xml:space="preserve">Yavuz S,Miraç Y,Serap T.Management of neurological problems in children on home invasive mechanical ventilation.Pediatr Pulmonol.2023 </w:t>
      </w:r>
      <w:commentRangeStart w:id="7"/>
      <w:r>
        <w:rPr>
          <w:rFonts w:ascii="Times New Roman" w:hAnsi="Times New Roman" w:eastAsia="宋体" w:cs="Times New Roman"/>
          <w:color w:val="000000"/>
          <w:kern w:val="0"/>
          <w:sz w:val="21"/>
          <w:szCs w:val="21"/>
          <w:lang w:bidi="ar"/>
        </w:rPr>
        <w:t>Dec 22.</w:t>
      </w:r>
      <w:commentRangeEnd w:id="7"/>
      <w:r>
        <w:rPr>
          <w:rStyle w:val="18"/>
          <w:rFonts w:hint="eastAsia" w:ascii="Times New Roman" w:hAnsi="Times New Roman" w:eastAsia="宋体" w:cs="Times New Roman"/>
        </w:rPr>
        <w:commentReference w:id="7"/>
      </w:r>
      <w:r>
        <w:rPr>
          <w:rFonts w:ascii="Times New Roman" w:hAnsi="Times New Roman" w:eastAsia="宋体" w:cs="Times New Roman"/>
        </w:rPr>
        <mc:AlternateContent>
          <mc:Choice Requires="wps">
            <w:drawing>
              <wp:anchor distT="0" distB="0" distL="114300" distR="114300" simplePos="0" relativeHeight="251671552" behindDoc="0" locked="0" layoutInCell="1" allowOverlap="1">
                <wp:simplePos x="0" y="0"/>
                <wp:positionH relativeFrom="column">
                  <wp:posOffset>1978025</wp:posOffset>
                </wp:positionH>
                <wp:positionV relativeFrom="paragraph">
                  <wp:posOffset>1352550</wp:posOffset>
                </wp:positionV>
                <wp:extent cx="1663700" cy="0"/>
                <wp:effectExtent l="0" t="4445" r="0" b="5080"/>
                <wp:wrapNone/>
                <wp:docPr id="1741427172" name="直接连接符 6"/>
                <wp:cNvGraphicFramePr/>
                <a:graphic xmlns:a="http://schemas.openxmlformats.org/drawingml/2006/main">
                  <a:graphicData uri="http://schemas.microsoft.com/office/word/2010/wordprocessingShape">
                    <wps:wsp>
                      <wps:cNvCnPr/>
                      <wps:spPr>
                        <a:xfrm>
                          <a:off x="0" y="0"/>
                          <a:ext cx="166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 o:spid="_x0000_s1026" o:spt="20" style="position:absolute;left:0pt;margin-left:155.75pt;margin-top:106.5pt;height:0pt;width:131pt;z-index:251671552;mso-width-relative:page;mso-height-relative:page;" filled="f" stroked="t" coordsize="21600,21600" o:gfxdata="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9YH&#10;79cAAAALAQAADwAAAAAAAAABACAAAAAiAAAAZHJzL2Rvd25yZXYueG1sUEsBAhQAFAAAAAgAh07i&#10;QLQFabDqAQAAugMAAA4AAAAAAAAAAQAgAAAAJgEAAGRycy9lMm9Eb2MueG1sUEsFBgAAAAAGAAYA&#10;WQEAAIIFAAAAAA==&#10;">
                <v:fill on="f" focussize="0,0"/>
                <v:stroke weight="0.5pt" color="#000000 [3200]" miterlimit="8" joinstyle="miter"/>
                <v:imagedata o:title=""/>
                <o:lock v:ext="edit" aspectratio="f"/>
              </v:line>
            </w:pict>
          </mc:Fallback>
        </mc:AlternateContent>
      </w:r>
    </w:p>
    <w:p w14:paraId="1BFA56AF">
      <w:pPr>
        <w:widowControl/>
        <w:numPr>
          <w:ilvl w:val="0"/>
          <w:numId w:val="0"/>
        </w:numPr>
        <w:jc w:val="both"/>
        <w:rPr>
          <w:rFonts w:ascii="Times New Roman" w:hAnsi="Times New Roman" w:eastAsia="宋体" w:cs="Times New Roman"/>
          <w:szCs w:val="21"/>
        </w:rPr>
      </w:pPr>
    </w:p>
    <w:sectPr>
      <w:pgSz w:w="11905" w:h="16838"/>
      <w:pgMar w:top="1417" w:right="1134" w:bottom="1134" w:left="1417" w:header="0" w:footer="0" w:gutter="0"/>
      <w:paperSrc/>
      <w:pgNumType w:fmt="decimal"/>
      <w:cols w:space="0" w:num="1"/>
      <w:titlePg/>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腾 王" w:date="2025-07-17T21:09:00Z" w:initials="">
    <w:p w14:paraId="76F46DE6">
      <w:pPr>
        <w:pStyle w:val="3"/>
        <w:rPr>
          <w:rFonts w:hint="eastAsia"/>
        </w:rPr>
      </w:pPr>
      <w:r>
        <w:rPr>
          <w:rFonts w:hint="eastAsia"/>
        </w:rPr>
        <w:t>建议删除，或放入引言部分</w:t>
      </w:r>
    </w:p>
  </w:comment>
  <w:comment w:id="1" w:author="腾 王" w:date="2025-07-17T21:41:00Z" w:initials="">
    <w:p w14:paraId="159EFBCE">
      <w:pPr>
        <w:pStyle w:val="3"/>
        <w:rPr>
          <w:rFonts w:hint="eastAsia"/>
        </w:rPr>
      </w:pPr>
      <w:r>
        <w:rPr>
          <w:rFonts w:hint="eastAsia"/>
        </w:rPr>
        <w:t>请按照“标准号+标准全称”的格式引用标准，非标准部分放入参考文献中</w:t>
      </w:r>
    </w:p>
  </w:comment>
  <w:comment w:id="2" w:author="腾 王" w:date="2025-07-17T21:40:00Z" w:initials="">
    <w:p w14:paraId="655DC3E7">
      <w:pPr>
        <w:pStyle w:val="3"/>
        <w:rPr>
          <w:rFonts w:hint="eastAsia"/>
        </w:rPr>
      </w:pPr>
      <w:bookmarkStart w:id="33" w:name="OLE_LINK4"/>
      <w:r>
        <w:rPr>
          <w:rFonts w:hint="eastAsia"/>
        </w:rPr>
        <w:t>请在正文部分至少引用1次</w:t>
      </w:r>
      <w:bookmarkEnd w:id="33"/>
    </w:p>
  </w:comment>
  <w:comment w:id="3" w:author="腾 王" w:date="2025-07-17T21:40:00Z" w:initials="">
    <w:p w14:paraId="451D4CE5">
      <w:pPr>
        <w:pStyle w:val="3"/>
        <w:rPr>
          <w:rFonts w:hint="eastAsia"/>
        </w:rPr>
      </w:pPr>
      <w:r>
        <w:rPr>
          <w:rFonts w:hint="eastAsia"/>
        </w:rPr>
        <w:t>请在正文部分至少引用1次</w:t>
      </w:r>
    </w:p>
  </w:comment>
  <w:comment w:id="4" w:author="腾 王" w:date="2025-07-17T21:40:00Z" w:initials="">
    <w:p w14:paraId="534A99AA">
      <w:pPr>
        <w:pStyle w:val="3"/>
        <w:rPr>
          <w:rFonts w:hint="eastAsia"/>
        </w:rPr>
      </w:pPr>
      <w:r>
        <w:rPr>
          <w:rFonts w:hint="eastAsia"/>
        </w:rPr>
        <w:t>请在正文部分至少引用1次</w:t>
      </w:r>
    </w:p>
  </w:comment>
  <w:comment w:id="5" w:author="腾 王" w:date="2025-07-17T21:41:00Z" w:initials="">
    <w:p w14:paraId="04164AB1">
      <w:pPr>
        <w:pStyle w:val="3"/>
        <w:rPr>
          <w:rFonts w:hint="eastAsia"/>
        </w:rPr>
      </w:pPr>
      <w:r>
        <w:rPr>
          <w:rFonts w:hint="eastAsia"/>
        </w:rPr>
        <w:t>请在正文部分至少引用1次</w:t>
      </w:r>
    </w:p>
  </w:comment>
  <w:comment w:id="6" w:author="腾 王" w:date="2025-07-17T21:30:00Z" w:initials="">
    <w:p w14:paraId="2E82989B">
      <w:pPr>
        <w:pStyle w:val="3"/>
        <w:rPr>
          <w:rFonts w:hint="eastAsia"/>
        </w:rPr>
      </w:pPr>
      <w:r>
        <w:rPr>
          <w:rFonts w:hint="eastAsia"/>
        </w:rPr>
        <w:t>请修改页码范围</w:t>
      </w:r>
    </w:p>
  </w:comment>
  <w:comment w:id="7" w:author="腾 王" w:date="2025-07-17T21:31:00Z" w:initials="">
    <w:p w14:paraId="55BBC3D9">
      <w:pPr>
        <w:pStyle w:val="3"/>
        <w:rPr>
          <w:rFonts w:hint="eastAsia"/>
        </w:rPr>
      </w:pPr>
      <w:r>
        <w:rPr>
          <w:rFonts w:hint="eastAsia"/>
        </w:rPr>
        <w:t>请修改卷号、期号、页码范围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F46DE6" w15:done="0"/>
  <w15:commentEx w15:paraId="159EFBCE" w15:done="0"/>
  <w15:commentEx w15:paraId="655DC3E7" w15:done="0"/>
  <w15:commentEx w15:paraId="451D4CE5" w15:done="0"/>
  <w15:commentEx w15:paraId="534A99AA" w15:done="0"/>
  <w15:commentEx w15:paraId="04164AB1" w15:done="0"/>
  <w15:commentEx w15:paraId="2E82989B" w15:done="0"/>
  <w15:commentEx w15:paraId="55BBC3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2783598"/>
      <w:docPartObj>
        <w:docPartGallery w:val="autotext"/>
      </w:docPartObj>
    </w:sdtPr>
    <w:sdtContent>
      <w:p w14:paraId="3D4CB740">
        <w:pPr>
          <w:pStyle w:val="8"/>
          <w:jc w:val="right"/>
          <w:rPr>
            <w:rFonts w:hint="eastAsia"/>
          </w:rPr>
        </w:pPr>
        <w:r>
          <w:fldChar w:fldCharType="begin"/>
        </w:r>
        <w:r>
          <w:instrText xml:space="preserve">PAGE   \* MERGEFORMAT</w:instrText>
        </w:r>
        <w:r>
          <w:fldChar w:fldCharType="separate"/>
        </w:r>
        <w:r>
          <w:rPr>
            <w:lang w:val="zh-CN"/>
          </w:rPr>
          <w:t>2</w:t>
        </w:r>
        <w:r>
          <w:fldChar w:fldCharType="end"/>
        </w:r>
      </w:p>
    </w:sdtContent>
  </w:sdt>
  <w:p w14:paraId="7FA02231">
    <w:pPr>
      <w:pStyle w:val="8"/>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B6D04">
    <w:pPr>
      <w:pStyle w:val="8"/>
      <w:jc w:val="left"/>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D7F8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60D7F8E">
                    <w:pPr>
                      <w:pStyle w:val="8"/>
                    </w:pPr>
                    <w:r>
                      <w:fldChar w:fldCharType="begin"/>
                    </w:r>
                    <w:r>
                      <w:instrText xml:space="preserve"> PAGE  \* MERGEFORMAT </w:instrText>
                    </w:r>
                    <w:r>
                      <w:fldChar w:fldCharType="separate"/>
                    </w:r>
                    <w:r>
                      <w:t>1</w:t>
                    </w:r>
                    <w:r>
                      <w:fldChar w:fldCharType="end"/>
                    </w:r>
                  </w:p>
                </w:txbxContent>
              </v:textbox>
            </v:shape>
          </w:pict>
        </mc:Fallback>
      </mc:AlternateContent>
    </w:r>
    <w:sdt>
      <w:sdtPr>
        <w:id w:val="147456666"/>
        <w:docPartObj>
          <w:docPartGallery w:val="autotext"/>
        </w:docPartObj>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5F7D">
    <w:pPr>
      <w:pStyle w:val="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9DF7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E9DF7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EA57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0C0F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C0C0F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B75F">
    <w:pPr>
      <w:pStyle w:val="8"/>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2374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E2374B">
                    <w:pPr>
                      <w:pStyle w:val="8"/>
                    </w:pPr>
                    <w:r>
                      <w:fldChar w:fldCharType="begin"/>
                    </w:r>
                    <w:r>
                      <w:instrText xml:space="preserve"> PAGE  \* MERGEFORMAT </w:instrText>
                    </w:r>
                    <w:r>
                      <w:fldChar w:fldCharType="separate"/>
                    </w:r>
                    <w:r>
                      <w:t>1</w:t>
                    </w:r>
                    <w:r>
                      <w:fldChar w:fldCharType="end"/>
                    </w:r>
                  </w:p>
                </w:txbxContent>
              </v:textbox>
            </v:shape>
          </w:pict>
        </mc:Fallback>
      </mc:AlternateContent>
    </w:r>
    <w:sdt>
      <w:sdtPr>
        <w:id w:val="147471198"/>
        <w:docPartObj>
          <w:docPartGallery w:val="autotext"/>
        </w:docPartObj>
      </w:sdt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59A6">
    <w:pPr>
      <w:pStyle w:val="8"/>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B790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6B790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530D6">
    <w:pPr>
      <w:pStyle w:val="8"/>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8A6D3">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58A6D3">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A419">
    <w:pPr>
      <w:pStyle w:val="8"/>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6F94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656F94B">
                    <w:pPr>
                      <w:pStyle w:val="8"/>
                    </w:pPr>
                    <w:r>
                      <w:fldChar w:fldCharType="begin"/>
                    </w:r>
                    <w:r>
                      <w:instrText xml:space="preserve"> PAGE  \* MERGEFORMAT </w:instrText>
                    </w:r>
                    <w:r>
                      <w:fldChar w:fldCharType="separate"/>
                    </w:r>
                    <w:r>
                      <w:t>1</w:t>
                    </w:r>
                    <w:r>
                      <w:fldChar w:fldCharType="end"/>
                    </w:r>
                  </w:p>
                </w:txbxContent>
              </v:textbox>
            </v:shape>
          </w:pict>
        </mc:Fallback>
      </mc:AlternateContent>
    </w:r>
    <w:sdt>
      <w:sdtPr>
        <w:id w:val="147466804"/>
        <w:docPartObj>
          <w:docPartGallery w:val="autotext"/>
        </w:docPartObj>
      </w:sdtP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3887">
    <w:pPr>
      <w:pStyle w:val="8"/>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C1AA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A2C1AA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42AD">
    <w:pPr>
      <w:pStyle w:val="8"/>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7BF2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27BF2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49788">
    <w:pPr>
      <w:pStyle w:val="9"/>
      <w:pBdr>
        <w:bottom w:val="none" w:color="auto" w:sz="0" w:space="0"/>
      </w:pBdr>
      <w:tabs>
        <w:tab w:val="left" w:pos="2027"/>
        <w:tab w:val="clear" w:pos="4153"/>
        <w:tab w:val="clear" w:pos="8306"/>
      </w:tabs>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DA59">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D6BD">
    <w:pPr>
      <w:pStyle w:val="9"/>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7776">
    <w:pPr>
      <w:pStyle w:val="9"/>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6D7D">
    <w:pPr>
      <w:pStyle w:val="9"/>
      <w:pBdr>
        <w:bottom w:val="none" w:color="auto" w:sz="0" w:space="1"/>
      </w:pBdr>
      <w:jc w:val="righ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29636">
    <w:pPr>
      <w:pStyle w:val="9"/>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3E7EE">
    <w:pPr>
      <w:pStyle w:val="9"/>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D79B">
    <w:pPr>
      <w:pStyle w:val="9"/>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A4BB0"/>
    <w:multiLevelType w:val="singleLevel"/>
    <w:tmpl w:val="B6FA4BB0"/>
    <w:lvl w:ilvl="0" w:tentative="0">
      <w:start w:val="1"/>
      <w:numFmt w:val="decimal"/>
      <w:lvlText w:val="[%1]"/>
      <w:lvlJc w:val="left"/>
      <w:pPr>
        <w:tabs>
          <w:tab w:val="left" w:pos="312"/>
        </w:tabs>
      </w:pPr>
    </w:lvl>
  </w:abstractNum>
  <w:abstractNum w:abstractNumId="1">
    <w:nsid w:val="513A75FB"/>
    <w:multiLevelType w:val="multilevel"/>
    <w:tmpl w:val="513A75FB"/>
    <w:lvl w:ilvl="0" w:tentative="0">
      <w:start w:val="1"/>
      <w:numFmt w:val="decimal"/>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 王">
    <w15:presenceInfo w15:providerId="Windows Live" w15:userId="2d0660523e5b4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1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M2E3NzE4MTZjZGRiMDBjZDE3MjdiNTAxYmUxMjAifQ=="/>
  </w:docVars>
  <w:rsids>
    <w:rsidRoot w:val="00F65994"/>
    <w:rsid w:val="000001AC"/>
    <w:rsid w:val="00006472"/>
    <w:rsid w:val="00006E41"/>
    <w:rsid w:val="00007DE9"/>
    <w:rsid w:val="00010525"/>
    <w:rsid w:val="00015237"/>
    <w:rsid w:val="000234D0"/>
    <w:rsid w:val="00023A86"/>
    <w:rsid w:val="000263CF"/>
    <w:rsid w:val="00030E07"/>
    <w:rsid w:val="00045B4D"/>
    <w:rsid w:val="00047DE2"/>
    <w:rsid w:val="0005094B"/>
    <w:rsid w:val="00050E7C"/>
    <w:rsid w:val="00067121"/>
    <w:rsid w:val="000714F0"/>
    <w:rsid w:val="00081A99"/>
    <w:rsid w:val="000826A8"/>
    <w:rsid w:val="00082E75"/>
    <w:rsid w:val="00083340"/>
    <w:rsid w:val="0008366D"/>
    <w:rsid w:val="00085340"/>
    <w:rsid w:val="00085E7D"/>
    <w:rsid w:val="00096A76"/>
    <w:rsid w:val="000A58A6"/>
    <w:rsid w:val="000A5BB7"/>
    <w:rsid w:val="000A6AB6"/>
    <w:rsid w:val="000A6E77"/>
    <w:rsid w:val="000B46E5"/>
    <w:rsid w:val="000C0630"/>
    <w:rsid w:val="000C7634"/>
    <w:rsid w:val="000C765A"/>
    <w:rsid w:val="000C76F2"/>
    <w:rsid w:val="000E54EC"/>
    <w:rsid w:val="000F0D61"/>
    <w:rsid w:val="000F0FF8"/>
    <w:rsid w:val="000F3E5D"/>
    <w:rsid w:val="000F65A6"/>
    <w:rsid w:val="000F7C61"/>
    <w:rsid w:val="000F7F36"/>
    <w:rsid w:val="001024AA"/>
    <w:rsid w:val="0012074C"/>
    <w:rsid w:val="00127AB1"/>
    <w:rsid w:val="00140A08"/>
    <w:rsid w:val="00150570"/>
    <w:rsid w:val="00154165"/>
    <w:rsid w:val="001548BB"/>
    <w:rsid w:val="00154A6C"/>
    <w:rsid w:val="001575CD"/>
    <w:rsid w:val="00162CC0"/>
    <w:rsid w:val="001634DC"/>
    <w:rsid w:val="00164A31"/>
    <w:rsid w:val="001660D5"/>
    <w:rsid w:val="001716BD"/>
    <w:rsid w:val="001729E9"/>
    <w:rsid w:val="00172DCF"/>
    <w:rsid w:val="001770B7"/>
    <w:rsid w:val="00186ED8"/>
    <w:rsid w:val="00195867"/>
    <w:rsid w:val="00195EFF"/>
    <w:rsid w:val="001A003B"/>
    <w:rsid w:val="001B211D"/>
    <w:rsid w:val="001B410C"/>
    <w:rsid w:val="001C32E8"/>
    <w:rsid w:val="001C40A0"/>
    <w:rsid w:val="001C4C76"/>
    <w:rsid w:val="001E5437"/>
    <w:rsid w:val="001F0D36"/>
    <w:rsid w:val="001F4287"/>
    <w:rsid w:val="00202DB2"/>
    <w:rsid w:val="0021449A"/>
    <w:rsid w:val="002161D4"/>
    <w:rsid w:val="00216C43"/>
    <w:rsid w:val="00222F39"/>
    <w:rsid w:val="00233710"/>
    <w:rsid w:val="002408BD"/>
    <w:rsid w:val="00246CA0"/>
    <w:rsid w:val="002550B8"/>
    <w:rsid w:val="002646E8"/>
    <w:rsid w:val="00266BAA"/>
    <w:rsid w:val="00267ACE"/>
    <w:rsid w:val="002725EE"/>
    <w:rsid w:val="00275618"/>
    <w:rsid w:val="0028571E"/>
    <w:rsid w:val="00285CF6"/>
    <w:rsid w:val="00286D02"/>
    <w:rsid w:val="002949D0"/>
    <w:rsid w:val="00295C12"/>
    <w:rsid w:val="002A0ED8"/>
    <w:rsid w:val="002A667B"/>
    <w:rsid w:val="002B163F"/>
    <w:rsid w:val="002B6424"/>
    <w:rsid w:val="002C1E4B"/>
    <w:rsid w:val="002C381F"/>
    <w:rsid w:val="002C3DDD"/>
    <w:rsid w:val="002C481A"/>
    <w:rsid w:val="002D5102"/>
    <w:rsid w:val="002D7532"/>
    <w:rsid w:val="002E0270"/>
    <w:rsid w:val="002E4135"/>
    <w:rsid w:val="002F5823"/>
    <w:rsid w:val="002F6669"/>
    <w:rsid w:val="002F6ADF"/>
    <w:rsid w:val="00303537"/>
    <w:rsid w:val="00316370"/>
    <w:rsid w:val="00321740"/>
    <w:rsid w:val="003279A4"/>
    <w:rsid w:val="00330A87"/>
    <w:rsid w:val="003325DD"/>
    <w:rsid w:val="00332A06"/>
    <w:rsid w:val="00334CBC"/>
    <w:rsid w:val="0034389A"/>
    <w:rsid w:val="00343C66"/>
    <w:rsid w:val="00355B57"/>
    <w:rsid w:val="00360044"/>
    <w:rsid w:val="00361836"/>
    <w:rsid w:val="003658D5"/>
    <w:rsid w:val="003658FB"/>
    <w:rsid w:val="00377487"/>
    <w:rsid w:val="003777C0"/>
    <w:rsid w:val="00382BDC"/>
    <w:rsid w:val="00390F1A"/>
    <w:rsid w:val="00394996"/>
    <w:rsid w:val="003A38EE"/>
    <w:rsid w:val="003A4BDE"/>
    <w:rsid w:val="003A7B37"/>
    <w:rsid w:val="003B4A4E"/>
    <w:rsid w:val="003B4CC5"/>
    <w:rsid w:val="003C66C0"/>
    <w:rsid w:val="003D4A2D"/>
    <w:rsid w:val="003E262B"/>
    <w:rsid w:val="003E5A38"/>
    <w:rsid w:val="003E6777"/>
    <w:rsid w:val="003E7B97"/>
    <w:rsid w:val="003F08C3"/>
    <w:rsid w:val="003F1574"/>
    <w:rsid w:val="003F335D"/>
    <w:rsid w:val="003F6E86"/>
    <w:rsid w:val="00403353"/>
    <w:rsid w:val="00410969"/>
    <w:rsid w:val="0041352E"/>
    <w:rsid w:val="004205B1"/>
    <w:rsid w:val="00420FAE"/>
    <w:rsid w:val="004247D3"/>
    <w:rsid w:val="004311DC"/>
    <w:rsid w:val="004429B3"/>
    <w:rsid w:val="00442B07"/>
    <w:rsid w:val="00450250"/>
    <w:rsid w:val="004504BE"/>
    <w:rsid w:val="00450C3D"/>
    <w:rsid w:val="00465158"/>
    <w:rsid w:val="004705E4"/>
    <w:rsid w:val="00480A4D"/>
    <w:rsid w:val="00485DBF"/>
    <w:rsid w:val="004866B0"/>
    <w:rsid w:val="004C1FB5"/>
    <w:rsid w:val="004D21DC"/>
    <w:rsid w:val="004E38E7"/>
    <w:rsid w:val="00502605"/>
    <w:rsid w:val="00525CDC"/>
    <w:rsid w:val="005313FE"/>
    <w:rsid w:val="005425E9"/>
    <w:rsid w:val="0055465F"/>
    <w:rsid w:val="0056494D"/>
    <w:rsid w:val="00564CF0"/>
    <w:rsid w:val="00583145"/>
    <w:rsid w:val="00586266"/>
    <w:rsid w:val="00594D4A"/>
    <w:rsid w:val="00597355"/>
    <w:rsid w:val="005A2545"/>
    <w:rsid w:val="005A321E"/>
    <w:rsid w:val="005B168F"/>
    <w:rsid w:val="005C127E"/>
    <w:rsid w:val="005C6963"/>
    <w:rsid w:val="005D5E8A"/>
    <w:rsid w:val="005D74D0"/>
    <w:rsid w:val="005E40C4"/>
    <w:rsid w:val="005F07AD"/>
    <w:rsid w:val="005F3A73"/>
    <w:rsid w:val="006026AE"/>
    <w:rsid w:val="0060414E"/>
    <w:rsid w:val="00623103"/>
    <w:rsid w:val="00624321"/>
    <w:rsid w:val="006277D7"/>
    <w:rsid w:val="00641188"/>
    <w:rsid w:val="0064250A"/>
    <w:rsid w:val="00644237"/>
    <w:rsid w:val="00651990"/>
    <w:rsid w:val="00652ED4"/>
    <w:rsid w:val="006534C9"/>
    <w:rsid w:val="0065566F"/>
    <w:rsid w:val="0065764D"/>
    <w:rsid w:val="00664EAC"/>
    <w:rsid w:val="0066696A"/>
    <w:rsid w:val="00673C9B"/>
    <w:rsid w:val="00676E3C"/>
    <w:rsid w:val="00677A34"/>
    <w:rsid w:val="006941E2"/>
    <w:rsid w:val="006A27DD"/>
    <w:rsid w:val="006A650F"/>
    <w:rsid w:val="006C0DAA"/>
    <w:rsid w:val="006D19C7"/>
    <w:rsid w:val="006D6C84"/>
    <w:rsid w:val="006E1C88"/>
    <w:rsid w:val="006F1219"/>
    <w:rsid w:val="006F2520"/>
    <w:rsid w:val="006F53A5"/>
    <w:rsid w:val="006F56C1"/>
    <w:rsid w:val="00707201"/>
    <w:rsid w:val="00713306"/>
    <w:rsid w:val="0071736C"/>
    <w:rsid w:val="007210D1"/>
    <w:rsid w:val="00722F15"/>
    <w:rsid w:val="00734196"/>
    <w:rsid w:val="007345A5"/>
    <w:rsid w:val="00740622"/>
    <w:rsid w:val="00741374"/>
    <w:rsid w:val="00741866"/>
    <w:rsid w:val="00742E1B"/>
    <w:rsid w:val="00744B12"/>
    <w:rsid w:val="00744C73"/>
    <w:rsid w:val="00745149"/>
    <w:rsid w:val="00750436"/>
    <w:rsid w:val="00757143"/>
    <w:rsid w:val="00767A8D"/>
    <w:rsid w:val="007704C0"/>
    <w:rsid w:val="00786B5F"/>
    <w:rsid w:val="00787A51"/>
    <w:rsid w:val="00790DEA"/>
    <w:rsid w:val="007B4D94"/>
    <w:rsid w:val="007B52A6"/>
    <w:rsid w:val="007B58AC"/>
    <w:rsid w:val="007B5B3E"/>
    <w:rsid w:val="007C3C57"/>
    <w:rsid w:val="007D587B"/>
    <w:rsid w:val="007D6883"/>
    <w:rsid w:val="007E142E"/>
    <w:rsid w:val="007E2B10"/>
    <w:rsid w:val="007E2C5B"/>
    <w:rsid w:val="007F019E"/>
    <w:rsid w:val="007F3F38"/>
    <w:rsid w:val="007F46DC"/>
    <w:rsid w:val="00804267"/>
    <w:rsid w:val="008117B1"/>
    <w:rsid w:val="00815D01"/>
    <w:rsid w:val="00824F5D"/>
    <w:rsid w:val="00830D0C"/>
    <w:rsid w:val="008368D1"/>
    <w:rsid w:val="00852ABF"/>
    <w:rsid w:val="00863B26"/>
    <w:rsid w:val="0086408B"/>
    <w:rsid w:val="00874C4E"/>
    <w:rsid w:val="00874E2C"/>
    <w:rsid w:val="008827EA"/>
    <w:rsid w:val="0089243F"/>
    <w:rsid w:val="0089271E"/>
    <w:rsid w:val="00892AE5"/>
    <w:rsid w:val="00896116"/>
    <w:rsid w:val="008A3625"/>
    <w:rsid w:val="008A664E"/>
    <w:rsid w:val="008B4FE0"/>
    <w:rsid w:val="008D225B"/>
    <w:rsid w:val="008D2C34"/>
    <w:rsid w:val="008D4108"/>
    <w:rsid w:val="008E0666"/>
    <w:rsid w:val="008E0BD8"/>
    <w:rsid w:val="008E7DAB"/>
    <w:rsid w:val="008F025E"/>
    <w:rsid w:val="008F1523"/>
    <w:rsid w:val="008F21C7"/>
    <w:rsid w:val="008F62F4"/>
    <w:rsid w:val="00902C9E"/>
    <w:rsid w:val="0090667E"/>
    <w:rsid w:val="0091763E"/>
    <w:rsid w:val="009219D9"/>
    <w:rsid w:val="009269E7"/>
    <w:rsid w:val="00931193"/>
    <w:rsid w:val="00936AD9"/>
    <w:rsid w:val="00941639"/>
    <w:rsid w:val="00942FA4"/>
    <w:rsid w:val="009443B8"/>
    <w:rsid w:val="00945C09"/>
    <w:rsid w:val="00946ACD"/>
    <w:rsid w:val="0095238A"/>
    <w:rsid w:val="00960E09"/>
    <w:rsid w:val="0096153D"/>
    <w:rsid w:val="00970F3A"/>
    <w:rsid w:val="00982737"/>
    <w:rsid w:val="00995645"/>
    <w:rsid w:val="00996802"/>
    <w:rsid w:val="009A3DC1"/>
    <w:rsid w:val="009A416C"/>
    <w:rsid w:val="009A7A07"/>
    <w:rsid w:val="009B6772"/>
    <w:rsid w:val="009D4165"/>
    <w:rsid w:val="009E40A2"/>
    <w:rsid w:val="009F197F"/>
    <w:rsid w:val="009F5211"/>
    <w:rsid w:val="009F7C3C"/>
    <w:rsid w:val="00A069C2"/>
    <w:rsid w:val="00A200BF"/>
    <w:rsid w:val="00A26905"/>
    <w:rsid w:val="00A41656"/>
    <w:rsid w:val="00A468A3"/>
    <w:rsid w:val="00A5310A"/>
    <w:rsid w:val="00A55D5E"/>
    <w:rsid w:val="00A648EB"/>
    <w:rsid w:val="00A70180"/>
    <w:rsid w:val="00A71D80"/>
    <w:rsid w:val="00A7600B"/>
    <w:rsid w:val="00A81140"/>
    <w:rsid w:val="00A83100"/>
    <w:rsid w:val="00A84E2F"/>
    <w:rsid w:val="00A84F88"/>
    <w:rsid w:val="00A856B5"/>
    <w:rsid w:val="00AA02E3"/>
    <w:rsid w:val="00AA2DA2"/>
    <w:rsid w:val="00AA4C01"/>
    <w:rsid w:val="00AA6596"/>
    <w:rsid w:val="00AA6C52"/>
    <w:rsid w:val="00AC2DA4"/>
    <w:rsid w:val="00AC778F"/>
    <w:rsid w:val="00AC7AE8"/>
    <w:rsid w:val="00AC7B64"/>
    <w:rsid w:val="00AD008C"/>
    <w:rsid w:val="00AD00DA"/>
    <w:rsid w:val="00AD38D7"/>
    <w:rsid w:val="00AE2462"/>
    <w:rsid w:val="00AE43C7"/>
    <w:rsid w:val="00AF278A"/>
    <w:rsid w:val="00B23FCF"/>
    <w:rsid w:val="00B24C7A"/>
    <w:rsid w:val="00B27852"/>
    <w:rsid w:val="00B30B4D"/>
    <w:rsid w:val="00B31F8C"/>
    <w:rsid w:val="00B33A2F"/>
    <w:rsid w:val="00B353FF"/>
    <w:rsid w:val="00B36312"/>
    <w:rsid w:val="00B3748B"/>
    <w:rsid w:val="00B437D9"/>
    <w:rsid w:val="00B5510E"/>
    <w:rsid w:val="00B57AA6"/>
    <w:rsid w:val="00B616FB"/>
    <w:rsid w:val="00B6276A"/>
    <w:rsid w:val="00B629AF"/>
    <w:rsid w:val="00B66606"/>
    <w:rsid w:val="00B7269C"/>
    <w:rsid w:val="00B7371B"/>
    <w:rsid w:val="00B82470"/>
    <w:rsid w:val="00B8540E"/>
    <w:rsid w:val="00B85742"/>
    <w:rsid w:val="00B90640"/>
    <w:rsid w:val="00B935EC"/>
    <w:rsid w:val="00B96B33"/>
    <w:rsid w:val="00BA20E6"/>
    <w:rsid w:val="00BA4125"/>
    <w:rsid w:val="00BA7AE4"/>
    <w:rsid w:val="00BB1362"/>
    <w:rsid w:val="00BB62F2"/>
    <w:rsid w:val="00BC1855"/>
    <w:rsid w:val="00BC3264"/>
    <w:rsid w:val="00BD51C6"/>
    <w:rsid w:val="00BE5612"/>
    <w:rsid w:val="00BE7603"/>
    <w:rsid w:val="00BE77DA"/>
    <w:rsid w:val="00BF1AD7"/>
    <w:rsid w:val="00BF4A8F"/>
    <w:rsid w:val="00C051B0"/>
    <w:rsid w:val="00C076F5"/>
    <w:rsid w:val="00C12ED8"/>
    <w:rsid w:val="00C23506"/>
    <w:rsid w:val="00C34D5B"/>
    <w:rsid w:val="00C40A05"/>
    <w:rsid w:val="00C43F65"/>
    <w:rsid w:val="00C55E18"/>
    <w:rsid w:val="00C676EE"/>
    <w:rsid w:val="00C71F0A"/>
    <w:rsid w:val="00C76AEA"/>
    <w:rsid w:val="00C8314B"/>
    <w:rsid w:val="00C84427"/>
    <w:rsid w:val="00C878BD"/>
    <w:rsid w:val="00C93D72"/>
    <w:rsid w:val="00C93E74"/>
    <w:rsid w:val="00C94F69"/>
    <w:rsid w:val="00CA3009"/>
    <w:rsid w:val="00CA3BAE"/>
    <w:rsid w:val="00CA5273"/>
    <w:rsid w:val="00CB386D"/>
    <w:rsid w:val="00CB5483"/>
    <w:rsid w:val="00CB7918"/>
    <w:rsid w:val="00CC5797"/>
    <w:rsid w:val="00CC5EB8"/>
    <w:rsid w:val="00CD450A"/>
    <w:rsid w:val="00CE00F3"/>
    <w:rsid w:val="00CE03E2"/>
    <w:rsid w:val="00CE114C"/>
    <w:rsid w:val="00CE4688"/>
    <w:rsid w:val="00CE4A31"/>
    <w:rsid w:val="00CE6E1D"/>
    <w:rsid w:val="00CF56EB"/>
    <w:rsid w:val="00CF5CDE"/>
    <w:rsid w:val="00CF64F4"/>
    <w:rsid w:val="00CF7642"/>
    <w:rsid w:val="00D01D91"/>
    <w:rsid w:val="00D026AB"/>
    <w:rsid w:val="00D0282C"/>
    <w:rsid w:val="00D03D76"/>
    <w:rsid w:val="00D0732B"/>
    <w:rsid w:val="00D10722"/>
    <w:rsid w:val="00D12FC2"/>
    <w:rsid w:val="00D1300B"/>
    <w:rsid w:val="00D13160"/>
    <w:rsid w:val="00D23531"/>
    <w:rsid w:val="00D31F03"/>
    <w:rsid w:val="00D34C04"/>
    <w:rsid w:val="00D524BF"/>
    <w:rsid w:val="00D52DFD"/>
    <w:rsid w:val="00D55B19"/>
    <w:rsid w:val="00D5653C"/>
    <w:rsid w:val="00D653F3"/>
    <w:rsid w:val="00D715BD"/>
    <w:rsid w:val="00D73D0E"/>
    <w:rsid w:val="00D87936"/>
    <w:rsid w:val="00D9445D"/>
    <w:rsid w:val="00D964B1"/>
    <w:rsid w:val="00DA0E41"/>
    <w:rsid w:val="00DA1E36"/>
    <w:rsid w:val="00DA30D5"/>
    <w:rsid w:val="00DA4C87"/>
    <w:rsid w:val="00DA7416"/>
    <w:rsid w:val="00DB09C6"/>
    <w:rsid w:val="00DB0E68"/>
    <w:rsid w:val="00DB4046"/>
    <w:rsid w:val="00DC5415"/>
    <w:rsid w:val="00DC7EF4"/>
    <w:rsid w:val="00DD21CE"/>
    <w:rsid w:val="00DD4F93"/>
    <w:rsid w:val="00DD539C"/>
    <w:rsid w:val="00DD656F"/>
    <w:rsid w:val="00DE6FB4"/>
    <w:rsid w:val="00DE746C"/>
    <w:rsid w:val="00DF19AD"/>
    <w:rsid w:val="00DF3A8A"/>
    <w:rsid w:val="00DF7BE1"/>
    <w:rsid w:val="00E02073"/>
    <w:rsid w:val="00E0644B"/>
    <w:rsid w:val="00E12431"/>
    <w:rsid w:val="00E15D51"/>
    <w:rsid w:val="00E15E1F"/>
    <w:rsid w:val="00E20827"/>
    <w:rsid w:val="00E26362"/>
    <w:rsid w:val="00E26E99"/>
    <w:rsid w:val="00E3512F"/>
    <w:rsid w:val="00E41CA0"/>
    <w:rsid w:val="00E426BB"/>
    <w:rsid w:val="00E44023"/>
    <w:rsid w:val="00E50FC8"/>
    <w:rsid w:val="00E67EF8"/>
    <w:rsid w:val="00E7339E"/>
    <w:rsid w:val="00E73B2F"/>
    <w:rsid w:val="00E83BB9"/>
    <w:rsid w:val="00EA0CEF"/>
    <w:rsid w:val="00EA155C"/>
    <w:rsid w:val="00EA6458"/>
    <w:rsid w:val="00EB5146"/>
    <w:rsid w:val="00EB575C"/>
    <w:rsid w:val="00EF0939"/>
    <w:rsid w:val="00EF3E15"/>
    <w:rsid w:val="00F006F4"/>
    <w:rsid w:val="00F06ABD"/>
    <w:rsid w:val="00F100D3"/>
    <w:rsid w:val="00F170F6"/>
    <w:rsid w:val="00F202D1"/>
    <w:rsid w:val="00F25E2F"/>
    <w:rsid w:val="00F26D55"/>
    <w:rsid w:val="00F27E1D"/>
    <w:rsid w:val="00F31497"/>
    <w:rsid w:val="00F314D2"/>
    <w:rsid w:val="00F316B5"/>
    <w:rsid w:val="00F33285"/>
    <w:rsid w:val="00F3781D"/>
    <w:rsid w:val="00F37E0D"/>
    <w:rsid w:val="00F40AEB"/>
    <w:rsid w:val="00F52952"/>
    <w:rsid w:val="00F569D6"/>
    <w:rsid w:val="00F61B48"/>
    <w:rsid w:val="00F65994"/>
    <w:rsid w:val="00F73996"/>
    <w:rsid w:val="00F828A3"/>
    <w:rsid w:val="00F86621"/>
    <w:rsid w:val="00F93CE5"/>
    <w:rsid w:val="00F967B7"/>
    <w:rsid w:val="00FA0E58"/>
    <w:rsid w:val="00FA171B"/>
    <w:rsid w:val="00FA36A8"/>
    <w:rsid w:val="00FA3962"/>
    <w:rsid w:val="00FB00AE"/>
    <w:rsid w:val="00FB61FF"/>
    <w:rsid w:val="00FC4C8A"/>
    <w:rsid w:val="00FC5835"/>
    <w:rsid w:val="00FD4CC3"/>
    <w:rsid w:val="00FD5639"/>
    <w:rsid w:val="00FE1564"/>
    <w:rsid w:val="00FE2E78"/>
    <w:rsid w:val="00FF070C"/>
    <w:rsid w:val="00FF2111"/>
    <w:rsid w:val="03E72B61"/>
    <w:rsid w:val="03F92894"/>
    <w:rsid w:val="0CB11F5E"/>
    <w:rsid w:val="0D4227D8"/>
    <w:rsid w:val="0E7B2823"/>
    <w:rsid w:val="10441BE8"/>
    <w:rsid w:val="11D3174D"/>
    <w:rsid w:val="13741F37"/>
    <w:rsid w:val="19FE255B"/>
    <w:rsid w:val="1DF213AE"/>
    <w:rsid w:val="1ECC0E79"/>
    <w:rsid w:val="21085384"/>
    <w:rsid w:val="235A6A54"/>
    <w:rsid w:val="25F3318F"/>
    <w:rsid w:val="272D447F"/>
    <w:rsid w:val="288D3427"/>
    <w:rsid w:val="2AC26814"/>
    <w:rsid w:val="32794A1C"/>
    <w:rsid w:val="33A61841"/>
    <w:rsid w:val="348E47AF"/>
    <w:rsid w:val="367D2D2D"/>
    <w:rsid w:val="39F03816"/>
    <w:rsid w:val="406B6E6D"/>
    <w:rsid w:val="40BF3F42"/>
    <w:rsid w:val="431A7B56"/>
    <w:rsid w:val="49613C65"/>
    <w:rsid w:val="592876B2"/>
    <w:rsid w:val="5936499E"/>
    <w:rsid w:val="5D5061F6"/>
    <w:rsid w:val="631F28F3"/>
    <w:rsid w:val="67310E46"/>
    <w:rsid w:val="70E873D5"/>
    <w:rsid w:val="74142D40"/>
    <w:rsid w:val="745E6FF3"/>
    <w:rsid w:val="753A180E"/>
    <w:rsid w:val="7C9A4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semiHidden/>
    <w:qFormat/>
    <w:uiPriority w:val="0"/>
    <w:rPr>
      <w:rFonts w:ascii="Arial" w:hAnsi="Arial" w:eastAsia="Arial" w:cs="Arial"/>
      <w:szCs w:val="21"/>
      <w:lang w:eastAsia="en-US"/>
    </w:r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6">
    <w:name w:val="Date"/>
    <w:basedOn w:val="1"/>
    <w:next w:val="1"/>
    <w:link w:val="28"/>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rPr>
  </w:style>
  <w:style w:type="paragraph" w:styleId="11">
    <w:name w:val="Subtitle"/>
    <w:basedOn w:val="1"/>
    <w:next w:val="1"/>
    <w:link w:val="31"/>
    <w:qFormat/>
    <w:uiPriority w:val="0"/>
    <w:pPr>
      <w:spacing w:before="120" w:after="120" w:line="312" w:lineRule="auto"/>
      <w:jc w:val="center"/>
      <w:outlineLvl w:val="1"/>
    </w:pPr>
    <w:rPr>
      <w:b/>
      <w:bCs/>
      <w:kern w:val="28"/>
      <w:szCs w:val="32"/>
    </w:rPr>
  </w:style>
  <w:style w:type="paragraph" w:styleId="12">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3">
    <w:name w:val="annotation subject"/>
    <w:basedOn w:val="3"/>
    <w:next w:val="3"/>
    <w:link w:val="27"/>
    <w:semiHidden/>
    <w:unhideWhenUsed/>
    <w:qFormat/>
    <w:uiPriority w:val="99"/>
    <w:rPr>
      <w:b/>
      <w:bCs/>
    </w:r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批注文字 字符"/>
    <w:basedOn w:val="15"/>
    <w:link w:val="3"/>
    <w:qFormat/>
    <w:uiPriority w:val="99"/>
    <w:rPr>
      <w:rFonts w:asciiTheme="minorHAnsi" w:hAnsiTheme="minorHAnsi" w:eastAsiaTheme="minorEastAsia" w:cstheme="minorBidi"/>
      <w:kern w:val="2"/>
      <w:sz w:val="21"/>
      <w:szCs w:val="22"/>
    </w:rPr>
  </w:style>
  <w:style w:type="character" w:customStyle="1" w:styleId="23">
    <w:name w:val="批注框文本 字符"/>
    <w:basedOn w:val="15"/>
    <w:link w:val="7"/>
    <w:semiHidden/>
    <w:qFormat/>
    <w:uiPriority w:val="99"/>
    <w:rPr>
      <w:rFonts w:asciiTheme="minorHAnsi" w:hAnsiTheme="minorHAnsi" w:eastAsiaTheme="minorEastAsia" w:cstheme="minorBidi"/>
      <w:kern w:val="2"/>
      <w:sz w:val="18"/>
      <w:szCs w:val="18"/>
    </w:rPr>
  </w:style>
  <w:style w:type="paragraph" w:customStyle="1" w:styleId="24">
    <w:name w:val="Table Text"/>
    <w:basedOn w:val="1"/>
    <w:semiHidden/>
    <w:qFormat/>
    <w:uiPriority w:val="0"/>
    <w:rPr>
      <w:rFonts w:ascii="宋体" w:hAnsi="宋体" w:eastAsia="宋体" w:cs="宋体"/>
      <w:szCs w:val="21"/>
      <w:lang w:eastAsia="en-US"/>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主题 字符"/>
    <w:basedOn w:val="22"/>
    <w:link w:val="13"/>
    <w:semiHidden/>
    <w:qFormat/>
    <w:uiPriority w:val="99"/>
    <w:rPr>
      <w:rFonts w:asciiTheme="minorHAnsi" w:hAnsiTheme="minorHAnsi" w:eastAsiaTheme="minorEastAsia" w:cstheme="minorBidi"/>
      <w:b/>
      <w:bCs/>
      <w:kern w:val="2"/>
      <w:sz w:val="21"/>
      <w:szCs w:val="22"/>
    </w:rPr>
  </w:style>
  <w:style w:type="character" w:customStyle="1" w:styleId="28">
    <w:name w:val="日期 字符"/>
    <w:basedOn w:val="15"/>
    <w:link w:val="6"/>
    <w:semiHidden/>
    <w:qFormat/>
    <w:uiPriority w:val="99"/>
    <w:rPr>
      <w:rFonts w:asciiTheme="minorHAnsi" w:hAnsiTheme="minorHAnsi" w:eastAsiaTheme="minorEastAsia" w:cstheme="minorBidi"/>
      <w:kern w:val="2"/>
      <w:sz w:val="21"/>
      <w:szCs w:val="22"/>
    </w:rPr>
  </w:style>
  <w:style w:type="character" w:customStyle="1" w:styleId="29">
    <w:name w:val="标题 1 字符"/>
    <w:basedOn w:val="15"/>
    <w:link w:val="2"/>
    <w:qFormat/>
    <w:uiPriority w:val="9"/>
    <w:rPr>
      <w:rFonts w:asciiTheme="minorHAnsi" w:hAnsiTheme="minorHAnsi" w:eastAsiaTheme="minorEastAsia" w:cstheme="minorBidi"/>
      <w:b/>
      <w:bCs/>
      <w:kern w:val="44"/>
      <w:sz w:val="44"/>
      <w:szCs w:val="44"/>
    </w:rPr>
  </w:style>
  <w:style w:type="paragraph" w:customStyle="1" w:styleId="3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1">
    <w:name w:val="副标题 字符"/>
    <w:basedOn w:val="15"/>
    <w:link w:val="11"/>
    <w:qFormat/>
    <w:uiPriority w:val="0"/>
    <w:rPr>
      <w:rFonts w:asciiTheme="minorHAnsi" w:hAnsiTheme="minorHAnsi" w:eastAsiaTheme="minorEastAsia" w:cstheme="minorBidi"/>
      <w:b/>
      <w:bCs/>
      <w:kern w:val="28"/>
      <w:sz w:val="21"/>
      <w:szCs w:val="32"/>
    </w:rPr>
  </w:style>
  <w:style w:type="character" w:customStyle="1" w:styleId="32">
    <w:name w:val="cf01"/>
    <w:basedOn w:val="15"/>
    <w:qFormat/>
    <w:uiPriority w:val="0"/>
    <w:rPr>
      <w:rFonts w:hint="eastAsia" w:ascii="Microsoft YaHei UI" w:hAnsi="Microsoft YaHei UI" w:eastAsia="Microsoft YaHei UI"/>
      <w:sz w:val="18"/>
      <w:szCs w:val="18"/>
    </w:rPr>
  </w:style>
  <w:style w:type="paragraph" w:customStyle="1" w:styleId="33">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4">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5">
    <w:name w:val="发布部门"/>
    <w:next w:val="1"/>
    <w:autoRedefine/>
    <w:qFormat/>
    <w:uiPriority w:val="0"/>
    <w:pPr>
      <w:framePr w:w="9416" w:h="1134" w:hRule="exact" w:hSpace="125" w:vSpace="181" w:wrap="around" w:vAnchor="page" w:hAnchor="page" w:x="1186" w:y="15631" w:anchorLock="1"/>
      <w:pBdr>
        <w:top w:val="single" w:color="auto" w:sz="4" w:space="1"/>
        <w:left w:val="none" w:color="auto" w:sz="0" w:space="4"/>
        <w:bottom w:val="none" w:color="auto" w:sz="0" w:space="1"/>
        <w:right w:val="none" w:color="auto" w:sz="0" w:space="4"/>
      </w:pBdr>
      <w:jc w:val="center"/>
    </w:pPr>
    <w:rPr>
      <w:rFonts w:ascii="黑体" w:hAnsi="黑体" w:eastAsia="黑体" w:cs="黑体"/>
      <w:bCs/>
      <w:spacing w:val="20"/>
      <w:sz w:val="28"/>
      <w:szCs w:val="28"/>
      <w:lang w:val="en-US" w:eastAsia="zh-CN" w:bidi="ar-SA"/>
    </w:rPr>
  </w:style>
  <w:style w:type="paragraph" w:customStyle="1" w:styleId="36">
    <w:name w:val="其他发布日期"/>
    <w:basedOn w:val="1"/>
    <w:autoRedefine/>
    <w:qFormat/>
    <w:uiPriority w:val="0"/>
    <w:pPr>
      <w:widowControl/>
      <w:jc w:val="left"/>
    </w:pPr>
    <w:rPr>
      <w:rFonts w:ascii="Times New Roman" w:hAnsi="Times New Roman" w:eastAsia="黑体" w:cs="Times New Roman"/>
      <w:kern w:val="0"/>
      <w:sz w:val="28"/>
      <w:szCs w:val="20"/>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47418-EDE3-410B-A03B-4652FB938CD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2169</Words>
  <Characters>2886</Characters>
  <Lines>96</Lines>
  <Paragraphs>27</Paragraphs>
  <TotalTime>5</TotalTime>
  <ScaleCrop>false</ScaleCrop>
  <LinksUpToDate>false</LinksUpToDate>
  <CharactersWithSpaces>3062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2025-07-07T14:26:00Z</dcterms:created>
  <dc:creator>27141</dc:creator>
  <cp:lastModifiedBy>张海洋</cp:lastModifiedBy>
  <dcterms:modified xsi:type="dcterms:W3CDTF">2025-08-04T01:38:14Z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AAE86C8A2E274DC0899CABE7F0E06BDF_12</vt:lpwstr>
  </property>
  <property fmtid="{D5CDD505-2E9C-101B-9397-08002B2CF9AE}" pid="4" name="KSOTemplateDocerSaveRecord">
    <vt:lpwstr>eyJoZGlkIjoiYTFiOTU5N2QyZWQ4YzQwYmY5MWRmZDcxMzY1YjhiZjciLCJ1c2VySWQiOiI1NTQ1MzI2MjYifQ==</vt:lpwstr>
  </property>
</Properties>
</file>