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D5DD9">
      <w:pPr>
        <w:spacing w:line="360" w:lineRule="auto"/>
        <w:ind w:firstLine="2240" w:firstLineChars="400"/>
        <w:rPr>
          <w:spacing w:val="20"/>
          <w:sz w:val="52"/>
          <w:szCs w:val="52"/>
        </w:rPr>
      </w:pPr>
    </w:p>
    <w:p w14:paraId="4AF62366">
      <w:pPr>
        <w:jc w:val="center"/>
        <w:rPr>
          <w:rFonts w:ascii="Times New Roman" w:hAnsi="Times New Roman" w:eastAsia="仿宋" w:cs="Times New Roman"/>
          <w:b/>
          <w:sz w:val="44"/>
          <w:szCs w:val="44"/>
        </w:rPr>
      </w:pPr>
      <w:r>
        <w:rPr>
          <w:rFonts w:hint="eastAsia" w:ascii="Times New Roman" w:hAnsi="Times New Roman" w:eastAsia="仿宋" w:cs="Times New Roman"/>
          <w:b/>
          <w:sz w:val="44"/>
          <w:szCs w:val="44"/>
        </w:rPr>
        <w:t>内蒙古标准化协会</w:t>
      </w:r>
    </w:p>
    <w:p w14:paraId="5FB8EA87">
      <w:pPr>
        <w:spacing w:line="360" w:lineRule="auto"/>
        <w:ind w:firstLine="602" w:firstLineChars="200"/>
        <w:jc w:val="center"/>
        <w:rPr>
          <w:rFonts w:hint="eastAsia" w:ascii="黑体" w:hAnsi="黑体" w:eastAsia="黑体" w:cs="黑体"/>
          <w:b/>
          <w:sz w:val="30"/>
          <w:szCs w:val="30"/>
        </w:rPr>
      </w:pPr>
    </w:p>
    <w:p w14:paraId="540A1B27">
      <w:pPr>
        <w:spacing w:line="360" w:lineRule="auto"/>
        <w:ind w:firstLine="602" w:firstLineChars="200"/>
        <w:jc w:val="center"/>
        <w:rPr>
          <w:rFonts w:hint="eastAsia" w:ascii="黑体" w:hAnsi="黑体" w:eastAsia="黑体" w:cs="黑体"/>
          <w:b/>
          <w:sz w:val="30"/>
          <w:szCs w:val="30"/>
        </w:rPr>
      </w:pPr>
    </w:p>
    <w:p w14:paraId="22C08667">
      <w:pPr>
        <w:jc w:val="center"/>
        <w:rPr>
          <w:rFonts w:ascii="Times New Roman" w:hAnsi="Times New Roman" w:eastAsia="仿宋" w:cs="Times New Roman"/>
          <w:b/>
          <w:sz w:val="44"/>
          <w:szCs w:val="44"/>
        </w:rPr>
      </w:pPr>
      <w:r>
        <w:rPr>
          <w:rFonts w:hint="eastAsia" w:ascii="Times New Roman" w:hAnsi="Times New Roman" w:eastAsia="仿宋" w:cs="Times New Roman"/>
          <w:b/>
          <w:sz w:val="44"/>
          <w:szCs w:val="44"/>
        </w:rPr>
        <w:t>《温室气体 产品碳足迹量化方法与要求</w:t>
      </w:r>
    </w:p>
    <w:p w14:paraId="5E65F5B5">
      <w:pPr>
        <w:spacing w:line="360" w:lineRule="auto"/>
        <w:jc w:val="center"/>
        <w:rPr>
          <w:rFonts w:hint="eastAsia" w:ascii="Times New Roman" w:hAnsi="Times New Roman" w:eastAsia="仿宋" w:cs="Times New Roman"/>
          <w:b/>
          <w:sz w:val="44"/>
          <w:szCs w:val="44"/>
        </w:rPr>
      </w:pPr>
      <w:r>
        <w:rPr>
          <w:rFonts w:hint="eastAsia" w:ascii="Times New Roman" w:hAnsi="Times New Roman" w:eastAsia="仿宋" w:cs="Times New Roman"/>
          <w:b/>
          <w:sz w:val="44"/>
          <w:szCs w:val="44"/>
        </w:rPr>
        <w:t>饲料产品》</w:t>
      </w:r>
    </w:p>
    <w:p w14:paraId="4EF0F216">
      <w:pPr>
        <w:spacing w:line="360" w:lineRule="auto"/>
        <w:jc w:val="center"/>
        <w:rPr>
          <w:rFonts w:ascii="Times New Roman" w:hAnsi="Times New Roman" w:eastAsia="仿宋" w:cs="Times New Roman"/>
          <w:b/>
          <w:sz w:val="44"/>
          <w:szCs w:val="44"/>
        </w:rPr>
      </w:pPr>
      <w:r>
        <w:rPr>
          <w:rFonts w:hint="eastAsia" w:ascii="Times New Roman" w:hAnsi="Times New Roman" w:eastAsia="仿宋" w:cs="Times New Roman"/>
          <w:b/>
          <w:sz w:val="44"/>
          <w:szCs w:val="44"/>
        </w:rPr>
        <w:t>（征求意见稿）</w:t>
      </w:r>
    </w:p>
    <w:p w14:paraId="0C841993">
      <w:pPr>
        <w:rPr>
          <w:rFonts w:ascii="Times New Roman" w:hAnsi="Times New Roman" w:eastAsia="仿宋" w:cs="Times New Roman"/>
          <w:b/>
          <w:sz w:val="44"/>
          <w:szCs w:val="44"/>
        </w:rPr>
      </w:pPr>
    </w:p>
    <w:p w14:paraId="42D5DF3D">
      <w:pPr>
        <w:jc w:val="center"/>
        <w:rPr>
          <w:rFonts w:ascii="Times New Roman" w:hAnsi="Times New Roman" w:eastAsia="仿宋" w:cs="Times New Roman"/>
          <w:b/>
          <w:sz w:val="44"/>
          <w:szCs w:val="44"/>
        </w:rPr>
      </w:pPr>
      <w:r>
        <w:rPr>
          <w:rFonts w:hint="eastAsia" w:ascii="Times New Roman" w:hAnsi="Times New Roman" w:eastAsia="仿宋" w:cs="Times New Roman"/>
          <w:b/>
          <w:sz w:val="44"/>
          <w:szCs w:val="44"/>
        </w:rPr>
        <w:t>编制说明</w:t>
      </w:r>
    </w:p>
    <w:p w14:paraId="21E201E7">
      <w:pPr>
        <w:spacing w:line="360" w:lineRule="auto"/>
        <w:ind w:firstLine="602" w:firstLineChars="200"/>
        <w:jc w:val="center"/>
        <w:rPr>
          <w:rFonts w:hint="eastAsia" w:ascii="黑体" w:hAnsi="黑体" w:eastAsia="黑体" w:cs="黑体"/>
          <w:b/>
          <w:sz w:val="30"/>
          <w:szCs w:val="30"/>
        </w:rPr>
      </w:pPr>
    </w:p>
    <w:p w14:paraId="766FAD1E">
      <w:pPr>
        <w:spacing w:line="360" w:lineRule="auto"/>
        <w:ind w:firstLine="602" w:firstLineChars="200"/>
        <w:jc w:val="center"/>
        <w:rPr>
          <w:rFonts w:hint="eastAsia" w:ascii="黑体" w:hAnsi="黑体" w:eastAsia="黑体" w:cs="黑体"/>
          <w:b/>
          <w:sz w:val="30"/>
          <w:szCs w:val="30"/>
        </w:rPr>
      </w:pPr>
    </w:p>
    <w:p w14:paraId="35514C90">
      <w:pPr>
        <w:spacing w:line="360" w:lineRule="auto"/>
        <w:ind w:firstLine="602" w:firstLineChars="200"/>
        <w:jc w:val="center"/>
        <w:rPr>
          <w:rFonts w:hint="eastAsia" w:ascii="黑体" w:hAnsi="黑体" w:eastAsia="黑体" w:cs="黑体"/>
          <w:b/>
          <w:sz w:val="30"/>
          <w:szCs w:val="30"/>
        </w:rPr>
      </w:pPr>
    </w:p>
    <w:p w14:paraId="0AF3031D">
      <w:pPr>
        <w:spacing w:line="360" w:lineRule="auto"/>
        <w:ind w:firstLine="602" w:firstLineChars="200"/>
        <w:jc w:val="center"/>
        <w:rPr>
          <w:rFonts w:hint="eastAsia" w:ascii="黑体" w:hAnsi="黑体" w:eastAsia="黑体" w:cs="黑体"/>
          <w:b/>
          <w:sz w:val="30"/>
          <w:szCs w:val="30"/>
        </w:rPr>
      </w:pPr>
    </w:p>
    <w:p w14:paraId="27CB1800">
      <w:pPr>
        <w:spacing w:line="360" w:lineRule="auto"/>
        <w:ind w:firstLine="602" w:firstLineChars="200"/>
        <w:jc w:val="center"/>
        <w:rPr>
          <w:rFonts w:hint="eastAsia" w:ascii="黑体" w:hAnsi="黑体" w:eastAsia="黑体" w:cs="黑体"/>
          <w:b/>
          <w:sz w:val="30"/>
          <w:szCs w:val="30"/>
        </w:rPr>
      </w:pPr>
    </w:p>
    <w:p w14:paraId="35646EC6">
      <w:pPr>
        <w:spacing w:line="360" w:lineRule="auto"/>
        <w:ind w:firstLine="602" w:firstLineChars="200"/>
        <w:jc w:val="center"/>
        <w:rPr>
          <w:rFonts w:hint="eastAsia" w:ascii="黑体" w:hAnsi="黑体" w:eastAsia="黑体" w:cs="黑体"/>
          <w:b/>
          <w:sz w:val="30"/>
          <w:szCs w:val="30"/>
        </w:rPr>
      </w:pPr>
    </w:p>
    <w:p w14:paraId="68FA734D">
      <w:pPr>
        <w:spacing w:line="360" w:lineRule="auto"/>
        <w:ind w:firstLine="602" w:firstLineChars="200"/>
        <w:jc w:val="center"/>
        <w:rPr>
          <w:rFonts w:hint="eastAsia" w:ascii="黑体" w:hAnsi="黑体" w:eastAsia="黑体" w:cs="黑体"/>
          <w:b/>
          <w:sz w:val="30"/>
          <w:szCs w:val="30"/>
        </w:rPr>
      </w:pPr>
    </w:p>
    <w:p w14:paraId="6B2634DA">
      <w:pPr>
        <w:spacing w:line="360" w:lineRule="auto"/>
        <w:ind w:firstLine="602" w:firstLineChars="200"/>
        <w:jc w:val="center"/>
        <w:rPr>
          <w:rFonts w:hint="eastAsia" w:ascii="黑体" w:hAnsi="黑体" w:eastAsia="黑体" w:cs="黑体"/>
          <w:b/>
          <w:sz w:val="30"/>
          <w:szCs w:val="30"/>
        </w:rPr>
      </w:pPr>
    </w:p>
    <w:p w14:paraId="33C66DE8">
      <w:pPr>
        <w:spacing w:line="360" w:lineRule="auto"/>
        <w:ind w:firstLine="602" w:firstLineChars="200"/>
        <w:jc w:val="center"/>
        <w:rPr>
          <w:rFonts w:hint="eastAsia" w:ascii="黑体" w:hAnsi="黑体" w:eastAsia="黑体" w:cs="黑体"/>
          <w:b/>
          <w:sz w:val="30"/>
          <w:szCs w:val="30"/>
        </w:rPr>
      </w:pPr>
    </w:p>
    <w:p w14:paraId="5E732789">
      <w:pPr>
        <w:spacing w:line="360" w:lineRule="auto"/>
        <w:ind w:firstLine="602" w:firstLineChars="200"/>
        <w:jc w:val="center"/>
        <w:rPr>
          <w:rFonts w:hint="eastAsia" w:ascii="黑体" w:hAnsi="黑体" w:eastAsia="黑体" w:cs="黑体"/>
          <w:b/>
          <w:sz w:val="30"/>
          <w:szCs w:val="30"/>
        </w:rPr>
      </w:pPr>
    </w:p>
    <w:p w14:paraId="02C08CD6">
      <w:pPr>
        <w:spacing w:line="360" w:lineRule="auto"/>
        <w:ind w:firstLine="602" w:firstLineChars="200"/>
        <w:jc w:val="center"/>
        <w:rPr>
          <w:rFonts w:hint="eastAsia" w:ascii="黑体" w:hAnsi="黑体" w:eastAsia="黑体" w:cs="黑体"/>
          <w:b/>
          <w:sz w:val="30"/>
          <w:szCs w:val="30"/>
        </w:rPr>
      </w:pPr>
    </w:p>
    <w:p w14:paraId="2FE7ADF5">
      <w:pPr>
        <w:jc w:val="center"/>
        <w:rPr>
          <w:rFonts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rPr>
        <w:t>内蒙古自治区农牧业技术推广中心</w:t>
      </w:r>
    </w:p>
    <w:p w14:paraId="66095D08">
      <w:pPr>
        <w:jc w:val="center"/>
        <w:rPr>
          <w:rFonts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rPr>
        <w:t>2025年5月</w:t>
      </w:r>
    </w:p>
    <w:p w14:paraId="1042E243">
      <w:pPr>
        <w:spacing w:line="360" w:lineRule="auto"/>
        <w:jc w:val="center"/>
        <w:rPr>
          <w:rFonts w:hint="eastAsia" w:ascii="宋体" w:hAnsi="宋体" w:eastAsia="宋体" w:cs="宋体"/>
          <w:b/>
          <w:bCs/>
          <w:color w:val="000000"/>
          <w:sz w:val="32"/>
          <w:szCs w:val="32"/>
        </w:rPr>
      </w:pPr>
    </w:p>
    <w:p w14:paraId="70EEDC75">
      <w:pPr>
        <w:spacing w:line="360" w:lineRule="auto"/>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《温室气体 产品碳足迹量化方法与要求</w:t>
      </w:r>
    </w:p>
    <w:p w14:paraId="168C7695">
      <w:pPr>
        <w:spacing w:line="360" w:lineRule="auto"/>
        <w:jc w:val="center"/>
        <w:rPr>
          <w:rFonts w:hint="eastAsia" w:ascii="宋体" w:hAnsi="宋体" w:eastAsia="宋体" w:cs="宋体"/>
          <w:b/>
          <w:bCs/>
          <w:color w:val="000000"/>
          <w:sz w:val="32"/>
          <w:szCs w:val="32"/>
        </w:rPr>
      </w:pPr>
      <w:r>
        <w:rPr>
          <w:rFonts w:hint="eastAsia" w:ascii="宋体" w:hAnsi="宋体" w:eastAsia="宋体" w:cs="宋体"/>
          <w:b/>
          <w:bCs/>
          <w:color w:val="000000"/>
          <w:sz w:val="32"/>
          <w:szCs w:val="32"/>
        </w:rPr>
        <w:t xml:space="preserve">     饲料产品》编制说明</w:t>
      </w:r>
    </w:p>
    <w:p w14:paraId="25ADF232">
      <w:pPr>
        <w:spacing w:line="360" w:lineRule="auto"/>
        <w:ind w:firstLine="600" w:firstLineChars="200"/>
        <w:rPr>
          <w:rFonts w:ascii="Times New Roman" w:hAnsi="Times New Roman" w:eastAsia="黑体" w:cs="Times New Roman"/>
          <w:bCs/>
          <w:sz w:val="30"/>
          <w:szCs w:val="30"/>
        </w:rPr>
      </w:pPr>
      <w:r>
        <w:rPr>
          <w:rFonts w:hint="eastAsia" w:ascii="Times New Roman" w:hAnsi="Times New Roman" w:eastAsia="黑体" w:cs="Times New Roman"/>
          <w:bCs/>
          <w:sz w:val="30"/>
          <w:szCs w:val="30"/>
        </w:rPr>
        <w:t>一、工作简况</w:t>
      </w:r>
    </w:p>
    <w:p w14:paraId="1D312742">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1.任务来源</w:t>
      </w:r>
    </w:p>
    <w:p w14:paraId="01BBC03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2025年4月21日内蒙古标准化协会对《温室气体产品碳足迹量化方法与要求饲料产品》团体标准进行了技术审查，经协会研讨与评审，批准立项。本标准由内蒙古自治区农牧业技术推广中心提出，内蒙古自治区饲料标准化技术委员会归口。</w:t>
      </w:r>
    </w:p>
    <w:p w14:paraId="1AC971B2">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2.起草单位及协作单位</w:t>
      </w:r>
    </w:p>
    <w:p w14:paraId="3D1B753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起草单位：内蒙古自治区农牧业技术推广中心</w:t>
      </w:r>
    </w:p>
    <w:p w14:paraId="616D58C9">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协作单位：内蒙古农业大学</w:t>
      </w:r>
      <w:r>
        <w:rPr>
          <w:rFonts w:hint="eastAsia" w:ascii="宋体" w:hAnsi="宋体" w:eastAsia="宋体" w:cs="Times New Roman"/>
          <w:sz w:val="24"/>
          <w:szCs w:val="24"/>
          <w:lang w:eastAsia="zh-CN"/>
        </w:rPr>
        <w:t>、</w:t>
      </w:r>
      <w:r>
        <w:rPr>
          <w:rFonts w:hint="eastAsia" w:ascii="宋体" w:hAnsi="宋体" w:eastAsia="宋体" w:cs="Times New Roman"/>
          <w:sz w:val="24"/>
          <w:szCs w:val="24"/>
        </w:rPr>
        <w:t>内蒙古财经大学</w:t>
      </w:r>
      <w:r>
        <w:rPr>
          <w:rFonts w:hint="eastAsia" w:ascii="宋体" w:hAnsi="宋体" w:eastAsia="宋体" w:cs="Times New Roman"/>
          <w:sz w:val="24"/>
          <w:szCs w:val="24"/>
          <w:lang w:eastAsia="zh-CN"/>
        </w:rPr>
        <w:t>、</w:t>
      </w:r>
      <w:r>
        <w:rPr>
          <w:rFonts w:hint="eastAsia" w:ascii="宋体" w:hAnsi="宋体" w:eastAsia="宋体" w:cs="Times New Roman"/>
          <w:sz w:val="24"/>
          <w:szCs w:val="24"/>
        </w:rPr>
        <w:t>内蒙古牧泉元兴饲料有限责任公司</w:t>
      </w:r>
      <w:r>
        <w:rPr>
          <w:rFonts w:hint="eastAsia" w:ascii="宋体" w:hAnsi="宋体" w:eastAsia="宋体" w:cs="Times New Roman"/>
          <w:sz w:val="24"/>
          <w:szCs w:val="24"/>
          <w:lang w:eastAsia="zh-CN"/>
        </w:rPr>
        <w:t>、</w:t>
      </w:r>
      <w:r>
        <w:rPr>
          <w:rFonts w:hint="eastAsia" w:ascii="宋体" w:hAnsi="宋体" w:eastAsia="宋体" w:cs="Times New Roman"/>
          <w:sz w:val="24"/>
          <w:szCs w:val="24"/>
        </w:rPr>
        <w:t>包头北辰饲料科技股份有限公司</w:t>
      </w:r>
      <w:r>
        <w:rPr>
          <w:rFonts w:hint="eastAsia" w:ascii="宋体" w:hAnsi="宋体" w:eastAsia="宋体" w:cs="Times New Roman"/>
          <w:sz w:val="24"/>
          <w:szCs w:val="24"/>
          <w:lang w:eastAsia="zh-CN"/>
        </w:rPr>
        <w:t>。</w:t>
      </w:r>
    </w:p>
    <w:p w14:paraId="3AF3F6A1">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3.主要起草人</w:t>
      </w:r>
    </w:p>
    <w:p w14:paraId="3C494FA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本标准主要起草人为：王永杰</w:t>
      </w:r>
      <w:r>
        <w:rPr>
          <w:rFonts w:hint="eastAsia" w:ascii="宋体" w:hAnsi="宋体" w:eastAsia="宋体" w:cs="Times New Roman"/>
          <w:sz w:val="24"/>
          <w:szCs w:val="24"/>
          <w:lang w:eastAsia="zh-CN"/>
        </w:rPr>
        <w:t>、</w:t>
      </w:r>
      <w:r>
        <w:rPr>
          <w:rFonts w:hint="eastAsia" w:ascii="宋体" w:hAnsi="宋体" w:eastAsia="宋体" w:cs="Times New Roman"/>
          <w:sz w:val="24"/>
          <w:szCs w:val="24"/>
        </w:rPr>
        <w:t>蔡婷</w:t>
      </w:r>
      <w:r>
        <w:rPr>
          <w:rFonts w:hint="eastAsia" w:ascii="宋体" w:hAnsi="宋体" w:eastAsia="宋体" w:cs="Times New Roman"/>
          <w:sz w:val="24"/>
          <w:szCs w:val="24"/>
          <w:lang w:eastAsia="zh-CN"/>
        </w:rPr>
        <w:t>、</w:t>
      </w:r>
      <w:r>
        <w:rPr>
          <w:rFonts w:hint="eastAsia" w:ascii="宋体" w:hAnsi="宋体" w:eastAsia="宋体" w:cs="Times New Roman"/>
          <w:sz w:val="24"/>
          <w:szCs w:val="24"/>
        </w:rPr>
        <w:t>海龙</w:t>
      </w:r>
      <w:r>
        <w:rPr>
          <w:rFonts w:hint="eastAsia" w:ascii="宋体" w:hAnsi="宋体" w:eastAsia="宋体" w:cs="Times New Roman"/>
          <w:sz w:val="24"/>
          <w:szCs w:val="24"/>
          <w:lang w:eastAsia="zh-CN"/>
        </w:rPr>
        <w:t>、</w:t>
      </w:r>
      <w:r>
        <w:rPr>
          <w:rFonts w:hint="eastAsia" w:ascii="宋体" w:hAnsi="宋体" w:eastAsia="宋体" w:cs="Times New Roman"/>
          <w:sz w:val="24"/>
          <w:szCs w:val="24"/>
        </w:rPr>
        <w:t>闫素梅</w:t>
      </w:r>
      <w:r>
        <w:rPr>
          <w:rFonts w:hint="eastAsia" w:ascii="宋体" w:hAnsi="宋体" w:eastAsia="宋体" w:cs="Times New Roman"/>
          <w:sz w:val="24"/>
          <w:szCs w:val="24"/>
          <w:lang w:eastAsia="zh-CN"/>
        </w:rPr>
        <w:t>、</w:t>
      </w:r>
      <w:r>
        <w:rPr>
          <w:rFonts w:hint="eastAsia" w:ascii="宋体" w:hAnsi="宋体" w:eastAsia="宋体" w:cs="Times New Roman"/>
          <w:sz w:val="24"/>
          <w:szCs w:val="24"/>
        </w:rPr>
        <w:t>王德平</w:t>
      </w:r>
      <w:r>
        <w:rPr>
          <w:rFonts w:hint="eastAsia" w:ascii="宋体" w:hAnsi="宋体" w:eastAsia="宋体" w:cs="Times New Roman"/>
          <w:sz w:val="24"/>
          <w:szCs w:val="24"/>
          <w:lang w:eastAsia="zh-CN"/>
        </w:rPr>
        <w:t>、</w:t>
      </w:r>
      <w:r>
        <w:rPr>
          <w:rFonts w:hint="eastAsia" w:ascii="宋体" w:hAnsi="宋体" w:eastAsia="宋体" w:cs="Times New Roman"/>
          <w:sz w:val="24"/>
          <w:szCs w:val="24"/>
        </w:rPr>
        <w:t>王鹏宇</w:t>
      </w:r>
      <w:r>
        <w:rPr>
          <w:rFonts w:hint="eastAsia" w:ascii="宋体" w:hAnsi="宋体" w:eastAsia="宋体" w:cs="Times New Roman"/>
          <w:sz w:val="24"/>
          <w:szCs w:val="24"/>
          <w:lang w:eastAsia="zh-CN"/>
        </w:rPr>
        <w:t>、</w:t>
      </w:r>
      <w:r>
        <w:rPr>
          <w:rFonts w:hint="eastAsia" w:ascii="宋体" w:hAnsi="宋体" w:eastAsia="宋体" w:cs="Times New Roman"/>
          <w:sz w:val="24"/>
          <w:szCs w:val="24"/>
        </w:rPr>
        <w:t>贾阳</w:t>
      </w:r>
      <w:r>
        <w:rPr>
          <w:rFonts w:hint="eastAsia" w:ascii="宋体" w:hAnsi="宋体" w:eastAsia="宋体" w:cs="Times New Roman"/>
          <w:sz w:val="24"/>
          <w:szCs w:val="24"/>
          <w:lang w:eastAsia="zh-CN"/>
        </w:rPr>
        <w:t>。</w:t>
      </w:r>
      <w:bookmarkStart w:id="6" w:name="_GoBack"/>
      <w:bookmarkEnd w:id="6"/>
      <w:r>
        <w:rPr>
          <w:rFonts w:hint="eastAsia" w:ascii="宋体" w:hAnsi="宋体" w:eastAsia="宋体" w:cs="Times New Roman"/>
          <w:sz w:val="24"/>
          <w:szCs w:val="24"/>
        </w:rPr>
        <w:t xml:space="preserve"> </w:t>
      </w:r>
    </w:p>
    <w:p w14:paraId="6380EF3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按照表中内容说明起草人分工安排</w:t>
      </w:r>
    </w:p>
    <w:p w14:paraId="6464EF82">
      <w:pPr>
        <w:spacing w:line="360" w:lineRule="auto"/>
        <w:ind w:firstLine="480" w:firstLineChars="200"/>
        <w:jc w:val="center"/>
        <w:rPr>
          <w:rFonts w:hint="eastAsia" w:ascii="黑体" w:hAnsi="黑体" w:eastAsia="黑体" w:cs="黑体"/>
          <w:sz w:val="24"/>
          <w:szCs w:val="24"/>
        </w:rPr>
      </w:pPr>
      <w:r>
        <w:rPr>
          <w:rFonts w:hint="eastAsia" w:ascii="黑体" w:hAnsi="黑体" w:eastAsia="黑体" w:cs="黑体"/>
          <w:sz w:val="24"/>
          <w:szCs w:val="24"/>
        </w:rPr>
        <w:t>表1标准参与编写人员及其所做的工作</w:t>
      </w:r>
    </w:p>
    <w:tbl>
      <w:tblPr>
        <w:tblStyle w:val="9"/>
        <w:tblW w:w="5000" w:type="pct"/>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332"/>
        <w:gridCol w:w="1983"/>
        <w:gridCol w:w="1427"/>
        <w:gridCol w:w="3780"/>
      </w:tblGrid>
      <w:tr w14:paraId="0921BCF6">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3" w:hRule="exact"/>
        </w:trPr>
        <w:tc>
          <w:tcPr>
            <w:tcW w:w="782" w:type="pct"/>
            <w:vAlign w:val="center"/>
          </w:tcPr>
          <w:p w14:paraId="0F453DB9">
            <w:pPr>
              <w:autoSpaceDE w:val="0"/>
              <w:autoSpaceDN w:val="0"/>
              <w:spacing w:after="0"/>
              <w:contextualSpacing/>
              <w:jc w:val="center"/>
              <w:rPr>
                <w:rFonts w:ascii="Times New Roman" w:hAnsi="Times New Roman" w:eastAsia="宋体" w:cs="Times New Roman"/>
                <w:b/>
                <w:bCs/>
                <w:color w:val="000000" w:themeColor="text1"/>
                <w:kern w:val="0"/>
                <w:sz w:val="22"/>
                <w14:textFill>
                  <w14:solidFill>
                    <w14:schemeClr w14:val="tx1"/>
                  </w14:solidFill>
                </w14:textFill>
              </w:rPr>
            </w:pPr>
            <w:r>
              <w:rPr>
                <w:rFonts w:hint="eastAsia" w:ascii="Times New Roman" w:hAnsi="Times New Roman" w:eastAsia="宋体" w:cs="Times New Roman"/>
                <w:b/>
                <w:bCs/>
                <w:color w:val="000000" w:themeColor="text1"/>
                <w:kern w:val="0"/>
                <w:sz w:val="22"/>
                <w14:textFill>
                  <w14:solidFill>
                    <w14:schemeClr w14:val="tx1"/>
                  </w14:solidFill>
                </w14:textFill>
              </w:rPr>
              <w:t>姓名</w:t>
            </w:r>
          </w:p>
        </w:tc>
        <w:tc>
          <w:tcPr>
            <w:tcW w:w="1163" w:type="pct"/>
            <w:vAlign w:val="center"/>
          </w:tcPr>
          <w:p w14:paraId="6E5DA078">
            <w:pPr>
              <w:autoSpaceDE w:val="0"/>
              <w:autoSpaceDN w:val="0"/>
              <w:spacing w:after="0"/>
              <w:contextualSpacing/>
              <w:jc w:val="center"/>
              <w:rPr>
                <w:rFonts w:ascii="Times New Roman" w:hAnsi="Times New Roman" w:eastAsia="宋体" w:cs="Times New Roman"/>
                <w:b/>
                <w:bCs/>
                <w:color w:val="000000" w:themeColor="text1"/>
                <w:kern w:val="0"/>
                <w:sz w:val="22"/>
                <w14:textFill>
                  <w14:solidFill>
                    <w14:schemeClr w14:val="tx1"/>
                  </w14:solidFill>
                </w14:textFill>
              </w:rPr>
            </w:pPr>
            <w:r>
              <w:rPr>
                <w:rFonts w:hint="eastAsia" w:ascii="Times New Roman" w:hAnsi="Times New Roman" w:eastAsia="宋体" w:cs="Times New Roman"/>
                <w:b/>
                <w:bCs/>
                <w:color w:val="000000" w:themeColor="text1"/>
                <w:kern w:val="0"/>
                <w:sz w:val="22"/>
                <w14:textFill>
                  <w14:solidFill>
                    <w14:schemeClr w14:val="tx1"/>
                  </w14:solidFill>
                </w14:textFill>
              </w:rPr>
              <w:t>工作单位</w:t>
            </w:r>
          </w:p>
        </w:tc>
        <w:tc>
          <w:tcPr>
            <w:tcW w:w="837" w:type="pct"/>
            <w:vAlign w:val="center"/>
          </w:tcPr>
          <w:p w14:paraId="18E219A0">
            <w:pPr>
              <w:autoSpaceDE w:val="0"/>
              <w:autoSpaceDN w:val="0"/>
              <w:spacing w:after="0"/>
              <w:contextualSpacing/>
              <w:jc w:val="center"/>
              <w:rPr>
                <w:rFonts w:ascii="Times New Roman" w:hAnsi="Times New Roman" w:eastAsia="宋体" w:cs="Times New Roman"/>
                <w:b/>
                <w:bCs/>
                <w:color w:val="000000" w:themeColor="text1"/>
                <w:kern w:val="0"/>
                <w:sz w:val="22"/>
                <w14:textFill>
                  <w14:solidFill>
                    <w14:schemeClr w14:val="tx1"/>
                  </w14:solidFill>
                </w14:textFill>
              </w:rPr>
            </w:pPr>
            <w:r>
              <w:rPr>
                <w:rFonts w:hint="eastAsia" w:ascii="Times New Roman" w:hAnsi="Times New Roman" w:eastAsia="宋体" w:cs="Times New Roman"/>
                <w:b/>
                <w:bCs/>
                <w:color w:val="000000" w:themeColor="text1"/>
                <w:kern w:val="0"/>
                <w:sz w:val="22"/>
                <w14:textFill>
                  <w14:solidFill>
                    <w14:schemeClr w14:val="tx1"/>
                  </w14:solidFill>
                </w14:textFill>
              </w:rPr>
              <w:t>职称</w:t>
            </w:r>
          </w:p>
        </w:tc>
        <w:tc>
          <w:tcPr>
            <w:tcW w:w="2217" w:type="pct"/>
            <w:vAlign w:val="center"/>
          </w:tcPr>
          <w:p w14:paraId="34FDD6AF">
            <w:pPr>
              <w:autoSpaceDE w:val="0"/>
              <w:autoSpaceDN w:val="0"/>
              <w:spacing w:after="0"/>
              <w:contextualSpacing/>
              <w:jc w:val="center"/>
              <w:rPr>
                <w:rFonts w:ascii="Times New Roman" w:hAnsi="Times New Roman" w:eastAsia="宋体" w:cs="Times New Roman"/>
                <w:b/>
                <w:bCs/>
                <w:color w:val="000000" w:themeColor="text1"/>
                <w:kern w:val="0"/>
                <w:sz w:val="22"/>
                <w14:textFill>
                  <w14:solidFill>
                    <w14:schemeClr w14:val="tx1"/>
                  </w14:solidFill>
                </w14:textFill>
              </w:rPr>
            </w:pPr>
            <w:r>
              <w:rPr>
                <w:rFonts w:hint="eastAsia" w:ascii="Times New Roman" w:hAnsi="Times New Roman" w:eastAsia="宋体" w:cs="Times New Roman"/>
                <w:b/>
                <w:bCs/>
                <w:color w:val="000000" w:themeColor="text1"/>
                <w:kern w:val="0"/>
                <w:sz w:val="22"/>
                <w14:textFill>
                  <w14:solidFill>
                    <w14:schemeClr w14:val="tx1"/>
                  </w14:solidFill>
                </w14:textFill>
              </w:rPr>
              <w:t>主要工作内容</w:t>
            </w:r>
          </w:p>
        </w:tc>
      </w:tr>
      <w:tr w14:paraId="327352D5">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6E5AE47C">
            <w:pPr>
              <w:autoSpaceDE w:val="0"/>
              <w:autoSpaceDN w:val="0"/>
              <w:spacing w:after="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1</w:t>
            </w:r>
          </w:p>
        </w:tc>
        <w:tc>
          <w:tcPr>
            <w:tcW w:w="1163" w:type="pct"/>
            <w:vAlign w:val="center"/>
          </w:tcPr>
          <w:p w14:paraId="2FFC4EF3">
            <w:pPr>
              <w:autoSpaceDE w:val="0"/>
              <w:autoSpaceDN w:val="0"/>
              <w:spacing w:after="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王永杰</w:t>
            </w:r>
          </w:p>
        </w:tc>
        <w:tc>
          <w:tcPr>
            <w:tcW w:w="837" w:type="pct"/>
            <w:vAlign w:val="center"/>
          </w:tcPr>
          <w:p w14:paraId="7D6D9B50">
            <w:pPr>
              <w:autoSpaceDE w:val="0"/>
              <w:autoSpaceDN w:val="0"/>
              <w:spacing w:after="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推广研究员</w:t>
            </w:r>
          </w:p>
        </w:tc>
        <w:tc>
          <w:tcPr>
            <w:tcW w:w="2217" w:type="pct"/>
            <w:vAlign w:val="center"/>
          </w:tcPr>
          <w:p w14:paraId="70EC4080">
            <w:pPr>
              <w:autoSpaceDE w:val="0"/>
              <w:autoSpaceDN w:val="0"/>
              <w:spacing w:after="0"/>
              <w:contextualSpacing/>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示例：</w:t>
            </w:r>
            <w:r>
              <w:rPr>
                <w:rFonts w:ascii="Times New Roman" w:hAnsi="Times New Roman" w:eastAsia="宋体" w:cs="Times New Roman"/>
                <w:color w:val="000000" w:themeColor="text1"/>
                <w:kern w:val="0"/>
                <w:sz w:val="22"/>
                <w:szCs w:val="28"/>
                <w14:textFill>
                  <w14:solidFill>
                    <w14:schemeClr w14:val="tx1"/>
                  </w14:solidFill>
                </w14:textFill>
              </w:rPr>
              <w:t>项目主持人</w:t>
            </w:r>
            <w:r>
              <w:rPr>
                <w:rFonts w:hint="eastAsia" w:ascii="Times New Roman" w:hAnsi="Times New Roman" w:eastAsia="宋体" w:cs="Times New Roman"/>
                <w:color w:val="000000" w:themeColor="text1"/>
                <w:kern w:val="0"/>
                <w:sz w:val="22"/>
                <w:szCs w:val="28"/>
                <w14:textFill>
                  <w14:solidFill>
                    <w14:schemeClr w14:val="tx1"/>
                  </w14:solidFill>
                </w14:textFill>
              </w:rPr>
              <w:t>，</w:t>
            </w:r>
            <w:r>
              <w:rPr>
                <w:rFonts w:ascii="Times New Roman" w:hAnsi="Times New Roman" w:eastAsia="宋体" w:cs="Times New Roman"/>
                <w:color w:val="000000" w:themeColor="text1"/>
                <w:kern w:val="0"/>
                <w:sz w:val="22"/>
                <w:szCs w:val="28"/>
                <w14:textFill>
                  <w14:solidFill>
                    <w14:schemeClr w14:val="tx1"/>
                  </w14:solidFill>
                </w14:textFill>
              </w:rPr>
              <w:t>负责方案设计</w:t>
            </w:r>
            <w:r>
              <w:rPr>
                <w:rFonts w:hint="eastAsia" w:ascii="Times New Roman" w:hAnsi="Times New Roman" w:eastAsia="宋体" w:cs="Times New Roman"/>
                <w:color w:val="000000" w:themeColor="text1"/>
                <w:kern w:val="0"/>
                <w:sz w:val="22"/>
                <w:szCs w:val="28"/>
                <w14:textFill>
                  <w14:solidFill>
                    <w14:schemeClr w14:val="tx1"/>
                  </w14:solidFill>
                </w14:textFill>
              </w:rPr>
              <w:t>，</w:t>
            </w:r>
            <w:r>
              <w:rPr>
                <w:rFonts w:ascii="Times New Roman" w:hAnsi="Times New Roman" w:eastAsia="宋体" w:cs="Times New Roman"/>
                <w:color w:val="000000" w:themeColor="text1"/>
                <w:kern w:val="0"/>
                <w:sz w:val="22"/>
                <w:szCs w:val="28"/>
                <w14:textFill>
                  <w14:solidFill>
                    <w14:schemeClr w14:val="tx1"/>
                  </w14:solidFill>
                </w14:textFill>
              </w:rPr>
              <w:t>标准编写</w:t>
            </w:r>
            <w:r>
              <w:rPr>
                <w:rFonts w:hint="eastAsia" w:ascii="Times New Roman" w:hAnsi="Times New Roman" w:eastAsia="宋体" w:cs="Times New Roman"/>
                <w:color w:val="000000" w:themeColor="text1"/>
                <w:kern w:val="0"/>
                <w:sz w:val="22"/>
                <w:szCs w:val="28"/>
                <w14:textFill>
                  <w14:solidFill>
                    <w14:schemeClr w14:val="tx1"/>
                  </w14:solidFill>
                </w14:textFill>
              </w:rPr>
              <w:t>、验证和修订。</w:t>
            </w:r>
          </w:p>
        </w:tc>
      </w:tr>
      <w:tr w14:paraId="1BE53FD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0D3D7140">
            <w:pPr>
              <w:autoSpaceDE w:val="0"/>
              <w:autoSpaceDN w:val="0"/>
              <w:spacing w:after="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2</w:t>
            </w:r>
          </w:p>
        </w:tc>
        <w:tc>
          <w:tcPr>
            <w:tcW w:w="1163" w:type="pct"/>
            <w:vAlign w:val="center"/>
          </w:tcPr>
          <w:p w14:paraId="092E5CC0">
            <w:pPr>
              <w:autoSpaceDE w:val="0"/>
              <w:autoSpaceDN w:val="0"/>
              <w:spacing w:after="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蔡婷</w:t>
            </w:r>
          </w:p>
        </w:tc>
        <w:tc>
          <w:tcPr>
            <w:tcW w:w="837" w:type="pct"/>
            <w:vAlign w:val="center"/>
          </w:tcPr>
          <w:p w14:paraId="52A8E394">
            <w:pPr>
              <w:autoSpaceDE w:val="0"/>
              <w:autoSpaceDN w:val="0"/>
              <w:spacing w:after="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高级畜牧师</w:t>
            </w:r>
          </w:p>
        </w:tc>
        <w:tc>
          <w:tcPr>
            <w:tcW w:w="2217" w:type="pct"/>
            <w:vAlign w:val="center"/>
          </w:tcPr>
          <w:p w14:paraId="342F7697">
            <w:pPr>
              <w:spacing w:after="0"/>
              <w:rPr>
                <w:rFonts w:eastAsia="宋体"/>
                <w:kern w:val="0"/>
                <w:sz w:val="22"/>
              </w:rPr>
            </w:pPr>
            <w:r>
              <w:rPr>
                <w:rFonts w:hint="eastAsia" w:ascii="Times New Roman" w:hAnsi="Times New Roman" w:eastAsia="宋体" w:cs="Times New Roman"/>
                <w:color w:val="000000" w:themeColor="text1"/>
                <w:kern w:val="0"/>
                <w:sz w:val="22"/>
                <w:szCs w:val="28"/>
                <w14:textFill>
                  <w14:solidFill>
                    <w14:schemeClr w14:val="tx1"/>
                  </w14:solidFill>
                </w14:textFill>
              </w:rPr>
              <w:t>示例：主要</w:t>
            </w:r>
            <w:r>
              <w:rPr>
                <w:rFonts w:ascii="Times New Roman" w:hAnsi="Times New Roman" w:eastAsia="宋体" w:cs="Times New Roman"/>
                <w:color w:val="000000" w:themeColor="text1"/>
                <w:kern w:val="0"/>
                <w:sz w:val="22"/>
                <w:szCs w:val="28"/>
                <w14:textFill>
                  <w14:solidFill>
                    <w14:schemeClr w14:val="tx1"/>
                  </w14:solidFill>
                </w14:textFill>
              </w:rPr>
              <w:t>参加人</w:t>
            </w:r>
            <w:r>
              <w:rPr>
                <w:rFonts w:hint="eastAsia" w:ascii="Times New Roman" w:hAnsi="Times New Roman" w:eastAsia="宋体" w:cs="Times New Roman"/>
                <w:color w:val="000000" w:themeColor="text1"/>
                <w:kern w:val="0"/>
                <w:sz w:val="22"/>
                <w:szCs w:val="28"/>
                <w14:textFill>
                  <w14:solidFill>
                    <w14:schemeClr w14:val="tx1"/>
                  </w14:solidFill>
                </w14:textFill>
              </w:rPr>
              <w:t>，</w:t>
            </w:r>
            <w:r>
              <w:rPr>
                <w:rFonts w:ascii="Times New Roman" w:hAnsi="Times New Roman" w:eastAsia="宋体" w:cs="Times New Roman"/>
                <w:color w:val="000000" w:themeColor="text1"/>
                <w:kern w:val="0"/>
                <w:sz w:val="22"/>
                <w:szCs w:val="28"/>
                <w14:textFill>
                  <w14:solidFill>
                    <w14:schemeClr w14:val="tx1"/>
                  </w14:solidFill>
                </w14:textFill>
              </w:rPr>
              <w:t>负责标准编写</w:t>
            </w:r>
            <w:r>
              <w:rPr>
                <w:rFonts w:hint="eastAsia" w:ascii="Times New Roman" w:hAnsi="Times New Roman" w:eastAsia="宋体" w:cs="Times New Roman"/>
                <w:color w:val="000000" w:themeColor="text1"/>
                <w:kern w:val="0"/>
                <w:sz w:val="22"/>
                <w:szCs w:val="28"/>
                <w14:textFill>
                  <w14:solidFill>
                    <w14:schemeClr w14:val="tx1"/>
                  </w14:solidFill>
                </w14:textFill>
              </w:rPr>
              <w:t>、验证和修订。</w:t>
            </w:r>
          </w:p>
        </w:tc>
      </w:tr>
      <w:tr w14:paraId="342F04DB">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44CE2146">
            <w:pPr>
              <w:autoSpaceDE w:val="0"/>
              <w:autoSpaceDN w:val="0"/>
              <w:spacing w:after="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3</w:t>
            </w:r>
          </w:p>
        </w:tc>
        <w:tc>
          <w:tcPr>
            <w:tcW w:w="1163" w:type="pct"/>
            <w:vAlign w:val="center"/>
          </w:tcPr>
          <w:p w14:paraId="32DF46EF">
            <w:pPr>
              <w:spacing w:after="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海龙</w:t>
            </w:r>
          </w:p>
        </w:tc>
        <w:tc>
          <w:tcPr>
            <w:tcW w:w="837" w:type="pct"/>
            <w:vAlign w:val="center"/>
          </w:tcPr>
          <w:p w14:paraId="3AB103C2">
            <w:pPr>
              <w:spacing w:after="0"/>
              <w:jc w:val="center"/>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畜牧师</w:t>
            </w:r>
          </w:p>
        </w:tc>
        <w:tc>
          <w:tcPr>
            <w:tcW w:w="2217" w:type="pct"/>
            <w:vAlign w:val="center"/>
          </w:tcPr>
          <w:p w14:paraId="33EA0783">
            <w:pPr>
              <w:spacing w:after="0"/>
              <w:rPr>
                <w:rFonts w:ascii="Times New Roman" w:hAnsi="Times New Roman" w:eastAsia="宋体" w:cs="Times New Roman"/>
                <w:color w:val="000000" w:themeColor="text1"/>
                <w:kern w:val="0"/>
                <w:sz w:val="22"/>
                <w:szCs w:val="28"/>
                <w14:textFill>
                  <w14:solidFill>
                    <w14:schemeClr w14:val="tx1"/>
                  </w14:solidFill>
                </w14:textFill>
              </w:rPr>
            </w:pPr>
            <w:r>
              <w:rPr>
                <w:rFonts w:hint="eastAsia" w:ascii="Times New Roman" w:hAnsi="Times New Roman" w:eastAsia="宋体" w:cs="Times New Roman"/>
                <w:color w:val="000000" w:themeColor="text1"/>
                <w:kern w:val="0"/>
                <w:sz w:val="22"/>
                <w:szCs w:val="28"/>
                <w14:textFill>
                  <w14:solidFill>
                    <w14:schemeClr w14:val="tx1"/>
                  </w14:solidFill>
                </w14:textFill>
              </w:rPr>
              <w:t>示例：主要参加人，参与标准的指标验证。</w:t>
            </w:r>
          </w:p>
        </w:tc>
      </w:tr>
      <w:tr w14:paraId="120113AE">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80" w:hRule="exact"/>
        </w:trPr>
        <w:tc>
          <w:tcPr>
            <w:tcW w:w="782" w:type="pct"/>
            <w:vAlign w:val="center"/>
          </w:tcPr>
          <w:p w14:paraId="0ADA1E5A">
            <w:pPr>
              <w:autoSpaceDE w:val="0"/>
              <w:autoSpaceDN w:val="0"/>
              <w:spacing w:after="80"/>
              <w:contextualSpacing/>
              <w:jc w:val="center"/>
              <w:rPr>
                <w:rFonts w:ascii="Times New Roman" w:hAnsi="Times New Roman" w:eastAsia="宋体" w:cs="Times New Roman"/>
                <w:color w:val="000000" w:themeColor="text1"/>
                <w:kern w:val="0"/>
                <w:sz w:val="22"/>
                <w:szCs w:val="28"/>
                <w14:textFill>
                  <w14:solidFill>
                    <w14:schemeClr w14:val="tx1"/>
                  </w14:solidFill>
                </w14:textFill>
              </w:rPr>
            </w:pPr>
            <w:r>
              <w:rPr>
                <w:rFonts w:ascii="Times New Roman" w:hAnsi="Times New Roman" w:eastAsia="宋体" w:cs="Times New Roman"/>
                <w:color w:val="000000" w:themeColor="text1"/>
                <w:kern w:val="0"/>
                <w:sz w:val="22"/>
                <w:szCs w:val="28"/>
                <w14:textFill>
                  <w14:solidFill>
                    <w14:schemeClr w14:val="tx1"/>
                  </w14:solidFill>
                </w14:textFill>
              </w:rPr>
              <w:t>…</w:t>
            </w:r>
          </w:p>
        </w:tc>
        <w:tc>
          <w:tcPr>
            <w:tcW w:w="1163" w:type="pct"/>
            <w:vAlign w:val="center"/>
          </w:tcPr>
          <w:p w14:paraId="6CCB1F89">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p>
        </w:tc>
        <w:tc>
          <w:tcPr>
            <w:tcW w:w="837" w:type="pct"/>
            <w:vAlign w:val="center"/>
          </w:tcPr>
          <w:p w14:paraId="4785B77E">
            <w:pPr>
              <w:spacing w:after="80"/>
              <w:jc w:val="center"/>
              <w:rPr>
                <w:rFonts w:ascii="Times New Roman" w:hAnsi="Times New Roman" w:eastAsia="宋体" w:cs="Times New Roman"/>
                <w:color w:val="000000" w:themeColor="text1"/>
                <w:kern w:val="0"/>
                <w:sz w:val="22"/>
                <w:szCs w:val="28"/>
                <w14:textFill>
                  <w14:solidFill>
                    <w14:schemeClr w14:val="tx1"/>
                  </w14:solidFill>
                </w14:textFill>
              </w:rPr>
            </w:pPr>
          </w:p>
        </w:tc>
        <w:tc>
          <w:tcPr>
            <w:tcW w:w="2217" w:type="pct"/>
            <w:vAlign w:val="center"/>
          </w:tcPr>
          <w:p w14:paraId="6FDD25D3">
            <w:pPr>
              <w:spacing w:after="80"/>
              <w:rPr>
                <w:rFonts w:ascii="Times New Roman" w:hAnsi="Times New Roman" w:eastAsia="宋体" w:cs="Times New Roman"/>
                <w:color w:val="000000" w:themeColor="text1"/>
                <w:kern w:val="0"/>
                <w:sz w:val="22"/>
                <w:szCs w:val="28"/>
                <w14:textFill>
                  <w14:solidFill>
                    <w14:schemeClr w14:val="tx1"/>
                  </w14:solidFill>
                </w14:textFill>
              </w:rPr>
            </w:pPr>
          </w:p>
        </w:tc>
      </w:tr>
    </w:tbl>
    <w:p w14:paraId="4E5CAFC9">
      <w:pPr>
        <w:spacing w:line="360" w:lineRule="auto"/>
        <w:ind w:firstLine="600" w:firstLineChars="200"/>
        <w:rPr>
          <w:rFonts w:ascii="Times New Roman" w:hAnsi="Times New Roman" w:eastAsia="黑体" w:cs="Times New Roman"/>
          <w:bCs/>
          <w:sz w:val="30"/>
          <w:szCs w:val="30"/>
        </w:rPr>
      </w:pPr>
      <w:r>
        <w:rPr>
          <w:rFonts w:hint="eastAsia" w:ascii="Times New Roman" w:hAnsi="Times New Roman" w:eastAsia="黑体" w:cs="Times New Roman"/>
          <w:bCs/>
          <w:sz w:val="30"/>
          <w:szCs w:val="30"/>
        </w:rPr>
        <w:t>二、制定标准的必要性和意义</w:t>
      </w:r>
    </w:p>
    <w:p w14:paraId="54D086FD">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2021年10月 24 日中共中央国务院发布了《中共中央国务院关于完整准确全面贯彻新发展理念做好碳达峰碳中和工作的意见》，提出了要完善标准计量体系。建立健全碳达峰、碳中和标准计量体系。加快完善地区、行业、企业、产品等碳排放核查核算报告标准，建立统一规范的碳核算体系。制定重点行业和产品GHG 排放标准，完善低碳产品标准标识制度。2021年10月26日国务院印发了《2030 年前碳达峰行动方案》，进一步提出了要推进农业农村减排固碳，要健全法律法规标准。建立重点企业碳排放核算、报告、核查等标准，探索建立重点产品全生命周期碳足迹标准。2023年11月13日，国家发展改革委印发了《关于加快建立产品碳足迹管理体系的意见》，2024年06月 04日，生态环境部等15 部委联合印发了《关于建立碳足迹管理体系的实施方案》,均明确提出完善重点产品碳足迹核算方法规则和标准体系。</w:t>
      </w:r>
    </w:p>
    <w:p w14:paraId="5ED7710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畜禽肉蛋奶为人民每天生活所必须，是关乎民生的重要产品。而饲料是畜牧业生产的物质基础，为畜禽提供能量、蛋白质、维生素等必备营养，直接决定畜产品的形成（如肉、蛋、奶等）。因此制定饲料产品碳足迹核算标准,应用碳足迹评价方法评估饲料企业、区域温室气体排放不仅可以判别温室气体排放的关键环节、减排潜力，挖掘低成本的减排机会，有效支撑农业农村温室气体减排、绿色低碳农业的发展。同时，饲料产品碳足迹的核算可为饲料产品碳标签的制定提供依据，为消费者选择低碳产品、加快形成绿。</w:t>
      </w:r>
    </w:p>
    <w:p w14:paraId="0A16E5B8">
      <w:pPr>
        <w:spacing w:line="360" w:lineRule="auto"/>
        <w:ind w:firstLine="600" w:firstLineChars="200"/>
        <w:rPr>
          <w:rFonts w:ascii="Times New Roman" w:hAnsi="Times New Roman" w:eastAsia="黑体" w:cs="Times New Roman"/>
          <w:bCs/>
          <w:sz w:val="30"/>
          <w:szCs w:val="30"/>
        </w:rPr>
      </w:pPr>
      <w:r>
        <w:rPr>
          <w:rFonts w:hint="eastAsia" w:ascii="Times New Roman" w:hAnsi="Times New Roman" w:eastAsia="黑体" w:cs="Times New Roman"/>
          <w:bCs/>
          <w:sz w:val="30"/>
          <w:szCs w:val="30"/>
        </w:rPr>
        <w:t>三、主要起草过程</w:t>
      </w:r>
    </w:p>
    <w:p w14:paraId="2B7779B8">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1.前期准备</w:t>
      </w:r>
    </w:p>
    <w:p w14:paraId="2185525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highlight w:val="yellow"/>
        </w:rPr>
        <w:t>（1）2024年1月至4月</w:t>
      </w:r>
      <w:r>
        <w:rPr>
          <w:rFonts w:hint="eastAsia" w:ascii="宋体" w:hAnsi="宋体" w:eastAsia="宋体" w:cs="Times New Roman"/>
          <w:sz w:val="24"/>
          <w:szCs w:val="24"/>
        </w:rPr>
        <w:t>，在内蒙古自治区农牧业技术推广中心的组织下，成立标准编制小组，工作组成员依据任务分工，开展了一系列资料收集工作，为标准起草提供参考。</w:t>
      </w:r>
    </w:p>
    <w:p w14:paraId="12B402C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在政策方面，收集并整理了2021年10月24日中共中央、国务院发布的《关于完整准确全面贯彻新发展理念做好碳达峰碳中和工作的意见》，2021年10月26日国务院印发的《2030年前碳达峰行动方案》，2023年中国农科院发布的中国农业绿色发展报告 2023，以及2023年11月13日国家发展改革委等部门发布的《关于加快建立产品碳足迹管理体系的意见》。通过对这些政策文件和报告的分析，明确了我国在建立符合国情的产品碳足迹管理体系、完善核算方法规则和标准体系、构建背景数据库以及推进碳标识认证制度建设等方面的要求，进而确定了饲料产品标准制定的内容和目标。</w:t>
      </w:r>
    </w:p>
    <w:p w14:paraId="1EDAA6B1">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在国内标准方面，收集梳理了《温室气体 产品碳足迹 量化要求和指南》（GB/T 24067—2024）、《环境管理 生命周期评价 原则与框架》（GB/T 24040—2008）、《温室气体 产品碳足迹量化方法与要求 畜产品》（GB/T 44903—2024）等已发布的国家和行业标准，了解其制定和应用情况。</w:t>
      </w:r>
    </w:p>
    <w:p w14:paraId="4539A27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在国际标准方面，收集总结了《Greenhouse gases - Carbon footprint of products - Requirements and guidelines for quantification》（ISO 14067）、Environmental management - Life cycle assessment - Principles and framework（ISO14040:2006）等与温室气体排放核算和报告相关的国际指南标准。</w:t>
      </w:r>
    </w:p>
    <w:p w14:paraId="4F1A00ED">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highlight w:val="none"/>
        </w:rPr>
        <w:t>（2）2024年</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11</w:t>
      </w:r>
      <w:r>
        <w:rPr>
          <w:rFonts w:hint="eastAsia" w:ascii="宋体" w:hAnsi="宋体" w:eastAsia="宋体" w:cs="Times New Roman"/>
          <w:sz w:val="24"/>
          <w:szCs w:val="24"/>
          <w:highlight w:val="none"/>
        </w:rPr>
        <w:t>月，</w:t>
      </w:r>
      <w:r>
        <w:rPr>
          <w:rFonts w:hint="eastAsia" w:ascii="宋体" w:hAnsi="宋体" w:eastAsia="宋体" w:cs="Times New Roman"/>
          <w:sz w:val="24"/>
          <w:szCs w:val="24"/>
        </w:rPr>
        <w:t>内蒙古自治区农牧业技术推广中心组织技术人员对饲料种植、加工及农资产品生产公司开展了“农资生产与运输阶段、饲料种植与收获阶段、饲料产品加工与运输”全链条调研，听取了参与单位对饲料产品碳足迹核算和报告的意见和建议。同时，在查阅、搜集国内外相关的技术资料基础上，根据实际生产的情况确定了相关内容和参数。</w:t>
      </w:r>
    </w:p>
    <w:p w14:paraId="33A25432">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2.组成标准起草组，制定工作方案</w:t>
      </w:r>
    </w:p>
    <w:p w14:paraId="7584E2A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202</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年1月，项目单位成立了标准编制组，主要由内蒙古自治区农牧业技术推广中心、内蒙古农业大学等单位相关人员组成,共同负责本文件起草工作，包括标准文献资料的收集、标准材料的起草及修改等工作，参与单位包头北辰饲料科技股份有限公司、内蒙古正大有限公司、内蒙古牧泉元兴饲料有限公司在碳足迹核算方面的企业内部规范，并开展相关内容的而验证工作，确保本文件科学性、可行性和可操作性。确定核算边界（农资生产→加工运输→产品出厂）、功能单位（1 吨商品饲料）。设计数据收集表格，规范排放因子来源（如 IPCC、生态环境部数据库、实测数据）。draft 公式（如农资阶段碳足迹 =Σ(原料开采 + 生产 + 运输排放 × 使用量)）。</w:t>
      </w:r>
    </w:p>
    <w:p w14:paraId="05F8B887">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3.完善标准内容，形成标准征求意见稿</w:t>
      </w:r>
    </w:p>
    <w:p w14:paraId="31CBD701">
      <w:pPr>
        <w:spacing w:line="360" w:lineRule="auto"/>
        <w:ind w:firstLine="480" w:firstLineChars="200"/>
        <w:rPr>
          <w:rFonts w:hint="eastAsia" w:ascii="仿宋" w:hAnsi="仿宋" w:eastAsia="仿宋"/>
          <w:bCs/>
          <w:sz w:val="28"/>
          <w:szCs w:val="28"/>
        </w:rPr>
      </w:pPr>
      <w:r>
        <w:rPr>
          <w:rFonts w:hint="eastAsia" w:ascii="宋体" w:hAnsi="宋体" w:eastAsia="宋体" w:cs="Times New Roman"/>
          <w:sz w:val="24"/>
          <w:szCs w:val="24"/>
        </w:rPr>
        <w:t>在以上收集和分析相关参考文献、调研的基础上，起草组根据 GB/T 1.1—2020《标准化工作导则 第1部分：标准化文件的结构和起草规则》的规则，与2025 年6月起草并形成了《饲料产品碳足迹核算和报告指南》标准征求意见稿及其编制说明。征求意见稿主要内容包括范围、规范性引用文件、术语和定义、原则、核算目的和范围的确定、核算步骤、数据收集与处理、数据核算方法、标准实施与监督和研究报告等10个章节。</w:t>
      </w:r>
    </w:p>
    <w:p w14:paraId="74041189">
      <w:pPr>
        <w:spacing w:line="360" w:lineRule="auto"/>
        <w:ind w:firstLine="570" w:firstLineChars="200"/>
        <w:rPr>
          <w:rFonts w:ascii="Times New Roman" w:hAnsi="Times New Roman" w:eastAsia="黑体" w:cs="Times New Roman"/>
          <w:bCs/>
          <w:w w:val="95"/>
          <w:sz w:val="30"/>
          <w:szCs w:val="30"/>
        </w:rPr>
      </w:pPr>
      <w:r>
        <w:rPr>
          <w:rFonts w:hint="eastAsia" w:ascii="Times New Roman" w:hAnsi="Times New Roman" w:eastAsia="黑体" w:cs="Times New Roman"/>
          <w:bCs/>
          <w:w w:val="95"/>
          <w:sz w:val="30"/>
          <w:szCs w:val="30"/>
        </w:rPr>
        <w:t>四、制定标准的原则和依据，与现行法律、法规、标准的关系</w:t>
      </w:r>
    </w:p>
    <w:p w14:paraId="5B219C3F">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1.编制原则</w:t>
      </w:r>
    </w:p>
    <w:p w14:paraId="3373F0E2">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国务院印发了《2030 年前碳达峰行动方案》，提出建立统一规范的碳排放统计核算体系，建立重点企业碳排放核算、报告、核查等标准，探索建立重点产品全生命周期碳足迹标准;国家发展改革委等部门发布了《关于加快建立产品碳足迹管理体系的意见》，提出建立符合国情实际的产品碳足迹管理体系，完善重点产品碳足迹核算方法规则和标准体系。本文件正是全区饲料建立碳足迹管理体系的指导性标准。</w:t>
      </w:r>
    </w:p>
    <w:p w14:paraId="01ECD955">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2.编制依据</w:t>
      </w:r>
    </w:p>
    <w:p w14:paraId="765A537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标准的编写工作严格按照《标准化工作导则第一部分:标准的结构和编写规则》(GB/T1.1-2020)给出的规则进行编制，对标准文件结构、要素及文字的描述，进行规范性修改。</w:t>
      </w:r>
    </w:p>
    <w:p w14:paraId="023FED6C">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3.与现行法律、法规、标准的关系</w:t>
      </w:r>
    </w:p>
    <w:p w14:paraId="69840AD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本标准在编制过程中，没有出现与现行有关法律、法规和国家、行业、地方标准相违背的情况。</w:t>
      </w:r>
    </w:p>
    <w:p w14:paraId="09A0ECAC">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4.与现行相关标准的联系</w:t>
      </w:r>
    </w:p>
    <w:p w14:paraId="7DA431B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未采用国际标准，国内目前发布了《产品碳足迹核算及林草碳汇碳中和技术规程》DB 1502/T 038-2025 ，但饲料产品尚未发布同类标准。</w:t>
      </w:r>
    </w:p>
    <w:p w14:paraId="1F13176A">
      <w:pPr>
        <w:spacing w:line="360" w:lineRule="auto"/>
        <w:ind w:firstLine="570" w:firstLineChars="200"/>
        <w:rPr>
          <w:rFonts w:ascii="Times New Roman" w:hAnsi="Times New Roman" w:eastAsia="黑体" w:cs="Times New Roman"/>
          <w:bCs/>
          <w:w w:val="95"/>
          <w:sz w:val="30"/>
          <w:szCs w:val="30"/>
        </w:rPr>
      </w:pPr>
      <w:r>
        <w:rPr>
          <w:rFonts w:hint="eastAsia" w:ascii="Times New Roman" w:hAnsi="Times New Roman" w:eastAsia="黑体" w:cs="Times New Roman"/>
          <w:bCs/>
          <w:w w:val="95"/>
          <w:sz w:val="30"/>
          <w:szCs w:val="30"/>
        </w:rPr>
        <w:t>五、主要条款的说明，主要技术指标、参数、试验验证的论述</w:t>
      </w:r>
    </w:p>
    <w:p w14:paraId="3A75F554">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1.主要条款说明</w:t>
      </w:r>
    </w:p>
    <w:p w14:paraId="5A517DB7">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（1）术语定义</w:t>
      </w:r>
    </w:p>
    <w:p w14:paraId="0350CC65">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4DBDFC48">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 xml:space="preserve">3.1　饲料产品 </w:t>
      </w:r>
    </w:p>
    <w:p w14:paraId="1BC8B8B7">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饲料原料、单一饲料、饲料添加剂、添加剂预混合饲料、配合饲料、浓缩饲料和精料补充料。</w:t>
      </w:r>
    </w:p>
    <w:p w14:paraId="0C843BD7">
      <w:pPr>
        <w:spacing w:line="360" w:lineRule="auto"/>
        <w:ind w:firstLine="482" w:firstLineChars="200"/>
        <w:rPr>
          <w:rFonts w:hint="eastAsia" w:ascii="楷体" w:hAnsi="楷体" w:eastAsia="楷体" w:cs="楷体"/>
          <w:b/>
          <w:bCs/>
          <w:sz w:val="24"/>
          <w:szCs w:val="24"/>
        </w:rPr>
      </w:pPr>
      <w:r>
        <w:rPr>
          <w:rFonts w:ascii="楷体" w:hAnsi="楷体" w:eastAsia="楷体" w:cs="楷体"/>
          <w:b/>
          <w:bCs/>
          <w:sz w:val="24"/>
          <w:szCs w:val="24"/>
        </w:rPr>
        <w:t>[</w:t>
      </w:r>
      <w:r>
        <w:rPr>
          <w:rFonts w:hint="eastAsia" w:ascii="楷体" w:hAnsi="楷体" w:eastAsia="楷体" w:cs="楷体"/>
          <w:b/>
          <w:bCs/>
          <w:sz w:val="24"/>
          <w:szCs w:val="24"/>
        </w:rPr>
        <w:t xml:space="preserve">来源: </w:t>
      </w:r>
      <w:r>
        <w:rPr>
          <w:rFonts w:ascii="楷体" w:hAnsi="楷体" w:eastAsia="楷体" w:cs="楷体"/>
          <w:b/>
          <w:bCs/>
          <w:sz w:val="24"/>
          <w:szCs w:val="24"/>
        </w:rPr>
        <w:t>DB 5304/T 0102—2024]</w:t>
      </w:r>
    </w:p>
    <w:p w14:paraId="1E36521D">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本术语采用饲料产品监督抽样工作规范</w:t>
      </w:r>
      <w:r>
        <w:rPr>
          <w:rFonts w:ascii="宋体" w:hAnsi="宋体" w:eastAsia="宋体" w:cs="Times New Roman"/>
          <w:sz w:val="24"/>
          <w:szCs w:val="24"/>
        </w:rPr>
        <w:t>DB 5304/T 0102—2024</w:t>
      </w:r>
      <w:r>
        <w:rPr>
          <w:rFonts w:hint="eastAsia" w:ascii="宋体" w:hAnsi="宋体" w:eastAsia="宋体" w:cs="Times New Roman"/>
          <w:sz w:val="24"/>
          <w:szCs w:val="24"/>
        </w:rPr>
        <w:t>中的定义，该标准中定义为“饲料原料、单一饲料、饲料添加剂、添加剂预混合饲料、配合饲料、浓缩饲料和精料补充料。”。</w:t>
      </w:r>
    </w:p>
    <w:p w14:paraId="24F8E00E">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7AB8316E">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3.2　产品碳足迹 carbon footprint of a product</w:t>
      </w:r>
    </w:p>
    <w:p w14:paraId="074D3995">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基于生命周期法评估得到的一个产品体系中对温室气体排放和清除的总和，以二氧化碳当量（CO₂eq）表示其结果</w:t>
      </w:r>
    </w:p>
    <w:p w14:paraId="38A6BCE8">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[来源: ISO 14067:2018]</w:t>
      </w:r>
    </w:p>
    <w:p w14:paraId="6FA9D776">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本术语采用《Greenhouse gases—Carbon footprint of products—Requirements and guide lines for quantification》ISO 14067:2018中的定义，该报告定义为“基于生命周期法评估得到的一个产品体系中对温室气体排放和清除的总和，以二氧化碳当量（CO₂eq）表示其结果。”。</w:t>
      </w:r>
    </w:p>
    <w:p w14:paraId="61BBB922">
      <w:pPr>
        <w:spacing w:line="360" w:lineRule="auto"/>
        <w:ind w:firstLine="480" w:firstLineChars="200"/>
        <w:rPr>
          <w:rFonts w:hint="eastAsia" w:ascii="宋体" w:hAnsi="宋体" w:eastAsia="宋体" w:cs="Times New Roman"/>
          <w:sz w:val="24"/>
          <w:szCs w:val="24"/>
        </w:rPr>
      </w:pPr>
    </w:p>
    <w:p w14:paraId="79BA4383">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79BCE396">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3.3　产品部分碳足迹 partial carbon footprint of a product</w:t>
      </w:r>
    </w:p>
    <w:p w14:paraId="5E73DA04">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产品碳足迹的一部分，是在产品系统的特定阶段或特定方面所产生的温室气体排放和清除量之和</w:t>
      </w:r>
    </w:p>
    <w:p w14:paraId="1D7FB448">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[来源: ISO 14067:2018]</w:t>
      </w:r>
    </w:p>
    <w:p w14:paraId="4733E60D">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本术语采用《Greenhouse gases—Carbon footprint of products—Requirements and guide lines for quantification》ISO 14067:2018中的定义，该报告定义为“产品碳足迹的一部分，是在产品系统的特定阶段或特定方面所产生的温室气体排放和清除量之和。”。</w:t>
      </w:r>
    </w:p>
    <w:p w14:paraId="2D0D6DE5">
      <w:pPr>
        <w:spacing w:line="360" w:lineRule="auto"/>
        <w:ind w:firstLine="562" w:firstLineChars="200"/>
        <w:rPr>
          <w:rFonts w:hint="eastAsia" w:ascii="仿宋" w:hAnsi="仿宋" w:eastAsia="仿宋"/>
          <w:b/>
          <w:sz w:val="28"/>
          <w:szCs w:val="28"/>
        </w:rPr>
      </w:pPr>
    </w:p>
    <w:p w14:paraId="773DB69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1593AFBB">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3.4　饲料产品碳足迹 partial carbon footprint of a product</w:t>
      </w:r>
    </w:p>
    <w:p w14:paraId="5DC954C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指饲料产品在“摇篮到大门”的生命周期内（从原料生产、加工、运输）所产生的温室气体排放总量，通常以二氧化碳当量（CO₂eq）表示</w:t>
      </w:r>
    </w:p>
    <w:p w14:paraId="0FC71B56">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本术语参照《Greenhouse gases—Carbon footprint of products—Requirements and guide lines for quantification》ISO 14067:2018中对产品碳足迹的定义，并结合饲料产品的生命周期范围进行定义。</w:t>
      </w:r>
    </w:p>
    <w:p w14:paraId="64706411">
      <w:pPr>
        <w:spacing w:line="360" w:lineRule="auto"/>
        <w:ind w:firstLine="562" w:firstLineChars="200"/>
        <w:rPr>
          <w:rFonts w:hint="eastAsia" w:ascii="仿宋" w:hAnsi="仿宋" w:eastAsia="仿宋"/>
          <w:b/>
          <w:sz w:val="28"/>
          <w:szCs w:val="28"/>
        </w:rPr>
      </w:pPr>
    </w:p>
    <w:p w14:paraId="46BBD85C">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2F6828C0">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3.5　系统边界 system boundary</w:t>
      </w:r>
    </w:p>
    <w:p w14:paraId="49F013BC">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通过一组准则确定哪些单元过程属于产品系统的一部分。</w:t>
      </w:r>
    </w:p>
    <w:p w14:paraId="1A31DFC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[来源:GB/T24067—2024,3.3.4]</w:t>
      </w:r>
    </w:p>
    <w:p w14:paraId="06638069">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本术语采用《温室气体 产品碳足迹 量化要求和指南》GB/T24067—2024,3.3.4中的定义，该标准定义为“通过一组准则确定哪些单元过程属于产品系统的一部分。”。</w:t>
      </w:r>
    </w:p>
    <w:p w14:paraId="3241F3D1">
      <w:pPr>
        <w:spacing w:line="360" w:lineRule="auto"/>
        <w:ind w:firstLine="562" w:firstLineChars="200"/>
        <w:rPr>
          <w:rFonts w:hint="eastAsia" w:ascii="仿宋" w:hAnsi="仿宋" w:eastAsia="仿宋"/>
          <w:b/>
          <w:sz w:val="28"/>
          <w:szCs w:val="28"/>
        </w:rPr>
      </w:pPr>
    </w:p>
    <w:p w14:paraId="27337131">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7B8A3D96">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3.6　生命周期 life cycle</w:t>
      </w:r>
    </w:p>
    <w:p w14:paraId="0169AD11">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产品系统中前后衔接的一系列阶段，从原材料获取或自然资源生成，直至最终处置。</w:t>
      </w:r>
    </w:p>
    <w:p w14:paraId="4E21052B">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[来源: ISO 14040:2006]</w:t>
      </w:r>
    </w:p>
    <w:p w14:paraId="63D031F7">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本术语采用《Environmental management — Life cycle assessment — Principles and framework》ISO 14040:2006的定义，该标准定义为“产品系统中前后衔接的一系列阶段，从原材料获取或自然资源生成，直至最终处置。”。</w:t>
      </w:r>
    </w:p>
    <w:p w14:paraId="4519B2E3">
      <w:pPr>
        <w:spacing w:line="360" w:lineRule="auto"/>
        <w:ind w:firstLine="562" w:firstLineChars="200"/>
        <w:rPr>
          <w:rFonts w:hint="eastAsia" w:ascii="仿宋" w:hAnsi="仿宋" w:eastAsia="仿宋"/>
          <w:b/>
          <w:sz w:val="28"/>
          <w:szCs w:val="28"/>
        </w:rPr>
      </w:pPr>
    </w:p>
    <w:p w14:paraId="05F0865C">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775F2D5E">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3.7　生命周期评价 life cycle assessment</w:t>
      </w:r>
    </w:p>
    <w:p w14:paraId="195C66F6">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对一个产品系统的生命周期中输入、输出及其潜在环境影响的汇编和评价。具体包括互相联系、不断重复进行的四个步骤：目的与范围的确定、清单分析、影响评价和结果解释。</w:t>
      </w:r>
    </w:p>
    <w:p w14:paraId="08E6AFEE">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[来源: ISO 14040:2006]</w:t>
      </w:r>
    </w:p>
    <w:p w14:paraId="14F7F8A8">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本术语采用</w:t>
      </w:r>
      <w:bookmarkStart w:id="0" w:name="_Hlk199866293"/>
      <w:r>
        <w:rPr>
          <w:rFonts w:hint="eastAsia" w:ascii="宋体" w:hAnsi="宋体" w:eastAsia="宋体" w:cs="Times New Roman"/>
          <w:sz w:val="24"/>
          <w:szCs w:val="24"/>
        </w:rPr>
        <w:t>《Environmental management — Life cycle assessment — Principles and framework》ISO 14040:2006</w:t>
      </w:r>
      <w:bookmarkEnd w:id="0"/>
      <w:r>
        <w:rPr>
          <w:rFonts w:hint="eastAsia" w:ascii="宋体" w:hAnsi="宋体" w:eastAsia="宋体" w:cs="Times New Roman"/>
          <w:sz w:val="24"/>
          <w:szCs w:val="24"/>
        </w:rPr>
        <w:t>的定义，该标准定义为“对一个产品系统的生命周期中输入、输出及其潜在环境影响的汇编和评价”。具体包括互相联系、不断重复进行的四个步骤：目的与范围的确定、清单分析、影响评价和结果解释。”。</w:t>
      </w:r>
    </w:p>
    <w:p w14:paraId="080B0B8B">
      <w:pPr>
        <w:spacing w:line="360" w:lineRule="auto"/>
        <w:ind w:firstLine="562" w:firstLineChars="200"/>
        <w:rPr>
          <w:rFonts w:hint="eastAsia" w:ascii="仿宋" w:hAnsi="仿宋" w:eastAsia="仿宋"/>
          <w:b/>
          <w:sz w:val="28"/>
          <w:szCs w:val="28"/>
        </w:rPr>
      </w:pPr>
    </w:p>
    <w:p w14:paraId="2AC6840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1CC4B52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3.8　温室气体 greenhouse gas</w:t>
      </w:r>
    </w:p>
    <w:p w14:paraId="416739A4">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自然或人为产生的，能够吸收和释放地球表面、大气本身和云所发射的陆地辐射谱段特定波长辐射的气体成分。</w:t>
      </w:r>
    </w:p>
    <w:p w14:paraId="301B2E8F">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[来源: IPCC]</w:t>
      </w:r>
    </w:p>
    <w:p w14:paraId="1DD5DF98">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注:本文件涉及的温室气体包含二氧化碳(CO2)、甲烷(CH4)和氧化亚氮(N2O)。</w:t>
      </w:r>
    </w:p>
    <w:p w14:paraId="30EF942D">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本术语采用《Climate Change 2023: Synthesis Report. Contribution of Working Groups I, II and III to the Sixth Assessment Report of the Intergovernmental Panel on Climate Change》IPCC2023的定义，该报告定义为“大气中自然或人为产生的气体成分，能够吸收并释放地表、大气和云发出的地面辐射光谱特定波长辐射。主要温室气体包括：二氧化碳（CO₂）、甲烷（CH₄）、氧化亚氮（N₂O）、氢氟碳化物（HFCs）、全氟化碳（PFCs）、六氟化硫（SF₆）和三氟化氮（NF₃）。”。</w:t>
      </w:r>
    </w:p>
    <w:p w14:paraId="72144089">
      <w:pPr>
        <w:spacing w:line="360" w:lineRule="auto"/>
        <w:ind w:firstLine="562" w:firstLineChars="200"/>
        <w:rPr>
          <w:rFonts w:hint="eastAsia" w:ascii="仿宋" w:hAnsi="仿宋" w:eastAsia="仿宋"/>
          <w:b/>
          <w:sz w:val="28"/>
          <w:szCs w:val="28"/>
        </w:rPr>
      </w:pPr>
    </w:p>
    <w:p w14:paraId="0DFCBED5">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3431BCFC">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3.9　温室气体排放因子 greenhouse gas emission factor</w:t>
      </w:r>
    </w:p>
    <w:p w14:paraId="732BCD96">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活动数据与温室气体排放相关的系数。</w:t>
      </w:r>
    </w:p>
    <w:p w14:paraId="727ADC9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[来源:GB/T24067—2024,3.2.7]</w:t>
      </w:r>
    </w:p>
    <w:p w14:paraId="6E6E6D3E">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本术语采用《温室气体 产品碳足迹 量化要求和指南》GB/T24067—2024,3.2.7中的定义，该标准定义为“活动数据与温室气体排放相关的系数。”。</w:t>
      </w:r>
    </w:p>
    <w:p w14:paraId="1D61C741">
      <w:pPr>
        <w:spacing w:line="360" w:lineRule="auto"/>
        <w:ind w:firstLine="562" w:firstLineChars="200"/>
        <w:rPr>
          <w:rFonts w:hint="eastAsia" w:ascii="仿宋" w:hAnsi="仿宋" w:eastAsia="仿宋"/>
          <w:b/>
          <w:sz w:val="28"/>
          <w:szCs w:val="28"/>
        </w:rPr>
      </w:pPr>
    </w:p>
    <w:p w14:paraId="4B25D976">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06145D56">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3.10　温室气体排放 greenhouse gas emission</w:t>
      </w:r>
    </w:p>
    <w:p w14:paraId="564D5B12">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特定时间段内，组织或项目边界内产生并释放到大气中的温室气体量</w:t>
      </w:r>
    </w:p>
    <w:p w14:paraId="70ABAF88">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[来源: ISO 14040:2006]</w:t>
      </w:r>
    </w:p>
    <w:p w14:paraId="0579E720">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本术语采用《Environmental management — Life cycle assessment — Principles and framework》ISO 14040:2006的定义，该标准定义为“特定时间段内，组织或项目边界内产生并释放到大气中的温室气体量。”。</w:t>
      </w:r>
    </w:p>
    <w:p w14:paraId="30A46DB3">
      <w:pPr>
        <w:spacing w:line="360" w:lineRule="auto"/>
        <w:ind w:firstLine="562" w:firstLineChars="200"/>
        <w:rPr>
          <w:rFonts w:hint="eastAsia" w:ascii="仿宋" w:hAnsi="仿宋" w:eastAsia="仿宋"/>
          <w:b/>
          <w:sz w:val="28"/>
          <w:szCs w:val="28"/>
        </w:rPr>
      </w:pPr>
    </w:p>
    <w:p w14:paraId="2F1132E9">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41DAE80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3.11　全球增温潜势 global warming potential</w:t>
      </w:r>
    </w:p>
    <w:p w14:paraId="0604A7D8">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一定时期（通常为100年）内，排放到大气中的 1 kg温室气体的辐射强迫与 1 kg二氧化碳的辐射强迫的比值。CO</w:t>
      </w:r>
      <w:r>
        <w:rPr>
          <w:rFonts w:hint="eastAsia" w:ascii="楷体" w:hAnsi="楷体" w:eastAsia="楷体" w:cs="楷体"/>
          <w:b/>
          <w:bCs/>
          <w:sz w:val="24"/>
          <w:szCs w:val="24"/>
          <w:vertAlign w:val="subscript"/>
        </w:rPr>
        <w:t>2</w:t>
      </w:r>
      <w:r>
        <w:rPr>
          <w:rFonts w:hint="eastAsia" w:ascii="楷体" w:hAnsi="楷体" w:eastAsia="楷体" w:cs="楷体"/>
          <w:b/>
          <w:bCs/>
          <w:sz w:val="24"/>
          <w:szCs w:val="24"/>
        </w:rPr>
        <w:t>为1，CH</w:t>
      </w:r>
      <w:r>
        <w:rPr>
          <w:rFonts w:hint="eastAsia" w:ascii="楷体" w:hAnsi="楷体" w:eastAsia="楷体" w:cs="楷体"/>
          <w:b/>
          <w:bCs/>
          <w:sz w:val="24"/>
          <w:szCs w:val="24"/>
          <w:vertAlign w:val="subscript"/>
        </w:rPr>
        <w:t>4</w:t>
      </w:r>
      <w:r>
        <w:rPr>
          <w:rFonts w:hint="eastAsia" w:ascii="楷体" w:hAnsi="楷体" w:eastAsia="楷体" w:cs="楷体"/>
          <w:b/>
          <w:bCs/>
          <w:sz w:val="24"/>
          <w:szCs w:val="24"/>
        </w:rPr>
        <w:t>为34，N</w:t>
      </w:r>
      <w:r>
        <w:rPr>
          <w:rFonts w:hint="eastAsia" w:ascii="楷体" w:hAnsi="楷体" w:eastAsia="楷体" w:cs="楷体"/>
          <w:b/>
          <w:bCs/>
          <w:sz w:val="24"/>
          <w:szCs w:val="24"/>
          <w:vertAlign w:val="subscript"/>
        </w:rPr>
        <w:t>2</w:t>
      </w:r>
      <w:r>
        <w:rPr>
          <w:rFonts w:hint="eastAsia" w:ascii="楷体" w:hAnsi="楷体" w:eastAsia="楷体" w:cs="楷体"/>
          <w:b/>
          <w:bCs/>
          <w:sz w:val="24"/>
          <w:szCs w:val="24"/>
        </w:rPr>
        <w:t>O为298。</w:t>
      </w:r>
    </w:p>
    <w:p w14:paraId="7BA7C5A2">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[来源: IPCC2023]</w:t>
      </w:r>
    </w:p>
    <w:p w14:paraId="6E55D295">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本术语采用《Climate Change 2023: Synthesis Report. Contribution of Working Groups I, II and III to the Sixth Assessment Report of the Intergovernmental Panel on Climate Change》IPCC2023的定义，该报告定义为“在一定时期（通常为100年）内，排放到大气中的1kg温室气体的辐射强迫与1kg二氧化碳的辐射强迫的比值。”。</w:t>
      </w:r>
    </w:p>
    <w:p w14:paraId="6D7C8C59">
      <w:pPr>
        <w:spacing w:line="360" w:lineRule="auto"/>
        <w:ind w:firstLine="562" w:firstLineChars="200"/>
        <w:rPr>
          <w:rFonts w:hint="eastAsia" w:ascii="仿宋" w:hAnsi="仿宋" w:eastAsia="仿宋"/>
          <w:b/>
          <w:sz w:val="28"/>
          <w:szCs w:val="28"/>
        </w:rPr>
      </w:pPr>
    </w:p>
    <w:p w14:paraId="5E2113A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35FC38C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3.12　二氧化碳当量 carbon dioxide equivalent</w:t>
      </w:r>
    </w:p>
    <w:p w14:paraId="281BD45C">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比较某种温室气体与二氧化碳的辐射强迫的单位。</w:t>
      </w:r>
    </w:p>
    <w:p w14:paraId="4EAE96A0">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[来源:GB/T24067—2024,3.2.2]</w:t>
      </w:r>
    </w:p>
    <w:p w14:paraId="1AD563BA">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本术语定义采用《温室气体 产品碳足迹 量化要求和指南》GB/T 24067-2024标准中3.2.2的定义，该标准定义为“比较某种GHG与二氧化碳的辐射强迫的单位。”。</w:t>
      </w:r>
    </w:p>
    <w:p w14:paraId="075F83C2">
      <w:pPr>
        <w:spacing w:line="360" w:lineRule="auto"/>
        <w:ind w:firstLine="482" w:firstLineChars="200"/>
        <w:rPr>
          <w:rFonts w:hint="eastAsia" w:ascii="楷体" w:hAnsi="楷体" w:eastAsia="楷体" w:cs="楷体"/>
          <w:b/>
          <w:bCs/>
          <w:sz w:val="24"/>
          <w:szCs w:val="24"/>
        </w:rPr>
      </w:pPr>
    </w:p>
    <w:p w14:paraId="764E4AE4">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（2）原则</w:t>
      </w:r>
    </w:p>
    <w:p w14:paraId="349C0D7B">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61BDFCE0">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4.1 采用生命周期视角</w:t>
      </w:r>
    </w:p>
    <w:p w14:paraId="509B0B5E">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产品碳足迹的量化考虑饲料产品的整个生命周期，包括原材料采购、生产、运输、储存、使用以及废弃处理等阶段。</w:t>
      </w:r>
    </w:p>
    <w:p w14:paraId="671007D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4.2 数据选取的优先级</w:t>
      </w:r>
    </w:p>
    <w:p w14:paraId="6D0A86A5">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在产品碳足迹评价中，优先选用实地监测、采集的初级数据。若无法获取初级数据，则采用其他渠道来源的次级数据。仅在既无初级数据，也无法获得次级数据的情况下，可使用经验数据。</w:t>
      </w:r>
    </w:p>
    <w:p w14:paraId="47DC4E38">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4.3 相关性</w:t>
      </w:r>
    </w:p>
    <w:p w14:paraId="69B191EF">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选择适合评价温室气体排放量和清除量的数据和方法。</w:t>
      </w:r>
    </w:p>
    <w:p w14:paraId="5C3864A0">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4.4 完整性</w:t>
      </w:r>
    </w:p>
    <w:p w14:paraId="7A79300E">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所有对评价饲料产品系统内的产品碳足迹或部分产品碳足迹作出重大贡献的温室气体排放量和清除量都应包括在内。重要性水平由取舍准则决定。</w:t>
      </w:r>
    </w:p>
    <w:p w14:paraId="16357270">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4.5 一致性</w:t>
      </w:r>
    </w:p>
    <w:p w14:paraId="1B73F527">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在整个产品碳足迹评价过程中，应采用相同的假设、方法和数据，以得到与评价目的和内容相符的结果。</w:t>
      </w:r>
    </w:p>
    <w:p w14:paraId="4A909110">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4.6 连贯性</w:t>
      </w:r>
    </w:p>
    <w:p w14:paraId="2719FFFC">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选取饲料产品领域中已被认可和采用的方法学、标准和指导性文件，以提高饲料产品碳足迹评价的可信度和可比性。</w:t>
      </w:r>
    </w:p>
    <w:p w14:paraId="2B7E32F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4.7 准确性</w:t>
      </w:r>
    </w:p>
    <w:p w14:paraId="23765EC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对产品碳足迹和部分产品碳足迹的量化应准确、可验证、具有相关性且不具误导性，尽可能减少偏差和不确定性。</w:t>
      </w:r>
    </w:p>
    <w:p w14:paraId="0F1F272E">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4.8 透明性</w:t>
      </w:r>
    </w:p>
    <w:p w14:paraId="392EC13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应在评价报告中阐述所有相关假设、所使用的方法学和数据来源。应清楚地解释所有估计值并避免偏差，以使产品碳足迹评价报告如实阐明其内容。</w:t>
      </w:r>
    </w:p>
    <w:p w14:paraId="51B81D79">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4.9 避免重复计算</w:t>
      </w:r>
    </w:p>
    <w:p w14:paraId="1F4F7C68">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避免对所评价饲料产品系统温室气体排放量与清除量进行重复计算，以及避免对其他产品系统已考虑的温室气体排放与清除进行分配。</w:t>
      </w:r>
    </w:p>
    <w:p w14:paraId="47646644">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本文件4部分原则参考《温室气体 产品碳足迹 量化要求和指南》GB/T 24067-2024 标准中 5部分原则的规定和《温室气体 产品碳足迹量化方法与要求 畜产品》GB/T44903—2024标准中4部分原则的规定。《温室气体 产品碳足迹 量化要求和指南》GB/T 24067-2024标准原则包括5.1 概述、5.2 生命周期的视角、5.3 相对的方法和功能单位或声明单位、5.4 迭代的方法、5.5 科学方法的优先性、5.6 相关性、5.7 完整性、5.8 一致性、5.9 统一性、5.10 准确性、5.11 透明性和5.12 避免重复计算。《温室气体 产品碳足迹量化方法与要求 畜产品》GB/T44903—2024标准包括4.1 相关性、4.2 完整性、4.3 一致性、 4.4 统一性、4.5 准确性、4.6 透明性、4.7 避免重复计算。本文件第4部分根据饲料产品碳足迹核算的特点提出了对应性的要求。</w:t>
      </w:r>
    </w:p>
    <w:p w14:paraId="71B4194A">
      <w:pPr>
        <w:spacing w:line="360" w:lineRule="auto"/>
        <w:ind w:firstLine="482" w:firstLineChars="200"/>
        <w:rPr>
          <w:rFonts w:hint="eastAsia" w:ascii="宋体" w:hAnsi="宋体" w:eastAsia="宋体" w:cs="宋体"/>
          <w:b/>
          <w:bCs/>
          <w:sz w:val="24"/>
          <w:szCs w:val="24"/>
        </w:rPr>
      </w:pPr>
    </w:p>
    <w:p w14:paraId="253B1CE0">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（3）目的和范围</w:t>
      </w:r>
    </w:p>
    <w:p w14:paraId="67CF93E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216A7058">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5.1核算目的</w:t>
      </w:r>
    </w:p>
    <w:p w14:paraId="0B64AEDF">
      <w:pPr>
        <w:spacing w:line="360" w:lineRule="auto"/>
        <w:ind w:firstLine="482" w:firstLineChars="200"/>
        <w:rPr>
          <w:rFonts w:hint="eastAsia" w:asciiTheme="minorEastAsia" w:hAnsiTheme="minorEastAsia"/>
          <w:sz w:val="28"/>
          <w:szCs w:val="28"/>
        </w:rPr>
      </w:pPr>
      <w:r>
        <w:rPr>
          <w:rFonts w:hint="eastAsia" w:ascii="楷体" w:hAnsi="楷体" w:eastAsia="楷体" w:cs="楷体"/>
          <w:b/>
          <w:bCs/>
          <w:sz w:val="24"/>
          <w:szCs w:val="24"/>
        </w:rPr>
        <w:t>评价饲料产品生产生命周期内相关活动带来的 GHG 排放；识别饲料产品生产关键排放环节,挖掘减排潜力；为饲料产品碳足迹标识提供依据。</w:t>
      </w:r>
    </w:p>
    <w:p w14:paraId="30955EC1">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 5.1 部分核算目的参考《温室气体 产品碳足迹 量化要求和指南》GB/T 24067-2024 标准中 6.3 部分目的和范围的确定的规定。GB/T 24067-2024标准中 6.3 部分规定“在确定产品碳足迹研究目的时，应明确说明以下问题：应用意图；开展该项研究的理由；目标受众（即研究结果的接收者）；符合ISO 14026 要求，计划交流的CFP或部分CFP的信息（如有）。”本文件针对饲料产品核算规定了具体的目的为“—评价饲料产品生产生命周期内相关活动带来的GHG 排放量；—识别饲料产品生产关键排放环节，挖掘减排潜力；—为饲料产品碳足迹核算和标识提供依据。”。</w:t>
      </w:r>
    </w:p>
    <w:p w14:paraId="6D60DF5D">
      <w:pPr>
        <w:spacing w:line="360" w:lineRule="auto"/>
        <w:ind w:firstLine="562" w:firstLineChars="200"/>
        <w:rPr>
          <w:rFonts w:hint="eastAsia" w:ascii="仿宋" w:hAnsi="仿宋" w:eastAsia="仿宋"/>
          <w:b/>
          <w:sz w:val="28"/>
          <w:szCs w:val="28"/>
        </w:rPr>
      </w:pPr>
    </w:p>
    <w:p w14:paraId="3865D70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35F775F9">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5.2 温室气体范围</w:t>
      </w:r>
    </w:p>
    <w:p w14:paraId="7175950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包括二氧化碳 (CO₂)、甲烷 (CH₄)、氧化亚氮 (N₂O)。必要时，可根据实际情况和相关要求，考虑氢氟碳化物（HFCs）、全氟碳化物（PFCs）、六氟化硫（SF₆）等其他温室气体。</w:t>
      </w:r>
    </w:p>
    <w:p w14:paraId="46E39AB1">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 5.2 部分温室气体范围参考《Climate Change 2023: Synthesis Report. Contribution of Working Groups I, II and III to the Sixth Assessment Report of the Intergovernmental Panel on Climate Change》IPCC2023对温室气体范围的划定，该报告主要温室气体包括：二氧化碳（CO₂）、甲烷（CH₄）、氧化亚氮（N₂O）。其他温室气体包括氢氟碳化物（HFCs）、全氟化碳（PFCs）、六氟化硫（SF₆）等。”。</w:t>
      </w:r>
    </w:p>
    <w:p w14:paraId="24B24E18">
      <w:pPr>
        <w:spacing w:line="360" w:lineRule="auto"/>
        <w:ind w:firstLine="562" w:firstLineChars="200"/>
        <w:rPr>
          <w:rFonts w:hint="eastAsia" w:ascii="仿宋" w:hAnsi="仿宋" w:eastAsia="仿宋"/>
          <w:b/>
          <w:sz w:val="28"/>
          <w:szCs w:val="28"/>
        </w:rPr>
      </w:pPr>
    </w:p>
    <w:p w14:paraId="676AC7BB">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067D490C">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5.3　饲料产品系统及核算范围</w:t>
      </w:r>
    </w:p>
    <w:p w14:paraId="0F680B5B">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饲料产品碳足迹核算需将其生命周期视为具有特定功能的产品系统展开模拟。该系统可进一步划分为若干单元过程（如图1所示），通过此划分能够有效识别系统内物质流的输入与输出。构成饲料产品系统的单元过程需按生命周期阶段进行分组，具体分为农资生产与运输阶段、饲料作物种植与收获阶段、饲料产品加工与运输阶段。产品生命周期内的温室气体（GHG）排放，需分配至发生排放和清除的相应生命周期阶段。单元过程之间及生命周期阶段通过中间产品流或物质流相互关联，与其他产品系统之间通过产品流建立联系，与环境之间则通过资源利用或温室气体排放形成交互关系。通过产品流建立联系，与环境之间则通过资源利用或温室气体排放形成交互关系。</w:t>
      </w:r>
    </w:p>
    <w:p w14:paraId="25886C2A">
      <w:pPr>
        <w:spacing w:line="360" w:lineRule="auto"/>
        <w:rPr>
          <w:rFonts w:hint="eastAsia" w:ascii="仿宋" w:hAnsi="仿宋" w:eastAsia="仿宋"/>
          <w:bCs/>
          <w:sz w:val="28"/>
          <w:szCs w:val="28"/>
        </w:rPr>
      </w:pPr>
      <w:r>
        <w:rPr>
          <w:rFonts w:hint="eastAsia" w:ascii="仿宋" w:hAnsi="仿宋" w:eastAsia="仿宋"/>
          <w:bCs/>
          <w:sz w:val="28"/>
          <w:szCs w:val="28"/>
        </w:rPr>
        <w:drawing>
          <wp:inline distT="0" distB="0" distL="0" distR="0">
            <wp:extent cx="5274310" cy="2056765"/>
            <wp:effectExtent l="0" t="0" r="0" b="0"/>
            <wp:docPr id="12979024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02498"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2056765"/>
                    </a:xfrm>
                    <a:prstGeom prst="rect">
                      <a:avLst/>
                    </a:prstGeom>
                  </pic:spPr>
                </pic:pic>
              </a:graphicData>
            </a:graphic>
          </wp:inline>
        </w:drawing>
      </w:r>
    </w:p>
    <w:p w14:paraId="7DAA5362">
      <w:pPr>
        <w:spacing w:line="360" w:lineRule="auto"/>
        <w:jc w:val="center"/>
        <w:rPr>
          <w:rFonts w:hint="eastAsia" w:ascii="楷体" w:hAnsi="楷体" w:eastAsia="楷体" w:cs="楷体"/>
          <w:b/>
          <w:bCs/>
          <w:sz w:val="24"/>
          <w:szCs w:val="24"/>
        </w:rPr>
      </w:pPr>
      <w:r>
        <w:rPr>
          <w:rFonts w:hint="eastAsia" w:ascii="楷体" w:hAnsi="楷体" w:eastAsia="楷体" w:cs="楷体"/>
          <w:b/>
          <w:bCs/>
          <w:sz w:val="24"/>
          <w:szCs w:val="24"/>
        </w:rPr>
        <w:t>图1 饲料产品碳足迹核算的单元过程、生命周期阶段和系统边界</w:t>
      </w:r>
    </w:p>
    <w:p w14:paraId="0A4DC56D">
      <w:pPr>
        <w:spacing w:line="360" w:lineRule="auto"/>
        <w:ind w:firstLine="482" w:firstLineChars="200"/>
        <w:rPr>
          <w:rFonts w:hint="eastAsia" w:ascii="仿宋" w:hAnsi="仿宋" w:eastAsia="仿宋"/>
          <w:bCs/>
          <w:sz w:val="28"/>
          <w:szCs w:val="28"/>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 5.3 部分饲料产品系统及核算范围参考《温室气体 产品碳足迹 量化要求和指南》GB/T 24067-2024 标准中6.3.3 部分的规定。GB/T 24067-2024标准中6.3.3部分规定“产品碳足迹研究将产品的生命周期作为产品系统进行模拟，该系统具有一个或多个特定功能。产品系统可再分为一组单元过程(见图 4)。单元过程之间通过中间产品流或待处理的废物流相联系，与其他产品系统之间通过产品流相联系，与环境之间通过基本流相联系。”。本文件针对饲料产品核算规定了具体的范围为“饲料产品碳足迹核算需将其生命周期视为具有特定功能的产品系统展开模拟。该系统可进一步划分为若干单元过程（如图1所示），通过此划分能够有效识别系统内物质流的输入与输出。构成饲料产品系统的单元过程需按生命周期阶段进行分组，具体分为农资生产与运输阶段、饲料种植与收获阶段、饲料产品加工与运输阶段。产品生命周期内的温室气体（GHG）排放，需分配至发生排放和清除的相应生命周期阶段。单元过程之间及生命周期阶段通过中间产品流或物质流相互关联，与其他产品系统之间通过产品流建立联系，与环境之间则通过资源利用或温室气体排放形成交互关系。通过产品流建立联系，与环境之间则通过资源利用或温室气体排放形成交互关系”基于上述要求，本文件给出了饲料产品碳足迹核算的系统边界图。</w:t>
      </w:r>
    </w:p>
    <w:p w14:paraId="649B8C96">
      <w:pPr>
        <w:spacing w:line="360" w:lineRule="auto"/>
        <w:ind w:firstLine="562" w:firstLineChars="200"/>
        <w:rPr>
          <w:rFonts w:hint="eastAsia" w:ascii="仿宋" w:hAnsi="仿宋" w:eastAsia="仿宋"/>
          <w:b/>
          <w:sz w:val="28"/>
          <w:szCs w:val="28"/>
        </w:rPr>
      </w:pPr>
    </w:p>
    <w:p w14:paraId="3E6D33D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7E6B1878">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5.4 功能单位</w:t>
      </w:r>
    </w:p>
    <w:p w14:paraId="6D96B179">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5.4.1 饲料产品应采用1 t商品饲料重作为功能单位</w:t>
      </w:r>
    </w:p>
    <w:p w14:paraId="49234EC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5.4.2 肥料产品应使用1 t肥料重作为功能单位</w:t>
      </w:r>
    </w:p>
    <w:p w14:paraId="6A928182">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5.4.3 电力产品应采用1 MWh作为功能单位</w:t>
      </w:r>
    </w:p>
    <w:p w14:paraId="117F482C">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5.4.4 燃料应使用1 t燃料或1 m3燃料作为功能单位</w:t>
      </w:r>
    </w:p>
    <w:p w14:paraId="5B0081B2">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注：核算饲料产品碳足迹应确定功能单位。功能单位的表述中应包含影响碳足迹核算的饲料产品的主要功能，应明确定义和可测量。例如：1 t配合饲料、1 kg浓缩饲料等。</w:t>
      </w:r>
    </w:p>
    <w:p w14:paraId="3D7C6EF8">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理由及依据：</w:t>
      </w:r>
    </w:p>
    <w:p w14:paraId="69B9E9BF">
      <w:pPr>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rPr>
        <w:t>本文件5.4部分功能单位的设定参考郭丽平发表的学位论文（猪饲料碳足迹生命周期评价[D]北京建筑大学）中对猪饲料产品功能单元的规定设立了本文件饲料产品应采用1 t商品饲料重作为功能单位以及肥料产品应使用1 t肥料重作为功能单位。电力产品功能单位参考生态环境部2024年12月26日发布的2022 年电力二氧化碳排放因数据。燃料功能单位设定参考本参考国家温室气体排放因子数据库（https://data.ncsc.org.cn/factoryes/index）中碳排放计算工具-交通运输、仓储和邮政业模块发布的相关数据。</w:t>
      </w:r>
    </w:p>
    <w:p w14:paraId="1C49336F">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3F46E425">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5.5系统边界</w:t>
      </w:r>
    </w:p>
    <w:p w14:paraId="1DAB2979">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系统边界是确定产品碳足迹研究中包括哪些单元过程的基础，本标准按照从生产材料获取到饲料产品离开生产组织（从摇篮到大门）的产品碳足迹评价；涵盖原材料的生产与运输、饲料产品的生产加工过程，至产品离开生产组织（如工厂仓库）为止。</w:t>
      </w:r>
    </w:p>
    <w:p w14:paraId="4A62CC1E">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农资生产与运输阶段具体的单元过程应包括但不限于农资产品原料开采和运输、农资产品生产与加工、农资运输。各单元过程核算内容如下：</w:t>
      </w:r>
    </w:p>
    <w:p w14:paraId="4B3D677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1）农资产品原料开采与运输单元过程核算内容包括：化肥、农药、农膜、有机肥等原料的开采或收集；以及原料运输至加工厂过程中产生的GHG排放。</w:t>
      </w:r>
    </w:p>
    <w:p w14:paraId="0DB77F3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农资产品生产与加工单元过程核算内容包括：化肥、农药、农膜、有机肥等生产与加工过程产生的GHG排放。</w:t>
      </w:r>
    </w:p>
    <w:p w14:paraId="5398879F">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农资运输单元过程核算内容包括：化肥、农药、农膜、有机肥等由生产厂运输至饲料种植单位所产生的GHG排放。</w:t>
      </w:r>
    </w:p>
    <w:p w14:paraId="1D97B768">
      <w:pPr>
        <w:pStyle w:val="16"/>
        <w:spacing w:line="360" w:lineRule="auto"/>
        <w:ind w:firstLine="0"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drawing>
          <wp:inline distT="0" distB="0" distL="0" distR="0">
            <wp:extent cx="5274310" cy="1348740"/>
            <wp:effectExtent l="0" t="0" r="0" b="0"/>
            <wp:docPr id="122072137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721376"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1348740"/>
                    </a:xfrm>
                    <a:prstGeom prst="rect">
                      <a:avLst/>
                    </a:prstGeom>
                  </pic:spPr>
                </pic:pic>
              </a:graphicData>
            </a:graphic>
          </wp:inline>
        </w:drawing>
      </w:r>
    </w:p>
    <w:p w14:paraId="6063BFAF">
      <w:pPr>
        <w:pStyle w:val="16"/>
        <w:spacing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图2 农资生产与运输阶段碳排放核算的系统边界和核算内容示意图</w:t>
      </w:r>
    </w:p>
    <w:p w14:paraId="6DBD9189">
      <w:pPr>
        <w:pStyle w:val="16"/>
        <w:spacing w:line="360" w:lineRule="auto"/>
        <w:ind w:firstLine="482"/>
        <w:rPr>
          <w:rFonts w:hint="eastAsia" w:ascii="楷体" w:hAnsi="楷体" w:eastAsia="楷体" w:cs="楷体"/>
          <w:b/>
          <w:bCs/>
          <w:kern w:val="2"/>
          <w:sz w:val="24"/>
          <w:szCs w:val="24"/>
        </w:rPr>
      </w:pPr>
      <w:r>
        <w:rPr>
          <w:rFonts w:hint="eastAsia" w:ascii="楷体" w:hAnsi="楷体" w:eastAsia="楷体" w:cs="楷体"/>
          <w:b/>
          <w:bCs/>
          <w:kern w:val="2"/>
          <w:sz w:val="24"/>
          <w:szCs w:val="24"/>
        </w:rPr>
        <w:t>饲料作物种植与管理阶段具体的单元过程应包括但不限于饲料作物播种与建植、饲料作物管理与收获。各单元过程核算内容如下：</w:t>
      </w:r>
    </w:p>
    <w:p w14:paraId="1C85235E">
      <w:pPr>
        <w:pStyle w:val="16"/>
        <w:spacing w:line="360" w:lineRule="auto"/>
        <w:ind w:firstLine="482"/>
        <w:rPr>
          <w:rFonts w:hint="eastAsia" w:ascii="楷体" w:hAnsi="楷体" w:eastAsia="楷体" w:cs="楷体"/>
          <w:b/>
          <w:bCs/>
          <w:kern w:val="2"/>
          <w:sz w:val="24"/>
          <w:szCs w:val="24"/>
        </w:rPr>
      </w:pPr>
      <w:r>
        <w:rPr>
          <w:rFonts w:hint="eastAsia" w:ascii="楷体" w:hAnsi="楷体" w:eastAsia="楷体" w:cs="楷体"/>
          <w:b/>
          <w:bCs/>
          <w:kern w:val="2"/>
          <w:sz w:val="24"/>
          <w:szCs w:val="24"/>
        </w:rPr>
        <w:t>1）饲料作物播种与建植单元过程核算内容包括：饲料作物播种与建植过程中，化肥、农膜、有机肥使用导致的GHG排放、农机具翻耕、耙平、镇压和播种作业能耗产生的CO2排放、土地管理过程中导致的土壤碳储量变化引起的CO2排放。</w:t>
      </w:r>
    </w:p>
    <w:p w14:paraId="3AAA8485">
      <w:pPr>
        <w:pStyle w:val="16"/>
        <w:spacing w:line="360" w:lineRule="auto"/>
        <w:ind w:firstLine="482"/>
        <w:rPr>
          <w:rFonts w:hint="eastAsia" w:asciiTheme="minorEastAsia" w:hAnsiTheme="minorEastAsia" w:eastAsiaTheme="minorEastAsia"/>
          <w:sz w:val="28"/>
          <w:szCs w:val="28"/>
        </w:rPr>
      </w:pPr>
      <w:r>
        <w:rPr>
          <w:rFonts w:hint="eastAsia" w:ascii="楷体" w:hAnsi="楷体" w:eastAsia="楷体" w:cs="楷体"/>
          <w:b/>
          <w:bCs/>
          <w:kern w:val="2"/>
          <w:sz w:val="24"/>
          <w:szCs w:val="24"/>
        </w:rPr>
        <w:t>2）饲料作物管理与收获单元过程核算内容包括：饲料作物管理过程中，化肥、农药、有机肥使用导致的GHG排放、、灌溉消耗能源产生的CO2排放；饲料作物收获过程中农机具作业能耗产生的CO2排放。</w:t>
      </w:r>
    </w:p>
    <w:p w14:paraId="3AAAC513">
      <w:pPr>
        <w:pStyle w:val="16"/>
        <w:spacing w:line="360" w:lineRule="auto"/>
        <w:ind w:firstLine="0"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drawing>
          <wp:inline distT="0" distB="0" distL="0" distR="0">
            <wp:extent cx="5274310" cy="1470660"/>
            <wp:effectExtent l="0" t="0" r="0" b="0"/>
            <wp:docPr id="40159475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94756" name="图片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1470660"/>
                    </a:xfrm>
                    <a:prstGeom prst="rect">
                      <a:avLst/>
                    </a:prstGeom>
                  </pic:spPr>
                </pic:pic>
              </a:graphicData>
            </a:graphic>
          </wp:inline>
        </w:drawing>
      </w:r>
    </w:p>
    <w:p w14:paraId="44572CD0">
      <w:pPr>
        <w:pStyle w:val="16"/>
        <w:spacing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图3 饲料种植与收获阶段碳排放核算的系统边界和核算内容示意图</w:t>
      </w:r>
    </w:p>
    <w:p w14:paraId="5F5F0944">
      <w:pPr>
        <w:pStyle w:val="16"/>
        <w:spacing w:line="360" w:lineRule="auto"/>
        <w:ind w:firstLine="482"/>
        <w:rPr>
          <w:rFonts w:hint="eastAsia" w:ascii="楷体" w:hAnsi="楷体" w:eastAsia="楷体" w:cs="楷体"/>
          <w:b/>
          <w:bCs/>
          <w:kern w:val="2"/>
          <w:sz w:val="24"/>
          <w:szCs w:val="24"/>
        </w:rPr>
      </w:pPr>
      <w:r>
        <w:rPr>
          <w:rFonts w:hint="eastAsia" w:ascii="楷体" w:hAnsi="楷体" w:eastAsia="楷体" w:cs="楷体"/>
          <w:b/>
          <w:bCs/>
          <w:kern w:val="2"/>
          <w:sz w:val="24"/>
          <w:szCs w:val="24"/>
        </w:rPr>
        <w:t>饲料产品加工与运输阶段具体的单元过程应包括但不限于饲料产品加工与运输。各单元过程核算内容如下：</w:t>
      </w:r>
    </w:p>
    <w:p w14:paraId="5BF37082">
      <w:pPr>
        <w:pStyle w:val="16"/>
        <w:spacing w:line="360" w:lineRule="auto"/>
        <w:ind w:firstLine="482"/>
        <w:rPr>
          <w:rFonts w:hint="eastAsia" w:ascii="楷体" w:hAnsi="楷体" w:eastAsia="楷体" w:cs="楷体"/>
          <w:b/>
          <w:bCs/>
          <w:kern w:val="2"/>
          <w:sz w:val="24"/>
          <w:szCs w:val="24"/>
        </w:rPr>
      </w:pPr>
      <w:r>
        <w:rPr>
          <w:rFonts w:hint="eastAsia" w:ascii="楷体" w:hAnsi="楷体" w:eastAsia="楷体" w:cs="楷体"/>
          <w:b/>
          <w:bCs/>
          <w:kern w:val="2"/>
          <w:sz w:val="24"/>
          <w:szCs w:val="24"/>
        </w:rPr>
        <w:t>1）饲料加工与运输单元过程核算内容包括：饲料加工过程中加工设备消耗能源产生的CO</w:t>
      </w:r>
      <w:r>
        <w:rPr>
          <w:rFonts w:hint="eastAsia" w:ascii="楷体" w:hAnsi="楷体" w:eastAsia="楷体" w:cs="楷体"/>
          <w:b/>
          <w:bCs/>
          <w:kern w:val="2"/>
          <w:sz w:val="24"/>
          <w:szCs w:val="24"/>
          <w:vertAlign w:val="subscript"/>
        </w:rPr>
        <w:t>2</w:t>
      </w:r>
      <w:r>
        <w:rPr>
          <w:rFonts w:hint="eastAsia" w:ascii="楷体" w:hAnsi="楷体" w:eastAsia="楷体" w:cs="楷体"/>
          <w:b/>
          <w:bCs/>
          <w:kern w:val="2"/>
          <w:sz w:val="24"/>
          <w:szCs w:val="24"/>
        </w:rPr>
        <w:t>排放以及饲料产品运输过程中运输工具消耗能源产生的CO</w:t>
      </w:r>
      <w:r>
        <w:rPr>
          <w:rFonts w:hint="eastAsia" w:ascii="楷体" w:hAnsi="楷体" w:eastAsia="楷体" w:cs="楷体"/>
          <w:b/>
          <w:bCs/>
          <w:kern w:val="2"/>
          <w:sz w:val="24"/>
          <w:szCs w:val="24"/>
          <w:vertAlign w:val="subscript"/>
        </w:rPr>
        <w:t>2</w:t>
      </w:r>
      <w:r>
        <w:rPr>
          <w:rFonts w:hint="eastAsia" w:ascii="楷体" w:hAnsi="楷体" w:eastAsia="楷体" w:cs="楷体"/>
          <w:b/>
          <w:bCs/>
          <w:kern w:val="2"/>
          <w:sz w:val="24"/>
          <w:szCs w:val="24"/>
        </w:rPr>
        <w:t>排放</w:t>
      </w:r>
    </w:p>
    <w:p w14:paraId="25302044">
      <w:pPr>
        <w:pStyle w:val="16"/>
        <w:spacing w:line="360" w:lineRule="auto"/>
        <w:ind w:firstLine="0" w:firstLineChars="0"/>
        <w:rPr>
          <w:rFonts w:hint="eastAsia" w:asciiTheme="minorEastAsia" w:hAnsiTheme="minorEastAsia" w:eastAsiaTheme="minorEastAsia"/>
          <w:sz w:val="28"/>
          <w:szCs w:val="28"/>
        </w:rPr>
      </w:pPr>
      <w:r>
        <w:rPr>
          <w:rFonts w:hint="eastAsia" w:asciiTheme="minorEastAsia" w:hAnsiTheme="minorEastAsia" w:eastAsiaTheme="minorEastAsia"/>
          <w:sz w:val="28"/>
          <w:szCs w:val="28"/>
        </w:rPr>
        <w:drawing>
          <wp:inline distT="0" distB="0" distL="0" distR="0">
            <wp:extent cx="5274310" cy="1530985"/>
            <wp:effectExtent l="0" t="0" r="0" b="0"/>
            <wp:docPr id="149510318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103186" name="图片 4"/>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1530985"/>
                    </a:xfrm>
                    <a:prstGeom prst="rect">
                      <a:avLst/>
                    </a:prstGeom>
                  </pic:spPr>
                </pic:pic>
              </a:graphicData>
            </a:graphic>
          </wp:inline>
        </w:drawing>
      </w:r>
    </w:p>
    <w:p w14:paraId="42529FE7">
      <w:pPr>
        <w:pStyle w:val="16"/>
        <w:spacing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图4 饲料产品加工与运输阶段碳排放核算的系统边界和核算内容示意图</w:t>
      </w:r>
    </w:p>
    <w:p w14:paraId="76CD3A87">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 xml:space="preserve">本文件5.5部分系统边界参考《环境管理 生命周期评价 要求与指南》（GB/T 24044—2008）标准中4.2.3.3 系统边界的规定，该标准规定系统边界的选择应与研究的目的相一致。应对建立系统边界的准则做出说明并解释。本文件针对从生产材料获取到饲料产品离开生产组织（从摇篮到大门）评价设定了针对不同核算目的的系统边界：农资生产与运输系统、饲料种植与收获系统和饲料产品加工与运输系统。针对不同系统给出了各系统的组成单元过程和各单元过程的核算内容。GB/T 24044—2008标准中4.2.3.3.2提出“以流程图形式来描述系统边界是十分有帮助的”，本文件根据GB/T 24044—2008的规定，在图2、图3和图4中分别给出了3个系统边界的具体内容。 </w:t>
      </w:r>
    </w:p>
    <w:p w14:paraId="3A4B5689">
      <w:pPr>
        <w:spacing w:line="360" w:lineRule="auto"/>
        <w:ind w:firstLine="482" w:firstLineChars="200"/>
        <w:rPr>
          <w:rFonts w:hint="eastAsia" w:ascii="宋体" w:hAnsi="宋体" w:eastAsia="宋体" w:cs="宋体"/>
          <w:b/>
          <w:bCs/>
          <w:sz w:val="24"/>
          <w:szCs w:val="24"/>
        </w:rPr>
      </w:pPr>
    </w:p>
    <w:p w14:paraId="7743AB98">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（4）核算步骤</w:t>
      </w:r>
    </w:p>
    <w:p w14:paraId="7A1AE0A6">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74293903">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开展饲料产品碳足迹核算应按照下列步骤进行：</w:t>
      </w:r>
    </w:p>
    <w:p w14:paraId="6C7D19E7">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1）界定核算框架：明确系统边界（涵盖农资生产、饲料种植、加工运输等全生命周期），识别温室气体（GHG）排放关键阶段，并选定功能单位（如 1 t饲料产品或提供 1 kg粗蛋白）。</w:t>
      </w:r>
    </w:p>
    <w:p w14:paraId="1657AFD4">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2）数据采集与整合：系统梳理边界内各单元过程，同步采集定性生产信息（如种植模式、加工工艺）与定量数据（如化肥施用量、机械能耗）。</w:t>
      </w:r>
    </w:p>
    <w:p w14:paraId="3D0103B3">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3）排放因子匹配：筛选适配的排放因子数据，涵盖化肥生产、农机作业、运输物流等环节，优先采用区域实测数据或权威数据库（如 IPCC、Ecoinvent）。</w:t>
      </w:r>
    </w:p>
    <w:p w14:paraId="6AF7BFE5">
      <w:pPr>
        <w:spacing w:line="360" w:lineRule="auto"/>
        <w:ind w:firstLine="482" w:firstLineChars="200"/>
        <w:rPr>
          <w:rFonts w:hint="eastAsia" w:ascii="楷体" w:hAnsi="楷体" w:eastAsia="楷体" w:cs="楷体"/>
          <w:b/>
          <w:bCs/>
          <w:sz w:val="24"/>
          <w:szCs w:val="24"/>
        </w:rPr>
      </w:pPr>
      <w:bookmarkStart w:id="1" w:name="_Hlk199860152"/>
      <w:r>
        <w:rPr>
          <w:rFonts w:hint="eastAsia" w:ascii="楷体" w:hAnsi="楷体" w:eastAsia="楷体" w:cs="楷体"/>
          <w:b/>
          <w:bCs/>
          <w:sz w:val="24"/>
          <w:szCs w:val="24"/>
        </w:rPr>
        <w:t>4）分阶段排放量计算：基于活动数据与排放因子，量化各单元过程的温室气体排放与碳汇清除量，区分直接排放（如机械燃油）与间接排放（如农资生产隐含碳）。</w:t>
      </w:r>
    </w:p>
    <w:p w14:paraId="3D89942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5）分配规则确立：针对多产品系统或共享资源场景，制定科学分配方法（如质量分配、经济价值分配），合理分摊碳排放。</w:t>
      </w:r>
    </w:p>
    <w:p w14:paraId="6206500C">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6）</w:t>
      </w:r>
      <w:bookmarkStart w:id="2" w:name="_Hlk199859941"/>
      <w:r>
        <w:rPr>
          <w:rFonts w:hint="eastAsia" w:ascii="楷体" w:hAnsi="楷体" w:eastAsia="楷体" w:cs="楷体"/>
          <w:b/>
          <w:bCs/>
          <w:sz w:val="24"/>
          <w:szCs w:val="24"/>
        </w:rPr>
        <w:t>系统边界内饲料产品碳足迹核算</w:t>
      </w:r>
      <w:bookmarkEnd w:id="2"/>
      <w:r>
        <w:rPr>
          <w:rFonts w:hint="eastAsia" w:ascii="楷体" w:hAnsi="楷体" w:eastAsia="楷体" w:cs="楷体"/>
          <w:b/>
          <w:bCs/>
          <w:sz w:val="24"/>
          <w:szCs w:val="24"/>
        </w:rPr>
        <w:t>：汇总各单元过程核算结果，经分配调整后得出饲料产品全生命周期碳足迹，形成完整量化报告。</w:t>
      </w:r>
    </w:p>
    <w:bookmarkEnd w:id="1"/>
    <w:p w14:paraId="2739C410">
      <w:pPr>
        <w:spacing w:line="360" w:lineRule="auto"/>
        <w:ind w:firstLine="482" w:firstLineChars="200"/>
        <w:rPr>
          <w:rFonts w:hint="eastAsia" w:ascii="仿宋" w:hAnsi="仿宋" w:eastAsia="仿宋"/>
          <w:bCs/>
          <w:sz w:val="28"/>
          <w:szCs w:val="28"/>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本文件第6部分核算步骤参照 《环境管理 生命周期评价 原则与框架GB/T 24040—2008）中第4部分4.2.2生命周期清单分析包括的阶段的规定，该标准规定了生命周期清单分析包括目的和范围的确定（功能单元、系统边界）、清单分析（数据收集、数据计算、排放物的分配）和解释。本文件饲料产品碳足迹核算步骤根据GB/T 24040—2008 的规定，设定了6个内容，包括1）界定核算框架：明确系统边界（涵盖农资生产、饲料种植、加工运输等全生命周期），识别温室气体（GHG）排放关键阶段，并选定功能单位（如 1 t饲料产品或提供 1 kg粗蛋白）对应GB/T 24040—2008第4部分4.2.2规定的目的和范围确定部分；2）数据采集与整合：系统梳理边界内各单元过程，同步采集定性生产信息（如种植模式、加工工艺）与定量数据（如化肥施用量、机械能耗）和3）排放因子匹配：筛选适配的排放因子数据，涵盖化肥生产、农机作业、运输物流等环节，优先采用区域实测数据或权威数据库（如 IPCC、Ecoinvent）对应GB/T 24040—2008第4部分4.2.2规定的清单分析中的数据收集部分要求；4）分阶段排放量计算：基于活动数据与排放因子，量化各单元过程的温室气体排放与碳汇清除量，区分直接排放（如机械燃油）与间接排放（如农资生产隐含碳）、5）分配规则确立：针对多产品系统或共享资源场景，制定科学分配方法（如质量分配、经济价值分配），合理分摊碳排放和6）系统边界内饲料产品碳足迹核算：汇总各单元过程核算结果，经分配调整后得出饲料产品全生命周期碳足迹，形成完整量化报告。对应GB/T 24040—2008第4部分4.2.2规定的清单分析中的数据计算和排放物的分配部分。</w:t>
      </w:r>
    </w:p>
    <w:p w14:paraId="6E235C45">
      <w:pPr>
        <w:spacing w:line="360" w:lineRule="auto"/>
        <w:ind w:firstLine="482" w:firstLineChars="200"/>
        <w:rPr>
          <w:rFonts w:hint="eastAsia" w:ascii="宋体" w:hAnsi="宋体" w:eastAsia="宋体" w:cs="宋体"/>
          <w:b/>
          <w:bCs/>
          <w:sz w:val="24"/>
          <w:szCs w:val="24"/>
        </w:rPr>
      </w:pPr>
    </w:p>
    <w:p w14:paraId="5D97C7B0">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（5）数据收集与处理</w:t>
      </w:r>
    </w:p>
    <w:p w14:paraId="22D49843">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50E1F657">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7.1　数据质量要求</w:t>
      </w:r>
    </w:p>
    <w:p w14:paraId="07B443B2">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数据收集与处理过程中，相关数据应满足以下数据质量要求：</w:t>
      </w:r>
    </w:p>
    <w:p w14:paraId="2995C035">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代表性：企业初级数据应按照规定的功能单位收集所确定范围内的生产统计数据；</w:t>
      </w:r>
    </w:p>
    <w:p w14:paraId="70FB8219">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完整性：应按照评价产品收集最近一个自然年的生产统计数据，并应收集系统边界内所有单元过程中相关的输入和输出，包括材料、能源和水消耗，对空气、水和土壤的排放，过程产生的废弃物等；</w:t>
      </w:r>
    </w:p>
    <w:p w14:paraId="7BBAF8E8">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准确性：初级数据中的资源、能源、原材料消耗数据应来自于生产单元的实际生产统计记录；所有初级数据均应转换为功能单位产品，且需要详细记录相关的原始数据、数据来源、计算过程等。存在数据偏差或数据缺失时，应明确记录对于这些数据的处理规则；</w:t>
      </w:r>
    </w:p>
    <w:p w14:paraId="4EEBD7F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一致性：初级数据收集时，同类数据应保持相同的数据来源、统计口径、处理规则等。</w:t>
      </w:r>
    </w:p>
    <w:p w14:paraId="48C9DA8E">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数据优先原则：活动水平数据优先采用直接计量、测量获得的原始数据，其次采用通过原始数据折算获得的次级数据，以上数据均不可获得时可采用国家最新公布的数据和经评估过的国内相关数据库数据（CLCD、CPCD等）；国家已公布数据不可获取时可采用国际相关数据库（ELCD、Ecoinvent、Defra等）或国际权威报告（IPCC）。</w:t>
      </w:r>
    </w:p>
    <w:p w14:paraId="02D244AB">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本文件第7.2部分数据收集和数据质量按照《温室气体 产品碳足迹 量化要求和指南》GB/T 24067-2024标准中6.3.6部分进行了修改，该标准规定“在收集现场数据不可行的情况下，宜使用经第三方评审的初级数据。仅在收集初级数据不可行时，或对于重要性较低的过程，次级数据才能用于输入和输出。”本文件规定了活动数据和排放因子数据的收集方法和选择优先序，排放因子数据收集和数据质量规定“排放因子数据收集应按照以下方法：—应优先使用现场排放因子及特征参数。—在现场排放因子及特征参数不可获取的情况下，宜使用国家最新公布的数据和经评估过的相关数据库数据。—在国家已公布数据不可获取时，宜使用附录 A 的参考数据。”</w:t>
      </w:r>
    </w:p>
    <w:p w14:paraId="57A107BF">
      <w:pPr>
        <w:spacing w:line="360" w:lineRule="auto"/>
        <w:ind w:firstLine="562" w:firstLineChars="200"/>
        <w:rPr>
          <w:rFonts w:hint="eastAsia" w:ascii="仿宋" w:hAnsi="仿宋" w:eastAsia="仿宋"/>
          <w:b/>
          <w:sz w:val="28"/>
          <w:szCs w:val="28"/>
        </w:rPr>
      </w:pPr>
    </w:p>
    <w:p w14:paraId="57B309FF">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0A9363C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7.2　分配原则</w:t>
      </w:r>
    </w:p>
    <w:p w14:paraId="5368024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在生命周期评价（LCA）或碳核算中，GHG（温室气体）分配原则是指将系统边界内的总排放量合理分配到不同产品、阶段或功能单元的规则。分配原则的核心是确保结果的科学性、公平性和可追溯性，避免因分配方式不当导致数据偏差或误导决策。以下是 GHG 分配的核心原则及适用场景：</w:t>
      </w:r>
    </w:p>
    <w:p w14:paraId="582CBCC7">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1)因果关系原则（Causal Allocation）</w:t>
      </w:r>
    </w:p>
    <w:p w14:paraId="47530DB6">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根据各环节或产品对 GHG 排放的直接因果贡献进行分配。</w:t>
      </w:r>
    </w:p>
    <w:p w14:paraId="5841DCC7">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适用场景：</w:t>
      </w:r>
    </w:p>
    <w:p w14:paraId="71BF9A14">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物理因果关系明确的场景（如联产工艺、共享资源的多产品系统）。</w:t>
      </w:r>
    </w:p>
    <w:p w14:paraId="5E86DEA9">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例：同一生产设备同时生产 A 和 B 两种饲料产品，可按设备运行时两种产品的产量比例（如质量、能量含量）分配设备能耗产生的排放。</w:t>
      </w:r>
    </w:p>
    <w:p w14:paraId="7718DAB9">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或按原料投入比例分配，如两种饲料加工共用同一批燃料，按各自消耗的燃料量分配排放。</w:t>
      </w:r>
    </w:p>
    <w:p w14:paraId="0F8BE98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技术驱动的分配：通过物理测量或工程数据（如传感器记录的能耗、原料消耗量）直接关联排放源与受体。</w:t>
      </w:r>
    </w:p>
    <w:p w14:paraId="058B1034">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2)系统扩展原则（System Expansion）</w:t>
      </w:r>
    </w:p>
    <w:p w14:paraId="42F94FC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通过扩展系统边界，避免分配问题。</w:t>
      </w:r>
    </w:p>
    <w:p w14:paraId="7176DB5C">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适用场景：</w:t>
      </w:r>
    </w:p>
    <w:p w14:paraId="77CA5699">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替代方案比较：将联产品或共享环节的排放转移到替代产品的功能需求中。</w:t>
      </w:r>
    </w:p>
    <w:p w14:paraId="2869274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例：若饲料加工阶段的某设备排放可通过改用其他工艺避免，则将该排放分配到“原有工艺”与“替代工艺”的比较中，而非强行拆分到单一产品。</w:t>
      </w:r>
    </w:p>
    <w:p w14:paraId="65151786">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功能等效场景：当多个产品或阶段提供相同功能时，按功能单位（如每千克饲料的营养价值）统一计算排放，避免分配争议。</w:t>
      </w:r>
    </w:p>
    <w:p w14:paraId="7534611E">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3)经济价值原则（Economic Allocation）</w:t>
      </w:r>
    </w:p>
    <w:p w14:paraId="757EBC3F">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按各产品或环节的经济价值（如产值、价格）比例分配总排放。</w:t>
      </w:r>
    </w:p>
    <w:p w14:paraId="1A08C2F0">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适用场景：</w:t>
      </w:r>
    </w:p>
    <w:p w14:paraId="5D2B2303">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市场导向的系统：当物理因果关系难以量化（如混合饲料的多品种加工），或经济价值是决策核心时使用。例：饲料加工企业同时生产高附加值草粉和低附加值草渣，按两者的销售额比例分配加工环节的排放。供应链成本分摊：在供应链碳核算中，上下游企业可能按交易金额比例分担运输阶段的排放（如买方承担运输排放的 70%，卖方承担 30%）。</w:t>
      </w:r>
    </w:p>
    <w:p w14:paraId="5AEB2246">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4)功能单位原则（Functional Unit Allocation）</w:t>
      </w:r>
    </w:p>
    <w:p w14:paraId="098EBEC2">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基于产品的功能单位（如单位重量、单位营养含量、单位饲喂量）分配排放，确保不同产品的排放具有可比性。</w:t>
      </w:r>
    </w:p>
    <w:p w14:paraId="4438DE76">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适用场景：</w:t>
      </w:r>
    </w:p>
    <w:p w14:paraId="54BB215E">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多产品功能差异大：如青贮饲料和干草的饲喂效率不同，需按 “每 kg 干物质提供的能量” 等功能单位分配种植阶段的排放。</w:t>
      </w:r>
    </w:p>
    <w:p w14:paraId="29FBFE73">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跨区域 / 跨工艺比较：统一以 “每 t 饲料的 GHG 排放” 为功能单位，避免因产量或工艺差异导致的分配偏差。</w:t>
      </w:r>
    </w:p>
    <w:p w14:paraId="435D3973">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5)优先原则（Hierarchy of Principles）</w:t>
      </w:r>
    </w:p>
    <w:p w14:paraId="6A71C90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当多种分配方法均适用时，需遵循优先级顺序：</w:t>
      </w:r>
    </w:p>
    <w:p w14:paraId="2A3A83C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首选因果关系原则：物理可测量的直接贡献优先（如原料投入、能耗记录）。</w:t>
      </w:r>
    </w:p>
    <w:p w14:paraId="21DE993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次选系统扩展原则：通过功能替代或系统边界调整规避分配（如避免联产场景的强行拆分）。</w:t>
      </w:r>
    </w:p>
    <w:p w14:paraId="73A90C6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最后采用经济价值或功能单位原则：仅在物理数据缺失或经济因素主导时使用。</w:t>
      </w:r>
    </w:p>
    <w:p w14:paraId="374EA0F1">
      <w:pPr>
        <w:spacing w:line="360" w:lineRule="auto"/>
        <w:ind w:firstLine="482" w:firstLineChars="200"/>
        <w:rPr>
          <w:rFonts w:hint="eastAsia" w:ascii="宋体" w:hAnsi="宋体" w:eastAsia="宋体" w:cs="Times New Roman"/>
          <w:b/>
          <w:bCs/>
          <w:sz w:val="24"/>
          <w:szCs w:val="24"/>
        </w:rPr>
      </w:pPr>
      <w:r>
        <w:rPr>
          <w:rFonts w:hint="eastAsia" w:ascii="宋体" w:hAnsi="宋体" w:eastAsia="宋体" w:cs="Times New Roman"/>
          <w:b/>
          <w:bCs/>
          <w:sz w:val="24"/>
          <w:szCs w:val="24"/>
        </w:rPr>
        <w:t>理由及依据：</w:t>
      </w:r>
    </w:p>
    <w:p w14:paraId="5E811464">
      <w:pPr>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rPr>
        <w:t xml:space="preserve">本文件7.2部分分配原则参照《环境管理 生命周期评价 要求与指南》（GB/T 24044—2008）标准中4.3.4 的规定，该标准规定如果分配不可避免时，则宜将系统的输入和输出以能反映出它们潜在物理关系的方式划分到其中的不同产品或功能中，当物理关系无法建立或无法单独用来作为分配基础时，则宜以能反映它们之间其他关系的方式将输入输出在产品或功能间进行分配，例如可以根据产品的经济价值按比例将输入输出数据分配到共生产品。本文件根据 GB/T 24044—2008 的规定设立了饲料的分配方法，饲料种植加工阶段的GHG分配方法规定为“饲料作物种植加工过程的GHG排放量宜根据饲料作物原料及加工过程干物质重量进行分配。” </w:t>
      </w:r>
    </w:p>
    <w:p w14:paraId="18F82E2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041032C4">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7.3　数据取舍准则</w:t>
      </w:r>
    </w:p>
    <w:p w14:paraId="7C784870">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在碳足迹核算过程中，可规定数据取舍准则，舍弃碳足迹影响较小的因素，简化数据收集过程。对于产品生命周期内的排放与清除，设定以下取舍准则：</w:t>
      </w:r>
    </w:p>
    <w:p w14:paraId="2D7FFC95">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包括预计对产品碳足迹有实质性贡献的所有温室气体源/汇及其对应的排放与清除单元过程；</w:t>
      </w:r>
    </w:p>
    <w:p w14:paraId="22099867">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包括至少95%与功能单位有关的生命周期内预计会产生的排放与清除。</w:t>
      </w:r>
    </w:p>
    <w:p w14:paraId="65286AB4">
      <w:pPr>
        <w:spacing w:line="360" w:lineRule="auto"/>
        <w:ind w:firstLine="482" w:firstLineChars="200"/>
        <w:rPr>
          <w:rFonts w:hint="eastAsia" w:ascii="仿宋" w:hAnsi="仿宋" w:eastAsia="仿宋"/>
          <w:bCs/>
          <w:sz w:val="28"/>
          <w:szCs w:val="28"/>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本文件7.3部分数据取舍准则参考《温室气体 产品碳足迹 量化要求和指南》GB/T 24067-2024 标准中 6.3.5.3 取舍准则部分的规定，该标准规定“CFP 研究包括所研究系统的所有单元过程和流。当个别物质流或能量流对某一单元过程的碳足迹无显著贡献时，可将其作为数据排除项排除并进行报告。应在目的和范围界定阶段确定一致的取舍准则，所选取舍准则对研究结果的影响也应在碳足迹研究报告中进行评价和描述（见6.4.5 和6.6）。在产品碳足迹量化过程中，可舍弃碳足迹影响小于1 %的环节，但舍弃环节总的影响不宜超过碳足迹总量的5%。”，本文件设定的取舍准则为“在畜产品碳足迹量化过程中，可舍弃影响小于1 %的环节，但系统边界内舍弃环节总的影响不宜超过碳足迹总量的5%”。</w:t>
      </w:r>
      <w:r>
        <w:rPr>
          <w:rFonts w:hint="eastAsia" w:ascii="仿宋" w:hAnsi="仿宋" w:eastAsia="仿宋"/>
          <w:bCs/>
          <w:sz w:val="28"/>
          <w:szCs w:val="28"/>
        </w:rPr>
        <w:t xml:space="preserve"> </w:t>
      </w:r>
    </w:p>
    <w:p w14:paraId="5A925993">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3B83429B">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7.4　数据保存</w:t>
      </w:r>
    </w:p>
    <w:p w14:paraId="359F04DC">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7.4.1 数据管理与溯源要求</w:t>
      </w:r>
    </w:p>
    <w:p w14:paraId="308A2984">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开展饲料产品碳足迹核算需构建完整的数据管理体系，系统记录数据来源、采集时间及责任人员信息，留存原始文件与计算过程记录，为后续数据核查与质量评估提供依据。</w:t>
      </w:r>
    </w:p>
    <w:p w14:paraId="3F676C45">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7.4.2 纸质数据存储规范</w:t>
      </w:r>
    </w:p>
    <w:p w14:paraId="7DB15932">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纸质数据需采用保护袋、卷夹或专用档案盒分类存储，由责任人员签字确认后定点存放。存储环境应满足通风、防火、防潮、防虫、防盗等要求，建立定期巡检制度，发现破损及时修复。纸质记录保存期限不少于5年，确保数据可追溯性。</w:t>
      </w:r>
    </w:p>
    <w:p w14:paraId="17B7D3F8">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7.4.3 电子数据管理标准</w:t>
      </w:r>
    </w:p>
    <w:p w14:paraId="024B8DD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电子数据需存储于专用介质并定期备份，文件命名遵循 “编号+饲料生产主体名称+记录年份”的统一格式。电子数据应指定专人维护，建议实施长期保存；若存储条件受限，至少保留10年。备份数据应异地存放，防止数据丢失或损坏。</w:t>
      </w:r>
    </w:p>
    <w:p w14:paraId="278E16AD">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本文件第7.3部分数据保存按照《温室气体 产品碳足迹 量化要求和指南》GB/T 24067-2024 标准中 6.3.6 部分、《畜禽养殖场档案规范》（NY/T 3445）3部分和《排污许可证申请和核发技术规范 畜禽养殖行业》（HJ/T 1029）中第8部分环境管理台账记录与执行报告编制要求中8.1.4环境管理台账记录要求的规定进行了修改，GB/T 24067《温室气体 产品碳足迹 量化要求和指南》标准中6.3.6部分规定“开展产品碳足迹研究的组织宜建立数据管理系统，保留相关文件和记录”；HJ/T 1029 规定“8.1.4.1 纸质台账应存放于保护袋、卷夹或保护盒等保存介质中；由专人签字、定点保存；应采取防光、防热、防潮、防细菌及防污染等措施；如有破损应及时修补，并留存备查。8.1.4.2应存放于电子储存介质中，并进行数据备份；可在排污许可证管理信息平台填报并保存，由专人定期维护管理。”。 本文件给出数据保存的规定为“7.4.1 数据管理与溯源要求 开展饲料产品碳足迹核算需构建完整的数据管理体系，系统记录数据来源、采集时间及责任人员信息，留存原始文件与计算过程记录，为后续数据核查与质量评估提供依据。7.4.2 纸质数据存储规范 纸质数据需采用保护袋、卷夹或专用档案盒分类存储，由责任人员签字确认后定点存放。存储环境应满足通风、防火、防潮、防虫、防盗等要求，建立定期巡检制度，发现破损及时修复。纸质记录保存期限不少于5年，确保数据可追溯性。7.4.3 电子数据管理标准 电子数据需存储于专用介质并定期备份，文件命名遵循 “编号+饲料生产主体名称+记录年份”的统一格式。电子数据应指定专人维护，建议实施长期保存；若存储条件受限，至少保留10年。备份数据应异地存放，防止数据丢失或损坏。”</w:t>
      </w:r>
    </w:p>
    <w:p w14:paraId="1108B7F4">
      <w:pPr>
        <w:spacing w:line="360" w:lineRule="auto"/>
        <w:ind w:firstLine="482" w:firstLineChars="200"/>
        <w:rPr>
          <w:rFonts w:hint="eastAsia" w:ascii="宋体" w:hAnsi="宋体" w:eastAsia="宋体" w:cs="宋体"/>
          <w:b/>
          <w:bCs/>
          <w:sz w:val="24"/>
          <w:szCs w:val="24"/>
        </w:rPr>
      </w:pPr>
    </w:p>
    <w:p w14:paraId="1685D29A">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（6）数据核算方法</w:t>
      </w:r>
    </w:p>
    <w:p w14:paraId="26ED11F3">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6FD64D00">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8.1碳足迹核算</w:t>
      </w:r>
    </w:p>
    <w:p w14:paraId="0B54DBE9">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8.1.1 农资生产与运输阶段碳足迹</w:t>
      </w:r>
    </w:p>
    <w:p w14:paraId="51852421">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农资生产与运输阶段的单位农资碳足迹按公式（1）计算</w:t>
      </w:r>
    </w:p>
    <w:p w14:paraId="7BC7DF73">
      <w:pPr>
        <w:spacing w:line="360" w:lineRule="auto"/>
        <w:ind w:firstLine="482" w:firstLineChars="200"/>
        <w:rPr>
          <w:rFonts w:hint="eastAsia" w:ascii="楷体" w:hAnsi="楷体" w:eastAsia="楷体" w:cs="楷体"/>
          <w:b/>
          <w:bCs/>
          <w:sz w:val="24"/>
          <w:szCs w:val="24"/>
        </w:rPr>
      </w:pPr>
      <m:oMath>
        <m:r>
          <m:rPr>
            <m:sty m:val="b"/>
          </m:rPr>
          <w:rPr>
            <w:rFonts w:hint="eastAsia" w:ascii="Cambria Math" w:hAnsi="Cambria Math" w:eastAsia="楷体" w:cs="楷体"/>
            <w:sz w:val="24"/>
            <w:szCs w:val="24"/>
          </w:rPr>
          <m:t>CFaf=</m:t>
        </m:r>
        <m:nary>
          <m:naryPr>
            <m:chr m:val="∑"/>
            <m:limLoc m:val="undOvr"/>
            <m:ctrlPr>
              <w:rPr>
                <w:rFonts w:hint="eastAsia" w:ascii="Cambria Math" w:hAnsi="Cambria Math" w:eastAsia="楷体" w:cs="楷体"/>
                <w:b/>
                <w:bCs/>
                <w:sz w:val="24"/>
                <w:szCs w:val="24"/>
              </w:rPr>
            </m:ctrlPr>
          </m:naryPr>
          <m:sub>
            <m:r>
              <m:rPr>
                <m:sty m:val="b"/>
              </m:rPr>
              <w:rPr>
                <w:rFonts w:hint="eastAsia" w:ascii="Cambria Math" w:hAnsi="Cambria Math" w:eastAsia="楷体" w:cs="楷体"/>
                <w:sz w:val="24"/>
                <w:szCs w:val="24"/>
              </w:rPr>
              <m:t>i=1</m:t>
            </m:r>
            <m:ctrlPr>
              <w:rPr>
                <w:rFonts w:hint="eastAsia" w:ascii="Cambria Math" w:hAnsi="Cambria Math" w:eastAsia="楷体" w:cs="楷体"/>
                <w:b/>
                <w:bCs/>
                <w:sz w:val="24"/>
                <w:szCs w:val="24"/>
              </w:rPr>
            </m:ctrlPr>
          </m:sub>
          <m:sup>
            <m:r>
              <m:rPr>
                <m:sty m:val="b"/>
              </m:rPr>
              <w:rPr>
                <w:rFonts w:hint="eastAsia" w:ascii="Cambria Math" w:hAnsi="Cambria Math" w:eastAsia="楷体" w:cs="楷体"/>
                <w:sz w:val="24"/>
                <w:szCs w:val="24"/>
              </w:rPr>
              <m:t>n</m:t>
            </m:r>
            <m:ctrlPr>
              <w:rPr>
                <w:rFonts w:hint="eastAsia" w:ascii="Cambria Math" w:hAnsi="Cambria Math" w:eastAsia="楷体" w:cs="楷体"/>
                <w:b/>
                <w:bCs/>
                <w:sz w:val="24"/>
                <w:szCs w:val="24"/>
              </w:rPr>
            </m:ctrlPr>
          </m:sup>
          <m:e>
            <m:r>
              <m:rPr>
                <m:sty m:val="b"/>
              </m:rPr>
              <w:rPr>
                <w:rFonts w:hint="eastAsia" w:ascii="Cambria Math" w:hAnsi="Cambria Math" w:eastAsia="楷体" w:cs="楷体"/>
                <w:sz w:val="24"/>
                <w:szCs w:val="24"/>
              </w:rPr>
              <m:t>(Ecollec</m:t>
            </m:r>
            <m:r>
              <m:rPr>
                <m:sty m:val="b"/>
                <m:scr m:val="script"/>
              </m:rPr>
              <w:rPr>
                <w:rFonts w:hint="eastAsia" w:ascii="Cambria Math" w:hAnsi="Cambria Math" w:eastAsia="MS Mincho" w:cs="MS Mincho"/>
                <w:sz w:val="24"/>
                <w:szCs w:val="24"/>
              </w:rPr>
              <m:t>,i</m:t>
            </m:r>
            <m:r>
              <m:rPr>
                <m:sty m:val="b"/>
              </m:rPr>
              <w:rPr>
                <w:rFonts w:hint="eastAsia" w:ascii="Cambria Math" w:hAnsi="Cambria Math" w:eastAsia="楷体" w:cs="楷体"/>
                <w:sz w:val="24"/>
                <w:szCs w:val="24"/>
              </w:rPr>
              <m:t>+Eproduct</m:t>
            </m:r>
            <m:r>
              <m:rPr>
                <m:sty m:val="b"/>
                <m:scr m:val="script"/>
              </m:rPr>
              <w:rPr>
                <w:rFonts w:hint="eastAsia" w:ascii="Cambria Math" w:hAnsi="Cambria Math" w:eastAsia="MS Mincho" w:cs="MS Mincho"/>
                <w:sz w:val="24"/>
                <w:szCs w:val="24"/>
              </w:rPr>
              <m:t>,i</m:t>
            </m:r>
            <m:r>
              <m:rPr>
                <m:sty m:val="b"/>
              </m:rPr>
              <w:rPr>
                <w:rFonts w:hint="eastAsia" w:ascii="Cambria Math" w:hAnsi="Cambria Math" w:eastAsia="楷体" w:cs="楷体"/>
                <w:sz w:val="24"/>
                <w:szCs w:val="24"/>
              </w:rPr>
              <m:t>+Etrans1</m:t>
            </m:r>
            <m:r>
              <m:rPr>
                <m:sty m:val="b"/>
                <m:scr m:val="script"/>
              </m:rPr>
              <w:rPr>
                <w:rFonts w:hint="eastAsia" w:ascii="Cambria Math" w:hAnsi="Cambria Math" w:eastAsia="MS Mincho" w:cs="MS Mincho"/>
                <w:sz w:val="24"/>
                <w:szCs w:val="24"/>
              </w:rPr>
              <m:t>,i</m:t>
            </m:r>
            <m:r>
              <m:rPr>
                <m:sty m:val="b"/>
              </m:rPr>
              <w:rPr>
                <w:rFonts w:hint="eastAsia" w:ascii="Cambria Math" w:hAnsi="Cambria Math" w:eastAsia="楷体" w:cs="楷体"/>
                <w:sz w:val="24"/>
                <w:szCs w:val="24"/>
              </w:rPr>
              <m:t>+Etrans2</m:t>
            </m:r>
            <m:r>
              <m:rPr>
                <m:sty m:val="b"/>
                <m:scr m:val="script"/>
              </m:rPr>
              <w:rPr>
                <w:rFonts w:hint="eastAsia" w:ascii="Cambria Math" w:hAnsi="Cambria Math" w:eastAsia="MS Mincho" w:cs="MS Mincho"/>
                <w:sz w:val="24"/>
                <w:szCs w:val="24"/>
              </w:rPr>
              <m:t>,i)</m:t>
            </m:r>
            <m:r>
              <m:rPr>
                <m:sty m:val="b"/>
              </m:rPr>
              <w:rPr>
                <w:rFonts w:hint="eastAsia" w:ascii="Cambria Math" w:hAnsi="Cambria Math" w:eastAsia="MS Mincho" w:cs="MS Mincho"/>
                <w:sz w:val="24"/>
                <w:szCs w:val="24"/>
              </w:rPr>
              <m:t>×</m:t>
            </m:r>
            <m:r>
              <m:rPr>
                <m:sty m:val="b"/>
              </m:rPr>
              <w:rPr>
                <w:rFonts w:hint="eastAsia" w:ascii="Cambria Math" w:hAnsi="Cambria Math" w:eastAsia="楷体" w:cs="楷体"/>
                <w:sz w:val="24"/>
                <w:szCs w:val="24"/>
              </w:rPr>
              <m:t>Y</m:t>
            </m:r>
            <m:r>
              <m:rPr>
                <m:sty m:val="b"/>
                <m:scr m:val="script"/>
              </m:rPr>
              <w:rPr>
                <w:rFonts w:hint="eastAsia" w:ascii="Cambria Math" w:hAnsi="Cambria Math" w:eastAsia="MS Mincho" w:cs="MS Mincho"/>
                <w:sz w:val="24"/>
                <w:szCs w:val="24"/>
              </w:rPr>
              <m:t>i</m:t>
            </m:r>
            <m:ctrlPr>
              <w:rPr>
                <w:rFonts w:hint="eastAsia" w:ascii="Cambria Math" w:hAnsi="Cambria Math" w:eastAsia="楷体" w:cs="楷体"/>
                <w:b/>
                <w:bCs/>
                <w:sz w:val="24"/>
                <w:szCs w:val="24"/>
              </w:rPr>
            </m:ctrlPr>
          </m:e>
        </m:nary>
      </m:oMath>
      <w:r>
        <w:rPr>
          <w:rFonts w:hint="eastAsia" w:ascii="楷体" w:hAnsi="楷体" w:eastAsia="楷体" w:cs="楷体"/>
          <w:b/>
          <w:bCs/>
          <w:sz w:val="24"/>
          <w:szCs w:val="24"/>
        </w:rPr>
        <w:t xml:space="preserve"> （1）</w:t>
      </w:r>
    </w:p>
    <w:p w14:paraId="3DD43A56">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式中：CFaf：农资生产与运输阶段碳足迹；</w:t>
      </w:r>
    </w:p>
    <w:p w14:paraId="11CEBCF4">
      <w:pPr>
        <w:spacing w:line="360" w:lineRule="auto"/>
        <w:ind w:left="1438" w:leftChars="570" w:hanging="241" w:hangingChars="100"/>
        <w:rPr>
          <w:rFonts w:hint="eastAsia" w:ascii="楷体" w:hAnsi="楷体" w:eastAsia="楷体" w:cs="楷体"/>
          <w:b/>
          <w:bCs/>
          <w:sz w:val="24"/>
          <w:szCs w:val="24"/>
        </w:rPr>
      </w:pPr>
      <m:oMath>
        <m:r>
          <m:rPr>
            <m:sty m:val="b"/>
          </m:rPr>
          <w:rPr>
            <w:rFonts w:hint="eastAsia" w:ascii="Cambria Math" w:hAnsi="Cambria Math" w:eastAsia="楷体" w:cs="楷体"/>
            <w:sz w:val="24"/>
            <w:szCs w:val="24"/>
          </w:rPr>
          <m:t>Ecollec</m:t>
        </m:r>
        <m:r>
          <m:rPr>
            <m:sty m:val="b"/>
            <m:scr m:val="script"/>
          </m:rPr>
          <w:rPr>
            <w:rFonts w:hint="eastAsia" w:ascii="Cambria Math" w:hAnsi="Cambria Math" w:eastAsia="MS Mincho" w:cs="MS Mincho"/>
            <w:sz w:val="24"/>
            <w:szCs w:val="24"/>
          </w:rPr>
          <m:t>,i</m:t>
        </m:r>
      </m:oMath>
      <w:r>
        <w:rPr>
          <w:rFonts w:hint="eastAsia" w:ascii="楷体" w:hAnsi="楷体" w:eastAsia="楷体" w:cs="楷体"/>
          <w:b/>
          <w:bCs/>
          <w:sz w:val="24"/>
          <w:szCs w:val="24"/>
        </w:rPr>
        <w:t>：第</w:t>
      </w:r>
      <m:oMath>
        <m:r>
          <m:rPr>
            <m:sty m:val="b"/>
            <m:scr m:val="script"/>
          </m:rPr>
          <w:rPr>
            <w:rFonts w:hint="eastAsia" w:ascii="Cambria Math" w:hAnsi="Cambria Math" w:eastAsia="MS Mincho" w:cs="MS Mincho"/>
            <w:sz w:val="24"/>
            <w:szCs w:val="24"/>
          </w:rPr>
          <m:t>i</m:t>
        </m:r>
      </m:oMath>
      <w:r>
        <w:rPr>
          <w:rFonts w:hint="eastAsia" w:ascii="楷体" w:hAnsi="楷体" w:eastAsia="楷体" w:cs="楷体"/>
          <w:b/>
          <w:bCs/>
          <w:sz w:val="24"/>
          <w:szCs w:val="24"/>
        </w:rPr>
        <w:t>种原料开采或收集阶段的 GHG 排放（如矿石开采、</w:t>
      </w:r>
    </w:p>
    <w:p w14:paraId="43338999">
      <w:pPr>
        <w:spacing w:line="360" w:lineRule="auto"/>
        <w:ind w:left="1438" w:leftChars="570" w:hanging="241" w:hangingChars="100"/>
        <w:rPr>
          <w:rFonts w:hint="eastAsia" w:ascii="楷体" w:hAnsi="楷体" w:eastAsia="楷体" w:cs="楷体"/>
          <w:b/>
          <w:bCs/>
          <w:sz w:val="24"/>
          <w:szCs w:val="24"/>
        </w:rPr>
      </w:pPr>
      <w:r>
        <w:rPr>
          <w:rFonts w:hint="eastAsia" w:ascii="楷体" w:hAnsi="楷体" w:eastAsia="楷体" w:cs="楷体"/>
          <w:b/>
          <w:bCs/>
          <w:sz w:val="24"/>
          <w:szCs w:val="24"/>
        </w:rPr>
        <w:t>禽粪便收集）；</w:t>
      </w:r>
    </w:p>
    <w:p w14:paraId="2B328BD3">
      <w:pPr>
        <w:spacing w:line="360" w:lineRule="auto"/>
        <w:ind w:left="1197" w:leftChars="570"/>
        <w:rPr>
          <w:rFonts w:hint="eastAsia" w:ascii="楷体" w:hAnsi="楷体" w:eastAsia="楷体" w:cs="楷体"/>
          <w:b/>
          <w:bCs/>
          <w:sz w:val="24"/>
          <w:szCs w:val="24"/>
        </w:rPr>
      </w:pPr>
      <m:oMath>
        <m:r>
          <m:rPr>
            <m:sty m:val="b"/>
          </m:rPr>
          <w:rPr>
            <w:rFonts w:hint="eastAsia" w:ascii="Cambria Math" w:hAnsi="Cambria Math" w:eastAsia="楷体" w:cs="楷体"/>
            <w:sz w:val="24"/>
            <w:szCs w:val="24"/>
          </w:rPr>
          <m:t>Eproduct</m:t>
        </m:r>
        <m:r>
          <m:rPr>
            <m:sty m:val="b"/>
            <m:scr m:val="script"/>
          </m:rPr>
          <w:rPr>
            <w:rFonts w:hint="eastAsia" w:ascii="Cambria Math" w:hAnsi="Cambria Math" w:eastAsia="MS Mincho" w:cs="MS Mincho"/>
            <w:sz w:val="24"/>
            <w:szCs w:val="24"/>
          </w:rPr>
          <m:t>,i</m:t>
        </m:r>
      </m:oMath>
      <w:r>
        <w:rPr>
          <w:rFonts w:hint="eastAsia" w:ascii="楷体" w:hAnsi="楷体" w:eastAsia="楷体" w:cs="楷体"/>
          <w:b/>
          <w:bCs/>
          <w:sz w:val="24"/>
          <w:szCs w:val="24"/>
        </w:rPr>
        <w:t>：第</w:t>
      </w:r>
      <m:oMath>
        <m:r>
          <m:rPr>
            <m:sty m:val="b"/>
            <m:scr m:val="script"/>
          </m:rPr>
          <w:rPr>
            <w:rFonts w:hint="eastAsia" w:ascii="Cambria Math" w:hAnsi="Cambria Math" w:eastAsia="MS Mincho" w:cs="MS Mincho"/>
            <w:sz w:val="24"/>
            <w:szCs w:val="24"/>
          </w:rPr>
          <m:t>i</m:t>
        </m:r>
      </m:oMath>
      <w:r>
        <w:rPr>
          <w:rFonts w:hint="eastAsia" w:ascii="楷体" w:hAnsi="楷体" w:eastAsia="楷体" w:cs="楷体"/>
          <w:b/>
          <w:bCs/>
          <w:sz w:val="24"/>
          <w:szCs w:val="24"/>
        </w:rPr>
        <w:t>种农资在生产与加工阶段的 GHG 排放（如化肥合成、农药制剂生产）；</w:t>
      </w:r>
    </w:p>
    <w:p w14:paraId="4D2ADDF1">
      <w:pPr>
        <w:spacing w:line="360" w:lineRule="auto"/>
        <w:ind w:firstLine="1205" w:firstLineChars="500"/>
        <w:rPr>
          <w:rFonts w:hint="eastAsia" w:ascii="楷体" w:hAnsi="楷体" w:eastAsia="楷体" w:cs="楷体"/>
          <w:b/>
          <w:bCs/>
          <w:sz w:val="24"/>
          <w:szCs w:val="24"/>
        </w:rPr>
      </w:pPr>
      <m:oMath>
        <m:r>
          <m:rPr>
            <m:sty m:val="b"/>
          </m:rPr>
          <w:rPr>
            <w:rFonts w:hint="eastAsia" w:ascii="Cambria Math" w:hAnsi="Cambria Math" w:eastAsia="楷体" w:cs="楷体"/>
            <w:sz w:val="24"/>
            <w:szCs w:val="24"/>
          </w:rPr>
          <m:t>Etrans1</m:t>
        </m:r>
        <m:r>
          <m:rPr>
            <m:sty m:val="b"/>
            <m:scr m:val="script"/>
          </m:rPr>
          <w:rPr>
            <w:rFonts w:hint="eastAsia" w:ascii="Cambria Math" w:hAnsi="Cambria Math" w:eastAsia="MS Mincho" w:cs="MS Mincho"/>
            <w:sz w:val="24"/>
            <w:szCs w:val="24"/>
          </w:rPr>
          <m:t>,i</m:t>
        </m:r>
      </m:oMath>
      <w:r>
        <w:rPr>
          <w:rFonts w:hint="eastAsia" w:ascii="楷体" w:hAnsi="楷体" w:eastAsia="楷体" w:cs="楷体"/>
          <w:b/>
          <w:bCs/>
          <w:sz w:val="24"/>
          <w:szCs w:val="24"/>
        </w:rPr>
        <w:t>：第</w:t>
      </w:r>
      <m:oMath>
        <m:r>
          <m:rPr>
            <m:sty m:val="b"/>
            <m:scr m:val="script"/>
          </m:rPr>
          <w:rPr>
            <w:rFonts w:hint="eastAsia" w:ascii="Cambria Math" w:hAnsi="Cambria Math" w:eastAsia="MS Mincho" w:cs="MS Mincho"/>
            <w:sz w:val="24"/>
            <w:szCs w:val="24"/>
          </w:rPr>
          <m:t>i</m:t>
        </m:r>
      </m:oMath>
      <w:r>
        <w:rPr>
          <w:rFonts w:hint="eastAsia" w:ascii="楷体" w:hAnsi="楷体" w:eastAsia="楷体" w:cs="楷体"/>
          <w:b/>
          <w:bCs/>
          <w:sz w:val="24"/>
          <w:szCs w:val="24"/>
        </w:rPr>
        <w:t>种原料从开采地运输至加工厂的 GHG 排放；</w:t>
      </w:r>
    </w:p>
    <w:p w14:paraId="00913A8D">
      <w:pPr>
        <w:spacing w:line="360" w:lineRule="auto"/>
        <w:ind w:firstLine="1205" w:firstLineChars="500"/>
        <w:rPr>
          <w:rFonts w:hint="eastAsia" w:ascii="楷体" w:hAnsi="楷体" w:eastAsia="楷体" w:cs="楷体"/>
          <w:b/>
          <w:bCs/>
          <w:sz w:val="24"/>
          <w:szCs w:val="24"/>
        </w:rPr>
      </w:pPr>
      <m:oMath>
        <m:r>
          <m:rPr>
            <m:sty m:val="b"/>
          </m:rPr>
          <w:rPr>
            <w:rFonts w:hint="eastAsia" w:ascii="Cambria Math" w:hAnsi="Cambria Math" w:eastAsia="楷体" w:cs="楷体"/>
            <w:sz w:val="24"/>
            <w:szCs w:val="24"/>
          </w:rPr>
          <m:t>Etrans2</m:t>
        </m:r>
        <m:r>
          <m:rPr>
            <m:sty m:val="b"/>
            <m:scr m:val="script"/>
          </m:rPr>
          <w:rPr>
            <w:rFonts w:hint="eastAsia" w:ascii="Cambria Math" w:hAnsi="Cambria Math" w:eastAsia="MS Mincho" w:cs="MS Mincho"/>
            <w:sz w:val="24"/>
            <w:szCs w:val="24"/>
          </w:rPr>
          <m:t>,i</m:t>
        </m:r>
      </m:oMath>
      <w:r>
        <w:rPr>
          <w:rFonts w:hint="eastAsia" w:ascii="楷体" w:hAnsi="楷体" w:eastAsia="楷体" w:cs="楷体"/>
          <w:b/>
          <w:bCs/>
          <w:sz w:val="24"/>
          <w:szCs w:val="24"/>
        </w:rPr>
        <w:t>：第</w:t>
      </w:r>
      <m:oMath>
        <m:r>
          <m:rPr>
            <m:sty m:val="b"/>
            <m:scr m:val="script"/>
          </m:rPr>
          <w:rPr>
            <w:rFonts w:hint="eastAsia" w:ascii="Cambria Math" w:hAnsi="Cambria Math" w:eastAsia="MS Mincho" w:cs="MS Mincho"/>
            <w:sz w:val="24"/>
            <w:szCs w:val="24"/>
          </w:rPr>
          <m:t>i</m:t>
        </m:r>
      </m:oMath>
      <w:r>
        <w:rPr>
          <w:rFonts w:hint="eastAsia" w:ascii="楷体" w:hAnsi="楷体" w:eastAsia="楷体" w:cs="楷体"/>
          <w:b/>
          <w:bCs/>
          <w:sz w:val="24"/>
          <w:szCs w:val="24"/>
        </w:rPr>
        <w:t>种农资产品从生产厂运输至饲料种植地的 GHG 排放；</w:t>
      </w:r>
    </w:p>
    <w:p w14:paraId="5E7FD816">
      <w:pPr>
        <w:spacing w:line="360" w:lineRule="auto"/>
        <w:ind w:firstLine="1201" w:firstLineChars="500"/>
        <w:rPr>
          <w:rFonts w:hint="eastAsia" w:ascii="楷体" w:hAnsi="楷体" w:eastAsia="楷体" w:cs="楷体"/>
          <w:b/>
          <w:bCs/>
          <w:sz w:val="24"/>
          <w:szCs w:val="24"/>
        </w:rPr>
      </w:pPr>
      <m:oMath>
        <m:r>
          <m:rPr>
            <m:sty m:val="b"/>
            <m:scr m:val="script"/>
          </m:rPr>
          <w:rPr>
            <w:rFonts w:hint="eastAsia" w:ascii="Cambria Math" w:hAnsi="Cambria Math" w:eastAsia="MS Mincho" w:cs="MS Mincho"/>
            <w:sz w:val="24"/>
            <w:szCs w:val="24"/>
          </w:rPr>
          <m:t>i</m:t>
        </m:r>
      </m:oMath>
      <w:r>
        <w:rPr>
          <w:rFonts w:hint="eastAsia" w:ascii="楷体" w:hAnsi="楷体" w:eastAsia="楷体" w:cs="楷体"/>
          <w:b/>
          <w:bCs/>
          <w:sz w:val="24"/>
          <w:szCs w:val="24"/>
        </w:rPr>
        <w:t>：农资类型（如化肥、农药、农膜、有机肥等，n为农资种类总数）。</w:t>
      </w:r>
    </w:p>
    <w:p w14:paraId="6991ABEB">
      <w:pPr>
        <w:spacing w:line="360" w:lineRule="auto"/>
        <w:ind w:firstLine="1205" w:firstLineChars="500"/>
        <w:rPr>
          <w:rFonts w:hint="eastAsia" w:ascii="楷体" w:hAnsi="楷体" w:eastAsia="楷体" w:cs="楷体"/>
          <w:b/>
          <w:bCs/>
          <w:sz w:val="24"/>
          <w:szCs w:val="24"/>
        </w:rPr>
      </w:pPr>
      <w:r>
        <w:rPr>
          <w:rFonts w:hint="eastAsia" w:ascii="楷体" w:hAnsi="楷体" w:eastAsia="楷体" w:cs="楷体"/>
          <w:b/>
          <w:bCs/>
          <w:sz w:val="24"/>
          <w:szCs w:val="24"/>
        </w:rPr>
        <w:t>Y</w:t>
      </w:r>
      <m:oMath>
        <m:r>
          <m:rPr>
            <m:sty m:val="b"/>
            <m:scr m:val="script"/>
          </m:rPr>
          <w:rPr>
            <w:rFonts w:hint="eastAsia" w:ascii="Cambria Math" w:hAnsi="Cambria Math" w:eastAsia="MS Mincho" w:cs="MS Mincho"/>
            <w:sz w:val="24"/>
            <w:szCs w:val="24"/>
          </w:rPr>
          <m:t>i</m:t>
        </m:r>
      </m:oMath>
      <w:r>
        <w:rPr>
          <w:rFonts w:hint="eastAsia" w:ascii="楷体" w:hAnsi="楷体" w:eastAsia="楷体" w:cs="楷体"/>
          <w:b/>
          <w:bCs/>
          <w:sz w:val="24"/>
          <w:szCs w:val="24"/>
        </w:rPr>
        <w:t>：第i种农资的使用量。</w:t>
      </w:r>
    </w:p>
    <w:p w14:paraId="147D3934">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本文件8.1.1农资生产与运输阶段碳足迹首先参照《Greenhouse gases—Carbon footprint of products—Requirements and guide lines for quantification》ISO 14067:2018中涉及的内容划定部分阶段的生命周期清单范围，然后计算农资生产与运输阶段各单元涉及的GHG排放之和。</w:t>
      </w:r>
    </w:p>
    <w:p w14:paraId="230849C6">
      <w:pPr>
        <w:spacing w:line="360" w:lineRule="auto"/>
        <w:ind w:firstLine="562" w:firstLineChars="200"/>
        <w:rPr>
          <w:rFonts w:hint="eastAsia" w:ascii="仿宋" w:hAnsi="仿宋" w:eastAsia="仿宋"/>
          <w:b/>
          <w:sz w:val="28"/>
          <w:szCs w:val="28"/>
        </w:rPr>
      </w:pPr>
    </w:p>
    <w:p w14:paraId="1002E828">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5A90F4FC">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 xml:space="preserve">8.1.2 </w:t>
      </w:r>
      <w:bookmarkStart w:id="3" w:name="_Hlk199878472"/>
      <w:r>
        <w:rPr>
          <w:rFonts w:hint="eastAsia" w:ascii="楷体" w:hAnsi="楷体" w:eastAsia="楷体" w:cs="楷体"/>
          <w:b/>
          <w:bCs/>
          <w:sz w:val="24"/>
          <w:szCs w:val="24"/>
        </w:rPr>
        <w:t>饲料作物种植与收获阶段碳足迹</w:t>
      </w:r>
      <w:bookmarkEnd w:id="3"/>
    </w:p>
    <w:p w14:paraId="06135911">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饲料作物种植到收获阶段的单位饲料碳足迹按公式（2）计算</w:t>
      </w:r>
    </w:p>
    <w:p w14:paraId="2F4C9BC5">
      <w:pPr>
        <w:spacing w:line="360" w:lineRule="auto"/>
        <w:ind w:firstLine="482" w:firstLineChars="200"/>
        <w:rPr>
          <w:rFonts w:hint="eastAsia" w:ascii="楷体" w:hAnsi="楷体" w:eastAsia="楷体" w:cs="楷体"/>
          <w:b/>
          <w:bCs/>
          <w:sz w:val="24"/>
          <w:szCs w:val="24"/>
        </w:rPr>
      </w:pPr>
      <m:oMath>
        <m:r>
          <m:rPr>
            <m:sty m:val="b"/>
          </m:rPr>
          <w:rPr>
            <w:rFonts w:hint="eastAsia" w:ascii="Cambria Math" w:hAnsi="Cambria Math" w:eastAsia="楷体" w:cs="楷体"/>
            <w:sz w:val="24"/>
            <w:szCs w:val="24"/>
          </w:rPr>
          <m:t>CFplant product=Eplant+Eert+Euel+Elec+△Csoil</m:t>
        </m:r>
      </m:oMath>
      <w:r>
        <w:rPr>
          <w:rFonts w:hint="eastAsia" w:ascii="楷体" w:hAnsi="楷体" w:eastAsia="楷体" w:cs="楷体"/>
          <w:b/>
          <w:bCs/>
          <w:sz w:val="24"/>
          <w:szCs w:val="24"/>
        </w:rPr>
        <w:t xml:space="preserve">     （2）</w:t>
      </w:r>
    </w:p>
    <w:p w14:paraId="2900B00E">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CFplant product：饲料作物种植与收获阶段每生长周期温室气体排放量（tCO2-eq/GP）；</w:t>
      </w:r>
    </w:p>
    <w:p w14:paraId="1A6EDA9C">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Eplant：所有饲料作物每生长周期温室气体排放量（tCO2-eq/GP）；</w:t>
      </w:r>
    </w:p>
    <w:p w14:paraId="29C55E20">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Eert：饲料作物种植过程每生长周期施用含氮肥料产生的N2O排放量（tCO2-eq/GP）；</w:t>
      </w:r>
    </w:p>
    <w:p w14:paraId="13B8C818">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Euel：饲料作物种植过程每生长周期消耗化石燃料产生的CO2排放量（tCO2/GP）；</w:t>
      </w:r>
    </w:p>
    <w:p w14:paraId="32E10BB9">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Elec：饲料作物种植过程每生长周期使用电力所对应的CO2排放量（tCO2/GP）；</w:t>
      </w:r>
    </w:p>
    <w:p w14:paraId="7E8B8B39">
      <w:pPr>
        <w:spacing w:line="360" w:lineRule="auto"/>
        <w:ind w:firstLine="482" w:firstLineChars="200"/>
        <w:rPr>
          <w:rFonts w:hint="eastAsia" w:ascii="楷体" w:hAnsi="楷体" w:eastAsia="楷体" w:cs="楷体"/>
          <w:b/>
          <w:bCs/>
          <w:sz w:val="24"/>
          <w:szCs w:val="24"/>
        </w:rPr>
      </w:pPr>
      <m:oMath>
        <m:r>
          <m:rPr>
            <m:sty m:val="b"/>
          </m:rPr>
          <w:rPr>
            <w:rFonts w:hint="eastAsia" w:ascii="Cambria Math" w:hAnsi="Cambria Math" w:eastAsia="楷体" w:cs="楷体"/>
            <w:sz w:val="24"/>
            <w:szCs w:val="24"/>
          </w:rPr>
          <m:t>△</m:t>
        </m:r>
      </m:oMath>
      <w:r>
        <w:rPr>
          <w:rFonts w:hint="eastAsia" w:ascii="楷体" w:hAnsi="楷体" w:eastAsia="楷体" w:cs="楷体"/>
          <w:b/>
          <w:bCs/>
          <w:sz w:val="24"/>
          <w:szCs w:val="24"/>
        </w:rPr>
        <w:t>Csoil：饲料作物种植每生长周期引起的土壤碳库变化量对应的CO2当量（tCO2-eq/GP）；</w:t>
      </w:r>
    </w:p>
    <w:p w14:paraId="4A6913CD">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本文件8.1.2饲料种植与收获阶段碳足迹参照《</w:t>
      </w:r>
      <w:bookmarkStart w:id="4" w:name="_Hlk199881578"/>
      <w:r>
        <w:rPr>
          <w:rFonts w:hint="eastAsia" w:ascii="宋体" w:hAnsi="宋体" w:eastAsia="宋体" w:cs="Times New Roman"/>
          <w:sz w:val="24"/>
          <w:szCs w:val="24"/>
        </w:rPr>
        <w:t>饲料种植与收获阶段碳足迹</w:t>
      </w:r>
      <w:bookmarkEnd w:id="4"/>
      <w:r>
        <w:rPr>
          <w:rFonts w:hint="eastAsia" w:ascii="宋体" w:hAnsi="宋体" w:eastAsia="宋体" w:cs="Times New Roman"/>
          <w:sz w:val="24"/>
          <w:szCs w:val="24"/>
        </w:rPr>
        <w:t>》</w:t>
      </w:r>
      <w:bookmarkStart w:id="5" w:name="_Hlk199881555"/>
      <w:r>
        <w:rPr>
          <w:rFonts w:hint="eastAsia" w:ascii="宋体" w:hAnsi="宋体" w:eastAsia="宋体" w:cs="Times New Roman"/>
          <w:sz w:val="24"/>
          <w:szCs w:val="24"/>
        </w:rPr>
        <w:t>RB/T 095-2022</w:t>
      </w:r>
      <w:bookmarkEnd w:id="5"/>
      <w:r>
        <w:rPr>
          <w:rFonts w:hint="eastAsia" w:ascii="宋体" w:hAnsi="宋体" w:eastAsia="宋体" w:cs="Times New Roman"/>
          <w:sz w:val="24"/>
          <w:szCs w:val="24"/>
        </w:rPr>
        <w:t>中公式6.1的算法。</w:t>
      </w:r>
    </w:p>
    <w:p w14:paraId="3C297052">
      <w:pPr>
        <w:spacing w:line="360" w:lineRule="auto"/>
        <w:ind w:firstLine="562" w:firstLineChars="200"/>
        <w:rPr>
          <w:rFonts w:hint="eastAsia" w:ascii="仿宋" w:hAnsi="仿宋" w:eastAsia="仿宋"/>
          <w:b/>
          <w:sz w:val="28"/>
          <w:szCs w:val="28"/>
        </w:rPr>
      </w:pPr>
    </w:p>
    <w:p w14:paraId="1CC6D342">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12A339CF">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8.1.3 饲料产品加工与运输阶段碳足迹</w:t>
      </w:r>
    </w:p>
    <w:p w14:paraId="1AED81D5">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饲料产品加工与运输阶段的单位饲料产品碳足迹按公式（3）计算</w:t>
      </w:r>
    </w:p>
    <w:p w14:paraId="249A94BC">
      <w:pPr>
        <w:spacing w:line="360" w:lineRule="auto"/>
        <w:ind w:firstLine="482" w:firstLineChars="200"/>
        <w:rPr>
          <w:rFonts w:hint="eastAsia" w:ascii="楷体" w:hAnsi="楷体" w:eastAsia="楷体" w:cs="楷体"/>
          <w:b/>
          <w:bCs/>
          <w:sz w:val="24"/>
          <w:szCs w:val="24"/>
        </w:rPr>
      </w:pPr>
      <m:oMath>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CF</m:t>
            </m:r>
            <m:ctrlPr>
              <w:rPr>
                <w:rFonts w:hint="eastAsia" w:ascii="Cambria Math" w:hAnsi="Cambria Math" w:eastAsia="楷体" w:cs="楷体"/>
                <w:b/>
                <w:bCs/>
                <w:sz w:val="24"/>
                <w:szCs w:val="24"/>
              </w:rPr>
            </m:ctrlPr>
          </m:e>
          <m:sub>
            <m:r>
              <m:rPr>
                <m:sty m:val="b"/>
              </m:rPr>
              <w:rPr>
                <w:rFonts w:hint="eastAsia" w:ascii="Cambria Math" w:hAnsi="Cambria Math" w:eastAsia="楷体" w:cs="楷体"/>
                <w:sz w:val="24"/>
                <w:szCs w:val="24"/>
              </w:rPr>
              <m:t>machi,trans3</m:t>
            </m:r>
            <m:ctrlPr>
              <w:rPr>
                <w:rFonts w:hint="eastAsia" w:ascii="Cambria Math" w:hAnsi="Cambria Math" w:eastAsia="楷体" w:cs="楷体"/>
                <w:b/>
                <w:bCs/>
                <w:sz w:val="24"/>
                <w:szCs w:val="24"/>
              </w:rPr>
            </m:ctrlPr>
          </m:sub>
        </m:sSub>
        <m:r>
          <m:rPr>
            <m:sty m:val="b"/>
          </m:rPr>
          <w:rPr>
            <w:rFonts w:hint="eastAsia" w:ascii="Cambria Math" w:hAnsi="Cambria Math" w:eastAsia="楷体" w:cs="楷体"/>
            <w:sz w:val="24"/>
            <w:szCs w:val="24"/>
          </w:rPr>
          <m:t>=</m:t>
        </m:r>
        <m:nary>
          <m:naryPr>
            <m:chr m:val="∑"/>
            <m:limLoc m:val="undOvr"/>
            <m:subHide m:val="1"/>
            <m:supHide m:val="1"/>
            <m:ctrlPr>
              <w:rPr>
                <w:rFonts w:hint="eastAsia" w:ascii="Cambria Math" w:hAnsi="Cambria Math" w:eastAsia="楷体" w:cs="楷体"/>
                <w:b/>
                <w:bCs/>
                <w:sz w:val="24"/>
                <w:szCs w:val="24"/>
              </w:rPr>
            </m:ctrlPr>
          </m:naryPr>
          <m:sub>
            <m:ctrlPr>
              <w:rPr>
                <w:rFonts w:hint="eastAsia" w:ascii="Cambria Math" w:hAnsi="Cambria Math" w:eastAsia="楷体" w:cs="楷体"/>
                <w:b/>
                <w:bCs/>
                <w:sz w:val="24"/>
                <w:szCs w:val="24"/>
              </w:rPr>
            </m:ctrlPr>
          </m:sub>
          <m:sup>
            <m:ctrlPr>
              <w:rPr>
                <w:rFonts w:hint="eastAsia" w:ascii="Cambria Math" w:hAnsi="Cambria Math" w:eastAsia="楷体" w:cs="楷体"/>
                <w:b/>
                <w:bCs/>
                <w:sz w:val="24"/>
                <w:szCs w:val="24"/>
              </w:rPr>
            </m:ctrlPr>
          </m:sup>
          <m:e>
            <m:r>
              <m:rPr>
                <m:sty m:val="b"/>
              </m:rPr>
              <w:rPr>
                <w:rFonts w:hint="eastAsia" w:ascii="Cambria Math" w:hAnsi="Cambria Math" w:eastAsia="楷体" w:cs="楷体"/>
                <w:sz w:val="24"/>
                <w:szCs w:val="24"/>
              </w:rPr>
              <m:t>(</m:t>
            </m:r>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E</m:t>
                </m:r>
                <m:ctrlPr>
                  <w:rPr>
                    <w:rFonts w:hint="eastAsia" w:ascii="Cambria Math" w:hAnsi="Cambria Math" w:eastAsia="楷体" w:cs="楷体"/>
                    <w:b/>
                    <w:bCs/>
                    <w:sz w:val="24"/>
                    <w:szCs w:val="24"/>
                  </w:rPr>
                </m:ctrlPr>
              </m:e>
              <m:sub>
                <m:r>
                  <m:rPr>
                    <m:sty m:val="b"/>
                  </m:rPr>
                  <w:rPr>
                    <w:rFonts w:hint="eastAsia" w:ascii="Cambria Math" w:hAnsi="Cambria Math" w:eastAsia="楷体" w:cs="楷体"/>
                    <w:sz w:val="24"/>
                    <w:szCs w:val="24"/>
                  </w:rPr>
                  <m:t>machi, k</m:t>
                </m:r>
                <m:ctrlPr>
                  <w:rPr>
                    <w:rFonts w:hint="eastAsia" w:ascii="Cambria Math" w:hAnsi="Cambria Math" w:eastAsia="楷体" w:cs="楷体"/>
                    <w:b/>
                    <w:bCs/>
                    <w:sz w:val="24"/>
                    <w:szCs w:val="24"/>
                  </w:rPr>
                </m:ctrlPr>
              </m:sub>
            </m:sSub>
            <m:r>
              <m:rPr>
                <m:sty m:val="b"/>
              </m:rPr>
              <w:rPr>
                <w:rFonts w:hint="eastAsia" w:ascii="Cambria Math" w:hAnsi="Cambria Math" w:eastAsia="楷体" w:cs="楷体"/>
                <w:sz w:val="24"/>
                <w:szCs w:val="24"/>
              </w:rPr>
              <m:t>×</m:t>
            </m:r>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CA</m:t>
                </m:r>
                <m:ctrlPr>
                  <w:rPr>
                    <w:rFonts w:hint="eastAsia" w:ascii="Cambria Math" w:hAnsi="Cambria Math" w:eastAsia="楷体" w:cs="楷体"/>
                    <w:b/>
                    <w:bCs/>
                    <w:sz w:val="24"/>
                    <w:szCs w:val="24"/>
                  </w:rPr>
                </m:ctrlPr>
              </m:e>
              <m:sub>
                <m:r>
                  <m:rPr>
                    <m:sty m:val="b"/>
                  </m:rPr>
                  <w:rPr>
                    <w:rFonts w:hint="eastAsia" w:ascii="Cambria Math" w:hAnsi="Cambria Math" w:eastAsia="楷体" w:cs="楷体"/>
                    <w:sz w:val="24"/>
                    <w:szCs w:val="24"/>
                  </w:rPr>
                  <m:t>K</m:t>
                </m:r>
                <m:ctrlPr>
                  <w:rPr>
                    <w:rFonts w:hint="eastAsia" w:ascii="Cambria Math" w:hAnsi="Cambria Math" w:eastAsia="楷体" w:cs="楷体"/>
                    <w:b/>
                    <w:bCs/>
                    <w:sz w:val="24"/>
                    <w:szCs w:val="24"/>
                  </w:rPr>
                </m:ctrlPr>
              </m:sub>
            </m:sSub>
            <m:r>
              <m:rPr>
                <m:sty m:val="b"/>
              </m:rPr>
              <w:rPr>
                <w:rFonts w:hint="eastAsia" w:ascii="Cambria Math" w:hAnsi="Cambria Math" w:eastAsia="楷体" w:cs="楷体"/>
                <w:sz w:val="24"/>
                <w:szCs w:val="24"/>
              </w:rPr>
              <m:t>)</m:t>
            </m:r>
            <m:ctrlPr>
              <w:rPr>
                <w:rFonts w:hint="eastAsia" w:ascii="Cambria Math" w:hAnsi="Cambria Math" w:eastAsia="楷体" w:cs="楷体"/>
                <w:b/>
                <w:bCs/>
                <w:sz w:val="24"/>
                <w:szCs w:val="24"/>
              </w:rPr>
            </m:ctrlPr>
          </m:e>
        </m:nary>
        <m:r>
          <m:rPr>
            <m:sty m:val="b"/>
          </m:rPr>
          <w:rPr>
            <w:rFonts w:hint="eastAsia" w:ascii="Cambria Math" w:hAnsi="Cambria Math" w:eastAsia="楷体" w:cs="楷体"/>
            <w:sz w:val="24"/>
            <w:szCs w:val="24"/>
          </w:rPr>
          <m:t>+</m:t>
        </m:r>
        <m:nary>
          <m:naryPr>
            <m:chr m:val="∑"/>
            <m:limLoc m:val="undOvr"/>
            <m:subHide m:val="1"/>
            <m:supHide m:val="1"/>
            <m:ctrlPr>
              <w:rPr>
                <w:rFonts w:hint="eastAsia" w:ascii="Cambria Math" w:hAnsi="Cambria Math" w:eastAsia="楷体" w:cs="楷体"/>
                <w:b/>
                <w:bCs/>
                <w:sz w:val="24"/>
                <w:szCs w:val="24"/>
              </w:rPr>
            </m:ctrlPr>
          </m:naryPr>
          <m:sub>
            <m:ctrlPr>
              <w:rPr>
                <w:rFonts w:hint="eastAsia" w:ascii="Cambria Math" w:hAnsi="Cambria Math" w:eastAsia="楷体" w:cs="楷体"/>
                <w:b/>
                <w:bCs/>
                <w:sz w:val="24"/>
                <w:szCs w:val="24"/>
              </w:rPr>
            </m:ctrlPr>
          </m:sub>
          <m:sup>
            <m:ctrlPr>
              <w:rPr>
                <w:rFonts w:hint="eastAsia" w:ascii="Cambria Math" w:hAnsi="Cambria Math" w:eastAsia="楷体" w:cs="楷体"/>
                <w:b/>
                <w:bCs/>
                <w:sz w:val="24"/>
                <w:szCs w:val="24"/>
              </w:rPr>
            </m:ctrlPr>
          </m:sup>
          <m:e>
            <m:f>
              <m:fPr>
                <m:ctrlPr>
                  <w:rPr>
                    <w:rFonts w:hint="eastAsia" w:ascii="Cambria Math" w:hAnsi="Cambria Math" w:eastAsia="楷体" w:cs="楷体"/>
                    <w:b/>
                    <w:bCs/>
                    <w:sz w:val="24"/>
                    <w:szCs w:val="24"/>
                  </w:rPr>
                </m:ctrlPr>
              </m:fPr>
              <m:num>
                <m:r>
                  <m:rPr>
                    <m:sty m:val="b"/>
                  </m:rPr>
                  <w:rPr>
                    <w:rFonts w:hint="eastAsia" w:ascii="Cambria Math" w:hAnsi="Cambria Math" w:eastAsia="楷体" w:cs="楷体"/>
                    <w:sz w:val="24"/>
                    <w:szCs w:val="24"/>
                  </w:rPr>
                  <m:t>Q×D</m:t>
                </m:r>
                <m:ctrlPr>
                  <w:rPr>
                    <w:rFonts w:hint="eastAsia" w:ascii="Cambria Math" w:hAnsi="Cambria Math" w:eastAsia="楷体" w:cs="楷体"/>
                    <w:b/>
                    <w:bCs/>
                    <w:sz w:val="24"/>
                    <w:szCs w:val="24"/>
                  </w:rPr>
                </m:ctrlPr>
              </m:num>
              <m:den>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L</m:t>
                    </m:r>
                    <m:ctrlPr>
                      <w:rPr>
                        <w:rFonts w:hint="eastAsia" w:ascii="Cambria Math" w:hAnsi="Cambria Math" w:eastAsia="楷体" w:cs="楷体"/>
                        <w:b/>
                        <w:bCs/>
                        <w:sz w:val="24"/>
                        <w:szCs w:val="24"/>
                      </w:rPr>
                    </m:ctrlPr>
                  </m:e>
                  <m:sub>
                    <m:r>
                      <m:rPr>
                        <m:sty m:val="b"/>
                      </m:rPr>
                      <w:rPr>
                        <w:rFonts w:hint="eastAsia" w:ascii="Cambria Math" w:hAnsi="Cambria Math" w:eastAsia="楷体" w:cs="楷体"/>
                        <w:sz w:val="24"/>
                        <w:szCs w:val="24"/>
                      </w:rPr>
                      <m:t>K</m:t>
                    </m:r>
                    <m:ctrlPr>
                      <w:rPr>
                        <w:rFonts w:hint="eastAsia" w:ascii="Cambria Math" w:hAnsi="Cambria Math" w:eastAsia="楷体" w:cs="楷体"/>
                        <w:b/>
                        <w:bCs/>
                        <w:sz w:val="24"/>
                        <w:szCs w:val="24"/>
                      </w:rPr>
                    </m:ctrlPr>
                  </m:sub>
                </m:sSub>
                <m:ctrlPr>
                  <w:rPr>
                    <w:rFonts w:hint="eastAsia" w:ascii="Cambria Math" w:hAnsi="Cambria Math" w:eastAsia="楷体" w:cs="楷体"/>
                    <w:b/>
                    <w:bCs/>
                    <w:sz w:val="24"/>
                    <w:szCs w:val="24"/>
                  </w:rPr>
                </m:ctrlPr>
              </m:den>
            </m:f>
            <m:ctrlPr>
              <w:rPr>
                <w:rFonts w:hint="eastAsia" w:ascii="Cambria Math" w:hAnsi="Cambria Math" w:eastAsia="楷体" w:cs="楷体"/>
                <w:b/>
                <w:bCs/>
                <w:sz w:val="24"/>
                <w:szCs w:val="24"/>
              </w:rPr>
            </m:ctrlPr>
          </m:e>
        </m:nary>
        <m:r>
          <m:rPr>
            <m:sty m:val="b"/>
          </m:rPr>
          <w:rPr>
            <w:rFonts w:hint="eastAsia" w:ascii="Cambria Math" w:hAnsi="Cambria Math" w:eastAsia="楷体" w:cs="楷体"/>
            <w:sz w:val="24"/>
            <w:szCs w:val="24"/>
          </w:rPr>
          <m:t>×</m:t>
        </m:r>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CB</m:t>
            </m:r>
            <m:ctrlPr>
              <w:rPr>
                <w:rFonts w:hint="eastAsia" w:ascii="Cambria Math" w:hAnsi="Cambria Math" w:eastAsia="楷体" w:cs="楷体"/>
                <w:b/>
                <w:bCs/>
                <w:sz w:val="24"/>
                <w:szCs w:val="24"/>
              </w:rPr>
            </m:ctrlPr>
          </m:e>
          <m:sub>
            <m:r>
              <m:rPr>
                <m:sty m:val="b"/>
              </m:rPr>
              <w:rPr>
                <w:rFonts w:hint="eastAsia" w:ascii="Cambria Math" w:hAnsi="Cambria Math" w:eastAsia="楷体" w:cs="楷体"/>
                <w:sz w:val="24"/>
                <w:szCs w:val="24"/>
              </w:rPr>
              <m:t>K</m:t>
            </m:r>
            <m:ctrlPr>
              <w:rPr>
                <w:rFonts w:hint="eastAsia" w:ascii="Cambria Math" w:hAnsi="Cambria Math" w:eastAsia="楷体" w:cs="楷体"/>
                <w:b/>
                <w:bCs/>
                <w:sz w:val="24"/>
                <w:szCs w:val="24"/>
              </w:rPr>
            </m:ctrlPr>
          </m:sub>
        </m:sSub>
      </m:oMath>
      <w:r>
        <w:rPr>
          <w:rFonts w:hint="eastAsia" w:ascii="楷体" w:hAnsi="楷体" w:eastAsia="楷体" w:cs="楷体"/>
          <w:b/>
          <w:bCs/>
          <w:sz w:val="24"/>
          <w:szCs w:val="24"/>
        </w:rPr>
        <w:t xml:space="preserve">             （3）</w:t>
      </w:r>
    </w:p>
    <w:p w14:paraId="5948A74B">
      <w:pPr>
        <w:spacing w:line="360" w:lineRule="auto"/>
        <w:ind w:firstLine="482" w:firstLineChars="200"/>
        <w:rPr>
          <w:rFonts w:hint="eastAsia" w:ascii="楷体" w:hAnsi="楷体" w:eastAsia="楷体" w:cs="楷体"/>
          <w:b/>
          <w:bCs/>
          <w:sz w:val="24"/>
          <w:szCs w:val="24"/>
        </w:rPr>
      </w:pPr>
      <m:oMath>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CF</m:t>
            </m:r>
            <m:ctrlPr>
              <w:rPr>
                <w:rFonts w:hint="eastAsia" w:ascii="Cambria Math" w:hAnsi="Cambria Math" w:eastAsia="楷体" w:cs="楷体"/>
                <w:b/>
                <w:bCs/>
                <w:sz w:val="24"/>
                <w:szCs w:val="24"/>
              </w:rPr>
            </m:ctrlPr>
          </m:e>
          <m:sub>
            <m:r>
              <m:rPr>
                <m:sty m:val="b"/>
              </m:rPr>
              <w:rPr>
                <w:rFonts w:hint="eastAsia" w:ascii="Cambria Math" w:hAnsi="Cambria Math" w:eastAsia="楷体" w:cs="楷体"/>
                <w:sz w:val="24"/>
                <w:szCs w:val="24"/>
              </w:rPr>
              <m:t>machi,trans3</m:t>
            </m:r>
            <m:ctrlPr>
              <w:rPr>
                <w:rFonts w:hint="eastAsia" w:ascii="Cambria Math" w:hAnsi="Cambria Math" w:eastAsia="楷体" w:cs="楷体"/>
                <w:b/>
                <w:bCs/>
                <w:sz w:val="24"/>
                <w:szCs w:val="24"/>
              </w:rPr>
            </m:ctrlPr>
          </m:sub>
        </m:sSub>
      </m:oMath>
      <w:r>
        <w:rPr>
          <w:rFonts w:hint="eastAsia" w:ascii="楷体" w:hAnsi="楷体" w:eastAsia="楷体" w:cs="楷体"/>
          <w:b/>
          <w:bCs/>
          <w:sz w:val="24"/>
          <w:szCs w:val="24"/>
        </w:rPr>
        <w:t>：饲料产品加工和运输阶段每单位饲料产品碳足迹（tCO2-eq/t）；</w:t>
      </w:r>
    </w:p>
    <w:p w14:paraId="5346CE86">
      <w:pPr>
        <w:spacing w:line="360" w:lineRule="auto"/>
        <w:ind w:left="1443" w:leftChars="228" w:hanging="964" w:hangingChars="400"/>
        <w:rPr>
          <w:rFonts w:hint="eastAsia" w:ascii="楷体" w:hAnsi="楷体" w:eastAsia="楷体" w:cs="楷体"/>
          <w:b/>
          <w:bCs/>
          <w:sz w:val="24"/>
          <w:szCs w:val="24"/>
        </w:rPr>
      </w:pPr>
      <m:oMath>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E</m:t>
            </m:r>
            <m:ctrlPr>
              <w:rPr>
                <w:rFonts w:hint="eastAsia" w:ascii="Cambria Math" w:hAnsi="Cambria Math" w:eastAsia="楷体" w:cs="楷体"/>
                <w:b/>
                <w:bCs/>
                <w:sz w:val="24"/>
                <w:szCs w:val="24"/>
              </w:rPr>
            </m:ctrlPr>
          </m:e>
          <m:sub>
            <m:r>
              <m:rPr>
                <m:sty m:val="b"/>
              </m:rPr>
              <w:rPr>
                <w:rFonts w:hint="eastAsia" w:ascii="Cambria Math" w:hAnsi="Cambria Math" w:eastAsia="楷体" w:cs="楷体"/>
                <w:sz w:val="24"/>
                <w:szCs w:val="24"/>
              </w:rPr>
              <m:t>machi, k</m:t>
            </m:r>
            <m:ctrlPr>
              <w:rPr>
                <w:rFonts w:hint="eastAsia" w:ascii="Cambria Math" w:hAnsi="Cambria Math" w:eastAsia="楷体" w:cs="楷体"/>
                <w:b/>
                <w:bCs/>
                <w:sz w:val="24"/>
                <w:szCs w:val="24"/>
              </w:rPr>
            </m:ctrlPr>
          </m:sub>
        </m:sSub>
      </m:oMath>
      <w:r>
        <w:rPr>
          <w:rFonts w:hint="eastAsia" w:ascii="楷体" w:hAnsi="楷体" w:eastAsia="楷体" w:cs="楷体"/>
          <w:b/>
          <w:bCs/>
          <w:sz w:val="24"/>
          <w:szCs w:val="24"/>
        </w:rPr>
        <w:t>：第k类加工设备的能耗（如粉碎机、烘干机、压块机等的电力或燃料消耗量）；</w:t>
      </w:r>
    </w:p>
    <w:p w14:paraId="5E6DC232">
      <w:pPr>
        <w:spacing w:line="360" w:lineRule="auto"/>
        <w:ind w:firstLine="482" w:firstLineChars="200"/>
        <w:rPr>
          <w:rFonts w:hint="eastAsia" w:ascii="楷体" w:hAnsi="楷体" w:eastAsia="楷体" w:cs="楷体"/>
          <w:b/>
          <w:bCs/>
          <w:sz w:val="24"/>
          <w:szCs w:val="24"/>
        </w:rPr>
      </w:pPr>
      <m:oMath>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CA</m:t>
            </m:r>
            <m:ctrlPr>
              <w:rPr>
                <w:rFonts w:hint="eastAsia" w:ascii="Cambria Math" w:hAnsi="Cambria Math" w:eastAsia="楷体" w:cs="楷体"/>
                <w:b/>
                <w:bCs/>
                <w:sz w:val="24"/>
                <w:szCs w:val="24"/>
              </w:rPr>
            </m:ctrlPr>
          </m:e>
          <m:sub>
            <m:r>
              <m:rPr>
                <m:sty m:val="b"/>
              </m:rPr>
              <w:rPr>
                <w:rFonts w:hint="eastAsia" w:ascii="Cambria Math" w:hAnsi="Cambria Math" w:eastAsia="楷体" w:cs="楷体"/>
                <w:sz w:val="24"/>
                <w:szCs w:val="24"/>
              </w:rPr>
              <m:t>K</m:t>
            </m:r>
            <m:ctrlPr>
              <w:rPr>
                <w:rFonts w:hint="eastAsia" w:ascii="Cambria Math" w:hAnsi="Cambria Math" w:eastAsia="楷体" w:cs="楷体"/>
                <w:b/>
                <w:bCs/>
                <w:sz w:val="24"/>
                <w:szCs w:val="24"/>
              </w:rPr>
            </m:ctrlPr>
          </m:sub>
        </m:sSub>
      </m:oMath>
      <w:r>
        <w:rPr>
          <w:rFonts w:hint="eastAsia" w:ascii="楷体" w:hAnsi="楷体" w:eastAsia="楷体" w:cs="楷体"/>
          <w:b/>
          <w:bCs/>
          <w:sz w:val="24"/>
          <w:szCs w:val="24"/>
        </w:rPr>
        <w:t>：第k类设备所用能源的碳排放因子（kg CO₂/kWh 或 kg CO₂/L）；     具体排放因子参考附录A4。</w:t>
      </w:r>
    </w:p>
    <w:p w14:paraId="33BFD800">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Q：运输的饲料产品质量（t）；</w:t>
      </w:r>
    </w:p>
    <w:p w14:paraId="61CE37B0">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D：运输距离（km）；</w:t>
      </w:r>
    </w:p>
    <w:p w14:paraId="3F3B43EA">
      <w:pPr>
        <w:spacing w:line="360" w:lineRule="auto"/>
        <w:ind w:firstLine="482" w:firstLineChars="200"/>
        <w:rPr>
          <w:rFonts w:hint="eastAsia" w:ascii="楷体" w:hAnsi="楷体" w:eastAsia="楷体" w:cs="楷体"/>
          <w:b/>
          <w:bCs/>
          <w:sz w:val="24"/>
          <w:szCs w:val="24"/>
        </w:rPr>
      </w:pPr>
      <m:oMath>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L</m:t>
            </m:r>
            <m:ctrlPr>
              <w:rPr>
                <w:rFonts w:hint="eastAsia" w:ascii="Cambria Math" w:hAnsi="Cambria Math" w:eastAsia="楷体" w:cs="楷体"/>
                <w:b/>
                <w:bCs/>
                <w:sz w:val="24"/>
                <w:szCs w:val="24"/>
              </w:rPr>
            </m:ctrlPr>
          </m:e>
          <m:sub>
            <m:r>
              <m:rPr>
                <m:sty m:val="b"/>
              </m:rPr>
              <w:rPr>
                <w:rFonts w:hint="eastAsia" w:ascii="Cambria Math" w:hAnsi="Cambria Math" w:eastAsia="楷体" w:cs="楷体"/>
                <w:sz w:val="24"/>
                <w:szCs w:val="24"/>
              </w:rPr>
              <m:t>K</m:t>
            </m:r>
            <m:ctrlPr>
              <w:rPr>
                <w:rFonts w:hint="eastAsia" w:ascii="Cambria Math" w:hAnsi="Cambria Math" w:eastAsia="楷体" w:cs="楷体"/>
                <w:b/>
                <w:bCs/>
                <w:sz w:val="24"/>
                <w:szCs w:val="24"/>
              </w:rPr>
            </m:ctrlPr>
          </m:sub>
        </m:sSub>
      </m:oMath>
      <w:r>
        <w:rPr>
          <w:rFonts w:hint="eastAsia" w:ascii="楷体" w:hAnsi="楷体" w:eastAsia="楷体" w:cs="楷体"/>
          <w:b/>
          <w:bCs/>
          <w:sz w:val="24"/>
          <w:szCs w:val="24"/>
        </w:rPr>
        <w:t>：第k类运输工具的单位能耗（如卡车：L 柴油 / t・km；火车：kWh / t・km）；</w:t>
      </w:r>
    </w:p>
    <w:p w14:paraId="5FA92DD7">
      <w:pPr>
        <w:spacing w:line="360" w:lineRule="auto"/>
        <w:ind w:firstLine="482" w:firstLineChars="200"/>
        <w:rPr>
          <w:rFonts w:hint="eastAsia" w:ascii="楷体" w:hAnsi="楷体" w:eastAsia="楷体" w:cs="楷体"/>
          <w:b/>
          <w:bCs/>
          <w:sz w:val="24"/>
          <w:szCs w:val="24"/>
        </w:rPr>
      </w:pPr>
      <m:oMath>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CB</m:t>
            </m:r>
            <m:ctrlPr>
              <w:rPr>
                <w:rFonts w:hint="eastAsia" w:ascii="Cambria Math" w:hAnsi="Cambria Math" w:eastAsia="楷体" w:cs="楷体"/>
                <w:b/>
                <w:bCs/>
                <w:sz w:val="24"/>
                <w:szCs w:val="24"/>
              </w:rPr>
            </m:ctrlPr>
          </m:e>
          <m:sub>
            <m:r>
              <m:rPr>
                <m:sty m:val="b"/>
              </m:rPr>
              <w:rPr>
                <w:rFonts w:hint="eastAsia" w:ascii="Cambria Math" w:hAnsi="Cambria Math" w:eastAsia="楷体" w:cs="楷体"/>
                <w:sz w:val="24"/>
                <w:szCs w:val="24"/>
              </w:rPr>
              <m:t>K</m:t>
            </m:r>
            <m:ctrlPr>
              <w:rPr>
                <w:rFonts w:hint="eastAsia" w:ascii="Cambria Math" w:hAnsi="Cambria Math" w:eastAsia="楷体" w:cs="楷体"/>
                <w:b/>
                <w:bCs/>
                <w:sz w:val="24"/>
                <w:szCs w:val="24"/>
              </w:rPr>
            </m:ctrlPr>
          </m:sub>
        </m:sSub>
      </m:oMath>
      <w:r>
        <w:rPr>
          <w:rFonts w:hint="eastAsia" w:ascii="楷体" w:hAnsi="楷体" w:eastAsia="楷体" w:cs="楷体"/>
          <w:b/>
          <w:bCs/>
          <w:sz w:val="24"/>
          <w:szCs w:val="24"/>
        </w:rPr>
        <w:t>：第k类运输工具能源的碳排放因子（kg CO₂/L 或 kg CO₂/kWh）；具体排放因子参考附录A3-A4。</w:t>
      </w:r>
    </w:p>
    <w:p w14:paraId="78507608">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本文件8.1.3饲料产品加工与运输阶段碳足迹参照《温室气体 产品碳足迹量化方法与要求 畜产品》GB/T44903—2024标准中公式8.6的算法，并结合饲料产品加工和运输的具体单元内容进行修改。</w:t>
      </w:r>
    </w:p>
    <w:p w14:paraId="41CD0472">
      <w:pPr>
        <w:spacing w:line="360" w:lineRule="auto"/>
        <w:ind w:firstLine="480" w:firstLineChars="200"/>
        <w:rPr>
          <w:rFonts w:hint="eastAsia" w:ascii="宋体" w:hAnsi="宋体" w:eastAsia="宋体" w:cs="Times New Roman"/>
          <w:sz w:val="24"/>
          <w:szCs w:val="24"/>
        </w:rPr>
      </w:pPr>
    </w:p>
    <w:p w14:paraId="713066D9">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68E68013">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8.2 GHG总量核算方法</w:t>
      </w:r>
    </w:p>
    <w:p w14:paraId="6DCC52CF">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8.2.1 农资生产与运输阶段GHG排放总量</w:t>
      </w:r>
    </w:p>
    <w:p w14:paraId="5291BD58">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农资生产与运输阶段产生的GHG排放总量按公式（4）计算</w:t>
      </w:r>
    </w:p>
    <w:p w14:paraId="3C19B368">
      <w:pPr>
        <w:spacing w:line="360" w:lineRule="auto"/>
        <w:ind w:firstLine="482" w:firstLineChars="200"/>
        <w:rPr>
          <w:rFonts w:hint="eastAsia" w:ascii="楷体" w:hAnsi="楷体" w:eastAsia="楷体" w:cs="楷体"/>
          <w:b/>
          <w:bCs/>
          <w:sz w:val="24"/>
          <w:szCs w:val="24"/>
        </w:rPr>
      </w:pPr>
      <m:oMath>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E</m:t>
            </m:r>
            <m:ctrlPr>
              <w:rPr>
                <w:rFonts w:hint="eastAsia" w:ascii="Cambria Math" w:hAnsi="Cambria Math" w:eastAsia="楷体" w:cs="楷体"/>
                <w:b/>
                <w:bCs/>
                <w:sz w:val="24"/>
                <w:szCs w:val="24"/>
              </w:rPr>
            </m:ctrlPr>
          </m:e>
          <m:sub>
            <m:r>
              <m:rPr>
                <m:sty m:val="b"/>
              </m:rPr>
              <w:rPr>
                <w:rFonts w:hint="eastAsia" w:ascii="Cambria Math" w:hAnsi="Cambria Math" w:eastAsia="楷体" w:cs="楷体"/>
                <w:sz w:val="24"/>
                <w:szCs w:val="24"/>
              </w:rPr>
              <m:t>collect,product,trans1、2</m:t>
            </m:r>
            <m:ctrlPr>
              <w:rPr>
                <w:rFonts w:hint="eastAsia" w:ascii="Cambria Math" w:hAnsi="Cambria Math" w:eastAsia="楷体" w:cs="楷体"/>
                <w:b/>
                <w:bCs/>
                <w:sz w:val="24"/>
                <w:szCs w:val="24"/>
              </w:rPr>
            </m:ctrlPr>
          </m:sub>
        </m:sSub>
        <m:r>
          <m:rPr>
            <m:sty m:val="b"/>
          </m:rPr>
          <w:rPr>
            <w:rFonts w:hint="eastAsia" w:ascii="Cambria Math" w:hAnsi="Cambria Math" w:eastAsia="楷体" w:cs="楷体"/>
            <w:sz w:val="24"/>
            <w:szCs w:val="24"/>
          </w:rPr>
          <m:t>=</m:t>
        </m:r>
        <m:nary>
          <m:naryPr>
            <m:chr m:val="∑"/>
            <m:limLoc m:val="subSup"/>
            <m:ctrlPr>
              <w:rPr>
                <w:rFonts w:hint="eastAsia" w:ascii="Cambria Math" w:hAnsi="Cambria Math" w:eastAsia="楷体" w:cs="楷体"/>
                <w:b/>
                <w:bCs/>
                <w:sz w:val="24"/>
                <w:szCs w:val="24"/>
              </w:rPr>
            </m:ctrlPr>
          </m:naryPr>
          <m:sub>
            <m:r>
              <m:rPr>
                <m:sty m:val="b"/>
                <m:scr m:val="script"/>
              </m:rPr>
              <w:rPr>
                <w:rFonts w:hint="eastAsia" w:ascii="Cambria Math" w:hAnsi="Cambria Math" w:eastAsia="MS Mincho" w:cs="MS Mincho"/>
                <w:sz w:val="24"/>
                <w:szCs w:val="24"/>
              </w:rPr>
              <m:t>i</m:t>
            </m:r>
            <m:r>
              <m:rPr>
                <m:sty m:val="b"/>
              </m:rPr>
              <w:rPr>
                <w:rFonts w:hint="eastAsia" w:ascii="Cambria Math" w:hAnsi="Cambria Math" w:eastAsia="楷体" w:cs="楷体"/>
                <w:sz w:val="24"/>
                <w:szCs w:val="24"/>
              </w:rPr>
              <m:t>=1</m:t>
            </m:r>
            <m:ctrlPr>
              <w:rPr>
                <w:rFonts w:hint="eastAsia" w:ascii="Cambria Math" w:hAnsi="Cambria Math" w:eastAsia="楷体" w:cs="楷体"/>
                <w:b/>
                <w:bCs/>
                <w:sz w:val="24"/>
                <w:szCs w:val="24"/>
              </w:rPr>
            </m:ctrlPr>
          </m:sub>
          <m:sup>
            <m:r>
              <m:rPr>
                <m:sty m:val="b"/>
              </m:rPr>
              <w:rPr>
                <w:rFonts w:hint="eastAsia" w:ascii="Cambria Math" w:hAnsi="Cambria Math" w:eastAsia="楷体" w:cs="楷体"/>
                <w:sz w:val="24"/>
                <w:szCs w:val="24"/>
              </w:rPr>
              <m:t>n</m:t>
            </m:r>
            <m:ctrlPr>
              <w:rPr>
                <w:rFonts w:hint="eastAsia" w:ascii="Cambria Math" w:hAnsi="Cambria Math" w:eastAsia="楷体" w:cs="楷体"/>
                <w:b/>
                <w:bCs/>
                <w:sz w:val="24"/>
                <w:szCs w:val="24"/>
              </w:rPr>
            </m:ctrlPr>
          </m:sup>
          <m:e>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(Q</m:t>
                </m:r>
                <m:ctrlPr>
                  <w:rPr>
                    <w:rFonts w:hint="eastAsia" w:ascii="Cambria Math" w:hAnsi="Cambria Math" w:eastAsia="楷体" w:cs="楷体"/>
                    <w:b/>
                    <w:bCs/>
                    <w:sz w:val="24"/>
                    <w:szCs w:val="24"/>
                  </w:rPr>
                </m:ctrlPr>
              </m:e>
              <m:sub>
                <m:r>
                  <m:rPr>
                    <m:sty m:val="b"/>
                    <m:scr m:val="script"/>
                  </m:rPr>
                  <w:rPr>
                    <w:rFonts w:hint="eastAsia" w:ascii="Cambria Math" w:hAnsi="Cambria Math" w:eastAsia="MS Mincho" w:cs="MS Mincho"/>
                    <w:sz w:val="24"/>
                    <w:szCs w:val="24"/>
                  </w:rPr>
                  <m:t>i</m:t>
                </m:r>
                <m:ctrlPr>
                  <w:rPr>
                    <w:rFonts w:hint="eastAsia" w:ascii="Cambria Math" w:hAnsi="Cambria Math" w:eastAsia="楷体" w:cs="楷体"/>
                    <w:b/>
                    <w:bCs/>
                    <w:sz w:val="24"/>
                    <w:szCs w:val="24"/>
                  </w:rPr>
                </m:ctrlPr>
              </m:sub>
            </m:sSub>
            <m:ctrlPr>
              <w:rPr>
                <w:rFonts w:hint="eastAsia" w:ascii="Cambria Math" w:hAnsi="Cambria Math" w:eastAsia="楷体" w:cs="楷体"/>
                <w:b/>
                <w:bCs/>
                <w:sz w:val="24"/>
                <w:szCs w:val="24"/>
              </w:rPr>
            </m:ctrlPr>
          </m:e>
        </m:nary>
        <m:r>
          <m:rPr>
            <m:sty m:val="b"/>
          </m:rPr>
          <w:rPr>
            <w:rFonts w:hint="eastAsia" w:ascii="Cambria Math" w:hAnsi="Cambria Math" w:eastAsia="楷体" w:cs="楷体"/>
            <w:sz w:val="24"/>
            <w:szCs w:val="24"/>
          </w:rPr>
          <m:t>×</m:t>
        </m:r>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EF</m:t>
            </m:r>
            <m:ctrlPr>
              <w:rPr>
                <w:rFonts w:hint="eastAsia" w:ascii="Cambria Math" w:hAnsi="Cambria Math" w:eastAsia="楷体" w:cs="楷体"/>
                <w:b/>
                <w:bCs/>
                <w:sz w:val="24"/>
                <w:szCs w:val="24"/>
              </w:rPr>
            </m:ctrlPr>
          </m:e>
          <m:sub>
            <m:r>
              <m:rPr>
                <m:sty m:val="b"/>
                <m:scr m:val="script"/>
              </m:rPr>
              <w:rPr>
                <w:rFonts w:hint="eastAsia" w:ascii="Cambria Math" w:hAnsi="Cambria Math" w:eastAsia="MS Mincho" w:cs="MS Mincho"/>
                <w:sz w:val="24"/>
                <w:szCs w:val="24"/>
              </w:rPr>
              <m:t>i</m:t>
            </m:r>
            <m:ctrlPr>
              <w:rPr>
                <w:rFonts w:hint="eastAsia" w:ascii="Cambria Math" w:hAnsi="Cambria Math" w:eastAsia="楷体" w:cs="楷体"/>
                <w:b/>
                <w:bCs/>
                <w:sz w:val="24"/>
                <w:szCs w:val="24"/>
              </w:rPr>
            </m:ctrlPr>
          </m:sub>
        </m:sSub>
        <m:r>
          <m:rPr>
            <m:sty m:val="b"/>
          </m:rPr>
          <w:rPr>
            <w:rFonts w:hint="eastAsia" w:ascii="Cambria Math" w:hAnsi="Cambria Math" w:eastAsia="楷体" w:cs="楷体"/>
            <w:sz w:val="24"/>
            <w:szCs w:val="24"/>
          </w:rPr>
          <m:t>)+</m:t>
        </m:r>
        <m:nary>
          <m:naryPr>
            <m:chr m:val="∑"/>
            <m:limLoc m:val="subSup"/>
            <m:ctrlPr>
              <w:rPr>
                <w:rFonts w:hint="eastAsia" w:ascii="Cambria Math" w:hAnsi="Cambria Math" w:eastAsia="楷体" w:cs="楷体"/>
                <w:b/>
                <w:bCs/>
                <w:sz w:val="24"/>
                <w:szCs w:val="24"/>
              </w:rPr>
            </m:ctrlPr>
          </m:naryPr>
          <m:sub>
            <m:r>
              <m:rPr>
                <m:sty m:val="b"/>
                <m:scr m:val="script"/>
              </m:rPr>
              <w:rPr>
                <w:rFonts w:hint="eastAsia" w:ascii="Cambria Math" w:hAnsi="Cambria Math" w:eastAsia="MS Mincho" w:cs="MS Mincho"/>
                <w:sz w:val="24"/>
                <w:szCs w:val="24"/>
              </w:rPr>
              <m:t>j</m:t>
            </m:r>
            <m:r>
              <m:rPr>
                <m:sty m:val="b"/>
              </m:rPr>
              <w:rPr>
                <w:rFonts w:hint="eastAsia" w:ascii="Cambria Math" w:hAnsi="Cambria Math" w:eastAsia="楷体" w:cs="楷体"/>
                <w:sz w:val="24"/>
                <w:szCs w:val="24"/>
              </w:rPr>
              <m:t>=1</m:t>
            </m:r>
            <m:ctrlPr>
              <w:rPr>
                <w:rFonts w:hint="eastAsia" w:ascii="Cambria Math" w:hAnsi="Cambria Math" w:eastAsia="楷体" w:cs="楷体"/>
                <w:b/>
                <w:bCs/>
                <w:sz w:val="24"/>
                <w:szCs w:val="24"/>
              </w:rPr>
            </m:ctrlPr>
          </m:sub>
          <m:sup>
            <m:r>
              <m:rPr>
                <m:sty m:val="b"/>
                <m:scr m:val="script"/>
              </m:rPr>
              <w:rPr>
                <w:rFonts w:hint="eastAsia" w:ascii="Cambria Math" w:hAnsi="Cambria Math" w:eastAsia="MS Mincho" w:cs="MS Mincho"/>
                <w:sz w:val="24"/>
                <w:szCs w:val="24"/>
              </w:rPr>
              <m:t>m</m:t>
            </m:r>
            <m:ctrlPr>
              <w:rPr>
                <w:rFonts w:hint="eastAsia" w:ascii="Cambria Math" w:hAnsi="Cambria Math" w:eastAsia="楷体" w:cs="楷体"/>
                <w:b/>
                <w:bCs/>
                <w:sz w:val="24"/>
                <w:szCs w:val="24"/>
              </w:rPr>
            </m:ctrlPr>
          </m:sup>
          <m:e>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T</m:t>
                </m:r>
                <m:ctrlPr>
                  <w:rPr>
                    <w:rFonts w:hint="eastAsia" w:ascii="Cambria Math" w:hAnsi="Cambria Math" w:eastAsia="楷体" w:cs="楷体"/>
                    <w:b/>
                    <w:bCs/>
                    <w:sz w:val="24"/>
                    <w:szCs w:val="24"/>
                  </w:rPr>
                </m:ctrlPr>
              </m:e>
              <m:sub>
                <m:r>
                  <m:rPr>
                    <m:sty m:val="b"/>
                    <m:scr m:val="script"/>
                  </m:rPr>
                  <w:rPr>
                    <w:rFonts w:hint="eastAsia" w:ascii="Cambria Math" w:hAnsi="Cambria Math" w:eastAsia="MS Mincho" w:cs="MS Mincho"/>
                    <w:sz w:val="24"/>
                    <w:szCs w:val="24"/>
                  </w:rPr>
                  <m:t>j</m:t>
                </m:r>
                <m:ctrlPr>
                  <w:rPr>
                    <w:rFonts w:hint="eastAsia" w:ascii="Cambria Math" w:hAnsi="Cambria Math" w:eastAsia="楷体" w:cs="楷体"/>
                    <w:b/>
                    <w:bCs/>
                    <w:sz w:val="24"/>
                    <w:szCs w:val="24"/>
                  </w:rPr>
                </m:ctrlPr>
              </m:sub>
            </m:sSub>
            <m:ctrlPr>
              <w:rPr>
                <w:rFonts w:hint="eastAsia" w:ascii="Cambria Math" w:hAnsi="Cambria Math" w:eastAsia="楷体" w:cs="楷体"/>
                <w:b/>
                <w:bCs/>
                <w:sz w:val="24"/>
                <w:szCs w:val="24"/>
              </w:rPr>
            </m:ctrlPr>
          </m:e>
        </m:nary>
        <m:r>
          <m:rPr>
            <m:sty m:val="b"/>
          </m:rPr>
          <w:rPr>
            <w:rFonts w:hint="eastAsia" w:ascii="Cambria Math" w:hAnsi="Cambria Math" w:eastAsia="楷体" w:cs="楷体"/>
            <w:sz w:val="24"/>
            <w:szCs w:val="24"/>
          </w:rPr>
          <m:t>×</m:t>
        </m:r>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D</m:t>
            </m:r>
            <m:ctrlPr>
              <w:rPr>
                <w:rFonts w:hint="eastAsia" w:ascii="Cambria Math" w:hAnsi="Cambria Math" w:eastAsia="楷体" w:cs="楷体"/>
                <w:b/>
                <w:bCs/>
                <w:sz w:val="24"/>
                <w:szCs w:val="24"/>
              </w:rPr>
            </m:ctrlPr>
          </m:e>
          <m:sub>
            <m:r>
              <m:rPr>
                <m:sty m:val="b"/>
                <m:scr m:val="script"/>
              </m:rPr>
              <w:rPr>
                <w:rFonts w:hint="eastAsia" w:ascii="Cambria Math" w:hAnsi="Cambria Math" w:eastAsia="MS Mincho" w:cs="MS Mincho"/>
                <w:sz w:val="24"/>
                <w:szCs w:val="24"/>
              </w:rPr>
              <m:t>j</m:t>
            </m:r>
            <m:ctrlPr>
              <w:rPr>
                <w:rFonts w:hint="eastAsia" w:ascii="Cambria Math" w:hAnsi="Cambria Math" w:eastAsia="楷体" w:cs="楷体"/>
                <w:b/>
                <w:bCs/>
                <w:sz w:val="24"/>
                <w:szCs w:val="24"/>
              </w:rPr>
            </m:ctrlPr>
          </m:sub>
        </m:sSub>
        <m:r>
          <m:rPr>
            <m:sty m:val="b"/>
          </m:rPr>
          <w:rPr>
            <w:rFonts w:hint="eastAsia" w:ascii="Cambria Math" w:hAnsi="Cambria Math" w:eastAsia="楷体" w:cs="楷体"/>
            <w:sz w:val="24"/>
            <w:szCs w:val="24"/>
          </w:rPr>
          <m:t>×</m:t>
        </m:r>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EF</m:t>
            </m:r>
            <m:ctrlPr>
              <w:rPr>
                <w:rFonts w:hint="eastAsia" w:ascii="Cambria Math" w:hAnsi="Cambria Math" w:eastAsia="楷体" w:cs="楷体"/>
                <w:b/>
                <w:bCs/>
                <w:sz w:val="24"/>
                <w:szCs w:val="24"/>
              </w:rPr>
            </m:ctrlPr>
          </m:e>
          <m:sub>
            <m:r>
              <m:rPr>
                <m:sty m:val="b"/>
              </m:rPr>
              <w:rPr>
                <w:rFonts w:hint="eastAsia" w:ascii="Cambria Math" w:hAnsi="Cambria Math" w:eastAsia="楷体" w:cs="楷体"/>
                <w:sz w:val="24"/>
                <w:szCs w:val="24"/>
              </w:rPr>
              <m:t>trans1、2, j</m:t>
            </m:r>
            <m:ctrlPr>
              <w:rPr>
                <w:rFonts w:hint="eastAsia" w:ascii="Cambria Math" w:hAnsi="Cambria Math" w:eastAsia="楷体" w:cs="楷体"/>
                <w:b/>
                <w:bCs/>
                <w:sz w:val="24"/>
                <w:szCs w:val="24"/>
              </w:rPr>
            </m:ctrlPr>
          </m:sub>
        </m:sSub>
      </m:oMath>
      <w:r>
        <w:rPr>
          <w:rFonts w:hint="eastAsia" w:ascii="楷体" w:hAnsi="楷体" w:eastAsia="楷体" w:cs="楷体"/>
          <w:b/>
          <w:bCs/>
          <w:sz w:val="24"/>
          <w:szCs w:val="24"/>
        </w:rPr>
        <w:t xml:space="preserve">  （4）</w:t>
      </w:r>
    </w:p>
    <w:p w14:paraId="41047FD6">
      <w:pPr>
        <w:spacing w:line="360" w:lineRule="auto"/>
        <w:ind w:firstLine="482" w:firstLineChars="200"/>
        <w:rPr>
          <w:rFonts w:hint="eastAsia" w:ascii="楷体" w:hAnsi="楷体" w:eastAsia="楷体" w:cs="楷体"/>
          <w:b/>
          <w:bCs/>
          <w:sz w:val="24"/>
          <w:szCs w:val="24"/>
        </w:rPr>
      </w:pPr>
      <m:oMath>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E</m:t>
            </m:r>
            <m:ctrlPr>
              <w:rPr>
                <w:rFonts w:hint="eastAsia" w:ascii="Cambria Math" w:hAnsi="Cambria Math" w:eastAsia="楷体" w:cs="楷体"/>
                <w:b/>
                <w:bCs/>
                <w:sz w:val="24"/>
                <w:szCs w:val="24"/>
              </w:rPr>
            </m:ctrlPr>
          </m:e>
          <m:sub>
            <m:r>
              <m:rPr>
                <m:sty m:val="b"/>
              </m:rPr>
              <w:rPr>
                <w:rFonts w:hint="eastAsia" w:ascii="Cambria Math" w:hAnsi="Cambria Math" w:eastAsia="楷体" w:cs="楷体"/>
                <w:sz w:val="24"/>
                <w:szCs w:val="24"/>
              </w:rPr>
              <m:t>collect,product,trans1、2</m:t>
            </m:r>
            <m:ctrlPr>
              <w:rPr>
                <w:rFonts w:hint="eastAsia" w:ascii="Cambria Math" w:hAnsi="Cambria Math" w:eastAsia="楷体" w:cs="楷体"/>
                <w:b/>
                <w:bCs/>
                <w:sz w:val="24"/>
                <w:szCs w:val="24"/>
              </w:rPr>
            </m:ctrlPr>
          </m:sub>
        </m:sSub>
      </m:oMath>
      <w:r>
        <w:rPr>
          <w:rFonts w:hint="eastAsia" w:ascii="楷体" w:hAnsi="楷体" w:eastAsia="楷体" w:cs="楷体"/>
          <w:b/>
          <w:bCs/>
          <w:sz w:val="24"/>
          <w:szCs w:val="24"/>
        </w:rPr>
        <w:t>：农资生产与运输阶段 GHG 排放总量；</w:t>
      </w:r>
    </w:p>
    <w:p w14:paraId="64A91386">
      <w:pPr>
        <w:spacing w:line="360" w:lineRule="auto"/>
        <w:ind w:firstLine="482" w:firstLineChars="200"/>
        <w:rPr>
          <w:rFonts w:hint="eastAsia" w:ascii="楷体" w:hAnsi="楷体" w:eastAsia="楷体" w:cs="楷体"/>
          <w:b/>
          <w:bCs/>
          <w:sz w:val="24"/>
          <w:szCs w:val="24"/>
        </w:rPr>
      </w:pPr>
      <m:oMath>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Q</m:t>
            </m:r>
            <m:ctrlPr>
              <w:rPr>
                <w:rFonts w:hint="eastAsia" w:ascii="Cambria Math" w:hAnsi="Cambria Math" w:eastAsia="楷体" w:cs="楷体"/>
                <w:b/>
                <w:bCs/>
                <w:sz w:val="24"/>
                <w:szCs w:val="24"/>
              </w:rPr>
            </m:ctrlPr>
          </m:e>
          <m:sub>
            <m:r>
              <m:rPr>
                <m:sty m:val="b"/>
                <m:scr m:val="script"/>
              </m:rPr>
              <w:rPr>
                <w:rFonts w:hint="eastAsia" w:ascii="Cambria Math" w:hAnsi="Cambria Math" w:eastAsia="MS Mincho" w:cs="MS Mincho"/>
                <w:sz w:val="24"/>
                <w:szCs w:val="24"/>
              </w:rPr>
              <m:t>i</m:t>
            </m:r>
            <m:ctrlPr>
              <w:rPr>
                <w:rFonts w:hint="eastAsia" w:ascii="Cambria Math" w:hAnsi="Cambria Math" w:eastAsia="楷体" w:cs="楷体"/>
                <w:b/>
                <w:bCs/>
                <w:sz w:val="24"/>
                <w:szCs w:val="24"/>
              </w:rPr>
            </m:ctrlPr>
          </m:sub>
        </m:sSub>
      </m:oMath>
      <w:r>
        <w:rPr>
          <w:rFonts w:hint="eastAsia" w:ascii="楷体" w:hAnsi="楷体" w:eastAsia="楷体" w:cs="楷体"/>
          <w:b/>
          <w:bCs/>
          <w:sz w:val="24"/>
          <w:szCs w:val="24"/>
        </w:rPr>
        <w:t>：第</w:t>
      </w:r>
      <m:oMath>
        <m:r>
          <m:rPr>
            <m:sty m:val="b"/>
            <m:scr m:val="script"/>
          </m:rPr>
          <w:rPr>
            <w:rFonts w:hint="eastAsia" w:ascii="Cambria Math" w:hAnsi="Cambria Math" w:eastAsia="MS Mincho" w:cs="MS Mincho"/>
            <w:sz w:val="24"/>
            <w:szCs w:val="24"/>
          </w:rPr>
          <m:t>i</m:t>
        </m:r>
      </m:oMath>
      <w:r>
        <w:rPr>
          <w:rFonts w:hint="eastAsia" w:ascii="楷体" w:hAnsi="楷体" w:eastAsia="楷体" w:cs="楷体"/>
          <w:b/>
          <w:bCs/>
          <w:sz w:val="24"/>
          <w:szCs w:val="24"/>
        </w:rPr>
        <w:t>类农资的投入量（t）；</w:t>
      </w:r>
    </w:p>
    <w:p w14:paraId="455EF344">
      <w:pPr>
        <w:spacing w:line="360" w:lineRule="auto"/>
        <w:ind w:left="1202" w:leftChars="228" w:hanging="723" w:hangingChars="300"/>
        <w:rPr>
          <w:rFonts w:hint="eastAsia" w:ascii="楷体" w:hAnsi="楷体" w:eastAsia="楷体" w:cs="楷体"/>
          <w:b/>
          <w:bCs/>
          <w:sz w:val="24"/>
          <w:szCs w:val="24"/>
        </w:rPr>
      </w:pPr>
      <m:oMath>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EF</m:t>
            </m:r>
            <m:ctrlPr>
              <w:rPr>
                <w:rFonts w:hint="eastAsia" w:ascii="Cambria Math" w:hAnsi="Cambria Math" w:eastAsia="楷体" w:cs="楷体"/>
                <w:b/>
                <w:bCs/>
                <w:sz w:val="24"/>
                <w:szCs w:val="24"/>
              </w:rPr>
            </m:ctrlPr>
          </m:e>
          <m:sub>
            <m:r>
              <m:rPr>
                <m:sty m:val="b"/>
                <m:scr m:val="script"/>
              </m:rPr>
              <w:rPr>
                <w:rFonts w:hint="eastAsia" w:ascii="Cambria Math" w:hAnsi="Cambria Math" w:eastAsia="MS Mincho" w:cs="MS Mincho"/>
                <w:sz w:val="24"/>
                <w:szCs w:val="24"/>
              </w:rPr>
              <m:t>i</m:t>
            </m:r>
            <m:ctrlPr>
              <w:rPr>
                <w:rFonts w:hint="eastAsia" w:ascii="Cambria Math" w:hAnsi="Cambria Math" w:eastAsia="楷体" w:cs="楷体"/>
                <w:b/>
                <w:bCs/>
                <w:sz w:val="24"/>
                <w:szCs w:val="24"/>
              </w:rPr>
            </m:ctrlPr>
          </m:sub>
        </m:sSub>
      </m:oMath>
      <w:r>
        <w:rPr>
          <w:rFonts w:hint="eastAsia" w:ascii="楷体" w:hAnsi="楷体" w:eastAsia="楷体" w:cs="楷体"/>
          <w:b/>
          <w:bCs/>
          <w:sz w:val="24"/>
          <w:szCs w:val="24"/>
        </w:rPr>
        <w:t>：第</w:t>
      </w:r>
      <m:oMath>
        <m:r>
          <m:rPr>
            <m:sty m:val="b"/>
            <m:scr m:val="script"/>
          </m:rPr>
          <w:rPr>
            <w:rFonts w:hint="eastAsia" w:ascii="Cambria Math" w:hAnsi="Cambria Math" w:eastAsia="MS Mincho" w:cs="MS Mincho"/>
            <w:sz w:val="24"/>
            <w:szCs w:val="24"/>
          </w:rPr>
          <m:t>i</m:t>
        </m:r>
      </m:oMath>
      <w:r>
        <w:rPr>
          <w:rFonts w:hint="eastAsia" w:ascii="楷体" w:hAnsi="楷体" w:eastAsia="楷体" w:cs="楷体"/>
          <w:b/>
          <w:bCs/>
          <w:sz w:val="24"/>
          <w:szCs w:val="24"/>
        </w:rPr>
        <w:t>类农资生产对应的温室气体排放因子；具体排放因子参考附录A1-A4</w:t>
      </w:r>
    </w:p>
    <w:p w14:paraId="66A74DA5">
      <w:pPr>
        <w:spacing w:line="360" w:lineRule="auto"/>
        <w:ind w:firstLine="482" w:firstLineChars="200"/>
        <w:rPr>
          <w:rFonts w:hint="eastAsia" w:ascii="楷体" w:hAnsi="楷体" w:eastAsia="楷体" w:cs="楷体"/>
          <w:b/>
          <w:bCs/>
          <w:sz w:val="24"/>
          <w:szCs w:val="24"/>
        </w:rPr>
      </w:pPr>
      <m:oMath>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T</m:t>
            </m:r>
            <m:ctrlPr>
              <w:rPr>
                <w:rFonts w:hint="eastAsia" w:ascii="Cambria Math" w:hAnsi="Cambria Math" w:eastAsia="楷体" w:cs="楷体"/>
                <w:b/>
                <w:bCs/>
                <w:sz w:val="24"/>
                <w:szCs w:val="24"/>
              </w:rPr>
            </m:ctrlPr>
          </m:e>
          <m:sub>
            <m:r>
              <m:rPr>
                <m:sty m:val="b"/>
                <m:scr m:val="script"/>
              </m:rPr>
              <w:rPr>
                <w:rFonts w:hint="eastAsia" w:ascii="Cambria Math" w:hAnsi="Cambria Math" w:eastAsia="MS Mincho" w:cs="MS Mincho"/>
                <w:sz w:val="24"/>
                <w:szCs w:val="24"/>
              </w:rPr>
              <m:t>j</m:t>
            </m:r>
            <m:ctrlPr>
              <w:rPr>
                <w:rFonts w:hint="eastAsia" w:ascii="Cambria Math" w:hAnsi="Cambria Math" w:eastAsia="楷体" w:cs="楷体"/>
                <w:b/>
                <w:bCs/>
                <w:sz w:val="24"/>
                <w:szCs w:val="24"/>
              </w:rPr>
            </m:ctrlPr>
          </m:sub>
        </m:sSub>
      </m:oMath>
      <w:r>
        <w:rPr>
          <w:rFonts w:hint="eastAsia" w:ascii="楷体" w:hAnsi="楷体" w:eastAsia="楷体" w:cs="楷体"/>
          <w:b/>
          <w:bCs/>
          <w:sz w:val="24"/>
          <w:szCs w:val="24"/>
        </w:rPr>
        <w:t>：第</w:t>
      </w:r>
      <m:oMath>
        <m:r>
          <m:rPr>
            <m:sty m:val="b"/>
            <m:scr m:val="script"/>
          </m:rPr>
          <w:rPr>
            <w:rFonts w:hint="eastAsia" w:ascii="Cambria Math" w:hAnsi="Cambria Math" w:eastAsia="MS Mincho" w:cs="MS Mincho"/>
            <w:sz w:val="24"/>
            <w:szCs w:val="24"/>
          </w:rPr>
          <m:t>j</m:t>
        </m:r>
      </m:oMath>
      <w:r>
        <w:rPr>
          <w:rFonts w:hint="eastAsia" w:ascii="楷体" w:hAnsi="楷体" w:eastAsia="楷体" w:cs="楷体"/>
          <w:b/>
          <w:bCs/>
          <w:sz w:val="24"/>
          <w:szCs w:val="24"/>
        </w:rPr>
        <w:t>类农资的运输重量；</w:t>
      </w:r>
    </w:p>
    <w:p w14:paraId="3B5A99E5">
      <w:pPr>
        <w:spacing w:line="360" w:lineRule="auto"/>
        <w:ind w:firstLine="482" w:firstLineChars="200"/>
        <w:rPr>
          <w:rFonts w:hint="eastAsia" w:ascii="楷体" w:hAnsi="楷体" w:eastAsia="楷体" w:cs="楷体"/>
          <w:b/>
          <w:bCs/>
          <w:sz w:val="24"/>
          <w:szCs w:val="24"/>
        </w:rPr>
      </w:pPr>
      <m:oMath>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D</m:t>
            </m:r>
            <m:ctrlPr>
              <w:rPr>
                <w:rFonts w:hint="eastAsia" w:ascii="Cambria Math" w:hAnsi="Cambria Math" w:eastAsia="楷体" w:cs="楷体"/>
                <w:b/>
                <w:bCs/>
                <w:sz w:val="24"/>
                <w:szCs w:val="24"/>
              </w:rPr>
            </m:ctrlPr>
          </m:e>
          <m:sub>
            <m:r>
              <m:rPr>
                <m:sty m:val="b"/>
                <m:scr m:val="script"/>
              </m:rPr>
              <w:rPr>
                <w:rFonts w:hint="eastAsia" w:ascii="Cambria Math" w:hAnsi="Cambria Math" w:eastAsia="MS Mincho" w:cs="MS Mincho"/>
                <w:sz w:val="24"/>
                <w:szCs w:val="24"/>
              </w:rPr>
              <m:t>j</m:t>
            </m:r>
            <m:ctrlPr>
              <w:rPr>
                <w:rFonts w:hint="eastAsia" w:ascii="Cambria Math" w:hAnsi="Cambria Math" w:eastAsia="楷体" w:cs="楷体"/>
                <w:b/>
                <w:bCs/>
                <w:sz w:val="24"/>
                <w:szCs w:val="24"/>
              </w:rPr>
            </m:ctrlPr>
          </m:sub>
        </m:sSub>
      </m:oMath>
      <w:r>
        <w:rPr>
          <w:rFonts w:hint="eastAsia" w:ascii="楷体" w:hAnsi="楷体" w:eastAsia="楷体" w:cs="楷体"/>
          <w:b/>
          <w:bCs/>
          <w:sz w:val="24"/>
          <w:szCs w:val="24"/>
        </w:rPr>
        <w:t>：第</w:t>
      </w:r>
      <m:oMath>
        <m:r>
          <m:rPr>
            <m:sty m:val="b"/>
            <m:scr m:val="script"/>
          </m:rPr>
          <w:rPr>
            <w:rFonts w:hint="eastAsia" w:ascii="Cambria Math" w:hAnsi="Cambria Math" w:eastAsia="MS Mincho" w:cs="MS Mincho"/>
            <w:sz w:val="24"/>
            <w:szCs w:val="24"/>
          </w:rPr>
          <m:t>j</m:t>
        </m:r>
      </m:oMath>
      <w:r>
        <w:rPr>
          <w:rFonts w:hint="eastAsia" w:ascii="楷体" w:hAnsi="楷体" w:eastAsia="楷体" w:cs="楷体"/>
          <w:b/>
          <w:bCs/>
          <w:sz w:val="24"/>
          <w:szCs w:val="24"/>
        </w:rPr>
        <w:t>类农资的运输距离。</w:t>
      </w:r>
    </w:p>
    <w:p w14:paraId="1DCEAFB3">
      <w:pPr>
        <w:spacing w:line="360" w:lineRule="auto"/>
        <w:ind w:left="1925" w:leftChars="228" w:hanging="1446" w:hangingChars="600"/>
        <w:rPr>
          <w:rFonts w:hint="eastAsia" w:ascii="楷体" w:hAnsi="楷体" w:eastAsia="楷体" w:cs="楷体"/>
          <w:b/>
          <w:bCs/>
          <w:sz w:val="24"/>
          <w:szCs w:val="24"/>
        </w:rPr>
      </w:pPr>
      <m:oMath>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EF</m:t>
            </m:r>
            <m:ctrlPr>
              <w:rPr>
                <w:rFonts w:hint="eastAsia" w:ascii="Cambria Math" w:hAnsi="Cambria Math" w:eastAsia="楷体" w:cs="楷体"/>
                <w:b/>
                <w:bCs/>
                <w:sz w:val="24"/>
                <w:szCs w:val="24"/>
              </w:rPr>
            </m:ctrlPr>
          </m:e>
          <m:sub>
            <m:r>
              <m:rPr>
                <m:sty m:val="b"/>
              </m:rPr>
              <w:rPr>
                <w:rFonts w:hint="eastAsia" w:ascii="Cambria Math" w:hAnsi="Cambria Math" w:eastAsia="楷体" w:cs="楷体"/>
                <w:sz w:val="24"/>
                <w:szCs w:val="24"/>
              </w:rPr>
              <m:t>trans1、2, j</m:t>
            </m:r>
            <m:ctrlPr>
              <w:rPr>
                <w:rFonts w:hint="eastAsia" w:ascii="Cambria Math" w:hAnsi="Cambria Math" w:eastAsia="楷体" w:cs="楷体"/>
                <w:b/>
                <w:bCs/>
                <w:sz w:val="24"/>
                <w:szCs w:val="24"/>
              </w:rPr>
            </m:ctrlPr>
          </m:sub>
        </m:sSub>
      </m:oMath>
      <w:r>
        <w:rPr>
          <w:rFonts w:hint="eastAsia" w:ascii="楷体" w:hAnsi="楷体" w:eastAsia="楷体" w:cs="楷体"/>
          <w:b/>
          <w:bCs/>
          <w:sz w:val="24"/>
          <w:szCs w:val="24"/>
        </w:rPr>
        <w:t>：第</w:t>
      </w:r>
      <m:oMath>
        <m:r>
          <m:rPr>
            <m:sty m:val="b"/>
            <m:scr m:val="script"/>
          </m:rPr>
          <w:rPr>
            <w:rFonts w:hint="eastAsia" w:ascii="Cambria Math" w:hAnsi="Cambria Math" w:eastAsia="MS Mincho" w:cs="MS Mincho"/>
            <w:sz w:val="24"/>
            <w:szCs w:val="24"/>
          </w:rPr>
          <m:t>j</m:t>
        </m:r>
      </m:oMath>
      <w:r>
        <w:rPr>
          <w:rFonts w:hint="eastAsia" w:ascii="楷体" w:hAnsi="楷体" w:eastAsia="楷体" w:cs="楷体"/>
          <w:b/>
          <w:bCs/>
          <w:sz w:val="24"/>
          <w:szCs w:val="24"/>
        </w:rPr>
        <w:t>类农资的运输对应的温室气体排放因子,具体排放因子参考附录A3。</w:t>
      </w:r>
    </w:p>
    <w:p w14:paraId="1D3720C6">
      <w:pPr>
        <w:spacing w:line="360" w:lineRule="auto"/>
        <w:ind w:firstLine="480" w:firstLineChars="200"/>
        <w:rPr>
          <w:rFonts w:hint="eastAsia" w:ascii="楷体" w:hAnsi="楷体" w:eastAsia="楷体" w:cs="楷体"/>
          <w:b/>
          <w:bCs/>
          <w:sz w:val="24"/>
          <w:szCs w:val="24"/>
        </w:rPr>
      </w:pPr>
      <m:oMath>
        <m:r>
          <m:rPr>
            <m:sty m:val="b"/>
            <m:scr m:val="script"/>
          </m:rPr>
          <w:rPr>
            <w:rFonts w:hint="eastAsia" w:ascii="Cambria Math" w:hAnsi="Cambria Math" w:eastAsia="MS Mincho" w:cs="MS Mincho"/>
            <w:sz w:val="24"/>
            <w:szCs w:val="24"/>
          </w:rPr>
          <m:t>i</m:t>
        </m:r>
      </m:oMath>
      <w:r>
        <w:rPr>
          <w:rFonts w:hint="eastAsia" w:ascii="楷体" w:hAnsi="楷体" w:eastAsia="楷体" w:cs="楷体"/>
          <w:b/>
          <w:bCs/>
          <w:sz w:val="24"/>
          <w:szCs w:val="24"/>
        </w:rPr>
        <w:t>：生产农资类型</w:t>
      </w:r>
    </w:p>
    <w:p w14:paraId="66F10EF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n：生产农资种类总数</w:t>
      </w:r>
    </w:p>
    <w:p w14:paraId="48D8EF8E">
      <w:pPr>
        <w:spacing w:line="360" w:lineRule="auto"/>
        <w:ind w:firstLine="480" w:firstLineChars="200"/>
        <w:rPr>
          <w:rFonts w:hint="eastAsia" w:ascii="楷体" w:hAnsi="楷体" w:eastAsia="楷体" w:cs="楷体"/>
          <w:b/>
          <w:bCs/>
          <w:sz w:val="24"/>
          <w:szCs w:val="24"/>
        </w:rPr>
      </w:pPr>
      <m:oMath>
        <m:r>
          <m:rPr>
            <m:sty m:val="b"/>
            <m:scr m:val="script"/>
          </m:rPr>
          <w:rPr>
            <w:rFonts w:hint="eastAsia" w:ascii="Cambria Math" w:hAnsi="Cambria Math" w:eastAsia="MS Mincho" w:cs="MS Mincho"/>
            <w:sz w:val="24"/>
            <w:szCs w:val="24"/>
          </w:rPr>
          <m:t>j</m:t>
        </m:r>
      </m:oMath>
      <w:r>
        <w:rPr>
          <w:rFonts w:hint="eastAsia" w:ascii="楷体" w:hAnsi="楷体" w:eastAsia="楷体" w:cs="楷体"/>
          <w:b/>
          <w:bCs/>
          <w:sz w:val="24"/>
          <w:szCs w:val="24"/>
        </w:rPr>
        <w:t>：运输农资类型</w:t>
      </w:r>
    </w:p>
    <w:p w14:paraId="456AE6CA">
      <w:pPr>
        <w:spacing w:line="360" w:lineRule="auto"/>
        <w:ind w:firstLine="480" w:firstLineChars="200"/>
        <w:rPr>
          <w:rFonts w:hint="eastAsia" w:ascii="楷体" w:hAnsi="楷体" w:eastAsia="楷体" w:cs="楷体"/>
          <w:b/>
          <w:bCs/>
          <w:sz w:val="24"/>
          <w:szCs w:val="24"/>
        </w:rPr>
      </w:pPr>
      <m:oMath>
        <m:r>
          <m:rPr>
            <m:sty m:val="b"/>
            <m:scr m:val="script"/>
          </m:rPr>
          <w:rPr>
            <w:rFonts w:hint="eastAsia" w:ascii="Cambria Math" w:hAnsi="Cambria Math" w:eastAsia="MS Mincho" w:cs="MS Mincho"/>
            <w:sz w:val="24"/>
            <w:szCs w:val="24"/>
          </w:rPr>
          <m:t>m</m:t>
        </m:r>
      </m:oMath>
      <w:r>
        <w:rPr>
          <w:rFonts w:hint="eastAsia" w:ascii="楷体" w:hAnsi="楷体" w:eastAsia="楷体" w:cs="楷体"/>
          <w:b/>
          <w:bCs/>
          <w:sz w:val="24"/>
          <w:szCs w:val="24"/>
        </w:rPr>
        <w:t>：运输农资总数</w:t>
      </w:r>
    </w:p>
    <w:p w14:paraId="3124A2CF">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本文件8.2.1部分农资生产与运输阶段GHG排放总量计算方法参照FAO在2016年发布的《Environmental performance of animal feeds supply chains: Guidelines for assessment》第 11.1 部分中给出的计算方法，该方法规定饲料供应链过程中排放通过物质消耗量乘以对应的排放因子获得。</w:t>
      </w:r>
    </w:p>
    <w:p w14:paraId="6586A75A">
      <w:pPr>
        <w:spacing w:line="360" w:lineRule="auto"/>
        <w:ind w:firstLine="562" w:firstLineChars="200"/>
        <w:rPr>
          <w:rFonts w:hint="eastAsia" w:ascii="仿宋" w:hAnsi="仿宋" w:eastAsia="仿宋"/>
          <w:b/>
          <w:sz w:val="28"/>
          <w:szCs w:val="28"/>
        </w:rPr>
      </w:pPr>
    </w:p>
    <w:p w14:paraId="79CF24D3">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1AC49988">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8.2.2 饲料作物种植与收获阶段GHG排放总量</w:t>
      </w:r>
    </w:p>
    <w:p w14:paraId="0342B906">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饲料作物种植与收获阶段产生的GHG排放总量按公式（5）计算</w:t>
      </w:r>
    </w:p>
    <w:p w14:paraId="31C0BAA7">
      <w:pPr>
        <w:spacing w:line="360" w:lineRule="auto"/>
        <w:ind w:firstLine="482" w:firstLineChars="200"/>
        <w:rPr>
          <w:rFonts w:hint="eastAsia" w:ascii="楷体" w:hAnsi="楷体" w:eastAsia="楷体" w:cs="楷体"/>
          <w:b/>
          <w:bCs/>
          <w:sz w:val="24"/>
          <w:szCs w:val="24"/>
        </w:rPr>
      </w:pPr>
      <m:oMath>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E</m:t>
            </m:r>
            <m:ctrlPr>
              <w:rPr>
                <w:rFonts w:hint="eastAsia" w:ascii="Cambria Math" w:hAnsi="Cambria Math" w:eastAsia="楷体" w:cs="楷体"/>
                <w:b/>
                <w:bCs/>
                <w:sz w:val="24"/>
                <w:szCs w:val="24"/>
              </w:rPr>
            </m:ctrlPr>
          </m:e>
          <m:sub>
            <m:r>
              <m:rPr>
                <m:sty m:val="b"/>
              </m:rPr>
              <w:rPr>
                <w:rFonts w:hint="eastAsia" w:ascii="Cambria Math" w:hAnsi="Cambria Math" w:eastAsia="楷体" w:cs="楷体"/>
                <w:sz w:val="24"/>
                <w:szCs w:val="24"/>
              </w:rPr>
              <m:t>af</m:t>
            </m:r>
            <m:ctrlPr>
              <w:rPr>
                <w:rFonts w:hint="eastAsia" w:ascii="Cambria Math" w:hAnsi="Cambria Math" w:eastAsia="楷体" w:cs="楷体"/>
                <w:b/>
                <w:bCs/>
                <w:sz w:val="24"/>
                <w:szCs w:val="24"/>
              </w:rPr>
            </m:ctrlPr>
          </m:sub>
        </m:sSub>
        <m:r>
          <m:rPr>
            <m:sty m:val="b"/>
          </m:rPr>
          <w:rPr>
            <w:rFonts w:hint="eastAsia" w:ascii="Cambria Math" w:hAnsi="Cambria Math" w:eastAsia="楷体" w:cs="楷体"/>
            <w:sz w:val="24"/>
            <w:szCs w:val="24"/>
          </w:rPr>
          <m:t>=</m:t>
        </m:r>
        <m:nary>
          <m:naryPr>
            <m:chr m:val="∑"/>
            <m:limLoc m:val="subSup"/>
            <m:supHide m:val="1"/>
            <m:ctrlPr>
              <w:rPr>
                <w:rFonts w:hint="eastAsia" w:ascii="Cambria Math" w:hAnsi="Cambria Math" w:eastAsia="楷体" w:cs="楷体"/>
                <w:b/>
                <w:bCs/>
                <w:sz w:val="24"/>
                <w:szCs w:val="24"/>
              </w:rPr>
            </m:ctrlPr>
          </m:naryPr>
          <m:sub>
            <m:r>
              <m:rPr>
                <m:sty m:val="b"/>
                <m:scr m:val="script"/>
              </m:rPr>
              <w:rPr>
                <w:rFonts w:hint="eastAsia" w:ascii="Cambria Math" w:hAnsi="Cambria Math" w:eastAsia="MS Mincho" w:cs="MS Mincho"/>
                <w:sz w:val="24"/>
                <w:szCs w:val="24"/>
              </w:rPr>
              <m:t>i</m:t>
            </m:r>
            <m:ctrlPr>
              <w:rPr>
                <w:rFonts w:hint="eastAsia" w:ascii="Cambria Math" w:hAnsi="Cambria Math" w:eastAsia="楷体" w:cs="楷体"/>
                <w:b/>
                <w:bCs/>
                <w:sz w:val="24"/>
                <w:szCs w:val="24"/>
              </w:rPr>
            </m:ctrlPr>
          </m:sub>
          <m:sup>
            <m:ctrlPr>
              <w:rPr>
                <w:rFonts w:hint="eastAsia" w:ascii="Cambria Math" w:hAnsi="Cambria Math" w:eastAsia="楷体" w:cs="楷体"/>
                <w:b/>
                <w:bCs/>
                <w:sz w:val="24"/>
                <w:szCs w:val="24"/>
              </w:rPr>
            </m:ctrlPr>
          </m:sup>
          <m:e>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AD</m:t>
                </m:r>
                <m:ctrlPr>
                  <w:rPr>
                    <w:rFonts w:hint="eastAsia" w:ascii="Cambria Math" w:hAnsi="Cambria Math" w:eastAsia="楷体" w:cs="楷体"/>
                    <w:b/>
                    <w:bCs/>
                    <w:sz w:val="24"/>
                    <w:szCs w:val="24"/>
                  </w:rPr>
                </m:ctrlPr>
              </m:e>
              <m:sub>
                <m:r>
                  <m:rPr>
                    <m:sty m:val="b"/>
                    <m:scr m:val="script"/>
                  </m:rPr>
                  <w:rPr>
                    <w:rFonts w:hint="eastAsia" w:ascii="Cambria Math" w:hAnsi="Cambria Math" w:eastAsia="MS Mincho" w:cs="MS Mincho"/>
                    <w:sz w:val="24"/>
                    <w:szCs w:val="24"/>
                  </w:rPr>
                  <m:t>i</m:t>
                </m:r>
                <m:ctrlPr>
                  <w:rPr>
                    <w:rFonts w:hint="eastAsia" w:ascii="Cambria Math" w:hAnsi="Cambria Math" w:eastAsia="楷体" w:cs="楷体"/>
                    <w:b/>
                    <w:bCs/>
                    <w:sz w:val="24"/>
                    <w:szCs w:val="24"/>
                  </w:rPr>
                </m:ctrlPr>
              </m:sub>
            </m:sSub>
            <m:ctrlPr>
              <w:rPr>
                <w:rFonts w:hint="eastAsia" w:ascii="Cambria Math" w:hAnsi="Cambria Math" w:eastAsia="楷体" w:cs="楷体"/>
                <w:b/>
                <w:bCs/>
                <w:sz w:val="24"/>
                <w:szCs w:val="24"/>
              </w:rPr>
            </m:ctrlPr>
          </m:e>
        </m:nary>
        <m:r>
          <m:rPr>
            <m:sty m:val="b"/>
          </m:rPr>
          <w:rPr>
            <w:rFonts w:hint="eastAsia" w:ascii="Cambria Math" w:hAnsi="Cambria Math" w:eastAsia="楷体" w:cs="楷体"/>
            <w:sz w:val="24"/>
            <w:szCs w:val="24"/>
          </w:rPr>
          <m:t>×</m:t>
        </m:r>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EF</m:t>
            </m:r>
            <m:ctrlPr>
              <w:rPr>
                <w:rFonts w:hint="eastAsia" w:ascii="Cambria Math" w:hAnsi="Cambria Math" w:eastAsia="楷体" w:cs="楷体"/>
                <w:b/>
                <w:bCs/>
                <w:sz w:val="24"/>
                <w:szCs w:val="24"/>
              </w:rPr>
            </m:ctrlPr>
          </m:e>
          <m:sub>
            <m:r>
              <m:rPr>
                <m:sty m:val="b"/>
                <m:scr m:val="script"/>
              </m:rPr>
              <w:rPr>
                <w:rFonts w:hint="eastAsia" w:ascii="Cambria Math" w:hAnsi="Cambria Math" w:eastAsia="MS Mincho" w:cs="MS Mincho"/>
                <w:sz w:val="24"/>
                <w:szCs w:val="24"/>
              </w:rPr>
              <m:t>i</m:t>
            </m:r>
            <m:ctrlPr>
              <w:rPr>
                <w:rFonts w:hint="eastAsia" w:ascii="Cambria Math" w:hAnsi="Cambria Math" w:eastAsia="楷体" w:cs="楷体"/>
                <w:b/>
                <w:bCs/>
                <w:sz w:val="24"/>
                <w:szCs w:val="24"/>
              </w:rPr>
            </m:ctrlPr>
          </m:sub>
        </m:sSub>
        <m:r>
          <m:rPr>
            <m:sty m:val="b"/>
          </m:rPr>
          <w:rPr>
            <w:rFonts w:hint="eastAsia" w:ascii="Cambria Math" w:hAnsi="Cambria Math" w:eastAsia="楷体" w:cs="楷体"/>
            <w:sz w:val="24"/>
            <w:szCs w:val="24"/>
          </w:rPr>
          <m:t>×</m:t>
        </m:r>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GWP</m:t>
            </m:r>
            <m:ctrlPr>
              <w:rPr>
                <w:rFonts w:hint="eastAsia" w:ascii="Cambria Math" w:hAnsi="Cambria Math" w:eastAsia="楷体" w:cs="楷体"/>
                <w:b/>
                <w:bCs/>
                <w:sz w:val="24"/>
                <w:szCs w:val="24"/>
              </w:rPr>
            </m:ctrlPr>
          </m:e>
          <m:sub>
            <m:r>
              <m:rPr>
                <m:sty m:val="b"/>
                <m:scr m:val="fraktur"/>
              </m:rPr>
              <w:rPr>
                <w:rFonts w:hint="eastAsia" w:ascii="Cambria Math" w:hAnsi="Cambria Math" w:eastAsia="MS Mincho" w:cs="MS Mincho"/>
                <w:sz w:val="24"/>
                <w:szCs w:val="24"/>
              </w:rPr>
              <m:t>i</m:t>
            </m:r>
            <m:ctrlPr>
              <w:rPr>
                <w:rFonts w:hint="eastAsia" w:ascii="Cambria Math" w:hAnsi="Cambria Math" w:eastAsia="楷体" w:cs="楷体"/>
                <w:b/>
                <w:bCs/>
                <w:sz w:val="24"/>
                <w:szCs w:val="24"/>
              </w:rPr>
            </m:ctrlPr>
          </m:sub>
        </m:sSub>
      </m:oMath>
      <w:r>
        <w:rPr>
          <w:rFonts w:hint="eastAsia" w:ascii="楷体" w:hAnsi="楷体" w:eastAsia="楷体" w:cs="楷体"/>
          <w:b/>
          <w:bCs/>
          <w:sz w:val="24"/>
          <w:szCs w:val="24"/>
        </w:rPr>
        <w:t xml:space="preserve">             （5）</w:t>
      </w:r>
    </w:p>
    <w:p w14:paraId="49C5573C">
      <w:pPr>
        <w:spacing w:line="360" w:lineRule="auto"/>
        <w:ind w:firstLine="482" w:firstLineChars="200"/>
        <w:rPr>
          <w:rFonts w:hint="eastAsia" w:ascii="楷体" w:hAnsi="楷体" w:eastAsia="楷体" w:cs="楷体"/>
          <w:b/>
          <w:bCs/>
          <w:sz w:val="24"/>
          <w:szCs w:val="24"/>
        </w:rPr>
      </w:pPr>
      <m:oMath>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E</m:t>
            </m:r>
            <m:ctrlPr>
              <w:rPr>
                <w:rFonts w:hint="eastAsia" w:ascii="Cambria Math" w:hAnsi="Cambria Math" w:eastAsia="楷体" w:cs="楷体"/>
                <w:b/>
                <w:bCs/>
                <w:sz w:val="24"/>
                <w:szCs w:val="24"/>
              </w:rPr>
            </m:ctrlPr>
          </m:e>
          <m:sub>
            <m:r>
              <m:rPr>
                <m:sty m:val="b"/>
              </m:rPr>
              <w:rPr>
                <w:rFonts w:hint="eastAsia" w:ascii="Cambria Math" w:hAnsi="Cambria Math" w:eastAsia="楷体" w:cs="楷体"/>
                <w:sz w:val="24"/>
                <w:szCs w:val="24"/>
              </w:rPr>
              <m:t>af</m:t>
            </m:r>
            <m:ctrlPr>
              <w:rPr>
                <w:rFonts w:hint="eastAsia" w:ascii="Cambria Math" w:hAnsi="Cambria Math" w:eastAsia="楷体" w:cs="楷体"/>
                <w:b/>
                <w:bCs/>
                <w:sz w:val="24"/>
                <w:szCs w:val="24"/>
              </w:rPr>
            </m:ctrlPr>
          </m:sub>
        </m:sSub>
      </m:oMath>
      <w:r>
        <w:rPr>
          <w:rFonts w:hint="eastAsia" w:ascii="楷体" w:hAnsi="楷体" w:eastAsia="楷体" w:cs="楷体"/>
          <w:b/>
          <w:bCs/>
          <w:sz w:val="24"/>
          <w:szCs w:val="24"/>
        </w:rPr>
        <w:t>：饲料作物种植到收获阶段的温室气体排放总量；</w:t>
      </w:r>
    </w:p>
    <w:p w14:paraId="32B07CFA">
      <w:pPr>
        <w:spacing w:line="360" w:lineRule="auto"/>
        <w:ind w:left="1202" w:leftChars="228" w:hanging="723" w:hangingChars="300"/>
        <w:rPr>
          <w:rFonts w:hint="eastAsia" w:ascii="楷体" w:hAnsi="楷体" w:eastAsia="楷体" w:cs="楷体"/>
          <w:b/>
          <w:bCs/>
          <w:sz w:val="24"/>
          <w:szCs w:val="24"/>
        </w:rPr>
      </w:pPr>
      <m:oMath>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AD</m:t>
            </m:r>
            <m:ctrlPr>
              <w:rPr>
                <w:rFonts w:hint="eastAsia" w:ascii="Cambria Math" w:hAnsi="Cambria Math" w:eastAsia="楷体" w:cs="楷体"/>
                <w:b/>
                <w:bCs/>
                <w:sz w:val="24"/>
                <w:szCs w:val="24"/>
              </w:rPr>
            </m:ctrlPr>
          </m:e>
          <m:sub>
            <m:r>
              <m:rPr>
                <m:sty m:val="b"/>
                <m:scr m:val="script"/>
              </m:rPr>
              <w:rPr>
                <w:rFonts w:hint="eastAsia" w:ascii="Cambria Math" w:hAnsi="Cambria Math" w:eastAsia="MS Mincho" w:cs="MS Mincho"/>
                <w:sz w:val="24"/>
                <w:szCs w:val="24"/>
              </w:rPr>
              <m:t>i</m:t>
            </m:r>
            <m:ctrlPr>
              <w:rPr>
                <w:rFonts w:hint="eastAsia" w:ascii="Cambria Math" w:hAnsi="Cambria Math" w:eastAsia="楷体" w:cs="楷体"/>
                <w:b/>
                <w:bCs/>
                <w:sz w:val="24"/>
                <w:szCs w:val="24"/>
              </w:rPr>
            </m:ctrlPr>
          </m:sub>
        </m:sSub>
      </m:oMath>
      <w:r>
        <w:rPr>
          <w:rFonts w:hint="eastAsia" w:ascii="楷体" w:hAnsi="楷体" w:eastAsia="楷体" w:cs="楷体"/>
          <w:b/>
          <w:bCs/>
          <w:sz w:val="24"/>
          <w:szCs w:val="24"/>
        </w:rPr>
        <w:t>：第</w:t>
      </w:r>
      <m:oMath>
        <m:r>
          <m:rPr>
            <m:sty m:val="b"/>
            <m:scr m:val="script"/>
          </m:rPr>
          <w:rPr>
            <w:rFonts w:hint="eastAsia" w:ascii="Cambria Math" w:hAnsi="Cambria Math" w:eastAsia="MS Mincho" w:cs="MS Mincho"/>
            <w:sz w:val="24"/>
            <w:szCs w:val="24"/>
          </w:rPr>
          <m:t>i</m:t>
        </m:r>
      </m:oMath>
      <w:r>
        <w:rPr>
          <w:rFonts w:hint="eastAsia" w:ascii="楷体" w:hAnsi="楷体" w:eastAsia="楷体" w:cs="楷体"/>
          <w:b/>
          <w:bCs/>
          <w:sz w:val="24"/>
          <w:szCs w:val="24"/>
        </w:rPr>
        <w:t>种活动的活动数据，例如化肥使用量、农药使用量、农机具燃油量、灌溉耗电量等；</w:t>
      </w:r>
    </w:p>
    <w:p w14:paraId="37B7570A">
      <w:pPr>
        <w:spacing w:line="360" w:lineRule="auto"/>
        <w:ind w:left="1202" w:leftChars="228" w:hanging="723" w:hangingChars="300"/>
        <w:rPr>
          <w:rFonts w:hint="eastAsia" w:ascii="楷体" w:hAnsi="楷体" w:eastAsia="楷体" w:cs="楷体"/>
          <w:b/>
          <w:bCs/>
          <w:sz w:val="24"/>
          <w:szCs w:val="24"/>
        </w:rPr>
      </w:pPr>
      <m:oMath>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EF</m:t>
            </m:r>
            <m:ctrlPr>
              <w:rPr>
                <w:rFonts w:hint="eastAsia" w:ascii="Cambria Math" w:hAnsi="Cambria Math" w:eastAsia="楷体" w:cs="楷体"/>
                <w:b/>
                <w:bCs/>
                <w:sz w:val="24"/>
                <w:szCs w:val="24"/>
              </w:rPr>
            </m:ctrlPr>
          </m:e>
          <m:sub>
            <m:r>
              <m:rPr>
                <m:sty m:val="b"/>
                <m:scr m:val="script"/>
              </m:rPr>
              <w:rPr>
                <w:rFonts w:hint="eastAsia" w:ascii="Cambria Math" w:hAnsi="Cambria Math" w:eastAsia="MS Mincho" w:cs="MS Mincho"/>
                <w:sz w:val="24"/>
                <w:szCs w:val="24"/>
              </w:rPr>
              <m:t>i</m:t>
            </m:r>
            <m:ctrlPr>
              <w:rPr>
                <w:rFonts w:hint="eastAsia" w:ascii="Cambria Math" w:hAnsi="Cambria Math" w:eastAsia="楷体" w:cs="楷体"/>
                <w:b/>
                <w:bCs/>
                <w:sz w:val="24"/>
                <w:szCs w:val="24"/>
              </w:rPr>
            </m:ctrlPr>
          </m:sub>
        </m:sSub>
      </m:oMath>
      <w:r>
        <w:rPr>
          <w:rFonts w:hint="eastAsia" w:ascii="楷体" w:hAnsi="楷体" w:eastAsia="楷体" w:cs="楷体"/>
          <w:b/>
          <w:bCs/>
          <w:sz w:val="24"/>
          <w:szCs w:val="24"/>
        </w:rPr>
        <w:t>：第</w:t>
      </w:r>
      <m:oMath>
        <m:r>
          <m:rPr>
            <m:sty m:val="b"/>
            <m:scr m:val="script"/>
          </m:rPr>
          <w:rPr>
            <w:rFonts w:hint="eastAsia" w:ascii="Cambria Math" w:hAnsi="Cambria Math" w:eastAsia="MS Mincho" w:cs="MS Mincho"/>
            <w:sz w:val="24"/>
            <w:szCs w:val="24"/>
          </w:rPr>
          <m:t>i</m:t>
        </m:r>
      </m:oMath>
      <w:r>
        <w:rPr>
          <w:rFonts w:hint="eastAsia" w:ascii="楷体" w:hAnsi="楷体" w:eastAsia="楷体" w:cs="楷体"/>
          <w:b/>
          <w:bCs/>
          <w:sz w:val="24"/>
          <w:szCs w:val="24"/>
        </w:rPr>
        <w:t>种活动对应的温室气体排放因子；肥料施用的排放因子参考GB/T44903-2024附录A1-A4，其它排放因子参考附录A1-A4。</w:t>
      </w:r>
    </w:p>
    <w:p w14:paraId="0F92FAC5">
      <w:pPr>
        <w:spacing w:line="360" w:lineRule="auto"/>
        <w:ind w:left="1202" w:leftChars="228" w:hanging="723" w:hangingChars="300"/>
        <w:rPr>
          <w:rFonts w:hint="eastAsia" w:ascii="楷体" w:hAnsi="楷体" w:eastAsia="楷体" w:cs="楷体"/>
          <w:b/>
          <w:bCs/>
          <w:sz w:val="24"/>
          <w:szCs w:val="24"/>
        </w:rPr>
      </w:pPr>
      <m:oMath>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GWP</m:t>
            </m:r>
            <m:ctrlPr>
              <w:rPr>
                <w:rFonts w:hint="eastAsia" w:ascii="Cambria Math" w:hAnsi="Cambria Math" w:eastAsia="楷体" w:cs="楷体"/>
                <w:b/>
                <w:bCs/>
                <w:sz w:val="24"/>
                <w:szCs w:val="24"/>
              </w:rPr>
            </m:ctrlPr>
          </m:e>
          <m:sub>
            <m:r>
              <m:rPr>
                <m:sty m:val="b"/>
                <m:scr m:val="script"/>
              </m:rPr>
              <w:rPr>
                <w:rFonts w:hint="eastAsia" w:ascii="Cambria Math" w:hAnsi="Cambria Math" w:eastAsia="MS Mincho" w:cs="MS Mincho"/>
                <w:sz w:val="24"/>
                <w:szCs w:val="24"/>
              </w:rPr>
              <m:t>i</m:t>
            </m:r>
            <m:ctrlPr>
              <w:rPr>
                <w:rFonts w:hint="eastAsia" w:ascii="Cambria Math" w:hAnsi="Cambria Math" w:eastAsia="楷体" w:cs="楷体"/>
                <w:b/>
                <w:bCs/>
                <w:sz w:val="24"/>
                <w:szCs w:val="24"/>
              </w:rPr>
            </m:ctrlPr>
          </m:sub>
        </m:sSub>
      </m:oMath>
      <w:r>
        <w:rPr>
          <w:rFonts w:hint="eastAsia" w:ascii="楷体" w:hAnsi="楷体" w:eastAsia="楷体" w:cs="楷体"/>
          <w:b/>
          <w:bCs/>
          <w:sz w:val="24"/>
          <w:szCs w:val="24"/>
        </w:rPr>
        <w:t>：第</w:t>
      </w:r>
      <m:oMath>
        <m:r>
          <m:rPr>
            <m:sty m:val="b"/>
            <m:scr m:val="script"/>
          </m:rPr>
          <w:rPr>
            <w:rFonts w:hint="eastAsia" w:ascii="Cambria Math" w:hAnsi="Cambria Math" w:eastAsia="MS Mincho" w:cs="MS Mincho"/>
            <w:sz w:val="24"/>
            <w:szCs w:val="24"/>
          </w:rPr>
          <m:t>i</m:t>
        </m:r>
      </m:oMath>
      <w:r>
        <w:rPr>
          <w:rFonts w:hint="eastAsia" w:ascii="楷体" w:hAnsi="楷体" w:eastAsia="楷体" w:cs="楷体"/>
          <w:b/>
          <w:bCs/>
          <w:sz w:val="24"/>
          <w:szCs w:val="24"/>
        </w:rPr>
        <w:t>种温室气体的全球变暖潜能值，用于将不同温室气体的排放量折算为二氧化碳当量。</w:t>
      </w:r>
    </w:p>
    <w:p w14:paraId="14AB0CC5">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本文件8.2.2部分饲料种植与收获阶段GHG排放总量计算方法参照FAO在2016年发布的《Environmental performance of animal feeds supply chains: Guidelines for assessment》第 11.1 部分中给出的计算方法，该方法规定饲料供应链过程中排放通过物质消耗量乘以对应的排放因子获得。</w:t>
      </w:r>
    </w:p>
    <w:p w14:paraId="011593B3">
      <w:pPr>
        <w:spacing w:line="360" w:lineRule="auto"/>
        <w:ind w:firstLine="562" w:firstLineChars="200"/>
        <w:rPr>
          <w:rFonts w:hint="eastAsia" w:ascii="仿宋" w:hAnsi="仿宋" w:eastAsia="仿宋"/>
          <w:b/>
          <w:sz w:val="28"/>
          <w:szCs w:val="28"/>
        </w:rPr>
      </w:pPr>
    </w:p>
    <w:p w14:paraId="33CFDAFF">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48113F7B">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8.2.3 饲料产品加工与运输GHG排放总量</w:t>
      </w:r>
    </w:p>
    <w:p w14:paraId="58BD24AA">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饲料产品加工与运输阶段产生的饲料产品GHG排放总量按公式（6）计算</w:t>
      </w:r>
    </w:p>
    <w:p w14:paraId="6B348125">
      <w:pPr>
        <w:spacing w:line="360" w:lineRule="auto"/>
        <w:ind w:firstLine="482" w:firstLineChars="200"/>
        <w:rPr>
          <w:rFonts w:hint="eastAsia" w:ascii="楷体" w:hAnsi="楷体" w:eastAsia="楷体" w:cs="楷体"/>
          <w:b/>
          <w:bCs/>
          <w:sz w:val="24"/>
          <w:szCs w:val="24"/>
        </w:rPr>
      </w:pPr>
      <m:oMath>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E</m:t>
            </m:r>
            <m:ctrlPr>
              <w:rPr>
                <w:rFonts w:hint="eastAsia" w:ascii="Cambria Math" w:hAnsi="Cambria Math" w:eastAsia="楷体" w:cs="楷体"/>
                <w:b/>
                <w:bCs/>
                <w:sz w:val="24"/>
                <w:szCs w:val="24"/>
              </w:rPr>
            </m:ctrlPr>
          </m:e>
          <m:sub>
            <m:r>
              <m:rPr>
                <m:sty m:val="b"/>
              </m:rPr>
              <w:rPr>
                <w:rFonts w:hint="eastAsia" w:ascii="Cambria Math" w:hAnsi="Cambria Math" w:eastAsia="楷体" w:cs="楷体"/>
                <w:sz w:val="24"/>
                <w:szCs w:val="24"/>
              </w:rPr>
              <m:t>machi,trans3</m:t>
            </m:r>
            <m:ctrlPr>
              <w:rPr>
                <w:rFonts w:hint="eastAsia" w:ascii="Cambria Math" w:hAnsi="Cambria Math" w:eastAsia="楷体" w:cs="楷体"/>
                <w:b/>
                <w:bCs/>
                <w:sz w:val="24"/>
                <w:szCs w:val="24"/>
              </w:rPr>
            </m:ctrlPr>
          </m:sub>
        </m:sSub>
        <m:r>
          <m:rPr>
            <m:sty m:val="b"/>
          </m:rPr>
          <w:rPr>
            <w:rFonts w:hint="eastAsia" w:ascii="Cambria Math" w:hAnsi="Cambria Math" w:eastAsia="楷体" w:cs="楷体"/>
            <w:sz w:val="24"/>
            <w:szCs w:val="24"/>
          </w:rPr>
          <m:t>=</m:t>
        </m:r>
        <m:nary>
          <m:naryPr>
            <m:chr m:val="∑"/>
            <m:limLoc m:val="undOvr"/>
            <m:subHide m:val="1"/>
            <m:supHide m:val="1"/>
            <m:ctrlPr>
              <w:rPr>
                <w:rFonts w:hint="eastAsia" w:ascii="Cambria Math" w:hAnsi="Cambria Math" w:eastAsia="楷体" w:cs="楷体"/>
                <w:b/>
                <w:bCs/>
                <w:sz w:val="24"/>
                <w:szCs w:val="24"/>
              </w:rPr>
            </m:ctrlPr>
          </m:naryPr>
          <m:sub>
            <m:ctrlPr>
              <w:rPr>
                <w:rFonts w:hint="eastAsia" w:ascii="Cambria Math" w:hAnsi="Cambria Math" w:eastAsia="楷体" w:cs="楷体"/>
                <w:b/>
                <w:bCs/>
                <w:sz w:val="24"/>
                <w:szCs w:val="24"/>
              </w:rPr>
            </m:ctrlPr>
          </m:sub>
          <m:sup>
            <m:ctrlPr>
              <w:rPr>
                <w:rFonts w:hint="eastAsia" w:ascii="Cambria Math" w:hAnsi="Cambria Math" w:eastAsia="楷体" w:cs="楷体"/>
                <w:b/>
                <w:bCs/>
                <w:sz w:val="24"/>
                <w:szCs w:val="24"/>
              </w:rPr>
            </m:ctrlPr>
          </m:sup>
          <m:e>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E</m:t>
                </m:r>
                <m:ctrlPr>
                  <w:rPr>
                    <w:rFonts w:hint="eastAsia" w:ascii="Cambria Math" w:hAnsi="Cambria Math" w:eastAsia="楷体" w:cs="楷体"/>
                    <w:b/>
                    <w:bCs/>
                    <w:sz w:val="24"/>
                    <w:szCs w:val="24"/>
                  </w:rPr>
                </m:ctrlPr>
              </m:e>
              <m:sub>
                <m:r>
                  <m:rPr>
                    <m:sty m:val="b"/>
                  </m:rPr>
                  <w:rPr>
                    <w:rFonts w:hint="eastAsia" w:ascii="Cambria Math" w:hAnsi="Cambria Math" w:eastAsia="楷体" w:cs="楷体"/>
                    <w:sz w:val="24"/>
                    <w:szCs w:val="24"/>
                  </w:rPr>
                  <m:t>machi,k</m:t>
                </m:r>
                <m:ctrlPr>
                  <w:rPr>
                    <w:rFonts w:hint="eastAsia" w:ascii="Cambria Math" w:hAnsi="Cambria Math" w:eastAsia="楷体" w:cs="楷体"/>
                    <w:b/>
                    <w:bCs/>
                    <w:sz w:val="24"/>
                    <w:szCs w:val="24"/>
                  </w:rPr>
                </m:ctrlPr>
              </m:sub>
            </m:sSub>
            <m:r>
              <m:rPr>
                <m:sty m:val="b"/>
              </m:rPr>
              <w:rPr>
                <w:rFonts w:hint="eastAsia" w:ascii="Cambria Math" w:hAnsi="Cambria Math" w:eastAsia="楷体" w:cs="楷体"/>
                <w:sz w:val="24"/>
                <w:szCs w:val="24"/>
              </w:rPr>
              <m:t>×</m:t>
            </m:r>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EF</m:t>
                </m:r>
                <m:ctrlPr>
                  <w:rPr>
                    <w:rFonts w:hint="eastAsia" w:ascii="Cambria Math" w:hAnsi="Cambria Math" w:eastAsia="楷体" w:cs="楷体"/>
                    <w:b/>
                    <w:bCs/>
                    <w:sz w:val="24"/>
                    <w:szCs w:val="24"/>
                  </w:rPr>
                </m:ctrlPr>
              </m:e>
              <m:sub>
                <m:r>
                  <m:rPr>
                    <m:sty m:val="b"/>
                  </m:rPr>
                  <w:rPr>
                    <w:rFonts w:hint="eastAsia" w:ascii="Cambria Math" w:hAnsi="Cambria Math" w:eastAsia="楷体" w:cs="楷体"/>
                    <w:sz w:val="24"/>
                    <w:szCs w:val="24"/>
                  </w:rPr>
                  <m:t>k</m:t>
                </m:r>
                <m:ctrlPr>
                  <w:rPr>
                    <w:rFonts w:hint="eastAsia" w:ascii="Cambria Math" w:hAnsi="Cambria Math" w:eastAsia="楷体" w:cs="楷体"/>
                    <w:b/>
                    <w:bCs/>
                    <w:sz w:val="24"/>
                    <w:szCs w:val="24"/>
                  </w:rPr>
                </m:ctrlPr>
              </m:sub>
            </m:sSub>
            <m:r>
              <m:rPr>
                <m:sty m:val="b"/>
              </m:rPr>
              <w:rPr>
                <w:rFonts w:hint="eastAsia" w:ascii="Cambria Math" w:hAnsi="Cambria Math" w:eastAsia="楷体" w:cs="楷体"/>
                <w:sz w:val="24"/>
                <w:szCs w:val="24"/>
              </w:rPr>
              <m:t>×</m:t>
            </m:r>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GWP</m:t>
                </m:r>
                <m:ctrlPr>
                  <w:rPr>
                    <w:rFonts w:hint="eastAsia" w:ascii="Cambria Math" w:hAnsi="Cambria Math" w:eastAsia="楷体" w:cs="楷体"/>
                    <w:b/>
                    <w:bCs/>
                    <w:sz w:val="24"/>
                    <w:szCs w:val="24"/>
                  </w:rPr>
                </m:ctrlPr>
              </m:e>
              <m:sub>
                <m:r>
                  <m:rPr>
                    <m:sty m:val="b"/>
                    <m:scr m:val="fraktur"/>
                  </m:rPr>
                  <w:rPr>
                    <w:rFonts w:hint="eastAsia" w:ascii="Cambria Math" w:hAnsi="Cambria Math" w:eastAsia="MS Mincho" w:cs="MS Mincho"/>
                    <w:sz w:val="24"/>
                    <w:szCs w:val="24"/>
                  </w:rPr>
                  <m:t>i</m:t>
                </m:r>
                <m:ctrlPr>
                  <w:rPr>
                    <w:rFonts w:hint="eastAsia" w:ascii="Cambria Math" w:hAnsi="Cambria Math" w:eastAsia="楷体" w:cs="楷体"/>
                    <w:b/>
                    <w:bCs/>
                    <w:sz w:val="24"/>
                    <w:szCs w:val="24"/>
                  </w:rPr>
                </m:ctrlPr>
              </m:sub>
            </m:sSub>
            <m:r>
              <m:rPr>
                <m:sty m:val="b"/>
              </m:rPr>
              <w:rPr>
                <w:rFonts w:hint="eastAsia" w:ascii="Cambria Math" w:hAnsi="Cambria Math" w:eastAsia="楷体" w:cs="楷体"/>
                <w:sz w:val="24"/>
                <w:szCs w:val="24"/>
              </w:rPr>
              <m:t>+</m:t>
            </m:r>
            <m:nary>
              <m:naryPr>
                <m:chr m:val="∑"/>
                <m:limLoc m:val="undOvr"/>
                <m:subHide m:val="1"/>
                <m:supHide m:val="1"/>
                <m:ctrlPr>
                  <w:rPr>
                    <w:rFonts w:hint="eastAsia" w:ascii="Cambria Math" w:hAnsi="Cambria Math" w:eastAsia="楷体" w:cs="楷体"/>
                    <w:b/>
                    <w:bCs/>
                    <w:sz w:val="24"/>
                    <w:szCs w:val="24"/>
                  </w:rPr>
                </m:ctrlPr>
              </m:naryPr>
              <m:sub>
                <m:ctrlPr>
                  <w:rPr>
                    <w:rFonts w:hint="eastAsia" w:ascii="Cambria Math" w:hAnsi="Cambria Math" w:eastAsia="楷体" w:cs="楷体"/>
                    <w:b/>
                    <w:bCs/>
                    <w:sz w:val="24"/>
                    <w:szCs w:val="24"/>
                  </w:rPr>
                </m:ctrlPr>
              </m:sub>
              <m:sup>
                <m:ctrlPr>
                  <w:rPr>
                    <w:rFonts w:hint="eastAsia" w:ascii="Cambria Math" w:hAnsi="Cambria Math" w:eastAsia="楷体" w:cs="楷体"/>
                    <w:b/>
                    <w:bCs/>
                    <w:sz w:val="24"/>
                    <w:szCs w:val="24"/>
                  </w:rPr>
                </m:ctrlPr>
              </m:sup>
              <m:e>
                <m:r>
                  <m:rPr>
                    <m:sty m:val="b"/>
                  </m:rPr>
                  <w:rPr>
                    <w:rFonts w:hint="eastAsia" w:ascii="Cambria Math" w:hAnsi="Cambria Math" w:eastAsia="楷体" w:cs="楷体"/>
                    <w:sz w:val="24"/>
                    <w:szCs w:val="24"/>
                  </w:rPr>
                  <m:t>D×FCR</m:t>
                </m:r>
                <m:ctrlPr>
                  <w:rPr>
                    <w:rFonts w:hint="eastAsia" w:ascii="Cambria Math" w:hAnsi="Cambria Math" w:eastAsia="楷体" w:cs="楷体"/>
                    <w:b/>
                    <w:bCs/>
                    <w:sz w:val="24"/>
                    <w:szCs w:val="24"/>
                  </w:rPr>
                </m:ctrlPr>
              </m:e>
            </m:nary>
            <m:ctrlPr>
              <w:rPr>
                <w:rFonts w:hint="eastAsia" w:ascii="Cambria Math" w:hAnsi="Cambria Math" w:eastAsia="楷体" w:cs="楷体"/>
                <w:b/>
                <w:bCs/>
                <w:sz w:val="24"/>
                <w:szCs w:val="24"/>
              </w:rPr>
            </m:ctrlPr>
          </m:e>
        </m:nary>
        <m:r>
          <m:rPr>
            <m:sty m:val="b"/>
          </m:rPr>
          <w:rPr>
            <w:rFonts w:hint="eastAsia" w:ascii="Cambria Math" w:hAnsi="Cambria Math" w:eastAsia="楷体" w:cs="楷体"/>
            <w:sz w:val="24"/>
            <w:szCs w:val="24"/>
          </w:rPr>
          <m:t>×</m:t>
        </m:r>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L</m:t>
            </m:r>
            <m:ctrlPr>
              <w:rPr>
                <w:rFonts w:hint="eastAsia" w:ascii="Cambria Math" w:hAnsi="Cambria Math" w:eastAsia="楷体" w:cs="楷体"/>
                <w:b/>
                <w:bCs/>
                <w:sz w:val="24"/>
                <w:szCs w:val="24"/>
              </w:rPr>
            </m:ctrlPr>
          </m:e>
          <m:sub>
            <m:r>
              <m:rPr>
                <m:sty m:val="b"/>
              </m:rPr>
              <w:rPr>
                <w:rFonts w:hint="eastAsia" w:ascii="Cambria Math" w:hAnsi="Cambria Math" w:eastAsia="楷体" w:cs="楷体"/>
                <w:sz w:val="24"/>
                <w:szCs w:val="24"/>
              </w:rPr>
              <m:t>k</m:t>
            </m:r>
            <m:ctrlPr>
              <w:rPr>
                <w:rFonts w:hint="eastAsia" w:ascii="Cambria Math" w:hAnsi="Cambria Math" w:eastAsia="楷体" w:cs="楷体"/>
                <w:b/>
                <w:bCs/>
                <w:sz w:val="24"/>
                <w:szCs w:val="24"/>
              </w:rPr>
            </m:ctrlPr>
          </m:sub>
        </m:sSub>
        <m:r>
          <m:rPr>
            <m:sty m:val="b"/>
          </m:rPr>
          <w:rPr>
            <w:rFonts w:hint="eastAsia" w:ascii="Cambria Math" w:hAnsi="Cambria Math" w:eastAsia="楷体" w:cs="楷体"/>
            <w:sz w:val="24"/>
            <w:szCs w:val="24"/>
          </w:rPr>
          <m:t>×</m:t>
        </m:r>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GWP</m:t>
            </m:r>
            <m:ctrlPr>
              <w:rPr>
                <w:rFonts w:hint="eastAsia" w:ascii="Cambria Math" w:hAnsi="Cambria Math" w:eastAsia="楷体" w:cs="楷体"/>
                <w:b/>
                <w:bCs/>
                <w:sz w:val="24"/>
                <w:szCs w:val="24"/>
              </w:rPr>
            </m:ctrlPr>
          </m:e>
          <m:sub>
            <m:r>
              <m:rPr>
                <m:sty m:val="b"/>
                <m:scr m:val="fraktur"/>
              </m:rPr>
              <w:rPr>
                <w:rFonts w:hint="eastAsia" w:ascii="Cambria Math" w:hAnsi="Cambria Math" w:eastAsia="MS Mincho" w:cs="MS Mincho"/>
                <w:sz w:val="24"/>
                <w:szCs w:val="24"/>
              </w:rPr>
              <m:t>i</m:t>
            </m:r>
            <m:ctrlPr>
              <w:rPr>
                <w:rFonts w:hint="eastAsia" w:ascii="Cambria Math" w:hAnsi="Cambria Math" w:eastAsia="楷体" w:cs="楷体"/>
                <w:b/>
                <w:bCs/>
                <w:sz w:val="24"/>
                <w:szCs w:val="24"/>
              </w:rPr>
            </m:ctrlPr>
          </m:sub>
        </m:sSub>
      </m:oMath>
      <w:r>
        <w:rPr>
          <w:rFonts w:hint="eastAsia" w:ascii="楷体" w:hAnsi="楷体" w:eastAsia="楷体" w:cs="楷体"/>
          <w:b/>
          <w:bCs/>
          <w:sz w:val="24"/>
          <w:szCs w:val="24"/>
        </w:rPr>
        <w:t xml:space="preserve">   （6）</w:t>
      </w:r>
    </w:p>
    <w:p w14:paraId="584B5E27">
      <w:pPr>
        <w:spacing w:line="360" w:lineRule="auto"/>
        <w:ind w:firstLine="482" w:firstLineChars="200"/>
        <w:rPr>
          <w:rFonts w:hint="eastAsia" w:ascii="楷体" w:hAnsi="楷体" w:eastAsia="楷体" w:cs="楷体"/>
          <w:b/>
          <w:bCs/>
          <w:sz w:val="24"/>
          <w:szCs w:val="24"/>
        </w:rPr>
      </w:pPr>
      <m:oMath>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E</m:t>
            </m:r>
            <m:ctrlPr>
              <w:rPr>
                <w:rFonts w:hint="eastAsia" w:ascii="Cambria Math" w:hAnsi="Cambria Math" w:eastAsia="楷体" w:cs="楷体"/>
                <w:b/>
                <w:bCs/>
                <w:sz w:val="24"/>
                <w:szCs w:val="24"/>
              </w:rPr>
            </m:ctrlPr>
          </m:e>
          <m:sub>
            <m:r>
              <m:rPr>
                <m:sty m:val="b"/>
              </m:rPr>
              <w:rPr>
                <w:rFonts w:hint="eastAsia" w:ascii="Cambria Math" w:hAnsi="Cambria Math" w:eastAsia="楷体" w:cs="楷体"/>
                <w:sz w:val="24"/>
                <w:szCs w:val="24"/>
              </w:rPr>
              <m:t>machi,trans3</m:t>
            </m:r>
            <m:ctrlPr>
              <w:rPr>
                <w:rFonts w:hint="eastAsia" w:ascii="Cambria Math" w:hAnsi="Cambria Math" w:eastAsia="楷体" w:cs="楷体"/>
                <w:b/>
                <w:bCs/>
                <w:sz w:val="24"/>
                <w:szCs w:val="24"/>
              </w:rPr>
            </m:ctrlPr>
          </m:sub>
        </m:sSub>
      </m:oMath>
      <w:r>
        <w:rPr>
          <w:rFonts w:hint="eastAsia" w:ascii="楷体" w:hAnsi="楷体" w:eastAsia="楷体" w:cs="楷体"/>
          <w:b/>
          <w:bCs/>
          <w:sz w:val="24"/>
          <w:szCs w:val="24"/>
        </w:rPr>
        <w:t>：饲料产品加工到运输阶段的温室气体排放总量；</w:t>
      </w:r>
    </w:p>
    <w:p w14:paraId="5E67E5CB">
      <w:pPr>
        <w:spacing w:line="360" w:lineRule="auto"/>
        <w:ind w:firstLine="482" w:firstLineChars="200"/>
        <w:rPr>
          <w:rFonts w:hint="eastAsia" w:ascii="楷体" w:hAnsi="楷体" w:eastAsia="楷体" w:cs="楷体"/>
          <w:b/>
          <w:bCs/>
          <w:sz w:val="24"/>
          <w:szCs w:val="24"/>
        </w:rPr>
      </w:pPr>
      <m:oMath>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E</m:t>
            </m:r>
            <m:ctrlPr>
              <w:rPr>
                <w:rFonts w:hint="eastAsia" w:ascii="Cambria Math" w:hAnsi="Cambria Math" w:eastAsia="楷体" w:cs="楷体"/>
                <w:b/>
                <w:bCs/>
                <w:sz w:val="24"/>
                <w:szCs w:val="24"/>
              </w:rPr>
            </m:ctrlPr>
          </m:e>
          <m:sub>
            <m:r>
              <m:rPr>
                <m:sty m:val="b"/>
              </m:rPr>
              <w:rPr>
                <w:rFonts w:hint="eastAsia" w:ascii="Cambria Math" w:hAnsi="Cambria Math" w:eastAsia="楷体" w:cs="楷体"/>
                <w:sz w:val="24"/>
                <w:szCs w:val="24"/>
              </w:rPr>
              <m:t>machi,k</m:t>
            </m:r>
            <m:ctrlPr>
              <w:rPr>
                <w:rFonts w:hint="eastAsia" w:ascii="Cambria Math" w:hAnsi="Cambria Math" w:eastAsia="楷体" w:cs="楷体"/>
                <w:b/>
                <w:bCs/>
                <w:sz w:val="24"/>
                <w:szCs w:val="24"/>
              </w:rPr>
            </m:ctrlPr>
          </m:sub>
        </m:sSub>
      </m:oMath>
      <w:r>
        <w:rPr>
          <w:rFonts w:hint="eastAsia" w:ascii="楷体" w:hAnsi="楷体" w:eastAsia="楷体" w:cs="楷体"/>
          <w:b/>
          <w:bCs/>
          <w:sz w:val="24"/>
          <w:szCs w:val="24"/>
        </w:rPr>
        <w:t>：第k类加工设备的能耗（如粉碎机、烘干机、压块机等的电力或燃                   料消耗量）；</w:t>
      </w:r>
    </w:p>
    <w:p w14:paraId="52E77E9A">
      <w:pPr>
        <w:spacing w:line="360" w:lineRule="auto"/>
        <w:ind w:left="1202" w:leftChars="228" w:hanging="723" w:hangingChars="300"/>
        <w:rPr>
          <w:rFonts w:hint="eastAsia" w:ascii="楷体" w:hAnsi="楷体" w:eastAsia="楷体" w:cs="楷体"/>
          <w:b/>
          <w:bCs/>
          <w:sz w:val="24"/>
          <w:szCs w:val="24"/>
        </w:rPr>
      </w:pPr>
      <m:oMath>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EF</m:t>
            </m:r>
            <m:ctrlPr>
              <w:rPr>
                <w:rFonts w:hint="eastAsia" w:ascii="Cambria Math" w:hAnsi="Cambria Math" w:eastAsia="楷体" w:cs="楷体"/>
                <w:b/>
                <w:bCs/>
                <w:sz w:val="24"/>
                <w:szCs w:val="24"/>
              </w:rPr>
            </m:ctrlPr>
          </m:e>
          <m:sub>
            <m:r>
              <m:rPr>
                <m:sty m:val="b"/>
              </m:rPr>
              <w:rPr>
                <w:rFonts w:hint="eastAsia" w:ascii="Cambria Math" w:hAnsi="Cambria Math" w:eastAsia="楷体" w:cs="楷体"/>
                <w:sz w:val="24"/>
                <w:szCs w:val="24"/>
              </w:rPr>
              <m:t>k</m:t>
            </m:r>
            <m:ctrlPr>
              <w:rPr>
                <w:rFonts w:hint="eastAsia" w:ascii="Cambria Math" w:hAnsi="Cambria Math" w:eastAsia="楷体" w:cs="楷体"/>
                <w:b/>
                <w:bCs/>
                <w:sz w:val="24"/>
                <w:szCs w:val="24"/>
              </w:rPr>
            </m:ctrlPr>
          </m:sub>
        </m:sSub>
      </m:oMath>
      <w:r>
        <w:rPr>
          <w:rFonts w:hint="eastAsia" w:ascii="楷体" w:hAnsi="楷体" w:eastAsia="楷体" w:cs="楷体"/>
          <w:b/>
          <w:bCs/>
          <w:sz w:val="24"/>
          <w:szCs w:val="24"/>
        </w:rPr>
        <w:t>：第</w:t>
      </w:r>
      <m:oMath>
        <m:r>
          <m:rPr>
            <m:sty m:val="b"/>
          </m:rPr>
          <w:rPr>
            <w:rFonts w:hint="eastAsia" w:ascii="Cambria Math" w:hAnsi="Cambria Math" w:eastAsia="楷体" w:cs="楷体"/>
            <w:sz w:val="24"/>
            <w:szCs w:val="24"/>
          </w:rPr>
          <m:t>k</m:t>
        </m:r>
      </m:oMath>
      <w:r>
        <w:rPr>
          <w:rFonts w:hint="eastAsia" w:ascii="楷体" w:hAnsi="楷体" w:eastAsia="楷体" w:cs="楷体"/>
          <w:b/>
          <w:bCs/>
          <w:sz w:val="24"/>
          <w:szCs w:val="24"/>
        </w:rPr>
        <w:t>种活动对应的温室气体排放因子；具体排放因子参考附录A1-A4或考GB/T44903-2024附录A1-A4；</w:t>
      </w:r>
    </w:p>
    <w:p w14:paraId="15F0BC54">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D：运输距离（km）；</w:t>
      </w:r>
    </w:p>
    <w:p w14:paraId="4F75A8F3">
      <w:pPr>
        <w:spacing w:line="360" w:lineRule="auto"/>
        <w:ind w:left="1202" w:leftChars="228" w:hanging="723" w:hangingChars="300"/>
        <w:rPr>
          <w:rFonts w:hint="eastAsia" w:ascii="楷体" w:hAnsi="楷体" w:eastAsia="楷体" w:cs="楷体"/>
          <w:b/>
          <w:bCs/>
          <w:sz w:val="24"/>
          <w:szCs w:val="24"/>
        </w:rPr>
      </w:pPr>
      <w:r>
        <w:rPr>
          <w:rFonts w:hint="eastAsia" w:ascii="楷体" w:hAnsi="楷体" w:eastAsia="楷体" w:cs="楷体"/>
          <w:b/>
          <w:bCs/>
          <w:sz w:val="24"/>
          <w:szCs w:val="24"/>
        </w:rPr>
        <w:t>FCR：燃料消耗率表示运输工具在运输过程中消耗的燃料量与运输工作量之间的比率（t/km）。</w:t>
      </w:r>
    </w:p>
    <w:p w14:paraId="6FDF4239">
      <w:pPr>
        <w:spacing w:line="360" w:lineRule="auto"/>
        <w:ind w:left="961" w:leftChars="228" w:hanging="482" w:hangingChars="200"/>
        <w:rPr>
          <w:rFonts w:hint="eastAsia" w:ascii="楷体" w:hAnsi="楷体" w:eastAsia="楷体" w:cs="楷体"/>
          <w:b/>
          <w:bCs/>
          <w:sz w:val="24"/>
          <w:szCs w:val="24"/>
        </w:rPr>
      </w:pPr>
      <m:oMath>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L</m:t>
            </m:r>
            <m:ctrlPr>
              <w:rPr>
                <w:rFonts w:hint="eastAsia" w:ascii="Cambria Math" w:hAnsi="Cambria Math" w:eastAsia="楷体" w:cs="楷体"/>
                <w:b/>
                <w:bCs/>
                <w:sz w:val="24"/>
                <w:szCs w:val="24"/>
              </w:rPr>
            </m:ctrlPr>
          </m:e>
          <m:sub>
            <m:r>
              <m:rPr>
                <m:sty m:val="b"/>
              </m:rPr>
              <w:rPr>
                <w:rFonts w:hint="eastAsia" w:ascii="Cambria Math" w:hAnsi="Cambria Math" w:eastAsia="楷体" w:cs="楷体"/>
                <w:sz w:val="24"/>
                <w:szCs w:val="24"/>
              </w:rPr>
              <m:t>K</m:t>
            </m:r>
            <m:ctrlPr>
              <w:rPr>
                <w:rFonts w:hint="eastAsia" w:ascii="Cambria Math" w:hAnsi="Cambria Math" w:eastAsia="楷体" w:cs="楷体"/>
                <w:b/>
                <w:bCs/>
                <w:sz w:val="24"/>
                <w:szCs w:val="24"/>
              </w:rPr>
            </m:ctrlPr>
          </m:sub>
        </m:sSub>
      </m:oMath>
      <w:r>
        <w:rPr>
          <w:rFonts w:hint="eastAsia" w:ascii="楷体" w:hAnsi="楷体" w:eastAsia="楷体" w:cs="楷体"/>
          <w:b/>
          <w:bCs/>
          <w:sz w:val="24"/>
          <w:szCs w:val="24"/>
        </w:rPr>
        <w:t>：第k类运输工具的单位能耗（如卡车：L 柴油 / t・km；火车：kWh / t・km）；</w:t>
      </w:r>
    </w:p>
    <w:p w14:paraId="62FC7DA4">
      <w:pPr>
        <w:spacing w:line="360" w:lineRule="auto"/>
        <w:ind w:left="1202" w:leftChars="228" w:hanging="723" w:hangingChars="300"/>
        <w:rPr>
          <w:rFonts w:hint="eastAsia" w:ascii="楷体" w:hAnsi="楷体" w:eastAsia="楷体" w:cs="楷体"/>
          <w:b/>
          <w:bCs/>
          <w:sz w:val="24"/>
          <w:szCs w:val="24"/>
        </w:rPr>
      </w:pPr>
      <m:oMath>
        <m:sSub>
          <m:sSubPr>
            <m:ctrlPr>
              <w:rPr>
                <w:rFonts w:hint="eastAsia" w:ascii="Cambria Math" w:hAnsi="Cambria Math" w:eastAsia="楷体" w:cs="楷体"/>
                <w:b/>
                <w:bCs/>
                <w:sz w:val="24"/>
                <w:szCs w:val="24"/>
              </w:rPr>
            </m:ctrlPr>
          </m:sSubPr>
          <m:e>
            <m:r>
              <m:rPr>
                <m:sty m:val="b"/>
              </m:rPr>
              <w:rPr>
                <w:rFonts w:hint="eastAsia" w:ascii="Cambria Math" w:hAnsi="Cambria Math" w:eastAsia="楷体" w:cs="楷体"/>
                <w:sz w:val="24"/>
                <w:szCs w:val="24"/>
              </w:rPr>
              <m:t>GWP</m:t>
            </m:r>
            <m:ctrlPr>
              <w:rPr>
                <w:rFonts w:hint="eastAsia" w:ascii="Cambria Math" w:hAnsi="Cambria Math" w:eastAsia="楷体" w:cs="楷体"/>
                <w:b/>
                <w:bCs/>
                <w:sz w:val="24"/>
                <w:szCs w:val="24"/>
              </w:rPr>
            </m:ctrlPr>
          </m:e>
          <m:sub>
            <m:r>
              <m:rPr>
                <m:sty m:val="b"/>
                <m:scr m:val="script"/>
              </m:rPr>
              <w:rPr>
                <w:rFonts w:hint="eastAsia" w:ascii="Cambria Math" w:hAnsi="Cambria Math" w:eastAsia="MS Mincho" w:cs="MS Mincho"/>
                <w:sz w:val="24"/>
                <w:szCs w:val="24"/>
              </w:rPr>
              <m:t>i</m:t>
            </m:r>
            <m:ctrlPr>
              <w:rPr>
                <w:rFonts w:hint="eastAsia" w:ascii="Cambria Math" w:hAnsi="Cambria Math" w:eastAsia="楷体" w:cs="楷体"/>
                <w:b/>
                <w:bCs/>
                <w:sz w:val="24"/>
                <w:szCs w:val="24"/>
              </w:rPr>
            </m:ctrlPr>
          </m:sub>
        </m:sSub>
      </m:oMath>
      <w:r>
        <w:rPr>
          <w:rFonts w:hint="eastAsia" w:ascii="楷体" w:hAnsi="楷体" w:eastAsia="楷体" w:cs="楷体"/>
          <w:b/>
          <w:bCs/>
          <w:sz w:val="24"/>
          <w:szCs w:val="24"/>
        </w:rPr>
        <w:t>：第</w:t>
      </w:r>
      <m:oMath>
        <m:r>
          <m:rPr>
            <m:sty m:val="b"/>
            <m:scr m:val="script"/>
          </m:rPr>
          <w:rPr>
            <w:rFonts w:hint="eastAsia" w:ascii="Cambria Math" w:hAnsi="Cambria Math" w:eastAsia="MS Mincho" w:cs="MS Mincho"/>
            <w:sz w:val="24"/>
            <w:szCs w:val="24"/>
          </w:rPr>
          <m:t>i</m:t>
        </m:r>
      </m:oMath>
      <w:r>
        <w:rPr>
          <w:rFonts w:hint="eastAsia" w:ascii="楷体" w:hAnsi="楷体" w:eastAsia="楷体" w:cs="楷体"/>
          <w:b/>
          <w:bCs/>
          <w:sz w:val="24"/>
          <w:szCs w:val="24"/>
        </w:rPr>
        <w:t>种温室气体的全球变暖潜能值，用于将不同温室气体的排放量折算为二氧化碳当量。</w:t>
      </w:r>
    </w:p>
    <w:p w14:paraId="0B6CDD04">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本文件8.2.3部分饲料产品加工与运输GHG排放总量计算方法参照FAO在2016年发布的《Environmental performance of animal feeds supply chains: Guidelines for assessment》第 11.1 部分中给出的计算方法，该方法规定饲料供应链过程中排放通过物质消耗量乘以对应的排放因子获得。</w:t>
      </w:r>
    </w:p>
    <w:p w14:paraId="6A678D29">
      <w:pPr>
        <w:spacing w:line="360" w:lineRule="auto"/>
        <w:ind w:firstLine="562" w:firstLineChars="200"/>
        <w:rPr>
          <w:rFonts w:hint="eastAsia" w:ascii="仿宋" w:hAnsi="仿宋" w:eastAsia="仿宋"/>
          <w:b/>
          <w:sz w:val="28"/>
          <w:szCs w:val="28"/>
        </w:rPr>
      </w:pPr>
    </w:p>
    <w:p w14:paraId="219F4C44">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（7）标准实施与监督</w:t>
      </w:r>
    </w:p>
    <w:p w14:paraId="773D9588">
      <w:pPr>
        <w:spacing w:line="360" w:lineRule="auto"/>
        <w:ind w:left="1202" w:leftChars="228" w:hanging="723" w:hangingChars="300"/>
        <w:rPr>
          <w:rFonts w:hint="eastAsia" w:ascii="楷体" w:hAnsi="楷体" w:eastAsia="楷体" w:cs="楷体"/>
          <w:b/>
          <w:bCs/>
          <w:sz w:val="24"/>
          <w:szCs w:val="24"/>
        </w:rPr>
      </w:pPr>
      <w:r>
        <w:rPr>
          <w:rFonts w:hint="eastAsia" w:ascii="楷体" w:hAnsi="楷体" w:eastAsia="楷体" w:cs="楷体"/>
          <w:b/>
          <w:bCs/>
          <w:sz w:val="24"/>
          <w:szCs w:val="24"/>
        </w:rPr>
        <w:t>标准内容：</w:t>
      </w:r>
    </w:p>
    <w:p w14:paraId="109E7187">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9.1　实施要求</w:t>
      </w:r>
    </w:p>
    <w:p w14:paraId="297609E8">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鼓励饲料生产企业、相关科研机构及行业组织积极采用本标准开展饲料产品碳足迹核算工作。在实施过程中，应严格按照本标准的规定进行操作，确保核算结果的准确性和可比性。</w:t>
      </w:r>
    </w:p>
    <w:p w14:paraId="3066D629">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9.2　监督检查</w:t>
      </w:r>
    </w:p>
    <w:p w14:paraId="7432A44E">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相关部门可定期或不定期对饲料产品碳足迹核算工作进行监督检查，检查内容包括核算过程是否符合本标准要求、核算报告是否真实可靠等。对于不符合标准要求的核算工作，应要求相关单位进行整改。</w:t>
      </w:r>
    </w:p>
    <w:p w14:paraId="55D63421">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9.3　修订与更新</w:t>
      </w:r>
    </w:p>
    <w:p w14:paraId="159AB021">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随着技术的发展、数据的完善以及相关政策法规的变化，本标准应适时进行修订与更新，以保证其科学性和实用性。标准修订过程应广泛征求行业内各方意见，确保修订后的标准能够更好地适应行业发展需求。</w:t>
      </w:r>
    </w:p>
    <w:p w14:paraId="6A63A92B">
      <w:pPr>
        <w:spacing w:line="360" w:lineRule="auto"/>
        <w:ind w:firstLine="482" w:firstLineChars="200"/>
        <w:rPr>
          <w:rFonts w:hint="eastAsia" w:ascii="宋体" w:hAnsi="宋体" w:eastAsia="宋体" w:cs="Times New Roman"/>
          <w:b/>
          <w:bCs/>
          <w:sz w:val="24"/>
          <w:szCs w:val="24"/>
          <w:highlight w:val="none"/>
        </w:rPr>
      </w:pPr>
      <w:r>
        <w:rPr>
          <w:rFonts w:hint="eastAsia" w:ascii="宋体" w:hAnsi="宋体" w:eastAsia="宋体" w:cs="Times New Roman"/>
          <w:b/>
          <w:bCs/>
          <w:sz w:val="24"/>
          <w:szCs w:val="24"/>
          <w:highlight w:val="none"/>
        </w:rPr>
        <w:t>理由及依据：</w:t>
      </w:r>
    </w:p>
    <w:p w14:paraId="0C5DC5E5">
      <w:pPr>
        <w:spacing w:line="360" w:lineRule="auto"/>
        <w:ind w:firstLine="482" w:firstLineChars="200"/>
        <w:rPr>
          <w:rFonts w:hint="eastAsia" w:ascii="宋体" w:hAnsi="宋体" w:eastAsia="宋体" w:cs="Times New Roman"/>
          <w:b/>
          <w:bCs/>
          <w:sz w:val="24"/>
          <w:szCs w:val="24"/>
        </w:rPr>
      </w:pPr>
    </w:p>
    <w:p w14:paraId="047D8B8E">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（8）附录A</w:t>
      </w:r>
    </w:p>
    <w:p w14:paraId="5F5F8440">
      <w:pPr>
        <w:pStyle w:val="16"/>
        <w:spacing w:line="360" w:lineRule="auto"/>
        <w:ind w:firstLine="482"/>
        <w:rPr>
          <w:rFonts w:hint="eastAsia" w:ascii="楷体" w:hAnsi="楷体" w:eastAsia="楷体" w:cs="楷体"/>
          <w:b/>
          <w:bCs/>
          <w:kern w:val="2"/>
          <w:sz w:val="24"/>
          <w:szCs w:val="24"/>
        </w:rPr>
      </w:pPr>
      <w:r>
        <w:rPr>
          <w:rFonts w:hint="eastAsia" w:ascii="楷体" w:hAnsi="楷体" w:eastAsia="楷体" w:cs="楷体"/>
          <w:b/>
          <w:bCs/>
          <w:kern w:val="2"/>
          <w:sz w:val="24"/>
          <w:szCs w:val="24"/>
        </w:rPr>
        <w:t>标准内容：</w:t>
      </w:r>
    </w:p>
    <w:p w14:paraId="6E6177E5">
      <w:pPr>
        <w:pStyle w:val="16"/>
        <w:spacing w:line="360" w:lineRule="auto"/>
        <w:ind w:firstLine="482"/>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表A.1  常见肥料生产碳排放因子</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193"/>
        <w:gridCol w:w="4329"/>
      </w:tblGrid>
      <w:tr w14:paraId="36D8AF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5" w:type="dxa"/>
            <w:tcBorders>
              <w:top w:val="single" w:color="auto" w:sz="12" w:space="0"/>
              <w:left w:val="single" w:color="auto" w:sz="12" w:space="0"/>
              <w:bottom w:val="single" w:color="auto" w:sz="12" w:space="0"/>
              <w:right w:val="single" w:color="auto" w:sz="4" w:space="0"/>
            </w:tcBorders>
          </w:tcPr>
          <w:p w14:paraId="2C417491">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肥料名称</w:t>
            </w:r>
          </w:p>
        </w:tc>
        <w:tc>
          <w:tcPr>
            <w:tcW w:w="4785" w:type="dxa"/>
            <w:tcBorders>
              <w:top w:val="single" w:color="auto" w:sz="12" w:space="0"/>
              <w:left w:val="single" w:color="auto" w:sz="4" w:space="0"/>
              <w:bottom w:val="single" w:color="auto" w:sz="12" w:space="0"/>
              <w:right w:val="single" w:color="auto" w:sz="12" w:space="0"/>
            </w:tcBorders>
          </w:tcPr>
          <w:p w14:paraId="6621B990">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碳排放因子（tCO₂/t）</w:t>
            </w:r>
          </w:p>
        </w:tc>
      </w:tr>
      <w:tr w14:paraId="65E0D6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5" w:type="dxa"/>
            <w:tcBorders>
              <w:top w:val="single" w:color="auto" w:sz="12" w:space="0"/>
              <w:left w:val="single" w:color="auto" w:sz="12" w:space="0"/>
              <w:bottom w:val="single" w:color="auto" w:sz="12" w:space="0"/>
              <w:right w:val="single" w:color="auto" w:sz="4" w:space="0"/>
            </w:tcBorders>
          </w:tcPr>
          <w:p w14:paraId="31DDAAFC">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尿素</w:t>
            </w:r>
          </w:p>
          <w:p w14:paraId="1FF55905">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合成氨</w:t>
            </w:r>
          </w:p>
          <w:p w14:paraId="2264D5A2">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钙镁磷肥</w:t>
            </w:r>
          </w:p>
          <w:p w14:paraId="11645FE7">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重过磷酸钙</w:t>
            </w:r>
          </w:p>
          <w:p w14:paraId="52BFCF4C">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NPK 复混肥</w:t>
            </w:r>
          </w:p>
          <w:p w14:paraId="23808129">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磷酸一铵粉</w:t>
            </w:r>
          </w:p>
          <w:p w14:paraId="13E7C09D">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磷酸一铵粒</w:t>
            </w:r>
          </w:p>
          <w:p w14:paraId="3CD4FBC9">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畜禽粪便有机肥</w:t>
            </w:r>
          </w:p>
        </w:tc>
        <w:tc>
          <w:tcPr>
            <w:tcW w:w="4785" w:type="dxa"/>
            <w:tcBorders>
              <w:top w:val="single" w:color="auto" w:sz="12" w:space="0"/>
              <w:left w:val="single" w:color="auto" w:sz="4" w:space="0"/>
              <w:bottom w:val="single" w:color="auto" w:sz="12" w:space="0"/>
              <w:right w:val="single" w:color="auto" w:sz="12" w:space="0"/>
            </w:tcBorders>
          </w:tcPr>
          <w:p w14:paraId="51CC2310">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3.2216</w:t>
            </w:r>
          </w:p>
          <w:p w14:paraId="1F69FCDF">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4.5746（天然气 / 焦炉气工艺）</w:t>
            </w:r>
          </w:p>
          <w:p w14:paraId="4016CB9B">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5.4063</w:t>
            </w:r>
          </w:p>
          <w:p w14:paraId="458DD5EC">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0.2495</w:t>
            </w:r>
          </w:p>
          <w:p w14:paraId="6D5485B0">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0.3743</w:t>
            </w:r>
          </w:p>
          <w:p w14:paraId="5E99B1AA">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0.5684</w:t>
            </w:r>
          </w:p>
          <w:p w14:paraId="4941A2FF">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0.5822</w:t>
            </w:r>
          </w:p>
          <w:p w14:paraId="7616DB1D">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无统一值（需实测）</w:t>
            </w:r>
          </w:p>
        </w:tc>
      </w:tr>
    </w:tbl>
    <w:p w14:paraId="7D91ED26">
      <w:pPr>
        <w:pStyle w:val="16"/>
        <w:spacing w:line="360" w:lineRule="auto"/>
        <w:ind w:firstLine="482"/>
        <w:rPr>
          <w:rFonts w:hint="eastAsia" w:ascii="楷体" w:hAnsi="楷体" w:eastAsia="楷体" w:cs="楷体"/>
          <w:b/>
          <w:bCs/>
          <w:kern w:val="2"/>
          <w:sz w:val="24"/>
          <w:szCs w:val="24"/>
        </w:rPr>
      </w:pPr>
      <w:r>
        <w:rPr>
          <w:rFonts w:hint="eastAsia" w:ascii="楷体" w:hAnsi="楷体" w:eastAsia="楷体" w:cs="楷体"/>
          <w:b/>
          <w:bCs/>
          <w:kern w:val="2"/>
          <w:sz w:val="24"/>
          <w:szCs w:val="24"/>
        </w:rPr>
        <w:t>注：数据来源国家温室气体排放因子数据库</w:t>
      </w:r>
    </w:p>
    <w:p w14:paraId="6243C649">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本文件附表A.1常见肥料生产碳排放因子参考国家温室气体排放因子数据库（https://data.ncsc.org.cn/factoryes/index）中碳排放计算工具-制造业-化工-工业生产过程和产品使用模块发布的相关数据。</w:t>
      </w:r>
    </w:p>
    <w:p w14:paraId="5D1AC58B">
      <w:pPr>
        <w:pStyle w:val="16"/>
        <w:spacing w:line="360" w:lineRule="auto"/>
        <w:ind w:firstLine="562"/>
        <w:rPr>
          <w:b/>
          <w:bCs/>
          <w:sz w:val="28"/>
          <w:szCs w:val="28"/>
        </w:rPr>
      </w:pPr>
    </w:p>
    <w:p w14:paraId="67195C55">
      <w:pPr>
        <w:pStyle w:val="16"/>
        <w:spacing w:line="360" w:lineRule="auto"/>
        <w:ind w:firstLine="482"/>
        <w:rPr>
          <w:rFonts w:hint="eastAsia" w:ascii="楷体" w:hAnsi="楷体" w:eastAsia="楷体" w:cs="楷体"/>
          <w:b/>
          <w:bCs/>
          <w:kern w:val="2"/>
          <w:sz w:val="24"/>
          <w:szCs w:val="24"/>
        </w:rPr>
      </w:pPr>
      <w:r>
        <w:rPr>
          <w:rFonts w:hint="eastAsia" w:ascii="楷体" w:hAnsi="楷体" w:eastAsia="楷体" w:cs="楷体"/>
          <w:b/>
          <w:bCs/>
          <w:kern w:val="2"/>
          <w:sz w:val="24"/>
          <w:szCs w:val="24"/>
        </w:rPr>
        <w:t>标准内容：</w:t>
      </w:r>
    </w:p>
    <w:p w14:paraId="52F805DD">
      <w:pPr>
        <w:pStyle w:val="16"/>
        <w:spacing w:line="360" w:lineRule="auto"/>
        <w:ind w:firstLine="482"/>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表A.2  常见农药生产碳排放因子</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787"/>
        <w:gridCol w:w="2787"/>
        <w:gridCol w:w="2948"/>
      </w:tblGrid>
      <w:tr w14:paraId="2F49E4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7" w:hRule="atLeast"/>
        </w:trPr>
        <w:tc>
          <w:tcPr>
            <w:tcW w:w="3190" w:type="dxa"/>
            <w:tcBorders>
              <w:top w:val="single" w:color="auto" w:sz="12" w:space="0"/>
              <w:left w:val="single" w:color="auto" w:sz="12" w:space="0"/>
              <w:right w:val="single" w:color="auto" w:sz="4" w:space="0"/>
            </w:tcBorders>
            <w:vAlign w:val="center"/>
          </w:tcPr>
          <w:p w14:paraId="1005D916">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农药类型</w:t>
            </w:r>
          </w:p>
        </w:tc>
        <w:tc>
          <w:tcPr>
            <w:tcW w:w="3190" w:type="dxa"/>
            <w:tcBorders>
              <w:top w:val="single" w:color="auto" w:sz="12" w:space="0"/>
              <w:left w:val="single" w:color="auto" w:sz="4" w:space="0"/>
              <w:right w:val="single" w:color="auto" w:sz="4" w:space="0"/>
            </w:tcBorders>
            <w:vAlign w:val="center"/>
          </w:tcPr>
          <w:p w14:paraId="4B65E6C0">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农药名称</w:t>
            </w:r>
          </w:p>
        </w:tc>
        <w:tc>
          <w:tcPr>
            <w:tcW w:w="3190" w:type="dxa"/>
            <w:tcBorders>
              <w:top w:val="single" w:color="auto" w:sz="12" w:space="0"/>
              <w:left w:val="single" w:color="auto" w:sz="4" w:space="0"/>
              <w:right w:val="single" w:color="auto" w:sz="12" w:space="0"/>
            </w:tcBorders>
            <w:vAlign w:val="center"/>
          </w:tcPr>
          <w:p w14:paraId="1F5231B6">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碳排放因子（tCO₂/t）</w:t>
            </w:r>
          </w:p>
        </w:tc>
      </w:tr>
      <w:tr w14:paraId="32D01B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0" w:type="dxa"/>
            <w:tcBorders>
              <w:left w:val="single" w:color="auto" w:sz="12" w:space="0"/>
              <w:bottom w:val="single" w:color="auto" w:sz="4" w:space="0"/>
              <w:right w:val="single" w:color="auto" w:sz="4" w:space="0"/>
            </w:tcBorders>
            <w:vAlign w:val="center"/>
          </w:tcPr>
          <w:p w14:paraId="40CC936B">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杀虫剂</w:t>
            </w:r>
          </w:p>
        </w:tc>
        <w:tc>
          <w:tcPr>
            <w:tcW w:w="3190" w:type="dxa"/>
            <w:tcBorders>
              <w:left w:val="single" w:color="auto" w:sz="4" w:space="0"/>
              <w:bottom w:val="single" w:color="auto" w:sz="4" w:space="0"/>
              <w:right w:val="single" w:color="auto" w:sz="4" w:space="0"/>
            </w:tcBorders>
            <w:vAlign w:val="center"/>
          </w:tcPr>
          <w:p w14:paraId="034052B5">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毒死蜱</w:t>
            </w:r>
          </w:p>
          <w:p w14:paraId="55B18D45">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氯氰菊酯</w:t>
            </w:r>
          </w:p>
          <w:p w14:paraId="17856DA8">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吡虫啉</w:t>
            </w:r>
          </w:p>
        </w:tc>
        <w:tc>
          <w:tcPr>
            <w:tcW w:w="3190" w:type="dxa"/>
            <w:tcBorders>
              <w:left w:val="single" w:color="auto" w:sz="4" w:space="0"/>
              <w:bottom w:val="single" w:color="auto" w:sz="4" w:space="0"/>
              <w:right w:val="single" w:color="auto" w:sz="12" w:space="0"/>
            </w:tcBorders>
            <w:vAlign w:val="center"/>
          </w:tcPr>
          <w:p w14:paraId="74CC8B7D">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15-20</w:t>
            </w:r>
          </w:p>
          <w:p w14:paraId="661022DC">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25-30</w:t>
            </w:r>
          </w:p>
          <w:p w14:paraId="141633DB">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12-18</w:t>
            </w:r>
          </w:p>
        </w:tc>
      </w:tr>
      <w:tr w14:paraId="6648BE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right w:val="single" w:color="auto" w:sz="4" w:space="0"/>
            </w:tcBorders>
            <w:vAlign w:val="center"/>
          </w:tcPr>
          <w:p w14:paraId="74BD8C2B">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杀菌剂</w:t>
            </w:r>
          </w:p>
        </w:tc>
        <w:tc>
          <w:tcPr>
            <w:tcW w:w="3190" w:type="dxa"/>
            <w:tcBorders>
              <w:top w:val="single" w:color="auto" w:sz="4" w:space="0"/>
              <w:left w:val="single" w:color="auto" w:sz="4" w:space="0"/>
              <w:bottom w:val="single" w:color="auto" w:sz="4" w:space="0"/>
              <w:right w:val="single" w:color="auto" w:sz="4" w:space="0"/>
            </w:tcBorders>
            <w:vAlign w:val="center"/>
          </w:tcPr>
          <w:p w14:paraId="26B7444F">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多菌灵</w:t>
            </w:r>
          </w:p>
          <w:p w14:paraId="5FC459BF">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代森锰锌</w:t>
            </w:r>
          </w:p>
          <w:p w14:paraId="0AB3E66E">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嘧菌酯</w:t>
            </w:r>
          </w:p>
        </w:tc>
        <w:tc>
          <w:tcPr>
            <w:tcW w:w="3190" w:type="dxa"/>
            <w:tcBorders>
              <w:top w:val="single" w:color="auto" w:sz="4" w:space="0"/>
              <w:left w:val="single" w:color="auto" w:sz="4" w:space="0"/>
              <w:bottom w:val="single" w:color="auto" w:sz="4" w:space="0"/>
              <w:right w:val="single" w:color="auto" w:sz="12" w:space="0"/>
            </w:tcBorders>
            <w:vAlign w:val="center"/>
          </w:tcPr>
          <w:p w14:paraId="329BCEF9">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8-12</w:t>
            </w:r>
          </w:p>
          <w:p w14:paraId="1E5FE519">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5-8</w:t>
            </w:r>
          </w:p>
          <w:p w14:paraId="5FE4C43A">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20-25</w:t>
            </w:r>
          </w:p>
        </w:tc>
      </w:tr>
      <w:tr w14:paraId="643D30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4" w:space="0"/>
              <w:right w:val="single" w:color="auto" w:sz="4" w:space="0"/>
            </w:tcBorders>
            <w:vAlign w:val="center"/>
          </w:tcPr>
          <w:p w14:paraId="0FB6E37C">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除草剂</w:t>
            </w:r>
          </w:p>
        </w:tc>
        <w:tc>
          <w:tcPr>
            <w:tcW w:w="3190" w:type="dxa"/>
            <w:tcBorders>
              <w:top w:val="single" w:color="auto" w:sz="4" w:space="0"/>
              <w:left w:val="single" w:color="auto" w:sz="4" w:space="0"/>
              <w:bottom w:val="single" w:color="auto" w:sz="4" w:space="0"/>
              <w:right w:val="single" w:color="auto" w:sz="4" w:space="0"/>
            </w:tcBorders>
            <w:vAlign w:val="center"/>
          </w:tcPr>
          <w:p w14:paraId="7641BDCC">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草甘膦</w:t>
            </w:r>
          </w:p>
          <w:p w14:paraId="531B2C53">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莠去津</w:t>
            </w:r>
          </w:p>
          <w:p w14:paraId="548057AC">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乙草胺</w:t>
            </w:r>
          </w:p>
        </w:tc>
        <w:tc>
          <w:tcPr>
            <w:tcW w:w="3190" w:type="dxa"/>
            <w:tcBorders>
              <w:top w:val="single" w:color="auto" w:sz="4" w:space="0"/>
              <w:left w:val="single" w:color="auto" w:sz="4" w:space="0"/>
              <w:bottom w:val="single" w:color="auto" w:sz="4" w:space="0"/>
              <w:right w:val="single" w:color="auto" w:sz="12" w:space="0"/>
            </w:tcBorders>
            <w:vAlign w:val="center"/>
          </w:tcPr>
          <w:p w14:paraId="5AB0546C">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4-7</w:t>
            </w:r>
          </w:p>
          <w:p w14:paraId="39A3A580">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6-10</w:t>
            </w:r>
          </w:p>
          <w:p w14:paraId="5610F96A">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9-13</w:t>
            </w:r>
          </w:p>
        </w:tc>
      </w:tr>
      <w:tr w14:paraId="0BD627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0" w:type="dxa"/>
            <w:tcBorders>
              <w:top w:val="single" w:color="auto" w:sz="4" w:space="0"/>
              <w:left w:val="single" w:color="auto" w:sz="12" w:space="0"/>
              <w:bottom w:val="single" w:color="auto" w:sz="12" w:space="0"/>
              <w:right w:val="single" w:color="auto" w:sz="4" w:space="0"/>
            </w:tcBorders>
            <w:vAlign w:val="center"/>
          </w:tcPr>
          <w:p w14:paraId="1A6CF713">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生物农药</w:t>
            </w:r>
          </w:p>
        </w:tc>
        <w:tc>
          <w:tcPr>
            <w:tcW w:w="3190" w:type="dxa"/>
            <w:tcBorders>
              <w:top w:val="single" w:color="auto" w:sz="4" w:space="0"/>
              <w:left w:val="single" w:color="auto" w:sz="4" w:space="0"/>
              <w:bottom w:val="single" w:color="auto" w:sz="12" w:space="0"/>
              <w:right w:val="single" w:color="auto" w:sz="4" w:space="0"/>
            </w:tcBorders>
            <w:vAlign w:val="center"/>
          </w:tcPr>
          <w:p w14:paraId="614F6280">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苏云金杆菌</w:t>
            </w:r>
          </w:p>
          <w:p w14:paraId="3D82B718">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井冈霉素</w:t>
            </w:r>
          </w:p>
        </w:tc>
        <w:tc>
          <w:tcPr>
            <w:tcW w:w="3190" w:type="dxa"/>
            <w:tcBorders>
              <w:top w:val="single" w:color="auto" w:sz="4" w:space="0"/>
              <w:left w:val="single" w:color="auto" w:sz="4" w:space="0"/>
              <w:bottom w:val="single" w:color="auto" w:sz="12" w:space="0"/>
              <w:right w:val="single" w:color="auto" w:sz="12" w:space="0"/>
            </w:tcBorders>
            <w:vAlign w:val="center"/>
          </w:tcPr>
          <w:p w14:paraId="5AB6F174">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1-3</w:t>
            </w:r>
          </w:p>
          <w:p w14:paraId="3759D1E6">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2-4</w:t>
            </w:r>
          </w:p>
        </w:tc>
      </w:tr>
    </w:tbl>
    <w:p w14:paraId="31B4E1F0">
      <w:pPr>
        <w:pStyle w:val="16"/>
        <w:spacing w:line="360" w:lineRule="auto"/>
        <w:ind w:firstLine="482"/>
        <w:rPr>
          <w:rFonts w:hint="eastAsia" w:ascii="楷体" w:hAnsi="楷体" w:eastAsia="楷体" w:cs="楷体"/>
          <w:b/>
          <w:bCs/>
          <w:kern w:val="2"/>
          <w:sz w:val="24"/>
          <w:szCs w:val="24"/>
        </w:rPr>
      </w:pPr>
      <w:r>
        <w:rPr>
          <w:rFonts w:hint="eastAsia" w:ascii="楷体" w:hAnsi="楷体" w:eastAsia="楷体" w:cs="楷体"/>
          <w:b/>
          <w:bCs/>
          <w:kern w:val="2"/>
          <w:sz w:val="24"/>
          <w:szCs w:val="24"/>
        </w:rPr>
        <w:t>注：数据来源于《中国农业绿色发展报告》及ISO 14040。</w:t>
      </w:r>
    </w:p>
    <w:p w14:paraId="034C88A3">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本文件附表A.2常见农药生产碳排放因子参考中国农科院2023年发布的中国农业绿色发展报告以及《Environmental management — Life cycle assessment — Principles and framework》ISO 14040:2006的推荐数值。</w:t>
      </w:r>
    </w:p>
    <w:p w14:paraId="2A227D87">
      <w:pPr>
        <w:pStyle w:val="16"/>
        <w:spacing w:line="360" w:lineRule="auto"/>
        <w:ind w:firstLine="562"/>
        <w:rPr>
          <w:b/>
          <w:bCs/>
          <w:sz w:val="28"/>
          <w:szCs w:val="28"/>
        </w:rPr>
      </w:pPr>
    </w:p>
    <w:p w14:paraId="08367340">
      <w:pPr>
        <w:pStyle w:val="16"/>
        <w:spacing w:line="360" w:lineRule="auto"/>
        <w:ind w:firstLine="482"/>
        <w:rPr>
          <w:rFonts w:hint="eastAsia" w:ascii="楷体" w:hAnsi="楷体" w:eastAsia="楷体" w:cs="楷体"/>
          <w:b/>
          <w:bCs/>
          <w:kern w:val="2"/>
          <w:sz w:val="24"/>
          <w:szCs w:val="24"/>
        </w:rPr>
      </w:pPr>
      <w:r>
        <w:rPr>
          <w:rFonts w:hint="eastAsia" w:ascii="楷体" w:hAnsi="楷体" w:eastAsia="楷体" w:cs="楷体"/>
          <w:b/>
          <w:bCs/>
          <w:kern w:val="2"/>
          <w:sz w:val="24"/>
          <w:szCs w:val="24"/>
        </w:rPr>
        <w:t>标准内容：</w:t>
      </w:r>
    </w:p>
    <w:p w14:paraId="2BF00224">
      <w:pPr>
        <w:pStyle w:val="16"/>
        <w:spacing w:line="360" w:lineRule="auto"/>
        <w:ind w:firstLine="482"/>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表A.3  常见运输工具碳排放因子</w:t>
      </w:r>
    </w:p>
    <w:tbl>
      <w:tblPr>
        <w:tblStyle w:val="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233"/>
        <w:gridCol w:w="4289"/>
      </w:tblGrid>
      <w:tr w14:paraId="6603BA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7" w:hRule="atLeast"/>
          <w:jc w:val="center"/>
        </w:trPr>
        <w:tc>
          <w:tcPr>
            <w:tcW w:w="4785" w:type="dxa"/>
            <w:tcBorders>
              <w:top w:val="single" w:color="auto" w:sz="12" w:space="0"/>
              <w:left w:val="single" w:color="auto" w:sz="12" w:space="0"/>
              <w:right w:val="single" w:color="auto" w:sz="4" w:space="0"/>
            </w:tcBorders>
            <w:vAlign w:val="center"/>
          </w:tcPr>
          <w:p w14:paraId="318EF925">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运输工具</w:t>
            </w:r>
          </w:p>
        </w:tc>
        <w:tc>
          <w:tcPr>
            <w:tcW w:w="4785" w:type="dxa"/>
            <w:tcBorders>
              <w:top w:val="single" w:color="auto" w:sz="12" w:space="0"/>
              <w:left w:val="single" w:color="auto" w:sz="4" w:space="0"/>
              <w:right w:val="single" w:color="auto" w:sz="12" w:space="0"/>
            </w:tcBorders>
            <w:vAlign w:val="center"/>
          </w:tcPr>
          <w:p w14:paraId="54F8C0A7">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碳排放因子（tCO₂eq/t km）</w:t>
            </w:r>
          </w:p>
        </w:tc>
      </w:tr>
      <w:tr w14:paraId="15D41B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785" w:type="dxa"/>
            <w:tcBorders>
              <w:left w:val="single" w:color="auto" w:sz="12" w:space="0"/>
              <w:bottom w:val="single" w:color="auto" w:sz="12" w:space="0"/>
              <w:right w:val="single" w:color="auto" w:sz="4" w:space="0"/>
            </w:tcBorders>
            <w:vAlign w:val="center"/>
          </w:tcPr>
          <w:p w14:paraId="3805A0CD">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轻型汽油货车（载重 2t）</w:t>
            </w:r>
          </w:p>
          <w:p w14:paraId="4AF699A9">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中型汽油货车（载重 8t）</w:t>
            </w:r>
          </w:p>
          <w:p w14:paraId="7171C348">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重型汽油货车（载重 10t）</w:t>
            </w:r>
          </w:p>
          <w:p w14:paraId="345D87A9">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重型汽油货车（载重 18t）</w:t>
            </w:r>
          </w:p>
          <w:p w14:paraId="032A2475">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轻型柴油货车（载重 2t）</w:t>
            </w:r>
          </w:p>
          <w:p w14:paraId="02C5499D">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中型柴油货车（载重 8t）</w:t>
            </w:r>
          </w:p>
          <w:p w14:paraId="65A5CCD9">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重型柴油货车（载重 10t）</w:t>
            </w:r>
          </w:p>
          <w:p w14:paraId="24B0963E">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重型柴油货车（载重 18t）</w:t>
            </w:r>
          </w:p>
          <w:p w14:paraId="25808C8F">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重型柴油货车（载重 30t）</w:t>
            </w:r>
          </w:p>
          <w:p w14:paraId="4F9D2117">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重型柴油货车（载重 46t）</w:t>
            </w:r>
          </w:p>
          <w:p w14:paraId="5A0B52B6">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内燃机车</w:t>
            </w:r>
          </w:p>
          <w:p w14:paraId="7F70E468">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铁路运输（中国市场平均）</w:t>
            </w:r>
          </w:p>
          <w:p w14:paraId="28F7773F">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液货船（载重 2000t）</w:t>
            </w:r>
          </w:p>
          <w:p w14:paraId="38A68354">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干散货船（载重 2500t）</w:t>
            </w:r>
          </w:p>
          <w:p w14:paraId="67090661">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集装箱船（载重 200TEU）</w:t>
            </w:r>
          </w:p>
        </w:tc>
        <w:tc>
          <w:tcPr>
            <w:tcW w:w="4785" w:type="dxa"/>
            <w:tcBorders>
              <w:left w:val="single" w:color="auto" w:sz="4" w:space="0"/>
              <w:bottom w:val="single" w:color="auto" w:sz="12" w:space="0"/>
              <w:right w:val="single" w:color="auto" w:sz="12" w:space="0"/>
            </w:tcBorders>
            <w:vAlign w:val="center"/>
          </w:tcPr>
          <w:p w14:paraId="6046A169">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0.334</w:t>
            </w:r>
          </w:p>
          <w:p w14:paraId="10AB21BF">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0.115</w:t>
            </w:r>
          </w:p>
          <w:p w14:paraId="103A65BF">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0.104</w:t>
            </w:r>
          </w:p>
          <w:p w14:paraId="2B5DFD32">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0.104</w:t>
            </w:r>
          </w:p>
          <w:p w14:paraId="4FC73277">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0.286</w:t>
            </w:r>
          </w:p>
          <w:p w14:paraId="27E7EE20">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0.179</w:t>
            </w:r>
          </w:p>
          <w:p w14:paraId="07A714E0">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0.162</w:t>
            </w:r>
          </w:p>
          <w:p w14:paraId="2FD88149">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0.129</w:t>
            </w:r>
          </w:p>
          <w:p w14:paraId="1FE491EE">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0.078</w:t>
            </w:r>
          </w:p>
          <w:p w14:paraId="1EBF2B15">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0.057</w:t>
            </w:r>
          </w:p>
          <w:p w14:paraId="26E49361">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0.011</w:t>
            </w:r>
          </w:p>
          <w:p w14:paraId="29F6C668">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0.010</w:t>
            </w:r>
          </w:p>
          <w:p w14:paraId="7B265945">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0.019</w:t>
            </w:r>
          </w:p>
          <w:p w14:paraId="093BB5F0">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0.015</w:t>
            </w:r>
          </w:p>
          <w:p w14:paraId="52BF740E">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0.012</w:t>
            </w:r>
          </w:p>
        </w:tc>
      </w:tr>
    </w:tbl>
    <w:p w14:paraId="0540EB1C">
      <w:pPr>
        <w:pStyle w:val="16"/>
        <w:spacing w:line="360" w:lineRule="auto"/>
        <w:ind w:firstLine="482"/>
        <w:rPr>
          <w:rFonts w:hint="eastAsia" w:ascii="楷体" w:hAnsi="楷体" w:eastAsia="楷体" w:cs="楷体"/>
          <w:b/>
          <w:bCs/>
          <w:kern w:val="2"/>
          <w:sz w:val="24"/>
          <w:szCs w:val="24"/>
        </w:rPr>
      </w:pPr>
      <w:r>
        <w:rPr>
          <w:rFonts w:hint="eastAsia" w:ascii="楷体" w:hAnsi="楷体" w:eastAsia="楷体" w:cs="楷体"/>
          <w:b/>
          <w:bCs/>
          <w:kern w:val="2"/>
          <w:sz w:val="24"/>
          <w:szCs w:val="24"/>
        </w:rPr>
        <w:t>注：数据来源国家温室气体排放因子数据库</w:t>
      </w:r>
    </w:p>
    <w:p w14:paraId="26883CA2">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本文件附表A.3常见运输工具碳排放因子参考国家温室气体排放因子数据库（https://data.ncsc.org.cn/factoryes/index）中碳排放计算工具-交通运输、仓储和邮政业模块发布的相关数据。</w:t>
      </w:r>
    </w:p>
    <w:p w14:paraId="538AD3D0">
      <w:pPr>
        <w:pStyle w:val="16"/>
        <w:spacing w:line="360" w:lineRule="auto"/>
        <w:ind w:firstLine="562"/>
        <w:rPr>
          <w:b/>
          <w:bCs/>
          <w:sz w:val="28"/>
          <w:szCs w:val="28"/>
        </w:rPr>
      </w:pPr>
    </w:p>
    <w:p w14:paraId="0FECBEE9">
      <w:pPr>
        <w:pStyle w:val="16"/>
        <w:spacing w:line="360" w:lineRule="auto"/>
        <w:ind w:firstLine="482"/>
        <w:rPr>
          <w:rFonts w:hint="eastAsia" w:ascii="楷体" w:hAnsi="楷体" w:eastAsia="楷体" w:cs="楷体"/>
          <w:b/>
          <w:bCs/>
          <w:kern w:val="2"/>
          <w:sz w:val="24"/>
          <w:szCs w:val="24"/>
        </w:rPr>
      </w:pPr>
      <w:r>
        <w:rPr>
          <w:rFonts w:hint="eastAsia" w:ascii="楷体" w:hAnsi="楷体" w:eastAsia="楷体" w:cs="楷体"/>
          <w:b/>
          <w:bCs/>
          <w:kern w:val="2"/>
          <w:sz w:val="24"/>
          <w:szCs w:val="24"/>
        </w:rPr>
        <w:t>标准内容：</w:t>
      </w:r>
    </w:p>
    <w:p w14:paraId="0864BD26">
      <w:pPr>
        <w:pStyle w:val="16"/>
        <w:spacing w:line="360" w:lineRule="auto"/>
        <w:ind w:firstLine="482"/>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表A.4  常见燃料碳排放因子</w:t>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27"/>
        <w:gridCol w:w="2786"/>
        <w:gridCol w:w="2909"/>
      </w:tblGrid>
      <w:tr w14:paraId="19BFC2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0" w:type="dxa"/>
            <w:tcBorders>
              <w:top w:val="single" w:color="auto" w:sz="12" w:space="0"/>
              <w:left w:val="single" w:color="auto" w:sz="12" w:space="0"/>
              <w:right w:val="single" w:color="auto" w:sz="4" w:space="0"/>
            </w:tcBorders>
            <w:vAlign w:val="center"/>
          </w:tcPr>
          <w:p w14:paraId="1BB91FBE">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燃料名称</w:t>
            </w:r>
          </w:p>
        </w:tc>
        <w:tc>
          <w:tcPr>
            <w:tcW w:w="3190" w:type="dxa"/>
            <w:tcBorders>
              <w:top w:val="single" w:color="auto" w:sz="12" w:space="0"/>
              <w:left w:val="single" w:color="auto" w:sz="4" w:space="0"/>
              <w:right w:val="single" w:color="auto" w:sz="4" w:space="0"/>
            </w:tcBorders>
            <w:vAlign w:val="center"/>
          </w:tcPr>
          <w:p w14:paraId="280373B2">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含碳量（%）</w:t>
            </w:r>
          </w:p>
        </w:tc>
        <w:tc>
          <w:tcPr>
            <w:tcW w:w="3190" w:type="dxa"/>
            <w:tcBorders>
              <w:top w:val="single" w:color="auto" w:sz="12" w:space="0"/>
              <w:left w:val="single" w:color="auto" w:sz="4" w:space="0"/>
              <w:right w:val="single" w:color="auto" w:sz="12" w:space="0"/>
            </w:tcBorders>
            <w:vAlign w:val="center"/>
          </w:tcPr>
          <w:p w14:paraId="277A4BEE">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碳排放因子（tCO₂/t）</w:t>
            </w:r>
          </w:p>
        </w:tc>
      </w:tr>
      <w:tr w14:paraId="7B47DD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0" w:type="dxa"/>
            <w:tcBorders>
              <w:left w:val="single" w:color="auto" w:sz="12" w:space="0"/>
              <w:bottom w:val="single" w:color="auto" w:sz="12" w:space="0"/>
              <w:right w:val="single" w:color="auto" w:sz="4" w:space="0"/>
            </w:tcBorders>
            <w:vAlign w:val="center"/>
          </w:tcPr>
          <w:p w14:paraId="6C8BF474">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汽油</w:t>
            </w:r>
          </w:p>
          <w:p w14:paraId="502DF2DC">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柴油</w:t>
            </w:r>
          </w:p>
          <w:p w14:paraId="0DCAD158">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航空煤油</w:t>
            </w:r>
          </w:p>
          <w:p w14:paraId="38CDD444">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原油</w:t>
            </w:r>
          </w:p>
          <w:p w14:paraId="4B55107D">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燃料油</w:t>
            </w:r>
          </w:p>
          <w:p w14:paraId="196678CF">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液化石油气（LPG）</w:t>
            </w:r>
          </w:p>
          <w:p w14:paraId="0B35582C">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液化天然气（LNG）</w:t>
            </w:r>
          </w:p>
          <w:p w14:paraId="18844197">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天然气（气态）</w:t>
            </w:r>
          </w:p>
        </w:tc>
        <w:tc>
          <w:tcPr>
            <w:tcW w:w="3190" w:type="dxa"/>
            <w:tcBorders>
              <w:left w:val="single" w:color="auto" w:sz="4" w:space="0"/>
              <w:bottom w:val="single" w:color="auto" w:sz="12" w:space="0"/>
              <w:right w:val="single" w:color="auto" w:sz="4" w:space="0"/>
            </w:tcBorders>
            <w:vAlign w:val="center"/>
          </w:tcPr>
          <w:p w14:paraId="24D4FAC6">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86</w:t>
            </w:r>
          </w:p>
          <w:p w14:paraId="19A54B42">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87</w:t>
            </w:r>
          </w:p>
          <w:p w14:paraId="7544E7D5">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86</w:t>
            </w:r>
          </w:p>
          <w:p w14:paraId="6F7ED3CE">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84-87</w:t>
            </w:r>
          </w:p>
          <w:p w14:paraId="6F9088BC">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86-89</w:t>
            </w:r>
          </w:p>
          <w:p w14:paraId="16DA7ABA">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82</w:t>
            </w:r>
          </w:p>
          <w:p w14:paraId="56A2F0BC">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75</w:t>
            </w:r>
          </w:p>
          <w:p w14:paraId="43FA3ADB">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75</w:t>
            </w:r>
          </w:p>
        </w:tc>
        <w:tc>
          <w:tcPr>
            <w:tcW w:w="3190" w:type="dxa"/>
            <w:tcBorders>
              <w:left w:val="single" w:color="auto" w:sz="4" w:space="0"/>
              <w:bottom w:val="single" w:color="auto" w:sz="12" w:space="0"/>
              <w:right w:val="single" w:color="auto" w:sz="12" w:space="0"/>
            </w:tcBorders>
            <w:vAlign w:val="center"/>
          </w:tcPr>
          <w:p w14:paraId="71B0C63D">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3.15</w:t>
            </w:r>
          </w:p>
          <w:p w14:paraId="25B1F478">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3.195</w:t>
            </w:r>
          </w:p>
          <w:p w14:paraId="36FC5F0F">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3.15</w:t>
            </w:r>
          </w:p>
          <w:p w14:paraId="0AD79686">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3.14</w:t>
            </w:r>
          </w:p>
          <w:p w14:paraId="0BB63E84">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3.21</w:t>
            </w:r>
          </w:p>
          <w:p w14:paraId="69890B64">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3.01</w:t>
            </w:r>
          </w:p>
          <w:p w14:paraId="4986F96F">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2.75</w:t>
            </w:r>
          </w:p>
          <w:p w14:paraId="5A1BE5B3">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2.75</w:t>
            </w:r>
          </w:p>
        </w:tc>
      </w:tr>
    </w:tbl>
    <w:p w14:paraId="0F119F95">
      <w:pPr>
        <w:pStyle w:val="16"/>
        <w:spacing w:line="360" w:lineRule="auto"/>
        <w:ind w:firstLine="482"/>
        <w:rPr>
          <w:rFonts w:hint="eastAsia" w:ascii="楷体" w:hAnsi="楷体" w:eastAsia="楷体" w:cs="楷体"/>
          <w:b/>
          <w:bCs/>
          <w:kern w:val="2"/>
          <w:sz w:val="24"/>
          <w:szCs w:val="24"/>
        </w:rPr>
      </w:pPr>
      <w:r>
        <w:rPr>
          <w:rFonts w:hint="eastAsia" w:ascii="楷体" w:hAnsi="楷体" w:eastAsia="楷体" w:cs="楷体"/>
          <w:b/>
          <w:bCs/>
          <w:kern w:val="2"/>
          <w:sz w:val="24"/>
          <w:szCs w:val="24"/>
        </w:rPr>
        <w:t>注：数据来源国家温室气体排放因子数据库</w:t>
      </w:r>
    </w:p>
    <w:p w14:paraId="3223D266">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本文件附表A.4常见燃料碳排放因子参考国家温室气体排放因子数据库（https://data.ncsc.org.cn/factoryes/index）中碳排放计算工具-其他行业-燃料燃烧模块发布的相关数据。</w:t>
      </w:r>
    </w:p>
    <w:p w14:paraId="234B6088">
      <w:pPr>
        <w:pStyle w:val="16"/>
        <w:spacing w:line="360" w:lineRule="auto"/>
        <w:ind w:firstLine="562"/>
        <w:rPr>
          <w:b/>
          <w:bCs/>
          <w:sz w:val="28"/>
          <w:szCs w:val="28"/>
        </w:rPr>
      </w:pPr>
    </w:p>
    <w:p w14:paraId="1DC31434">
      <w:pPr>
        <w:pStyle w:val="16"/>
        <w:spacing w:line="360" w:lineRule="auto"/>
        <w:ind w:firstLine="482"/>
        <w:rPr>
          <w:rFonts w:hint="eastAsia" w:ascii="楷体" w:hAnsi="楷体" w:eastAsia="楷体" w:cs="楷体"/>
          <w:b/>
          <w:bCs/>
          <w:kern w:val="2"/>
          <w:sz w:val="24"/>
          <w:szCs w:val="24"/>
        </w:rPr>
      </w:pPr>
      <w:r>
        <w:rPr>
          <w:rFonts w:hint="eastAsia" w:ascii="楷体" w:hAnsi="楷体" w:eastAsia="楷体" w:cs="楷体"/>
          <w:b/>
          <w:bCs/>
          <w:kern w:val="2"/>
          <w:sz w:val="24"/>
          <w:szCs w:val="24"/>
        </w:rPr>
        <w:t>标准内容：</w:t>
      </w:r>
    </w:p>
    <w:p w14:paraId="5FEADDB7">
      <w:pPr>
        <w:pStyle w:val="16"/>
        <w:spacing w:line="360" w:lineRule="auto"/>
        <w:ind w:firstLine="482"/>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表A.5  2022 年中国区域电网平均 CO2 排放因子</w:t>
      </w:r>
    </w:p>
    <w:tbl>
      <w:tblPr>
        <w:tblStyle w:val="9"/>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60"/>
        <w:gridCol w:w="1055"/>
        <w:gridCol w:w="1001"/>
        <w:gridCol w:w="1001"/>
        <w:gridCol w:w="1001"/>
        <w:gridCol w:w="1001"/>
        <w:gridCol w:w="999"/>
        <w:gridCol w:w="1004"/>
      </w:tblGrid>
      <w:tr w14:paraId="161396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5" w:type="pct"/>
            <w:tcBorders>
              <w:top w:val="single" w:color="auto" w:sz="12" w:space="0"/>
              <w:left w:val="single" w:color="auto" w:sz="12" w:space="0"/>
              <w:right w:val="single" w:color="auto" w:sz="4" w:space="0"/>
            </w:tcBorders>
            <w:vAlign w:val="center"/>
          </w:tcPr>
          <w:p w14:paraId="5048929E">
            <w:pPr>
              <w:pStyle w:val="16"/>
              <w:spacing w:after="80" w:line="360" w:lineRule="auto"/>
              <w:ind w:firstLine="0" w:firstLineChars="0"/>
              <w:jc w:val="center"/>
              <w:rPr>
                <w:rFonts w:hint="eastAsia" w:ascii="楷体" w:hAnsi="楷体" w:eastAsia="楷体" w:cs="楷体"/>
                <w:b/>
                <w:bCs/>
                <w:w w:val="90"/>
                <w:kern w:val="2"/>
                <w:sz w:val="24"/>
                <w:szCs w:val="24"/>
              </w:rPr>
            </w:pPr>
            <w:r>
              <w:rPr>
                <w:rFonts w:hint="eastAsia" w:ascii="楷体" w:hAnsi="楷体" w:eastAsia="楷体" w:cs="楷体"/>
                <w:b/>
                <w:bCs/>
                <w:w w:val="90"/>
                <w:kern w:val="2"/>
                <w:sz w:val="24"/>
                <w:szCs w:val="24"/>
              </w:rPr>
              <w:t>区域电网名称</w:t>
            </w:r>
          </w:p>
        </w:tc>
        <w:tc>
          <w:tcPr>
            <w:tcW w:w="619" w:type="pct"/>
            <w:tcBorders>
              <w:top w:val="single" w:color="auto" w:sz="12" w:space="0"/>
              <w:left w:val="single" w:color="auto" w:sz="4" w:space="0"/>
              <w:right w:val="single" w:color="auto" w:sz="4" w:space="0"/>
            </w:tcBorders>
            <w:vAlign w:val="center"/>
          </w:tcPr>
          <w:p w14:paraId="0B2D88C6">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华北</w:t>
            </w:r>
          </w:p>
        </w:tc>
        <w:tc>
          <w:tcPr>
            <w:tcW w:w="587" w:type="pct"/>
            <w:tcBorders>
              <w:top w:val="single" w:color="auto" w:sz="12" w:space="0"/>
              <w:left w:val="single" w:color="auto" w:sz="4" w:space="0"/>
              <w:right w:val="single" w:color="auto" w:sz="4" w:space="0"/>
            </w:tcBorders>
            <w:vAlign w:val="center"/>
          </w:tcPr>
          <w:p w14:paraId="6CE4D172">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东北</w:t>
            </w:r>
          </w:p>
        </w:tc>
        <w:tc>
          <w:tcPr>
            <w:tcW w:w="587" w:type="pct"/>
            <w:tcBorders>
              <w:top w:val="single" w:color="auto" w:sz="12" w:space="0"/>
              <w:left w:val="single" w:color="auto" w:sz="4" w:space="0"/>
              <w:right w:val="single" w:color="auto" w:sz="4" w:space="0"/>
            </w:tcBorders>
            <w:vAlign w:val="center"/>
          </w:tcPr>
          <w:p w14:paraId="2143E120">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华东</w:t>
            </w:r>
          </w:p>
        </w:tc>
        <w:tc>
          <w:tcPr>
            <w:tcW w:w="587" w:type="pct"/>
            <w:tcBorders>
              <w:top w:val="single" w:color="auto" w:sz="12" w:space="0"/>
              <w:left w:val="single" w:color="auto" w:sz="4" w:space="0"/>
              <w:right w:val="single" w:color="auto" w:sz="4" w:space="0"/>
            </w:tcBorders>
            <w:vAlign w:val="center"/>
          </w:tcPr>
          <w:p w14:paraId="442052E1">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华中</w:t>
            </w:r>
          </w:p>
        </w:tc>
        <w:tc>
          <w:tcPr>
            <w:tcW w:w="587" w:type="pct"/>
            <w:tcBorders>
              <w:top w:val="single" w:color="auto" w:sz="12" w:space="0"/>
              <w:left w:val="single" w:color="auto" w:sz="4" w:space="0"/>
              <w:right w:val="single" w:color="auto" w:sz="4" w:space="0"/>
            </w:tcBorders>
            <w:vAlign w:val="center"/>
          </w:tcPr>
          <w:p w14:paraId="27185BCE">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西北</w:t>
            </w:r>
          </w:p>
        </w:tc>
        <w:tc>
          <w:tcPr>
            <w:tcW w:w="586" w:type="pct"/>
            <w:tcBorders>
              <w:top w:val="single" w:color="auto" w:sz="12" w:space="0"/>
              <w:left w:val="single" w:color="auto" w:sz="4" w:space="0"/>
              <w:right w:val="single" w:color="auto" w:sz="4" w:space="0"/>
            </w:tcBorders>
            <w:vAlign w:val="center"/>
          </w:tcPr>
          <w:p w14:paraId="6C86AE0C">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南方</w:t>
            </w:r>
          </w:p>
        </w:tc>
        <w:tc>
          <w:tcPr>
            <w:tcW w:w="589" w:type="pct"/>
            <w:tcBorders>
              <w:top w:val="single" w:color="auto" w:sz="12" w:space="0"/>
              <w:left w:val="single" w:color="auto" w:sz="4" w:space="0"/>
              <w:right w:val="single" w:color="auto" w:sz="12" w:space="0"/>
            </w:tcBorders>
            <w:vAlign w:val="center"/>
          </w:tcPr>
          <w:p w14:paraId="05CFF5C1">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西南</w:t>
            </w:r>
          </w:p>
        </w:tc>
      </w:tr>
      <w:tr w14:paraId="73F47F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5" w:type="pct"/>
            <w:tcBorders>
              <w:left w:val="single" w:color="auto" w:sz="12" w:space="0"/>
              <w:bottom w:val="single" w:color="auto" w:sz="12" w:space="0"/>
              <w:right w:val="single" w:color="auto" w:sz="4" w:space="0"/>
            </w:tcBorders>
            <w:vAlign w:val="center"/>
          </w:tcPr>
          <w:p w14:paraId="087224A3">
            <w:pPr>
              <w:pStyle w:val="16"/>
              <w:spacing w:after="80" w:line="360" w:lineRule="auto"/>
              <w:ind w:firstLine="0" w:firstLineChars="0"/>
              <w:jc w:val="center"/>
              <w:rPr>
                <w:rFonts w:hint="eastAsia" w:ascii="楷体" w:hAnsi="楷体" w:eastAsia="楷体" w:cs="楷体"/>
                <w:b/>
                <w:bCs/>
                <w:w w:val="90"/>
                <w:kern w:val="2"/>
                <w:sz w:val="24"/>
                <w:szCs w:val="24"/>
              </w:rPr>
            </w:pPr>
            <w:r>
              <w:rPr>
                <w:rFonts w:hint="eastAsia" w:ascii="楷体" w:hAnsi="楷体" w:eastAsia="楷体" w:cs="楷体"/>
                <w:b/>
                <w:bCs/>
                <w:w w:val="90"/>
                <w:kern w:val="2"/>
                <w:sz w:val="24"/>
                <w:szCs w:val="24"/>
              </w:rPr>
              <w:t>排放因子</w:t>
            </w:r>
          </w:p>
          <w:p w14:paraId="1DF435BE">
            <w:pPr>
              <w:pStyle w:val="16"/>
              <w:spacing w:after="80" w:line="360" w:lineRule="auto"/>
              <w:ind w:firstLine="0" w:firstLineChars="0"/>
              <w:jc w:val="center"/>
              <w:rPr>
                <w:rFonts w:hint="eastAsia" w:ascii="楷体" w:hAnsi="楷体" w:eastAsia="楷体" w:cs="楷体"/>
                <w:b/>
                <w:bCs/>
                <w:w w:val="90"/>
                <w:kern w:val="2"/>
                <w:sz w:val="24"/>
                <w:szCs w:val="24"/>
              </w:rPr>
            </w:pPr>
            <w:r>
              <w:rPr>
                <w:rFonts w:hint="eastAsia" w:ascii="楷体" w:hAnsi="楷体" w:eastAsia="楷体" w:cs="楷体"/>
                <w:b/>
                <w:bCs/>
                <w:w w:val="90"/>
                <w:kern w:val="2"/>
                <w:sz w:val="24"/>
                <w:szCs w:val="24"/>
              </w:rPr>
              <w:t>（tCO2/Mwh）</w:t>
            </w:r>
          </w:p>
        </w:tc>
        <w:tc>
          <w:tcPr>
            <w:tcW w:w="619" w:type="pct"/>
            <w:tcBorders>
              <w:left w:val="single" w:color="auto" w:sz="4" w:space="0"/>
              <w:bottom w:val="single" w:color="auto" w:sz="12" w:space="0"/>
              <w:right w:val="single" w:color="auto" w:sz="4" w:space="0"/>
            </w:tcBorders>
            <w:vAlign w:val="center"/>
          </w:tcPr>
          <w:p w14:paraId="3CBE7A2A">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0.6776</w:t>
            </w:r>
          </w:p>
        </w:tc>
        <w:tc>
          <w:tcPr>
            <w:tcW w:w="587" w:type="pct"/>
            <w:tcBorders>
              <w:left w:val="single" w:color="auto" w:sz="4" w:space="0"/>
              <w:bottom w:val="single" w:color="auto" w:sz="12" w:space="0"/>
              <w:right w:val="single" w:color="auto" w:sz="4" w:space="0"/>
            </w:tcBorders>
            <w:vAlign w:val="center"/>
          </w:tcPr>
          <w:p w14:paraId="72616350">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0.5564</w:t>
            </w:r>
          </w:p>
        </w:tc>
        <w:tc>
          <w:tcPr>
            <w:tcW w:w="587" w:type="pct"/>
            <w:tcBorders>
              <w:left w:val="single" w:color="auto" w:sz="4" w:space="0"/>
              <w:bottom w:val="single" w:color="auto" w:sz="12" w:space="0"/>
              <w:right w:val="single" w:color="auto" w:sz="4" w:space="0"/>
            </w:tcBorders>
            <w:vAlign w:val="center"/>
          </w:tcPr>
          <w:p w14:paraId="1D2BEDE6">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0.5617</w:t>
            </w:r>
          </w:p>
        </w:tc>
        <w:tc>
          <w:tcPr>
            <w:tcW w:w="587" w:type="pct"/>
            <w:tcBorders>
              <w:left w:val="single" w:color="auto" w:sz="4" w:space="0"/>
              <w:bottom w:val="single" w:color="auto" w:sz="12" w:space="0"/>
              <w:right w:val="single" w:color="auto" w:sz="4" w:space="0"/>
            </w:tcBorders>
            <w:vAlign w:val="center"/>
          </w:tcPr>
          <w:p w14:paraId="39525185">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0.5395</w:t>
            </w:r>
          </w:p>
        </w:tc>
        <w:tc>
          <w:tcPr>
            <w:tcW w:w="587" w:type="pct"/>
            <w:tcBorders>
              <w:left w:val="single" w:color="auto" w:sz="4" w:space="0"/>
              <w:bottom w:val="single" w:color="auto" w:sz="12" w:space="0"/>
              <w:right w:val="single" w:color="auto" w:sz="4" w:space="0"/>
            </w:tcBorders>
            <w:vAlign w:val="center"/>
          </w:tcPr>
          <w:p w14:paraId="260E214D">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0.5857</w:t>
            </w:r>
          </w:p>
        </w:tc>
        <w:tc>
          <w:tcPr>
            <w:tcW w:w="586" w:type="pct"/>
            <w:tcBorders>
              <w:left w:val="single" w:color="auto" w:sz="4" w:space="0"/>
              <w:bottom w:val="single" w:color="auto" w:sz="12" w:space="0"/>
              <w:right w:val="single" w:color="auto" w:sz="4" w:space="0"/>
            </w:tcBorders>
            <w:vAlign w:val="center"/>
          </w:tcPr>
          <w:p w14:paraId="0720537A">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0.3869</w:t>
            </w:r>
          </w:p>
        </w:tc>
        <w:tc>
          <w:tcPr>
            <w:tcW w:w="589" w:type="pct"/>
            <w:tcBorders>
              <w:left w:val="single" w:color="auto" w:sz="4" w:space="0"/>
              <w:bottom w:val="single" w:color="auto" w:sz="12" w:space="0"/>
              <w:right w:val="single" w:color="auto" w:sz="12" w:space="0"/>
            </w:tcBorders>
            <w:vAlign w:val="center"/>
          </w:tcPr>
          <w:p w14:paraId="7E2F3440">
            <w:pPr>
              <w:pStyle w:val="16"/>
              <w:spacing w:after="80" w:line="360" w:lineRule="auto"/>
              <w:ind w:firstLine="0" w:firstLineChars="0"/>
              <w:jc w:val="center"/>
              <w:rPr>
                <w:rFonts w:hint="eastAsia" w:ascii="楷体" w:hAnsi="楷体" w:eastAsia="楷体" w:cs="楷体"/>
                <w:b/>
                <w:bCs/>
                <w:kern w:val="2"/>
                <w:sz w:val="24"/>
                <w:szCs w:val="24"/>
              </w:rPr>
            </w:pPr>
            <w:r>
              <w:rPr>
                <w:rFonts w:hint="eastAsia" w:ascii="楷体" w:hAnsi="楷体" w:eastAsia="楷体" w:cs="楷体"/>
                <w:b/>
                <w:bCs/>
                <w:kern w:val="2"/>
                <w:sz w:val="24"/>
                <w:szCs w:val="24"/>
              </w:rPr>
              <w:t>0.2268</w:t>
            </w:r>
          </w:p>
        </w:tc>
      </w:tr>
    </w:tbl>
    <w:p w14:paraId="05D1DBA6">
      <w:pPr>
        <w:pStyle w:val="16"/>
        <w:spacing w:line="360" w:lineRule="auto"/>
        <w:ind w:firstLine="482"/>
        <w:rPr>
          <w:rFonts w:hint="eastAsia" w:ascii="楷体" w:hAnsi="楷体" w:eastAsia="楷体" w:cs="楷体"/>
          <w:b/>
          <w:bCs/>
          <w:kern w:val="2"/>
          <w:sz w:val="24"/>
          <w:szCs w:val="24"/>
        </w:rPr>
      </w:pPr>
      <w:r>
        <w:rPr>
          <w:rFonts w:hint="eastAsia" w:ascii="楷体" w:hAnsi="楷体" w:eastAsia="楷体" w:cs="楷体"/>
          <w:b/>
          <w:bCs/>
          <w:kern w:val="2"/>
          <w:sz w:val="24"/>
          <w:szCs w:val="24"/>
        </w:rPr>
        <w:t>注：数据来源于生态环境部发布的中国 2022 年各区域电网的相关数据。</w:t>
      </w:r>
    </w:p>
    <w:p w14:paraId="5EE428C6">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本文件附表A表A.5中国区域电网平均 CO2 排放因子参考生态环境部2024年12月26日发布的2022 年电力二氧化碳排放因数据。</w:t>
      </w:r>
    </w:p>
    <w:p w14:paraId="71FD19FB">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（9）附录B</w:t>
      </w:r>
    </w:p>
    <w:p w14:paraId="15DA9B29">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标准内容：</w:t>
      </w:r>
    </w:p>
    <w:p w14:paraId="7E7F39CD">
      <w:pPr>
        <w:spacing w:line="360" w:lineRule="auto"/>
        <w:ind w:firstLine="482" w:firstLineChars="200"/>
        <w:rPr>
          <w:rFonts w:hint="eastAsia" w:ascii="楷体" w:hAnsi="楷体" w:eastAsia="楷体" w:cs="楷体"/>
          <w:b/>
          <w:bCs/>
          <w:sz w:val="24"/>
          <w:szCs w:val="24"/>
        </w:rPr>
      </w:pPr>
      <w:r>
        <w:rPr>
          <w:rFonts w:hint="eastAsia" w:ascii="楷体" w:hAnsi="楷体" w:eastAsia="楷体" w:cs="楷体"/>
          <w:b/>
          <w:bCs/>
          <w:sz w:val="24"/>
          <w:szCs w:val="24"/>
        </w:rPr>
        <w:t>饲料产品碳足迹研究报告（模板）</w:t>
      </w:r>
    </w:p>
    <w:p w14:paraId="71D9595E">
      <w:pPr>
        <w:spacing w:line="360" w:lineRule="auto"/>
        <w:ind w:firstLine="482" w:firstLineChars="200"/>
        <w:rPr>
          <w:rFonts w:hint="eastAsia" w:ascii="宋体" w:hAnsi="宋体" w:eastAsia="宋体" w:cs="Times New Roman"/>
          <w:sz w:val="24"/>
          <w:szCs w:val="24"/>
        </w:rPr>
      </w:pPr>
      <w:r>
        <w:rPr>
          <w:rFonts w:hint="eastAsia" w:ascii="宋体" w:hAnsi="宋体" w:eastAsia="宋体" w:cs="Times New Roman"/>
          <w:b/>
          <w:bCs/>
          <w:sz w:val="24"/>
          <w:szCs w:val="24"/>
        </w:rPr>
        <w:t>理由及依据：</w:t>
      </w:r>
      <w:r>
        <w:rPr>
          <w:rFonts w:hint="eastAsia" w:ascii="宋体" w:hAnsi="宋体" w:eastAsia="宋体" w:cs="Times New Roman"/>
          <w:sz w:val="24"/>
          <w:szCs w:val="24"/>
        </w:rPr>
        <w:t>本文件附录B参考《温室气体 产品碳足迹量化要求和指南》GB/T 24067-2024标准中附录 H 规定，本文件根据饲料产品碳足迹核算和报告特点设计了碳足迹研究报告模板。</w:t>
      </w:r>
    </w:p>
    <w:p w14:paraId="3A465A91">
      <w:pPr>
        <w:spacing w:line="360" w:lineRule="auto"/>
        <w:ind w:firstLine="482" w:firstLineChars="200"/>
        <w:rPr>
          <w:rFonts w:hint="eastAsia" w:ascii="宋体" w:hAnsi="宋体" w:eastAsia="宋体" w:cs="宋体"/>
          <w:b/>
          <w:bCs/>
          <w:sz w:val="24"/>
          <w:szCs w:val="24"/>
        </w:rPr>
      </w:pPr>
    </w:p>
    <w:p w14:paraId="380D4A69">
      <w:pPr>
        <w:spacing w:line="360" w:lineRule="auto"/>
        <w:ind w:firstLine="482" w:firstLineChars="200"/>
        <w:rPr>
          <w:rFonts w:hint="eastAsia" w:ascii="仿宋" w:hAnsi="仿宋" w:eastAsia="仿宋"/>
          <w:b/>
          <w:sz w:val="28"/>
          <w:szCs w:val="28"/>
        </w:rPr>
      </w:pPr>
      <w:r>
        <w:rPr>
          <w:rFonts w:hint="eastAsia" w:ascii="宋体" w:hAnsi="宋体" w:eastAsia="宋体" w:cs="宋体"/>
          <w:b/>
          <w:bCs/>
          <w:sz w:val="24"/>
          <w:szCs w:val="24"/>
        </w:rPr>
        <w:t>2.主要技术指标、参数、试验论证的论述</w:t>
      </w:r>
    </w:p>
    <w:p w14:paraId="70EC80E6">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（1）核算目的</w:t>
      </w:r>
    </w:p>
    <w:p w14:paraId="3C19E0D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评价饲料产品生产生命周期内相关活动带来的 GHG 排放；识别饲料产品生产关键排放环节，挖掘减排潜力；为饲料产品碳足迹核算和标识提供依据。</w:t>
      </w:r>
    </w:p>
    <w:p w14:paraId="47D306CC">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（2）产品系统及核算范围</w:t>
      </w:r>
    </w:p>
    <w:p w14:paraId="05B89B87">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饲料产品碳足迹核算需将其生命周期视为具有特定功能的产品系统展开模拟。该系统可进一步划分为若干单元过程（如图 1 所示），通过此划分能够有效识别系统内物质流的输入与输出。构成饲料产品系统的单元过程需按生命周期阶段进行分组，具体分为农资生产与运输阶段、饲料种植与收获阶段、饲料产品加工与运输阶段。产品生命周期内的温室气体（GHG）排放，需分配至发生排放和清除的相应生命周期阶段。单元过程之间及生命周期阶段通过中间产品流或物质流相互关联，与其他产品系统之间通过产品流建立联系，与环境之间则通过资源利用或温室气体排放形成交互关系。</w:t>
      </w:r>
    </w:p>
    <w:p w14:paraId="16332E3C">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（3）系统边界</w:t>
      </w:r>
    </w:p>
    <w:p w14:paraId="4481835F">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系统边界是确定产品碳足迹研究中包括哪些单元过程的基础，本标准按照从生产材料获取到饲料产品离开生产组织（从摇篮到大门）的产品碳足迹评价；涵盖原材料的生产与运输、饲料产品的生产加工过程，至产品离开生产组织（如工厂仓库）为止。</w:t>
      </w:r>
    </w:p>
    <w:p w14:paraId="3799A99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农资生产与运输阶段具体的单元过程应包括但不限于农资产品原料开采和运输、农资产品生产与加工、农资运输。各单元过程核算内容如下：</w:t>
      </w:r>
    </w:p>
    <w:p w14:paraId="1D0C6DD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1）农资产品原料开采与运输单元过程核算内容包括：化肥、农药、农膜、有机肥等原料的开采或收集；以及原料运输至加工厂过程中产生的GHG排放。</w:t>
      </w:r>
    </w:p>
    <w:p w14:paraId="00DE6C02">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2）农资产品生产与加工单元过程核算内容包括：化肥、农药、农膜、有机肥等生产与加工过程产生的GHG排放。</w:t>
      </w:r>
    </w:p>
    <w:p w14:paraId="6FE2443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3）农资运输单元过程核算内容包括：化肥、农药、农膜、有机肥等由生产厂运输至饲料种植单位所产生的GHG排放。</w:t>
      </w:r>
    </w:p>
    <w:p w14:paraId="565FFABA">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饲料种植与管理阶段具体的单元过程应包括但不限于饲料播种与建植、饲料管理与收获。各单元过程核算内容如下：</w:t>
      </w:r>
    </w:p>
    <w:p w14:paraId="3B22839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饲料播种与建植单元过程核算内容包括：饲料播种与建植过程中，化肥、农膜、有机肥使用导致的GHG排放、农机具翻耕、耙平、镇压和播种作业能耗产生的CO2排放、土地管理过程中导致的土壤碳储量变化引起的CO2排放。</w:t>
      </w:r>
    </w:p>
    <w:p w14:paraId="36201A4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2）饲料管理与收获单元过程核算内容包括：饲料管理过程中，化肥、农药、有机肥使用导致的GHG排放、、灌溉消耗能源产生的CO2排放；饲料收获过程中农机具作业能耗产生的CO2排放。</w:t>
      </w:r>
    </w:p>
    <w:p w14:paraId="089C82B1">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饲料产品加工与运输阶段具体的单元过程应包括但不限于饲料产品加工与运输。各单元过程核算内容如下：</w:t>
      </w:r>
    </w:p>
    <w:p w14:paraId="774E678F">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1）饲料加工与运输单元过程核算内容包括：饲料加工过程中加工设备消耗能源产生的CO2排放以及饲料产品运输过程中运输工具消耗能源产生的CO2排放</w:t>
      </w:r>
    </w:p>
    <w:p w14:paraId="15E7E00C">
      <w:pPr>
        <w:spacing w:line="360" w:lineRule="auto"/>
        <w:ind w:firstLine="482" w:firstLineChars="200"/>
        <w:rPr>
          <w:rFonts w:hint="eastAsia" w:ascii="宋体" w:hAnsi="宋体" w:eastAsia="宋体" w:cs="宋体"/>
          <w:b/>
          <w:bCs/>
          <w:sz w:val="24"/>
          <w:szCs w:val="24"/>
        </w:rPr>
      </w:pPr>
    </w:p>
    <w:p w14:paraId="7B8AF303">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3.是否为本领域市场新技术、新产品、新服务的标准化转化（说明产品特性、技术要求等内容）</w:t>
      </w:r>
    </w:p>
    <w:p w14:paraId="2084899C">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否</w:t>
      </w:r>
    </w:p>
    <w:p w14:paraId="1C99C54F">
      <w:pPr>
        <w:spacing w:line="440" w:lineRule="exact"/>
        <w:rPr>
          <w:rFonts w:hint="eastAsia" w:ascii="仿宋" w:hAnsi="仿宋" w:eastAsia="仿宋"/>
          <w:color w:val="000000" w:themeColor="text1"/>
          <w:sz w:val="28"/>
          <w:szCs w:val="28"/>
          <w14:textFill>
            <w14:solidFill>
              <w14:schemeClr w14:val="tx1"/>
            </w14:solidFill>
          </w14:textFill>
        </w:rPr>
      </w:pPr>
    </w:p>
    <w:p w14:paraId="52332E0E">
      <w:pPr>
        <w:spacing w:line="360" w:lineRule="auto"/>
        <w:ind w:firstLine="600" w:firstLineChars="200"/>
        <w:rPr>
          <w:rFonts w:ascii="Times New Roman" w:hAnsi="Times New Roman" w:eastAsia="黑体" w:cs="Times New Roman"/>
          <w:bCs/>
          <w:sz w:val="30"/>
          <w:szCs w:val="30"/>
        </w:rPr>
      </w:pPr>
      <w:r>
        <w:rPr>
          <w:rFonts w:hint="eastAsia" w:ascii="Times New Roman" w:hAnsi="Times New Roman" w:eastAsia="黑体" w:cs="Times New Roman"/>
          <w:bCs/>
          <w:sz w:val="30"/>
          <w:szCs w:val="30"/>
        </w:rPr>
        <w:t>六、重大意见分歧的处理依据和结果</w:t>
      </w:r>
    </w:p>
    <w:p w14:paraId="107ABE6F">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本文件在编写过程中没有重大意见分歧。</w:t>
      </w:r>
    </w:p>
    <w:p w14:paraId="4FE858A7">
      <w:pPr>
        <w:spacing w:line="360" w:lineRule="auto"/>
        <w:ind w:firstLine="600" w:firstLineChars="200"/>
        <w:rPr>
          <w:rFonts w:ascii="Times New Roman" w:hAnsi="Times New Roman" w:eastAsia="黑体" w:cs="Times New Roman"/>
          <w:bCs/>
          <w:sz w:val="30"/>
          <w:szCs w:val="30"/>
        </w:rPr>
      </w:pPr>
      <w:r>
        <w:rPr>
          <w:rFonts w:hint="eastAsia" w:ascii="Times New Roman" w:hAnsi="Times New Roman" w:eastAsia="黑体" w:cs="Times New Roman"/>
          <w:bCs/>
          <w:sz w:val="30"/>
          <w:szCs w:val="30"/>
        </w:rPr>
        <w:t>七、采用国际标准或国外先进标准的，说明采标程度，以及国内外同类标准水平的对比情况</w:t>
      </w:r>
    </w:p>
    <w:p w14:paraId="1F9DDE9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本文件未采用国际标准或国外先进标准。</w:t>
      </w:r>
    </w:p>
    <w:p w14:paraId="06709A6D">
      <w:pPr>
        <w:spacing w:line="360" w:lineRule="auto"/>
        <w:ind w:firstLine="600" w:firstLineChars="200"/>
        <w:rPr>
          <w:rFonts w:ascii="Times New Roman" w:hAnsi="Times New Roman" w:eastAsia="黑体" w:cs="Times New Roman"/>
          <w:bCs/>
          <w:sz w:val="30"/>
          <w:szCs w:val="30"/>
          <w:highlight w:val="none"/>
        </w:rPr>
      </w:pPr>
      <w:r>
        <w:rPr>
          <w:rFonts w:hint="eastAsia" w:ascii="Times New Roman" w:hAnsi="Times New Roman" w:eastAsia="黑体" w:cs="Times New Roman"/>
          <w:bCs/>
          <w:sz w:val="30"/>
          <w:szCs w:val="30"/>
          <w:highlight w:val="none"/>
        </w:rPr>
        <w:t>八、推广应用（包括实施措施；实施方向、如以标准为依据开展的产业推进、行业管理等有关活动）</w:t>
      </w:r>
    </w:p>
    <w:p w14:paraId="28E10617">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1、实施措施</w:t>
      </w:r>
    </w:p>
    <w:p w14:paraId="5BB36690">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政策引导与标准宣贯</w:t>
      </w:r>
    </w:p>
    <w:p w14:paraId="0C7283B9">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纳入地方政策工具箱：推动将本标准纳入各省农业农村部门 “双碳” 工作方案，作为饲料产业低碳认证、补贴申报的必备条件。例如，在内蒙古、新疆等草牧业大省，将碳足迹核算与草原生态补奖政策挂钩，鼓励企业通过核算优化生产流程。</w:t>
      </w:r>
    </w:p>
    <w:p w14:paraId="203408C8">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多形式宣贯培训：</w:t>
      </w:r>
    </w:p>
    <w:p w14:paraId="07419975">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联合农业农村部、生态环境部举办全国性培训班，面向省级农业技术推广站、大型饲料企业（如现代牧业、优然牧业）开展标准解读。</w:t>
      </w:r>
    </w:p>
    <w:p w14:paraId="7AA8C4D7">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开发线上课程（如 “智慧牧农” 平台），配套动画演示和案例教学（如苜蓿草从种植到加工的全流程核算），降低中小企业学习成本。</w:t>
      </w:r>
    </w:p>
    <w:p w14:paraId="379453CF">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行业协会协同：通过中国畜牧业协会草业分会、饲料工业协会等渠道，向会员单位发放标准手册，组织行业论坛分享核算经验。</w:t>
      </w:r>
    </w:p>
    <w:p w14:paraId="505FEEA9">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数据平台与工具开发</w:t>
      </w:r>
    </w:p>
    <w:p w14:paraId="0B53A7A8">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搭建碳足迹核算小程序：基于标准公式开发轻量化工具，企业可输入化肥用量、运输距离等数据，自动生成碳足迹报告及减排建议。例如，输入 “1000 亩苜蓿种植 + 柴油农机作业 + 500 公里运输”，系统自动计算各阶段排放占比，并推荐节能农机型号。</w:t>
      </w:r>
    </w:p>
    <w:p w14:paraId="23539ED7">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对接国家碳数据系统：推动标准与生态环境部 “国家温室气体排放因子数据库” 对接，实现企业数据自动抓取（如电力排放因子实时更新），减少人工填报误差。</w:t>
      </w:r>
    </w:p>
    <w:p w14:paraId="5A016A88">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试点示范与认证体系</w:t>
      </w:r>
    </w:p>
    <w:p w14:paraId="0360C7BD">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开展 “低碳饲料” 认证试点：选择 3-5 个重点企业（如牧原食品饲料基地）进行碳足迹认证，颁发标识并公示结果，提升产品溢价能力（如有机 + 低碳双认证苜蓿草溢价 10%-15%）。</w:t>
      </w:r>
    </w:p>
    <w:p w14:paraId="32DB5974">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供应链协同核算：在奶业、肉牛产业链推行 “饲料 - 养殖 - 加工” 全链条核算，例如伊利、蒙牛等乳企可要求供应商提供饲料碳足迹报告，纳入供应链考核。</w:t>
      </w:r>
    </w:p>
    <w:p w14:paraId="24038F09">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2.实施方向</w:t>
      </w:r>
    </w:p>
    <w:p w14:paraId="37930238">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产业绿色转型</w:t>
      </w:r>
    </w:p>
    <w:p w14:paraId="1DC8EFCB">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优化种植模式：通过核算结果识别高排放环节（如氮肥施用占比 40%），引导企业采用缓释肥、有机肥替代（如减少 30% 化肥用量，碳足迹降低 15%-20%）。</w:t>
      </w:r>
    </w:p>
    <w:p w14:paraId="40A4033B">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推广低碳技术：针对加工阶段高能耗（如烘干能耗占比 25%），鼓励采用太阳能烘干、生物质能源替代燃煤，配套补贴政策（如设备购置补贴 30%）。</w:t>
      </w:r>
    </w:p>
    <w:p w14:paraId="6F1CC905">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发展循环农业：核算粪污还田碳汇效益，将养殖场粪肥用于饲料种植，减少化肥投入的同时增加土壤碳固存（如每公顷粪肥还田可固碳 1.2tCO₂eq / 年）。</w:t>
      </w:r>
    </w:p>
    <w:p w14:paraId="3E58B5CF">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行业管理与监管</w:t>
      </w:r>
    </w:p>
    <w:p w14:paraId="6C439CBD">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纳入农业绿色发展考核：将饲料企业碳足迹核算完成率、减排目标完成情况纳入地方政府乡村振兴考核指标，强化行政推动。</w:t>
      </w:r>
    </w:p>
    <w:p w14:paraId="78E0F6FE">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建立碳信息披露机制：要求规模以上饲料企业（年产能≥1 万吨）每年公开碳足迹报告，通过 “信用中国” 平台公示，接受社会监督。</w:t>
      </w:r>
    </w:p>
    <w:p w14:paraId="697063AF">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支撑碳交易试点：在内蒙古、广东等碳市场试点地区，允许饲料企业将核算的碳减排量纳入交易体系，探索 “饲料碳汇” 交易路径。</w:t>
      </w:r>
    </w:p>
    <w:p w14:paraId="17AD22B1">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国际合作与贸易</w:t>
      </w:r>
    </w:p>
    <w:p w14:paraId="6818AC47">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对接国际标准：参照 ISO 14067:2018 框架，确保核算方法与欧盟《农产品碳足迹核算方法》（PEFCR）兼容，规避国际贸易绿色壁垒。</w:t>
      </w:r>
    </w:p>
    <w:p w14:paraId="159600AE">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推动出口产品低碳认证：为出口饲料企业（如对日韩出口的燕麦草）提供核算服务，助力获得国际买家认可（如日本 JAS 低碳认证），提升国际市场竞争力。</w:t>
      </w:r>
    </w:p>
    <w:p w14:paraId="36A4C15E">
      <w:pPr>
        <w:spacing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3.风险与应对</w:t>
      </w:r>
    </w:p>
    <w:p w14:paraId="699B08CA">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数据获取难度：针对中小农户数据记录不全问题，可通过 “政府 + 合作社 + 企业” 模式，由合作社统一收集地块农资使用数据，企业代为核算。</w:t>
      </w:r>
    </w:p>
    <w:p w14:paraId="7BAD1ED2">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技术更新滞后：设立标准动态修订机制，每年收集行业技术创新案例（如电动农机应用），及时更新排放因子库。</w:t>
      </w:r>
    </w:p>
    <w:p w14:paraId="3B845EA4">
      <w:pPr>
        <w:spacing w:line="36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企业积极性不足：通过碳关税倒逼、绿色金融激励（如低碳企业贷款利率下浮 0.5%）等方式，提升企业参与动力。</w:t>
      </w:r>
    </w:p>
    <w:p w14:paraId="602F9943">
      <w:pPr>
        <w:spacing w:line="360" w:lineRule="auto"/>
        <w:ind w:firstLine="480" w:firstLineChars="200"/>
        <w:rPr>
          <w:rFonts w:hint="eastAsia" w:ascii="宋体" w:hAnsi="宋体" w:eastAsia="宋体" w:cs="Times New Roman"/>
          <w:sz w:val="24"/>
          <w:szCs w:val="24"/>
          <w:highlight w:val="yellow"/>
        </w:rPr>
      </w:pPr>
      <w:r>
        <w:rPr>
          <w:rFonts w:hint="eastAsia" w:ascii="宋体" w:hAnsi="宋体" w:eastAsia="宋体" w:cs="Times New Roman"/>
          <w:sz w:val="24"/>
          <w:szCs w:val="24"/>
          <w:highlight w:val="none"/>
        </w:rPr>
        <w:t>通过以上措施，本标准将成为饲料产业低碳转型的核心工具，推动形成 “核算 - 减排 - 认证 - 交易” 的闭环管理，助力农业领域碳达峰目标实现。</w:t>
      </w:r>
    </w:p>
    <w:p w14:paraId="1D177775">
      <w:pPr>
        <w:spacing w:line="360" w:lineRule="auto"/>
        <w:ind w:firstLine="600" w:firstLineChars="200"/>
        <w:rPr>
          <w:rFonts w:ascii="Times New Roman" w:hAnsi="Times New Roman" w:eastAsia="黑体" w:cs="Times New Roman"/>
          <w:bCs/>
          <w:sz w:val="30"/>
          <w:szCs w:val="30"/>
        </w:rPr>
      </w:pPr>
      <w:r>
        <w:rPr>
          <w:rFonts w:hint="eastAsia" w:ascii="Times New Roman" w:hAnsi="Times New Roman" w:eastAsia="黑体" w:cs="Times New Roman"/>
          <w:bCs/>
          <w:sz w:val="30"/>
          <w:szCs w:val="30"/>
        </w:rPr>
        <w:t>九、其他应说明的事项</w:t>
      </w:r>
    </w:p>
    <w:p w14:paraId="284E8E5C">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无 。</w:t>
      </w:r>
    </w:p>
    <w:p w14:paraId="68B82481">
      <w:pPr>
        <w:spacing w:line="360" w:lineRule="auto"/>
        <w:ind w:firstLine="600" w:firstLineChars="200"/>
        <w:rPr>
          <w:rFonts w:ascii="Times New Roman" w:hAnsi="Times New Roman" w:eastAsia="黑体" w:cs="Times New Roman"/>
          <w:bCs/>
          <w:sz w:val="30"/>
          <w:szCs w:val="30"/>
        </w:rPr>
      </w:pPr>
      <w:r>
        <w:rPr>
          <w:rFonts w:hint="eastAsia" w:ascii="Times New Roman" w:hAnsi="Times New Roman" w:eastAsia="黑体" w:cs="Times New Roman"/>
          <w:bCs/>
          <w:sz w:val="30"/>
          <w:szCs w:val="30"/>
        </w:rPr>
        <w:t>十、征求意见说明</w:t>
      </w:r>
    </w:p>
    <w:p w14:paraId="7B5D54D5">
      <w:pPr>
        <w:jc w:val="center"/>
        <w:rPr>
          <w:rFonts w:hint="eastAsia" w:asciiTheme="minorEastAsia" w:hAnsiTheme="minorEastAsia"/>
          <w:bCs/>
          <w:sz w:val="28"/>
          <w:szCs w:val="28"/>
        </w:rPr>
      </w:pPr>
      <w:r>
        <w:rPr>
          <w:rFonts w:hint="eastAsia" w:asciiTheme="minorEastAsia" w:hAnsiTheme="minorEastAsia"/>
          <w:bCs/>
          <w:sz w:val="28"/>
          <w:szCs w:val="28"/>
        </w:rPr>
        <w:t>《立项标准名称》征求意见汇总表</w:t>
      </w:r>
    </w:p>
    <w:p w14:paraId="468C65C4">
      <w:pPr>
        <w:jc w:val="left"/>
        <w:rPr>
          <w:rFonts w:hint="eastAsia" w:ascii="宋体" w:hAnsi="宋体" w:eastAsia="宋体"/>
          <w:sz w:val="24"/>
          <w:szCs w:val="24"/>
        </w:rPr>
      </w:pPr>
      <w:r>
        <w:rPr>
          <w:rFonts w:hint="eastAsia" w:ascii="宋体" w:hAnsi="宋体" w:eastAsia="宋体"/>
          <w:sz w:val="24"/>
          <w:szCs w:val="24"/>
        </w:rPr>
        <w:t>起草单位：</w:t>
      </w:r>
      <w:r>
        <w:rPr>
          <w:rFonts w:ascii="宋体" w:hAnsi="宋体" w:eastAsia="宋体"/>
          <w:sz w:val="24"/>
          <w:szCs w:val="24"/>
        </w:rPr>
        <w:t xml:space="preserve"> </w:t>
      </w:r>
    </w:p>
    <w:p w14:paraId="1328E9BF">
      <w:pPr>
        <w:spacing w:line="360" w:lineRule="exact"/>
        <w:jc w:val="left"/>
        <w:rPr>
          <w:rFonts w:hint="eastAsia" w:ascii="宋体" w:hAnsi="宋体" w:eastAsia="宋体"/>
          <w:sz w:val="24"/>
          <w:szCs w:val="24"/>
        </w:rPr>
      </w:pPr>
      <w:r>
        <w:rPr>
          <w:rFonts w:hint="eastAsia" w:ascii="宋体" w:hAnsi="宋体" w:eastAsia="宋体"/>
          <w:sz w:val="24"/>
          <w:szCs w:val="24"/>
        </w:rPr>
        <w:t>联 系 人：</w:t>
      </w:r>
      <w:r>
        <w:rPr>
          <w:rFonts w:ascii="宋体" w:hAnsi="宋体" w:eastAsia="宋体"/>
          <w:sz w:val="24"/>
          <w:szCs w:val="24"/>
        </w:rPr>
        <w:t xml:space="preserve"> </w:t>
      </w:r>
    </w:p>
    <w:p w14:paraId="239BFA30">
      <w:pPr>
        <w:spacing w:line="360" w:lineRule="exact"/>
        <w:jc w:val="left"/>
        <w:rPr>
          <w:rFonts w:hint="eastAsia" w:ascii="宋体" w:hAnsi="宋体" w:eastAsia="宋体"/>
          <w:sz w:val="24"/>
          <w:szCs w:val="24"/>
        </w:rPr>
      </w:pPr>
      <w:r>
        <w:rPr>
          <w:rFonts w:hint="eastAsia" w:ascii="宋体" w:hAnsi="宋体" w:eastAsia="宋体"/>
          <w:sz w:val="24"/>
          <w:szCs w:val="24"/>
        </w:rPr>
        <w:t xml:space="preserve">联系电话： </w:t>
      </w:r>
    </w:p>
    <w:tbl>
      <w:tblPr>
        <w:tblStyle w:val="8"/>
        <w:tblW w:w="9028" w:type="dxa"/>
        <w:tblInd w:w="-3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1417"/>
        <w:gridCol w:w="1843"/>
        <w:gridCol w:w="1843"/>
        <w:gridCol w:w="1275"/>
        <w:gridCol w:w="1754"/>
      </w:tblGrid>
      <w:tr w14:paraId="54F1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896" w:type="dxa"/>
            <w:vAlign w:val="center"/>
          </w:tcPr>
          <w:p w14:paraId="31D9C6F3">
            <w:pPr>
              <w:spacing w:line="400" w:lineRule="exact"/>
              <w:jc w:val="center"/>
              <w:rPr>
                <w:rFonts w:hint="eastAsia" w:ascii="仿宋" w:hAnsi="仿宋" w:eastAsia="仿宋"/>
                <w:b/>
                <w:bCs/>
                <w:sz w:val="24"/>
              </w:rPr>
            </w:pPr>
            <w:r>
              <w:rPr>
                <w:rFonts w:hint="eastAsia" w:ascii="仿宋" w:hAnsi="仿宋" w:eastAsia="仿宋"/>
                <w:b/>
                <w:bCs/>
                <w:sz w:val="24"/>
              </w:rPr>
              <w:t>序号</w:t>
            </w:r>
          </w:p>
        </w:tc>
        <w:tc>
          <w:tcPr>
            <w:tcW w:w="1417" w:type="dxa"/>
            <w:vAlign w:val="center"/>
          </w:tcPr>
          <w:p w14:paraId="0AB22502">
            <w:pPr>
              <w:spacing w:line="400" w:lineRule="exact"/>
              <w:jc w:val="center"/>
              <w:rPr>
                <w:rFonts w:hint="eastAsia" w:ascii="仿宋" w:hAnsi="仿宋" w:eastAsia="仿宋"/>
                <w:b/>
                <w:bCs/>
                <w:sz w:val="24"/>
              </w:rPr>
            </w:pPr>
            <w:r>
              <w:rPr>
                <w:rFonts w:hint="eastAsia" w:ascii="仿宋" w:hAnsi="仿宋" w:eastAsia="仿宋"/>
                <w:b/>
                <w:bCs/>
                <w:sz w:val="24"/>
              </w:rPr>
              <w:t>章节编号</w:t>
            </w:r>
          </w:p>
        </w:tc>
        <w:tc>
          <w:tcPr>
            <w:tcW w:w="1843" w:type="dxa"/>
            <w:vAlign w:val="center"/>
          </w:tcPr>
          <w:p w14:paraId="6F427133">
            <w:pPr>
              <w:spacing w:line="400" w:lineRule="exact"/>
              <w:jc w:val="center"/>
              <w:rPr>
                <w:rFonts w:hint="eastAsia" w:ascii="仿宋" w:hAnsi="仿宋" w:eastAsia="仿宋"/>
                <w:b/>
                <w:bCs/>
                <w:sz w:val="24"/>
              </w:rPr>
            </w:pPr>
            <w:r>
              <w:rPr>
                <w:rFonts w:hint="eastAsia" w:ascii="仿宋" w:hAnsi="仿宋" w:eastAsia="仿宋"/>
                <w:b/>
                <w:bCs/>
                <w:sz w:val="24"/>
              </w:rPr>
              <w:t>意见</w:t>
            </w:r>
          </w:p>
        </w:tc>
        <w:tc>
          <w:tcPr>
            <w:tcW w:w="1843" w:type="dxa"/>
            <w:vAlign w:val="center"/>
          </w:tcPr>
          <w:p w14:paraId="62FDA990">
            <w:pPr>
              <w:spacing w:line="400" w:lineRule="exact"/>
              <w:jc w:val="center"/>
              <w:rPr>
                <w:rFonts w:hint="eastAsia" w:ascii="仿宋" w:hAnsi="仿宋" w:eastAsia="仿宋"/>
                <w:b/>
                <w:bCs/>
                <w:sz w:val="24"/>
              </w:rPr>
            </w:pPr>
            <w:r>
              <w:rPr>
                <w:rFonts w:hint="eastAsia" w:ascii="仿宋" w:hAnsi="仿宋" w:eastAsia="仿宋"/>
                <w:b/>
                <w:bCs/>
                <w:sz w:val="24"/>
              </w:rPr>
              <w:t>提出单位/专家</w:t>
            </w:r>
          </w:p>
        </w:tc>
        <w:tc>
          <w:tcPr>
            <w:tcW w:w="1275" w:type="dxa"/>
            <w:vAlign w:val="center"/>
          </w:tcPr>
          <w:p w14:paraId="385ED2DA">
            <w:pPr>
              <w:spacing w:line="400" w:lineRule="exact"/>
              <w:jc w:val="center"/>
              <w:rPr>
                <w:rFonts w:hint="eastAsia" w:ascii="仿宋" w:hAnsi="仿宋" w:eastAsia="仿宋"/>
                <w:b/>
                <w:bCs/>
                <w:sz w:val="24"/>
              </w:rPr>
            </w:pPr>
            <w:r>
              <w:rPr>
                <w:rFonts w:hint="eastAsia" w:ascii="仿宋" w:hAnsi="仿宋" w:eastAsia="仿宋"/>
                <w:b/>
                <w:bCs/>
                <w:sz w:val="24"/>
              </w:rPr>
              <w:t>是否采纳</w:t>
            </w:r>
          </w:p>
        </w:tc>
        <w:tc>
          <w:tcPr>
            <w:tcW w:w="1754" w:type="dxa"/>
            <w:vAlign w:val="center"/>
          </w:tcPr>
          <w:p w14:paraId="28CBD15C">
            <w:pPr>
              <w:spacing w:line="400" w:lineRule="exact"/>
              <w:jc w:val="center"/>
              <w:rPr>
                <w:rFonts w:hint="eastAsia" w:ascii="仿宋" w:hAnsi="仿宋" w:eastAsia="仿宋"/>
                <w:b/>
                <w:bCs/>
                <w:sz w:val="24"/>
              </w:rPr>
            </w:pPr>
            <w:r>
              <w:rPr>
                <w:rFonts w:hint="eastAsia" w:ascii="仿宋" w:hAnsi="仿宋" w:eastAsia="仿宋"/>
                <w:b/>
                <w:bCs/>
                <w:sz w:val="24"/>
              </w:rPr>
              <w:t>不采纳</w:t>
            </w:r>
          </w:p>
          <w:p w14:paraId="2E2B79EF">
            <w:pPr>
              <w:spacing w:line="400" w:lineRule="exact"/>
              <w:jc w:val="center"/>
              <w:rPr>
                <w:rFonts w:hint="eastAsia" w:ascii="仿宋" w:hAnsi="仿宋" w:eastAsia="仿宋"/>
                <w:b/>
                <w:bCs/>
                <w:sz w:val="24"/>
              </w:rPr>
            </w:pPr>
            <w:r>
              <w:rPr>
                <w:rFonts w:hint="eastAsia" w:ascii="仿宋" w:hAnsi="仿宋" w:eastAsia="仿宋"/>
                <w:b/>
                <w:bCs/>
                <w:sz w:val="24"/>
              </w:rPr>
              <w:t>（说明原因）</w:t>
            </w:r>
          </w:p>
        </w:tc>
      </w:tr>
      <w:tr w14:paraId="249C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96" w:type="dxa"/>
            <w:vAlign w:val="center"/>
          </w:tcPr>
          <w:p w14:paraId="52900510">
            <w:pPr>
              <w:spacing w:line="400" w:lineRule="exact"/>
              <w:jc w:val="center"/>
              <w:rPr>
                <w:rFonts w:hint="eastAsia" w:ascii="仿宋" w:hAnsi="仿宋" w:eastAsia="仿宋"/>
                <w:sz w:val="24"/>
              </w:rPr>
            </w:pPr>
            <w:r>
              <w:rPr>
                <w:rFonts w:hint="eastAsia" w:ascii="仿宋" w:hAnsi="仿宋" w:eastAsia="仿宋"/>
                <w:sz w:val="24"/>
              </w:rPr>
              <w:t>1</w:t>
            </w:r>
          </w:p>
        </w:tc>
        <w:tc>
          <w:tcPr>
            <w:tcW w:w="1417" w:type="dxa"/>
            <w:vAlign w:val="center"/>
          </w:tcPr>
          <w:p w14:paraId="7A1F087B">
            <w:pPr>
              <w:spacing w:line="400" w:lineRule="exact"/>
              <w:jc w:val="left"/>
              <w:rPr>
                <w:rFonts w:hint="eastAsia" w:ascii="仿宋" w:hAnsi="仿宋" w:eastAsia="仿宋"/>
                <w:sz w:val="28"/>
                <w:szCs w:val="28"/>
              </w:rPr>
            </w:pPr>
          </w:p>
        </w:tc>
        <w:tc>
          <w:tcPr>
            <w:tcW w:w="1843" w:type="dxa"/>
            <w:vAlign w:val="center"/>
          </w:tcPr>
          <w:p w14:paraId="13955670">
            <w:pPr>
              <w:spacing w:line="400" w:lineRule="exact"/>
              <w:jc w:val="left"/>
              <w:rPr>
                <w:rFonts w:hint="eastAsia" w:ascii="仿宋" w:hAnsi="仿宋" w:eastAsia="仿宋"/>
                <w:sz w:val="28"/>
                <w:szCs w:val="28"/>
              </w:rPr>
            </w:pPr>
          </w:p>
        </w:tc>
        <w:tc>
          <w:tcPr>
            <w:tcW w:w="1843" w:type="dxa"/>
            <w:vAlign w:val="center"/>
          </w:tcPr>
          <w:p w14:paraId="6321D4FC">
            <w:pPr>
              <w:spacing w:line="400" w:lineRule="exact"/>
              <w:jc w:val="left"/>
              <w:rPr>
                <w:rFonts w:hint="eastAsia" w:ascii="仿宋" w:hAnsi="仿宋" w:eastAsia="仿宋"/>
                <w:sz w:val="28"/>
                <w:szCs w:val="28"/>
              </w:rPr>
            </w:pPr>
          </w:p>
        </w:tc>
        <w:tc>
          <w:tcPr>
            <w:tcW w:w="1275" w:type="dxa"/>
            <w:vAlign w:val="center"/>
          </w:tcPr>
          <w:p w14:paraId="23F4C0A2">
            <w:pPr>
              <w:spacing w:line="400" w:lineRule="exact"/>
              <w:jc w:val="left"/>
              <w:rPr>
                <w:rFonts w:hint="eastAsia" w:ascii="仿宋" w:hAnsi="仿宋" w:eastAsia="仿宋"/>
                <w:sz w:val="24"/>
              </w:rPr>
            </w:pPr>
          </w:p>
        </w:tc>
        <w:tc>
          <w:tcPr>
            <w:tcW w:w="1754" w:type="dxa"/>
            <w:vAlign w:val="center"/>
          </w:tcPr>
          <w:p w14:paraId="7F8ECEB4">
            <w:pPr>
              <w:spacing w:line="400" w:lineRule="exact"/>
              <w:jc w:val="left"/>
              <w:rPr>
                <w:rFonts w:hint="eastAsia" w:ascii="仿宋" w:hAnsi="仿宋" w:eastAsia="仿宋"/>
                <w:sz w:val="24"/>
              </w:rPr>
            </w:pPr>
          </w:p>
        </w:tc>
      </w:tr>
      <w:tr w14:paraId="60167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96" w:type="dxa"/>
            <w:vAlign w:val="center"/>
          </w:tcPr>
          <w:p w14:paraId="2FF15F3D">
            <w:pPr>
              <w:spacing w:line="400" w:lineRule="exact"/>
              <w:jc w:val="center"/>
              <w:rPr>
                <w:rFonts w:hint="eastAsia" w:ascii="仿宋" w:hAnsi="仿宋" w:eastAsia="仿宋"/>
                <w:sz w:val="24"/>
              </w:rPr>
            </w:pPr>
            <w:r>
              <w:rPr>
                <w:rFonts w:hint="eastAsia" w:ascii="仿宋" w:hAnsi="仿宋" w:eastAsia="仿宋"/>
                <w:sz w:val="24"/>
              </w:rPr>
              <w:t>2</w:t>
            </w:r>
          </w:p>
        </w:tc>
        <w:tc>
          <w:tcPr>
            <w:tcW w:w="1417" w:type="dxa"/>
            <w:vAlign w:val="center"/>
          </w:tcPr>
          <w:p w14:paraId="59DF7622">
            <w:pPr>
              <w:spacing w:line="400" w:lineRule="exact"/>
              <w:jc w:val="left"/>
              <w:rPr>
                <w:rFonts w:hint="eastAsia" w:ascii="仿宋" w:hAnsi="仿宋" w:eastAsia="仿宋"/>
                <w:sz w:val="28"/>
                <w:szCs w:val="28"/>
              </w:rPr>
            </w:pPr>
          </w:p>
        </w:tc>
        <w:tc>
          <w:tcPr>
            <w:tcW w:w="1843" w:type="dxa"/>
            <w:vAlign w:val="center"/>
          </w:tcPr>
          <w:p w14:paraId="6CC3E16C">
            <w:pPr>
              <w:spacing w:line="400" w:lineRule="exact"/>
              <w:jc w:val="left"/>
              <w:rPr>
                <w:rFonts w:hint="eastAsia" w:ascii="仿宋" w:hAnsi="仿宋" w:eastAsia="仿宋"/>
                <w:sz w:val="28"/>
                <w:szCs w:val="28"/>
              </w:rPr>
            </w:pPr>
          </w:p>
        </w:tc>
        <w:tc>
          <w:tcPr>
            <w:tcW w:w="1843" w:type="dxa"/>
            <w:vAlign w:val="center"/>
          </w:tcPr>
          <w:p w14:paraId="31ABDBBB">
            <w:pPr>
              <w:spacing w:line="400" w:lineRule="exact"/>
              <w:jc w:val="left"/>
              <w:rPr>
                <w:rFonts w:hint="eastAsia" w:ascii="仿宋" w:hAnsi="仿宋" w:eastAsia="仿宋"/>
                <w:sz w:val="28"/>
                <w:szCs w:val="28"/>
              </w:rPr>
            </w:pPr>
          </w:p>
        </w:tc>
        <w:tc>
          <w:tcPr>
            <w:tcW w:w="1275" w:type="dxa"/>
            <w:vAlign w:val="center"/>
          </w:tcPr>
          <w:p w14:paraId="29195333">
            <w:pPr>
              <w:spacing w:line="400" w:lineRule="exact"/>
              <w:jc w:val="left"/>
              <w:rPr>
                <w:rFonts w:hint="eastAsia" w:ascii="仿宋" w:hAnsi="仿宋" w:eastAsia="仿宋"/>
                <w:sz w:val="24"/>
              </w:rPr>
            </w:pPr>
          </w:p>
        </w:tc>
        <w:tc>
          <w:tcPr>
            <w:tcW w:w="1754" w:type="dxa"/>
            <w:vAlign w:val="center"/>
          </w:tcPr>
          <w:p w14:paraId="4B99A331">
            <w:pPr>
              <w:spacing w:line="400" w:lineRule="exact"/>
              <w:jc w:val="left"/>
              <w:rPr>
                <w:rFonts w:hint="eastAsia" w:ascii="仿宋" w:hAnsi="仿宋" w:eastAsia="仿宋"/>
                <w:sz w:val="24"/>
              </w:rPr>
            </w:pPr>
          </w:p>
        </w:tc>
      </w:tr>
      <w:tr w14:paraId="3A5B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96" w:type="dxa"/>
            <w:vAlign w:val="center"/>
          </w:tcPr>
          <w:p w14:paraId="59B5CAD9">
            <w:pPr>
              <w:spacing w:line="400" w:lineRule="exact"/>
              <w:jc w:val="center"/>
              <w:rPr>
                <w:rFonts w:hint="eastAsia" w:ascii="仿宋" w:hAnsi="仿宋" w:eastAsia="仿宋"/>
                <w:sz w:val="24"/>
              </w:rPr>
            </w:pPr>
            <w:r>
              <w:rPr>
                <w:rFonts w:hint="eastAsia" w:ascii="仿宋" w:hAnsi="仿宋" w:eastAsia="仿宋"/>
                <w:sz w:val="24"/>
              </w:rPr>
              <w:t>3</w:t>
            </w:r>
          </w:p>
        </w:tc>
        <w:tc>
          <w:tcPr>
            <w:tcW w:w="1417" w:type="dxa"/>
            <w:vAlign w:val="center"/>
          </w:tcPr>
          <w:p w14:paraId="2E33D08F">
            <w:pPr>
              <w:spacing w:line="400" w:lineRule="exact"/>
              <w:rPr>
                <w:rFonts w:hint="eastAsia" w:ascii="仿宋" w:hAnsi="仿宋" w:eastAsia="仿宋"/>
                <w:sz w:val="28"/>
                <w:szCs w:val="28"/>
              </w:rPr>
            </w:pPr>
          </w:p>
        </w:tc>
        <w:tc>
          <w:tcPr>
            <w:tcW w:w="1843" w:type="dxa"/>
            <w:vAlign w:val="center"/>
          </w:tcPr>
          <w:p w14:paraId="14D4BCBE">
            <w:pPr>
              <w:spacing w:line="400" w:lineRule="exact"/>
              <w:jc w:val="left"/>
              <w:rPr>
                <w:rFonts w:hint="eastAsia" w:ascii="仿宋" w:hAnsi="仿宋" w:eastAsia="仿宋"/>
                <w:sz w:val="28"/>
                <w:szCs w:val="28"/>
              </w:rPr>
            </w:pPr>
          </w:p>
        </w:tc>
        <w:tc>
          <w:tcPr>
            <w:tcW w:w="1843" w:type="dxa"/>
            <w:vAlign w:val="center"/>
          </w:tcPr>
          <w:p w14:paraId="405980BE">
            <w:pPr>
              <w:spacing w:line="400" w:lineRule="exact"/>
              <w:jc w:val="left"/>
              <w:rPr>
                <w:rFonts w:hint="eastAsia" w:ascii="仿宋" w:hAnsi="仿宋" w:eastAsia="仿宋"/>
                <w:sz w:val="28"/>
                <w:szCs w:val="28"/>
              </w:rPr>
            </w:pPr>
          </w:p>
        </w:tc>
        <w:tc>
          <w:tcPr>
            <w:tcW w:w="1275" w:type="dxa"/>
            <w:vAlign w:val="center"/>
          </w:tcPr>
          <w:p w14:paraId="44ACC9F2">
            <w:pPr>
              <w:spacing w:line="400" w:lineRule="exact"/>
              <w:jc w:val="left"/>
              <w:rPr>
                <w:rFonts w:ascii="Arial" w:hAnsi="Arial" w:eastAsia="仿宋" w:cs="Arial"/>
                <w:sz w:val="24"/>
              </w:rPr>
            </w:pPr>
          </w:p>
        </w:tc>
        <w:tc>
          <w:tcPr>
            <w:tcW w:w="1754" w:type="dxa"/>
            <w:vAlign w:val="center"/>
          </w:tcPr>
          <w:p w14:paraId="33CC2959">
            <w:pPr>
              <w:spacing w:line="400" w:lineRule="exact"/>
              <w:jc w:val="left"/>
              <w:rPr>
                <w:rFonts w:hint="eastAsia" w:ascii="仿宋" w:hAnsi="仿宋" w:eastAsia="仿宋"/>
                <w:sz w:val="24"/>
              </w:rPr>
            </w:pPr>
          </w:p>
        </w:tc>
      </w:tr>
      <w:tr w14:paraId="12C7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96" w:type="dxa"/>
            <w:vAlign w:val="center"/>
          </w:tcPr>
          <w:p w14:paraId="51F7B9C9">
            <w:pPr>
              <w:spacing w:line="400" w:lineRule="exact"/>
              <w:jc w:val="center"/>
              <w:rPr>
                <w:rFonts w:hint="eastAsia" w:ascii="仿宋" w:hAnsi="仿宋" w:eastAsia="仿宋"/>
                <w:sz w:val="24"/>
              </w:rPr>
            </w:pPr>
            <w:r>
              <w:rPr>
                <w:rFonts w:hint="eastAsia" w:ascii="仿宋" w:hAnsi="仿宋" w:eastAsia="仿宋"/>
                <w:sz w:val="24"/>
              </w:rPr>
              <w:t>4</w:t>
            </w:r>
          </w:p>
        </w:tc>
        <w:tc>
          <w:tcPr>
            <w:tcW w:w="1417" w:type="dxa"/>
            <w:vAlign w:val="center"/>
          </w:tcPr>
          <w:p w14:paraId="279F4337">
            <w:pPr>
              <w:spacing w:line="400" w:lineRule="exact"/>
              <w:rPr>
                <w:rFonts w:hint="eastAsia" w:ascii="仿宋" w:hAnsi="仿宋" w:eastAsia="仿宋"/>
                <w:sz w:val="28"/>
                <w:szCs w:val="28"/>
              </w:rPr>
            </w:pPr>
          </w:p>
        </w:tc>
        <w:tc>
          <w:tcPr>
            <w:tcW w:w="1843" w:type="dxa"/>
            <w:vAlign w:val="center"/>
          </w:tcPr>
          <w:p w14:paraId="23E25DBD">
            <w:pPr>
              <w:spacing w:line="400" w:lineRule="exact"/>
              <w:jc w:val="left"/>
              <w:rPr>
                <w:rFonts w:hint="eastAsia" w:ascii="仿宋" w:hAnsi="仿宋" w:eastAsia="仿宋"/>
                <w:sz w:val="28"/>
                <w:szCs w:val="28"/>
              </w:rPr>
            </w:pPr>
          </w:p>
        </w:tc>
        <w:tc>
          <w:tcPr>
            <w:tcW w:w="1843" w:type="dxa"/>
            <w:vAlign w:val="center"/>
          </w:tcPr>
          <w:p w14:paraId="3E32DD73">
            <w:pPr>
              <w:spacing w:line="400" w:lineRule="exact"/>
              <w:jc w:val="left"/>
              <w:rPr>
                <w:rFonts w:hint="eastAsia" w:ascii="仿宋" w:hAnsi="仿宋" w:eastAsia="仿宋"/>
                <w:sz w:val="28"/>
                <w:szCs w:val="28"/>
              </w:rPr>
            </w:pPr>
          </w:p>
        </w:tc>
        <w:tc>
          <w:tcPr>
            <w:tcW w:w="1275" w:type="dxa"/>
            <w:vAlign w:val="center"/>
          </w:tcPr>
          <w:p w14:paraId="40664AB0">
            <w:pPr>
              <w:spacing w:line="400" w:lineRule="exact"/>
              <w:jc w:val="left"/>
              <w:rPr>
                <w:rFonts w:ascii="Arial" w:hAnsi="Arial" w:eastAsia="仿宋" w:cs="Arial"/>
                <w:sz w:val="24"/>
              </w:rPr>
            </w:pPr>
          </w:p>
        </w:tc>
        <w:tc>
          <w:tcPr>
            <w:tcW w:w="1754" w:type="dxa"/>
            <w:vAlign w:val="center"/>
          </w:tcPr>
          <w:p w14:paraId="2F4C0779">
            <w:pPr>
              <w:spacing w:line="400" w:lineRule="exact"/>
              <w:jc w:val="left"/>
              <w:rPr>
                <w:rFonts w:hint="eastAsia" w:ascii="仿宋" w:hAnsi="仿宋" w:eastAsia="仿宋"/>
                <w:sz w:val="24"/>
              </w:rPr>
            </w:pPr>
          </w:p>
        </w:tc>
      </w:tr>
      <w:tr w14:paraId="5B2F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96" w:type="dxa"/>
            <w:vAlign w:val="center"/>
          </w:tcPr>
          <w:p w14:paraId="09072EC1">
            <w:pPr>
              <w:spacing w:line="400" w:lineRule="exact"/>
              <w:jc w:val="center"/>
              <w:rPr>
                <w:rFonts w:hint="eastAsia" w:ascii="仿宋" w:hAnsi="仿宋" w:eastAsia="仿宋"/>
                <w:sz w:val="24"/>
              </w:rPr>
            </w:pPr>
            <w:r>
              <w:rPr>
                <w:rFonts w:hint="eastAsia" w:ascii="仿宋" w:hAnsi="仿宋" w:eastAsia="仿宋"/>
                <w:sz w:val="24"/>
              </w:rPr>
              <w:t>5</w:t>
            </w:r>
          </w:p>
        </w:tc>
        <w:tc>
          <w:tcPr>
            <w:tcW w:w="1417" w:type="dxa"/>
            <w:vAlign w:val="center"/>
          </w:tcPr>
          <w:p w14:paraId="73995789">
            <w:pPr>
              <w:spacing w:line="400" w:lineRule="exact"/>
              <w:rPr>
                <w:rFonts w:hint="eastAsia" w:ascii="仿宋" w:hAnsi="仿宋" w:eastAsia="仿宋"/>
                <w:sz w:val="28"/>
                <w:szCs w:val="28"/>
              </w:rPr>
            </w:pPr>
          </w:p>
        </w:tc>
        <w:tc>
          <w:tcPr>
            <w:tcW w:w="1843" w:type="dxa"/>
            <w:vAlign w:val="center"/>
          </w:tcPr>
          <w:p w14:paraId="5CC0102A">
            <w:pPr>
              <w:spacing w:line="400" w:lineRule="exact"/>
              <w:jc w:val="left"/>
              <w:rPr>
                <w:rFonts w:hint="eastAsia" w:ascii="仿宋" w:hAnsi="仿宋" w:eastAsia="仿宋"/>
                <w:sz w:val="28"/>
                <w:szCs w:val="28"/>
              </w:rPr>
            </w:pPr>
          </w:p>
        </w:tc>
        <w:tc>
          <w:tcPr>
            <w:tcW w:w="1843" w:type="dxa"/>
            <w:vAlign w:val="center"/>
          </w:tcPr>
          <w:p w14:paraId="4F38FC97">
            <w:pPr>
              <w:spacing w:line="400" w:lineRule="exact"/>
              <w:jc w:val="left"/>
              <w:rPr>
                <w:rFonts w:hint="eastAsia" w:ascii="仿宋" w:hAnsi="仿宋" w:eastAsia="仿宋"/>
                <w:sz w:val="28"/>
                <w:szCs w:val="28"/>
              </w:rPr>
            </w:pPr>
          </w:p>
        </w:tc>
        <w:tc>
          <w:tcPr>
            <w:tcW w:w="1275" w:type="dxa"/>
            <w:vAlign w:val="center"/>
          </w:tcPr>
          <w:p w14:paraId="583F04D2">
            <w:pPr>
              <w:spacing w:line="400" w:lineRule="exact"/>
              <w:jc w:val="left"/>
              <w:rPr>
                <w:rFonts w:ascii="Arial" w:hAnsi="Arial" w:eastAsia="仿宋" w:cs="Arial"/>
                <w:sz w:val="24"/>
              </w:rPr>
            </w:pPr>
          </w:p>
        </w:tc>
        <w:tc>
          <w:tcPr>
            <w:tcW w:w="1754" w:type="dxa"/>
            <w:vAlign w:val="center"/>
          </w:tcPr>
          <w:p w14:paraId="04A8CF93">
            <w:pPr>
              <w:spacing w:line="400" w:lineRule="exact"/>
              <w:jc w:val="left"/>
              <w:rPr>
                <w:rFonts w:hint="eastAsia" w:ascii="仿宋" w:hAnsi="仿宋" w:eastAsia="仿宋"/>
                <w:sz w:val="24"/>
              </w:rPr>
            </w:pPr>
          </w:p>
        </w:tc>
      </w:tr>
    </w:tbl>
    <w:p w14:paraId="059F5723">
      <w:pPr>
        <w:rPr>
          <w:rFonts w:hint="eastAsia"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3AB96C"/>
    <w:multiLevelType w:val="singleLevel"/>
    <w:tmpl w:val="323AB96C"/>
    <w:lvl w:ilvl="0" w:tentative="0">
      <w:start w:val="2"/>
      <w:numFmt w:val="decimal"/>
      <w:suff w:val="nothing"/>
      <w:lvlText w:val="%1）"/>
      <w:lvlJc w:val="left"/>
    </w:lvl>
  </w:abstractNum>
  <w:abstractNum w:abstractNumId="1">
    <w:nsid w:val="6CEA2025"/>
    <w:multiLevelType w:val="multilevel"/>
    <w:tmpl w:val="6CEA2025"/>
    <w:lvl w:ilvl="0" w:tentative="0">
      <w:start w:val="1"/>
      <w:numFmt w:val="none"/>
      <w:pStyle w:val="23"/>
      <w:suff w:val="nothing"/>
      <w:lvlText w:val="%1"/>
      <w:lvlJc w:val="left"/>
      <w:pPr>
        <w:ind w:left="0" w:firstLine="0"/>
      </w:pPr>
      <w:rPr>
        <w:rFonts w:hint="eastAsia"/>
      </w:rPr>
    </w:lvl>
    <w:lvl w:ilvl="1" w:tentative="0">
      <w:start w:val="1"/>
      <w:numFmt w:val="decimal"/>
      <w:pStyle w:val="21"/>
      <w:suff w:val="nothing"/>
      <w:lvlText w:val="%1%2　"/>
      <w:lvlJc w:val="left"/>
      <w:pPr>
        <w:ind w:left="0" w:firstLine="0"/>
      </w:pPr>
      <w:rPr>
        <w:rFonts w:hint="eastAsia" w:ascii="黑体" w:eastAsia="黑体"/>
        <w:b w:val="0"/>
        <w:i w:val="0"/>
        <w:sz w:val="21"/>
      </w:rPr>
    </w:lvl>
    <w:lvl w:ilvl="2" w:tentative="0">
      <w:start w:val="1"/>
      <w:numFmt w:val="decimal"/>
      <w:pStyle w:val="2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7"/>
      <w:suff w:val="nothing"/>
      <w:lvlText w:val="%1%2.%3.%4　"/>
      <w:lvlJc w:val="left"/>
      <w:pPr>
        <w:ind w:left="0" w:firstLine="0"/>
      </w:pPr>
      <w:rPr>
        <w:rFonts w:hint="eastAsia" w:ascii="黑体" w:eastAsia="黑体"/>
        <w:b w:val="0"/>
        <w:i w:val="0"/>
        <w:sz w:val="21"/>
      </w:rPr>
    </w:lvl>
    <w:lvl w:ilvl="4" w:tentative="0">
      <w:start w:val="1"/>
      <w:numFmt w:val="decimal"/>
      <w:pStyle w:val="18"/>
      <w:suff w:val="nothing"/>
      <w:lvlText w:val="%1%2.%3.%4.%5　"/>
      <w:lvlJc w:val="left"/>
      <w:pPr>
        <w:ind w:left="0" w:firstLine="0"/>
      </w:pPr>
      <w:rPr>
        <w:rFonts w:hint="eastAsia" w:ascii="黑体" w:eastAsia="黑体"/>
        <w:b w:val="0"/>
        <w:i w:val="0"/>
        <w:sz w:val="21"/>
      </w:rPr>
    </w:lvl>
    <w:lvl w:ilvl="5" w:tentative="0">
      <w:start w:val="1"/>
      <w:numFmt w:val="decimal"/>
      <w:pStyle w:val="19"/>
      <w:suff w:val="nothing"/>
      <w:lvlText w:val="%1%2.%3.%4.%5.%6　"/>
      <w:lvlJc w:val="left"/>
      <w:pPr>
        <w:ind w:left="0" w:firstLine="0"/>
      </w:pPr>
      <w:rPr>
        <w:rFonts w:hint="eastAsia" w:ascii="黑体" w:eastAsia="黑体"/>
        <w:b w:val="0"/>
        <w:i w:val="0"/>
        <w:sz w:val="21"/>
      </w:rPr>
    </w:lvl>
    <w:lvl w:ilvl="6" w:tentative="0">
      <w:start w:val="1"/>
      <w:numFmt w:val="decimal"/>
      <w:pStyle w:val="20"/>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2NGEwYzMwM2ZjMDI1MTZhOTIzYzczNWZlYWU1Y2IifQ=="/>
  </w:docVars>
  <w:rsids>
    <w:rsidRoot w:val="000B67F0"/>
    <w:rsid w:val="0000005D"/>
    <w:rsid w:val="00001A87"/>
    <w:rsid w:val="000040D0"/>
    <w:rsid w:val="00005414"/>
    <w:rsid w:val="0000562B"/>
    <w:rsid w:val="00006B78"/>
    <w:rsid w:val="000071A6"/>
    <w:rsid w:val="0000721A"/>
    <w:rsid w:val="00012121"/>
    <w:rsid w:val="0001753B"/>
    <w:rsid w:val="000210DD"/>
    <w:rsid w:val="000223B0"/>
    <w:rsid w:val="0002293A"/>
    <w:rsid w:val="000308D8"/>
    <w:rsid w:val="00031544"/>
    <w:rsid w:val="00032DC9"/>
    <w:rsid w:val="00033218"/>
    <w:rsid w:val="0003323D"/>
    <w:rsid w:val="0003329D"/>
    <w:rsid w:val="000411CB"/>
    <w:rsid w:val="0004120B"/>
    <w:rsid w:val="00044938"/>
    <w:rsid w:val="00045AEF"/>
    <w:rsid w:val="00045CB9"/>
    <w:rsid w:val="000500FC"/>
    <w:rsid w:val="00050A84"/>
    <w:rsid w:val="00052389"/>
    <w:rsid w:val="00052FA7"/>
    <w:rsid w:val="00055D9D"/>
    <w:rsid w:val="00056D20"/>
    <w:rsid w:val="00057EA5"/>
    <w:rsid w:val="0006044B"/>
    <w:rsid w:val="00060623"/>
    <w:rsid w:val="00060BB1"/>
    <w:rsid w:val="0006174A"/>
    <w:rsid w:val="00063360"/>
    <w:rsid w:val="00072911"/>
    <w:rsid w:val="00072C4D"/>
    <w:rsid w:val="0007379E"/>
    <w:rsid w:val="00073AEB"/>
    <w:rsid w:val="000745DC"/>
    <w:rsid w:val="00076C3F"/>
    <w:rsid w:val="00077914"/>
    <w:rsid w:val="00080D5B"/>
    <w:rsid w:val="00083FEF"/>
    <w:rsid w:val="00086FE3"/>
    <w:rsid w:val="00092DB8"/>
    <w:rsid w:val="00095602"/>
    <w:rsid w:val="00096223"/>
    <w:rsid w:val="000A1E07"/>
    <w:rsid w:val="000A2AD4"/>
    <w:rsid w:val="000A5629"/>
    <w:rsid w:val="000A5C8C"/>
    <w:rsid w:val="000A6F89"/>
    <w:rsid w:val="000A7420"/>
    <w:rsid w:val="000B03C8"/>
    <w:rsid w:val="000B1C90"/>
    <w:rsid w:val="000B1FC0"/>
    <w:rsid w:val="000B2531"/>
    <w:rsid w:val="000B28C1"/>
    <w:rsid w:val="000B4A7F"/>
    <w:rsid w:val="000B52D6"/>
    <w:rsid w:val="000B65E3"/>
    <w:rsid w:val="000B67F0"/>
    <w:rsid w:val="000B72F3"/>
    <w:rsid w:val="000C0D9C"/>
    <w:rsid w:val="000C188C"/>
    <w:rsid w:val="000C576A"/>
    <w:rsid w:val="000C5C97"/>
    <w:rsid w:val="000C5E00"/>
    <w:rsid w:val="000C6DF6"/>
    <w:rsid w:val="000D0577"/>
    <w:rsid w:val="000D2987"/>
    <w:rsid w:val="000D3ADB"/>
    <w:rsid w:val="000D470C"/>
    <w:rsid w:val="000D471A"/>
    <w:rsid w:val="000D5EA8"/>
    <w:rsid w:val="000D6BC2"/>
    <w:rsid w:val="000D717B"/>
    <w:rsid w:val="000E0072"/>
    <w:rsid w:val="000E3902"/>
    <w:rsid w:val="000E5419"/>
    <w:rsid w:val="000E6BF8"/>
    <w:rsid w:val="000E77E7"/>
    <w:rsid w:val="000F0167"/>
    <w:rsid w:val="000F0E29"/>
    <w:rsid w:val="000F0EE0"/>
    <w:rsid w:val="000F28EC"/>
    <w:rsid w:val="000F322B"/>
    <w:rsid w:val="000F6698"/>
    <w:rsid w:val="00100B55"/>
    <w:rsid w:val="00104873"/>
    <w:rsid w:val="00106C55"/>
    <w:rsid w:val="00107F18"/>
    <w:rsid w:val="00110990"/>
    <w:rsid w:val="00110FDE"/>
    <w:rsid w:val="0011250C"/>
    <w:rsid w:val="00115553"/>
    <w:rsid w:val="00117E52"/>
    <w:rsid w:val="0012117B"/>
    <w:rsid w:val="0012294F"/>
    <w:rsid w:val="0013511E"/>
    <w:rsid w:val="00141D2E"/>
    <w:rsid w:val="00142C07"/>
    <w:rsid w:val="001430A5"/>
    <w:rsid w:val="00143B5D"/>
    <w:rsid w:val="001454A6"/>
    <w:rsid w:val="0014630A"/>
    <w:rsid w:val="00147642"/>
    <w:rsid w:val="00147EC0"/>
    <w:rsid w:val="00152E30"/>
    <w:rsid w:val="0015382B"/>
    <w:rsid w:val="00155715"/>
    <w:rsid w:val="001578E0"/>
    <w:rsid w:val="00163D50"/>
    <w:rsid w:val="00172151"/>
    <w:rsid w:val="00172266"/>
    <w:rsid w:val="00173D61"/>
    <w:rsid w:val="00176AEF"/>
    <w:rsid w:val="00177726"/>
    <w:rsid w:val="00177DFA"/>
    <w:rsid w:val="001816D0"/>
    <w:rsid w:val="0018194A"/>
    <w:rsid w:val="00182A15"/>
    <w:rsid w:val="001906BE"/>
    <w:rsid w:val="00193609"/>
    <w:rsid w:val="0019389E"/>
    <w:rsid w:val="001940C1"/>
    <w:rsid w:val="001955EF"/>
    <w:rsid w:val="001A04FB"/>
    <w:rsid w:val="001A1B42"/>
    <w:rsid w:val="001A3810"/>
    <w:rsid w:val="001A3C19"/>
    <w:rsid w:val="001A4D20"/>
    <w:rsid w:val="001B1E1E"/>
    <w:rsid w:val="001B33FD"/>
    <w:rsid w:val="001B3A96"/>
    <w:rsid w:val="001C2F48"/>
    <w:rsid w:val="001C627D"/>
    <w:rsid w:val="001D44CE"/>
    <w:rsid w:val="001D7E9D"/>
    <w:rsid w:val="001E44CB"/>
    <w:rsid w:val="001E4E59"/>
    <w:rsid w:val="001E4F13"/>
    <w:rsid w:val="001E5BB8"/>
    <w:rsid w:val="001E7264"/>
    <w:rsid w:val="001E748C"/>
    <w:rsid w:val="001E77A7"/>
    <w:rsid w:val="001F2820"/>
    <w:rsid w:val="001F2CBD"/>
    <w:rsid w:val="001F32F1"/>
    <w:rsid w:val="001F6CBD"/>
    <w:rsid w:val="00203D68"/>
    <w:rsid w:val="002047DA"/>
    <w:rsid w:val="0020499C"/>
    <w:rsid w:val="0020517C"/>
    <w:rsid w:val="00205AA6"/>
    <w:rsid w:val="00205C0C"/>
    <w:rsid w:val="00206E20"/>
    <w:rsid w:val="00212CE0"/>
    <w:rsid w:val="0021388A"/>
    <w:rsid w:val="00213D26"/>
    <w:rsid w:val="00223320"/>
    <w:rsid w:val="00224115"/>
    <w:rsid w:val="002278A4"/>
    <w:rsid w:val="0023077F"/>
    <w:rsid w:val="0023177F"/>
    <w:rsid w:val="00234649"/>
    <w:rsid w:val="002357AA"/>
    <w:rsid w:val="0024066C"/>
    <w:rsid w:val="0024102B"/>
    <w:rsid w:val="002422DC"/>
    <w:rsid w:val="00242C90"/>
    <w:rsid w:val="00243443"/>
    <w:rsid w:val="002479E6"/>
    <w:rsid w:val="00247D50"/>
    <w:rsid w:val="002533B7"/>
    <w:rsid w:val="00253BD1"/>
    <w:rsid w:val="00253FC7"/>
    <w:rsid w:val="0025487C"/>
    <w:rsid w:val="002560D4"/>
    <w:rsid w:val="00256C72"/>
    <w:rsid w:val="002627CF"/>
    <w:rsid w:val="0026318B"/>
    <w:rsid w:val="0026362D"/>
    <w:rsid w:val="00270008"/>
    <w:rsid w:val="002729E6"/>
    <w:rsid w:val="00275B3D"/>
    <w:rsid w:val="00277A36"/>
    <w:rsid w:val="002808AF"/>
    <w:rsid w:val="002812C0"/>
    <w:rsid w:val="0028357F"/>
    <w:rsid w:val="00283CF2"/>
    <w:rsid w:val="00286CF7"/>
    <w:rsid w:val="0029058F"/>
    <w:rsid w:val="002922BC"/>
    <w:rsid w:val="00292DF2"/>
    <w:rsid w:val="00293124"/>
    <w:rsid w:val="00294F39"/>
    <w:rsid w:val="0029614D"/>
    <w:rsid w:val="002971FE"/>
    <w:rsid w:val="002A0F8E"/>
    <w:rsid w:val="002A2A57"/>
    <w:rsid w:val="002A5F31"/>
    <w:rsid w:val="002A686E"/>
    <w:rsid w:val="002A75BE"/>
    <w:rsid w:val="002B442F"/>
    <w:rsid w:val="002B524C"/>
    <w:rsid w:val="002B5626"/>
    <w:rsid w:val="002B62DD"/>
    <w:rsid w:val="002C2397"/>
    <w:rsid w:val="002C2C08"/>
    <w:rsid w:val="002C420E"/>
    <w:rsid w:val="002C4279"/>
    <w:rsid w:val="002C7614"/>
    <w:rsid w:val="002C7B0B"/>
    <w:rsid w:val="002D0F20"/>
    <w:rsid w:val="002D1DC3"/>
    <w:rsid w:val="002D2AE8"/>
    <w:rsid w:val="002D3471"/>
    <w:rsid w:val="002D5BC2"/>
    <w:rsid w:val="002D6FC7"/>
    <w:rsid w:val="002E0636"/>
    <w:rsid w:val="002E34EF"/>
    <w:rsid w:val="002E41E8"/>
    <w:rsid w:val="002E7093"/>
    <w:rsid w:val="002F2563"/>
    <w:rsid w:val="002F2687"/>
    <w:rsid w:val="002F3B71"/>
    <w:rsid w:val="002F49BE"/>
    <w:rsid w:val="002F6B5A"/>
    <w:rsid w:val="002F73C5"/>
    <w:rsid w:val="00300841"/>
    <w:rsid w:val="00302950"/>
    <w:rsid w:val="00303C1B"/>
    <w:rsid w:val="00303FC7"/>
    <w:rsid w:val="00313C01"/>
    <w:rsid w:val="00315D64"/>
    <w:rsid w:val="0031707A"/>
    <w:rsid w:val="003204B2"/>
    <w:rsid w:val="003218D0"/>
    <w:rsid w:val="0032281C"/>
    <w:rsid w:val="003265D9"/>
    <w:rsid w:val="00332833"/>
    <w:rsid w:val="00334849"/>
    <w:rsid w:val="00334DE8"/>
    <w:rsid w:val="00335066"/>
    <w:rsid w:val="00335363"/>
    <w:rsid w:val="0033551B"/>
    <w:rsid w:val="00335959"/>
    <w:rsid w:val="00343196"/>
    <w:rsid w:val="00343CDF"/>
    <w:rsid w:val="00346893"/>
    <w:rsid w:val="00347507"/>
    <w:rsid w:val="00352C5D"/>
    <w:rsid w:val="0035750A"/>
    <w:rsid w:val="00357601"/>
    <w:rsid w:val="00361E07"/>
    <w:rsid w:val="00363155"/>
    <w:rsid w:val="00363D33"/>
    <w:rsid w:val="00364257"/>
    <w:rsid w:val="00364A96"/>
    <w:rsid w:val="00365F66"/>
    <w:rsid w:val="00366512"/>
    <w:rsid w:val="003675E1"/>
    <w:rsid w:val="003713E4"/>
    <w:rsid w:val="003779C7"/>
    <w:rsid w:val="00380D7E"/>
    <w:rsid w:val="00380D99"/>
    <w:rsid w:val="00381C37"/>
    <w:rsid w:val="0038386B"/>
    <w:rsid w:val="00383C24"/>
    <w:rsid w:val="00385315"/>
    <w:rsid w:val="0038563A"/>
    <w:rsid w:val="00385C70"/>
    <w:rsid w:val="0038673C"/>
    <w:rsid w:val="00386ABB"/>
    <w:rsid w:val="00386D3D"/>
    <w:rsid w:val="00390B63"/>
    <w:rsid w:val="0039195E"/>
    <w:rsid w:val="0039331E"/>
    <w:rsid w:val="00393FA8"/>
    <w:rsid w:val="00397D4C"/>
    <w:rsid w:val="003A11DF"/>
    <w:rsid w:val="003A1812"/>
    <w:rsid w:val="003A22D4"/>
    <w:rsid w:val="003A2A1A"/>
    <w:rsid w:val="003A4F50"/>
    <w:rsid w:val="003A59AD"/>
    <w:rsid w:val="003A780F"/>
    <w:rsid w:val="003A7835"/>
    <w:rsid w:val="003B5B7D"/>
    <w:rsid w:val="003B6BFB"/>
    <w:rsid w:val="003B6DDD"/>
    <w:rsid w:val="003C0C0E"/>
    <w:rsid w:val="003C0CF0"/>
    <w:rsid w:val="003C1F11"/>
    <w:rsid w:val="003C1FA5"/>
    <w:rsid w:val="003C489E"/>
    <w:rsid w:val="003C49C2"/>
    <w:rsid w:val="003C4F6B"/>
    <w:rsid w:val="003D1A21"/>
    <w:rsid w:val="003D2A6F"/>
    <w:rsid w:val="003D2E23"/>
    <w:rsid w:val="003D3E35"/>
    <w:rsid w:val="003D4228"/>
    <w:rsid w:val="003D56EC"/>
    <w:rsid w:val="003D7759"/>
    <w:rsid w:val="003E1F95"/>
    <w:rsid w:val="003E21C6"/>
    <w:rsid w:val="003E2578"/>
    <w:rsid w:val="003E2886"/>
    <w:rsid w:val="003E2C45"/>
    <w:rsid w:val="003E3A62"/>
    <w:rsid w:val="003E55A3"/>
    <w:rsid w:val="003E62EC"/>
    <w:rsid w:val="003E78B8"/>
    <w:rsid w:val="003F0B72"/>
    <w:rsid w:val="003F205D"/>
    <w:rsid w:val="003F243E"/>
    <w:rsid w:val="003F2D86"/>
    <w:rsid w:val="003F3143"/>
    <w:rsid w:val="003F394B"/>
    <w:rsid w:val="0040026D"/>
    <w:rsid w:val="004029A1"/>
    <w:rsid w:val="00403346"/>
    <w:rsid w:val="00405606"/>
    <w:rsid w:val="004058DD"/>
    <w:rsid w:val="00410738"/>
    <w:rsid w:val="00412DA0"/>
    <w:rsid w:val="00414890"/>
    <w:rsid w:val="00414A63"/>
    <w:rsid w:val="00414A8F"/>
    <w:rsid w:val="00416D47"/>
    <w:rsid w:val="00416DC5"/>
    <w:rsid w:val="004171C3"/>
    <w:rsid w:val="00423C28"/>
    <w:rsid w:val="00427ECD"/>
    <w:rsid w:val="004327E0"/>
    <w:rsid w:val="004335C0"/>
    <w:rsid w:val="004343DA"/>
    <w:rsid w:val="00435C80"/>
    <w:rsid w:val="004364AD"/>
    <w:rsid w:val="00436A9E"/>
    <w:rsid w:val="00436ADD"/>
    <w:rsid w:val="00436CFD"/>
    <w:rsid w:val="00437D14"/>
    <w:rsid w:val="00441EE8"/>
    <w:rsid w:val="0044251A"/>
    <w:rsid w:val="00446A0A"/>
    <w:rsid w:val="00446D76"/>
    <w:rsid w:val="00446DBB"/>
    <w:rsid w:val="00450963"/>
    <w:rsid w:val="00450B2A"/>
    <w:rsid w:val="00450F24"/>
    <w:rsid w:val="00452440"/>
    <w:rsid w:val="004540DF"/>
    <w:rsid w:val="00454197"/>
    <w:rsid w:val="00461641"/>
    <w:rsid w:val="0046284F"/>
    <w:rsid w:val="00463AC4"/>
    <w:rsid w:val="00464EBD"/>
    <w:rsid w:val="00465786"/>
    <w:rsid w:val="0046607C"/>
    <w:rsid w:val="00467A57"/>
    <w:rsid w:val="00470D85"/>
    <w:rsid w:val="004725D1"/>
    <w:rsid w:val="00473133"/>
    <w:rsid w:val="0047584E"/>
    <w:rsid w:val="00475974"/>
    <w:rsid w:val="00477700"/>
    <w:rsid w:val="00480E2C"/>
    <w:rsid w:val="00481E9F"/>
    <w:rsid w:val="00483D46"/>
    <w:rsid w:val="004878B4"/>
    <w:rsid w:val="00490F87"/>
    <w:rsid w:val="004926FF"/>
    <w:rsid w:val="00492B46"/>
    <w:rsid w:val="004934E1"/>
    <w:rsid w:val="00493AE5"/>
    <w:rsid w:val="00493CC3"/>
    <w:rsid w:val="00493CDA"/>
    <w:rsid w:val="004A0746"/>
    <w:rsid w:val="004A24EF"/>
    <w:rsid w:val="004A2516"/>
    <w:rsid w:val="004A4BAB"/>
    <w:rsid w:val="004A585F"/>
    <w:rsid w:val="004A74E2"/>
    <w:rsid w:val="004B4B78"/>
    <w:rsid w:val="004B7467"/>
    <w:rsid w:val="004B7EA8"/>
    <w:rsid w:val="004C0344"/>
    <w:rsid w:val="004C3006"/>
    <w:rsid w:val="004C5241"/>
    <w:rsid w:val="004C7778"/>
    <w:rsid w:val="004D1C5F"/>
    <w:rsid w:val="004D4F6C"/>
    <w:rsid w:val="004E0BCE"/>
    <w:rsid w:val="004E2ACA"/>
    <w:rsid w:val="004E5D40"/>
    <w:rsid w:val="004E6C65"/>
    <w:rsid w:val="004E6DE7"/>
    <w:rsid w:val="004F44AD"/>
    <w:rsid w:val="004F474D"/>
    <w:rsid w:val="00501BC9"/>
    <w:rsid w:val="00503729"/>
    <w:rsid w:val="00504384"/>
    <w:rsid w:val="0050485C"/>
    <w:rsid w:val="00505D91"/>
    <w:rsid w:val="00505EB0"/>
    <w:rsid w:val="00510345"/>
    <w:rsid w:val="00513A30"/>
    <w:rsid w:val="00515529"/>
    <w:rsid w:val="00516539"/>
    <w:rsid w:val="00516AD4"/>
    <w:rsid w:val="00517BB8"/>
    <w:rsid w:val="0052084A"/>
    <w:rsid w:val="00521501"/>
    <w:rsid w:val="00522EC8"/>
    <w:rsid w:val="0052563E"/>
    <w:rsid w:val="005258D2"/>
    <w:rsid w:val="00527393"/>
    <w:rsid w:val="00534925"/>
    <w:rsid w:val="00534FC4"/>
    <w:rsid w:val="00536636"/>
    <w:rsid w:val="00542C8B"/>
    <w:rsid w:val="00544BC5"/>
    <w:rsid w:val="0054546F"/>
    <w:rsid w:val="0054642E"/>
    <w:rsid w:val="00546C87"/>
    <w:rsid w:val="005518FC"/>
    <w:rsid w:val="00553180"/>
    <w:rsid w:val="00555570"/>
    <w:rsid w:val="00555CBA"/>
    <w:rsid w:val="005669FB"/>
    <w:rsid w:val="00566AC4"/>
    <w:rsid w:val="005742C3"/>
    <w:rsid w:val="00576E7E"/>
    <w:rsid w:val="00581446"/>
    <w:rsid w:val="005835CF"/>
    <w:rsid w:val="00585EE5"/>
    <w:rsid w:val="00590A53"/>
    <w:rsid w:val="00595500"/>
    <w:rsid w:val="005955E8"/>
    <w:rsid w:val="005963BE"/>
    <w:rsid w:val="005966BB"/>
    <w:rsid w:val="005967AC"/>
    <w:rsid w:val="00597BBC"/>
    <w:rsid w:val="005A1818"/>
    <w:rsid w:val="005A1A4F"/>
    <w:rsid w:val="005A2222"/>
    <w:rsid w:val="005A3094"/>
    <w:rsid w:val="005A361F"/>
    <w:rsid w:val="005A3D75"/>
    <w:rsid w:val="005A4FE5"/>
    <w:rsid w:val="005A5C3F"/>
    <w:rsid w:val="005A7FCA"/>
    <w:rsid w:val="005B11A9"/>
    <w:rsid w:val="005B2950"/>
    <w:rsid w:val="005C0D05"/>
    <w:rsid w:val="005C6D41"/>
    <w:rsid w:val="005D02A4"/>
    <w:rsid w:val="005D31FC"/>
    <w:rsid w:val="005D4362"/>
    <w:rsid w:val="005D5A4D"/>
    <w:rsid w:val="005E0CF8"/>
    <w:rsid w:val="005E1961"/>
    <w:rsid w:val="005E2A91"/>
    <w:rsid w:val="005E3905"/>
    <w:rsid w:val="005E449A"/>
    <w:rsid w:val="005E4E05"/>
    <w:rsid w:val="005E5452"/>
    <w:rsid w:val="005E7C73"/>
    <w:rsid w:val="005E7E72"/>
    <w:rsid w:val="005F1146"/>
    <w:rsid w:val="005F6525"/>
    <w:rsid w:val="005F7647"/>
    <w:rsid w:val="005F7E62"/>
    <w:rsid w:val="00600EF3"/>
    <w:rsid w:val="006019C0"/>
    <w:rsid w:val="00601EC1"/>
    <w:rsid w:val="00601F41"/>
    <w:rsid w:val="006053CB"/>
    <w:rsid w:val="0060554C"/>
    <w:rsid w:val="00605D29"/>
    <w:rsid w:val="00606621"/>
    <w:rsid w:val="00606F54"/>
    <w:rsid w:val="00607E40"/>
    <w:rsid w:val="00611FBE"/>
    <w:rsid w:val="00613C85"/>
    <w:rsid w:val="00614AC8"/>
    <w:rsid w:val="00616535"/>
    <w:rsid w:val="006200E3"/>
    <w:rsid w:val="00623618"/>
    <w:rsid w:val="00624855"/>
    <w:rsid w:val="0062488E"/>
    <w:rsid w:val="006263E1"/>
    <w:rsid w:val="00626934"/>
    <w:rsid w:val="00627475"/>
    <w:rsid w:val="0063798B"/>
    <w:rsid w:val="00637C4A"/>
    <w:rsid w:val="0064172A"/>
    <w:rsid w:val="00641B20"/>
    <w:rsid w:val="00644DD1"/>
    <w:rsid w:val="0064535C"/>
    <w:rsid w:val="00647BFC"/>
    <w:rsid w:val="006536D7"/>
    <w:rsid w:val="006546A3"/>
    <w:rsid w:val="00656119"/>
    <w:rsid w:val="00660433"/>
    <w:rsid w:val="00661013"/>
    <w:rsid w:val="00662DA7"/>
    <w:rsid w:val="00662E22"/>
    <w:rsid w:val="00664695"/>
    <w:rsid w:val="00665CD1"/>
    <w:rsid w:val="00667166"/>
    <w:rsid w:val="00670D09"/>
    <w:rsid w:val="00672626"/>
    <w:rsid w:val="00672F4D"/>
    <w:rsid w:val="0067389F"/>
    <w:rsid w:val="006749E0"/>
    <w:rsid w:val="006749E8"/>
    <w:rsid w:val="00677756"/>
    <w:rsid w:val="00681829"/>
    <w:rsid w:val="00682126"/>
    <w:rsid w:val="006850F4"/>
    <w:rsid w:val="00685C8A"/>
    <w:rsid w:val="0069014D"/>
    <w:rsid w:val="00693C26"/>
    <w:rsid w:val="006A04D4"/>
    <w:rsid w:val="006A32BF"/>
    <w:rsid w:val="006A39F1"/>
    <w:rsid w:val="006A472D"/>
    <w:rsid w:val="006A4B9D"/>
    <w:rsid w:val="006A5155"/>
    <w:rsid w:val="006A607D"/>
    <w:rsid w:val="006A67A3"/>
    <w:rsid w:val="006B07B9"/>
    <w:rsid w:val="006B0FCA"/>
    <w:rsid w:val="006B10CE"/>
    <w:rsid w:val="006B395B"/>
    <w:rsid w:val="006B3EA8"/>
    <w:rsid w:val="006B446C"/>
    <w:rsid w:val="006B4BFC"/>
    <w:rsid w:val="006C0783"/>
    <w:rsid w:val="006C4315"/>
    <w:rsid w:val="006C5FCF"/>
    <w:rsid w:val="006C6279"/>
    <w:rsid w:val="006D27EA"/>
    <w:rsid w:val="006D45E2"/>
    <w:rsid w:val="006D59E3"/>
    <w:rsid w:val="006D5BCC"/>
    <w:rsid w:val="006D5DCB"/>
    <w:rsid w:val="006E1B46"/>
    <w:rsid w:val="006E3368"/>
    <w:rsid w:val="006E3AA9"/>
    <w:rsid w:val="006E4CEA"/>
    <w:rsid w:val="006E52E9"/>
    <w:rsid w:val="006E6E1E"/>
    <w:rsid w:val="006F05AB"/>
    <w:rsid w:val="006F2F92"/>
    <w:rsid w:val="006F5454"/>
    <w:rsid w:val="006F7373"/>
    <w:rsid w:val="007010A4"/>
    <w:rsid w:val="00701ED3"/>
    <w:rsid w:val="00703B44"/>
    <w:rsid w:val="00703EF4"/>
    <w:rsid w:val="00706CA0"/>
    <w:rsid w:val="0071139C"/>
    <w:rsid w:val="00713213"/>
    <w:rsid w:val="0071691B"/>
    <w:rsid w:val="00716C35"/>
    <w:rsid w:val="00721360"/>
    <w:rsid w:val="007266F5"/>
    <w:rsid w:val="007278B3"/>
    <w:rsid w:val="00727C34"/>
    <w:rsid w:val="00733371"/>
    <w:rsid w:val="00733E90"/>
    <w:rsid w:val="00735172"/>
    <w:rsid w:val="00735F14"/>
    <w:rsid w:val="0073650D"/>
    <w:rsid w:val="00736AFE"/>
    <w:rsid w:val="00737618"/>
    <w:rsid w:val="00737DC2"/>
    <w:rsid w:val="0074056A"/>
    <w:rsid w:val="007418F2"/>
    <w:rsid w:val="00741B3C"/>
    <w:rsid w:val="00742C8A"/>
    <w:rsid w:val="007435CA"/>
    <w:rsid w:val="00751CB9"/>
    <w:rsid w:val="007522DB"/>
    <w:rsid w:val="00752B16"/>
    <w:rsid w:val="007530E9"/>
    <w:rsid w:val="00756C7A"/>
    <w:rsid w:val="00757A00"/>
    <w:rsid w:val="00757B2F"/>
    <w:rsid w:val="00762BF1"/>
    <w:rsid w:val="0076409E"/>
    <w:rsid w:val="00764612"/>
    <w:rsid w:val="0076542F"/>
    <w:rsid w:val="00765CC7"/>
    <w:rsid w:val="00765F0F"/>
    <w:rsid w:val="00771728"/>
    <w:rsid w:val="007723DA"/>
    <w:rsid w:val="007748CF"/>
    <w:rsid w:val="007776F7"/>
    <w:rsid w:val="00780382"/>
    <w:rsid w:val="00782E42"/>
    <w:rsid w:val="0078423C"/>
    <w:rsid w:val="00786BF5"/>
    <w:rsid w:val="007903C8"/>
    <w:rsid w:val="007908A7"/>
    <w:rsid w:val="007916C2"/>
    <w:rsid w:val="007937D0"/>
    <w:rsid w:val="00794AB9"/>
    <w:rsid w:val="00795E68"/>
    <w:rsid w:val="007A09FD"/>
    <w:rsid w:val="007A0E4C"/>
    <w:rsid w:val="007A15FF"/>
    <w:rsid w:val="007A25CE"/>
    <w:rsid w:val="007A5E8B"/>
    <w:rsid w:val="007B4B97"/>
    <w:rsid w:val="007B68EC"/>
    <w:rsid w:val="007B701A"/>
    <w:rsid w:val="007B76C9"/>
    <w:rsid w:val="007C16DE"/>
    <w:rsid w:val="007C349A"/>
    <w:rsid w:val="007C4FA2"/>
    <w:rsid w:val="007C744B"/>
    <w:rsid w:val="007C7854"/>
    <w:rsid w:val="007C7E2F"/>
    <w:rsid w:val="007C7F8C"/>
    <w:rsid w:val="007D2D20"/>
    <w:rsid w:val="007D54A6"/>
    <w:rsid w:val="007E00D7"/>
    <w:rsid w:val="007E0587"/>
    <w:rsid w:val="007E0F66"/>
    <w:rsid w:val="007E2004"/>
    <w:rsid w:val="007E24E2"/>
    <w:rsid w:val="007E3935"/>
    <w:rsid w:val="007E6E52"/>
    <w:rsid w:val="007F5634"/>
    <w:rsid w:val="007F67B0"/>
    <w:rsid w:val="007F77ED"/>
    <w:rsid w:val="00803816"/>
    <w:rsid w:val="00804900"/>
    <w:rsid w:val="00804D2D"/>
    <w:rsid w:val="00806418"/>
    <w:rsid w:val="008067B8"/>
    <w:rsid w:val="00807AB0"/>
    <w:rsid w:val="00810EF9"/>
    <w:rsid w:val="00812056"/>
    <w:rsid w:val="00816C68"/>
    <w:rsid w:val="00823FE7"/>
    <w:rsid w:val="00826EC8"/>
    <w:rsid w:val="0083691C"/>
    <w:rsid w:val="00836BC0"/>
    <w:rsid w:val="00837E21"/>
    <w:rsid w:val="00841AA5"/>
    <w:rsid w:val="00846560"/>
    <w:rsid w:val="0084699D"/>
    <w:rsid w:val="00850575"/>
    <w:rsid w:val="008506E9"/>
    <w:rsid w:val="00851F34"/>
    <w:rsid w:val="0086160D"/>
    <w:rsid w:val="00865324"/>
    <w:rsid w:val="008656A2"/>
    <w:rsid w:val="00865A5E"/>
    <w:rsid w:val="00870BEA"/>
    <w:rsid w:val="00871B98"/>
    <w:rsid w:val="008739C2"/>
    <w:rsid w:val="00876C10"/>
    <w:rsid w:val="0088015C"/>
    <w:rsid w:val="008845BC"/>
    <w:rsid w:val="00886EB5"/>
    <w:rsid w:val="00887A23"/>
    <w:rsid w:val="0089031D"/>
    <w:rsid w:val="008918D8"/>
    <w:rsid w:val="0089674B"/>
    <w:rsid w:val="008A25B4"/>
    <w:rsid w:val="008A7359"/>
    <w:rsid w:val="008B13CB"/>
    <w:rsid w:val="008B3D32"/>
    <w:rsid w:val="008B4163"/>
    <w:rsid w:val="008B4F4C"/>
    <w:rsid w:val="008B5DBE"/>
    <w:rsid w:val="008B640D"/>
    <w:rsid w:val="008C01B8"/>
    <w:rsid w:val="008C1547"/>
    <w:rsid w:val="008C2BEA"/>
    <w:rsid w:val="008C417F"/>
    <w:rsid w:val="008C5756"/>
    <w:rsid w:val="008D038F"/>
    <w:rsid w:val="008D2F2C"/>
    <w:rsid w:val="008D467D"/>
    <w:rsid w:val="008D7BA5"/>
    <w:rsid w:val="008E0D10"/>
    <w:rsid w:val="008E25C2"/>
    <w:rsid w:val="008E2C37"/>
    <w:rsid w:val="008E391E"/>
    <w:rsid w:val="008E4602"/>
    <w:rsid w:val="008E66D3"/>
    <w:rsid w:val="008F1C33"/>
    <w:rsid w:val="008F21AB"/>
    <w:rsid w:val="008F491B"/>
    <w:rsid w:val="008F7471"/>
    <w:rsid w:val="00900C25"/>
    <w:rsid w:val="00906656"/>
    <w:rsid w:val="00913BB4"/>
    <w:rsid w:val="00916AB1"/>
    <w:rsid w:val="00916B4A"/>
    <w:rsid w:val="00916CAD"/>
    <w:rsid w:val="00923A17"/>
    <w:rsid w:val="00925E63"/>
    <w:rsid w:val="00930826"/>
    <w:rsid w:val="00931196"/>
    <w:rsid w:val="00932CA5"/>
    <w:rsid w:val="00933445"/>
    <w:rsid w:val="0093599A"/>
    <w:rsid w:val="00940FCB"/>
    <w:rsid w:val="00941C82"/>
    <w:rsid w:val="00941DDF"/>
    <w:rsid w:val="0094341F"/>
    <w:rsid w:val="009437B3"/>
    <w:rsid w:val="00943CB4"/>
    <w:rsid w:val="009443FB"/>
    <w:rsid w:val="00945645"/>
    <w:rsid w:val="00945C95"/>
    <w:rsid w:val="00947A8B"/>
    <w:rsid w:val="00950300"/>
    <w:rsid w:val="0095161D"/>
    <w:rsid w:val="00951EC8"/>
    <w:rsid w:val="00953879"/>
    <w:rsid w:val="0095480E"/>
    <w:rsid w:val="00956D31"/>
    <w:rsid w:val="00960A2F"/>
    <w:rsid w:val="0096254F"/>
    <w:rsid w:val="009669D2"/>
    <w:rsid w:val="00971D2D"/>
    <w:rsid w:val="00974DBD"/>
    <w:rsid w:val="00975210"/>
    <w:rsid w:val="0097636B"/>
    <w:rsid w:val="00980AEB"/>
    <w:rsid w:val="00982FEC"/>
    <w:rsid w:val="00984F93"/>
    <w:rsid w:val="00985E9A"/>
    <w:rsid w:val="00986360"/>
    <w:rsid w:val="009865D9"/>
    <w:rsid w:val="00986C25"/>
    <w:rsid w:val="00990EAE"/>
    <w:rsid w:val="009913CC"/>
    <w:rsid w:val="00991951"/>
    <w:rsid w:val="00992228"/>
    <w:rsid w:val="009966D8"/>
    <w:rsid w:val="00997582"/>
    <w:rsid w:val="009A5703"/>
    <w:rsid w:val="009A7A10"/>
    <w:rsid w:val="009B06B7"/>
    <w:rsid w:val="009B0A47"/>
    <w:rsid w:val="009B2125"/>
    <w:rsid w:val="009B2365"/>
    <w:rsid w:val="009B2369"/>
    <w:rsid w:val="009B3085"/>
    <w:rsid w:val="009B39DE"/>
    <w:rsid w:val="009B6940"/>
    <w:rsid w:val="009C1748"/>
    <w:rsid w:val="009C6697"/>
    <w:rsid w:val="009C7A7C"/>
    <w:rsid w:val="009D00A8"/>
    <w:rsid w:val="009D08FE"/>
    <w:rsid w:val="009D1BB1"/>
    <w:rsid w:val="009D2101"/>
    <w:rsid w:val="009D26FE"/>
    <w:rsid w:val="009D2F3E"/>
    <w:rsid w:val="009D312F"/>
    <w:rsid w:val="009D3F95"/>
    <w:rsid w:val="009E0F30"/>
    <w:rsid w:val="009E5395"/>
    <w:rsid w:val="009F067A"/>
    <w:rsid w:val="009F1949"/>
    <w:rsid w:val="009F5E53"/>
    <w:rsid w:val="009F7104"/>
    <w:rsid w:val="009F7D3A"/>
    <w:rsid w:val="00A00522"/>
    <w:rsid w:val="00A04957"/>
    <w:rsid w:val="00A04BDF"/>
    <w:rsid w:val="00A06BA6"/>
    <w:rsid w:val="00A06E89"/>
    <w:rsid w:val="00A11059"/>
    <w:rsid w:val="00A1391D"/>
    <w:rsid w:val="00A1569B"/>
    <w:rsid w:val="00A15926"/>
    <w:rsid w:val="00A1759A"/>
    <w:rsid w:val="00A219E6"/>
    <w:rsid w:val="00A21E48"/>
    <w:rsid w:val="00A24AE7"/>
    <w:rsid w:val="00A32C60"/>
    <w:rsid w:val="00A34D08"/>
    <w:rsid w:val="00A40B80"/>
    <w:rsid w:val="00A42B82"/>
    <w:rsid w:val="00A43687"/>
    <w:rsid w:val="00A4623D"/>
    <w:rsid w:val="00A50409"/>
    <w:rsid w:val="00A506C6"/>
    <w:rsid w:val="00A516C1"/>
    <w:rsid w:val="00A5194B"/>
    <w:rsid w:val="00A53592"/>
    <w:rsid w:val="00A53716"/>
    <w:rsid w:val="00A5546A"/>
    <w:rsid w:val="00A564F9"/>
    <w:rsid w:val="00A57B70"/>
    <w:rsid w:val="00A61C3B"/>
    <w:rsid w:val="00A62FDC"/>
    <w:rsid w:val="00A64A4C"/>
    <w:rsid w:val="00A7018C"/>
    <w:rsid w:val="00A71190"/>
    <w:rsid w:val="00A73917"/>
    <w:rsid w:val="00A7449B"/>
    <w:rsid w:val="00A77BC2"/>
    <w:rsid w:val="00A81971"/>
    <w:rsid w:val="00A81E76"/>
    <w:rsid w:val="00A81F1E"/>
    <w:rsid w:val="00A8348A"/>
    <w:rsid w:val="00A8402C"/>
    <w:rsid w:val="00A85C2F"/>
    <w:rsid w:val="00A87328"/>
    <w:rsid w:val="00A90234"/>
    <w:rsid w:val="00A9358D"/>
    <w:rsid w:val="00A95BCD"/>
    <w:rsid w:val="00A96DC3"/>
    <w:rsid w:val="00A97431"/>
    <w:rsid w:val="00AA53FD"/>
    <w:rsid w:val="00AA607F"/>
    <w:rsid w:val="00AA680C"/>
    <w:rsid w:val="00AB2F16"/>
    <w:rsid w:val="00AB5CE4"/>
    <w:rsid w:val="00AC0E15"/>
    <w:rsid w:val="00AC3677"/>
    <w:rsid w:val="00AC5F83"/>
    <w:rsid w:val="00AC643D"/>
    <w:rsid w:val="00AC6E59"/>
    <w:rsid w:val="00AC794A"/>
    <w:rsid w:val="00AD0B8B"/>
    <w:rsid w:val="00AD25D6"/>
    <w:rsid w:val="00AD2616"/>
    <w:rsid w:val="00AD4C61"/>
    <w:rsid w:val="00AD6048"/>
    <w:rsid w:val="00AD6C99"/>
    <w:rsid w:val="00AD7BE4"/>
    <w:rsid w:val="00AE0B38"/>
    <w:rsid w:val="00AE150A"/>
    <w:rsid w:val="00AE20FD"/>
    <w:rsid w:val="00AE6650"/>
    <w:rsid w:val="00AE6AEA"/>
    <w:rsid w:val="00AE7B7D"/>
    <w:rsid w:val="00AE7EA8"/>
    <w:rsid w:val="00AF14DA"/>
    <w:rsid w:val="00AF42F4"/>
    <w:rsid w:val="00AF5ADF"/>
    <w:rsid w:val="00AF77CD"/>
    <w:rsid w:val="00AF7E7C"/>
    <w:rsid w:val="00B003CE"/>
    <w:rsid w:val="00B00D3E"/>
    <w:rsid w:val="00B01ADD"/>
    <w:rsid w:val="00B02519"/>
    <w:rsid w:val="00B02FE9"/>
    <w:rsid w:val="00B0348E"/>
    <w:rsid w:val="00B03DBF"/>
    <w:rsid w:val="00B076E3"/>
    <w:rsid w:val="00B07C24"/>
    <w:rsid w:val="00B10FA2"/>
    <w:rsid w:val="00B1141B"/>
    <w:rsid w:val="00B1235B"/>
    <w:rsid w:val="00B1411F"/>
    <w:rsid w:val="00B148C8"/>
    <w:rsid w:val="00B1701B"/>
    <w:rsid w:val="00B20323"/>
    <w:rsid w:val="00B2061D"/>
    <w:rsid w:val="00B220DB"/>
    <w:rsid w:val="00B226A3"/>
    <w:rsid w:val="00B22756"/>
    <w:rsid w:val="00B24D49"/>
    <w:rsid w:val="00B2748B"/>
    <w:rsid w:val="00B27F6D"/>
    <w:rsid w:val="00B3050D"/>
    <w:rsid w:val="00B30941"/>
    <w:rsid w:val="00B33722"/>
    <w:rsid w:val="00B33D6E"/>
    <w:rsid w:val="00B34851"/>
    <w:rsid w:val="00B36AB9"/>
    <w:rsid w:val="00B37DAC"/>
    <w:rsid w:val="00B37F3D"/>
    <w:rsid w:val="00B41D8A"/>
    <w:rsid w:val="00B42709"/>
    <w:rsid w:val="00B440A8"/>
    <w:rsid w:val="00B454F7"/>
    <w:rsid w:val="00B5099F"/>
    <w:rsid w:val="00B50A34"/>
    <w:rsid w:val="00B53906"/>
    <w:rsid w:val="00B55B93"/>
    <w:rsid w:val="00B57872"/>
    <w:rsid w:val="00B6004B"/>
    <w:rsid w:val="00B6066D"/>
    <w:rsid w:val="00B62222"/>
    <w:rsid w:val="00B64CDF"/>
    <w:rsid w:val="00B66B14"/>
    <w:rsid w:val="00B717F3"/>
    <w:rsid w:val="00B7198A"/>
    <w:rsid w:val="00B71DB4"/>
    <w:rsid w:val="00B7320B"/>
    <w:rsid w:val="00B74C21"/>
    <w:rsid w:val="00B75DD6"/>
    <w:rsid w:val="00B75E50"/>
    <w:rsid w:val="00B7671E"/>
    <w:rsid w:val="00B77DB2"/>
    <w:rsid w:val="00B800AF"/>
    <w:rsid w:val="00B805D0"/>
    <w:rsid w:val="00B80A46"/>
    <w:rsid w:val="00B86636"/>
    <w:rsid w:val="00B92154"/>
    <w:rsid w:val="00B929E8"/>
    <w:rsid w:val="00B92E61"/>
    <w:rsid w:val="00B975B9"/>
    <w:rsid w:val="00B97699"/>
    <w:rsid w:val="00B97A08"/>
    <w:rsid w:val="00BA11E3"/>
    <w:rsid w:val="00BA6E03"/>
    <w:rsid w:val="00BA710D"/>
    <w:rsid w:val="00BA7A55"/>
    <w:rsid w:val="00BB229D"/>
    <w:rsid w:val="00BB4AF3"/>
    <w:rsid w:val="00BB5754"/>
    <w:rsid w:val="00BB6679"/>
    <w:rsid w:val="00BB6F77"/>
    <w:rsid w:val="00BC0393"/>
    <w:rsid w:val="00BC1FDD"/>
    <w:rsid w:val="00BC2BF2"/>
    <w:rsid w:val="00BC328B"/>
    <w:rsid w:val="00BC3935"/>
    <w:rsid w:val="00BC418E"/>
    <w:rsid w:val="00BC454F"/>
    <w:rsid w:val="00BC4B89"/>
    <w:rsid w:val="00BC570E"/>
    <w:rsid w:val="00BC57AF"/>
    <w:rsid w:val="00BD0EA1"/>
    <w:rsid w:val="00BD4CBF"/>
    <w:rsid w:val="00BD783F"/>
    <w:rsid w:val="00BE29CD"/>
    <w:rsid w:val="00BE3CA9"/>
    <w:rsid w:val="00BE4257"/>
    <w:rsid w:val="00BE5453"/>
    <w:rsid w:val="00BE62D4"/>
    <w:rsid w:val="00BE7070"/>
    <w:rsid w:val="00BF01B8"/>
    <w:rsid w:val="00BF24A2"/>
    <w:rsid w:val="00BF2699"/>
    <w:rsid w:val="00BF7F58"/>
    <w:rsid w:val="00C00B1E"/>
    <w:rsid w:val="00C016A5"/>
    <w:rsid w:val="00C021DD"/>
    <w:rsid w:val="00C033AA"/>
    <w:rsid w:val="00C078C6"/>
    <w:rsid w:val="00C07C80"/>
    <w:rsid w:val="00C10F4F"/>
    <w:rsid w:val="00C12B25"/>
    <w:rsid w:val="00C134F3"/>
    <w:rsid w:val="00C144B6"/>
    <w:rsid w:val="00C14636"/>
    <w:rsid w:val="00C201F4"/>
    <w:rsid w:val="00C206A7"/>
    <w:rsid w:val="00C21AD5"/>
    <w:rsid w:val="00C21D09"/>
    <w:rsid w:val="00C23D50"/>
    <w:rsid w:val="00C244FD"/>
    <w:rsid w:val="00C24AB5"/>
    <w:rsid w:val="00C255D6"/>
    <w:rsid w:val="00C25A4A"/>
    <w:rsid w:val="00C261BB"/>
    <w:rsid w:val="00C26697"/>
    <w:rsid w:val="00C268F5"/>
    <w:rsid w:val="00C2696A"/>
    <w:rsid w:val="00C2760F"/>
    <w:rsid w:val="00C32C3F"/>
    <w:rsid w:val="00C343CA"/>
    <w:rsid w:val="00C357CC"/>
    <w:rsid w:val="00C35978"/>
    <w:rsid w:val="00C35FD5"/>
    <w:rsid w:val="00C3750A"/>
    <w:rsid w:val="00C40945"/>
    <w:rsid w:val="00C409BE"/>
    <w:rsid w:val="00C43471"/>
    <w:rsid w:val="00C441C2"/>
    <w:rsid w:val="00C4420B"/>
    <w:rsid w:val="00C447DC"/>
    <w:rsid w:val="00C457A8"/>
    <w:rsid w:val="00C458ED"/>
    <w:rsid w:val="00C46139"/>
    <w:rsid w:val="00C512FD"/>
    <w:rsid w:val="00C514A4"/>
    <w:rsid w:val="00C565A2"/>
    <w:rsid w:val="00C56F2D"/>
    <w:rsid w:val="00C5770F"/>
    <w:rsid w:val="00C60DAC"/>
    <w:rsid w:val="00C65BC4"/>
    <w:rsid w:val="00C72460"/>
    <w:rsid w:val="00C72585"/>
    <w:rsid w:val="00C74094"/>
    <w:rsid w:val="00C77A74"/>
    <w:rsid w:val="00C77B7B"/>
    <w:rsid w:val="00C81F3D"/>
    <w:rsid w:val="00C87492"/>
    <w:rsid w:val="00C92499"/>
    <w:rsid w:val="00C94A2D"/>
    <w:rsid w:val="00C958AC"/>
    <w:rsid w:val="00C96167"/>
    <w:rsid w:val="00C979E8"/>
    <w:rsid w:val="00C97C99"/>
    <w:rsid w:val="00CA04CF"/>
    <w:rsid w:val="00CA07FA"/>
    <w:rsid w:val="00CA2BFA"/>
    <w:rsid w:val="00CA35F5"/>
    <w:rsid w:val="00CB0ADD"/>
    <w:rsid w:val="00CB2359"/>
    <w:rsid w:val="00CB5684"/>
    <w:rsid w:val="00CB6600"/>
    <w:rsid w:val="00CB72BC"/>
    <w:rsid w:val="00CC1A85"/>
    <w:rsid w:val="00CC1B74"/>
    <w:rsid w:val="00CC5256"/>
    <w:rsid w:val="00CC64A1"/>
    <w:rsid w:val="00CC6D23"/>
    <w:rsid w:val="00CD154E"/>
    <w:rsid w:val="00CD1CF3"/>
    <w:rsid w:val="00CD2C42"/>
    <w:rsid w:val="00CD6EF0"/>
    <w:rsid w:val="00CD70D6"/>
    <w:rsid w:val="00CE19E0"/>
    <w:rsid w:val="00CE502A"/>
    <w:rsid w:val="00CE751F"/>
    <w:rsid w:val="00CE76E4"/>
    <w:rsid w:val="00CF446A"/>
    <w:rsid w:val="00CF72BC"/>
    <w:rsid w:val="00D00C19"/>
    <w:rsid w:val="00D024B3"/>
    <w:rsid w:val="00D02B5F"/>
    <w:rsid w:val="00D0402D"/>
    <w:rsid w:val="00D0614B"/>
    <w:rsid w:val="00D07071"/>
    <w:rsid w:val="00D10D7A"/>
    <w:rsid w:val="00D1435F"/>
    <w:rsid w:val="00D22BBC"/>
    <w:rsid w:val="00D23BFA"/>
    <w:rsid w:val="00D24F7F"/>
    <w:rsid w:val="00D2558C"/>
    <w:rsid w:val="00D34EC9"/>
    <w:rsid w:val="00D34F65"/>
    <w:rsid w:val="00D43E4E"/>
    <w:rsid w:val="00D45339"/>
    <w:rsid w:val="00D46CDF"/>
    <w:rsid w:val="00D47973"/>
    <w:rsid w:val="00D47BBD"/>
    <w:rsid w:val="00D5015A"/>
    <w:rsid w:val="00D51A0D"/>
    <w:rsid w:val="00D52494"/>
    <w:rsid w:val="00D557CE"/>
    <w:rsid w:val="00D55DD3"/>
    <w:rsid w:val="00D5642F"/>
    <w:rsid w:val="00D56C42"/>
    <w:rsid w:val="00D621E0"/>
    <w:rsid w:val="00D642D8"/>
    <w:rsid w:val="00D67814"/>
    <w:rsid w:val="00D67CFF"/>
    <w:rsid w:val="00D70520"/>
    <w:rsid w:val="00D71A14"/>
    <w:rsid w:val="00D71ED4"/>
    <w:rsid w:val="00D7202D"/>
    <w:rsid w:val="00D75640"/>
    <w:rsid w:val="00D82762"/>
    <w:rsid w:val="00D831D6"/>
    <w:rsid w:val="00D91B2A"/>
    <w:rsid w:val="00D91BD0"/>
    <w:rsid w:val="00D92AD9"/>
    <w:rsid w:val="00D92F36"/>
    <w:rsid w:val="00D93A87"/>
    <w:rsid w:val="00D94003"/>
    <w:rsid w:val="00D96660"/>
    <w:rsid w:val="00D96B88"/>
    <w:rsid w:val="00D9706A"/>
    <w:rsid w:val="00D97B66"/>
    <w:rsid w:val="00DA0591"/>
    <w:rsid w:val="00DA095A"/>
    <w:rsid w:val="00DA2460"/>
    <w:rsid w:val="00DA35B4"/>
    <w:rsid w:val="00DA43E2"/>
    <w:rsid w:val="00DA6616"/>
    <w:rsid w:val="00DA6BC8"/>
    <w:rsid w:val="00DA77F9"/>
    <w:rsid w:val="00DB1A4B"/>
    <w:rsid w:val="00DB27C1"/>
    <w:rsid w:val="00DB3C9D"/>
    <w:rsid w:val="00DB49C3"/>
    <w:rsid w:val="00DB541C"/>
    <w:rsid w:val="00DB651C"/>
    <w:rsid w:val="00DB718D"/>
    <w:rsid w:val="00DC05EB"/>
    <w:rsid w:val="00DC138B"/>
    <w:rsid w:val="00DC25B6"/>
    <w:rsid w:val="00DC74A6"/>
    <w:rsid w:val="00DC7F5E"/>
    <w:rsid w:val="00DD1F33"/>
    <w:rsid w:val="00DD3661"/>
    <w:rsid w:val="00DD43A8"/>
    <w:rsid w:val="00DD64BF"/>
    <w:rsid w:val="00DD6C08"/>
    <w:rsid w:val="00DE183E"/>
    <w:rsid w:val="00DE1BFD"/>
    <w:rsid w:val="00DE2D05"/>
    <w:rsid w:val="00DE55EE"/>
    <w:rsid w:val="00DE6FB8"/>
    <w:rsid w:val="00DF13AF"/>
    <w:rsid w:val="00DF2E8F"/>
    <w:rsid w:val="00DF6BED"/>
    <w:rsid w:val="00DF7A56"/>
    <w:rsid w:val="00E0036A"/>
    <w:rsid w:val="00E02E57"/>
    <w:rsid w:val="00E02E5D"/>
    <w:rsid w:val="00E04343"/>
    <w:rsid w:val="00E05F2A"/>
    <w:rsid w:val="00E06A58"/>
    <w:rsid w:val="00E07B67"/>
    <w:rsid w:val="00E11263"/>
    <w:rsid w:val="00E12BB6"/>
    <w:rsid w:val="00E1632D"/>
    <w:rsid w:val="00E168D3"/>
    <w:rsid w:val="00E20247"/>
    <w:rsid w:val="00E20D70"/>
    <w:rsid w:val="00E21A27"/>
    <w:rsid w:val="00E23718"/>
    <w:rsid w:val="00E23962"/>
    <w:rsid w:val="00E270B8"/>
    <w:rsid w:val="00E3060E"/>
    <w:rsid w:val="00E31165"/>
    <w:rsid w:val="00E34E26"/>
    <w:rsid w:val="00E352D3"/>
    <w:rsid w:val="00E36EE7"/>
    <w:rsid w:val="00E376D3"/>
    <w:rsid w:val="00E438B0"/>
    <w:rsid w:val="00E45EA5"/>
    <w:rsid w:val="00E517E2"/>
    <w:rsid w:val="00E51DE0"/>
    <w:rsid w:val="00E55C3D"/>
    <w:rsid w:val="00E60DAB"/>
    <w:rsid w:val="00E63382"/>
    <w:rsid w:val="00E64092"/>
    <w:rsid w:val="00E66174"/>
    <w:rsid w:val="00E7003A"/>
    <w:rsid w:val="00E70AE6"/>
    <w:rsid w:val="00E70BC3"/>
    <w:rsid w:val="00E70FC6"/>
    <w:rsid w:val="00E725DF"/>
    <w:rsid w:val="00E7345A"/>
    <w:rsid w:val="00E73E6C"/>
    <w:rsid w:val="00E844CF"/>
    <w:rsid w:val="00E84AB8"/>
    <w:rsid w:val="00E8530C"/>
    <w:rsid w:val="00E931BD"/>
    <w:rsid w:val="00E9466F"/>
    <w:rsid w:val="00E9519E"/>
    <w:rsid w:val="00EA0CCE"/>
    <w:rsid w:val="00EA1E39"/>
    <w:rsid w:val="00EA28CE"/>
    <w:rsid w:val="00EA3114"/>
    <w:rsid w:val="00EA41AA"/>
    <w:rsid w:val="00EA4A8F"/>
    <w:rsid w:val="00EA4BD0"/>
    <w:rsid w:val="00EA7925"/>
    <w:rsid w:val="00EB027B"/>
    <w:rsid w:val="00EB1234"/>
    <w:rsid w:val="00EB33B0"/>
    <w:rsid w:val="00EC4F1B"/>
    <w:rsid w:val="00EC6354"/>
    <w:rsid w:val="00EC6F32"/>
    <w:rsid w:val="00ED028F"/>
    <w:rsid w:val="00ED0334"/>
    <w:rsid w:val="00ED0CB8"/>
    <w:rsid w:val="00ED6D8E"/>
    <w:rsid w:val="00ED72E9"/>
    <w:rsid w:val="00ED72EC"/>
    <w:rsid w:val="00EE43E6"/>
    <w:rsid w:val="00EE675D"/>
    <w:rsid w:val="00EF0F27"/>
    <w:rsid w:val="00EF4A6F"/>
    <w:rsid w:val="00EF6D41"/>
    <w:rsid w:val="00F03428"/>
    <w:rsid w:val="00F037D5"/>
    <w:rsid w:val="00F03862"/>
    <w:rsid w:val="00F0564B"/>
    <w:rsid w:val="00F11829"/>
    <w:rsid w:val="00F164A9"/>
    <w:rsid w:val="00F17AAA"/>
    <w:rsid w:val="00F2085B"/>
    <w:rsid w:val="00F21949"/>
    <w:rsid w:val="00F24987"/>
    <w:rsid w:val="00F278C3"/>
    <w:rsid w:val="00F3745B"/>
    <w:rsid w:val="00F37D5E"/>
    <w:rsid w:val="00F37F6C"/>
    <w:rsid w:val="00F40CC9"/>
    <w:rsid w:val="00F44054"/>
    <w:rsid w:val="00F443BF"/>
    <w:rsid w:val="00F463EE"/>
    <w:rsid w:val="00F50173"/>
    <w:rsid w:val="00F56C67"/>
    <w:rsid w:val="00F61E67"/>
    <w:rsid w:val="00F6457E"/>
    <w:rsid w:val="00F646B2"/>
    <w:rsid w:val="00F656AA"/>
    <w:rsid w:val="00F657DF"/>
    <w:rsid w:val="00F65909"/>
    <w:rsid w:val="00F67775"/>
    <w:rsid w:val="00F7191F"/>
    <w:rsid w:val="00F721BA"/>
    <w:rsid w:val="00F72A90"/>
    <w:rsid w:val="00F73EE8"/>
    <w:rsid w:val="00F77E1E"/>
    <w:rsid w:val="00F80A65"/>
    <w:rsid w:val="00F825D8"/>
    <w:rsid w:val="00F82B9A"/>
    <w:rsid w:val="00F907B6"/>
    <w:rsid w:val="00F9133E"/>
    <w:rsid w:val="00F9134E"/>
    <w:rsid w:val="00F93C45"/>
    <w:rsid w:val="00F94F7E"/>
    <w:rsid w:val="00F96D96"/>
    <w:rsid w:val="00F974CF"/>
    <w:rsid w:val="00FA08C1"/>
    <w:rsid w:val="00FA0CAE"/>
    <w:rsid w:val="00FA2417"/>
    <w:rsid w:val="00FA3330"/>
    <w:rsid w:val="00FA34FB"/>
    <w:rsid w:val="00FA44F3"/>
    <w:rsid w:val="00FB0D3A"/>
    <w:rsid w:val="00FB153F"/>
    <w:rsid w:val="00FB1768"/>
    <w:rsid w:val="00FB1AF0"/>
    <w:rsid w:val="00FB2487"/>
    <w:rsid w:val="00FB29C4"/>
    <w:rsid w:val="00FB7ED5"/>
    <w:rsid w:val="00FC1F23"/>
    <w:rsid w:val="00FC3A25"/>
    <w:rsid w:val="00FC3FF8"/>
    <w:rsid w:val="00FC7199"/>
    <w:rsid w:val="00FD3336"/>
    <w:rsid w:val="00FD6C5D"/>
    <w:rsid w:val="00FD732A"/>
    <w:rsid w:val="00FD77C0"/>
    <w:rsid w:val="00FE336E"/>
    <w:rsid w:val="00FE3C91"/>
    <w:rsid w:val="00FE48B5"/>
    <w:rsid w:val="00FE5DA4"/>
    <w:rsid w:val="00FE7396"/>
    <w:rsid w:val="00FF0B66"/>
    <w:rsid w:val="00FF390B"/>
    <w:rsid w:val="00FF6BA2"/>
    <w:rsid w:val="0ED3796C"/>
    <w:rsid w:val="0FA7589A"/>
    <w:rsid w:val="2F90780B"/>
    <w:rsid w:val="3D866F5F"/>
    <w:rsid w:val="3DA27AEF"/>
    <w:rsid w:val="40357225"/>
    <w:rsid w:val="4453331F"/>
    <w:rsid w:val="48EC789E"/>
    <w:rsid w:val="55FA6FB9"/>
    <w:rsid w:val="640F7B0F"/>
    <w:rsid w:val="64A530D4"/>
    <w:rsid w:val="69711F72"/>
    <w:rsid w:val="69F57FE6"/>
    <w:rsid w:val="6E8675B7"/>
    <w:rsid w:val="735C549D"/>
    <w:rsid w:val="7A904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7"/>
    <w:qFormat/>
    <w:uiPriority w:val="0"/>
    <w:pPr>
      <w:keepNext/>
      <w:keepLines/>
      <w:adjustRightInd w:val="0"/>
      <w:spacing w:before="260" w:after="260" w:line="416" w:lineRule="auto"/>
      <w:outlineLvl w:val="1"/>
    </w:pPr>
    <w:rPr>
      <w:rFonts w:ascii="Arial" w:hAnsi="Arial" w:eastAsia="黑体" w:cs="Times New Roman"/>
      <w:b/>
      <w:bCs/>
      <w:sz w:val="32"/>
      <w:szCs w:val="32"/>
    </w:rPr>
  </w:style>
  <w:style w:type="paragraph" w:styleId="3">
    <w:name w:val="heading 3"/>
    <w:basedOn w:val="1"/>
    <w:next w:val="1"/>
    <w:link w:val="28"/>
    <w:qFormat/>
    <w:uiPriority w:val="0"/>
    <w:pPr>
      <w:keepNext/>
      <w:keepLines/>
      <w:adjustRightInd w:val="0"/>
      <w:spacing w:before="260" w:after="260" w:line="416" w:lineRule="auto"/>
      <w:outlineLvl w:val="2"/>
    </w:pPr>
    <w:rPr>
      <w:rFonts w:ascii="Calibri" w:hAnsi="Calibri" w:eastAsia="宋体" w:cs="Times New Roman"/>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pPr>
      <w:spacing w:after="120"/>
    </w:pPr>
    <w:rPr>
      <w:rFonts w:ascii="等线" w:hAnsi="等线" w:eastAsia="等线" w:cs="Times New Roman"/>
    </w:rPr>
  </w:style>
  <w:style w:type="paragraph" w:styleId="5">
    <w:name w:val="Body Text Indent"/>
    <w:basedOn w:val="1"/>
    <w:next w:val="1"/>
    <w:qFormat/>
    <w:uiPriority w:val="0"/>
    <w:pPr>
      <w:ind w:firstLine="720" w:firstLineChars="257"/>
    </w:pPr>
    <w:rPr>
      <w:sz w:val="28"/>
    </w:rPr>
  </w:style>
  <w:style w:type="paragraph" w:styleId="6">
    <w:name w:val="footer"/>
    <w:basedOn w:val="1"/>
    <w:link w:val="13"/>
    <w:autoRedefine/>
    <w:unhideWhenUsed/>
    <w:qFormat/>
    <w:uiPriority w:val="99"/>
    <w:pPr>
      <w:tabs>
        <w:tab w:val="center" w:pos="4153"/>
        <w:tab w:val="right" w:pos="8306"/>
      </w:tabs>
      <w:snapToGrid w:val="0"/>
      <w:jc w:val="left"/>
    </w:pPr>
    <w:rPr>
      <w:sz w:val="18"/>
      <w:szCs w:val="18"/>
    </w:rPr>
  </w:style>
  <w:style w:type="paragraph" w:styleId="7">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39"/>
    <w:pPr>
      <w:spacing w:after="80"/>
      <w:jc w:val="both"/>
    </w:pPr>
    <w:rPr>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customStyle="1" w:styleId="12">
    <w:name w:val="页眉 字符"/>
    <w:basedOn w:val="10"/>
    <w:link w:val="7"/>
    <w:autoRedefine/>
    <w:qFormat/>
    <w:uiPriority w:val="99"/>
    <w:rPr>
      <w:sz w:val="18"/>
      <w:szCs w:val="18"/>
    </w:rPr>
  </w:style>
  <w:style w:type="character" w:customStyle="1" w:styleId="13">
    <w:name w:val="页脚 字符"/>
    <w:basedOn w:val="10"/>
    <w:link w:val="6"/>
    <w:autoRedefine/>
    <w:qFormat/>
    <w:uiPriority w:val="99"/>
    <w:rPr>
      <w:sz w:val="18"/>
      <w:szCs w:val="18"/>
    </w:rPr>
  </w:style>
  <w:style w:type="paragraph" w:customStyle="1" w:styleId="14">
    <w:name w:val="段"/>
    <w:link w:val="15"/>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character" w:customStyle="1" w:styleId="15">
    <w:name w:val="段 Char"/>
    <w:link w:val="14"/>
    <w:autoRedefine/>
    <w:qFormat/>
    <w:uiPriority w:val="0"/>
    <w:rPr>
      <w:rFonts w:ascii="宋体" w:hAnsi="Calibri" w:eastAsia="宋体" w:cs="Times New Roman"/>
      <w:kern w:val="0"/>
      <w:szCs w:val="20"/>
    </w:rPr>
  </w:style>
  <w:style w:type="paragraph" w:customStyle="1" w:styleId="16">
    <w:name w:val="标准文件_段"/>
    <w:link w:val="2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
    <w:name w:val="标准文件_二级条标题"/>
    <w:next w:val="16"/>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8">
    <w:name w:val="标准文件_三级条标题"/>
    <w:basedOn w:val="17"/>
    <w:next w:val="16"/>
    <w:qFormat/>
    <w:uiPriority w:val="0"/>
    <w:pPr>
      <w:widowControl/>
      <w:numPr>
        <w:ilvl w:val="4"/>
      </w:numPr>
      <w:outlineLvl w:val="3"/>
    </w:pPr>
  </w:style>
  <w:style w:type="paragraph" w:customStyle="1" w:styleId="19">
    <w:name w:val="标准文件_四级条标题"/>
    <w:next w:val="16"/>
    <w:qFormat/>
    <w:uiPriority w:val="0"/>
    <w:pPr>
      <w:widowControl w:val="0"/>
      <w:numPr>
        <w:ilvl w:val="5"/>
        <w:numId w:val="1"/>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20">
    <w:name w:val="标准文件_五级条标题"/>
    <w:next w:val="16"/>
    <w:qFormat/>
    <w:uiPriority w:val="0"/>
    <w:pPr>
      <w:widowControl w:val="0"/>
      <w:numPr>
        <w:ilvl w:val="6"/>
        <w:numId w:val="1"/>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21">
    <w:name w:val="标准文件_章标题"/>
    <w:next w:val="16"/>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2">
    <w:name w:val="标准文件_一级条标题"/>
    <w:basedOn w:val="21"/>
    <w:next w:val="16"/>
    <w:qFormat/>
    <w:uiPriority w:val="0"/>
    <w:pPr>
      <w:numPr>
        <w:ilvl w:val="2"/>
      </w:numPr>
      <w:spacing w:before="50" w:beforeLines="50" w:after="50" w:afterLines="50"/>
      <w:outlineLvl w:val="1"/>
    </w:pPr>
  </w:style>
  <w:style w:type="paragraph" w:customStyle="1" w:styleId="23">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character" w:customStyle="1" w:styleId="24">
    <w:name w:val="标准文件_段 Char"/>
    <w:link w:val="16"/>
    <w:qFormat/>
    <w:uiPriority w:val="0"/>
    <w:rPr>
      <w:rFonts w:ascii="宋体"/>
      <w:sz w:val="21"/>
    </w:rPr>
  </w:style>
  <w:style w:type="paragraph" w:customStyle="1" w:styleId="25">
    <w:name w:val="标准文件_术语条一"/>
    <w:basedOn w:val="1"/>
    <w:next w:val="16"/>
    <w:qFormat/>
    <w:uiPriority w:val="0"/>
    <w:pPr>
      <w:widowControl/>
      <w:numPr>
        <w:ilvl w:val="2"/>
        <w:numId w:val="2"/>
      </w:numPr>
    </w:pPr>
    <w:rPr>
      <w:rFonts w:ascii="宋体" w:hAnsi="Times New Roman" w:eastAsia="宋体" w:cs="Times New Roman"/>
      <w:kern w:val="0"/>
      <w:szCs w:val="20"/>
    </w:rPr>
  </w:style>
  <w:style w:type="character" w:customStyle="1" w:styleId="26">
    <w:name w:val="未处理的提及1"/>
    <w:basedOn w:val="10"/>
    <w:semiHidden/>
    <w:unhideWhenUsed/>
    <w:qFormat/>
    <w:uiPriority w:val="99"/>
    <w:rPr>
      <w:color w:val="605E5C"/>
      <w:shd w:val="clear" w:color="auto" w:fill="E1DFDD"/>
    </w:rPr>
  </w:style>
  <w:style w:type="character" w:customStyle="1" w:styleId="27">
    <w:name w:val="标题 2 字符"/>
    <w:basedOn w:val="10"/>
    <w:link w:val="2"/>
    <w:qFormat/>
    <w:uiPriority w:val="0"/>
    <w:rPr>
      <w:rFonts w:ascii="Arial" w:hAnsi="Arial" w:eastAsia="黑体"/>
      <w:b/>
      <w:bCs/>
      <w:kern w:val="2"/>
      <w:sz w:val="32"/>
      <w:szCs w:val="32"/>
    </w:rPr>
  </w:style>
  <w:style w:type="character" w:customStyle="1" w:styleId="28">
    <w:name w:val="标题 3 字符"/>
    <w:basedOn w:val="10"/>
    <w:link w:val="3"/>
    <w:qFormat/>
    <w:uiPriority w:val="0"/>
    <w:rPr>
      <w:rFonts w:ascii="Calibri" w:hAnsi="Calibr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12880</Words>
  <Characters>15234</Characters>
  <Lines>644</Lines>
  <Paragraphs>602</Paragraphs>
  <TotalTime>7</TotalTime>
  <ScaleCrop>false</ScaleCrop>
  <LinksUpToDate>false</LinksUpToDate>
  <CharactersWithSpaces>15713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2025-06-04T01:54:00Z</dcterms:created>
  <dc:creator>CLMB</dc:creator>
  <cp:lastModifiedBy>无奈若何</cp:lastModifiedBy>
  <cp:lastPrinted>2020-05-07T00:59:00Z</cp:lastPrinted>
  <dcterms:modified xsi:type="dcterms:W3CDTF">2025-07-31T07:12:07Z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7EFB04853A4F4AA18F5F04452C68F5AE_12</vt:lpwstr>
  </property>
  <property fmtid="{D5CDD505-2E9C-101B-9397-08002B2CF9AE}" pid="4" name="KSOTemplateDocerSaveRecord">
    <vt:lpwstr>eyJoZGlkIjoiMzNiYjliNTIwYWUxZWFjNGFlYTA1NmQzNGFlNzc3MDQiLCJ1c2VySWQiOiI1MzI3MzY5OTMifQ==</vt:lpwstr>
  </property>
</Properties>
</file>