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rPr>
          <w:rFonts w:ascii="仿宋_GB2312" w:eastAsia="仿宋_GB2312"/>
          <w:sz w:val="30"/>
          <w:szCs w:val="30"/>
        </w:r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bookmarkStart w:id="0" w:name="SectionMark0"/>
      <w:r>
        <w:rPr>
          <w:rFonts w:hint="eastAsia" w:ascii="仿宋_GB2312"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3" name="直线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2" o:spid="_x0000_s1026" o:spt="20" style="position:absolute;left:0pt;margin-left:0pt;margin-top:700pt;height:0pt;width:482pt;z-index:251668480;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bDfv7VAAAACgEAAA8AAAAAAAAAAQAgAAAAIgAAAGRycy9kb3ducmV2Lnht&#10;bFBLAQIUABQAAAAIAIdO4kD11poiwwEAAIMDAAAOAAAAAAAAAAEAIAAAACQBAABkcnMvZTJvRG9j&#10;LnhtbFBLBQYAAAAABgAGAFkBAABZBQAAAAA=&#10;">
                <v:fill on="f" focussize="0,0"/>
                <v:stroke weight="1pt" color="#000000 [3213]"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7"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pt;height:0pt;width:482pt;z-index:251667456;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6moVtYAAAAIAQAADwAAAAAAAAABACAAAAAiAAAAZHJzL2Rvd25yZXYu&#10;eG1sUEsBAhQAFAAAAAgAh07iQHZee3HEAQAAggMAAA4AAAAAAAAAAQAgAAAAJQEAAGRycy9lMm9E&#10;b2MueG1sUEsFBgAAAAAGAAYAWQEAAFsFAAAAAA==&#10;">
                <v:fill on="f" focussize="0,0"/>
                <v:stroke weight="1pt" color="#000000 [3213]"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w="9525">
                          <a:noFill/>
                        </a:ln>
                      </wps:spPr>
                      <wps:txbx>
                        <w:txbxContent>
                          <w:p>
                            <w:pPr>
                              <w:pStyle w:val="18"/>
                              <w:rPr>
                                <w:b w:val="0"/>
                                <w:bCs/>
                                <w:sz w:val="30"/>
                                <w:szCs w:val="30"/>
                              </w:rPr>
                            </w:pPr>
                            <w:r>
                              <w:rPr>
                                <w:rFonts w:hint="eastAsia" w:asciiTheme="majorEastAsia" w:hAnsiTheme="majorEastAsia" w:eastAsiaTheme="majorEastAsia" w:cstheme="majorEastAsia"/>
                                <w:b w:val="0"/>
                                <w:bCs/>
                                <w:sz w:val="30"/>
                                <w:szCs w:val="30"/>
                              </w:rPr>
                              <w:t>青海省冬虫夏草协会</w:t>
                            </w:r>
                            <w:r>
                              <w:rPr>
                                <w:rFonts w:hint="eastAsia"/>
                              </w:rPr>
                              <w:t xml:space="preserve"> </w:t>
                            </w:r>
                            <w:r>
                              <w:t xml:space="preserve"> </w:t>
                            </w:r>
                            <w:r>
                              <w:rPr>
                                <w:rStyle w:val="19"/>
                                <w:rFonts w:hint="eastAsia"/>
                              </w:rPr>
                              <w:t xml:space="preserve"> </w:t>
                            </w:r>
                            <w:r>
                              <w:rPr>
                                <w:rStyle w:val="19"/>
                                <w:rFonts w:hint="eastAsia"/>
                                <w:b w:val="0"/>
                                <w:bCs/>
                                <w:sz w:val="30"/>
                                <w:szCs w:val="30"/>
                              </w:rPr>
                              <w:t>发布</w:t>
                            </w:r>
                          </w:p>
                        </w:txbxContent>
                      </wps:txbx>
                      <wps:bodyPr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lWBuvYAAAA&#10;CgEAAA8AAAAAAAAAAQAgAAAAIgAAAGRycy9kb3ducmV2LnhtbFBLAQIUABQAAAAIAIdO4kDm80Rv&#10;qwEAAFMDAAAOAAAAAAAAAAEAIAAAACcBAABkcnMvZTJvRG9jLnhtbFBLBQYAAAAABgAGAFkBAABE&#10;BQAAAAA=&#10;">
                <v:fill on="t" focussize="0,0"/>
                <v:stroke on="f"/>
                <v:imagedata o:title=""/>
                <o:lock v:ext="edit" aspectratio="f"/>
                <v:textbox inset="0mm,0mm,0mm,0mm">
                  <w:txbxContent>
                    <w:p>
                      <w:pPr>
                        <w:pStyle w:val="18"/>
                        <w:rPr>
                          <w:b w:val="0"/>
                          <w:bCs/>
                          <w:sz w:val="30"/>
                          <w:szCs w:val="30"/>
                        </w:rPr>
                      </w:pPr>
                      <w:r>
                        <w:rPr>
                          <w:rFonts w:hint="eastAsia" w:asciiTheme="majorEastAsia" w:hAnsiTheme="majorEastAsia" w:eastAsiaTheme="majorEastAsia" w:cstheme="majorEastAsia"/>
                          <w:b w:val="0"/>
                          <w:bCs/>
                          <w:sz w:val="30"/>
                          <w:szCs w:val="30"/>
                        </w:rPr>
                        <w:t>青海省冬虫夏草协会</w:t>
                      </w:r>
                      <w:r>
                        <w:rPr>
                          <w:rFonts w:hint="eastAsia"/>
                        </w:rPr>
                        <w:t xml:space="preserve"> </w:t>
                      </w:r>
                      <w:r>
                        <w:t xml:space="preserve"> </w:t>
                      </w:r>
                      <w:r>
                        <w:rPr>
                          <w:rStyle w:val="19"/>
                          <w:rFonts w:hint="eastAsia"/>
                        </w:rPr>
                        <w:t xml:space="preserve"> </w:t>
                      </w:r>
                      <w:r>
                        <w:rPr>
                          <w:rStyle w:val="19"/>
                          <w:rFonts w:hint="eastAsia"/>
                          <w:b w:val="0"/>
                          <w:bCs/>
                          <w:sz w:val="30"/>
                          <w:szCs w:val="30"/>
                        </w:rPr>
                        <w:t>发布</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5408" behindDoc="0" locked="1" layoutInCell="1" allowOverlap="1">
                <wp:simplePos x="0" y="0"/>
                <wp:positionH relativeFrom="margin">
                  <wp:posOffset>4015105</wp:posOffset>
                </wp:positionH>
                <wp:positionV relativeFrom="margin">
                  <wp:posOffset>8535035</wp:posOffset>
                </wp:positionV>
                <wp:extent cx="2143125" cy="312420"/>
                <wp:effectExtent l="0" t="0" r="9525" b="11430"/>
                <wp:wrapNone/>
                <wp:docPr id="10" name="fmFrame6"/>
                <wp:cNvGraphicFramePr/>
                <a:graphic xmlns:a="http://schemas.openxmlformats.org/drawingml/2006/main">
                  <a:graphicData uri="http://schemas.microsoft.com/office/word/2010/wordprocessingShape">
                    <wps:wsp>
                      <wps:cNvSpPr txBox="1"/>
                      <wps:spPr>
                        <a:xfrm>
                          <a:off x="0" y="0"/>
                          <a:ext cx="2143125" cy="312420"/>
                        </a:xfrm>
                        <a:prstGeom prst="rect">
                          <a:avLst/>
                        </a:prstGeom>
                        <a:solidFill>
                          <a:srgbClr val="FFFFFF"/>
                        </a:solidFill>
                        <a:ln w="9525">
                          <a:noFill/>
                        </a:ln>
                      </wps:spPr>
                      <wps:txbx>
                        <w:txbxContent>
                          <w:p>
                            <w:pPr>
                              <w:pStyle w:val="20"/>
                              <w:ind w:right="560"/>
                              <w:jc w:val="both"/>
                              <w:rPr>
                                <w:sz w:val="30"/>
                                <w:szCs w:val="30"/>
                              </w:rPr>
                            </w:pPr>
                            <w:r>
                              <w:rPr>
                                <w:rFonts w:ascii="Times New Roman" w:hAnsi="Times New Roman" w:cs="Times New Roman" w:eastAsiaTheme="minorEastAsia"/>
                                <w:sz w:val="30"/>
                                <w:szCs w:val="30"/>
                              </w:rPr>
                              <w:t>2025</w:t>
                            </w:r>
                            <w:r>
                              <w:rPr>
                                <w:rFonts w:hint="eastAsia" w:asciiTheme="minorEastAsia" w:hAnsiTheme="minorEastAsia" w:eastAsiaTheme="minorEastAsia" w:cstheme="minorEastAsia"/>
                                <w:sz w:val="30"/>
                                <w:szCs w:val="30"/>
                              </w:rPr>
                              <w:t>年</w:t>
                            </w:r>
                            <w:r>
                              <w:rPr>
                                <w:rFonts w:ascii="Times New Roman" w:hAnsi="Times New Roman" w:cs="Times New Roman" w:eastAsiaTheme="minorEastAsia"/>
                                <w:sz w:val="30"/>
                                <w:szCs w:val="30"/>
                              </w:rPr>
                              <w:t>9</w:t>
                            </w:r>
                            <w:r>
                              <w:rPr>
                                <w:rFonts w:hint="eastAsia" w:asciiTheme="minorEastAsia" w:hAnsiTheme="minorEastAsia" w:eastAsiaTheme="minorEastAsia" w:cstheme="minorEastAsia"/>
                                <w:sz w:val="30"/>
                                <w:szCs w:val="30"/>
                              </w:rPr>
                              <w:t>月</w:t>
                            </w:r>
                            <w:r>
                              <w:rPr>
                                <w:rFonts w:ascii="Times New Roman" w:hAnsi="Times New Roman" w:cs="Times New Roman" w:eastAsiaTheme="minorEastAsia"/>
                                <w:sz w:val="30"/>
                                <w:szCs w:val="30"/>
                              </w:rPr>
                              <w:t>1</w:t>
                            </w:r>
                            <w:r>
                              <w:rPr>
                                <w:rFonts w:hint="eastAsia" w:asciiTheme="minorEastAsia" w:hAnsiTheme="minorEastAsia" w:eastAsiaTheme="minorEastAsia" w:cstheme="minorEastAsia"/>
                                <w:sz w:val="30"/>
                                <w:szCs w:val="30"/>
                              </w:rPr>
                              <w:t>日</w:t>
                            </w:r>
                            <w:r>
                              <w:rPr>
                                <w:rFonts w:ascii="Times New Roman" w:hAnsi="Times New Roman" w:cs="Times New Roman"/>
                                <w:sz w:val="30"/>
                                <w:szCs w:val="30"/>
                              </w:rPr>
                              <w:t xml:space="preserve"> </w:t>
                            </w:r>
                            <w:r>
                              <w:rPr>
                                <w:rFonts w:hint="eastAsia"/>
                                <w:sz w:val="30"/>
                                <w:szCs w:val="30"/>
                              </w:rPr>
                              <w:t>实施</w:t>
                            </w:r>
                          </w:p>
                        </w:txbxContent>
                      </wps:txbx>
                      <wps:bodyPr lIns="0" tIns="0" rIns="0" bIns="0" upright="1"/>
                    </wps:wsp>
                  </a:graphicData>
                </a:graphic>
              </wp:anchor>
            </w:drawing>
          </mc:Choice>
          <mc:Fallback>
            <w:pict>
              <v:shape id="fmFrame6" o:spid="_x0000_s1026" o:spt="202" type="#_x0000_t202" style="position:absolute;left:0pt;margin-left:316.15pt;margin-top:672.05pt;height:24.6pt;width:168.75pt;mso-position-horizontal-relative:margin;mso-position-vertical-relative:margin;z-index:251665408;mso-width-relative:page;mso-height-relative:page;" fillcolor="#FFFFFF" filled="t" stroked="f" coordsize="21600,21600" o:gfxdata="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wLi3doA&#10;AAANAQAADwAAAAAAAAABACAAAAAiAAAAZHJzL2Rvd25yZXYueG1sUEsBAhQAFAAAAAgAh07iQI+q&#10;+u6rAQAAVAMAAA4AAAAAAAAAAQAgAAAAKQEAAGRycy9lMm9Eb2MueG1sUEsFBgAAAAAGAAYAWQEA&#10;AEYFAAAAAA==&#10;">
                <v:fill on="t" focussize="0,0"/>
                <v:stroke on="f"/>
                <v:imagedata o:title=""/>
                <o:lock v:ext="edit" aspectratio="f"/>
                <v:textbox inset="0mm,0mm,0mm,0mm">
                  <w:txbxContent>
                    <w:p>
                      <w:pPr>
                        <w:pStyle w:val="20"/>
                        <w:ind w:right="560"/>
                        <w:jc w:val="both"/>
                        <w:rPr>
                          <w:sz w:val="30"/>
                          <w:szCs w:val="30"/>
                        </w:rPr>
                      </w:pPr>
                      <w:r>
                        <w:rPr>
                          <w:rFonts w:ascii="Times New Roman" w:hAnsi="Times New Roman" w:cs="Times New Roman" w:eastAsiaTheme="minorEastAsia"/>
                          <w:sz w:val="30"/>
                          <w:szCs w:val="30"/>
                        </w:rPr>
                        <w:t>2025</w:t>
                      </w:r>
                      <w:r>
                        <w:rPr>
                          <w:rFonts w:hint="eastAsia" w:asciiTheme="minorEastAsia" w:hAnsiTheme="minorEastAsia" w:eastAsiaTheme="minorEastAsia" w:cstheme="minorEastAsia"/>
                          <w:sz w:val="30"/>
                          <w:szCs w:val="30"/>
                        </w:rPr>
                        <w:t>年</w:t>
                      </w:r>
                      <w:r>
                        <w:rPr>
                          <w:rFonts w:ascii="Times New Roman" w:hAnsi="Times New Roman" w:cs="Times New Roman" w:eastAsiaTheme="minorEastAsia"/>
                          <w:sz w:val="30"/>
                          <w:szCs w:val="30"/>
                        </w:rPr>
                        <w:t>9</w:t>
                      </w:r>
                      <w:r>
                        <w:rPr>
                          <w:rFonts w:hint="eastAsia" w:asciiTheme="minorEastAsia" w:hAnsiTheme="minorEastAsia" w:eastAsiaTheme="minorEastAsia" w:cstheme="minorEastAsia"/>
                          <w:sz w:val="30"/>
                          <w:szCs w:val="30"/>
                        </w:rPr>
                        <w:t>月</w:t>
                      </w:r>
                      <w:r>
                        <w:rPr>
                          <w:rFonts w:ascii="Times New Roman" w:hAnsi="Times New Roman" w:cs="Times New Roman" w:eastAsiaTheme="minorEastAsia"/>
                          <w:sz w:val="30"/>
                          <w:szCs w:val="30"/>
                        </w:rPr>
                        <w:t>1</w:t>
                      </w:r>
                      <w:r>
                        <w:rPr>
                          <w:rFonts w:hint="eastAsia" w:asciiTheme="minorEastAsia" w:hAnsiTheme="minorEastAsia" w:eastAsiaTheme="minorEastAsia" w:cstheme="minorEastAsia"/>
                          <w:sz w:val="30"/>
                          <w:szCs w:val="30"/>
                        </w:rPr>
                        <w:t>日</w:t>
                      </w:r>
                      <w:r>
                        <w:rPr>
                          <w:rFonts w:ascii="Times New Roman" w:hAnsi="Times New Roman" w:cs="Times New Roman"/>
                          <w:sz w:val="30"/>
                          <w:szCs w:val="30"/>
                        </w:rPr>
                        <w:t xml:space="preserve"> </w:t>
                      </w:r>
                      <w:r>
                        <w:rPr>
                          <w:rFonts w:hint="eastAsia"/>
                          <w:sz w:val="30"/>
                          <w:szCs w:val="30"/>
                        </w:rPr>
                        <w:t>实施</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9"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21"/>
                              <w:rPr>
                                <w:sz w:val="30"/>
                                <w:szCs w:val="30"/>
                              </w:rPr>
                            </w:pPr>
                            <w:r>
                              <w:rPr>
                                <w:rFonts w:ascii="Times New Roman" w:hAnsi="Times New Roman" w:cs="Times New Roman" w:eastAsiaTheme="majorEastAsia"/>
                                <w:sz w:val="30"/>
                                <w:szCs w:val="30"/>
                              </w:rPr>
                              <w:t>2025年7月2</w:t>
                            </w:r>
                            <w:r>
                              <w:rPr>
                                <w:rFonts w:hint="eastAsia" w:ascii="Times New Roman" w:hAnsi="Times New Roman" w:cs="Times New Roman" w:eastAsiaTheme="majorEastAsia"/>
                                <w:sz w:val="30"/>
                                <w:szCs w:val="30"/>
                                <w:lang w:val="en-US" w:eastAsia="zh-CN"/>
                              </w:rPr>
                              <w:t>6</w:t>
                            </w:r>
                            <w:r>
                              <w:rPr>
                                <w:rFonts w:ascii="Times New Roman" w:hAnsi="Times New Roman" w:cs="Times New Roman" w:eastAsiaTheme="majorEastAsia"/>
                                <w:sz w:val="30"/>
                                <w:szCs w:val="30"/>
                              </w:rPr>
                              <w:t>日</w:t>
                            </w:r>
                            <w:r>
                              <w:rPr>
                                <w:rFonts w:hint="eastAsia" w:asciiTheme="majorEastAsia" w:hAnsiTheme="majorEastAsia" w:eastAsiaTheme="majorEastAsia" w:cstheme="majorEastAsia"/>
                                <w:sz w:val="30"/>
                                <w:szCs w:val="30"/>
                              </w:rPr>
                              <w:t xml:space="preserve"> </w:t>
                            </w:r>
                            <w:r>
                              <w:rPr>
                                <w:rFonts w:hint="eastAsia"/>
                                <w:sz w:val="30"/>
                                <w:szCs w:val="30"/>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82yojYAAAA&#10;CgEAAA8AAAAAAAAAAQAgAAAAIgAAAGRycy9kb3ducmV2LnhtbFBLAQIUABQAAAAIAIdO4kDPRk8c&#10;qwEAAFMDAAAOAAAAAAAAAAEAIAAAACcBAABkcnMvZTJvRG9jLnhtbFBLBQYAAAAABgAGAFkBAABE&#10;BQAAAAA=&#10;">
                <v:fill on="t" focussize="0,0"/>
                <v:stroke on="f"/>
                <v:imagedata o:title=""/>
                <o:lock v:ext="edit" aspectratio="f"/>
                <v:textbox inset="0mm,0mm,0mm,0mm">
                  <w:txbxContent>
                    <w:p>
                      <w:pPr>
                        <w:pStyle w:val="21"/>
                        <w:rPr>
                          <w:sz w:val="30"/>
                          <w:szCs w:val="30"/>
                        </w:rPr>
                      </w:pPr>
                      <w:r>
                        <w:rPr>
                          <w:rFonts w:ascii="Times New Roman" w:hAnsi="Times New Roman" w:cs="Times New Roman" w:eastAsiaTheme="majorEastAsia"/>
                          <w:sz w:val="30"/>
                          <w:szCs w:val="30"/>
                        </w:rPr>
                        <w:t>2025年7月2</w:t>
                      </w:r>
                      <w:r>
                        <w:rPr>
                          <w:rFonts w:hint="eastAsia" w:ascii="Times New Roman" w:hAnsi="Times New Roman" w:cs="Times New Roman" w:eastAsiaTheme="majorEastAsia"/>
                          <w:sz w:val="30"/>
                          <w:szCs w:val="30"/>
                          <w:lang w:val="en-US" w:eastAsia="zh-CN"/>
                        </w:rPr>
                        <w:t>6</w:t>
                      </w:r>
                      <w:r>
                        <w:rPr>
                          <w:rFonts w:ascii="Times New Roman" w:hAnsi="Times New Roman" w:cs="Times New Roman" w:eastAsiaTheme="majorEastAsia"/>
                          <w:sz w:val="30"/>
                          <w:szCs w:val="30"/>
                        </w:rPr>
                        <w:t>日</w:t>
                      </w:r>
                      <w:r>
                        <w:rPr>
                          <w:rFonts w:hint="eastAsia" w:asciiTheme="majorEastAsia" w:hAnsiTheme="majorEastAsia" w:eastAsiaTheme="majorEastAsia" w:cstheme="majorEastAsia"/>
                          <w:sz w:val="30"/>
                          <w:szCs w:val="30"/>
                        </w:rPr>
                        <w:t xml:space="preserve"> </w:t>
                      </w:r>
                      <w:r>
                        <w:rPr>
                          <w:rFonts w:hint="eastAsia"/>
                          <w:sz w:val="30"/>
                          <w:szCs w:val="30"/>
                        </w:rPr>
                        <w:t>发布</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8"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w="9525">
                          <a:noFill/>
                        </a:ln>
                      </wps:spPr>
                      <wps:txbx>
                        <w:txbxContent>
                          <w:p>
                            <w:pPr>
                              <w:pStyle w:val="22"/>
                            </w:pPr>
                          </w:p>
                          <w:p>
                            <w:pPr>
                              <w:pStyle w:val="22"/>
                              <w:rPr>
                                <w:sz w:val="48"/>
                                <w:szCs w:val="48"/>
                              </w:rPr>
                            </w:pPr>
                            <w:r>
                              <w:rPr>
                                <w:rFonts w:hint="eastAsia"/>
                                <w:sz w:val="48"/>
                                <w:szCs w:val="48"/>
                              </w:rPr>
                              <w:t>野生冬虫夏草和人工虫草鉴别技术规程</w:t>
                            </w:r>
                          </w:p>
                          <w:p>
                            <w:pPr>
                              <w:pStyle w:val="23"/>
                              <w:rPr>
                                <w:rFonts w:ascii="黑体" w:eastAsia="黑体"/>
                                <w:sz w:val="52"/>
                              </w:rPr>
                            </w:pPr>
                          </w:p>
                          <w:p>
                            <w:pPr>
                              <w:pStyle w:val="24"/>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V59x2AAA&#10;AAkBAAAPAAAAAAAAAAEAIAAAACIAAABkcnMvZG93bnJldi54bWxQSwECFAAUAAAACACHTuJA2PZA&#10;i6wBAABUAwAADgAAAAAAAAABACAAAAAnAQAAZHJzL2Uyb0RvYy54bWxQSwUGAAAAAAYABgBZAQAA&#10;RQUAAAAA&#10;">
                <v:fill on="t" focussize="0,0"/>
                <v:stroke on="f"/>
                <v:imagedata o:title=""/>
                <o:lock v:ext="edit" aspectratio="f"/>
                <v:textbox inset="0mm,0mm,0mm,0mm">
                  <w:txbxContent>
                    <w:p>
                      <w:pPr>
                        <w:pStyle w:val="22"/>
                      </w:pPr>
                    </w:p>
                    <w:p>
                      <w:pPr>
                        <w:pStyle w:val="22"/>
                        <w:rPr>
                          <w:sz w:val="48"/>
                          <w:szCs w:val="48"/>
                        </w:rPr>
                      </w:pPr>
                      <w:r>
                        <w:rPr>
                          <w:rFonts w:hint="eastAsia"/>
                          <w:sz w:val="48"/>
                          <w:szCs w:val="48"/>
                        </w:rPr>
                        <w:t>野生冬虫夏草和人工虫草鉴别技术规程</w:t>
                      </w:r>
                    </w:p>
                    <w:p>
                      <w:pPr>
                        <w:pStyle w:val="23"/>
                        <w:rPr>
                          <w:rFonts w:ascii="黑体" w:eastAsia="黑体"/>
                          <w:sz w:val="52"/>
                        </w:rPr>
                      </w:pPr>
                    </w:p>
                    <w:p>
                      <w:pPr>
                        <w:pStyle w:val="24"/>
                      </w:pP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2336" behindDoc="0" locked="1" layoutInCell="1" allowOverlap="1">
                <wp:simplePos x="0" y="0"/>
                <wp:positionH relativeFrom="margin">
                  <wp:posOffset>-74930</wp:posOffset>
                </wp:positionH>
                <wp:positionV relativeFrom="margin">
                  <wp:posOffset>1760855</wp:posOffset>
                </wp:positionV>
                <wp:extent cx="6196330" cy="501015"/>
                <wp:effectExtent l="0" t="0" r="13970" b="13335"/>
                <wp:wrapNone/>
                <wp:docPr id="11" name="fmFrame3"/>
                <wp:cNvGraphicFramePr/>
                <a:graphic xmlns:a="http://schemas.openxmlformats.org/drawingml/2006/main">
                  <a:graphicData uri="http://schemas.microsoft.com/office/word/2010/wordprocessingShape">
                    <wps:wsp>
                      <wps:cNvSpPr txBox="1"/>
                      <wps:spPr>
                        <a:xfrm>
                          <a:off x="0" y="0"/>
                          <a:ext cx="6196330" cy="501015"/>
                        </a:xfrm>
                        <a:prstGeom prst="rect">
                          <a:avLst/>
                        </a:prstGeom>
                        <a:solidFill>
                          <a:srgbClr val="FFFFFF"/>
                        </a:solidFill>
                        <a:ln w="9525">
                          <a:noFill/>
                        </a:ln>
                      </wps:spPr>
                      <wps:txbx>
                        <w:txbxContent>
                          <w:p>
                            <w:pPr>
                              <w:pStyle w:val="25"/>
                              <w:wordWrap w:val="0"/>
                              <w:ind w:right="140"/>
                              <w:rPr>
                                <w:rFonts w:hint="eastAsia" w:asciiTheme="minorEastAsia" w:hAnsiTheme="minorEastAsia" w:cstheme="minorEastAsia"/>
                                <w:sz w:val="21"/>
                                <w:szCs w:val="21"/>
                              </w:rPr>
                            </w:pPr>
                            <w:r>
                              <w:rPr>
                                <w:rFonts w:hint="eastAsia" w:asciiTheme="minorEastAsia" w:hAnsiTheme="minorEastAsia" w:cstheme="minorEastAsia"/>
                                <w:sz w:val="21"/>
                                <w:szCs w:val="21"/>
                              </w:rPr>
                              <w:t>T/QCSA 9-2025</w:t>
                            </w:r>
                          </w:p>
                        </w:txbxContent>
                      </wps:txbx>
                      <wps:bodyPr lIns="0" tIns="0" rIns="0" bIns="0" upright="1"/>
                    </wps:wsp>
                  </a:graphicData>
                </a:graphic>
              </wp:anchor>
            </w:drawing>
          </mc:Choice>
          <mc:Fallback>
            <w:pict>
              <v:shape id="fmFrame3" o:spid="_x0000_s1026" o:spt="202" type="#_x0000_t202" style="position:absolute;left:0pt;margin-left:-5.9pt;margin-top:138.65pt;height:39.45pt;width:487.9pt;mso-position-horizontal-relative:margin;mso-position-vertical-relative:margin;z-index:251662336;mso-width-relative:page;mso-height-relative:page;" fillcolor="#FFFFFF" filled="t" stroked="f" coordsize="21600,21600" o:gfxdata="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kVCzaAAAA&#10;CwEAAA8AAAAAAAAAAQAgAAAAIgAAAGRycy9kb3ducmV2LnhtbFBLAQIUABQAAAAIAIdO4kBADvI+&#10;qQEAAFQDAAAOAAAAAAAAAAEAIAAAACkBAABkcnMvZTJvRG9jLnhtbFBLBQYAAAAABgAGAFkBAABE&#10;BQAAAAA=&#10;">
                <v:fill on="t" focussize="0,0"/>
                <v:stroke on="f"/>
                <v:imagedata o:title=""/>
                <o:lock v:ext="edit" aspectratio="f"/>
                <v:textbox inset="0mm,0mm,0mm,0mm">
                  <w:txbxContent>
                    <w:p>
                      <w:pPr>
                        <w:pStyle w:val="25"/>
                        <w:wordWrap w:val="0"/>
                        <w:ind w:right="140"/>
                        <w:rPr>
                          <w:rFonts w:hint="eastAsia" w:asciiTheme="minorEastAsia" w:hAnsiTheme="minorEastAsia" w:cstheme="minorEastAsia"/>
                          <w:sz w:val="21"/>
                          <w:szCs w:val="21"/>
                        </w:rPr>
                      </w:pPr>
                      <w:r>
                        <w:rPr>
                          <w:rFonts w:hint="eastAsia" w:asciiTheme="minorEastAsia" w:hAnsiTheme="minorEastAsia" w:cstheme="minorEastAsia"/>
                          <w:sz w:val="21"/>
                          <w:szCs w:val="21"/>
                        </w:rPr>
                        <w:t>T/QCSA 9-2025</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5"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w="9525">
                          <a:noFill/>
                        </a:ln>
                      </wps:spPr>
                      <wps:txbx>
                        <w:txbxContent>
                          <w:p>
                            <w:pPr>
                              <w:pStyle w:val="26"/>
                            </w:pPr>
                            <w:r>
                              <w:t>T/QCSA</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lZOzzYAAAA&#10;CgEAAA8AAAAAAAAAAQAgAAAAIgAAAGRycy9kb3ducmV2LnhtbFBLAQIUABQAAAAIAIdO4kANOgDK&#10;qwEAAFMDAAAOAAAAAAAAAAEAIAAAACcBAABkcnMvZTJvRG9jLnhtbFBLBQYAAAAABgAGAFkBAABE&#10;BQAAAAA=&#10;">
                <v:fill on="t" focussize="0,0"/>
                <v:stroke on="f"/>
                <v:imagedata o:title=""/>
                <o:lock v:ext="edit" aspectratio="f"/>
                <v:textbox inset="0mm,0mm,0mm,0mm">
                  <w:txbxContent>
                    <w:p>
                      <w:pPr>
                        <w:pStyle w:val="26"/>
                      </w:pPr>
                      <w:r>
                        <w:t>T/QCSA</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655955"/>
                <wp:effectExtent l="0" t="0" r="13970" b="10795"/>
                <wp:wrapNone/>
                <wp:docPr id="12" name="fmFrame2"/>
                <wp:cNvGraphicFramePr/>
                <a:graphic xmlns:a="http://schemas.openxmlformats.org/drawingml/2006/main">
                  <a:graphicData uri="http://schemas.microsoft.com/office/word/2010/wordprocessingShape">
                    <wps:wsp>
                      <wps:cNvSpPr txBox="1"/>
                      <wps:spPr>
                        <a:xfrm>
                          <a:off x="0" y="0"/>
                          <a:ext cx="6120130" cy="655955"/>
                        </a:xfrm>
                        <a:prstGeom prst="rect">
                          <a:avLst/>
                        </a:prstGeom>
                        <a:solidFill>
                          <a:srgbClr val="FFFFFF"/>
                        </a:solidFill>
                        <a:ln w="9525">
                          <a:noFill/>
                        </a:ln>
                      </wps:spPr>
                      <wps:txbx>
                        <w:txbxContent>
                          <w:p>
                            <w:pPr>
                              <w:pStyle w:val="27"/>
                              <w:snapToGrid w:val="0"/>
                              <w:spacing w:line="240" w:lineRule="auto"/>
                              <w:rPr>
                                <w:rFonts w:hint="eastAsia"/>
                                <w:sz w:val="84"/>
                                <w:szCs w:val="84"/>
                              </w:rPr>
                            </w:pPr>
                            <w:r>
                              <w:rPr>
                                <w:rFonts w:hint="eastAsia"/>
                                <w:sz w:val="84"/>
                                <w:szCs w:val="84"/>
                              </w:rPr>
                              <w:t>团体标准</w:t>
                            </w:r>
                          </w:p>
                        </w:txbxContent>
                      </wps:txbx>
                      <wps:bodyPr lIns="0" tIns="0" rIns="0" bIns="0" upright="1"/>
                    </wps:wsp>
                  </a:graphicData>
                </a:graphic>
              </wp:anchor>
            </w:drawing>
          </mc:Choice>
          <mc:Fallback>
            <w:pict>
              <v:shape id="fmFrame2" o:spid="_x0000_s1026" o:spt="202" type="#_x0000_t202" style="position:absolute;left:0pt;margin-left:0pt;margin-top:79.6pt;height:51.65pt;width:481.9pt;mso-position-horizontal-relative:margin;mso-position-vertical-relative:margin;z-index:251660288;mso-width-relative:page;mso-height-relative:page;" fillcolor="#FFFFFF" filled="t" stroked="f" coordsize="21600,21600" o:gfxdata="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uxb6tcAAAAIAQAA&#10;DwAAAAAAAAABACAAAAAiAAAAZHJzL2Rvd25yZXYueG1sUEsBAhQAFAAAAAgAh07iQOXNvGSoAQAA&#10;VAMAAA4AAAAAAAAAAQAgAAAAJgEAAGRycy9lMm9Eb2MueG1sUEsFBgAAAAAGAAYAWQEAAEAFAAAA&#10;AA==&#10;">
                <v:fill on="t" focussize="0,0"/>
                <v:stroke on="f"/>
                <v:imagedata o:title=""/>
                <o:lock v:ext="edit" aspectratio="f"/>
                <v:textbox inset="0mm,0mm,0mm,0mm">
                  <w:txbxContent>
                    <w:p>
                      <w:pPr>
                        <w:pStyle w:val="27"/>
                        <w:snapToGrid w:val="0"/>
                        <w:spacing w:line="240" w:lineRule="auto"/>
                        <w:rPr>
                          <w:rFonts w:hint="eastAsia"/>
                          <w:sz w:val="84"/>
                          <w:szCs w:val="84"/>
                        </w:rPr>
                      </w:pPr>
                      <w:r>
                        <w:rPr>
                          <w:rFonts w:hint="eastAsia"/>
                          <w:sz w:val="84"/>
                          <w:szCs w:val="84"/>
                        </w:rPr>
                        <w:t>团体标准</w:t>
                      </w:r>
                    </w:p>
                  </w:txbxContent>
                </v:textbox>
                <w10:anchorlock/>
              </v:shape>
            </w:pict>
          </mc:Fallback>
        </mc:AlternateContent>
      </w:r>
      <w:r>
        <w:rPr>
          <w:rFonts w:hint="eastAsia" w:ascii="仿宋_GB2312" w:eastAsia="仿宋_GB2312"/>
          <w:sz w:val="30"/>
          <w:szCs w:val="3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4"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ln>
                      </wps:spPr>
                      <wps:txbx>
                        <w:txbxContent>
                          <w:p>
                            <w:pPr>
                              <w:pStyle w:val="2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ICS  11.120.10</w:t>
                            </w:r>
                          </w:p>
                          <w:p>
                            <w:pPr>
                              <w:pStyle w:val="28"/>
                              <w:rPr>
                                <w:rFonts w:hint="eastAsia" w:ascii="黑体" w:hAnsi="黑体"/>
                              </w:rPr>
                            </w:pPr>
                          </w:p>
                          <w:p>
                            <w:pPr>
                              <w:pStyle w:val="28"/>
                              <w:rPr>
                                <w:rFonts w:hint="eastAsia" w:asciiTheme="minorEastAsia" w:hAnsiTheme="minorEastAsia" w:eastAsiaTheme="minorEastAsia" w:cstheme="minorEastAsia"/>
                              </w:rPr>
                            </w:pPr>
                            <w:r>
                              <w:rPr>
                                <w:rFonts w:hint="eastAsia" w:asciiTheme="minorEastAsia" w:hAnsiTheme="minorEastAsia" w:eastAsiaTheme="minorEastAsia" w:cstheme="minorEastAsia"/>
                              </w:rPr>
                              <w:t>CCS C 23</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7Mvg0wAAAAUBAAAP&#10;AAAAAAAAAAEAIAAAACIAAABkcnMvZG93bnJldi54bWxQSwECFAAUAAAACACHTuJAUkS9zKsBAABU&#10;AwAADgAAAAAAAAABACAAAAAiAQAAZHJzL2Uyb0RvYy54bWxQSwUGAAAAAAYABgBZAQAAPwUAAAAA&#10;">
                <v:fill on="t" focussize="0,0"/>
                <v:stroke on="f"/>
                <v:imagedata o:title=""/>
                <o:lock v:ext="edit" aspectratio="f"/>
                <v:textbox inset="0mm,0mm,0mm,0mm">
                  <w:txbxContent>
                    <w:p>
                      <w:pPr>
                        <w:pStyle w:val="2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ICS  11.120.10</w:t>
                      </w:r>
                    </w:p>
                    <w:p>
                      <w:pPr>
                        <w:pStyle w:val="28"/>
                        <w:rPr>
                          <w:rFonts w:hint="eastAsia" w:ascii="黑体" w:hAnsi="黑体"/>
                        </w:rPr>
                      </w:pPr>
                    </w:p>
                    <w:p>
                      <w:pPr>
                        <w:pStyle w:val="28"/>
                        <w:rPr>
                          <w:rFonts w:hint="eastAsia" w:asciiTheme="minorEastAsia" w:hAnsiTheme="minorEastAsia" w:eastAsiaTheme="minorEastAsia" w:cstheme="minorEastAsia"/>
                        </w:rPr>
                      </w:pPr>
                      <w:r>
                        <w:rPr>
                          <w:rFonts w:hint="eastAsia" w:asciiTheme="minorEastAsia" w:hAnsiTheme="minorEastAsia" w:eastAsiaTheme="minorEastAsia" w:cstheme="minorEastAsia"/>
                        </w:rPr>
                        <w:t>CCS C 23</w:t>
                      </w:r>
                    </w:p>
                  </w:txbxContent>
                </v:textbox>
                <w10:anchorlock/>
              </v:shape>
            </w:pict>
          </mc:Fallback>
        </mc:AlternateContent>
      </w:r>
    </w:p>
    <w:bookmarkEnd w:id="0"/>
    <w:p>
      <w:pPr>
        <w:pStyle w:val="11"/>
        <w:rPr>
          <w:rFonts w:ascii="仿宋_GB2312" w:eastAsia="仿宋_GB2312"/>
          <w:szCs w:val="32"/>
        </w:rPr>
      </w:pPr>
      <w:bookmarkStart w:id="1" w:name="SectionMark1"/>
      <w:r>
        <w:rPr>
          <w:rFonts w:hint="eastAsia"/>
          <w:szCs w:val="32"/>
        </w:rPr>
        <w:t>目    次</w:t>
      </w:r>
    </w:p>
    <w:p>
      <w:pPr>
        <w:pStyle w:val="4"/>
        <w:tabs>
          <w:tab w:val="right" w:leader="dot" w:pos="9355"/>
          <w:tab w:val="clear" w:pos="9345"/>
        </w:tabs>
      </w:pPr>
      <w:r>
        <w:rPr>
          <w:rFonts w:hint="eastAsia" w:hAnsi="宋体"/>
        </w:rPr>
        <w:fldChar w:fldCharType="begin"/>
      </w:r>
      <w:r>
        <w:rPr>
          <w:rFonts w:hint="eastAsia" w:hAnsi="宋体"/>
        </w:rPr>
        <w:instrText xml:space="preserve"> TOC \f \h \t "前言、引言标题,附录标识,参考文献、索引标题,章标题,附录章标题" </w:instrText>
      </w:r>
      <w:r>
        <w:rPr>
          <w:rFonts w:hint="eastAsia" w:hAnsi="宋体"/>
        </w:rPr>
        <w:fldChar w:fldCharType="separate"/>
      </w:r>
      <w:r>
        <w:rPr>
          <w:rFonts w:hint="eastAsia" w:hAnsi="宋体"/>
        </w:rPr>
        <w:fldChar w:fldCharType="begin"/>
      </w:r>
      <w:r>
        <w:rPr>
          <w:rFonts w:hint="eastAsia" w:hAnsi="宋体"/>
        </w:rPr>
        <w:instrText xml:space="preserve"> HYPERLINK \l _Toc24592 </w:instrText>
      </w:r>
      <w:r>
        <w:rPr>
          <w:rFonts w:hint="eastAsia" w:hAnsi="宋体"/>
        </w:rPr>
        <w:fldChar w:fldCharType="separate"/>
      </w:r>
      <w:r>
        <w:rPr>
          <w:rFonts w:hint="eastAsia" w:hAnsi="黑体"/>
          <w:szCs w:val="32"/>
        </w:rPr>
        <w:t>前  言</w:t>
      </w:r>
      <w:r>
        <w:tab/>
      </w:r>
      <w:r>
        <w:fldChar w:fldCharType="begin"/>
      </w:r>
      <w:r>
        <w:instrText xml:space="preserve"> PAGEREF _Toc24592 \h </w:instrText>
      </w:r>
      <w:r>
        <w:fldChar w:fldCharType="separate"/>
      </w:r>
      <w:r>
        <w:t>II</w:t>
      </w:r>
      <w:r>
        <w:fldChar w:fldCharType="end"/>
      </w:r>
      <w:r>
        <w:rPr>
          <w:rFonts w:hint="eastAsia" w:hAnsi="宋体"/>
        </w:rPr>
        <w:fldChar w:fldCharType="end"/>
      </w:r>
    </w:p>
    <w:p>
      <w:pPr>
        <w:pStyle w:val="5"/>
        <w:tabs>
          <w:tab w:val="right" w:leader="dot" w:pos="9355"/>
          <w:tab w:val="clear" w:pos="9345"/>
        </w:tabs>
      </w:pPr>
      <w:r>
        <w:rPr>
          <w:rFonts w:hint="eastAsia"/>
        </w:rPr>
        <w:fldChar w:fldCharType="begin"/>
      </w:r>
      <w:r>
        <w:rPr>
          <w:rFonts w:hint="eastAsia"/>
        </w:rPr>
        <w:instrText xml:space="preserve"> HYPERLINK \l _Toc5196 </w:instrText>
      </w:r>
      <w:r>
        <w:rPr>
          <w:rFonts w:hint="eastAsia"/>
        </w:rPr>
        <w:fldChar w:fldCharType="separate"/>
      </w:r>
      <w:r>
        <w:rPr>
          <w:rFonts w:hint="eastAsia" w:ascii="黑体" w:hAnsi="Times New Roman" w:eastAsia="黑体"/>
          <w:i w:val="0"/>
        </w:rPr>
        <w:t xml:space="preserve">1 </w:t>
      </w:r>
      <w:r>
        <w:t>范围</w:t>
      </w:r>
      <w:r>
        <w:tab/>
      </w:r>
      <w:r>
        <w:fldChar w:fldCharType="begin"/>
      </w:r>
      <w:r>
        <w:instrText xml:space="preserve"> PAGEREF _Toc5196 \h </w:instrText>
      </w:r>
      <w:r>
        <w:fldChar w:fldCharType="separate"/>
      </w:r>
      <w:r>
        <w:t>1</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_Toc24095 </w:instrText>
      </w:r>
      <w:r>
        <w:rPr>
          <w:rFonts w:hint="eastAsia"/>
        </w:rPr>
        <w:fldChar w:fldCharType="separate"/>
      </w:r>
      <w:r>
        <w:rPr>
          <w:rFonts w:hint="eastAsia" w:ascii="黑体" w:hAnsi="Times New Roman" w:eastAsia="黑体"/>
          <w:i w:val="0"/>
        </w:rPr>
        <w:t xml:space="preserve">2 </w:t>
      </w:r>
      <w:r>
        <w:t>规范性引用文件</w:t>
      </w:r>
      <w:r>
        <w:tab/>
      </w:r>
      <w:r>
        <w:fldChar w:fldCharType="begin"/>
      </w:r>
      <w:r>
        <w:instrText xml:space="preserve"> PAGEREF _Toc24095 \h </w:instrText>
      </w:r>
      <w:r>
        <w:fldChar w:fldCharType="separate"/>
      </w:r>
      <w:r>
        <w:t>1</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_Toc4483 </w:instrText>
      </w:r>
      <w:r>
        <w:rPr>
          <w:rFonts w:hint="eastAsia"/>
        </w:rPr>
        <w:fldChar w:fldCharType="separate"/>
      </w:r>
      <w:r>
        <w:rPr>
          <w:rFonts w:hint="eastAsia" w:ascii="黑体" w:hAnsi="Times New Roman" w:eastAsia="黑体"/>
          <w:i w:val="0"/>
        </w:rPr>
        <w:t xml:space="preserve">3 </w:t>
      </w:r>
      <w:r>
        <w:t>术语</w:t>
      </w:r>
      <w:r>
        <w:rPr>
          <w:rFonts w:hint="eastAsia"/>
        </w:rPr>
        <w:t>和</w:t>
      </w:r>
      <w:r>
        <w:t>定义</w:t>
      </w:r>
      <w:r>
        <w:tab/>
      </w:r>
      <w:r>
        <w:fldChar w:fldCharType="begin"/>
      </w:r>
      <w:r>
        <w:instrText xml:space="preserve"> PAGEREF _Toc4483 \h </w:instrText>
      </w:r>
      <w:r>
        <w:fldChar w:fldCharType="separate"/>
      </w:r>
      <w:r>
        <w:t>1</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_Toc14191 </w:instrText>
      </w:r>
      <w:r>
        <w:rPr>
          <w:rFonts w:hint="eastAsia"/>
        </w:rPr>
        <w:fldChar w:fldCharType="separate"/>
      </w:r>
      <w:r>
        <w:rPr>
          <w:rFonts w:hint="eastAsia" w:ascii="黑体" w:hAnsi="Times New Roman" w:eastAsia="黑体"/>
          <w:i w:val="0"/>
        </w:rPr>
        <w:t xml:space="preserve">4 </w:t>
      </w:r>
      <w:r>
        <w:rPr>
          <w:rFonts w:hint="eastAsia"/>
        </w:rPr>
        <w:t>鉴别流程</w:t>
      </w:r>
      <w:r>
        <w:tab/>
      </w:r>
      <w:r>
        <w:fldChar w:fldCharType="begin"/>
      </w:r>
      <w:r>
        <w:instrText xml:space="preserve"> PAGEREF _Toc14191 \h </w:instrText>
      </w:r>
      <w:r>
        <w:fldChar w:fldCharType="separate"/>
      </w:r>
      <w:r>
        <w:t>1</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_Toc27983 </w:instrText>
      </w:r>
      <w:r>
        <w:rPr>
          <w:rFonts w:hint="eastAsia"/>
        </w:rPr>
        <w:fldChar w:fldCharType="separate"/>
      </w:r>
      <w:r>
        <w:rPr>
          <w:rFonts w:hint="eastAsia" w:ascii="黑体" w:hAnsi="Times New Roman" w:eastAsia="黑体"/>
          <w:i w:val="0"/>
        </w:rPr>
        <w:t xml:space="preserve">5 </w:t>
      </w:r>
      <w:r>
        <w:rPr>
          <w:rFonts w:hint="eastAsia"/>
        </w:rPr>
        <w:t>鉴别方法</w:t>
      </w:r>
      <w:r>
        <w:tab/>
      </w:r>
      <w:r>
        <w:fldChar w:fldCharType="begin"/>
      </w:r>
      <w:r>
        <w:instrText xml:space="preserve"> PAGEREF _Toc27983 \h </w:instrText>
      </w:r>
      <w:r>
        <w:fldChar w:fldCharType="separate"/>
      </w:r>
      <w:r>
        <w:t>2</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_Toc23795 </w:instrText>
      </w:r>
      <w:r>
        <w:rPr>
          <w:rFonts w:hint="eastAsia"/>
        </w:rPr>
        <w:fldChar w:fldCharType="separate"/>
      </w:r>
      <w:r>
        <w:rPr>
          <w:rFonts w:hint="eastAsia" w:ascii="黑体" w:hAnsi="Times New Roman" w:eastAsia="黑体"/>
          <w:i w:val="0"/>
        </w:rPr>
        <w:t xml:space="preserve">6 </w:t>
      </w:r>
      <w:r>
        <w:rPr>
          <w:rFonts w:hint="eastAsia"/>
        </w:rPr>
        <w:t>结果判定</w:t>
      </w:r>
      <w:r>
        <w:tab/>
      </w:r>
      <w:r>
        <w:fldChar w:fldCharType="begin"/>
      </w:r>
      <w:r>
        <w:instrText xml:space="preserve"> PAGEREF _Toc23795 \h </w:instrText>
      </w:r>
      <w:r>
        <w:fldChar w:fldCharType="separate"/>
      </w:r>
      <w:r>
        <w:t>2</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_Toc431 </w:instrText>
      </w:r>
      <w:r>
        <w:rPr>
          <w:rFonts w:hint="eastAsia"/>
        </w:rPr>
        <w:fldChar w:fldCharType="separate"/>
      </w:r>
      <w:r>
        <w:rPr>
          <w:rFonts w:hint="eastAsia" w:ascii="黑体" w:hAnsi="Times New Roman" w:eastAsia="黑体"/>
          <w:i w:val="0"/>
        </w:rPr>
        <w:t xml:space="preserve">7 </w:t>
      </w:r>
      <w:r>
        <w:rPr>
          <w:rFonts w:hint="eastAsia"/>
        </w:rPr>
        <w:t>注意事项</w:t>
      </w:r>
      <w:r>
        <w:tab/>
      </w:r>
      <w:r>
        <w:fldChar w:fldCharType="begin"/>
      </w:r>
      <w:r>
        <w:instrText xml:space="preserve"> PAGEREF _Toc431 \h </w:instrText>
      </w:r>
      <w:r>
        <w:fldChar w:fldCharType="separate"/>
      </w:r>
      <w:r>
        <w:t>4</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_Toc566 </w:instrText>
      </w:r>
      <w:r>
        <w:rPr>
          <w:rFonts w:hint="eastAsia"/>
        </w:rPr>
        <w:fldChar w:fldCharType="separate"/>
      </w:r>
      <w:r>
        <w:rPr>
          <w:rFonts w:hint="eastAsia"/>
        </w:rPr>
        <w:t>附录</w:t>
      </w:r>
      <w:r>
        <w:rPr>
          <w:rFonts w:hint="eastAsia"/>
          <w:lang w:val="en-US" w:eastAsia="zh-CN"/>
        </w:rPr>
        <w:t>A</w:t>
      </w:r>
      <w:r>
        <w:tab/>
      </w:r>
      <w:r>
        <w:fldChar w:fldCharType="begin"/>
      </w:r>
      <w:r>
        <w:instrText xml:space="preserve"> PAGEREF _Toc566 \h </w:instrText>
      </w:r>
      <w:r>
        <w:fldChar w:fldCharType="separate"/>
      </w:r>
      <w:r>
        <w:t>6</w:t>
      </w:r>
      <w:r>
        <w:fldChar w:fldCharType="end"/>
      </w:r>
      <w:r>
        <w:rPr>
          <w:rFonts w:hint="eastAsia"/>
        </w:rPr>
        <w:fldChar w:fldCharType="end"/>
      </w:r>
    </w:p>
    <w:p>
      <w:pPr>
        <w:pStyle w:val="5"/>
        <w:tabs>
          <w:tab w:val="right" w:leader="dot" w:pos="9355"/>
          <w:tab w:val="clear" w:pos="9345"/>
        </w:tabs>
      </w:pPr>
      <w:r>
        <w:rPr>
          <w:rFonts w:hint="eastAsia"/>
        </w:rPr>
        <w:fldChar w:fldCharType="begin"/>
      </w:r>
      <w:r>
        <w:rPr>
          <w:rFonts w:hint="eastAsia"/>
        </w:rPr>
        <w:instrText xml:space="preserve"> HYPERLINK \l _Toc5980 </w:instrText>
      </w:r>
      <w:r>
        <w:rPr>
          <w:rFonts w:hint="eastAsia"/>
        </w:rPr>
        <w:fldChar w:fldCharType="separate"/>
      </w:r>
      <w:r>
        <w:rPr>
          <w:rFonts w:hint="eastAsia"/>
        </w:rPr>
        <w:t>附录</w:t>
      </w:r>
      <w:r>
        <w:rPr>
          <w:rFonts w:hint="eastAsia"/>
          <w:lang w:val="en-US" w:eastAsia="zh-CN"/>
        </w:rPr>
        <w:t>B</w:t>
      </w:r>
      <w:r>
        <w:tab/>
      </w:r>
      <w:r>
        <w:fldChar w:fldCharType="begin"/>
      </w:r>
      <w:r>
        <w:instrText xml:space="preserve"> PAGEREF _Toc5980 \h </w:instrText>
      </w:r>
      <w:r>
        <w:fldChar w:fldCharType="separate"/>
      </w:r>
      <w:r>
        <w:t>9</w:t>
      </w:r>
      <w:r>
        <w:fldChar w:fldCharType="end"/>
      </w:r>
      <w:r>
        <w:rPr>
          <w:rFonts w:hint="eastAsia"/>
        </w:rPr>
        <w:fldChar w:fldCharType="end"/>
      </w:r>
    </w:p>
    <w:p>
      <w:pPr>
        <w:pStyle w:val="5"/>
        <w:rPr>
          <w:rFonts w:ascii="仿宋_GB2312" w:eastAsia="仿宋_GB2312"/>
          <w:sz w:val="30"/>
          <w:szCs w:val="30"/>
        </w:rPr>
        <w:sectPr>
          <w:headerReference r:id="rId7" w:type="default"/>
          <w:footerReference r:id="rId8" w:type="default"/>
          <w:pgSz w:w="11907" w:h="16839"/>
          <w:pgMar w:top="1418" w:right="1134" w:bottom="1134" w:left="1418" w:header="1418" w:footer="851" w:gutter="0"/>
          <w:pgNumType w:fmt="upperRoman" w:start="1"/>
          <w:cols w:space="720" w:num="1"/>
          <w:docGrid w:linePitch="312" w:charSpace="0"/>
        </w:sectPr>
      </w:pPr>
      <w:r>
        <w:rPr>
          <w:rFonts w:hint="eastAsia"/>
        </w:rPr>
        <w:fldChar w:fldCharType="end"/>
      </w:r>
    </w:p>
    <w:bookmarkEnd w:id="1"/>
    <w:p>
      <w:pPr>
        <w:pStyle w:val="12"/>
        <w:spacing w:before="0" w:after="0" w:line="360" w:lineRule="auto"/>
        <w:rPr>
          <w:rFonts w:hint="eastAsia" w:hAnsi="黑体"/>
          <w:szCs w:val="32"/>
        </w:rPr>
      </w:pPr>
      <w:bookmarkStart w:id="2" w:name="_Toc95023508"/>
      <w:bookmarkStart w:id="3" w:name="_Toc95023549"/>
      <w:bookmarkStart w:id="4" w:name="_Toc95023428"/>
      <w:bookmarkStart w:id="5" w:name="_Toc95023288"/>
      <w:bookmarkStart w:id="6" w:name="_Toc503210320"/>
      <w:bookmarkStart w:id="7" w:name="_Toc503210463"/>
      <w:bookmarkStart w:id="8" w:name="_Toc24592"/>
      <w:bookmarkStart w:id="9" w:name="_Toc503210406"/>
      <w:bookmarkStart w:id="10" w:name="SectionMark2"/>
      <w:r>
        <w:rPr>
          <w:rFonts w:hint="eastAsia" w:hAnsi="黑体"/>
          <w:szCs w:val="32"/>
        </w:rPr>
        <w:t>前  言</w:t>
      </w:r>
      <w:bookmarkEnd w:id="2"/>
      <w:bookmarkEnd w:id="3"/>
      <w:bookmarkEnd w:id="4"/>
      <w:bookmarkEnd w:id="5"/>
      <w:bookmarkEnd w:id="6"/>
      <w:bookmarkEnd w:id="7"/>
      <w:bookmarkEnd w:id="8"/>
      <w:bookmarkEnd w:id="9"/>
    </w:p>
    <w:p>
      <w:pPr>
        <w:pStyle w:val="2"/>
        <w:spacing w:line="440" w:lineRule="exact"/>
        <w:rPr>
          <w:rFonts w:hint="eastAsia"/>
          <w:color w:val="auto"/>
          <w:kern w:val="0"/>
        </w:rPr>
      </w:pPr>
      <w:r>
        <w:rPr>
          <w:rFonts w:hint="eastAsia"/>
        </w:rPr>
        <w:t xml:space="preserve">   </w:t>
      </w:r>
    </w:p>
    <w:p>
      <w:pPr>
        <w:pStyle w:val="13"/>
        <w:spacing w:line="560" w:lineRule="exact"/>
        <w:ind w:firstLine="199" w:firstLineChars="95"/>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本文件按照GB/T 1.1—2020《标准化工作导则  第1部分：标准化文件的结构和起草规则》的规定起草。</w:t>
      </w:r>
    </w:p>
    <w:p>
      <w:pPr>
        <w:pStyle w:val="13"/>
        <w:spacing w:line="560" w:lineRule="exact"/>
        <w:ind w:firstLine="199" w:firstLineChars="95"/>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请注意本文件的某些内容可能涉及专利。本文件的发布机构不承担识别专利的责任。</w:t>
      </w:r>
    </w:p>
    <w:p>
      <w:pPr>
        <w:pStyle w:val="13"/>
        <w:spacing w:line="560" w:lineRule="exact"/>
        <w:ind w:firstLine="199" w:firstLineChars="95"/>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本文件由青海省冬虫夏草协会归口。</w:t>
      </w:r>
    </w:p>
    <w:p>
      <w:pPr>
        <w:pStyle w:val="13"/>
        <w:spacing w:line="560" w:lineRule="exact"/>
        <w:ind w:firstLine="199" w:firstLineChars="95"/>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本文件起草单位：青海省畜牧兽医科学院、青海省冬虫夏草协会、玉树藏族自治州三江源冬虫夏草科技股份有限公司、浙江国坤堂健康控股集团有限公司、青海御品商贸有限公司、青海保惠堂生物科技有限公司、玉树市雪域藏宝堂、玉树州冬虫夏草协会、玉树州江之源冬虫夏草专业合作社、弥燕滋补馆、青海新泰行土特产销售有限公司、青海新泰行生物科技有限公司、广东省贡草生物科技有限公司、西宁藏仁堂商贸有限公司</w:t>
      </w:r>
    </w:p>
    <w:p>
      <w:pPr>
        <w:pStyle w:val="13"/>
        <w:spacing w:line="560" w:lineRule="exact"/>
        <w:ind w:firstLine="199" w:firstLineChars="95"/>
        <w:rPr>
          <w:rFonts w:hint="eastAsia" w:asciiTheme="minorEastAsia" w:hAnsiTheme="minorEastAsia" w:cstheme="minorEastAsia"/>
          <w:color w:val="000000" w:themeColor="text1"/>
          <w:szCs w:val="21"/>
          <w14:textFill>
            <w14:solidFill>
              <w14:schemeClr w14:val="tx1"/>
            </w14:solidFill>
          </w14:textFill>
        </w:rPr>
        <w:sectPr>
          <w:pgSz w:w="11907" w:h="16839"/>
          <w:pgMar w:top="1418" w:right="1287" w:bottom="1134" w:left="1800" w:header="1418" w:footer="851" w:gutter="0"/>
          <w:pgNumType w:fmt="upperRoman"/>
          <w:cols w:space="720" w:num="1"/>
          <w:docGrid w:type="lines" w:linePitch="312" w:charSpace="0"/>
        </w:sectPr>
      </w:pPr>
      <w:r>
        <w:rPr>
          <w:rFonts w:hint="eastAsia" w:asciiTheme="minorEastAsia" w:hAnsiTheme="minorEastAsia" w:cstheme="minorEastAsia"/>
          <w:color w:val="000000" w:themeColor="text1"/>
          <w:szCs w:val="21"/>
          <w14:textFill>
            <w14:solidFill>
              <w14:schemeClr w14:val="tx1"/>
            </w14:solidFill>
          </w14:textFill>
        </w:rPr>
        <w:t xml:space="preserve"> 本文件主要起草人: 李秀璋、李玉玲、师茜、唐楚煜、扎西才吉、姚孝宝、吕焕志、林玉波、刘二鹏、</w:t>
      </w:r>
      <w:r>
        <w:rPr>
          <w:rFonts w:hint="eastAsia" w:asciiTheme="minorEastAsia" w:hAnsiTheme="minorEastAsia" w:cstheme="minorEastAsia"/>
          <w:color w:val="000000" w:themeColor="text1"/>
          <w:szCs w:val="21"/>
          <w:lang w:eastAsia="zh-CN"/>
          <w14:textFill>
            <w14:solidFill>
              <w14:schemeClr w14:val="tx1"/>
            </w14:solidFill>
          </w14:textFill>
        </w:rPr>
        <w:t>贾立颖、</w:t>
      </w:r>
      <w:bookmarkStart w:id="22" w:name="_GoBack"/>
      <w:bookmarkEnd w:id="22"/>
      <w:r>
        <w:rPr>
          <w:rFonts w:hint="eastAsia" w:asciiTheme="minorEastAsia" w:hAnsiTheme="minorEastAsia" w:cstheme="minorEastAsia"/>
          <w:color w:val="000000" w:themeColor="text1"/>
          <w:szCs w:val="21"/>
          <w14:textFill>
            <w14:solidFill>
              <w14:schemeClr w14:val="tx1"/>
            </w14:solidFill>
          </w14:textFill>
        </w:rPr>
        <w:t>祁星民、</w:t>
      </w:r>
      <w:r>
        <w:rPr>
          <w:rFonts w:hint="eastAsia" w:asciiTheme="minorEastAsia" w:hAnsiTheme="minorEastAsia" w:cstheme="minorEastAsia"/>
          <w:color w:val="000000" w:themeColor="text1"/>
          <w:szCs w:val="21"/>
          <w:lang w:eastAsia="zh-CN"/>
          <w14:textFill>
            <w14:solidFill>
              <w14:schemeClr w14:val="tx1"/>
            </w14:solidFill>
          </w14:textFill>
        </w:rPr>
        <w:t>畅喜云、</w:t>
      </w:r>
      <w:r>
        <w:rPr>
          <w:rFonts w:hint="eastAsia" w:asciiTheme="minorEastAsia" w:hAnsiTheme="minorEastAsia" w:cstheme="minorEastAsia"/>
          <w:color w:val="000000" w:themeColor="text1"/>
          <w:szCs w:val="21"/>
          <w14:textFill>
            <w14:solidFill>
              <w14:schemeClr w14:val="tx1"/>
            </w14:solidFill>
          </w14:textFill>
        </w:rPr>
        <w:t>王昆、王瑞、王国珍、刘俊庆、马燕、安积芳、刘蓉蓉、拉丁、朱锦毅、王东、张琰、章燕娜、朱桃、梁中孝</w:t>
      </w:r>
    </w:p>
    <w:bookmarkEnd w:id="10"/>
    <w:p>
      <w:pPr>
        <w:pStyle w:val="11"/>
        <w:keepNext/>
        <w:pageBreakBefore/>
      </w:pPr>
      <w:bookmarkStart w:id="11" w:name="SectionMark4"/>
      <w:r>
        <w:rPr>
          <w:rFonts w:hint="eastAsia"/>
        </w:rPr>
        <w:t>野生冬虫夏草和人工虫草鉴别技术规程</w:t>
      </w:r>
    </w:p>
    <w:p>
      <w:pPr>
        <w:pStyle w:val="14"/>
        <w:numPr>
          <w:ilvl w:val="1"/>
          <w:numId w:val="1"/>
        </w:numPr>
        <w:spacing w:before="312" w:beforeLines="100" w:after="312" w:afterLines="100"/>
      </w:pPr>
      <w:bookmarkStart w:id="12" w:name="_Toc5196"/>
      <w:r>
        <w:t>范围</w:t>
      </w:r>
      <w:bookmarkEnd w:id="12"/>
    </w:p>
    <w:p>
      <w:pPr>
        <w:pStyle w:val="13"/>
        <w:adjustRightInd w:val="0"/>
        <w:snapToGrid w:val="0"/>
        <w:spacing w:line="360" w:lineRule="auto"/>
        <w:ind w:firstLine="0" w:firstLineChars="0"/>
        <w:rPr>
          <w:rFonts w:hint="eastAsia" w:asciiTheme="minorEastAsia" w:hAnsiTheme="minorEastAsia" w:cstheme="minorEastAsia"/>
          <w:szCs w:val="21"/>
        </w:rPr>
      </w:pPr>
      <w:r>
        <w:rPr>
          <w:rFonts w:hint="eastAsia" w:hAnsi="宋体"/>
          <w:sz w:val="18"/>
          <w:szCs w:val="18"/>
        </w:rPr>
        <w:t xml:space="preserve">    </w:t>
      </w:r>
      <w:r>
        <w:rPr>
          <w:rFonts w:hint="eastAsia" w:asciiTheme="minorEastAsia" w:hAnsiTheme="minorEastAsia" w:cstheme="minorEastAsia"/>
          <w:szCs w:val="21"/>
        </w:rPr>
        <w:t>本文件规定了野生冬虫夏草和人工虫草的术语和定义、鉴别流程、鉴别方法、结果判定及注意事项。</w:t>
      </w:r>
    </w:p>
    <w:p>
      <w:pPr>
        <w:pStyle w:val="15"/>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本文件适用于</w:t>
      </w:r>
      <w:bookmarkStart w:id="13" w:name="OLE_LINK1"/>
      <w:r>
        <w:rPr>
          <w:rFonts w:hint="eastAsia" w:asciiTheme="minorEastAsia" w:hAnsiTheme="minorEastAsia" w:eastAsiaTheme="minorEastAsia" w:cstheme="minorEastAsia"/>
          <w:szCs w:val="21"/>
        </w:rPr>
        <w:t>青海省冬虫夏草产区</w:t>
      </w:r>
      <w:bookmarkEnd w:id="13"/>
      <w:r>
        <w:rPr>
          <w:rFonts w:hint="eastAsia" w:asciiTheme="minorEastAsia" w:hAnsiTheme="minorEastAsia" w:eastAsiaTheme="minorEastAsia" w:cstheme="minorEastAsia"/>
          <w:szCs w:val="21"/>
        </w:rPr>
        <w:t>内的野生冬虫夏草及市场流通的人工冬虫夏草。</w:t>
      </w:r>
    </w:p>
    <w:p>
      <w:pPr>
        <w:pStyle w:val="14"/>
        <w:numPr>
          <w:ilvl w:val="1"/>
          <w:numId w:val="1"/>
        </w:numPr>
        <w:spacing w:before="312" w:beforeLines="100" w:after="312" w:afterLines="100"/>
      </w:pPr>
      <w:bookmarkStart w:id="14" w:name="_Toc24095"/>
      <w:r>
        <w:t>规范性引用文件</w:t>
      </w:r>
      <w:bookmarkEnd w:id="14"/>
    </w:p>
    <w:p>
      <w:pPr>
        <w:pStyle w:val="13"/>
        <w:adjustRightInd w:val="0"/>
        <w:snapToGrid w:val="0"/>
        <w:spacing w:line="360" w:lineRule="auto"/>
        <w:ind w:firstLine="420"/>
        <w:rPr>
          <w:rFonts w:hint="eastAsia" w:asciiTheme="minorEastAsia" w:hAnsiTheme="minorEastAsia" w:cstheme="minorEastAsia"/>
          <w:szCs w:val="21"/>
        </w:rPr>
      </w:pPr>
      <w:r>
        <w:rPr>
          <w:rFonts w:hint="eastAsia" w:asciiTheme="minorEastAsia" w:hAnsiTheme="minorEastAsia" w:cstheme="minorEastAsia"/>
          <w:szCs w:val="21"/>
        </w:rPr>
        <w:t>下列文件对于本文件的应用是必不可少的。凡是注日期的引用文件，仅注日期的版本适用于本文件。凡是不注日期的引用文件，其最新版本（包括所有的修改单）适用于本文件。</w:t>
      </w:r>
    </w:p>
    <w:p>
      <w:pPr>
        <w:pStyle w:val="13"/>
        <w:adjustRightInd w:val="0"/>
        <w:snapToGrid w:val="0"/>
        <w:spacing w:line="360" w:lineRule="auto"/>
        <w:ind w:firstLine="420"/>
        <w:rPr>
          <w:rFonts w:hint="eastAsia" w:asciiTheme="minorEastAsia" w:hAnsiTheme="minorEastAsia" w:cstheme="minorEastAsia"/>
          <w:szCs w:val="21"/>
        </w:rPr>
      </w:pPr>
      <w:r>
        <w:rPr>
          <w:rFonts w:hint="eastAsia" w:asciiTheme="minorEastAsia" w:hAnsiTheme="minorEastAsia" w:cstheme="minorEastAsia"/>
          <w:szCs w:val="21"/>
        </w:rPr>
        <w:t>DB63/T 890</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地理标志产品 青海冬虫夏草</w:t>
      </w:r>
    </w:p>
    <w:p>
      <w:pPr>
        <w:pStyle w:val="13"/>
        <w:adjustRightInd w:val="0"/>
        <w:snapToGrid w:val="0"/>
        <w:spacing w:line="360" w:lineRule="auto"/>
        <w:ind w:firstLine="420"/>
        <w:rPr>
          <w:rFonts w:hint="eastAsia" w:asciiTheme="minorEastAsia" w:hAnsiTheme="minorEastAsia" w:cstheme="minorEastAsia"/>
          <w:szCs w:val="21"/>
        </w:rPr>
      </w:pPr>
      <w:r>
        <w:rPr>
          <w:rFonts w:hint="eastAsia" w:asciiTheme="minorEastAsia" w:hAnsiTheme="minorEastAsia" w:cstheme="minorEastAsia"/>
          <w:szCs w:val="21"/>
        </w:rPr>
        <w:t>T/QCSA 5</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青海天然冬虫夏草保存技术规程</w:t>
      </w:r>
    </w:p>
    <w:p>
      <w:pPr>
        <w:pStyle w:val="14"/>
        <w:numPr>
          <w:ilvl w:val="1"/>
          <w:numId w:val="1"/>
        </w:numPr>
        <w:spacing w:before="312" w:beforeLines="100" w:after="312" w:afterLines="100"/>
      </w:pPr>
      <w:bookmarkStart w:id="15" w:name="_Toc4483"/>
      <w:r>
        <w:t>术语</w:t>
      </w:r>
      <w:r>
        <w:rPr>
          <w:rFonts w:hint="eastAsia"/>
        </w:rPr>
        <w:t>和</w:t>
      </w:r>
      <w:r>
        <w:t>定义</w:t>
      </w:r>
      <w:bookmarkEnd w:id="15"/>
    </w:p>
    <w:p>
      <w:pPr>
        <w:autoSpaceDE w:val="0"/>
        <w:autoSpaceDN w:val="0"/>
        <w:adjustRightInd w:val="0"/>
        <w:snapToGrid w:val="0"/>
        <w:spacing w:line="360" w:lineRule="auto"/>
        <w:ind w:firstLine="630" w:firstLineChars="300"/>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t>下列术语和定义适用于本文件。</w:t>
      </w:r>
    </w:p>
    <w:p>
      <w:pPr>
        <w:pStyle w:val="15"/>
        <w:numPr>
          <w:ilvl w:val="2"/>
          <w:numId w:val="1"/>
        </w:numPr>
        <w:adjustRightInd w:val="0"/>
        <w:snapToGrid w:val="0"/>
        <w:spacing w:line="360" w:lineRule="auto"/>
        <w:rPr>
          <w:rFonts w:hint="eastAsia" w:ascii="宋体" w:hAnsi="宋体" w:eastAsia="宋体"/>
          <w:sz w:val="18"/>
          <w:szCs w:val="18"/>
        </w:rPr>
      </w:pPr>
    </w:p>
    <w:p>
      <w:pPr>
        <w:pStyle w:val="15"/>
        <w:adjustRightInd w:val="0"/>
        <w:snapToGrid w:val="0"/>
        <w:spacing w:line="360" w:lineRule="auto"/>
        <w:ind w:firstLine="420" w:firstLineChars="200"/>
        <w:rPr>
          <w:rFonts w:hint="eastAsia" w:ascii="黑体"/>
          <w:sz w:val="21"/>
          <w:szCs w:val="21"/>
        </w:rPr>
      </w:pPr>
      <w:r>
        <w:rPr>
          <w:rFonts w:hint="eastAsia" w:ascii="黑体"/>
          <w:sz w:val="21"/>
          <w:szCs w:val="21"/>
        </w:rPr>
        <w:t>野生</w:t>
      </w:r>
      <w:r>
        <w:rPr>
          <w:rFonts w:ascii="黑体"/>
          <w:sz w:val="21"/>
          <w:szCs w:val="21"/>
        </w:rPr>
        <w:t>冬虫夏草</w:t>
      </w:r>
      <w:r>
        <w:rPr>
          <w:rFonts w:hint="eastAsia" w:ascii="黑体"/>
          <w:sz w:val="21"/>
          <w:szCs w:val="21"/>
        </w:rPr>
        <w:t xml:space="preserve"> </w:t>
      </w:r>
    </w:p>
    <w:p>
      <w:pPr>
        <w:pStyle w:val="15"/>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野生冬虫夏草是指在野外环境下，冬虫夏草菌</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Cordyceps sinensis</w:t>
      </w:r>
      <w:r>
        <w:rPr>
          <w:rFonts w:hint="eastAsia" w:ascii="Times New Roman" w:hAnsi="Times New Roman" w:cs="Times New Roman" w:eastAsiaTheme="minorEastAsia"/>
          <w:i/>
          <w:iCs/>
          <w:sz w:val="21"/>
          <w:szCs w:val="21"/>
          <w:lang w:val="en-US" w:eastAsia="zh-CN"/>
        </w:rPr>
        <w:t xml:space="preserve"> </w:t>
      </w:r>
      <w:r>
        <w:rPr>
          <w:rFonts w:ascii="Times New Roman" w:hAnsi="Times New Roman" w:cs="Times New Roman" w:eastAsiaTheme="minorEastAsia"/>
          <w:sz w:val="21"/>
          <w:szCs w:val="21"/>
        </w:rPr>
        <w:t>( BerK.)</w:t>
      </w:r>
      <w:r>
        <w:rPr>
          <w:rFonts w:hint="eastAsia" w:ascii="Times New Roman" w:hAnsi="Times New Roman" w:cs="Times New Roman" w:eastAsiaTheme="minorEastAsia"/>
          <w:sz w:val="21"/>
          <w:szCs w:val="21"/>
          <w:lang w:val="en-US" w:eastAsia="zh-CN"/>
        </w:rPr>
        <w:t xml:space="preserve"> </w:t>
      </w:r>
      <w:r>
        <w:rPr>
          <w:rFonts w:ascii="Times New Roman" w:hAnsi="Times New Roman" w:cs="Times New Roman" w:eastAsiaTheme="minorEastAsia"/>
          <w:sz w:val="21"/>
          <w:szCs w:val="21"/>
        </w:rPr>
        <w:t>Sacc.）</w:t>
      </w:r>
      <w:r>
        <w:rPr>
          <w:rFonts w:hint="eastAsia" w:asciiTheme="minorEastAsia" w:hAnsiTheme="minorEastAsia" w:eastAsiaTheme="minorEastAsia" w:cstheme="minorEastAsia"/>
          <w:sz w:val="21"/>
          <w:szCs w:val="21"/>
        </w:rPr>
        <w:t>侵染蝙蝠蛾科昆虫幼虫而形成的幼虫尸体与真菌子座形成的虫菌复合体。</w:t>
      </w:r>
    </w:p>
    <w:p>
      <w:pPr>
        <w:pStyle w:val="15"/>
        <w:numPr>
          <w:ilvl w:val="2"/>
          <w:numId w:val="1"/>
        </w:numPr>
        <w:adjustRightInd w:val="0"/>
        <w:snapToGrid w:val="0"/>
        <w:spacing w:line="360" w:lineRule="auto"/>
        <w:rPr>
          <w:rFonts w:hint="eastAsia" w:ascii="宋体" w:hAnsi="宋体" w:eastAsia="宋体"/>
          <w:sz w:val="18"/>
          <w:szCs w:val="18"/>
        </w:rPr>
      </w:pPr>
    </w:p>
    <w:p>
      <w:pPr>
        <w:pStyle w:val="15"/>
        <w:adjustRightInd w:val="0"/>
        <w:snapToGrid w:val="0"/>
        <w:spacing w:line="360" w:lineRule="auto"/>
        <w:ind w:firstLine="420" w:firstLineChars="200"/>
        <w:rPr>
          <w:rFonts w:hint="eastAsia" w:ascii="黑体" w:hAnsiTheme="minorHAnsi"/>
          <w:sz w:val="21"/>
          <w:szCs w:val="21"/>
        </w:rPr>
      </w:pPr>
      <w:r>
        <w:rPr>
          <w:rFonts w:hint="eastAsia" w:ascii="黑体" w:hAnsi="黑体"/>
          <w:sz w:val="21"/>
          <w:szCs w:val="21"/>
        </w:rPr>
        <w:t xml:space="preserve">人工虫草  </w:t>
      </w:r>
    </w:p>
    <w:p>
      <w:pPr>
        <w:pStyle w:val="15"/>
        <w:adjustRightInd w:val="0"/>
        <w:snapToGrid w:val="0"/>
        <w:spacing w:line="360" w:lineRule="auto"/>
        <w:ind w:firstLine="42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1"/>
          <w:szCs w:val="21"/>
        </w:rPr>
        <w:t>人工虫草是指在人为控制的环境条件下，规模化饲养冬虫夏草寄主蝙蝠蛾昆虫（其中1种），通过人工的方法使冬虫夏草菌感染人工饲养的寄主蝙蝠蛾幼虫，再将感菌幼虫在低海拔室内模拟高原环境条件培育或在高海拔冬虫夏草适生地培育，长出子座形成的虫菌复合体。</w:t>
      </w:r>
    </w:p>
    <w:p>
      <w:pPr>
        <w:pStyle w:val="14"/>
        <w:numPr>
          <w:ilvl w:val="1"/>
          <w:numId w:val="1"/>
        </w:numPr>
        <w:spacing w:before="312" w:beforeLines="100" w:after="312" w:afterLines="100"/>
      </w:pPr>
      <w:bookmarkStart w:id="16" w:name="_Toc14191"/>
      <w:r>
        <w:rPr>
          <w:rFonts w:hint="eastAsia"/>
        </w:rPr>
        <w:t>鉴别流程</w:t>
      </w:r>
      <w:bookmarkEnd w:id="16"/>
      <w:r>
        <w:rPr>
          <w:rFonts w:hint="eastAsia"/>
        </w:rPr>
        <w:t xml:space="preserve">    </w:t>
      </w:r>
    </w:p>
    <w:p>
      <w:pPr>
        <w:pStyle w:val="15"/>
        <w:numPr>
          <w:ilvl w:val="2"/>
          <w:numId w:val="1"/>
        </w:numPr>
        <w:tabs>
          <w:tab w:val="left" w:pos="360"/>
        </w:tabs>
        <w:adjustRightInd w:val="0"/>
        <w:snapToGrid w:val="0"/>
        <w:spacing w:line="360" w:lineRule="auto"/>
        <w:ind w:left="567"/>
        <w:rPr>
          <w:rFonts w:hint="eastAsia" w:ascii="宋体" w:hAnsi="宋体" w:eastAsia="宋体"/>
          <w:sz w:val="18"/>
          <w:szCs w:val="18"/>
        </w:rPr>
      </w:pP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sz w:val="21"/>
          <w:szCs w:val="21"/>
        </w:rPr>
        <w:t>样品采集</w:t>
      </w:r>
    </w:p>
    <w:p>
      <w:pPr>
        <w:pStyle w:val="13"/>
        <w:adjustRightInd w:val="0"/>
        <w:snapToGrid w:val="0"/>
        <w:spacing w:line="360" w:lineRule="auto"/>
        <w:ind w:firstLine="360"/>
        <w:rPr>
          <w:rFonts w:hint="eastAsia" w:hAnsi="宋体"/>
          <w:sz w:val="21"/>
          <w:szCs w:val="21"/>
        </w:rPr>
      </w:pPr>
      <w:r>
        <w:rPr>
          <w:rFonts w:hint="eastAsia" w:hAnsi="宋体"/>
          <w:sz w:val="21"/>
          <w:szCs w:val="21"/>
        </w:rPr>
        <w:t>从市场、产地等不同渠道随机抽取待鉴定冬虫夏草样本，确保样本具有代表性。采集过程中注意避免样本污染、损坏，做好标记记录。</w:t>
      </w:r>
    </w:p>
    <w:p>
      <w:pPr>
        <w:pStyle w:val="15"/>
        <w:numPr>
          <w:ilvl w:val="2"/>
          <w:numId w:val="1"/>
        </w:numPr>
        <w:adjustRightInd w:val="0"/>
        <w:snapToGrid w:val="0"/>
        <w:spacing w:line="360" w:lineRule="auto"/>
        <w:ind w:left="567"/>
        <w:rPr>
          <w:rFonts w:hint="eastAsia" w:ascii="宋体" w:hAnsi="宋体" w:eastAsia="宋体"/>
          <w:sz w:val="18"/>
          <w:szCs w:val="18"/>
        </w:rPr>
      </w:pP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sz w:val="21"/>
          <w:szCs w:val="21"/>
        </w:rPr>
        <w:t>初步筛查</w:t>
      </w:r>
    </w:p>
    <w:p>
      <w:pPr>
        <w:pStyle w:val="13"/>
        <w:adjustRightInd w:val="0"/>
        <w:snapToGrid w:val="0"/>
        <w:spacing w:line="360" w:lineRule="auto"/>
        <w:ind w:firstLine="360"/>
        <w:rPr>
          <w:rFonts w:hint="eastAsia" w:hAnsi="宋体"/>
          <w:sz w:val="21"/>
          <w:szCs w:val="21"/>
        </w:rPr>
      </w:pPr>
      <w:r>
        <w:rPr>
          <w:rFonts w:hint="eastAsia" w:hAnsi="宋体"/>
          <w:sz w:val="21"/>
          <w:szCs w:val="21"/>
        </w:rPr>
        <w:t>检验人员依据感官鉴别法，对</w:t>
      </w:r>
      <w:r>
        <w:rPr>
          <w:rFonts w:hint="eastAsia" w:hAnsi="宋体"/>
          <w:sz w:val="21"/>
          <w:szCs w:val="21"/>
          <w:lang w:eastAsia="zh-CN"/>
        </w:rPr>
        <w:t>冬虫夏草样本之间的差异</w:t>
      </w:r>
      <w:r>
        <w:rPr>
          <w:rFonts w:hint="eastAsia" w:hAnsi="宋体"/>
          <w:sz w:val="21"/>
          <w:szCs w:val="21"/>
        </w:rPr>
        <w:t>进行快速检查，初步判断样本是否存在明显</w:t>
      </w:r>
      <w:r>
        <w:rPr>
          <w:rFonts w:hint="eastAsia" w:hAnsi="宋体"/>
          <w:sz w:val="21"/>
          <w:szCs w:val="21"/>
          <w:lang w:eastAsia="zh-CN"/>
        </w:rPr>
        <w:t>的</w:t>
      </w:r>
      <w:r>
        <w:rPr>
          <w:rFonts w:hint="eastAsia" w:hAnsi="宋体"/>
          <w:sz w:val="21"/>
          <w:szCs w:val="21"/>
        </w:rPr>
        <w:t>人工冬虫夏草</w:t>
      </w:r>
      <w:r>
        <w:rPr>
          <w:rFonts w:hint="eastAsia" w:hAnsi="宋体"/>
          <w:sz w:val="21"/>
          <w:szCs w:val="21"/>
          <w:highlight w:val="none"/>
        </w:rPr>
        <w:t>特征</w:t>
      </w:r>
      <w:r>
        <w:rPr>
          <w:rFonts w:hint="eastAsia" w:hAnsi="宋体"/>
          <w:sz w:val="21"/>
          <w:szCs w:val="21"/>
        </w:rPr>
        <w:t>，对于疑似及难以判断的样本进入下一步检测。</w:t>
      </w:r>
    </w:p>
    <w:p>
      <w:pPr>
        <w:pStyle w:val="15"/>
        <w:numPr>
          <w:ilvl w:val="2"/>
          <w:numId w:val="1"/>
        </w:numPr>
        <w:adjustRightInd w:val="0"/>
        <w:snapToGrid w:val="0"/>
        <w:spacing w:line="360" w:lineRule="auto"/>
        <w:ind w:left="567"/>
        <w:rPr>
          <w:rFonts w:hint="eastAsia" w:ascii="宋体" w:hAnsi="宋体" w:eastAsia="宋体"/>
          <w:sz w:val="21"/>
          <w:szCs w:val="21"/>
        </w:rPr>
      </w:pP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sz w:val="21"/>
          <w:szCs w:val="21"/>
        </w:rPr>
        <w:t>分子生物学鉴定</w:t>
      </w:r>
    </w:p>
    <w:p>
      <w:pPr>
        <w:pStyle w:val="13"/>
        <w:adjustRightInd w:val="0"/>
        <w:snapToGrid w:val="0"/>
        <w:spacing w:line="360" w:lineRule="auto"/>
        <w:ind w:firstLine="360"/>
        <w:rPr>
          <w:rFonts w:hAnsi="宋体" w:eastAsia="宋体" w:cs="Times New Roman"/>
          <w:sz w:val="21"/>
          <w:szCs w:val="21"/>
        </w:rPr>
      </w:pPr>
      <w:r>
        <w:rPr>
          <w:rFonts w:hint="eastAsia" w:hAnsi="宋体" w:eastAsia="宋体" w:cs="Times New Roman"/>
          <w:sz w:val="21"/>
          <w:szCs w:val="21"/>
        </w:rPr>
        <w:t>通过 DNA 层面对冬虫夏草</w:t>
      </w:r>
      <w:r>
        <w:rPr>
          <w:rFonts w:hint="eastAsia" w:hAnsi="宋体" w:eastAsia="宋体" w:cs="Times New Roman"/>
          <w:sz w:val="21"/>
          <w:szCs w:val="21"/>
          <w:lang w:eastAsia="zh-CN"/>
        </w:rPr>
        <w:t>样本</w:t>
      </w:r>
      <w:r>
        <w:rPr>
          <w:rFonts w:hint="eastAsia" w:hAnsi="宋体" w:eastAsia="宋体" w:cs="Times New Roman"/>
          <w:sz w:val="21"/>
          <w:szCs w:val="21"/>
        </w:rPr>
        <w:t>寄主蝠蛾种类进行精准鉴别。</w:t>
      </w:r>
    </w:p>
    <w:p>
      <w:pPr>
        <w:pStyle w:val="15"/>
        <w:numPr>
          <w:ilvl w:val="2"/>
          <w:numId w:val="1"/>
        </w:numPr>
        <w:adjustRightInd w:val="0"/>
        <w:snapToGrid w:val="0"/>
        <w:spacing w:line="360" w:lineRule="auto"/>
        <w:ind w:left="567"/>
        <w:rPr>
          <w:rFonts w:hint="eastAsia" w:ascii="宋体" w:hAnsi="宋体" w:eastAsia="宋体"/>
          <w:sz w:val="21"/>
          <w:szCs w:val="21"/>
        </w:rPr>
      </w:pP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sz w:val="21"/>
          <w:szCs w:val="21"/>
        </w:rPr>
        <w:t>理化指标测定</w:t>
      </w:r>
    </w:p>
    <w:p>
      <w:pPr>
        <w:pStyle w:val="13"/>
        <w:adjustRightInd w:val="0"/>
        <w:snapToGrid w:val="0"/>
        <w:spacing w:line="360" w:lineRule="auto"/>
        <w:ind w:firstLine="360"/>
        <w:rPr>
          <w:rFonts w:hAnsi="宋体" w:eastAsia="宋体" w:cs="Times New Roman"/>
          <w:sz w:val="21"/>
          <w:szCs w:val="21"/>
        </w:rPr>
      </w:pPr>
      <w:r>
        <w:rPr>
          <w:rFonts w:hint="eastAsia" w:hAnsi="宋体" w:eastAsia="宋体" w:cs="Times New Roman"/>
          <w:sz w:val="21"/>
          <w:szCs w:val="21"/>
        </w:rPr>
        <w:t>对冬虫夏草</w:t>
      </w:r>
      <w:r>
        <w:rPr>
          <w:rFonts w:hint="eastAsia" w:hAnsi="宋体" w:eastAsia="宋体" w:cs="Times New Roman"/>
          <w:sz w:val="21"/>
          <w:szCs w:val="21"/>
          <w:lang w:eastAsia="zh-CN"/>
        </w:rPr>
        <w:t>样本</w:t>
      </w:r>
      <w:r>
        <w:rPr>
          <w:rFonts w:hint="eastAsia" w:hAnsi="宋体" w:eastAsia="宋体" w:cs="Times New Roman"/>
          <w:sz w:val="21"/>
          <w:szCs w:val="21"/>
        </w:rPr>
        <w:t>中砷、微量元素</w:t>
      </w:r>
      <w:r>
        <w:rPr>
          <w:rFonts w:hint="eastAsia" w:hAnsi="宋体" w:eastAsia="宋体" w:cs="Times New Roman"/>
          <w:sz w:val="21"/>
          <w:szCs w:val="21"/>
          <w:lang w:eastAsia="zh-CN"/>
        </w:rPr>
        <w:t>及</w:t>
      </w:r>
      <w:r>
        <w:rPr>
          <w:rFonts w:hint="eastAsia" w:hAnsi="宋体" w:eastAsia="宋体" w:cs="Times New Roman"/>
          <w:sz w:val="21"/>
          <w:szCs w:val="21"/>
        </w:rPr>
        <w:t>稳定同位素、氨基酸类成分、蛋白质含量等进行测定。</w:t>
      </w:r>
    </w:p>
    <w:p>
      <w:pPr>
        <w:pStyle w:val="14"/>
        <w:numPr>
          <w:ilvl w:val="1"/>
          <w:numId w:val="1"/>
        </w:numPr>
        <w:spacing w:before="312" w:beforeLines="100" w:after="312" w:afterLines="100"/>
        <w:rPr>
          <w:sz w:val="21"/>
          <w:szCs w:val="21"/>
        </w:rPr>
      </w:pPr>
      <w:bookmarkStart w:id="17" w:name="_Toc27983"/>
      <w:r>
        <w:rPr>
          <w:rFonts w:hint="eastAsia"/>
          <w:sz w:val="21"/>
          <w:szCs w:val="21"/>
        </w:rPr>
        <w:t>鉴别方法</w:t>
      </w:r>
      <w:bookmarkEnd w:id="17"/>
    </w:p>
    <w:p>
      <w:pPr>
        <w:pStyle w:val="15"/>
        <w:numPr>
          <w:ilvl w:val="2"/>
          <w:numId w:val="1"/>
        </w:numPr>
        <w:adjustRightInd w:val="0"/>
        <w:snapToGrid w:val="0"/>
        <w:spacing w:line="360" w:lineRule="auto"/>
        <w:rPr>
          <w:rFonts w:hint="eastAsia" w:ascii="宋体" w:hAnsi="宋体" w:eastAsia="宋体"/>
          <w:sz w:val="21"/>
          <w:szCs w:val="21"/>
        </w:rPr>
      </w:pPr>
    </w:p>
    <w:p>
      <w:pPr>
        <w:pStyle w:val="15"/>
        <w:numPr>
          <w:ilvl w:val="-1"/>
          <w:numId w:val="0"/>
        </w:numPr>
        <w:adjustRightInd w:val="0"/>
        <w:snapToGrid w:val="0"/>
        <w:spacing w:line="360" w:lineRule="auto"/>
        <w:ind w:left="0" w:firstLine="420" w:firstLineChars="200"/>
        <w:rPr>
          <w:rFonts w:hint="eastAsia" w:ascii="黑体" w:hAnsi="黑体" w:eastAsia="黑体"/>
          <w:sz w:val="21"/>
          <w:szCs w:val="21"/>
        </w:rPr>
      </w:pPr>
      <w:r>
        <w:rPr>
          <w:rFonts w:hint="eastAsia" w:ascii="黑体" w:hAnsi="黑体" w:eastAsia="黑体"/>
          <w:sz w:val="21"/>
          <w:szCs w:val="21"/>
          <w:lang w:eastAsia="zh-CN"/>
        </w:rPr>
        <w:t>初步筛选。</w:t>
      </w:r>
    </w:p>
    <w:p>
      <w:pPr>
        <w:pStyle w:val="13"/>
        <w:adjustRightInd w:val="0"/>
        <w:snapToGrid w:val="0"/>
        <w:spacing w:line="360" w:lineRule="auto"/>
        <w:ind w:firstLine="360"/>
        <w:rPr>
          <w:rFonts w:hint="eastAsia" w:hAnsi="宋体"/>
          <w:sz w:val="21"/>
          <w:szCs w:val="21"/>
        </w:rPr>
      </w:pPr>
      <w:r>
        <w:rPr>
          <w:rFonts w:hint="eastAsia" w:hAnsi="宋体"/>
          <w:sz w:val="21"/>
          <w:szCs w:val="21"/>
          <w:lang w:val="en-US" w:eastAsia="zh-CN"/>
        </w:rPr>
        <w:t xml:space="preserve">5.1.1 </w:t>
      </w:r>
      <w:r>
        <w:rPr>
          <w:rFonts w:hint="eastAsia" w:hAnsi="宋体"/>
          <w:sz w:val="21"/>
          <w:szCs w:val="21"/>
        </w:rPr>
        <w:t>视觉：将虫草置于自然光下，仔细观察虫体与草头的形态、颜色、纹理。对比野生</w:t>
      </w:r>
      <w:r>
        <w:rPr>
          <w:rFonts w:hint="eastAsia" w:hAnsi="宋体"/>
          <w:sz w:val="21"/>
          <w:szCs w:val="21"/>
          <w:lang w:eastAsia="zh-CN"/>
        </w:rPr>
        <w:t>冬虫夏草</w:t>
      </w:r>
      <w:r>
        <w:rPr>
          <w:rFonts w:hint="eastAsia" w:hAnsi="宋体"/>
          <w:sz w:val="21"/>
          <w:szCs w:val="21"/>
        </w:rPr>
        <w:t>与人工</w:t>
      </w:r>
      <w:r>
        <w:rPr>
          <w:rFonts w:hint="eastAsia" w:hAnsi="宋体"/>
          <w:sz w:val="21"/>
          <w:szCs w:val="21"/>
          <w:lang w:eastAsia="zh-CN"/>
        </w:rPr>
        <w:t>虫草</w:t>
      </w:r>
      <w:r>
        <w:rPr>
          <w:rFonts w:hint="eastAsia" w:hAnsi="宋体"/>
          <w:sz w:val="21"/>
          <w:szCs w:val="21"/>
        </w:rPr>
        <w:t>的典型外观差异，如上述提及的虫体饱满度、环纹清晰度、草头特征等。</w:t>
      </w:r>
    </w:p>
    <w:p>
      <w:pPr>
        <w:pStyle w:val="13"/>
        <w:adjustRightInd w:val="0"/>
        <w:snapToGrid w:val="0"/>
        <w:spacing w:line="360" w:lineRule="auto"/>
        <w:ind w:firstLine="360"/>
        <w:rPr>
          <w:rFonts w:hint="eastAsia" w:hAnsi="宋体"/>
          <w:sz w:val="21"/>
          <w:szCs w:val="21"/>
        </w:rPr>
      </w:pPr>
      <w:r>
        <w:rPr>
          <w:rFonts w:hint="eastAsia" w:hAnsi="宋体"/>
          <w:sz w:val="21"/>
          <w:szCs w:val="21"/>
          <w:lang w:val="en-US" w:eastAsia="zh-CN"/>
        </w:rPr>
        <w:t xml:space="preserve">5.1.2 </w:t>
      </w:r>
      <w:r>
        <w:rPr>
          <w:rFonts w:hint="eastAsia" w:hAnsi="宋体"/>
          <w:sz w:val="21"/>
          <w:szCs w:val="21"/>
        </w:rPr>
        <w:t>触觉：用手轻轻触摸</w:t>
      </w:r>
      <w:r>
        <w:rPr>
          <w:rFonts w:hint="eastAsia" w:hAnsi="宋体"/>
          <w:sz w:val="21"/>
          <w:szCs w:val="21"/>
          <w:lang w:eastAsia="zh-CN"/>
        </w:rPr>
        <w:t>冬虫夏草</w:t>
      </w:r>
      <w:r>
        <w:rPr>
          <w:rFonts w:hint="eastAsia" w:hAnsi="宋体"/>
          <w:sz w:val="21"/>
          <w:szCs w:val="21"/>
        </w:rPr>
        <w:t>，感受虫体的硬度、弹性以及草头的柔韧程度。野生</w:t>
      </w:r>
      <w:r>
        <w:rPr>
          <w:rFonts w:hint="eastAsia" w:hAnsi="宋体"/>
          <w:sz w:val="21"/>
          <w:szCs w:val="21"/>
          <w:lang w:eastAsia="zh-CN"/>
        </w:rPr>
        <w:t>冬虫夏草</w:t>
      </w:r>
      <w:r>
        <w:rPr>
          <w:rFonts w:hint="eastAsia" w:hAnsi="宋体"/>
          <w:sz w:val="21"/>
          <w:szCs w:val="21"/>
        </w:rPr>
        <w:t>虫体硬实且有一定弹性，草头柔韧；人工虫草虫体可能偏软（加工过后的则趋于硬实，无弹性），草头易断手感较明显。</w:t>
      </w:r>
    </w:p>
    <w:p>
      <w:pPr>
        <w:pStyle w:val="13"/>
        <w:adjustRightInd w:val="0"/>
        <w:snapToGrid w:val="0"/>
        <w:spacing w:line="360" w:lineRule="auto"/>
        <w:ind w:firstLine="360"/>
        <w:rPr>
          <w:rFonts w:hint="eastAsia" w:hAnsi="宋体"/>
          <w:sz w:val="21"/>
          <w:szCs w:val="21"/>
        </w:rPr>
      </w:pPr>
      <w:r>
        <w:rPr>
          <w:rFonts w:hint="eastAsia" w:hAnsi="宋体"/>
          <w:sz w:val="21"/>
          <w:szCs w:val="21"/>
          <w:lang w:val="en-US" w:eastAsia="zh-CN"/>
        </w:rPr>
        <w:t xml:space="preserve">5.1.3 </w:t>
      </w:r>
      <w:r>
        <w:rPr>
          <w:rFonts w:hint="eastAsia" w:hAnsi="宋体"/>
          <w:sz w:val="21"/>
          <w:szCs w:val="21"/>
        </w:rPr>
        <w:t>嗅觉：嗅闻虫草气味，野生</w:t>
      </w:r>
      <w:r>
        <w:rPr>
          <w:rFonts w:hint="eastAsia" w:hAnsi="宋体"/>
          <w:sz w:val="21"/>
          <w:szCs w:val="21"/>
          <w:lang w:eastAsia="zh-CN"/>
        </w:rPr>
        <w:t>冬虫夏草</w:t>
      </w:r>
      <w:r>
        <w:rPr>
          <w:rFonts w:hint="eastAsia" w:hAnsi="宋体"/>
          <w:sz w:val="21"/>
          <w:szCs w:val="21"/>
        </w:rPr>
        <w:t>有特殊的腥香气味，且气味浓郁持久；人工虫草气味较淡，有时伴有轻微的异味，类似发酵气味。</w:t>
      </w:r>
    </w:p>
    <w:p>
      <w:pPr>
        <w:pStyle w:val="15"/>
        <w:numPr>
          <w:ilvl w:val="2"/>
          <w:numId w:val="1"/>
        </w:numPr>
        <w:adjustRightInd w:val="0"/>
        <w:snapToGrid w:val="0"/>
        <w:spacing w:line="360" w:lineRule="auto"/>
        <w:ind w:left="567" w:firstLine="0" w:firstLineChars="0"/>
        <w:rPr>
          <w:rFonts w:hint="eastAsia" w:ascii="黑体" w:hAnsi="黑体"/>
          <w:sz w:val="21"/>
          <w:szCs w:val="21"/>
        </w:rPr>
      </w:pPr>
    </w:p>
    <w:p>
      <w:pPr>
        <w:pStyle w:val="15"/>
        <w:numPr>
          <w:ilvl w:val="-1"/>
          <w:numId w:val="0"/>
        </w:numPr>
        <w:adjustRightInd w:val="0"/>
        <w:snapToGrid w:val="0"/>
        <w:spacing w:line="360" w:lineRule="auto"/>
        <w:ind w:left="567" w:firstLine="0" w:firstLineChars="0"/>
        <w:rPr>
          <w:rFonts w:hint="eastAsia" w:ascii="黑体" w:hAnsi="黑体"/>
          <w:sz w:val="21"/>
          <w:szCs w:val="21"/>
        </w:rPr>
      </w:pPr>
      <w:r>
        <w:rPr>
          <w:rFonts w:hint="eastAsia" w:ascii="黑体" w:hAnsi="黑体"/>
          <w:sz w:val="21"/>
          <w:szCs w:val="21"/>
        </w:rPr>
        <w:t>分子生物学鉴别。</w:t>
      </w:r>
    </w:p>
    <w:p>
      <w:pPr>
        <w:pStyle w:val="13"/>
        <w:adjustRightInd w:val="0"/>
        <w:snapToGrid w:val="0"/>
        <w:spacing w:line="360" w:lineRule="auto"/>
        <w:ind w:firstLine="360"/>
        <w:rPr>
          <w:rFonts w:hint="eastAsia" w:hAnsi="宋体" w:eastAsia="宋体" w:cs="Times New Roman"/>
          <w:sz w:val="21"/>
          <w:szCs w:val="21"/>
        </w:rPr>
      </w:pPr>
      <w:r>
        <w:rPr>
          <w:rFonts w:hint="eastAsia" w:hAnsi="宋体" w:eastAsia="宋体" w:cs="Times New Roman"/>
          <w:sz w:val="21"/>
          <w:szCs w:val="21"/>
        </w:rPr>
        <w:t>见附录</w:t>
      </w:r>
      <w:r>
        <w:rPr>
          <w:rFonts w:hint="eastAsia" w:hAnsi="宋体" w:eastAsia="宋体" w:cs="Times New Roman"/>
          <w:sz w:val="21"/>
          <w:szCs w:val="21"/>
          <w:lang w:val="en-US" w:eastAsia="zh-CN"/>
        </w:rPr>
        <w:t>A</w:t>
      </w:r>
      <w:r>
        <w:rPr>
          <w:rFonts w:hint="eastAsia" w:hAnsi="宋体" w:eastAsia="宋体" w:cs="Times New Roman"/>
          <w:sz w:val="21"/>
          <w:szCs w:val="21"/>
        </w:rPr>
        <w:t>。</w:t>
      </w:r>
    </w:p>
    <w:p>
      <w:pPr>
        <w:pStyle w:val="15"/>
        <w:numPr>
          <w:ilvl w:val="2"/>
          <w:numId w:val="1"/>
        </w:numPr>
        <w:adjustRightInd w:val="0"/>
        <w:snapToGrid w:val="0"/>
        <w:spacing w:line="360" w:lineRule="auto"/>
        <w:ind w:left="567" w:firstLine="0" w:firstLineChars="0"/>
        <w:rPr>
          <w:rFonts w:hint="eastAsia" w:ascii="黑体" w:hAnsi="黑体"/>
          <w:sz w:val="21"/>
          <w:szCs w:val="21"/>
        </w:rPr>
      </w:pPr>
    </w:p>
    <w:p>
      <w:pPr>
        <w:pStyle w:val="15"/>
        <w:numPr>
          <w:ilvl w:val="0"/>
          <w:numId w:val="0"/>
        </w:numPr>
        <w:adjustRightInd w:val="0"/>
        <w:snapToGrid w:val="0"/>
        <w:spacing w:line="360" w:lineRule="auto"/>
        <w:ind w:left="567" w:firstLine="0" w:firstLineChars="0"/>
        <w:rPr>
          <w:rFonts w:hint="eastAsia" w:ascii="黑体" w:hAnsi="黑体"/>
          <w:sz w:val="21"/>
          <w:szCs w:val="21"/>
        </w:rPr>
      </w:pPr>
      <w:r>
        <w:rPr>
          <w:rFonts w:hint="eastAsia" w:ascii="黑体" w:hAnsi="黑体"/>
          <w:sz w:val="21"/>
          <w:szCs w:val="21"/>
        </w:rPr>
        <w:t>理化鉴别。</w:t>
      </w:r>
    </w:p>
    <w:p>
      <w:pPr>
        <w:pStyle w:val="13"/>
        <w:adjustRightInd w:val="0"/>
        <w:snapToGrid w:val="0"/>
        <w:spacing w:line="360" w:lineRule="auto"/>
        <w:ind w:firstLine="360"/>
        <w:rPr>
          <w:rFonts w:hint="eastAsia" w:hAnsi="宋体" w:eastAsia="宋体" w:cs="Times New Roman"/>
          <w:sz w:val="21"/>
          <w:szCs w:val="21"/>
        </w:rPr>
      </w:pPr>
      <w:r>
        <w:rPr>
          <w:rFonts w:hint="eastAsia" w:hAnsi="宋体"/>
          <w:sz w:val="21"/>
          <w:szCs w:val="21"/>
        </w:rPr>
        <w:t>见附录</w:t>
      </w:r>
      <w:r>
        <w:rPr>
          <w:rFonts w:hint="eastAsia" w:hAnsi="宋体"/>
          <w:sz w:val="21"/>
          <w:szCs w:val="21"/>
          <w:lang w:val="en-US" w:eastAsia="zh-CN"/>
        </w:rPr>
        <w:t>B</w:t>
      </w:r>
      <w:r>
        <w:rPr>
          <w:rFonts w:hint="eastAsia" w:hAnsi="宋体"/>
          <w:sz w:val="21"/>
          <w:szCs w:val="21"/>
        </w:rPr>
        <w:t>。</w:t>
      </w:r>
    </w:p>
    <w:p>
      <w:pPr>
        <w:pStyle w:val="14"/>
        <w:numPr>
          <w:ilvl w:val="1"/>
          <w:numId w:val="1"/>
        </w:numPr>
        <w:spacing w:before="312" w:beforeLines="100" w:after="312" w:afterLines="100"/>
        <w:rPr>
          <w:sz w:val="21"/>
          <w:szCs w:val="21"/>
        </w:rPr>
      </w:pPr>
      <w:bookmarkStart w:id="18" w:name="_Toc23795"/>
      <w:r>
        <w:rPr>
          <w:rFonts w:hint="eastAsia"/>
          <w:sz w:val="21"/>
          <w:szCs w:val="21"/>
        </w:rPr>
        <w:t>结果判定</w:t>
      </w:r>
      <w:bookmarkEnd w:id="18"/>
    </w:p>
    <w:p>
      <w:pPr>
        <w:pStyle w:val="15"/>
        <w:numPr>
          <w:ilvl w:val="2"/>
          <w:numId w:val="1"/>
        </w:numPr>
        <w:adjustRightInd w:val="0"/>
        <w:snapToGrid w:val="0"/>
        <w:spacing w:line="360" w:lineRule="auto"/>
        <w:rPr>
          <w:rFonts w:hint="eastAsia" w:ascii="宋体" w:hAnsi="宋体" w:eastAsia="宋体"/>
          <w:sz w:val="21"/>
          <w:szCs w:val="21"/>
        </w:rPr>
      </w:pPr>
    </w:p>
    <w:p>
      <w:pPr>
        <w:pStyle w:val="15"/>
        <w:adjustRightInd w:val="0"/>
        <w:snapToGrid w:val="0"/>
        <w:spacing w:line="360" w:lineRule="auto"/>
        <w:rPr>
          <w:rFonts w:hint="eastAsia" w:hAnsi="宋体"/>
          <w:sz w:val="21"/>
          <w:szCs w:val="21"/>
        </w:rPr>
      </w:pPr>
      <w:r>
        <w:rPr>
          <w:rFonts w:hint="eastAsia" w:ascii="黑体" w:hAnsi="黑体" w:cs="Times New Roman"/>
          <w:sz w:val="21"/>
          <w:szCs w:val="21"/>
          <w:lang w:eastAsia="zh-CN"/>
        </w:rPr>
        <w:t>初步筛查</w:t>
      </w:r>
      <w:r>
        <w:rPr>
          <w:rFonts w:hint="eastAsia" w:hAnsi="宋体"/>
          <w:sz w:val="21"/>
          <w:szCs w:val="21"/>
        </w:rPr>
        <w:t>。</w:t>
      </w:r>
    </w:p>
    <w:p>
      <w:pPr>
        <w:pStyle w:val="13"/>
        <w:ind w:firstLine="360"/>
        <w:rPr>
          <w:rFonts w:hint="eastAsia"/>
          <w:sz w:val="21"/>
          <w:szCs w:val="21"/>
        </w:rPr>
      </w:pPr>
      <w:r>
        <w:rPr>
          <w:rFonts w:hint="eastAsia" w:hAnsi="宋体"/>
          <w:sz w:val="21"/>
          <w:szCs w:val="21"/>
          <w:lang w:eastAsia="zh-CN"/>
        </w:rPr>
        <w:t>见表</w:t>
      </w:r>
      <w:r>
        <w:rPr>
          <w:rFonts w:hint="eastAsia" w:hAnsi="宋体"/>
          <w:sz w:val="21"/>
          <w:szCs w:val="21"/>
          <w:lang w:val="en-US" w:eastAsia="zh-CN"/>
        </w:rPr>
        <w:t>1。</w:t>
      </w:r>
    </w:p>
    <w:p>
      <w:pPr>
        <w:pStyle w:val="13"/>
        <w:ind w:firstLine="3253" w:firstLineChars="1800"/>
        <w:rPr>
          <w:rFonts w:hint="eastAsia" w:hAnsi="宋体"/>
          <w:b/>
          <w:sz w:val="18"/>
          <w:szCs w:val="18"/>
        </w:rPr>
      </w:pPr>
    </w:p>
    <w:p>
      <w:pPr>
        <w:pStyle w:val="13"/>
        <w:ind w:firstLine="3253" w:firstLineChars="1800"/>
        <w:rPr>
          <w:rFonts w:hint="eastAsia" w:hAnsi="宋体"/>
          <w:b/>
          <w:sz w:val="18"/>
          <w:szCs w:val="18"/>
        </w:rPr>
      </w:pPr>
    </w:p>
    <w:p>
      <w:pPr>
        <w:pStyle w:val="13"/>
        <w:ind w:left="0" w:leftChars="0" w:firstLine="0" w:firstLineChars="0"/>
        <w:jc w:val="center"/>
        <w:rPr>
          <w:rFonts w:hint="eastAsia" w:hAnsi="宋体"/>
          <w:sz w:val="18"/>
          <w:szCs w:val="18"/>
        </w:rPr>
      </w:pPr>
      <w:r>
        <w:rPr>
          <w:rFonts w:hint="eastAsia" w:hAnsi="宋体"/>
          <w:b/>
          <w:sz w:val="18"/>
          <w:szCs w:val="18"/>
        </w:rPr>
        <w:t>表1  野生冬虫夏草与人工虫草差异</w:t>
      </w:r>
    </w:p>
    <w:tbl>
      <w:tblPr>
        <w:tblStyle w:val="8"/>
        <w:tblW w:w="8642" w:type="dxa"/>
        <w:tblInd w:w="113" w:type="dxa"/>
        <w:tblLayout w:type="fixed"/>
        <w:tblCellMar>
          <w:top w:w="0" w:type="dxa"/>
          <w:left w:w="108" w:type="dxa"/>
          <w:bottom w:w="0" w:type="dxa"/>
          <w:right w:w="108" w:type="dxa"/>
        </w:tblCellMar>
      </w:tblPr>
      <w:tblGrid>
        <w:gridCol w:w="2122"/>
        <w:gridCol w:w="3118"/>
        <w:gridCol w:w="3402"/>
      </w:tblGrid>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类别</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野生冬虫夏草</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人工虫草</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产地</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高寒草甸</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室内</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lang w:eastAsia="zh-CN"/>
              </w:rPr>
              <w:t>采集</w:t>
            </w:r>
            <w:r>
              <w:rPr>
                <w:rFonts w:hint="eastAsia" w:ascii="宋体" w:hAnsi="宋体"/>
                <w:b w:val="0"/>
                <w:bCs w:val="0"/>
                <w:kern w:val="0"/>
                <w:sz w:val="18"/>
                <w:szCs w:val="18"/>
              </w:rPr>
              <w:t>时间</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每年</w:t>
            </w:r>
            <w:r>
              <w:rPr>
                <w:rFonts w:ascii="宋体" w:hAnsi="宋体"/>
                <w:b w:val="0"/>
                <w:bCs w:val="0"/>
                <w:kern w:val="0"/>
                <w:sz w:val="18"/>
                <w:szCs w:val="18"/>
              </w:rPr>
              <w:t>5-6</w:t>
            </w:r>
            <w:r>
              <w:rPr>
                <w:rFonts w:hint="eastAsia" w:ascii="宋体" w:hAnsi="宋体"/>
                <w:b w:val="0"/>
                <w:bCs w:val="0"/>
                <w:kern w:val="0"/>
                <w:sz w:val="18"/>
                <w:szCs w:val="18"/>
              </w:rPr>
              <w:t>月仅</w:t>
            </w:r>
            <w:r>
              <w:rPr>
                <w:rFonts w:ascii="宋体" w:hAnsi="宋体"/>
                <w:b w:val="0"/>
                <w:bCs w:val="0"/>
                <w:kern w:val="0"/>
                <w:sz w:val="18"/>
                <w:szCs w:val="18"/>
              </w:rPr>
              <w:t>40</w:t>
            </w:r>
            <w:r>
              <w:rPr>
                <w:rFonts w:hint="eastAsia" w:ascii="宋体" w:hAnsi="宋体"/>
                <w:b w:val="0"/>
                <w:bCs w:val="0"/>
                <w:kern w:val="0"/>
                <w:sz w:val="18"/>
                <w:szCs w:val="18"/>
              </w:rPr>
              <w:t>天左右</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全年室内</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重量</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单体密度重量相对较重</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单体密度重量相对轻</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子座</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头部无明显变细变尖</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头部通体流畅，</w:t>
            </w:r>
            <w:r>
              <w:rPr>
                <w:rFonts w:ascii="宋体" w:hAnsi="宋体"/>
                <w:b w:val="0"/>
                <w:bCs w:val="0"/>
                <w:kern w:val="0"/>
                <w:sz w:val="18"/>
                <w:szCs w:val="18"/>
              </w:rPr>
              <w:t>无渐变色</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虫与草接洽的部位形状</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饱满</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有凹陷</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虫体眼睛</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眼睛被土壤包裹、棕色、未下垂</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眼睛未被土壤包裹、红色、下垂</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颈部</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颈部未变细弯曲</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颈部突然变细弯曲</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背纹</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三宽一窄背纹明显</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背纹不明显或杂乱</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腹足</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中间</w:t>
            </w:r>
            <w:r>
              <w:rPr>
                <w:rFonts w:ascii="宋体" w:hAnsi="宋体"/>
                <w:b w:val="0"/>
                <w:bCs w:val="0"/>
                <w:kern w:val="0"/>
                <w:sz w:val="18"/>
                <w:szCs w:val="18"/>
              </w:rPr>
              <w:t>4</w:t>
            </w:r>
            <w:r>
              <w:rPr>
                <w:rFonts w:hint="eastAsia" w:ascii="宋体" w:hAnsi="宋体"/>
                <w:b w:val="0"/>
                <w:bCs w:val="0"/>
                <w:kern w:val="0"/>
                <w:sz w:val="18"/>
                <w:szCs w:val="18"/>
              </w:rPr>
              <w:t>对凸出</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中间</w:t>
            </w:r>
            <w:r>
              <w:rPr>
                <w:rFonts w:ascii="宋体" w:hAnsi="宋体"/>
                <w:b w:val="0"/>
                <w:bCs w:val="0"/>
                <w:kern w:val="0"/>
                <w:sz w:val="18"/>
                <w:szCs w:val="18"/>
              </w:rPr>
              <w:t>4</w:t>
            </w:r>
            <w:r>
              <w:rPr>
                <w:rFonts w:hint="eastAsia" w:ascii="宋体" w:hAnsi="宋体"/>
                <w:b w:val="0"/>
                <w:bCs w:val="0"/>
                <w:kern w:val="0"/>
                <w:sz w:val="18"/>
                <w:szCs w:val="18"/>
              </w:rPr>
              <w:t>对不明显</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虫体颜色</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通体土黄色或黄棕色、颜色分布均匀</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颜色分布不均匀</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消化</w:t>
            </w:r>
            <w:r>
              <w:rPr>
                <w:rFonts w:hint="eastAsia" w:ascii="宋体" w:hAnsi="宋体"/>
                <w:b w:val="0"/>
                <w:bCs w:val="0"/>
                <w:kern w:val="0"/>
                <w:sz w:val="18"/>
                <w:szCs w:val="18"/>
                <w:lang w:eastAsia="zh-CN"/>
              </w:rPr>
              <w:t>腺</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清晰</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不清晰或无</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饱满度</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整体圆润饱满腹部相对凸出</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整体不够饱满腹部无明显凸出</w:t>
            </w:r>
          </w:p>
        </w:tc>
      </w:tr>
      <w:tr>
        <w:tblPrEx>
          <w:tblLayout w:type="fixed"/>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气味</w:t>
            </w:r>
          </w:p>
        </w:tc>
        <w:tc>
          <w:tcPr>
            <w:tcW w:w="311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浓郁</w:t>
            </w:r>
          </w:p>
        </w:tc>
        <w:tc>
          <w:tcPr>
            <w:tcW w:w="340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b w:val="0"/>
                <w:bCs w:val="0"/>
                <w:kern w:val="0"/>
                <w:sz w:val="18"/>
                <w:szCs w:val="18"/>
              </w:rPr>
            </w:pPr>
            <w:r>
              <w:rPr>
                <w:rFonts w:hint="eastAsia" w:ascii="宋体" w:hAnsi="宋体"/>
                <w:b w:val="0"/>
                <w:bCs w:val="0"/>
                <w:kern w:val="0"/>
                <w:sz w:val="18"/>
                <w:szCs w:val="18"/>
              </w:rPr>
              <w:t>几乎无味</w:t>
            </w:r>
          </w:p>
        </w:tc>
      </w:tr>
    </w:tbl>
    <w:p>
      <w:pPr>
        <w:pStyle w:val="13"/>
        <w:ind w:firstLine="420"/>
      </w:pPr>
    </w:p>
    <w:p>
      <w:pPr>
        <w:pStyle w:val="15"/>
        <w:numPr>
          <w:ilvl w:val="2"/>
          <w:numId w:val="1"/>
        </w:numPr>
        <w:adjustRightInd w:val="0"/>
        <w:snapToGrid w:val="0"/>
        <w:spacing w:line="360" w:lineRule="auto"/>
        <w:ind w:left="567"/>
        <w:rPr>
          <w:rFonts w:hint="eastAsia" w:ascii="宋体" w:hAnsi="宋体" w:eastAsia="宋体"/>
          <w:sz w:val="18"/>
          <w:szCs w:val="18"/>
        </w:rPr>
      </w:pPr>
      <w:r>
        <w:rPr>
          <w:rFonts w:hint="eastAsia" w:ascii="宋体" w:hAnsi="宋体" w:eastAsia="宋体"/>
          <w:sz w:val="18"/>
          <w:szCs w:val="18"/>
        </w:rPr>
        <w:t xml:space="preserve">  </w:t>
      </w: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sz w:val="21"/>
          <w:szCs w:val="21"/>
          <w:lang w:eastAsia="zh-CN"/>
        </w:rPr>
        <w:t>分子生物学鉴别。</w:t>
      </w:r>
    </w:p>
    <w:p>
      <w:pPr>
        <w:pStyle w:val="13"/>
        <w:ind w:firstLine="360"/>
        <w:rPr>
          <w:rFonts w:hint="eastAsia" w:hAnsi="宋体"/>
          <w:b/>
          <w:sz w:val="21"/>
          <w:szCs w:val="21"/>
        </w:rPr>
      </w:pPr>
      <w:r>
        <w:rPr>
          <w:rFonts w:hint="eastAsia" w:hAnsi="宋体"/>
          <w:sz w:val="21"/>
          <w:szCs w:val="21"/>
          <w:lang w:eastAsia="zh-CN"/>
        </w:rPr>
        <w:t>见表</w:t>
      </w:r>
      <w:r>
        <w:rPr>
          <w:rFonts w:hint="eastAsia" w:hAnsi="宋体"/>
          <w:sz w:val="21"/>
          <w:szCs w:val="21"/>
          <w:lang w:val="en-US" w:eastAsia="zh-CN"/>
        </w:rPr>
        <w:t>2。</w:t>
      </w:r>
    </w:p>
    <w:p>
      <w:pPr>
        <w:pStyle w:val="13"/>
        <w:ind w:firstLine="3253" w:firstLineChars="1800"/>
        <w:rPr>
          <w:rFonts w:hint="eastAsia" w:hAnsi="宋体"/>
          <w:b/>
          <w:sz w:val="18"/>
          <w:szCs w:val="18"/>
        </w:rPr>
      </w:pPr>
      <w:r>
        <w:rPr>
          <w:rFonts w:hint="eastAsia" w:hAnsi="宋体"/>
          <w:b/>
          <w:sz w:val="18"/>
          <w:szCs w:val="18"/>
        </w:rPr>
        <w:t>表</w:t>
      </w:r>
      <w:r>
        <w:rPr>
          <w:rFonts w:hint="eastAsia" w:hAnsi="宋体"/>
          <w:b/>
          <w:sz w:val="18"/>
          <w:szCs w:val="18"/>
          <w:lang w:val="en-US" w:eastAsia="zh-CN"/>
        </w:rPr>
        <w:t>2</w:t>
      </w:r>
      <w:r>
        <w:rPr>
          <w:rFonts w:hint="eastAsia" w:hAnsi="宋体"/>
          <w:b/>
          <w:sz w:val="18"/>
          <w:szCs w:val="18"/>
        </w:rPr>
        <w:t xml:space="preserve">  野生冬虫夏草与人工虫草</w:t>
      </w:r>
      <w:r>
        <w:rPr>
          <w:rFonts w:hint="eastAsia" w:hAnsi="宋体"/>
          <w:b/>
          <w:sz w:val="18"/>
          <w:szCs w:val="18"/>
          <w:lang w:eastAsia="zh-CN"/>
        </w:rPr>
        <w:t>寄主</w:t>
      </w:r>
      <w:r>
        <w:rPr>
          <w:rFonts w:hint="eastAsia" w:hAnsi="宋体"/>
          <w:b/>
          <w:sz w:val="18"/>
          <w:szCs w:val="18"/>
        </w:rPr>
        <w:t>差异</w:t>
      </w:r>
    </w:p>
    <w:tbl>
      <w:tblPr>
        <w:tblStyle w:val="8"/>
        <w:tblW w:w="8522" w:type="dxa"/>
        <w:tblInd w:w="0" w:type="dxa"/>
        <w:tblLayout w:type="fixed"/>
        <w:tblCellMar>
          <w:top w:w="0" w:type="dxa"/>
          <w:left w:w="108" w:type="dxa"/>
          <w:bottom w:w="0" w:type="dxa"/>
          <w:right w:w="108" w:type="dxa"/>
        </w:tblCellMar>
      </w:tblPr>
      <w:tblGrid>
        <w:gridCol w:w="2092"/>
        <w:gridCol w:w="3074"/>
        <w:gridCol w:w="3356"/>
      </w:tblGrid>
      <w:tr>
        <w:tblPrEx>
          <w:tblLayout w:type="fixed"/>
          <w:tblCellMar>
            <w:top w:w="0" w:type="dxa"/>
            <w:left w:w="108" w:type="dxa"/>
            <w:bottom w:w="0" w:type="dxa"/>
            <w:right w:w="108" w:type="dxa"/>
          </w:tblCellMar>
        </w:tblPrEx>
        <w:trPr>
          <w:trHeight w:val="454" w:hRule="atLeast"/>
        </w:trPr>
        <w:tc>
          <w:tcPr>
            <w:tcW w:w="209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类别</w:t>
            </w:r>
          </w:p>
        </w:tc>
        <w:tc>
          <w:tcPr>
            <w:tcW w:w="3074"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野生冬虫夏草</w:t>
            </w:r>
          </w:p>
        </w:tc>
        <w:tc>
          <w:tcPr>
            <w:tcW w:w="3356"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人工虫草</w:t>
            </w:r>
          </w:p>
        </w:tc>
      </w:tr>
      <w:tr>
        <w:tblPrEx>
          <w:tblLayout w:type="fixed"/>
          <w:tblCellMar>
            <w:top w:w="0" w:type="dxa"/>
            <w:left w:w="108" w:type="dxa"/>
            <w:bottom w:w="0" w:type="dxa"/>
            <w:right w:w="108" w:type="dxa"/>
          </w:tblCellMar>
        </w:tblPrEx>
        <w:trPr>
          <w:trHeight w:val="454" w:hRule="atLeast"/>
        </w:trPr>
        <w:tc>
          <w:tcPr>
            <w:tcW w:w="209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寄主</w:t>
            </w:r>
          </w:p>
        </w:tc>
        <w:tc>
          <w:tcPr>
            <w:tcW w:w="3074"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其它蝠蛾</w:t>
            </w:r>
          </w:p>
        </w:tc>
        <w:tc>
          <w:tcPr>
            <w:tcW w:w="3356"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小金蝠蛾</w:t>
            </w:r>
          </w:p>
        </w:tc>
      </w:tr>
    </w:tbl>
    <w:p>
      <w:pPr>
        <w:pStyle w:val="13"/>
        <w:adjustRightInd w:val="0"/>
        <w:snapToGrid w:val="0"/>
        <w:ind w:left="0" w:firstLine="0" w:firstLineChars="0"/>
        <w:rPr>
          <w:rFonts w:hint="eastAsia" w:hAnsi="宋体" w:eastAsia="宋体"/>
          <w:sz w:val="18"/>
          <w:szCs w:val="18"/>
        </w:rPr>
      </w:pPr>
    </w:p>
    <w:p>
      <w:pPr>
        <w:pStyle w:val="15"/>
        <w:numPr>
          <w:ilvl w:val="2"/>
          <w:numId w:val="1"/>
        </w:numPr>
        <w:adjustRightInd w:val="0"/>
        <w:snapToGrid w:val="0"/>
        <w:spacing w:line="360" w:lineRule="auto"/>
        <w:ind w:left="567" w:firstLine="0" w:firstLineChars="0"/>
        <w:rPr>
          <w:rFonts w:hint="eastAsia" w:ascii="宋体" w:hAnsi="宋体" w:eastAsia="宋体"/>
          <w:sz w:val="18"/>
          <w:szCs w:val="18"/>
        </w:rPr>
      </w:pPr>
    </w:p>
    <w:p>
      <w:pPr>
        <w:pStyle w:val="15"/>
        <w:adjustRightInd w:val="0"/>
        <w:snapToGrid w:val="0"/>
        <w:spacing w:line="360" w:lineRule="auto"/>
        <w:ind w:firstLine="420" w:firstLineChars="200"/>
        <w:rPr>
          <w:rFonts w:hint="eastAsia" w:ascii="黑体" w:hAnsi="黑体"/>
          <w:sz w:val="21"/>
          <w:szCs w:val="21"/>
        </w:rPr>
      </w:pPr>
      <w:r>
        <w:rPr>
          <w:rFonts w:hint="eastAsia" w:ascii="黑体" w:hAnsi="黑体" w:eastAsia="黑体"/>
          <w:sz w:val="21"/>
          <w:szCs w:val="21"/>
          <w:lang w:eastAsia="zh-CN"/>
        </w:rPr>
        <w:t>理化指标</w:t>
      </w:r>
      <w:r>
        <w:rPr>
          <w:rFonts w:hint="eastAsia" w:ascii="黑体" w:hAnsi="黑体"/>
          <w:sz w:val="21"/>
          <w:szCs w:val="21"/>
        </w:rPr>
        <w:t>。</w:t>
      </w:r>
    </w:p>
    <w:p>
      <w:pPr>
        <w:pStyle w:val="16"/>
        <w:numPr>
          <w:ilvl w:val="3"/>
          <w:numId w:val="1"/>
        </w:numPr>
        <w:adjustRightInd w:val="0"/>
        <w:snapToGrid w:val="0"/>
        <w:spacing w:line="360" w:lineRule="auto"/>
        <w:ind w:firstLine="640"/>
        <w:rPr>
          <w:rFonts w:hint="eastAsia" w:ascii="宋体" w:hAnsi="宋体" w:eastAsia="宋体"/>
          <w:sz w:val="21"/>
          <w:szCs w:val="21"/>
        </w:rPr>
      </w:pPr>
      <w:r>
        <w:rPr>
          <w:rFonts w:hint="eastAsia" w:ascii="宋体" w:hAnsi="宋体" w:eastAsia="宋体"/>
          <w:sz w:val="21"/>
          <w:szCs w:val="21"/>
          <w:lang w:eastAsia="zh-CN"/>
        </w:rPr>
        <w:t>砷的含量</w:t>
      </w:r>
    </w:p>
    <w:p>
      <w:pPr>
        <w:pStyle w:val="16"/>
        <w:numPr>
          <w:ilvl w:val="-1"/>
          <w:numId w:val="0"/>
        </w:numPr>
        <w:adjustRightInd w:val="0"/>
        <w:snapToGrid w:val="0"/>
        <w:spacing w:line="360" w:lineRule="auto"/>
        <w:ind w:left="640" w:firstLine="0"/>
        <w:rPr>
          <w:rFonts w:hint="eastAsia" w:ascii="宋体" w:hAnsi="宋体" w:eastAsia="宋体"/>
          <w:sz w:val="21"/>
          <w:szCs w:val="21"/>
          <w:lang w:val="en-US" w:eastAsia="zh-CN"/>
        </w:rPr>
      </w:pPr>
      <w:r>
        <w:rPr>
          <w:rFonts w:hint="eastAsia" w:ascii="宋体" w:hAnsi="宋体" w:eastAsia="宋体"/>
          <w:sz w:val="21"/>
          <w:szCs w:val="21"/>
          <w:lang w:eastAsia="zh-CN"/>
        </w:rPr>
        <w:t>见表</w:t>
      </w:r>
      <w:r>
        <w:rPr>
          <w:rFonts w:hint="eastAsia" w:ascii="宋体" w:hAnsi="宋体" w:eastAsia="宋体"/>
          <w:sz w:val="21"/>
          <w:szCs w:val="21"/>
          <w:lang w:val="en-US" w:eastAsia="zh-CN"/>
        </w:rPr>
        <w:t>3。</w:t>
      </w:r>
    </w:p>
    <w:p>
      <w:pPr>
        <w:pStyle w:val="13"/>
        <w:adjustRightInd w:val="0"/>
        <w:snapToGrid w:val="0"/>
        <w:ind w:firstLine="0" w:firstLineChars="0"/>
        <w:jc w:val="center"/>
        <w:rPr>
          <w:rFonts w:hint="eastAsia" w:ascii="宋体" w:hAnsi="宋体" w:eastAsiaTheme="minorEastAsia"/>
          <w:b/>
          <w:sz w:val="18"/>
          <w:szCs w:val="18"/>
        </w:rPr>
      </w:pPr>
      <w:r>
        <w:rPr>
          <w:rFonts w:hint="eastAsia" w:ascii="宋体" w:hAnsi="宋体" w:eastAsiaTheme="minorEastAsia"/>
          <w:b/>
          <w:sz w:val="18"/>
          <w:szCs w:val="18"/>
        </w:rPr>
        <w:t>表</w:t>
      </w:r>
      <w:r>
        <w:rPr>
          <w:rFonts w:hint="eastAsia" w:ascii="宋体" w:hAnsi="宋体" w:eastAsiaTheme="minorEastAsia"/>
          <w:b/>
          <w:sz w:val="18"/>
          <w:szCs w:val="18"/>
          <w:lang w:val="en-US" w:eastAsia="zh-CN"/>
        </w:rPr>
        <w:t>3</w:t>
      </w:r>
      <w:r>
        <w:rPr>
          <w:rFonts w:hint="eastAsia" w:ascii="宋体" w:hAnsi="宋体" w:eastAsiaTheme="minorEastAsia"/>
          <w:b/>
          <w:sz w:val="18"/>
          <w:szCs w:val="18"/>
        </w:rPr>
        <w:t xml:space="preserve">  野生冬虫夏草与人工虫草砷的差异</w:t>
      </w:r>
    </w:p>
    <w:tbl>
      <w:tblPr>
        <w:tblStyle w:val="8"/>
        <w:tblW w:w="8519" w:type="dxa"/>
        <w:tblInd w:w="0" w:type="dxa"/>
        <w:tblLayout w:type="fixed"/>
        <w:tblCellMar>
          <w:top w:w="0" w:type="dxa"/>
          <w:left w:w="108" w:type="dxa"/>
          <w:bottom w:w="0" w:type="dxa"/>
          <w:right w:w="108" w:type="dxa"/>
        </w:tblCellMar>
      </w:tblPr>
      <w:tblGrid>
        <w:gridCol w:w="3992"/>
        <w:gridCol w:w="2396"/>
        <w:gridCol w:w="2131"/>
      </w:tblGrid>
      <w:tr>
        <w:tblPrEx>
          <w:tblLayout w:type="fixed"/>
          <w:tblCellMar>
            <w:top w:w="0" w:type="dxa"/>
            <w:left w:w="108" w:type="dxa"/>
            <w:bottom w:w="0" w:type="dxa"/>
            <w:right w:w="108" w:type="dxa"/>
          </w:tblCellMar>
        </w:tblPrEx>
        <w:trPr>
          <w:trHeight w:val="454" w:hRule="atLeast"/>
        </w:trPr>
        <w:tc>
          <w:tcPr>
            <w:tcW w:w="399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类别</w:t>
            </w:r>
          </w:p>
        </w:tc>
        <w:tc>
          <w:tcPr>
            <w:tcW w:w="2396" w:type="dxa"/>
            <w:tcBorders>
              <w:top w:val="single" w:color="auto" w:sz="4" w:space="0"/>
              <w:left w:val="nil"/>
              <w:bottom w:val="single" w:color="auto" w:sz="4" w:space="0"/>
              <w:right w:val="single" w:color="auto" w:sz="4" w:space="0"/>
            </w:tcBorders>
            <w:vAlign w:val="center"/>
          </w:tcPr>
          <w:p>
            <w:pPr>
              <w:widowControl/>
              <w:snapToGrid w:val="0"/>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野生冬虫夏草</w:t>
            </w:r>
          </w:p>
        </w:tc>
        <w:tc>
          <w:tcPr>
            <w:tcW w:w="2131"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人工冬虫夏草</w:t>
            </w:r>
          </w:p>
        </w:tc>
      </w:tr>
      <w:tr>
        <w:tblPrEx>
          <w:tblLayout w:type="fixed"/>
          <w:tblCellMar>
            <w:top w:w="0" w:type="dxa"/>
            <w:left w:w="108" w:type="dxa"/>
            <w:bottom w:w="0" w:type="dxa"/>
            <w:right w:w="108" w:type="dxa"/>
          </w:tblCellMar>
        </w:tblPrEx>
        <w:trPr>
          <w:trHeight w:val="454" w:hRule="atLeast"/>
        </w:trPr>
        <w:tc>
          <w:tcPr>
            <w:tcW w:w="3992" w:type="dxa"/>
            <w:tcBorders>
              <w:top w:val="nil"/>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xml:space="preserve">无机砷与总砷比例  </w:t>
            </w:r>
          </w:p>
        </w:tc>
        <w:tc>
          <w:tcPr>
            <w:tcW w:w="2396" w:type="dxa"/>
            <w:tcBorders>
              <w:top w:val="nil"/>
              <w:left w:val="nil"/>
              <w:bottom w:val="single" w:color="auto" w:sz="4" w:space="0"/>
              <w:right w:val="single" w:color="auto" w:sz="4" w:space="0"/>
            </w:tcBorders>
            <w:vAlign w:val="center"/>
          </w:tcPr>
          <w:p>
            <w:pPr>
              <w:widowControl/>
              <w:snapToGrid w:val="0"/>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约＜ 10 %</w:t>
            </w:r>
          </w:p>
        </w:tc>
        <w:tc>
          <w:tcPr>
            <w:tcW w:w="2131" w:type="dxa"/>
            <w:tcBorders>
              <w:top w:val="nil"/>
              <w:left w:val="nil"/>
              <w:bottom w:val="single" w:color="auto" w:sz="4" w:space="0"/>
              <w:right w:val="single" w:color="auto" w:sz="4" w:space="0"/>
            </w:tcBorders>
            <w:vAlign w:val="center"/>
          </w:tcPr>
          <w:p>
            <w:pPr>
              <w:pStyle w:val="33"/>
              <w:widowControl/>
              <w:snapToGrid w:val="0"/>
              <w:ind w:left="360" w:firstLine="0" w:firstLineChars="0"/>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约＞ 30 %</w:t>
            </w:r>
          </w:p>
        </w:tc>
      </w:tr>
    </w:tbl>
    <w:p>
      <w:pPr>
        <w:pStyle w:val="16"/>
        <w:numPr>
          <w:ilvl w:val="-1"/>
          <w:numId w:val="0"/>
        </w:numPr>
        <w:adjustRightInd w:val="0"/>
        <w:snapToGrid w:val="0"/>
        <w:spacing w:line="360" w:lineRule="auto"/>
        <w:ind w:left="640" w:firstLine="0"/>
        <w:rPr>
          <w:rFonts w:hint="eastAsia" w:ascii="宋体" w:hAnsi="宋体" w:eastAsia="宋体"/>
          <w:sz w:val="18"/>
          <w:szCs w:val="18"/>
          <w:lang w:val="en-US" w:eastAsia="zh-CN"/>
        </w:rPr>
      </w:pPr>
    </w:p>
    <w:p>
      <w:pPr>
        <w:pStyle w:val="16"/>
        <w:numPr>
          <w:ilvl w:val="3"/>
          <w:numId w:val="1"/>
        </w:numPr>
        <w:adjustRightInd w:val="0"/>
        <w:snapToGrid w:val="0"/>
        <w:spacing w:line="360" w:lineRule="auto"/>
        <w:ind w:firstLine="640"/>
        <w:rPr>
          <w:rFonts w:hint="eastAsia" w:ascii="宋体" w:hAnsi="宋体" w:eastAsia="宋体" w:cs="Times New Roman"/>
          <w:sz w:val="21"/>
          <w:szCs w:val="21"/>
        </w:rPr>
      </w:pPr>
      <w:r>
        <w:rPr>
          <w:rFonts w:hint="eastAsia" w:ascii="宋体" w:hAnsi="宋体" w:eastAsia="宋体" w:cs="Times New Roman"/>
          <w:sz w:val="21"/>
          <w:szCs w:val="21"/>
          <w:lang w:eastAsia="zh-CN"/>
        </w:rPr>
        <w:t>微量元素及稳定同位素</w:t>
      </w:r>
    </w:p>
    <w:p>
      <w:pPr>
        <w:pStyle w:val="16"/>
        <w:numPr>
          <w:ilvl w:val="-1"/>
          <w:numId w:val="0"/>
        </w:numPr>
        <w:adjustRightInd w:val="0"/>
        <w:snapToGrid w:val="0"/>
        <w:spacing w:line="360" w:lineRule="auto"/>
        <w:ind w:left="640" w:firstLine="0"/>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见表</w:t>
      </w:r>
      <w:r>
        <w:rPr>
          <w:rFonts w:hint="eastAsia" w:ascii="宋体" w:hAnsi="宋体" w:eastAsia="宋体" w:cs="Times New Roman"/>
          <w:sz w:val="21"/>
          <w:szCs w:val="21"/>
          <w:lang w:val="en-US" w:eastAsia="zh-CN"/>
        </w:rPr>
        <w:t>4。</w:t>
      </w:r>
    </w:p>
    <w:p>
      <w:pPr>
        <w:pStyle w:val="13"/>
        <w:adjustRightInd w:val="0"/>
        <w:snapToGrid w:val="0"/>
        <w:ind w:firstLine="0" w:firstLineChars="0"/>
        <w:jc w:val="center"/>
        <w:rPr>
          <w:rFonts w:hint="eastAsia" w:ascii="宋体" w:hAnsi="宋体" w:eastAsiaTheme="minorEastAsia"/>
          <w:b/>
          <w:sz w:val="18"/>
          <w:szCs w:val="18"/>
        </w:rPr>
      </w:pPr>
    </w:p>
    <w:p>
      <w:pPr>
        <w:pStyle w:val="13"/>
        <w:adjustRightInd w:val="0"/>
        <w:snapToGrid w:val="0"/>
        <w:ind w:firstLine="0" w:firstLineChars="0"/>
        <w:jc w:val="center"/>
        <w:rPr>
          <w:rFonts w:hint="eastAsia" w:ascii="宋体" w:hAnsi="宋体" w:eastAsiaTheme="minorEastAsia"/>
          <w:b/>
          <w:sz w:val="18"/>
          <w:szCs w:val="18"/>
        </w:rPr>
      </w:pPr>
      <w:r>
        <w:rPr>
          <w:rFonts w:hint="eastAsia" w:ascii="宋体" w:hAnsi="宋体" w:eastAsiaTheme="minorEastAsia"/>
          <w:b/>
          <w:sz w:val="18"/>
          <w:szCs w:val="18"/>
        </w:rPr>
        <w:t>表</w:t>
      </w:r>
      <w:r>
        <w:rPr>
          <w:rFonts w:hint="eastAsia" w:hAnsi="宋体"/>
          <w:b/>
          <w:sz w:val="18"/>
          <w:szCs w:val="18"/>
          <w:lang w:val="en-US" w:eastAsia="zh-CN"/>
        </w:rPr>
        <w:t>4</w:t>
      </w:r>
      <w:r>
        <w:rPr>
          <w:rFonts w:hint="eastAsia" w:ascii="宋体" w:hAnsi="宋体" w:eastAsiaTheme="minorEastAsia"/>
          <w:b/>
          <w:sz w:val="18"/>
          <w:szCs w:val="18"/>
        </w:rPr>
        <w:t xml:space="preserve">  野生冬虫夏草与人工虫草中元素和稳定同位素的差异</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471"/>
        <w:gridCol w:w="2825"/>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2" w:type="dxa"/>
            <w:gridSpan w:val="2"/>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元素（单位）</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野生冬虫夏草</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人工冬虫夏草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restart"/>
            <w:vAlign w:val="center"/>
          </w:tcPr>
          <w:p>
            <w:pPr>
              <w:widowControl/>
              <w:snapToGrid/>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lang w:eastAsia="zh-CN"/>
              </w:rPr>
              <w:t>微量元素</w:t>
            </w: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Na（ppm）</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735.0928~1238.8873</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1818.7491~2305.5494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Al（ppb）</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214158.7545~784715.3165</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889290.7118~904577.4969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P（ppm）</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3043.5253~3538.2176</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6001.0128~6722.7212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K（ppm）</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5317.229~6401.6349</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8188.2929~8423.7271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Cd（ppb）</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61.31170~75.3648</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322.8841~329.8326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Au（ppb）</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0.5541~3.3262</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4.61212~8.9364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U（ppb）</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21.2206~54.5581</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83.3847~90.7867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restart"/>
            <w:vAlign w:val="center"/>
          </w:tcPr>
          <w:p>
            <w:pPr>
              <w:widowControl/>
              <w:snapToGrid/>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lang w:eastAsia="zh-CN"/>
              </w:rPr>
              <w:t>稳定同位素</w:t>
            </w: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δ18O（‰）</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33.64~38.27</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rPr>
            </w:pPr>
            <w:r>
              <w:rPr>
                <w:rFonts w:hint="default" w:ascii="Times New Roman" w:hAnsi="Times New Roman" w:eastAsia="宋体" w:cs="Times New Roman"/>
                <w:b w:val="0"/>
                <w:bCs/>
                <w:color w:val="000000"/>
                <w:kern w:val="0"/>
                <w:sz w:val="18"/>
                <w:szCs w:val="18"/>
              </w:rPr>
              <w:t>31.48~31.64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δ13C（‰）</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rPr>
            </w:pPr>
            <w:r>
              <w:rPr>
                <w:rFonts w:hint="default" w:ascii="Times New Roman" w:hAnsi="Times New Roman" w:eastAsia="宋体" w:cs="Times New Roman"/>
                <w:b w:val="0"/>
                <w:bCs/>
                <w:color w:val="000000"/>
                <w:kern w:val="0"/>
                <w:sz w:val="18"/>
                <w:szCs w:val="18"/>
              </w:rPr>
              <w:t>26.8~27.8</w:t>
            </w:r>
            <w:r>
              <w:rPr>
                <w:rFonts w:hint="default" w:ascii="Times New Roman" w:hAnsi="Times New Roman" w:eastAsia="宋体" w:cs="Times New Roman"/>
                <w:b w:val="0"/>
                <w:bCs/>
                <w:color w:val="000000"/>
                <w:kern w:val="0"/>
                <w:sz w:val="18"/>
                <w:szCs w:val="18"/>
                <w:lang w:val="en-US" w:eastAsia="zh-CN"/>
              </w:rPr>
              <w:t>0</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rPr>
            </w:pPr>
            <w:r>
              <w:rPr>
                <w:rFonts w:hint="default" w:ascii="Times New Roman" w:hAnsi="Times New Roman" w:eastAsia="宋体" w:cs="Times New Roman"/>
                <w:b w:val="0"/>
                <w:bCs/>
                <w:color w:val="000000"/>
                <w:kern w:val="0"/>
                <w:sz w:val="18"/>
                <w:szCs w:val="18"/>
              </w:rPr>
              <w:t>27.9~28.6</w:t>
            </w:r>
            <w:r>
              <w:rPr>
                <w:rFonts w:hint="default" w:ascii="Times New Roman" w:hAnsi="Times New Roman" w:eastAsia="宋体" w:cs="Times New Roman"/>
                <w:b w:val="0"/>
                <w:bCs/>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Merge w:val="continue"/>
            <w:vAlign w:val="bottom"/>
          </w:tcPr>
          <w:p>
            <w:pPr>
              <w:widowControl/>
              <w:snapToGrid w:val="0"/>
              <w:jc w:val="left"/>
              <w:rPr>
                <w:rFonts w:hint="default" w:ascii="Times New Roman" w:hAnsi="Times New Roman" w:eastAsia="宋体" w:cs="Times New Roman"/>
                <w:b w:val="0"/>
                <w:bCs/>
                <w:color w:val="000000"/>
                <w:kern w:val="0"/>
                <w:sz w:val="18"/>
                <w:szCs w:val="18"/>
              </w:rPr>
            </w:pPr>
          </w:p>
        </w:tc>
        <w:tc>
          <w:tcPr>
            <w:tcW w:w="1471" w:type="dxa"/>
            <w:shd w:val="clear" w:color="auto" w:fill="auto"/>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bidi="ar-SA"/>
              </w:rPr>
            </w:pPr>
            <w:r>
              <w:rPr>
                <w:rFonts w:hint="default" w:ascii="Times New Roman" w:hAnsi="Times New Roman" w:eastAsia="宋体" w:cs="Times New Roman"/>
                <w:b w:val="0"/>
                <w:bCs/>
                <w:color w:val="000000"/>
                <w:kern w:val="0"/>
                <w:sz w:val="18"/>
                <w:szCs w:val="18"/>
              </w:rPr>
              <w:t>δ15N（‰）</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rPr>
            </w:pPr>
            <w:r>
              <w:rPr>
                <w:rFonts w:hint="default" w:ascii="Times New Roman" w:hAnsi="Times New Roman" w:eastAsia="宋体" w:cs="Times New Roman"/>
                <w:b w:val="0"/>
                <w:bCs/>
                <w:color w:val="000000"/>
                <w:kern w:val="0"/>
                <w:sz w:val="18"/>
                <w:szCs w:val="18"/>
              </w:rPr>
              <w:t>0.1~0.5</w:t>
            </w:r>
            <w:r>
              <w:rPr>
                <w:rFonts w:hint="default" w:ascii="Times New Roman" w:hAnsi="Times New Roman" w:eastAsia="宋体" w:cs="Times New Roman"/>
                <w:b w:val="0"/>
                <w:bCs/>
                <w:color w:val="000000"/>
                <w:kern w:val="0"/>
                <w:sz w:val="18"/>
                <w:szCs w:val="18"/>
                <w:lang w:val="en-US" w:eastAsia="zh-CN"/>
              </w:rPr>
              <w:t>0</w:t>
            </w:r>
          </w:p>
        </w:tc>
        <w:tc>
          <w:tcPr>
            <w:tcW w:w="2825" w:type="dxa"/>
            <w:vAlign w:val="bottom"/>
          </w:tcPr>
          <w:p>
            <w:pPr>
              <w:widowControl/>
              <w:snapToGrid w:val="0"/>
              <w:jc w:val="left"/>
              <w:rPr>
                <w:rFonts w:hint="default" w:ascii="Times New Roman" w:hAnsi="Times New Roman" w:eastAsia="宋体" w:cs="Times New Roman"/>
                <w:b w:val="0"/>
                <w:bCs/>
                <w:color w:val="000000"/>
                <w:kern w:val="0"/>
                <w:sz w:val="18"/>
                <w:szCs w:val="18"/>
                <w:lang w:val="en-US" w:eastAsia="zh-CN"/>
              </w:rPr>
            </w:pPr>
            <w:r>
              <w:rPr>
                <w:rFonts w:hint="default" w:ascii="Times New Roman" w:hAnsi="Times New Roman" w:eastAsia="宋体" w:cs="Times New Roman"/>
                <w:b w:val="0"/>
                <w:bCs/>
                <w:color w:val="000000"/>
                <w:kern w:val="0"/>
                <w:sz w:val="18"/>
                <w:szCs w:val="18"/>
              </w:rPr>
              <w:t>0.8~1.2</w:t>
            </w:r>
            <w:r>
              <w:rPr>
                <w:rFonts w:hint="default" w:ascii="Times New Roman" w:hAnsi="Times New Roman" w:eastAsia="宋体" w:cs="Times New Roman"/>
                <w:b w:val="0"/>
                <w:bCs/>
                <w:color w:val="000000"/>
                <w:kern w:val="0"/>
                <w:sz w:val="18"/>
                <w:szCs w:val="18"/>
                <w:lang w:val="en-US" w:eastAsia="zh-CN"/>
              </w:rPr>
              <w:t>0</w:t>
            </w:r>
          </w:p>
        </w:tc>
      </w:tr>
    </w:tbl>
    <w:p>
      <w:pPr>
        <w:pStyle w:val="16"/>
        <w:numPr>
          <w:ilvl w:val="-1"/>
          <w:numId w:val="0"/>
        </w:numPr>
        <w:adjustRightInd w:val="0"/>
        <w:snapToGrid w:val="0"/>
        <w:spacing w:line="360" w:lineRule="auto"/>
        <w:ind w:left="640" w:firstLine="0"/>
        <w:rPr>
          <w:rFonts w:hint="eastAsia" w:ascii="宋体" w:hAnsi="宋体" w:eastAsia="宋体" w:cs="Times New Roman"/>
          <w:sz w:val="18"/>
          <w:szCs w:val="18"/>
          <w:lang w:val="en-US" w:eastAsia="zh-CN"/>
        </w:rPr>
      </w:pPr>
    </w:p>
    <w:p>
      <w:pPr>
        <w:pStyle w:val="16"/>
        <w:numPr>
          <w:ilvl w:val="3"/>
          <w:numId w:val="1"/>
        </w:numPr>
        <w:adjustRightInd w:val="0"/>
        <w:snapToGrid w:val="0"/>
        <w:spacing w:line="360" w:lineRule="auto"/>
        <w:ind w:firstLine="640"/>
        <w:rPr>
          <w:rFonts w:hint="eastAsia" w:ascii="宋体" w:hAnsi="宋体" w:eastAsia="宋体" w:cs="Times New Roman"/>
          <w:sz w:val="21"/>
          <w:szCs w:val="21"/>
        </w:rPr>
      </w:pPr>
      <w:r>
        <w:rPr>
          <w:rFonts w:hint="eastAsia" w:ascii="宋体" w:hAnsi="宋体" w:eastAsia="宋体" w:cs="Times New Roman"/>
          <w:sz w:val="21"/>
          <w:szCs w:val="21"/>
          <w:lang w:eastAsia="zh-CN"/>
        </w:rPr>
        <w:t>氨基酸及</w:t>
      </w:r>
      <w:r>
        <w:rPr>
          <w:rFonts w:hint="eastAsia" w:ascii="宋体" w:hAnsi="宋体" w:eastAsia="宋体" w:cs="Times New Roman"/>
          <w:sz w:val="21"/>
          <w:szCs w:val="21"/>
        </w:rPr>
        <w:t>蛋白质</w:t>
      </w:r>
    </w:p>
    <w:p>
      <w:pPr>
        <w:pStyle w:val="13"/>
        <w:ind w:firstLine="360"/>
        <w:rPr>
          <w:rFonts w:hint="eastAsia" w:hAnsi="宋体"/>
          <w:sz w:val="21"/>
          <w:szCs w:val="21"/>
          <w:lang w:val="en-US" w:eastAsia="zh-CN"/>
        </w:rPr>
      </w:pPr>
      <w:r>
        <w:rPr>
          <w:rFonts w:hint="eastAsia" w:hAnsi="宋体"/>
          <w:sz w:val="21"/>
          <w:szCs w:val="21"/>
          <w:lang w:eastAsia="zh-CN"/>
        </w:rPr>
        <w:t>见表</w:t>
      </w:r>
      <w:r>
        <w:rPr>
          <w:rFonts w:hint="eastAsia" w:hAnsi="宋体"/>
          <w:sz w:val="21"/>
          <w:szCs w:val="21"/>
          <w:lang w:val="en-US" w:eastAsia="zh-CN"/>
        </w:rPr>
        <w:t>5。</w:t>
      </w:r>
    </w:p>
    <w:p>
      <w:pPr>
        <w:pStyle w:val="13"/>
        <w:ind w:left="0" w:leftChars="0" w:firstLine="0" w:firstLineChars="0"/>
        <w:jc w:val="center"/>
        <w:rPr>
          <w:rFonts w:hint="eastAsia" w:ascii="宋体" w:hAnsi="宋体" w:eastAsiaTheme="minorEastAsia"/>
          <w:b/>
          <w:sz w:val="18"/>
          <w:szCs w:val="18"/>
        </w:rPr>
      </w:pPr>
      <w:r>
        <w:rPr>
          <w:rFonts w:hint="eastAsia" w:ascii="宋体" w:hAnsi="宋体" w:eastAsiaTheme="minorEastAsia"/>
          <w:b/>
          <w:sz w:val="18"/>
          <w:szCs w:val="18"/>
        </w:rPr>
        <w:t>表</w:t>
      </w:r>
      <w:r>
        <w:rPr>
          <w:rFonts w:hint="eastAsia" w:ascii="宋体" w:hAnsi="宋体" w:eastAsiaTheme="minorEastAsia"/>
          <w:b/>
          <w:sz w:val="18"/>
          <w:szCs w:val="18"/>
          <w:lang w:val="en-US" w:eastAsia="zh-CN"/>
        </w:rPr>
        <w:t>5</w:t>
      </w:r>
      <w:r>
        <w:rPr>
          <w:rFonts w:hint="eastAsia" w:ascii="宋体" w:hAnsi="宋体" w:eastAsiaTheme="minorEastAsia"/>
          <w:b/>
          <w:sz w:val="18"/>
          <w:szCs w:val="18"/>
        </w:rPr>
        <w:t xml:space="preserve">  野生冬虫夏草与人工虫草有效成份差异</w:t>
      </w:r>
    </w:p>
    <w:tbl>
      <w:tblPr>
        <w:tblStyle w:val="8"/>
        <w:tblW w:w="8519" w:type="dxa"/>
        <w:tblInd w:w="0" w:type="dxa"/>
        <w:tblLayout w:type="fixed"/>
        <w:tblCellMar>
          <w:top w:w="0" w:type="dxa"/>
          <w:left w:w="108" w:type="dxa"/>
          <w:bottom w:w="0" w:type="dxa"/>
          <w:right w:w="108" w:type="dxa"/>
        </w:tblCellMar>
      </w:tblPr>
      <w:tblGrid>
        <w:gridCol w:w="3992"/>
        <w:gridCol w:w="2396"/>
        <w:gridCol w:w="2131"/>
      </w:tblGrid>
      <w:tr>
        <w:tblPrEx>
          <w:tblLayout w:type="fixed"/>
          <w:tblCellMar>
            <w:top w:w="0" w:type="dxa"/>
            <w:left w:w="108" w:type="dxa"/>
            <w:bottom w:w="0" w:type="dxa"/>
            <w:right w:w="108" w:type="dxa"/>
          </w:tblCellMar>
        </w:tblPrEx>
        <w:trPr>
          <w:trHeight w:val="510" w:hRule="atLeast"/>
        </w:trPr>
        <w:tc>
          <w:tcPr>
            <w:tcW w:w="3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类别</w:t>
            </w:r>
          </w:p>
        </w:tc>
        <w:tc>
          <w:tcPr>
            <w:tcW w:w="2396" w:type="dxa"/>
            <w:tcBorders>
              <w:top w:val="single" w:color="auto" w:sz="4" w:space="0"/>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野生冬虫夏草</w:t>
            </w:r>
          </w:p>
        </w:tc>
        <w:tc>
          <w:tcPr>
            <w:tcW w:w="2131" w:type="dxa"/>
            <w:tcBorders>
              <w:top w:val="single" w:color="auto" w:sz="4" w:space="0"/>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人工冬虫夏草</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必需氨基酸总量占氨基酸总量</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40.97 %</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37.55%</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虫体的必需氨基酸质量分数</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42.72 %</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37.52 %</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子座的必需氨基酸质量分数</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39.22 %</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37.57 %</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蛋白质含量</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0.65%</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0.57%</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冬虫夏草子座蛋白质含量</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0.89%</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0.54%</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差异蛋白多分布的范围</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15KD-75KD</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15KD-30KD</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蛋白质斑点数</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550</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364</w:t>
            </w:r>
          </w:p>
        </w:tc>
      </w:tr>
      <w:tr>
        <w:tblPrEx>
          <w:tblLayout w:type="fixed"/>
          <w:tblCellMar>
            <w:top w:w="0" w:type="dxa"/>
            <w:left w:w="108" w:type="dxa"/>
            <w:bottom w:w="0" w:type="dxa"/>
            <w:right w:w="108" w:type="dxa"/>
          </w:tblCellMar>
        </w:tblPrEx>
        <w:trPr>
          <w:trHeight w:val="510" w:hRule="atLeast"/>
        </w:trPr>
        <w:tc>
          <w:tcPr>
            <w:tcW w:w="3992" w:type="dxa"/>
            <w:tcBorders>
              <w:top w:val="nil"/>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子座蛋白质斑点数</w:t>
            </w:r>
          </w:p>
        </w:tc>
        <w:tc>
          <w:tcPr>
            <w:tcW w:w="2396"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535</w:t>
            </w:r>
          </w:p>
        </w:tc>
        <w:tc>
          <w:tcPr>
            <w:tcW w:w="2131" w:type="dxa"/>
            <w:tcBorders>
              <w:top w:val="nil"/>
              <w:left w:val="nil"/>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300</w:t>
            </w:r>
          </w:p>
        </w:tc>
      </w:tr>
    </w:tbl>
    <w:p>
      <w:pPr>
        <w:pStyle w:val="14"/>
        <w:numPr>
          <w:ilvl w:val="1"/>
          <w:numId w:val="1"/>
        </w:numPr>
        <w:spacing w:before="312" w:beforeLines="100" w:after="312" w:afterLines="100"/>
      </w:pPr>
      <w:bookmarkStart w:id="19" w:name="_Toc431"/>
      <w:r>
        <w:rPr>
          <w:rFonts w:hint="eastAsia"/>
        </w:rPr>
        <w:t>注意事项</w:t>
      </w:r>
      <w:bookmarkEnd w:id="19"/>
    </w:p>
    <w:p>
      <w:pPr>
        <w:pStyle w:val="13"/>
        <w:adjustRightInd w:val="0"/>
        <w:snapToGrid w:val="0"/>
        <w:spacing w:line="360" w:lineRule="auto"/>
        <w:ind w:firstLine="420" w:firstLineChars="200"/>
        <w:rPr>
          <w:rFonts w:hint="eastAsia" w:hAnsi="宋体"/>
          <w:sz w:val="21"/>
          <w:szCs w:val="21"/>
        </w:rPr>
      </w:pPr>
      <w:r>
        <w:rPr>
          <w:rFonts w:hint="eastAsia" w:hAnsi="宋体"/>
          <w:sz w:val="21"/>
          <w:szCs w:val="21"/>
        </w:rPr>
        <w:t>7.1 鉴别人员应经过专业培训，熟悉冬虫夏草生物学特性、鉴别技术原理及操作流程，具备丰富实践经验，确保鉴别结果可靠性。</w:t>
      </w:r>
    </w:p>
    <w:p>
      <w:pPr>
        <w:pStyle w:val="13"/>
        <w:adjustRightInd w:val="0"/>
        <w:snapToGrid w:val="0"/>
        <w:spacing w:line="360" w:lineRule="auto"/>
        <w:ind w:firstLine="360"/>
        <w:rPr>
          <w:rFonts w:hint="eastAsia" w:hAnsi="宋体"/>
          <w:sz w:val="21"/>
          <w:szCs w:val="21"/>
        </w:rPr>
      </w:pPr>
      <w:r>
        <w:rPr>
          <w:rFonts w:hint="eastAsia" w:hAnsi="宋体"/>
          <w:sz w:val="21"/>
          <w:szCs w:val="21"/>
        </w:rPr>
        <w:t>7.2 所使用的仪器设备、试剂耗材应定期校准、维护，保证检测数据精准度。</w:t>
      </w:r>
    </w:p>
    <w:p>
      <w:pPr>
        <w:pStyle w:val="13"/>
        <w:adjustRightInd w:val="0"/>
        <w:snapToGrid w:val="0"/>
        <w:spacing w:line="360" w:lineRule="auto"/>
        <w:ind w:firstLine="360"/>
        <w:rPr>
          <w:rFonts w:hint="eastAsia" w:hAnsi="宋体"/>
          <w:sz w:val="18"/>
          <w:szCs w:val="18"/>
        </w:rPr>
      </w:pPr>
      <w:r>
        <w:rPr>
          <w:rFonts w:hint="eastAsia" w:hAnsi="宋体"/>
          <w:sz w:val="21"/>
          <w:szCs w:val="21"/>
        </w:rPr>
        <w:t>7.3 鉴别过程严格遵循实验室规范，防止交叉污染，妥善保存样本及检测记录，以便追溯复查。</w:t>
      </w:r>
    </w:p>
    <w:p>
      <w:pPr>
        <w:pStyle w:val="13"/>
        <w:adjustRightInd w:val="0"/>
        <w:snapToGrid w:val="0"/>
        <w:spacing w:line="360" w:lineRule="auto"/>
        <w:ind w:firstLine="360"/>
        <w:rPr>
          <w:rFonts w:hint="eastAsia" w:hAnsi="宋体"/>
          <w:sz w:val="18"/>
          <w:szCs w:val="18"/>
        </w:rPr>
      </w:pPr>
    </w:p>
    <w:bookmarkEnd w:id="11"/>
    <w:p>
      <w:pPr>
        <w:adjustRightInd w:val="0"/>
        <w:snapToGrid w:val="0"/>
        <w:spacing w:line="360" w:lineRule="auto"/>
        <w:ind w:firstLine="420" w:firstLineChars="200"/>
        <w:rPr>
          <w:rFonts w:hint="eastAsia" w:ascii="宋体" w:hAnsi="宋体"/>
          <w:szCs w:val="30"/>
        </w:rPr>
      </w:pPr>
    </w:p>
    <w:p>
      <w:pPr>
        <w:snapToGrid w:val="0"/>
        <w:spacing w:line="360" w:lineRule="auto"/>
        <w:ind w:firstLine="420" w:firstLineChars="200"/>
        <w:contextualSpacing/>
        <w:rPr>
          <w:sz w:val="22"/>
        </w:rPr>
      </w:pPr>
      <w:r>
        <w:rPr>
          <w:rFonts w:ascii="宋体" w:hAnsi="宋体"/>
          <w:szCs w:val="30"/>
        </w:rPr>
        <w:br w:type="page"/>
      </w:r>
    </w:p>
    <w:p>
      <w:pPr>
        <w:pStyle w:val="14"/>
        <w:spacing w:before="312" w:beforeLines="100" w:after="312" w:afterLines="100"/>
        <w:jc w:val="center"/>
        <w:rPr>
          <w:rFonts w:hint="default" w:ascii="Times New Roman" w:hAnsi="Times New Roman" w:cs="Times New Roman"/>
        </w:rPr>
      </w:pPr>
      <w:bookmarkStart w:id="20" w:name="_Toc566"/>
      <w:r>
        <w:rPr>
          <w:rFonts w:hint="default" w:ascii="Times New Roman" w:hAnsi="Times New Roman" w:cs="Times New Roman"/>
        </w:rPr>
        <w:t>附录</w:t>
      </w:r>
      <w:r>
        <w:rPr>
          <w:rFonts w:hint="default" w:ascii="Times New Roman" w:hAnsi="Times New Roman" w:cs="Times New Roman"/>
          <w:lang w:val="en-US" w:eastAsia="zh-CN"/>
        </w:rPr>
        <w:t>A</w:t>
      </w:r>
      <w:bookmarkEnd w:id="20"/>
    </w:p>
    <w:p>
      <w:pPr>
        <w:snapToGrid w:val="0"/>
        <w:spacing w:before="156" w:beforeLines="50" w:after="240" w:line="276" w:lineRule="auto"/>
        <w:contextualSpacing/>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（规范性附录）</w:t>
      </w:r>
    </w:p>
    <w:p>
      <w:pPr>
        <w:snapToGrid w:val="0"/>
        <w:spacing w:before="156" w:beforeLines="50" w:after="240" w:line="276" w:lineRule="auto"/>
        <w:contextualSpacing/>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分子生物学鉴别法</w:t>
      </w:r>
    </w:p>
    <w:p>
      <w:pPr>
        <w:snapToGrid w:val="0"/>
        <w:spacing w:line="360" w:lineRule="auto"/>
        <w:ind w:firstLine="442" w:firstLineChars="200"/>
        <w:contextualSpacing/>
        <w:rPr>
          <w:rFonts w:hint="default" w:ascii="Times New Roman" w:hAnsi="Times New Roman" w:eastAsia="宋体" w:cs="Times New Roman"/>
          <w:b/>
          <w:bCs/>
          <w:sz w:val="22"/>
        </w:rPr>
      </w:pPr>
      <w:r>
        <w:rPr>
          <w:rFonts w:hint="default" w:ascii="Times New Roman" w:hAnsi="Times New Roman" w:eastAsia="宋体" w:cs="Times New Roman"/>
          <w:b/>
          <w:bCs/>
          <w:sz w:val="22"/>
        </w:rPr>
        <w:t>1.</w:t>
      </w:r>
      <w:r>
        <w:rPr>
          <w:rFonts w:hint="default" w:ascii="Times New Roman" w:hAnsi="Times New Roman" w:eastAsia="宋体" w:cs="Times New Roman"/>
          <w:b/>
          <w:bCs/>
          <w:sz w:val="22"/>
          <w:lang w:eastAsia="zh-CN"/>
        </w:rPr>
        <w:t>普通</w:t>
      </w:r>
      <w:r>
        <w:rPr>
          <w:rFonts w:hint="default" w:ascii="Times New Roman" w:hAnsi="Times New Roman" w:eastAsia="宋体" w:cs="Times New Roman"/>
          <w:b/>
          <w:bCs/>
          <w:sz w:val="22"/>
          <w:lang w:val="en-US" w:eastAsia="zh-CN"/>
        </w:rPr>
        <w:t>PCR检测法</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（1）DNA 提取：选取冬虫夏草样本（虫体部分），采用改进CTAB法对冬虫夏草样本（虫体部分）的总DNA进行提取</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称取冬虫夏草样品的虫体部分(取完子座剩余部分)的头部30mg放入研钵，加入适量液氮后研磨成均匀粉末。将研磨好的样品转移至2ml的已灭菌的离心管中，加入700 μL 65℃预热的2</w:t>
      </w:r>
      <w:r>
        <w:rPr>
          <w:rFonts w:hint="default" w:ascii="Times New Roman" w:hAnsi="Times New Roman" w:eastAsia="宋体" w:cs="Times New Roman"/>
          <w:sz w:val="22"/>
          <w:lang w:val="en-US" w:eastAsia="zh-CN"/>
        </w:rPr>
        <w:t>×</w:t>
      </w:r>
      <w:r>
        <w:rPr>
          <w:rFonts w:hint="default" w:ascii="Times New Roman" w:hAnsi="Times New Roman" w:eastAsia="宋体" w:cs="Times New Roman"/>
          <w:sz w:val="22"/>
        </w:rPr>
        <w:t>CTAB和2μL的β-巯基乙醇，混匀。将离心管放入恒温水浴锅中65℃保温80min,其间每隔10min摇匀一次。从水浴锅中取出离心管，向离心管中加入150μL的5mol/L的预冷的醋酸钾，在4℃冰箱内静置15min，取出离心管，再向内加入700μl氯仿:异戊醇(24:1),上下颠倒混匀后置于摇床摇20min,充分摇匀后12000rpm离心 10 min，将上清液转入新管中</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向新管中加入与上清液等体积的氯仿:异戊醇(24:1)，重复抽提，置于摇床摇20min，充分摇匀后12000 rpm 离心10min，再将上清液转入新管。在取得的上清液中加入其2/3 体积的-20℃预冷的异丙醇，轻轻颠倒数次混匀，-20℃冰箱沉淀1h。沉淀完全后，10000 rpm离心10min，弃掉上清液。向离心管内加入500μL的70%的乙醇洗涤沉淀，10000rpm离心5 min,重复2次。室温风干沉淀，每管加入100μL的1XTE缓冲液溶解沉淀。取5μL于1%的琼脂糖凝胶电泳上进行检测，其余的-20℃储存。</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PCR 扩增：针对冬虫夏草寄主蝠蛾特异性基因片段COI、COII和Cytb进行 PCR 扩增反应。</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冬虫夏草寄主昆虫的COI和COII基因片段的PCR扩增反应程序:</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94℃预变性1min;94℃变性1min，45℃复性1.5min，72℃延伸 1.25 min，6个循环;94℃变性1min，51℃复性1.5 min，72℃延伸1.25 min，36个循环;2℃延伸5 min，最后4℃保存。</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冬虫夏草寄主昆虫的Cytb基因片段的PCR扩增反应程序:</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94℃预变性5 min;94℃变性45 sec，46℃复性1min，72℃延伸1min，40个循环;72℃延伸10min，最后4℃保存。</w:t>
      </w:r>
    </w:p>
    <w:p>
      <w:pPr>
        <w:snapToGrid w:val="0"/>
        <w:spacing w:line="360" w:lineRule="auto"/>
        <w:ind w:firstLine="442" w:firstLineChars="200"/>
        <w:contextualSpacing/>
        <w:jc w:val="center"/>
        <w:rPr>
          <w:rFonts w:hint="default" w:ascii="Times New Roman" w:hAnsi="Times New Roman" w:eastAsia="宋体" w:cs="Times New Roman"/>
          <w:b/>
          <w:bCs/>
          <w:sz w:val="22"/>
        </w:rPr>
      </w:pPr>
      <w:r>
        <w:rPr>
          <w:rFonts w:hint="default" w:ascii="Times New Roman" w:hAnsi="Times New Roman" w:eastAsia="宋体" w:cs="Times New Roman"/>
          <w:b/>
          <w:bCs/>
          <w:sz w:val="22"/>
        </w:rPr>
        <w:t>表</w:t>
      </w:r>
      <w:r>
        <w:rPr>
          <w:rFonts w:hint="default" w:ascii="Times New Roman" w:hAnsi="Times New Roman" w:eastAsia="宋体" w:cs="Times New Roman"/>
          <w:b/>
          <w:bCs/>
          <w:sz w:val="22"/>
          <w:lang w:val="en-US" w:eastAsia="zh-CN"/>
        </w:rPr>
        <w:t>1</w:t>
      </w:r>
      <w:r>
        <w:rPr>
          <w:rFonts w:hint="default" w:ascii="Times New Roman" w:hAnsi="Times New Roman" w:eastAsia="宋体" w:cs="Times New Roman"/>
          <w:b/>
          <w:bCs/>
          <w:sz w:val="22"/>
        </w:rPr>
        <w:t xml:space="preserve"> 冬虫夏草寄主昆虫的3个目标基因片段所用引物序列</w:t>
      </w:r>
    </w:p>
    <w:tbl>
      <w:tblPr>
        <w:tblStyle w:val="9"/>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471"/>
        <w:gridCol w:w="1111"/>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center"/>
          </w:tcPr>
          <w:p>
            <w:pPr>
              <w:snapToGrid w:val="0"/>
              <w:spacing w:line="360" w:lineRule="auto"/>
              <w:ind w:firstLine="440" w:firstLineChars="200"/>
              <w:contextualSpacing/>
              <w:jc w:val="both"/>
              <w:rPr>
                <w:rFonts w:hint="default" w:ascii="Times New Roman" w:hAnsi="Times New Roman" w:eastAsia="宋体" w:cs="Times New Roman"/>
                <w:sz w:val="22"/>
              </w:rPr>
            </w:pPr>
            <w:r>
              <w:rPr>
                <w:rFonts w:hint="default" w:ascii="Times New Roman" w:hAnsi="Times New Roman" w:eastAsia="宋体" w:cs="Times New Roman"/>
                <w:sz w:val="22"/>
              </w:rPr>
              <w:t>Gene</w:t>
            </w:r>
          </w:p>
        </w:tc>
        <w:tc>
          <w:tcPr>
            <w:tcW w:w="1471" w:type="dxa"/>
            <w:vAlign w:val="center"/>
          </w:tcPr>
          <w:p>
            <w:pPr>
              <w:snapToGrid w:val="0"/>
              <w:spacing w:line="360" w:lineRule="auto"/>
              <w:ind w:firstLine="440" w:firstLineChars="200"/>
              <w:contextualSpacing/>
              <w:jc w:val="both"/>
              <w:rPr>
                <w:rFonts w:hint="default" w:ascii="Times New Roman" w:hAnsi="Times New Roman" w:eastAsia="宋体" w:cs="Times New Roman"/>
                <w:sz w:val="22"/>
              </w:rPr>
            </w:pPr>
            <w:r>
              <w:rPr>
                <w:rFonts w:hint="default" w:ascii="Times New Roman" w:hAnsi="Times New Roman" w:eastAsia="宋体" w:cs="Times New Roman"/>
                <w:sz w:val="22"/>
              </w:rPr>
              <w:t>Primer</w:t>
            </w:r>
          </w:p>
          <w:p>
            <w:pPr>
              <w:snapToGrid w:val="0"/>
              <w:spacing w:line="360" w:lineRule="auto"/>
              <w:ind w:firstLine="440" w:firstLineChars="200"/>
              <w:contextualSpacing/>
              <w:jc w:val="both"/>
              <w:rPr>
                <w:rFonts w:hint="default" w:ascii="Times New Roman" w:hAnsi="Times New Roman" w:eastAsia="宋体" w:cs="Times New Roman"/>
                <w:sz w:val="22"/>
              </w:rPr>
            </w:pPr>
            <w:r>
              <w:rPr>
                <w:rFonts w:hint="default" w:ascii="Times New Roman" w:hAnsi="Times New Roman" w:eastAsia="宋体" w:cs="Times New Roman"/>
                <w:sz w:val="22"/>
              </w:rPr>
              <w:t>name</w:t>
            </w:r>
          </w:p>
        </w:tc>
        <w:tc>
          <w:tcPr>
            <w:tcW w:w="1111" w:type="dxa"/>
            <w:vAlign w:val="center"/>
          </w:tcPr>
          <w:p>
            <w:pPr>
              <w:snapToGrid w:val="0"/>
              <w:spacing w:line="360" w:lineRule="auto"/>
              <w:ind w:firstLine="440" w:firstLineChars="200"/>
              <w:contextualSpacing/>
              <w:jc w:val="both"/>
              <w:rPr>
                <w:rFonts w:hint="default" w:ascii="Times New Roman" w:hAnsi="Times New Roman" w:eastAsia="宋体" w:cs="Times New Roman"/>
                <w:sz w:val="22"/>
              </w:rPr>
            </w:pPr>
            <w:r>
              <w:rPr>
                <w:rFonts w:hint="default" w:ascii="Times New Roman" w:hAnsi="Times New Roman" w:eastAsia="宋体" w:cs="Times New Roman"/>
                <w:sz w:val="22"/>
              </w:rPr>
              <w:t>F/R</w:t>
            </w:r>
          </w:p>
        </w:tc>
        <w:tc>
          <w:tcPr>
            <w:tcW w:w="4737" w:type="dxa"/>
            <w:vAlign w:val="center"/>
          </w:tcPr>
          <w:p>
            <w:pPr>
              <w:snapToGrid w:val="0"/>
              <w:spacing w:line="360" w:lineRule="auto"/>
              <w:ind w:firstLine="440" w:firstLineChars="200"/>
              <w:contextualSpacing/>
              <w:jc w:val="both"/>
              <w:rPr>
                <w:rFonts w:hint="default" w:ascii="Times New Roman" w:hAnsi="Times New Roman" w:eastAsia="宋体" w:cs="Times New Roman"/>
                <w:sz w:val="22"/>
              </w:rPr>
            </w:pPr>
            <w:r>
              <w:rPr>
                <w:rFonts w:hint="default" w:ascii="Times New Roman" w:hAnsi="Times New Roman" w:eastAsia="宋体" w:cs="Times New Roman"/>
                <w:sz w:val="22"/>
              </w:rPr>
              <w:t>Sequence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COI</w:t>
            </w: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Lco1490</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F</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GGTCAACAAATCATAAAGATATTG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Hco2198</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R</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TAAACTTCAGGGTGACCAAAAAAT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COII</w:t>
            </w: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COII-2</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F</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CTAATATGGCAGATTATATGTATTGGA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COII-3</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R</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GCTCCACAAATTTCTGAGCA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Cytb</w:t>
            </w: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CB1</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F</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TATGTACTACCATGAGGACAAATATC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p>
        </w:tc>
        <w:tc>
          <w:tcPr>
            <w:tcW w:w="147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CB2</w:t>
            </w:r>
          </w:p>
        </w:tc>
        <w:tc>
          <w:tcPr>
            <w:tcW w:w="1111"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R</w:t>
            </w:r>
          </w:p>
        </w:tc>
        <w:tc>
          <w:tcPr>
            <w:tcW w:w="4737" w:type="dxa"/>
            <w:vAlign w:val="bottom"/>
          </w:tcPr>
          <w:p>
            <w:pPr>
              <w:snapToGrid w:val="0"/>
              <w:spacing w:line="360" w:lineRule="auto"/>
              <w:ind w:firstLine="440" w:firstLineChars="200"/>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ATTACACCTCCTAATTTATTAGGAAT</w:t>
            </w:r>
          </w:p>
        </w:tc>
      </w:tr>
    </w:tbl>
    <w:p>
      <w:pPr>
        <w:snapToGrid w:val="0"/>
        <w:spacing w:line="360" w:lineRule="auto"/>
        <w:ind w:firstLine="440" w:firstLineChars="200"/>
        <w:contextualSpacing/>
        <w:rPr>
          <w:rFonts w:hint="default" w:ascii="Times New Roman" w:hAnsi="Times New Roman" w:eastAsia="宋体" w:cs="Times New Roman"/>
          <w:sz w:val="22"/>
        </w:rPr>
      </w:pPr>
    </w:p>
    <w:p>
      <w:pPr>
        <w:snapToGrid w:val="0"/>
        <w:spacing w:line="360" w:lineRule="auto"/>
        <w:ind w:firstLine="442" w:firstLineChars="200"/>
        <w:contextualSpacing/>
        <w:jc w:val="center"/>
        <w:rPr>
          <w:rFonts w:hint="default" w:ascii="Times New Roman" w:hAnsi="Times New Roman" w:eastAsia="宋体" w:cs="Times New Roman"/>
          <w:b/>
          <w:bCs/>
          <w:sz w:val="22"/>
        </w:rPr>
      </w:pPr>
      <w:r>
        <w:rPr>
          <w:rFonts w:hint="default" w:ascii="Times New Roman" w:hAnsi="Times New Roman" w:eastAsia="宋体" w:cs="Times New Roman"/>
          <w:b/>
          <w:bCs/>
          <w:sz w:val="22"/>
        </w:rPr>
        <w:t>表</w:t>
      </w:r>
      <w:r>
        <w:rPr>
          <w:rFonts w:hint="default" w:ascii="Times New Roman" w:hAnsi="Times New Roman" w:eastAsia="宋体" w:cs="Times New Roman"/>
          <w:b/>
          <w:bCs/>
          <w:sz w:val="22"/>
          <w:lang w:val="en-US" w:eastAsia="zh-CN"/>
        </w:rPr>
        <w:t>2</w:t>
      </w:r>
      <w:r>
        <w:rPr>
          <w:rFonts w:hint="default" w:ascii="Times New Roman" w:hAnsi="Times New Roman" w:eastAsia="宋体" w:cs="Times New Roman"/>
          <w:b/>
          <w:bCs/>
          <w:sz w:val="22"/>
        </w:rPr>
        <w:t xml:space="preserve"> 反应体系</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Total volume</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50.0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COI</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Lco1490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10x Buffer (Mg</w:t>
            </w:r>
            <w:r>
              <w:rPr>
                <w:rFonts w:hint="default" w:ascii="Times New Roman" w:hAnsi="Times New Roman" w:eastAsia="宋体" w:cs="Times New Roman"/>
                <w:sz w:val="22"/>
                <w:vertAlign w:val="superscript"/>
              </w:rPr>
              <w:t>2+</w:t>
            </w:r>
            <w:r>
              <w:rPr>
                <w:rFonts w:hint="default" w:ascii="Times New Roman" w:hAnsi="Times New Roman" w:eastAsia="宋体" w:cs="Times New Roman"/>
                <w:sz w:val="22"/>
              </w:rPr>
              <w:t>free)</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dNTPs (10 mmo/L)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MgCl</w:t>
            </w:r>
            <w:r>
              <w:rPr>
                <w:rFonts w:hint="default" w:ascii="Times New Roman" w:hAnsi="Times New Roman" w:eastAsia="宋体" w:cs="Times New Roman"/>
                <w:sz w:val="22"/>
                <w:vertAlign w:val="subscript"/>
              </w:rPr>
              <w:t>2</w:t>
            </w:r>
            <w:r>
              <w:rPr>
                <w:rFonts w:hint="default" w:ascii="Times New Roman" w:hAnsi="Times New Roman" w:eastAsia="宋体" w:cs="Times New Roman"/>
                <w:sz w:val="22"/>
              </w:rPr>
              <w:t>(25 mmol/L)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引物1(10 μmo/L)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引物2(10 μmol/L)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Ex TaqDNA 聚合酶(5 U/μL)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模板(20 ng/μL)</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4"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ddH</w:t>
            </w:r>
            <w:r>
              <w:rPr>
                <w:rFonts w:hint="default" w:ascii="Times New Roman" w:hAnsi="Times New Roman" w:eastAsia="宋体" w:cs="Times New Roman"/>
                <w:sz w:val="22"/>
                <w:vertAlign w:val="subscript"/>
              </w:rPr>
              <w:t>2</w:t>
            </w:r>
            <w:r>
              <w:rPr>
                <w:rFonts w:hint="default" w:ascii="Times New Roman" w:hAnsi="Times New Roman" w:eastAsia="宋体" w:cs="Times New Roman"/>
                <w:sz w:val="22"/>
              </w:rPr>
              <w:t>0</w:t>
            </w:r>
          </w:p>
        </w:tc>
        <w:tc>
          <w:tcPr>
            <w:tcW w:w="4696"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31.75</w:t>
            </w:r>
          </w:p>
        </w:tc>
      </w:tr>
    </w:tbl>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电泳分析：扩增结束后，将PCR产物用1.5%的琼脂糖凝胶电泳进行检测，并用紫外凝胶成像系统拍照。将扩增产物进行琼脂糖凝胶电泳，观察条带情况，切胶回收扩增条带送样测序，将测序得到的序列上传至NCBI进行Blast对比分析，明确寄主蝠蛾种类。</w:t>
      </w:r>
    </w:p>
    <w:p>
      <w:pPr>
        <w:snapToGrid w:val="0"/>
        <w:spacing w:line="360" w:lineRule="auto"/>
        <w:ind w:firstLine="442" w:firstLineChars="200"/>
        <w:contextualSpacing/>
        <w:rPr>
          <w:rFonts w:hint="default" w:ascii="Times New Roman" w:hAnsi="Times New Roman" w:eastAsia="宋体" w:cs="Times New Roman"/>
          <w:b/>
          <w:bCs/>
          <w:sz w:val="22"/>
        </w:rPr>
      </w:pPr>
      <w:r>
        <w:rPr>
          <w:rFonts w:hint="default" w:ascii="Times New Roman" w:hAnsi="Times New Roman" w:eastAsia="宋体" w:cs="Times New Roman"/>
          <w:b/>
          <w:bCs/>
          <w:sz w:val="22"/>
        </w:rPr>
        <w:t>2.</w:t>
      </w:r>
      <w:r>
        <w:rPr>
          <w:rFonts w:hint="default" w:ascii="Times New Roman" w:hAnsi="Times New Roman" w:eastAsia="宋体" w:cs="Times New Roman"/>
          <w:b/>
          <w:bCs/>
          <w:sz w:val="22"/>
          <w:lang w:eastAsia="zh-CN"/>
        </w:rPr>
        <w:t>实时荧光</w:t>
      </w:r>
      <w:r>
        <w:rPr>
          <w:rFonts w:hint="default" w:ascii="Times New Roman" w:hAnsi="Times New Roman" w:eastAsia="宋体" w:cs="Times New Roman"/>
          <w:b/>
          <w:bCs/>
          <w:sz w:val="22"/>
          <w:lang w:val="en-US" w:eastAsia="zh-CN"/>
        </w:rPr>
        <w:t>PCR检测法</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lang w:eastAsia="zh-CN"/>
        </w:rPr>
        <w:t>（</w:t>
      </w:r>
      <w:r>
        <w:rPr>
          <w:rFonts w:hint="default" w:ascii="Times New Roman" w:hAnsi="Times New Roman" w:eastAsia="宋体" w:cs="Times New Roman"/>
          <w:sz w:val="22"/>
          <w:lang w:val="en-US" w:eastAsia="zh-CN"/>
        </w:rPr>
        <w:t>1</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设计引物和探针</w:t>
      </w:r>
    </w:p>
    <w:p>
      <w:pPr>
        <w:snapToGrid w:val="0"/>
        <w:spacing w:line="360" w:lineRule="auto"/>
        <w:ind w:firstLine="440" w:firstLineChars="200"/>
        <w:contextualSpacing/>
        <w:rPr>
          <w:rFonts w:hint="default" w:ascii="Times New Roman" w:hAnsi="Times New Roman" w:eastAsia="宋体" w:cs="Times New Roman"/>
          <w:sz w:val="22"/>
          <w:lang w:eastAsia="zh-CN"/>
        </w:rPr>
      </w:pPr>
      <w:r>
        <w:rPr>
          <w:rFonts w:hint="default" w:ascii="Times New Roman" w:hAnsi="Times New Roman" w:eastAsia="宋体" w:cs="Times New Roman"/>
          <w:sz w:val="22"/>
        </w:rPr>
        <w:t>根据</w:t>
      </w:r>
      <w:r>
        <w:rPr>
          <w:rFonts w:hint="default" w:ascii="Times New Roman" w:hAnsi="Times New Roman" w:eastAsia="宋体" w:cs="Times New Roman"/>
          <w:sz w:val="22"/>
          <w:lang w:eastAsia="zh-CN"/>
        </w:rPr>
        <w:t>小金蝠蛾</w:t>
      </w:r>
      <w:r>
        <w:rPr>
          <w:rFonts w:hint="default" w:ascii="Times New Roman" w:hAnsi="Times New Roman" w:eastAsia="宋体" w:cs="Times New Roman"/>
          <w:sz w:val="22"/>
        </w:rPr>
        <w:t>线粒体DNA中部分基因的序列设计如下引物</w:t>
      </w:r>
      <w:r>
        <w:rPr>
          <w:rFonts w:hint="default" w:ascii="Times New Roman" w:hAnsi="Times New Roman" w:eastAsia="宋体" w:cs="Times New Roman"/>
          <w:sz w:val="22"/>
          <w:lang w:val="en-US" w:eastAsia="zh-CN"/>
        </w:rPr>
        <w:t>XJ</w:t>
      </w:r>
      <w:r>
        <w:rPr>
          <w:rFonts w:hint="default" w:ascii="Times New Roman" w:hAnsi="Times New Roman" w:eastAsia="宋体" w:cs="Times New Roman"/>
          <w:sz w:val="22"/>
        </w:rPr>
        <w:t>F</w:t>
      </w:r>
      <w:r>
        <w:rPr>
          <w:rFonts w:hint="default" w:ascii="Times New Roman" w:hAnsi="Times New Roman" w:eastAsia="宋体" w:cs="Times New Roman"/>
          <w:sz w:val="22"/>
          <w:lang w:val="en-US" w:eastAsia="zh-CN"/>
        </w:rPr>
        <w:t>2</w:t>
      </w:r>
      <w:r>
        <w:rPr>
          <w:rFonts w:hint="default" w:ascii="Times New Roman" w:hAnsi="Times New Roman" w:eastAsia="宋体" w:cs="Times New Roman"/>
          <w:sz w:val="22"/>
        </w:rPr>
        <w:t xml:space="preserve"> /</w:t>
      </w:r>
      <w:r>
        <w:rPr>
          <w:rFonts w:hint="default" w:ascii="Times New Roman" w:hAnsi="Times New Roman" w:eastAsia="宋体" w:cs="Times New Roman"/>
          <w:sz w:val="22"/>
          <w:lang w:val="en-US" w:eastAsia="zh-CN"/>
        </w:rPr>
        <w:t>XJ</w:t>
      </w:r>
      <w:r>
        <w:rPr>
          <w:rFonts w:hint="default" w:ascii="Times New Roman" w:hAnsi="Times New Roman" w:eastAsia="宋体" w:cs="Times New Roman"/>
          <w:sz w:val="22"/>
        </w:rPr>
        <w:t>R1和探针PC-MGB2</w:t>
      </w:r>
      <w:r>
        <w:rPr>
          <w:rFonts w:hint="default" w:ascii="Times New Roman" w:hAnsi="Times New Roman" w:eastAsia="宋体" w:cs="Times New Roman"/>
          <w:sz w:val="22"/>
          <w:lang w:eastAsia="zh-CN"/>
        </w:rPr>
        <w:t>，引物序列如表</w:t>
      </w:r>
      <w:r>
        <w:rPr>
          <w:rFonts w:hint="default" w:ascii="Times New Roman" w:hAnsi="Times New Roman" w:eastAsia="宋体" w:cs="Times New Roman"/>
          <w:sz w:val="22"/>
          <w:lang w:val="en-US" w:eastAsia="zh-CN"/>
        </w:rPr>
        <w:t>3</w:t>
      </w:r>
      <w:r>
        <w:rPr>
          <w:rFonts w:hint="default" w:ascii="Times New Roman" w:hAnsi="Times New Roman" w:eastAsia="宋体" w:cs="Times New Roman"/>
          <w:sz w:val="22"/>
          <w:lang w:eastAsia="zh-CN"/>
        </w:rPr>
        <w:t>。</w:t>
      </w:r>
    </w:p>
    <w:p>
      <w:pPr>
        <w:snapToGrid w:val="0"/>
        <w:spacing w:line="360" w:lineRule="auto"/>
        <w:ind w:firstLine="442" w:firstLineChars="200"/>
        <w:contextualSpacing/>
        <w:jc w:val="center"/>
        <w:rPr>
          <w:rFonts w:hint="default" w:ascii="Times New Roman" w:hAnsi="Times New Roman" w:eastAsia="宋体" w:cs="Times New Roman"/>
          <w:b/>
          <w:bCs/>
          <w:sz w:val="22"/>
        </w:rPr>
      </w:pPr>
      <w:r>
        <w:rPr>
          <w:rFonts w:hint="default" w:ascii="Times New Roman" w:hAnsi="Times New Roman" w:eastAsia="宋体" w:cs="Times New Roman"/>
          <w:b/>
          <w:bCs/>
          <w:sz w:val="22"/>
        </w:rPr>
        <w:t>表</w:t>
      </w:r>
      <w:r>
        <w:rPr>
          <w:rFonts w:hint="default" w:ascii="Times New Roman" w:hAnsi="Times New Roman" w:eastAsia="宋体" w:cs="Times New Roman"/>
          <w:b/>
          <w:bCs/>
          <w:sz w:val="22"/>
          <w:lang w:val="en-US" w:eastAsia="zh-CN"/>
        </w:rPr>
        <w:t>3</w:t>
      </w:r>
      <w:r>
        <w:rPr>
          <w:rFonts w:hint="default" w:ascii="Times New Roman" w:hAnsi="Times New Roman" w:eastAsia="宋体" w:cs="Times New Roman"/>
          <w:b/>
          <w:bCs/>
          <w:sz w:val="22"/>
        </w:rPr>
        <w:t xml:space="preserve"> 引物信息表</w:t>
      </w:r>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211"/>
        <w:gridCol w:w="963"/>
        <w:gridCol w:w="142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4"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Oligo Name</w:t>
            </w:r>
          </w:p>
        </w:tc>
        <w:tc>
          <w:tcPr>
            <w:tcW w:w="3211"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Sequences (5’to 3’)</w:t>
            </w:r>
          </w:p>
        </w:tc>
        <w:tc>
          <w:tcPr>
            <w:tcW w:w="963"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Length</w:t>
            </w:r>
          </w:p>
        </w:tc>
        <w:tc>
          <w:tcPr>
            <w:tcW w:w="1425"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Purification</w:t>
            </w:r>
          </w:p>
        </w:tc>
        <w:tc>
          <w:tcPr>
            <w:tcW w:w="1366"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4" w:type="dxa"/>
            <w:vAlign w:val="center"/>
          </w:tcPr>
          <w:p>
            <w:pPr>
              <w:snapToGrid w:val="0"/>
              <w:spacing w:line="360" w:lineRule="auto"/>
              <w:ind w:firstLine="440" w:firstLineChars="200"/>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XJF2</w:t>
            </w:r>
          </w:p>
        </w:tc>
        <w:tc>
          <w:tcPr>
            <w:tcW w:w="3211"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TTC CAT AGA CTA TCC CCC</w:t>
            </w:r>
          </w:p>
        </w:tc>
        <w:tc>
          <w:tcPr>
            <w:tcW w:w="963"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21</w:t>
            </w:r>
          </w:p>
        </w:tc>
        <w:tc>
          <w:tcPr>
            <w:tcW w:w="1425"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HPLC</w:t>
            </w:r>
          </w:p>
        </w:tc>
        <w:tc>
          <w:tcPr>
            <w:tcW w:w="1366" w:type="dxa"/>
            <w:vAlign w:val="center"/>
          </w:tcPr>
          <w:p>
            <w:pPr>
              <w:snapToGrid w:val="0"/>
              <w:spacing w:line="360" w:lineRule="auto"/>
              <w:ind w:firstLine="440" w:firstLineChars="200"/>
              <w:contextualSpacing/>
              <w:jc w:val="left"/>
              <w:rPr>
                <w:rFonts w:hint="default"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4" w:type="dxa"/>
            <w:vAlign w:val="center"/>
          </w:tcPr>
          <w:p>
            <w:pPr>
              <w:snapToGrid w:val="0"/>
              <w:spacing w:line="360" w:lineRule="auto"/>
              <w:ind w:firstLine="440" w:firstLineChars="200"/>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XJR2</w:t>
            </w:r>
          </w:p>
        </w:tc>
        <w:tc>
          <w:tcPr>
            <w:tcW w:w="3211"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GAT GGG CTC ATG TAA CAG TAA TTC C</w:t>
            </w:r>
          </w:p>
        </w:tc>
        <w:tc>
          <w:tcPr>
            <w:tcW w:w="963"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25</w:t>
            </w:r>
          </w:p>
        </w:tc>
        <w:tc>
          <w:tcPr>
            <w:tcW w:w="1425"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HPLC</w:t>
            </w:r>
          </w:p>
        </w:tc>
        <w:tc>
          <w:tcPr>
            <w:tcW w:w="1366" w:type="dxa"/>
            <w:vAlign w:val="center"/>
          </w:tcPr>
          <w:p>
            <w:pPr>
              <w:snapToGrid w:val="0"/>
              <w:spacing w:line="360" w:lineRule="auto"/>
              <w:ind w:firstLine="440" w:firstLineChars="200"/>
              <w:contextualSpacing/>
              <w:jc w:val="left"/>
              <w:rPr>
                <w:rFonts w:hint="default"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4"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PC-MGB2</w:t>
            </w:r>
          </w:p>
        </w:tc>
        <w:tc>
          <w:tcPr>
            <w:tcW w:w="3211"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TGA AAT TGG TAT AAT ATG GCC ACC</w:t>
            </w:r>
          </w:p>
        </w:tc>
        <w:tc>
          <w:tcPr>
            <w:tcW w:w="963"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24</w:t>
            </w:r>
          </w:p>
        </w:tc>
        <w:tc>
          <w:tcPr>
            <w:tcW w:w="1425"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HPLC</w:t>
            </w:r>
          </w:p>
        </w:tc>
        <w:tc>
          <w:tcPr>
            <w:tcW w:w="1366" w:type="dxa"/>
            <w:vAlign w:val="center"/>
          </w:tcPr>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5’6-FAM,</w:t>
            </w:r>
          </w:p>
          <w:p>
            <w:pPr>
              <w:snapToGrid w:val="0"/>
              <w:spacing w:line="360" w:lineRule="auto"/>
              <w:contextualSpacing/>
              <w:jc w:val="left"/>
              <w:rPr>
                <w:rFonts w:hint="default" w:ascii="Times New Roman" w:hAnsi="Times New Roman" w:eastAsia="宋体" w:cs="Times New Roman"/>
                <w:sz w:val="22"/>
              </w:rPr>
            </w:pPr>
            <w:r>
              <w:rPr>
                <w:rFonts w:hint="default" w:ascii="Times New Roman" w:hAnsi="Times New Roman" w:eastAsia="宋体" w:cs="Times New Roman"/>
                <w:sz w:val="22"/>
              </w:rPr>
              <w:t xml:space="preserve"> 3’MGB</w:t>
            </w:r>
          </w:p>
        </w:tc>
      </w:tr>
    </w:tbl>
    <w:p>
      <w:pPr>
        <w:snapToGrid w:val="0"/>
        <w:spacing w:line="360" w:lineRule="auto"/>
        <w:ind w:firstLine="440" w:firstLineChars="200"/>
        <w:contextualSpacing/>
        <w:rPr>
          <w:rFonts w:hint="default" w:ascii="Times New Roman" w:hAnsi="Times New Roman" w:eastAsia="宋体" w:cs="Times New Roman"/>
          <w:sz w:val="22"/>
          <w:lang w:eastAsia="zh-CN"/>
        </w:rPr>
      </w:pPr>
      <w:r>
        <w:rPr>
          <w:rFonts w:hint="default" w:ascii="Times New Roman" w:hAnsi="Times New Roman" w:eastAsia="宋体" w:cs="Times New Roman"/>
          <w:sz w:val="22"/>
          <w:lang w:eastAsia="zh-CN"/>
        </w:rPr>
        <w:t>（</w:t>
      </w:r>
      <w:r>
        <w:rPr>
          <w:rFonts w:hint="default" w:ascii="Times New Roman" w:hAnsi="Times New Roman" w:eastAsia="宋体" w:cs="Times New Roman"/>
          <w:sz w:val="22"/>
          <w:lang w:val="en-US" w:eastAsia="zh-CN"/>
        </w:rPr>
        <w:t>2</w:t>
      </w:r>
      <w:r>
        <w:rPr>
          <w:rFonts w:hint="default" w:ascii="Times New Roman" w:hAnsi="Times New Roman" w:eastAsia="宋体" w:cs="Times New Roman"/>
          <w:sz w:val="22"/>
          <w:lang w:eastAsia="zh-CN"/>
        </w:rPr>
        <w:t>）小金</w:t>
      </w:r>
      <w:r>
        <w:rPr>
          <w:rFonts w:hint="default" w:ascii="Times New Roman" w:hAnsi="Times New Roman" w:eastAsia="宋体" w:cs="Times New Roman"/>
          <w:sz w:val="22"/>
        </w:rPr>
        <w:t>蝠蛾DNA</w:t>
      </w:r>
      <w:r>
        <w:rPr>
          <w:rFonts w:hint="default" w:ascii="Times New Roman" w:hAnsi="Times New Roman" w:eastAsia="宋体" w:cs="Times New Roman"/>
          <w:sz w:val="22"/>
          <w:lang w:eastAsia="zh-CN"/>
        </w:rPr>
        <w:t>的提取</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选取冬虫夏草样本（虫体部分），采用改进CTAB法对冬虫夏草样本（虫体部分）的总DNA进行提取</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称取冬虫夏草样品的虫体部分(取完子座剩余部分)的头部30mg放入研钵，加入适量液氮后研磨成均匀粉末。将研磨好的样品转移至2ml的已灭菌的离心管中，加入700 μL 65℃预热的2</w:t>
      </w:r>
      <w:r>
        <w:rPr>
          <w:rFonts w:hint="default" w:ascii="Times New Roman" w:hAnsi="Times New Roman" w:eastAsia="宋体" w:cs="Times New Roman"/>
          <w:sz w:val="22"/>
          <w:lang w:val="en-US" w:eastAsia="zh-CN"/>
        </w:rPr>
        <w:t>×</w:t>
      </w:r>
      <w:r>
        <w:rPr>
          <w:rFonts w:hint="default" w:ascii="Times New Roman" w:hAnsi="Times New Roman" w:eastAsia="宋体" w:cs="Times New Roman"/>
          <w:sz w:val="22"/>
        </w:rPr>
        <w:t>CTAB和2μL的β-巯基乙醇，混匀。将离心管放入恒温水浴锅中65℃保温80min,其间每隔10min摇匀一次。从水浴锅中取出离心管，向离心管中加入150μL的5mol/L的预冷的醋酸钾，在4℃冰箱内静置15min，取出离心管，再向内加入700μl氯仿:异戊醇(24:1),上下颠倒混匀后置于摇床摇20min,充分摇匀后12000rpm离心 10 min，将上清液转入新管中</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向新管中加入与上清液等体积的氯仿:异戊醇(24:1)，重复抽提，置于摇床摇20min，充分摇匀后12000 rpm 离心10min，再将上清液转入新管。在取得的上清液中加入其2/3 体积的-20℃预冷的异丙醇，轻轻颠倒数次混匀，-20℃冰箱沉淀1h。沉淀完全后，10000 rpm离心10min，弃掉上清液。向离心管内加入500μL的70%的乙醇洗涤沉淀，10000rpm离心5 min,重复2次。室温风干沉淀，每管加入100μL的1XTE缓冲液溶解沉淀。取5μL于1%的琼脂糖凝胶电泳上进行检测，其余的-20℃储存。</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lang w:eastAsia="zh-CN"/>
        </w:rPr>
        <w:t>（</w:t>
      </w:r>
      <w:r>
        <w:rPr>
          <w:rFonts w:hint="default" w:ascii="Times New Roman" w:hAnsi="Times New Roman" w:eastAsia="宋体" w:cs="Times New Roman"/>
          <w:sz w:val="22"/>
          <w:lang w:val="en-US" w:eastAsia="zh-CN"/>
        </w:rPr>
        <w:t>3</w:t>
      </w:r>
      <w:r>
        <w:rPr>
          <w:rFonts w:hint="default" w:ascii="Times New Roman" w:hAnsi="Times New Roman" w:eastAsia="宋体" w:cs="Times New Roman"/>
          <w:sz w:val="22"/>
          <w:lang w:eastAsia="zh-CN"/>
        </w:rPr>
        <w:t>）</w:t>
      </w:r>
      <w:r>
        <w:rPr>
          <w:rFonts w:hint="default" w:ascii="Times New Roman" w:hAnsi="Times New Roman" w:eastAsia="宋体" w:cs="Times New Roman"/>
          <w:sz w:val="22"/>
        </w:rPr>
        <w:t>实时荧光PCR检测</w:t>
      </w:r>
    </w:p>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实时荧光定量PCR体系见表</w:t>
      </w:r>
      <w:r>
        <w:rPr>
          <w:rFonts w:hint="default" w:ascii="Times New Roman" w:hAnsi="Times New Roman" w:eastAsia="宋体" w:cs="Times New Roman"/>
          <w:sz w:val="22"/>
          <w:lang w:val="en-US" w:eastAsia="zh-CN"/>
        </w:rPr>
        <w:t>4</w:t>
      </w:r>
      <w:r>
        <w:rPr>
          <w:rFonts w:hint="default" w:ascii="Times New Roman" w:hAnsi="Times New Roman" w:eastAsia="宋体" w:cs="Times New Roman"/>
          <w:sz w:val="22"/>
        </w:rPr>
        <w:t>。</w:t>
      </w:r>
    </w:p>
    <w:p>
      <w:pPr>
        <w:snapToGrid w:val="0"/>
        <w:spacing w:line="360" w:lineRule="auto"/>
        <w:ind w:firstLine="442" w:firstLineChars="200"/>
        <w:contextualSpacing/>
        <w:jc w:val="center"/>
        <w:rPr>
          <w:rFonts w:hint="default" w:ascii="Times New Roman" w:hAnsi="Times New Roman" w:eastAsia="宋体" w:cs="Times New Roman"/>
          <w:b/>
          <w:bCs/>
          <w:sz w:val="22"/>
        </w:rPr>
      </w:pPr>
      <w:r>
        <w:rPr>
          <w:rFonts w:hint="default" w:ascii="Times New Roman" w:hAnsi="Times New Roman" w:eastAsia="宋体" w:cs="Times New Roman"/>
          <w:b/>
          <w:bCs/>
          <w:sz w:val="22"/>
        </w:rPr>
        <w:t>表</w:t>
      </w:r>
      <w:r>
        <w:rPr>
          <w:rFonts w:hint="default" w:ascii="Times New Roman" w:hAnsi="Times New Roman" w:eastAsia="宋体" w:cs="Times New Roman"/>
          <w:b/>
          <w:bCs/>
          <w:sz w:val="22"/>
          <w:lang w:val="en-US" w:eastAsia="zh-CN"/>
        </w:rPr>
        <w:t>4</w:t>
      </w:r>
      <w:r>
        <w:rPr>
          <w:rFonts w:hint="default" w:ascii="Times New Roman" w:hAnsi="Times New Roman" w:eastAsia="宋体" w:cs="Times New Roman"/>
          <w:b/>
          <w:bCs/>
          <w:sz w:val="22"/>
        </w:rPr>
        <w:t xml:space="preserve"> 实时荧光定量PCR体系</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21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Component</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20 µL System</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Final concentration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 FastFire qPCR PreMix</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10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Forward primer</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0.6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300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Reverse primer</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0.6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300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Probe</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0.4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DNA Template</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≤200 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7"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RNase-Free ddH</w:t>
            </w:r>
            <w:r>
              <w:rPr>
                <w:rFonts w:hint="default" w:ascii="Times New Roman" w:hAnsi="Times New Roman" w:eastAsia="宋体" w:cs="Times New Roman"/>
                <w:sz w:val="22"/>
                <w:vertAlign w:val="subscript"/>
              </w:rPr>
              <w:t>2</w:t>
            </w:r>
            <w:r>
              <w:rPr>
                <w:rFonts w:hint="default" w:ascii="Times New Roman" w:hAnsi="Times New Roman" w:eastAsia="宋体" w:cs="Times New Roman"/>
                <w:sz w:val="22"/>
              </w:rPr>
              <w:t>O</w:t>
            </w:r>
          </w:p>
        </w:tc>
        <w:tc>
          <w:tcPr>
            <w:tcW w:w="2192"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7.4 µL</w:t>
            </w:r>
          </w:p>
        </w:tc>
        <w:tc>
          <w:tcPr>
            <w:tcW w:w="2921" w:type="dxa"/>
            <w:vAlign w:val="top"/>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w:t>
            </w:r>
          </w:p>
        </w:tc>
      </w:tr>
    </w:tbl>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实时荧光定量PCR程序见表</w:t>
      </w:r>
      <w:r>
        <w:rPr>
          <w:rFonts w:hint="default" w:ascii="Times New Roman" w:hAnsi="Times New Roman" w:eastAsia="宋体" w:cs="Times New Roman"/>
          <w:sz w:val="22"/>
          <w:lang w:val="en-US" w:eastAsia="zh-CN"/>
        </w:rPr>
        <w:t>5</w:t>
      </w:r>
      <w:r>
        <w:rPr>
          <w:rFonts w:hint="default" w:ascii="Times New Roman" w:hAnsi="Times New Roman" w:eastAsia="宋体" w:cs="Times New Roman"/>
          <w:sz w:val="22"/>
        </w:rPr>
        <w:t>。</w:t>
      </w:r>
    </w:p>
    <w:p>
      <w:pPr>
        <w:snapToGrid w:val="0"/>
        <w:spacing w:line="360" w:lineRule="auto"/>
        <w:ind w:firstLine="442" w:firstLineChars="200"/>
        <w:contextualSpacing/>
        <w:jc w:val="center"/>
        <w:rPr>
          <w:rFonts w:hint="default" w:ascii="Times New Roman" w:hAnsi="Times New Roman" w:eastAsia="宋体" w:cs="Times New Roman"/>
          <w:b/>
          <w:bCs/>
          <w:sz w:val="22"/>
        </w:rPr>
      </w:pPr>
      <w:r>
        <w:rPr>
          <w:rFonts w:hint="default" w:ascii="Times New Roman" w:hAnsi="Times New Roman" w:eastAsia="宋体" w:cs="Times New Roman"/>
          <w:b/>
          <w:bCs/>
          <w:sz w:val="22"/>
        </w:rPr>
        <w:t>表</w:t>
      </w:r>
      <w:r>
        <w:rPr>
          <w:rFonts w:hint="default" w:ascii="Times New Roman" w:hAnsi="Times New Roman" w:eastAsia="宋体" w:cs="Times New Roman"/>
          <w:b/>
          <w:bCs/>
          <w:sz w:val="22"/>
          <w:lang w:val="en-US" w:eastAsia="zh-CN"/>
        </w:rPr>
        <w:t>5</w:t>
      </w:r>
      <w:r>
        <w:rPr>
          <w:rFonts w:hint="default" w:ascii="Times New Roman" w:hAnsi="Times New Roman" w:eastAsia="宋体" w:cs="Times New Roman"/>
          <w:b/>
          <w:bCs/>
          <w:sz w:val="22"/>
        </w:rPr>
        <w:t xml:space="preserve"> 实时荧光定量PCR程序</w:t>
      </w:r>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265"/>
        <w:gridCol w:w="1838"/>
        <w:gridCol w:w="145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Step</w:t>
            </w:r>
          </w:p>
        </w:tc>
        <w:tc>
          <w:tcPr>
            <w:tcW w:w="1265"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Cycles</w:t>
            </w:r>
          </w:p>
        </w:tc>
        <w:tc>
          <w:tcPr>
            <w:tcW w:w="1838"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Temperature / ℃</w:t>
            </w:r>
          </w:p>
        </w:tc>
        <w:tc>
          <w:tcPr>
            <w:tcW w:w="1452"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Time / s</w:t>
            </w:r>
          </w:p>
        </w:tc>
        <w:tc>
          <w:tcPr>
            <w:tcW w:w="2089"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Signal collection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Pr>
          <w:p>
            <w:pPr>
              <w:snapToGrid w:val="0"/>
              <w:spacing w:line="360" w:lineRule="auto"/>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Pre degeneration</w:t>
            </w:r>
          </w:p>
        </w:tc>
        <w:tc>
          <w:tcPr>
            <w:tcW w:w="1265"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1838"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98</w:t>
            </w:r>
          </w:p>
        </w:tc>
        <w:tc>
          <w:tcPr>
            <w:tcW w:w="1452"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60</w:t>
            </w:r>
          </w:p>
        </w:tc>
        <w:tc>
          <w:tcPr>
            <w:tcW w:w="2089"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Pr>
          <w:p>
            <w:pPr>
              <w:snapToGrid w:val="0"/>
              <w:spacing w:line="360" w:lineRule="auto"/>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Degeneration</w:t>
            </w:r>
          </w:p>
        </w:tc>
        <w:tc>
          <w:tcPr>
            <w:tcW w:w="1265" w:type="dxa"/>
            <w:vMerge w:val="restart"/>
            <w:vAlign w:val="center"/>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40×</w:t>
            </w:r>
          </w:p>
        </w:tc>
        <w:tc>
          <w:tcPr>
            <w:tcW w:w="1838"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98</w:t>
            </w:r>
          </w:p>
        </w:tc>
        <w:tc>
          <w:tcPr>
            <w:tcW w:w="1452"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2089"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Pr>
          <w:p>
            <w:pPr>
              <w:snapToGrid w:val="0"/>
              <w:spacing w:line="360" w:lineRule="auto"/>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Annealing</w:t>
            </w:r>
          </w:p>
        </w:tc>
        <w:tc>
          <w:tcPr>
            <w:tcW w:w="1265" w:type="dxa"/>
            <w:vMerge w:val="continue"/>
          </w:tcPr>
          <w:p>
            <w:pPr>
              <w:snapToGrid w:val="0"/>
              <w:spacing w:line="360" w:lineRule="auto"/>
              <w:ind w:firstLine="440" w:firstLineChars="200"/>
              <w:contextualSpacing/>
              <w:rPr>
                <w:rFonts w:hint="default" w:ascii="Times New Roman" w:hAnsi="Times New Roman" w:eastAsia="宋体" w:cs="Times New Roman"/>
                <w:sz w:val="22"/>
              </w:rPr>
            </w:pPr>
          </w:p>
        </w:tc>
        <w:tc>
          <w:tcPr>
            <w:tcW w:w="1838"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60</w:t>
            </w:r>
          </w:p>
        </w:tc>
        <w:tc>
          <w:tcPr>
            <w:tcW w:w="1452"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2089"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tcPr>
          <w:p>
            <w:pPr>
              <w:snapToGrid w:val="0"/>
              <w:spacing w:line="360" w:lineRule="auto"/>
              <w:contextualSpacing/>
              <w:jc w:val="center"/>
              <w:rPr>
                <w:rFonts w:hint="default" w:ascii="Times New Roman" w:hAnsi="Times New Roman" w:eastAsia="宋体" w:cs="Times New Roman"/>
                <w:sz w:val="22"/>
              </w:rPr>
            </w:pPr>
            <w:r>
              <w:rPr>
                <w:rFonts w:hint="default" w:ascii="Times New Roman" w:hAnsi="Times New Roman" w:eastAsia="宋体" w:cs="Times New Roman"/>
                <w:sz w:val="22"/>
              </w:rPr>
              <w:t>Extension</w:t>
            </w:r>
          </w:p>
        </w:tc>
        <w:tc>
          <w:tcPr>
            <w:tcW w:w="1265" w:type="dxa"/>
            <w:vMerge w:val="continue"/>
          </w:tcPr>
          <w:p>
            <w:pPr>
              <w:snapToGrid w:val="0"/>
              <w:spacing w:line="360" w:lineRule="auto"/>
              <w:ind w:firstLine="440" w:firstLineChars="200"/>
              <w:contextualSpacing/>
              <w:rPr>
                <w:rFonts w:hint="default" w:ascii="Times New Roman" w:hAnsi="Times New Roman" w:eastAsia="宋体" w:cs="Times New Roman"/>
                <w:sz w:val="22"/>
              </w:rPr>
            </w:pPr>
          </w:p>
        </w:tc>
        <w:tc>
          <w:tcPr>
            <w:tcW w:w="1838"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72</w:t>
            </w:r>
          </w:p>
        </w:tc>
        <w:tc>
          <w:tcPr>
            <w:tcW w:w="1452"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15</w:t>
            </w:r>
          </w:p>
        </w:tc>
        <w:tc>
          <w:tcPr>
            <w:tcW w:w="2089" w:type="dxa"/>
          </w:tcPr>
          <w:p>
            <w:pPr>
              <w:snapToGrid w:val="0"/>
              <w:spacing w:line="360" w:lineRule="auto"/>
              <w:ind w:firstLine="440" w:firstLineChars="200"/>
              <w:contextualSpacing/>
              <w:rPr>
                <w:rFonts w:hint="default" w:ascii="Times New Roman" w:hAnsi="Times New Roman" w:eastAsia="宋体" w:cs="Times New Roman"/>
                <w:sz w:val="22"/>
              </w:rPr>
            </w:pPr>
            <w:r>
              <w:rPr>
                <w:rFonts w:hint="default" w:ascii="Times New Roman" w:hAnsi="Times New Roman" w:eastAsia="宋体" w:cs="Times New Roman"/>
                <w:sz w:val="22"/>
              </w:rPr>
              <w:t>YES</w:t>
            </w:r>
          </w:p>
        </w:tc>
      </w:tr>
    </w:tbl>
    <w:p>
      <w:pPr>
        <w:snapToGrid w:val="0"/>
        <w:spacing w:line="360" w:lineRule="auto"/>
        <w:ind w:firstLine="440" w:firstLineChars="200"/>
        <w:contextualSpacing/>
        <w:rPr>
          <w:rFonts w:hint="default" w:ascii="Times New Roman" w:hAnsi="Times New Roman" w:eastAsia="宋体" w:cs="Times New Roman"/>
          <w:sz w:val="22"/>
        </w:rPr>
      </w:pPr>
    </w:p>
    <w:p>
      <w:pPr>
        <w:snapToGrid w:val="0"/>
        <w:spacing w:line="360" w:lineRule="auto"/>
        <w:ind w:firstLine="440" w:firstLineChars="200"/>
        <w:contextualSpacing/>
        <w:rPr>
          <w:rFonts w:hint="default" w:ascii="Times New Roman" w:hAnsi="Times New Roman" w:eastAsia="宋体" w:cs="Times New Roman"/>
          <w:sz w:val="22"/>
        </w:rPr>
      </w:pPr>
    </w:p>
    <w:p>
      <w:pPr>
        <w:snapToGrid w:val="0"/>
        <w:spacing w:line="360" w:lineRule="auto"/>
        <w:ind w:firstLine="440" w:firstLineChars="200"/>
        <w:contextualSpacing/>
        <w:rPr>
          <w:rFonts w:hint="default" w:ascii="Times New Roman" w:hAnsi="Times New Roman" w:eastAsia="宋体" w:cs="Times New Roman"/>
          <w:sz w:val="22"/>
        </w:rPr>
      </w:pPr>
    </w:p>
    <w:p>
      <w:pPr>
        <w:pStyle w:val="14"/>
        <w:spacing w:before="312" w:beforeLines="100" w:after="312" w:afterLines="100"/>
        <w:jc w:val="center"/>
        <w:rPr>
          <w:rFonts w:hint="default" w:ascii="Times New Roman" w:hAnsi="Times New Roman" w:cs="Times New Roman"/>
        </w:rPr>
      </w:pPr>
      <w:bookmarkStart w:id="21" w:name="_Toc5980"/>
    </w:p>
    <w:p>
      <w:pPr>
        <w:pStyle w:val="14"/>
        <w:spacing w:before="312" w:beforeLines="100" w:after="312" w:afterLines="100"/>
        <w:jc w:val="center"/>
        <w:rPr>
          <w:rFonts w:hint="default" w:ascii="Times New Roman" w:hAnsi="Times New Roman" w:eastAsia="黑体" w:cs="Times New Roman"/>
          <w:lang w:val="en-US" w:eastAsia="zh-CN"/>
        </w:rPr>
      </w:pPr>
      <w:r>
        <w:rPr>
          <w:rFonts w:hint="default" w:ascii="Times New Roman" w:hAnsi="Times New Roman" w:cs="Times New Roman"/>
        </w:rPr>
        <w:t>附录</w:t>
      </w:r>
      <w:r>
        <w:rPr>
          <w:rFonts w:hint="default" w:ascii="Times New Roman" w:hAnsi="Times New Roman" w:cs="Times New Roman"/>
          <w:lang w:val="en-US" w:eastAsia="zh-CN"/>
        </w:rPr>
        <w:t>B</w:t>
      </w:r>
      <w:bookmarkEnd w:id="21"/>
    </w:p>
    <w:p>
      <w:pPr>
        <w:snapToGrid w:val="0"/>
        <w:spacing w:before="156" w:beforeLines="50" w:after="240" w:line="276" w:lineRule="auto"/>
        <w:contextualSpacing/>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（规范性附录）</w:t>
      </w:r>
    </w:p>
    <w:p>
      <w:pPr>
        <w:snapToGrid w:val="0"/>
        <w:spacing w:before="156" w:beforeLines="50" w:after="240" w:line="276" w:lineRule="auto"/>
        <w:contextualSpacing/>
        <w:jc w:val="center"/>
        <w:rPr>
          <w:rFonts w:hint="default" w:ascii="Times New Roman" w:hAnsi="Times New Roman" w:eastAsia="黑体" w:cs="Times New Roman"/>
          <w:sz w:val="22"/>
          <w:szCs w:val="21"/>
        </w:rPr>
      </w:pPr>
      <w:r>
        <w:rPr>
          <w:rFonts w:hint="default" w:ascii="Times New Roman" w:hAnsi="Times New Roman" w:eastAsia="黑体" w:cs="Times New Roman"/>
          <w:sz w:val="22"/>
          <w:szCs w:val="21"/>
        </w:rPr>
        <w:t>理化鉴别</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lang w:val="en-US" w:eastAsia="zh-CN"/>
        </w:rPr>
        <w:t>1</w:t>
      </w:r>
      <w:r>
        <w:rPr>
          <w:rFonts w:hint="default" w:ascii="Times New Roman" w:hAnsi="Times New Roman" w:cs="Times New Roman"/>
          <w:sz w:val="22"/>
        </w:rPr>
        <w:t>.砷的检测</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(1)样品准备</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将</w:t>
      </w:r>
      <w:r>
        <w:rPr>
          <w:rFonts w:hint="default" w:ascii="Times New Roman" w:hAnsi="Times New Roman" w:cs="Times New Roman"/>
          <w:sz w:val="22"/>
          <w:lang w:eastAsia="zh-CN"/>
        </w:rPr>
        <w:t>样品粉碎过</w:t>
      </w:r>
      <w:r>
        <w:rPr>
          <w:rFonts w:hint="default" w:ascii="Times New Roman" w:hAnsi="Times New Roman" w:cs="Times New Roman"/>
          <w:sz w:val="22"/>
        </w:rPr>
        <w:t>孔径为0.25mm的筛，并在4℃下保存</w:t>
      </w:r>
      <w:r>
        <w:rPr>
          <w:rFonts w:hint="default" w:ascii="Times New Roman" w:hAnsi="Times New Roman" w:cs="Times New Roman"/>
          <w:sz w:val="22"/>
          <w:lang w:eastAsia="zh-CN"/>
        </w:rPr>
        <w:t>备用</w:t>
      </w:r>
      <w:r>
        <w:rPr>
          <w:rFonts w:hint="default" w:ascii="Times New Roman" w:hAnsi="Times New Roman" w:cs="Times New Roman"/>
          <w:sz w:val="22"/>
        </w:rPr>
        <w:t>。</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(2)不同砷形态标准溶液的配制及标准曲线绘制</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准确称取五种形态的砷标准溶液(砷酸根、亚砷酸根、一甲基砷、二甲基砷、砷甜菜碱)适量于标准溶液瓶中，配制成五种形态的砷混合标准溶液使用液浓度为1.0mg/L(mg/kg)。吸取适量砷混合标准使用液适量，用0.15mol/L硝酸溶液逐级稀释配制成以下标准系列：五种形态的砷标准溶液浓度为0.00</w:t>
      </w:r>
      <w:r>
        <w:rPr>
          <w:rFonts w:hint="eastAsia" w:ascii="Times New Roman" w:hAnsi="Times New Roman" w:cs="Times New Roman"/>
          <w:sz w:val="22"/>
          <w:lang w:eastAsia="zh-CN"/>
        </w:rPr>
        <w:t>、</w:t>
      </w:r>
      <w:r>
        <w:rPr>
          <w:rFonts w:hint="default" w:ascii="Times New Roman" w:hAnsi="Times New Roman" w:cs="Times New Roman"/>
          <w:sz w:val="22"/>
        </w:rPr>
        <w:t>2.50</w:t>
      </w:r>
      <w:r>
        <w:rPr>
          <w:rFonts w:hint="eastAsia" w:ascii="Times New Roman" w:hAnsi="Times New Roman" w:cs="Times New Roman"/>
          <w:sz w:val="22"/>
          <w:lang w:eastAsia="zh-CN"/>
        </w:rPr>
        <w:t>、</w:t>
      </w:r>
      <w:r>
        <w:rPr>
          <w:rFonts w:hint="default" w:ascii="Times New Roman" w:hAnsi="Times New Roman" w:cs="Times New Roman"/>
          <w:sz w:val="22"/>
        </w:rPr>
        <w:t>5.00</w:t>
      </w:r>
      <w:r>
        <w:rPr>
          <w:rFonts w:hint="eastAsia" w:ascii="Times New Roman" w:hAnsi="Times New Roman" w:cs="Times New Roman"/>
          <w:sz w:val="22"/>
          <w:lang w:eastAsia="zh-CN"/>
        </w:rPr>
        <w:t>、</w:t>
      </w:r>
      <w:r>
        <w:rPr>
          <w:rFonts w:hint="default" w:ascii="Times New Roman" w:hAnsi="Times New Roman" w:cs="Times New Roman"/>
          <w:sz w:val="22"/>
        </w:rPr>
        <w:t>10.0</w:t>
      </w:r>
      <w:r>
        <w:rPr>
          <w:rFonts w:hint="eastAsia" w:ascii="Times New Roman" w:hAnsi="Times New Roman" w:cs="Times New Roman"/>
          <w:sz w:val="22"/>
          <w:lang w:eastAsia="zh-CN"/>
        </w:rPr>
        <w:t>、</w:t>
      </w:r>
      <w:r>
        <w:rPr>
          <w:rFonts w:hint="default" w:ascii="Times New Roman" w:hAnsi="Times New Roman" w:cs="Times New Roman"/>
          <w:sz w:val="22"/>
        </w:rPr>
        <w:t>50.0</w:t>
      </w:r>
      <w:r>
        <w:rPr>
          <w:rFonts w:hint="eastAsia" w:ascii="Times New Roman" w:hAnsi="Times New Roman" w:cs="Times New Roman"/>
          <w:sz w:val="22"/>
          <w:lang w:eastAsia="zh-CN"/>
        </w:rPr>
        <w:t>、</w:t>
      </w:r>
      <w:r>
        <w:rPr>
          <w:rFonts w:hint="default" w:ascii="Times New Roman" w:hAnsi="Times New Roman" w:cs="Times New Roman"/>
          <w:sz w:val="22"/>
        </w:rPr>
        <w:t>100μg/L。以保留时间定性，峰高峰面积定量。</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(3)样品消解与总砷的测定</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每个样品称取平行样1.0g左右(精确至1mg)于50mL离心管中，加0.15mol/L硝酸20mL，放置过夜。于90℃恒温烘箱中热浸提2.5h，每0.5h振摇1min。提取完毕取出冷却至室温，8000r/min离心15min。</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上清液首先用水稀释至25mL，然后进行ICP-MS检测。设备运行参数如下：射频功率1550W；载气1.05L/min；碰撞模式：HE流量4.2mL/min；等离子体气体流量＝15L/min；辅助气体流量＝0.1L/min；并选择同位素m/z＝75。使用As(V)标准品的外标法校准曲线对样品进行定量。对每个样品进行三次平行分析。为了控制质量，在每个样品系列检测之前和之后，都以用于制定标准曲线的标准运行，并测量相应的消化空白(每个样品消化系列各一个)。</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(4)HPLC-ICP-MS分析砷形态</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采用HPLC-ICP-MS分析方法进行As形态的分离和测定。通过Agilent1260HPLC系统(Agilent，USA)分离五种As形态(AsⅢ，AsⅤ，MMA，DMA，AsB)。色谱仪配有标准自动进样器，IonPac AG19保护柱(4×50mm)和IonPacAS19分离柱(4×250mm)。用于HPLC的主要色谱条件如下：动相为10mmol/L无水乙酸钠、3mmol/L硝酸钾、10mmol/L磷酸二氢钠、0.2mmol/L乙二胺四乙酸二钠的缓冲液，氨水调节pH为10；流动相流速为1.0mL/min；采用ICP-MS(如前所述)检测As形态，并与标准物的保留时间进行比较判定。采用外标准曲线</w:t>
      </w:r>
      <w:r>
        <w:rPr>
          <w:rFonts w:hint="eastAsia" w:ascii="Times New Roman" w:hAnsi="Times New Roman" w:cs="Times New Roman"/>
          <w:sz w:val="22"/>
          <w:lang w:eastAsia="zh-CN"/>
        </w:rPr>
        <w:t>（</w:t>
      </w:r>
      <w:r>
        <w:rPr>
          <w:rFonts w:hint="default" w:ascii="Times New Roman" w:hAnsi="Times New Roman" w:cs="Times New Roman"/>
          <w:sz w:val="22"/>
        </w:rPr>
        <w:t>使用的浓度为0</w:t>
      </w:r>
      <w:r>
        <w:rPr>
          <w:rFonts w:hint="eastAsia" w:ascii="Times New Roman" w:hAnsi="Times New Roman" w:cs="Times New Roman"/>
          <w:sz w:val="22"/>
          <w:lang w:eastAsia="zh-CN"/>
        </w:rPr>
        <w:t>、</w:t>
      </w:r>
      <w:r>
        <w:rPr>
          <w:rFonts w:hint="default" w:ascii="Times New Roman" w:hAnsi="Times New Roman" w:cs="Times New Roman"/>
          <w:sz w:val="22"/>
        </w:rPr>
        <w:t>2.5</w:t>
      </w:r>
      <w:r>
        <w:rPr>
          <w:rFonts w:hint="eastAsia" w:ascii="Times New Roman" w:hAnsi="Times New Roman" w:cs="Times New Roman"/>
          <w:sz w:val="22"/>
          <w:lang w:eastAsia="zh-CN"/>
        </w:rPr>
        <w:t>、</w:t>
      </w:r>
      <w:r>
        <w:rPr>
          <w:rFonts w:hint="default" w:ascii="Times New Roman" w:hAnsi="Times New Roman" w:cs="Times New Roman"/>
          <w:sz w:val="22"/>
        </w:rPr>
        <w:t>5</w:t>
      </w:r>
      <w:r>
        <w:rPr>
          <w:rFonts w:hint="eastAsia" w:ascii="Times New Roman" w:hAnsi="Times New Roman" w:cs="Times New Roman"/>
          <w:sz w:val="22"/>
          <w:lang w:eastAsia="zh-CN"/>
        </w:rPr>
        <w:t>、</w:t>
      </w:r>
      <w:r>
        <w:rPr>
          <w:rFonts w:hint="default" w:ascii="Times New Roman" w:hAnsi="Times New Roman" w:cs="Times New Roman"/>
          <w:sz w:val="22"/>
        </w:rPr>
        <w:t>10</w:t>
      </w:r>
      <w:r>
        <w:rPr>
          <w:rFonts w:hint="eastAsia" w:ascii="Times New Roman" w:hAnsi="Times New Roman" w:cs="Times New Roman"/>
          <w:sz w:val="22"/>
          <w:lang w:eastAsia="zh-CN"/>
        </w:rPr>
        <w:t>、</w:t>
      </w:r>
      <w:r>
        <w:rPr>
          <w:rFonts w:hint="default" w:ascii="Times New Roman" w:hAnsi="Times New Roman" w:cs="Times New Roman"/>
          <w:sz w:val="22"/>
        </w:rPr>
        <w:t>50和100ppb</w:t>
      </w:r>
      <w:r>
        <w:rPr>
          <w:rFonts w:hint="eastAsia" w:ascii="Times New Roman" w:hAnsi="Times New Roman" w:cs="Times New Roman"/>
          <w:sz w:val="22"/>
          <w:lang w:eastAsia="zh-CN"/>
        </w:rPr>
        <w:t>）</w:t>
      </w:r>
      <w:r>
        <w:rPr>
          <w:rFonts w:hint="default" w:ascii="Times New Roman" w:hAnsi="Times New Roman" w:cs="Times New Roman"/>
          <w:sz w:val="22"/>
        </w:rPr>
        <w:t>根据相应的标准对MMA，DMA，AsⅢ，AsV和AsB进行定量，每个样品进行三次平行分析，对每个步骤进行空白试验。</w:t>
      </w:r>
    </w:p>
    <w:p>
      <w:pPr>
        <w:snapToGrid w:val="0"/>
        <w:spacing w:line="360" w:lineRule="auto"/>
        <w:ind w:firstLine="440" w:firstLineChars="200"/>
        <w:contextualSpacing/>
        <w:rPr>
          <w:rFonts w:hint="default" w:ascii="Times New Roman" w:hAnsi="Times New Roman" w:cs="Times New Roman" w:eastAsiaTheme="minorEastAsia"/>
          <w:sz w:val="22"/>
          <w:lang w:eastAsia="zh-CN"/>
        </w:rPr>
      </w:pPr>
      <w:r>
        <w:rPr>
          <w:rFonts w:hint="default" w:ascii="Times New Roman" w:hAnsi="Times New Roman" w:cs="Times New Roman"/>
          <w:sz w:val="22"/>
          <w:lang w:val="en-US" w:eastAsia="zh-CN"/>
        </w:rPr>
        <w:t>2</w:t>
      </w:r>
      <w:r>
        <w:rPr>
          <w:rFonts w:hint="default" w:ascii="Times New Roman" w:hAnsi="Times New Roman" w:cs="Times New Roman"/>
          <w:sz w:val="22"/>
        </w:rPr>
        <w:t>.微量元素</w:t>
      </w:r>
      <w:r>
        <w:rPr>
          <w:rFonts w:hint="default" w:ascii="Times New Roman" w:hAnsi="Times New Roman" w:cs="Times New Roman"/>
          <w:sz w:val="22"/>
          <w:lang w:eastAsia="zh-CN"/>
        </w:rPr>
        <w:t>及</w:t>
      </w:r>
      <w:r>
        <w:rPr>
          <w:rFonts w:hint="default" w:ascii="Times New Roman" w:hAnsi="Times New Roman" w:cs="Times New Roman"/>
          <w:sz w:val="22"/>
        </w:rPr>
        <w:t>稳定同位素</w:t>
      </w:r>
      <w:r>
        <w:rPr>
          <w:rFonts w:hint="default" w:ascii="Times New Roman" w:hAnsi="Times New Roman" w:cs="Times New Roman"/>
          <w:sz w:val="22"/>
          <w:lang w:eastAsia="zh-CN"/>
        </w:rPr>
        <w:t>的检测</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（1）微量元素</w:t>
      </w:r>
      <w:r>
        <w:rPr>
          <w:rFonts w:hint="default" w:ascii="Times New Roman" w:hAnsi="Times New Roman" w:cs="Times New Roman"/>
          <w:sz w:val="22"/>
          <w:lang w:eastAsia="zh-CN"/>
        </w:rPr>
        <w:t>含量的测定。</w:t>
      </w:r>
      <w:r>
        <w:rPr>
          <w:rFonts w:hint="default" w:ascii="Times New Roman" w:hAnsi="Times New Roman" w:cs="Times New Roman"/>
          <w:sz w:val="22"/>
        </w:rPr>
        <w:t>称取0.2g左右的冬虫夏草研磨之后的样品，置于洁净的消解管中，加入6mL BV3级浓硝酸预消解1h，之后加入2mL</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BV3级双氧水预消解0.5h.放入微波消解仪中进行消解。微波消解条件</w:t>
      </w:r>
      <w:r>
        <w:rPr>
          <w:rFonts w:hint="eastAsia" w:ascii="Times New Roman" w:hAnsi="Times New Roman" w:cs="Times New Roman"/>
          <w:sz w:val="22"/>
          <w:lang w:eastAsia="zh-CN"/>
        </w:rPr>
        <w:t>：</w:t>
      </w:r>
      <w:r>
        <w:rPr>
          <w:rFonts w:hint="default" w:ascii="Times New Roman" w:hAnsi="Times New Roman" w:cs="Times New Roman"/>
          <w:sz w:val="22"/>
        </w:rPr>
        <w:t>微波在8min内从0℃增加至120℃，在此条件下保持2min</w:t>
      </w:r>
      <w:r>
        <w:rPr>
          <w:rFonts w:hint="eastAsia" w:ascii="Times New Roman" w:hAnsi="Times New Roman" w:cs="Times New Roman"/>
          <w:sz w:val="22"/>
          <w:lang w:eastAsia="zh-CN"/>
        </w:rPr>
        <w:t>；</w:t>
      </w:r>
      <w:r>
        <w:rPr>
          <w:rFonts w:hint="default" w:ascii="Times New Roman" w:hAnsi="Times New Roman" w:cs="Times New Roman"/>
          <w:sz w:val="22"/>
        </w:rPr>
        <w:t>5min内从120℃增加至160℃，在此条件下保持5min</w:t>
      </w:r>
      <w:r>
        <w:rPr>
          <w:rFonts w:hint="eastAsia" w:ascii="Times New Roman" w:hAnsi="Times New Roman" w:cs="Times New Roman"/>
          <w:sz w:val="22"/>
          <w:lang w:eastAsia="zh-CN"/>
        </w:rPr>
        <w:t>；</w:t>
      </w:r>
      <w:r>
        <w:rPr>
          <w:rFonts w:hint="default" w:ascii="Times New Roman" w:hAnsi="Times New Roman" w:cs="Times New Roman"/>
          <w:sz w:val="22"/>
        </w:rPr>
        <w:t>5min内从160℃增加至180℃，在此条件下保持15min。消解后用超纯水定容至100mL。将定容好的样品用ICP-MS进行检测。ICP-MS自动进样器参数</w:t>
      </w:r>
      <w:r>
        <w:rPr>
          <w:rFonts w:hint="eastAsia" w:ascii="Times New Roman" w:hAnsi="Times New Roman" w:cs="Times New Roman"/>
          <w:sz w:val="22"/>
          <w:lang w:eastAsia="zh-CN"/>
        </w:rPr>
        <w:t>：</w:t>
      </w:r>
      <w:r>
        <w:rPr>
          <w:rFonts w:hint="default" w:ascii="Times New Roman" w:hAnsi="Times New Roman" w:cs="Times New Roman"/>
          <w:sz w:val="22"/>
        </w:rPr>
        <w:t>样品快速提升2mL/min(0.5rps)40秒</w:t>
      </w:r>
      <w:r>
        <w:rPr>
          <w:rFonts w:hint="eastAsia" w:ascii="Times New Roman" w:hAnsi="Times New Roman" w:cs="Times New Roman"/>
          <w:sz w:val="22"/>
          <w:lang w:eastAsia="zh-CN"/>
        </w:rPr>
        <w:t>；</w:t>
      </w:r>
      <w:r>
        <w:rPr>
          <w:rFonts w:hint="default" w:ascii="Times New Roman" w:hAnsi="Times New Roman" w:cs="Times New Roman"/>
          <w:sz w:val="22"/>
        </w:rPr>
        <w:t>分析前稳定 0.4rps30秒</w:t>
      </w:r>
      <w:r>
        <w:rPr>
          <w:rFonts w:hint="eastAsia" w:ascii="Times New Roman" w:hAnsi="Times New Roman" w:cs="Times New Roman"/>
          <w:sz w:val="22"/>
          <w:lang w:eastAsia="zh-CN"/>
        </w:rPr>
        <w:t>；</w:t>
      </w:r>
      <w:r>
        <w:rPr>
          <w:rFonts w:hint="default" w:ascii="Times New Roman" w:hAnsi="Times New Roman" w:cs="Times New Roman"/>
          <w:sz w:val="22"/>
        </w:rPr>
        <w:t>多元素同时分析0.1rps。ICP-MS 定量分析模式</w:t>
      </w:r>
      <w:r>
        <w:rPr>
          <w:rFonts w:hint="eastAsia" w:ascii="Times New Roman" w:hAnsi="Times New Roman" w:cs="Times New Roman"/>
          <w:sz w:val="22"/>
          <w:lang w:eastAsia="zh-CN"/>
        </w:rPr>
        <w:t>：</w:t>
      </w:r>
      <w:r>
        <w:rPr>
          <w:rFonts w:hint="default" w:ascii="Times New Roman" w:hAnsi="Times New Roman" w:cs="Times New Roman"/>
          <w:sz w:val="22"/>
        </w:rPr>
        <w:t>He气模式，单位质量数采集数采集点数为3，数据采集重复次数为3次，积分时间As为lsec，Se、Cd 为2sec</w:t>
      </w:r>
      <w:r>
        <w:rPr>
          <w:rFonts w:hint="eastAsia" w:ascii="Times New Roman" w:hAnsi="Times New Roman" w:cs="Times New Roman"/>
          <w:sz w:val="22"/>
          <w:lang w:eastAsia="zh-CN"/>
        </w:rPr>
        <w:t>，</w:t>
      </w:r>
      <w:r>
        <w:rPr>
          <w:rFonts w:hint="default" w:ascii="Times New Roman" w:hAnsi="Times New Roman" w:cs="Times New Roman"/>
          <w:sz w:val="22"/>
        </w:rPr>
        <w:t>Pb为3sec，其他元素为0.3sec。ICP-MS 具体工作参数:射频功率为1600W，载气流速为1.0L/min，蠕动泵流速 0.1rps，雾化室温度为2℃，氧化物指标为0.45%，双电荷指标为1.01%。使用外标法进行定量。采用Ge、In、Bi等多元素混合作为内标，其中Ge(72)作为质量数9-89各元素内标</w:t>
      </w:r>
      <w:r>
        <w:rPr>
          <w:rFonts w:hint="eastAsia" w:ascii="Times New Roman" w:hAnsi="Times New Roman" w:cs="Times New Roman"/>
          <w:sz w:val="22"/>
          <w:lang w:eastAsia="zh-CN"/>
        </w:rPr>
        <w:t>；</w:t>
      </w:r>
      <w:r>
        <w:rPr>
          <w:rFonts w:hint="default" w:ascii="Times New Roman" w:hAnsi="Times New Roman" w:cs="Times New Roman"/>
          <w:sz w:val="22"/>
        </w:rPr>
        <w:t>In(115)作为质量数95-159各元素内标</w:t>
      </w:r>
      <w:r>
        <w:rPr>
          <w:rFonts w:hint="eastAsia" w:ascii="Times New Roman" w:hAnsi="Times New Roman" w:cs="Times New Roman"/>
          <w:sz w:val="22"/>
          <w:lang w:eastAsia="zh-CN"/>
        </w:rPr>
        <w:t>；</w:t>
      </w:r>
      <w:r>
        <w:rPr>
          <w:rFonts w:hint="default" w:ascii="Times New Roman" w:hAnsi="Times New Roman" w:cs="Times New Roman"/>
          <w:sz w:val="22"/>
        </w:rPr>
        <w:t>Bi(209)作为质量数163-238各元素内标。当内标元素RSD值大于3%时，样品需重新测定。</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（2）稳定同位素含量的</w:t>
      </w:r>
      <w:r>
        <w:rPr>
          <w:rFonts w:hint="default" w:ascii="Times New Roman" w:hAnsi="Times New Roman" w:cs="Times New Roman"/>
          <w:sz w:val="22"/>
          <w:lang w:eastAsia="zh-CN"/>
        </w:rPr>
        <w:t>测定。</w:t>
      </w:r>
      <w:r>
        <w:rPr>
          <w:rFonts w:hint="default" w:ascii="Times New Roman" w:hAnsi="Times New Roman" w:cs="Times New Roman"/>
          <w:sz w:val="22"/>
        </w:rPr>
        <w:t>样品检测</w:t>
      </w:r>
      <w:r>
        <w:rPr>
          <w:rFonts w:hint="eastAsia" w:ascii="Times New Roman" w:hAnsi="Times New Roman" w:cs="Times New Roman"/>
          <w:sz w:val="22"/>
          <w:lang w:eastAsia="zh-CN"/>
        </w:rPr>
        <w:t>：</w:t>
      </w:r>
      <w:r>
        <w:rPr>
          <w:rFonts w:hint="default" w:ascii="Times New Roman" w:hAnsi="Times New Roman" w:cs="Times New Roman"/>
          <w:sz w:val="22"/>
        </w:rPr>
        <w:t>采用稳定同位素质谱仪方法结合元素分析仪对冬虫夏草研磨后的粉末样品进行C、H、</w:t>
      </w:r>
      <w:r>
        <w:rPr>
          <w:rFonts w:hint="eastAsia" w:ascii="Times New Roman" w:hAnsi="Times New Roman" w:cs="Times New Roman"/>
          <w:sz w:val="22"/>
          <w:lang w:val="en-US" w:eastAsia="zh-CN"/>
        </w:rPr>
        <w:t>O</w:t>
      </w:r>
      <w:r>
        <w:rPr>
          <w:rFonts w:hint="default" w:ascii="Times New Roman" w:hAnsi="Times New Roman" w:cs="Times New Roman"/>
          <w:sz w:val="22"/>
        </w:rPr>
        <w:t>、N稳定同位素分析。对于检测δ</w:t>
      </w:r>
      <w:r>
        <w:rPr>
          <w:rFonts w:hint="default" w:ascii="Times New Roman" w:hAnsi="Times New Roman" w:cs="Times New Roman"/>
          <w:sz w:val="22"/>
          <w:vertAlign w:val="superscript"/>
        </w:rPr>
        <w:t>13</w:t>
      </w:r>
      <w:r>
        <w:rPr>
          <w:rFonts w:hint="default" w:ascii="Times New Roman" w:hAnsi="Times New Roman" w:cs="Times New Roman"/>
          <w:sz w:val="22"/>
        </w:rPr>
        <w:t>C、δ</w:t>
      </w:r>
      <w:r>
        <w:rPr>
          <w:rFonts w:hint="default" w:ascii="Times New Roman" w:hAnsi="Times New Roman" w:cs="Times New Roman"/>
          <w:sz w:val="22"/>
          <w:vertAlign w:val="superscript"/>
        </w:rPr>
        <w:t>15</w:t>
      </w:r>
      <w:r>
        <w:rPr>
          <w:rFonts w:hint="default" w:ascii="Times New Roman" w:hAnsi="Times New Roman" w:cs="Times New Roman"/>
          <w:sz w:val="22"/>
        </w:rPr>
        <w:t>N，称取1mg冬虫夏草粉末样品，包装进锡杯，在C/N模式下，样品经过自动进样器进入元素分析，样品中的C、N经过960℃高温燃烧转化成CO</w:t>
      </w:r>
      <w:r>
        <w:rPr>
          <w:rFonts w:hint="default" w:ascii="Times New Roman" w:hAnsi="Times New Roman" w:cs="Times New Roman"/>
          <w:sz w:val="22"/>
          <w:vertAlign w:val="subscript"/>
        </w:rPr>
        <w:t>2</w:t>
      </w:r>
      <w:r>
        <w:rPr>
          <w:rFonts w:hint="default" w:ascii="Times New Roman" w:hAnsi="Times New Roman" w:cs="Times New Roman"/>
          <w:sz w:val="22"/>
        </w:rPr>
        <w:t>和N</w:t>
      </w:r>
      <w:r>
        <w:rPr>
          <w:rFonts w:hint="default" w:ascii="Times New Roman" w:hAnsi="Times New Roman" w:cs="Times New Roman"/>
          <w:sz w:val="22"/>
          <w:vertAlign w:val="subscript"/>
        </w:rPr>
        <w:t>2</w:t>
      </w:r>
      <w:r>
        <w:rPr>
          <w:rFonts w:hint="default" w:ascii="Times New Roman" w:hAnsi="Times New Roman" w:cs="Times New Roman"/>
          <w:sz w:val="22"/>
        </w:rPr>
        <w:t>，并经过气相色谱柱，最后注入同位素比率质谱仪中进行测定。对于检测</w:t>
      </w:r>
      <w:r>
        <w:rPr>
          <w:rFonts w:hint="default" w:ascii="Times New Roman" w:hAnsi="Times New Roman" w:cs="Times New Roman"/>
          <w:sz w:val="22"/>
          <w:vertAlign w:val="superscript"/>
        </w:rPr>
        <w:t>18</w:t>
      </w:r>
      <w:r>
        <w:rPr>
          <w:rFonts w:hint="default" w:ascii="Times New Roman" w:hAnsi="Times New Roman" w:cs="Times New Roman"/>
          <w:sz w:val="22"/>
        </w:rPr>
        <w:t>O、</w:t>
      </w:r>
      <w:r>
        <w:rPr>
          <w:rFonts w:hint="default" w:ascii="Times New Roman" w:hAnsi="Times New Roman" w:cs="Times New Roman"/>
          <w:sz w:val="22"/>
          <w:vertAlign w:val="superscript"/>
        </w:rPr>
        <w:t>2</w:t>
      </w:r>
      <w:r>
        <w:rPr>
          <w:rFonts w:hint="default" w:ascii="Times New Roman" w:hAnsi="Times New Roman" w:cs="Times New Roman"/>
          <w:sz w:val="22"/>
        </w:rPr>
        <w:t>H，称取1mg</w:t>
      </w:r>
      <w:r>
        <w:rPr>
          <w:rFonts w:hint="eastAsia" w:ascii="Times New Roman" w:hAnsi="Times New Roman" w:cs="Times New Roman"/>
          <w:sz w:val="22"/>
          <w:lang w:eastAsia="zh-CN"/>
        </w:rPr>
        <w:t>冬虫夏草</w:t>
      </w:r>
      <w:r>
        <w:rPr>
          <w:rFonts w:hint="default" w:ascii="Times New Roman" w:hAnsi="Times New Roman" w:cs="Times New Roman"/>
          <w:sz w:val="22"/>
        </w:rPr>
        <w:t>粉末，置于银杯，在H/O模式下，样品经过自动进样器进入元素分析，样品中的H、O经过1400℃高温裂解转化成H、CO，并经过气相色谱柱，最后注入同位素比率质谱仪中进行测定。检测参数</w:t>
      </w:r>
      <w:r>
        <w:rPr>
          <w:rFonts w:hint="eastAsia" w:ascii="Times New Roman" w:hAnsi="Times New Roman" w:cs="Times New Roman"/>
          <w:sz w:val="22"/>
          <w:lang w:eastAsia="zh-CN"/>
        </w:rPr>
        <w:t>：</w:t>
      </w:r>
      <w:r>
        <w:rPr>
          <w:rFonts w:hint="default" w:ascii="Times New Roman" w:hAnsi="Times New Roman" w:cs="Times New Roman"/>
          <w:sz w:val="22"/>
        </w:rPr>
        <w:t>C、N元素分析仪条件设置燃烧温度为60℃，还原温度为600℃。以氦气作为载气，流量为100 mL/min，高纯度CO</w:t>
      </w:r>
      <w:r>
        <w:rPr>
          <w:rFonts w:hint="eastAsia" w:ascii="Times New Roman" w:hAnsi="Times New Roman" w:cs="Times New Roman"/>
          <w:sz w:val="22"/>
          <w:vertAlign w:val="subscript"/>
          <w:lang w:val="en-US" w:eastAsia="zh-CN"/>
        </w:rPr>
        <w:t>2</w:t>
      </w:r>
      <w:r>
        <w:rPr>
          <w:rFonts w:hint="default" w:ascii="Times New Roman" w:hAnsi="Times New Roman" w:cs="Times New Roman"/>
          <w:sz w:val="22"/>
        </w:rPr>
        <w:t>、H</w:t>
      </w:r>
      <w:r>
        <w:rPr>
          <w:rFonts w:hint="eastAsia" w:ascii="Times New Roman" w:hAnsi="Times New Roman" w:cs="Times New Roman"/>
          <w:sz w:val="22"/>
          <w:vertAlign w:val="subscript"/>
          <w:lang w:val="en-US" w:eastAsia="zh-CN"/>
        </w:rPr>
        <w:t>2</w:t>
      </w:r>
      <w:r>
        <w:rPr>
          <w:rFonts w:hint="default" w:ascii="Times New Roman" w:hAnsi="Times New Roman" w:cs="Times New Roman"/>
          <w:sz w:val="22"/>
        </w:rPr>
        <w:t>、N</w:t>
      </w:r>
      <w:r>
        <w:rPr>
          <w:rFonts w:hint="eastAsia" w:ascii="Times New Roman" w:hAnsi="Times New Roman" w:cs="Times New Roman"/>
          <w:sz w:val="22"/>
          <w:vertAlign w:val="subscript"/>
          <w:lang w:val="en-US" w:eastAsia="zh-CN"/>
        </w:rPr>
        <w:t>2</w:t>
      </w:r>
      <w:r>
        <w:rPr>
          <w:rFonts w:hint="default" w:ascii="Times New Roman" w:hAnsi="Times New Roman" w:cs="Times New Roman"/>
          <w:sz w:val="22"/>
        </w:rPr>
        <w:t>为参考气体，纯度均大于99.99%。H</w:t>
      </w:r>
      <w:r>
        <w:rPr>
          <w:rFonts w:hint="eastAsia" w:ascii="Times New Roman" w:hAnsi="Times New Roman" w:cs="Times New Roman"/>
          <w:sz w:val="22"/>
          <w:lang w:eastAsia="zh-CN"/>
        </w:rPr>
        <w:t>、</w:t>
      </w:r>
      <w:r>
        <w:rPr>
          <w:rFonts w:hint="eastAsia" w:ascii="Times New Roman" w:hAnsi="Times New Roman" w:cs="Times New Roman"/>
          <w:sz w:val="22"/>
          <w:lang w:val="en-US" w:eastAsia="zh-CN"/>
        </w:rPr>
        <w:t>O</w:t>
      </w:r>
      <w:r>
        <w:rPr>
          <w:rFonts w:hint="default" w:ascii="Times New Roman" w:hAnsi="Times New Roman" w:cs="Times New Roman"/>
          <w:sz w:val="22"/>
        </w:rPr>
        <w:t>元素分析仪条件设置裂解炉温度1400℃，以氦气作为载气，流量为100mL/min。高纯度H和CO为参考气体，纯度均大于99.99%。</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稳定同位素值按下式计算:</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δ/‰=（R样品/R标准-1）×1000</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式中:R样品为测样中重同位素和轻同位素丰度比，分别为</w:t>
      </w:r>
      <w:r>
        <w:rPr>
          <w:rFonts w:hint="default" w:ascii="Times New Roman" w:hAnsi="Times New Roman" w:cs="Times New Roman"/>
          <w:sz w:val="22"/>
          <w:vertAlign w:val="superscript"/>
        </w:rPr>
        <w:t>2</w:t>
      </w:r>
      <w:r>
        <w:rPr>
          <w:rFonts w:hint="default" w:ascii="Times New Roman" w:hAnsi="Times New Roman" w:cs="Times New Roman"/>
          <w:sz w:val="22"/>
        </w:rPr>
        <w:t>H/</w:t>
      </w:r>
      <w:r>
        <w:rPr>
          <w:rFonts w:hint="default" w:ascii="Times New Roman" w:hAnsi="Times New Roman" w:cs="Times New Roman"/>
          <w:sz w:val="22"/>
          <w:vertAlign w:val="superscript"/>
        </w:rPr>
        <w:t>1</w:t>
      </w:r>
      <w:r>
        <w:rPr>
          <w:rFonts w:hint="default" w:ascii="Times New Roman" w:hAnsi="Times New Roman" w:cs="Times New Roman"/>
          <w:sz w:val="22"/>
        </w:rPr>
        <w:t>H、</w:t>
      </w:r>
      <w:r>
        <w:rPr>
          <w:rFonts w:hint="default" w:ascii="Times New Roman" w:hAnsi="Times New Roman" w:cs="Times New Roman"/>
          <w:sz w:val="22"/>
          <w:vertAlign w:val="superscript"/>
        </w:rPr>
        <w:t>13</w:t>
      </w:r>
      <w:r>
        <w:rPr>
          <w:rFonts w:hint="default" w:ascii="Times New Roman" w:hAnsi="Times New Roman" w:cs="Times New Roman"/>
          <w:sz w:val="22"/>
        </w:rPr>
        <w:t>C/</w:t>
      </w:r>
      <w:r>
        <w:rPr>
          <w:rFonts w:hint="default" w:ascii="Times New Roman" w:hAnsi="Times New Roman" w:cs="Times New Roman"/>
          <w:sz w:val="22"/>
          <w:vertAlign w:val="superscript"/>
        </w:rPr>
        <w:t>12</w:t>
      </w:r>
      <w:r>
        <w:rPr>
          <w:rFonts w:hint="default" w:ascii="Times New Roman" w:hAnsi="Times New Roman" w:cs="Times New Roman"/>
          <w:sz w:val="22"/>
        </w:rPr>
        <w:t>C、</w:t>
      </w:r>
      <w:r>
        <w:rPr>
          <w:rFonts w:hint="default" w:ascii="Times New Roman" w:hAnsi="Times New Roman" w:cs="Times New Roman"/>
          <w:sz w:val="22"/>
          <w:vertAlign w:val="superscript"/>
        </w:rPr>
        <w:t>15</w:t>
      </w:r>
      <w:r>
        <w:rPr>
          <w:rFonts w:hint="default" w:ascii="Times New Roman" w:hAnsi="Times New Roman" w:cs="Times New Roman"/>
          <w:sz w:val="22"/>
        </w:rPr>
        <w:t>N/</w:t>
      </w:r>
      <w:r>
        <w:rPr>
          <w:rFonts w:hint="default" w:ascii="Times New Roman" w:hAnsi="Times New Roman" w:cs="Times New Roman"/>
          <w:sz w:val="22"/>
          <w:vertAlign w:val="superscript"/>
        </w:rPr>
        <w:t>14</w:t>
      </w:r>
      <w:r>
        <w:rPr>
          <w:rFonts w:hint="default" w:ascii="Times New Roman" w:hAnsi="Times New Roman" w:cs="Times New Roman"/>
          <w:sz w:val="22"/>
        </w:rPr>
        <w:t>N、</w:t>
      </w:r>
      <w:r>
        <w:rPr>
          <w:rFonts w:hint="default" w:ascii="Times New Roman" w:hAnsi="Times New Roman" w:cs="Times New Roman"/>
          <w:sz w:val="22"/>
          <w:vertAlign w:val="superscript"/>
        </w:rPr>
        <w:t>18</w:t>
      </w:r>
      <w:r>
        <w:rPr>
          <w:rFonts w:hint="default" w:ascii="Times New Roman" w:hAnsi="Times New Roman" w:cs="Times New Roman"/>
          <w:sz w:val="22"/>
        </w:rPr>
        <w:t>O/1</w:t>
      </w:r>
      <w:r>
        <w:rPr>
          <w:rFonts w:hint="default" w:ascii="Times New Roman" w:hAnsi="Times New Roman" w:cs="Times New Roman"/>
          <w:sz w:val="22"/>
          <w:vertAlign w:val="superscript"/>
        </w:rPr>
        <w:t>6</w:t>
      </w:r>
      <w:r>
        <w:rPr>
          <w:rFonts w:hint="default" w:ascii="Times New Roman" w:hAnsi="Times New Roman" w:cs="Times New Roman"/>
          <w:sz w:val="22"/>
        </w:rPr>
        <w:t>O。</w:t>
      </w:r>
    </w:p>
    <w:p>
      <w:pPr>
        <w:snapToGrid w:val="0"/>
        <w:spacing w:line="360" w:lineRule="auto"/>
        <w:ind w:firstLine="440" w:firstLineChars="200"/>
        <w:contextualSpacing/>
        <w:rPr>
          <w:rFonts w:hint="default" w:ascii="Times New Roman" w:hAnsi="Times New Roman" w:cs="Times New Roman" w:eastAsiaTheme="minorEastAsia"/>
          <w:sz w:val="22"/>
          <w:lang w:eastAsia="zh-CN"/>
        </w:rPr>
      </w:pPr>
      <w:r>
        <w:rPr>
          <w:rFonts w:hint="default" w:ascii="Times New Roman" w:hAnsi="Times New Roman" w:cs="Times New Roman"/>
          <w:sz w:val="22"/>
          <w:lang w:val="en-US" w:eastAsia="zh-CN"/>
        </w:rPr>
        <w:t>3</w:t>
      </w:r>
      <w:r>
        <w:rPr>
          <w:rFonts w:hint="default" w:ascii="Times New Roman" w:hAnsi="Times New Roman" w:cs="Times New Roman"/>
          <w:sz w:val="22"/>
        </w:rPr>
        <w:t>.有效成分</w:t>
      </w:r>
      <w:r>
        <w:rPr>
          <w:rFonts w:hint="default" w:ascii="Times New Roman" w:hAnsi="Times New Roman" w:cs="Times New Roman"/>
          <w:sz w:val="22"/>
          <w:lang w:eastAsia="zh-CN"/>
        </w:rPr>
        <w:t>的检测</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（1）氨基酸含量采用氨基酸自动分析仪进行检测，通过离子交换色谱分离氨基酸，经茚三酮柱后衍生显色，定量各氨基酸含量。样品前处理：取冬虫夏草粉末0.5 g，加入10 mL 6 mol/L盐酸，充氮除氧后封管，110℃水解24小时。水解液过滤，蒸干后用0.02 mol/L盐酸溶解，过0.22 μm滤膜。色谱条件：色谱柱：磺酸型强阳离子交换树脂柱（如L-8900氨基酸分析仪专用柱）。流动相：pH梯度缓冲液（柠檬酸钠-柠檬酸体系）。检测波长：570 nm（脯氨酸检测波长440 nm）。定量分析：外标法或内标法（如正亮氨酸）定量总氨基酸及17种组分（天冬氨酸、谷氨酸等）。</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w:t>
      </w:r>
      <w:r>
        <w:rPr>
          <w:rFonts w:hint="default" w:ascii="Times New Roman" w:hAnsi="Times New Roman" w:cs="Times New Roman"/>
          <w:sz w:val="22"/>
          <w:lang w:val="en-US" w:eastAsia="zh-CN"/>
        </w:rPr>
        <w:t>2</w:t>
      </w:r>
      <w:r>
        <w:rPr>
          <w:rFonts w:hint="default" w:ascii="Times New Roman" w:hAnsi="Times New Roman" w:cs="Times New Roman"/>
          <w:sz w:val="22"/>
        </w:rPr>
        <w:t>）蛋白含量的测定采用凯氏定氮法结合bradford 法进行检测，总蛋白含量测定采用凯氏定氮法测定，可溶性蛋白采用bradford 法进行检测。</w:t>
      </w:r>
    </w:p>
    <w:p>
      <w:pPr>
        <w:snapToGrid w:val="0"/>
        <w:spacing w:line="360" w:lineRule="auto"/>
        <w:ind w:firstLine="440" w:firstLineChars="200"/>
        <w:contextualSpacing/>
        <w:rPr>
          <w:rFonts w:hint="default" w:ascii="Times New Roman" w:hAnsi="Times New Roman" w:cs="Times New Roman"/>
          <w:sz w:val="22"/>
        </w:rPr>
      </w:pPr>
      <w:r>
        <w:rPr>
          <w:rFonts w:hint="default" w:ascii="Times New Roman" w:hAnsi="Times New Roman" w:cs="Times New Roman"/>
          <w:sz w:val="22"/>
        </w:rPr>
        <w:t>凯氏定氮法（总蛋白参考法）</w:t>
      </w:r>
      <w:r>
        <w:rPr>
          <w:rFonts w:hint="default" w:ascii="Times New Roman" w:hAnsi="Times New Roman" w:cs="Times New Roman"/>
          <w:sz w:val="22"/>
          <w:lang w:eastAsia="zh-CN"/>
        </w:rPr>
        <w:t>。</w:t>
      </w:r>
      <w:r>
        <w:rPr>
          <w:rFonts w:hint="default" w:ascii="Times New Roman" w:hAnsi="Times New Roman" w:cs="Times New Roman"/>
          <w:sz w:val="22"/>
        </w:rPr>
        <w:t>样品前处理，干燥与粉碎：冬虫夏草样品60℃烘干至恒重，粉碎过80目筛。称样：准确称取0.5~1.0g样品（精确至0.0001 g）于凯氏烧瓶中。消化，加催化剂：向烧瓶中加入5g</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K</w:t>
      </w:r>
      <w:r>
        <w:rPr>
          <w:rFonts w:hint="default" w:ascii="Times New Roman" w:hAnsi="Times New Roman" w:cs="Times New Roman"/>
          <w:sz w:val="22"/>
          <w:vertAlign w:val="subscript"/>
        </w:rPr>
        <w:t>2</w:t>
      </w:r>
      <w:r>
        <w:rPr>
          <w:rFonts w:hint="default" w:ascii="Times New Roman" w:hAnsi="Times New Roman" w:cs="Times New Roman"/>
          <w:sz w:val="22"/>
        </w:rPr>
        <w:t>-CuSO</w:t>
      </w:r>
      <w:r>
        <w:rPr>
          <w:rFonts w:hint="default" w:ascii="Times New Roman" w:hAnsi="Times New Roman" w:cs="Times New Roman"/>
          <w:sz w:val="22"/>
          <w:vertAlign w:val="subscript"/>
        </w:rPr>
        <w:t>4</w:t>
      </w:r>
      <w:r>
        <w:rPr>
          <w:rFonts w:hint="default" w:ascii="Times New Roman" w:hAnsi="Times New Roman" w:cs="Times New Roman"/>
          <w:sz w:val="22"/>
        </w:rPr>
        <w:t>混合物。加酸，样品与浓硫酸共热，氮转化为硫酸铵。加热消化：初始低温（200℃）加热至泡沫消失。升温至380~420℃，持续消化至溶液澄清（约24小时）。冷却后备用。蒸馏与吸收，装样：将消化液转移至蒸馏装置，用30 mL蒸馏水冲洗烧瓶。加碱：向蒸馏室中缓慢加入40 mL 40% NaOH溶液（产生强碱性环境）。蒸馏：加热蒸馏，用盛有20 mL 2%硼酸溶液（含5滴混合指示剂）的锥形瓶接收馏出液，直至馏出液达150 mL（约10分钟）。指示剂变色：硼酸吸收液由紫红色变为蓝绿色。滴定：盐酸滴定计算总氮量，公式：粗蛋白含量（%）= (V×C×14×6.25)/m ×100% （V：滴定体积，C：盐酸浓度，m：样品质量）。空白试验，以0.5 g蔗糖代替样品，同法操作，记录空白消耗盐酸体积（V</w:t>
      </w:r>
      <w:r>
        <w:rPr>
          <w:rFonts w:hint="default" w:ascii="Times New Roman" w:hAnsi="Times New Roman" w:cs="Times New Roman"/>
          <w:sz w:val="22"/>
          <w:vertAlign w:val="subscript"/>
        </w:rPr>
        <w:t>0</w:t>
      </w:r>
      <w:r>
        <w:rPr>
          <w:rFonts w:hint="default" w:ascii="Times New Roman" w:hAnsi="Times New Roman" w:cs="Times New Roman"/>
          <w:sz w:val="22"/>
        </w:rPr>
        <w:t>，mL）。</w:t>
      </w:r>
    </w:p>
    <w:p>
      <w:pPr>
        <w:snapToGrid w:val="0"/>
        <w:spacing w:line="360" w:lineRule="auto"/>
        <w:ind w:firstLine="440" w:firstLineChars="200"/>
        <w:contextualSpacing/>
      </w:pPr>
      <w:r>
        <w:rPr>
          <w:rFonts w:hint="default" w:ascii="Times New Roman" w:hAnsi="Times New Roman" w:cs="Times New Roman"/>
          <w:sz w:val="22"/>
        </w:rPr>
        <w:t>可溶性蛋白提取方法取冬虫夏草粉末</w:t>
      </w:r>
      <w:r>
        <w:rPr>
          <w:rFonts w:hint="default" w:ascii="Times New Roman" w:hAnsi="Times New Roman" w:cs="Times New Roman"/>
          <w:sz w:val="22"/>
          <w:lang w:val="en-US" w:eastAsia="zh-CN"/>
        </w:rPr>
        <w:t>1</w:t>
      </w:r>
      <w:r>
        <w:rPr>
          <w:rFonts w:hint="default" w:ascii="Times New Roman" w:hAnsi="Times New Roman" w:cs="Times New Roman"/>
          <w:sz w:val="22"/>
        </w:rPr>
        <w:t>g，加入液氮适量,加入0.02 mol·LPBS缓冲液(pH</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7.2)40mL</w:t>
      </w:r>
      <w:r>
        <w:rPr>
          <w:rFonts w:hint="eastAsia" w:ascii="Times New Roman" w:hAnsi="Times New Roman" w:cs="Times New Roman"/>
          <w:sz w:val="22"/>
          <w:lang w:eastAsia="zh-CN"/>
        </w:rPr>
        <w:t>，</w:t>
      </w:r>
      <w:r>
        <w:rPr>
          <w:rFonts w:hint="default" w:ascii="Times New Roman" w:hAnsi="Times New Roman" w:cs="Times New Roman"/>
          <w:sz w:val="22"/>
        </w:rPr>
        <w:t>冰浴研磨30min至糊状</w:t>
      </w:r>
      <w:r>
        <w:rPr>
          <w:rFonts w:hint="eastAsia" w:ascii="Times New Roman" w:hAnsi="Times New Roman" w:cs="Times New Roman"/>
          <w:sz w:val="22"/>
          <w:lang w:eastAsia="zh-CN"/>
        </w:rPr>
        <w:t>，</w:t>
      </w:r>
      <w:r>
        <w:rPr>
          <w:rFonts w:hint="default" w:ascii="Times New Roman" w:hAnsi="Times New Roman" w:cs="Times New Roman"/>
          <w:sz w:val="22"/>
        </w:rPr>
        <w:t>4℃浸提过夜。取出离心30min</w:t>
      </w:r>
      <w:r>
        <w:rPr>
          <w:rFonts w:hint="eastAsia" w:ascii="Times New Roman" w:hAnsi="Times New Roman" w:cs="Times New Roman"/>
          <w:sz w:val="22"/>
          <w:lang w:eastAsia="zh-CN"/>
        </w:rPr>
        <w:t>，</w:t>
      </w:r>
      <w:r>
        <w:rPr>
          <w:rFonts w:hint="default" w:ascii="Times New Roman" w:hAnsi="Times New Roman" w:cs="Times New Roman"/>
          <w:sz w:val="22"/>
        </w:rPr>
        <w:t>刮掉漂浮油脂层,得透明上清液,待进一步含量测定及电泳分析。采用bradford 法测定可溶性蛋白含量。Bradford法（考马斯亮蓝法）：冬虫夏草粉末（0.5 g）用预冷磷酸盐缓冲液（PBS, pH 7.4）冰浴研磨，4℃离心（12,000 rpm, 20 min），取上清液。必要时用丙酮脱脂或活性炭脱色。显色反应：取50 μL上清液，加入5 mL Bradford工作液，混匀后静置5 min。检测：在595 nm波长下测定吸光度，以牛血清白蛋白（BSA）绘制标准曲线（0.1-1.0 mg/mL）。可溶性蛋白质SDS-PAGE分析选取各产地样品各3份进行SDS-PAGE电泳进行测定,分析样品中可溶性蛋白质相对分子质量范围。可溶性蛋白质双向电泳(2-DE)分析选取检测样品进行2-DE测定,分析其中可溶性蛋白质多样性,采用</w:t>
      </w:r>
      <w:r>
        <w:rPr>
          <w:rFonts w:hint="default" w:ascii="Times New Roman" w:hAnsi="Times New Roman" w:cs="Times New Roman"/>
          <w:sz w:val="22"/>
          <w:lang w:eastAsia="zh-CN"/>
        </w:rPr>
        <w:t>相关</w:t>
      </w:r>
      <w:r>
        <w:rPr>
          <w:rFonts w:hint="default" w:ascii="Times New Roman" w:hAnsi="Times New Roman" w:cs="Times New Roman"/>
          <w:sz w:val="22"/>
        </w:rPr>
        <w:t>软件分析蛋白斑点数量及pH分布范围。</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1"/>
      <w:ind w:right="360"/>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II</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fldChar w:fldCharType="begin"/>
    </w:r>
    <w:r>
      <w:rPr>
        <w:rStyle w:val="7"/>
      </w:rPr>
      <w:instrText xml:space="preserve"> PAGE </w:instrText>
    </w:r>
    <w:r>
      <w:fldChar w:fldCharType="separate"/>
    </w:r>
    <w:r>
      <w:rPr>
        <w:rStyle w:val="7"/>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DB63/ 490-2005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pPr>
    <w:r>
      <w:t>T/QCSA</w:t>
    </w:r>
    <w:r>
      <w:rPr>
        <w:rFonts w:hint="eastAsia"/>
      </w:rPr>
      <w:t xml:space="preserve"> 9</w:t>
    </w:r>
    <w:r>
      <w:t xml:space="preserve"> —202</w:t>
    </w:r>
    <w:r>
      <w:rPr>
        <w:rFonts w:hint="eastAsia"/>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D47AAC"/>
    <w:rsid w:val="00102638"/>
    <w:rsid w:val="00222FB4"/>
    <w:rsid w:val="00396944"/>
    <w:rsid w:val="00440F26"/>
    <w:rsid w:val="00485844"/>
    <w:rsid w:val="0053626D"/>
    <w:rsid w:val="005F6DA9"/>
    <w:rsid w:val="006E3505"/>
    <w:rsid w:val="0079176D"/>
    <w:rsid w:val="008F481B"/>
    <w:rsid w:val="008F6B33"/>
    <w:rsid w:val="009446FD"/>
    <w:rsid w:val="00BD2CC3"/>
    <w:rsid w:val="00CE5FEA"/>
    <w:rsid w:val="00CF7DF9"/>
    <w:rsid w:val="00E23BA8"/>
    <w:rsid w:val="00E75E76"/>
    <w:rsid w:val="00EB470F"/>
    <w:rsid w:val="00F81335"/>
    <w:rsid w:val="067578A7"/>
    <w:rsid w:val="16E179D5"/>
    <w:rsid w:val="18C85F46"/>
    <w:rsid w:val="1DAF4298"/>
    <w:rsid w:val="1DD47AAC"/>
    <w:rsid w:val="223C7F5B"/>
    <w:rsid w:val="2661634B"/>
    <w:rsid w:val="2B9409C9"/>
    <w:rsid w:val="32414232"/>
    <w:rsid w:val="329C2BD3"/>
    <w:rsid w:val="37AA7507"/>
    <w:rsid w:val="3A2A634D"/>
    <w:rsid w:val="455235D7"/>
    <w:rsid w:val="4DFD3296"/>
    <w:rsid w:val="4F4E7DA7"/>
    <w:rsid w:val="535E3B09"/>
    <w:rsid w:val="5DC95571"/>
    <w:rsid w:val="5FE86BDB"/>
    <w:rsid w:val="72B05389"/>
    <w:rsid w:val="74E93651"/>
    <w:rsid w:val="75D96A2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firstLineChars="200"/>
    </w:pPr>
    <w:rPr>
      <w:rFonts w:ascii="宋体" w:hAnsi="宋体"/>
      <w:color w:val="FF0000"/>
      <w:szCs w:val="30"/>
    </w:rPr>
  </w:style>
  <w:style w:type="paragraph" w:styleId="3">
    <w:name w:val="footer"/>
    <w:basedOn w:val="1"/>
    <w:qFormat/>
    <w:uiPriority w:val="0"/>
    <w:pPr>
      <w:tabs>
        <w:tab w:val="center" w:pos="4153"/>
        <w:tab w:val="right" w:pos="8306"/>
      </w:tabs>
      <w:snapToGrid w:val="0"/>
      <w:ind w:right="210" w:rightChars="100"/>
      <w:jc w:val="right"/>
    </w:pPr>
    <w:rPr>
      <w:sz w:val="18"/>
      <w:szCs w:val="18"/>
    </w:rPr>
  </w:style>
  <w:style w:type="paragraph" w:styleId="4">
    <w:name w:val="toc 1"/>
    <w:next w:val="1"/>
    <w:qFormat/>
    <w:uiPriority w:val="0"/>
    <w:pPr>
      <w:tabs>
        <w:tab w:val="right" w:leader="dot" w:pos="9345"/>
      </w:tabs>
      <w:snapToGrid w:val="0"/>
      <w:spacing w:line="360" w:lineRule="auto"/>
      <w:jc w:val="both"/>
    </w:pPr>
    <w:rPr>
      <w:rFonts w:ascii="宋体" w:hAnsiTheme="minorHAnsi" w:eastAsiaTheme="minorEastAsia" w:cstheme="minorBidi"/>
      <w:sz w:val="21"/>
      <w:szCs w:val="22"/>
      <w:lang w:val="en-US" w:eastAsia="zh-CN" w:bidi="ar-SA"/>
    </w:rPr>
  </w:style>
  <w:style w:type="paragraph" w:styleId="5">
    <w:name w:val="toc 2"/>
    <w:basedOn w:val="4"/>
    <w:next w:val="1"/>
    <w:qFormat/>
    <w:uiPriority w:val="0"/>
    <w:pPr>
      <w:jc w:val="left"/>
    </w:pPr>
    <w:rPr>
      <w:szCs w:val="28"/>
    </w:rPr>
  </w:style>
  <w:style w:type="character" w:styleId="7">
    <w:name w:val="page number"/>
    <w:qFormat/>
    <w:uiPriority w:val="0"/>
    <w:rPr>
      <w:rFonts w:ascii="Times New Roman" w:hAnsi="Times New Roman" w:eastAsia="宋体"/>
      <w:sz w:val="18"/>
    </w:rPr>
  </w:style>
  <w:style w:type="table" w:styleId="9">
    <w:name w:val="Table Grid"/>
    <w:basedOn w:val="8"/>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封面正文"/>
    <w:qFormat/>
    <w:uiPriority w:val="0"/>
    <w:pPr>
      <w:jc w:val="both"/>
    </w:pPr>
    <w:rPr>
      <w:rFonts w:asciiTheme="minorHAnsi" w:hAnsiTheme="minorHAnsi" w:eastAsiaTheme="minorEastAsia" w:cstheme="minorBidi"/>
      <w:sz w:val="21"/>
      <w:szCs w:val="22"/>
      <w:lang w:val="en-US" w:eastAsia="zh-CN" w:bidi="ar-SA"/>
    </w:rPr>
  </w:style>
  <w:style w:type="paragraph" w:customStyle="1" w:styleId="11">
    <w:name w:val="目次、标准名称标题"/>
    <w:basedOn w:val="12"/>
    <w:next w:val="13"/>
    <w:qFormat/>
    <w:uiPriority w:val="0"/>
    <w:pPr>
      <w:spacing w:line="460" w:lineRule="exact"/>
    </w:pPr>
  </w:style>
  <w:style w:type="paragraph" w:customStyle="1" w:styleId="12">
    <w:name w:val="前言、引言标题"/>
    <w:next w:val="1"/>
    <w:qFormat/>
    <w:uiPriority w:val="0"/>
    <w:p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13">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14">
    <w:name w:val="章标题"/>
    <w:next w:val="13"/>
    <w:qFormat/>
    <w:uiPriority w:val="0"/>
    <w:pPr>
      <w:spacing w:before="50" w:beforeLines="50" w:after="50" w:afterLines="50"/>
      <w:jc w:val="both"/>
      <w:outlineLvl w:val="1"/>
    </w:pPr>
    <w:rPr>
      <w:rFonts w:ascii="黑体" w:eastAsia="黑体" w:hAnsiTheme="minorHAnsi" w:cstheme="minorBidi"/>
      <w:sz w:val="21"/>
      <w:szCs w:val="22"/>
      <w:lang w:val="en-US" w:eastAsia="zh-CN" w:bidi="ar-SA"/>
    </w:rPr>
  </w:style>
  <w:style w:type="paragraph" w:customStyle="1" w:styleId="15">
    <w:name w:val="一级条标题"/>
    <w:next w:val="13"/>
    <w:qFormat/>
    <w:uiPriority w:val="0"/>
    <w:pPr>
      <w:outlineLvl w:val="2"/>
    </w:pPr>
    <w:rPr>
      <w:rFonts w:eastAsia="黑体" w:asciiTheme="minorHAnsi" w:hAnsiTheme="minorHAnsi" w:cstheme="minorBidi"/>
      <w:sz w:val="21"/>
      <w:szCs w:val="22"/>
      <w:lang w:val="en-US" w:eastAsia="zh-CN" w:bidi="ar-SA"/>
    </w:rPr>
  </w:style>
  <w:style w:type="paragraph" w:customStyle="1" w:styleId="16">
    <w:name w:val="二级条标题"/>
    <w:basedOn w:val="15"/>
    <w:next w:val="13"/>
    <w:qFormat/>
    <w:uiPriority w:val="0"/>
    <w:pPr>
      <w:outlineLvl w:val="3"/>
    </w:pPr>
  </w:style>
  <w:style w:type="paragraph" w:customStyle="1" w:styleId="17">
    <w:name w:val="_Style 12"/>
    <w:basedOn w:val="1"/>
    <w:qFormat/>
    <w:uiPriority w:val="34"/>
    <w:pPr>
      <w:ind w:firstLine="420" w:firstLineChars="200"/>
    </w:pPr>
    <w:rPr>
      <w:rFonts w:ascii="等线" w:hAnsi="等线" w:eastAsia="等线" w:cs="Times New Roman"/>
      <w:szCs w:val="22"/>
    </w:rPr>
  </w:style>
  <w:style w:type="paragraph" w:customStyle="1" w:styleId="18">
    <w:name w:val="发布部门"/>
    <w:next w:val="13"/>
    <w:qFormat/>
    <w:uiPriority w:val="0"/>
    <w:pPr>
      <w:framePr w:w="7433" w:h="585" w:hRule="exact" w:hSpace="180" w:vSpace="180" w:wrap="around" w:vAnchor="margin" w:hAnchor="margin" w:xAlign="center" w:y="14401" w:anchorLock="1"/>
      <w:jc w:val="center"/>
    </w:pPr>
    <w:rPr>
      <w:rFonts w:ascii="宋体" w:hAnsiTheme="minorHAnsi" w:eastAsiaTheme="minorEastAsia" w:cstheme="minorBidi"/>
      <w:b/>
      <w:spacing w:val="20"/>
      <w:w w:val="135"/>
      <w:sz w:val="36"/>
      <w:szCs w:val="22"/>
      <w:lang w:val="en-US" w:eastAsia="zh-CN" w:bidi="ar-SA"/>
    </w:rPr>
  </w:style>
  <w:style w:type="character" w:customStyle="1" w:styleId="19">
    <w:name w:val="发布"/>
    <w:qFormat/>
    <w:uiPriority w:val="0"/>
    <w:rPr>
      <w:rFonts w:ascii="黑体" w:eastAsia="黑体"/>
      <w:spacing w:val="22"/>
      <w:w w:val="100"/>
      <w:position w:val="3"/>
      <w:sz w:val="28"/>
    </w:rPr>
  </w:style>
  <w:style w:type="paragraph" w:customStyle="1" w:styleId="20">
    <w:name w:val="实施日期"/>
    <w:basedOn w:val="21"/>
    <w:qFormat/>
    <w:uiPriority w:val="0"/>
    <w:pPr>
      <w:framePr w:hSpace="0" w:xAlign="right"/>
      <w:jc w:val="right"/>
    </w:pPr>
  </w:style>
  <w:style w:type="paragraph" w:customStyle="1" w:styleId="21">
    <w:name w:val="发布日期"/>
    <w:qFormat/>
    <w:uiPriority w:val="0"/>
    <w:pPr>
      <w:framePr w:w="4000" w:h="473" w:hRule="exact" w:hSpace="180" w:vSpace="180" w:wrap="around" w:vAnchor="margin" w:hAnchor="margin" w:y="13511" w:anchorLock="1"/>
    </w:pPr>
    <w:rPr>
      <w:rFonts w:eastAsia="黑体" w:asciiTheme="minorHAnsi" w:hAnsiTheme="minorHAnsi" w:cstheme="minorBidi"/>
      <w:sz w:val="28"/>
      <w:szCs w:val="22"/>
      <w:lang w:val="en-US" w:eastAsia="zh-CN" w:bidi="ar-SA"/>
    </w:rPr>
  </w:style>
  <w:style w:type="paragraph" w:customStyle="1" w:styleId="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eastAsia="黑体" w:hAnsiTheme="minorHAnsi" w:cstheme="minorBidi"/>
      <w:sz w:val="52"/>
      <w:szCs w:val="22"/>
      <w:lang w:val="en-US" w:eastAsia="zh-CN" w:bidi="ar-SA"/>
    </w:rPr>
  </w:style>
  <w:style w:type="paragraph" w:customStyle="1" w:styleId="23">
    <w:name w:val="封面标准英文名称"/>
    <w:qFormat/>
    <w:uiPriority w:val="0"/>
    <w:pPr>
      <w:widowControl w:val="0"/>
      <w:spacing w:before="370" w:line="400" w:lineRule="exact"/>
      <w:jc w:val="center"/>
    </w:pPr>
    <w:rPr>
      <w:rFonts w:asciiTheme="minorHAnsi" w:hAnsiTheme="minorHAnsi" w:eastAsiaTheme="minorEastAsia" w:cstheme="minorBidi"/>
      <w:sz w:val="28"/>
      <w:szCs w:val="22"/>
      <w:lang w:val="en-US" w:eastAsia="zh-CN" w:bidi="ar-SA"/>
    </w:rPr>
  </w:style>
  <w:style w:type="paragraph" w:customStyle="1" w:styleId="24">
    <w:name w:val="封面一致性程度标识"/>
    <w:qFormat/>
    <w:uiPriority w:val="0"/>
    <w:pPr>
      <w:spacing w:before="440" w:line="400" w:lineRule="exact"/>
      <w:jc w:val="center"/>
    </w:pPr>
    <w:rPr>
      <w:rFonts w:ascii="宋体" w:hAnsiTheme="minorHAnsi" w:eastAsiaTheme="minorEastAsia" w:cstheme="minorBidi"/>
      <w:sz w:val="28"/>
      <w:szCs w:val="22"/>
      <w:lang w:val="en-US" w:eastAsia="zh-CN" w:bidi="ar-SA"/>
    </w:rPr>
  </w:style>
  <w:style w:type="paragraph" w:customStyle="1" w:styleId="25">
    <w:name w:val="封面标准号1"/>
    <w:qFormat/>
    <w:uiPriority w:val="0"/>
    <w:pPr>
      <w:widowControl w:val="0"/>
      <w:kinsoku w:val="0"/>
      <w:overflowPunct w:val="0"/>
      <w:autoSpaceDE w:val="0"/>
      <w:autoSpaceDN w:val="0"/>
      <w:spacing w:before="308"/>
      <w:jc w:val="right"/>
      <w:textAlignment w:val="center"/>
    </w:pPr>
    <w:rPr>
      <w:rFonts w:asciiTheme="minorHAnsi" w:hAnsiTheme="minorHAnsi" w:eastAsiaTheme="minorEastAsia" w:cstheme="minorBidi"/>
      <w:sz w:val="28"/>
      <w:szCs w:val="22"/>
      <w:lang w:val="en-US" w:eastAsia="zh-CN" w:bidi="ar-SA"/>
    </w:rPr>
  </w:style>
  <w:style w:type="paragraph" w:customStyle="1" w:styleId="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heme="minorHAnsi" w:hAnsiTheme="minorHAnsi" w:eastAsiaTheme="minorEastAsia" w:cstheme="minorBidi"/>
      <w:b/>
      <w:w w:val="130"/>
      <w:sz w:val="96"/>
      <w:szCs w:val="22"/>
      <w:lang w:val="en-US" w:eastAsia="zh-CN" w:bidi="ar-SA"/>
    </w:rPr>
  </w:style>
  <w:style w:type="paragraph" w:customStyle="1" w:styleId="27">
    <w:name w:val="其他标准称谓"/>
    <w:qFormat/>
    <w:uiPriority w:val="0"/>
    <w:pPr>
      <w:spacing w:line="0" w:lineRule="atLeast"/>
      <w:jc w:val="distribute"/>
    </w:pPr>
    <w:rPr>
      <w:rFonts w:ascii="黑体" w:hAnsi="宋体" w:eastAsia="黑体" w:cstheme="minorBidi"/>
      <w:sz w:val="52"/>
      <w:szCs w:val="22"/>
      <w:lang w:val="en-US" w:eastAsia="zh-CN" w:bidi="ar-SA"/>
    </w:rPr>
  </w:style>
  <w:style w:type="paragraph" w:customStyle="1" w:styleId="28">
    <w:name w:val="文献分类号"/>
    <w:qFormat/>
    <w:uiPriority w:val="0"/>
    <w:pPr>
      <w:framePr w:hSpace="180" w:vSpace="180" w:wrap="around" w:vAnchor="margin" w:hAnchor="margin" w:y="1" w:anchorLock="1"/>
      <w:widowControl w:val="0"/>
      <w:textAlignment w:val="center"/>
    </w:pPr>
    <w:rPr>
      <w:rFonts w:eastAsia="黑体" w:asciiTheme="minorHAnsi" w:hAnsiTheme="minorHAnsi" w:cstheme="minorBidi"/>
      <w:sz w:val="21"/>
      <w:szCs w:val="22"/>
      <w:lang w:val="en-US" w:eastAsia="zh-CN" w:bidi="ar-SA"/>
    </w:rPr>
  </w:style>
  <w:style w:type="paragraph" w:customStyle="1" w:styleId="29">
    <w:name w:val="标准书眉_奇数页"/>
    <w:next w:val="1"/>
    <w:qFormat/>
    <w:uiPriority w:val="0"/>
    <w:pPr>
      <w:tabs>
        <w:tab w:val="center" w:pos="4154"/>
        <w:tab w:val="right" w:pos="8306"/>
      </w:tabs>
      <w:spacing w:after="120"/>
      <w:jc w:val="right"/>
    </w:pPr>
    <w:rPr>
      <w:rFonts w:asciiTheme="minorHAnsi" w:hAnsiTheme="minorHAnsi" w:eastAsiaTheme="minorEastAsia" w:cstheme="minorBidi"/>
      <w:sz w:val="21"/>
      <w:szCs w:val="22"/>
      <w:lang w:val="en-US" w:eastAsia="zh-CN" w:bidi="ar-SA"/>
    </w:rPr>
  </w:style>
  <w:style w:type="paragraph" w:customStyle="1" w:styleId="30">
    <w:name w:val="标准书眉一"/>
    <w:qFormat/>
    <w:uiPriority w:val="0"/>
    <w:pPr>
      <w:jc w:val="both"/>
    </w:pPr>
    <w:rPr>
      <w:rFonts w:asciiTheme="minorHAnsi" w:hAnsiTheme="minorHAnsi" w:eastAsiaTheme="minorEastAsia" w:cstheme="minorBidi"/>
      <w:sz w:val="21"/>
      <w:szCs w:val="22"/>
      <w:lang w:val="en-US" w:eastAsia="zh-CN" w:bidi="ar-SA"/>
    </w:rPr>
  </w:style>
  <w:style w:type="paragraph" w:customStyle="1" w:styleId="31">
    <w:name w:val="标准书脚_奇数页"/>
    <w:qFormat/>
    <w:uiPriority w:val="0"/>
    <w:pPr>
      <w:spacing w:before="120"/>
      <w:jc w:val="right"/>
    </w:pPr>
    <w:rPr>
      <w:rFonts w:asciiTheme="minorHAnsi" w:hAnsiTheme="minorHAnsi" w:eastAsiaTheme="minorEastAsia" w:cstheme="minorBidi"/>
      <w:sz w:val="18"/>
      <w:szCs w:val="22"/>
      <w:lang w:val="en-US" w:eastAsia="zh-CN" w:bidi="ar-SA"/>
    </w:rPr>
  </w:style>
  <w:style w:type="paragraph" w:customStyle="1" w:styleId="3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1924</Words>
  <Characters>2310</Characters>
  <Lines>454</Lines>
  <Paragraphs>438</Paragraphs>
  <TotalTime>0</TotalTime>
  <ScaleCrop>false</ScaleCrop>
  <LinksUpToDate>false</LinksUpToDate>
  <CharactersWithSpaces>2393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2025-07-18T07:57:00Z</dcterms:created>
  <dc:creator>Administrator</dc:creator>
  <cp:lastModifiedBy>Administrator</cp:lastModifiedBy>
  <dcterms:modified xsi:type="dcterms:W3CDTF">2025-07-31T03:14:55Z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KSOTemplateDocerSaveRecord">
    <vt:lpwstr>eyJoZGlkIjoiZjYwZWUzOTkzZDg3MDRiYzFmNDk5MWE3OGVhNTQ0MDUiLCJ1c2VySWQiOiI0OTU0NjYxODMifQ==</vt:lpwstr>
  </property>
  <property fmtid="{D5CDD505-2E9C-101B-9397-08002B2CF9AE}" pid="4" name="ICV">
    <vt:lpwstr>2E873E792E064C11A0FCEB7B340E700F_13</vt:lpwstr>
  </property>
</Properties>
</file>