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B4D3C">
      <w:pPr>
        <w:pStyle w:val="109"/>
        <w:framePr w:wrap="around"/>
        <w:rPr>
          <w:rFonts w:ascii="Times New Roman" w:hAnsi="Times New Roman"/>
        </w:rPr>
      </w:pPr>
    </w:p>
    <w:tbl>
      <w:tblPr>
        <w:tblStyle w:val="3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B16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80ECE89">
            <w:pPr>
              <w:pStyle w:val="126"/>
              <w:framePr w:wrap="around"/>
              <w:rPr>
                <w:rFonts w:ascii="Times New Roman"/>
              </w:rPr>
            </w:pPr>
          </w:p>
        </w:tc>
      </w:tr>
    </w:tbl>
    <w:p w14:paraId="32681EEB">
      <w:pPr>
        <w:pStyle w:val="97"/>
        <w:framePr w:wrap="around"/>
        <w:rPr>
          <w:rFonts w:ascii="Times New Roman" w:eastAsia="宋体"/>
        </w:rPr>
      </w:pPr>
    </w:p>
    <w:p w14:paraId="5F76E11B">
      <w:pPr>
        <w:pStyle w:val="97"/>
        <w:framePr w:wrap="around"/>
        <w:rPr>
          <w:rFonts w:ascii="Times New Roman" w:eastAsia="宋体"/>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2133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6EA6AA70">
            <w:pPr>
              <w:pStyle w:val="104"/>
              <w:framePr w:wrap="around" w:vAnchor="page" w:hAnchor="page" w:x="1535" w:y="709"/>
              <w:rPr>
                <w:rFonts w:ascii="Times New Roman"/>
              </w:rPr>
            </w:pPr>
            <w:r>
              <w:rPr>
                <w:rFonts w:hint="eastAsia" w:ascii="Times New Roman"/>
              </w:rPr>
              <w:t>ICS 67.120.99</w:t>
            </w:r>
          </w:p>
          <w:p w14:paraId="0AE57E88">
            <w:pPr>
              <w:pStyle w:val="104"/>
              <w:framePr w:wrap="around" w:vAnchor="page" w:hAnchor="page" w:x="1535" w:y="709"/>
              <w:rPr>
                <w:rFonts w:ascii="Times New Roman"/>
              </w:rPr>
            </w:pPr>
            <w:r>
              <w:rPr>
                <w:rFonts w:hint="eastAsia" w:ascii="Times New Roman"/>
              </w:rPr>
              <w:t>CCS C 149</w:t>
            </w:r>
          </w:p>
        </w:tc>
      </w:tr>
    </w:tbl>
    <w:p w14:paraId="5C586DAC">
      <w:pPr>
        <w:rPr>
          <w:rFonts w:eastAsiaTheme="minorEastAsia"/>
          <w:szCs w:val="22"/>
        </w:rPr>
      </w:pPr>
    </w:p>
    <w:p w14:paraId="47743461">
      <w:pPr>
        <w:rPr>
          <w:rFonts w:eastAsiaTheme="minorEastAsia"/>
          <w:szCs w:val="22"/>
        </w:rPr>
      </w:pPr>
      <w:r>
        <w:rPr>
          <w:rFonts w:hint="eastAsia" w:eastAsiaTheme="minorEastAsia"/>
          <w:szCs w:val="22"/>
        </w:rPr>
        <w:t xml:space="preserve"> </w:t>
      </w:r>
    </w:p>
    <w:p w14:paraId="500A3F5C">
      <w:pPr>
        <w:rPr>
          <w:rFonts w:eastAsiaTheme="minorEastAsia"/>
          <w:szCs w:val="22"/>
        </w:rPr>
      </w:pPr>
    </w:p>
    <w:p w14:paraId="342D8942">
      <w:pPr>
        <w:framePr w:w="7808" w:h="1389" w:hRule="exact" w:hSpace="181" w:vSpace="181" w:wrap="around" w:vAnchor="page" w:hAnchor="page" w:x="3087" w:y="909" w:anchorLock="1"/>
        <w:widowControl/>
        <w:shd w:val="solid" w:color="FFFFFF" w:fill="FFFFFF"/>
        <w:spacing w:line="240" w:lineRule="atLeast"/>
        <w:jc w:val="right"/>
        <w:rPr>
          <w:b/>
          <w:w w:val="130"/>
          <w:kern w:val="0"/>
          <w:sz w:val="96"/>
          <w:szCs w:val="96"/>
        </w:rPr>
      </w:pPr>
      <w:r>
        <w:rPr>
          <w:b/>
          <w:w w:val="130"/>
          <w:kern w:val="0"/>
          <w:sz w:val="96"/>
          <w:szCs w:val="96"/>
        </w:rPr>
        <w:t>T/JXSYYXH</w:t>
      </w:r>
    </w:p>
    <w:p w14:paraId="51F784D6">
      <w:pPr>
        <w:framePr w:hSpace="181" w:vSpace="181" w:wrap="around" w:vAnchor="page" w:hAnchor="page" w:x="1419" w:y="2286" w:anchorLock="1"/>
        <w:widowControl/>
        <w:spacing w:line="240" w:lineRule="atLeast"/>
        <w:jc w:val="distribute"/>
        <w:rPr>
          <w:rFonts w:eastAsia="黑体"/>
          <w:spacing w:val="-40"/>
          <w:kern w:val="0"/>
          <w:sz w:val="48"/>
          <w:szCs w:val="52"/>
        </w:rPr>
      </w:pPr>
      <w:r>
        <w:rPr>
          <w:rFonts w:eastAsia="黑体"/>
          <w:spacing w:val="-40"/>
          <w:kern w:val="0"/>
          <w:sz w:val="48"/>
          <w:szCs w:val="52"/>
        </w:rPr>
        <w:t>团体标准</w:t>
      </w:r>
    </w:p>
    <w:p w14:paraId="1FAFFA1C">
      <w:pPr>
        <w:framePr w:w="9140" w:h="1307" w:hRule="exact" w:hSpace="284" w:wrap="around" w:vAnchor="page" w:hAnchor="page" w:x="1781" w:y="2785" w:anchorLock="1"/>
        <w:widowControl/>
        <w:spacing w:before="357" w:line="280" w:lineRule="exact"/>
        <w:jc w:val="right"/>
        <w:rPr>
          <w:rFonts w:eastAsia="黑体"/>
          <w:kern w:val="0"/>
          <w:sz w:val="28"/>
          <w:szCs w:val="28"/>
        </w:rPr>
      </w:pPr>
      <w:r>
        <w:rPr>
          <w:rFonts w:eastAsia="黑体"/>
          <w:kern w:val="0"/>
          <w:sz w:val="28"/>
          <w:szCs w:val="28"/>
        </w:rPr>
        <w:t>T/JXSYYXH 0008-2025</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585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D1ABB05">
            <w:pPr>
              <w:framePr w:w="9140" w:h="1307" w:hRule="exact" w:hSpace="284" w:wrap="around" w:vAnchor="page" w:hAnchor="page" w:x="1781" w:y="2785" w:anchorLock="1"/>
              <w:widowControl/>
              <w:wordWrap w:val="0"/>
              <w:spacing w:before="57" w:line="280" w:lineRule="exact"/>
              <w:jc w:val="right"/>
              <w:rPr>
                <w:kern w:val="0"/>
                <w:szCs w:val="21"/>
              </w:rPr>
            </w:pPr>
            <w:r>
              <w:rPr>
                <w:rFonts w:ascii="Cambria Math" w:hAnsi="Cambria Math" w:cs="Cambria Math"/>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462915</wp:posOffset>
                      </wp:positionV>
                      <wp:extent cx="6120130" cy="0"/>
                      <wp:effectExtent l="0" t="4445" r="0" b="5080"/>
                      <wp:wrapNone/>
                      <wp:docPr id="8"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5.4pt;margin-top:36.45pt;height:0pt;width:481.9pt;z-index:251664384;mso-width-relative:page;mso-height-relative:page;" filled="f" stroked="t" coordsize="21600,21600" o:gfxdata="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K5xLXAAAACQEAAA8A&#10;AAAAAAAAAQAgAAAAIgAAAGRycy9kb3ducmV2LnhtbFBLAQIUABQAAAAIAIdO4kDhwt4y3wEAANAD&#10;AAAOAAAAAAAAAAEAIAAAACYBAABkcnMvZTJvRG9jLnhtbFBLBQYAAAAABgAGAFkBAAB3BQAAAAA=&#10;">
                      <v:fill on="f" focussize="0,0"/>
                      <v:stroke color="#000000" joinstyle="round"/>
                      <v:imagedata o:title=""/>
                      <o:lock v:ext="edit" aspectratio="f"/>
                    </v:line>
                  </w:pict>
                </mc:Fallback>
              </mc:AlternateContent>
            </w:r>
          </w:p>
        </w:tc>
      </w:tr>
    </w:tbl>
    <w:p w14:paraId="2E9EE94A">
      <w:pPr>
        <w:framePr w:w="9140" w:h="1307" w:hRule="exact" w:hSpace="284" w:wrap="around" w:vAnchor="page" w:hAnchor="page" w:x="1781" w:y="2785" w:anchorLock="1"/>
        <w:widowControl/>
        <w:spacing w:before="357" w:line="280" w:lineRule="exact"/>
        <w:jc w:val="right"/>
        <w:rPr>
          <w:rFonts w:eastAsia="黑体"/>
          <w:kern w:val="0"/>
          <w:sz w:val="28"/>
          <w:szCs w:val="28"/>
        </w:rPr>
      </w:pPr>
    </w:p>
    <w:p w14:paraId="21689AF8">
      <w:pPr>
        <w:framePr w:w="9140" w:h="1307" w:hRule="exact" w:hSpace="284" w:wrap="around" w:vAnchor="page" w:hAnchor="page" w:x="1781" w:y="2785" w:anchorLock="1"/>
        <w:widowControl/>
        <w:spacing w:before="357" w:line="280" w:lineRule="exact"/>
        <w:jc w:val="right"/>
        <w:rPr>
          <w:rFonts w:eastAsia="黑体"/>
          <w:kern w:val="0"/>
          <w:sz w:val="28"/>
          <w:szCs w:val="28"/>
        </w:rPr>
      </w:pPr>
    </w:p>
    <w:p w14:paraId="450DE2D3">
      <w:pPr>
        <w:framePr w:w="9639" w:h="6917" w:hRule="exact" w:wrap="around" w:vAnchor="page" w:hAnchor="page" w:x="1162" w:y="6652" w:anchorLock="1"/>
        <w:spacing w:line="680" w:lineRule="exact"/>
        <w:jc w:val="center"/>
        <w:textAlignment w:val="center"/>
        <w:rPr>
          <w:rFonts w:eastAsia="黑体"/>
          <w:kern w:val="0"/>
          <w:sz w:val="52"/>
          <w:szCs w:val="20"/>
        </w:rPr>
      </w:pPr>
      <w:r>
        <w:rPr>
          <w:rFonts w:hint="eastAsia" w:eastAsia="黑体"/>
          <w:kern w:val="0"/>
          <w:sz w:val="52"/>
          <w:szCs w:val="20"/>
        </w:rPr>
        <w:t>食品加工用 猪脑肽粉</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68ED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0C3A479">
            <w:pPr>
              <w:framePr w:w="9639" w:h="6917" w:hRule="exact" w:wrap="around" w:vAnchor="page" w:hAnchor="page" w:x="1162" w:y="6652" w:anchorLock="1"/>
              <w:jc w:val="center"/>
              <w:textAlignment w:val="center"/>
              <w:rPr>
                <w:rFonts w:eastAsia="黑体"/>
                <w:kern w:val="0"/>
                <w:sz w:val="28"/>
                <w:szCs w:val="28"/>
              </w:rPr>
            </w:pPr>
          </w:p>
          <w:p w14:paraId="2C899E69">
            <w:pPr>
              <w:framePr w:w="9639" w:h="6917" w:hRule="exact" w:wrap="around" w:vAnchor="page" w:hAnchor="page" w:x="1162" w:y="6652" w:anchorLock="1"/>
              <w:jc w:val="center"/>
              <w:textAlignment w:val="center"/>
              <w:rPr>
                <w:rFonts w:eastAsia="黑体"/>
                <w:kern w:val="0"/>
                <w:sz w:val="28"/>
                <w:szCs w:val="28"/>
              </w:rPr>
            </w:pPr>
            <w:r>
              <w:rPr>
                <w:rFonts w:eastAsia="黑体"/>
                <w:kern w:val="0"/>
                <w:sz w:val="28"/>
                <w:szCs w:val="28"/>
              </w:rPr>
              <w:t xml:space="preserve">Peptides extracted from porcine </w:t>
            </w:r>
            <w:r>
              <w:rPr>
                <w:rFonts w:hint="eastAsia" w:eastAsia="黑体"/>
                <w:kern w:val="0"/>
                <w:sz w:val="28"/>
                <w:szCs w:val="28"/>
              </w:rPr>
              <w:t>brain</w:t>
            </w:r>
            <w:r>
              <w:rPr>
                <w:rFonts w:eastAsia="黑体"/>
                <w:kern w:val="0"/>
                <w:sz w:val="28"/>
                <w:szCs w:val="28"/>
              </w:rPr>
              <w:t xml:space="preserve"> </w:t>
            </w:r>
            <w:r>
              <w:rPr>
                <w:rFonts w:hint="eastAsia" w:eastAsia="黑体"/>
                <w:kern w:val="0"/>
                <w:sz w:val="28"/>
                <w:szCs w:val="28"/>
              </w:rPr>
              <w:t>for</w:t>
            </w:r>
            <w:r>
              <w:rPr>
                <w:rFonts w:eastAsia="黑体"/>
                <w:kern w:val="0"/>
                <w:sz w:val="28"/>
                <w:szCs w:val="28"/>
              </w:rPr>
              <mc:AlternateContent>
                <mc:Choice Requires="wps">
                  <w:drawing>
                    <wp:anchor distT="0" distB="0" distL="114300" distR="114300" simplePos="0" relativeHeight="251663360" behindDoc="1" locked="1" layoutInCell="1" allowOverlap="1">
                      <wp:simplePos x="0" y="0"/>
                      <wp:positionH relativeFrom="column">
                        <wp:posOffset>2353310</wp:posOffset>
                      </wp:positionH>
                      <wp:positionV relativeFrom="paragraph">
                        <wp:posOffset>4434205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85.3pt;margin-top:349.15pt;height:20pt;width:150pt;z-index:-251653120;mso-width-relative:page;mso-height-relative:page;" fillcolor="#FFFFFF" filled="t" stroked="f" coordsize="21600,21600" o:gfxdata="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SeT1h1wAAAAsBAAAPAAAA&#10;AAAAAAEAIAAAACIAAABkcnMvZG93bnJldi54bWxQSwECFAAUAAAACACHTuJAMYGPnaQBAABnAwAA&#10;DgAAAAAAAAABACAAAAAmAQAAZHJzL2Uyb0RvYy54bWxQSwUGAAAAAAYABgBZAQAAPAUAAAAA&#10;">
                      <v:fill on="t" focussize="0,0"/>
                      <v:stroke on="f"/>
                      <v:imagedata o:title=""/>
                      <o:lock v:ext="edit" aspectratio="f"/>
                      <w10:anchorlock/>
                    </v:rect>
                  </w:pict>
                </mc:Fallback>
              </mc:AlternateContent>
            </w:r>
            <w:r>
              <w:rPr>
                <w:rFonts w:eastAsia="黑体"/>
                <w:kern w:val="0"/>
                <w:sz w:val="28"/>
                <w:szCs w:val="28"/>
              </w:rPr>
              <w:t xml:space="preserve"> </w:t>
            </w:r>
            <w:r>
              <w:rPr>
                <w:rFonts w:hint="eastAsia" w:eastAsia="黑体"/>
                <w:kern w:val="0"/>
                <w:sz w:val="28"/>
                <w:szCs w:val="28"/>
              </w:rPr>
              <w:t>f</w:t>
            </w:r>
            <w:r>
              <w:rPr>
                <w:rFonts w:eastAsia="黑体"/>
                <w:kern w:val="0"/>
                <w:sz w:val="28"/>
                <w:szCs w:val="28"/>
              </w:rPr>
              <w:t xml:space="preserve">ood processing </w:t>
            </w:r>
            <w:r>
              <w:rPr>
                <w:rFonts w:eastAsia="黑体"/>
                <w:kern w:val="0"/>
                <w:sz w:val="28"/>
                <w:szCs w:val="28"/>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f1/fg1wAAAAsBAAAPAAAA&#10;AAAAAAEAIAAAACIAAABkcnMvZG93bnJldi54bWxQSwECFAAUAAAACACHTuJAVFGneKQBAABnAwAA&#10;DgAAAAAAAAABACAAAAAmAQAAZHJzL2Uyb0RvYy54bWxQSwUGAAAAAAYABgBZAQAAPAUAAAAA&#10;">
                      <v:fill on="t" focussize="0,0"/>
                      <v:stroke on="f"/>
                      <v:imagedata o:title=""/>
                      <o:lock v:ext="edit" aspectratio="f"/>
                      <w10:anchorlock/>
                    </v:rect>
                  </w:pict>
                </mc:Fallback>
              </mc:AlternateContent>
            </w:r>
          </w:p>
        </w:tc>
      </w:tr>
      <w:tr w14:paraId="45798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1D6B8BA">
            <w:pPr>
              <w:framePr w:w="9639" w:h="6917" w:hRule="exact" w:wrap="around" w:vAnchor="page" w:hAnchor="page" w:x="1162" w:y="6652" w:anchorLock="1"/>
              <w:spacing w:before="180" w:after="160" w:line="180" w:lineRule="exact"/>
              <w:jc w:val="center"/>
              <w:textAlignment w:val="center"/>
              <w:rPr>
                <w:kern w:val="0"/>
                <w:szCs w:val="28"/>
              </w:rPr>
            </w:pPr>
          </w:p>
        </w:tc>
      </w:tr>
      <w:tr w14:paraId="4FE2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181D532">
            <w:pPr>
              <w:framePr w:w="9639" w:h="6917" w:hRule="exact" w:wrap="around" w:vAnchor="page" w:hAnchor="page" w:x="1162" w:y="6652" w:anchorLock="1"/>
              <w:spacing w:before="180" w:after="160" w:line="180" w:lineRule="exact"/>
              <w:jc w:val="center"/>
              <w:textAlignment w:val="center"/>
              <w:rPr>
                <w:kern w:val="0"/>
                <w:szCs w:val="28"/>
              </w:rPr>
            </w:pPr>
          </w:p>
          <w:p w14:paraId="4CDCDB9F">
            <w:pPr>
              <w:framePr w:w="9639" w:h="6917" w:hRule="exact" w:wrap="around" w:vAnchor="page" w:hAnchor="page" w:x="1162" w:y="6652" w:anchorLock="1"/>
              <w:spacing w:before="180" w:after="160" w:line="180" w:lineRule="exact"/>
              <w:jc w:val="center"/>
              <w:textAlignment w:val="center"/>
              <w:rPr>
                <w:kern w:val="0"/>
                <w:szCs w:val="28"/>
              </w:rPr>
            </w:pPr>
          </w:p>
        </w:tc>
      </w:tr>
    </w:tbl>
    <w:p w14:paraId="3389A525">
      <w:pPr>
        <w:framePr w:w="3997" w:h="471" w:hRule="exact" w:vSpace="181" w:wrap="around" w:vAnchor="page" w:hAnchor="page" w:x="1441" w:y="13837" w:anchorLock="1"/>
        <w:widowControl/>
        <w:jc w:val="left"/>
        <w:rPr>
          <w:rFonts w:eastAsia="黑体"/>
          <w:kern w:val="0"/>
          <w:sz w:val="28"/>
          <w:szCs w:val="20"/>
        </w:rPr>
      </w:pPr>
      <w:r>
        <w:rPr>
          <w:rFonts w:eastAsia="黑体"/>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-306070</wp:posOffset>
                </wp:positionH>
                <wp:positionV relativeFrom="page">
                  <wp:posOffset>-6397625</wp:posOffset>
                </wp:positionV>
                <wp:extent cx="6963410" cy="0"/>
                <wp:effectExtent l="0" t="0" r="0" b="0"/>
                <wp:wrapNone/>
                <wp:docPr id="11" name="直线 10"/>
                <wp:cNvGraphicFramePr/>
                <a:graphic xmlns:a="http://schemas.openxmlformats.org/drawingml/2006/main">
                  <a:graphicData uri="http://schemas.microsoft.com/office/word/2010/wordprocessingShape">
                    <wps:wsp>
                      <wps:cNvCnPr/>
                      <wps:spPr>
                        <a:xfrm>
                          <a:off x="0" y="0"/>
                          <a:ext cx="696341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24.1pt;margin-top:-503.75pt;height:0pt;width:548.3pt;mso-position-vertical-relative:page;z-index:251661312;mso-width-relative:page;mso-height-relative:page;" filled="f" stroked="t" coordsize="21600,21600" o:gfxdata="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H89A/YAAAA&#10;EAEAAA8AAAAAAAAAAQAgAAAAIgAAAGRycy9kb3ducmV2LnhtbFBLAQIUABQAAAAIAIdO4kARv36y&#10;5AEAAN8DAAAOAAAAAAAAAAEAIAAAACcBAABkcnMvZTJvRG9jLnhtbFBLBQYAAAAABgAGAFkBAAB9&#10;BQAAAAA=&#10;">
                <v:fill on="f" focussize="0,0"/>
                <v:stroke color="#000000" joinstyle="round"/>
                <v:imagedata o:title=""/>
                <o:lock v:ext="edit" aspectratio="f"/>
                <w10:anchorlock/>
              </v:line>
            </w:pict>
          </mc:Fallback>
        </mc:AlternateContent>
      </w:r>
      <w:r>
        <w:rPr>
          <w:rFonts w:eastAsia="黑体"/>
          <w:kern w:val="0"/>
          <w:sz w:val="28"/>
          <w:szCs w:val="20"/>
        </w:rPr>
        <w:t>2025 -00 - 00 发布</w:t>
      </w:r>
    </w:p>
    <w:p w14:paraId="42915E4C">
      <w:pPr>
        <w:framePr w:w="3997" w:h="471" w:hRule="exact" w:vSpace="181" w:wrap="around" w:vAnchor="page" w:hAnchor="page" w:x="7065" w:y="13766" w:anchorLock="1"/>
        <w:widowControl/>
        <w:jc w:val="right"/>
        <w:rPr>
          <w:rFonts w:eastAsia="黑体"/>
          <w:kern w:val="0"/>
          <w:sz w:val="28"/>
          <w:szCs w:val="20"/>
        </w:rPr>
      </w:pPr>
      <w:r>
        <w:rPr>
          <w:rFonts w:eastAsia="黑体"/>
          <w:kern w:val="0"/>
          <w:sz w:val="28"/>
          <w:szCs w:val="20"/>
        </w:rPr>
        <w:t>2025 - 00- 00 实施</w:t>
      </w:r>
    </w:p>
    <w:p w14:paraId="5DDB6BFD">
      <w:pPr>
        <w:rPr>
          <w:rFonts w:eastAsiaTheme="minorEastAsia"/>
          <w:szCs w:val="22"/>
        </w:rPr>
      </w:pPr>
    </w:p>
    <w:p w14:paraId="45CAB5B5">
      <w:pPr>
        <w:rPr>
          <w:rFonts w:eastAsiaTheme="minorEastAsia"/>
          <w:szCs w:val="22"/>
        </w:rPr>
      </w:pPr>
    </w:p>
    <w:p w14:paraId="0CA9B0B5">
      <w:pPr>
        <w:rPr>
          <w:rFonts w:eastAsiaTheme="minorEastAsia"/>
          <w:szCs w:val="22"/>
        </w:rPr>
      </w:pPr>
    </w:p>
    <w:p w14:paraId="64ECBBF6">
      <w:pPr>
        <w:rPr>
          <w:rFonts w:eastAsiaTheme="minorEastAsia"/>
          <w:szCs w:val="22"/>
        </w:rPr>
      </w:pPr>
    </w:p>
    <w:p w14:paraId="68F3ACA6">
      <w:pPr>
        <w:rPr>
          <w:rFonts w:eastAsiaTheme="minorEastAsia"/>
          <w:szCs w:val="22"/>
        </w:rPr>
      </w:pPr>
    </w:p>
    <w:p w14:paraId="673345CD">
      <w:pPr>
        <w:rPr>
          <w:rFonts w:eastAsiaTheme="minorEastAsia"/>
          <w:szCs w:val="22"/>
        </w:rPr>
      </w:pPr>
    </w:p>
    <w:p w14:paraId="3509C016">
      <w:pPr>
        <w:rPr>
          <w:rFonts w:eastAsiaTheme="minorEastAsia"/>
          <w:szCs w:val="22"/>
        </w:rPr>
      </w:pPr>
    </w:p>
    <w:p w14:paraId="6A46ACB3">
      <w:pPr>
        <w:rPr>
          <w:rFonts w:eastAsiaTheme="minorEastAsia"/>
          <w:szCs w:val="22"/>
        </w:rPr>
      </w:pPr>
    </w:p>
    <w:p w14:paraId="345C3A07">
      <w:pPr>
        <w:rPr>
          <w:rFonts w:eastAsiaTheme="minorEastAsia"/>
          <w:szCs w:val="22"/>
        </w:rPr>
      </w:pPr>
      <w:r>
        <w:rPr>
          <w:kern w:val="0"/>
          <w:szCs w:val="28"/>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135890</wp:posOffset>
                </wp:positionV>
                <wp:extent cx="6120130" cy="0"/>
                <wp:effectExtent l="0" t="0" r="0" b="0"/>
                <wp:wrapNone/>
                <wp:docPr id="10"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4.35pt;margin-top:10.7pt;height:0pt;width:481.9pt;z-index:251662336;mso-width-relative:page;mso-height-relative:page;" filled="f" stroked="t" coordsize="21600,21600" o:gfxdata="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5ye4/UAAAABwEAAA8AAAAA&#10;AAAAAQAgAAAAIgAAAGRycy9kb3ducmV2LnhtbFBLAQIUABQAAAAIAIdO4kCc1cRj3wEAANEDAAAO&#10;AAAAAAAAAAEAIAAAACMBAABkcnMvZTJvRG9jLnhtbFBLBQYAAAAABgAGAFkBAAB0BQAAAAA=&#10;">
                <v:fill on="f" focussize="0,0"/>
                <v:stroke color="#000000" joinstyle="round"/>
                <v:imagedata o:title=""/>
                <o:lock v:ext="edit" aspectratio="f"/>
              </v:line>
            </w:pict>
          </mc:Fallback>
        </mc:AlternateContent>
      </w:r>
    </w:p>
    <w:p w14:paraId="088CA4CD">
      <w:pPr>
        <w:pStyle w:val="24"/>
        <w:tabs>
          <w:tab w:val="left" w:pos="571"/>
          <w:tab w:val="clear" w:pos="4201"/>
        </w:tabs>
        <w:ind w:firstLine="0" w:firstLineChars="0"/>
        <w:jc w:val="center"/>
        <w:rPr>
          <w:rFonts w:ascii="Times New Roman"/>
        </w:rPr>
        <w:sectPr>
          <w:pgSz w:w="11906" w:h="16838"/>
          <w:pgMar w:top="567" w:right="850" w:bottom="1134" w:left="1418" w:header="0" w:footer="0" w:gutter="0"/>
          <w:pgNumType w:start="1"/>
          <w:cols w:space="720" w:num="1"/>
          <w:docGrid w:type="lines" w:linePitch="312" w:charSpace="0"/>
        </w:sectPr>
      </w:pPr>
      <w:bookmarkStart w:id="0" w:name="_Toc11260"/>
      <w:bookmarkStart w:id="1" w:name="_Toc739"/>
      <w:bookmarkStart w:id="2" w:name="_Toc2911"/>
      <w:bookmarkStart w:id="3" w:name="_Toc252795207"/>
      <w:bookmarkStart w:id="4" w:name="_Toc252720851"/>
      <w:r>
        <w:rPr>
          <w:rFonts w:eastAsia="黑体"/>
          <w:sz w:val="32"/>
          <w:szCs w:val="32"/>
        </w:rPr>
        <w:t>江西省营养学会</w:t>
      </w:r>
      <w:r>
        <w:rPr>
          <w:rFonts w:hint="eastAsia" w:eastAsia="黑体"/>
          <w:sz w:val="32"/>
          <w:szCs w:val="32"/>
          <w:lang w:val="en-US" w:eastAsia="zh-CN"/>
        </w:rPr>
        <w:t xml:space="preserve">  </w:t>
      </w:r>
      <w:r>
        <w:rPr>
          <w:rFonts w:eastAsia="黑体"/>
          <w:sz w:val="32"/>
          <w:szCs w:val="32"/>
        </w:rPr>
        <w:t>发布</w:t>
      </w:r>
    </w:p>
    <w:p w14:paraId="6625365E">
      <w:pPr>
        <w:pStyle w:val="152"/>
        <w:spacing w:line="240" w:lineRule="auto"/>
        <w:rPr>
          <w:rFonts w:ascii="Times New Roman"/>
        </w:rPr>
      </w:pPr>
      <w:r>
        <w:rPr>
          <w:rFonts w:hint="eastAsia" w:ascii="Times New Roman"/>
        </w:rPr>
        <w:t>目</w:t>
      </w:r>
      <w:bookmarkStart w:id="5" w:name="BKML"/>
      <w:r>
        <w:rPr>
          <w:rFonts w:hint="eastAsia" w:ascii="Times New Roman"/>
        </w:rPr>
        <w:t>  次</w:t>
      </w:r>
      <w:bookmarkEnd w:id="0"/>
      <w:bookmarkEnd w:id="1"/>
      <w:bookmarkEnd w:id="2"/>
      <w:bookmarkEnd w:id="5"/>
    </w:p>
    <w:p w14:paraId="3CA3A584">
      <w:pPr>
        <w:pStyle w:val="20"/>
        <w:tabs>
          <w:tab w:val="right" w:leader="dot" w:pos="9354"/>
          <w:tab w:val="clear" w:pos="9241"/>
        </w:tabs>
        <w:spacing w:before="78" w:after="78"/>
        <w:rPr>
          <w:rFonts w:ascii="Times New Roman"/>
        </w:rPr>
      </w:pPr>
      <w:r>
        <w:rPr>
          <w:rFonts w:ascii="Times New Roman"/>
        </w:rPr>
        <w:fldChar w:fldCharType="begin"/>
      </w:r>
      <w:r>
        <w:rPr>
          <w:rFonts w:ascii="Times New Roman"/>
        </w:rPr>
        <w:instrText xml:space="preserve">TOC \o "1-1" \h \u </w:instrText>
      </w:r>
      <w:r>
        <w:rPr>
          <w:rFonts w:ascii="Times New Roman"/>
        </w:rPr>
        <w:fldChar w:fldCharType="separate"/>
      </w:r>
      <w:r>
        <w:fldChar w:fldCharType="begin"/>
      </w:r>
      <w:r>
        <w:instrText xml:space="preserve"> HYPERLINK \l "_Toc6558" </w:instrText>
      </w:r>
      <w:r>
        <w:fldChar w:fldCharType="separate"/>
      </w:r>
      <w:r>
        <w:rPr>
          <w:rFonts w:ascii="Times New Roman"/>
        </w:rPr>
        <w:t>前  言</w:t>
      </w:r>
      <w:r>
        <w:rPr>
          <w:rFonts w:ascii="Times New Roman"/>
        </w:rPr>
        <w:tab/>
      </w:r>
      <w:r>
        <w:rPr>
          <w:rFonts w:ascii="Times New Roman"/>
        </w:rPr>
        <w:fldChar w:fldCharType="begin"/>
      </w:r>
      <w:r>
        <w:rPr>
          <w:rFonts w:ascii="Times New Roman"/>
        </w:rPr>
        <w:instrText xml:space="preserve"> PAGEREF _Toc6558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6D118BF9">
      <w:pPr>
        <w:pStyle w:val="20"/>
        <w:tabs>
          <w:tab w:val="right" w:leader="dot" w:pos="9354"/>
          <w:tab w:val="clear" w:pos="9241"/>
        </w:tabs>
        <w:spacing w:before="78" w:after="78"/>
        <w:rPr>
          <w:rFonts w:ascii="Times New Roman"/>
        </w:rPr>
      </w:pPr>
      <w:r>
        <w:fldChar w:fldCharType="begin"/>
      </w:r>
      <w:r>
        <w:instrText xml:space="preserve"> HYPERLINK \l "_Toc19605" </w:instrText>
      </w:r>
      <w:r>
        <w:fldChar w:fldCharType="separate"/>
      </w:r>
      <w:r>
        <w:rPr>
          <w:rFonts w:ascii="Times New Roman"/>
        </w:rPr>
        <w:t>1 范围</w:t>
      </w:r>
      <w:r>
        <w:rPr>
          <w:rFonts w:ascii="Times New Roman"/>
        </w:rPr>
        <w:tab/>
      </w:r>
      <w:r>
        <w:rPr>
          <w:rFonts w:ascii="Times New Roman"/>
        </w:rPr>
        <w:fldChar w:fldCharType="begin"/>
      </w:r>
      <w:r>
        <w:rPr>
          <w:rFonts w:ascii="Times New Roman"/>
        </w:rPr>
        <w:instrText xml:space="preserve"> PAGEREF _Toc19605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5533B330">
      <w:pPr>
        <w:pStyle w:val="20"/>
        <w:tabs>
          <w:tab w:val="right" w:leader="dot" w:pos="9354"/>
          <w:tab w:val="clear" w:pos="9241"/>
        </w:tabs>
        <w:spacing w:before="78" w:after="78"/>
        <w:rPr>
          <w:rFonts w:ascii="Times New Roman"/>
        </w:rPr>
      </w:pPr>
      <w:r>
        <w:fldChar w:fldCharType="begin"/>
      </w:r>
      <w:r>
        <w:instrText xml:space="preserve"> HYPERLINK \l "_Toc31183" </w:instrText>
      </w:r>
      <w:r>
        <w:fldChar w:fldCharType="separate"/>
      </w:r>
      <w:r>
        <w:rPr>
          <w:rFonts w:ascii="Times New Roman"/>
        </w:rPr>
        <w:t>2 规范性引用文件</w:t>
      </w:r>
      <w:r>
        <w:rPr>
          <w:rFonts w:ascii="Times New Roman"/>
        </w:rPr>
        <w:tab/>
      </w:r>
      <w:r>
        <w:rPr>
          <w:rFonts w:ascii="Times New Roman"/>
        </w:rPr>
        <w:fldChar w:fldCharType="begin"/>
      </w:r>
      <w:r>
        <w:rPr>
          <w:rFonts w:ascii="Times New Roman"/>
        </w:rPr>
        <w:instrText xml:space="preserve"> PAGEREF _Toc31183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B6E0949">
      <w:pPr>
        <w:pStyle w:val="20"/>
        <w:tabs>
          <w:tab w:val="right" w:leader="dot" w:pos="9354"/>
          <w:tab w:val="clear" w:pos="9241"/>
        </w:tabs>
        <w:spacing w:before="78" w:after="78"/>
        <w:rPr>
          <w:rFonts w:ascii="Times New Roman"/>
        </w:rPr>
      </w:pPr>
      <w:r>
        <w:fldChar w:fldCharType="begin"/>
      </w:r>
      <w:r>
        <w:instrText xml:space="preserve"> HYPERLINK \l "_Toc17074" </w:instrText>
      </w:r>
      <w:r>
        <w:fldChar w:fldCharType="separate"/>
      </w:r>
      <w:r>
        <w:rPr>
          <w:rFonts w:ascii="Times New Roman"/>
        </w:rPr>
        <w:t>3 术语和定义</w:t>
      </w:r>
      <w:r>
        <w:rPr>
          <w:rFonts w:ascii="Times New Roman"/>
        </w:rPr>
        <w:tab/>
      </w:r>
      <w:r>
        <w:rPr>
          <w:rFonts w:ascii="Times New Roman"/>
        </w:rPr>
        <w:fldChar w:fldCharType="begin"/>
      </w:r>
      <w:r>
        <w:rPr>
          <w:rFonts w:ascii="Times New Roman"/>
        </w:rPr>
        <w:instrText xml:space="preserve"> PAGEREF _Toc17074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07670EFD">
      <w:pPr>
        <w:pStyle w:val="20"/>
        <w:tabs>
          <w:tab w:val="right" w:leader="dot" w:pos="9354"/>
          <w:tab w:val="clear" w:pos="9241"/>
        </w:tabs>
        <w:spacing w:before="78" w:after="78"/>
        <w:rPr>
          <w:rFonts w:ascii="Times New Roman"/>
        </w:rPr>
      </w:pPr>
      <w:r>
        <w:fldChar w:fldCharType="begin"/>
      </w:r>
      <w:r>
        <w:instrText xml:space="preserve"> HYPERLINK \l "_Toc17074" </w:instrText>
      </w:r>
      <w:r>
        <w:fldChar w:fldCharType="separate"/>
      </w:r>
      <w:r>
        <w:rPr>
          <w:rFonts w:ascii="Times New Roman"/>
        </w:rPr>
        <w:t>4 技术要求</w:t>
      </w:r>
      <w:r>
        <w:rPr>
          <w:rFonts w:ascii="Times New Roman"/>
        </w:rPr>
        <w:tab/>
      </w:r>
      <w:r>
        <w:rPr>
          <w:rFonts w:ascii="Times New Roman"/>
        </w:rPr>
        <w:t>2</w:t>
      </w:r>
      <w:r>
        <w:rPr>
          <w:rFonts w:ascii="Times New Roman"/>
        </w:rPr>
        <w:fldChar w:fldCharType="end"/>
      </w:r>
    </w:p>
    <w:p w14:paraId="17B6AEBE">
      <w:pPr>
        <w:pStyle w:val="20"/>
        <w:tabs>
          <w:tab w:val="right" w:leader="dot" w:pos="9354"/>
          <w:tab w:val="clear" w:pos="9241"/>
        </w:tabs>
        <w:spacing w:before="78" w:after="78"/>
        <w:rPr>
          <w:rFonts w:ascii="Times New Roman"/>
        </w:rPr>
      </w:pPr>
      <w:r>
        <w:fldChar w:fldCharType="begin"/>
      </w:r>
      <w:r>
        <w:instrText xml:space="preserve"> HYPERLINK \l "_Toc8581" </w:instrText>
      </w:r>
      <w:r>
        <w:fldChar w:fldCharType="separate"/>
      </w:r>
      <w:r>
        <w:rPr>
          <w:rFonts w:ascii="Times New Roman"/>
        </w:rPr>
        <w:t>5 食品添加剂</w:t>
      </w:r>
      <w:r>
        <w:rPr>
          <w:rFonts w:ascii="Times New Roman"/>
        </w:rPr>
        <w:tab/>
      </w:r>
      <w:r>
        <w:rPr>
          <w:rFonts w:ascii="Times New Roman"/>
        </w:rPr>
        <w:fldChar w:fldCharType="begin"/>
      </w:r>
      <w:r>
        <w:rPr>
          <w:rFonts w:ascii="Times New Roman"/>
        </w:rPr>
        <w:instrText xml:space="preserve"> PAGEREF _Toc8581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565A76A7">
      <w:pPr>
        <w:pStyle w:val="20"/>
        <w:tabs>
          <w:tab w:val="right" w:leader="dot" w:pos="9354"/>
          <w:tab w:val="clear" w:pos="9241"/>
        </w:tabs>
        <w:spacing w:before="78" w:after="78"/>
        <w:rPr>
          <w:rFonts w:ascii="Times New Roman"/>
        </w:rPr>
      </w:pPr>
      <w:r>
        <w:fldChar w:fldCharType="begin"/>
      </w:r>
      <w:r>
        <w:instrText xml:space="preserve"> HYPERLINK \l "_Toc5892" </w:instrText>
      </w:r>
      <w:r>
        <w:fldChar w:fldCharType="separate"/>
      </w:r>
      <w:r>
        <w:rPr>
          <w:rFonts w:ascii="Times New Roman"/>
        </w:rPr>
        <w:t>6 生产加工过程的卫生要求</w:t>
      </w:r>
      <w:r>
        <w:rPr>
          <w:rFonts w:ascii="Times New Roman"/>
        </w:rPr>
        <w:tab/>
      </w:r>
      <w:r>
        <w:rPr>
          <w:rFonts w:hint="eastAsia" w:ascii="Times New Roman"/>
          <w:lang w:val="en-US" w:eastAsia="zh-CN"/>
        </w:rPr>
        <w:t>3</w:t>
      </w:r>
      <w:r>
        <w:rPr>
          <w:rFonts w:ascii="Times New Roman"/>
        </w:rPr>
        <w:fldChar w:fldCharType="end"/>
      </w:r>
    </w:p>
    <w:p w14:paraId="6786D762">
      <w:pPr>
        <w:pStyle w:val="20"/>
        <w:tabs>
          <w:tab w:val="right" w:leader="dot" w:pos="9354"/>
          <w:tab w:val="clear" w:pos="9241"/>
        </w:tabs>
        <w:spacing w:before="78" w:after="78"/>
        <w:rPr>
          <w:rFonts w:ascii="Times New Roman"/>
        </w:rPr>
      </w:pPr>
      <w:r>
        <w:fldChar w:fldCharType="begin"/>
      </w:r>
      <w:r>
        <w:instrText xml:space="preserve"> HYPERLINK \l "_Toc1355" </w:instrText>
      </w:r>
      <w:r>
        <w:fldChar w:fldCharType="separate"/>
      </w:r>
      <w:r>
        <w:rPr>
          <w:rFonts w:ascii="Times New Roman"/>
          <w:kern w:val="0"/>
        </w:rPr>
        <w:t>7 检验规则</w:t>
      </w:r>
      <w:r>
        <w:rPr>
          <w:rFonts w:ascii="Times New Roman"/>
        </w:rPr>
        <w:tab/>
      </w:r>
      <w:r>
        <w:rPr>
          <w:rFonts w:hint="eastAsia" w:ascii="Times New Roman"/>
          <w:lang w:val="en-US" w:eastAsia="zh-CN"/>
        </w:rPr>
        <w:t>3</w:t>
      </w:r>
      <w:r>
        <w:rPr>
          <w:rFonts w:ascii="Times New Roman"/>
        </w:rPr>
        <w:fldChar w:fldCharType="end"/>
      </w:r>
    </w:p>
    <w:p w14:paraId="3B01A7F6">
      <w:pPr>
        <w:pStyle w:val="20"/>
        <w:tabs>
          <w:tab w:val="right" w:leader="dot" w:pos="9354"/>
          <w:tab w:val="clear" w:pos="9241"/>
        </w:tabs>
        <w:spacing w:before="78" w:after="78"/>
        <w:rPr>
          <w:rFonts w:ascii="Times New Roman"/>
        </w:rPr>
      </w:pPr>
      <w:r>
        <w:fldChar w:fldCharType="begin"/>
      </w:r>
      <w:r>
        <w:instrText xml:space="preserve"> HYPERLINK \l "_Toc28" </w:instrText>
      </w:r>
      <w:r>
        <w:fldChar w:fldCharType="separate"/>
      </w:r>
      <w:r>
        <w:rPr>
          <w:rFonts w:ascii="Times New Roman"/>
          <w:kern w:val="0"/>
        </w:rPr>
        <w:t xml:space="preserve">8 </w:t>
      </w:r>
      <w:r>
        <w:rPr>
          <w:rFonts w:ascii="Times New Roman"/>
          <w:kern w:val="0"/>
          <w:szCs w:val="20"/>
        </w:rPr>
        <w:t>标签、包装、运输、贮存</w:t>
      </w:r>
      <w:r>
        <w:rPr>
          <w:rFonts w:ascii="Times New Roman"/>
        </w:rPr>
        <w:tab/>
      </w:r>
      <w:r>
        <w:rPr>
          <w:rFonts w:ascii="Times New Roman"/>
        </w:rPr>
        <w:fldChar w:fldCharType="begin"/>
      </w:r>
      <w:r>
        <w:rPr>
          <w:rFonts w:ascii="Times New Roman"/>
        </w:rPr>
        <w:instrText xml:space="preserve"> PAGEREF _Toc28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49956EA5">
      <w:pPr>
        <w:pStyle w:val="24"/>
        <w:rPr>
          <w:rFonts w:ascii="Times New Roman" w:eastAsia="仿宋"/>
        </w:rPr>
      </w:pPr>
      <w:r>
        <w:rPr>
          <w:rFonts w:ascii="Times New Roman"/>
        </w:rPr>
        <w:fldChar w:fldCharType="end"/>
      </w:r>
    </w:p>
    <w:p w14:paraId="04C28776">
      <w:pPr>
        <w:pStyle w:val="140"/>
        <w:rPr>
          <w:rFonts w:ascii="Times New Roman"/>
        </w:rPr>
      </w:pPr>
      <w:bookmarkStart w:id="6" w:name="_Toc13820"/>
      <w:bookmarkStart w:id="7" w:name="_Toc254617377"/>
      <w:bookmarkStart w:id="8" w:name="_Toc6558"/>
      <w:r>
        <w:rPr>
          <w:rFonts w:hint="eastAsia" w:ascii="Times New Roman"/>
        </w:rPr>
        <w:t>前</w:t>
      </w:r>
      <w:bookmarkStart w:id="9" w:name="BKQY"/>
      <w:r>
        <w:rPr>
          <w:rFonts w:hint="eastAsia" w:ascii="Times New Roman"/>
        </w:rPr>
        <w:t>  言</w:t>
      </w:r>
      <w:bookmarkEnd w:id="3"/>
      <w:bookmarkEnd w:id="4"/>
      <w:bookmarkEnd w:id="6"/>
      <w:bookmarkEnd w:id="7"/>
      <w:bookmarkEnd w:id="8"/>
      <w:bookmarkEnd w:id="9"/>
    </w:p>
    <w:p w14:paraId="35D37357">
      <w:pPr>
        <w:pStyle w:val="24"/>
        <w:rPr>
          <w:rFonts w:hint="eastAsia" w:hAnsi="宋体" w:cs="宋体"/>
        </w:rPr>
      </w:pPr>
      <w:r>
        <w:rPr>
          <w:rFonts w:hint="eastAsia" w:hAnsi="宋体" w:cs="宋体"/>
        </w:rPr>
        <w:t>本</w:t>
      </w:r>
      <w:r>
        <w:rPr>
          <w:rFonts w:ascii="Times New Roman"/>
        </w:rPr>
        <w:t>文件</w:t>
      </w:r>
      <w:r>
        <w:rPr>
          <w:rFonts w:hint="eastAsia" w:hAnsi="宋体" w:cs="宋体"/>
        </w:rPr>
        <w:t>编制所依据的起草规则为</w:t>
      </w:r>
      <w:r>
        <w:rPr>
          <w:rFonts w:ascii="Times New Roman"/>
        </w:rPr>
        <w:t>GB/T 1.1</w:t>
      </w:r>
      <w:r>
        <w:rPr>
          <w:rFonts w:hint="eastAsia" w:hAnsi="宋体" w:cs="宋体"/>
        </w:rPr>
        <w:t>《标准化工作导则 第1部分：标准化文件的结构和起草规则》。</w:t>
      </w:r>
    </w:p>
    <w:p w14:paraId="0BFC904C">
      <w:pPr>
        <w:widowControl/>
        <w:ind w:firstLine="420" w:firstLineChars="200"/>
        <w:jc w:val="left"/>
      </w:pPr>
      <w:r>
        <w:rPr>
          <w:rFonts w:hint="eastAsia"/>
        </w:rPr>
        <w:t>根据国家标准化管理委员会、民政部《团体标准管理规定》，本</w:t>
      </w:r>
      <w:r>
        <w:t>文件</w:t>
      </w:r>
      <w:r>
        <w:rPr>
          <w:rFonts w:hint="eastAsia"/>
        </w:rPr>
        <w:t>不予以公开，参与</w:t>
      </w:r>
      <w:r>
        <w:t>文件起草</w:t>
      </w:r>
      <w:r>
        <w:rPr>
          <w:rFonts w:hint="eastAsia"/>
        </w:rPr>
        <w:t>各团体成员约定采用本</w:t>
      </w:r>
      <w:r>
        <w:t>文件</w:t>
      </w:r>
      <w:r>
        <w:rPr>
          <w:rFonts w:hint="eastAsia"/>
        </w:rPr>
        <w:t>。</w:t>
      </w:r>
    </w:p>
    <w:p w14:paraId="73387638">
      <w:pPr>
        <w:widowControl/>
        <w:ind w:firstLine="420" w:firstLineChars="200"/>
        <w:jc w:val="left"/>
      </w:pPr>
      <w:r>
        <w:rPr>
          <w:rFonts w:hint="eastAsia"/>
        </w:rPr>
        <w:t>本</w:t>
      </w:r>
      <w:r>
        <w:t>文件起草单位</w:t>
      </w:r>
      <w:r>
        <w:rPr>
          <w:rFonts w:hint="eastAsia"/>
        </w:rPr>
        <w:t>对公开信息的合法性、真实性负责，保证相关内容符合法律法规和强制性标准的要求，符合国家有关产业政策。</w:t>
      </w:r>
    </w:p>
    <w:p w14:paraId="581C2E8A">
      <w:pPr>
        <w:widowControl/>
        <w:ind w:firstLine="420" w:firstLineChars="200"/>
        <w:jc w:val="left"/>
      </w:pPr>
      <w:r>
        <w:t>本文件由江西省营养学会提出并归口。</w:t>
      </w:r>
    </w:p>
    <w:p w14:paraId="4C324910">
      <w:pPr>
        <w:pStyle w:val="24"/>
        <w:rPr>
          <w:rFonts w:hint="eastAsia" w:hAnsi="宋体" w:cs="宋体"/>
        </w:rPr>
      </w:pPr>
      <w:r>
        <w:rPr>
          <w:rFonts w:hint="eastAsia" w:hAnsi="宋体" w:cs="宋体"/>
        </w:rPr>
        <w:t>本</w:t>
      </w:r>
      <w:r>
        <w:rPr>
          <w:rFonts w:ascii="Times New Roman"/>
        </w:rPr>
        <w:t>文件</w:t>
      </w:r>
      <w:r>
        <w:rPr>
          <w:rFonts w:hint="eastAsia" w:hAnsi="宋体" w:cs="宋体"/>
        </w:rPr>
        <w:t>起草单位：</w:t>
      </w:r>
      <w:r>
        <w:rPr>
          <w:rFonts w:hint="eastAsia" w:hAnsi="宋体" w:cs="宋体"/>
          <w:kern w:val="2"/>
          <w:szCs w:val="21"/>
        </w:rPr>
        <w:t>南昌大学、江西康宝医药生物科技有限公司、江西同康健康产业有限公司、江西正能量健康产业有限公司。</w:t>
      </w:r>
    </w:p>
    <w:p w14:paraId="4029B7FD">
      <w:pPr>
        <w:pStyle w:val="24"/>
        <w:rPr>
          <w:rFonts w:hint="eastAsia" w:hAnsi="宋体" w:eastAsia="宋体" w:cs="宋体"/>
          <w:lang w:eastAsia="zh-CN"/>
        </w:rPr>
      </w:pPr>
      <w:r>
        <w:rPr>
          <w:rFonts w:hint="eastAsia" w:hAnsi="宋体" w:cs="宋体"/>
        </w:rPr>
        <w:t>本</w:t>
      </w:r>
      <w:r>
        <w:rPr>
          <w:rFonts w:ascii="Times New Roman"/>
        </w:rPr>
        <w:t>文件</w:t>
      </w:r>
      <w:r>
        <w:rPr>
          <w:rFonts w:hint="eastAsia" w:hAnsi="宋体" w:cs="宋体"/>
        </w:rPr>
        <w:t>主要起草人：吴汉城、聂建群、杨宝珍、聂亚臻、邹欢、徐文、邓泽元、郑溜丰、李红艳</w:t>
      </w:r>
      <w:r>
        <w:rPr>
          <w:rFonts w:hint="eastAsia" w:hAnsi="宋体" w:cs="宋体"/>
          <w:lang w:eastAsia="zh-CN"/>
        </w:rPr>
        <w:t>。</w:t>
      </w:r>
    </w:p>
    <w:p w14:paraId="0AB5D1D3">
      <w:pPr>
        <w:pStyle w:val="24"/>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hAnsi="宋体"/>
        </w:rPr>
        <w:t>本文件为首次发布。</w:t>
      </w:r>
    </w:p>
    <w:p w14:paraId="3BEC5779">
      <w:pPr>
        <w:pStyle w:val="152"/>
        <w:rPr>
          <w:rFonts w:ascii="Times New Roman"/>
        </w:rPr>
      </w:pPr>
      <w:bookmarkStart w:id="10" w:name="_Toc14636"/>
      <w:bookmarkStart w:id="11" w:name="_Toc14663"/>
      <w:bookmarkStart w:id="12" w:name="_Toc11590"/>
      <w:bookmarkStart w:id="13" w:name="_Toc252720852"/>
      <w:bookmarkStart w:id="14" w:name="_Toc252795208"/>
      <w:bookmarkStart w:id="15" w:name="_Toc254617378"/>
      <w:r>
        <w:rPr>
          <w:rFonts w:hint="eastAsia" w:ascii="Times New Roman"/>
        </w:rPr>
        <w:t>食品加工用 猪脑肽粉</w:t>
      </w:r>
      <w:bookmarkEnd w:id="10"/>
      <w:bookmarkEnd w:id="11"/>
      <w:bookmarkEnd w:id="12"/>
    </w:p>
    <w:p w14:paraId="74E49897">
      <w:pPr>
        <w:pStyle w:val="96"/>
        <w:spacing w:before="312" w:after="312"/>
        <w:outlineLvl w:val="0"/>
        <w:rPr>
          <w:rFonts w:hint="eastAsia" w:hAnsi="黑体" w:cs="黑体"/>
        </w:rPr>
      </w:pPr>
      <w:bookmarkStart w:id="16" w:name="_Toc25424"/>
      <w:bookmarkStart w:id="17" w:name="_Toc19605"/>
      <w:r>
        <w:rPr>
          <w:rFonts w:hint="eastAsia" w:hAnsi="黑体" w:cs="黑体"/>
        </w:rPr>
        <w:t>范围</w:t>
      </w:r>
      <w:bookmarkEnd w:id="13"/>
      <w:bookmarkEnd w:id="14"/>
      <w:bookmarkEnd w:id="15"/>
      <w:bookmarkEnd w:id="16"/>
      <w:bookmarkEnd w:id="17"/>
    </w:p>
    <w:p w14:paraId="00BEDEAE">
      <w:pPr>
        <w:pStyle w:val="24"/>
        <w:rPr>
          <w:rFonts w:ascii="Times New Roman"/>
        </w:rPr>
      </w:pPr>
      <w:bookmarkStart w:id="18" w:name="_Toc254617379"/>
      <w:bookmarkStart w:id="19" w:name="_Toc31183"/>
      <w:bookmarkStart w:id="20" w:name="_Toc252720853"/>
      <w:bookmarkStart w:id="21" w:name="_Toc27746"/>
      <w:bookmarkStart w:id="22" w:name="_Toc252795209"/>
      <w:r>
        <w:rPr>
          <w:rFonts w:hint="eastAsia" w:ascii="Times New Roman"/>
        </w:rPr>
        <w:t>本</w:t>
      </w:r>
      <w:r>
        <w:rPr>
          <w:rFonts w:ascii="Times New Roman"/>
        </w:rPr>
        <w:t>文件</w:t>
      </w:r>
      <w:r>
        <w:rPr>
          <w:rFonts w:hint="eastAsia" w:ascii="Times New Roman"/>
        </w:rPr>
        <w:t>规定了食品加工用猪脑肽粉的</w:t>
      </w:r>
      <w:r>
        <w:rPr>
          <w:rFonts w:hint="eastAsia" w:hAnsi="黑体" w:cs="黑体"/>
        </w:rPr>
        <w:t>术语和</w:t>
      </w:r>
      <w:r>
        <w:rPr>
          <w:rFonts w:hint="eastAsia" w:ascii="Times New Roman"/>
        </w:rPr>
        <w:t>定义、</w:t>
      </w:r>
      <w:r>
        <w:rPr>
          <w:rFonts w:hint="eastAsia" w:ascii="Times New Roman"/>
          <w:lang w:eastAsia="zh-CN"/>
        </w:rPr>
        <w:t>技术</w:t>
      </w:r>
      <w:r>
        <w:rPr>
          <w:rFonts w:hint="eastAsia" w:ascii="Times New Roman"/>
        </w:rPr>
        <w:t>要求、食品添加剂、生产加工过程的卫生要求、检验规则、标志、标签、包装、运输及贮存。</w:t>
      </w:r>
    </w:p>
    <w:p w14:paraId="35717C93">
      <w:pPr>
        <w:ind w:firstLine="420" w:firstLineChars="200"/>
      </w:pPr>
      <w:r>
        <w:rPr>
          <w:rFonts w:hint="eastAsia"/>
        </w:rPr>
        <w:t>本</w:t>
      </w:r>
      <w:r>
        <w:t>文件</w:t>
      </w:r>
      <w:r>
        <w:rPr>
          <w:rFonts w:hint="eastAsia"/>
        </w:rPr>
        <w:t>适用于食品加工用猪脑肽粉的生产、检验和销售。</w:t>
      </w:r>
    </w:p>
    <w:p w14:paraId="5DC4D231">
      <w:pPr>
        <w:pStyle w:val="96"/>
        <w:spacing w:before="312" w:after="312"/>
        <w:outlineLvl w:val="0"/>
        <w:rPr>
          <w:rFonts w:hint="eastAsia" w:hAnsi="黑体" w:cs="黑体"/>
        </w:rPr>
      </w:pPr>
      <w:r>
        <w:rPr>
          <w:rFonts w:hint="eastAsia" w:hAnsi="黑体" w:cs="黑体"/>
        </w:rPr>
        <w:t>规范性引用文件</w:t>
      </w:r>
      <w:bookmarkEnd w:id="18"/>
      <w:bookmarkEnd w:id="19"/>
      <w:bookmarkEnd w:id="20"/>
      <w:bookmarkEnd w:id="21"/>
      <w:bookmarkEnd w:id="22"/>
    </w:p>
    <w:p w14:paraId="62C08F58">
      <w:pPr>
        <w:pStyle w:val="96"/>
        <w:numPr>
          <w:ilvl w:val="0"/>
          <w:numId w:val="0"/>
        </w:numPr>
        <w:spacing w:beforeLines="0" w:afterLines="0"/>
        <w:ind w:firstLine="420" w:firstLineChars="200"/>
        <w:rPr>
          <w:rFonts w:hint="eastAsia" w:ascii="宋体" w:hAnsi="宋体" w:eastAsia="宋体"/>
        </w:rPr>
      </w:pPr>
      <w:r>
        <w:rPr>
          <w:rFonts w:hint="eastAsia" w:ascii="宋体"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48123E">
      <w:pPr>
        <w:pStyle w:val="24"/>
        <w:rPr>
          <w:rFonts w:ascii="Times New Roman"/>
        </w:rPr>
      </w:pPr>
      <w:r>
        <w:rPr>
          <w:rFonts w:ascii="Times New Roman"/>
        </w:rPr>
        <w:t xml:space="preserve">GB/T 191  </w:t>
      </w:r>
      <w:r>
        <w:rPr>
          <w:rFonts w:hint="eastAsia" w:ascii="Times New Roman"/>
        </w:rPr>
        <w:t>包装储运图示标志</w:t>
      </w:r>
    </w:p>
    <w:p w14:paraId="37F07DE2">
      <w:pPr>
        <w:pStyle w:val="24"/>
        <w:rPr>
          <w:rFonts w:ascii="Times New Roman"/>
        </w:rPr>
      </w:pPr>
      <w:r>
        <w:rPr>
          <w:rFonts w:ascii="Times New Roman"/>
        </w:rPr>
        <w:t>GB 1886.</w:t>
      </w:r>
      <w:r>
        <w:rPr>
          <w:rFonts w:hint="eastAsia" w:ascii="Times New Roman"/>
        </w:rPr>
        <w:t xml:space="preserve">174  </w:t>
      </w:r>
      <w:r>
        <w:rPr>
          <w:rFonts w:ascii="Times New Roman"/>
        </w:rPr>
        <w:t xml:space="preserve">食品安全国家标准 食品添加剂 </w:t>
      </w:r>
      <w:r>
        <w:rPr>
          <w:rFonts w:hint="eastAsia" w:ascii="Times New Roman"/>
        </w:rPr>
        <w:t>食品工业用酶制剂</w:t>
      </w:r>
    </w:p>
    <w:p w14:paraId="201A2B22">
      <w:pPr>
        <w:pStyle w:val="24"/>
        <w:rPr>
          <w:rFonts w:ascii="Times New Roman"/>
        </w:rPr>
      </w:pPr>
      <w:r>
        <w:rPr>
          <w:rFonts w:hint="eastAsia" w:ascii="Times New Roman"/>
        </w:rPr>
        <w:t>GB 2707  食品安全国家标准 鲜（冻）畜、禽产品</w:t>
      </w:r>
    </w:p>
    <w:p w14:paraId="26F57DA3">
      <w:pPr>
        <w:pStyle w:val="24"/>
        <w:rPr>
          <w:rFonts w:ascii="Times New Roman"/>
        </w:rPr>
      </w:pPr>
      <w:r>
        <w:rPr>
          <w:rFonts w:ascii="Times New Roman"/>
        </w:rPr>
        <w:t>GB 2760</w:t>
      </w:r>
      <w:r>
        <w:rPr>
          <w:rFonts w:hint="eastAsia" w:ascii="Times New Roman"/>
        </w:rPr>
        <w:t xml:space="preserve">  食品安全国家标准 食品添加剂使用标准</w:t>
      </w:r>
    </w:p>
    <w:p w14:paraId="32E1983A">
      <w:pPr>
        <w:pStyle w:val="24"/>
        <w:rPr>
          <w:rFonts w:ascii="Times New Roman"/>
        </w:rPr>
      </w:pPr>
      <w:r>
        <w:rPr>
          <w:rFonts w:ascii="Times New Roman"/>
        </w:rPr>
        <w:t>GB 4789.</w:t>
      </w:r>
      <w:r>
        <w:rPr>
          <w:rFonts w:hint="eastAsia" w:ascii="Times New Roman"/>
        </w:rPr>
        <w:t>1</w:t>
      </w:r>
      <w:r>
        <w:rPr>
          <w:rFonts w:ascii="Times New Roman"/>
        </w:rPr>
        <w:t xml:space="preserve">  </w:t>
      </w:r>
      <w:r>
        <w:rPr>
          <w:rFonts w:hint="eastAsia" w:ascii="Times New Roman"/>
        </w:rPr>
        <w:t>食品安全国家标准 食品微生物学检验 总则</w:t>
      </w:r>
    </w:p>
    <w:p w14:paraId="1399C3E3">
      <w:pPr>
        <w:pStyle w:val="24"/>
        <w:rPr>
          <w:rFonts w:ascii="Times New Roman"/>
        </w:rPr>
      </w:pPr>
      <w:r>
        <w:rPr>
          <w:rFonts w:ascii="Times New Roman"/>
        </w:rPr>
        <w:t xml:space="preserve">GB 4789.2  </w:t>
      </w:r>
      <w:r>
        <w:rPr>
          <w:rFonts w:hint="eastAsia" w:ascii="Times New Roman"/>
        </w:rPr>
        <w:t>食品安全国家标准 食品微生物学检验</w:t>
      </w:r>
      <w:r>
        <w:rPr>
          <w:rFonts w:ascii="Times New Roman"/>
        </w:rPr>
        <w:t xml:space="preserve"> </w:t>
      </w:r>
      <w:r>
        <w:rPr>
          <w:rFonts w:hint="eastAsia" w:ascii="Times New Roman"/>
        </w:rPr>
        <w:t>菌落总数测定</w:t>
      </w:r>
    </w:p>
    <w:p w14:paraId="0CFC94A3">
      <w:pPr>
        <w:pStyle w:val="24"/>
        <w:rPr>
          <w:rFonts w:ascii="Times New Roman"/>
        </w:rPr>
      </w:pPr>
      <w:r>
        <w:rPr>
          <w:rFonts w:hint="eastAsia" w:ascii="Times New Roman"/>
        </w:rPr>
        <w:t>GB 4789.3  食品安全国家标准 食品微生物学检验 大肠菌群计数</w:t>
      </w:r>
    </w:p>
    <w:p w14:paraId="50DEFB65">
      <w:pPr>
        <w:pStyle w:val="24"/>
        <w:rPr>
          <w:rFonts w:ascii="Times New Roman"/>
          <w:color w:val="000000"/>
        </w:rPr>
      </w:pPr>
      <w:r>
        <w:rPr>
          <w:rFonts w:hint="eastAsia" w:ascii="Times New Roman"/>
          <w:color w:val="000000"/>
        </w:rPr>
        <w:t>GB 4806.13  食品安全国家标准 食品接触用复合材料及制品</w:t>
      </w:r>
    </w:p>
    <w:p w14:paraId="155F24CA">
      <w:pPr>
        <w:pStyle w:val="24"/>
        <w:rPr>
          <w:rFonts w:ascii="Times New Roman"/>
        </w:rPr>
      </w:pPr>
      <w:r>
        <w:rPr>
          <w:rFonts w:ascii="Times New Roman"/>
        </w:rPr>
        <w:t>GB 5009.</w:t>
      </w:r>
      <w:r>
        <w:rPr>
          <w:rFonts w:hint="eastAsia" w:ascii="Times New Roman"/>
        </w:rPr>
        <w:t>3</w:t>
      </w:r>
      <w:r>
        <w:rPr>
          <w:rFonts w:ascii="Times New Roman"/>
        </w:rPr>
        <w:t xml:space="preserve"> </w:t>
      </w:r>
      <w:r>
        <w:rPr>
          <w:rFonts w:hint="eastAsia" w:ascii="Times New Roman"/>
        </w:rPr>
        <w:t xml:space="preserve"> 食品安全国家标准 食品中水分的测定</w:t>
      </w:r>
    </w:p>
    <w:p w14:paraId="7E131DB7">
      <w:pPr>
        <w:pStyle w:val="24"/>
        <w:rPr>
          <w:rFonts w:ascii="Times New Roman"/>
        </w:rPr>
      </w:pPr>
      <w:r>
        <w:rPr>
          <w:rFonts w:hint="eastAsia" w:ascii="Times New Roman"/>
        </w:rPr>
        <w:t>GB 5009 4  食品安全国家标准 食品中灰分的测定</w:t>
      </w:r>
    </w:p>
    <w:p w14:paraId="3E67E87F">
      <w:pPr>
        <w:pStyle w:val="24"/>
        <w:rPr>
          <w:rFonts w:ascii="Times New Roman"/>
        </w:rPr>
      </w:pPr>
      <w:r>
        <w:rPr>
          <w:rFonts w:hint="eastAsia" w:ascii="Times New Roman"/>
        </w:rPr>
        <w:t>GB 5009.5  食品安全国家标准 食品中蛋白质的测定</w:t>
      </w:r>
    </w:p>
    <w:p w14:paraId="334F2315">
      <w:pPr>
        <w:pStyle w:val="24"/>
        <w:rPr>
          <w:rFonts w:ascii="Times New Roman"/>
        </w:rPr>
      </w:pPr>
      <w:r>
        <w:rPr>
          <w:rFonts w:hint="eastAsia" w:ascii="Times New Roman"/>
        </w:rPr>
        <w:t>GB 5009.11  食品安全国家标准 食品中总砷及无机砷的测定</w:t>
      </w:r>
    </w:p>
    <w:p w14:paraId="7E01B963">
      <w:pPr>
        <w:pStyle w:val="24"/>
        <w:rPr>
          <w:rFonts w:ascii="Times New Roman"/>
        </w:rPr>
      </w:pPr>
      <w:r>
        <w:rPr>
          <w:rFonts w:ascii="Times New Roman"/>
        </w:rPr>
        <w:t xml:space="preserve">GB 5009.12  </w:t>
      </w:r>
      <w:r>
        <w:rPr>
          <w:rFonts w:hint="eastAsia" w:ascii="Times New Roman"/>
        </w:rPr>
        <w:t>食品安全国家标准 食品中铅的测定</w:t>
      </w:r>
    </w:p>
    <w:p w14:paraId="23320639">
      <w:pPr>
        <w:pStyle w:val="24"/>
        <w:rPr>
          <w:rFonts w:ascii="Times New Roman"/>
        </w:rPr>
      </w:pPr>
      <w:r>
        <w:rPr>
          <w:rFonts w:hint="eastAsia" w:ascii="Times New Roman"/>
        </w:rPr>
        <w:t>GB 5009.15  食品安全国家标准 食品中镉的测定</w:t>
      </w:r>
    </w:p>
    <w:p w14:paraId="51258AE7">
      <w:pPr>
        <w:pStyle w:val="24"/>
        <w:rPr>
          <w:rFonts w:ascii="Times New Roman"/>
        </w:rPr>
      </w:pPr>
      <w:r>
        <w:rPr>
          <w:rFonts w:hint="eastAsia" w:ascii="Times New Roman"/>
        </w:rPr>
        <w:t>GB 5009.17  食品安全国家标准 食品中总汞及有机汞的测定</w:t>
      </w:r>
    </w:p>
    <w:p w14:paraId="284EA3B9">
      <w:pPr>
        <w:pStyle w:val="24"/>
        <w:rPr>
          <w:rFonts w:ascii="Times New Roman"/>
        </w:rPr>
      </w:pPr>
      <w:r>
        <w:rPr>
          <w:rFonts w:hint="eastAsia" w:ascii="Times New Roman"/>
        </w:rPr>
        <w:t>GB 5009.123  食品安全国家标准 食品中铬的测定</w:t>
      </w:r>
    </w:p>
    <w:p w14:paraId="6BEBC7F2">
      <w:pPr>
        <w:pStyle w:val="24"/>
        <w:rPr>
          <w:rFonts w:ascii="Times New Roman"/>
        </w:rPr>
      </w:pPr>
      <w:r>
        <w:rPr>
          <w:rFonts w:ascii="Times New Roman"/>
        </w:rPr>
        <w:t xml:space="preserve">GB 7718  </w:t>
      </w:r>
      <w:r>
        <w:rPr>
          <w:rFonts w:hint="eastAsia" w:ascii="Times New Roman"/>
        </w:rPr>
        <w:t>食品安全国家标准 预包装食品标签通则</w:t>
      </w:r>
    </w:p>
    <w:p w14:paraId="4F6283A7">
      <w:pPr>
        <w:pStyle w:val="24"/>
        <w:rPr>
          <w:rFonts w:ascii="Times New Roman"/>
        </w:rPr>
      </w:pPr>
      <w:r>
        <w:rPr>
          <w:rFonts w:ascii="Times New Roman"/>
        </w:rPr>
        <w:t>GB 14881  食品安全国家标准 食品生产通用卫生规范</w:t>
      </w:r>
    </w:p>
    <w:p w14:paraId="11617783">
      <w:pPr>
        <w:pStyle w:val="24"/>
        <w:rPr>
          <w:rFonts w:ascii="Times New Roman"/>
        </w:rPr>
      </w:pPr>
      <w:r>
        <w:rPr>
          <w:rFonts w:hint="eastAsia" w:ascii="Times New Roman"/>
        </w:rPr>
        <w:t>GB/T 22729  海洋鱼低聚肽粉</w:t>
      </w:r>
    </w:p>
    <w:p w14:paraId="633287E6">
      <w:pPr>
        <w:pStyle w:val="24"/>
        <w:rPr>
          <w:rFonts w:ascii="Times New Roman"/>
        </w:rPr>
      </w:pPr>
      <w:r>
        <w:rPr>
          <w:rFonts w:ascii="Times New Roman"/>
        </w:rPr>
        <w:t xml:space="preserve">GB 28050  </w:t>
      </w:r>
      <w:r>
        <w:rPr>
          <w:rFonts w:hint="eastAsia" w:ascii="Times New Roman"/>
        </w:rPr>
        <w:t>食品安全国家标准 预包装食品营养标签通则</w:t>
      </w:r>
    </w:p>
    <w:p w14:paraId="24945BF2">
      <w:pPr>
        <w:pStyle w:val="24"/>
        <w:rPr>
          <w:rFonts w:ascii="Times New Roman"/>
        </w:rPr>
      </w:pPr>
      <w:r>
        <w:rPr>
          <w:rFonts w:ascii="Times New Roman"/>
        </w:rPr>
        <w:t xml:space="preserve">GB/T 28118  </w:t>
      </w:r>
      <w:r>
        <w:rPr>
          <w:rFonts w:hint="eastAsia" w:ascii="Times New Roman"/>
        </w:rPr>
        <w:t>食品包装用塑料与铝箔复合膜、袋</w:t>
      </w:r>
    </w:p>
    <w:p w14:paraId="6A982123">
      <w:pPr>
        <w:pStyle w:val="24"/>
        <w:rPr>
          <w:rFonts w:ascii="Times New Roman"/>
        </w:rPr>
      </w:pPr>
      <w:r>
        <w:rPr>
          <w:rFonts w:ascii="Times New Roman"/>
        </w:rPr>
        <w:t xml:space="preserve">JJF 1070  </w:t>
      </w:r>
      <w:r>
        <w:rPr>
          <w:rFonts w:hint="eastAsia" w:ascii="Times New Roman"/>
        </w:rPr>
        <w:t>定量包装商品净含量计量检验规则</w:t>
      </w:r>
    </w:p>
    <w:p w14:paraId="693C2DD4">
      <w:pPr>
        <w:pStyle w:val="24"/>
        <w:rPr>
          <w:rFonts w:ascii="Times New Roman"/>
        </w:rPr>
      </w:pPr>
      <w:r>
        <w:rPr>
          <w:rFonts w:hint="eastAsia" w:ascii="Times New Roman"/>
        </w:rPr>
        <w:t>国家市场监督管理总局令〔2023〕第70号 《定量包装商品计量监督管理办法》</w:t>
      </w:r>
    </w:p>
    <w:p w14:paraId="44B7105B">
      <w:pPr>
        <w:pStyle w:val="96"/>
        <w:spacing w:before="312" w:after="312"/>
        <w:outlineLvl w:val="0"/>
        <w:rPr>
          <w:rFonts w:hint="eastAsia" w:hAnsi="黑体" w:cs="黑体"/>
        </w:rPr>
      </w:pPr>
      <w:r>
        <w:rPr>
          <w:rFonts w:hint="eastAsia" w:hAnsi="黑体" w:cs="黑体"/>
        </w:rPr>
        <w:t>术语和定义</w:t>
      </w:r>
    </w:p>
    <w:p w14:paraId="3DFB53F1">
      <w:pPr>
        <w:pStyle w:val="24"/>
        <w:rPr>
          <w:rFonts w:ascii="Times New Roman"/>
        </w:rPr>
      </w:pPr>
      <w:r>
        <w:rPr>
          <w:rFonts w:hint="eastAsia" w:ascii="Times New Roman"/>
        </w:rPr>
        <w:t>下列术语和定义适用于本文件。</w:t>
      </w:r>
    </w:p>
    <w:p w14:paraId="41F9A525">
      <w:pPr>
        <w:pStyle w:val="58"/>
        <w:spacing w:before="156" w:after="312" w:afterLines="100"/>
        <w:ind w:left="0"/>
        <w:rPr>
          <w:rFonts w:hAnsi="黑体"/>
        </w:rPr>
      </w:pPr>
      <w:r>
        <w:rPr>
          <w:rFonts w:hint="eastAsia" w:hAnsi="黑体"/>
        </w:rPr>
        <w:t>3</w:t>
      </w:r>
      <w:r>
        <w:rPr>
          <w:rFonts w:hAnsi="黑体"/>
        </w:rPr>
        <w:t>.1</w:t>
      </w:r>
    </w:p>
    <w:p w14:paraId="6DD01911">
      <w:pPr>
        <w:pStyle w:val="58"/>
        <w:keepNext w:val="0"/>
        <w:keepLines w:val="0"/>
        <w:pageBreakBefore w:val="0"/>
        <w:widowControl/>
        <w:kinsoku/>
        <w:wordWrap/>
        <w:overflowPunct/>
        <w:topLinePunct w:val="0"/>
        <w:autoSpaceDE/>
        <w:autoSpaceDN/>
        <w:bidi w:val="0"/>
        <w:adjustRightInd/>
        <w:snapToGrid/>
        <w:spacing w:before="156" w:after="157" w:afterLines="50"/>
        <w:ind w:left="0" w:firstLine="420" w:firstLineChars="200"/>
        <w:textAlignment w:val="auto"/>
        <w:rPr>
          <w:rFonts w:ascii="Times New Roman"/>
        </w:rPr>
      </w:pPr>
      <w:r>
        <w:rPr>
          <w:rFonts w:hint="eastAsia" w:hAnsi="黑体"/>
        </w:rPr>
        <w:t xml:space="preserve">猪脑肽粉  </w:t>
      </w:r>
      <w:r>
        <w:rPr>
          <w:rFonts w:ascii="Times New Roman"/>
        </w:rPr>
        <w:t>Peptides extracted from porcine brain</w:t>
      </w:r>
    </w:p>
    <w:p w14:paraId="635E9D2E">
      <w:pPr>
        <w:pStyle w:val="24"/>
        <w:rPr>
          <w:rFonts w:ascii="Times New Roman"/>
        </w:rPr>
      </w:pPr>
      <w:r>
        <w:rPr>
          <w:rFonts w:hint="eastAsia" w:ascii="Times New Roman"/>
        </w:rPr>
        <w:t>以猪脑为原料，经解冻、绞碎、蛋白酶解、灭酶、分离或不分离、浓缩、干燥、包装等工艺制成的，相对分子质量低于1</w:t>
      </w:r>
      <w:r>
        <w:rPr>
          <w:rFonts w:ascii="Times New Roman"/>
        </w:rPr>
        <w:t>000 D</w:t>
      </w:r>
      <w:r>
        <w:rPr>
          <w:rFonts w:hint="eastAsia" w:ascii="Times New Roman"/>
        </w:rPr>
        <w:t>a的低聚肽（短肽）为主要成分的</w:t>
      </w:r>
      <w:r>
        <w:rPr>
          <w:rFonts w:hint="eastAsia" w:hAnsi="黑体"/>
        </w:rPr>
        <w:t>猪脑肽粉</w:t>
      </w:r>
      <w:r>
        <w:rPr>
          <w:rFonts w:hint="eastAsia" w:ascii="Times New Roman"/>
        </w:rPr>
        <w:t>。</w:t>
      </w:r>
    </w:p>
    <w:p w14:paraId="3FC0DF3A">
      <w:pPr>
        <w:pStyle w:val="96"/>
        <w:spacing w:before="312" w:after="312"/>
        <w:outlineLvl w:val="0"/>
        <w:rPr>
          <w:rFonts w:hint="eastAsia" w:hAnsi="黑体" w:cs="黑体"/>
        </w:rPr>
      </w:pPr>
      <w:bookmarkStart w:id="23" w:name="_Toc72925901"/>
      <w:bookmarkStart w:id="24" w:name="_Toc184698243"/>
      <w:bookmarkStart w:id="25" w:name="_Toc245600726"/>
      <w:bookmarkStart w:id="26" w:name="_Toc4825"/>
      <w:bookmarkStart w:id="27" w:name="_Toc17074"/>
      <w:bookmarkStart w:id="28" w:name="_Toc252795210"/>
      <w:bookmarkStart w:id="29" w:name="_Toc254617380"/>
      <w:bookmarkStart w:id="30" w:name="_Toc72986197"/>
      <w:bookmarkStart w:id="31" w:name="_Toc245600759"/>
      <w:bookmarkStart w:id="32" w:name="_Toc252720854"/>
      <w:bookmarkStart w:id="33" w:name="_Toc249244573"/>
      <w:bookmarkStart w:id="34" w:name="_Toc245600794"/>
      <w:r>
        <w:rPr>
          <w:rFonts w:hint="eastAsia" w:hAnsi="黑体" w:cs="黑体"/>
        </w:rPr>
        <w:t>技术要求</w:t>
      </w:r>
      <w:bookmarkEnd w:id="23"/>
      <w:bookmarkEnd w:id="24"/>
      <w:bookmarkEnd w:id="25"/>
      <w:bookmarkEnd w:id="26"/>
      <w:bookmarkEnd w:id="27"/>
      <w:bookmarkEnd w:id="28"/>
      <w:bookmarkEnd w:id="29"/>
      <w:bookmarkEnd w:id="30"/>
      <w:bookmarkEnd w:id="31"/>
      <w:bookmarkEnd w:id="32"/>
      <w:bookmarkEnd w:id="33"/>
      <w:bookmarkEnd w:id="34"/>
      <w:bookmarkStart w:id="35" w:name="_Toc245600727"/>
    </w:p>
    <w:bookmarkEnd w:id="35"/>
    <w:p w14:paraId="65409507">
      <w:pPr>
        <w:pStyle w:val="96"/>
        <w:numPr>
          <w:ilvl w:val="0"/>
          <w:numId w:val="0"/>
        </w:numPr>
        <w:spacing w:before="312" w:after="312"/>
      </w:pPr>
      <w:r>
        <w:rPr>
          <w:rFonts w:hint="eastAsia"/>
        </w:rPr>
        <w:t>4</w:t>
      </w:r>
      <w:r>
        <w:t>.1</w:t>
      </w:r>
      <w:r>
        <w:tab/>
      </w:r>
      <w:r>
        <w:rPr>
          <w:rFonts w:hint="eastAsia"/>
        </w:rPr>
        <w:t>原、辅料要求</w:t>
      </w:r>
      <w:bookmarkStart w:id="67" w:name="_GoBack"/>
      <w:bookmarkEnd w:id="67"/>
    </w:p>
    <w:p w14:paraId="79A20907">
      <w:pPr>
        <w:pStyle w:val="57"/>
        <w:spacing w:before="156" w:after="156"/>
        <w:ind w:left="0"/>
        <w:rPr>
          <w:rFonts w:ascii="Times New Roman"/>
          <w:szCs w:val="22"/>
        </w:rPr>
      </w:pPr>
      <w:r>
        <w:rPr>
          <w:rFonts w:hint="eastAsia" w:ascii="Times New Roman"/>
          <w:szCs w:val="22"/>
        </w:rPr>
        <w:t>猪脑</w:t>
      </w:r>
    </w:p>
    <w:p w14:paraId="5841496D">
      <w:pPr>
        <w:pStyle w:val="24"/>
        <w:rPr>
          <w:rFonts w:ascii="Times New Roman"/>
          <w:szCs w:val="22"/>
        </w:rPr>
      </w:pPr>
      <w:r>
        <w:rPr>
          <w:rFonts w:ascii="Times New Roman"/>
        </w:rPr>
        <w:t>应</w:t>
      </w:r>
      <w:r>
        <w:rPr>
          <w:rFonts w:hint="eastAsia" w:ascii="Times New Roman"/>
        </w:rPr>
        <w:t>取自非疫区的健康猪，活猪屠宰加工前应经</w:t>
      </w:r>
      <w:r>
        <w:rPr>
          <w:rFonts w:hint="eastAsia" w:ascii="Times New Roman"/>
          <w:szCs w:val="22"/>
        </w:rPr>
        <w:t>动物卫生监督机构</w:t>
      </w:r>
      <w:r>
        <w:rPr>
          <w:rFonts w:hint="eastAsia" w:ascii="Times New Roman"/>
        </w:rPr>
        <w:t>检验检疫合格。且应符合GB 2707的规定</w:t>
      </w:r>
      <w:r>
        <w:rPr>
          <w:rFonts w:hint="eastAsia" w:ascii="Times New Roman"/>
          <w:szCs w:val="22"/>
        </w:rPr>
        <w:t>。</w:t>
      </w:r>
    </w:p>
    <w:p w14:paraId="5BAACC6A">
      <w:pPr>
        <w:pStyle w:val="57"/>
        <w:spacing w:before="156" w:after="156"/>
        <w:ind w:left="0"/>
        <w:rPr>
          <w:rFonts w:ascii="Times New Roman"/>
          <w:szCs w:val="22"/>
        </w:rPr>
      </w:pPr>
      <w:r>
        <w:rPr>
          <w:rFonts w:hint="eastAsia" w:ascii="Times New Roman"/>
          <w:szCs w:val="22"/>
        </w:rPr>
        <w:t>蛋白酶制剂</w:t>
      </w:r>
    </w:p>
    <w:p w14:paraId="4270D4FA">
      <w:pPr>
        <w:pStyle w:val="24"/>
        <w:ind w:left="425" w:firstLine="0" w:firstLineChars="0"/>
        <w:rPr>
          <w:rFonts w:ascii="Times New Roman"/>
          <w:szCs w:val="22"/>
        </w:rPr>
      </w:pPr>
      <w:r>
        <w:rPr>
          <w:rFonts w:ascii="Times New Roman"/>
        </w:rPr>
        <w:t xml:space="preserve">应符合GB </w:t>
      </w:r>
      <w:r>
        <w:rPr>
          <w:rFonts w:hint="eastAsia" w:ascii="Times New Roman"/>
        </w:rPr>
        <w:t>1886.174</w:t>
      </w:r>
      <w:r>
        <w:rPr>
          <w:rFonts w:ascii="Times New Roman"/>
        </w:rPr>
        <w:t>的规定</w:t>
      </w:r>
      <w:r>
        <w:rPr>
          <w:rFonts w:hint="eastAsia" w:ascii="Times New Roman"/>
          <w:szCs w:val="22"/>
        </w:rPr>
        <w:t>。</w:t>
      </w:r>
    </w:p>
    <w:p w14:paraId="7DA745D2">
      <w:pPr>
        <w:pStyle w:val="58"/>
        <w:spacing w:before="156" w:after="156"/>
        <w:ind w:left="0"/>
        <w:rPr>
          <w:rFonts w:hint="eastAsia" w:hAnsi="黑体" w:cs="黑体"/>
        </w:rPr>
      </w:pPr>
      <w:bookmarkStart w:id="36" w:name="_Toc245600729"/>
      <w:r>
        <w:rPr>
          <w:rFonts w:hint="eastAsia" w:hAnsi="黑体" w:cs="黑体"/>
        </w:rPr>
        <w:t>4</w:t>
      </w:r>
      <w:r>
        <w:rPr>
          <w:rFonts w:hAnsi="黑体" w:cs="黑体"/>
        </w:rPr>
        <w:t>.2</w:t>
      </w:r>
      <w:r>
        <w:rPr>
          <w:rFonts w:hAnsi="黑体" w:cs="黑体"/>
        </w:rPr>
        <w:tab/>
      </w:r>
      <w:r>
        <w:rPr>
          <w:rFonts w:hint="eastAsia" w:hAnsi="黑体" w:cs="黑体"/>
        </w:rPr>
        <w:t>感官要求</w:t>
      </w:r>
      <w:bookmarkEnd w:id="36"/>
    </w:p>
    <w:p w14:paraId="152E82AD">
      <w:pPr>
        <w:pStyle w:val="24"/>
        <w:rPr>
          <w:rFonts w:ascii="Times New Roman"/>
        </w:rPr>
      </w:pPr>
      <w:r>
        <w:rPr>
          <w:rFonts w:hint="eastAsia" w:ascii="Times New Roman"/>
        </w:rPr>
        <w:t>应符合表</w:t>
      </w:r>
      <w:r>
        <w:rPr>
          <w:rFonts w:ascii="Times New Roman"/>
        </w:rPr>
        <w:t>1</w:t>
      </w:r>
      <w:r>
        <w:rPr>
          <w:rFonts w:hint="eastAsia" w:ascii="Times New Roman"/>
        </w:rPr>
        <w:t>的规定。</w:t>
      </w:r>
    </w:p>
    <w:p w14:paraId="3457E437">
      <w:pPr>
        <w:pStyle w:val="146"/>
        <w:spacing w:beforeLines="0" w:after="156"/>
        <w:rPr>
          <w:rFonts w:hint="eastAsia" w:hAnsi="黑体" w:cs="黑体"/>
        </w:rPr>
      </w:pPr>
      <w:r>
        <w:rPr>
          <w:rFonts w:hint="eastAsia" w:hAnsi="黑体" w:cs="黑体"/>
        </w:rPr>
        <w:t>感官要求</w:t>
      </w:r>
    </w:p>
    <w:tbl>
      <w:tblPr>
        <w:tblStyle w:val="33"/>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2"/>
        <w:gridCol w:w="1962"/>
        <w:gridCol w:w="3872"/>
      </w:tblGrid>
      <w:tr w14:paraId="5BB3F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19" w:type="dxa"/>
            <w:vMerge w:val="restart"/>
            <w:tcBorders>
              <w:top w:val="single" w:color="auto" w:sz="12" w:space="0"/>
            </w:tcBorders>
            <w:vAlign w:val="center"/>
          </w:tcPr>
          <w:p w14:paraId="2ADAE2C1">
            <w:pPr>
              <w:pStyle w:val="24"/>
              <w:ind w:firstLine="0" w:firstLineChars="0"/>
              <w:jc w:val="center"/>
              <w:rPr>
                <w:rFonts w:ascii="Times New Roman"/>
                <w:sz w:val="18"/>
                <w:szCs w:val="18"/>
              </w:rPr>
            </w:pPr>
            <w:r>
              <w:rPr>
                <w:rFonts w:hint="eastAsia" w:ascii="Times New Roman"/>
                <w:sz w:val="18"/>
                <w:szCs w:val="18"/>
              </w:rPr>
              <w:t>项  目</w:t>
            </w:r>
          </w:p>
        </w:tc>
        <w:tc>
          <w:tcPr>
            <w:tcW w:w="3924" w:type="dxa"/>
            <w:gridSpan w:val="2"/>
            <w:tcBorders>
              <w:top w:val="single" w:color="auto" w:sz="12" w:space="0"/>
              <w:bottom w:val="single" w:color="auto" w:sz="12" w:space="0"/>
            </w:tcBorders>
          </w:tcPr>
          <w:p w14:paraId="2A39D89C">
            <w:pPr>
              <w:pStyle w:val="24"/>
              <w:ind w:firstLine="0" w:firstLineChars="0"/>
              <w:jc w:val="center"/>
              <w:rPr>
                <w:rFonts w:ascii="Times New Roman"/>
                <w:sz w:val="18"/>
                <w:szCs w:val="18"/>
              </w:rPr>
            </w:pPr>
            <w:r>
              <w:rPr>
                <w:rFonts w:hint="eastAsia" w:ascii="Times New Roman"/>
                <w:sz w:val="18"/>
                <w:szCs w:val="18"/>
              </w:rPr>
              <w:t>要  求</w:t>
            </w:r>
          </w:p>
        </w:tc>
        <w:tc>
          <w:tcPr>
            <w:tcW w:w="3872" w:type="dxa"/>
            <w:vMerge w:val="restart"/>
            <w:tcBorders>
              <w:top w:val="single" w:color="auto" w:sz="12" w:space="0"/>
            </w:tcBorders>
            <w:vAlign w:val="center"/>
          </w:tcPr>
          <w:p w14:paraId="0837B1FD">
            <w:pPr>
              <w:pStyle w:val="24"/>
              <w:ind w:firstLine="0" w:firstLineChars="0"/>
              <w:jc w:val="center"/>
              <w:rPr>
                <w:rFonts w:ascii="Times New Roman"/>
                <w:sz w:val="18"/>
                <w:szCs w:val="18"/>
              </w:rPr>
            </w:pPr>
            <w:r>
              <w:rPr>
                <w:rFonts w:hint="eastAsia" w:ascii="Times New Roman"/>
                <w:sz w:val="18"/>
                <w:szCs w:val="18"/>
              </w:rPr>
              <w:t>检测方法</w:t>
            </w:r>
          </w:p>
        </w:tc>
      </w:tr>
      <w:tr w14:paraId="7ECBA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19" w:type="dxa"/>
            <w:vMerge w:val="continue"/>
            <w:tcBorders>
              <w:bottom w:val="single" w:color="auto" w:sz="12" w:space="0"/>
            </w:tcBorders>
          </w:tcPr>
          <w:p w14:paraId="232A877F">
            <w:pPr>
              <w:pStyle w:val="24"/>
              <w:ind w:firstLine="0" w:firstLineChars="0"/>
              <w:jc w:val="center"/>
              <w:rPr>
                <w:rFonts w:ascii="Times New Roman"/>
                <w:sz w:val="18"/>
                <w:szCs w:val="18"/>
              </w:rPr>
            </w:pPr>
          </w:p>
        </w:tc>
        <w:tc>
          <w:tcPr>
            <w:tcW w:w="1962" w:type="dxa"/>
            <w:tcBorders>
              <w:top w:val="single" w:color="auto" w:sz="12" w:space="0"/>
              <w:bottom w:val="single" w:color="auto" w:sz="12" w:space="0"/>
            </w:tcBorders>
          </w:tcPr>
          <w:p w14:paraId="319CDEBE">
            <w:pPr>
              <w:pStyle w:val="24"/>
              <w:ind w:firstLine="0" w:firstLineChars="0"/>
              <w:jc w:val="center"/>
              <w:rPr>
                <w:rFonts w:ascii="Times New Roman"/>
                <w:sz w:val="18"/>
                <w:szCs w:val="18"/>
              </w:rPr>
            </w:pPr>
            <w:r>
              <w:rPr>
                <w:rFonts w:hint="eastAsia" w:ascii="Times New Roman"/>
                <w:sz w:val="18"/>
                <w:szCs w:val="18"/>
              </w:rPr>
              <w:t>一级</w:t>
            </w:r>
          </w:p>
        </w:tc>
        <w:tc>
          <w:tcPr>
            <w:tcW w:w="1962" w:type="dxa"/>
            <w:tcBorders>
              <w:top w:val="single" w:color="auto" w:sz="12" w:space="0"/>
              <w:bottom w:val="single" w:color="auto" w:sz="12" w:space="0"/>
            </w:tcBorders>
          </w:tcPr>
          <w:p w14:paraId="6A19DD10">
            <w:pPr>
              <w:pStyle w:val="24"/>
              <w:ind w:firstLine="0" w:firstLineChars="0"/>
              <w:jc w:val="center"/>
              <w:rPr>
                <w:rFonts w:ascii="Times New Roman"/>
                <w:sz w:val="18"/>
                <w:szCs w:val="18"/>
              </w:rPr>
            </w:pPr>
            <w:r>
              <w:rPr>
                <w:rFonts w:hint="eastAsia" w:ascii="Times New Roman"/>
                <w:sz w:val="18"/>
                <w:szCs w:val="18"/>
              </w:rPr>
              <w:t>二级</w:t>
            </w:r>
          </w:p>
        </w:tc>
        <w:tc>
          <w:tcPr>
            <w:tcW w:w="3872" w:type="dxa"/>
            <w:vMerge w:val="continue"/>
            <w:tcBorders>
              <w:bottom w:val="single" w:color="auto" w:sz="12" w:space="0"/>
            </w:tcBorders>
          </w:tcPr>
          <w:p w14:paraId="7D4297EF">
            <w:pPr>
              <w:pStyle w:val="24"/>
              <w:ind w:firstLine="0" w:firstLineChars="0"/>
              <w:jc w:val="center"/>
              <w:rPr>
                <w:rFonts w:ascii="Times New Roman"/>
                <w:sz w:val="18"/>
                <w:szCs w:val="18"/>
              </w:rPr>
            </w:pPr>
          </w:p>
        </w:tc>
      </w:tr>
      <w:tr w14:paraId="1F2D7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819" w:type="dxa"/>
            <w:tcBorders>
              <w:top w:val="single" w:color="auto" w:sz="12" w:space="0"/>
            </w:tcBorders>
          </w:tcPr>
          <w:p w14:paraId="65AA84D7">
            <w:pPr>
              <w:pStyle w:val="24"/>
              <w:ind w:firstLine="0" w:firstLineChars="0"/>
              <w:jc w:val="center"/>
              <w:rPr>
                <w:rFonts w:ascii="Times New Roman"/>
                <w:sz w:val="18"/>
                <w:szCs w:val="18"/>
              </w:rPr>
            </w:pPr>
            <w:r>
              <w:rPr>
                <w:rFonts w:hint="eastAsia" w:ascii="Times New Roman"/>
                <w:sz w:val="18"/>
                <w:szCs w:val="18"/>
              </w:rPr>
              <w:t>外观</w:t>
            </w:r>
          </w:p>
        </w:tc>
        <w:tc>
          <w:tcPr>
            <w:tcW w:w="3924" w:type="dxa"/>
            <w:gridSpan w:val="2"/>
            <w:tcBorders>
              <w:top w:val="single" w:color="auto" w:sz="12" w:space="0"/>
            </w:tcBorders>
          </w:tcPr>
          <w:p w14:paraId="59B7080B">
            <w:pPr>
              <w:pStyle w:val="24"/>
              <w:ind w:firstLine="180" w:firstLineChars="100"/>
              <w:jc w:val="center"/>
              <w:rPr>
                <w:rFonts w:ascii="Times New Roman"/>
                <w:sz w:val="18"/>
                <w:szCs w:val="18"/>
              </w:rPr>
            </w:pPr>
            <w:r>
              <w:rPr>
                <w:rFonts w:hint="eastAsia" w:ascii="Times New Roman"/>
                <w:sz w:val="18"/>
                <w:szCs w:val="18"/>
              </w:rPr>
              <w:t>粉末状，无结块</w:t>
            </w:r>
          </w:p>
        </w:tc>
        <w:tc>
          <w:tcPr>
            <w:tcW w:w="3872" w:type="dxa"/>
            <w:vMerge w:val="restart"/>
            <w:tcBorders>
              <w:top w:val="single" w:color="auto" w:sz="12" w:space="0"/>
            </w:tcBorders>
            <w:vAlign w:val="center"/>
          </w:tcPr>
          <w:p w14:paraId="5DBC62F7">
            <w:pPr>
              <w:pStyle w:val="24"/>
              <w:ind w:firstLine="0" w:firstLineChars="0"/>
              <w:jc w:val="center"/>
              <w:rPr>
                <w:rFonts w:ascii="Times New Roman"/>
                <w:sz w:val="18"/>
                <w:szCs w:val="18"/>
              </w:rPr>
            </w:pPr>
            <w:r>
              <w:rPr>
                <w:rFonts w:hint="eastAsia" w:ascii="Times New Roman"/>
                <w:sz w:val="18"/>
                <w:szCs w:val="18"/>
              </w:rPr>
              <w:t>取本品适量平摊于白搪瓷盘中，在自然光线下，目测其外观、色泽和杂质，鼻嗅其气味</w:t>
            </w:r>
          </w:p>
        </w:tc>
      </w:tr>
      <w:tr w14:paraId="21804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819" w:type="dxa"/>
          </w:tcPr>
          <w:p w14:paraId="2E342F01">
            <w:pPr>
              <w:jc w:val="center"/>
              <w:rPr>
                <w:sz w:val="18"/>
                <w:szCs w:val="18"/>
              </w:rPr>
            </w:pPr>
            <w:r>
              <w:rPr>
                <w:rFonts w:hint="eastAsia"/>
                <w:sz w:val="18"/>
                <w:szCs w:val="18"/>
              </w:rPr>
              <w:t>色泽</w:t>
            </w:r>
          </w:p>
        </w:tc>
        <w:tc>
          <w:tcPr>
            <w:tcW w:w="1962" w:type="dxa"/>
          </w:tcPr>
          <w:p w14:paraId="22FC159A">
            <w:pPr>
              <w:jc w:val="center"/>
              <w:rPr>
                <w:sz w:val="18"/>
              </w:rPr>
            </w:pPr>
            <w:r>
              <w:rPr>
                <w:rFonts w:hint="eastAsia"/>
                <w:sz w:val="18"/>
              </w:rPr>
              <w:t>白色</w:t>
            </w:r>
          </w:p>
        </w:tc>
        <w:tc>
          <w:tcPr>
            <w:tcW w:w="1962" w:type="dxa"/>
          </w:tcPr>
          <w:p w14:paraId="3BD57F6D">
            <w:pPr>
              <w:jc w:val="center"/>
              <w:rPr>
                <w:sz w:val="18"/>
              </w:rPr>
            </w:pPr>
            <w:r>
              <w:rPr>
                <w:rFonts w:hint="eastAsia"/>
                <w:sz w:val="18"/>
              </w:rPr>
              <w:t>浅黄至黄色</w:t>
            </w:r>
          </w:p>
        </w:tc>
        <w:tc>
          <w:tcPr>
            <w:tcW w:w="3872" w:type="dxa"/>
            <w:vMerge w:val="continue"/>
          </w:tcPr>
          <w:p w14:paraId="08864135">
            <w:pPr>
              <w:jc w:val="center"/>
              <w:rPr>
                <w:sz w:val="18"/>
              </w:rPr>
            </w:pPr>
          </w:p>
        </w:tc>
      </w:tr>
      <w:tr w14:paraId="52806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819" w:type="dxa"/>
          </w:tcPr>
          <w:p w14:paraId="5074D3F5">
            <w:pPr>
              <w:jc w:val="center"/>
              <w:rPr>
                <w:sz w:val="18"/>
                <w:szCs w:val="18"/>
              </w:rPr>
            </w:pPr>
            <w:r>
              <w:rPr>
                <w:rFonts w:hint="eastAsia"/>
                <w:sz w:val="18"/>
                <w:szCs w:val="18"/>
              </w:rPr>
              <w:t>气味</w:t>
            </w:r>
          </w:p>
        </w:tc>
        <w:tc>
          <w:tcPr>
            <w:tcW w:w="3924" w:type="dxa"/>
            <w:gridSpan w:val="2"/>
          </w:tcPr>
          <w:p w14:paraId="2CF44927">
            <w:pPr>
              <w:jc w:val="center"/>
              <w:rPr>
                <w:sz w:val="18"/>
              </w:rPr>
            </w:pPr>
            <w:r>
              <w:rPr>
                <w:rFonts w:hint="eastAsia"/>
                <w:sz w:val="18"/>
              </w:rPr>
              <w:t>具有该产品特有的气味，无异嗅</w:t>
            </w:r>
          </w:p>
        </w:tc>
        <w:tc>
          <w:tcPr>
            <w:tcW w:w="3872" w:type="dxa"/>
            <w:vMerge w:val="continue"/>
          </w:tcPr>
          <w:p w14:paraId="32A72D44">
            <w:pPr>
              <w:jc w:val="center"/>
              <w:rPr>
                <w:sz w:val="18"/>
              </w:rPr>
            </w:pPr>
          </w:p>
        </w:tc>
      </w:tr>
      <w:tr w14:paraId="2FFD6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819" w:type="dxa"/>
          </w:tcPr>
          <w:p w14:paraId="237771A9">
            <w:pPr>
              <w:jc w:val="center"/>
              <w:rPr>
                <w:sz w:val="18"/>
                <w:szCs w:val="18"/>
              </w:rPr>
            </w:pPr>
            <w:r>
              <w:rPr>
                <w:rFonts w:hint="eastAsia"/>
                <w:sz w:val="18"/>
                <w:szCs w:val="18"/>
              </w:rPr>
              <w:t>杂质</w:t>
            </w:r>
          </w:p>
        </w:tc>
        <w:tc>
          <w:tcPr>
            <w:tcW w:w="3924" w:type="dxa"/>
            <w:gridSpan w:val="2"/>
          </w:tcPr>
          <w:p w14:paraId="38502448">
            <w:pPr>
              <w:jc w:val="center"/>
              <w:rPr>
                <w:sz w:val="18"/>
              </w:rPr>
            </w:pPr>
            <w:r>
              <w:rPr>
                <w:rFonts w:hint="eastAsia"/>
                <w:sz w:val="18"/>
              </w:rPr>
              <w:t>无肉眼可见的外来杂质</w:t>
            </w:r>
          </w:p>
        </w:tc>
        <w:tc>
          <w:tcPr>
            <w:tcW w:w="3872" w:type="dxa"/>
            <w:vMerge w:val="continue"/>
          </w:tcPr>
          <w:p w14:paraId="758CA75C">
            <w:pPr>
              <w:jc w:val="center"/>
              <w:rPr>
                <w:sz w:val="18"/>
              </w:rPr>
            </w:pPr>
          </w:p>
        </w:tc>
      </w:tr>
    </w:tbl>
    <w:p w14:paraId="2659735D">
      <w:pPr>
        <w:pStyle w:val="58"/>
        <w:spacing w:before="156" w:after="156"/>
        <w:ind w:left="0"/>
        <w:rPr>
          <w:rFonts w:hint="eastAsia" w:hAnsi="黑体" w:cs="黑体"/>
        </w:rPr>
      </w:pPr>
      <w:bookmarkStart w:id="37" w:name="_Toc245600732"/>
      <w:r>
        <w:rPr>
          <w:rFonts w:hint="eastAsia" w:hAnsi="黑体" w:cs="黑体"/>
        </w:rPr>
        <w:t>4</w:t>
      </w:r>
      <w:r>
        <w:rPr>
          <w:rFonts w:hAnsi="黑体" w:cs="黑体"/>
        </w:rPr>
        <w:t>.3</w:t>
      </w:r>
      <w:r>
        <w:rPr>
          <w:rFonts w:hAnsi="黑体" w:cs="黑体"/>
        </w:rPr>
        <w:tab/>
      </w:r>
      <w:r>
        <w:rPr>
          <w:rFonts w:hint="eastAsia" w:hAnsi="黑体" w:cs="黑体"/>
        </w:rPr>
        <w:t>理化指标</w:t>
      </w:r>
      <w:bookmarkEnd w:id="37"/>
    </w:p>
    <w:p w14:paraId="50AB7E91">
      <w:pPr>
        <w:pStyle w:val="24"/>
        <w:rPr>
          <w:rFonts w:ascii="Times New Roman"/>
        </w:rPr>
      </w:pPr>
      <w:r>
        <w:rPr>
          <w:rFonts w:hint="eastAsia" w:ascii="Times New Roman"/>
        </w:rPr>
        <w:t>应符合表</w:t>
      </w:r>
      <w:r>
        <w:rPr>
          <w:rFonts w:ascii="Times New Roman"/>
        </w:rPr>
        <w:t>2</w:t>
      </w:r>
      <w:r>
        <w:rPr>
          <w:rFonts w:hint="eastAsia" w:ascii="Times New Roman"/>
        </w:rPr>
        <w:t>的规定。</w:t>
      </w:r>
    </w:p>
    <w:p w14:paraId="5E235AF6">
      <w:pPr>
        <w:pStyle w:val="146"/>
        <w:spacing w:beforeLines="0" w:after="156"/>
        <w:rPr>
          <w:rFonts w:hint="eastAsia" w:hAnsi="黑体" w:cs="黑体"/>
        </w:rPr>
      </w:pPr>
      <w:r>
        <w:rPr>
          <w:rFonts w:hint="eastAsia" w:hAnsi="黑体" w:cs="黑体"/>
        </w:rPr>
        <w:t>理化指标</w:t>
      </w:r>
    </w:p>
    <w:tbl>
      <w:tblPr>
        <w:tblStyle w:val="33"/>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1488"/>
        <w:gridCol w:w="1452"/>
        <w:gridCol w:w="2520"/>
      </w:tblGrid>
      <w:tr w14:paraId="36AD4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137" w:type="dxa"/>
            <w:vAlign w:val="center"/>
          </w:tcPr>
          <w:p w14:paraId="0D658ADA">
            <w:pPr>
              <w:pStyle w:val="24"/>
              <w:ind w:firstLine="360"/>
              <w:jc w:val="center"/>
              <w:rPr>
                <w:rFonts w:ascii="Times New Roman"/>
                <w:sz w:val="18"/>
                <w:szCs w:val="18"/>
              </w:rPr>
            </w:pPr>
            <w:r>
              <w:rPr>
                <w:rFonts w:ascii="Times New Roman"/>
                <w:sz w:val="18"/>
                <w:szCs w:val="18"/>
              </w:rPr>
              <w:t>项    目</w:t>
            </w:r>
          </w:p>
        </w:tc>
        <w:tc>
          <w:tcPr>
            <w:tcW w:w="1488" w:type="dxa"/>
            <w:vAlign w:val="center"/>
          </w:tcPr>
          <w:p w14:paraId="0B8C8DDD">
            <w:pPr>
              <w:pStyle w:val="24"/>
              <w:ind w:firstLine="0" w:firstLineChars="0"/>
              <w:jc w:val="center"/>
              <w:rPr>
                <w:rFonts w:ascii="Times New Roman"/>
                <w:sz w:val="18"/>
                <w:szCs w:val="18"/>
              </w:rPr>
            </w:pPr>
            <w:r>
              <w:rPr>
                <w:rFonts w:ascii="Times New Roman"/>
                <w:sz w:val="18"/>
                <w:szCs w:val="18"/>
              </w:rPr>
              <w:t xml:space="preserve"> 一   级</w:t>
            </w:r>
          </w:p>
        </w:tc>
        <w:tc>
          <w:tcPr>
            <w:tcW w:w="1452" w:type="dxa"/>
            <w:vAlign w:val="center"/>
          </w:tcPr>
          <w:p w14:paraId="2A2B0166">
            <w:pPr>
              <w:pStyle w:val="24"/>
              <w:ind w:firstLine="0" w:firstLineChars="0"/>
              <w:jc w:val="center"/>
              <w:rPr>
                <w:rFonts w:ascii="Times New Roman"/>
                <w:sz w:val="18"/>
                <w:szCs w:val="18"/>
              </w:rPr>
            </w:pPr>
            <w:r>
              <w:rPr>
                <w:rFonts w:ascii="Times New Roman"/>
                <w:sz w:val="18"/>
                <w:szCs w:val="18"/>
              </w:rPr>
              <w:t xml:space="preserve"> 二  级</w:t>
            </w:r>
          </w:p>
        </w:tc>
        <w:tc>
          <w:tcPr>
            <w:tcW w:w="2520" w:type="dxa"/>
            <w:vAlign w:val="center"/>
          </w:tcPr>
          <w:p w14:paraId="4EE15CAD">
            <w:pPr>
              <w:pStyle w:val="24"/>
              <w:ind w:firstLine="0" w:firstLineChars="0"/>
              <w:jc w:val="center"/>
              <w:rPr>
                <w:rFonts w:ascii="Times New Roman"/>
                <w:sz w:val="18"/>
                <w:szCs w:val="18"/>
              </w:rPr>
            </w:pPr>
            <w:r>
              <w:rPr>
                <w:rFonts w:ascii="Times New Roman"/>
                <w:sz w:val="18"/>
                <w:szCs w:val="18"/>
              </w:rPr>
              <w:t>检测方法</w:t>
            </w:r>
          </w:p>
        </w:tc>
      </w:tr>
      <w:tr w14:paraId="0DA2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vAlign w:val="center"/>
          </w:tcPr>
          <w:p w14:paraId="2FE2A010">
            <w:pPr>
              <w:pStyle w:val="24"/>
              <w:ind w:firstLine="0" w:firstLineChars="0"/>
              <w:rPr>
                <w:rFonts w:ascii="Times New Roman"/>
                <w:sz w:val="18"/>
                <w:szCs w:val="18"/>
              </w:rPr>
            </w:pPr>
            <w:r>
              <w:rPr>
                <w:rFonts w:ascii="Times New Roman"/>
                <w:sz w:val="18"/>
                <w:szCs w:val="18"/>
              </w:rPr>
              <w:t>水分/</w:t>
            </w:r>
            <w:r>
              <w:rPr>
                <w:rFonts w:hint="eastAsia" w:hAnsi="宋体" w:cs="宋体"/>
                <w:sz w:val="18"/>
                <w:szCs w:val="18"/>
              </w:rPr>
              <w:t xml:space="preserve">（%） </w:t>
            </w:r>
            <w:r>
              <w:rPr>
                <w:rFonts w:ascii="Times New Roman"/>
                <w:sz w:val="18"/>
                <w:szCs w:val="18"/>
              </w:rPr>
              <w:t xml:space="preserve">                           </w:t>
            </w:r>
            <w:r>
              <w:rPr>
                <w:rFonts w:hint="eastAsia" w:ascii="Times New Roman"/>
                <w:sz w:val="18"/>
                <w:szCs w:val="18"/>
                <w:lang w:val="en-US" w:eastAsia="zh-CN"/>
              </w:rPr>
              <w:t xml:space="preserve"> </w:t>
            </w:r>
            <w:r>
              <w:rPr>
                <w:rFonts w:hint="eastAsia" w:hAnsi="宋体" w:cs="宋体"/>
                <w:sz w:val="18"/>
                <w:szCs w:val="18"/>
              </w:rPr>
              <w:t>≤</w:t>
            </w:r>
          </w:p>
        </w:tc>
        <w:tc>
          <w:tcPr>
            <w:tcW w:w="1488" w:type="dxa"/>
            <w:vAlign w:val="center"/>
          </w:tcPr>
          <w:p w14:paraId="242363C6">
            <w:pPr>
              <w:pStyle w:val="24"/>
              <w:ind w:firstLine="0" w:firstLineChars="0"/>
              <w:jc w:val="center"/>
              <w:rPr>
                <w:rFonts w:ascii="Times New Roman"/>
                <w:sz w:val="18"/>
                <w:szCs w:val="18"/>
              </w:rPr>
            </w:pPr>
            <w:r>
              <w:rPr>
                <w:rFonts w:ascii="Times New Roman"/>
                <w:sz w:val="18"/>
                <w:szCs w:val="18"/>
              </w:rPr>
              <w:t>7</w:t>
            </w:r>
          </w:p>
        </w:tc>
        <w:tc>
          <w:tcPr>
            <w:tcW w:w="1452" w:type="dxa"/>
            <w:vAlign w:val="center"/>
          </w:tcPr>
          <w:p w14:paraId="7CB77439">
            <w:pPr>
              <w:pStyle w:val="24"/>
              <w:ind w:firstLine="0" w:firstLineChars="0"/>
              <w:jc w:val="center"/>
              <w:rPr>
                <w:rFonts w:ascii="Times New Roman"/>
                <w:sz w:val="18"/>
                <w:szCs w:val="18"/>
              </w:rPr>
            </w:pPr>
            <w:r>
              <w:rPr>
                <w:rFonts w:ascii="Times New Roman"/>
                <w:sz w:val="18"/>
                <w:szCs w:val="18"/>
              </w:rPr>
              <w:t>5</w:t>
            </w:r>
          </w:p>
        </w:tc>
        <w:tc>
          <w:tcPr>
            <w:tcW w:w="2520" w:type="dxa"/>
            <w:vAlign w:val="center"/>
          </w:tcPr>
          <w:p w14:paraId="24F2B1FC">
            <w:pPr>
              <w:pStyle w:val="24"/>
              <w:ind w:firstLine="0" w:firstLineChars="0"/>
              <w:jc w:val="center"/>
              <w:rPr>
                <w:rFonts w:ascii="Times New Roman"/>
                <w:sz w:val="18"/>
                <w:szCs w:val="18"/>
              </w:rPr>
            </w:pPr>
            <w:r>
              <w:rPr>
                <w:rFonts w:ascii="Times New Roman"/>
                <w:sz w:val="18"/>
                <w:szCs w:val="18"/>
              </w:rPr>
              <w:t>GB 5009.3</w:t>
            </w:r>
          </w:p>
        </w:tc>
      </w:tr>
      <w:tr w14:paraId="37033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37" w:type="dxa"/>
          </w:tcPr>
          <w:p w14:paraId="399FDC55">
            <w:pPr>
              <w:pStyle w:val="24"/>
              <w:ind w:firstLine="0" w:firstLineChars="0"/>
              <w:rPr>
                <w:rFonts w:hint="eastAsia" w:hAnsi="宋体" w:cs="宋体"/>
                <w:sz w:val="18"/>
                <w:szCs w:val="18"/>
              </w:rPr>
            </w:pPr>
            <w:r>
              <w:rPr>
                <w:rFonts w:hint="eastAsia" w:hAnsi="宋体" w:cs="宋体"/>
                <w:sz w:val="18"/>
                <w:szCs w:val="18"/>
              </w:rPr>
              <w:t>总氮（以干基计）/(%)                  ≥</w:t>
            </w:r>
          </w:p>
        </w:tc>
        <w:tc>
          <w:tcPr>
            <w:tcW w:w="1488" w:type="dxa"/>
          </w:tcPr>
          <w:p w14:paraId="44D48677">
            <w:pPr>
              <w:pStyle w:val="24"/>
              <w:ind w:firstLine="0" w:firstLineChars="0"/>
              <w:jc w:val="center"/>
              <w:rPr>
                <w:rFonts w:ascii="Times New Roman"/>
                <w:sz w:val="18"/>
                <w:szCs w:val="18"/>
              </w:rPr>
            </w:pPr>
            <w:r>
              <w:rPr>
                <w:rFonts w:ascii="Times New Roman"/>
                <w:sz w:val="18"/>
                <w:szCs w:val="18"/>
              </w:rPr>
              <w:t>12</w:t>
            </w:r>
          </w:p>
        </w:tc>
        <w:tc>
          <w:tcPr>
            <w:tcW w:w="1452" w:type="dxa"/>
          </w:tcPr>
          <w:p w14:paraId="2837580D">
            <w:pPr>
              <w:pStyle w:val="24"/>
              <w:ind w:firstLine="0" w:firstLineChars="0"/>
              <w:jc w:val="center"/>
              <w:rPr>
                <w:rFonts w:ascii="Times New Roman"/>
                <w:sz w:val="18"/>
                <w:szCs w:val="18"/>
              </w:rPr>
            </w:pPr>
            <w:r>
              <w:rPr>
                <w:rFonts w:ascii="Times New Roman"/>
                <w:sz w:val="18"/>
                <w:szCs w:val="18"/>
              </w:rPr>
              <w:t>10</w:t>
            </w:r>
          </w:p>
        </w:tc>
        <w:tc>
          <w:tcPr>
            <w:tcW w:w="2520" w:type="dxa"/>
          </w:tcPr>
          <w:p w14:paraId="6E39B5E0">
            <w:pPr>
              <w:pStyle w:val="24"/>
              <w:ind w:firstLine="0" w:firstLineChars="0"/>
              <w:jc w:val="center"/>
              <w:rPr>
                <w:rFonts w:ascii="Times New Roman"/>
                <w:sz w:val="18"/>
                <w:szCs w:val="18"/>
              </w:rPr>
            </w:pPr>
            <w:r>
              <w:rPr>
                <w:rFonts w:ascii="Times New Roman"/>
                <w:sz w:val="18"/>
                <w:szCs w:val="18"/>
              </w:rPr>
              <w:t>GB 5009.5</w:t>
            </w:r>
          </w:p>
        </w:tc>
      </w:tr>
      <w:tr w14:paraId="0F5AC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137" w:type="dxa"/>
            <w:vAlign w:val="center"/>
          </w:tcPr>
          <w:p w14:paraId="10D51F85">
            <w:pPr>
              <w:widowControl/>
              <w:jc w:val="left"/>
              <w:rPr>
                <w:rFonts w:hint="eastAsia" w:ascii="宋体" w:hAnsi="宋体" w:cs="宋体"/>
                <w:kern w:val="0"/>
                <w:sz w:val="18"/>
                <w:szCs w:val="18"/>
              </w:rPr>
            </w:pPr>
            <w:r>
              <w:rPr>
                <w:rFonts w:hint="eastAsia" w:ascii="宋体" w:hAnsi="宋体" w:cs="宋体"/>
                <w:kern w:val="0"/>
                <w:sz w:val="18"/>
                <w:szCs w:val="18"/>
              </w:rPr>
              <w:t>灰分</w:t>
            </w:r>
            <w:r>
              <w:rPr>
                <w:rFonts w:hint="eastAsia" w:ascii="宋体" w:hAnsi="宋体" w:cs="宋体"/>
                <w:sz w:val="18"/>
                <w:szCs w:val="18"/>
              </w:rPr>
              <w:t>/（%）                            ≤</w:t>
            </w:r>
          </w:p>
        </w:tc>
        <w:tc>
          <w:tcPr>
            <w:tcW w:w="1488" w:type="dxa"/>
            <w:vAlign w:val="center"/>
          </w:tcPr>
          <w:p w14:paraId="5B26EA69">
            <w:pPr>
              <w:pStyle w:val="24"/>
              <w:ind w:firstLine="0" w:firstLineChars="0"/>
              <w:jc w:val="center"/>
              <w:rPr>
                <w:rFonts w:ascii="Times New Roman"/>
                <w:sz w:val="18"/>
                <w:szCs w:val="18"/>
              </w:rPr>
            </w:pPr>
            <w:r>
              <w:rPr>
                <w:rFonts w:ascii="Times New Roman"/>
                <w:sz w:val="18"/>
                <w:szCs w:val="18"/>
              </w:rPr>
              <w:t>5</w:t>
            </w:r>
          </w:p>
        </w:tc>
        <w:tc>
          <w:tcPr>
            <w:tcW w:w="1452" w:type="dxa"/>
            <w:vAlign w:val="center"/>
          </w:tcPr>
          <w:p w14:paraId="7EFBA7B7">
            <w:pPr>
              <w:pStyle w:val="24"/>
              <w:ind w:firstLine="0" w:firstLineChars="0"/>
              <w:jc w:val="center"/>
              <w:rPr>
                <w:rFonts w:ascii="Times New Roman"/>
                <w:sz w:val="18"/>
                <w:szCs w:val="18"/>
              </w:rPr>
            </w:pPr>
            <w:r>
              <w:rPr>
                <w:rFonts w:ascii="Times New Roman"/>
                <w:sz w:val="18"/>
                <w:szCs w:val="18"/>
              </w:rPr>
              <w:t>10</w:t>
            </w:r>
          </w:p>
        </w:tc>
        <w:tc>
          <w:tcPr>
            <w:tcW w:w="2520" w:type="dxa"/>
            <w:vAlign w:val="center"/>
          </w:tcPr>
          <w:p w14:paraId="175E1510">
            <w:pPr>
              <w:pStyle w:val="24"/>
              <w:ind w:firstLine="0" w:firstLineChars="0"/>
              <w:jc w:val="center"/>
              <w:rPr>
                <w:rFonts w:ascii="Times New Roman"/>
                <w:sz w:val="18"/>
                <w:szCs w:val="18"/>
              </w:rPr>
            </w:pPr>
            <w:r>
              <w:rPr>
                <w:rFonts w:ascii="Times New Roman"/>
                <w:sz w:val="18"/>
                <w:szCs w:val="18"/>
              </w:rPr>
              <w:t>GB 5009.4</w:t>
            </w:r>
          </w:p>
        </w:tc>
      </w:tr>
      <w:tr w14:paraId="55564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vAlign w:val="center"/>
          </w:tcPr>
          <w:p w14:paraId="2921DE1B">
            <w:pPr>
              <w:widowControl/>
              <w:jc w:val="left"/>
              <w:rPr>
                <w:rFonts w:hint="eastAsia" w:ascii="宋体" w:hAnsi="宋体" w:cs="宋体"/>
                <w:kern w:val="0"/>
                <w:sz w:val="18"/>
                <w:szCs w:val="18"/>
              </w:rPr>
            </w:pPr>
            <w:r>
              <w:rPr>
                <w:rFonts w:hint="eastAsia" w:ascii="宋体" w:hAnsi="宋体" w:cs="宋体"/>
                <w:kern w:val="0"/>
                <w:sz w:val="18"/>
                <w:szCs w:val="18"/>
              </w:rPr>
              <w:t>低聚肽含量（以干基计）/（%）</w:t>
            </w:r>
            <w:r>
              <w:rPr>
                <w:rFonts w:hint="eastAsia" w:ascii="宋体" w:hAnsi="宋体" w:cs="宋体"/>
                <w:sz w:val="18"/>
                <w:szCs w:val="18"/>
              </w:rPr>
              <w:t xml:space="preserve">          ≥</w:t>
            </w:r>
          </w:p>
        </w:tc>
        <w:tc>
          <w:tcPr>
            <w:tcW w:w="1488" w:type="dxa"/>
            <w:vAlign w:val="center"/>
          </w:tcPr>
          <w:p w14:paraId="135272ED">
            <w:pPr>
              <w:pStyle w:val="24"/>
              <w:ind w:firstLine="0" w:firstLineChars="0"/>
              <w:jc w:val="center"/>
              <w:rPr>
                <w:rFonts w:ascii="Times New Roman"/>
                <w:sz w:val="18"/>
                <w:szCs w:val="18"/>
              </w:rPr>
            </w:pPr>
            <w:r>
              <w:rPr>
                <w:rFonts w:ascii="Times New Roman"/>
                <w:sz w:val="18"/>
                <w:szCs w:val="18"/>
              </w:rPr>
              <w:t>70</w:t>
            </w:r>
          </w:p>
        </w:tc>
        <w:tc>
          <w:tcPr>
            <w:tcW w:w="1452" w:type="dxa"/>
            <w:vAlign w:val="center"/>
          </w:tcPr>
          <w:p w14:paraId="5D0F9BA7">
            <w:pPr>
              <w:pStyle w:val="24"/>
              <w:ind w:firstLine="0" w:firstLineChars="0"/>
              <w:jc w:val="center"/>
              <w:rPr>
                <w:rFonts w:ascii="Times New Roman"/>
                <w:sz w:val="18"/>
                <w:szCs w:val="18"/>
              </w:rPr>
            </w:pPr>
            <w:r>
              <w:rPr>
                <w:rFonts w:ascii="Times New Roman"/>
                <w:sz w:val="18"/>
                <w:szCs w:val="18"/>
              </w:rPr>
              <w:t>40</w:t>
            </w:r>
          </w:p>
        </w:tc>
        <w:tc>
          <w:tcPr>
            <w:tcW w:w="2520" w:type="dxa"/>
            <w:vAlign w:val="center"/>
          </w:tcPr>
          <w:p w14:paraId="3AD3404B">
            <w:pPr>
              <w:pStyle w:val="24"/>
              <w:ind w:firstLine="0" w:firstLineChars="0"/>
              <w:jc w:val="center"/>
              <w:rPr>
                <w:rFonts w:ascii="Times New Roman"/>
                <w:sz w:val="18"/>
                <w:szCs w:val="18"/>
              </w:rPr>
            </w:pPr>
            <w:r>
              <w:rPr>
                <w:rFonts w:ascii="Times New Roman"/>
                <w:sz w:val="18"/>
                <w:szCs w:val="18"/>
              </w:rPr>
              <w:t>GB/T 22729</w:t>
            </w:r>
            <w:r>
              <w:rPr>
                <w:rFonts w:hint="eastAsia" w:ascii="Times New Roman"/>
                <w:sz w:val="18"/>
                <w:szCs w:val="18"/>
              </w:rPr>
              <w:t>中6.3</w:t>
            </w:r>
          </w:p>
        </w:tc>
      </w:tr>
      <w:tr w14:paraId="0F98F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69527B73">
            <w:pPr>
              <w:pStyle w:val="24"/>
              <w:ind w:firstLine="0" w:firstLineChars="0"/>
              <w:rPr>
                <w:rFonts w:hint="eastAsia" w:hAnsi="宋体" w:cs="宋体"/>
                <w:sz w:val="18"/>
                <w:szCs w:val="18"/>
              </w:rPr>
            </w:pPr>
            <w:r>
              <w:rPr>
                <w:rFonts w:hint="eastAsia" w:hAnsi="宋体" w:cs="宋体"/>
                <w:sz w:val="18"/>
                <w:szCs w:val="18"/>
              </w:rPr>
              <w:t>铅（以Pb计）/</w:t>
            </w:r>
            <w:r>
              <w:rPr>
                <w:rFonts w:hint="eastAsia" w:hAnsi="宋体" w:cs="宋体"/>
                <w:sz w:val="18"/>
                <w:szCs w:val="18"/>
                <w:lang w:val="en-US" w:eastAsia="zh-CN"/>
              </w:rPr>
              <w:t>(</w:t>
            </w:r>
            <w:r>
              <w:rPr>
                <w:rFonts w:hint="eastAsia" w:hAnsi="宋体" w:cs="宋体"/>
                <w:sz w:val="18"/>
                <w:szCs w:val="18"/>
              </w:rPr>
              <w:t>mg/kg）                 ≤</w:t>
            </w:r>
          </w:p>
        </w:tc>
        <w:tc>
          <w:tcPr>
            <w:tcW w:w="2940" w:type="dxa"/>
            <w:gridSpan w:val="2"/>
          </w:tcPr>
          <w:p w14:paraId="1C56E690">
            <w:pPr>
              <w:pStyle w:val="24"/>
              <w:ind w:firstLine="0" w:firstLineChars="0"/>
              <w:jc w:val="center"/>
              <w:rPr>
                <w:rFonts w:ascii="Times New Roman"/>
                <w:sz w:val="18"/>
                <w:szCs w:val="18"/>
              </w:rPr>
            </w:pPr>
            <w:r>
              <w:rPr>
                <w:rFonts w:ascii="Times New Roman"/>
                <w:sz w:val="18"/>
                <w:szCs w:val="18"/>
              </w:rPr>
              <w:t>1.0</w:t>
            </w:r>
          </w:p>
        </w:tc>
        <w:tc>
          <w:tcPr>
            <w:tcW w:w="2520" w:type="dxa"/>
          </w:tcPr>
          <w:p w14:paraId="4CD7D87C">
            <w:pPr>
              <w:pStyle w:val="24"/>
              <w:ind w:firstLine="0" w:firstLineChars="0"/>
              <w:jc w:val="center"/>
              <w:rPr>
                <w:rFonts w:ascii="Times New Roman"/>
                <w:sz w:val="18"/>
                <w:szCs w:val="18"/>
              </w:rPr>
            </w:pPr>
            <w:r>
              <w:rPr>
                <w:rFonts w:ascii="Times New Roman"/>
                <w:sz w:val="18"/>
                <w:szCs w:val="18"/>
              </w:rPr>
              <w:t>GB 5009.12</w:t>
            </w:r>
          </w:p>
        </w:tc>
      </w:tr>
      <w:tr w14:paraId="49DAA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79BE6E89">
            <w:pPr>
              <w:pStyle w:val="24"/>
              <w:ind w:firstLine="0" w:firstLineChars="0"/>
              <w:rPr>
                <w:rFonts w:hint="eastAsia" w:hAnsi="宋体" w:cs="宋体"/>
                <w:sz w:val="18"/>
                <w:szCs w:val="18"/>
              </w:rPr>
            </w:pPr>
            <w:bookmarkStart w:id="38" w:name="_Toc245600733"/>
            <w:r>
              <w:rPr>
                <w:rFonts w:hint="eastAsia" w:hAnsi="宋体" w:cs="宋体"/>
                <w:sz w:val="18"/>
                <w:szCs w:val="18"/>
              </w:rPr>
              <w:t>总砷（以As计）/</w:t>
            </w:r>
            <w:r>
              <w:rPr>
                <w:rFonts w:hint="eastAsia" w:hAnsi="宋体" w:cs="宋体"/>
                <w:sz w:val="18"/>
                <w:szCs w:val="18"/>
                <w:lang w:val="en-US" w:eastAsia="zh-CN"/>
              </w:rPr>
              <w:t>(</w:t>
            </w:r>
            <w:r>
              <w:rPr>
                <w:rFonts w:hint="eastAsia" w:hAnsi="宋体" w:cs="宋体"/>
                <w:sz w:val="18"/>
                <w:szCs w:val="18"/>
              </w:rPr>
              <w:t>mg/kg）               ≤</w:t>
            </w:r>
          </w:p>
        </w:tc>
        <w:tc>
          <w:tcPr>
            <w:tcW w:w="2940" w:type="dxa"/>
            <w:gridSpan w:val="2"/>
            <w:shd w:val="clear" w:color="auto" w:fill="auto"/>
          </w:tcPr>
          <w:p w14:paraId="19A37FD9">
            <w:pPr>
              <w:pStyle w:val="24"/>
              <w:ind w:firstLine="0" w:firstLineChars="0"/>
              <w:jc w:val="center"/>
              <w:rPr>
                <w:rFonts w:ascii="Times New Roman"/>
                <w:sz w:val="18"/>
                <w:szCs w:val="18"/>
              </w:rPr>
            </w:pPr>
            <w:r>
              <w:rPr>
                <w:rFonts w:ascii="Times New Roman"/>
                <w:sz w:val="18"/>
                <w:szCs w:val="18"/>
              </w:rPr>
              <w:t>1.0</w:t>
            </w:r>
          </w:p>
        </w:tc>
        <w:tc>
          <w:tcPr>
            <w:tcW w:w="2520" w:type="dxa"/>
          </w:tcPr>
          <w:p w14:paraId="306C67E6">
            <w:pPr>
              <w:pStyle w:val="24"/>
              <w:ind w:firstLine="0" w:firstLineChars="0"/>
              <w:jc w:val="center"/>
              <w:rPr>
                <w:rFonts w:ascii="Times New Roman"/>
                <w:sz w:val="18"/>
                <w:szCs w:val="18"/>
              </w:rPr>
            </w:pPr>
            <w:r>
              <w:rPr>
                <w:rFonts w:ascii="Times New Roman"/>
                <w:sz w:val="18"/>
                <w:szCs w:val="18"/>
              </w:rPr>
              <w:t>GB 5009.11</w:t>
            </w:r>
          </w:p>
        </w:tc>
      </w:tr>
      <w:tr w14:paraId="66886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63780E88">
            <w:pPr>
              <w:pStyle w:val="24"/>
              <w:ind w:firstLine="0" w:firstLineChars="0"/>
              <w:rPr>
                <w:rFonts w:hint="eastAsia" w:hAnsi="宋体" w:cs="宋体"/>
                <w:sz w:val="18"/>
                <w:szCs w:val="18"/>
              </w:rPr>
            </w:pPr>
            <w:r>
              <w:rPr>
                <w:rFonts w:hint="eastAsia" w:hAnsi="宋体" w:cs="宋体"/>
                <w:sz w:val="18"/>
                <w:szCs w:val="18"/>
              </w:rPr>
              <w:t>镉(以Cd计)/(mg/kg)                    ≤</w:t>
            </w:r>
          </w:p>
        </w:tc>
        <w:tc>
          <w:tcPr>
            <w:tcW w:w="2940" w:type="dxa"/>
            <w:gridSpan w:val="2"/>
            <w:shd w:val="clear" w:color="auto" w:fill="auto"/>
          </w:tcPr>
          <w:p w14:paraId="0FD25E36">
            <w:pPr>
              <w:pStyle w:val="24"/>
              <w:ind w:firstLine="0" w:firstLineChars="0"/>
              <w:jc w:val="center"/>
              <w:rPr>
                <w:rFonts w:ascii="Times New Roman"/>
                <w:sz w:val="18"/>
                <w:szCs w:val="18"/>
              </w:rPr>
            </w:pPr>
            <w:r>
              <w:rPr>
                <w:rFonts w:ascii="Times New Roman"/>
                <w:sz w:val="18"/>
                <w:szCs w:val="18"/>
              </w:rPr>
              <w:t>0.1</w:t>
            </w:r>
          </w:p>
        </w:tc>
        <w:tc>
          <w:tcPr>
            <w:tcW w:w="2520" w:type="dxa"/>
          </w:tcPr>
          <w:p w14:paraId="1474F930">
            <w:pPr>
              <w:pStyle w:val="24"/>
              <w:ind w:firstLine="0" w:firstLineChars="0"/>
              <w:jc w:val="center"/>
              <w:rPr>
                <w:rFonts w:ascii="Times New Roman"/>
                <w:sz w:val="18"/>
                <w:szCs w:val="18"/>
              </w:rPr>
            </w:pPr>
            <w:r>
              <w:rPr>
                <w:rFonts w:ascii="Times New Roman"/>
                <w:sz w:val="18"/>
                <w:szCs w:val="18"/>
              </w:rPr>
              <w:t>GB 5009.15</w:t>
            </w:r>
          </w:p>
        </w:tc>
      </w:tr>
      <w:tr w14:paraId="30210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1A413CE9">
            <w:pPr>
              <w:pStyle w:val="24"/>
              <w:ind w:firstLine="0" w:firstLineChars="0"/>
              <w:rPr>
                <w:rFonts w:hint="eastAsia" w:hAnsi="宋体" w:cs="宋体"/>
                <w:sz w:val="18"/>
                <w:szCs w:val="18"/>
              </w:rPr>
            </w:pPr>
            <w:r>
              <w:rPr>
                <w:rFonts w:hint="eastAsia" w:hAnsi="宋体" w:cs="宋体"/>
                <w:sz w:val="18"/>
                <w:szCs w:val="18"/>
              </w:rPr>
              <w:t>总汞(以Hg计)/(mg/kg)                  ≤</w:t>
            </w:r>
          </w:p>
        </w:tc>
        <w:tc>
          <w:tcPr>
            <w:tcW w:w="2940" w:type="dxa"/>
            <w:gridSpan w:val="2"/>
            <w:shd w:val="clear" w:color="auto" w:fill="auto"/>
          </w:tcPr>
          <w:p w14:paraId="53CA86F7">
            <w:pPr>
              <w:pStyle w:val="24"/>
              <w:ind w:firstLine="0" w:firstLineChars="0"/>
              <w:jc w:val="center"/>
              <w:rPr>
                <w:rFonts w:ascii="Times New Roman"/>
                <w:sz w:val="18"/>
                <w:szCs w:val="18"/>
              </w:rPr>
            </w:pPr>
            <w:r>
              <w:rPr>
                <w:rFonts w:ascii="Times New Roman"/>
                <w:sz w:val="18"/>
                <w:szCs w:val="18"/>
              </w:rPr>
              <w:t>0.1</w:t>
            </w:r>
          </w:p>
        </w:tc>
        <w:tc>
          <w:tcPr>
            <w:tcW w:w="2520" w:type="dxa"/>
          </w:tcPr>
          <w:p w14:paraId="1BA8A725">
            <w:pPr>
              <w:pStyle w:val="24"/>
              <w:ind w:firstLine="0" w:firstLineChars="0"/>
              <w:jc w:val="center"/>
              <w:rPr>
                <w:rFonts w:ascii="Times New Roman"/>
                <w:sz w:val="18"/>
                <w:szCs w:val="18"/>
              </w:rPr>
            </w:pPr>
            <w:r>
              <w:rPr>
                <w:rFonts w:ascii="Times New Roman"/>
                <w:sz w:val="18"/>
                <w:szCs w:val="18"/>
              </w:rPr>
              <w:t>GB 5009.17</w:t>
            </w:r>
          </w:p>
        </w:tc>
      </w:tr>
      <w:tr w14:paraId="41209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7D5B2444">
            <w:pPr>
              <w:pStyle w:val="24"/>
              <w:ind w:firstLine="0" w:firstLineChars="0"/>
              <w:rPr>
                <w:rFonts w:hint="eastAsia" w:hAnsi="宋体" w:cs="宋体"/>
                <w:sz w:val="18"/>
                <w:szCs w:val="18"/>
              </w:rPr>
            </w:pPr>
            <w:r>
              <w:rPr>
                <w:rFonts w:hint="eastAsia" w:hAnsi="宋体" w:cs="宋体"/>
                <w:sz w:val="18"/>
                <w:szCs w:val="18"/>
              </w:rPr>
              <w:t>铬（以Cr计）/</w:t>
            </w:r>
            <w:r>
              <w:rPr>
                <w:rFonts w:hint="eastAsia" w:hAnsi="宋体" w:cs="宋体"/>
                <w:sz w:val="18"/>
                <w:szCs w:val="18"/>
                <w:lang w:val="en-US" w:eastAsia="zh-CN"/>
              </w:rPr>
              <w:t>(</w:t>
            </w:r>
            <w:r>
              <w:rPr>
                <w:rFonts w:hint="eastAsia" w:hAnsi="宋体" w:cs="宋体"/>
                <w:sz w:val="18"/>
                <w:szCs w:val="18"/>
              </w:rPr>
              <w:t>mg/kg）                 ≤</w:t>
            </w:r>
          </w:p>
        </w:tc>
        <w:tc>
          <w:tcPr>
            <w:tcW w:w="2940" w:type="dxa"/>
            <w:gridSpan w:val="2"/>
            <w:shd w:val="clear" w:color="auto" w:fill="auto"/>
          </w:tcPr>
          <w:p w14:paraId="2C8B5012">
            <w:pPr>
              <w:pStyle w:val="24"/>
              <w:ind w:firstLine="0" w:firstLineChars="0"/>
              <w:jc w:val="center"/>
              <w:rPr>
                <w:rFonts w:ascii="Times New Roman"/>
                <w:sz w:val="18"/>
                <w:szCs w:val="18"/>
              </w:rPr>
            </w:pPr>
            <w:r>
              <w:rPr>
                <w:rFonts w:ascii="Times New Roman"/>
                <w:sz w:val="18"/>
                <w:szCs w:val="18"/>
              </w:rPr>
              <w:t>2.0</w:t>
            </w:r>
          </w:p>
        </w:tc>
        <w:tc>
          <w:tcPr>
            <w:tcW w:w="2520" w:type="dxa"/>
          </w:tcPr>
          <w:p w14:paraId="778B96AE">
            <w:pPr>
              <w:pStyle w:val="24"/>
              <w:ind w:firstLine="0" w:firstLineChars="0"/>
              <w:jc w:val="center"/>
              <w:rPr>
                <w:rFonts w:ascii="Times New Roman"/>
                <w:sz w:val="18"/>
                <w:szCs w:val="18"/>
              </w:rPr>
            </w:pPr>
            <w:r>
              <w:rPr>
                <w:rFonts w:ascii="Times New Roman"/>
                <w:sz w:val="18"/>
                <w:szCs w:val="18"/>
              </w:rPr>
              <w:t>GB 5009.123</w:t>
            </w:r>
          </w:p>
        </w:tc>
      </w:tr>
    </w:tbl>
    <w:p w14:paraId="195D827F">
      <w:pPr>
        <w:pStyle w:val="58"/>
        <w:spacing w:before="156" w:after="156"/>
        <w:ind w:left="0"/>
        <w:rPr>
          <w:rFonts w:hint="eastAsia" w:hAnsi="黑体" w:cs="黑体"/>
        </w:rPr>
      </w:pPr>
      <w:r>
        <w:rPr>
          <w:rFonts w:hint="eastAsia" w:hAnsi="黑体" w:cs="黑体"/>
        </w:rPr>
        <w:t>4</w:t>
      </w:r>
      <w:r>
        <w:rPr>
          <w:rFonts w:hAnsi="黑体" w:cs="黑体"/>
        </w:rPr>
        <w:t>.4</w:t>
      </w:r>
      <w:r>
        <w:rPr>
          <w:rFonts w:hAnsi="黑体" w:cs="黑体"/>
        </w:rPr>
        <w:tab/>
      </w:r>
      <w:r>
        <w:rPr>
          <w:rFonts w:hint="eastAsia" w:hAnsi="黑体" w:cs="黑体"/>
        </w:rPr>
        <w:t>微生物</w:t>
      </w:r>
      <w:bookmarkEnd w:id="38"/>
      <w:r>
        <w:rPr>
          <w:rFonts w:hint="eastAsia" w:hAnsi="黑体" w:cs="黑体"/>
        </w:rPr>
        <w:t>限量</w:t>
      </w:r>
    </w:p>
    <w:p w14:paraId="336401D4">
      <w:pPr>
        <w:pStyle w:val="24"/>
        <w:rPr>
          <w:rFonts w:ascii="Times New Roman"/>
        </w:rPr>
      </w:pPr>
      <w:r>
        <w:rPr>
          <w:rFonts w:hint="eastAsia" w:ascii="Times New Roman"/>
        </w:rPr>
        <w:t>应符合表</w:t>
      </w:r>
      <w:r>
        <w:rPr>
          <w:rFonts w:ascii="Times New Roman"/>
        </w:rPr>
        <w:t>3</w:t>
      </w:r>
      <w:r>
        <w:rPr>
          <w:rFonts w:hint="eastAsia" w:ascii="Times New Roman"/>
        </w:rPr>
        <w:t>的规定。</w:t>
      </w:r>
    </w:p>
    <w:p w14:paraId="1EA6E4A1">
      <w:pPr>
        <w:pStyle w:val="146"/>
        <w:spacing w:before="156" w:after="156"/>
      </w:pPr>
      <w:r>
        <w:rPr>
          <w:rFonts w:hint="eastAsia" w:hAnsi="黑体" w:cs="黑体"/>
          <w:szCs w:val="22"/>
        </w:rPr>
        <w:t>微生物限量</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9"/>
        <w:gridCol w:w="1182"/>
        <w:gridCol w:w="1182"/>
        <w:gridCol w:w="1099"/>
        <w:gridCol w:w="1134"/>
        <w:gridCol w:w="2374"/>
      </w:tblGrid>
      <w:tr w14:paraId="4018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vMerge w:val="restart"/>
            <w:tcBorders>
              <w:top w:val="single" w:color="auto" w:sz="12" w:space="0"/>
              <w:left w:val="single" w:color="auto" w:sz="12" w:space="0"/>
            </w:tcBorders>
            <w:vAlign w:val="center"/>
          </w:tcPr>
          <w:p w14:paraId="039DBA53">
            <w:pPr>
              <w:jc w:val="center"/>
              <w:rPr>
                <w:rFonts w:hint="eastAsia" w:ascii="宋体" w:hAnsi="宋体"/>
                <w:kern w:val="0"/>
                <w:sz w:val="18"/>
                <w:szCs w:val="18"/>
              </w:rPr>
            </w:pPr>
            <w:r>
              <w:rPr>
                <w:rFonts w:hint="eastAsia" w:ascii="宋体" w:hAnsi="宋体"/>
                <w:sz w:val="18"/>
                <w:szCs w:val="18"/>
              </w:rPr>
              <w:t>项    目</w:t>
            </w:r>
          </w:p>
        </w:tc>
        <w:tc>
          <w:tcPr>
            <w:tcW w:w="4597" w:type="dxa"/>
            <w:gridSpan w:val="4"/>
            <w:tcBorders>
              <w:top w:val="single" w:color="auto" w:sz="12" w:space="0"/>
            </w:tcBorders>
            <w:vAlign w:val="center"/>
          </w:tcPr>
          <w:p w14:paraId="5501C0B7">
            <w:pPr>
              <w:jc w:val="center"/>
              <w:rPr>
                <w:rFonts w:hint="eastAsia" w:ascii="宋体" w:hAnsi="宋体"/>
                <w:kern w:val="0"/>
                <w:sz w:val="18"/>
                <w:szCs w:val="18"/>
              </w:rPr>
            </w:pPr>
            <w:r>
              <w:rPr>
                <w:rFonts w:hint="eastAsia" w:ascii="宋体" w:hAnsi="宋体"/>
                <w:sz w:val="18"/>
                <w:szCs w:val="18"/>
              </w:rPr>
              <w:t>采样方案</w:t>
            </w:r>
            <w:r>
              <w:rPr>
                <w:rFonts w:ascii="宋体" w:hAnsi="宋体"/>
                <w:sz w:val="18"/>
                <w:szCs w:val="18"/>
                <w:vertAlign w:val="superscript"/>
              </w:rPr>
              <w:t>a</w:t>
            </w:r>
            <w:r>
              <w:rPr>
                <w:rFonts w:hint="eastAsia" w:ascii="宋体" w:hAnsi="宋体"/>
                <w:sz w:val="18"/>
                <w:szCs w:val="18"/>
              </w:rPr>
              <w:t>及限量（若非指定，均以</w:t>
            </w:r>
            <w:r>
              <w:rPr>
                <w:rFonts w:hint="eastAsia" w:hAnsi="宋体"/>
                <w:sz w:val="18"/>
                <w:szCs w:val="18"/>
              </w:rPr>
              <w:t>CFU/g表示)</w:t>
            </w:r>
          </w:p>
        </w:tc>
        <w:tc>
          <w:tcPr>
            <w:tcW w:w="2374" w:type="dxa"/>
            <w:vMerge w:val="restart"/>
            <w:tcBorders>
              <w:top w:val="single" w:color="auto" w:sz="12" w:space="0"/>
              <w:right w:val="single" w:color="auto" w:sz="12" w:space="0"/>
            </w:tcBorders>
            <w:vAlign w:val="center"/>
          </w:tcPr>
          <w:p w14:paraId="3F4B2005">
            <w:pPr>
              <w:pStyle w:val="24"/>
              <w:ind w:firstLine="0" w:firstLineChars="0"/>
              <w:jc w:val="center"/>
              <w:rPr>
                <w:rFonts w:hint="eastAsia" w:hAnsi="宋体"/>
                <w:sz w:val="18"/>
                <w:szCs w:val="18"/>
              </w:rPr>
            </w:pPr>
            <w:r>
              <w:rPr>
                <w:rFonts w:hint="eastAsia" w:hAnsi="宋体"/>
                <w:sz w:val="18"/>
                <w:szCs w:val="18"/>
              </w:rPr>
              <w:t>检验方法</w:t>
            </w:r>
          </w:p>
        </w:tc>
      </w:tr>
      <w:tr w14:paraId="56E2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vMerge w:val="continue"/>
            <w:tcBorders>
              <w:left w:val="single" w:color="auto" w:sz="12" w:space="0"/>
              <w:bottom w:val="single" w:color="auto" w:sz="12" w:space="0"/>
            </w:tcBorders>
          </w:tcPr>
          <w:p w14:paraId="7CECEDC0">
            <w:pPr>
              <w:numPr>
                <w:ilvl w:val="0"/>
                <w:numId w:val="2"/>
              </w:numPr>
              <w:ind w:firstLine="900"/>
              <w:jc w:val="center"/>
              <w:rPr>
                <w:rFonts w:hint="eastAsia" w:ascii="宋体" w:hAnsi="宋体"/>
                <w:kern w:val="0"/>
                <w:sz w:val="18"/>
                <w:szCs w:val="18"/>
              </w:rPr>
            </w:pPr>
          </w:p>
        </w:tc>
        <w:tc>
          <w:tcPr>
            <w:tcW w:w="1182" w:type="dxa"/>
            <w:tcBorders>
              <w:bottom w:val="single" w:color="auto" w:sz="12" w:space="0"/>
            </w:tcBorders>
          </w:tcPr>
          <w:p w14:paraId="2869E0C1">
            <w:pPr>
              <w:pStyle w:val="24"/>
              <w:ind w:firstLine="0" w:firstLineChars="0"/>
              <w:jc w:val="center"/>
              <w:rPr>
                <w:rFonts w:ascii="Times New Roman"/>
                <w:sz w:val="18"/>
                <w:szCs w:val="18"/>
              </w:rPr>
            </w:pPr>
            <w:r>
              <w:rPr>
                <w:rFonts w:ascii="Times New Roman"/>
                <w:sz w:val="18"/>
                <w:szCs w:val="18"/>
              </w:rPr>
              <w:t>n</w:t>
            </w:r>
          </w:p>
        </w:tc>
        <w:tc>
          <w:tcPr>
            <w:tcW w:w="1182" w:type="dxa"/>
            <w:tcBorders>
              <w:bottom w:val="single" w:color="auto" w:sz="12" w:space="0"/>
            </w:tcBorders>
          </w:tcPr>
          <w:p w14:paraId="00E0054A">
            <w:pPr>
              <w:pStyle w:val="24"/>
              <w:ind w:firstLine="0" w:firstLineChars="0"/>
              <w:jc w:val="center"/>
              <w:rPr>
                <w:rFonts w:ascii="Times New Roman"/>
                <w:sz w:val="18"/>
                <w:szCs w:val="18"/>
              </w:rPr>
            </w:pPr>
            <w:r>
              <w:rPr>
                <w:rFonts w:ascii="Times New Roman"/>
                <w:sz w:val="18"/>
                <w:szCs w:val="18"/>
              </w:rPr>
              <w:t>c</w:t>
            </w:r>
          </w:p>
        </w:tc>
        <w:tc>
          <w:tcPr>
            <w:tcW w:w="1099" w:type="dxa"/>
            <w:tcBorders>
              <w:bottom w:val="single" w:color="auto" w:sz="12" w:space="0"/>
            </w:tcBorders>
          </w:tcPr>
          <w:p w14:paraId="2D378BB3">
            <w:pPr>
              <w:pStyle w:val="24"/>
              <w:ind w:firstLine="0" w:firstLineChars="0"/>
              <w:jc w:val="center"/>
              <w:rPr>
                <w:rFonts w:ascii="Times New Roman"/>
                <w:sz w:val="18"/>
                <w:szCs w:val="18"/>
              </w:rPr>
            </w:pPr>
            <w:r>
              <w:rPr>
                <w:rFonts w:ascii="Times New Roman"/>
                <w:sz w:val="18"/>
                <w:szCs w:val="18"/>
              </w:rPr>
              <w:t>m</w:t>
            </w:r>
          </w:p>
        </w:tc>
        <w:tc>
          <w:tcPr>
            <w:tcW w:w="1134" w:type="dxa"/>
            <w:tcBorders>
              <w:bottom w:val="single" w:color="auto" w:sz="12" w:space="0"/>
            </w:tcBorders>
          </w:tcPr>
          <w:p w14:paraId="46F72520">
            <w:pPr>
              <w:pStyle w:val="24"/>
              <w:ind w:firstLine="0" w:firstLineChars="0"/>
              <w:jc w:val="center"/>
              <w:rPr>
                <w:rFonts w:ascii="Times New Roman"/>
                <w:sz w:val="18"/>
                <w:szCs w:val="18"/>
              </w:rPr>
            </w:pPr>
            <w:r>
              <w:rPr>
                <w:rFonts w:ascii="Times New Roman"/>
                <w:sz w:val="18"/>
                <w:szCs w:val="18"/>
              </w:rPr>
              <w:t>M</w:t>
            </w:r>
          </w:p>
        </w:tc>
        <w:tc>
          <w:tcPr>
            <w:tcW w:w="2374" w:type="dxa"/>
            <w:vMerge w:val="continue"/>
            <w:tcBorders>
              <w:bottom w:val="single" w:color="auto" w:sz="12" w:space="0"/>
              <w:right w:val="single" w:color="auto" w:sz="12" w:space="0"/>
            </w:tcBorders>
          </w:tcPr>
          <w:p w14:paraId="12580C77">
            <w:pPr>
              <w:numPr>
                <w:ilvl w:val="0"/>
                <w:numId w:val="2"/>
              </w:numPr>
              <w:ind w:left="1995" w:firstLine="900"/>
              <w:jc w:val="center"/>
              <w:outlineLvl w:val="3"/>
              <w:rPr>
                <w:rFonts w:hint="eastAsia" w:ascii="宋体" w:hAnsi="宋体"/>
                <w:kern w:val="0"/>
                <w:sz w:val="18"/>
                <w:szCs w:val="18"/>
              </w:rPr>
            </w:pPr>
          </w:p>
        </w:tc>
      </w:tr>
      <w:tr w14:paraId="6C16F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tcBorders>
              <w:left w:val="single" w:color="auto" w:sz="12" w:space="0"/>
              <w:bottom w:val="single" w:color="000000" w:sz="4" w:space="0"/>
            </w:tcBorders>
            <w:vAlign w:val="center"/>
          </w:tcPr>
          <w:p w14:paraId="59A362F8">
            <w:pPr>
              <w:pStyle w:val="24"/>
              <w:ind w:firstLine="0" w:firstLineChars="0"/>
              <w:rPr>
                <w:rFonts w:hint="eastAsia" w:hAnsi="宋体"/>
                <w:sz w:val="18"/>
                <w:szCs w:val="18"/>
              </w:rPr>
            </w:pPr>
            <w:r>
              <w:rPr>
                <w:rFonts w:hAnsi="宋体"/>
                <w:sz w:val="18"/>
                <w:szCs w:val="18"/>
              </w:rPr>
              <w:t>菌落总</w:t>
            </w:r>
            <w:r>
              <w:rPr>
                <w:rFonts w:hint="eastAsia" w:hAnsi="宋体"/>
                <w:sz w:val="18"/>
                <w:szCs w:val="18"/>
              </w:rPr>
              <w:t xml:space="preserve">数 </w:t>
            </w:r>
          </w:p>
        </w:tc>
        <w:tc>
          <w:tcPr>
            <w:tcW w:w="1182" w:type="dxa"/>
            <w:tcBorders>
              <w:bottom w:val="single" w:color="000000" w:sz="4" w:space="0"/>
              <w:right w:val="single" w:color="auto" w:sz="4" w:space="0"/>
            </w:tcBorders>
            <w:vAlign w:val="center"/>
          </w:tcPr>
          <w:p w14:paraId="6C189BE8">
            <w:pPr>
              <w:pStyle w:val="24"/>
              <w:ind w:firstLine="0" w:firstLineChars="0"/>
              <w:jc w:val="center"/>
              <w:rPr>
                <w:rFonts w:ascii="Times New Roman"/>
                <w:sz w:val="18"/>
                <w:szCs w:val="18"/>
              </w:rPr>
            </w:pPr>
            <w:r>
              <w:rPr>
                <w:rFonts w:ascii="Times New Roman"/>
                <w:sz w:val="18"/>
                <w:szCs w:val="18"/>
              </w:rPr>
              <w:t>5</w:t>
            </w:r>
          </w:p>
        </w:tc>
        <w:tc>
          <w:tcPr>
            <w:tcW w:w="1182" w:type="dxa"/>
            <w:tcBorders>
              <w:left w:val="single" w:color="auto" w:sz="4" w:space="0"/>
              <w:bottom w:val="single" w:color="000000" w:sz="4" w:space="0"/>
              <w:right w:val="single" w:color="auto" w:sz="4" w:space="0"/>
            </w:tcBorders>
            <w:vAlign w:val="center"/>
          </w:tcPr>
          <w:p w14:paraId="07220EFE">
            <w:pPr>
              <w:pStyle w:val="24"/>
              <w:ind w:firstLine="0" w:firstLineChars="0"/>
              <w:jc w:val="center"/>
              <w:rPr>
                <w:rFonts w:ascii="Times New Roman"/>
                <w:sz w:val="18"/>
                <w:szCs w:val="18"/>
              </w:rPr>
            </w:pPr>
            <w:r>
              <w:rPr>
                <w:rFonts w:ascii="Times New Roman"/>
                <w:sz w:val="18"/>
                <w:szCs w:val="18"/>
              </w:rPr>
              <w:t>2</w:t>
            </w:r>
          </w:p>
        </w:tc>
        <w:tc>
          <w:tcPr>
            <w:tcW w:w="1099" w:type="dxa"/>
            <w:tcBorders>
              <w:left w:val="single" w:color="auto" w:sz="4" w:space="0"/>
              <w:bottom w:val="single" w:color="000000" w:sz="4" w:space="0"/>
              <w:right w:val="single" w:color="auto" w:sz="4" w:space="0"/>
            </w:tcBorders>
            <w:vAlign w:val="center"/>
          </w:tcPr>
          <w:p w14:paraId="40A5D58E">
            <w:pPr>
              <w:pStyle w:val="24"/>
              <w:ind w:firstLine="0" w:firstLineChars="0"/>
              <w:jc w:val="center"/>
              <w:rPr>
                <w:rFonts w:ascii="Times New Roman"/>
                <w:sz w:val="18"/>
                <w:szCs w:val="18"/>
              </w:rPr>
            </w:pPr>
            <w:r>
              <w:rPr>
                <w:rFonts w:ascii="Times New Roman"/>
                <w:sz w:val="18"/>
                <w:szCs w:val="18"/>
              </w:rPr>
              <w:t>10</w:t>
            </w:r>
            <w:r>
              <w:rPr>
                <w:rFonts w:hint="eastAsia" w:ascii="Times New Roman"/>
                <w:sz w:val="18"/>
                <w:szCs w:val="18"/>
                <w:vertAlign w:val="superscript"/>
              </w:rPr>
              <w:t>4</w:t>
            </w:r>
          </w:p>
        </w:tc>
        <w:tc>
          <w:tcPr>
            <w:tcW w:w="1134" w:type="dxa"/>
            <w:tcBorders>
              <w:left w:val="single" w:color="auto" w:sz="4" w:space="0"/>
              <w:bottom w:val="single" w:color="000000" w:sz="4" w:space="0"/>
            </w:tcBorders>
            <w:vAlign w:val="center"/>
          </w:tcPr>
          <w:p w14:paraId="34FE73AA">
            <w:pPr>
              <w:pStyle w:val="24"/>
              <w:ind w:firstLine="0" w:firstLineChars="0"/>
              <w:jc w:val="center"/>
              <w:rPr>
                <w:rFonts w:ascii="Times New Roman"/>
                <w:sz w:val="18"/>
                <w:szCs w:val="18"/>
              </w:rPr>
            </w:pPr>
            <w:r>
              <w:rPr>
                <w:rFonts w:ascii="Times New Roman"/>
                <w:sz w:val="18"/>
                <w:szCs w:val="18"/>
              </w:rPr>
              <w:t>10</w:t>
            </w:r>
            <w:r>
              <w:rPr>
                <w:rFonts w:hint="eastAsia" w:ascii="Times New Roman"/>
                <w:sz w:val="18"/>
                <w:szCs w:val="18"/>
                <w:vertAlign w:val="superscript"/>
              </w:rPr>
              <w:t>5</w:t>
            </w:r>
          </w:p>
        </w:tc>
        <w:tc>
          <w:tcPr>
            <w:tcW w:w="2374" w:type="dxa"/>
            <w:tcBorders>
              <w:bottom w:val="single" w:color="000000" w:sz="4" w:space="0"/>
              <w:right w:val="single" w:color="auto" w:sz="12" w:space="0"/>
            </w:tcBorders>
            <w:vAlign w:val="center"/>
          </w:tcPr>
          <w:p w14:paraId="20A81AC0">
            <w:pPr>
              <w:jc w:val="center"/>
              <w:rPr>
                <w:sz w:val="18"/>
                <w:szCs w:val="18"/>
              </w:rPr>
            </w:pPr>
            <w:r>
              <w:rPr>
                <w:sz w:val="18"/>
                <w:szCs w:val="18"/>
              </w:rPr>
              <w:t>GB 4789.2</w:t>
            </w:r>
            <w:r>
              <w:rPr>
                <w:rFonts w:hint="eastAsia"/>
                <w:sz w:val="18"/>
                <w:szCs w:val="18"/>
              </w:rPr>
              <w:t xml:space="preserve">  </w:t>
            </w:r>
          </w:p>
        </w:tc>
      </w:tr>
      <w:tr w14:paraId="0267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tcBorders>
              <w:left w:val="single" w:color="auto" w:sz="12" w:space="0"/>
              <w:bottom w:val="single" w:color="000000" w:sz="4" w:space="0"/>
            </w:tcBorders>
            <w:vAlign w:val="center"/>
          </w:tcPr>
          <w:p w14:paraId="472837C9">
            <w:pPr>
              <w:pStyle w:val="24"/>
              <w:ind w:firstLine="0" w:firstLineChars="0"/>
              <w:rPr>
                <w:rFonts w:hint="eastAsia" w:hAnsi="宋体"/>
                <w:sz w:val="18"/>
                <w:szCs w:val="18"/>
              </w:rPr>
            </w:pPr>
            <w:r>
              <w:rPr>
                <w:rFonts w:hAnsi="宋体"/>
                <w:sz w:val="18"/>
                <w:szCs w:val="18"/>
              </w:rPr>
              <w:t>大肠菌群</w:t>
            </w:r>
            <w:r>
              <w:rPr>
                <w:rFonts w:hint="eastAsia" w:hAnsi="宋体"/>
                <w:sz w:val="18"/>
                <w:szCs w:val="18"/>
              </w:rPr>
              <w:t xml:space="preserve">     </w:t>
            </w:r>
          </w:p>
        </w:tc>
        <w:tc>
          <w:tcPr>
            <w:tcW w:w="1182" w:type="dxa"/>
            <w:tcBorders>
              <w:bottom w:val="single" w:color="000000" w:sz="4" w:space="0"/>
              <w:right w:val="single" w:color="auto" w:sz="4" w:space="0"/>
            </w:tcBorders>
            <w:vAlign w:val="center"/>
          </w:tcPr>
          <w:p w14:paraId="6CF0E911">
            <w:pPr>
              <w:pStyle w:val="24"/>
              <w:ind w:firstLine="0" w:firstLineChars="0"/>
              <w:jc w:val="center"/>
              <w:rPr>
                <w:rFonts w:ascii="Times New Roman"/>
                <w:sz w:val="18"/>
                <w:szCs w:val="18"/>
              </w:rPr>
            </w:pPr>
            <w:r>
              <w:rPr>
                <w:rFonts w:ascii="Times New Roman"/>
                <w:sz w:val="18"/>
                <w:szCs w:val="18"/>
              </w:rPr>
              <w:t>5</w:t>
            </w:r>
          </w:p>
        </w:tc>
        <w:tc>
          <w:tcPr>
            <w:tcW w:w="1182" w:type="dxa"/>
            <w:tcBorders>
              <w:left w:val="single" w:color="auto" w:sz="4" w:space="0"/>
              <w:bottom w:val="single" w:color="000000" w:sz="4" w:space="0"/>
              <w:right w:val="single" w:color="auto" w:sz="4" w:space="0"/>
            </w:tcBorders>
            <w:vAlign w:val="center"/>
          </w:tcPr>
          <w:p w14:paraId="712A2337">
            <w:pPr>
              <w:pStyle w:val="24"/>
              <w:ind w:firstLine="0" w:firstLineChars="0"/>
              <w:jc w:val="center"/>
              <w:rPr>
                <w:rFonts w:ascii="Times New Roman"/>
                <w:sz w:val="18"/>
                <w:szCs w:val="18"/>
              </w:rPr>
            </w:pPr>
            <w:r>
              <w:rPr>
                <w:rFonts w:ascii="Times New Roman"/>
                <w:sz w:val="18"/>
                <w:szCs w:val="18"/>
              </w:rPr>
              <w:t>2</w:t>
            </w:r>
          </w:p>
        </w:tc>
        <w:tc>
          <w:tcPr>
            <w:tcW w:w="1099" w:type="dxa"/>
            <w:tcBorders>
              <w:left w:val="single" w:color="auto" w:sz="4" w:space="0"/>
              <w:bottom w:val="single" w:color="000000" w:sz="4" w:space="0"/>
              <w:right w:val="single" w:color="auto" w:sz="4" w:space="0"/>
            </w:tcBorders>
            <w:vAlign w:val="center"/>
          </w:tcPr>
          <w:p w14:paraId="7895E080">
            <w:pPr>
              <w:pStyle w:val="24"/>
              <w:ind w:firstLine="0" w:firstLineChars="0"/>
              <w:jc w:val="center"/>
              <w:rPr>
                <w:rFonts w:ascii="Times New Roman"/>
                <w:sz w:val="18"/>
                <w:szCs w:val="18"/>
              </w:rPr>
            </w:pPr>
            <w:r>
              <w:rPr>
                <w:rFonts w:ascii="Times New Roman"/>
                <w:sz w:val="18"/>
                <w:szCs w:val="18"/>
              </w:rPr>
              <w:t>1</w:t>
            </w:r>
            <w:r>
              <w:rPr>
                <w:rFonts w:hint="eastAsia" w:ascii="Times New Roman"/>
                <w:sz w:val="18"/>
                <w:szCs w:val="18"/>
              </w:rPr>
              <w:t>0</w:t>
            </w:r>
          </w:p>
        </w:tc>
        <w:tc>
          <w:tcPr>
            <w:tcW w:w="1134" w:type="dxa"/>
            <w:tcBorders>
              <w:left w:val="single" w:color="auto" w:sz="4" w:space="0"/>
              <w:bottom w:val="single" w:color="000000" w:sz="4" w:space="0"/>
            </w:tcBorders>
            <w:vAlign w:val="center"/>
          </w:tcPr>
          <w:p w14:paraId="28D28184">
            <w:pPr>
              <w:pStyle w:val="24"/>
              <w:ind w:firstLine="0" w:firstLineChars="0"/>
              <w:jc w:val="center"/>
              <w:rPr>
                <w:rFonts w:ascii="Times New Roman"/>
                <w:sz w:val="18"/>
                <w:szCs w:val="18"/>
              </w:rPr>
            </w:pPr>
            <w:r>
              <w:rPr>
                <w:rFonts w:ascii="Times New Roman"/>
                <w:sz w:val="18"/>
                <w:szCs w:val="18"/>
              </w:rPr>
              <w:t>10</w:t>
            </w:r>
            <w:r>
              <w:rPr>
                <w:rFonts w:hint="eastAsia" w:ascii="Times New Roman"/>
                <w:sz w:val="18"/>
                <w:szCs w:val="18"/>
                <w:vertAlign w:val="superscript"/>
              </w:rPr>
              <w:t>2</w:t>
            </w:r>
          </w:p>
        </w:tc>
        <w:tc>
          <w:tcPr>
            <w:tcW w:w="2374" w:type="dxa"/>
            <w:tcBorders>
              <w:bottom w:val="single" w:color="000000" w:sz="4" w:space="0"/>
              <w:right w:val="single" w:color="auto" w:sz="12" w:space="0"/>
            </w:tcBorders>
            <w:vAlign w:val="center"/>
          </w:tcPr>
          <w:p w14:paraId="2EBF77E6">
            <w:pPr>
              <w:jc w:val="center"/>
              <w:rPr>
                <w:sz w:val="18"/>
                <w:szCs w:val="18"/>
              </w:rPr>
            </w:pPr>
            <w:r>
              <w:rPr>
                <w:sz w:val="18"/>
                <w:szCs w:val="18"/>
              </w:rPr>
              <w:t>GB 4789.3平板计数法</w:t>
            </w:r>
          </w:p>
        </w:tc>
      </w:tr>
      <w:tr w14:paraId="30DD7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gridSpan w:val="6"/>
            <w:tcBorders>
              <w:left w:val="single" w:color="auto" w:sz="12" w:space="0"/>
              <w:bottom w:val="single" w:color="auto" w:sz="12" w:space="0"/>
              <w:right w:val="single" w:color="auto" w:sz="12" w:space="0"/>
            </w:tcBorders>
            <w:vAlign w:val="center"/>
          </w:tcPr>
          <w:p w14:paraId="59F1EB51">
            <w:pPr>
              <w:rPr>
                <w:sz w:val="18"/>
                <w:szCs w:val="18"/>
              </w:rPr>
            </w:pPr>
            <w:r>
              <w:rPr>
                <w:rFonts w:hint="eastAsia"/>
                <w:sz w:val="18"/>
                <w:szCs w:val="18"/>
              </w:rPr>
              <w:t>注1：</w:t>
            </w:r>
            <w:r>
              <w:rPr>
                <w:sz w:val="18"/>
                <w:szCs w:val="18"/>
                <w:vertAlign w:val="superscript"/>
              </w:rPr>
              <w:t>a</w:t>
            </w:r>
            <w:r>
              <w:rPr>
                <w:sz w:val="18"/>
                <w:szCs w:val="18"/>
              </w:rPr>
              <w:t>样品的采样及处理按GB 4789.1执行。</w:t>
            </w:r>
          </w:p>
        </w:tc>
      </w:tr>
    </w:tbl>
    <w:p w14:paraId="3BC1307C">
      <w:pPr>
        <w:pStyle w:val="58"/>
        <w:spacing w:before="156" w:after="156"/>
        <w:ind w:left="0"/>
      </w:pPr>
      <w:r>
        <w:rPr>
          <w:rFonts w:hint="eastAsia" w:hAnsi="黑体" w:cs="黑体"/>
        </w:rPr>
        <w:t>4</w:t>
      </w:r>
      <w:r>
        <w:rPr>
          <w:rFonts w:hAnsi="黑体" w:cs="黑体"/>
        </w:rPr>
        <w:t>.</w:t>
      </w:r>
      <w:r>
        <w:rPr>
          <w:rFonts w:hint="eastAsia" w:hAnsi="黑体" w:cs="黑体"/>
        </w:rPr>
        <w:t>5  净含量</w:t>
      </w:r>
    </w:p>
    <w:p w14:paraId="7D6DD7D7">
      <w:pPr>
        <w:pStyle w:val="24"/>
        <w:rPr>
          <w:rFonts w:hint="eastAsia" w:ascii="宋体" w:hAnsi="宋体" w:eastAsia="宋体" w:cs="宋体"/>
        </w:rPr>
      </w:pPr>
      <w:r>
        <w:rPr>
          <w:rFonts w:hint="eastAsia" w:ascii="宋体" w:hAnsi="宋体" w:eastAsia="宋体" w:cs="宋体"/>
        </w:rPr>
        <w:t>应符合《定量包装商品计量监督管理办法》的规定。按JJF 1070规定的方法测定。</w:t>
      </w:r>
    </w:p>
    <w:p w14:paraId="79FE484A">
      <w:pPr>
        <w:pStyle w:val="96"/>
        <w:spacing w:before="312" w:after="312"/>
        <w:jc w:val="left"/>
        <w:outlineLvl w:val="0"/>
        <w:rPr>
          <w:rStyle w:val="59"/>
          <w:rFonts w:hint="eastAsia" w:hAnsi="黑体" w:cs="黑体"/>
        </w:rPr>
      </w:pPr>
      <w:bookmarkStart w:id="39" w:name="_Toc8581"/>
      <w:bookmarkStart w:id="40" w:name="_Toc5343"/>
      <w:r>
        <w:rPr>
          <w:rStyle w:val="59"/>
          <w:rFonts w:hint="eastAsia" w:hAnsi="黑体" w:cs="黑体"/>
        </w:rPr>
        <w:t>食品添加剂</w:t>
      </w:r>
      <w:bookmarkEnd w:id="39"/>
      <w:bookmarkEnd w:id="40"/>
    </w:p>
    <w:p w14:paraId="2B284262">
      <w:pPr>
        <w:pStyle w:val="57"/>
        <w:spacing w:before="0" w:beforeLines="0" w:after="0" w:afterLines="0"/>
        <w:ind w:left="0"/>
      </w:pPr>
      <w:r>
        <w:rPr>
          <w:rFonts w:hint="eastAsia" w:ascii="宋体" w:hAnsi="宋体" w:eastAsia="宋体" w:cs="宋体"/>
        </w:rPr>
        <w:t>食品添加剂的质量应符合相应的标准和有关规定</w:t>
      </w:r>
      <w:r>
        <w:rPr>
          <w:rFonts w:hint="eastAsia"/>
        </w:rPr>
        <w:t>。</w:t>
      </w:r>
      <w:bookmarkStart w:id="41" w:name="_Toc254617381"/>
      <w:bookmarkStart w:id="42" w:name="_Toc245600795"/>
      <w:bookmarkStart w:id="43" w:name="_Toc249244574"/>
      <w:bookmarkStart w:id="44" w:name="_Toc245600761"/>
      <w:bookmarkStart w:id="45" w:name="_Toc252795211"/>
      <w:bookmarkStart w:id="46" w:name="_Toc252720855"/>
      <w:bookmarkStart w:id="47" w:name="_Toc184698244"/>
      <w:bookmarkStart w:id="48" w:name="_Toc245600736"/>
    </w:p>
    <w:p w14:paraId="42877B0C">
      <w:pPr>
        <w:pStyle w:val="57"/>
        <w:spacing w:before="0" w:beforeLines="0" w:after="0" w:afterLines="0"/>
        <w:ind w:left="0"/>
      </w:pPr>
      <w:r>
        <w:rPr>
          <w:rFonts w:hint="eastAsia" w:ascii="宋体" w:hAnsi="宋体" w:eastAsia="宋体" w:cs="宋体"/>
        </w:rPr>
        <w:t>食品添加剂的品种和使用量应符合GB 2760及国家相关法律法规的规定。</w:t>
      </w:r>
    </w:p>
    <w:p w14:paraId="62886635">
      <w:pPr>
        <w:pStyle w:val="96"/>
        <w:spacing w:before="312" w:after="312"/>
        <w:jc w:val="left"/>
        <w:outlineLvl w:val="0"/>
        <w:rPr>
          <w:rStyle w:val="59"/>
          <w:rFonts w:hint="eastAsia" w:hAnsi="黑体" w:cs="黑体"/>
        </w:rPr>
      </w:pPr>
      <w:bookmarkStart w:id="49" w:name="_Toc16186"/>
      <w:bookmarkStart w:id="50" w:name="_Toc5892"/>
      <w:r>
        <w:rPr>
          <w:rStyle w:val="59"/>
          <w:rFonts w:hint="eastAsia" w:hAnsi="黑体" w:cs="黑体"/>
        </w:rPr>
        <w:t>生产加工过程的卫生要求</w:t>
      </w:r>
      <w:bookmarkEnd w:id="41"/>
      <w:bookmarkEnd w:id="49"/>
      <w:bookmarkEnd w:id="50"/>
    </w:p>
    <w:p w14:paraId="25C5D9D8">
      <w:pPr>
        <w:pStyle w:val="24"/>
        <w:rPr>
          <w:rFonts w:ascii="Times New Roman"/>
        </w:rPr>
      </w:pPr>
      <w:r>
        <w:rPr>
          <w:rFonts w:ascii="Times New Roman"/>
        </w:rPr>
        <w:t>应符合GB 14881的规定。</w:t>
      </w:r>
    </w:p>
    <w:bookmarkEnd w:id="42"/>
    <w:bookmarkEnd w:id="43"/>
    <w:bookmarkEnd w:id="44"/>
    <w:bookmarkEnd w:id="45"/>
    <w:bookmarkEnd w:id="46"/>
    <w:bookmarkEnd w:id="47"/>
    <w:bookmarkEnd w:id="48"/>
    <w:p w14:paraId="3242FE19">
      <w:pPr>
        <w:widowControl/>
        <w:numPr>
          <w:ilvl w:val="0"/>
          <w:numId w:val="3"/>
        </w:numPr>
        <w:spacing w:before="312" w:beforeLines="100" w:after="312" w:afterLines="100"/>
        <w:jc w:val="left"/>
        <w:outlineLvl w:val="0"/>
      </w:pPr>
      <w:bookmarkStart w:id="51" w:name="_Toc1355"/>
      <w:bookmarkStart w:id="52" w:name="_Toc15577"/>
      <w:bookmarkStart w:id="53" w:name="_Toc165252634"/>
      <w:bookmarkStart w:id="54" w:name="_Toc249244575"/>
      <w:bookmarkStart w:id="55" w:name="_Toc245600796"/>
      <w:bookmarkStart w:id="56" w:name="_Toc184698245"/>
      <w:bookmarkStart w:id="57" w:name="_Toc245600742"/>
      <w:bookmarkStart w:id="58" w:name="_Toc245600762"/>
      <w:bookmarkStart w:id="59" w:name="_Toc254617383"/>
      <w:bookmarkStart w:id="60" w:name="_Toc158525659"/>
      <w:bookmarkStart w:id="61" w:name="_Toc252720856"/>
      <w:bookmarkStart w:id="62" w:name="_Toc252795212"/>
      <w:bookmarkStart w:id="63" w:name="_Toc158521112"/>
      <w:bookmarkStart w:id="64" w:name="_Toc158525658"/>
      <w:r>
        <w:rPr>
          <w:rFonts w:hint="eastAsia" w:ascii="黑体" w:hAnsi="黑体" w:eastAsia="黑体" w:cs="黑体"/>
          <w:kern w:val="0"/>
          <w:szCs w:val="21"/>
        </w:rPr>
        <w:t>检验规则</w:t>
      </w:r>
      <w:bookmarkEnd w:id="51"/>
      <w:bookmarkEnd w:id="52"/>
    </w:p>
    <w:p w14:paraId="4F1ADBA0">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.1  组批</w:t>
      </w:r>
    </w:p>
    <w:p w14:paraId="54685B18">
      <w:pPr>
        <w:widowControl/>
        <w:tabs>
          <w:tab w:val="center" w:pos="4201"/>
          <w:tab w:val="right" w:leader="dot" w:pos="9298"/>
        </w:tabs>
        <w:autoSpaceDE w:val="0"/>
        <w:autoSpaceDN w:val="0"/>
        <w:ind w:firstLine="420" w:firstLineChars="200"/>
        <w:rPr>
          <w:kern w:val="0"/>
          <w:szCs w:val="20"/>
        </w:rPr>
      </w:pPr>
      <w:r>
        <w:rPr>
          <w:rFonts w:hint="eastAsia"/>
        </w:rPr>
        <w:t>同一次投料、</w:t>
      </w:r>
      <w:r>
        <w:rPr>
          <w:rFonts w:hint="eastAsia"/>
          <w:kern w:val="0"/>
          <w:szCs w:val="20"/>
        </w:rPr>
        <w:t>同一班次、同一生产线生产的同一规格包装完好的产品为一批。</w:t>
      </w:r>
    </w:p>
    <w:p w14:paraId="427B9CFB">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 xml:space="preserve">7.2  </w:t>
      </w:r>
      <w:r>
        <w:rPr>
          <w:rFonts w:hint="eastAsia" w:ascii="黑体" w:hAnsi="黑体" w:eastAsia="黑体" w:cs="黑体"/>
          <w:kern w:val="0"/>
          <w:szCs w:val="21"/>
        </w:rPr>
        <w:t>抽样</w:t>
      </w:r>
    </w:p>
    <w:p w14:paraId="1B422D4A">
      <w:pPr>
        <w:widowControl/>
        <w:tabs>
          <w:tab w:val="center" w:pos="4201"/>
          <w:tab w:val="right" w:leader="dot" w:pos="9298"/>
        </w:tabs>
        <w:autoSpaceDE w:val="0"/>
        <w:autoSpaceDN w:val="0"/>
        <w:spacing w:line="300" w:lineRule="exact"/>
        <w:ind w:firstLine="420" w:firstLineChars="200"/>
        <w:rPr>
          <w:kern w:val="0"/>
          <w:szCs w:val="21"/>
        </w:rPr>
      </w:pPr>
      <w:r>
        <w:rPr>
          <w:rFonts w:hint="eastAsia"/>
          <w:kern w:val="0"/>
          <w:szCs w:val="21"/>
        </w:rPr>
        <w:t>每批产品随机抽取，抽样量应为检验所需量的</w:t>
      </w:r>
      <w:r>
        <w:rPr>
          <w:kern w:val="0"/>
          <w:szCs w:val="21"/>
        </w:rPr>
        <w:t>3</w:t>
      </w:r>
      <w:r>
        <w:rPr>
          <w:rFonts w:hint="eastAsia"/>
          <w:kern w:val="0"/>
          <w:szCs w:val="21"/>
        </w:rPr>
        <w:t>倍，作为检验及留样。</w:t>
      </w:r>
    </w:p>
    <w:p w14:paraId="54D03D22">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 xml:space="preserve">7.3  </w:t>
      </w:r>
      <w:r>
        <w:rPr>
          <w:rFonts w:hint="eastAsia" w:ascii="黑体" w:hAnsi="黑体" w:eastAsia="黑体" w:cs="黑体"/>
          <w:kern w:val="0"/>
          <w:szCs w:val="21"/>
        </w:rPr>
        <w:t>检验分类</w:t>
      </w:r>
    </w:p>
    <w:p w14:paraId="53C6259B">
      <w:pPr>
        <w:widowControl/>
        <w:spacing w:before="156" w:beforeLines="50" w:after="156" w:afterLines="50"/>
        <w:jc w:val="left"/>
        <w:outlineLvl w:val="3"/>
        <w:rPr>
          <w:rFonts w:hint="eastAsia" w:ascii="黑体" w:hAnsi="黑体" w:eastAsia="黑体"/>
          <w:kern w:val="0"/>
          <w:szCs w:val="21"/>
        </w:rPr>
      </w:pPr>
      <w:r>
        <w:rPr>
          <w:rFonts w:ascii="黑体" w:hAnsi="黑体" w:eastAsia="黑体"/>
          <w:kern w:val="0"/>
          <w:szCs w:val="21"/>
        </w:rPr>
        <w:t>7</w:t>
      </w:r>
      <w:r>
        <w:rPr>
          <w:rFonts w:hint="eastAsia" w:ascii="黑体" w:hAnsi="黑体" w:eastAsia="黑体"/>
          <w:kern w:val="0"/>
          <w:szCs w:val="21"/>
        </w:rPr>
        <w:t xml:space="preserve">.3.1  </w:t>
      </w:r>
      <w:r>
        <w:rPr>
          <w:rFonts w:hint="eastAsia" w:ascii="黑体" w:hAnsi="黑体" w:eastAsia="黑体" w:cs="黑体"/>
          <w:kern w:val="0"/>
          <w:szCs w:val="21"/>
        </w:rPr>
        <w:t>出厂检验</w:t>
      </w:r>
    </w:p>
    <w:p w14:paraId="739D867E">
      <w:pPr>
        <w:widowControl/>
        <w:jc w:val="left"/>
        <w:outlineLvl w:val="4"/>
        <w:rPr>
          <w:kern w:val="0"/>
          <w:szCs w:val="21"/>
        </w:rPr>
      </w:pPr>
      <w:r>
        <w:rPr>
          <w:rFonts w:hint="eastAsia" w:ascii="黑体" w:hAnsi="黑体" w:eastAsia="黑体" w:cs="黑体"/>
          <w:kern w:val="0"/>
          <w:szCs w:val="21"/>
        </w:rPr>
        <w:t>7.3.1.1</w:t>
      </w:r>
      <w:r>
        <w:rPr>
          <w:kern w:val="0"/>
          <w:szCs w:val="21"/>
        </w:rPr>
        <w:t xml:space="preserve">  </w:t>
      </w:r>
      <w:r>
        <w:rPr>
          <w:rFonts w:hint="eastAsia"/>
          <w:kern w:val="0"/>
          <w:szCs w:val="21"/>
        </w:rPr>
        <w:t>每批产品须经检验，检验合格并附合格证方可出厂。</w:t>
      </w:r>
    </w:p>
    <w:p w14:paraId="7D3D9225">
      <w:pPr>
        <w:widowControl/>
        <w:jc w:val="left"/>
        <w:outlineLvl w:val="4"/>
        <w:rPr>
          <w:kern w:val="0"/>
          <w:szCs w:val="21"/>
        </w:rPr>
      </w:pPr>
      <w:r>
        <w:rPr>
          <w:rFonts w:hint="eastAsia" w:ascii="黑体" w:hAnsi="黑体" w:eastAsia="黑体" w:cs="黑体"/>
          <w:kern w:val="0"/>
          <w:szCs w:val="21"/>
        </w:rPr>
        <w:t>7.3.1.2</w:t>
      </w:r>
      <w:r>
        <w:rPr>
          <w:kern w:val="0"/>
          <w:szCs w:val="21"/>
        </w:rPr>
        <w:t xml:space="preserve">  </w:t>
      </w:r>
      <w:r>
        <w:rPr>
          <w:rFonts w:hint="eastAsia"/>
          <w:kern w:val="0"/>
          <w:szCs w:val="21"/>
        </w:rPr>
        <w:t>出厂检验项目为本文件中全项目检验。</w:t>
      </w:r>
    </w:p>
    <w:p w14:paraId="3E1C97BE">
      <w:pPr>
        <w:widowControl/>
        <w:spacing w:before="156" w:beforeLines="50" w:after="156" w:afterLines="50"/>
        <w:jc w:val="left"/>
        <w:outlineLvl w:val="3"/>
        <w:rPr>
          <w:rFonts w:hint="eastAsia" w:ascii="黑体" w:hAnsi="黑体" w:eastAsia="黑体"/>
          <w:kern w:val="0"/>
          <w:szCs w:val="21"/>
        </w:rPr>
      </w:pPr>
      <w:r>
        <w:rPr>
          <w:rFonts w:ascii="黑体" w:hAnsi="黑体" w:eastAsia="黑体"/>
          <w:kern w:val="0"/>
          <w:szCs w:val="21"/>
        </w:rPr>
        <w:t xml:space="preserve">7.3.2  </w:t>
      </w:r>
      <w:r>
        <w:rPr>
          <w:rFonts w:hint="eastAsia" w:ascii="黑体" w:hAnsi="黑体" w:eastAsia="黑体"/>
          <w:kern w:val="0"/>
          <w:szCs w:val="21"/>
        </w:rPr>
        <w:t>型式检验</w:t>
      </w:r>
    </w:p>
    <w:p w14:paraId="69F62911">
      <w:pPr>
        <w:widowControl/>
        <w:spacing w:before="50" w:after="50" w:line="300" w:lineRule="exact"/>
        <w:jc w:val="left"/>
        <w:outlineLvl w:val="4"/>
        <w:rPr>
          <w:kern w:val="0"/>
          <w:szCs w:val="21"/>
        </w:rPr>
      </w:pPr>
      <w:r>
        <w:rPr>
          <w:rFonts w:hint="eastAsia" w:ascii="黑体" w:hAnsi="黑体" w:eastAsia="黑体" w:cs="黑体"/>
          <w:kern w:val="0"/>
          <w:szCs w:val="21"/>
        </w:rPr>
        <w:t>7.3.2.1</w:t>
      </w:r>
      <w:r>
        <w:rPr>
          <w:kern w:val="0"/>
          <w:szCs w:val="21"/>
        </w:rPr>
        <w:t xml:space="preserve">  </w:t>
      </w:r>
      <w:r>
        <w:rPr>
          <w:rFonts w:hint="eastAsia"/>
          <w:kern w:val="0"/>
          <w:szCs w:val="21"/>
        </w:rPr>
        <w:t>型式检验为本文件的全项目检验。</w:t>
      </w:r>
    </w:p>
    <w:p w14:paraId="2392513C">
      <w:pPr>
        <w:widowControl/>
        <w:spacing w:line="300" w:lineRule="exact"/>
        <w:jc w:val="left"/>
        <w:outlineLvl w:val="4"/>
        <w:rPr>
          <w:kern w:val="0"/>
          <w:szCs w:val="21"/>
        </w:rPr>
      </w:pPr>
      <w:r>
        <w:rPr>
          <w:rFonts w:hint="eastAsia" w:ascii="黑体" w:hAnsi="黑体" w:eastAsia="黑体" w:cs="黑体"/>
          <w:kern w:val="0"/>
          <w:szCs w:val="21"/>
        </w:rPr>
        <w:t>7.3.2.2</w:t>
      </w:r>
      <w:r>
        <w:rPr>
          <w:rFonts w:eastAsia="黑体"/>
          <w:kern w:val="0"/>
          <w:szCs w:val="21"/>
        </w:rPr>
        <w:t xml:space="preserve">  </w:t>
      </w:r>
      <w:r>
        <w:rPr>
          <w:rFonts w:hint="eastAsia"/>
          <w:kern w:val="0"/>
          <w:szCs w:val="21"/>
        </w:rPr>
        <w:t>正常情况下每半年进行一次，发生下列情况之一时也应进行；</w:t>
      </w:r>
    </w:p>
    <w:p w14:paraId="3F433F64">
      <w:pPr>
        <w:widowControl/>
        <w:numPr>
          <w:ilvl w:val="0"/>
          <w:numId w:val="8"/>
        </w:numPr>
        <w:spacing w:line="300" w:lineRule="exact"/>
        <w:rPr>
          <w:kern w:val="0"/>
          <w:szCs w:val="20"/>
        </w:rPr>
      </w:pPr>
      <w:r>
        <w:rPr>
          <w:kern w:val="0"/>
          <w:szCs w:val="20"/>
        </w:rPr>
        <w:t>停产3个月以上</w:t>
      </w:r>
      <w:r>
        <w:rPr>
          <w:rFonts w:hint="eastAsia"/>
          <w:kern w:val="0"/>
          <w:szCs w:val="20"/>
        </w:rPr>
        <w:t>再</w:t>
      </w:r>
      <w:r>
        <w:rPr>
          <w:kern w:val="0"/>
          <w:szCs w:val="20"/>
        </w:rPr>
        <w:t>恢复生产时；</w:t>
      </w:r>
    </w:p>
    <w:p w14:paraId="11E3BBF1">
      <w:pPr>
        <w:widowControl/>
        <w:numPr>
          <w:ilvl w:val="0"/>
          <w:numId w:val="8"/>
        </w:numPr>
        <w:spacing w:line="300" w:lineRule="exact"/>
        <w:rPr>
          <w:kern w:val="0"/>
          <w:szCs w:val="20"/>
        </w:rPr>
      </w:pPr>
      <w:r>
        <w:rPr>
          <w:kern w:val="0"/>
          <w:szCs w:val="20"/>
        </w:rPr>
        <w:t>原</w:t>
      </w:r>
      <w:r>
        <w:rPr>
          <w:rFonts w:hint="eastAsia"/>
          <w:kern w:val="0"/>
          <w:szCs w:val="20"/>
        </w:rPr>
        <w:t>、</w:t>
      </w:r>
      <w:r>
        <w:rPr>
          <w:kern w:val="0"/>
          <w:szCs w:val="20"/>
        </w:rPr>
        <w:t>辅料来源发生变化时；</w:t>
      </w:r>
    </w:p>
    <w:p w14:paraId="68ADD381">
      <w:pPr>
        <w:widowControl/>
        <w:numPr>
          <w:ilvl w:val="0"/>
          <w:numId w:val="8"/>
        </w:numPr>
        <w:spacing w:line="300" w:lineRule="exact"/>
        <w:rPr>
          <w:kern w:val="0"/>
          <w:szCs w:val="20"/>
        </w:rPr>
      </w:pPr>
      <w:r>
        <w:rPr>
          <w:kern w:val="0"/>
          <w:szCs w:val="20"/>
        </w:rPr>
        <w:t>更换主要生</w:t>
      </w:r>
      <w:r>
        <w:rPr>
          <w:rFonts w:hint="eastAsia"/>
          <w:kern w:val="0"/>
          <w:szCs w:val="20"/>
        </w:rPr>
        <w:t>产设备时；</w:t>
      </w:r>
    </w:p>
    <w:p w14:paraId="6F97FC96">
      <w:pPr>
        <w:widowControl/>
        <w:numPr>
          <w:ilvl w:val="0"/>
          <w:numId w:val="8"/>
        </w:numPr>
        <w:spacing w:line="300" w:lineRule="exact"/>
        <w:rPr>
          <w:kern w:val="0"/>
          <w:szCs w:val="20"/>
        </w:rPr>
      </w:pPr>
      <w:r>
        <w:rPr>
          <w:rFonts w:hint="eastAsia"/>
          <w:kern w:val="0"/>
          <w:szCs w:val="20"/>
        </w:rPr>
        <w:t>出厂检验与上次型式检验有差异时</w:t>
      </w:r>
      <w:r>
        <w:rPr>
          <w:kern w:val="0"/>
          <w:szCs w:val="20"/>
        </w:rPr>
        <w:t>；</w:t>
      </w:r>
    </w:p>
    <w:p w14:paraId="34C208F1">
      <w:pPr>
        <w:widowControl/>
        <w:numPr>
          <w:ilvl w:val="0"/>
          <w:numId w:val="8"/>
        </w:numPr>
        <w:spacing w:line="300" w:lineRule="exact"/>
        <w:rPr>
          <w:kern w:val="0"/>
          <w:szCs w:val="21"/>
        </w:rPr>
      </w:pPr>
      <w:r>
        <w:rPr>
          <w:rFonts w:hint="eastAsia"/>
          <w:kern w:val="0"/>
          <w:szCs w:val="20"/>
        </w:rPr>
        <w:t>国家市场监督管理机构提出要求时。</w:t>
      </w:r>
    </w:p>
    <w:p w14:paraId="12DDE889">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 xml:space="preserve">7.4  </w:t>
      </w:r>
      <w:r>
        <w:rPr>
          <w:rFonts w:hint="eastAsia" w:ascii="黑体" w:hAnsi="黑体" w:eastAsia="黑体" w:cs="黑体"/>
          <w:kern w:val="0"/>
          <w:szCs w:val="21"/>
        </w:rPr>
        <w:t>判定规则</w:t>
      </w:r>
    </w:p>
    <w:p w14:paraId="662E8138">
      <w:pPr>
        <w:widowControl/>
        <w:tabs>
          <w:tab w:val="center" w:pos="4201"/>
          <w:tab w:val="right" w:leader="dot" w:pos="9298"/>
        </w:tabs>
        <w:autoSpaceDE w:val="0"/>
        <w:autoSpaceDN w:val="0"/>
        <w:spacing w:line="300" w:lineRule="exact"/>
        <w:ind w:firstLine="420" w:firstLineChars="200"/>
        <w:rPr>
          <w:kern w:val="0"/>
          <w:szCs w:val="21"/>
        </w:rPr>
      </w:pPr>
      <w:r>
        <w:rPr>
          <w:rFonts w:hint="eastAsia"/>
          <w:kern w:val="0"/>
          <w:szCs w:val="21"/>
        </w:rPr>
        <w:t>检验结果中有一项或一项以上指标不符合本文件规定时，应在同一批产品中重新加倍抽样对不合格项目进行复验，若仍有一项不符合时，则该批产品判为不合格。微生物指标不合格不得复检。</w:t>
      </w:r>
    </w:p>
    <w:p w14:paraId="21203D0D">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 xml:space="preserve">7.5  </w:t>
      </w:r>
      <w:r>
        <w:rPr>
          <w:rFonts w:hint="eastAsia" w:ascii="黑体" w:hAnsi="黑体" w:eastAsia="黑体" w:cs="黑体"/>
          <w:kern w:val="0"/>
          <w:szCs w:val="21"/>
        </w:rPr>
        <w:t>仲裁</w:t>
      </w:r>
    </w:p>
    <w:p w14:paraId="6CD2F14A">
      <w:pPr>
        <w:widowControl/>
        <w:tabs>
          <w:tab w:val="center" w:pos="4201"/>
          <w:tab w:val="right" w:leader="dot" w:pos="9298"/>
        </w:tabs>
        <w:autoSpaceDE w:val="0"/>
        <w:autoSpaceDN w:val="0"/>
        <w:spacing w:line="300" w:lineRule="exact"/>
        <w:ind w:firstLine="420" w:firstLineChars="200"/>
        <w:rPr>
          <w:kern w:val="0"/>
          <w:szCs w:val="21"/>
        </w:rPr>
      </w:pPr>
      <w:r>
        <w:rPr>
          <w:rFonts w:hint="eastAsia"/>
          <w:kern w:val="0"/>
          <w:szCs w:val="21"/>
        </w:rPr>
        <w:t>在保质期内，供需双方对产品质量有异议时，经双方协商，可申请相关法定检验机构进行仲裁检验。</w:t>
      </w:r>
    </w:p>
    <w:p w14:paraId="737F8E5A">
      <w:pPr>
        <w:widowControl/>
        <w:numPr>
          <w:ilvl w:val="0"/>
          <w:numId w:val="3"/>
        </w:numPr>
        <w:spacing w:before="312" w:beforeLines="100" w:after="312" w:afterLines="100" w:line="300" w:lineRule="exact"/>
        <w:outlineLvl w:val="0"/>
        <w:rPr>
          <w:rFonts w:hint="eastAsia" w:ascii="黑体" w:hAnsi="黑体" w:eastAsia="黑体" w:cs="黑体"/>
          <w:kern w:val="0"/>
          <w:szCs w:val="20"/>
        </w:rPr>
      </w:pPr>
      <w:bookmarkStart w:id="65" w:name="_Toc28"/>
      <w:bookmarkStart w:id="66" w:name="_Toc25628"/>
      <w:r>
        <w:rPr>
          <w:rFonts w:hint="eastAsia" w:ascii="黑体" w:hAnsi="黑体" w:eastAsia="黑体" w:cs="黑体"/>
          <w:kern w:val="0"/>
          <w:szCs w:val="20"/>
        </w:rPr>
        <w:t>标签、包装、运输、贮存</w:t>
      </w:r>
      <w:bookmarkEnd w:id="65"/>
      <w:bookmarkEnd w:id="66"/>
    </w:p>
    <w:p w14:paraId="7F85173D">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 xml:space="preserve">8.1  </w:t>
      </w:r>
      <w:r>
        <w:rPr>
          <w:rFonts w:hint="eastAsia" w:ascii="黑体" w:hAnsi="黑体" w:eastAsia="黑体" w:cs="黑体"/>
          <w:kern w:val="0"/>
          <w:szCs w:val="21"/>
        </w:rPr>
        <w:t>标签</w:t>
      </w:r>
    </w:p>
    <w:p w14:paraId="2FD98BCD">
      <w:pPr>
        <w:widowControl/>
        <w:tabs>
          <w:tab w:val="center" w:pos="4201"/>
          <w:tab w:val="right" w:leader="dot" w:pos="9298"/>
        </w:tabs>
        <w:autoSpaceDE w:val="0"/>
        <w:autoSpaceDN w:val="0"/>
        <w:spacing w:line="300" w:lineRule="exact"/>
        <w:ind w:firstLine="420" w:firstLineChars="200"/>
        <w:rPr>
          <w:kern w:val="0"/>
          <w:szCs w:val="21"/>
        </w:rPr>
      </w:pPr>
      <w:r>
        <w:rPr>
          <w:rFonts w:hint="eastAsia"/>
          <w:kern w:val="0"/>
          <w:szCs w:val="21"/>
        </w:rPr>
        <w:t>产品标签应符合国家相关法律、法规及GB/T 191、GB 7718、GB 28050的规定。</w:t>
      </w:r>
    </w:p>
    <w:p w14:paraId="47D50F10">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 xml:space="preserve">8.2  </w:t>
      </w:r>
      <w:r>
        <w:rPr>
          <w:rFonts w:hint="eastAsia" w:ascii="黑体" w:hAnsi="黑体" w:eastAsia="黑体" w:cs="黑体"/>
          <w:kern w:val="0"/>
          <w:szCs w:val="21"/>
        </w:rPr>
        <w:t>包装</w:t>
      </w:r>
    </w:p>
    <w:p w14:paraId="53AFBF9D">
      <w:pPr>
        <w:widowControl/>
        <w:jc w:val="left"/>
        <w:outlineLvl w:val="3"/>
        <w:rPr>
          <w:kern w:val="0"/>
          <w:szCs w:val="21"/>
        </w:rPr>
      </w:pPr>
      <w:r>
        <w:rPr>
          <w:rFonts w:hint="eastAsia" w:ascii="黑体" w:hAnsi="黑体" w:eastAsia="黑体" w:cs="黑体"/>
          <w:kern w:val="0"/>
          <w:szCs w:val="21"/>
        </w:rPr>
        <w:t>8.2.1</w:t>
      </w:r>
      <w:r>
        <w:rPr>
          <w:kern w:val="0"/>
          <w:szCs w:val="21"/>
        </w:rPr>
        <w:t xml:space="preserve">  </w:t>
      </w:r>
      <w:r>
        <w:rPr>
          <w:rFonts w:hint="eastAsia"/>
          <w:kern w:val="0"/>
          <w:szCs w:val="21"/>
        </w:rPr>
        <w:t>产品的包装材料应符</w:t>
      </w:r>
      <w:r>
        <w:rPr>
          <w:rFonts w:hint="eastAsia" w:ascii="宋体" w:hAnsi="宋体"/>
          <w:kern w:val="0"/>
          <w:szCs w:val="21"/>
        </w:rPr>
        <w:t>合</w:t>
      </w:r>
      <w:r>
        <w:rPr>
          <w:szCs w:val="20"/>
        </w:rPr>
        <w:t>GB/T 28118</w:t>
      </w:r>
      <w:r>
        <w:rPr>
          <w:rFonts w:hint="eastAsia"/>
          <w:szCs w:val="20"/>
        </w:rPr>
        <w:t>、</w:t>
      </w:r>
      <w:r>
        <w:rPr>
          <w:rFonts w:hint="eastAsia"/>
          <w:color w:val="000000"/>
        </w:rPr>
        <w:t>GB 4806.13</w:t>
      </w:r>
      <w:r>
        <w:rPr>
          <w:rFonts w:hint="eastAsia" w:ascii="宋体" w:hAnsi="宋体"/>
        </w:rPr>
        <w:t>的规定</w:t>
      </w:r>
      <w:r>
        <w:rPr>
          <w:rFonts w:hint="eastAsia"/>
          <w:kern w:val="0"/>
          <w:szCs w:val="21"/>
        </w:rPr>
        <w:t>。</w:t>
      </w:r>
    </w:p>
    <w:p w14:paraId="1856CBF8">
      <w:pPr>
        <w:widowControl/>
        <w:jc w:val="left"/>
        <w:outlineLvl w:val="3"/>
        <w:rPr>
          <w:kern w:val="0"/>
          <w:szCs w:val="21"/>
        </w:rPr>
      </w:pPr>
      <w:r>
        <w:rPr>
          <w:rFonts w:hint="eastAsia" w:ascii="黑体" w:hAnsi="黑体" w:eastAsia="黑体" w:cs="黑体"/>
          <w:kern w:val="0"/>
          <w:szCs w:val="21"/>
        </w:rPr>
        <w:t xml:space="preserve">8.2.2 </w:t>
      </w:r>
      <w:r>
        <w:rPr>
          <w:kern w:val="0"/>
          <w:szCs w:val="21"/>
        </w:rPr>
        <w:t xml:space="preserve"> </w:t>
      </w:r>
      <w:r>
        <w:rPr>
          <w:rFonts w:hint="eastAsia"/>
          <w:kern w:val="0"/>
          <w:szCs w:val="21"/>
        </w:rPr>
        <w:t>包装要求：应封口严密。</w:t>
      </w:r>
    </w:p>
    <w:p w14:paraId="54DBAC14">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 xml:space="preserve">8.3  </w:t>
      </w:r>
      <w:r>
        <w:rPr>
          <w:rFonts w:hint="eastAsia" w:ascii="黑体" w:hAnsi="黑体" w:eastAsia="黑体" w:cs="黑体"/>
          <w:kern w:val="0"/>
          <w:szCs w:val="21"/>
        </w:rPr>
        <w:t>运输</w:t>
      </w:r>
    </w:p>
    <w:p w14:paraId="0A6563F2">
      <w:pPr>
        <w:widowControl/>
        <w:jc w:val="left"/>
        <w:outlineLvl w:val="3"/>
        <w:rPr>
          <w:kern w:val="0"/>
          <w:szCs w:val="21"/>
        </w:rPr>
      </w:pPr>
      <w:r>
        <w:rPr>
          <w:rFonts w:hint="eastAsia" w:ascii="黑体" w:hAnsi="黑体" w:eastAsia="黑体" w:cs="黑体"/>
          <w:kern w:val="0"/>
          <w:szCs w:val="21"/>
        </w:rPr>
        <w:t>8.3.1</w:t>
      </w:r>
      <w:r>
        <w:rPr>
          <w:kern w:val="0"/>
          <w:szCs w:val="21"/>
        </w:rPr>
        <w:t xml:space="preserve">  </w:t>
      </w:r>
      <w:r>
        <w:rPr>
          <w:rFonts w:hint="eastAsia"/>
          <w:kern w:val="0"/>
          <w:szCs w:val="21"/>
        </w:rPr>
        <w:t>运输工具应清洁、无污染，且备有防雨、防晒等设施，严禁与有毒、有害物品混装、混运。</w:t>
      </w:r>
    </w:p>
    <w:p w14:paraId="6EB7E4DF">
      <w:pPr>
        <w:widowControl/>
        <w:jc w:val="left"/>
        <w:outlineLvl w:val="3"/>
        <w:rPr>
          <w:kern w:val="0"/>
          <w:szCs w:val="21"/>
        </w:rPr>
      </w:pPr>
      <w:r>
        <w:rPr>
          <w:rFonts w:hint="eastAsia" w:ascii="黑体" w:hAnsi="黑体" w:eastAsia="黑体" w:cs="黑体"/>
          <w:kern w:val="0"/>
          <w:szCs w:val="21"/>
        </w:rPr>
        <w:t xml:space="preserve">8.3.2 </w:t>
      </w:r>
      <w:r>
        <w:rPr>
          <w:kern w:val="0"/>
          <w:szCs w:val="21"/>
        </w:rPr>
        <w:t xml:space="preserve"> </w:t>
      </w:r>
      <w:r>
        <w:rPr>
          <w:rFonts w:hint="eastAsia"/>
          <w:kern w:val="0"/>
          <w:szCs w:val="21"/>
        </w:rPr>
        <w:t>装卸时应轻放、轻搬，防止包装破损。</w:t>
      </w:r>
    </w:p>
    <w:p w14:paraId="1FD4346D">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 xml:space="preserve">8.4  </w:t>
      </w:r>
      <w:r>
        <w:rPr>
          <w:rFonts w:hint="eastAsia" w:ascii="黑体" w:hAnsi="黑体" w:eastAsia="黑体" w:cs="黑体"/>
          <w:kern w:val="0"/>
          <w:szCs w:val="21"/>
        </w:rPr>
        <w:t>贮存</w:t>
      </w:r>
    </w:p>
    <w:p w14:paraId="2AEC055A">
      <w:pPr>
        <w:widowControl/>
        <w:tabs>
          <w:tab w:val="center" w:pos="4201"/>
          <w:tab w:val="right" w:leader="dot" w:pos="9298"/>
        </w:tabs>
        <w:autoSpaceDE w:val="0"/>
        <w:autoSpaceDN w:val="0"/>
        <w:spacing w:line="300" w:lineRule="exact"/>
        <w:ind w:firstLine="420" w:firstLineChars="200"/>
        <w:rPr>
          <w:kern w:val="0"/>
          <w:szCs w:val="20"/>
        </w:rPr>
      </w:pPr>
      <w:r>
        <w:rPr>
          <w:rFonts w:hint="eastAsia"/>
          <w:kern w:val="0"/>
          <w:szCs w:val="20"/>
        </w:rPr>
        <w:t>仓库必须阴凉、通风、干燥、清洁，有防潮、防鼠、防尘设施，并不得与有毒、有害物品共存放。</w:t>
      </w:r>
    </w:p>
    <w:p w14:paraId="3B9619AC">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 xml:space="preserve">8.5  </w:t>
      </w:r>
      <w:r>
        <w:rPr>
          <w:rFonts w:hint="eastAsia" w:ascii="黑体" w:hAnsi="黑体" w:eastAsia="黑体" w:cs="黑体"/>
          <w:kern w:val="0"/>
          <w:szCs w:val="21"/>
        </w:rPr>
        <w:t>保质期</w:t>
      </w:r>
    </w:p>
    <w:p w14:paraId="2BFB739B">
      <w:pPr>
        <w:pStyle w:val="24"/>
        <w:rPr>
          <w:rFonts w:hint="eastAsia" w:ascii="Times New Roman"/>
          <w:kern w:val="2"/>
          <w:szCs w:val="24"/>
        </w:rPr>
      </w:pPr>
      <w:r>
        <w:rPr>
          <w:rFonts w:hint="eastAsia" w:ascii="Times New Roman"/>
          <w:kern w:val="2"/>
          <w:szCs w:val="24"/>
        </w:rPr>
        <w:t>产品的保质期按标签上标注的保质期执行。</w:t>
      </w:r>
      <w:bookmarkEnd w:id="53"/>
      <w:bookmarkEnd w:id="54"/>
      <w:bookmarkEnd w:id="55"/>
      <w:bookmarkEnd w:id="56"/>
      <w:bookmarkEnd w:id="57"/>
      <w:bookmarkEnd w:id="58"/>
      <w:bookmarkEnd w:id="59"/>
      <w:bookmarkEnd w:id="60"/>
      <w:bookmarkEnd w:id="61"/>
      <w:bookmarkEnd w:id="62"/>
      <w:bookmarkEnd w:id="63"/>
      <w:bookmarkEnd w:id="64"/>
      <w:r>
        <w:rPr>
          <w:rFonts w:hint="eastAsia" w:hAnsi="宋体"/>
          <w:color w:val="000000"/>
          <w:szCs w:val="21"/>
        </w:rPr>
        <mc:AlternateContent>
          <mc:Choice Requires="wps">
            <w:drawing>
              <wp:anchor distT="0" distB="0" distL="114300" distR="114300" simplePos="0" relativeHeight="251665408" behindDoc="0" locked="0" layoutInCell="1" allowOverlap="1">
                <wp:simplePos x="0" y="0"/>
                <wp:positionH relativeFrom="margin">
                  <wp:posOffset>1934845</wp:posOffset>
                </wp:positionH>
                <wp:positionV relativeFrom="paragraph">
                  <wp:posOffset>780415</wp:posOffset>
                </wp:positionV>
                <wp:extent cx="188976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188976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35pt;margin-top:61.45pt;height:0.05pt;width:148.8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dMN6nZAAAACwEAAA8AAAAAAAAAAQAgAAAAIgAAAGRycy9kb3ducmV2Lnht&#10;bFBLAQIUABQAAAAIAIdO4kBFV2GO+AEAAOcDAAAOAAAAAAAAAAEAIAAAACgBAABkcnMvZTJvRG9j&#10;LnhtbFBLBQYAAAAABgAGAFkBAACSBQAAAAA=&#10;">
                <v:fill on="f" focussize="0,0"/>
                <v:stroke weight="1pt" color="#000000" joinstyle="round"/>
                <v:imagedata o:title=""/>
                <o:lock v:ext="edit" aspectratio="f"/>
                <w10:wrap type="square"/>
              </v:line>
            </w:pict>
          </mc:Fallback>
        </mc:AlternateContent>
      </w:r>
    </w:p>
    <w:sectPr>
      <w:headerReference r:id="rId5" w:type="default"/>
      <w:footerReference r:id="rId6" w:type="default"/>
      <w:pgSz w:w="11906" w:h="16838"/>
      <w:pgMar w:top="567" w:right="1134" w:bottom="1134" w:left="1418" w:header="1134"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SSK--GBK1-0">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8F2CA">
    <w:pPr>
      <w:pStyle w:val="10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40665" cy="224155"/>
              <wp:effectExtent l="0" t="3810" r="0" b="635"/>
              <wp:wrapNone/>
              <wp:docPr id="2"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240665" cy="224155"/>
                      </a:xfrm>
                      <a:prstGeom prst="rect">
                        <a:avLst/>
                      </a:prstGeom>
                      <a:noFill/>
                      <a:ln>
                        <a:noFill/>
                      </a:ln>
                    </wps:spPr>
                    <wps:txbx>
                      <w:txbxContent>
                        <w:p w14:paraId="7970A35B">
                          <w:pPr>
                            <w:pStyle w:val="101"/>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7.65pt;width:18.95pt;mso-position-horizontal:right;mso-position-horizontal-relative:margin;mso-wrap-style:none;z-index:251659264;mso-width-relative:page;mso-height-relative:page;" filled="f" stroked="f" coordsize="21600,21600" o:gfxdata="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&#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xG0Z0QAAAAMBAAAPAAAAAAAAAAEAIAAAACIAAABk&#10;cnMvZG93bnJldi54bWxQSwECFAAUAAAACACHTuJA094odA0CAAAFBAAADgAAAAAAAAABACAAAAAg&#10;AQAAZHJzL2Uyb0RvYy54bWxQSwUGAAAAAAYABgBZAQAAnwUAAAAA&#10;">
              <v:fill on="f" focussize="0,0"/>
              <v:stroke on="f"/>
              <v:imagedata o:title=""/>
              <o:lock v:ext="edit" aspectratio="f"/>
              <v:textbox inset="0mm,0mm,0mm,0mm" style="mso-fit-shape-to-text:t;">
                <w:txbxContent>
                  <w:p w14:paraId="7970A35B">
                    <w:pPr>
                      <w:pStyle w:val="10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31473"/>
    </w:sdtPr>
    <w:sdtContent>
      <w:p w14:paraId="68472809">
        <w:pPr>
          <w:pStyle w:val="18"/>
          <w:jc w:val="right"/>
        </w:pPr>
        <w:r>
          <w:fldChar w:fldCharType="begin"/>
        </w:r>
        <w:r>
          <w:instrText xml:space="preserve">PAGE   \* MERGEFORMAT</w:instrText>
        </w:r>
        <w:r>
          <w:fldChar w:fldCharType="separate"/>
        </w:r>
        <w:r>
          <w:rPr>
            <w:lang w:val="zh-CN"/>
          </w:rPr>
          <w:t>4</w:t>
        </w:r>
        <w:r>
          <w:fldChar w:fldCharType="end"/>
        </w:r>
      </w:p>
    </w:sdtContent>
  </w:sdt>
  <w:p w14:paraId="0CD7C5FA">
    <w:pPr>
      <w:pStyle w:val="101"/>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FA7B">
    <w:pPr>
      <w:pStyle w:val="139"/>
    </w:pPr>
    <w:r>
      <w:rPr>
        <w:rFonts w:ascii="Times New Roman"/>
      </w:rPr>
      <w:t>T/JXSYYXH 000</w:t>
    </w:r>
    <w:r>
      <w:rPr>
        <w:rFonts w:hint="eastAsia" w:ascii="Times New Roman"/>
      </w:rPr>
      <w:t>8</w:t>
    </w:r>
    <w:r>
      <w:rPr>
        <w:rFonts w:ascii="Times New Roman"/>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8E8F0">
    <w:pPr>
      <w:pStyle w:val="139"/>
    </w:pPr>
    <w:r>
      <w:rPr>
        <w:rFonts w:ascii="Times New Roman"/>
      </w:rPr>
      <w:t>T/JXSYYXH 000</w:t>
    </w:r>
    <w:r>
      <w:rPr>
        <w:rFonts w:hint="eastAsia" w:ascii="Times New Roman"/>
      </w:rPr>
      <w:t>8</w:t>
    </w:r>
    <w:r>
      <w:rPr>
        <w:rFonts w:ascii="Times New Roman"/>
      </w:rPr>
      <w:t>-202</w:t>
    </w:r>
    <w:r>
      <w:rPr>
        <w:rFonts w:hint="eastAsia" w:ascii="Times New Roma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9"/>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79"/>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1DBF583A"/>
    <w:multiLevelType w:val="multilevel"/>
    <w:tmpl w:val="1DBF583A"/>
    <w:lvl w:ilvl="0" w:tentative="0">
      <w:start w:val="1"/>
      <w:numFmt w:val="decimal"/>
      <w:pStyle w:val="9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3">
    <w:nsid w:val="1FC91163"/>
    <w:multiLevelType w:val="multilevel"/>
    <w:tmpl w:val="1FC91163"/>
    <w:lvl w:ilvl="0" w:tentative="0">
      <w:start w:val="1"/>
      <w:numFmt w:val="decimal"/>
      <w:pStyle w:val="96"/>
      <w:suff w:val="nothing"/>
      <w:lvlText w:val="%1　"/>
      <w:lvlJc w:val="left"/>
      <w:rPr>
        <w:rFonts w:hint="eastAsia" w:ascii="黑体" w:hAnsi="Times New Roman" w:eastAsia="黑体" w:cs="Times New Roman"/>
        <w:b w:val="0"/>
        <w:i w:val="0"/>
        <w:sz w:val="21"/>
        <w:szCs w:val="21"/>
      </w:rPr>
    </w:lvl>
    <w:lvl w:ilvl="1" w:tentative="0">
      <w:start w:val="1"/>
      <w:numFmt w:val="decimal"/>
      <w:pStyle w:val="84"/>
      <w:suff w:val="nothing"/>
      <w:lvlText w:val="%1.%2　"/>
      <w:lvlJc w:val="left"/>
      <w:pPr>
        <w:ind w:left="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7"/>
      <w:suff w:val="nothing"/>
      <w:lvlText w:val="%1.%2.%3　"/>
      <w:lvlJc w:val="left"/>
      <w:pPr>
        <w:ind w:left="2269"/>
      </w:pPr>
      <w:rPr>
        <w:rFonts w:hint="eastAsia" w:ascii="黑体" w:hAnsi="Times New Roman" w:eastAsia="黑体" w:cs="Times New Roman"/>
        <w:b w:val="0"/>
        <w:i w:val="0"/>
        <w:sz w:val="21"/>
      </w:rPr>
    </w:lvl>
    <w:lvl w:ilvl="3" w:tentative="0">
      <w:start w:val="1"/>
      <w:numFmt w:val="decimal"/>
      <w:pStyle w:val="81"/>
      <w:suff w:val="nothing"/>
      <w:lvlText w:val="%1.%2.%3.%4　"/>
      <w:lvlJc w:val="left"/>
      <w:rPr>
        <w:rFonts w:hint="eastAsia" w:ascii="黑体" w:hAnsi="Times New Roman" w:eastAsia="黑体" w:cs="Times New Roman"/>
        <w:b w:val="0"/>
        <w:i w:val="0"/>
        <w:sz w:val="21"/>
      </w:rPr>
    </w:lvl>
    <w:lvl w:ilvl="4" w:tentative="0">
      <w:start w:val="1"/>
      <w:numFmt w:val="decimal"/>
      <w:pStyle w:val="80"/>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A8F7113"/>
    <w:multiLevelType w:val="multilevel"/>
    <w:tmpl w:val="2A8F7113"/>
    <w:lvl w:ilvl="0" w:tentative="0">
      <w:start w:val="1"/>
      <w:numFmt w:val="upperLetter"/>
      <w:pStyle w:val="125"/>
      <w:suff w:val="space"/>
      <w:lvlText w:val="%1"/>
      <w:lvlJc w:val="left"/>
      <w:pPr>
        <w:ind w:left="623" w:hanging="425"/>
      </w:pPr>
      <w:rPr>
        <w:rFonts w:hint="eastAsia" w:cs="Times New Roman"/>
      </w:rPr>
    </w:lvl>
    <w:lvl w:ilvl="1" w:tentative="0">
      <w:start w:val="1"/>
      <w:numFmt w:val="decimal"/>
      <w:pStyle w:val="147"/>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
    <w:nsid w:val="2C5917C3"/>
    <w:multiLevelType w:val="multilevel"/>
    <w:tmpl w:val="2C5917C3"/>
    <w:lvl w:ilvl="0" w:tentative="0">
      <w:start w:val="1"/>
      <w:numFmt w:val="none"/>
      <w:pStyle w:val="141"/>
      <w:suff w:val="nothing"/>
      <w:lvlText w:val="%1——"/>
      <w:lvlJc w:val="left"/>
      <w:pPr>
        <w:ind w:left="833" w:hanging="408"/>
      </w:pPr>
      <w:rPr>
        <w:rFonts w:hint="eastAsia" w:cs="Times New Roman"/>
      </w:rPr>
    </w:lvl>
    <w:lvl w:ilvl="1" w:tentative="0">
      <w:start w:val="1"/>
      <w:numFmt w:val="bullet"/>
      <w:pStyle w:val="115"/>
      <w:lvlText w:val=""/>
      <w:lvlJc w:val="left"/>
      <w:pPr>
        <w:tabs>
          <w:tab w:val="left" w:pos="760"/>
        </w:tabs>
        <w:ind w:left="1264" w:hanging="413"/>
      </w:pPr>
      <w:rPr>
        <w:rFonts w:hint="default" w:ascii="Symbol" w:hAnsi="Symbol"/>
        <w:color w:val="auto"/>
      </w:rPr>
    </w:lvl>
    <w:lvl w:ilvl="2" w:tentative="0">
      <w:start w:val="1"/>
      <w:numFmt w:val="bullet"/>
      <w:pStyle w:val="1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6">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7">
    <w:nsid w:val="44C50F90"/>
    <w:multiLevelType w:val="multilevel"/>
    <w:tmpl w:val="44C50F90"/>
    <w:lvl w:ilvl="0" w:tentative="0">
      <w:start w:val="1"/>
      <w:numFmt w:val="lowerLetter"/>
      <w:pStyle w:val="9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138"/>
      <w:lvlText w:val="%2)"/>
      <w:lvlJc w:val="left"/>
      <w:pPr>
        <w:tabs>
          <w:tab w:val="left" w:pos="1259"/>
        </w:tabs>
        <w:ind w:left="1259" w:hanging="420"/>
      </w:pPr>
      <w:rPr>
        <w:rFonts w:hint="eastAsia" w:ascii="宋体" w:hAnsi="宋体" w:eastAsia="宋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32"/>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ascii="黑体" w:hAnsi="Times New Roman" w:eastAsia="黑体" w:cs="Times New Roman"/>
        <w:b w:val="0"/>
        <w:i w:val="0"/>
        <w:sz w:val="21"/>
      </w:rPr>
    </w:lvl>
    <w:lvl w:ilvl="4" w:tentative="0">
      <w:start w:val="1"/>
      <w:numFmt w:val="lowerLetter"/>
      <w:lvlText w:val="%5)"/>
      <w:lvlJc w:val="left"/>
      <w:pPr>
        <w:tabs>
          <w:tab w:val="left" w:pos="2517"/>
        </w:tabs>
        <w:ind w:left="2517" w:hanging="419"/>
      </w:pPr>
      <w:rPr>
        <w:rFonts w:hint="eastAsia" w:ascii="黑体" w:hAnsi="Times New Roman" w:eastAsia="黑体" w:cs="Times New Roman"/>
        <w:b w:val="0"/>
        <w:i w:val="0"/>
        <w:sz w:val="21"/>
      </w:rPr>
    </w:lvl>
    <w:lvl w:ilvl="5" w:tentative="0">
      <w:start w:val="1"/>
      <w:numFmt w:val="lowerRoman"/>
      <w:lvlText w:val="%6."/>
      <w:lvlJc w:val="right"/>
      <w:pPr>
        <w:tabs>
          <w:tab w:val="left" w:pos="2942"/>
        </w:tabs>
        <w:ind w:left="2937" w:hanging="420"/>
      </w:pPr>
      <w:rPr>
        <w:rFonts w:hint="eastAsia" w:ascii="黑体" w:hAnsi="Times New Roman" w:eastAsia="黑体" w:cs="Times New Roman"/>
        <w:b w:val="0"/>
        <w:i w:val="0"/>
        <w:sz w:val="21"/>
      </w:rPr>
    </w:lvl>
    <w:lvl w:ilvl="6" w:tentative="0">
      <w:start w:val="1"/>
      <w:numFmt w:val="decimal"/>
      <w:lvlText w:val="%7."/>
      <w:lvlJc w:val="left"/>
      <w:pPr>
        <w:tabs>
          <w:tab w:val="left" w:pos="3362"/>
        </w:tabs>
        <w:ind w:left="3356" w:hanging="414"/>
      </w:pPr>
      <w:rPr>
        <w:rFonts w:hint="eastAsia" w:ascii="黑体" w:hAnsi="Times New Roman" w:eastAsia="黑体" w:cs="Times New Roman"/>
        <w:b w:val="0"/>
        <w:i w:val="0"/>
        <w:sz w:val="21"/>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8">
    <w:nsid w:val="557C2AF5"/>
    <w:multiLevelType w:val="multilevel"/>
    <w:tmpl w:val="557C2AF5"/>
    <w:lvl w:ilvl="0" w:tentative="0">
      <w:start w:val="1"/>
      <w:numFmt w:val="decimal"/>
      <w:pStyle w:val="117"/>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9">
    <w:nsid w:val="60B55DC2"/>
    <w:multiLevelType w:val="multilevel"/>
    <w:tmpl w:val="60B55DC2"/>
    <w:lvl w:ilvl="0" w:tentative="0">
      <w:start w:val="1"/>
      <w:numFmt w:val="upperLetter"/>
      <w:pStyle w:val="85"/>
      <w:lvlText w:val="%1"/>
      <w:lvlJc w:val="left"/>
      <w:pPr>
        <w:tabs>
          <w:tab w:val="left" w:pos="0"/>
        </w:tabs>
        <w:ind w:hanging="425"/>
      </w:pPr>
      <w:rPr>
        <w:rFonts w:hint="eastAsia" w:cs="Times New Roman"/>
      </w:rPr>
    </w:lvl>
    <w:lvl w:ilvl="1" w:tentative="0">
      <w:start w:val="1"/>
      <w:numFmt w:val="decimal"/>
      <w:pStyle w:val="127"/>
      <w:suff w:val="nothing"/>
      <w:lvlText w:val="表%1.%2　"/>
      <w:lvlJc w:val="left"/>
      <w:pPr>
        <w:ind w:left="5245"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0">
    <w:nsid w:val="646260FA"/>
    <w:multiLevelType w:val="multilevel"/>
    <w:tmpl w:val="646260FA"/>
    <w:lvl w:ilvl="0" w:tentative="0">
      <w:start w:val="1"/>
      <w:numFmt w:val="decimal"/>
      <w:pStyle w:val="14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657D3FBC"/>
    <w:multiLevelType w:val="multilevel"/>
    <w:tmpl w:val="657D3FBC"/>
    <w:lvl w:ilvl="0" w:tentative="0">
      <w:start w:val="1"/>
      <w:numFmt w:val="upperLetter"/>
      <w:pStyle w:val="88"/>
      <w:suff w:val="nothing"/>
      <w:lvlText w:val="附　录　%1"/>
      <w:lvlJc w:val="left"/>
      <w:pPr>
        <w:ind w:left="7938"/>
      </w:pPr>
      <w:rPr>
        <w:rFonts w:hint="eastAsia" w:ascii="黑体" w:hAnsi="Times New Roman" w:eastAsia="黑体" w:cs="Times New Roman"/>
        <w:b w:val="0"/>
        <w:i w:val="0"/>
        <w:spacing w:val="0"/>
        <w:w w:val="100"/>
        <w:sz w:val="21"/>
      </w:rPr>
    </w:lvl>
    <w:lvl w:ilvl="1" w:tentative="0">
      <w:start w:val="1"/>
      <w:numFmt w:val="decimal"/>
      <w:pStyle w:val="114"/>
      <w:suff w:val="nothing"/>
      <w:lvlText w:val="%1.%2　"/>
      <w:lvlJc w:val="left"/>
      <w:pPr>
        <w:ind w:left="3402"/>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3360"/>
        </w:tabs>
        <w:ind w:left="3360" w:hanging="1418"/>
      </w:pPr>
      <w:rPr>
        <w:rFonts w:hint="eastAsia" w:cs="Times New Roman"/>
      </w:rPr>
    </w:lvl>
    <w:lvl w:ilvl="8" w:tentative="0">
      <w:start w:val="1"/>
      <w:numFmt w:val="decimal"/>
      <w:lvlText w:val="%1.%2.%3.%4.%5.%6.%7.%8.%9"/>
      <w:lvlJc w:val="left"/>
      <w:pPr>
        <w:tabs>
          <w:tab w:val="left" w:pos="4068"/>
        </w:tabs>
        <w:ind w:left="4068" w:hanging="1700"/>
      </w:pPr>
      <w:rPr>
        <w:rFonts w:hint="eastAsia" w:cs="Times New Roman"/>
      </w:rPr>
    </w:lvl>
  </w:abstractNum>
  <w:abstractNum w:abstractNumId="12">
    <w:nsid w:val="6D6C07CD"/>
    <w:multiLevelType w:val="multilevel"/>
    <w:tmpl w:val="6D6C07CD"/>
    <w:lvl w:ilvl="0" w:tentative="0">
      <w:start w:val="1"/>
      <w:numFmt w:val="lowerLetter"/>
      <w:pStyle w:val="8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6"/>
  </w:num>
  <w:num w:numId="2">
    <w:abstractNumId w:val="8"/>
  </w:num>
  <w:num w:numId="3">
    <w:abstractNumId w:val="3"/>
  </w:num>
  <w:num w:numId="4">
    <w:abstractNumId w:val="1"/>
  </w:num>
  <w:num w:numId="5">
    <w:abstractNumId w:val="9"/>
  </w:num>
  <w:num w:numId="6">
    <w:abstractNumId w:val="12"/>
  </w:num>
  <w:num w:numId="7">
    <w:abstractNumId w:val="11"/>
  </w:num>
  <w:num w:numId="8">
    <w:abstractNumId w:val="7"/>
  </w:num>
  <w:num w:numId="9">
    <w:abstractNumId w:val="2"/>
  </w:num>
  <w:num w:numId="10">
    <w:abstractNumId w:val="0"/>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NjdlYzQwMGFjNzE1ZjQ2ZDI2NzVhODkwNTQxYTgifQ=="/>
  </w:docVars>
  <w:rsids>
    <w:rsidRoot w:val="00B136C9"/>
    <w:rsid w:val="0001089F"/>
    <w:rsid w:val="00010CD1"/>
    <w:rsid w:val="00011559"/>
    <w:rsid w:val="00011EE7"/>
    <w:rsid w:val="000131E6"/>
    <w:rsid w:val="0002171F"/>
    <w:rsid w:val="00026BA4"/>
    <w:rsid w:val="00027763"/>
    <w:rsid w:val="00035433"/>
    <w:rsid w:val="00042C75"/>
    <w:rsid w:val="00050BD8"/>
    <w:rsid w:val="0005551F"/>
    <w:rsid w:val="0006552C"/>
    <w:rsid w:val="00066166"/>
    <w:rsid w:val="00072BFC"/>
    <w:rsid w:val="00074C23"/>
    <w:rsid w:val="000758DD"/>
    <w:rsid w:val="00080DB0"/>
    <w:rsid w:val="00081E97"/>
    <w:rsid w:val="0008232B"/>
    <w:rsid w:val="00082D22"/>
    <w:rsid w:val="000867E8"/>
    <w:rsid w:val="00091A75"/>
    <w:rsid w:val="000A18DD"/>
    <w:rsid w:val="000B2E4E"/>
    <w:rsid w:val="000C0B6F"/>
    <w:rsid w:val="000C607D"/>
    <w:rsid w:val="000C6663"/>
    <w:rsid w:val="000C7741"/>
    <w:rsid w:val="000D0CC4"/>
    <w:rsid w:val="000D1F02"/>
    <w:rsid w:val="000D2CBC"/>
    <w:rsid w:val="000E2B29"/>
    <w:rsid w:val="000F30D1"/>
    <w:rsid w:val="000F3DEB"/>
    <w:rsid w:val="000F3EBA"/>
    <w:rsid w:val="000F69BF"/>
    <w:rsid w:val="00100680"/>
    <w:rsid w:val="00101E6F"/>
    <w:rsid w:val="00104266"/>
    <w:rsid w:val="00106841"/>
    <w:rsid w:val="00107E55"/>
    <w:rsid w:val="001149C9"/>
    <w:rsid w:val="00122394"/>
    <w:rsid w:val="00125B27"/>
    <w:rsid w:val="001268AF"/>
    <w:rsid w:val="0013154A"/>
    <w:rsid w:val="001349E9"/>
    <w:rsid w:val="00134B87"/>
    <w:rsid w:val="00136F12"/>
    <w:rsid w:val="00145083"/>
    <w:rsid w:val="00147DDB"/>
    <w:rsid w:val="001523A9"/>
    <w:rsid w:val="00157B10"/>
    <w:rsid w:val="00163BFA"/>
    <w:rsid w:val="00164E46"/>
    <w:rsid w:val="00165B09"/>
    <w:rsid w:val="00165CB4"/>
    <w:rsid w:val="00175140"/>
    <w:rsid w:val="00175460"/>
    <w:rsid w:val="001763B8"/>
    <w:rsid w:val="001773A3"/>
    <w:rsid w:val="00180653"/>
    <w:rsid w:val="00182541"/>
    <w:rsid w:val="00190595"/>
    <w:rsid w:val="00191255"/>
    <w:rsid w:val="00192E0D"/>
    <w:rsid w:val="00192F12"/>
    <w:rsid w:val="00194930"/>
    <w:rsid w:val="00197C97"/>
    <w:rsid w:val="001A35F0"/>
    <w:rsid w:val="001A3E44"/>
    <w:rsid w:val="001A7573"/>
    <w:rsid w:val="001B6332"/>
    <w:rsid w:val="001C09B6"/>
    <w:rsid w:val="001C4E64"/>
    <w:rsid w:val="001C6A75"/>
    <w:rsid w:val="001C6BB8"/>
    <w:rsid w:val="001C780E"/>
    <w:rsid w:val="001D0534"/>
    <w:rsid w:val="001D3F1C"/>
    <w:rsid w:val="001D43FA"/>
    <w:rsid w:val="001D71FB"/>
    <w:rsid w:val="001E0FB0"/>
    <w:rsid w:val="001E1839"/>
    <w:rsid w:val="001E5F93"/>
    <w:rsid w:val="001F1DEF"/>
    <w:rsid w:val="001F41E6"/>
    <w:rsid w:val="001F62D6"/>
    <w:rsid w:val="00201199"/>
    <w:rsid w:val="0020249C"/>
    <w:rsid w:val="00205382"/>
    <w:rsid w:val="002054CB"/>
    <w:rsid w:val="002065FB"/>
    <w:rsid w:val="002070FB"/>
    <w:rsid w:val="00207599"/>
    <w:rsid w:val="00217BCA"/>
    <w:rsid w:val="00223C51"/>
    <w:rsid w:val="00227176"/>
    <w:rsid w:val="0023030E"/>
    <w:rsid w:val="002319DF"/>
    <w:rsid w:val="00231D03"/>
    <w:rsid w:val="00232C38"/>
    <w:rsid w:val="00233A90"/>
    <w:rsid w:val="0023457F"/>
    <w:rsid w:val="00237081"/>
    <w:rsid w:val="0023794E"/>
    <w:rsid w:val="0024184A"/>
    <w:rsid w:val="00243C14"/>
    <w:rsid w:val="00243E89"/>
    <w:rsid w:val="00251ACA"/>
    <w:rsid w:val="00256A13"/>
    <w:rsid w:val="002604DD"/>
    <w:rsid w:val="00264186"/>
    <w:rsid w:val="00265836"/>
    <w:rsid w:val="002665D6"/>
    <w:rsid w:val="00267513"/>
    <w:rsid w:val="002708A4"/>
    <w:rsid w:val="002738C6"/>
    <w:rsid w:val="002751FC"/>
    <w:rsid w:val="00280EE1"/>
    <w:rsid w:val="00290719"/>
    <w:rsid w:val="00292778"/>
    <w:rsid w:val="00293A6E"/>
    <w:rsid w:val="002940B3"/>
    <w:rsid w:val="002A00D8"/>
    <w:rsid w:val="002A37BA"/>
    <w:rsid w:val="002A55A3"/>
    <w:rsid w:val="002B3CE5"/>
    <w:rsid w:val="002B4397"/>
    <w:rsid w:val="002C0EE8"/>
    <w:rsid w:val="002C3D28"/>
    <w:rsid w:val="002C54D7"/>
    <w:rsid w:val="002C63F3"/>
    <w:rsid w:val="002C76FF"/>
    <w:rsid w:val="002C7E8D"/>
    <w:rsid w:val="002D03F5"/>
    <w:rsid w:val="002D3E46"/>
    <w:rsid w:val="002D6DC4"/>
    <w:rsid w:val="002E1D35"/>
    <w:rsid w:val="002E40ED"/>
    <w:rsid w:val="002E42BE"/>
    <w:rsid w:val="002E5B0E"/>
    <w:rsid w:val="002E7B7E"/>
    <w:rsid w:val="002E7F97"/>
    <w:rsid w:val="002F1467"/>
    <w:rsid w:val="002F4CFF"/>
    <w:rsid w:val="002F68F5"/>
    <w:rsid w:val="003012A8"/>
    <w:rsid w:val="0031041A"/>
    <w:rsid w:val="00313442"/>
    <w:rsid w:val="00315F84"/>
    <w:rsid w:val="00317565"/>
    <w:rsid w:val="003210C1"/>
    <w:rsid w:val="00332C5F"/>
    <w:rsid w:val="003355E1"/>
    <w:rsid w:val="00336FDB"/>
    <w:rsid w:val="00337FEF"/>
    <w:rsid w:val="00342D21"/>
    <w:rsid w:val="003442CB"/>
    <w:rsid w:val="00351C7A"/>
    <w:rsid w:val="0035219D"/>
    <w:rsid w:val="00352BC8"/>
    <w:rsid w:val="003531F1"/>
    <w:rsid w:val="00356397"/>
    <w:rsid w:val="00357E3A"/>
    <w:rsid w:val="00371EE4"/>
    <w:rsid w:val="00374678"/>
    <w:rsid w:val="00374FBC"/>
    <w:rsid w:val="00381AEC"/>
    <w:rsid w:val="0038299A"/>
    <w:rsid w:val="003852C2"/>
    <w:rsid w:val="003935A9"/>
    <w:rsid w:val="003A0AB7"/>
    <w:rsid w:val="003A556C"/>
    <w:rsid w:val="003A55ED"/>
    <w:rsid w:val="003B0329"/>
    <w:rsid w:val="003C2C16"/>
    <w:rsid w:val="003D0B27"/>
    <w:rsid w:val="003D3AE1"/>
    <w:rsid w:val="003D61F7"/>
    <w:rsid w:val="003E1993"/>
    <w:rsid w:val="003E3176"/>
    <w:rsid w:val="003E5C76"/>
    <w:rsid w:val="003F2E9A"/>
    <w:rsid w:val="003F5C65"/>
    <w:rsid w:val="003F6609"/>
    <w:rsid w:val="003F72EE"/>
    <w:rsid w:val="00400BEE"/>
    <w:rsid w:val="00402F5C"/>
    <w:rsid w:val="004037B3"/>
    <w:rsid w:val="004044DB"/>
    <w:rsid w:val="00404E82"/>
    <w:rsid w:val="00407E4F"/>
    <w:rsid w:val="00414120"/>
    <w:rsid w:val="00415E76"/>
    <w:rsid w:val="004171F2"/>
    <w:rsid w:val="00417369"/>
    <w:rsid w:val="004235E5"/>
    <w:rsid w:val="004259F3"/>
    <w:rsid w:val="004305CD"/>
    <w:rsid w:val="00437546"/>
    <w:rsid w:val="00437715"/>
    <w:rsid w:val="00440B47"/>
    <w:rsid w:val="00440E3A"/>
    <w:rsid w:val="0044280E"/>
    <w:rsid w:val="004542DF"/>
    <w:rsid w:val="00460F98"/>
    <w:rsid w:val="00462958"/>
    <w:rsid w:val="00462F3B"/>
    <w:rsid w:val="00466E6E"/>
    <w:rsid w:val="004673F8"/>
    <w:rsid w:val="00467D3D"/>
    <w:rsid w:val="00472951"/>
    <w:rsid w:val="00473C4F"/>
    <w:rsid w:val="004740DD"/>
    <w:rsid w:val="004761AB"/>
    <w:rsid w:val="00477CE0"/>
    <w:rsid w:val="00485239"/>
    <w:rsid w:val="00485762"/>
    <w:rsid w:val="004913D7"/>
    <w:rsid w:val="004A10DE"/>
    <w:rsid w:val="004A11D4"/>
    <w:rsid w:val="004A4FE9"/>
    <w:rsid w:val="004B05A1"/>
    <w:rsid w:val="004B4458"/>
    <w:rsid w:val="004B5830"/>
    <w:rsid w:val="004B6697"/>
    <w:rsid w:val="004B67FC"/>
    <w:rsid w:val="004C580D"/>
    <w:rsid w:val="004D17FF"/>
    <w:rsid w:val="004D3CAE"/>
    <w:rsid w:val="004D4C11"/>
    <w:rsid w:val="004D79A6"/>
    <w:rsid w:val="004E02E5"/>
    <w:rsid w:val="004E27C2"/>
    <w:rsid w:val="004E2B6B"/>
    <w:rsid w:val="004E2E46"/>
    <w:rsid w:val="004E4B73"/>
    <w:rsid w:val="004E7AD6"/>
    <w:rsid w:val="004F39B6"/>
    <w:rsid w:val="004F567D"/>
    <w:rsid w:val="004F60BB"/>
    <w:rsid w:val="004F7526"/>
    <w:rsid w:val="00502839"/>
    <w:rsid w:val="00503560"/>
    <w:rsid w:val="00507A1D"/>
    <w:rsid w:val="005109E1"/>
    <w:rsid w:val="005126E8"/>
    <w:rsid w:val="005141FB"/>
    <w:rsid w:val="0051442F"/>
    <w:rsid w:val="00523A36"/>
    <w:rsid w:val="00534FDE"/>
    <w:rsid w:val="0054195D"/>
    <w:rsid w:val="0054575C"/>
    <w:rsid w:val="005524A5"/>
    <w:rsid w:val="005629BB"/>
    <w:rsid w:val="00566D60"/>
    <w:rsid w:val="0056700E"/>
    <w:rsid w:val="005724DF"/>
    <w:rsid w:val="00577F85"/>
    <w:rsid w:val="00581C82"/>
    <w:rsid w:val="00587C32"/>
    <w:rsid w:val="00595887"/>
    <w:rsid w:val="00596487"/>
    <w:rsid w:val="00596F05"/>
    <w:rsid w:val="005A0C26"/>
    <w:rsid w:val="005A268E"/>
    <w:rsid w:val="005A3A56"/>
    <w:rsid w:val="005A72E7"/>
    <w:rsid w:val="005A7B45"/>
    <w:rsid w:val="005B0D6E"/>
    <w:rsid w:val="005B2147"/>
    <w:rsid w:val="005D0737"/>
    <w:rsid w:val="005D72F7"/>
    <w:rsid w:val="005E7933"/>
    <w:rsid w:val="005F0294"/>
    <w:rsid w:val="005F4AC3"/>
    <w:rsid w:val="00606275"/>
    <w:rsid w:val="006162D2"/>
    <w:rsid w:val="00616BFF"/>
    <w:rsid w:val="0061733F"/>
    <w:rsid w:val="00617C41"/>
    <w:rsid w:val="0063231F"/>
    <w:rsid w:val="006329F8"/>
    <w:rsid w:val="0063361C"/>
    <w:rsid w:val="00634C45"/>
    <w:rsid w:val="006357C7"/>
    <w:rsid w:val="00641340"/>
    <w:rsid w:val="006413DB"/>
    <w:rsid w:val="0064143F"/>
    <w:rsid w:val="00650D46"/>
    <w:rsid w:val="00653797"/>
    <w:rsid w:val="00655F28"/>
    <w:rsid w:val="00656367"/>
    <w:rsid w:val="0066365A"/>
    <w:rsid w:val="00664F44"/>
    <w:rsid w:val="00665719"/>
    <w:rsid w:val="00670498"/>
    <w:rsid w:val="00670A4C"/>
    <w:rsid w:val="00673722"/>
    <w:rsid w:val="006749F3"/>
    <w:rsid w:val="00677520"/>
    <w:rsid w:val="006777AD"/>
    <w:rsid w:val="00682C99"/>
    <w:rsid w:val="00691EF1"/>
    <w:rsid w:val="00695A56"/>
    <w:rsid w:val="00697ECE"/>
    <w:rsid w:val="006A3600"/>
    <w:rsid w:val="006B50B1"/>
    <w:rsid w:val="006B5B40"/>
    <w:rsid w:val="006C78EB"/>
    <w:rsid w:val="006D23F7"/>
    <w:rsid w:val="006D672B"/>
    <w:rsid w:val="006D6919"/>
    <w:rsid w:val="006D7459"/>
    <w:rsid w:val="006D7C95"/>
    <w:rsid w:val="006E22AB"/>
    <w:rsid w:val="006F371F"/>
    <w:rsid w:val="006F3E0D"/>
    <w:rsid w:val="006F64A4"/>
    <w:rsid w:val="007063F6"/>
    <w:rsid w:val="0071488E"/>
    <w:rsid w:val="007161FE"/>
    <w:rsid w:val="007174EC"/>
    <w:rsid w:val="00721BF5"/>
    <w:rsid w:val="00731F0F"/>
    <w:rsid w:val="0073409F"/>
    <w:rsid w:val="0073419F"/>
    <w:rsid w:val="007351DF"/>
    <w:rsid w:val="007441B0"/>
    <w:rsid w:val="00746FBB"/>
    <w:rsid w:val="00752156"/>
    <w:rsid w:val="00753148"/>
    <w:rsid w:val="0075338F"/>
    <w:rsid w:val="00755371"/>
    <w:rsid w:val="00760835"/>
    <w:rsid w:val="00765290"/>
    <w:rsid w:val="00766B0D"/>
    <w:rsid w:val="00767DEA"/>
    <w:rsid w:val="00774959"/>
    <w:rsid w:val="007862CF"/>
    <w:rsid w:val="007939B6"/>
    <w:rsid w:val="0079555B"/>
    <w:rsid w:val="007A12FC"/>
    <w:rsid w:val="007A4042"/>
    <w:rsid w:val="007A40FF"/>
    <w:rsid w:val="007A7393"/>
    <w:rsid w:val="007B1377"/>
    <w:rsid w:val="007B58C9"/>
    <w:rsid w:val="007B775A"/>
    <w:rsid w:val="007D093E"/>
    <w:rsid w:val="007D140A"/>
    <w:rsid w:val="007D77E2"/>
    <w:rsid w:val="007D7FAE"/>
    <w:rsid w:val="007E6667"/>
    <w:rsid w:val="007F019E"/>
    <w:rsid w:val="007F2A67"/>
    <w:rsid w:val="007F6738"/>
    <w:rsid w:val="007F6859"/>
    <w:rsid w:val="007F6E4C"/>
    <w:rsid w:val="007F6F48"/>
    <w:rsid w:val="00807272"/>
    <w:rsid w:val="00811757"/>
    <w:rsid w:val="00822460"/>
    <w:rsid w:val="00823BC2"/>
    <w:rsid w:val="008263E7"/>
    <w:rsid w:val="0083079D"/>
    <w:rsid w:val="00831B14"/>
    <w:rsid w:val="00836E6C"/>
    <w:rsid w:val="00840546"/>
    <w:rsid w:val="00842101"/>
    <w:rsid w:val="00842725"/>
    <w:rsid w:val="00844B38"/>
    <w:rsid w:val="00846674"/>
    <w:rsid w:val="008510FB"/>
    <w:rsid w:val="008624A4"/>
    <w:rsid w:val="008653A9"/>
    <w:rsid w:val="00871889"/>
    <w:rsid w:val="0087206C"/>
    <w:rsid w:val="008721F7"/>
    <w:rsid w:val="00873A41"/>
    <w:rsid w:val="008773F5"/>
    <w:rsid w:val="008804CA"/>
    <w:rsid w:val="00881D07"/>
    <w:rsid w:val="008829EB"/>
    <w:rsid w:val="00882FED"/>
    <w:rsid w:val="00885D3C"/>
    <w:rsid w:val="00886254"/>
    <w:rsid w:val="008864AF"/>
    <w:rsid w:val="00886A9D"/>
    <w:rsid w:val="008978C1"/>
    <w:rsid w:val="008A04EA"/>
    <w:rsid w:val="008A2A29"/>
    <w:rsid w:val="008B116C"/>
    <w:rsid w:val="008B2D64"/>
    <w:rsid w:val="008B358B"/>
    <w:rsid w:val="008B4DDA"/>
    <w:rsid w:val="008C343D"/>
    <w:rsid w:val="008C4D9B"/>
    <w:rsid w:val="008C5EF4"/>
    <w:rsid w:val="008C787A"/>
    <w:rsid w:val="008D4ABD"/>
    <w:rsid w:val="008D4B62"/>
    <w:rsid w:val="008D4DEE"/>
    <w:rsid w:val="008F331B"/>
    <w:rsid w:val="008F431B"/>
    <w:rsid w:val="008F664D"/>
    <w:rsid w:val="00912FC3"/>
    <w:rsid w:val="00913370"/>
    <w:rsid w:val="00916062"/>
    <w:rsid w:val="00924008"/>
    <w:rsid w:val="0094351A"/>
    <w:rsid w:val="00954CC9"/>
    <w:rsid w:val="00960D76"/>
    <w:rsid w:val="009616BA"/>
    <w:rsid w:val="00961A02"/>
    <w:rsid w:val="00965CB8"/>
    <w:rsid w:val="009670F8"/>
    <w:rsid w:val="00967A23"/>
    <w:rsid w:val="00976EBB"/>
    <w:rsid w:val="00977895"/>
    <w:rsid w:val="009800C6"/>
    <w:rsid w:val="009831B8"/>
    <w:rsid w:val="00993ABE"/>
    <w:rsid w:val="009949DB"/>
    <w:rsid w:val="009A0D50"/>
    <w:rsid w:val="009B1CB2"/>
    <w:rsid w:val="009B4E4E"/>
    <w:rsid w:val="009B6EDF"/>
    <w:rsid w:val="009D07F5"/>
    <w:rsid w:val="009D2F5F"/>
    <w:rsid w:val="009D7621"/>
    <w:rsid w:val="009E334F"/>
    <w:rsid w:val="009E651F"/>
    <w:rsid w:val="009E707D"/>
    <w:rsid w:val="009E71AA"/>
    <w:rsid w:val="009F1C71"/>
    <w:rsid w:val="00A02F09"/>
    <w:rsid w:val="00A03DDD"/>
    <w:rsid w:val="00A05AEE"/>
    <w:rsid w:val="00A0765C"/>
    <w:rsid w:val="00A130FB"/>
    <w:rsid w:val="00A14F3F"/>
    <w:rsid w:val="00A158C5"/>
    <w:rsid w:val="00A20B1C"/>
    <w:rsid w:val="00A2343F"/>
    <w:rsid w:val="00A24A00"/>
    <w:rsid w:val="00A25728"/>
    <w:rsid w:val="00A36D7B"/>
    <w:rsid w:val="00A37D02"/>
    <w:rsid w:val="00A4589B"/>
    <w:rsid w:val="00A45DAA"/>
    <w:rsid w:val="00A47663"/>
    <w:rsid w:val="00A566EC"/>
    <w:rsid w:val="00A60B90"/>
    <w:rsid w:val="00A65484"/>
    <w:rsid w:val="00A66646"/>
    <w:rsid w:val="00A70F68"/>
    <w:rsid w:val="00A737D3"/>
    <w:rsid w:val="00A77887"/>
    <w:rsid w:val="00A83716"/>
    <w:rsid w:val="00A92ACB"/>
    <w:rsid w:val="00A93CC8"/>
    <w:rsid w:val="00A95753"/>
    <w:rsid w:val="00AA0A17"/>
    <w:rsid w:val="00AA60BB"/>
    <w:rsid w:val="00AA73D5"/>
    <w:rsid w:val="00AB0592"/>
    <w:rsid w:val="00AB1B72"/>
    <w:rsid w:val="00AB31D9"/>
    <w:rsid w:val="00AB4A38"/>
    <w:rsid w:val="00AB6054"/>
    <w:rsid w:val="00AC342E"/>
    <w:rsid w:val="00AD22EE"/>
    <w:rsid w:val="00AE2519"/>
    <w:rsid w:val="00AE2775"/>
    <w:rsid w:val="00AE4199"/>
    <w:rsid w:val="00AE7CC3"/>
    <w:rsid w:val="00AF0762"/>
    <w:rsid w:val="00AF6098"/>
    <w:rsid w:val="00AF6FE6"/>
    <w:rsid w:val="00B03AAB"/>
    <w:rsid w:val="00B04312"/>
    <w:rsid w:val="00B049F5"/>
    <w:rsid w:val="00B05140"/>
    <w:rsid w:val="00B06DD4"/>
    <w:rsid w:val="00B136C9"/>
    <w:rsid w:val="00B17958"/>
    <w:rsid w:val="00B20097"/>
    <w:rsid w:val="00B21BE1"/>
    <w:rsid w:val="00B23E60"/>
    <w:rsid w:val="00B24B50"/>
    <w:rsid w:val="00B27AA9"/>
    <w:rsid w:val="00B3401D"/>
    <w:rsid w:val="00B34C94"/>
    <w:rsid w:val="00B36950"/>
    <w:rsid w:val="00B50676"/>
    <w:rsid w:val="00B5401B"/>
    <w:rsid w:val="00B54811"/>
    <w:rsid w:val="00B81A2E"/>
    <w:rsid w:val="00B85347"/>
    <w:rsid w:val="00B87909"/>
    <w:rsid w:val="00B92718"/>
    <w:rsid w:val="00B93562"/>
    <w:rsid w:val="00B96A57"/>
    <w:rsid w:val="00BA5358"/>
    <w:rsid w:val="00BA62D5"/>
    <w:rsid w:val="00BB023D"/>
    <w:rsid w:val="00BC2321"/>
    <w:rsid w:val="00BC2B18"/>
    <w:rsid w:val="00BC32EE"/>
    <w:rsid w:val="00BC3EE2"/>
    <w:rsid w:val="00BC687E"/>
    <w:rsid w:val="00BD05ED"/>
    <w:rsid w:val="00BD2210"/>
    <w:rsid w:val="00BE0788"/>
    <w:rsid w:val="00BE0987"/>
    <w:rsid w:val="00BE0F95"/>
    <w:rsid w:val="00BE103A"/>
    <w:rsid w:val="00BE1058"/>
    <w:rsid w:val="00BE38AD"/>
    <w:rsid w:val="00C122CC"/>
    <w:rsid w:val="00C22748"/>
    <w:rsid w:val="00C25106"/>
    <w:rsid w:val="00C301C2"/>
    <w:rsid w:val="00C31C52"/>
    <w:rsid w:val="00C32367"/>
    <w:rsid w:val="00C338A4"/>
    <w:rsid w:val="00C338E4"/>
    <w:rsid w:val="00C42CCA"/>
    <w:rsid w:val="00C45A4C"/>
    <w:rsid w:val="00C46EA1"/>
    <w:rsid w:val="00C514CA"/>
    <w:rsid w:val="00C52A98"/>
    <w:rsid w:val="00C555E4"/>
    <w:rsid w:val="00C662FC"/>
    <w:rsid w:val="00C760F0"/>
    <w:rsid w:val="00C90871"/>
    <w:rsid w:val="00C9502B"/>
    <w:rsid w:val="00CA32D2"/>
    <w:rsid w:val="00CA3756"/>
    <w:rsid w:val="00CA3987"/>
    <w:rsid w:val="00CA5473"/>
    <w:rsid w:val="00CA6518"/>
    <w:rsid w:val="00CA6D13"/>
    <w:rsid w:val="00CB2AE9"/>
    <w:rsid w:val="00CB3274"/>
    <w:rsid w:val="00CB5CCD"/>
    <w:rsid w:val="00CB64AD"/>
    <w:rsid w:val="00CB794C"/>
    <w:rsid w:val="00CB7F49"/>
    <w:rsid w:val="00CC4B2C"/>
    <w:rsid w:val="00CC5D6A"/>
    <w:rsid w:val="00CC5F12"/>
    <w:rsid w:val="00CC7824"/>
    <w:rsid w:val="00CD17F5"/>
    <w:rsid w:val="00CD18E7"/>
    <w:rsid w:val="00CD2538"/>
    <w:rsid w:val="00CD2956"/>
    <w:rsid w:val="00CD5705"/>
    <w:rsid w:val="00CE0C10"/>
    <w:rsid w:val="00CE0D2E"/>
    <w:rsid w:val="00CE1B7E"/>
    <w:rsid w:val="00CE4DD3"/>
    <w:rsid w:val="00CE72CA"/>
    <w:rsid w:val="00CF42B8"/>
    <w:rsid w:val="00CF5012"/>
    <w:rsid w:val="00D029D4"/>
    <w:rsid w:val="00D050C1"/>
    <w:rsid w:val="00D10021"/>
    <w:rsid w:val="00D200A1"/>
    <w:rsid w:val="00D20419"/>
    <w:rsid w:val="00D21183"/>
    <w:rsid w:val="00D26288"/>
    <w:rsid w:val="00D272A4"/>
    <w:rsid w:val="00D36CE2"/>
    <w:rsid w:val="00D37955"/>
    <w:rsid w:val="00D41C34"/>
    <w:rsid w:val="00D503A8"/>
    <w:rsid w:val="00D56B25"/>
    <w:rsid w:val="00D61791"/>
    <w:rsid w:val="00D669C9"/>
    <w:rsid w:val="00D80480"/>
    <w:rsid w:val="00D82174"/>
    <w:rsid w:val="00D85865"/>
    <w:rsid w:val="00D9307C"/>
    <w:rsid w:val="00D9313E"/>
    <w:rsid w:val="00DA342B"/>
    <w:rsid w:val="00DA49AA"/>
    <w:rsid w:val="00DB4105"/>
    <w:rsid w:val="00DC12B8"/>
    <w:rsid w:val="00DC1C17"/>
    <w:rsid w:val="00DC6AD9"/>
    <w:rsid w:val="00DC7102"/>
    <w:rsid w:val="00DD2079"/>
    <w:rsid w:val="00DD75CF"/>
    <w:rsid w:val="00DE62CA"/>
    <w:rsid w:val="00DF2EBE"/>
    <w:rsid w:val="00DF3E63"/>
    <w:rsid w:val="00DF61A7"/>
    <w:rsid w:val="00E00C9F"/>
    <w:rsid w:val="00E01343"/>
    <w:rsid w:val="00E01E8C"/>
    <w:rsid w:val="00E02EF8"/>
    <w:rsid w:val="00E0329A"/>
    <w:rsid w:val="00E035C4"/>
    <w:rsid w:val="00E0573A"/>
    <w:rsid w:val="00E12FA1"/>
    <w:rsid w:val="00E137E3"/>
    <w:rsid w:val="00E244DC"/>
    <w:rsid w:val="00E36690"/>
    <w:rsid w:val="00E377D6"/>
    <w:rsid w:val="00E42BA7"/>
    <w:rsid w:val="00E44907"/>
    <w:rsid w:val="00E45396"/>
    <w:rsid w:val="00E535B6"/>
    <w:rsid w:val="00E605ED"/>
    <w:rsid w:val="00E63EF1"/>
    <w:rsid w:val="00E64A4A"/>
    <w:rsid w:val="00E64CED"/>
    <w:rsid w:val="00E67427"/>
    <w:rsid w:val="00E712AE"/>
    <w:rsid w:val="00E71698"/>
    <w:rsid w:val="00E75735"/>
    <w:rsid w:val="00E77922"/>
    <w:rsid w:val="00E872CB"/>
    <w:rsid w:val="00E90A1F"/>
    <w:rsid w:val="00E918F0"/>
    <w:rsid w:val="00E93875"/>
    <w:rsid w:val="00EA1CC7"/>
    <w:rsid w:val="00EA37AE"/>
    <w:rsid w:val="00EC445E"/>
    <w:rsid w:val="00EC5C08"/>
    <w:rsid w:val="00EC6205"/>
    <w:rsid w:val="00ED0EAC"/>
    <w:rsid w:val="00ED56E4"/>
    <w:rsid w:val="00ED57AA"/>
    <w:rsid w:val="00EE15D1"/>
    <w:rsid w:val="00EE2D7B"/>
    <w:rsid w:val="00EE3813"/>
    <w:rsid w:val="00EE3BC0"/>
    <w:rsid w:val="00EE6064"/>
    <w:rsid w:val="00EF378E"/>
    <w:rsid w:val="00F02013"/>
    <w:rsid w:val="00F11226"/>
    <w:rsid w:val="00F135B5"/>
    <w:rsid w:val="00F1766C"/>
    <w:rsid w:val="00F210FE"/>
    <w:rsid w:val="00F2136E"/>
    <w:rsid w:val="00F24BB5"/>
    <w:rsid w:val="00F25A40"/>
    <w:rsid w:val="00F41B18"/>
    <w:rsid w:val="00F42198"/>
    <w:rsid w:val="00F467B9"/>
    <w:rsid w:val="00F5055C"/>
    <w:rsid w:val="00F56FD4"/>
    <w:rsid w:val="00F61D9C"/>
    <w:rsid w:val="00F66134"/>
    <w:rsid w:val="00F70391"/>
    <w:rsid w:val="00F7108E"/>
    <w:rsid w:val="00F71BF8"/>
    <w:rsid w:val="00F811C4"/>
    <w:rsid w:val="00F81DAD"/>
    <w:rsid w:val="00F82569"/>
    <w:rsid w:val="00F83D7F"/>
    <w:rsid w:val="00F84A5A"/>
    <w:rsid w:val="00F918DE"/>
    <w:rsid w:val="00F936A7"/>
    <w:rsid w:val="00F95260"/>
    <w:rsid w:val="00F95BA5"/>
    <w:rsid w:val="00F967EC"/>
    <w:rsid w:val="00FA2872"/>
    <w:rsid w:val="00FB5BFE"/>
    <w:rsid w:val="00FC4D88"/>
    <w:rsid w:val="00FC79D4"/>
    <w:rsid w:val="00FD108C"/>
    <w:rsid w:val="00FF17F3"/>
    <w:rsid w:val="00FF20D3"/>
    <w:rsid w:val="0175101D"/>
    <w:rsid w:val="01967485"/>
    <w:rsid w:val="01D4194B"/>
    <w:rsid w:val="01ED0B38"/>
    <w:rsid w:val="024040A6"/>
    <w:rsid w:val="024959ED"/>
    <w:rsid w:val="027C5D8F"/>
    <w:rsid w:val="02886061"/>
    <w:rsid w:val="02931C49"/>
    <w:rsid w:val="02C02A81"/>
    <w:rsid w:val="02DE6E34"/>
    <w:rsid w:val="0301307E"/>
    <w:rsid w:val="030D2E04"/>
    <w:rsid w:val="03263B27"/>
    <w:rsid w:val="03822CFE"/>
    <w:rsid w:val="0388208E"/>
    <w:rsid w:val="03C70FE0"/>
    <w:rsid w:val="03CC5984"/>
    <w:rsid w:val="04497E7D"/>
    <w:rsid w:val="049E1594"/>
    <w:rsid w:val="04CD082D"/>
    <w:rsid w:val="05111612"/>
    <w:rsid w:val="054132E4"/>
    <w:rsid w:val="055554D6"/>
    <w:rsid w:val="057F2DF2"/>
    <w:rsid w:val="05890629"/>
    <w:rsid w:val="05AE3310"/>
    <w:rsid w:val="05C255B1"/>
    <w:rsid w:val="05D77B6C"/>
    <w:rsid w:val="05E5186B"/>
    <w:rsid w:val="05E6448C"/>
    <w:rsid w:val="05E87DEF"/>
    <w:rsid w:val="05EC29A2"/>
    <w:rsid w:val="0662512B"/>
    <w:rsid w:val="068176E4"/>
    <w:rsid w:val="06A464E0"/>
    <w:rsid w:val="07074F63"/>
    <w:rsid w:val="07550729"/>
    <w:rsid w:val="07593675"/>
    <w:rsid w:val="07633D07"/>
    <w:rsid w:val="07705C90"/>
    <w:rsid w:val="07C02F7A"/>
    <w:rsid w:val="07DA312E"/>
    <w:rsid w:val="07EF1EB8"/>
    <w:rsid w:val="080A6232"/>
    <w:rsid w:val="08253C58"/>
    <w:rsid w:val="08424B92"/>
    <w:rsid w:val="08504562"/>
    <w:rsid w:val="08713341"/>
    <w:rsid w:val="08783078"/>
    <w:rsid w:val="087B79DB"/>
    <w:rsid w:val="08F34F0D"/>
    <w:rsid w:val="08F909DA"/>
    <w:rsid w:val="0927011D"/>
    <w:rsid w:val="098A6A15"/>
    <w:rsid w:val="099D14A7"/>
    <w:rsid w:val="09A1402C"/>
    <w:rsid w:val="09A529DC"/>
    <w:rsid w:val="09E11F77"/>
    <w:rsid w:val="0A06275D"/>
    <w:rsid w:val="0A300F69"/>
    <w:rsid w:val="0A4C5E99"/>
    <w:rsid w:val="0AA21756"/>
    <w:rsid w:val="0AAD54A7"/>
    <w:rsid w:val="0AC54C3D"/>
    <w:rsid w:val="0AFD0509"/>
    <w:rsid w:val="0B0C2B25"/>
    <w:rsid w:val="0B3004AE"/>
    <w:rsid w:val="0B324C40"/>
    <w:rsid w:val="0B535945"/>
    <w:rsid w:val="0BBB1C66"/>
    <w:rsid w:val="0BFA53FB"/>
    <w:rsid w:val="0C1D42E4"/>
    <w:rsid w:val="0C2632A4"/>
    <w:rsid w:val="0C49415A"/>
    <w:rsid w:val="0C5132C9"/>
    <w:rsid w:val="0C6A363A"/>
    <w:rsid w:val="0C716EB9"/>
    <w:rsid w:val="0C773570"/>
    <w:rsid w:val="0C8012CA"/>
    <w:rsid w:val="0C9B3C30"/>
    <w:rsid w:val="0CA5180B"/>
    <w:rsid w:val="0CDF23B8"/>
    <w:rsid w:val="0CE95B9C"/>
    <w:rsid w:val="0D2A16B9"/>
    <w:rsid w:val="0D3A63F7"/>
    <w:rsid w:val="0D537E4C"/>
    <w:rsid w:val="0D6252ED"/>
    <w:rsid w:val="0D645222"/>
    <w:rsid w:val="0D707CC7"/>
    <w:rsid w:val="0E025A99"/>
    <w:rsid w:val="0E180DB5"/>
    <w:rsid w:val="0E4443EB"/>
    <w:rsid w:val="0E5A194A"/>
    <w:rsid w:val="0E680C03"/>
    <w:rsid w:val="0ED70CC9"/>
    <w:rsid w:val="0EF820BE"/>
    <w:rsid w:val="0EFC7F78"/>
    <w:rsid w:val="0F0A75CC"/>
    <w:rsid w:val="0F54652E"/>
    <w:rsid w:val="0F9B1B19"/>
    <w:rsid w:val="0FA2011A"/>
    <w:rsid w:val="0FA25E13"/>
    <w:rsid w:val="0FC226D4"/>
    <w:rsid w:val="0FFD7BBD"/>
    <w:rsid w:val="100827DD"/>
    <w:rsid w:val="105E4D18"/>
    <w:rsid w:val="106831FD"/>
    <w:rsid w:val="10CC38F7"/>
    <w:rsid w:val="10DF11BD"/>
    <w:rsid w:val="110844E8"/>
    <w:rsid w:val="110D07D1"/>
    <w:rsid w:val="11304A3B"/>
    <w:rsid w:val="11697B9C"/>
    <w:rsid w:val="116B0C87"/>
    <w:rsid w:val="11BD11B7"/>
    <w:rsid w:val="122878A4"/>
    <w:rsid w:val="13146984"/>
    <w:rsid w:val="13715A7A"/>
    <w:rsid w:val="139D1431"/>
    <w:rsid w:val="13D6674E"/>
    <w:rsid w:val="13E53820"/>
    <w:rsid w:val="14370F50"/>
    <w:rsid w:val="143A66C2"/>
    <w:rsid w:val="1440323C"/>
    <w:rsid w:val="148F3902"/>
    <w:rsid w:val="14947640"/>
    <w:rsid w:val="14BA4DEE"/>
    <w:rsid w:val="154E7BA9"/>
    <w:rsid w:val="1573694A"/>
    <w:rsid w:val="157C2EA4"/>
    <w:rsid w:val="15A02554"/>
    <w:rsid w:val="15C81B9A"/>
    <w:rsid w:val="15E82E12"/>
    <w:rsid w:val="15E94449"/>
    <w:rsid w:val="15F4007D"/>
    <w:rsid w:val="15F7366C"/>
    <w:rsid w:val="161A52EE"/>
    <w:rsid w:val="166C6378"/>
    <w:rsid w:val="16B73745"/>
    <w:rsid w:val="16C96600"/>
    <w:rsid w:val="172A7ED6"/>
    <w:rsid w:val="174B6EA1"/>
    <w:rsid w:val="17554DEB"/>
    <w:rsid w:val="17624CF8"/>
    <w:rsid w:val="17742FA1"/>
    <w:rsid w:val="17913037"/>
    <w:rsid w:val="179B3DA5"/>
    <w:rsid w:val="17E427F7"/>
    <w:rsid w:val="18076169"/>
    <w:rsid w:val="182D0FBD"/>
    <w:rsid w:val="185E5F92"/>
    <w:rsid w:val="186C7681"/>
    <w:rsid w:val="187739F5"/>
    <w:rsid w:val="18950986"/>
    <w:rsid w:val="18BD082D"/>
    <w:rsid w:val="18FE3E29"/>
    <w:rsid w:val="19063E28"/>
    <w:rsid w:val="19373CCC"/>
    <w:rsid w:val="197402E8"/>
    <w:rsid w:val="19804487"/>
    <w:rsid w:val="1990438D"/>
    <w:rsid w:val="19B10C5F"/>
    <w:rsid w:val="19C70269"/>
    <w:rsid w:val="1A4223DF"/>
    <w:rsid w:val="1A4638F5"/>
    <w:rsid w:val="1A8C750E"/>
    <w:rsid w:val="1A9463E9"/>
    <w:rsid w:val="1AA42D40"/>
    <w:rsid w:val="1AC22034"/>
    <w:rsid w:val="1AD13870"/>
    <w:rsid w:val="1B186B5F"/>
    <w:rsid w:val="1B373F76"/>
    <w:rsid w:val="1B3F2B9C"/>
    <w:rsid w:val="1B491F77"/>
    <w:rsid w:val="1B5B16E9"/>
    <w:rsid w:val="1B9E4A8B"/>
    <w:rsid w:val="1C3E6306"/>
    <w:rsid w:val="1C407326"/>
    <w:rsid w:val="1C412671"/>
    <w:rsid w:val="1C7B781E"/>
    <w:rsid w:val="1C8F56FB"/>
    <w:rsid w:val="1CA078F9"/>
    <w:rsid w:val="1CC250CA"/>
    <w:rsid w:val="1D525C79"/>
    <w:rsid w:val="1D55052B"/>
    <w:rsid w:val="1D6D0123"/>
    <w:rsid w:val="1D922B6C"/>
    <w:rsid w:val="1D927B8A"/>
    <w:rsid w:val="1DAD477F"/>
    <w:rsid w:val="1DC51D0D"/>
    <w:rsid w:val="1E0643D1"/>
    <w:rsid w:val="1E55348D"/>
    <w:rsid w:val="1F24080E"/>
    <w:rsid w:val="1F256555"/>
    <w:rsid w:val="1F2E34D3"/>
    <w:rsid w:val="1F580BA0"/>
    <w:rsid w:val="1F633369"/>
    <w:rsid w:val="1F6338E8"/>
    <w:rsid w:val="1F771EBF"/>
    <w:rsid w:val="1F77587F"/>
    <w:rsid w:val="1FAB66A5"/>
    <w:rsid w:val="1FBF533F"/>
    <w:rsid w:val="2008288B"/>
    <w:rsid w:val="2010279D"/>
    <w:rsid w:val="203D6BCD"/>
    <w:rsid w:val="206F3374"/>
    <w:rsid w:val="209634ED"/>
    <w:rsid w:val="209D5116"/>
    <w:rsid w:val="20F14498"/>
    <w:rsid w:val="21247B45"/>
    <w:rsid w:val="214271D1"/>
    <w:rsid w:val="222C12C6"/>
    <w:rsid w:val="22324B5D"/>
    <w:rsid w:val="223C764F"/>
    <w:rsid w:val="22921C0B"/>
    <w:rsid w:val="232C6DD9"/>
    <w:rsid w:val="23641D38"/>
    <w:rsid w:val="236D5DF4"/>
    <w:rsid w:val="237C115E"/>
    <w:rsid w:val="23A96A24"/>
    <w:rsid w:val="23C20AE3"/>
    <w:rsid w:val="254C658D"/>
    <w:rsid w:val="255B3C91"/>
    <w:rsid w:val="25BD151C"/>
    <w:rsid w:val="25BF482C"/>
    <w:rsid w:val="25CB4FF3"/>
    <w:rsid w:val="25E00C4F"/>
    <w:rsid w:val="260D4337"/>
    <w:rsid w:val="26394360"/>
    <w:rsid w:val="26815859"/>
    <w:rsid w:val="26CA0B74"/>
    <w:rsid w:val="26E64A1F"/>
    <w:rsid w:val="26F72CDA"/>
    <w:rsid w:val="27310920"/>
    <w:rsid w:val="27516440"/>
    <w:rsid w:val="27524B16"/>
    <w:rsid w:val="277B0EAC"/>
    <w:rsid w:val="277C0379"/>
    <w:rsid w:val="27E44F4F"/>
    <w:rsid w:val="27E613FB"/>
    <w:rsid w:val="281659C3"/>
    <w:rsid w:val="282007A6"/>
    <w:rsid w:val="282E00F7"/>
    <w:rsid w:val="287A3A83"/>
    <w:rsid w:val="28927B49"/>
    <w:rsid w:val="28AE582D"/>
    <w:rsid w:val="28B214FD"/>
    <w:rsid w:val="28F4189D"/>
    <w:rsid w:val="29351B7A"/>
    <w:rsid w:val="29451F54"/>
    <w:rsid w:val="2AAD2B57"/>
    <w:rsid w:val="2AEE5487"/>
    <w:rsid w:val="2B0E13DE"/>
    <w:rsid w:val="2B3A0649"/>
    <w:rsid w:val="2B873CF9"/>
    <w:rsid w:val="2BA6670A"/>
    <w:rsid w:val="2BFC6E6A"/>
    <w:rsid w:val="2C0F2677"/>
    <w:rsid w:val="2C3C7799"/>
    <w:rsid w:val="2C50510E"/>
    <w:rsid w:val="2C791A56"/>
    <w:rsid w:val="2C794074"/>
    <w:rsid w:val="2CA2500B"/>
    <w:rsid w:val="2CAB03A4"/>
    <w:rsid w:val="2CAB668B"/>
    <w:rsid w:val="2CB84852"/>
    <w:rsid w:val="2CBB7E76"/>
    <w:rsid w:val="2CC34446"/>
    <w:rsid w:val="2D2E1886"/>
    <w:rsid w:val="2D337FEA"/>
    <w:rsid w:val="2D361AC3"/>
    <w:rsid w:val="2D6C369E"/>
    <w:rsid w:val="2D6D401C"/>
    <w:rsid w:val="2E0416FC"/>
    <w:rsid w:val="2E3B7F44"/>
    <w:rsid w:val="2E655EE4"/>
    <w:rsid w:val="2E85114E"/>
    <w:rsid w:val="2E93234D"/>
    <w:rsid w:val="2EBB5D02"/>
    <w:rsid w:val="2EC21722"/>
    <w:rsid w:val="2EC44DB3"/>
    <w:rsid w:val="2F0F046C"/>
    <w:rsid w:val="2FE04785"/>
    <w:rsid w:val="301C3B3A"/>
    <w:rsid w:val="30872803"/>
    <w:rsid w:val="30B3667A"/>
    <w:rsid w:val="30BA0C92"/>
    <w:rsid w:val="30C72056"/>
    <w:rsid w:val="30D8392F"/>
    <w:rsid w:val="30E3452C"/>
    <w:rsid w:val="310C565E"/>
    <w:rsid w:val="31394A62"/>
    <w:rsid w:val="316241F2"/>
    <w:rsid w:val="31877EF3"/>
    <w:rsid w:val="31B13ABF"/>
    <w:rsid w:val="31C03CFB"/>
    <w:rsid w:val="32057663"/>
    <w:rsid w:val="324F5CD7"/>
    <w:rsid w:val="325D1475"/>
    <w:rsid w:val="3263048F"/>
    <w:rsid w:val="32770564"/>
    <w:rsid w:val="32AE53CF"/>
    <w:rsid w:val="32E55D43"/>
    <w:rsid w:val="32E71445"/>
    <w:rsid w:val="33231DA9"/>
    <w:rsid w:val="33263825"/>
    <w:rsid w:val="332B7DDB"/>
    <w:rsid w:val="33963F23"/>
    <w:rsid w:val="33F7607B"/>
    <w:rsid w:val="342310E4"/>
    <w:rsid w:val="342D1CB8"/>
    <w:rsid w:val="3451394A"/>
    <w:rsid w:val="345C07F5"/>
    <w:rsid w:val="34616505"/>
    <w:rsid w:val="347B1DFA"/>
    <w:rsid w:val="34B075FD"/>
    <w:rsid w:val="34F211E2"/>
    <w:rsid w:val="35217453"/>
    <w:rsid w:val="353727BB"/>
    <w:rsid w:val="353A0331"/>
    <w:rsid w:val="353C2675"/>
    <w:rsid w:val="355B0222"/>
    <w:rsid w:val="35660394"/>
    <w:rsid w:val="359E18BD"/>
    <w:rsid w:val="35C475D6"/>
    <w:rsid w:val="35CA5CBB"/>
    <w:rsid w:val="35F51BF7"/>
    <w:rsid w:val="36271BAB"/>
    <w:rsid w:val="36443918"/>
    <w:rsid w:val="369C7AB9"/>
    <w:rsid w:val="36A128C6"/>
    <w:rsid w:val="36A8674E"/>
    <w:rsid w:val="36DA4A3E"/>
    <w:rsid w:val="36E9702B"/>
    <w:rsid w:val="370E0321"/>
    <w:rsid w:val="373A04F3"/>
    <w:rsid w:val="375B3EB2"/>
    <w:rsid w:val="380C08B1"/>
    <w:rsid w:val="384165C4"/>
    <w:rsid w:val="387F0AA6"/>
    <w:rsid w:val="38AD76B6"/>
    <w:rsid w:val="38AE69D9"/>
    <w:rsid w:val="38C15DB2"/>
    <w:rsid w:val="394B2E30"/>
    <w:rsid w:val="39570058"/>
    <w:rsid w:val="39672CA6"/>
    <w:rsid w:val="39890238"/>
    <w:rsid w:val="39B47681"/>
    <w:rsid w:val="39CA20B7"/>
    <w:rsid w:val="3A6D708D"/>
    <w:rsid w:val="3AC9466C"/>
    <w:rsid w:val="3AF42B1A"/>
    <w:rsid w:val="3B1D4ADF"/>
    <w:rsid w:val="3BC6313B"/>
    <w:rsid w:val="3BCA2C64"/>
    <w:rsid w:val="3BD90AC2"/>
    <w:rsid w:val="3C035789"/>
    <w:rsid w:val="3C1918D2"/>
    <w:rsid w:val="3C287BA1"/>
    <w:rsid w:val="3CB7061B"/>
    <w:rsid w:val="3D0046F6"/>
    <w:rsid w:val="3D0B21CA"/>
    <w:rsid w:val="3D4530D9"/>
    <w:rsid w:val="3D481B7A"/>
    <w:rsid w:val="3D5E7906"/>
    <w:rsid w:val="3D8E4012"/>
    <w:rsid w:val="3E1B0554"/>
    <w:rsid w:val="3E30541C"/>
    <w:rsid w:val="3ECC4D0B"/>
    <w:rsid w:val="3F34785C"/>
    <w:rsid w:val="3F5E2051"/>
    <w:rsid w:val="3F7F6A28"/>
    <w:rsid w:val="3F9361EB"/>
    <w:rsid w:val="3FA93B21"/>
    <w:rsid w:val="3FAE3C88"/>
    <w:rsid w:val="3FB1226F"/>
    <w:rsid w:val="3FF45F9E"/>
    <w:rsid w:val="3FF90F3B"/>
    <w:rsid w:val="40594001"/>
    <w:rsid w:val="408D1746"/>
    <w:rsid w:val="40D011B1"/>
    <w:rsid w:val="40DA6FCE"/>
    <w:rsid w:val="41072638"/>
    <w:rsid w:val="411C7387"/>
    <w:rsid w:val="415B2BA7"/>
    <w:rsid w:val="416C3203"/>
    <w:rsid w:val="41B4373C"/>
    <w:rsid w:val="41C94AE5"/>
    <w:rsid w:val="41D03E90"/>
    <w:rsid w:val="41EE45F2"/>
    <w:rsid w:val="421D62CE"/>
    <w:rsid w:val="42BF331F"/>
    <w:rsid w:val="433C7ACC"/>
    <w:rsid w:val="434450C5"/>
    <w:rsid w:val="438802A5"/>
    <w:rsid w:val="43965A21"/>
    <w:rsid w:val="443038AD"/>
    <w:rsid w:val="446A3ED4"/>
    <w:rsid w:val="44A227C4"/>
    <w:rsid w:val="44FF371D"/>
    <w:rsid w:val="450F1A86"/>
    <w:rsid w:val="453860C8"/>
    <w:rsid w:val="453E5D7D"/>
    <w:rsid w:val="455A74C6"/>
    <w:rsid w:val="4566216A"/>
    <w:rsid w:val="457414E2"/>
    <w:rsid w:val="45A41E39"/>
    <w:rsid w:val="45BA3ABD"/>
    <w:rsid w:val="45DE4543"/>
    <w:rsid w:val="45E65B53"/>
    <w:rsid w:val="4616743C"/>
    <w:rsid w:val="46450009"/>
    <w:rsid w:val="46A06FFD"/>
    <w:rsid w:val="46A87A4C"/>
    <w:rsid w:val="471402DB"/>
    <w:rsid w:val="472C6519"/>
    <w:rsid w:val="472F6996"/>
    <w:rsid w:val="47413903"/>
    <w:rsid w:val="474364B1"/>
    <w:rsid w:val="47E57147"/>
    <w:rsid w:val="480D73EE"/>
    <w:rsid w:val="482C309B"/>
    <w:rsid w:val="484663FB"/>
    <w:rsid w:val="485F0589"/>
    <w:rsid w:val="48841525"/>
    <w:rsid w:val="488B2930"/>
    <w:rsid w:val="48BB1A0F"/>
    <w:rsid w:val="48BC3C85"/>
    <w:rsid w:val="48F95E51"/>
    <w:rsid w:val="494E3ABF"/>
    <w:rsid w:val="49524B04"/>
    <w:rsid w:val="49584F34"/>
    <w:rsid w:val="49972A10"/>
    <w:rsid w:val="49A14CF3"/>
    <w:rsid w:val="49B235B8"/>
    <w:rsid w:val="4A2B4D53"/>
    <w:rsid w:val="4A372B4E"/>
    <w:rsid w:val="4A701312"/>
    <w:rsid w:val="4A7D7378"/>
    <w:rsid w:val="4B196713"/>
    <w:rsid w:val="4B3317B5"/>
    <w:rsid w:val="4B38714B"/>
    <w:rsid w:val="4B746DBF"/>
    <w:rsid w:val="4B8E5887"/>
    <w:rsid w:val="4BB917B4"/>
    <w:rsid w:val="4BC90A28"/>
    <w:rsid w:val="4C0A4EDD"/>
    <w:rsid w:val="4C0E25CF"/>
    <w:rsid w:val="4C39474F"/>
    <w:rsid w:val="4C580FBC"/>
    <w:rsid w:val="4C6D5DC4"/>
    <w:rsid w:val="4C7F0265"/>
    <w:rsid w:val="4CB67BF7"/>
    <w:rsid w:val="4CC17F6D"/>
    <w:rsid w:val="4CDB682F"/>
    <w:rsid w:val="4CDC0E9E"/>
    <w:rsid w:val="4CE31136"/>
    <w:rsid w:val="4CF73662"/>
    <w:rsid w:val="4D02650E"/>
    <w:rsid w:val="4D90610B"/>
    <w:rsid w:val="4DBD1158"/>
    <w:rsid w:val="4E10494F"/>
    <w:rsid w:val="4E1B6049"/>
    <w:rsid w:val="4E1E1485"/>
    <w:rsid w:val="4E2B4C21"/>
    <w:rsid w:val="4E337377"/>
    <w:rsid w:val="4E4E707F"/>
    <w:rsid w:val="4EAF5C4A"/>
    <w:rsid w:val="4EB43074"/>
    <w:rsid w:val="4EEF0E49"/>
    <w:rsid w:val="4F285277"/>
    <w:rsid w:val="4F362837"/>
    <w:rsid w:val="4FBA7397"/>
    <w:rsid w:val="4FC50BA1"/>
    <w:rsid w:val="4FCC56C0"/>
    <w:rsid w:val="50106F73"/>
    <w:rsid w:val="50370670"/>
    <w:rsid w:val="503E4E84"/>
    <w:rsid w:val="509D42B1"/>
    <w:rsid w:val="50C65473"/>
    <w:rsid w:val="50CE4D23"/>
    <w:rsid w:val="51537728"/>
    <w:rsid w:val="51805486"/>
    <w:rsid w:val="519D4482"/>
    <w:rsid w:val="51A31597"/>
    <w:rsid w:val="51B33572"/>
    <w:rsid w:val="51B40E54"/>
    <w:rsid w:val="51E53DBE"/>
    <w:rsid w:val="51F577C4"/>
    <w:rsid w:val="52AD6856"/>
    <w:rsid w:val="52B213D5"/>
    <w:rsid w:val="52DF7932"/>
    <w:rsid w:val="52FE08FA"/>
    <w:rsid w:val="535B1957"/>
    <w:rsid w:val="53BA35FA"/>
    <w:rsid w:val="53D85D65"/>
    <w:rsid w:val="540538ED"/>
    <w:rsid w:val="54333080"/>
    <w:rsid w:val="547C241E"/>
    <w:rsid w:val="549140F9"/>
    <w:rsid w:val="5497546A"/>
    <w:rsid w:val="553A1B1D"/>
    <w:rsid w:val="55C8669A"/>
    <w:rsid w:val="55E814E3"/>
    <w:rsid w:val="55F72534"/>
    <w:rsid w:val="56213645"/>
    <w:rsid w:val="562C3377"/>
    <w:rsid w:val="563017F5"/>
    <w:rsid w:val="56727CCF"/>
    <w:rsid w:val="567426BB"/>
    <w:rsid w:val="56C74178"/>
    <w:rsid w:val="56D62A7A"/>
    <w:rsid w:val="56F85BD9"/>
    <w:rsid w:val="57256C15"/>
    <w:rsid w:val="572C412E"/>
    <w:rsid w:val="578D6DF2"/>
    <w:rsid w:val="57E44DE5"/>
    <w:rsid w:val="588809E1"/>
    <w:rsid w:val="58897E79"/>
    <w:rsid w:val="58A36D8B"/>
    <w:rsid w:val="58AA43AF"/>
    <w:rsid w:val="58AE79A7"/>
    <w:rsid w:val="58BE1257"/>
    <w:rsid w:val="5902342D"/>
    <w:rsid w:val="59787201"/>
    <w:rsid w:val="5979721C"/>
    <w:rsid w:val="5999791A"/>
    <w:rsid w:val="599D0FB9"/>
    <w:rsid w:val="59D13611"/>
    <w:rsid w:val="59EB1740"/>
    <w:rsid w:val="59F22947"/>
    <w:rsid w:val="5A074CEC"/>
    <w:rsid w:val="5A0A27A3"/>
    <w:rsid w:val="5B037AD8"/>
    <w:rsid w:val="5B7E5B3B"/>
    <w:rsid w:val="5BD27A11"/>
    <w:rsid w:val="5BE02860"/>
    <w:rsid w:val="5BEC3497"/>
    <w:rsid w:val="5C017A9A"/>
    <w:rsid w:val="5C093ACF"/>
    <w:rsid w:val="5C4F0418"/>
    <w:rsid w:val="5C533A65"/>
    <w:rsid w:val="5C7B7CBE"/>
    <w:rsid w:val="5C834561"/>
    <w:rsid w:val="5C960F84"/>
    <w:rsid w:val="5CAE0145"/>
    <w:rsid w:val="5CBA3AE4"/>
    <w:rsid w:val="5CBB785C"/>
    <w:rsid w:val="5CD04867"/>
    <w:rsid w:val="5CD45EB2"/>
    <w:rsid w:val="5CD8524A"/>
    <w:rsid w:val="5D7B64BE"/>
    <w:rsid w:val="5D9B180D"/>
    <w:rsid w:val="5DD6782D"/>
    <w:rsid w:val="5DF32F87"/>
    <w:rsid w:val="5E0525C3"/>
    <w:rsid w:val="5E5C2473"/>
    <w:rsid w:val="5E7E1E1F"/>
    <w:rsid w:val="5ECF4BAD"/>
    <w:rsid w:val="5EE5330E"/>
    <w:rsid w:val="5F0C6636"/>
    <w:rsid w:val="5F6362F5"/>
    <w:rsid w:val="5F673E23"/>
    <w:rsid w:val="5F6B707A"/>
    <w:rsid w:val="5F9E4B4E"/>
    <w:rsid w:val="5FB05672"/>
    <w:rsid w:val="5FB16619"/>
    <w:rsid w:val="5FBC2A05"/>
    <w:rsid w:val="5FBC5853"/>
    <w:rsid w:val="5FCE4D4B"/>
    <w:rsid w:val="5FE60C0E"/>
    <w:rsid w:val="5FE64BF0"/>
    <w:rsid w:val="605233A8"/>
    <w:rsid w:val="60832C85"/>
    <w:rsid w:val="609955EE"/>
    <w:rsid w:val="60F64F95"/>
    <w:rsid w:val="61244455"/>
    <w:rsid w:val="613817C9"/>
    <w:rsid w:val="61AB4A0B"/>
    <w:rsid w:val="61B561D2"/>
    <w:rsid w:val="61C435AD"/>
    <w:rsid w:val="61EF472C"/>
    <w:rsid w:val="622E1D48"/>
    <w:rsid w:val="62577AB4"/>
    <w:rsid w:val="625B66D9"/>
    <w:rsid w:val="62794EF2"/>
    <w:rsid w:val="627D5CF2"/>
    <w:rsid w:val="62802E33"/>
    <w:rsid w:val="6291643A"/>
    <w:rsid w:val="629525A2"/>
    <w:rsid w:val="62957962"/>
    <w:rsid w:val="62D74451"/>
    <w:rsid w:val="63CE4319"/>
    <w:rsid w:val="63F463A5"/>
    <w:rsid w:val="64190A6E"/>
    <w:rsid w:val="64294CF3"/>
    <w:rsid w:val="643F0173"/>
    <w:rsid w:val="643F3E77"/>
    <w:rsid w:val="64821332"/>
    <w:rsid w:val="64A95B8B"/>
    <w:rsid w:val="65090AD4"/>
    <w:rsid w:val="6523645B"/>
    <w:rsid w:val="653F29EE"/>
    <w:rsid w:val="654E5711"/>
    <w:rsid w:val="65540F60"/>
    <w:rsid w:val="6579608E"/>
    <w:rsid w:val="65B079C6"/>
    <w:rsid w:val="65B26D5C"/>
    <w:rsid w:val="65BF0363"/>
    <w:rsid w:val="65D338C4"/>
    <w:rsid w:val="65E47A69"/>
    <w:rsid w:val="65F95BDF"/>
    <w:rsid w:val="66104479"/>
    <w:rsid w:val="663743F7"/>
    <w:rsid w:val="66773923"/>
    <w:rsid w:val="66BE4BAB"/>
    <w:rsid w:val="66E52666"/>
    <w:rsid w:val="66EE416C"/>
    <w:rsid w:val="675D734C"/>
    <w:rsid w:val="677C72D4"/>
    <w:rsid w:val="67886364"/>
    <w:rsid w:val="67FD6620"/>
    <w:rsid w:val="683962F3"/>
    <w:rsid w:val="686F7E78"/>
    <w:rsid w:val="68A37866"/>
    <w:rsid w:val="69324DB9"/>
    <w:rsid w:val="694330B3"/>
    <w:rsid w:val="69626FB7"/>
    <w:rsid w:val="69BA1E61"/>
    <w:rsid w:val="69BD02FB"/>
    <w:rsid w:val="6A6347BE"/>
    <w:rsid w:val="6A720E35"/>
    <w:rsid w:val="6AB56620"/>
    <w:rsid w:val="6AE916A4"/>
    <w:rsid w:val="6B056872"/>
    <w:rsid w:val="6B15265B"/>
    <w:rsid w:val="6B332D23"/>
    <w:rsid w:val="6B405AFC"/>
    <w:rsid w:val="6B4D4620"/>
    <w:rsid w:val="6B5A7633"/>
    <w:rsid w:val="6B7E2E7D"/>
    <w:rsid w:val="6B8F056B"/>
    <w:rsid w:val="6BFE249B"/>
    <w:rsid w:val="6C082687"/>
    <w:rsid w:val="6C144E03"/>
    <w:rsid w:val="6C1A05C3"/>
    <w:rsid w:val="6C347801"/>
    <w:rsid w:val="6C66480A"/>
    <w:rsid w:val="6CCE7941"/>
    <w:rsid w:val="6D181532"/>
    <w:rsid w:val="6D4059A1"/>
    <w:rsid w:val="6D5064C2"/>
    <w:rsid w:val="6DDD3AD6"/>
    <w:rsid w:val="6E7F2DAD"/>
    <w:rsid w:val="6E8A23F1"/>
    <w:rsid w:val="6EA44FF8"/>
    <w:rsid w:val="6EB72579"/>
    <w:rsid w:val="6EE1351B"/>
    <w:rsid w:val="6EF86E63"/>
    <w:rsid w:val="6F5E3ACD"/>
    <w:rsid w:val="6FC65793"/>
    <w:rsid w:val="6FEF24DD"/>
    <w:rsid w:val="703075A0"/>
    <w:rsid w:val="703C2FB7"/>
    <w:rsid w:val="707931AA"/>
    <w:rsid w:val="70960536"/>
    <w:rsid w:val="70C05B34"/>
    <w:rsid w:val="70E104A1"/>
    <w:rsid w:val="70FC46AB"/>
    <w:rsid w:val="71252849"/>
    <w:rsid w:val="71472BC7"/>
    <w:rsid w:val="72081A79"/>
    <w:rsid w:val="722978D8"/>
    <w:rsid w:val="72574A5C"/>
    <w:rsid w:val="726522EC"/>
    <w:rsid w:val="729055BB"/>
    <w:rsid w:val="72A23D55"/>
    <w:rsid w:val="72BE6D79"/>
    <w:rsid w:val="73022D00"/>
    <w:rsid w:val="7331421C"/>
    <w:rsid w:val="73484935"/>
    <w:rsid w:val="737A47B6"/>
    <w:rsid w:val="737D656D"/>
    <w:rsid w:val="738816DA"/>
    <w:rsid w:val="73AE7143"/>
    <w:rsid w:val="73B12613"/>
    <w:rsid w:val="740D2B72"/>
    <w:rsid w:val="741F2B1B"/>
    <w:rsid w:val="7427558B"/>
    <w:rsid w:val="744D5983"/>
    <w:rsid w:val="74A865CF"/>
    <w:rsid w:val="74BA10E5"/>
    <w:rsid w:val="74BF692C"/>
    <w:rsid w:val="74D00298"/>
    <w:rsid w:val="74D50E04"/>
    <w:rsid w:val="74EA208F"/>
    <w:rsid w:val="75055F12"/>
    <w:rsid w:val="754377B1"/>
    <w:rsid w:val="75457F32"/>
    <w:rsid w:val="754615D9"/>
    <w:rsid w:val="75584049"/>
    <w:rsid w:val="757E5B9F"/>
    <w:rsid w:val="75CE340E"/>
    <w:rsid w:val="761D204D"/>
    <w:rsid w:val="76243CA2"/>
    <w:rsid w:val="76404C02"/>
    <w:rsid w:val="7642198E"/>
    <w:rsid w:val="766B4063"/>
    <w:rsid w:val="76792C54"/>
    <w:rsid w:val="76E0767C"/>
    <w:rsid w:val="76FD43B3"/>
    <w:rsid w:val="77305D3F"/>
    <w:rsid w:val="77366E1B"/>
    <w:rsid w:val="774A7F54"/>
    <w:rsid w:val="775E63A1"/>
    <w:rsid w:val="776D4153"/>
    <w:rsid w:val="77A3191C"/>
    <w:rsid w:val="77B37656"/>
    <w:rsid w:val="78003AFD"/>
    <w:rsid w:val="7826582A"/>
    <w:rsid w:val="78312740"/>
    <w:rsid w:val="78326701"/>
    <w:rsid w:val="7846552F"/>
    <w:rsid w:val="786F4E88"/>
    <w:rsid w:val="787857FB"/>
    <w:rsid w:val="78C7580B"/>
    <w:rsid w:val="79003E34"/>
    <w:rsid w:val="7902602C"/>
    <w:rsid w:val="790A1DB9"/>
    <w:rsid w:val="795559B1"/>
    <w:rsid w:val="79707488"/>
    <w:rsid w:val="797F1EE5"/>
    <w:rsid w:val="79AB5ED5"/>
    <w:rsid w:val="7A6E22E0"/>
    <w:rsid w:val="7AA5386F"/>
    <w:rsid w:val="7AD22F75"/>
    <w:rsid w:val="7B287B7A"/>
    <w:rsid w:val="7B4A17C0"/>
    <w:rsid w:val="7BC44C54"/>
    <w:rsid w:val="7BD13912"/>
    <w:rsid w:val="7BE86404"/>
    <w:rsid w:val="7BF35B9D"/>
    <w:rsid w:val="7C565D35"/>
    <w:rsid w:val="7CF31538"/>
    <w:rsid w:val="7D5F283C"/>
    <w:rsid w:val="7D8C697F"/>
    <w:rsid w:val="7DC134E0"/>
    <w:rsid w:val="7DF331B9"/>
    <w:rsid w:val="7E213A3B"/>
    <w:rsid w:val="7E485933"/>
    <w:rsid w:val="7E7A51ED"/>
    <w:rsid w:val="7EA26503"/>
    <w:rsid w:val="7EB0669D"/>
    <w:rsid w:val="7EC449EF"/>
    <w:rsid w:val="7EC80289"/>
    <w:rsid w:val="7EFA6534"/>
    <w:rsid w:val="7F200824"/>
    <w:rsid w:val="7F3B68AE"/>
    <w:rsid w:val="7F4E07D9"/>
    <w:rsid w:val="7F992C1B"/>
    <w:rsid w:val="7F9A717D"/>
    <w:rsid w:val="7FBE4DEA"/>
    <w:rsid w:val="7FC324E8"/>
    <w:rsid w:val="7FD72BE8"/>
    <w:rsid w:val="7FE6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qFormat="1" w:uiPriority="99" w:semiHidden="0" w:name="annotation text" w:locked="1"/>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iPriority="99" w:semiHidden="0"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2"/>
    <w:qFormat/>
    <w:locked/>
    <w:uiPriority w:val="9"/>
    <w:pPr>
      <w:keepNext/>
      <w:keepLines/>
      <w:spacing w:before="260" w:after="260" w:line="416" w:lineRule="auto"/>
      <w:outlineLvl w:val="1"/>
    </w:pPr>
    <w:rPr>
      <w:rFonts w:ascii="Cambria" w:hAnsi="Cambria"/>
      <w:b/>
      <w:bCs/>
      <w:sz w:val="32"/>
      <w:szCs w:val="32"/>
    </w:rPr>
  </w:style>
  <w:style w:type="paragraph" w:styleId="3">
    <w:name w:val="heading 3"/>
    <w:basedOn w:val="1"/>
    <w:link w:val="43"/>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5" w:firstLineChars="500"/>
      <w:jc w:val="left"/>
    </w:pPr>
    <w:rPr>
      <w:rFonts w:ascii="宋体"/>
      <w:szCs w:val="21"/>
    </w:rPr>
  </w:style>
  <w:style w:type="paragraph" w:styleId="5">
    <w:name w:val="index 8"/>
    <w:basedOn w:val="1"/>
    <w:next w:val="1"/>
    <w:semiHidden/>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semiHidden/>
    <w:qFormat/>
    <w:uiPriority w:val="99"/>
    <w:pPr>
      <w:ind w:left="1050" w:hanging="210"/>
      <w:jc w:val="left"/>
    </w:pPr>
    <w:rPr>
      <w:rFonts w:ascii="Calibri" w:hAnsi="Calibri"/>
      <w:sz w:val="20"/>
      <w:szCs w:val="20"/>
    </w:rPr>
  </w:style>
  <w:style w:type="paragraph" w:styleId="8">
    <w:name w:val="Document Map"/>
    <w:basedOn w:val="1"/>
    <w:link w:val="44"/>
    <w:semiHidden/>
    <w:qFormat/>
    <w:uiPriority w:val="99"/>
    <w:pPr>
      <w:shd w:val="clear" w:color="auto" w:fill="000080"/>
    </w:pPr>
    <w:rPr>
      <w:kern w:val="0"/>
      <w:sz w:val="24"/>
    </w:rPr>
  </w:style>
  <w:style w:type="paragraph" w:styleId="9">
    <w:name w:val="annotation text"/>
    <w:basedOn w:val="1"/>
    <w:link w:val="45"/>
    <w:unhideWhenUsed/>
    <w:qFormat/>
    <w:locked/>
    <w:uiPriority w:val="99"/>
    <w:pPr>
      <w:jc w:val="left"/>
    </w:pPr>
  </w:style>
  <w:style w:type="paragraph" w:styleId="10">
    <w:name w:val="index 6"/>
    <w:basedOn w:val="1"/>
    <w:next w:val="1"/>
    <w:semiHidden/>
    <w:qFormat/>
    <w:uiPriority w:val="99"/>
    <w:pPr>
      <w:ind w:left="1260" w:hanging="210"/>
      <w:jc w:val="left"/>
    </w:pPr>
    <w:rPr>
      <w:rFonts w:ascii="Calibri" w:hAnsi="Calibri"/>
      <w:sz w:val="20"/>
      <w:szCs w:val="20"/>
    </w:rPr>
  </w:style>
  <w:style w:type="paragraph" w:styleId="11">
    <w:name w:val="index 4"/>
    <w:basedOn w:val="1"/>
    <w:next w:val="1"/>
    <w:semiHidden/>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2"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semiHidden/>
    <w:qFormat/>
    <w:uiPriority w:val="99"/>
    <w:pPr>
      <w:ind w:left="630" w:hanging="210"/>
      <w:jc w:val="left"/>
    </w:pPr>
    <w:rPr>
      <w:rFonts w:ascii="Calibri" w:hAnsi="Calibri"/>
      <w:sz w:val="20"/>
      <w:szCs w:val="20"/>
    </w:rPr>
  </w:style>
  <w:style w:type="paragraph" w:styleId="16">
    <w:name w:val="endnote text"/>
    <w:basedOn w:val="1"/>
    <w:link w:val="46"/>
    <w:semiHidden/>
    <w:qFormat/>
    <w:uiPriority w:val="99"/>
    <w:pPr>
      <w:snapToGrid w:val="0"/>
      <w:jc w:val="left"/>
    </w:pPr>
    <w:rPr>
      <w:kern w:val="0"/>
      <w:sz w:val="24"/>
    </w:rPr>
  </w:style>
  <w:style w:type="paragraph" w:styleId="17">
    <w:name w:val="Balloon Text"/>
    <w:basedOn w:val="1"/>
    <w:link w:val="47"/>
    <w:semiHidden/>
    <w:qFormat/>
    <w:uiPriority w:val="99"/>
    <w:rPr>
      <w:kern w:val="0"/>
      <w:sz w:val="18"/>
      <w:szCs w:val="18"/>
    </w:rPr>
  </w:style>
  <w:style w:type="paragraph" w:styleId="18">
    <w:name w:val="footer"/>
    <w:basedOn w:val="1"/>
    <w:link w:val="48"/>
    <w:qFormat/>
    <w:uiPriority w:val="99"/>
    <w:pPr>
      <w:tabs>
        <w:tab w:val="center" w:pos="4153"/>
        <w:tab w:val="right" w:pos="8306"/>
      </w:tabs>
      <w:snapToGrid w:val="0"/>
      <w:jc w:val="left"/>
    </w:pPr>
    <w:rPr>
      <w:kern w:val="0"/>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tabs>
        <w:tab w:val="right" w:leader="dot" w:pos="9241"/>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198" w:firstLineChars="200"/>
      <w:jc w:val="left"/>
    </w:pPr>
    <w:rPr>
      <w:rFonts w:ascii="宋体"/>
      <w:szCs w:val="21"/>
    </w:rPr>
  </w:style>
  <w:style w:type="paragraph" w:styleId="22">
    <w:name w:val="index heading"/>
    <w:basedOn w:val="1"/>
    <w:next w:val="23"/>
    <w:semiHidden/>
    <w:qFormat/>
    <w:uiPriority w:val="99"/>
    <w:pPr>
      <w:spacing w:before="120" w:after="120"/>
      <w:jc w:val="center"/>
    </w:pPr>
    <w:rPr>
      <w:rFonts w:ascii="Calibri" w:hAnsi="Calibri"/>
      <w:b/>
      <w:bCs/>
      <w:iCs/>
      <w:szCs w:val="20"/>
    </w:rPr>
  </w:style>
  <w:style w:type="paragraph" w:styleId="23">
    <w:name w:val="index 1"/>
    <w:basedOn w:val="1"/>
    <w:next w:val="24"/>
    <w:semiHidden/>
    <w:qFormat/>
    <w:uiPriority w:val="99"/>
    <w:pPr>
      <w:tabs>
        <w:tab w:val="right" w:leader="dot" w:pos="9299"/>
      </w:tabs>
      <w:jc w:val="left"/>
    </w:pPr>
    <w:rPr>
      <w:rFonts w:ascii="宋体"/>
      <w:szCs w:val="21"/>
    </w:rPr>
  </w:style>
  <w:style w:type="paragraph" w:customStyle="1" w:styleId="24">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1"/>
    <w:semiHidden/>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3" w:firstLineChars="400"/>
      <w:jc w:val="left"/>
    </w:pPr>
    <w:rPr>
      <w:rFonts w:ascii="宋体"/>
      <w:szCs w:val="21"/>
    </w:rPr>
  </w:style>
  <w:style w:type="paragraph" w:styleId="27">
    <w:name w:val="index 7"/>
    <w:basedOn w:val="1"/>
    <w:next w:val="1"/>
    <w:semiHidden/>
    <w:qFormat/>
    <w:uiPriority w:val="99"/>
    <w:pPr>
      <w:ind w:left="1470" w:hanging="210"/>
      <w:jc w:val="left"/>
    </w:pPr>
    <w:rPr>
      <w:rFonts w:ascii="Calibri" w:hAnsi="Calibri"/>
      <w:sz w:val="20"/>
      <w:szCs w:val="20"/>
    </w:rPr>
  </w:style>
  <w:style w:type="paragraph" w:styleId="28">
    <w:name w:val="index 9"/>
    <w:basedOn w:val="1"/>
    <w:next w:val="1"/>
    <w:semiHidden/>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1"/>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index 2"/>
    <w:basedOn w:val="1"/>
    <w:next w:val="1"/>
    <w:semiHidden/>
    <w:qFormat/>
    <w:uiPriority w:val="99"/>
    <w:pPr>
      <w:ind w:left="420" w:hanging="210"/>
      <w:jc w:val="left"/>
    </w:pPr>
    <w:rPr>
      <w:rFonts w:ascii="Calibri" w:hAnsi="Calibri"/>
      <w:sz w:val="20"/>
      <w:szCs w:val="20"/>
    </w:rPr>
  </w:style>
  <w:style w:type="paragraph" w:styleId="32">
    <w:name w:val="annotation subject"/>
    <w:basedOn w:val="9"/>
    <w:next w:val="9"/>
    <w:link w:val="52"/>
    <w:unhideWhenUsed/>
    <w:qFormat/>
    <w:locked/>
    <w:uiPriority w:val="99"/>
    <w:rPr>
      <w:b/>
      <w:bCs/>
    </w:rPr>
  </w:style>
  <w:style w:type="table" w:styleId="34">
    <w:name w:val="Table Grid"/>
    <w:basedOn w:val="33"/>
    <w:qFormat/>
    <w:uiPriority w:val="99"/>
    <w:pPr>
      <w:numPr>
        <w:numId w:val="2"/>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qFormat/>
    <w:uiPriority w:val="99"/>
    <w:rPr>
      <w:rFonts w:cs="Times New Roman"/>
      <w:color w:val="800080"/>
      <w:u w:val="single"/>
    </w:rPr>
  </w:style>
  <w:style w:type="character" w:styleId="39">
    <w:name w:val="Hyperlink"/>
    <w:qFormat/>
    <w:uiPriority w:val="99"/>
    <w:rPr>
      <w:rFonts w:cs="Times New Roman"/>
      <w:color w:val="0000FF"/>
      <w:spacing w:val="0"/>
      <w:w w:val="100"/>
      <w:sz w:val="21"/>
      <w:szCs w:val="21"/>
      <w:u w:val="single"/>
      <w:lang w:val="en-US" w:eastAsia="zh-CN"/>
    </w:rPr>
  </w:style>
  <w:style w:type="character" w:styleId="40">
    <w:name w:val="annotation reference"/>
    <w:unhideWhenUsed/>
    <w:qFormat/>
    <w:locked/>
    <w:uiPriority w:val="99"/>
    <w:rPr>
      <w:sz w:val="21"/>
      <w:szCs w:val="21"/>
    </w:rPr>
  </w:style>
  <w:style w:type="character" w:styleId="41">
    <w:name w:val="footnote reference"/>
    <w:semiHidden/>
    <w:qFormat/>
    <w:uiPriority w:val="99"/>
    <w:rPr>
      <w:rFonts w:cs="Times New Roman"/>
      <w:vertAlign w:val="superscript"/>
    </w:rPr>
  </w:style>
  <w:style w:type="character" w:customStyle="1" w:styleId="42">
    <w:name w:val="标题 2 字符"/>
    <w:link w:val="2"/>
    <w:semiHidden/>
    <w:qFormat/>
    <w:uiPriority w:val="9"/>
    <w:rPr>
      <w:rFonts w:ascii="Cambria" w:hAnsi="Cambria" w:eastAsia="宋体" w:cs="Times New Roman"/>
      <w:b/>
      <w:bCs/>
      <w:kern w:val="2"/>
      <w:sz w:val="32"/>
      <w:szCs w:val="32"/>
    </w:rPr>
  </w:style>
  <w:style w:type="character" w:customStyle="1" w:styleId="43">
    <w:name w:val="标题 3 字符"/>
    <w:link w:val="3"/>
    <w:qFormat/>
    <w:uiPriority w:val="9"/>
    <w:rPr>
      <w:rFonts w:ascii="宋体" w:hAnsi="宋体" w:cs="宋体"/>
      <w:b/>
      <w:bCs/>
      <w:sz w:val="27"/>
      <w:szCs w:val="27"/>
    </w:rPr>
  </w:style>
  <w:style w:type="character" w:customStyle="1" w:styleId="44">
    <w:name w:val="文档结构图 字符"/>
    <w:link w:val="8"/>
    <w:semiHidden/>
    <w:qFormat/>
    <w:locked/>
    <w:uiPriority w:val="99"/>
    <w:rPr>
      <w:rFonts w:ascii="Times New Roman" w:hAnsi="Times New Roman" w:eastAsia="宋体" w:cs="Times New Roman"/>
      <w:sz w:val="24"/>
      <w:szCs w:val="24"/>
      <w:shd w:val="clear" w:color="auto" w:fill="000080"/>
    </w:rPr>
  </w:style>
  <w:style w:type="character" w:customStyle="1" w:styleId="45">
    <w:name w:val="批注文字 字符"/>
    <w:link w:val="9"/>
    <w:qFormat/>
    <w:uiPriority w:val="99"/>
    <w:rPr>
      <w:kern w:val="2"/>
      <w:sz w:val="21"/>
      <w:szCs w:val="24"/>
    </w:rPr>
  </w:style>
  <w:style w:type="character" w:customStyle="1" w:styleId="46">
    <w:name w:val="尾注文本 字符"/>
    <w:link w:val="16"/>
    <w:semiHidden/>
    <w:qFormat/>
    <w:locked/>
    <w:uiPriority w:val="99"/>
    <w:rPr>
      <w:rFonts w:ascii="Times New Roman" w:hAnsi="Times New Roman" w:eastAsia="宋体" w:cs="Times New Roman"/>
      <w:sz w:val="24"/>
      <w:szCs w:val="24"/>
    </w:rPr>
  </w:style>
  <w:style w:type="character" w:customStyle="1" w:styleId="47">
    <w:name w:val="批注框文本 字符"/>
    <w:link w:val="17"/>
    <w:semiHidden/>
    <w:qFormat/>
    <w:locked/>
    <w:uiPriority w:val="99"/>
    <w:rPr>
      <w:rFonts w:ascii="Times New Roman" w:hAnsi="Times New Roman" w:eastAsia="宋体" w:cs="Times New Roman"/>
      <w:sz w:val="18"/>
      <w:szCs w:val="18"/>
    </w:rPr>
  </w:style>
  <w:style w:type="character" w:customStyle="1" w:styleId="48">
    <w:name w:val="页脚 字符"/>
    <w:link w:val="18"/>
    <w:qFormat/>
    <w:locked/>
    <w:uiPriority w:val="99"/>
    <w:rPr>
      <w:rFonts w:cs="Times New Roman"/>
      <w:sz w:val="18"/>
      <w:szCs w:val="18"/>
    </w:rPr>
  </w:style>
  <w:style w:type="character" w:customStyle="1" w:styleId="49">
    <w:name w:val="页眉 字符"/>
    <w:link w:val="19"/>
    <w:qFormat/>
    <w:locked/>
    <w:uiPriority w:val="99"/>
    <w:rPr>
      <w:rFonts w:cs="Times New Roman"/>
      <w:sz w:val="18"/>
      <w:szCs w:val="18"/>
    </w:rPr>
  </w:style>
  <w:style w:type="character" w:customStyle="1" w:styleId="50">
    <w:name w:val="段 Char"/>
    <w:link w:val="24"/>
    <w:qFormat/>
    <w:locked/>
    <w:uiPriority w:val="0"/>
    <w:rPr>
      <w:rFonts w:ascii="宋体"/>
      <w:sz w:val="21"/>
      <w:lang w:val="en-US" w:eastAsia="zh-CN" w:bidi="ar-SA"/>
    </w:rPr>
  </w:style>
  <w:style w:type="character" w:customStyle="1" w:styleId="51">
    <w:name w:val="脚注文本 字符"/>
    <w:link w:val="25"/>
    <w:semiHidden/>
    <w:qFormat/>
    <w:locked/>
    <w:uiPriority w:val="99"/>
    <w:rPr>
      <w:rFonts w:ascii="宋体" w:hAnsi="Times New Roman"/>
      <w:kern w:val="2"/>
      <w:sz w:val="18"/>
      <w:szCs w:val="18"/>
    </w:rPr>
  </w:style>
  <w:style w:type="character" w:customStyle="1" w:styleId="52">
    <w:name w:val="批注主题 字符"/>
    <w:link w:val="32"/>
    <w:semiHidden/>
    <w:qFormat/>
    <w:uiPriority w:val="99"/>
    <w:rPr>
      <w:b/>
      <w:bCs/>
      <w:kern w:val="2"/>
      <w:sz w:val="21"/>
      <w:szCs w:val="24"/>
    </w:rPr>
  </w:style>
  <w:style w:type="character" w:customStyle="1" w:styleId="53">
    <w:name w:val="fontstyle11"/>
    <w:qFormat/>
    <w:uiPriority w:val="0"/>
    <w:rPr>
      <w:rFonts w:hint="default" w:ascii="FZSSK--GBK1-0" w:hAnsi="FZSSK--GBK1-0"/>
      <w:color w:val="000000"/>
      <w:sz w:val="16"/>
      <w:szCs w:val="16"/>
    </w:rPr>
  </w:style>
  <w:style w:type="character" w:customStyle="1" w:styleId="54">
    <w:name w:val="highlight"/>
    <w:qFormat/>
    <w:uiPriority w:val="99"/>
    <w:rPr>
      <w:rFonts w:cs="Times New Roman"/>
    </w:rPr>
  </w:style>
  <w:style w:type="character" w:customStyle="1" w:styleId="55">
    <w:name w:val="fontstyle31"/>
    <w:qFormat/>
    <w:uiPriority w:val="0"/>
    <w:rPr>
      <w:rFonts w:hint="default" w:ascii="Times New Roman" w:hAnsi="Times New Roman" w:cs="Times New Roman"/>
      <w:i/>
      <w:iCs/>
      <w:color w:val="000000"/>
      <w:sz w:val="18"/>
      <w:szCs w:val="18"/>
    </w:rPr>
  </w:style>
  <w:style w:type="character" w:customStyle="1" w:styleId="56">
    <w:name w:val="二级条标题 Char"/>
    <w:link w:val="57"/>
    <w:qFormat/>
    <w:locked/>
    <w:uiPriority w:val="99"/>
    <w:rPr>
      <w:lang w:val="en-US" w:eastAsia="zh-CN" w:bidi="ar-SA"/>
    </w:rPr>
  </w:style>
  <w:style w:type="paragraph" w:customStyle="1" w:styleId="57">
    <w:name w:val="二级条标题"/>
    <w:basedOn w:val="58"/>
    <w:next w:val="24"/>
    <w:link w:val="56"/>
    <w:qFormat/>
    <w:uiPriority w:val="99"/>
    <w:pPr>
      <w:numPr>
        <w:ilvl w:val="2"/>
        <w:numId w:val="3"/>
      </w:numPr>
      <w:spacing w:before="50" w:after="50"/>
      <w:outlineLvl w:val="3"/>
    </w:pPr>
  </w:style>
  <w:style w:type="paragraph" w:customStyle="1" w:styleId="58">
    <w:name w:val="一级条标题"/>
    <w:next w:val="24"/>
    <w:link w:val="59"/>
    <w:qFormat/>
    <w:uiPriority w:val="99"/>
    <w:pPr>
      <w:spacing w:beforeLines="50" w:afterLines="50"/>
      <w:ind w:left="1260"/>
      <w:outlineLvl w:val="2"/>
    </w:pPr>
    <w:rPr>
      <w:rFonts w:ascii="黑体" w:hAnsi="Times New Roman" w:eastAsia="黑体" w:cs="Times New Roman"/>
      <w:sz w:val="21"/>
      <w:szCs w:val="21"/>
      <w:lang w:val="en-US" w:eastAsia="zh-CN" w:bidi="ar-SA"/>
    </w:rPr>
  </w:style>
  <w:style w:type="character" w:customStyle="1" w:styleId="59">
    <w:name w:val="一级条标题 Char"/>
    <w:link w:val="58"/>
    <w:qFormat/>
    <w:locked/>
    <w:uiPriority w:val="99"/>
    <w:rPr>
      <w:rFonts w:ascii="黑体" w:eastAsia="黑体"/>
      <w:sz w:val="21"/>
      <w:szCs w:val="21"/>
      <w:lang w:val="en-US" w:eastAsia="zh-CN" w:bidi="ar-SA"/>
    </w:rPr>
  </w:style>
  <w:style w:type="character" w:customStyle="1" w:styleId="60">
    <w:name w:val="首示例 Char"/>
    <w:link w:val="61"/>
    <w:qFormat/>
    <w:locked/>
    <w:uiPriority w:val="99"/>
    <w:rPr>
      <w:rFonts w:ascii="宋体" w:hAnsi="宋体"/>
      <w:kern w:val="2"/>
      <w:sz w:val="18"/>
      <w:szCs w:val="18"/>
      <w:lang w:val="en-US" w:eastAsia="zh-CN" w:bidi="ar-SA"/>
    </w:rPr>
  </w:style>
  <w:style w:type="paragraph" w:customStyle="1" w:styleId="61">
    <w:name w:val="首示例"/>
    <w:next w:val="24"/>
    <w:link w:val="60"/>
    <w:qFormat/>
    <w:uiPriority w:val="99"/>
    <w:pPr>
      <w:tabs>
        <w:tab w:val="left" w:pos="0"/>
        <w:tab w:val="left" w:pos="360"/>
      </w:tabs>
      <w:ind w:left="720"/>
    </w:pPr>
    <w:rPr>
      <w:rFonts w:ascii="宋体" w:hAnsi="宋体" w:eastAsia="宋体" w:cs="Times New Roman"/>
      <w:kern w:val="2"/>
      <w:sz w:val="18"/>
      <w:szCs w:val="18"/>
      <w:lang w:val="en-US" w:eastAsia="zh-CN" w:bidi="ar-SA"/>
    </w:rPr>
  </w:style>
  <w:style w:type="character" w:customStyle="1" w:styleId="62">
    <w:name w:val="发布"/>
    <w:qFormat/>
    <w:uiPriority w:val="99"/>
    <w:rPr>
      <w:rFonts w:ascii="黑体" w:eastAsia="黑体" w:cs="Times New Roman"/>
      <w:spacing w:val="85"/>
      <w:w w:val="100"/>
      <w:position w:val="3"/>
      <w:sz w:val="28"/>
      <w:szCs w:val="28"/>
    </w:rPr>
  </w:style>
  <w:style w:type="character" w:customStyle="1" w:styleId="63">
    <w:name w:val="fontstyle01"/>
    <w:qFormat/>
    <w:uiPriority w:val="0"/>
    <w:rPr>
      <w:rFonts w:hint="default" w:ascii="E-BZ" w:hAnsi="E-BZ"/>
      <w:color w:val="000000"/>
      <w:sz w:val="16"/>
      <w:szCs w:val="16"/>
    </w:rPr>
  </w:style>
  <w:style w:type="character" w:customStyle="1" w:styleId="64">
    <w:name w:val="附录公式 Char"/>
    <w:link w:val="65"/>
    <w:qFormat/>
    <w:locked/>
    <w:uiPriority w:val="99"/>
    <w:rPr>
      <w:lang w:val="en-US" w:eastAsia="zh-CN" w:bidi="ar-SA"/>
    </w:rPr>
  </w:style>
  <w:style w:type="paragraph" w:customStyle="1" w:styleId="65">
    <w:name w:val="附录公式"/>
    <w:basedOn w:val="24"/>
    <w:next w:val="24"/>
    <w:link w:val="64"/>
    <w:qFormat/>
    <w:uiPriority w:val="99"/>
  </w:style>
  <w:style w:type="character" w:customStyle="1" w:styleId="66">
    <w:name w:val="段 Char Char"/>
    <w:qFormat/>
    <w:uiPriority w:val="0"/>
    <w:rPr>
      <w:rFonts w:ascii="宋体" w:cs="Times New Roman"/>
      <w:sz w:val="21"/>
      <w:lang w:val="en-US" w:eastAsia="zh-CN" w:bidi="ar-SA"/>
    </w:rPr>
  </w:style>
  <w:style w:type="character" w:customStyle="1" w:styleId="67">
    <w:name w:val="二级条标题 Char Char"/>
    <w:qFormat/>
    <w:uiPriority w:val="99"/>
    <w:rPr>
      <w:rFonts w:eastAsia="黑体" w:cs="Times New Roman"/>
      <w:sz w:val="21"/>
      <w:lang w:val="en-US" w:eastAsia="zh-CN" w:bidi="ar-SA"/>
    </w:rPr>
  </w:style>
  <w:style w:type="character" w:customStyle="1" w:styleId="68">
    <w:name w:val="apple-converted-space"/>
    <w:qFormat/>
    <w:uiPriority w:val="99"/>
    <w:rPr>
      <w:rFonts w:cs="Times New Roman"/>
    </w:rPr>
  </w:style>
  <w:style w:type="character" w:customStyle="1" w:styleId="69">
    <w:name w:val="fontstyle21"/>
    <w:qFormat/>
    <w:uiPriority w:val="0"/>
    <w:rPr>
      <w:rFonts w:hint="default" w:ascii="Times New Roman" w:hAnsi="Times New Roman" w:cs="Times New Roman"/>
      <w:color w:val="000000"/>
      <w:sz w:val="18"/>
      <w:szCs w:val="18"/>
    </w:rPr>
  </w:style>
  <w:style w:type="paragraph" w:customStyle="1" w:styleId="7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Char"/>
    <w:basedOn w:val="1"/>
    <w:qFormat/>
    <w:uiPriority w:val="99"/>
    <w:rPr>
      <w:szCs w:val="20"/>
    </w:rPr>
  </w:style>
  <w:style w:type="paragraph" w:customStyle="1" w:styleId="72">
    <w:name w:val="封面标准文稿类别"/>
    <w:basedOn w:val="73"/>
    <w:qFormat/>
    <w:uiPriority w:val="99"/>
    <w:pPr>
      <w:framePr w:wrap="around"/>
      <w:spacing w:after="160" w:line="240" w:lineRule="auto"/>
    </w:pPr>
    <w:rPr>
      <w:sz w:val="24"/>
    </w:rPr>
  </w:style>
  <w:style w:type="paragraph" w:customStyle="1" w:styleId="73">
    <w:name w:val="封面一致性程度标识"/>
    <w:basedOn w:val="74"/>
    <w:qFormat/>
    <w:uiPriority w:val="99"/>
    <w:pPr>
      <w:framePr w:wrap="around"/>
      <w:spacing w:before="440"/>
    </w:pPr>
    <w:rPr>
      <w:rFonts w:ascii="宋体" w:eastAsia="宋体"/>
    </w:rPr>
  </w:style>
  <w:style w:type="paragraph" w:customStyle="1" w:styleId="74">
    <w:name w:val="封面标准英文名称"/>
    <w:basedOn w:val="75"/>
    <w:qFormat/>
    <w:uiPriority w:val="99"/>
    <w:pPr>
      <w:framePr w:wrap="around"/>
      <w:spacing w:before="370" w:line="400" w:lineRule="exact"/>
    </w:pPr>
    <w:rPr>
      <w:rFonts w:ascii="Times New Roman"/>
      <w:sz w:val="28"/>
      <w:szCs w:val="28"/>
    </w:rPr>
  </w:style>
  <w:style w:type="paragraph" w:customStyle="1" w:styleId="7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附录三级无"/>
    <w:basedOn w:val="77"/>
    <w:qFormat/>
    <w:uiPriority w:val="99"/>
    <w:pPr>
      <w:tabs>
        <w:tab w:val="left" w:pos="360"/>
      </w:tabs>
      <w:spacing w:beforeLines="0" w:afterLines="0"/>
    </w:pPr>
    <w:rPr>
      <w:rFonts w:ascii="宋体" w:eastAsia="宋体"/>
      <w:szCs w:val="21"/>
    </w:rPr>
  </w:style>
  <w:style w:type="paragraph" w:customStyle="1" w:styleId="77">
    <w:name w:val="附录三级条标题"/>
    <w:basedOn w:val="78"/>
    <w:next w:val="24"/>
    <w:qFormat/>
    <w:uiPriority w:val="99"/>
    <w:pPr>
      <w:tabs>
        <w:tab w:val="left" w:pos="360"/>
      </w:tabs>
      <w:outlineLvl w:val="4"/>
    </w:pPr>
  </w:style>
  <w:style w:type="paragraph" w:customStyle="1" w:styleId="78">
    <w:name w:val="附录二级条标题"/>
    <w:basedOn w:val="1"/>
    <w:next w:val="24"/>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9">
    <w:name w:val="四级无"/>
    <w:basedOn w:val="80"/>
    <w:qFormat/>
    <w:uiPriority w:val="99"/>
    <w:pPr>
      <w:numPr>
        <w:ilvl w:val="0"/>
        <w:numId w:val="4"/>
      </w:numPr>
      <w:tabs>
        <w:tab w:val="left" w:pos="360"/>
      </w:tabs>
      <w:spacing w:beforeLines="0" w:afterLines="0"/>
      <w:ind w:firstLine="363"/>
    </w:pPr>
    <w:rPr>
      <w:rFonts w:ascii="宋体" w:eastAsia="宋体"/>
    </w:rPr>
  </w:style>
  <w:style w:type="paragraph" w:customStyle="1" w:styleId="80">
    <w:name w:val="四级条标题"/>
    <w:basedOn w:val="81"/>
    <w:next w:val="24"/>
    <w:qFormat/>
    <w:uiPriority w:val="99"/>
    <w:pPr>
      <w:numPr>
        <w:ilvl w:val="4"/>
      </w:numPr>
      <w:tabs>
        <w:tab w:val="left" w:pos="360"/>
      </w:tabs>
      <w:outlineLvl w:val="5"/>
    </w:pPr>
  </w:style>
  <w:style w:type="paragraph" w:customStyle="1" w:styleId="81">
    <w:name w:val="三级条标题"/>
    <w:basedOn w:val="57"/>
    <w:next w:val="24"/>
    <w:qFormat/>
    <w:uiPriority w:val="99"/>
    <w:pPr>
      <w:numPr>
        <w:ilvl w:val="3"/>
      </w:numPr>
      <w:tabs>
        <w:tab w:val="left" w:pos="360"/>
      </w:tabs>
      <w:outlineLvl w:val="4"/>
    </w:pPr>
  </w:style>
  <w:style w:type="paragraph" w:customStyle="1" w:styleId="82">
    <w:name w:val="封面标准英文名称2"/>
    <w:basedOn w:val="74"/>
    <w:qFormat/>
    <w:uiPriority w:val="99"/>
    <w:pPr>
      <w:framePr w:wrap="around" w:y="4469"/>
    </w:pPr>
  </w:style>
  <w:style w:type="paragraph" w:customStyle="1" w:styleId="8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一级无"/>
    <w:basedOn w:val="58"/>
    <w:qFormat/>
    <w:uiPriority w:val="99"/>
    <w:pPr>
      <w:numPr>
        <w:ilvl w:val="1"/>
        <w:numId w:val="3"/>
      </w:numPr>
      <w:spacing w:beforeLines="0" w:afterLines="0"/>
    </w:pPr>
    <w:rPr>
      <w:rFonts w:ascii="宋体" w:eastAsia="宋体"/>
    </w:rPr>
  </w:style>
  <w:style w:type="paragraph" w:customStyle="1" w:styleId="85">
    <w:name w:val="附录表标号"/>
    <w:basedOn w:val="1"/>
    <w:next w:val="24"/>
    <w:qFormat/>
    <w:uiPriority w:val="99"/>
    <w:pPr>
      <w:numPr>
        <w:ilvl w:val="0"/>
        <w:numId w:val="5"/>
      </w:numPr>
      <w:spacing w:line="14" w:lineRule="exact"/>
      <w:ind w:left="811" w:hanging="448"/>
      <w:jc w:val="center"/>
      <w:outlineLvl w:val="0"/>
    </w:pPr>
    <w:rPr>
      <w:color w:val="FFFFFF"/>
    </w:rPr>
  </w:style>
  <w:style w:type="paragraph" w:customStyle="1" w:styleId="86">
    <w:name w:val="附录字母编号列项（一级）"/>
    <w:qFormat/>
    <w:uiPriority w:val="99"/>
    <w:pPr>
      <w:numPr>
        <w:ilvl w:val="0"/>
        <w:numId w:val="6"/>
      </w:numPr>
    </w:pPr>
    <w:rPr>
      <w:rFonts w:ascii="宋体" w:hAnsi="Times New Roman" w:eastAsia="宋体" w:cs="Times New Roman"/>
      <w:sz w:val="21"/>
      <w:lang w:val="en-US" w:eastAsia="zh-CN" w:bidi="ar-SA"/>
    </w:rPr>
  </w:style>
  <w:style w:type="paragraph" w:customStyle="1" w:styleId="87">
    <w:name w:val="示例"/>
    <w:next w:val="70"/>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88">
    <w:name w:val="附录标识"/>
    <w:basedOn w:val="1"/>
    <w:next w:val="24"/>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条文脚注"/>
    <w:basedOn w:val="25"/>
    <w:qFormat/>
    <w:uiPriority w:val="99"/>
    <w:pPr>
      <w:numPr>
        <w:numId w:val="0"/>
      </w:numPr>
      <w:jc w:val="both"/>
    </w:pPr>
  </w:style>
  <w:style w:type="paragraph" w:customStyle="1" w:styleId="90">
    <w:name w:val="字母编号列项（一级）"/>
    <w:qFormat/>
    <w:uiPriority w:val="99"/>
    <w:pPr>
      <w:numPr>
        <w:ilvl w:val="0"/>
        <w:numId w:val="8"/>
      </w:numPr>
      <w:jc w:val="both"/>
    </w:pPr>
    <w:rPr>
      <w:rFonts w:ascii="宋体" w:hAnsi="Times New Roman" w:eastAsia="宋体" w:cs="Times New Roman"/>
      <w:sz w:val="21"/>
      <w:lang w:val="en-US" w:eastAsia="zh-CN" w:bidi="ar-SA"/>
    </w:rPr>
  </w:style>
  <w:style w:type="paragraph" w:customStyle="1" w:styleId="91">
    <w:name w:val="附录数字编号列项（二级）"/>
    <w:qFormat/>
    <w:uiPriority w:val="99"/>
    <w:pPr>
      <w:numPr>
        <w:ilvl w:val="1"/>
        <w:numId w:val="6"/>
      </w:numPr>
    </w:pPr>
    <w:rPr>
      <w:rFonts w:ascii="宋体" w:hAnsi="Times New Roman" w:eastAsia="宋体" w:cs="Times New Roman"/>
      <w:sz w:val="21"/>
      <w:lang w:val="en-US" w:eastAsia="zh-CN" w:bidi="ar-SA"/>
    </w:rPr>
  </w:style>
  <w:style w:type="paragraph" w:customStyle="1" w:styleId="92">
    <w:name w:val="注×：（正文）"/>
    <w:qFormat/>
    <w:uiPriority w:val="99"/>
    <w:pPr>
      <w:numPr>
        <w:ilvl w:val="0"/>
        <w:numId w:val="9"/>
      </w:numPr>
      <w:jc w:val="both"/>
    </w:pPr>
    <w:rPr>
      <w:rFonts w:ascii="宋体" w:hAnsi="Times New Roman" w:eastAsia="宋体" w:cs="Times New Roman"/>
      <w:sz w:val="18"/>
      <w:szCs w:val="18"/>
      <w:lang w:val="en-US" w:eastAsia="zh-CN" w:bidi="ar-SA"/>
    </w:rPr>
  </w:style>
  <w:style w:type="paragraph" w:customStyle="1" w:styleId="93">
    <w:name w:val="附录四级条标题"/>
    <w:basedOn w:val="77"/>
    <w:next w:val="24"/>
    <w:qFormat/>
    <w:uiPriority w:val="99"/>
    <w:pPr>
      <w:outlineLvl w:val="5"/>
    </w:pPr>
  </w:style>
  <w:style w:type="paragraph" w:customStyle="1" w:styleId="94">
    <w:name w:val="封面标准文稿编辑信息"/>
    <w:basedOn w:val="72"/>
    <w:qFormat/>
    <w:uiPriority w:val="99"/>
    <w:pPr>
      <w:framePr w:wrap="around"/>
      <w:spacing w:before="180" w:line="180" w:lineRule="exact"/>
    </w:pPr>
    <w:rPr>
      <w:sz w:val="21"/>
    </w:rPr>
  </w:style>
  <w:style w:type="paragraph" w:customStyle="1" w:styleId="9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6">
    <w:name w:val="章标题"/>
    <w:next w:val="24"/>
    <w:qFormat/>
    <w:uiPriority w:val="99"/>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9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8">
    <w:name w:val="封面标准文稿编辑信息2"/>
    <w:basedOn w:val="94"/>
    <w:qFormat/>
    <w:uiPriority w:val="99"/>
    <w:pPr>
      <w:framePr w:wrap="around" w:y="4469"/>
    </w:pPr>
  </w:style>
  <w:style w:type="paragraph" w:customStyle="1" w:styleId="99">
    <w:name w:val="注："/>
    <w:next w:val="24"/>
    <w:qFormat/>
    <w:uiPriority w:val="99"/>
    <w:pPr>
      <w:widowControl w:val="0"/>
      <w:numPr>
        <w:ilvl w:val="0"/>
        <w:numId w:val="10"/>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0">
    <w:name w:val="附录二级无"/>
    <w:basedOn w:val="78"/>
    <w:qFormat/>
    <w:uiPriority w:val="99"/>
    <w:pPr>
      <w:tabs>
        <w:tab w:val="clear" w:pos="360"/>
      </w:tabs>
      <w:spacing w:beforeLines="0" w:afterLines="0"/>
    </w:pPr>
    <w:rPr>
      <w:rFonts w:ascii="宋体" w:eastAsia="宋体"/>
      <w:szCs w:val="21"/>
    </w:rPr>
  </w:style>
  <w:style w:type="paragraph" w:customStyle="1" w:styleId="10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0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四级无"/>
    <w:basedOn w:val="93"/>
    <w:qFormat/>
    <w:uiPriority w:val="99"/>
    <w:pPr>
      <w:tabs>
        <w:tab w:val="clear" w:pos="360"/>
      </w:tabs>
      <w:spacing w:beforeLines="0" w:afterLines="0"/>
    </w:pPr>
    <w:rPr>
      <w:rFonts w:ascii="宋体" w:eastAsia="宋体"/>
      <w:szCs w:val="21"/>
    </w:rPr>
  </w:style>
  <w:style w:type="paragraph" w:customStyle="1" w:styleId="10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5">
    <w:name w:val="注×："/>
    <w:qFormat/>
    <w:uiPriority w:val="99"/>
    <w:pPr>
      <w:widowControl w:val="0"/>
      <w:autoSpaceDE w:val="0"/>
      <w:autoSpaceDN w:val="0"/>
      <w:ind w:left="833" w:hanging="408"/>
      <w:jc w:val="both"/>
    </w:pPr>
    <w:rPr>
      <w:rFonts w:ascii="宋体" w:hAnsi="Times New Roman" w:eastAsia="宋体" w:cs="Times New Roman"/>
      <w:sz w:val="18"/>
      <w:szCs w:val="18"/>
      <w:lang w:val="en-US" w:eastAsia="zh-CN" w:bidi="ar-SA"/>
    </w:rPr>
  </w:style>
  <w:style w:type="paragraph" w:customStyle="1" w:styleId="106">
    <w:name w:val="示例×："/>
    <w:basedOn w:val="96"/>
    <w:qFormat/>
    <w:uiPriority w:val="99"/>
    <w:pPr>
      <w:numPr>
        <w:numId w:val="0"/>
      </w:numPr>
      <w:tabs>
        <w:tab w:val="left" w:pos="0"/>
      </w:tabs>
      <w:spacing w:beforeLines="0" w:afterLines="0"/>
      <w:ind w:hanging="425"/>
      <w:outlineLvl w:val="9"/>
    </w:pPr>
    <w:rPr>
      <w:rFonts w:ascii="宋体" w:eastAsia="宋体"/>
      <w:sz w:val="18"/>
      <w:szCs w:val="18"/>
    </w:rPr>
  </w:style>
  <w:style w:type="paragraph" w:customStyle="1" w:styleId="107">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终结线"/>
    <w:basedOn w:val="1"/>
    <w:qFormat/>
    <w:uiPriority w:val="99"/>
    <w:pPr>
      <w:framePr w:hSpace="181" w:vSpace="181" w:wrap="around" w:vAnchor="text" w:hAnchor="margin" w:xAlign="center" w:y="285"/>
    </w:pPr>
  </w:style>
  <w:style w:type="paragraph" w:customStyle="1" w:styleId="10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0">
    <w:name w:val="封面正文"/>
    <w:qFormat/>
    <w:uiPriority w:val="99"/>
    <w:pPr>
      <w:jc w:val="both"/>
    </w:pPr>
    <w:rPr>
      <w:rFonts w:ascii="Times New Roman" w:hAnsi="Times New Roman" w:eastAsia="宋体" w:cs="Times New Roman"/>
      <w:lang w:val="en-US" w:eastAsia="zh-CN" w:bidi="ar-SA"/>
    </w:rPr>
  </w:style>
  <w:style w:type="paragraph" w:customStyle="1" w:styleId="111">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2">
    <w:name w:val="注：（正文）"/>
    <w:basedOn w:val="99"/>
    <w:next w:val="24"/>
    <w:qFormat/>
    <w:uiPriority w:val="99"/>
  </w:style>
  <w:style w:type="paragraph" w:customStyle="1" w:styleId="113">
    <w:name w:val="附录一级条标题"/>
    <w:basedOn w:val="114"/>
    <w:next w:val="24"/>
    <w:qFormat/>
    <w:uiPriority w:val="99"/>
    <w:pPr>
      <w:numPr>
        <w:ilvl w:val="0"/>
        <w:numId w:val="0"/>
      </w:numPr>
      <w:autoSpaceDN w:val="0"/>
      <w:spacing w:beforeLines="50" w:afterLines="50"/>
      <w:outlineLvl w:val="2"/>
    </w:pPr>
  </w:style>
  <w:style w:type="paragraph" w:customStyle="1" w:styleId="114">
    <w:name w:val="附录章标题"/>
    <w:next w:val="24"/>
    <w:qFormat/>
    <w:uiPriority w:val="99"/>
    <w:pPr>
      <w:numPr>
        <w:ilvl w:val="1"/>
        <w:numId w:val="7"/>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列项●（二级）"/>
    <w:qFormat/>
    <w:uiPriority w:val="99"/>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16">
    <w:name w:val="三级无"/>
    <w:basedOn w:val="81"/>
    <w:qFormat/>
    <w:uiPriority w:val="99"/>
    <w:pPr>
      <w:spacing w:beforeLines="0" w:afterLines="0"/>
    </w:pPr>
    <w:rPr>
      <w:rFonts w:ascii="宋体" w:eastAsia="宋体"/>
    </w:rPr>
  </w:style>
  <w:style w:type="paragraph" w:customStyle="1" w:styleId="117">
    <w:name w:val="其他发布日期"/>
    <w:basedOn w:val="83"/>
    <w:qFormat/>
    <w:uiPriority w:val="99"/>
    <w:pPr>
      <w:framePr w:wrap="around" w:vAnchor="page" w:hAnchor="text" w:x="1419"/>
      <w:numPr>
        <w:ilvl w:val="0"/>
        <w:numId w:val="2"/>
      </w:numPr>
    </w:pPr>
  </w:style>
  <w:style w:type="paragraph" w:customStyle="1" w:styleId="11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19">
    <w:name w:val="封面标准文稿类别2"/>
    <w:basedOn w:val="72"/>
    <w:qFormat/>
    <w:uiPriority w:val="99"/>
    <w:pPr>
      <w:framePr w:wrap="around" w:y="4469"/>
    </w:pPr>
  </w:style>
  <w:style w:type="paragraph" w:customStyle="1" w:styleId="120">
    <w:name w:val="其他实施日期"/>
    <w:basedOn w:val="121"/>
    <w:qFormat/>
    <w:uiPriority w:val="99"/>
    <w:pPr>
      <w:framePr w:wrap="around"/>
    </w:pPr>
  </w:style>
  <w:style w:type="paragraph" w:customStyle="1" w:styleId="121">
    <w:name w:val="实施日期"/>
    <w:basedOn w:val="83"/>
    <w:qFormat/>
    <w:uiPriority w:val="99"/>
    <w:pPr>
      <w:framePr w:wrap="around" w:vAnchor="page" w:hAnchor="text"/>
      <w:jc w:val="right"/>
    </w:pPr>
  </w:style>
  <w:style w:type="paragraph" w:customStyle="1" w:styleId="122">
    <w:name w:val="二级无"/>
    <w:basedOn w:val="57"/>
    <w:qFormat/>
    <w:uiPriority w:val="99"/>
    <w:pPr>
      <w:spacing w:beforeLines="0" w:afterLines="0"/>
    </w:pPr>
    <w:rPr>
      <w:rFonts w:ascii="宋体" w:eastAsia="宋体"/>
    </w:rPr>
  </w:style>
  <w:style w:type="paragraph" w:customStyle="1" w:styleId="123">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其他发布部门"/>
    <w:basedOn w:val="111"/>
    <w:qFormat/>
    <w:uiPriority w:val="99"/>
    <w:pPr>
      <w:framePr w:wrap="around" w:y="15310"/>
      <w:spacing w:line="240" w:lineRule="atLeast"/>
    </w:pPr>
    <w:rPr>
      <w:rFonts w:ascii="黑体" w:eastAsia="黑体"/>
      <w:b w:val="0"/>
    </w:rPr>
  </w:style>
  <w:style w:type="paragraph" w:customStyle="1" w:styleId="125">
    <w:name w:val="附录图标号"/>
    <w:basedOn w:val="1"/>
    <w:qFormat/>
    <w:uiPriority w:val="99"/>
    <w:pPr>
      <w:keepNext/>
      <w:pageBreakBefore/>
      <w:widowControl/>
      <w:numPr>
        <w:ilvl w:val="0"/>
        <w:numId w:val="12"/>
      </w:numPr>
      <w:spacing w:line="14" w:lineRule="exact"/>
      <w:ind w:left="0" w:firstLine="363"/>
      <w:jc w:val="center"/>
      <w:outlineLvl w:val="0"/>
    </w:pPr>
    <w:rPr>
      <w:color w:val="FFFFFF"/>
    </w:rPr>
  </w:style>
  <w:style w:type="paragraph" w:customStyle="1" w:styleId="12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7">
    <w:name w:val="附录表标题"/>
    <w:basedOn w:val="1"/>
    <w:next w:val="24"/>
    <w:qFormat/>
    <w:uiPriority w:val="0"/>
    <w:pPr>
      <w:numPr>
        <w:ilvl w:val="1"/>
        <w:numId w:val="5"/>
      </w:numPr>
      <w:spacing w:beforeLines="50" w:afterLines="50"/>
      <w:jc w:val="center"/>
    </w:pPr>
    <w:rPr>
      <w:rFonts w:ascii="黑体" w:eastAsia="黑体"/>
      <w:szCs w:val="21"/>
    </w:rPr>
  </w:style>
  <w:style w:type="paragraph" w:customStyle="1" w:styleId="128">
    <w:name w:val="封面一致性程度标识2"/>
    <w:basedOn w:val="73"/>
    <w:qFormat/>
    <w:uiPriority w:val="99"/>
    <w:pPr>
      <w:framePr w:wrap="around" w:y="4469"/>
    </w:pPr>
  </w:style>
  <w:style w:type="paragraph" w:customStyle="1" w:styleId="129">
    <w:name w:val="附录五级无"/>
    <w:basedOn w:val="130"/>
    <w:qFormat/>
    <w:uiPriority w:val="99"/>
    <w:pPr>
      <w:tabs>
        <w:tab w:val="left" w:pos="360"/>
      </w:tabs>
      <w:spacing w:beforeLines="0" w:afterLines="0"/>
    </w:pPr>
    <w:rPr>
      <w:rFonts w:ascii="宋体" w:eastAsia="宋体"/>
      <w:szCs w:val="21"/>
    </w:rPr>
  </w:style>
  <w:style w:type="paragraph" w:customStyle="1" w:styleId="130">
    <w:name w:val="附录五级条标题"/>
    <w:basedOn w:val="93"/>
    <w:next w:val="24"/>
    <w:qFormat/>
    <w:uiPriority w:val="99"/>
    <w:pPr>
      <w:outlineLvl w:val="6"/>
    </w:pPr>
  </w:style>
  <w:style w:type="paragraph" w:customStyle="1" w:styleId="131">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编号列项（三级）"/>
    <w:qFormat/>
    <w:uiPriority w:val="99"/>
    <w:pPr>
      <w:numPr>
        <w:ilvl w:val="2"/>
        <w:numId w:val="8"/>
      </w:numPr>
    </w:pPr>
    <w:rPr>
      <w:rFonts w:ascii="宋体" w:hAnsi="Times New Roman" w:eastAsia="宋体" w:cs="Times New Roman"/>
      <w:sz w:val="21"/>
      <w:lang w:val="en-US" w:eastAsia="zh-CN" w:bidi="ar-SA"/>
    </w:rPr>
  </w:style>
  <w:style w:type="paragraph" w:customStyle="1" w:styleId="133">
    <w:name w:val="五级无"/>
    <w:basedOn w:val="134"/>
    <w:qFormat/>
    <w:uiPriority w:val="99"/>
    <w:pPr>
      <w:tabs>
        <w:tab w:val="left" w:pos="360"/>
      </w:tabs>
      <w:spacing w:beforeLines="0" w:afterLines="0"/>
    </w:pPr>
    <w:rPr>
      <w:rFonts w:ascii="宋体" w:eastAsia="宋体"/>
    </w:rPr>
  </w:style>
  <w:style w:type="paragraph" w:customStyle="1" w:styleId="134">
    <w:name w:val="五级条标题"/>
    <w:basedOn w:val="80"/>
    <w:next w:val="24"/>
    <w:qFormat/>
    <w:uiPriority w:val="99"/>
    <w:pPr>
      <w:numPr>
        <w:ilvl w:val="0"/>
        <w:numId w:val="0"/>
      </w:numPr>
      <w:ind w:firstLine="363"/>
      <w:outlineLvl w:val="6"/>
    </w:pPr>
  </w:style>
  <w:style w:type="paragraph" w:customStyle="1" w:styleId="135">
    <w:name w:val="正文图标题"/>
    <w:next w:val="24"/>
    <w:qFormat/>
    <w:uiPriority w:val="99"/>
    <w:pPr>
      <w:tabs>
        <w:tab w:val="left" w:pos="360"/>
        <w:tab w:val="left" w:pos="839"/>
      </w:tabs>
      <w:spacing w:beforeLines="50" w:afterLines="50"/>
      <w:ind w:left="839" w:hanging="419"/>
      <w:jc w:val="center"/>
    </w:pPr>
    <w:rPr>
      <w:rFonts w:ascii="黑体" w:hAnsi="Times New Roman" w:eastAsia="黑体" w:cs="Times New Roman"/>
      <w:sz w:val="21"/>
      <w:lang w:val="en-US" w:eastAsia="zh-CN" w:bidi="ar-SA"/>
    </w:rPr>
  </w:style>
  <w:style w:type="paragraph" w:customStyle="1" w:styleId="13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7">
    <w:name w:val="图标脚注说明"/>
    <w:basedOn w:val="24"/>
    <w:qFormat/>
    <w:uiPriority w:val="99"/>
    <w:pPr>
      <w:ind w:left="840" w:hanging="420" w:firstLineChars="0"/>
    </w:pPr>
    <w:rPr>
      <w:sz w:val="18"/>
      <w:szCs w:val="18"/>
    </w:rPr>
  </w:style>
  <w:style w:type="paragraph" w:customStyle="1" w:styleId="138">
    <w:name w:val="数字编号列项（二级）"/>
    <w:qFormat/>
    <w:uiPriority w:val="99"/>
    <w:pPr>
      <w:numPr>
        <w:ilvl w:val="1"/>
        <w:numId w:val="8"/>
      </w:numPr>
      <w:jc w:val="both"/>
    </w:pPr>
    <w:rPr>
      <w:rFonts w:ascii="宋体" w:hAnsi="Times New Roman" w:eastAsia="宋体" w:cs="Times New Roman"/>
      <w:sz w:val="21"/>
      <w:lang w:val="en-US" w:eastAsia="zh-CN" w:bidi="ar-SA"/>
    </w:rPr>
  </w:style>
  <w:style w:type="paragraph" w:customStyle="1" w:styleId="13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0">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1">
    <w:name w:val="列项——（一级）"/>
    <w:qFormat/>
    <w:uiPriority w:val="99"/>
    <w:pPr>
      <w:widowControl w:val="0"/>
      <w:numPr>
        <w:ilvl w:val="0"/>
        <w:numId w:val="11"/>
      </w:numPr>
      <w:jc w:val="both"/>
    </w:pPr>
    <w:rPr>
      <w:rFonts w:ascii="宋体" w:hAnsi="Times New Roman" w:eastAsia="宋体" w:cs="Times New Roman"/>
      <w:sz w:val="21"/>
      <w:lang w:val="en-US" w:eastAsia="zh-CN" w:bidi="ar-SA"/>
    </w:rPr>
  </w:style>
  <w:style w:type="paragraph" w:customStyle="1" w:styleId="142">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3">
    <w:name w:val="图表脚注说明"/>
    <w:basedOn w:val="1"/>
    <w:qFormat/>
    <w:uiPriority w:val="99"/>
    <w:rPr>
      <w:rFonts w:ascii="宋体"/>
      <w:sz w:val="18"/>
      <w:szCs w:val="18"/>
    </w:rPr>
  </w:style>
  <w:style w:type="paragraph" w:customStyle="1" w:styleId="144">
    <w:name w:val="封面标准名称2"/>
    <w:basedOn w:val="75"/>
    <w:qFormat/>
    <w:uiPriority w:val="99"/>
    <w:pPr>
      <w:framePr w:wrap="around" w:y="4469"/>
      <w:spacing w:beforeLines="630"/>
    </w:pPr>
  </w:style>
  <w:style w:type="paragraph" w:customStyle="1" w:styleId="145">
    <w:name w:val="标准书眉一"/>
    <w:qFormat/>
    <w:uiPriority w:val="99"/>
    <w:pPr>
      <w:jc w:val="both"/>
    </w:pPr>
    <w:rPr>
      <w:rFonts w:ascii="Times New Roman" w:hAnsi="Times New Roman" w:eastAsia="宋体" w:cs="Times New Roman"/>
      <w:lang w:val="en-US" w:eastAsia="zh-CN" w:bidi="ar-SA"/>
    </w:rPr>
  </w:style>
  <w:style w:type="paragraph" w:customStyle="1" w:styleId="146">
    <w:name w:val="正文表标题"/>
    <w:next w:val="24"/>
    <w:qFormat/>
    <w:uiPriority w:val="99"/>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147">
    <w:name w:val="附录图标题"/>
    <w:basedOn w:val="1"/>
    <w:next w:val="24"/>
    <w:qFormat/>
    <w:uiPriority w:val="99"/>
    <w:pPr>
      <w:numPr>
        <w:ilvl w:val="1"/>
        <w:numId w:val="12"/>
      </w:numPr>
      <w:tabs>
        <w:tab w:val="left" w:pos="363"/>
      </w:tabs>
      <w:spacing w:beforeLines="50" w:afterLines="50"/>
      <w:ind w:left="0" w:firstLine="0"/>
      <w:jc w:val="center"/>
    </w:pPr>
    <w:rPr>
      <w:rFonts w:ascii="黑体" w:eastAsia="黑体"/>
      <w:szCs w:val="21"/>
    </w:rPr>
  </w:style>
  <w:style w:type="paragraph" w:customStyle="1" w:styleId="148">
    <w:name w:val="示例后文字"/>
    <w:basedOn w:val="24"/>
    <w:next w:val="24"/>
    <w:qFormat/>
    <w:uiPriority w:val="99"/>
    <w:pPr>
      <w:ind w:firstLine="360"/>
    </w:pPr>
    <w:rPr>
      <w:sz w:val="18"/>
    </w:rPr>
  </w:style>
  <w:style w:type="paragraph" w:customStyle="1" w:styleId="149">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0">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51">
    <w:name w:val="列项◆（三级）"/>
    <w:basedOn w:val="1"/>
    <w:qFormat/>
    <w:uiPriority w:val="99"/>
    <w:pPr>
      <w:numPr>
        <w:ilvl w:val="2"/>
        <w:numId w:val="11"/>
      </w:numPr>
    </w:pPr>
    <w:rPr>
      <w:rFonts w:ascii="宋体"/>
      <w:szCs w:val="21"/>
    </w:rPr>
  </w:style>
  <w:style w:type="paragraph" w:customStyle="1" w:styleId="15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3">
    <w:name w:val="其他标准标志"/>
    <w:basedOn w:val="95"/>
    <w:qFormat/>
    <w:uiPriority w:val="99"/>
    <w:pPr>
      <w:framePr w:w="6101" w:wrap="around" w:vAnchor="page" w:hAnchor="page" w:x="4673" w:y="942"/>
    </w:pPr>
    <w:rPr>
      <w:w w:val="130"/>
    </w:rPr>
  </w:style>
  <w:style w:type="paragraph" w:customStyle="1" w:styleId="154">
    <w:name w:val="附录一级无"/>
    <w:basedOn w:val="113"/>
    <w:qFormat/>
    <w:uiPriority w:val="99"/>
    <w:pPr>
      <w:spacing w:beforeLines="0" w:afterLines="0"/>
    </w:pPr>
    <w:rPr>
      <w:rFonts w:ascii="宋体" w:eastAsia="宋体"/>
      <w:szCs w:val="21"/>
    </w:rPr>
  </w:style>
  <w:style w:type="paragraph" w:customStyle="1" w:styleId="155">
    <w:name w:val="附录标题"/>
    <w:basedOn w:val="24"/>
    <w:next w:val="24"/>
    <w:qFormat/>
    <w:uiPriority w:val="99"/>
    <w:pPr>
      <w:ind w:firstLine="0" w:firstLineChars="0"/>
      <w:jc w:val="center"/>
    </w:pPr>
    <w:rPr>
      <w:rFonts w:ascii="黑体" w:eastAsia="黑体"/>
    </w:rPr>
  </w:style>
  <w:style w:type="paragraph" w:customStyle="1" w:styleId="156">
    <w:name w:val="正文公式编号制表符"/>
    <w:basedOn w:val="24"/>
    <w:next w:val="24"/>
    <w:qFormat/>
    <w:uiPriority w:val="99"/>
    <w:pPr>
      <w:ind w:firstLine="0" w:firstLineChars="0"/>
    </w:pPr>
  </w:style>
  <w:style w:type="paragraph" w:customStyle="1" w:styleId="157">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58">
    <w:name w:val="标准书眉_偶数页"/>
    <w:basedOn w:val="139"/>
    <w:next w:val="1"/>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2285</Words>
  <Characters>2830</Characters>
  <Lines>27</Lines>
  <Paragraphs>7</Paragraphs>
  <TotalTime>0</TotalTime>
  <ScaleCrop>false</ScaleCrop>
  <LinksUpToDate>false</LinksUpToDate>
  <CharactersWithSpaces>3245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2025-07-15T01:48:00Z</dcterms:created>
  <dc:creator>ljz</dc:creator>
  <cp:lastModifiedBy>王杉</cp:lastModifiedBy>
  <cp:lastPrinted>2025-07-10T08:19:00Z</cp:lastPrinted>
  <dcterms:modified xsi:type="dcterms:W3CDTF">2025-07-19T02:57:07Z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EE950F65B57846DE98B9AB862913D6A1_13</vt:lpwstr>
  </property>
  <property fmtid="{D5CDD505-2E9C-101B-9397-08002B2CF9AE}" pid="4" name="KSOTemplateDocerSaveRecord">
    <vt:lpwstr>eyJoZGlkIjoiMGI2N2QwMjBiYzM2YzkzYzgwOTZhN2M1OTBkYmVjNDIiLCJ1c2VySWQiOiIxNTEyMDI3NTM4In0=</vt:lpwstr>
  </property>
</Properties>
</file>