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399D" w14:textId="77777777" w:rsidR="004F412E" w:rsidRDefault="00000000">
      <w:pPr>
        <w:spacing w:line="600" w:lineRule="exact"/>
        <w:jc w:val="center"/>
        <w:rPr>
          <w:rFonts w:ascii="方正小标宋简体" w:eastAsia="方正小标宋简体" w:hAnsi="宋体" w:hint="eastAsia"/>
          <w:color w:val="000000"/>
          <w:sz w:val="44"/>
          <w:szCs w:val="32"/>
        </w:rPr>
      </w:pPr>
      <w:r>
        <w:rPr>
          <w:rFonts w:ascii="方正小标宋简体" w:eastAsia="方正小标宋简体" w:hAnsi="宋体" w:hint="eastAsia"/>
          <w:color w:val="000000"/>
          <w:sz w:val="44"/>
          <w:szCs w:val="32"/>
        </w:rPr>
        <w:t>团体标准《钩藤实生苗繁育技术规程》</w:t>
      </w:r>
    </w:p>
    <w:p w14:paraId="61363857" w14:textId="77777777" w:rsidR="004F412E" w:rsidRDefault="00000000">
      <w:pPr>
        <w:spacing w:line="600" w:lineRule="exact"/>
        <w:jc w:val="center"/>
        <w:rPr>
          <w:rFonts w:ascii="方正小标宋简体" w:eastAsia="方正小标宋简体" w:hAnsi="宋体" w:hint="eastAsia"/>
          <w:color w:val="000000"/>
          <w:sz w:val="44"/>
          <w:szCs w:val="32"/>
        </w:rPr>
      </w:pPr>
      <w:r>
        <w:rPr>
          <w:rFonts w:ascii="方正小标宋简体" w:eastAsia="方正小标宋简体" w:hAnsi="宋体" w:hint="eastAsia"/>
          <w:color w:val="000000"/>
          <w:sz w:val="44"/>
          <w:szCs w:val="32"/>
        </w:rPr>
        <w:t>（征求意见稿）编制说明</w:t>
      </w:r>
    </w:p>
    <w:p w14:paraId="781C48A1" w14:textId="77777777" w:rsidR="004F412E" w:rsidRDefault="00000000">
      <w:pPr>
        <w:autoSpaceDE w:val="0"/>
        <w:autoSpaceDN w:val="0"/>
        <w:adjustRightInd w:val="0"/>
        <w:spacing w:beforeLines="50" w:before="156" w:afterLines="50" w:after="156" w:line="560" w:lineRule="exact"/>
        <w:ind w:firstLine="640"/>
        <w:jc w:val="left"/>
        <w:rPr>
          <w:rFonts w:ascii="黑体" w:eastAsia="黑体" w:hAnsi="黑体" w:cs="仿宋_GB2312" w:hint="eastAsia"/>
          <w:szCs w:val="32"/>
        </w:rPr>
      </w:pPr>
      <w:r>
        <w:rPr>
          <w:rFonts w:ascii="黑体" w:eastAsia="黑体" w:hAnsi="黑体" w:cs="仿宋_GB2312" w:hint="eastAsia"/>
          <w:szCs w:val="32"/>
        </w:rPr>
        <w:t>一、任务来源、起草单位、主要起草人</w:t>
      </w:r>
    </w:p>
    <w:p w14:paraId="701B3F52" w14:textId="77777777" w:rsidR="004F412E" w:rsidRDefault="00000000">
      <w:pPr>
        <w:ind w:firstLine="640"/>
        <w:rPr>
          <w:rFonts w:ascii="仿宋_GB2312" w:hAnsi="宋体" w:hint="eastAsia"/>
          <w:szCs w:val="28"/>
        </w:rPr>
      </w:pPr>
      <w:r>
        <w:rPr>
          <w:rFonts w:ascii="仿宋_GB2312" w:hAnsi="宋体" w:hint="eastAsia"/>
          <w:szCs w:val="28"/>
        </w:rPr>
        <w:t>根据《广西标准化协会关于下达2025年第二十一批团体标准制修订项目计划的通知》（桂标协〔2025〕154号）文件精神，由</w:t>
      </w:r>
      <w:r>
        <w:rPr>
          <w:rFonts w:hint="eastAsia"/>
          <w:color w:val="000000"/>
          <w:szCs w:val="21"/>
        </w:rPr>
        <w:t>广西壮族自治区药用植物园</w:t>
      </w:r>
      <w:r>
        <w:rPr>
          <w:rFonts w:ascii="仿宋_GB2312" w:hAnsi="宋体" w:hint="eastAsia"/>
          <w:szCs w:val="28"/>
        </w:rPr>
        <w:t>提出，</w:t>
      </w:r>
      <w:r>
        <w:rPr>
          <w:rFonts w:hint="eastAsia"/>
          <w:color w:val="000000"/>
          <w:szCs w:val="21"/>
        </w:rPr>
        <w:t>广西壮族自治区药用植物园、三江县迪秀农业技术开发有限责任公司、三江县黄金藤农业发展有限公司、融安县飞腾中草药专业合作社</w:t>
      </w:r>
      <w:r>
        <w:rPr>
          <w:rFonts w:ascii="仿宋_GB2312" w:hAnsi="宋体" w:hint="eastAsia"/>
          <w:szCs w:val="28"/>
        </w:rPr>
        <w:t>等单位共同起草的团体标准《钩藤实生苗繁育技术规程》（项目编号：2025-2107）已获批立项。</w:t>
      </w:r>
    </w:p>
    <w:p w14:paraId="60593049" w14:textId="11F2D14F" w:rsidR="004F412E" w:rsidRDefault="00000000">
      <w:pPr>
        <w:ind w:firstLine="640"/>
        <w:rPr>
          <w:rFonts w:ascii="仿宋_GB2312" w:hAnsi="宋体" w:hint="eastAsia"/>
          <w:szCs w:val="28"/>
        </w:rPr>
      </w:pPr>
      <w:r>
        <w:rPr>
          <w:rFonts w:ascii="仿宋_GB2312" w:hAnsi="宋体" w:hint="eastAsia"/>
          <w:szCs w:val="28"/>
        </w:rPr>
        <w:t>为高质量编制团体标准《钩藤实生苗繁育技术规程》，由起草单位成立标准编制工作组并进行如下分工：</w:t>
      </w:r>
    </w:p>
    <w:tbl>
      <w:tblPr>
        <w:tblW w:w="5158" w:type="pct"/>
        <w:tblLook w:val="04A0" w:firstRow="1" w:lastRow="0" w:firstColumn="1" w:lastColumn="0" w:noHBand="0" w:noVBand="1"/>
      </w:tblPr>
      <w:tblGrid>
        <w:gridCol w:w="1056"/>
        <w:gridCol w:w="1745"/>
        <w:gridCol w:w="2410"/>
        <w:gridCol w:w="4253"/>
      </w:tblGrid>
      <w:tr w:rsidR="004F412E" w14:paraId="17CD7B69" w14:textId="77777777">
        <w:trPr>
          <w:cantSplit/>
          <w:trHeight w:val="576"/>
        </w:trPr>
        <w:tc>
          <w:tcPr>
            <w:tcW w:w="558" w:type="pct"/>
            <w:tcBorders>
              <w:top w:val="single" w:sz="4" w:space="0" w:color="auto"/>
              <w:left w:val="single" w:sz="4" w:space="0" w:color="auto"/>
              <w:bottom w:val="single" w:sz="4" w:space="0" w:color="auto"/>
              <w:right w:val="single" w:sz="4" w:space="0" w:color="auto"/>
            </w:tcBorders>
            <w:vAlign w:val="center"/>
          </w:tcPr>
          <w:p w14:paraId="589E5854" w14:textId="77777777" w:rsidR="004F412E" w:rsidRDefault="00000000">
            <w:pPr>
              <w:ind w:firstLineChars="0" w:firstLine="0"/>
              <w:jc w:val="center"/>
              <w:rPr>
                <w:rFonts w:eastAsia="仿宋"/>
                <w:b/>
                <w:bCs/>
                <w:sz w:val="24"/>
              </w:rPr>
            </w:pPr>
            <w:r>
              <w:rPr>
                <w:rFonts w:eastAsia="仿宋"/>
                <w:b/>
                <w:bCs/>
                <w:sz w:val="24"/>
              </w:rPr>
              <w:t>姓</w:t>
            </w:r>
            <w:r>
              <w:rPr>
                <w:rFonts w:eastAsia="仿宋"/>
                <w:b/>
                <w:bCs/>
                <w:sz w:val="24"/>
              </w:rPr>
              <w:t xml:space="preserve">  </w:t>
            </w:r>
            <w:r>
              <w:rPr>
                <w:rFonts w:eastAsia="仿宋"/>
                <w:b/>
                <w:bCs/>
                <w:sz w:val="24"/>
              </w:rPr>
              <w:t>名</w:t>
            </w:r>
          </w:p>
        </w:tc>
        <w:tc>
          <w:tcPr>
            <w:tcW w:w="922" w:type="pct"/>
            <w:tcBorders>
              <w:top w:val="single" w:sz="4" w:space="0" w:color="auto"/>
              <w:left w:val="single" w:sz="4" w:space="0" w:color="auto"/>
              <w:bottom w:val="single" w:sz="4" w:space="0" w:color="auto"/>
              <w:right w:val="single" w:sz="4" w:space="0" w:color="auto"/>
            </w:tcBorders>
            <w:vAlign w:val="center"/>
          </w:tcPr>
          <w:p w14:paraId="4DAF795D" w14:textId="77777777" w:rsidR="004F412E" w:rsidRDefault="00000000">
            <w:pPr>
              <w:ind w:firstLineChars="0" w:firstLine="0"/>
              <w:jc w:val="center"/>
              <w:rPr>
                <w:rFonts w:eastAsia="仿宋"/>
                <w:b/>
                <w:bCs/>
                <w:sz w:val="24"/>
              </w:rPr>
            </w:pPr>
            <w:r>
              <w:rPr>
                <w:rFonts w:eastAsia="仿宋"/>
                <w:b/>
                <w:bCs/>
                <w:sz w:val="24"/>
              </w:rPr>
              <w:t>职称</w:t>
            </w:r>
            <w:r>
              <w:rPr>
                <w:rFonts w:eastAsia="仿宋"/>
                <w:b/>
                <w:bCs/>
                <w:sz w:val="24"/>
              </w:rPr>
              <w:t>/</w:t>
            </w:r>
            <w:r>
              <w:rPr>
                <w:rFonts w:eastAsia="仿宋"/>
                <w:b/>
                <w:bCs/>
                <w:sz w:val="24"/>
              </w:rPr>
              <w:t>职位</w:t>
            </w:r>
          </w:p>
        </w:tc>
        <w:tc>
          <w:tcPr>
            <w:tcW w:w="1273" w:type="pct"/>
            <w:tcBorders>
              <w:top w:val="single" w:sz="4" w:space="0" w:color="auto"/>
              <w:left w:val="single" w:sz="4" w:space="0" w:color="auto"/>
              <w:bottom w:val="single" w:sz="4" w:space="0" w:color="auto"/>
              <w:right w:val="single" w:sz="4" w:space="0" w:color="auto"/>
            </w:tcBorders>
            <w:vAlign w:val="center"/>
          </w:tcPr>
          <w:p w14:paraId="5FCFBF5F" w14:textId="77777777" w:rsidR="004F412E" w:rsidRDefault="00000000">
            <w:pPr>
              <w:ind w:firstLineChars="0" w:firstLine="0"/>
              <w:jc w:val="center"/>
              <w:rPr>
                <w:rFonts w:eastAsia="仿宋"/>
                <w:b/>
                <w:bCs/>
                <w:sz w:val="24"/>
              </w:rPr>
            </w:pPr>
            <w:r>
              <w:rPr>
                <w:rFonts w:eastAsia="仿宋"/>
                <w:b/>
                <w:bCs/>
                <w:sz w:val="24"/>
              </w:rPr>
              <w:t>工作单位</w:t>
            </w:r>
          </w:p>
        </w:tc>
        <w:tc>
          <w:tcPr>
            <w:tcW w:w="2247" w:type="pct"/>
            <w:tcBorders>
              <w:top w:val="single" w:sz="4" w:space="0" w:color="auto"/>
              <w:left w:val="single" w:sz="4" w:space="0" w:color="auto"/>
              <w:bottom w:val="single" w:sz="4" w:space="0" w:color="auto"/>
              <w:right w:val="single" w:sz="4" w:space="0" w:color="auto"/>
            </w:tcBorders>
            <w:vAlign w:val="center"/>
          </w:tcPr>
          <w:p w14:paraId="3FED9081" w14:textId="77777777" w:rsidR="004F412E" w:rsidRDefault="00000000">
            <w:pPr>
              <w:ind w:firstLineChars="0" w:firstLine="0"/>
              <w:jc w:val="center"/>
              <w:rPr>
                <w:rFonts w:eastAsia="仿宋"/>
                <w:b/>
                <w:bCs/>
                <w:sz w:val="24"/>
              </w:rPr>
            </w:pPr>
            <w:r>
              <w:rPr>
                <w:rFonts w:eastAsia="仿宋"/>
                <w:b/>
                <w:bCs/>
                <w:sz w:val="24"/>
              </w:rPr>
              <w:t>主要负责工作</w:t>
            </w:r>
          </w:p>
        </w:tc>
      </w:tr>
      <w:tr w:rsidR="004F412E" w14:paraId="306AF1C3" w14:textId="77777777">
        <w:trPr>
          <w:cantSplit/>
          <w:trHeight w:val="732"/>
        </w:trPr>
        <w:tc>
          <w:tcPr>
            <w:tcW w:w="558" w:type="pct"/>
            <w:tcBorders>
              <w:top w:val="single" w:sz="4" w:space="0" w:color="auto"/>
              <w:left w:val="single" w:sz="4" w:space="0" w:color="auto"/>
              <w:bottom w:val="single" w:sz="4" w:space="0" w:color="auto"/>
              <w:right w:val="single" w:sz="4" w:space="0" w:color="008000"/>
            </w:tcBorders>
            <w:vAlign w:val="center"/>
          </w:tcPr>
          <w:p w14:paraId="410416C1" w14:textId="77777777" w:rsidR="004F412E" w:rsidRDefault="00000000">
            <w:pPr>
              <w:ind w:firstLineChars="0" w:firstLine="0"/>
              <w:jc w:val="center"/>
              <w:rPr>
                <w:rFonts w:ascii="仿宋_GB2312"/>
                <w:sz w:val="24"/>
              </w:rPr>
            </w:pPr>
            <w:r>
              <w:rPr>
                <w:rFonts w:ascii="仿宋_GB2312" w:hint="eastAsia"/>
                <w:sz w:val="24"/>
              </w:rPr>
              <w:t>万凌云</w:t>
            </w:r>
          </w:p>
        </w:tc>
        <w:tc>
          <w:tcPr>
            <w:tcW w:w="922" w:type="pct"/>
            <w:tcBorders>
              <w:top w:val="single" w:sz="4" w:space="0" w:color="auto"/>
              <w:left w:val="single" w:sz="4" w:space="0" w:color="auto"/>
              <w:bottom w:val="single" w:sz="4" w:space="0" w:color="auto"/>
              <w:right w:val="single" w:sz="4" w:space="0" w:color="auto"/>
            </w:tcBorders>
            <w:vAlign w:val="center"/>
          </w:tcPr>
          <w:p w14:paraId="54E9B903" w14:textId="6B3C6FDC" w:rsidR="004F412E" w:rsidRDefault="00835BCC">
            <w:pPr>
              <w:ind w:firstLineChars="0" w:firstLine="0"/>
              <w:jc w:val="center"/>
              <w:rPr>
                <w:rFonts w:ascii="仿宋_GB2312"/>
                <w:sz w:val="24"/>
              </w:rPr>
            </w:pPr>
            <w:r>
              <w:rPr>
                <w:rFonts w:ascii="仿宋_GB2312" w:hint="eastAsia"/>
                <w:sz w:val="24"/>
              </w:rPr>
              <w:t>副研究员</w:t>
            </w:r>
          </w:p>
        </w:tc>
        <w:tc>
          <w:tcPr>
            <w:tcW w:w="1273" w:type="pct"/>
            <w:tcBorders>
              <w:top w:val="single" w:sz="2" w:space="0" w:color="000000"/>
              <w:left w:val="single" w:sz="4" w:space="0" w:color="auto"/>
              <w:bottom w:val="single" w:sz="4" w:space="0" w:color="auto"/>
              <w:right w:val="single" w:sz="4" w:space="0" w:color="auto"/>
            </w:tcBorders>
            <w:vAlign w:val="center"/>
          </w:tcPr>
          <w:p w14:paraId="256B8C32" w14:textId="0430D50F"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vAlign w:val="center"/>
          </w:tcPr>
          <w:p w14:paraId="29EE276B"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统筹主持标准编制工作</w:t>
            </w:r>
          </w:p>
        </w:tc>
      </w:tr>
      <w:tr w:rsidR="004F412E" w14:paraId="5940B257"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11C9A108" w14:textId="77777777" w:rsidR="004F412E" w:rsidRDefault="00000000">
            <w:pPr>
              <w:ind w:firstLineChars="0" w:firstLine="0"/>
              <w:jc w:val="center"/>
              <w:rPr>
                <w:rFonts w:ascii="仿宋_GB2312"/>
                <w:sz w:val="24"/>
              </w:rPr>
            </w:pPr>
            <w:r>
              <w:rPr>
                <w:rFonts w:ascii="仿宋_GB2312" w:hint="eastAsia"/>
                <w:sz w:val="24"/>
              </w:rPr>
              <w:t>杨翠红</w:t>
            </w:r>
          </w:p>
        </w:tc>
        <w:tc>
          <w:tcPr>
            <w:tcW w:w="922" w:type="pct"/>
            <w:tcBorders>
              <w:top w:val="single" w:sz="4" w:space="0" w:color="auto"/>
              <w:left w:val="single" w:sz="4" w:space="0" w:color="auto"/>
              <w:bottom w:val="single" w:sz="4" w:space="0" w:color="auto"/>
              <w:right w:val="single" w:sz="4" w:space="0" w:color="auto"/>
            </w:tcBorders>
            <w:vAlign w:val="center"/>
          </w:tcPr>
          <w:p w14:paraId="7F33658D" w14:textId="6144B857" w:rsidR="004F412E" w:rsidRDefault="00D13BA4">
            <w:pPr>
              <w:ind w:firstLineChars="0" w:firstLine="0"/>
              <w:jc w:val="center"/>
              <w:rPr>
                <w:rFonts w:ascii="仿宋_GB2312"/>
                <w:sz w:val="24"/>
              </w:rPr>
            </w:pPr>
            <w:r>
              <w:rPr>
                <w:rFonts w:ascii="仿宋_GB2312" w:hint="eastAsia"/>
                <w:sz w:val="24"/>
              </w:rPr>
              <w:t>/</w:t>
            </w:r>
          </w:p>
        </w:tc>
        <w:tc>
          <w:tcPr>
            <w:tcW w:w="1273" w:type="pct"/>
            <w:tcBorders>
              <w:top w:val="single" w:sz="2" w:space="0" w:color="000000"/>
              <w:left w:val="single" w:sz="4" w:space="0" w:color="auto"/>
              <w:bottom w:val="single" w:sz="4" w:space="0" w:color="auto"/>
              <w:right w:val="single" w:sz="4" w:space="0" w:color="auto"/>
            </w:tcBorders>
            <w:vAlign w:val="center"/>
          </w:tcPr>
          <w:p w14:paraId="71CBD485" w14:textId="67E95660"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vAlign w:val="center"/>
          </w:tcPr>
          <w:p w14:paraId="33A4EDB9"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参与标准编制工作，组织人员进行标准发布后的宣贯培训。</w:t>
            </w:r>
          </w:p>
        </w:tc>
      </w:tr>
      <w:tr w:rsidR="004F412E" w14:paraId="3A4A0041"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22068F2C" w14:textId="77777777" w:rsidR="004F412E" w:rsidRDefault="00000000">
            <w:pPr>
              <w:ind w:firstLineChars="0" w:firstLine="0"/>
              <w:jc w:val="center"/>
              <w:rPr>
                <w:rFonts w:ascii="仿宋_GB2312"/>
                <w:sz w:val="24"/>
              </w:rPr>
            </w:pPr>
            <w:r>
              <w:rPr>
                <w:rFonts w:ascii="仿宋_GB2312" w:hint="eastAsia"/>
                <w:sz w:val="24"/>
              </w:rPr>
              <w:t>张占江</w:t>
            </w:r>
          </w:p>
        </w:tc>
        <w:tc>
          <w:tcPr>
            <w:tcW w:w="922" w:type="pct"/>
            <w:tcBorders>
              <w:top w:val="single" w:sz="4" w:space="0" w:color="auto"/>
              <w:left w:val="single" w:sz="4" w:space="0" w:color="auto"/>
              <w:bottom w:val="single" w:sz="4" w:space="0" w:color="auto"/>
              <w:right w:val="single" w:sz="4" w:space="0" w:color="auto"/>
            </w:tcBorders>
            <w:vAlign w:val="center"/>
          </w:tcPr>
          <w:p w14:paraId="70AF3D1C" w14:textId="6A77505C" w:rsidR="004F412E" w:rsidRDefault="00835BCC">
            <w:pPr>
              <w:ind w:firstLineChars="0" w:firstLine="0"/>
              <w:jc w:val="center"/>
              <w:rPr>
                <w:rFonts w:ascii="仿宋_GB2312"/>
                <w:sz w:val="24"/>
              </w:rPr>
            </w:pPr>
            <w:r>
              <w:rPr>
                <w:rFonts w:ascii="仿宋_GB2312" w:hint="eastAsia"/>
                <w:sz w:val="24"/>
              </w:rPr>
              <w:t>研究员</w:t>
            </w:r>
          </w:p>
        </w:tc>
        <w:tc>
          <w:tcPr>
            <w:tcW w:w="1273" w:type="pct"/>
            <w:tcBorders>
              <w:top w:val="single" w:sz="2" w:space="0" w:color="000000"/>
              <w:left w:val="single" w:sz="4" w:space="0" w:color="auto"/>
              <w:bottom w:val="single" w:sz="4" w:space="0" w:color="auto"/>
              <w:right w:val="single" w:sz="4" w:space="0" w:color="auto"/>
            </w:tcBorders>
            <w:vAlign w:val="center"/>
          </w:tcPr>
          <w:p w14:paraId="0DC848DF" w14:textId="7DA3849A"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vAlign w:val="center"/>
          </w:tcPr>
          <w:p w14:paraId="57A0437D"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参与标准文本及编制说明编写，质量控制。</w:t>
            </w:r>
          </w:p>
        </w:tc>
      </w:tr>
      <w:tr w:rsidR="004F412E" w14:paraId="73727446"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43F8A264" w14:textId="77777777" w:rsidR="004F412E" w:rsidRDefault="00000000">
            <w:pPr>
              <w:ind w:firstLineChars="0" w:firstLine="0"/>
              <w:jc w:val="center"/>
              <w:rPr>
                <w:rFonts w:ascii="仿宋_GB2312"/>
                <w:sz w:val="24"/>
              </w:rPr>
            </w:pPr>
            <w:r>
              <w:rPr>
                <w:rFonts w:ascii="仿宋_GB2312" w:hint="eastAsia"/>
                <w:sz w:val="24"/>
              </w:rPr>
              <w:t>李林轩</w:t>
            </w:r>
          </w:p>
        </w:tc>
        <w:tc>
          <w:tcPr>
            <w:tcW w:w="922" w:type="pct"/>
            <w:tcBorders>
              <w:top w:val="single" w:sz="4" w:space="0" w:color="auto"/>
              <w:left w:val="single" w:sz="4" w:space="0" w:color="auto"/>
              <w:bottom w:val="single" w:sz="4" w:space="0" w:color="auto"/>
              <w:right w:val="single" w:sz="4" w:space="0" w:color="auto"/>
            </w:tcBorders>
            <w:vAlign w:val="center"/>
          </w:tcPr>
          <w:p w14:paraId="347ABBEF" w14:textId="7E52C0D2" w:rsidR="004F412E" w:rsidRDefault="00835BCC">
            <w:pPr>
              <w:ind w:firstLineChars="0" w:firstLine="0"/>
              <w:jc w:val="center"/>
              <w:rPr>
                <w:rFonts w:ascii="仿宋_GB2312"/>
                <w:sz w:val="24"/>
              </w:rPr>
            </w:pPr>
            <w:r>
              <w:rPr>
                <w:rFonts w:ascii="仿宋_GB2312" w:hint="eastAsia"/>
                <w:sz w:val="24"/>
              </w:rPr>
              <w:t>研究员</w:t>
            </w:r>
          </w:p>
        </w:tc>
        <w:tc>
          <w:tcPr>
            <w:tcW w:w="1273" w:type="pct"/>
            <w:tcBorders>
              <w:top w:val="single" w:sz="2" w:space="0" w:color="000000"/>
              <w:left w:val="single" w:sz="4" w:space="0" w:color="auto"/>
              <w:bottom w:val="single" w:sz="4" w:space="0" w:color="auto"/>
              <w:right w:val="single" w:sz="4" w:space="0" w:color="auto"/>
            </w:tcBorders>
            <w:vAlign w:val="center"/>
          </w:tcPr>
          <w:p w14:paraId="63887EFD" w14:textId="0522FF16"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vAlign w:val="center"/>
          </w:tcPr>
          <w:p w14:paraId="067C8E79"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参与标准文本及编制说明的编写，组织开展标准征求意见会。</w:t>
            </w:r>
          </w:p>
        </w:tc>
      </w:tr>
      <w:tr w:rsidR="004F412E" w14:paraId="58C3C5BA"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08E383BD" w14:textId="77777777" w:rsidR="004F412E" w:rsidRDefault="00000000">
            <w:pPr>
              <w:ind w:firstLineChars="0" w:firstLine="0"/>
              <w:jc w:val="center"/>
              <w:rPr>
                <w:rFonts w:ascii="仿宋_GB2312"/>
                <w:sz w:val="24"/>
              </w:rPr>
            </w:pPr>
            <w:r>
              <w:rPr>
                <w:rFonts w:ascii="仿宋_GB2312" w:hint="eastAsia"/>
                <w:sz w:val="24"/>
              </w:rPr>
              <w:t>桂凌健</w:t>
            </w:r>
          </w:p>
        </w:tc>
        <w:tc>
          <w:tcPr>
            <w:tcW w:w="922" w:type="pct"/>
            <w:tcBorders>
              <w:top w:val="single" w:sz="4" w:space="0" w:color="auto"/>
              <w:left w:val="single" w:sz="4" w:space="0" w:color="auto"/>
              <w:bottom w:val="single" w:sz="4" w:space="0" w:color="auto"/>
              <w:right w:val="single" w:sz="4" w:space="0" w:color="auto"/>
            </w:tcBorders>
            <w:vAlign w:val="center"/>
          </w:tcPr>
          <w:p w14:paraId="1B41A921" w14:textId="47BC2B9B" w:rsidR="004F412E" w:rsidRDefault="00835BCC">
            <w:pPr>
              <w:ind w:firstLineChars="0" w:firstLine="0"/>
              <w:jc w:val="center"/>
              <w:rPr>
                <w:rFonts w:ascii="仿宋_GB2312"/>
                <w:sz w:val="24"/>
              </w:rPr>
            </w:pPr>
            <w:r>
              <w:rPr>
                <w:rFonts w:ascii="仿宋_GB2312" w:hint="eastAsia"/>
                <w:sz w:val="24"/>
              </w:rPr>
              <w:t>助理研究员</w:t>
            </w:r>
          </w:p>
        </w:tc>
        <w:tc>
          <w:tcPr>
            <w:tcW w:w="1273" w:type="pct"/>
            <w:tcBorders>
              <w:top w:val="single" w:sz="2" w:space="0" w:color="000000"/>
              <w:left w:val="single" w:sz="4" w:space="0" w:color="auto"/>
              <w:bottom w:val="single" w:sz="4" w:space="0" w:color="auto"/>
              <w:right w:val="single" w:sz="4" w:space="0" w:color="auto"/>
            </w:tcBorders>
            <w:vAlign w:val="center"/>
          </w:tcPr>
          <w:p w14:paraId="410204B2" w14:textId="2AA09B47"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vAlign w:val="center"/>
          </w:tcPr>
          <w:p w14:paraId="057AF2DD"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对标准实施情况进行总结分析，不断对地方标准提出修正意见。</w:t>
            </w:r>
          </w:p>
        </w:tc>
      </w:tr>
      <w:tr w:rsidR="004F412E" w14:paraId="071EBF18"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6985484F" w14:textId="77777777" w:rsidR="004F412E" w:rsidRDefault="00000000">
            <w:pPr>
              <w:ind w:firstLineChars="0" w:firstLine="0"/>
              <w:jc w:val="center"/>
              <w:rPr>
                <w:rFonts w:ascii="仿宋_GB2312"/>
                <w:sz w:val="24"/>
              </w:rPr>
            </w:pPr>
            <w:r>
              <w:rPr>
                <w:rFonts w:ascii="仿宋_GB2312" w:hint="eastAsia"/>
                <w:sz w:val="24"/>
              </w:rPr>
              <w:t>黄媛</w:t>
            </w:r>
          </w:p>
        </w:tc>
        <w:tc>
          <w:tcPr>
            <w:tcW w:w="922" w:type="pct"/>
            <w:tcBorders>
              <w:top w:val="single" w:sz="4" w:space="0" w:color="auto"/>
              <w:left w:val="single" w:sz="4" w:space="0" w:color="auto"/>
              <w:bottom w:val="single" w:sz="4" w:space="0" w:color="auto"/>
              <w:right w:val="single" w:sz="4" w:space="0" w:color="auto"/>
            </w:tcBorders>
            <w:vAlign w:val="center"/>
          </w:tcPr>
          <w:p w14:paraId="3933F370" w14:textId="19B4BC4E" w:rsidR="004F412E" w:rsidRDefault="00835BCC">
            <w:pPr>
              <w:ind w:firstLineChars="0" w:firstLine="0"/>
              <w:jc w:val="center"/>
              <w:rPr>
                <w:rFonts w:ascii="仿宋_GB2312"/>
                <w:sz w:val="24"/>
              </w:rPr>
            </w:pPr>
            <w:r>
              <w:rPr>
                <w:rFonts w:ascii="仿宋_GB2312" w:hint="eastAsia"/>
                <w:sz w:val="24"/>
              </w:rPr>
              <w:t>助理研究员</w:t>
            </w:r>
          </w:p>
        </w:tc>
        <w:tc>
          <w:tcPr>
            <w:tcW w:w="1273" w:type="pct"/>
            <w:tcBorders>
              <w:top w:val="single" w:sz="2" w:space="0" w:color="000000"/>
              <w:left w:val="single" w:sz="4" w:space="0" w:color="auto"/>
              <w:bottom w:val="single" w:sz="4" w:space="0" w:color="auto"/>
              <w:right w:val="single" w:sz="4" w:space="0" w:color="auto"/>
            </w:tcBorders>
            <w:vAlign w:val="center"/>
          </w:tcPr>
          <w:p w14:paraId="190EE961" w14:textId="6E71B3AE"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vAlign w:val="center"/>
          </w:tcPr>
          <w:p w14:paraId="6C1BF1F9"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参与标准文本及编制说明的编写，组织开展标准征求意见会。</w:t>
            </w:r>
          </w:p>
        </w:tc>
      </w:tr>
      <w:tr w:rsidR="004F412E" w14:paraId="553B7C00"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4195A2E8" w14:textId="77777777" w:rsidR="004F412E" w:rsidRDefault="00000000">
            <w:pPr>
              <w:ind w:firstLineChars="0" w:firstLine="0"/>
              <w:jc w:val="center"/>
              <w:rPr>
                <w:rFonts w:ascii="仿宋_GB2312"/>
                <w:sz w:val="24"/>
              </w:rPr>
            </w:pPr>
            <w:r>
              <w:rPr>
                <w:rFonts w:ascii="仿宋_GB2312" w:hint="eastAsia"/>
                <w:sz w:val="24"/>
              </w:rPr>
              <w:t>余海霞</w:t>
            </w:r>
          </w:p>
        </w:tc>
        <w:tc>
          <w:tcPr>
            <w:tcW w:w="922" w:type="pct"/>
            <w:tcBorders>
              <w:top w:val="single" w:sz="4" w:space="0" w:color="auto"/>
              <w:left w:val="single" w:sz="4" w:space="0" w:color="auto"/>
              <w:bottom w:val="single" w:sz="4" w:space="0" w:color="auto"/>
              <w:right w:val="single" w:sz="4" w:space="0" w:color="auto"/>
            </w:tcBorders>
            <w:vAlign w:val="center"/>
          </w:tcPr>
          <w:p w14:paraId="2497780C" w14:textId="730614E3" w:rsidR="004F412E" w:rsidRDefault="00835BCC">
            <w:pPr>
              <w:ind w:firstLineChars="0" w:firstLine="0"/>
              <w:jc w:val="center"/>
              <w:rPr>
                <w:rFonts w:ascii="仿宋_GB2312"/>
                <w:sz w:val="24"/>
              </w:rPr>
            </w:pPr>
            <w:r>
              <w:rPr>
                <w:rFonts w:ascii="仿宋_GB2312" w:hint="eastAsia"/>
                <w:sz w:val="24"/>
              </w:rPr>
              <w:t>助理研究员</w:t>
            </w:r>
          </w:p>
        </w:tc>
        <w:tc>
          <w:tcPr>
            <w:tcW w:w="1273" w:type="pct"/>
            <w:tcBorders>
              <w:top w:val="single" w:sz="2" w:space="0" w:color="000000"/>
              <w:left w:val="single" w:sz="4" w:space="0" w:color="auto"/>
              <w:bottom w:val="single" w:sz="2" w:space="0" w:color="000000"/>
              <w:right w:val="single" w:sz="4" w:space="0" w:color="auto"/>
            </w:tcBorders>
            <w:vAlign w:val="center"/>
          </w:tcPr>
          <w:p w14:paraId="61E52F10" w14:textId="1B06FF97"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vAlign w:val="center"/>
          </w:tcPr>
          <w:p w14:paraId="304B5653"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参与标准文本及编制说明的编写，组织开展标准征求意见会。</w:t>
            </w:r>
          </w:p>
        </w:tc>
      </w:tr>
      <w:tr w:rsidR="004F412E" w14:paraId="2A119233"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661101A3" w14:textId="77777777" w:rsidR="004F412E" w:rsidRDefault="00000000">
            <w:pPr>
              <w:ind w:firstLineChars="0" w:firstLine="0"/>
              <w:jc w:val="center"/>
              <w:rPr>
                <w:rFonts w:ascii="仿宋_GB2312"/>
                <w:sz w:val="24"/>
              </w:rPr>
            </w:pPr>
            <w:r>
              <w:rPr>
                <w:rFonts w:ascii="仿宋_GB2312" w:hint="eastAsia"/>
                <w:sz w:val="24"/>
              </w:rPr>
              <w:t>梁文静</w:t>
            </w:r>
          </w:p>
        </w:tc>
        <w:tc>
          <w:tcPr>
            <w:tcW w:w="922" w:type="pct"/>
            <w:tcBorders>
              <w:top w:val="single" w:sz="4" w:space="0" w:color="auto"/>
              <w:left w:val="single" w:sz="4" w:space="0" w:color="auto"/>
              <w:bottom w:val="single" w:sz="4" w:space="0" w:color="auto"/>
              <w:right w:val="single" w:sz="4" w:space="0" w:color="auto"/>
            </w:tcBorders>
            <w:vAlign w:val="center"/>
          </w:tcPr>
          <w:p w14:paraId="3578AACC" w14:textId="4B5C431F" w:rsidR="004F412E" w:rsidRDefault="00835BCC">
            <w:pPr>
              <w:ind w:firstLineChars="0" w:firstLine="0"/>
              <w:jc w:val="center"/>
              <w:rPr>
                <w:rFonts w:ascii="仿宋_GB2312"/>
                <w:sz w:val="24"/>
              </w:rPr>
            </w:pPr>
            <w:r>
              <w:rPr>
                <w:rFonts w:ascii="仿宋_GB2312" w:hint="eastAsia"/>
                <w:sz w:val="24"/>
              </w:rPr>
              <w:t>助理研究员</w:t>
            </w:r>
          </w:p>
        </w:tc>
        <w:tc>
          <w:tcPr>
            <w:tcW w:w="1273" w:type="pct"/>
            <w:tcBorders>
              <w:top w:val="single" w:sz="2" w:space="0" w:color="000000"/>
              <w:left w:val="single" w:sz="4" w:space="0" w:color="auto"/>
              <w:bottom w:val="single" w:sz="2" w:space="0" w:color="000000"/>
              <w:right w:val="single" w:sz="4" w:space="0" w:color="auto"/>
            </w:tcBorders>
            <w:vAlign w:val="center"/>
          </w:tcPr>
          <w:p w14:paraId="713D331E" w14:textId="7688148D"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tcPr>
          <w:p w14:paraId="53DEEC06"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参与标准文本及编制说明的编写，组织开展标准征求意见会。</w:t>
            </w:r>
          </w:p>
        </w:tc>
      </w:tr>
      <w:tr w:rsidR="004F412E" w14:paraId="5B8937D4"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7F227734" w14:textId="77777777" w:rsidR="004F412E" w:rsidRDefault="00000000">
            <w:pPr>
              <w:ind w:firstLineChars="0" w:firstLine="0"/>
              <w:jc w:val="center"/>
              <w:rPr>
                <w:rFonts w:ascii="仿宋_GB2312"/>
                <w:sz w:val="24"/>
              </w:rPr>
            </w:pPr>
            <w:r>
              <w:rPr>
                <w:rFonts w:ascii="仿宋_GB2312" w:hint="eastAsia"/>
                <w:sz w:val="24"/>
              </w:rPr>
              <w:lastRenderedPageBreak/>
              <w:t>彭玉德</w:t>
            </w:r>
          </w:p>
        </w:tc>
        <w:tc>
          <w:tcPr>
            <w:tcW w:w="922" w:type="pct"/>
            <w:tcBorders>
              <w:top w:val="single" w:sz="4" w:space="0" w:color="auto"/>
              <w:left w:val="single" w:sz="4" w:space="0" w:color="auto"/>
              <w:bottom w:val="single" w:sz="4" w:space="0" w:color="auto"/>
              <w:right w:val="single" w:sz="4" w:space="0" w:color="auto"/>
            </w:tcBorders>
            <w:vAlign w:val="center"/>
          </w:tcPr>
          <w:p w14:paraId="68440D6F" w14:textId="2D87E370" w:rsidR="004F412E" w:rsidRDefault="00835BCC">
            <w:pPr>
              <w:ind w:firstLineChars="0" w:firstLine="0"/>
              <w:jc w:val="center"/>
              <w:rPr>
                <w:rFonts w:ascii="仿宋_GB2312"/>
                <w:sz w:val="24"/>
              </w:rPr>
            </w:pPr>
            <w:r>
              <w:rPr>
                <w:rFonts w:ascii="仿宋_GB2312" w:hint="eastAsia"/>
                <w:sz w:val="24"/>
              </w:rPr>
              <w:t>研究员</w:t>
            </w:r>
          </w:p>
        </w:tc>
        <w:tc>
          <w:tcPr>
            <w:tcW w:w="1273" w:type="pct"/>
            <w:tcBorders>
              <w:top w:val="single" w:sz="2" w:space="0" w:color="000000"/>
              <w:left w:val="single" w:sz="4" w:space="0" w:color="auto"/>
              <w:bottom w:val="single" w:sz="2" w:space="0" w:color="000000"/>
              <w:right w:val="single" w:sz="4" w:space="0" w:color="auto"/>
            </w:tcBorders>
            <w:vAlign w:val="center"/>
          </w:tcPr>
          <w:p w14:paraId="15C44BCB" w14:textId="5D89571D"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tcPr>
          <w:p w14:paraId="269C76E0"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参与标准文本及编制说明的编写，组织开展标准征求意见会。</w:t>
            </w:r>
          </w:p>
        </w:tc>
      </w:tr>
      <w:tr w:rsidR="004F412E" w14:paraId="0AEE7EA2"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3A2FB2A8" w14:textId="77777777" w:rsidR="004F412E" w:rsidRDefault="00000000">
            <w:pPr>
              <w:ind w:firstLineChars="0" w:firstLine="0"/>
              <w:jc w:val="center"/>
              <w:rPr>
                <w:rFonts w:ascii="仿宋_GB2312"/>
                <w:sz w:val="24"/>
              </w:rPr>
            </w:pPr>
            <w:r>
              <w:rPr>
                <w:rFonts w:ascii="仿宋_GB2312" w:hint="eastAsia"/>
                <w:sz w:val="24"/>
              </w:rPr>
              <w:t>李玉琼</w:t>
            </w:r>
          </w:p>
        </w:tc>
        <w:tc>
          <w:tcPr>
            <w:tcW w:w="922" w:type="pct"/>
            <w:tcBorders>
              <w:top w:val="single" w:sz="4" w:space="0" w:color="auto"/>
              <w:left w:val="single" w:sz="4" w:space="0" w:color="auto"/>
              <w:bottom w:val="single" w:sz="4" w:space="0" w:color="auto"/>
              <w:right w:val="single" w:sz="4" w:space="0" w:color="auto"/>
            </w:tcBorders>
            <w:vAlign w:val="center"/>
          </w:tcPr>
          <w:p w14:paraId="52E5AD6C" w14:textId="2E517298" w:rsidR="004F412E" w:rsidRDefault="00D13BA4">
            <w:pPr>
              <w:ind w:firstLineChars="0" w:firstLine="0"/>
              <w:jc w:val="center"/>
              <w:rPr>
                <w:rFonts w:ascii="仿宋_GB2312"/>
                <w:sz w:val="24"/>
              </w:rPr>
            </w:pPr>
            <w:r>
              <w:rPr>
                <w:rFonts w:ascii="仿宋_GB2312" w:hint="eastAsia"/>
                <w:sz w:val="24"/>
              </w:rPr>
              <w:t>/</w:t>
            </w:r>
          </w:p>
        </w:tc>
        <w:tc>
          <w:tcPr>
            <w:tcW w:w="1273" w:type="pct"/>
            <w:tcBorders>
              <w:top w:val="single" w:sz="2" w:space="0" w:color="000000"/>
              <w:left w:val="single" w:sz="4" w:space="0" w:color="auto"/>
              <w:bottom w:val="single" w:sz="2" w:space="0" w:color="000000"/>
              <w:right w:val="single" w:sz="4" w:space="0" w:color="auto"/>
            </w:tcBorders>
            <w:vAlign w:val="center"/>
          </w:tcPr>
          <w:p w14:paraId="503AF2A2" w14:textId="78DFD0F8"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tcPr>
          <w:p w14:paraId="007B07FF"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对标准实施情况进行总结分析，不断对地方标准提出修正意见。</w:t>
            </w:r>
          </w:p>
        </w:tc>
      </w:tr>
      <w:tr w:rsidR="004F412E" w14:paraId="6CF62A0A"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7A7CBAC8" w14:textId="77777777" w:rsidR="004F412E" w:rsidRDefault="00000000">
            <w:pPr>
              <w:ind w:firstLineChars="0" w:firstLine="0"/>
              <w:jc w:val="center"/>
              <w:rPr>
                <w:rFonts w:ascii="仿宋_GB2312"/>
                <w:sz w:val="24"/>
              </w:rPr>
            </w:pPr>
            <w:r>
              <w:rPr>
                <w:rFonts w:ascii="仿宋_GB2312" w:hint="eastAsia"/>
                <w:sz w:val="24"/>
              </w:rPr>
              <w:t>覃雅</w:t>
            </w:r>
          </w:p>
        </w:tc>
        <w:tc>
          <w:tcPr>
            <w:tcW w:w="922" w:type="pct"/>
            <w:tcBorders>
              <w:top w:val="single" w:sz="4" w:space="0" w:color="auto"/>
              <w:left w:val="single" w:sz="4" w:space="0" w:color="auto"/>
              <w:bottom w:val="single" w:sz="4" w:space="0" w:color="auto"/>
              <w:right w:val="single" w:sz="4" w:space="0" w:color="auto"/>
            </w:tcBorders>
            <w:vAlign w:val="center"/>
          </w:tcPr>
          <w:p w14:paraId="1E167D43" w14:textId="4E846A4D" w:rsidR="004F412E" w:rsidRDefault="00D13BA4">
            <w:pPr>
              <w:ind w:firstLineChars="0" w:firstLine="0"/>
              <w:jc w:val="center"/>
              <w:rPr>
                <w:rFonts w:ascii="仿宋_GB2312"/>
                <w:sz w:val="24"/>
              </w:rPr>
            </w:pPr>
            <w:r>
              <w:rPr>
                <w:rFonts w:ascii="仿宋_GB2312" w:hint="eastAsia"/>
                <w:sz w:val="24"/>
              </w:rPr>
              <w:t>/</w:t>
            </w:r>
          </w:p>
        </w:tc>
        <w:tc>
          <w:tcPr>
            <w:tcW w:w="1273" w:type="pct"/>
            <w:tcBorders>
              <w:top w:val="single" w:sz="2" w:space="0" w:color="000000"/>
              <w:left w:val="single" w:sz="4" w:space="0" w:color="auto"/>
              <w:bottom w:val="single" w:sz="2" w:space="0" w:color="000000"/>
              <w:right w:val="single" w:sz="4" w:space="0" w:color="auto"/>
            </w:tcBorders>
            <w:vAlign w:val="center"/>
          </w:tcPr>
          <w:p w14:paraId="5FD0331A" w14:textId="3D60A757"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tcPr>
          <w:p w14:paraId="51455C63"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对标准实施情况进行总结分析，不断对地方标准提出修正意见。</w:t>
            </w:r>
          </w:p>
        </w:tc>
      </w:tr>
      <w:tr w:rsidR="004F412E" w14:paraId="6988A2F0"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3AB7A6F0" w14:textId="77777777" w:rsidR="004F412E" w:rsidRDefault="00000000">
            <w:pPr>
              <w:ind w:firstLineChars="0" w:firstLine="0"/>
              <w:jc w:val="center"/>
              <w:rPr>
                <w:rFonts w:ascii="仿宋_GB2312"/>
                <w:sz w:val="24"/>
              </w:rPr>
            </w:pPr>
            <w:r>
              <w:rPr>
                <w:rFonts w:ascii="仿宋_GB2312" w:hint="eastAsia"/>
                <w:sz w:val="24"/>
              </w:rPr>
              <w:t>韦树根</w:t>
            </w:r>
          </w:p>
        </w:tc>
        <w:tc>
          <w:tcPr>
            <w:tcW w:w="922" w:type="pct"/>
            <w:tcBorders>
              <w:top w:val="single" w:sz="4" w:space="0" w:color="auto"/>
              <w:left w:val="single" w:sz="4" w:space="0" w:color="auto"/>
              <w:bottom w:val="single" w:sz="4" w:space="0" w:color="auto"/>
              <w:right w:val="single" w:sz="4" w:space="0" w:color="auto"/>
            </w:tcBorders>
            <w:vAlign w:val="center"/>
          </w:tcPr>
          <w:p w14:paraId="328C0ED8" w14:textId="10037BFF" w:rsidR="004F412E" w:rsidRDefault="00835BCC">
            <w:pPr>
              <w:ind w:firstLineChars="0" w:firstLine="0"/>
              <w:jc w:val="center"/>
              <w:rPr>
                <w:rFonts w:ascii="仿宋_GB2312"/>
                <w:sz w:val="24"/>
              </w:rPr>
            </w:pPr>
            <w:r>
              <w:rPr>
                <w:rFonts w:ascii="仿宋_GB2312" w:hint="eastAsia"/>
                <w:sz w:val="24"/>
              </w:rPr>
              <w:t>研究员</w:t>
            </w:r>
          </w:p>
        </w:tc>
        <w:tc>
          <w:tcPr>
            <w:tcW w:w="1273" w:type="pct"/>
            <w:tcBorders>
              <w:top w:val="single" w:sz="2" w:space="0" w:color="000000"/>
              <w:left w:val="single" w:sz="4" w:space="0" w:color="auto"/>
              <w:bottom w:val="single" w:sz="2" w:space="0" w:color="000000"/>
              <w:right w:val="single" w:sz="4" w:space="0" w:color="auto"/>
            </w:tcBorders>
            <w:vAlign w:val="center"/>
          </w:tcPr>
          <w:p w14:paraId="42223D26" w14:textId="40008827"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tcPr>
          <w:p w14:paraId="3690BBFD"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对标准实施情况进行总结分析，不断对地方标准提出修正意见。</w:t>
            </w:r>
          </w:p>
        </w:tc>
      </w:tr>
      <w:tr w:rsidR="004F412E" w14:paraId="06654B80"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39DFBCB6" w14:textId="77777777" w:rsidR="004F412E" w:rsidRDefault="00000000">
            <w:pPr>
              <w:ind w:firstLineChars="0" w:firstLine="0"/>
              <w:jc w:val="center"/>
              <w:rPr>
                <w:rFonts w:ascii="仿宋_GB2312"/>
                <w:sz w:val="24"/>
              </w:rPr>
            </w:pPr>
            <w:r>
              <w:rPr>
                <w:rFonts w:ascii="仿宋_GB2312" w:hint="eastAsia"/>
                <w:sz w:val="24"/>
              </w:rPr>
              <w:t>何弘</w:t>
            </w:r>
          </w:p>
        </w:tc>
        <w:tc>
          <w:tcPr>
            <w:tcW w:w="922" w:type="pct"/>
            <w:tcBorders>
              <w:top w:val="single" w:sz="4" w:space="0" w:color="auto"/>
              <w:left w:val="single" w:sz="4" w:space="0" w:color="auto"/>
              <w:bottom w:val="single" w:sz="4" w:space="0" w:color="auto"/>
              <w:right w:val="single" w:sz="4" w:space="0" w:color="auto"/>
            </w:tcBorders>
            <w:vAlign w:val="center"/>
          </w:tcPr>
          <w:p w14:paraId="57575EB1" w14:textId="59BCE233" w:rsidR="004F412E" w:rsidRDefault="00644C40">
            <w:pPr>
              <w:ind w:firstLineChars="0" w:firstLine="0"/>
              <w:jc w:val="center"/>
              <w:rPr>
                <w:rFonts w:ascii="仿宋_GB2312"/>
                <w:sz w:val="24"/>
              </w:rPr>
            </w:pPr>
            <w:r w:rsidRPr="00644C40">
              <w:rPr>
                <w:rFonts w:ascii="仿宋_GB2312" w:hint="eastAsia"/>
                <w:sz w:val="24"/>
              </w:rPr>
              <w:t>助理研究员</w:t>
            </w:r>
          </w:p>
        </w:tc>
        <w:tc>
          <w:tcPr>
            <w:tcW w:w="1273" w:type="pct"/>
            <w:tcBorders>
              <w:top w:val="single" w:sz="2" w:space="0" w:color="000000"/>
              <w:left w:val="single" w:sz="4" w:space="0" w:color="auto"/>
              <w:bottom w:val="single" w:sz="2" w:space="0" w:color="000000"/>
              <w:right w:val="single" w:sz="4" w:space="0" w:color="auto"/>
            </w:tcBorders>
            <w:vAlign w:val="center"/>
          </w:tcPr>
          <w:p w14:paraId="4DD89E91" w14:textId="6F7407F2"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tcPr>
          <w:p w14:paraId="0A47FA98"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对标准实施情况进行总结分析，不断对地方标准提出修正意见。</w:t>
            </w:r>
          </w:p>
        </w:tc>
      </w:tr>
      <w:tr w:rsidR="004F412E" w14:paraId="6857C920"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770E1C67" w14:textId="77777777" w:rsidR="004F412E" w:rsidRDefault="00000000">
            <w:pPr>
              <w:ind w:firstLineChars="0" w:firstLine="0"/>
              <w:jc w:val="center"/>
              <w:rPr>
                <w:rFonts w:ascii="仿宋_GB2312"/>
                <w:sz w:val="24"/>
              </w:rPr>
            </w:pPr>
            <w:r>
              <w:rPr>
                <w:rFonts w:ascii="仿宋_GB2312" w:hint="eastAsia"/>
                <w:sz w:val="24"/>
              </w:rPr>
              <w:t>黄菲菲</w:t>
            </w:r>
          </w:p>
        </w:tc>
        <w:tc>
          <w:tcPr>
            <w:tcW w:w="922" w:type="pct"/>
            <w:tcBorders>
              <w:top w:val="single" w:sz="4" w:space="0" w:color="auto"/>
              <w:left w:val="single" w:sz="4" w:space="0" w:color="auto"/>
              <w:bottom w:val="single" w:sz="4" w:space="0" w:color="auto"/>
              <w:right w:val="single" w:sz="4" w:space="0" w:color="auto"/>
            </w:tcBorders>
            <w:vAlign w:val="center"/>
          </w:tcPr>
          <w:p w14:paraId="73649061" w14:textId="345C3DC4" w:rsidR="004F412E" w:rsidRDefault="00644C40">
            <w:pPr>
              <w:ind w:firstLineChars="0" w:firstLine="0"/>
              <w:jc w:val="center"/>
              <w:rPr>
                <w:rFonts w:ascii="仿宋_GB2312"/>
                <w:sz w:val="24"/>
              </w:rPr>
            </w:pPr>
            <w:r w:rsidRPr="00644C40">
              <w:rPr>
                <w:rFonts w:ascii="仿宋_GB2312" w:hint="eastAsia"/>
                <w:sz w:val="24"/>
              </w:rPr>
              <w:t>助理经济师</w:t>
            </w:r>
          </w:p>
        </w:tc>
        <w:tc>
          <w:tcPr>
            <w:tcW w:w="1273" w:type="pct"/>
            <w:tcBorders>
              <w:top w:val="single" w:sz="2" w:space="0" w:color="000000"/>
              <w:left w:val="single" w:sz="4" w:space="0" w:color="auto"/>
              <w:bottom w:val="single" w:sz="2" w:space="0" w:color="000000"/>
              <w:right w:val="single" w:sz="4" w:space="0" w:color="auto"/>
            </w:tcBorders>
            <w:vAlign w:val="center"/>
          </w:tcPr>
          <w:p w14:paraId="7403C7E8" w14:textId="5161CF91" w:rsidR="004F412E" w:rsidRDefault="00C15796">
            <w:pPr>
              <w:ind w:firstLineChars="0" w:firstLine="0"/>
              <w:jc w:val="center"/>
              <w:rPr>
                <w:rFonts w:ascii="仿宋_GB2312"/>
                <w:sz w:val="24"/>
              </w:rPr>
            </w:pPr>
            <w:r>
              <w:rPr>
                <w:rFonts w:ascii="仿宋_GB2312" w:hint="eastAsia"/>
                <w:sz w:val="24"/>
              </w:rPr>
              <w:t>广西壮族自治区药用植物园</w:t>
            </w:r>
          </w:p>
        </w:tc>
        <w:tc>
          <w:tcPr>
            <w:tcW w:w="2247" w:type="pct"/>
            <w:tcBorders>
              <w:top w:val="single" w:sz="4" w:space="0" w:color="auto"/>
              <w:left w:val="single" w:sz="4" w:space="0" w:color="auto"/>
              <w:bottom w:val="single" w:sz="4" w:space="0" w:color="auto"/>
              <w:right w:val="single" w:sz="4" w:space="0" w:color="auto"/>
            </w:tcBorders>
          </w:tcPr>
          <w:p w14:paraId="5018F40F"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对标准实施情况进行总结分析，不断对地方标准提出修正意见。</w:t>
            </w:r>
          </w:p>
        </w:tc>
      </w:tr>
      <w:tr w:rsidR="004F412E" w14:paraId="0701D5CF"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0ACBBD20" w14:textId="77777777" w:rsidR="004F412E" w:rsidRDefault="00000000">
            <w:pPr>
              <w:ind w:firstLineChars="0" w:firstLine="0"/>
              <w:jc w:val="center"/>
              <w:rPr>
                <w:rFonts w:ascii="仿宋_GB2312"/>
                <w:sz w:val="24"/>
              </w:rPr>
            </w:pPr>
            <w:r>
              <w:rPr>
                <w:rFonts w:ascii="仿宋_GB2312" w:hint="eastAsia"/>
                <w:sz w:val="24"/>
              </w:rPr>
              <w:t>杨基元</w:t>
            </w:r>
          </w:p>
        </w:tc>
        <w:tc>
          <w:tcPr>
            <w:tcW w:w="922" w:type="pct"/>
            <w:tcBorders>
              <w:top w:val="single" w:sz="4" w:space="0" w:color="auto"/>
              <w:left w:val="single" w:sz="4" w:space="0" w:color="auto"/>
              <w:bottom w:val="single" w:sz="4" w:space="0" w:color="auto"/>
              <w:right w:val="single" w:sz="4" w:space="0" w:color="auto"/>
            </w:tcBorders>
            <w:vAlign w:val="center"/>
          </w:tcPr>
          <w:p w14:paraId="452328B3" w14:textId="12C5FB0A" w:rsidR="004F412E" w:rsidRDefault="00C87386">
            <w:pPr>
              <w:ind w:firstLineChars="0" w:firstLine="0"/>
              <w:jc w:val="center"/>
              <w:rPr>
                <w:rFonts w:ascii="仿宋_GB2312"/>
                <w:sz w:val="24"/>
              </w:rPr>
            </w:pPr>
            <w:r>
              <w:rPr>
                <w:rFonts w:ascii="仿宋_GB2312" w:hint="eastAsia"/>
                <w:sz w:val="24"/>
              </w:rPr>
              <w:t>企业负责人</w:t>
            </w:r>
          </w:p>
        </w:tc>
        <w:tc>
          <w:tcPr>
            <w:tcW w:w="1273" w:type="pct"/>
            <w:tcBorders>
              <w:top w:val="single" w:sz="2" w:space="0" w:color="000000"/>
              <w:left w:val="single" w:sz="4" w:space="0" w:color="auto"/>
              <w:bottom w:val="single" w:sz="2" w:space="0" w:color="000000"/>
              <w:right w:val="single" w:sz="4" w:space="0" w:color="auto"/>
            </w:tcBorders>
            <w:vAlign w:val="center"/>
          </w:tcPr>
          <w:p w14:paraId="70DD3E14" w14:textId="0373C1A2" w:rsidR="004F412E" w:rsidRDefault="00C15796">
            <w:pPr>
              <w:ind w:firstLineChars="0" w:firstLine="0"/>
              <w:jc w:val="center"/>
              <w:rPr>
                <w:rFonts w:ascii="仿宋_GB2312"/>
                <w:sz w:val="24"/>
              </w:rPr>
            </w:pPr>
            <w:r w:rsidRPr="00C15796">
              <w:rPr>
                <w:rFonts w:ascii="仿宋_GB2312" w:hint="eastAsia"/>
                <w:sz w:val="24"/>
              </w:rPr>
              <w:t>三江县黄金藤农业发展有限公司</w:t>
            </w:r>
          </w:p>
        </w:tc>
        <w:tc>
          <w:tcPr>
            <w:tcW w:w="2247" w:type="pct"/>
            <w:tcBorders>
              <w:top w:val="single" w:sz="4" w:space="0" w:color="auto"/>
              <w:left w:val="single" w:sz="4" w:space="0" w:color="auto"/>
              <w:bottom w:val="single" w:sz="4" w:space="0" w:color="auto"/>
              <w:right w:val="single" w:sz="4" w:space="0" w:color="auto"/>
            </w:tcBorders>
          </w:tcPr>
          <w:p w14:paraId="72A38A69"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对标准实施情况进行总结分析，不断对地方标准提出修正意见。</w:t>
            </w:r>
          </w:p>
        </w:tc>
      </w:tr>
      <w:tr w:rsidR="004F412E" w14:paraId="3BF5356F"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6C741CD2" w14:textId="77777777" w:rsidR="004F412E" w:rsidRDefault="00000000">
            <w:pPr>
              <w:ind w:firstLineChars="0" w:firstLine="0"/>
              <w:jc w:val="center"/>
              <w:rPr>
                <w:rFonts w:ascii="仿宋_GB2312"/>
                <w:sz w:val="24"/>
              </w:rPr>
            </w:pPr>
            <w:r>
              <w:rPr>
                <w:rFonts w:ascii="仿宋_GB2312" w:hint="eastAsia"/>
                <w:sz w:val="24"/>
              </w:rPr>
              <w:t>滚迪</w:t>
            </w:r>
          </w:p>
        </w:tc>
        <w:tc>
          <w:tcPr>
            <w:tcW w:w="922" w:type="pct"/>
            <w:tcBorders>
              <w:top w:val="single" w:sz="4" w:space="0" w:color="auto"/>
              <w:left w:val="single" w:sz="4" w:space="0" w:color="auto"/>
              <w:bottom w:val="single" w:sz="4" w:space="0" w:color="auto"/>
              <w:right w:val="single" w:sz="4" w:space="0" w:color="auto"/>
            </w:tcBorders>
            <w:vAlign w:val="center"/>
          </w:tcPr>
          <w:p w14:paraId="3D828E17" w14:textId="36EBA516" w:rsidR="004F412E" w:rsidRDefault="00C87386">
            <w:pPr>
              <w:ind w:firstLineChars="0" w:firstLine="0"/>
              <w:jc w:val="center"/>
              <w:rPr>
                <w:rFonts w:ascii="仿宋_GB2312"/>
                <w:sz w:val="24"/>
              </w:rPr>
            </w:pPr>
            <w:r>
              <w:rPr>
                <w:rFonts w:ascii="仿宋_GB2312" w:hint="eastAsia"/>
                <w:sz w:val="24"/>
              </w:rPr>
              <w:t>企业负责人</w:t>
            </w:r>
          </w:p>
        </w:tc>
        <w:tc>
          <w:tcPr>
            <w:tcW w:w="1273" w:type="pct"/>
            <w:tcBorders>
              <w:top w:val="single" w:sz="2" w:space="0" w:color="000000"/>
              <w:left w:val="single" w:sz="4" w:space="0" w:color="auto"/>
              <w:bottom w:val="single" w:sz="2" w:space="0" w:color="000000"/>
              <w:right w:val="single" w:sz="4" w:space="0" w:color="auto"/>
            </w:tcBorders>
            <w:vAlign w:val="center"/>
          </w:tcPr>
          <w:p w14:paraId="5491CE1D" w14:textId="24F0E13A" w:rsidR="004F412E" w:rsidRDefault="00C15796">
            <w:pPr>
              <w:ind w:firstLineChars="0" w:firstLine="0"/>
              <w:jc w:val="center"/>
              <w:rPr>
                <w:rFonts w:ascii="仿宋_GB2312"/>
                <w:sz w:val="24"/>
              </w:rPr>
            </w:pPr>
            <w:r w:rsidRPr="00C15796">
              <w:rPr>
                <w:rFonts w:ascii="仿宋_GB2312" w:hint="eastAsia"/>
                <w:sz w:val="24"/>
              </w:rPr>
              <w:t>三江县迪秀农业技术开发有限责任公司</w:t>
            </w:r>
          </w:p>
        </w:tc>
        <w:tc>
          <w:tcPr>
            <w:tcW w:w="2247" w:type="pct"/>
            <w:tcBorders>
              <w:top w:val="single" w:sz="4" w:space="0" w:color="auto"/>
              <w:left w:val="single" w:sz="4" w:space="0" w:color="auto"/>
              <w:bottom w:val="single" w:sz="4" w:space="0" w:color="auto"/>
              <w:right w:val="single" w:sz="4" w:space="0" w:color="auto"/>
            </w:tcBorders>
          </w:tcPr>
          <w:p w14:paraId="789D0C7E"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对标准实施情况进行总结分析，不断对地方标准提出修正意见。</w:t>
            </w:r>
          </w:p>
        </w:tc>
      </w:tr>
      <w:tr w:rsidR="004F412E" w14:paraId="5BEFD95B" w14:textId="77777777">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490FC04F" w14:textId="77777777" w:rsidR="004F412E" w:rsidRDefault="00000000">
            <w:pPr>
              <w:ind w:firstLineChars="0" w:firstLine="0"/>
              <w:jc w:val="center"/>
              <w:rPr>
                <w:rFonts w:ascii="仿宋_GB2312"/>
                <w:sz w:val="24"/>
              </w:rPr>
            </w:pPr>
            <w:r>
              <w:rPr>
                <w:rFonts w:ascii="仿宋_GB2312" w:hint="eastAsia"/>
                <w:sz w:val="24"/>
              </w:rPr>
              <w:t>韦玉国</w:t>
            </w:r>
          </w:p>
        </w:tc>
        <w:tc>
          <w:tcPr>
            <w:tcW w:w="922" w:type="pct"/>
            <w:tcBorders>
              <w:top w:val="single" w:sz="4" w:space="0" w:color="auto"/>
              <w:left w:val="single" w:sz="4" w:space="0" w:color="auto"/>
              <w:bottom w:val="single" w:sz="4" w:space="0" w:color="auto"/>
              <w:right w:val="single" w:sz="4" w:space="0" w:color="auto"/>
            </w:tcBorders>
            <w:vAlign w:val="center"/>
          </w:tcPr>
          <w:p w14:paraId="7C51807F" w14:textId="092916FC" w:rsidR="004F412E" w:rsidRDefault="00C87386">
            <w:pPr>
              <w:ind w:firstLineChars="0" w:firstLine="0"/>
              <w:jc w:val="center"/>
              <w:rPr>
                <w:rFonts w:ascii="仿宋_GB2312"/>
                <w:sz w:val="24"/>
              </w:rPr>
            </w:pPr>
            <w:r>
              <w:rPr>
                <w:rFonts w:ascii="仿宋_GB2312" w:hint="eastAsia"/>
                <w:sz w:val="24"/>
              </w:rPr>
              <w:t>企业负责人</w:t>
            </w:r>
          </w:p>
        </w:tc>
        <w:tc>
          <w:tcPr>
            <w:tcW w:w="1273" w:type="pct"/>
            <w:tcBorders>
              <w:top w:val="single" w:sz="2" w:space="0" w:color="000000"/>
              <w:left w:val="single" w:sz="4" w:space="0" w:color="auto"/>
              <w:bottom w:val="single" w:sz="4" w:space="0" w:color="auto"/>
              <w:right w:val="single" w:sz="4" w:space="0" w:color="auto"/>
            </w:tcBorders>
            <w:vAlign w:val="center"/>
          </w:tcPr>
          <w:p w14:paraId="5DBB7442" w14:textId="126954A5" w:rsidR="004F412E" w:rsidRDefault="00C15796">
            <w:pPr>
              <w:ind w:firstLineChars="0" w:firstLine="0"/>
              <w:jc w:val="center"/>
              <w:rPr>
                <w:rFonts w:ascii="仿宋_GB2312"/>
                <w:sz w:val="24"/>
              </w:rPr>
            </w:pPr>
            <w:r w:rsidRPr="00C15796">
              <w:rPr>
                <w:rFonts w:ascii="仿宋_GB2312" w:hint="eastAsia"/>
                <w:sz w:val="24"/>
              </w:rPr>
              <w:t>融安县飞腾中草药专业合作社</w:t>
            </w:r>
          </w:p>
        </w:tc>
        <w:tc>
          <w:tcPr>
            <w:tcW w:w="2247" w:type="pct"/>
            <w:tcBorders>
              <w:top w:val="single" w:sz="4" w:space="0" w:color="auto"/>
              <w:left w:val="single" w:sz="4" w:space="0" w:color="auto"/>
              <w:bottom w:val="single" w:sz="4" w:space="0" w:color="auto"/>
              <w:right w:val="single" w:sz="4" w:space="0" w:color="auto"/>
            </w:tcBorders>
          </w:tcPr>
          <w:p w14:paraId="7B67E602" w14:textId="77777777" w:rsidR="004F412E" w:rsidRDefault="00000000">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对标准实施情况进行总结分析，不断对地方标准提出修正意见。</w:t>
            </w:r>
          </w:p>
        </w:tc>
      </w:tr>
    </w:tbl>
    <w:p w14:paraId="0B9A37C8" w14:textId="77777777" w:rsidR="004F412E" w:rsidRDefault="00000000">
      <w:pPr>
        <w:autoSpaceDE w:val="0"/>
        <w:autoSpaceDN w:val="0"/>
        <w:adjustRightInd w:val="0"/>
        <w:spacing w:beforeLines="50" w:before="156" w:afterLines="50" w:after="156" w:line="560" w:lineRule="exact"/>
        <w:ind w:firstLine="640"/>
        <w:jc w:val="left"/>
        <w:rPr>
          <w:rFonts w:ascii="黑体" w:eastAsia="黑体" w:hAnsi="黑体" w:cs="仿宋_GB2312" w:hint="eastAsia"/>
          <w:szCs w:val="32"/>
        </w:rPr>
      </w:pPr>
      <w:r>
        <w:rPr>
          <w:rFonts w:ascii="黑体" w:eastAsia="黑体" w:hAnsi="黑体" w:cs="仿宋_GB2312" w:hint="eastAsia"/>
          <w:szCs w:val="32"/>
        </w:rPr>
        <w:t>二、制定标准的必要性和意义</w:t>
      </w:r>
    </w:p>
    <w:p w14:paraId="365AB1C6" w14:textId="77777777" w:rsidR="004F412E" w:rsidRDefault="00000000" w:rsidP="00835BCC">
      <w:pPr>
        <w:autoSpaceDE w:val="0"/>
        <w:autoSpaceDN w:val="0"/>
        <w:adjustRightInd w:val="0"/>
        <w:ind w:firstLine="640"/>
        <w:rPr>
          <w:rFonts w:ascii="仿宋_GB2312" w:hAnsi="宋体" w:hint="eastAsia"/>
          <w:szCs w:val="28"/>
        </w:rPr>
      </w:pPr>
      <w:r>
        <w:rPr>
          <w:rFonts w:ascii="仿宋_GB2312" w:hAnsi="宋体" w:hint="eastAsia"/>
          <w:szCs w:val="28"/>
        </w:rPr>
        <w:t>党的二十大提出实施乡村振兴战略，将产业兴旺、特色农业发展作为其中重要目标和内容。近年来，我区加强政策扶持，坚持规划引领，破除发展痛点，全力推动产业高质量发展。广西壮族自治区人民政府办公厅关于《扩大农业农村有效投资加快补上“三农”领域突出短板的实施意见》（桂政办发〔2020〕75号）提出，发展优势种植业。发展水果、蔬菜、蚕桑、茶叶、食用菌、中药材等种植业，建设规模化、优质化、品牌化特色农产品生产基地和富硒产品生产基地，推动全产业链发展。广西壮族自治区人民政府办公厅关于印发《促进全区中药材壮瑶药材产业高质量发展实施方案》的通知(桂政办发〔2020〕98号)提出，到2025年，全区中药材壮瑶药材产业规模稳定在600万亩左右，种养及初加</w:t>
      </w:r>
      <w:r>
        <w:rPr>
          <w:rFonts w:ascii="仿宋_GB2312" w:hAnsi="宋体" w:hint="eastAsia"/>
          <w:szCs w:val="28"/>
        </w:rPr>
        <w:lastRenderedPageBreak/>
        <w:t>工产值达到500亿元以上；规模化、专业化、标准化生产占比达到60%以上，培育新型经营主体1000家以上；基本建立生产技术、产地加工、产品规格等级、质量安全等多指标综合标准体系；中药材壮瑶药材产业创新能力、产品质量及品牌效应显著提升，培育形成一批“桂”字号品牌，产品市场竞争力明显增强。</w:t>
      </w:r>
    </w:p>
    <w:p w14:paraId="5062C2A9" w14:textId="77777777" w:rsidR="004F412E" w:rsidRDefault="00000000" w:rsidP="00835BCC">
      <w:pPr>
        <w:autoSpaceDE w:val="0"/>
        <w:autoSpaceDN w:val="0"/>
        <w:adjustRightInd w:val="0"/>
        <w:ind w:firstLine="640"/>
        <w:rPr>
          <w:rFonts w:ascii="仿宋_GB2312" w:hAnsi="宋体" w:hint="eastAsia"/>
          <w:szCs w:val="28"/>
        </w:rPr>
      </w:pPr>
      <w:r>
        <w:rPr>
          <w:rFonts w:ascii="仿宋_GB2312" w:hAnsi="宋体" w:hint="eastAsia"/>
          <w:szCs w:val="28"/>
        </w:rPr>
        <w:t>钩藤（</w:t>
      </w:r>
      <w:r w:rsidRPr="00C87386">
        <w:rPr>
          <w:rFonts w:ascii="仿宋_GB2312" w:hAnsi="宋体" w:hint="eastAsia"/>
          <w:i/>
          <w:iCs/>
          <w:szCs w:val="28"/>
        </w:rPr>
        <w:t>Uncaria rhynchophylla</w:t>
      </w:r>
      <w:r>
        <w:rPr>
          <w:rFonts w:ascii="仿宋_GB2312" w:hAnsi="宋体" w:hint="eastAsia"/>
          <w:szCs w:val="28"/>
        </w:rPr>
        <w:t>）是国家重点保护的野生药材物种，同时也是我国常用且大宗的药材，以及传统出口药材之一。据《中华人民共和国药典》记载，钩藤的药用部位是带钩的茎枝，其性凉、味甘，具有息风定惊、清热平肝的功效。随着对钩藤化学成分和药理作用的深入研究，人们发现其药用成分主要包括生物碱类、黄酮类及多糖等，具有降血压、镇静、抗癫痫、抗氧化、抗炎等多种药理作用。</w:t>
      </w:r>
    </w:p>
    <w:p w14:paraId="77D29D0A" w14:textId="77777777" w:rsidR="004F412E" w:rsidRDefault="00000000" w:rsidP="00835BCC">
      <w:pPr>
        <w:autoSpaceDE w:val="0"/>
        <w:autoSpaceDN w:val="0"/>
        <w:adjustRightInd w:val="0"/>
        <w:ind w:firstLine="640"/>
        <w:rPr>
          <w:rFonts w:ascii="仿宋_GB2312" w:hAnsi="宋体" w:hint="eastAsia"/>
          <w:szCs w:val="28"/>
        </w:rPr>
      </w:pPr>
      <w:r>
        <w:rPr>
          <w:rFonts w:ascii="仿宋_GB2312" w:hAnsi="宋体" w:hint="eastAsia"/>
          <w:szCs w:val="28"/>
        </w:rPr>
        <w:t>近年来，国内外市场对钩藤药材的需求量迅速增加，导致其野生资源正面临多重挑战。首先荒山的大量开垦破坏了钩藤的自然生长环境；其次，化学除草剂的滥用对钩藤生长造成了不良影响；最后，可观的经济效益导致钩藤野生资源被连年无序采挖，多重影响导致了野生钩藤资源的日益减少。为应对野生资源减少的问题，人们开始尝试人工种植钩藤。钩藤种植土壤要求相对较低，管理简单，用工少，第二年即可采收，且年产值可达</w:t>
      </w:r>
      <w:r>
        <w:rPr>
          <w:rFonts w:ascii="仿宋_GB2312" w:hAnsi="宋体"/>
          <w:szCs w:val="28"/>
        </w:rPr>
        <w:t>6000-8000</w:t>
      </w:r>
      <w:r>
        <w:rPr>
          <w:rFonts w:ascii="仿宋_GB2312" w:hAnsi="宋体" w:hint="eastAsia"/>
          <w:szCs w:val="28"/>
        </w:rPr>
        <w:t>元</w:t>
      </w:r>
      <w:r>
        <w:rPr>
          <w:rFonts w:ascii="仿宋_GB2312" w:hAnsi="宋体"/>
          <w:szCs w:val="28"/>
        </w:rPr>
        <w:t>/667m</w:t>
      </w:r>
      <w:r>
        <w:rPr>
          <w:rFonts w:ascii="仿宋_GB2312" w:hAnsi="宋体"/>
          <w:szCs w:val="28"/>
        </w:rPr>
        <w:t>²</w:t>
      </w:r>
      <w:r>
        <w:rPr>
          <w:rFonts w:ascii="仿宋_GB2312" w:hAnsi="宋体" w:hint="eastAsia"/>
          <w:szCs w:val="28"/>
        </w:rPr>
        <w:t>，持续采收期可达</w:t>
      </w:r>
      <w:r>
        <w:rPr>
          <w:rFonts w:ascii="仿宋_GB2312" w:hAnsi="宋体"/>
          <w:szCs w:val="28"/>
        </w:rPr>
        <w:t>20</w:t>
      </w:r>
      <w:r>
        <w:rPr>
          <w:rFonts w:ascii="仿宋_GB2312" w:hAnsi="宋体" w:hint="eastAsia"/>
          <w:szCs w:val="28"/>
        </w:rPr>
        <w:t>年以上。近年来，钩藤收购价格稳中有升，为种植农户带来了增收，因此群众种植积极性高涨。然而，人工种植条件往往难以完全模拟钩藤的自然生长环境，这导</w:t>
      </w:r>
      <w:r>
        <w:rPr>
          <w:rFonts w:ascii="仿宋_GB2312" w:hAnsi="宋体" w:hint="eastAsia"/>
          <w:szCs w:val="28"/>
        </w:rPr>
        <w:lastRenderedPageBreak/>
        <w:t>致了钩藤在人工种植过程中出现种性退化的问题。种性退化使得钩藤产量降低，难以满足市场需求，同时成本也相对较高。此外，人工繁育过程中可能存在的技术和管理问题，也使得生产面临较大风险。因此，虽然人工种植钩藤在一定程度上可以缓解野生资源减少的压力并增加农户收入，但目前来看，人工繁殖的质量并未得到充分保障。</w:t>
      </w:r>
    </w:p>
    <w:p w14:paraId="65DF8C0E" w14:textId="77777777" w:rsidR="004F412E" w:rsidRDefault="00000000" w:rsidP="00835BCC">
      <w:pPr>
        <w:autoSpaceDE w:val="0"/>
        <w:autoSpaceDN w:val="0"/>
        <w:adjustRightInd w:val="0"/>
        <w:ind w:firstLine="640"/>
        <w:rPr>
          <w:rFonts w:ascii="仿宋_GB2312" w:hAnsi="宋体" w:hint="eastAsia"/>
          <w:szCs w:val="28"/>
        </w:rPr>
      </w:pPr>
      <w:r>
        <w:rPr>
          <w:rFonts w:ascii="仿宋_GB2312" w:hAnsi="宋体" w:hint="eastAsia"/>
          <w:szCs w:val="28"/>
        </w:rPr>
        <w:t>为提高钩藤的产量和质量，降低生产成本和风险，需进一步加强钩藤的人工种植技术研究与管理，并加强对野生资源的保护与管理，以确保钩藤资源的可持续利用。种子是植物繁衍的基础，对于钩藤而言，由于其种子繁殖系数高，因此种子繁殖成为钩藤大面积栽培扩繁的主要方式。钩藤种子微小，对光照有一定要求。在黑暗条件下，钩藤种子几乎不萌发；而光照强度过低或过高，种子萌发率也会显著降低。此外，基质pH值和含水量也是影响种子萌发的重要因素。若这些环境因素控制不当，都可能导致种子发芽率低。</w:t>
      </w:r>
    </w:p>
    <w:p w14:paraId="4C0CE601" w14:textId="77777777" w:rsidR="004F412E" w:rsidRDefault="00000000" w:rsidP="00835BCC">
      <w:pPr>
        <w:autoSpaceDE w:val="0"/>
        <w:autoSpaceDN w:val="0"/>
        <w:adjustRightInd w:val="0"/>
        <w:ind w:firstLine="640"/>
        <w:rPr>
          <w:rFonts w:ascii="仿宋_GB2312" w:hAnsi="宋体" w:hint="eastAsia"/>
          <w:szCs w:val="28"/>
        </w:rPr>
      </w:pPr>
      <w:r>
        <w:rPr>
          <w:rFonts w:ascii="仿宋_GB2312" w:hAnsi="宋体" w:hint="eastAsia"/>
          <w:szCs w:val="28"/>
        </w:rPr>
        <w:t>钩藤实生苗繁育技术涉及种子采集、处理、贮藏、播种、苗期管理以及苗木分级等多个环节，每个环节的技术处理都会直接影响种子的发芽率、出苗率及苗木质量。当前，虽然钩藤种植面积不断扩大，但在实际生产过程中，由于缺乏科学的种子繁殖技术指导，农民和种植户往往凭经验进行种子处理与播种，存在诸多不当之处。如种子采集时间不当、处理方法原始、贮藏条件不佳、播种密度不合理及苗期管理粗放等。这些问题不仅浪费了种</w:t>
      </w:r>
      <w:r>
        <w:rPr>
          <w:rFonts w:ascii="仿宋_GB2312" w:hAnsi="宋体" w:hint="eastAsia"/>
          <w:szCs w:val="28"/>
        </w:rPr>
        <w:lastRenderedPageBreak/>
        <w:t>子资源，还增加了生产成本，降低了钩藤的种植效益。</w:t>
      </w:r>
    </w:p>
    <w:p w14:paraId="25E083F0" w14:textId="77777777" w:rsidR="004F412E" w:rsidRDefault="00000000" w:rsidP="00835BCC">
      <w:pPr>
        <w:autoSpaceDE w:val="0"/>
        <w:autoSpaceDN w:val="0"/>
        <w:adjustRightInd w:val="0"/>
        <w:ind w:firstLine="640"/>
        <w:rPr>
          <w:rFonts w:ascii="仿宋_GB2312" w:hAnsi="宋体" w:hint="eastAsia"/>
          <w:szCs w:val="28"/>
        </w:rPr>
      </w:pPr>
      <w:r>
        <w:rPr>
          <w:rFonts w:ascii="仿宋_GB2312" w:hAnsi="宋体" w:hint="eastAsia"/>
          <w:szCs w:val="28"/>
        </w:rPr>
        <w:t>因此，通过制定团体标准《钩藤实生苗繁育技术规程》，统一规范钩藤种子的采集、处理、贮藏、播种及苗期管理等关键技术环节，对于提高钩藤种子繁殖效率、培育优质苗木、增加钩藤产量、提升产品质量、降低生产成本，以及促进钩藤产业健康、可持续发展具有重要的现实意义。</w:t>
      </w:r>
    </w:p>
    <w:p w14:paraId="31326448" w14:textId="77777777" w:rsidR="004F412E" w:rsidRDefault="00000000" w:rsidP="00835BCC">
      <w:pPr>
        <w:autoSpaceDE w:val="0"/>
        <w:autoSpaceDN w:val="0"/>
        <w:adjustRightInd w:val="0"/>
        <w:ind w:firstLine="640"/>
        <w:jc w:val="left"/>
        <w:rPr>
          <w:rFonts w:ascii="黑体" w:eastAsia="黑体" w:hAnsi="黑体" w:cs="仿宋_GB2312" w:hint="eastAsia"/>
          <w:szCs w:val="32"/>
        </w:rPr>
      </w:pPr>
      <w:r>
        <w:rPr>
          <w:rFonts w:ascii="黑体" w:eastAsia="黑体" w:hAnsi="黑体" w:cs="仿宋_GB2312" w:hint="eastAsia"/>
          <w:szCs w:val="32"/>
        </w:rPr>
        <w:t>三、主要起草过程</w:t>
      </w:r>
    </w:p>
    <w:p w14:paraId="753DECAE" w14:textId="77777777" w:rsidR="004F412E" w:rsidRDefault="00000000" w:rsidP="00835BCC">
      <w:pPr>
        <w:ind w:firstLine="643"/>
        <w:rPr>
          <w:rFonts w:ascii="楷体" w:eastAsia="楷体" w:hAnsi="楷体" w:hint="eastAsia"/>
          <w:szCs w:val="28"/>
        </w:rPr>
      </w:pPr>
      <w:r>
        <w:rPr>
          <w:rFonts w:ascii="楷体" w:eastAsia="楷体" w:hAnsi="楷体" w:cs="仿宋_GB2312" w:hint="eastAsia"/>
          <w:b/>
          <w:szCs w:val="28"/>
        </w:rPr>
        <w:t>（一）成立标准编制工作组</w:t>
      </w:r>
    </w:p>
    <w:p w14:paraId="63ADB6D6" w14:textId="0C8A7732" w:rsidR="004F412E" w:rsidRDefault="00000000" w:rsidP="00835BCC">
      <w:pPr>
        <w:ind w:firstLine="640"/>
        <w:rPr>
          <w:rFonts w:ascii="仿宋_GB2312" w:hAnsi="宋体" w:hint="eastAsia"/>
          <w:szCs w:val="28"/>
        </w:rPr>
      </w:pPr>
      <w:r>
        <w:rPr>
          <w:rFonts w:ascii="仿宋_GB2312" w:hAnsi="宋体" w:hint="eastAsia"/>
          <w:szCs w:val="28"/>
        </w:rPr>
        <w:t>团体标准《钩藤实生苗繁育技术规程》项目任务下达后，广西壮族自治区药用植物园成立了标准编制工作组，起草单位制定了起草编写方案与进度安排，明确任务职责，确定工作技术路线，开展标准研制工作。具体标准编制工作由广西壮族自治区药用植物园、三江县迪秀农业技术开发有限责任公司、三江县黄金藤农业发展有限公司</w:t>
      </w:r>
      <w:r w:rsidR="00FA2A94">
        <w:rPr>
          <w:rFonts w:ascii="仿宋_GB2312" w:hAnsi="宋体" w:hint="eastAsia"/>
          <w:szCs w:val="28"/>
        </w:rPr>
        <w:t>和</w:t>
      </w:r>
      <w:r w:rsidR="00FA2A94" w:rsidRPr="00FA2A94">
        <w:rPr>
          <w:rFonts w:ascii="仿宋_GB2312" w:hAnsi="宋体" w:hint="eastAsia"/>
          <w:szCs w:val="28"/>
        </w:rPr>
        <w:t>融安县飞腾中草药专业合作社</w:t>
      </w:r>
      <w:r>
        <w:rPr>
          <w:rFonts w:ascii="仿宋_GB2312" w:hAnsi="宋体" w:hint="eastAsia"/>
          <w:szCs w:val="28"/>
        </w:rPr>
        <w:t>等单位负责人组成的标准编制工作组完成。</w:t>
      </w:r>
    </w:p>
    <w:p w14:paraId="1A4C11AD" w14:textId="77777777" w:rsidR="004F412E" w:rsidRDefault="00000000" w:rsidP="00835BCC">
      <w:pPr>
        <w:ind w:firstLine="640"/>
        <w:rPr>
          <w:rFonts w:ascii="仿宋_GB2312" w:hAnsi="宋体" w:hint="eastAsia"/>
          <w:szCs w:val="28"/>
        </w:rPr>
      </w:pPr>
      <w:r>
        <w:rPr>
          <w:rFonts w:ascii="仿宋_GB2312" w:hAnsi="宋体" w:hint="eastAsia"/>
          <w:szCs w:val="28"/>
        </w:rPr>
        <w:t>编制工作组下设三个组，分别是资料收集组、草案编写组、标准实施组。</w:t>
      </w:r>
    </w:p>
    <w:p w14:paraId="734EDCD5" w14:textId="77777777" w:rsidR="004F412E" w:rsidRDefault="00000000" w:rsidP="00835BCC">
      <w:pPr>
        <w:ind w:firstLine="640"/>
        <w:rPr>
          <w:rFonts w:ascii="仿宋_GB2312" w:hAnsi="宋体" w:hint="eastAsia"/>
          <w:szCs w:val="28"/>
        </w:rPr>
      </w:pPr>
      <w:r>
        <w:rPr>
          <w:rFonts w:ascii="仿宋_GB2312" w:hAnsi="宋体" w:hint="eastAsia"/>
          <w:szCs w:val="28"/>
        </w:rPr>
        <w:t>资料收集组负责国内外有关钩藤实生苗繁育技术的文献资料的查询、收集和整理工作，查阅前人对钩藤实生苗繁育技术的研究情况。</w:t>
      </w:r>
    </w:p>
    <w:p w14:paraId="337AC00E" w14:textId="77777777" w:rsidR="004F412E" w:rsidRDefault="00000000" w:rsidP="00835BCC">
      <w:pPr>
        <w:ind w:firstLine="640"/>
        <w:rPr>
          <w:rFonts w:ascii="仿宋_GB2312" w:hAnsi="宋体" w:hint="eastAsia"/>
          <w:szCs w:val="28"/>
        </w:rPr>
      </w:pPr>
      <w:r>
        <w:rPr>
          <w:rFonts w:ascii="仿宋_GB2312" w:hAnsi="宋体" w:hint="eastAsia"/>
          <w:szCs w:val="28"/>
        </w:rPr>
        <w:t>草案编写组负责起草标准草案、征求意见稿和标准编制说明、送审稿及编制说明的编写工作，包括后期召开征求意见会、网上</w:t>
      </w:r>
      <w:r>
        <w:rPr>
          <w:rFonts w:ascii="仿宋_GB2312" w:hAnsi="宋体" w:hint="eastAsia"/>
          <w:szCs w:val="28"/>
        </w:rPr>
        <w:lastRenderedPageBreak/>
        <w:t>征求意见，以及标准的不断修改和完善。</w:t>
      </w:r>
    </w:p>
    <w:p w14:paraId="0726A97D" w14:textId="77777777" w:rsidR="004F412E" w:rsidRDefault="00000000" w:rsidP="00835BCC">
      <w:pPr>
        <w:ind w:firstLine="640"/>
        <w:rPr>
          <w:rFonts w:ascii="仿宋_GB2312" w:hAnsi="宋体" w:hint="eastAsia"/>
          <w:szCs w:val="28"/>
        </w:rPr>
      </w:pPr>
      <w:r>
        <w:rPr>
          <w:rFonts w:ascii="仿宋_GB2312" w:hAnsi="宋体" w:hint="eastAsia"/>
          <w:szCs w:val="28"/>
        </w:rPr>
        <w:t>标准实施组负责团体标准《钩藤实生苗繁育技术规程》发布后，组织相关单位开展标准宣贯培训会，对标准进行详细解读，让相关人员了解标准，并根据标准对钩藤实生苗繁育技术进行规范化操作，并对标准实施情况进行总结分析，不断对团体标准提出修正意见。</w:t>
      </w:r>
    </w:p>
    <w:p w14:paraId="7140D010" w14:textId="77777777" w:rsidR="004F412E" w:rsidRDefault="00000000" w:rsidP="00835BCC">
      <w:pPr>
        <w:ind w:firstLine="643"/>
        <w:rPr>
          <w:rFonts w:ascii="楷体" w:eastAsia="楷体" w:hAnsi="楷体" w:cs="仿宋_GB2312" w:hint="eastAsia"/>
          <w:b/>
          <w:szCs w:val="28"/>
        </w:rPr>
      </w:pPr>
      <w:r>
        <w:rPr>
          <w:rFonts w:ascii="楷体" w:eastAsia="楷体" w:hAnsi="楷体" w:cs="仿宋_GB2312" w:hint="eastAsia"/>
          <w:b/>
          <w:szCs w:val="28"/>
        </w:rPr>
        <w:t>（二）收集整理文献资料</w:t>
      </w:r>
    </w:p>
    <w:p w14:paraId="5E7AE3BB" w14:textId="77777777" w:rsidR="004F412E" w:rsidRDefault="00000000" w:rsidP="00835BCC">
      <w:pPr>
        <w:ind w:firstLine="640"/>
        <w:rPr>
          <w:rFonts w:ascii="仿宋_GB2312" w:hAnsi="宋体" w:hint="eastAsia"/>
          <w:szCs w:val="28"/>
          <w:lang w:val="fr-FR"/>
        </w:rPr>
      </w:pPr>
      <w:r>
        <w:rPr>
          <w:rFonts w:ascii="仿宋_GB2312" w:hAnsi="宋体" w:hint="eastAsia"/>
          <w:szCs w:val="28"/>
        </w:rPr>
        <w:t>标准编制工作组收集了国内有关</w:t>
      </w:r>
      <w:r>
        <w:rPr>
          <w:rFonts w:ascii="宋体" w:hAnsi="宋体" w:hint="eastAsia"/>
        </w:rPr>
        <w:t>“钩藤繁育”</w:t>
      </w:r>
      <w:r>
        <w:rPr>
          <w:rFonts w:ascii="仿宋_GB2312" w:hAnsi="宋体" w:hint="eastAsia"/>
          <w:szCs w:val="28"/>
        </w:rPr>
        <w:t>相关资料。主要有</w:t>
      </w:r>
      <w:r>
        <w:rPr>
          <w:rFonts w:ascii="仿宋_GB2312" w:hAnsi="宋体" w:hint="eastAsia"/>
          <w:szCs w:val="28"/>
          <w:lang w:val="fr-FR"/>
        </w:rPr>
        <w:t>：</w:t>
      </w:r>
    </w:p>
    <w:p w14:paraId="2B7F68C2" w14:textId="77777777" w:rsidR="004F412E" w:rsidRDefault="00000000" w:rsidP="00835BCC">
      <w:pPr>
        <w:ind w:firstLine="640"/>
        <w:rPr>
          <w:rFonts w:ascii="仿宋_GB2312" w:hAnsi="宋体" w:hint="eastAsia"/>
          <w:szCs w:val="28"/>
        </w:rPr>
      </w:pPr>
      <w:r>
        <w:rPr>
          <w:rFonts w:ascii="仿宋_GB2312" w:hAnsi="宋体" w:hint="eastAsia"/>
          <w:szCs w:val="28"/>
        </w:rPr>
        <w:t>DB45/T 2724-2023  钩藤种苗质量要求</w:t>
      </w:r>
    </w:p>
    <w:p w14:paraId="51E29C90" w14:textId="77777777" w:rsidR="004F412E" w:rsidRDefault="00000000" w:rsidP="00835BCC">
      <w:pPr>
        <w:ind w:firstLine="640"/>
        <w:rPr>
          <w:rFonts w:ascii="仿宋_GB2312" w:hAnsi="宋体" w:hint="eastAsia"/>
          <w:szCs w:val="28"/>
        </w:rPr>
      </w:pPr>
      <w:r>
        <w:rPr>
          <w:rFonts w:ascii="仿宋_GB2312" w:hAnsi="宋体" w:hint="eastAsia"/>
          <w:szCs w:val="28"/>
        </w:rPr>
        <w:t>DB43/T 2383-2022  钩藤种植技术规程</w:t>
      </w:r>
    </w:p>
    <w:p w14:paraId="7D9D2217" w14:textId="77777777" w:rsidR="004F412E" w:rsidRDefault="00000000" w:rsidP="00835BCC">
      <w:pPr>
        <w:ind w:firstLine="640"/>
        <w:rPr>
          <w:rFonts w:ascii="仿宋_GB2312" w:hAnsi="宋体" w:hint="eastAsia"/>
          <w:szCs w:val="28"/>
        </w:rPr>
      </w:pPr>
      <w:r>
        <w:rPr>
          <w:rFonts w:ascii="仿宋_GB2312" w:hAnsi="宋体" w:hint="eastAsia"/>
          <w:szCs w:val="28"/>
        </w:rPr>
        <w:t>DB44/T 2320—2021  钩藤栽培技术规程</w:t>
      </w:r>
    </w:p>
    <w:p w14:paraId="1031CE22" w14:textId="77777777" w:rsidR="004F412E" w:rsidRDefault="00000000" w:rsidP="00835BCC">
      <w:pPr>
        <w:ind w:firstLine="640"/>
        <w:rPr>
          <w:rFonts w:ascii="仿宋_GB2312" w:hAnsi="宋体" w:hint="eastAsia"/>
          <w:szCs w:val="28"/>
        </w:rPr>
      </w:pPr>
      <w:r>
        <w:rPr>
          <w:rFonts w:ascii="仿宋_GB2312" w:hAnsi="宋体" w:hint="eastAsia"/>
          <w:szCs w:val="28"/>
        </w:rPr>
        <w:t>DB45/T 1732-2018  中药材钩藤扦插苗生产技术规程</w:t>
      </w:r>
    </w:p>
    <w:p w14:paraId="61BDB8E7" w14:textId="77777777" w:rsidR="004F412E" w:rsidRDefault="00000000" w:rsidP="00835BCC">
      <w:pPr>
        <w:ind w:firstLine="643"/>
        <w:rPr>
          <w:rFonts w:ascii="楷体" w:eastAsia="楷体" w:hAnsi="楷体" w:cs="仿宋_GB2312" w:hint="eastAsia"/>
          <w:b/>
          <w:szCs w:val="28"/>
        </w:rPr>
      </w:pPr>
      <w:r>
        <w:rPr>
          <w:rFonts w:ascii="楷体" w:eastAsia="楷体" w:hAnsi="楷体" w:cs="仿宋_GB2312" w:hint="eastAsia"/>
          <w:b/>
          <w:szCs w:val="28"/>
        </w:rPr>
        <w:t>（三）研讨确定标准特色、创新点和主要内容</w:t>
      </w:r>
    </w:p>
    <w:p w14:paraId="466B6BDB" w14:textId="394AD696" w:rsidR="004F412E" w:rsidRDefault="00000000" w:rsidP="00835BCC">
      <w:pPr>
        <w:ind w:firstLine="640"/>
        <w:rPr>
          <w:rFonts w:ascii="楷体" w:eastAsia="楷体" w:hAnsi="楷体" w:cs="仿宋_GB2312" w:hint="eastAsia"/>
          <w:b/>
          <w:szCs w:val="28"/>
        </w:rPr>
      </w:pPr>
      <w:r>
        <w:rPr>
          <w:rFonts w:ascii="仿宋_GB2312" w:hAnsi="宋体" w:hint="eastAsia"/>
          <w:szCs w:val="28"/>
        </w:rPr>
        <w:t>标准编制工作组在对收集的资料进行整理研究之后，202</w:t>
      </w:r>
      <w:r w:rsidR="00CD5B55">
        <w:rPr>
          <w:rFonts w:ascii="仿宋_GB2312" w:hAnsi="宋体" w:hint="eastAsia"/>
          <w:szCs w:val="28"/>
        </w:rPr>
        <w:t>5</w:t>
      </w:r>
      <w:r>
        <w:rPr>
          <w:rFonts w:ascii="仿宋_GB2312" w:hAnsi="宋体" w:hint="eastAsia"/>
          <w:szCs w:val="28"/>
        </w:rPr>
        <w:t>年</w:t>
      </w:r>
      <w:r w:rsidR="00D13BA4">
        <w:rPr>
          <w:rFonts w:ascii="仿宋_GB2312" w:hAnsi="宋体" w:hint="eastAsia"/>
          <w:szCs w:val="28"/>
        </w:rPr>
        <w:t>4</w:t>
      </w:r>
      <w:r>
        <w:rPr>
          <w:rFonts w:ascii="仿宋_GB2312" w:hAnsi="宋体" w:hint="eastAsia"/>
          <w:szCs w:val="28"/>
        </w:rPr>
        <w:t>月，标准编制工作组召开了标准编制会议，对标准的整体框架结构进行了研究，并对标准的关键性内容进行了初步探讨。经过研究，标准的主体内容确定为苗圃地选择、种子采集与处理、育苗准备、育苗、苗期管理、苗木出圃及档案管理</w:t>
      </w:r>
      <w:r>
        <w:rPr>
          <w:rFonts w:ascii="仿宋_GB2312" w:hAnsi="宋体" w:hint="eastAsia"/>
          <w:color w:val="000000" w:themeColor="text1"/>
          <w:szCs w:val="28"/>
        </w:rPr>
        <w:t>。标准的核心技术及创新点在于：</w:t>
      </w:r>
    </w:p>
    <w:p w14:paraId="221586A7" w14:textId="77777777" w:rsidR="004F412E" w:rsidRDefault="00000000" w:rsidP="00835BCC">
      <w:pPr>
        <w:tabs>
          <w:tab w:val="center" w:pos="4201"/>
          <w:tab w:val="right" w:leader="dot" w:pos="9298"/>
        </w:tabs>
        <w:autoSpaceDE w:val="0"/>
        <w:autoSpaceDN w:val="0"/>
        <w:ind w:firstLine="640"/>
        <w:outlineLvl w:val="2"/>
        <w:rPr>
          <w:rFonts w:ascii="仿宋_GB2312" w:hAnsi="宋体" w:hint="eastAsia"/>
          <w:szCs w:val="28"/>
        </w:rPr>
      </w:pPr>
      <w:r>
        <w:rPr>
          <w:rFonts w:ascii="仿宋_GB2312" w:hAnsi="宋体" w:hint="eastAsia"/>
          <w:szCs w:val="28"/>
        </w:rPr>
        <w:t>（1）钩藤（</w:t>
      </w:r>
      <w:r w:rsidRPr="00FA2A94">
        <w:rPr>
          <w:rFonts w:ascii="仿宋_GB2312" w:hAnsi="宋体" w:hint="eastAsia"/>
          <w:i/>
          <w:iCs/>
          <w:szCs w:val="28"/>
        </w:rPr>
        <w:t>Uncaria rhynchophylla</w:t>
      </w:r>
      <w:r>
        <w:rPr>
          <w:rFonts w:ascii="仿宋_GB2312" w:hAnsi="宋体" w:hint="eastAsia"/>
          <w:szCs w:val="28"/>
        </w:rPr>
        <w:t>）是国家重点保护的野生药材物种，同时也是我国常用且大宗的药材，以及传统出口药</w:t>
      </w:r>
      <w:r>
        <w:rPr>
          <w:rFonts w:ascii="仿宋_GB2312" w:hAnsi="宋体" w:hint="eastAsia"/>
          <w:szCs w:val="28"/>
        </w:rPr>
        <w:lastRenderedPageBreak/>
        <w:t>材之一。本标准通过统一规范钩藤种子的采集、处理、贮藏、播种及苗期管理等关键技术环节，对于提高钩藤种子繁殖效率、培育优质苗木、增加钩藤产量。</w:t>
      </w:r>
    </w:p>
    <w:p w14:paraId="2EDB8332" w14:textId="77777777" w:rsidR="004F412E" w:rsidRDefault="00000000" w:rsidP="00835BCC">
      <w:pPr>
        <w:tabs>
          <w:tab w:val="center" w:pos="4201"/>
          <w:tab w:val="right" w:leader="dot" w:pos="9298"/>
        </w:tabs>
        <w:autoSpaceDE w:val="0"/>
        <w:autoSpaceDN w:val="0"/>
        <w:ind w:firstLine="640"/>
        <w:outlineLvl w:val="2"/>
        <w:rPr>
          <w:rFonts w:eastAsia="仿宋"/>
          <w:bCs/>
          <w:kern w:val="0"/>
          <w:szCs w:val="32"/>
        </w:rPr>
      </w:pPr>
      <w:r>
        <w:rPr>
          <w:rFonts w:ascii="仿宋_GB2312" w:hAnsi="宋体" w:hint="eastAsia"/>
          <w:szCs w:val="28"/>
        </w:rPr>
        <w:t>（2）本标准聚焦于钩藤种子的全生命周期管理，包括种子采集、处理、贮藏、播种、苗期管理及苗木分级等关键环节，并补充了种子贮藏的温湿度范围及防霉变措施，以及播种后不同生长阶段的温光水肥管理参数。</w:t>
      </w:r>
    </w:p>
    <w:p w14:paraId="3644D66D" w14:textId="77777777" w:rsidR="004F412E" w:rsidRDefault="00000000" w:rsidP="00835BCC">
      <w:pPr>
        <w:ind w:firstLine="643"/>
        <w:rPr>
          <w:rFonts w:ascii="楷体" w:eastAsia="楷体" w:hAnsi="楷体" w:cs="仿宋_GB2312" w:hint="eastAsia"/>
          <w:b/>
          <w:szCs w:val="28"/>
        </w:rPr>
      </w:pPr>
      <w:r>
        <w:rPr>
          <w:rFonts w:ascii="楷体" w:eastAsia="楷体" w:hAnsi="楷体" w:cs="仿宋_GB2312" w:hint="eastAsia"/>
          <w:b/>
          <w:szCs w:val="28"/>
        </w:rPr>
        <w:t>（四）调研及形成草案、征求意见稿</w:t>
      </w:r>
    </w:p>
    <w:p w14:paraId="09E2F575" w14:textId="77777777" w:rsidR="004F412E" w:rsidRDefault="00000000" w:rsidP="00835BCC">
      <w:pPr>
        <w:ind w:firstLine="640"/>
        <w:rPr>
          <w:rFonts w:ascii="仿宋_GB2312" w:hAnsi="宋体" w:hint="eastAsia"/>
          <w:szCs w:val="28"/>
        </w:rPr>
      </w:pPr>
      <w:r>
        <w:rPr>
          <w:rFonts w:ascii="仿宋_GB2312" w:hAnsi="宋体" w:hint="eastAsia"/>
          <w:szCs w:val="28"/>
        </w:rPr>
        <w:t>2025年5月，标准起草工作小组前往</w:t>
      </w:r>
      <w:r>
        <w:rPr>
          <w:rFonts w:ascii="宋体" w:hAnsi="宋体" w:cs="宋体" w:hint="eastAsia"/>
          <w:bCs/>
          <w:szCs w:val="21"/>
        </w:rPr>
        <w:t>三江县迪秀农业技术开发有限责任公司、三江县黄金藤农业发展有限公司等单位</w:t>
      </w:r>
      <w:r>
        <w:rPr>
          <w:rFonts w:ascii="仿宋_GB2312" w:hAnsi="宋体" w:hint="eastAsia"/>
          <w:szCs w:val="28"/>
        </w:rPr>
        <w:t>进行了广泛调研工作，查阅了大量的国内外文献资料，对钩藤实生苗繁育技术的前人研究成果进行系统总结。形成了标准的基本构架，对主要内容进行了讨论并对项目的工作进行了部署和安排。</w:t>
      </w:r>
    </w:p>
    <w:p w14:paraId="62EF4585" w14:textId="77777777" w:rsidR="004F412E" w:rsidRDefault="00000000" w:rsidP="00835BCC">
      <w:pPr>
        <w:ind w:firstLine="640"/>
        <w:rPr>
          <w:rFonts w:ascii="仿宋_GB2312" w:hAnsi="宋体" w:hint="eastAsia"/>
          <w:szCs w:val="28"/>
        </w:rPr>
      </w:pPr>
      <w:r>
        <w:rPr>
          <w:rFonts w:ascii="仿宋_GB2312" w:hAnsi="宋体" w:hint="eastAsia"/>
          <w:szCs w:val="28"/>
        </w:rPr>
        <w:t>2025年6月，在前期工作的基础之上，通过理清逻辑脉络，整合已有的参考资料中有关钩藤实生苗繁育技术要求，并结合钩藤实生苗繁育技术实际要求的基础上，按照简化、统一等原则编制完成团体标准《钩藤实生苗繁育技术规程》（草案）。</w:t>
      </w:r>
    </w:p>
    <w:p w14:paraId="104AEC1E" w14:textId="300E6B07" w:rsidR="004F412E" w:rsidRDefault="00000000" w:rsidP="00835BCC">
      <w:pPr>
        <w:autoSpaceDE w:val="0"/>
        <w:autoSpaceDN w:val="0"/>
        <w:adjustRightInd w:val="0"/>
        <w:ind w:firstLine="640"/>
        <w:rPr>
          <w:rFonts w:ascii="仿宋_GB2312" w:hAnsi="宋体" w:hint="eastAsia"/>
          <w:szCs w:val="28"/>
        </w:rPr>
      </w:pPr>
      <w:r>
        <w:rPr>
          <w:rFonts w:ascii="仿宋_GB2312" w:hAnsi="宋体" w:hint="eastAsia"/>
          <w:szCs w:val="28"/>
        </w:rPr>
        <w:t>2025年6月，标准起草工作组到</w:t>
      </w:r>
      <w:r>
        <w:rPr>
          <w:rFonts w:ascii="宋体" w:hAnsi="宋体" w:cs="宋体" w:hint="eastAsia"/>
          <w:bCs/>
          <w:szCs w:val="21"/>
        </w:rPr>
        <w:t>三江县迪秀农业技术开发有限责任公司、三江县黄金藤农业发展有限公司</w:t>
      </w:r>
      <w:r w:rsidR="00332688">
        <w:rPr>
          <w:rFonts w:ascii="宋体" w:hAnsi="宋体" w:cs="宋体" w:hint="eastAsia"/>
          <w:bCs/>
          <w:szCs w:val="21"/>
        </w:rPr>
        <w:t>和</w:t>
      </w:r>
      <w:r w:rsidR="00332688" w:rsidRPr="00332688">
        <w:rPr>
          <w:rFonts w:ascii="宋体" w:hAnsi="宋体" w:cs="宋体" w:hint="eastAsia"/>
          <w:bCs/>
          <w:szCs w:val="21"/>
        </w:rPr>
        <w:t>融安县飞腾中草药专业合作社</w:t>
      </w:r>
      <w:r>
        <w:rPr>
          <w:rFonts w:ascii="宋体" w:hAnsi="宋体" w:cs="宋体" w:hint="eastAsia"/>
          <w:bCs/>
          <w:szCs w:val="21"/>
        </w:rPr>
        <w:t>等</w:t>
      </w:r>
      <w:r>
        <w:rPr>
          <w:rFonts w:ascii="仿宋_GB2312" w:hAnsi="宋体"/>
          <w:szCs w:val="28"/>
        </w:rPr>
        <w:t>相关单位进行调研，开展试验验证</w:t>
      </w:r>
      <w:r>
        <w:rPr>
          <w:rFonts w:ascii="仿宋_GB2312" w:hAnsi="宋体" w:hint="eastAsia"/>
          <w:szCs w:val="28"/>
        </w:rPr>
        <w:t>，并实际征求意见，通过收集反馈了大量意见，标准编制工作组多次召开会议，对标准草案进行了反复修改和研究讨论。进一步讨论完善标准草</w:t>
      </w:r>
      <w:r>
        <w:rPr>
          <w:rFonts w:ascii="仿宋_GB2312" w:hAnsi="宋体" w:hint="eastAsia"/>
          <w:szCs w:val="28"/>
        </w:rPr>
        <w:lastRenderedPageBreak/>
        <w:t>案，形成团体标准《钩藤实生苗繁育技术规程》（征求意见稿）和（征求意见稿）编制说明。</w:t>
      </w:r>
    </w:p>
    <w:p w14:paraId="2550E47C" w14:textId="77777777" w:rsidR="004F412E" w:rsidRDefault="00000000" w:rsidP="00835BCC">
      <w:pPr>
        <w:autoSpaceDE w:val="0"/>
        <w:autoSpaceDN w:val="0"/>
        <w:adjustRightInd w:val="0"/>
        <w:ind w:firstLine="640"/>
        <w:jc w:val="left"/>
        <w:rPr>
          <w:rFonts w:eastAsia="黑体"/>
          <w:bCs/>
          <w:szCs w:val="32"/>
        </w:rPr>
      </w:pPr>
      <w:bookmarkStart w:id="0" w:name="_Toc526940083"/>
      <w:r>
        <w:rPr>
          <w:rFonts w:eastAsia="黑体"/>
          <w:bCs/>
          <w:szCs w:val="32"/>
        </w:rPr>
        <w:t>四、</w:t>
      </w:r>
      <w:bookmarkEnd w:id="0"/>
      <w:r>
        <w:rPr>
          <w:rFonts w:eastAsia="黑体"/>
          <w:bCs/>
          <w:szCs w:val="32"/>
        </w:rPr>
        <w:t>制定标准的原则和依据，与现行法律、法规的关系，与有关国家标准、行业标准的协调情况</w:t>
      </w:r>
    </w:p>
    <w:p w14:paraId="2B5A3B9F" w14:textId="77777777" w:rsidR="004F412E" w:rsidRDefault="00000000" w:rsidP="00835BCC">
      <w:pPr>
        <w:pStyle w:val="aff0"/>
        <w:ind w:firstLineChars="0" w:firstLine="0"/>
        <w:outlineLvl w:val="1"/>
        <w:rPr>
          <w:rFonts w:ascii="Times New Roman" w:eastAsia="仿宋"/>
          <w:b/>
          <w:bCs/>
          <w:sz w:val="32"/>
          <w:szCs w:val="32"/>
        </w:rPr>
      </w:pPr>
      <w:r>
        <w:rPr>
          <w:rFonts w:ascii="Times New Roman" w:eastAsia="仿宋"/>
          <w:b/>
          <w:bCs/>
          <w:sz w:val="32"/>
          <w:szCs w:val="32"/>
        </w:rPr>
        <w:t>（一）编制原则</w:t>
      </w:r>
    </w:p>
    <w:p w14:paraId="3FADFCAE" w14:textId="2E2E4678" w:rsidR="004F412E" w:rsidRDefault="00B33249" w:rsidP="00835BCC">
      <w:pPr>
        <w:tabs>
          <w:tab w:val="center" w:pos="4201"/>
          <w:tab w:val="right" w:leader="dot" w:pos="9298"/>
        </w:tabs>
        <w:autoSpaceDE w:val="0"/>
        <w:autoSpaceDN w:val="0"/>
        <w:ind w:firstLine="643"/>
        <w:outlineLvl w:val="2"/>
        <w:rPr>
          <w:rFonts w:eastAsia="仿宋"/>
          <w:b/>
          <w:bCs/>
          <w:kern w:val="0"/>
          <w:szCs w:val="32"/>
        </w:rPr>
      </w:pPr>
      <w:r>
        <w:rPr>
          <w:rFonts w:eastAsia="仿宋" w:hint="eastAsia"/>
          <w:b/>
          <w:bCs/>
          <w:kern w:val="0"/>
          <w:szCs w:val="32"/>
        </w:rPr>
        <w:t>1.</w:t>
      </w:r>
      <w:r>
        <w:rPr>
          <w:rFonts w:eastAsia="仿宋"/>
          <w:b/>
          <w:bCs/>
          <w:kern w:val="0"/>
          <w:szCs w:val="32"/>
        </w:rPr>
        <w:t>实用性原则</w:t>
      </w:r>
    </w:p>
    <w:p w14:paraId="10C388B7" w14:textId="77777777" w:rsidR="004F412E" w:rsidRPr="00835BCC" w:rsidRDefault="00000000" w:rsidP="00835BCC">
      <w:pPr>
        <w:ind w:firstLine="640"/>
        <w:rPr>
          <w:color w:val="000000"/>
          <w:szCs w:val="21"/>
        </w:rPr>
      </w:pPr>
      <w:r w:rsidRPr="00835BCC">
        <w:rPr>
          <w:rFonts w:hint="eastAsia"/>
          <w:color w:val="000000"/>
          <w:szCs w:val="21"/>
        </w:rPr>
        <w:t>本文件是在充分收集相关资料和文献，分析钩藤实生苗繁育技术当前现状，在现有相关钩藤实生苗繁育技术要求的基础上，结合编制单位</w:t>
      </w:r>
      <w:r w:rsidRPr="00835BCC">
        <w:rPr>
          <w:color w:val="000000"/>
          <w:szCs w:val="21"/>
        </w:rPr>
        <w:t>多年</w:t>
      </w:r>
      <w:r w:rsidRPr="00835BCC">
        <w:rPr>
          <w:rFonts w:hint="eastAsia"/>
          <w:color w:val="000000"/>
          <w:szCs w:val="21"/>
        </w:rPr>
        <w:t>相关经验而总结起草的，符合当前钩藤实生苗繁育技术发展的方向，具有较强的实用性和可操作性。</w:t>
      </w:r>
    </w:p>
    <w:p w14:paraId="38607E5E" w14:textId="77777777" w:rsidR="004F412E" w:rsidRDefault="00000000" w:rsidP="00835BCC">
      <w:pPr>
        <w:tabs>
          <w:tab w:val="center" w:pos="4201"/>
          <w:tab w:val="right" w:leader="dot" w:pos="9298"/>
        </w:tabs>
        <w:autoSpaceDE w:val="0"/>
        <w:autoSpaceDN w:val="0"/>
        <w:ind w:firstLine="643"/>
        <w:outlineLvl w:val="2"/>
        <w:rPr>
          <w:rFonts w:eastAsia="仿宋"/>
          <w:b/>
          <w:bCs/>
          <w:kern w:val="0"/>
          <w:szCs w:val="32"/>
        </w:rPr>
      </w:pPr>
      <w:r>
        <w:rPr>
          <w:rFonts w:eastAsia="仿宋" w:hint="eastAsia"/>
          <w:b/>
          <w:bCs/>
          <w:kern w:val="0"/>
          <w:szCs w:val="32"/>
        </w:rPr>
        <w:t>2</w:t>
      </w:r>
      <w:r>
        <w:rPr>
          <w:rFonts w:eastAsia="仿宋" w:hint="eastAsia"/>
          <w:b/>
          <w:bCs/>
          <w:kern w:val="0"/>
          <w:szCs w:val="32"/>
        </w:rPr>
        <w:t>．协调性原则</w:t>
      </w:r>
    </w:p>
    <w:p w14:paraId="68DCA43A" w14:textId="77777777" w:rsidR="004F412E" w:rsidRDefault="00000000" w:rsidP="00835BCC">
      <w:pPr>
        <w:ind w:firstLine="640"/>
        <w:rPr>
          <w:rFonts w:ascii="仿宋_GB2312" w:hAnsi="宋体" w:hint="eastAsia"/>
          <w:szCs w:val="28"/>
        </w:rPr>
      </w:pPr>
      <w:r>
        <w:rPr>
          <w:rFonts w:ascii="仿宋_GB2312" w:hAnsi="宋体" w:hint="eastAsia"/>
          <w:szCs w:val="28"/>
        </w:rPr>
        <w:t>本文件编写过程中注意了与钩藤实生苗繁育技术相关法律法规的协调问题，在内容上与现行法律法规、标准协调一致。</w:t>
      </w:r>
    </w:p>
    <w:p w14:paraId="73953B3B" w14:textId="77777777" w:rsidR="004F412E" w:rsidRDefault="00000000" w:rsidP="00835BCC">
      <w:pPr>
        <w:tabs>
          <w:tab w:val="center" w:pos="4201"/>
          <w:tab w:val="right" w:leader="dot" w:pos="9298"/>
        </w:tabs>
        <w:autoSpaceDE w:val="0"/>
        <w:autoSpaceDN w:val="0"/>
        <w:ind w:firstLine="643"/>
        <w:outlineLvl w:val="2"/>
        <w:rPr>
          <w:rFonts w:eastAsia="仿宋"/>
          <w:b/>
          <w:bCs/>
          <w:kern w:val="0"/>
          <w:szCs w:val="32"/>
        </w:rPr>
      </w:pPr>
      <w:r>
        <w:rPr>
          <w:rFonts w:eastAsia="仿宋" w:hint="eastAsia"/>
          <w:b/>
          <w:bCs/>
          <w:kern w:val="0"/>
          <w:szCs w:val="32"/>
        </w:rPr>
        <w:t>3</w:t>
      </w:r>
      <w:r>
        <w:rPr>
          <w:rFonts w:eastAsia="仿宋" w:hint="eastAsia"/>
          <w:b/>
          <w:bCs/>
          <w:kern w:val="0"/>
          <w:szCs w:val="32"/>
        </w:rPr>
        <w:t>．规范性原则</w:t>
      </w:r>
    </w:p>
    <w:p w14:paraId="3F0E316E" w14:textId="77777777" w:rsidR="004F412E" w:rsidRDefault="00000000" w:rsidP="00835BCC">
      <w:pPr>
        <w:ind w:firstLine="640"/>
        <w:rPr>
          <w:rFonts w:ascii="仿宋_GB2312" w:hAnsi="宋体" w:hint="eastAsia"/>
          <w:szCs w:val="28"/>
        </w:rPr>
      </w:pPr>
      <w:r>
        <w:rPr>
          <w:rFonts w:ascii="仿宋_GB2312" w:hAnsi="宋体" w:hint="eastAsia"/>
          <w:szCs w:val="28"/>
        </w:rPr>
        <w:t>本文件严格参照GB/T 1.1—2020《标准化工作导则  第1部分：标准化文件的结构和起草规则》编写本标准的内容，保证标准的编写质量。</w:t>
      </w:r>
    </w:p>
    <w:p w14:paraId="1E8B317D" w14:textId="77777777" w:rsidR="004F412E" w:rsidRDefault="00000000" w:rsidP="00835BCC">
      <w:pPr>
        <w:tabs>
          <w:tab w:val="center" w:pos="4201"/>
          <w:tab w:val="right" w:leader="dot" w:pos="9298"/>
        </w:tabs>
        <w:autoSpaceDE w:val="0"/>
        <w:autoSpaceDN w:val="0"/>
        <w:ind w:firstLine="643"/>
        <w:outlineLvl w:val="2"/>
        <w:rPr>
          <w:rFonts w:eastAsia="仿宋"/>
          <w:b/>
          <w:bCs/>
          <w:kern w:val="0"/>
          <w:szCs w:val="32"/>
        </w:rPr>
      </w:pPr>
      <w:r>
        <w:rPr>
          <w:rFonts w:eastAsia="仿宋" w:hint="eastAsia"/>
          <w:b/>
          <w:bCs/>
          <w:kern w:val="0"/>
          <w:szCs w:val="32"/>
        </w:rPr>
        <w:t>4</w:t>
      </w:r>
      <w:r>
        <w:rPr>
          <w:rFonts w:eastAsia="仿宋" w:hint="eastAsia"/>
          <w:b/>
          <w:bCs/>
          <w:kern w:val="0"/>
          <w:szCs w:val="32"/>
        </w:rPr>
        <w:t>．前瞻性原则</w:t>
      </w:r>
    </w:p>
    <w:p w14:paraId="5CF64ACC" w14:textId="77777777" w:rsidR="004F412E" w:rsidRDefault="00000000" w:rsidP="00835BCC">
      <w:pPr>
        <w:ind w:firstLine="640"/>
        <w:rPr>
          <w:rFonts w:ascii="仿宋_GB2312" w:hAnsi="宋体" w:hint="eastAsia"/>
          <w:szCs w:val="28"/>
        </w:rPr>
      </w:pPr>
      <w:r>
        <w:rPr>
          <w:rFonts w:ascii="仿宋_GB2312" w:hAnsi="宋体" w:hint="eastAsia"/>
          <w:szCs w:val="28"/>
        </w:rPr>
        <w:t>本文件在兼顾当前区内钩藤实生苗繁育技术现实情况的同时，还考虑到了钩藤实生苗繁育技术快速发展的趋势和需要，在标准中体现了个别特色性、前瞻性和先进性条款，作为对钩藤实生苗繁育技术的指导。</w:t>
      </w:r>
    </w:p>
    <w:p w14:paraId="6FA04B66" w14:textId="77777777" w:rsidR="004F412E" w:rsidRDefault="00000000" w:rsidP="00835BCC">
      <w:pPr>
        <w:widowControl/>
        <w:tabs>
          <w:tab w:val="center" w:pos="4201"/>
          <w:tab w:val="right" w:leader="dot" w:pos="9298"/>
        </w:tabs>
        <w:autoSpaceDE w:val="0"/>
        <w:autoSpaceDN w:val="0"/>
        <w:ind w:firstLine="643"/>
        <w:outlineLvl w:val="1"/>
        <w:rPr>
          <w:rFonts w:eastAsia="仿宋"/>
          <w:b/>
          <w:bCs/>
          <w:kern w:val="0"/>
          <w:szCs w:val="32"/>
        </w:rPr>
      </w:pPr>
      <w:r>
        <w:rPr>
          <w:rFonts w:eastAsia="仿宋"/>
          <w:b/>
          <w:bCs/>
          <w:kern w:val="0"/>
          <w:szCs w:val="32"/>
        </w:rPr>
        <w:lastRenderedPageBreak/>
        <w:t>（二）编制依据</w:t>
      </w:r>
    </w:p>
    <w:p w14:paraId="73797958" w14:textId="77777777" w:rsidR="004F412E" w:rsidRDefault="00000000" w:rsidP="00835BCC">
      <w:pPr>
        <w:tabs>
          <w:tab w:val="center" w:pos="4201"/>
          <w:tab w:val="right" w:leader="dot" w:pos="9298"/>
        </w:tabs>
        <w:autoSpaceDE w:val="0"/>
        <w:autoSpaceDN w:val="0"/>
        <w:ind w:firstLine="640"/>
        <w:outlineLvl w:val="2"/>
        <w:rPr>
          <w:rFonts w:ascii="仿宋_GB2312" w:hAnsi="宋体" w:hint="eastAsia"/>
          <w:szCs w:val="28"/>
        </w:rPr>
      </w:pPr>
      <w:r>
        <w:rPr>
          <w:rFonts w:ascii="仿宋_GB2312" w:hAnsi="宋体"/>
          <w:szCs w:val="28"/>
        </w:rPr>
        <w:t>本标准严格按照GB/T 1.1</w:t>
      </w:r>
      <w:r>
        <w:rPr>
          <w:rFonts w:ascii="仿宋_GB2312" w:hAnsi="宋体"/>
          <w:szCs w:val="28"/>
        </w:rPr>
        <w:t>—</w:t>
      </w:r>
      <w:r>
        <w:rPr>
          <w:rFonts w:ascii="仿宋_GB2312" w:hAnsi="宋体"/>
          <w:szCs w:val="28"/>
        </w:rPr>
        <w:t>2020《标准化工作导则  第1部分：标准化文件的结构和起草规则》的规则起草，标准主要内容参考相关标准文件并结合起草单位多年的</w:t>
      </w:r>
      <w:r>
        <w:rPr>
          <w:rFonts w:ascii="仿宋_GB2312" w:hAnsi="宋体" w:hint="eastAsia"/>
          <w:szCs w:val="28"/>
        </w:rPr>
        <w:t>相关</w:t>
      </w:r>
      <w:r>
        <w:rPr>
          <w:rFonts w:ascii="仿宋_GB2312" w:hAnsi="宋体"/>
          <w:szCs w:val="28"/>
        </w:rPr>
        <w:t>经验</w:t>
      </w:r>
      <w:r>
        <w:rPr>
          <w:rFonts w:ascii="仿宋_GB2312" w:hAnsi="宋体" w:hint="eastAsia"/>
          <w:szCs w:val="28"/>
        </w:rPr>
        <w:t>和实践</w:t>
      </w:r>
      <w:r>
        <w:rPr>
          <w:rFonts w:ascii="仿宋_GB2312" w:hAnsi="宋体"/>
          <w:szCs w:val="28"/>
        </w:rPr>
        <w:t>验证情况总结进行起草。</w:t>
      </w:r>
    </w:p>
    <w:p w14:paraId="16311763" w14:textId="77777777" w:rsidR="004F412E" w:rsidRDefault="00000000" w:rsidP="00835BCC">
      <w:pPr>
        <w:widowControl/>
        <w:tabs>
          <w:tab w:val="center" w:pos="4201"/>
          <w:tab w:val="right" w:leader="dot" w:pos="9298"/>
        </w:tabs>
        <w:autoSpaceDE w:val="0"/>
        <w:autoSpaceDN w:val="0"/>
        <w:ind w:firstLine="643"/>
        <w:outlineLvl w:val="1"/>
        <w:rPr>
          <w:rFonts w:eastAsia="仿宋"/>
          <w:b/>
          <w:bCs/>
          <w:kern w:val="0"/>
          <w:szCs w:val="32"/>
        </w:rPr>
      </w:pPr>
      <w:r>
        <w:rPr>
          <w:rFonts w:eastAsia="仿宋"/>
          <w:b/>
          <w:bCs/>
          <w:kern w:val="0"/>
          <w:szCs w:val="32"/>
        </w:rPr>
        <w:t>（三）与现行法律、法规的关系，与有关国家标准、行业标准的协调情况</w:t>
      </w:r>
    </w:p>
    <w:p w14:paraId="745AF286" w14:textId="77777777" w:rsidR="004F412E" w:rsidRDefault="00000000" w:rsidP="00835BCC">
      <w:pPr>
        <w:tabs>
          <w:tab w:val="center" w:pos="4201"/>
          <w:tab w:val="right" w:leader="dot" w:pos="9298"/>
        </w:tabs>
        <w:autoSpaceDE w:val="0"/>
        <w:autoSpaceDN w:val="0"/>
        <w:ind w:firstLine="640"/>
        <w:outlineLvl w:val="2"/>
        <w:rPr>
          <w:rFonts w:ascii="仿宋_GB2312" w:hAnsi="宋体" w:hint="eastAsia"/>
          <w:szCs w:val="28"/>
        </w:rPr>
      </w:pPr>
      <w:r>
        <w:rPr>
          <w:rFonts w:ascii="仿宋_GB2312" w:hAnsi="宋体" w:hint="eastAsia"/>
          <w:szCs w:val="28"/>
        </w:rPr>
        <w:t>本编制工作组承诺本标准内容与各项指标不违反相关法律法规要求，且不低于国家强制性标准、推荐性国家标准和行业标准要求。</w:t>
      </w:r>
    </w:p>
    <w:p w14:paraId="6016FC68" w14:textId="77777777" w:rsidR="004F412E" w:rsidRDefault="00000000" w:rsidP="00835BCC">
      <w:pPr>
        <w:ind w:firstLine="640"/>
        <w:rPr>
          <w:rFonts w:ascii="仿宋_GB2312" w:hAnsi="宋体" w:hint="eastAsia"/>
          <w:szCs w:val="28"/>
        </w:rPr>
      </w:pPr>
      <w:r>
        <w:rPr>
          <w:rFonts w:ascii="仿宋_GB2312" w:hAnsi="宋体" w:hint="eastAsia"/>
          <w:szCs w:val="28"/>
        </w:rPr>
        <w:t>经查阅，目前与“钩藤繁育”相关的标准如下：DB45/T 2724-2023  《钩藤种苗质量要求》、DB43/T 2383-2022  《钩藤种植技术规程》、DB44/T 2320—2021  《钩藤栽培技术规程》、DB45/T 1732-2018  《中药材钩藤扦插苗生产技术规程》。</w:t>
      </w:r>
    </w:p>
    <w:p w14:paraId="6CDE1A30" w14:textId="77777777" w:rsidR="004F412E" w:rsidRDefault="00000000" w:rsidP="00835BCC">
      <w:pPr>
        <w:ind w:firstLine="640"/>
        <w:rPr>
          <w:rFonts w:ascii="仿宋_GB2312" w:hAnsi="宋体" w:hint="eastAsia"/>
          <w:szCs w:val="28"/>
        </w:rPr>
      </w:pPr>
      <w:r>
        <w:rPr>
          <w:rFonts w:ascii="仿宋_GB2312" w:hAnsi="宋体" w:hint="eastAsia"/>
          <w:szCs w:val="28"/>
        </w:rPr>
        <w:t>拟编写的团体标准《钩藤实生苗繁育技术规程》属于中药材种植技术标准体系中的细分领域，聚焦于钩藤种子的全生命周期管理，包括种子采集、处理、贮藏、播种、苗期管理及苗木分级等关键环节。其与现有标准的区别是：</w:t>
      </w:r>
    </w:p>
    <w:p w14:paraId="1F9F9FAC" w14:textId="77777777" w:rsidR="004F412E" w:rsidRDefault="00000000" w:rsidP="00835BCC">
      <w:pPr>
        <w:ind w:firstLine="640"/>
        <w:rPr>
          <w:rFonts w:ascii="仿宋_GB2312" w:hAnsi="宋体" w:hint="eastAsia"/>
          <w:szCs w:val="28"/>
        </w:rPr>
      </w:pPr>
      <w:r>
        <w:rPr>
          <w:rFonts w:ascii="仿宋_GB2312" w:hAnsi="宋体" w:hint="eastAsia"/>
          <w:szCs w:val="28"/>
        </w:rPr>
        <w:t>现有地方标准广东省DB44/T 2320-2021 在“4.1 种子育苗”中规定了种子采收、催芽、播种床准备等流程，但对种子贮藏条件、播种后温湿度精准控制等未作细化。拟申请标准将补充以下内容：种子贮藏的温湿度范围及防霉变措施；播种后不同生长阶</w:t>
      </w:r>
      <w:r>
        <w:rPr>
          <w:rFonts w:ascii="仿宋_GB2312" w:hAnsi="宋体" w:hint="eastAsia"/>
          <w:szCs w:val="28"/>
        </w:rPr>
        <w:lastRenderedPageBreak/>
        <w:t>段的温光水肥管理参数。</w:t>
      </w:r>
    </w:p>
    <w:p w14:paraId="49BD4341" w14:textId="77777777" w:rsidR="004F412E" w:rsidRDefault="00000000" w:rsidP="00835BCC">
      <w:pPr>
        <w:ind w:firstLine="640"/>
        <w:rPr>
          <w:rFonts w:ascii="仿宋_GB2312" w:hAnsi="宋体" w:hint="eastAsia"/>
          <w:szCs w:val="28"/>
        </w:rPr>
      </w:pPr>
      <w:r>
        <w:rPr>
          <w:rFonts w:ascii="仿宋_GB2312" w:hAnsi="宋体" w:hint="eastAsia"/>
          <w:szCs w:val="28"/>
        </w:rPr>
        <w:t>湖南省DB43/T 2383—2022 该标准在“5.1 种子繁殖”中明确了采种时间、播种量及苗床管理，但未涉及种子质量分级标准。拟申请标准将新增：种子净度、发芽率、千粒重等分级指标。</w:t>
      </w:r>
    </w:p>
    <w:p w14:paraId="7CC9F02C" w14:textId="77777777" w:rsidR="004F412E" w:rsidRDefault="00000000" w:rsidP="00835BCC">
      <w:pPr>
        <w:ind w:firstLine="640"/>
        <w:rPr>
          <w:rFonts w:ascii="仿宋_GB2312" w:hAnsi="宋体" w:hint="eastAsia"/>
          <w:szCs w:val="28"/>
        </w:rPr>
      </w:pPr>
      <w:r>
        <w:rPr>
          <w:rFonts w:ascii="仿宋_GB2312" w:hAnsi="宋体" w:hint="eastAsia"/>
          <w:szCs w:val="28"/>
        </w:rPr>
        <w:t>广西DB45/T 1732-2018 涉及扦插苗生产技术，贵州省地理标志产品标准DB52/T 1148主要包含钩藤产品的质量要求（如钩藤碱含量、安全性指标等），均不与拟申请标准内容重叠。</w:t>
      </w:r>
    </w:p>
    <w:p w14:paraId="6A0FC6D6" w14:textId="77777777" w:rsidR="004F412E" w:rsidRDefault="00000000" w:rsidP="00835BCC">
      <w:pPr>
        <w:autoSpaceDE w:val="0"/>
        <w:autoSpaceDN w:val="0"/>
        <w:adjustRightInd w:val="0"/>
        <w:ind w:firstLine="640"/>
        <w:jc w:val="left"/>
        <w:rPr>
          <w:rFonts w:ascii="黑体" w:eastAsia="黑体" w:hAnsi="黑体" w:cs="仿宋_GB2312" w:hint="eastAsia"/>
          <w:szCs w:val="32"/>
        </w:rPr>
      </w:pPr>
      <w:bookmarkStart w:id="1" w:name="_Toc526940084"/>
      <w:r>
        <w:rPr>
          <w:rFonts w:ascii="黑体" w:eastAsia="黑体" w:hAnsi="黑体" w:cs="仿宋_GB2312" w:hint="eastAsia"/>
          <w:szCs w:val="32"/>
        </w:rPr>
        <w:t>五、</w:t>
      </w:r>
      <w:bookmarkEnd w:id="1"/>
      <w:r>
        <w:rPr>
          <w:rFonts w:ascii="黑体" w:eastAsia="黑体" w:hAnsi="黑体" w:cs="仿宋_GB2312" w:hint="eastAsia"/>
          <w:szCs w:val="32"/>
        </w:rPr>
        <w:t>主要条款的说明</w:t>
      </w:r>
    </w:p>
    <w:p w14:paraId="7A4BED82" w14:textId="77777777" w:rsidR="004F412E" w:rsidRDefault="00000000" w:rsidP="00835BCC">
      <w:pPr>
        <w:ind w:firstLine="640"/>
        <w:rPr>
          <w:rFonts w:ascii="仿宋_GB2312" w:hAnsi="宋体" w:hint="eastAsia"/>
          <w:szCs w:val="32"/>
          <w:lang w:val="zh-CN"/>
        </w:rPr>
      </w:pPr>
      <w:r>
        <w:rPr>
          <w:rFonts w:ascii="仿宋_GB2312" w:hAnsi="宋体" w:hint="eastAsia"/>
          <w:szCs w:val="32"/>
          <w:lang w:val="zh-CN"/>
        </w:rPr>
        <w:t>团体标准《钩藤实生苗繁育技术规程》的主要章节内容包括</w:t>
      </w:r>
      <w:r>
        <w:rPr>
          <w:rFonts w:ascii="仿宋_GB2312" w:hAnsi="宋体" w:hint="eastAsia"/>
          <w:szCs w:val="28"/>
        </w:rPr>
        <w:t>苗圃地选择、种子采集与处理、育苗准备、育苗、苗期管理、苗木出圃及档案管理</w:t>
      </w:r>
      <w:r>
        <w:rPr>
          <w:rFonts w:ascii="仿宋_GB2312" w:hAnsi="宋体" w:hint="eastAsia"/>
          <w:szCs w:val="32"/>
          <w:lang w:val="zh-CN"/>
        </w:rPr>
        <w:t>。本文件主要内容及依据来源说明如下：</w:t>
      </w:r>
    </w:p>
    <w:p w14:paraId="4DE39866" w14:textId="77777777" w:rsidR="004F412E" w:rsidRDefault="00000000" w:rsidP="00835BCC">
      <w:pPr>
        <w:autoSpaceDE w:val="0"/>
        <w:autoSpaceDN w:val="0"/>
        <w:adjustRightInd w:val="0"/>
        <w:ind w:firstLineChars="0" w:firstLine="0"/>
        <w:jc w:val="left"/>
        <w:rPr>
          <w:rFonts w:ascii="黑体" w:eastAsia="黑体" w:hAnsi="黑体" w:cs="仿宋_GB2312" w:hint="eastAsia"/>
          <w:szCs w:val="32"/>
        </w:rPr>
      </w:pPr>
      <w:bookmarkStart w:id="2" w:name="_Toc526940086"/>
      <w:r>
        <w:rPr>
          <w:rFonts w:ascii="黑体" w:eastAsia="黑体" w:hAnsi="黑体" w:cs="仿宋_GB2312" w:hint="eastAsia"/>
          <w:szCs w:val="32"/>
        </w:rPr>
        <w:t>（一）苗圃地选择</w:t>
      </w:r>
    </w:p>
    <w:p w14:paraId="2F5A6AC8" w14:textId="77777777" w:rsidR="004F412E" w:rsidRDefault="00000000" w:rsidP="00835BCC">
      <w:pPr>
        <w:autoSpaceDE w:val="0"/>
        <w:autoSpaceDN w:val="0"/>
        <w:adjustRightInd w:val="0"/>
        <w:ind w:firstLineChars="0"/>
        <w:rPr>
          <w:rFonts w:ascii="仿宋_GB2312" w:hAnsi="宋体" w:hint="eastAsia"/>
          <w:szCs w:val="32"/>
          <w:lang w:val="zh-CN"/>
        </w:rPr>
      </w:pPr>
      <w:r>
        <w:rPr>
          <w:rFonts w:ascii="仿宋_GB2312" w:hAnsi="宋体" w:hint="eastAsia"/>
          <w:szCs w:val="32"/>
          <w:lang w:val="zh-CN"/>
        </w:rPr>
        <w:t>苗圃地选择主要是结合钩藤实生苗的生长特性、繁育目标及中药材规范化生产要求进行明确。钩藤实生苗的根系在苗期纤细、分布浅，对土壤稳定性要求较高，因此宜选择坡度平缓的地块，且</w:t>
      </w:r>
      <w:r>
        <w:rPr>
          <w:rFonts w:ascii="仿宋_GB2312" w:hAnsi="宋体"/>
          <w:szCs w:val="32"/>
        </w:rPr>
        <w:t>平缓地块便于人工播种、除草、施肥及机械作业，减少管理难度和成本，尤其适合规模化繁育。</w:t>
      </w:r>
      <w:r>
        <w:rPr>
          <w:rFonts w:ascii="仿宋_GB2312" w:hAnsi="宋体" w:hint="eastAsia"/>
          <w:szCs w:val="32"/>
        </w:rPr>
        <w:t>此外，</w:t>
      </w:r>
      <w:r>
        <w:rPr>
          <w:rFonts w:ascii="仿宋_GB2312" w:hAnsi="宋体"/>
          <w:szCs w:val="32"/>
        </w:rPr>
        <w:t>土壤质地是实生苗根系发育的基础，</w:t>
      </w:r>
      <w:r>
        <w:rPr>
          <w:rFonts w:ascii="仿宋_GB2312" w:hAnsi="宋体"/>
          <w:szCs w:val="32"/>
        </w:rPr>
        <w:t>“</w:t>
      </w:r>
      <w:r>
        <w:rPr>
          <w:rFonts w:ascii="仿宋_GB2312" w:hAnsi="宋体"/>
          <w:szCs w:val="32"/>
        </w:rPr>
        <w:t>疏松 + 砂壤土</w:t>
      </w:r>
      <w:r>
        <w:rPr>
          <w:rFonts w:ascii="仿宋_GB2312" w:hAnsi="宋体"/>
          <w:szCs w:val="32"/>
        </w:rPr>
        <w:t>”</w:t>
      </w:r>
      <w:r>
        <w:rPr>
          <w:rFonts w:ascii="仿宋_GB2312" w:hAnsi="宋体"/>
          <w:szCs w:val="32"/>
        </w:rPr>
        <w:t>的要求直击钩藤苗期根系特性</w:t>
      </w:r>
      <w:r>
        <w:rPr>
          <w:rFonts w:ascii="仿宋_GB2312" w:hAnsi="宋体" w:hint="eastAsia"/>
          <w:szCs w:val="32"/>
        </w:rPr>
        <w:t>，</w:t>
      </w:r>
      <w:r>
        <w:rPr>
          <w:rFonts w:ascii="仿宋_GB2312" w:hAnsi="宋体"/>
          <w:szCs w:val="32"/>
        </w:rPr>
        <w:t>钩藤作为常用中药材（其干燥带钩茎枝入药），质量与产地环境直接相关，而实生苗的生长环境会影响后续植株的</w:t>
      </w:r>
      <w:r>
        <w:rPr>
          <w:rFonts w:ascii="仿宋_GB2312" w:hAnsi="宋体"/>
          <w:szCs w:val="32"/>
        </w:rPr>
        <w:t>“</w:t>
      </w:r>
      <w:r>
        <w:rPr>
          <w:rFonts w:ascii="仿宋_GB2312" w:hAnsi="宋体"/>
          <w:szCs w:val="32"/>
        </w:rPr>
        <w:t>基因表达</w:t>
      </w:r>
      <w:r>
        <w:rPr>
          <w:rFonts w:ascii="仿宋_GB2312" w:hAnsi="宋体"/>
          <w:szCs w:val="32"/>
        </w:rPr>
        <w:t>”</w:t>
      </w:r>
      <w:r>
        <w:rPr>
          <w:rFonts w:ascii="仿宋_GB2312" w:hAnsi="宋体"/>
          <w:szCs w:val="32"/>
        </w:rPr>
        <w:t>和抗性</w:t>
      </w:r>
      <w:r>
        <w:rPr>
          <w:rFonts w:ascii="仿宋_GB2312" w:hAnsi="宋体" w:hint="eastAsia"/>
          <w:szCs w:val="32"/>
        </w:rPr>
        <w:t>，因此，规定苗圃地</w:t>
      </w:r>
      <w:r>
        <w:rPr>
          <w:rFonts w:hint="eastAsia"/>
        </w:rPr>
        <w:t>宜选择坡度平缓、灌溉排水容易、交通方便，土壤疏松、质地为砂壤土的地块，产地环境条件</w:t>
      </w:r>
      <w:r>
        <w:rPr>
          <w:rFonts w:hint="eastAsia"/>
        </w:rPr>
        <w:lastRenderedPageBreak/>
        <w:t>符合《中药材生产质量管理规范》的要求。</w:t>
      </w:r>
    </w:p>
    <w:p w14:paraId="3ABF3972" w14:textId="77777777" w:rsidR="004F412E" w:rsidRDefault="00000000" w:rsidP="00835BCC">
      <w:pPr>
        <w:autoSpaceDE w:val="0"/>
        <w:autoSpaceDN w:val="0"/>
        <w:adjustRightInd w:val="0"/>
        <w:ind w:firstLineChars="0" w:firstLine="0"/>
        <w:jc w:val="left"/>
        <w:rPr>
          <w:rFonts w:ascii="黑体" w:eastAsia="黑体" w:hAnsi="黑体" w:cs="仿宋_GB2312" w:hint="eastAsia"/>
          <w:szCs w:val="32"/>
        </w:rPr>
      </w:pPr>
      <w:bookmarkStart w:id="3" w:name="OLE_LINK1"/>
      <w:bookmarkStart w:id="4" w:name="OLE_LINK2"/>
      <w:r>
        <w:rPr>
          <w:rFonts w:ascii="黑体" w:eastAsia="黑体" w:hAnsi="黑体" w:cs="仿宋_GB2312" w:hint="eastAsia"/>
          <w:szCs w:val="32"/>
        </w:rPr>
        <w:t>（二）种子采集与处理</w:t>
      </w:r>
    </w:p>
    <w:bookmarkEnd w:id="3"/>
    <w:bookmarkEnd w:id="4"/>
    <w:p w14:paraId="550BAC7F" w14:textId="77777777" w:rsidR="004F412E" w:rsidRDefault="00000000" w:rsidP="00835BCC">
      <w:pPr>
        <w:autoSpaceDE w:val="0"/>
        <w:autoSpaceDN w:val="0"/>
        <w:adjustRightInd w:val="0"/>
        <w:ind w:firstLine="640"/>
        <w:jc w:val="left"/>
        <w:rPr>
          <w:rFonts w:ascii="仿宋_GB2312" w:hAnsi="宋体" w:hint="eastAsia"/>
          <w:b/>
          <w:szCs w:val="32"/>
          <w:lang w:val="zh-CN"/>
        </w:rPr>
      </w:pPr>
      <w:r>
        <w:rPr>
          <w:rFonts w:ascii="仿宋_GB2312" w:hAnsi="宋体" w:hint="eastAsia"/>
          <w:bCs/>
          <w:szCs w:val="32"/>
          <w:lang w:val="zh-CN"/>
        </w:rPr>
        <w:t>在采种母树选择上，提高繁殖材料的质量和育苗成功率，为钩藤规范化种植和优质药材生产提供可靠的种源保障，结合中药材繁育中“优中选优”的原则，</w:t>
      </w:r>
      <w:r>
        <w:rPr>
          <w:rFonts w:hint="eastAsia"/>
        </w:rPr>
        <w:t>宜选择无明显病虫害、生长健壮的钩藤母树。</w:t>
      </w:r>
    </w:p>
    <w:p w14:paraId="3BE5550F" w14:textId="77777777" w:rsidR="004F412E" w:rsidRDefault="00000000" w:rsidP="00835BCC">
      <w:pPr>
        <w:autoSpaceDE w:val="0"/>
        <w:autoSpaceDN w:val="0"/>
        <w:adjustRightInd w:val="0"/>
        <w:ind w:firstLine="640"/>
        <w:jc w:val="left"/>
      </w:pPr>
      <w:r>
        <w:rPr>
          <w:rFonts w:ascii="仿宋_GB2312" w:hAnsi="宋体" w:hint="eastAsia"/>
          <w:bCs/>
          <w:szCs w:val="32"/>
          <w:lang w:val="zh-CN"/>
        </w:rPr>
        <w:t>在采收时间上，10月下旬～11月中旬正值秋季末，气温适宜，钩藤植株光合作用减弱，养分向果实集中的过程基本完成，种子生理成熟度达到最佳。若早于10月下旬，果实未充分成熟，种子胚胎发育不完全，会出现“瘪粒”“畸形”；若晚于11月中旬，果实完全成熟后会自然开裂，种子易随风或鸟类传播散落，导致采收量大幅减少。因此，规定</w:t>
      </w:r>
      <w:r>
        <w:rPr>
          <w:rFonts w:hint="eastAsia"/>
        </w:rPr>
        <w:t>10</w:t>
      </w:r>
      <w:r>
        <w:rPr>
          <w:rFonts w:hint="eastAsia"/>
        </w:rPr>
        <w:t>下旬～</w:t>
      </w:r>
      <w:r>
        <w:rPr>
          <w:rFonts w:hint="eastAsia"/>
        </w:rPr>
        <w:t>11</w:t>
      </w:r>
      <w:r>
        <w:rPr>
          <w:rFonts w:hint="eastAsia"/>
        </w:rPr>
        <w:t>月中旬，当果实成熟但未裂开时采收，宜在无风的晴天午后采收，避开露水。</w:t>
      </w:r>
    </w:p>
    <w:p w14:paraId="67FD00E1" w14:textId="77777777" w:rsidR="004F412E" w:rsidRDefault="00000000" w:rsidP="00835BCC">
      <w:pPr>
        <w:autoSpaceDE w:val="0"/>
        <w:autoSpaceDN w:val="0"/>
        <w:adjustRightInd w:val="0"/>
        <w:ind w:firstLine="640"/>
        <w:jc w:val="left"/>
      </w:pPr>
      <w:r>
        <w:rPr>
          <w:rFonts w:hint="eastAsia"/>
        </w:rPr>
        <w:t>在果实处理上，需将采集回来的果实置于阴凉处风干，再用通透性良好的口袋装好，晒干，取出蒴果，除去杂质。</w:t>
      </w:r>
    </w:p>
    <w:p w14:paraId="7017AF2C" w14:textId="77777777" w:rsidR="004F412E" w:rsidRDefault="00000000" w:rsidP="00835BCC">
      <w:pPr>
        <w:autoSpaceDE w:val="0"/>
        <w:autoSpaceDN w:val="0"/>
        <w:adjustRightInd w:val="0"/>
        <w:ind w:firstLine="640"/>
      </w:pPr>
      <w:r>
        <w:rPr>
          <w:rFonts w:hint="eastAsia"/>
        </w:rPr>
        <w:t>在果实储存上，食用级铝箔复合膜袋可提供避光、阻氧、防潮的基础屏障；变色硅胶干燥剂（</w:t>
      </w:r>
      <w:r>
        <w:rPr>
          <w:rFonts w:hint="eastAsia"/>
        </w:rPr>
        <w:t>10:1</w:t>
      </w:r>
      <w:r>
        <w:rPr>
          <w:rFonts w:hint="eastAsia"/>
        </w:rPr>
        <w:t>）精准控制湿度，防止霉变；</w:t>
      </w:r>
      <w:r>
        <w:rPr>
          <w:rFonts w:hint="eastAsia"/>
        </w:rPr>
        <w:t>4</w:t>
      </w:r>
      <w:r>
        <w:rPr>
          <w:rFonts w:hint="eastAsia"/>
        </w:rPr>
        <w:t>℃密封通过低温延缓代谢，减少养分消耗，三者共同作用，可确保种子在储存期内保持高发芽率、高纯净度，为后续实生苗繁育提供优质种源。因此规定应使用食用级铝箔复合膜袋（避光</w:t>
      </w:r>
      <w:r>
        <w:rPr>
          <w:rFonts w:hint="eastAsia"/>
        </w:rPr>
        <w:t>+</w:t>
      </w:r>
      <w:r>
        <w:rPr>
          <w:rFonts w:hint="eastAsia"/>
        </w:rPr>
        <w:t>阻氧）储存蒴果，并将蒴果与变色硅胶干燥剂按照</w:t>
      </w:r>
      <w:r>
        <w:rPr>
          <w:rFonts w:hint="eastAsia"/>
        </w:rPr>
        <w:t>10:1</w:t>
      </w:r>
      <w:r>
        <w:rPr>
          <w:rFonts w:hint="eastAsia"/>
        </w:rPr>
        <w:t>的比例放入变色硅胶干燥剂，放置于</w:t>
      </w:r>
      <w:r>
        <w:rPr>
          <w:rFonts w:hint="eastAsia"/>
        </w:rPr>
        <w:t>4</w:t>
      </w:r>
      <w:r>
        <w:rPr>
          <w:rFonts w:hint="eastAsia"/>
          <w:vertAlign w:val="subscript"/>
        </w:rPr>
        <w:t xml:space="preserve"> </w:t>
      </w:r>
      <w:r>
        <w:rPr>
          <w:rFonts w:hint="eastAsia"/>
        </w:rPr>
        <w:t>℃密封保存。</w:t>
      </w:r>
    </w:p>
    <w:p w14:paraId="57A8195A" w14:textId="77777777" w:rsidR="004F412E" w:rsidRDefault="00000000" w:rsidP="00835BCC">
      <w:pPr>
        <w:autoSpaceDE w:val="0"/>
        <w:autoSpaceDN w:val="0"/>
        <w:adjustRightInd w:val="0"/>
        <w:ind w:firstLine="640"/>
      </w:pPr>
      <w:r>
        <w:rPr>
          <w:rFonts w:hint="eastAsia"/>
        </w:rPr>
        <w:lastRenderedPageBreak/>
        <w:t>在种子脱出上，由于</w:t>
      </w:r>
      <w:r>
        <w:t>钩藤蒴果采收后经</w:t>
      </w:r>
      <w:r>
        <w:t>4℃</w:t>
      </w:r>
      <w:r>
        <w:t>冷藏，种子处于相对休眠状态，</w:t>
      </w:r>
      <w:r>
        <w:rPr>
          <w:rFonts w:hint="eastAsia"/>
        </w:rPr>
        <w:t>需通过</w:t>
      </w:r>
      <w:r>
        <w:t>物理和生理调节唤醒种子</w:t>
      </w:r>
      <w:r>
        <w:rPr>
          <w:rFonts w:hint="eastAsia"/>
        </w:rPr>
        <w:t>，曝晒激活的种子能更快萌发，减少在土壤中的滞留时间。且</w:t>
      </w:r>
      <w:r>
        <w:t>细筛过程中，瘪粒、破损种子会随杂质被筛除，留下的多为饱满、发育良好的种子</w:t>
      </w:r>
      <w:r>
        <w:rPr>
          <w:rFonts w:hint="eastAsia"/>
        </w:rPr>
        <w:t>，纯净、饱满的种子在播种时（撒播或条播）分布更均匀，避免因种子扎堆导致幼苗竞争光照、养分，出现弱苗、徒长苗。因此，播种前，将蒴果曝晒</w:t>
      </w:r>
      <w:r>
        <w:rPr>
          <w:rFonts w:hint="eastAsia"/>
        </w:rPr>
        <w:t>2</w:t>
      </w:r>
      <w:r>
        <w:rPr>
          <w:rFonts w:hint="eastAsia"/>
          <w:vertAlign w:val="subscript"/>
        </w:rPr>
        <w:t xml:space="preserve"> </w:t>
      </w:r>
      <w:r>
        <w:rPr>
          <w:rFonts w:hint="eastAsia"/>
        </w:rPr>
        <w:t>d</w:t>
      </w:r>
      <w:r>
        <w:rPr>
          <w:rFonts w:hint="eastAsia"/>
        </w:rPr>
        <w:t>，再把蒴果搓烂，使种子脱出，再用细筛将种子筛出，备用。</w:t>
      </w:r>
    </w:p>
    <w:p w14:paraId="66E180F6" w14:textId="77777777" w:rsidR="004F412E" w:rsidRDefault="00000000" w:rsidP="00835BCC">
      <w:pPr>
        <w:autoSpaceDE w:val="0"/>
        <w:autoSpaceDN w:val="0"/>
        <w:adjustRightInd w:val="0"/>
        <w:ind w:firstLineChars="0" w:firstLine="0"/>
        <w:jc w:val="left"/>
        <w:rPr>
          <w:rFonts w:ascii="黑体" w:eastAsia="黑体" w:hAnsi="黑体" w:cs="仿宋_GB2312" w:hint="eastAsia"/>
          <w:szCs w:val="32"/>
        </w:rPr>
      </w:pPr>
      <w:r>
        <w:rPr>
          <w:rFonts w:ascii="黑体" w:eastAsia="黑体" w:hAnsi="黑体" w:cs="仿宋_GB2312" w:hint="eastAsia"/>
          <w:szCs w:val="32"/>
        </w:rPr>
        <w:t>（三）育苗准备</w:t>
      </w:r>
    </w:p>
    <w:p w14:paraId="741D5374" w14:textId="77777777" w:rsidR="004F412E" w:rsidRDefault="00000000" w:rsidP="00835BCC">
      <w:pPr>
        <w:autoSpaceDE w:val="0"/>
        <w:autoSpaceDN w:val="0"/>
        <w:adjustRightInd w:val="0"/>
        <w:ind w:firstLine="640"/>
        <w:rPr>
          <w:rFonts w:ascii="仿宋_GB2312" w:hAnsi="宋体" w:hint="eastAsia"/>
          <w:bCs/>
          <w:szCs w:val="32"/>
          <w:lang w:val="zh-CN"/>
        </w:rPr>
      </w:pPr>
      <w:r>
        <w:rPr>
          <w:rFonts w:ascii="仿宋_GB2312" w:hAnsi="宋体" w:hint="eastAsia"/>
          <w:bCs/>
          <w:szCs w:val="32"/>
          <w:lang w:val="zh-CN"/>
        </w:rPr>
        <w:t>整地及施基肥：为了优化土壤理化性质、构建健康根际环境、提供精准营养供给，为幼苗生长奠定基础，需要进行整地及施基肥。钩藤实生苗的根系为须根系，对土壤透气性、耕作层厚度要求较高，因此需要深挖翻土，改良土壤物理结构；</w:t>
      </w:r>
      <w:r>
        <w:rPr>
          <w:rFonts w:ascii="仿宋_GB2312" w:hAnsi="宋体"/>
          <w:bCs/>
          <w:szCs w:val="32"/>
        </w:rPr>
        <w:t>石块和草根是幼苗生长的</w:t>
      </w:r>
      <w:r>
        <w:rPr>
          <w:rFonts w:ascii="仿宋_GB2312" w:hAnsi="宋体"/>
          <w:bCs/>
          <w:szCs w:val="32"/>
        </w:rPr>
        <w:t>“</w:t>
      </w:r>
      <w:r>
        <w:rPr>
          <w:rFonts w:ascii="仿宋_GB2312" w:hAnsi="宋体"/>
          <w:bCs/>
          <w:szCs w:val="32"/>
        </w:rPr>
        <w:t>隐性威胁</w:t>
      </w:r>
      <w:r>
        <w:rPr>
          <w:rFonts w:ascii="仿宋_GB2312" w:hAnsi="宋体"/>
          <w:bCs/>
          <w:szCs w:val="32"/>
        </w:rPr>
        <w:t>”</w:t>
      </w:r>
      <w:r>
        <w:rPr>
          <w:rFonts w:ascii="仿宋_GB2312" w:hAnsi="宋体"/>
          <w:bCs/>
          <w:szCs w:val="32"/>
        </w:rPr>
        <w:t>，</w:t>
      </w:r>
      <w:r>
        <w:rPr>
          <w:rFonts w:ascii="仿宋_GB2312" w:hAnsi="宋体" w:hint="eastAsia"/>
          <w:bCs/>
          <w:szCs w:val="32"/>
        </w:rPr>
        <w:t>会</w:t>
      </w:r>
      <w:r>
        <w:rPr>
          <w:rFonts w:ascii="仿宋_GB2312" w:hAnsi="宋体"/>
          <w:bCs/>
          <w:szCs w:val="32"/>
        </w:rPr>
        <w:t>影响幼苗</w:t>
      </w:r>
      <w:r>
        <w:rPr>
          <w:rFonts w:ascii="仿宋_GB2312" w:hAnsi="宋体" w:hint="eastAsia"/>
          <w:bCs/>
          <w:szCs w:val="32"/>
        </w:rPr>
        <w:t>的</w:t>
      </w:r>
      <w:r>
        <w:rPr>
          <w:rFonts w:ascii="仿宋_GB2312" w:hAnsi="宋体"/>
          <w:bCs/>
          <w:szCs w:val="32"/>
        </w:rPr>
        <w:t>存活率</w:t>
      </w:r>
      <w:r>
        <w:rPr>
          <w:rFonts w:ascii="仿宋_GB2312" w:hAnsi="宋体" w:hint="eastAsia"/>
          <w:bCs/>
          <w:szCs w:val="32"/>
        </w:rPr>
        <w:t>。钩藤幼苗期对氮、钾需求较高，而油茶饼与草木灰的组合能精准匹配这一需求。因此应</w:t>
      </w:r>
      <w:r>
        <w:rPr>
          <w:rFonts w:hint="eastAsia"/>
        </w:rPr>
        <w:t>深挖翻土，拣净石块、草根，用油茶饼碾碎和草木灰按</w:t>
      </w:r>
      <w:r>
        <w:rPr>
          <w:rFonts w:hint="eastAsia"/>
        </w:rPr>
        <w:t>1:2</w:t>
      </w:r>
      <w:r>
        <w:rPr>
          <w:rFonts w:hint="eastAsia"/>
        </w:rPr>
        <w:t>的比例配制肥料，在耕作松土时每</w:t>
      </w:r>
      <w:r>
        <w:rPr>
          <w:rFonts w:hint="eastAsia"/>
        </w:rPr>
        <w:t>667</w:t>
      </w:r>
      <w:r>
        <w:rPr>
          <w:rFonts w:hint="eastAsia"/>
          <w:vertAlign w:val="subscript"/>
        </w:rPr>
        <w:t xml:space="preserve"> </w:t>
      </w:r>
      <w:r>
        <w:rPr>
          <w:rFonts w:hint="eastAsia"/>
        </w:rPr>
        <w:t>m</w:t>
      </w:r>
      <w:r>
        <w:rPr>
          <w:rFonts w:hint="eastAsia"/>
          <w:vertAlign w:val="superscript"/>
        </w:rPr>
        <w:t>2</w:t>
      </w:r>
      <w:r>
        <w:rPr>
          <w:rFonts w:hint="eastAsia"/>
        </w:rPr>
        <w:t>均匀撒入</w:t>
      </w:r>
      <w:r>
        <w:rPr>
          <w:rFonts w:hint="eastAsia"/>
        </w:rPr>
        <w:t>20</w:t>
      </w:r>
      <w:r>
        <w:rPr>
          <w:rFonts w:hint="eastAsia"/>
          <w:vertAlign w:val="subscript"/>
        </w:rPr>
        <w:t xml:space="preserve"> </w:t>
      </w:r>
      <w:r>
        <w:rPr>
          <w:rFonts w:hint="eastAsia"/>
        </w:rPr>
        <w:t>kg</w:t>
      </w:r>
      <w:r>
        <w:rPr>
          <w:rFonts w:hint="eastAsia"/>
        </w:rPr>
        <w:t>。</w:t>
      </w:r>
    </w:p>
    <w:p w14:paraId="24176D2C" w14:textId="77777777" w:rsidR="004F412E" w:rsidRDefault="00000000" w:rsidP="00835BCC">
      <w:pPr>
        <w:autoSpaceDE w:val="0"/>
        <w:autoSpaceDN w:val="0"/>
        <w:adjustRightInd w:val="0"/>
        <w:ind w:firstLine="640"/>
        <w:rPr>
          <w:rFonts w:ascii="仿宋_GB2312" w:hAnsi="宋体" w:hint="eastAsia"/>
          <w:bCs/>
          <w:szCs w:val="32"/>
          <w:lang w:val="zh-CN"/>
        </w:rPr>
      </w:pPr>
      <w:r>
        <w:rPr>
          <w:rFonts w:ascii="仿宋_GB2312" w:hAnsi="宋体" w:hint="eastAsia"/>
          <w:bCs/>
          <w:szCs w:val="32"/>
          <w:lang w:val="zh-CN"/>
        </w:rPr>
        <w:t>苗床准备：为了优化幼苗生长的微环境，精准调控水分、温度和通气条件，避免积水、板结等问题对幼苗造成危害，需对苗床进行处理。首先是要对苗床进行精细碎土并耙平，并</w:t>
      </w:r>
      <w:r>
        <w:rPr>
          <w:rFonts w:ascii="仿宋_GB2312" w:hAnsi="宋体"/>
          <w:bCs/>
          <w:szCs w:val="32"/>
        </w:rPr>
        <w:t>结合钩藤幼苗生长特性和田间管理需求</w:t>
      </w:r>
      <w:r>
        <w:rPr>
          <w:rFonts w:ascii="仿宋_GB2312" w:hAnsi="宋体" w:hint="eastAsia"/>
          <w:bCs/>
          <w:szCs w:val="32"/>
        </w:rPr>
        <w:t>，规定</w:t>
      </w:r>
      <w:r>
        <w:rPr>
          <w:rFonts w:ascii="仿宋_GB2312" w:hAnsi="宋体" w:hint="eastAsia"/>
          <w:bCs/>
          <w:szCs w:val="32"/>
          <w:lang w:val="zh-CN"/>
        </w:rPr>
        <w:t>起畦面宽1.0 m～1.2 m、高0.2 m～0.3 m、步道宽0.2 m～0.3 m，畦面平整，中央稍高。由</w:t>
      </w:r>
      <w:r>
        <w:rPr>
          <w:rFonts w:ascii="仿宋_GB2312" w:hAnsi="宋体" w:hint="eastAsia"/>
          <w:bCs/>
          <w:szCs w:val="32"/>
          <w:lang w:val="zh-CN"/>
        </w:rPr>
        <w:lastRenderedPageBreak/>
        <w:t>于钩藤幼苗对水分敏感，因此还需分级设置排水沟，为钩藤幼苗创造“疏松、透气、湿润不积水”的微环境，提高种子发芽率和幼苗存活率，为后续培育健壮种苗奠定基础。</w:t>
      </w:r>
    </w:p>
    <w:p w14:paraId="31C3F758" w14:textId="77777777" w:rsidR="004F412E" w:rsidRDefault="00000000" w:rsidP="00835BCC">
      <w:pPr>
        <w:autoSpaceDE w:val="0"/>
        <w:autoSpaceDN w:val="0"/>
        <w:adjustRightInd w:val="0"/>
        <w:ind w:firstLineChars="0" w:firstLine="0"/>
        <w:jc w:val="left"/>
        <w:rPr>
          <w:rFonts w:ascii="黑体" w:eastAsia="黑体" w:hAnsi="黑体" w:cs="仿宋_GB2312" w:hint="eastAsia"/>
          <w:szCs w:val="32"/>
        </w:rPr>
      </w:pPr>
      <w:r>
        <w:rPr>
          <w:rFonts w:ascii="黑体" w:eastAsia="黑体" w:hAnsi="黑体" w:cs="仿宋_GB2312" w:hint="eastAsia"/>
          <w:szCs w:val="32"/>
        </w:rPr>
        <w:t>（四）育苗</w:t>
      </w:r>
    </w:p>
    <w:p w14:paraId="45F4B3F3" w14:textId="77777777" w:rsidR="004F412E" w:rsidRDefault="00000000" w:rsidP="008C583E">
      <w:pPr>
        <w:autoSpaceDE w:val="0"/>
        <w:autoSpaceDN w:val="0"/>
        <w:adjustRightInd w:val="0"/>
        <w:ind w:firstLine="640"/>
        <w:rPr>
          <w:rFonts w:ascii="仿宋_GB2312" w:hAnsi="宋体" w:hint="eastAsia"/>
          <w:bCs/>
          <w:szCs w:val="32"/>
          <w:lang w:val="zh-CN"/>
        </w:rPr>
      </w:pPr>
      <w:r>
        <w:rPr>
          <w:rFonts w:ascii="仿宋_GB2312" w:hAnsi="宋体" w:hint="eastAsia"/>
          <w:bCs/>
          <w:szCs w:val="32"/>
          <w:lang w:val="zh-CN"/>
        </w:rPr>
        <w:t>育苗主要包括种子处理、播种时间与温度、播种方法、移栽、炼苗。</w:t>
      </w:r>
      <w:r>
        <w:rPr>
          <w:rFonts w:ascii="仿宋_GB2312" w:hAnsi="宋体" w:hint="eastAsia"/>
          <w:szCs w:val="32"/>
          <w:lang w:val="zh-CN"/>
        </w:rPr>
        <w:t>起草单位在钩藤实生苗繁育上也进行了播种时间、温度、光照、赤霉酸对种子萌发的影响研究。研究情况如下：</w:t>
      </w:r>
    </w:p>
    <w:p w14:paraId="57A847F8" w14:textId="77777777" w:rsidR="004F412E" w:rsidRDefault="00000000" w:rsidP="008C583E">
      <w:pPr>
        <w:autoSpaceDE w:val="0"/>
        <w:autoSpaceDN w:val="0"/>
        <w:adjustRightInd w:val="0"/>
        <w:ind w:firstLine="640"/>
        <w:rPr>
          <w:rFonts w:ascii="仿宋_GB2312" w:hAnsi="宋体" w:hint="eastAsia"/>
          <w:szCs w:val="32"/>
          <w:lang w:val="zh-CN"/>
        </w:rPr>
      </w:pPr>
      <w:r>
        <w:rPr>
          <w:rFonts w:ascii="仿宋_GB2312" w:hAnsi="宋体" w:hint="eastAsia"/>
          <w:szCs w:val="32"/>
          <w:lang w:val="zh-CN"/>
        </w:rPr>
        <w:t>试验材料为2022年10月下旬～11月上旬，分别采集于广西三江县及贵州剑河县的钩藤种子。种子处理方法为：采集黄褐色、果荚即将开裂的成熟蒴果，晒干，取出种子，除去杂质，于4℃密封保存。</w:t>
      </w:r>
    </w:p>
    <w:p w14:paraId="6DDDD500" w14:textId="0FF6086D" w:rsidR="004F412E" w:rsidRDefault="00B33249" w:rsidP="00B33249">
      <w:pPr>
        <w:pStyle w:val="aff7"/>
        <w:autoSpaceDE w:val="0"/>
        <w:autoSpaceDN w:val="0"/>
        <w:adjustRightInd w:val="0"/>
        <w:ind w:firstLine="640"/>
        <w:rPr>
          <w:rFonts w:ascii="仿宋_GB2312" w:hAnsi="宋体" w:hint="eastAsia"/>
          <w:szCs w:val="32"/>
          <w:lang w:val="zh-CN"/>
        </w:rPr>
      </w:pPr>
      <w:r>
        <w:rPr>
          <w:rFonts w:ascii="仿宋_GB2312" w:hAnsi="宋体" w:hint="eastAsia"/>
          <w:szCs w:val="32"/>
          <w:lang w:val="zh-CN"/>
        </w:rPr>
        <w:t>1.不同播种时间对种子萌发的影响</w:t>
      </w:r>
    </w:p>
    <w:p w14:paraId="72414E05" w14:textId="77777777" w:rsidR="004F412E" w:rsidRDefault="00000000" w:rsidP="00FF428B">
      <w:pPr>
        <w:autoSpaceDE w:val="0"/>
        <w:autoSpaceDN w:val="0"/>
        <w:adjustRightInd w:val="0"/>
        <w:ind w:firstLine="640"/>
        <w:rPr>
          <w:rFonts w:ascii="仿宋_GB2312" w:hAnsi="宋体"/>
          <w:szCs w:val="32"/>
          <w:lang w:val="zh-CN"/>
        </w:rPr>
      </w:pPr>
      <w:r>
        <w:rPr>
          <w:rFonts w:ascii="仿宋_GB2312" w:hAnsi="宋体" w:hint="eastAsia"/>
          <w:szCs w:val="32"/>
          <w:lang w:val="zh-CN"/>
        </w:rPr>
        <w:t>试验设置为：设置播种时间为10月23日、12月3日、1月13日、3月5日、4月10日共五个时段（相差40天），以细沙床上垫滤纸为发芽床，在25℃环境下培养，种子数量为30粒/处理，三次重复。试验结果见表1。试验结果表明：从发芽率来看</w:t>
      </w:r>
      <w:r>
        <w:rPr>
          <w:rFonts w:ascii="仿宋_GB2312" w:hAnsi="宋体"/>
          <w:szCs w:val="32"/>
          <w:lang w:val="zh-CN"/>
        </w:rPr>
        <w:t>10月下旬-4月上旬</w:t>
      </w:r>
      <w:r>
        <w:rPr>
          <w:rFonts w:ascii="仿宋_GB2312" w:hAnsi="宋体" w:hint="eastAsia"/>
          <w:szCs w:val="32"/>
          <w:lang w:val="zh-CN"/>
        </w:rPr>
        <w:t>播种发芽率都能达到80%以上，但12月2日-2月6日播种的发芽时间较长，发芽分散；3月2日和4月4日发芽率较高，发芽集中。钩藤种子的播种期宜在12月上旬至2月下旬进行，播种苗床土团要细，保持苗床湿润，这样处理能使钩藤种子发芽率高、且发芽集中。</w:t>
      </w:r>
    </w:p>
    <w:p w14:paraId="3F3AB1C5" w14:textId="77777777" w:rsidR="00D13BA4" w:rsidRDefault="00D13BA4" w:rsidP="00FF428B">
      <w:pPr>
        <w:autoSpaceDE w:val="0"/>
        <w:autoSpaceDN w:val="0"/>
        <w:adjustRightInd w:val="0"/>
        <w:ind w:firstLine="640"/>
        <w:rPr>
          <w:rFonts w:ascii="仿宋_GB2312" w:hAnsi="宋体" w:hint="eastAsia"/>
          <w:szCs w:val="32"/>
          <w:lang w:val="zh-CN"/>
        </w:rPr>
      </w:pPr>
    </w:p>
    <w:p w14:paraId="4E5AFABF" w14:textId="77777777" w:rsidR="004F412E" w:rsidRDefault="00000000">
      <w:pPr>
        <w:spacing w:afterLines="50" w:after="156"/>
        <w:ind w:firstLineChars="150" w:firstLine="270"/>
        <w:jc w:val="center"/>
        <w:rPr>
          <w:rFonts w:ascii="宋体" w:eastAsia="宋体" w:hAnsi="宋体" w:hint="eastAsia"/>
          <w:sz w:val="18"/>
          <w:szCs w:val="18"/>
        </w:rPr>
      </w:pPr>
      <w:r>
        <w:rPr>
          <w:rFonts w:ascii="宋体" w:eastAsia="宋体" w:hAnsi="宋体" w:hint="eastAsia"/>
          <w:sz w:val="18"/>
          <w:szCs w:val="18"/>
        </w:rPr>
        <w:lastRenderedPageBreak/>
        <w:t>表1 不同的播种期对钩藤种子发芽的影响</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024"/>
        <w:gridCol w:w="1513"/>
        <w:gridCol w:w="1379"/>
        <w:gridCol w:w="1374"/>
        <w:gridCol w:w="1375"/>
        <w:gridCol w:w="1509"/>
      </w:tblGrid>
      <w:tr w:rsidR="004F412E" w14:paraId="737F66F5" w14:textId="77777777">
        <w:tc>
          <w:tcPr>
            <w:tcW w:w="2024" w:type="dxa"/>
            <w:tcBorders>
              <w:top w:val="single" w:sz="12" w:space="0" w:color="auto"/>
              <w:left w:val="nil"/>
              <w:bottom w:val="single" w:sz="4" w:space="0" w:color="auto"/>
              <w:right w:val="nil"/>
            </w:tcBorders>
          </w:tcPr>
          <w:p w14:paraId="13523EA4"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播种期（日/月）</w:t>
            </w:r>
          </w:p>
        </w:tc>
        <w:tc>
          <w:tcPr>
            <w:tcW w:w="1513" w:type="dxa"/>
            <w:tcBorders>
              <w:top w:val="single" w:sz="12" w:space="0" w:color="auto"/>
              <w:left w:val="nil"/>
              <w:bottom w:val="single" w:sz="4" w:space="0" w:color="auto"/>
              <w:right w:val="nil"/>
            </w:tcBorders>
          </w:tcPr>
          <w:p w14:paraId="5539D778"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23/10</w:t>
            </w:r>
          </w:p>
        </w:tc>
        <w:tc>
          <w:tcPr>
            <w:tcW w:w="1379" w:type="dxa"/>
            <w:tcBorders>
              <w:top w:val="single" w:sz="12" w:space="0" w:color="auto"/>
              <w:left w:val="nil"/>
              <w:bottom w:val="single" w:sz="4" w:space="0" w:color="auto"/>
              <w:right w:val="nil"/>
            </w:tcBorders>
          </w:tcPr>
          <w:p w14:paraId="270BF1C9"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3/12</w:t>
            </w:r>
          </w:p>
        </w:tc>
        <w:tc>
          <w:tcPr>
            <w:tcW w:w="1374" w:type="dxa"/>
            <w:tcBorders>
              <w:top w:val="single" w:sz="12" w:space="0" w:color="auto"/>
              <w:left w:val="nil"/>
              <w:bottom w:val="single" w:sz="4" w:space="0" w:color="auto"/>
              <w:right w:val="nil"/>
            </w:tcBorders>
          </w:tcPr>
          <w:p w14:paraId="104761AC"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13/1</w:t>
            </w:r>
          </w:p>
        </w:tc>
        <w:tc>
          <w:tcPr>
            <w:tcW w:w="1375" w:type="dxa"/>
            <w:tcBorders>
              <w:top w:val="single" w:sz="12" w:space="0" w:color="auto"/>
              <w:left w:val="nil"/>
              <w:bottom w:val="single" w:sz="4" w:space="0" w:color="auto"/>
              <w:right w:val="nil"/>
            </w:tcBorders>
          </w:tcPr>
          <w:p w14:paraId="1D7AB90F"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5/3</w:t>
            </w:r>
          </w:p>
        </w:tc>
        <w:tc>
          <w:tcPr>
            <w:tcW w:w="1509" w:type="dxa"/>
            <w:tcBorders>
              <w:top w:val="single" w:sz="12" w:space="0" w:color="auto"/>
              <w:left w:val="nil"/>
              <w:bottom w:val="single" w:sz="4" w:space="0" w:color="auto"/>
              <w:right w:val="nil"/>
            </w:tcBorders>
          </w:tcPr>
          <w:p w14:paraId="081A496C"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10/4</w:t>
            </w:r>
          </w:p>
        </w:tc>
      </w:tr>
      <w:tr w:rsidR="004F412E" w14:paraId="40DB67C5" w14:textId="77777777">
        <w:tc>
          <w:tcPr>
            <w:tcW w:w="2024" w:type="dxa"/>
            <w:tcBorders>
              <w:top w:val="nil"/>
              <w:left w:val="nil"/>
              <w:bottom w:val="nil"/>
              <w:right w:val="nil"/>
            </w:tcBorders>
          </w:tcPr>
          <w:p w14:paraId="799DC414"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发芽起始时间</w:t>
            </w:r>
          </w:p>
        </w:tc>
        <w:tc>
          <w:tcPr>
            <w:tcW w:w="1513" w:type="dxa"/>
            <w:tcBorders>
              <w:top w:val="nil"/>
              <w:left w:val="nil"/>
              <w:bottom w:val="nil"/>
              <w:right w:val="nil"/>
            </w:tcBorders>
          </w:tcPr>
          <w:p w14:paraId="347835DE"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25/11</w:t>
            </w:r>
          </w:p>
        </w:tc>
        <w:tc>
          <w:tcPr>
            <w:tcW w:w="1379" w:type="dxa"/>
            <w:tcBorders>
              <w:top w:val="nil"/>
              <w:left w:val="nil"/>
              <w:bottom w:val="nil"/>
              <w:right w:val="nil"/>
            </w:tcBorders>
          </w:tcPr>
          <w:p w14:paraId="02B75035"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27/12</w:t>
            </w:r>
          </w:p>
        </w:tc>
        <w:tc>
          <w:tcPr>
            <w:tcW w:w="1374" w:type="dxa"/>
            <w:tcBorders>
              <w:top w:val="nil"/>
              <w:left w:val="nil"/>
              <w:bottom w:val="nil"/>
              <w:right w:val="nil"/>
            </w:tcBorders>
          </w:tcPr>
          <w:p w14:paraId="4D8CAA77"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1/2</w:t>
            </w:r>
          </w:p>
        </w:tc>
        <w:tc>
          <w:tcPr>
            <w:tcW w:w="1375" w:type="dxa"/>
            <w:tcBorders>
              <w:top w:val="nil"/>
              <w:left w:val="nil"/>
              <w:bottom w:val="nil"/>
              <w:right w:val="nil"/>
            </w:tcBorders>
          </w:tcPr>
          <w:p w14:paraId="28746D54"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26/3</w:t>
            </w:r>
          </w:p>
        </w:tc>
        <w:tc>
          <w:tcPr>
            <w:tcW w:w="1509" w:type="dxa"/>
            <w:tcBorders>
              <w:top w:val="nil"/>
              <w:left w:val="nil"/>
              <w:bottom w:val="nil"/>
              <w:right w:val="nil"/>
            </w:tcBorders>
          </w:tcPr>
          <w:p w14:paraId="1592EEAF"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2/5</w:t>
            </w:r>
          </w:p>
        </w:tc>
      </w:tr>
      <w:tr w:rsidR="004F412E" w14:paraId="73DBDEA0" w14:textId="77777777">
        <w:tc>
          <w:tcPr>
            <w:tcW w:w="2024" w:type="dxa"/>
            <w:tcBorders>
              <w:top w:val="nil"/>
              <w:left w:val="nil"/>
              <w:bottom w:val="nil"/>
              <w:right w:val="nil"/>
            </w:tcBorders>
          </w:tcPr>
          <w:p w14:paraId="3C28D33F"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发芽数（粒）</w:t>
            </w:r>
          </w:p>
        </w:tc>
        <w:tc>
          <w:tcPr>
            <w:tcW w:w="1513" w:type="dxa"/>
            <w:tcBorders>
              <w:top w:val="nil"/>
              <w:left w:val="nil"/>
              <w:bottom w:val="nil"/>
              <w:right w:val="nil"/>
            </w:tcBorders>
          </w:tcPr>
          <w:p w14:paraId="053CFA32"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24</w:t>
            </w:r>
          </w:p>
        </w:tc>
        <w:tc>
          <w:tcPr>
            <w:tcW w:w="1379" w:type="dxa"/>
            <w:tcBorders>
              <w:top w:val="nil"/>
              <w:left w:val="nil"/>
              <w:bottom w:val="nil"/>
              <w:right w:val="nil"/>
            </w:tcBorders>
          </w:tcPr>
          <w:p w14:paraId="0F570FA2"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27</w:t>
            </w:r>
          </w:p>
        </w:tc>
        <w:tc>
          <w:tcPr>
            <w:tcW w:w="1374" w:type="dxa"/>
            <w:tcBorders>
              <w:top w:val="nil"/>
              <w:left w:val="nil"/>
              <w:bottom w:val="nil"/>
              <w:right w:val="nil"/>
            </w:tcBorders>
          </w:tcPr>
          <w:p w14:paraId="19FF678F"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28</w:t>
            </w:r>
          </w:p>
        </w:tc>
        <w:tc>
          <w:tcPr>
            <w:tcW w:w="1375" w:type="dxa"/>
            <w:tcBorders>
              <w:top w:val="nil"/>
              <w:left w:val="nil"/>
              <w:bottom w:val="nil"/>
              <w:right w:val="nil"/>
            </w:tcBorders>
          </w:tcPr>
          <w:p w14:paraId="7634AB24"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28</w:t>
            </w:r>
          </w:p>
        </w:tc>
        <w:tc>
          <w:tcPr>
            <w:tcW w:w="1509" w:type="dxa"/>
            <w:tcBorders>
              <w:top w:val="nil"/>
              <w:left w:val="nil"/>
              <w:bottom w:val="nil"/>
              <w:right w:val="nil"/>
            </w:tcBorders>
          </w:tcPr>
          <w:p w14:paraId="5D968E3F"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25</w:t>
            </w:r>
          </w:p>
        </w:tc>
      </w:tr>
      <w:tr w:rsidR="004F412E" w14:paraId="25AF0886" w14:textId="77777777">
        <w:tc>
          <w:tcPr>
            <w:tcW w:w="2024" w:type="dxa"/>
            <w:tcBorders>
              <w:top w:val="nil"/>
              <w:left w:val="nil"/>
              <w:bottom w:val="single" w:sz="12" w:space="0" w:color="auto"/>
              <w:right w:val="nil"/>
            </w:tcBorders>
          </w:tcPr>
          <w:p w14:paraId="54F894DD"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发芽率（%）</w:t>
            </w:r>
          </w:p>
        </w:tc>
        <w:tc>
          <w:tcPr>
            <w:tcW w:w="1513" w:type="dxa"/>
            <w:tcBorders>
              <w:top w:val="nil"/>
              <w:left w:val="nil"/>
              <w:bottom w:val="single" w:sz="12" w:space="0" w:color="auto"/>
              <w:right w:val="nil"/>
            </w:tcBorders>
          </w:tcPr>
          <w:p w14:paraId="5F73BC1F"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80.0</w:t>
            </w:r>
          </w:p>
        </w:tc>
        <w:tc>
          <w:tcPr>
            <w:tcW w:w="1379" w:type="dxa"/>
            <w:tcBorders>
              <w:top w:val="nil"/>
              <w:left w:val="nil"/>
              <w:bottom w:val="single" w:sz="12" w:space="0" w:color="auto"/>
              <w:right w:val="nil"/>
            </w:tcBorders>
          </w:tcPr>
          <w:p w14:paraId="7604E94B"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90.0</w:t>
            </w:r>
          </w:p>
        </w:tc>
        <w:tc>
          <w:tcPr>
            <w:tcW w:w="1374" w:type="dxa"/>
            <w:tcBorders>
              <w:top w:val="nil"/>
              <w:left w:val="nil"/>
              <w:bottom w:val="single" w:sz="12" w:space="0" w:color="auto"/>
              <w:right w:val="nil"/>
            </w:tcBorders>
          </w:tcPr>
          <w:p w14:paraId="3576E200"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93.3</w:t>
            </w:r>
          </w:p>
        </w:tc>
        <w:tc>
          <w:tcPr>
            <w:tcW w:w="1375" w:type="dxa"/>
            <w:tcBorders>
              <w:top w:val="nil"/>
              <w:left w:val="nil"/>
              <w:bottom w:val="single" w:sz="12" w:space="0" w:color="auto"/>
              <w:right w:val="nil"/>
            </w:tcBorders>
          </w:tcPr>
          <w:p w14:paraId="2CC8E84D"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93.3</w:t>
            </w:r>
          </w:p>
        </w:tc>
        <w:tc>
          <w:tcPr>
            <w:tcW w:w="1509" w:type="dxa"/>
            <w:tcBorders>
              <w:top w:val="nil"/>
              <w:left w:val="nil"/>
              <w:bottom w:val="single" w:sz="12" w:space="0" w:color="auto"/>
              <w:right w:val="nil"/>
            </w:tcBorders>
          </w:tcPr>
          <w:p w14:paraId="3284A4B2" w14:textId="77777777" w:rsidR="004F412E" w:rsidRDefault="00000000">
            <w:pPr>
              <w:ind w:firstLine="360"/>
              <w:rPr>
                <w:rFonts w:ascii="宋体" w:eastAsia="宋体" w:hAnsi="宋体" w:hint="eastAsia"/>
                <w:sz w:val="18"/>
                <w:szCs w:val="18"/>
              </w:rPr>
            </w:pPr>
            <w:r>
              <w:rPr>
                <w:rFonts w:ascii="宋体" w:eastAsia="宋体" w:hAnsi="宋体" w:hint="eastAsia"/>
                <w:sz w:val="18"/>
                <w:szCs w:val="18"/>
              </w:rPr>
              <w:t>83.3</w:t>
            </w:r>
          </w:p>
        </w:tc>
      </w:tr>
    </w:tbl>
    <w:p w14:paraId="46E6B793" w14:textId="533022EB" w:rsidR="004F412E" w:rsidRPr="00B33249" w:rsidRDefault="00B33249" w:rsidP="00B33249">
      <w:pPr>
        <w:autoSpaceDE w:val="0"/>
        <w:autoSpaceDN w:val="0"/>
        <w:adjustRightInd w:val="0"/>
        <w:ind w:left="640" w:firstLineChars="0" w:firstLine="0"/>
        <w:rPr>
          <w:rFonts w:ascii="仿宋_GB2312" w:hAnsi="宋体" w:hint="eastAsia"/>
          <w:szCs w:val="32"/>
          <w:lang w:val="zh-CN"/>
        </w:rPr>
      </w:pPr>
      <w:r>
        <w:rPr>
          <w:rFonts w:ascii="仿宋_GB2312" w:hAnsi="宋体" w:hint="eastAsia"/>
          <w:szCs w:val="32"/>
          <w:lang w:val="zh-CN"/>
        </w:rPr>
        <w:t>2.</w:t>
      </w:r>
      <w:r w:rsidRPr="00B33249">
        <w:rPr>
          <w:rFonts w:ascii="仿宋_GB2312" w:hAnsi="宋体" w:hint="eastAsia"/>
          <w:szCs w:val="32"/>
          <w:lang w:val="zh-CN"/>
        </w:rPr>
        <w:t>不同温度对钩藤种子萌发的影响</w:t>
      </w:r>
    </w:p>
    <w:p w14:paraId="1C1D5367" w14:textId="62E9A4AB" w:rsidR="004F412E" w:rsidRDefault="00000000" w:rsidP="00FF428B">
      <w:pPr>
        <w:autoSpaceDE w:val="0"/>
        <w:autoSpaceDN w:val="0"/>
        <w:adjustRightInd w:val="0"/>
        <w:ind w:firstLineChars="150" w:firstLine="480"/>
        <w:rPr>
          <w:rFonts w:ascii="仿宋_GB2312" w:hAnsi="宋体" w:hint="eastAsia"/>
          <w:szCs w:val="32"/>
          <w:lang w:val="zh-CN"/>
        </w:rPr>
      </w:pPr>
      <w:r>
        <w:rPr>
          <w:rFonts w:ascii="仿宋_GB2312" w:hAnsi="宋体" w:hint="eastAsia"/>
          <w:szCs w:val="32"/>
          <w:lang w:val="zh-CN"/>
        </w:rPr>
        <w:t>发芽温度试验设置为：分别将温度设置为15、20、25、30、35、40℃、18-25℃、26-33℃，恒温进行发芽测定，培养时间45 d。在开始发芽后10d计算发芽势，试验结果见表2。结果表明：通过不同温度对钩藤种子萌发的影响试验，得出钩藤种子萌芽最适发芽条件，</w:t>
      </w:r>
      <w:r w:rsidR="00CD5B55">
        <w:rPr>
          <w:rFonts w:ascii="仿宋_GB2312" w:hAnsi="宋体" w:hint="eastAsia"/>
          <w:szCs w:val="32"/>
          <w:lang w:val="zh-CN"/>
        </w:rPr>
        <w:t>1</w:t>
      </w:r>
      <w:r>
        <w:rPr>
          <w:rFonts w:ascii="仿宋_GB2312" w:hAnsi="宋体"/>
          <w:szCs w:val="32"/>
          <w:lang w:val="zh-CN"/>
        </w:rPr>
        <w:t>8-25</w:t>
      </w:r>
      <w:r>
        <w:rPr>
          <w:rFonts w:ascii="仿宋_GB2312" w:hAnsi="宋体"/>
          <w:szCs w:val="32"/>
          <w:lang w:val="zh-CN"/>
        </w:rPr>
        <w:t>℃</w:t>
      </w:r>
      <w:r>
        <w:rPr>
          <w:rFonts w:ascii="仿宋_GB2312" w:hAnsi="宋体"/>
          <w:szCs w:val="32"/>
          <w:lang w:val="zh-CN"/>
        </w:rPr>
        <w:t>可以达到极高的发芽率，且发芽势也是最高，发芽率高达95%，</w:t>
      </w:r>
      <w:r>
        <w:rPr>
          <w:rFonts w:ascii="仿宋_GB2312" w:hAnsi="宋体" w:hint="eastAsia"/>
          <w:szCs w:val="32"/>
          <w:lang w:val="zh-CN"/>
        </w:rPr>
        <w:t>在20-30℃变温也可达到较高的发芽率，但发芽时间较长（表2）。</w:t>
      </w:r>
    </w:p>
    <w:p w14:paraId="2C155775" w14:textId="77777777" w:rsidR="004F412E" w:rsidRDefault="00000000">
      <w:pPr>
        <w:ind w:firstLine="360"/>
        <w:jc w:val="center"/>
        <w:rPr>
          <w:rFonts w:ascii="宋体" w:eastAsia="宋体" w:hAnsi="宋体" w:hint="eastAsia"/>
          <w:sz w:val="18"/>
          <w:szCs w:val="18"/>
        </w:rPr>
      </w:pPr>
      <w:r>
        <w:rPr>
          <w:rFonts w:ascii="宋体" w:eastAsia="宋体" w:hAnsi="宋体" w:hint="eastAsia"/>
          <w:bCs/>
          <w:sz w:val="18"/>
          <w:szCs w:val="18"/>
        </w:rPr>
        <w:t>表2   不同发芽温度对钩藤种子发芽的影响</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739"/>
        <w:gridCol w:w="839"/>
        <w:gridCol w:w="676"/>
        <w:gridCol w:w="770"/>
        <w:gridCol w:w="713"/>
        <w:gridCol w:w="757"/>
        <w:gridCol w:w="757"/>
        <w:gridCol w:w="757"/>
        <w:gridCol w:w="757"/>
        <w:gridCol w:w="757"/>
      </w:tblGrid>
      <w:tr w:rsidR="004F412E" w14:paraId="664DEEDF" w14:textId="77777777">
        <w:tc>
          <w:tcPr>
            <w:tcW w:w="1739" w:type="dxa"/>
            <w:tcBorders>
              <w:top w:val="single" w:sz="12" w:space="0" w:color="auto"/>
              <w:left w:val="nil"/>
              <w:bottom w:val="single" w:sz="4" w:space="0" w:color="auto"/>
              <w:right w:val="nil"/>
            </w:tcBorders>
            <w:vAlign w:val="center"/>
          </w:tcPr>
          <w:p w14:paraId="49C8F074"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发芽温度(℃)</w:t>
            </w:r>
          </w:p>
        </w:tc>
        <w:tc>
          <w:tcPr>
            <w:tcW w:w="839" w:type="dxa"/>
            <w:tcBorders>
              <w:top w:val="single" w:sz="12" w:space="0" w:color="auto"/>
              <w:left w:val="nil"/>
              <w:bottom w:val="single" w:sz="4" w:space="0" w:color="auto"/>
              <w:right w:val="nil"/>
            </w:tcBorders>
            <w:vAlign w:val="center"/>
          </w:tcPr>
          <w:p w14:paraId="3CBD80E3"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26-33</w:t>
            </w:r>
          </w:p>
        </w:tc>
        <w:tc>
          <w:tcPr>
            <w:tcW w:w="676" w:type="dxa"/>
            <w:tcBorders>
              <w:top w:val="single" w:sz="12" w:space="0" w:color="auto"/>
              <w:left w:val="nil"/>
              <w:bottom w:val="single" w:sz="4" w:space="0" w:color="auto"/>
              <w:right w:val="nil"/>
            </w:tcBorders>
          </w:tcPr>
          <w:p w14:paraId="4D0649C6" w14:textId="77777777" w:rsidR="004F412E" w:rsidRDefault="004F412E">
            <w:pPr>
              <w:ind w:firstLineChars="0" w:firstLine="0"/>
              <w:jc w:val="center"/>
              <w:rPr>
                <w:rFonts w:ascii="宋体" w:eastAsia="宋体" w:hAnsi="宋体" w:hint="eastAsia"/>
                <w:sz w:val="18"/>
                <w:szCs w:val="18"/>
              </w:rPr>
            </w:pPr>
          </w:p>
        </w:tc>
        <w:tc>
          <w:tcPr>
            <w:tcW w:w="770" w:type="dxa"/>
            <w:tcBorders>
              <w:top w:val="single" w:sz="12" w:space="0" w:color="auto"/>
              <w:left w:val="nil"/>
              <w:bottom w:val="single" w:sz="4" w:space="0" w:color="auto"/>
              <w:right w:val="nil"/>
            </w:tcBorders>
          </w:tcPr>
          <w:p w14:paraId="05490B72"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18-25</w:t>
            </w:r>
          </w:p>
        </w:tc>
        <w:tc>
          <w:tcPr>
            <w:tcW w:w="713" w:type="dxa"/>
            <w:tcBorders>
              <w:top w:val="single" w:sz="12" w:space="0" w:color="auto"/>
              <w:left w:val="nil"/>
              <w:bottom w:val="single" w:sz="4" w:space="0" w:color="auto"/>
              <w:right w:val="nil"/>
            </w:tcBorders>
          </w:tcPr>
          <w:p w14:paraId="5E48D813"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15</w:t>
            </w:r>
          </w:p>
        </w:tc>
        <w:tc>
          <w:tcPr>
            <w:tcW w:w="757" w:type="dxa"/>
            <w:tcBorders>
              <w:top w:val="single" w:sz="12" w:space="0" w:color="auto"/>
              <w:left w:val="nil"/>
              <w:bottom w:val="single" w:sz="4" w:space="0" w:color="auto"/>
              <w:right w:val="nil"/>
            </w:tcBorders>
            <w:vAlign w:val="center"/>
          </w:tcPr>
          <w:p w14:paraId="2B962B91"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20</w:t>
            </w:r>
          </w:p>
        </w:tc>
        <w:tc>
          <w:tcPr>
            <w:tcW w:w="757" w:type="dxa"/>
            <w:tcBorders>
              <w:top w:val="single" w:sz="12" w:space="0" w:color="auto"/>
              <w:left w:val="nil"/>
              <w:bottom w:val="single" w:sz="4" w:space="0" w:color="auto"/>
              <w:right w:val="nil"/>
            </w:tcBorders>
            <w:vAlign w:val="center"/>
          </w:tcPr>
          <w:p w14:paraId="3B122B46"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25</w:t>
            </w:r>
          </w:p>
        </w:tc>
        <w:tc>
          <w:tcPr>
            <w:tcW w:w="757" w:type="dxa"/>
            <w:tcBorders>
              <w:top w:val="single" w:sz="12" w:space="0" w:color="auto"/>
              <w:left w:val="nil"/>
              <w:bottom w:val="single" w:sz="4" w:space="0" w:color="auto"/>
              <w:right w:val="nil"/>
            </w:tcBorders>
            <w:vAlign w:val="center"/>
          </w:tcPr>
          <w:p w14:paraId="4312EEDA"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30</w:t>
            </w:r>
          </w:p>
        </w:tc>
        <w:tc>
          <w:tcPr>
            <w:tcW w:w="757" w:type="dxa"/>
            <w:tcBorders>
              <w:top w:val="single" w:sz="12" w:space="0" w:color="auto"/>
              <w:left w:val="nil"/>
              <w:bottom w:val="single" w:sz="4" w:space="0" w:color="auto"/>
              <w:right w:val="nil"/>
            </w:tcBorders>
            <w:vAlign w:val="center"/>
          </w:tcPr>
          <w:p w14:paraId="4861F38B"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35</w:t>
            </w:r>
          </w:p>
        </w:tc>
        <w:tc>
          <w:tcPr>
            <w:tcW w:w="757" w:type="dxa"/>
            <w:tcBorders>
              <w:top w:val="single" w:sz="12" w:space="0" w:color="auto"/>
              <w:left w:val="nil"/>
              <w:bottom w:val="single" w:sz="4" w:space="0" w:color="auto"/>
              <w:right w:val="nil"/>
            </w:tcBorders>
            <w:vAlign w:val="center"/>
          </w:tcPr>
          <w:p w14:paraId="70C8E6DF"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40</w:t>
            </w:r>
          </w:p>
        </w:tc>
      </w:tr>
      <w:tr w:rsidR="004F412E" w14:paraId="7CAC8085" w14:textId="77777777">
        <w:tc>
          <w:tcPr>
            <w:tcW w:w="1739" w:type="dxa"/>
            <w:tcBorders>
              <w:top w:val="nil"/>
              <w:left w:val="nil"/>
              <w:bottom w:val="nil"/>
              <w:right w:val="nil"/>
            </w:tcBorders>
            <w:vAlign w:val="center"/>
          </w:tcPr>
          <w:p w14:paraId="56D1D693"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发芽势(%)</w:t>
            </w:r>
          </w:p>
        </w:tc>
        <w:tc>
          <w:tcPr>
            <w:tcW w:w="839" w:type="dxa"/>
            <w:tcBorders>
              <w:top w:val="nil"/>
              <w:left w:val="nil"/>
              <w:bottom w:val="nil"/>
              <w:right w:val="nil"/>
            </w:tcBorders>
            <w:vAlign w:val="center"/>
          </w:tcPr>
          <w:p w14:paraId="4B219F04"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52</w:t>
            </w:r>
          </w:p>
        </w:tc>
        <w:tc>
          <w:tcPr>
            <w:tcW w:w="676" w:type="dxa"/>
            <w:tcBorders>
              <w:top w:val="nil"/>
              <w:left w:val="nil"/>
              <w:bottom w:val="nil"/>
              <w:right w:val="nil"/>
            </w:tcBorders>
          </w:tcPr>
          <w:p w14:paraId="63DE3F95" w14:textId="77777777" w:rsidR="004F412E" w:rsidRDefault="004F412E">
            <w:pPr>
              <w:ind w:firstLineChars="0" w:firstLine="0"/>
              <w:jc w:val="center"/>
              <w:rPr>
                <w:rFonts w:ascii="宋体" w:eastAsia="宋体" w:hAnsi="宋体" w:hint="eastAsia"/>
                <w:sz w:val="18"/>
                <w:szCs w:val="18"/>
              </w:rPr>
            </w:pPr>
          </w:p>
        </w:tc>
        <w:tc>
          <w:tcPr>
            <w:tcW w:w="770" w:type="dxa"/>
            <w:tcBorders>
              <w:top w:val="nil"/>
              <w:left w:val="nil"/>
              <w:bottom w:val="nil"/>
              <w:right w:val="nil"/>
            </w:tcBorders>
          </w:tcPr>
          <w:p w14:paraId="603A1CE1"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58</w:t>
            </w:r>
          </w:p>
        </w:tc>
        <w:tc>
          <w:tcPr>
            <w:tcW w:w="713" w:type="dxa"/>
            <w:tcBorders>
              <w:top w:val="nil"/>
              <w:left w:val="nil"/>
              <w:bottom w:val="nil"/>
              <w:right w:val="nil"/>
            </w:tcBorders>
          </w:tcPr>
          <w:p w14:paraId="3072D734"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9</w:t>
            </w:r>
          </w:p>
        </w:tc>
        <w:tc>
          <w:tcPr>
            <w:tcW w:w="757" w:type="dxa"/>
            <w:tcBorders>
              <w:top w:val="nil"/>
              <w:left w:val="nil"/>
              <w:bottom w:val="nil"/>
              <w:right w:val="nil"/>
            </w:tcBorders>
            <w:vAlign w:val="center"/>
          </w:tcPr>
          <w:p w14:paraId="40B6BC35"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28</w:t>
            </w:r>
          </w:p>
        </w:tc>
        <w:tc>
          <w:tcPr>
            <w:tcW w:w="757" w:type="dxa"/>
            <w:tcBorders>
              <w:top w:val="nil"/>
              <w:left w:val="nil"/>
              <w:bottom w:val="nil"/>
              <w:right w:val="nil"/>
            </w:tcBorders>
            <w:vAlign w:val="center"/>
          </w:tcPr>
          <w:p w14:paraId="3D5F20AF"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45</w:t>
            </w:r>
          </w:p>
        </w:tc>
        <w:tc>
          <w:tcPr>
            <w:tcW w:w="757" w:type="dxa"/>
            <w:tcBorders>
              <w:top w:val="nil"/>
              <w:left w:val="nil"/>
              <w:bottom w:val="nil"/>
              <w:right w:val="nil"/>
            </w:tcBorders>
            <w:vAlign w:val="center"/>
          </w:tcPr>
          <w:p w14:paraId="0575B4D7"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52</w:t>
            </w:r>
          </w:p>
        </w:tc>
        <w:tc>
          <w:tcPr>
            <w:tcW w:w="757" w:type="dxa"/>
            <w:tcBorders>
              <w:top w:val="nil"/>
              <w:left w:val="nil"/>
              <w:bottom w:val="nil"/>
              <w:right w:val="nil"/>
            </w:tcBorders>
            <w:vAlign w:val="center"/>
          </w:tcPr>
          <w:p w14:paraId="0FA758BA"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55</w:t>
            </w:r>
          </w:p>
        </w:tc>
        <w:tc>
          <w:tcPr>
            <w:tcW w:w="757" w:type="dxa"/>
            <w:tcBorders>
              <w:top w:val="nil"/>
              <w:left w:val="nil"/>
              <w:bottom w:val="nil"/>
              <w:right w:val="nil"/>
            </w:tcBorders>
            <w:vAlign w:val="center"/>
          </w:tcPr>
          <w:p w14:paraId="22038906"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10</w:t>
            </w:r>
          </w:p>
        </w:tc>
      </w:tr>
      <w:tr w:rsidR="004F412E" w14:paraId="2A3C0483" w14:textId="77777777">
        <w:tc>
          <w:tcPr>
            <w:tcW w:w="1739" w:type="dxa"/>
            <w:tcBorders>
              <w:top w:val="nil"/>
              <w:left w:val="nil"/>
              <w:bottom w:val="nil"/>
              <w:right w:val="nil"/>
            </w:tcBorders>
            <w:vAlign w:val="center"/>
          </w:tcPr>
          <w:p w14:paraId="00CB6A41"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发芽率(%)</w:t>
            </w:r>
          </w:p>
        </w:tc>
        <w:tc>
          <w:tcPr>
            <w:tcW w:w="839" w:type="dxa"/>
            <w:tcBorders>
              <w:top w:val="nil"/>
              <w:left w:val="nil"/>
              <w:bottom w:val="nil"/>
              <w:right w:val="nil"/>
            </w:tcBorders>
            <w:vAlign w:val="center"/>
          </w:tcPr>
          <w:p w14:paraId="16B7DD83"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88</w:t>
            </w:r>
          </w:p>
        </w:tc>
        <w:tc>
          <w:tcPr>
            <w:tcW w:w="676" w:type="dxa"/>
            <w:tcBorders>
              <w:top w:val="nil"/>
              <w:left w:val="nil"/>
              <w:bottom w:val="nil"/>
              <w:right w:val="nil"/>
            </w:tcBorders>
          </w:tcPr>
          <w:p w14:paraId="26B9B047" w14:textId="77777777" w:rsidR="004F412E" w:rsidRDefault="004F412E">
            <w:pPr>
              <w:ind w:firstLineChars="0" w:firstLine="0"/>
              <w:jc w:val="center"/>
              <w:rPr>
                <w:rFonts w:ascii="宋体" w:eastAsia="宋体" w:hAnsi="宋体" w:hint="eastAsia"/>
                <w:sz w:val="18"/>
                <w:szCs w:val="18"/>
              </w:rPr>
            </w:pPr>
          </w:p>
        </w:tc>
        <w:tc>
          <w:tcPr>
            <w:tcW w:w="770" w:type="dxa"/>
            <w:tcBorders>
              <w:top w:val="nil"/>
              <w:left w:val="nil"/>
              <w:bottom w:val="nil"/>
              <w:right w:val="nil"/>
            </w:tcBorders>
          </w:tcPr>
          <w:p w14:paraId="3CAC4FEC"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95</w:t>
            </w:r>
          </w:p>
        </w:tc>
        <w:tc>
          <w:tcPr>
            <w:tcW w:w="713" w:type="dxa"/>
            <w:tcBorders>
              <w:top w:val="nil"/>
              <w:left w:val="nil"/>
              <w:bottom w:val="nil"/>
              <w:right w:val="nil"/>
            </w:tcBorders>
          </w:tcPr>
          <w:p w14:paraId="3982F4CD"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18</w:t>
            </w:r>
          </w:p>
        </w:tc>
        <w:tc>
          <w:tcPr>
            <w:tcW w:w="757" w:type="dxa"/>
            <w:tcBorders>
              <w:top w:val="nil"/>
              <w:left w:val="nil"/>
              <w:bottom w:val="nil"/>
              <w:right w:val="nil"/>
            </w:tcBorders>
            <w:vAlign w:val="center"/>
          </w:tcPr>
          <w:p w14:paraId="6FF63962"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68</w:t>
            </w:r>
          </w:p>
        </w:tc>
        <w:tc>
          <w:tcPr>
            <w:tcW w:w="757" w:type="dxa"/>
            <w:tcBorders>
              <w:top w:val="nil"/>
              <w:left w:val="nil"/>
              <w:bottom w:val="nil"/>
              <w:right w:val="nil"/>
            </w:tcBorders>
            <w:vAlign w:val="center"/>
          </w:tcPr>
          <w:p w14:paraId="5404476E"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84</w:t>
            </w:r>
          </w:p>
        </w:tc>
        <w:tc>
          <w:tcPr>
            <w:tcW w:w="757" w:type="dxa"/>
            <w:tcBorders>
              <w:top w:val="nil"/>
              <w:left w:val="nil"/>
              <w:bottom w:val="nil"/>
              <w:right w:val="nil"/>
            </w:tcBorders>
            <w:vAlign w:val="center"/>
          </w:tcPr>
          <w:p w14:paraId="43353747"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89</w:t>
            </w:r>
          </w:p>
        </w:tc>
        <w:tc>
          <w:tcPr>
            <w:tcW w:w="757" w:type="dxa"/>
            <w:tcBorders>
              <w:top w:val="nil"/>
              <w:left w:val="nil"/>
              <w:bottom w:val="nil"/>
              <w:right w:val="nil"/>
            </w:tcBorders>
            <w:vAlign w:val="center"/>
          </w:tcPr>
          <w:p w14:paraId="6B968358"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92</w:t>
            </w:r>
          </w:p>
        </w:tc>
        <w:tc>
          <w:tcPr>
            <w:tcW w:w="757" w:type="dxa"/>
            <w:tcBorders>
              <w:top w:val="nil"/>
              <w:left w:val="nil"/>
              <w:bottom w:val="nil"/>
              <w:right w:val="nil"/>
            </w:tcBorders>
            <w:vAlign w:val="center"/>
          </w:tcPr>
          <w:p w14:paraId="0839BE09"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10</w:t>
            </w:r>
          </w:p>
        </w:tc>
      </w:tr>
      <w:tr w:rsidR="004F412E" w14:paraId="04BDEBAE" w14:textId="77777777">
        <w:tc>
          <w:tcPr>
            <w:tcW w:w="1739" w:type="dxa"/>
            <w:tcBorders>
              <w:top w:val="nil"/>
              <w:left w:val="nil"/>
              <w:bottom w:val="single" w:sz="12" w:space="0" w:color="auto"/>
              <w:right w:val="nil"/>
            </w:tcBorders>
            <w:vAlign w:val="center"/>
          </w:tcPr>
          <w:p w14:paraId="5B85D3A1"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发芽经历时间（d）</w:t>
            </w:r>
          </w:p>
        </w:tc>
        <w:tc>
          <w:tcPr>
            <w:tcW w:w="839" w:type="dxa"/>
            <w:tcBorders>
              <w:top w:val="nil"/>
              <w:left w:val="nil"/>
              <w:bottom w:val="single" w:sz="12" w:space="0" w:color="auto"/>
              <w:right w:val="nil"/>
            </w:tcBorders>
            <w:vAlign w:val="center"/>
          </w:tcPr>
          <w:p w14:paraId="3814B09D"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30</w:t>
            </w:r>
          </w:p>
        </w:tc>
        <w:tc>
          <w:tcPr>
            <w:tcW w:w="676" w:type="dxa"/>
            <w:tcBorders>
              <w:top w:val="nil"/>
              <w:left w:val="nil"/>
              <w:bottom w:val="single" w:sz="12" w:space="0" w:color="auto"/>
              <w:right w:val="nil"/>
            </w:tcBorders>
          </w:tcPr>
          <w:p w14:paraId="0CC84ACF" w14:textId="77777777" w:rsidR="004F412E" w:rsidRDefault="004F412E">
            <w:pPr>
              <w:ind w:firstLineChars="0" w:firstLine="0"/>
              <w:jc w:val="center"/>
              <w:rPr>
                <w:rFonts w:ascii="宋体" w:eastAsia="宋体" w:hAnsi="宋体" w:hint="eastAsia"/>
                <w:sz w:val="18"/>
                <w:szCs w:val="18"/>
              </w:rPr>
            </w:pPr>
          </w:p>
        </w:tc>
        <w:tc>
          <w:tcPr>
            <w:tcW w:w="770" w:type="dxa"/>
            <w:tcBorders>
              <w:top w:val="nil"/>
              <w:left w:val="nil"/>
              <w:bottom w:val="single" w:sz="12" w:space="0" w:color="auto"/>
              <w:right w:val="nil"/>
            </w:tcBorders>
            <w:vAlign w:val="center"/>
          </w:tcPr>
          <w:p w14:paraId="7AEA9D85"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20</w:t>
            </w:r>
          </w:p>
        </w:tc>
        <w:tc>
          <w:tcPr>
            <w:tcW w:w="713" w:type="dxa"/>
            <w:tcBorders>
              <w:top w:val="nil"/>
              <w:left w:val="nil"/>
              <w:bottom w:val="single" w:sz="12" w:space="0" w:color="auto"/>
              <w:right w:val="nil"/>
            </w:tcBorders>
            <w:vAlign w:val="center"/>
          </w:tcPr>
          <w:p w14:paraId="15A9EB9C"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45</w:t>
            </w:r>
          </w:p>
        </w:tc>
        <w:tc>
          <w:tcPr>
            <w:tcW w:w="757" w:type="dxa"/>
            <w:tcBorders>
              <w:top w:val="nil"/>
              <w:left w:val="nil"/>
              <w:bottom w:val="single" w:sz="12" w:space="0" w:color="auto"/>
              <w:right w:val="nil"/>
            </w:tcBorders>
            <w:vAlign w:val="center"/>
          </w:tcPr>
          <w:p w14:paraId="32C06F8D"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30</w:t>
            </w:r>
          </w:p>
        </w:tc>
        <w:tc>
          <w:tcPr>
            <w:tcW w:w="757" w:type="dxa"/>
            <w:tcBorders>
              <w:top w:val="nil"/>
              <w:left w:val="nil"/>
              <w:bottom w:val="single" w:sz="12" w:space="0" w:color="auto"/>
              <w:right w:val="nil"/>
            </w:tcBorders>
            <w:vAlign w:val="center"/>
          </w:tcPr>
          <w:p w14:paraId="1B8450B0"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30</w:t>
            </w:r>
          </w:p>
        </w:tc>
        <w:tc>
          <w:tcPr>
            <w:tcW w:w="757" w:type="dxa"/>
            <w:tcBorders>
              <w:top w:val="nil"/>
              <w:left w:val="nil"/>
              <w:bottom w:val="single" w:sz="12" w:space="0" w:color="auto"/>
              <w:right w:val="nil"/>
            </w:tcBorders>
            <w:vAlign w:val="center"/>
          </w:tcPr>
          <w:p w14:paraId="3E1828F5"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20</w:t>
            </w:r>
          </w:p>
        </w:tc>
        <w:tc>
          <w:tcPr>
            <w:tcW w:w="757" w:type="dxa"/>
            <w:tcBorders>
              <w:top w:val="nil"/>
              <w:left w:val="nil"/>
              <w:bottom w:val="single" w:sz="12" w:space="0" w:color="auto"/>
              <w:right w:val="nil"/>
            </w:tcBorders>
            <w:vAlign w:val="center"/>
          </w:tcPr>
          <w:p w14:paraId="3FE8219C"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20</w:t>
            </w:r>
          </w:p>
        </w:tc>
        <w:tc>
          <w:tcPr>
            <w:tcW w:w="757" w:type="dxa"/>
            <w:tcBorders>
              <w:top w:val="nil"/>
              <w:left w:val="nil"/>
              <w:bottom w:val="single" w:sz="12" w:space="0" w:color="auto"/>
              <w:right w:val="nil"/>
            </w:tcBorders>
            <w:vAlign w:val="center"/>
          </w:tcPr>
          <w:p w14:paraId="475E3902"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40</w:t>
            </w:r>
          </w:p>
        </w:tc>
      </w:tr>
    </w:tbl>
    <w:p w14:paraId="05071F8C" w14:textId="47F20499" w:rsidR="004F412E" w:rsidRDefault="00FF428B" w:rsidP="00FF428B">
      <w:pPr>
        <w:ind w:firstLine="640"/>
        <w:rPr>
          <w:rFonts w:ascii="仿宋_GB2312" w:hAnsi="宋体" w:hint="eastAsia"/>
          <w:szCs w:val="32"/>
          <w:lang w:val="zh-CN"/>
        </w:rPr>
      </w:pPr>
      <w:r>
        <w:rPr>
          <w:rFonts w:ascii="仿宋_GB2312" w:hAnsi="宋体" w:hint="eastAsia"/>
          <w:szCs w:val="32"/>
          <w:lang w:val="zh-CN"/>
        </w:rPr>
        <w:t>3.不同光照对钩藤种子萌发的影响</w:t>
      </w:r>
    </w:p>
    <w:p w14:paraId="7D51ED36" w14:textId="77777777" w:rsidR="004F412E" w:rsidRDefault="00000000" w:rsidP="00FF428B">
      <w:pPr>
        <w:ind w:firstLine="640"/>
        <w:rPr>
          <w:rFonts w:ascii="仿宋_GB2312" w:hAnsi="宋体" w:hint="eastAsia"/>
          <w:szCs w:val="32"/>
          <w:lang w:val="zh-CN"/>
        </w:rPr>
      </w:pPr>
      <w:r>
        <w:rPr>
          <w:rFonts w:ascii="仿宋_GB2312" w:hAnsi="宋体" w:hint="eastAsia"/>
          <w:szCs w:val="32"/>
          <w:lang w:val="zh-CN"/>
        </w:rPr>
        <w:t>光照处理为在每天光照强度2000LX和1500LX，12 h的条件下发芽；黑暗处理为将置床后的发芽盒用3层黑布包裹，放入小木盒中进行发芽试验。培养温度30℃±3℃，试验结果见表3。结果表明：三个处理的结果较一致(表3)，说明钩藤种子萌发在0-2000LX范围内对光反应不敏感。黑暗（0LX）萌发后，幼苗钩化、纤弱，生长较慢；而在</w:t>
      </w:r>
      <w:r>
        <w:rPr>
          <w:rFonts w:ascii="仿宋_GB2312" w:hAnsi="宋体"/>
          <w:szCs w:val="32"/>
          <w:lang w:val="zh-CN"/>
        </w:rPr>
        <w:t>1500-2000LX条件下萌发的种子叶绿素形成较快，生长良好。</w:t>
      </w:r>
    </w:p>
    <w:p w14:paraId="55325115" w14:textId="77777777" w:rsidR="00B33249" w:rsidRDefault="00B33249">
      <w:pPr>
        <w:ind w:firstLine="360"/>
        <w:jc w:val="center"/>
        <w:rPr>
          <w:rFonts w:ascii="宋体" w:eastAsia="宋体" w:hAnsi="宋体" w:hint="eastAsia"/>
          <w:sz w:val="18"/>
          <w:szCs w:val="18"/>
        </w:rPr>
      </w:pPr>
    </w:p>
    <w:p w14:paraId="4B062907" w14:textId="78B8661D" w:rsidR="004F412E" w:rsidRDefault="00000000">
      <w:pPr>
        <w:ind w:firstLine="360"/>
        <w:jc w:val="center"/>
        <w:rPr>
          <w:rFonts w:ascii="宋体" w:eastAsia="宋体" w:hAnsi="宋体" w:hint="eastAsia"/>
          <w:sz w:val="18"/>
          <w:szCs w:val="18"/>
        </w:rPr>
      </w:pPr>
      <w:r>
        <w:rPr>
          <w:rFonts w:ascii="宋体" w:eastAsia="宋体" w:hAnsi="宋体" w:hint="eastAsia"/>
          <w:sz w:val="18"/>
          <w:szCs w:val="18"/>
        </w:rPr>
        <w:lastRenderedPageBreak/>
        <w:t>表3 不同光照强度对钩藤种子发芽的影响</w:t>
      </w:r>
    </w:p>
    <w:tbl>
      <w:tblPr>
        <w:tblW w:w="0" w:type="auto"/>
        <w:jc w:val="center"/>
        <w:tblBorders>
          <w:top w:val="single" w:sz="12" w:space="0" w:color="auto"/>
          <w:bottom w:val="single" w:sz="12" w:space="0" w:color="auto"/>
        </w:tblBorders>
        <w:tblLook w:val="04A0" w:firstRow="1" w:lastRow="0" w:firstColumn="1" w:lastColumn="0" w:noHBand="0" w:noVBand="1"/>
      </w:tblPr>
      <w:tblGrid>
        <w:gridCol w:w="1448"/>
        <w:gridCol w:w="1713"/>
        <w:gridCol w:w="1655"/>
        <w:gridCol w:w="1655"/>
        <w:gridCol w:w="1655"/>
      </w:tblGrid>
      <w:tr w:rsidR="004F412E" w14:paraId="042A9F9A" w14:textId="77777777">
        <w:trPr>
          <w:jc w:val="center"/>
        </w:trPr>
        <w:tc>
          <w:tcPr>
            <w:tcW w:w="1448" w:type="dxa"/>
            <w:tcBorders>
              <w:top w:val="single" w:sz="12" w:space="0" w:color="auto"/>
              <w:left w:val="nil"/>
              <w:bottom w:val="single" w:sz="4" w:space="0" w:color="auto"/>
              <w:right w:val="nil"/>
            </w:tcBorders>
            <w:vAlign w:val="center"/>
          </w:tcPr>
          <w:p w14:paraId="4660C77C"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光照强度（LX）</w:t>
            </w:r>
          </w:p>
        </w:tc>
        <w:tc>
          <w:tcPr>
            <w:tcW w:w="1713" w:type="dxa"/>
            <w:tcBorders>
              <w:top w:val="single" w:sz="12" w:space="0" w:color="auto"/>
              <w:left w:val="nil"/>
              <w:bottom w:val="single" w:sz="4" w:space="0" w:color="auto"/>
              <w:right w:val="nil"/>
            </w:tcBorders>
            <w:vAlign w:val="center"/>
          </w:tcPr>
          <w:p w14:paraId="09D1C701"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0</w:t>
            </w:r>
          </w:p>
        </w:tc>
        <w:tc>
          <w:tcPr>
            <w:tcW w:w="1655" w:type="dxa"/>
            <w:tcBorders>
              <w:top w:val="single" w:sz="12" w:space="0" w:color="auto"/>
              <w:left w:val="nil"/>
              <w:bottom w:val="single" w:sz="4" w:space="0" w:color="auto"/>
              <w:right w:val="nil"/>
            </w:tcBorders>
            <w:vAlign w:val="center"/>
          </w:tcPr>
          <w:p w14:paraId="4FCC1481"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1500</w:t>
            </w:r>
          </w:p>
        </w:tc>
        <w:tc>
          <w:tcPr>
            <w:tcW w:w="1655" w:type="dxa"/>
            <w:tcBorders>
              <w:top w:val="single" w:sz="12" w:space="0" w:color="auto"/>
              <w:left w:val="nil"/>
              <w:bottom w:val="single" w:sz="4" w:space="0" w:color="auto"/>
              <w:right w:val="nil"/>
            </w:tcBorders>
            <w:vAlign w:val="center"/>
          </w:tcPr>
          <w:p w14:paraId="633B79F8"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2000</w:t>
            </w:r>
          </w:p>
        </w:tc>
        <w:tc>
          <w:tcPr>
            <w:tcW w:w="1655" w:type="dxa"/>
            <w:tcBorders>
              <w:top w:val="single" w:sz="12" w:space="0" w:color="auto"/>
              <w:left w:val="nil"/>
              <w:bottom w:val="single" w:sz="4" w:space="0" w:color="auto"/>
              <w:right w:val="nil"/>
            </w:tcBorders>
          </w:tcPr>
          <w:p w14:paraId="7BC30884"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备注</w:t>
            </w:r>
          </w:p>
        </w:tc>
      </w:tr>
      <w:tr w:rsidR="004F412E" w14:paraId="7E62003B" w14:textId="77777777">
        <w:trPr>
          <w:jc w:val="center"/>
        </w:trPr>
        <w:tc>
          <w:tcPr>
            <w:tcW w:w="1448" w:type="dxa"/>
            <w:tcBorders>
              <w:top w:val="single" w:sz="4" w:space="0" w:color="auto"/>
              <w:left w:val="nil"/>
              <w:bottom w:val="nil"/>
              <w:right w:val="nil"/>
            </w:tcBorders>
            <w:vAlign w:val="center"/>
          </w:tcPr>
          <w:p w14:paraId="72397CEE"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发芽势（%）</w:t>
            </w:r>
          </w:p>
        </w:tc>
        <w:tc>
          <w:tcPr>
            <w:tcW w:w="1713" w:type="dxa"/>
            <w:tcBorders>
              <w:top w:val="single" w:sz="4" w:space="0" w:color="auto"/>
              <w:left w:val="nil"/>
              <w:bottom w:val="nil"/>
              <w:right w:val="nil"/>
            </w:tcBorders>
            <w:vAlign w:val="center"/>
          </w:tcPr>
          <w:p w14:paraId="227ABA30"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51</w:t>
            </w:r>
          </w:p>
        </w:tc>
        <w:tc>
          <w:tcPr>
            <w:tcW w:w="1655" w:type="dxa"/>
            <w:tcBorders>
              <w:top w:val="single" w:sz="4" w:space="0" w:color="auto"/>
              <w:left w:val="nil"/>
              <w:bottom w:val="nil"/>
              <w:right w:val="nil"/>
            </w:tcBorders>
            <w:vAlign w:val="center"/>
          </w:tcPr>
          <w:p w14:paraId="59458380"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54</w:t>
            </w:r>
          </w:p>
        </w:tc>
        <w:tc>
          <w:tcPr>
            <w:tcW w:w="1655" w:type="dxa"/>
            <w:tcBorders>
              <w:top w:val="single" w:sz="4" w:space="0" w:color="auto"/>
              <w:left w:val="nil"/>
              <w:bottom w:val="nil"/>
              <w:right w:val="nil"/>
            </w:tcBorders>
            <w:vAlign w:val="center"/>
          </w:tcPr>
          <w:p w14:paraId="5AD2AAF4"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53</w:t>
            </w:r>
          </w:p>
        </w:tc>
        <w:tc>
          <w:tcPr>
            <w:tcW w:w="1655" w:type="dxa"/>
            <w:tcBorders>
              <w:top w:val="single" w:sz="4" w:space="0" w:color="auto"/>
              <w:left w:val="nil"/>
              <w:bottom w:val="nil"/>
              <w:right w:val="nil"/>
            </w:tcBorders>
          </w:tcPr>
          <w:p w14:paraId="5EF52A3B"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10d</w:t>
            </w:r>
          </w:p>
        </w:tc>
      </w:tr>
      <w:tr w:rsidR="004F412E" w14:paraId="78115C2B" w14:textId="77777777">
        <w:trPr>
          <w:jc w:val="center"/>
        </w:trPr>
        <w:tc>
          <w:tcPr>
            <w:tcW w:w="1448" w:type="dxa"/>
            <w:tcBorders>
              <w:top w:val="nil"/>
              <w:left w:val="nil"/>
              <w:bottom w:val="single" w:sz="12" w:space="0" w:color="auto"/>
              <w:right w:val="nil"/>
            </w:tcBorders>
            <w:vAlign w:val="center"/>
          </w:tcPr>
          <w:p w14:paraId="10AFDFBB"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发芽率（%）</w:t>
            </w:r>
          </w:p>
        </w:tc>
        <w:tc>
          <w:tcPr>
            <w:tcW w:w="1713" w:type="dxa"/>
            <w:tcBorders>
              <w:top w:val="nil"/>
              <w:left w:val="nil"/>
              <w:bottom w:val="single" w:sz="12" w:space="0" w:color="auto"/>
              <w:right w:val="nil"/>
            </w:tcBorders>
            <w:vAlign w:val="center"/>
          </w:tcPr>
          <w:p w14:paraId="4626CBFF"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87</w:t>
            </w:r>
          </w:p>
        </w:tc>
        <w:tc>
          <w:tcPr>
            <w:tcW w:w="1655" w:type="dxa"/>
            <w:tcBorders>
              <w:top w:val="nil"/>
              <w:left w:val="nil"/>
              <w:bottom w:val="single" w:sz="12" w:space="0" w:color="auto"/>
              <w:right w:val="nil"/>
            </w:tcBorders>
            <w:vAlign w:val="center"/>
          </w:tcPr>
          <w:p w14:paraId="596CBEEA"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91</w:t>
            </w:r>
          </w:p>
        </w:tc>
        <w:tc>
          <w:tcPr>
            <w:tcW w:w="1655" w:type="dxa"/>
            <w:tcBorders>
              <w:top w:val="nil"/>
              <w:left w:val="nil"/>
              <w:bottom w:val="single" w:sz="12" w:space="0" w:color="auto"/>
              <w:right w:val="nil"/>
            </w:tcBorders>
            <w:vAlign w:val="center"/>
          </w:tcPr>
          <w:p w14:paraId="3BE50993"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89</w:t>
            </w:r>
          </w:p>
        </w:tc>
        <w:tc>
          <w:tcPr>
            <w:tcW w:w="1655" w:type="dxa"/>
            <w:tcBorders>
              <w:top w:val="nil"/>
              <w:left w:val="nil"/>
              <w:bottom w:val="single" w:sz="12" w:space="0" w:color="auto"/>
              <w:right w:val="nil"/>
            </w:tcBorders>
          </w:tcPr>
          <w:p w14:paraId="5CAD1BD3" w14:textId="77777777" w:rsidR="004F412E" w:rsidRDefault="004F412E">
            <w:pPr>
              <w:ind w:firstLineChars="0" w:firstLine="0"/>
              <w:jc w:val="center"/>
              <w:rPr>
                <w:rFonts w:ascii="宋体" w:eastAsia="宋体" w:hAnsi="宋体" w:hint="eastAsia"/>
                <w:sz w:val="18"/>
                <w:szCs w:val="18"/>
              </w:rPr>
            </w:pPr>
          </w:p>
        </w:tc>
      </w:tr>
    </w:tbl>
    <w:p w14:paraId="4D09DAC0" w14:textId="0A1D6577" w:rsidR="004F412E" w:rsidRPr="00B33249" w:rsidRDefault="00B33249" w:rsidP="00B33249">
      <w:pPr>
        <w:autoSpaceDE w:val="0"/>
        <w:autoSpaceDN w:val="0"/>
        <w:adjustRightInd w:val="0"/>
        <w:spacing w:line="560" w:lineRule="exact"/>
        <w:ind w:firstLine="640"/>
        <w:rPr>
          <w:rFonts w:ascii="仿宋_GB2312" w:hAnsi="宋体" w:hint="eastAsia"/>
          <w:szCs w:val="32"/>
          <w:lang w:val="zh-CN"/>
        </w:rPr>
      </w:pPr>
      <w:r w:rsidRPr="00B33249">
        <w:rPr>
          <w:rFonts w:ascii="仿宋_GB2312" w:hAnsi="宋体" w:hint="eastAsia"/>
          <w:szCs w:val="32"/>
          <w:lang w:val="zh-CN"/>
        </w:rPr>
        <w:t>4.不同浓度的赤霉酸对钩藤种子萌发的影响</w:t>
      </w:r>
    </w:p>
    <w:p w14:paraId="0E19DEC8" w14:textId="77777777" w:rsidR="004F412E" w:rsidRDefault="00000000" w:rsidP="00FF428B">
      <w:pPr>
        <w:ind w:firstLine="640"/>
        <w:rPr>
          <w:rFonts w:ascii="仿宋_GB2312" w:hAnsi="宋体" w:hint="eastAsia"/>
          <w:szCs w:val="32"/>
          <w:lang w:val="zh-CN"/>
        </w:rPr>
      </w:pPr>
      <w:r>
        <w:rPr>
          <w:rFonts w:ascii="仿宋_GB2312" w:hAnsi="宋体" w:hint="eastAsia"/>
          <w:szCs w:val="32"/>
          <w:lang w:val="zh-CN"/>
        </w:rPr>
        <w:t>用浓度梯度分别为50mg/kg、100mg/kg、150mg/kg、200mg/kg、250mg/kg共4个浓度的赤霉酸浸种6h，18-25℃变温的条件下进行发芽测定，培养时间45 d。在开始发芽后10d计算发芽势，试验结果见表4。结果表明：试验表明，随着赤霉酸浓度的增大，钩藤种子发芽率呈先升后降的趋势，以</w:t>
      </w:r>
      <w:r>
        <w:rPr>
          <w:rFonts w:ascii="仿宋_GB2312" w:hAnsi="宋体"/>
          <w:szCs w:val="32"/>
          <w:lang w:val="zh-CN"/>
        </w:rPr>
        <w:t>150mg/kg的最高，发芽率高达95%；</w:t>
      </w:r>
      <w:r>
        <w:rPr>
          <w:rFonts w:ascii="仿宋_GB2312" w:hAnsi="宋体" w:hint="eastAsia"/>
          <w:szCs w:val="32"/>
          <w:lang w:val="zh-CN"/>
        </w:rPr>
        <w:t>其次为200mg/kg的。发芽率为92%；高浓度的处理加快种子发芽时间。</w:t>
      </w:r>
    </w:p>
    <w:p w14:paraId="118448C5" w14:textId="77777777" w:rsidR="004F412E" w:rsidRDefault="00000000">
      <w:pPr>
        <w:ind w:firstLine="360"/>
        <w:jc w:val="center"/>
        <w:rPr>
          <w:rFonts w:ascii="宋体" w:eastAsia="宋体" w:hAnsi="宋体" w:hint="eastAsia"/>
          <w:sz w:val="18"/>
          <w:szCs w:val="18"/>
        </w:rPr>
      </w:pPr>
      <w:r>
        <w:rPr>
          <w:rFonts w:ascii="宋体" w:eastAsia="宋体" w:hAnsi="宋体" w:hint="eastAsia"/>
          <w:sz w:val="18"/>
          <w:szCs w:val="18"/>
        </w:rPr>
        <w:t>表4 不同赤霉酸浓度对钩藤种子发芽的影响</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960"/>
        <w:gridCol w:w="1125"/>
        <w:gridCol w:w="992"/>
        <w:gridCol w:w="567"/>
        <w:gridCol w:w="1560"/>
        <w:gridCol w:w="1701"/>
      </w:tblGrid>
      <w:tr w:rsidR="004F412E" w14:paraId="7B7ED8AD" w14:textId="77777777">
        <w:trPr>
          <w:jc w:val="center"/>
        </w:trPr>
        <w:tc>
          <w:tcPr>
            <w:tcW w:w="1960" w:type="dxa"/>
            <w:tcBorders>
              <w:top w:val="single" w:sz="12" w:space="0" w:color="auto"/>
              <w:left w:val="nil"/>
              <w:bottom w:val="single" w:sz="4" w:space="0" w:color="auto"/>
              <w:right w:val="nil"/>
            </w:tcBorders>
            <w:vAlign w:val="center"/>
          </w:tcPr>
          <w:p w14:paraId="1AE86431"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赤霉酸浓度mg/kg</w:t>
            </w:r>
          </w:p>
        </w:tc>
        <w:tc>
          <w:tcPr>
            <w:tcW w:w="1125" w:type="dxa"/>
            <w:tcBorders>
              <w:top w:val="single" w:sz="12" w:space="0" w:color="auto"/>
              <w:left w:val="nil"/>
              <w:bottom w:val="single" w:sz="4" w:space="0" w:color="auto"/>
              <w:right w:val="nil"/>
            </w:tcBorders>
            <w:vAlign w:val="center"/>
          </w:tcPr>
          <w:p w14:paraId="60586F3C"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50</w:t>
            </w:r>
          </w:p>
        </w:tc>
        <w:tc>
          <w:tcPr>
            <w:tcW w:w="992" w:type="dxa"/>
            <w:tcBorders>
              <w:top w:val="single" w:sz="12" w:space="0" w:color="auto"/>
              <w:left w:val="nil"/>
              <w:bottom w:val="single" w:sz="4" w:space="0" w:color="auto"/>
              <w:right w:val="nil"/>
            </w:tcBorders>
            <w:vAlign w:val="center"/>
          </w:tcPr>
          <w:p w14:paraId="3BB03CEB"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100</w:t>
            </w:r>
          </w:p>
        </w:tc>
        <w:tc>
          <w:tcPr>
            <w:tcW w:w="567" w:type="dxa"/>
            <w:tcBorders>
              <w:top w:val="single" w:sz="12" w:space="0" w:color="auto"/>
              <w:left w:val="nil"/>
              <w:bottom w:val="single" w:sz="4" w:space="0" w:color="auto"/>
              <w:right w:val="nil"/>
            </w:tcBorders>
            <w:vAlign w:val="center"/>
          </w:tcPr>
          <w:p w14:paraId="731DE154"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150</w:t>
            </w:r>
          </w:p>
        </w:tc>
        <w:tc>
          <w:tcPr>
            <w:tcW w:w="1560" w:type="dxa"/>
            <w:tcBorders>
              <w:top w:val="single" w:sz="12" w:space="0" w:color="auto"/>
              <w:left w:val="nil"/>
              <w:bottom w:val="single" w:sz="4" w:space="0" w:color="auto"/>
              <w:right w:val="nil"/>
            </w:tcBorders>
            <w:vAlign w:val="center"/>
          </w:tcPr>
          <w:p w14:paraId="5C5A4B2D"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200</w:t>
            </w:r>
          </w:p>
        </w:tc>
        <w:tc>
          <w:tcPr>
            <w:tcW w:w="1701" w:type="dxa"/>
            <w:tcBorders>
              <w:top w:val="single" w:sz="12" w:space="0" w:color="auto"/>
              <w:left w:val="nil"/>
              <w:bottom w:val="single" w:sz="4" w:space="0" w:color="auto"/>
              <w:right w:val="nil"/>
            </w:tcBorders>
            <w:vAlign w:val="center"/>
          </w:tcPr>
          <w:p w14:paraId="0F02DA56"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250</w:t>
            </w:r>
          </w:p>
        </w:tc>
      </w:tr>
      <w:tr w:rsidR="004F412E" w14:paraId="4AF10E3E" w14:textId="77777777">
        <w:trPr>
          <w:jc w:val="center"/>
        </w:trPr>
        <w:tc>
          <w:tcPr>
            <w:tcW w:w="1960" w:type="dxa"/>
            <w:tcBorders>
              <w:top w:val="nil"/>
              <w:left w:val="nil"/>
              <w:bottom w:val="nil"/>
              <w:right w:val="nil"/>
            </w:tcBorders>
            <w:vAlign w:val="center"/>
          </w:tcPr>
          <w:p w14:paraId="4C4B50F8"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发芽势(%)</w:t>
            </w:r>
          </w:p>
        </w:tc>
        <w:tc>
          <w:tcPr>
            <w:tcW w:w="1125" w:type="dxa"/>
            <w:tcBorders>
              <w:top w:val="nil"/>
              <w:left w:val="nil"/>
              <w:bottom w:val="nil"/>
              <w:right w:val="nil"/>
            </w:tcBorders>
            <w:vAlign w:val="center"/>
          </w:tcPr>
          <w:p w14:paraId="006E1822"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28</w:t>
            </w:r>
          </w:p>
        </w:tc>
        <w:tc>
          <w:tcPr>
            <w:tcW w:w="992" w:type="dxa"/>
            <w:tcBorders>
              <w:top w:val="nil"/>
              <w:left w:val="nil"/>
              <w:bottom w:val="nil"/>
              <w:right w:val="nil"/>
            </w:tcBorders>
            <w:vAlign w:val="center"/>
          </w:tcPr>
          <w:p w14:paraId="1AA08242"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45</w:t>
            </w:r>
          </w:p>
        </w:tc>
        <w:tc>
          <w:tcPr>
            <w:tcW w:w="567" w:type="dxa"/>
            <w:tcBorders>
              <w:top w:val="nil"/>
              <w:left w:val="nil"/>
              <w:bottom w:val="nil"/>
              <w:right w:val="nil"/>
            </w:tcBorders>
            <w:vAlign w:val="center"/>
          </w:tcPr>
          <w:p w14:paraId="1AB1D068"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58</w:t>
            </w:r>
          </w:p>
        </w:tc>
        <w:tc>
          <w:tcPr>
            <w:tcW w:w="1560" w:type="dxa"/>
            <w:tcBorders>
              <w:top w:val="nil"/>
              <w:left w:val="nil"/>
              <w:bottom w:val="nil"/>
              <w:right w:val="nil"/>
            </w:tcBorders>
            <w:vAlign w:val="center"/>
          </w:tcPr>
          <w:p w14:paraId="3294EE20"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55</w:t>
            </w:r>
          </w:p>
        </w:tc>
        <w:tc>
          <w:tcPr>
            <w:tcW w:w="1701" w:type="dxa"/>
            <w:tcBorders>
              <w:top w:val="nil"/>
              <w:left w:val="nil"/>
              <w:bottom w:val="nil"/>
              <w:right w:val="nil"/>
            </w:tcBorders>
          </w:tcPr>
          <w:p w14:paraId="168016A2"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52</w:t>
            </w:r>
          </w:p>
        </w:tc>
      </w:tr>
      <w:tr w:rsidR="004F412E" w14:paraId="253EFDF6" w14:textId="77777777">
        <w:trPr>
          <w:jc w:val="center"/>
        </w:trPr>
        <w:tc>
          <w:tcPr>
            <w:tcW w:w="1960" w:type="dxa"/>
            <w:tcBorders>
              <w:top w:val="nil"/>
              <w:left w:val="nil"/>
              <w:bottom w:val="nil"/>
              <w:right w:val="nil"/>
            </w:tcBorders>
            <w:vAlign w:val="center"/>
          </w:tcPr>
          <w:p w14:paraId="1CBC4A5D"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发芽率(%)</w:t>
            </w:r>
          </w:p>
        </w:tc>
        <w:tc>
          <w:tcPr>
            <w:tcW w:w="1125" w:type="dxa"/>
            <w:tcBorders>
              <w:top w:val="nil"/>
              <w:left w:val="nil"/>
              <w:bottom w:val="nil"/>
              <w:right w:val="nil"/>
            </w:tcBorders>
            <w:vAlign w:val="center"/>
          </w:tcPr>
          <w:p w14:paraId="7E7D87E1"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68</w:t>
            </w:r>
          </w:p>
        </w:tc>
        <w:tc>
          <w:tcPr>
            <w:tcW w:w="992" w:type="dxa"/>
            <w:tcBorders>
              <w:top w:val="nil"/>
              <w:left w:val="nil"/>
              <w:bottom w:val="nil"/>
              <w:right w:val="nil"/>
            </w:tcBorders>
            <w:vAlign w:val="center"/>
          </w:tcPr>
          <w:p w14:paraId="30D2C87D"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84</w:t>
            </w:r>
          </w:p>
        </w:tc>
        <w:tc>
          <w:tcPr>
            <w:tcW w:w="567" w:type="dxa"/>
            <w:tcBorders>
              <w:top w:val="nil"/>
              <w:left w:val="nil"/>
              <w:bottom w:val="nil"/>
              <w:right w:val="nil"/>
            </w:tcBorders>
            <w:vAlign w:val="center"/>
          </w:tcPr>
          <w:p w14:paraId="21621FBB"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95</w:t>
            </w:r>
          </w:p>
        </w:tc>
        <w:tc>
          <w:tcPr>
            <w:tcW w:w="1560" w:type="dxa"/>
            <w:tcBorders>
              <w:top w:val="nil"/>
              <w:left w:val="nil"/>
              <w:bottom w:val="nil"/>
              <w:right w:val="nil"/>
            </w:tcBorders>
            <w:vAlign w:val="center"/>
          </w:tcPr>
          <w:p w14:paraId="4C6804E0"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92</w:t>
            </w:r>
          </w:p>
        </w:tc>
        <w:tc>
          <w:tcPr>
            <w:tcW w:w="1701" w:type="dxa"/>
            <w:tcBorders>
              <w:top w:val="nil"/>
              <w:left w:val="nil"/>
              <w:bottom w:val="nil"/>
              <w:right w:val="nil"/>
            </w:tcBorders>
          </w:tcPr>
          <w:p w14:paraId="4D8FEB34"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89</w:t>
            </w:r>
          </w:p>
        </w:tc>
      </w:tr>
      <w:tr w:rsidR="004F412E" w14:paraId="170B2DAB" w14:textId="77777777">
        <w:trPr>
          <w:jc w:val="center"/>
        </w:trPr>
        <w:tc>
          <w:tcPr>
            <w:tcW w:w="1960" w:type="dxa"/>
            <w:tcBorders>
              <w:top w:val="nil"/>
              <w:left w:val="nil"/>
              <w:bottom w:val="single" w:sz="12" w:space="0" w:color="auto"/>
              <w:right w:val="nil"/>
            </w:tcBorders>
            <w:vAlign w:val="center"/>
          </w:tcPr>
          <w:p w14:paraId="7CA1988F"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发芽经历时间（d）</w:t>
            </w:r>
          </w:p>
        </w:tc>
        <w:tc>
          <w:tcPr>
            <w:tcW w:w="1125" w:type="dxa"/>
            <w:tcBorders>
              <w:top w:val="nil"/>
              <w:left w:val="nil"/>
              <w:bottom w:val="single" w:sz="12" w:space="0" w:color="auto"/>
              <w:right w:val="nil"/>
            </w:tcBorders>
            <w:vAlign w:val="center"/>
          </w:tcPr>
          <w:p w14:paraId="5E66B01E"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30</w:t>
            </w:r>
          </w:p>
        </w:tc>
        <w:tc>
          <w:tcPr>
            <w:tcW w:w="992" w:type="dxa"/>
            <w:tcBorders>
              <w:top w:val="nil"/>
              <w:left w:val="nil"/>
              <w:bottom w:val="single" w:sz="12" w:space="0" w:color="auto"/>
              <w:right w:val="nil"/>
            </w:tcBorders>
            <w:vAlign w:val="center"/>
          </w:tcPr>
          <w:p w14:paraId="247F46A4"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24</w:t>
            </w:r>
          </w:p>
        </w:tc>
        <w:tc>
          <w:tcPr>
            <w:tcW w:w="567" w:type="dxa"/>
            <w:tcBorders>
              <w:top w:val="nil"/>
              <w:left w:val="nil"/>
              <w:bottom w:val="single" w:sz="12" w:space="0" w:color="auto"/>
              <w:right w:val="nil"/>
            </w:tcBorders>
            <w:vAlign w:val="center"/>
          </w:tcPr>
          <w:p w14:paraId="41C5CFF4"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20</w:t>
            </w:r>
          </w:p>
        </w:tc>
        <w:tc>
          <w:tcPr>
            <w:tcW w:w="1560" w:type="dxa"/>
            <w:tcBorders>
              <w:top w:val="nil"/>
              <w:left w:val="nil"/>
              <w:bottom w:val="single" w:sz="12" w:space="0" w:color="auto"/>
              <w:right w:val="nil"/>
            </w:tcBorders>
            <w:vAlign w:val="center"/>
          </w:tcPr>
          <w:p w14:paraId="5CC79D54"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20</w:t>
            </w:r>
          </w:p>
        </w:tc>
        <w:tc>
          <w:tcPr>
            <w:tcW w:w="1701" w:type="dxa"/>
            <w:tcBorders>
              <w:top w:val="nil"/>
              <w:left w:val="nil"/>
              <w:bottom w:val="single" w:sz="12" w:space="0" w:color="auto"/>
              <w:right w:val="nil"/>
            </w:tcBorders>
            <w:vAlign w:val="center"/>
          </w:tcPr>
          <w:p w14:paraId="70EB899D" w14:textId="77777777" w:rsidR="004F412E" w:rsidRDefault="00000000">
            <w:pPr>
              <w:ind w:firstLineChars="0" w:firstLine="0"/>
              <w:jc w:val="center"/>
              <w:rPr>
                <w:rFonts w:ascii="宋体" w:eastAsia="宋体" w:hAnsi="宋体" w:hint="eastAsia"/>
                <w:sz w:val="18"/>
                <w:szCs w:val="18"/>
              </w:rPr>
            </w:pPr>
            <w:r>
              <w:rPr>
                <w:rFonts w:ascii="宋体" w:eastAsia="宋体" w:hAnsi="宋体" w:hint="eastAsia"/>
                <w:sz w:val="18"/>
                <w:szCs w:val="18"/>
              </w:rPr>
              <w:t>16</w:t>
            </w:r>
          </w:p>
        </w:tc>
      </w:tr>
    </w:tbl>
    <w:p w14:paraId="22E3C6AD" w14:textId="77777777" w:rsidR="004F412E" w:rsidRDefault="00000000" w:rsidP="00FF428B">
      <w:pPr>
        <w:autoSpaceDE w:val="0"/>
        <w:autoSpaceDN w:val="0"/>
        <w:adjustRightInd w:val="0"/>
        <w:ind w:firstLineChars="150" w:firstLine="480"/>
        <w:rPr>
          <w:rFonts w:ascii="仿宋_GB2312" w:hAnsi="宋体" w:hint="eastAsia"/>
          <w:szCs w:val="32"/>
          <w:lang w:val="zh-CN"/>
        </w:rPr>
      </w:pPr>
      <w:r>
        <w:rPr>
          <w:rFonts w:ascii="仿宋_GB2312" w:hAnsi="宋体" w:hint="eastAsia"/>
          <w:szCs w:val="32"/>
          <w:lang w:val="zh-CN"/>
        </w:rPr>
        <w:t>因此，综合以上试验结果分析，得出以下结论：（1）钩藤种子的萌发受温度影响较大，18-25℃温暖的温度较为合适。（2）光照对种子萌发有一定的影响，在1500-2000LX条件下萌发的种子快、发芽率较高。在短时间内的较强的光照不敏感，光照不敏感，但其在萌发过程中需要的时间较长，（3）用不同浓度的赤霉素浸种对种子萌发有促进作用，随着赤霉酸浓度的增大，钩藤种子发芽率呈先升后降的趋势，以150mg/kg的最高，发芽率高达95%；其次为200mg/kg的。发芽率为92%；高浓度的处理加快种子发芽时间。（4）在生产上，于11月下旬至2月下旬进行播种为宜。</w:t>
      </w:r>
    </w:p>
    <w:p w14:paraId="17498E40" w14:textId="77777777" w:rsidR="004F412E" w:rsidRDefault="00000000" w:rsidP="00FF428B">
      <w:pPr>
        <w:autoSpaceDE w:val="0"/>
        <w:autoSpaceDN w:val="0"/>
        <w:adjustRightInd w:val="0"/>
        <w:ind w:firstLineChars="150" w:firstLine="480"/>
      </w:pPr>
      <w:r>
        <w:rPr>
          <w:rFonts w:ascii="仿宋_GB2312" w:hAnsi="宋体" w:hint="eastAsia"/>
          <w:szCs w:val="32"/>
          <w:lang w:val="zh-CN"/>
        </w:rPr>
        <w:lastRenderedPageBreak/>
        <w:t>因此，结合以上研究及育苗的实际操作，明确了</w:t>
      </w:r>
      <w:r>
        <w:rPr>
          <w:rFonts w:hint="eastAsia"/>
        </w:rPr>
        <w:t>播种前，应用经高温消毒好的纱布将种子包好，放入</w:t>
      </w:r>
      <w:r>
        <w:rPr>
          <w:rFonts w:hint="eastAsia"/>
        </w:rPr>
        <w:t>40</w:t>
      </w:r>
      <w:r>
        <w:rPr>
          <w:rFonts w:hint="eastAsia"/>
          <w:vertAlign w:val="subscript"/>
        </w:rPr>
        <w:t xml:space="preserve"> </w:t>
      </w:r>
      <w:r>
        <w:rPr>
          <w:rFonts w:hint="eastAsia"/>
        </w:rPr>
        <w:t>℃的</w:t>
      </w:r>
      <w:r>
        <w:rPr>
          <w:rFonts w:hint="eastAsia"/>
        </w:rPr>
        <w:t>150</w:t>
      </w:r>
      <w:r>
        <w:rPr>
          <w:rFonts w:hint="eastAsia"/>
          <w:vertAlign w:val="subscript"/>
        </w:rPr>
        <w:t xml:space="preserve"> </w:t>
      </w:r>
      <w:r>
        <w:rPr>
          <w:rFonts w:hint="eastAsia"/>
        </w:rPr>
        <w:t>mg/kg</w:t>
      </w:r>
      <w:r>
        <w:rPr>
          <w:rFonts w:hint="eastAsia"/>
        </w:rPr>
        <w:t>的赤霉酸水溶液中浸泡</w:t>
      </w:r>
      <w:r>
        <w:rPr>
          <w:rFonts w:hint="eastAsia"/>
        </w:rPr>
        <w:t>6</w:t>
      </w:r>
      <w:r>
        <w:rPr>
          <w:rFonts w:hint="eastAsia"/>
          <w:vertAlign w:val="subscript"/>
        </w:rPr>
        <w:t xml:space="preserve"> </w:t>
      </w:r>
      <w:r>
        <w:rPr>
          <w:rFonts w:hint="eastAsia"/>
        </w:rPr>
        <w:t>h</w:t>
      </w:r>
      <w:r>
        <w:rPr>
          <w:rFonts w:hint="eastAsia"/>
        </w:rPr>
        <w:t>，让种子充分吸收水分后取出，与草木灰拌匀，再用高温消过毒的河砂拌匀。播种时间宜为</w:t>
      </w:r>
      <w:r>
        <w:rPr>
          <w:rFonts w:hint="eastAsia"/>
        </w:rPr>
        <w:t>11</w:t>
      </w:r>
      <w:r>
        <w:rPr>
          <w:rFonts w:hint="eastAsia"/>
        </w:rPr>
        <w:t>月下旬至来年</w:t>
      </w:r>
      <w:r>
        <w:rPr>
          <w:rFonts w:hint="eastAsia"/>
        </w:rPr>
        <w:t>3</w:t>
      </w:r>
      <w:r>
        <w:rPr>
          <w:rFonts w:hint="eastAsia"/>
        </w:rPr>
        <w:t>月，播种温度为</w:t>
      </w:r>
      <w:r>
        <w:rPr>
          <w:rFonts w:hint="eastAsia"/>
        </w:rPr>
        <w:t>18</w:t>
      </w:r>
      <w:r>
        <w:rPr>
          <w:rFonts w:hint="eastAsia"/>
          <w:vertAlign w:val="subscript"/>
        </w:rPr>
        <w:t xml:space="preserve"> </w:t>
      </w:r>
      <w:r>
        <w:rPr>
          <w:rFonts w:hint="eastAsia"/>
        </w:rPr>
        <w:t>℃～</w:t>
      </w:r>
      <w:r>
        <w:rPr>
          <w:rFonts w:hint="eastAsia"/>
        </w:rPr>
        <w:t>25</w:t>
      </w:r>
      <w:r>
        <w:rPr>
          <w:rFonts w:hint="eastAsia"/>
          <w:vertAlign w:val="subscript"/>
        </w:rPr>
        <w:t xml:space="preserve"> </w:t>
      </w:r>
      <w:r>
        <w:rPr>
          <w:rFonts w:hint="eastAsia"/>
        </w:rPr>
        <w:t>℃。播种方法为：将处理好的种子均匀的撒在畦面上，然后用竹扫帚轻扫，使细小的种子落入土壤缝隙中，每</w:t>
      </w:r>
      <w:r>
        <w:rPr>
          <w:rFonts w:hint="eastAsia"/>
        </w:rPr>
        <w:t>667 m2</w:t>
      </w:r>
      <w:r>
        <w:rPr>
          <w:rFonts w:hint="eastAsia"/>
        </w:rPr>
        <w:t>播种量</w:t>
      </w:r>
      <w:r>
        <w:rPr>
          <w:rFonts w:hint="eastAsia"/>
        </w:rPr>
        <w:t>3 kg</w:t>
      </w:r>
      <w:r>
        <w:rPr>
          <w:rFonts w:hint="eastAsia"/>
        </w:rPr>
        <w:t>；播种后宜选择遮阳率</w:t>
      </w:r>
      <w:r>
        <w:rPr>
          <w:rFonts w:hint="eastAsia"/>
        </w:rPr>
        <w:t>60</w:t>
      </w:r>
      <w:r>
        <w:rPr>
          <w:rFonts w:hint="eastAsia"/>
        </w:rPr>
        <w:t>％的遮阳网进行遮阳。移栽时间为播种后</w:t>
      </w:r>
      <w:r>
        <w:rPr>
          <w:rFonts w:hint="eastAsia"/>
        </w:rPr>
        <w:t>30 d</w:t>
      </w:r>
      <w:r>
        <w:rPr>
          <w:rFonts w:hint="eastAsia"/>
        </w:rPr>
        <w:t>，当芽苗长出</w:t>
      </w:r>
      <w:r>
        <w:rPr>
          <w:rFonts w:hint="eastAsia"/>
        </w:rPr>
        <w:t>4</w:t>
      </w:r>
      <w:r>
        <w:rPr>
          <w:rFonts w:hint="eastAsia"/>
        </w:rPr>
        <w:t>～</w:t>
      </w:r>
      <w:r>
        <w:rPr>
          <w:rFonts w:hint="eastAsia"/>
        </w:rPr>
        <w:t>5</w:t>
      </w:r>
      <w:r>
        <w:rPr>
          <w:rFonts w:hint="eastAsia"/>
        </w:rPr>
        <w:t>片营养叶时，将长至</w:t>
      </w:r>
      <w:r>
        <w:rPr>
          <w:rFonts w:hint="eastAsia"/>
        </w:rPr>
        <w:t>4</w:t>
      </w:r>
      <w:r>
        <w:rPr>
          <w:rFonts w:hint="eastAsia"/>
        </w:rPr>
        <w:t>～</w:t>
      </w:r>
      <w:r>
        <w:rPr>
          <w:rFonts w:hint="eastAsia"/>
        </w:rPr>
        <w:t>5</w:t>
      </w:r>
      <w:r>
        <w:rPr>
          <w:rFonts w:hint="eastAsia"/>
        </w:rPr>
        <w:t>片营养叶的实生苗取出，按株距</w:t>
      </w:r>
      <w:r>
        <w:rPr>
          <w:rFonts w:hint="eastAsia"/>
        </w:rPr>
        <w:t>8.0 cm</w:t>
      </w:r>
      <w:r>
        <w:rPr>
          <w:rFonts w:hint="eastAsia"/>
        </w:rPr>
        <w:t>～</w:t>
      </w:r>
      <w:r>
        <w:rPr>
          <w:rFonts w:hint="eastAsia"/>
        </w:rPr>
        <w:t>10.0 cm</w:t>
      </w:r>
      <w:r>
        <w:rPr>
          <w:rFonts w:hint="eastAsia"/>
        </w:rPr>
        <w:t>，行距</w:t>
      </w:r>
      <w:r>
        <w:rPr>
          <w:rFonts w:hint="eastAsia"/>
        </w:rPr>
        <w:t>8.0 cm</w:t>
      </w:r>
      <w:r>
        <w:rPr>
          <w:rFonts w:hint="eastAsia"/>
        </w:rPr>
        <w:t>～</w:t>
      </w:r>
      <w:r>
        <w:rPr>
          <w:rFonts w:hint="eastAsia"/>
        </w:rPr>
        <w:t>10.0 cm</w:t>
      </w:r>
      <w:r>
        <w:rPr>
          <w:rFonts w:hint="eastAsia"/>
        </w:rPr>
        <w:t>，深</w:t>
      </w:r>
      <w:r>
        <w:rPr>
          <w:rFonts w:hint="eastAsia"/>
        </w:rPr>
        <w:t>4.0 cm</w:t>
      </w:r>
      <w:r>
        <w:rPr>
          <w:rFonts w:hint="eastAsia"/>
        </w:rPr>
        <w:t>～</w:t>
      </w:r>
      <w:r>
        <w:rPr>
          <w:rFonts w:hint="eastAsia"/>
        </w:rPr>
        <w:t>5.0 cm</w:t>
      </w:r>
      <w:r>
        <w:rPr>
          <w:rFonts w:hint="eastAsia"/>
        </w:rPr>
        <w:t>的规格在垄面上开种植穴，移栽于种植穴中，并浇透定根水。此外，为了逐步锻炼幼苗的抗逆性，促进其从“弱光适应”向“强光适应”过渡，最终实现健壮生长，还需进行炼苗处理，即当苗高＞</w:t>
      </w:r>
      <w:r>
        <w:rPr>
          <w:rFonts w:hAnsi="宋体" w:hint="eastAsia"/>
        </w:rPr>
        <w:t>45</w:t>
      </w:r>
      <w:r>
        <w:rPr>
          <w:rFonts w:hAnsi="宋体" w:hint="eastAsia"/>
          <w:vertAlign w:val="subscript"/>
        </w:rPr>
        <w:t xml:space="preserve"> </w:t>
      </w:r>
      <w:r>
        <w:rPr>
          <w:rFonts w:hAnsi="宋体" w:hint="eastAsia"/>
        </w:rPr>
        <w:t>cm</w:t>
      </w:r>
      <w:r>
        <w:rPr>
          <w:rFonts w:hint="eastAsia"/>
        </w:rPr>
        <w:t>时，早晚掀开遮阳网，使其在自然光下生长</w:t>
      </w:r>
      <w:r>
        <w:rPr>
          <w:rFonts w:hAnsi="宋体" w:hint="eastAsia"/>
        </w:rPr>
        <w:t>。</w:t>
      </w:r>
    </w:p>
    <w:p w14:paraId="7BE2F7F3" w14:textId="77777777" w:rsidR="004F412E" w:rsidRDefault="00000000" w:rsidP="00FF428B">
      <w:pPr>
        <w:ind w:firstLine="640"/>
      </w:pPr>
      <w:r>
        <w:rPr>
          <w:noProof/>
        </w:rPr>
        <w:drawing>
          <wp:inline distT="0" distB="0" distL="0" distR="0" wp14:anchorId="3C357B0E" wp14:editId="6ABE8F57">
            <wp:extent cx="2488565" cy="5367655"/>
            <wp:effectExtent l="8255" t="0" r="0" b="0"/>
            <wp:docPr id="14274627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62725"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6200000">
                      <a:off x="0" y="0"/>
                      <a:ext cx="2498693" cy="5389261"/>
                    </a:xfrm>
                    <a:prstGeom prst="rect">
                      <a:avLst/>
                    </a:prstGeom>
                    <a:noFill/>
                    <a:ln>
                      <a:noFill/>
                    </a:ln>
                  </pic:spPr>
                </pic:pic>
              </a:graphicData>
            </a:graphic>
          </wp:inline>
        </w:drawing>
      </w:r>
    </w:p>
    <w:p w14:paraId="4D4F2927" w14:textId="77777777" w:rsidR="004F412E" w:rsidRDefault="00000000" w:rsidP="00FF428B">
      <w:pPr>
        <w:ind w:firstLine="640"/>
        <w:jc w:val="center"/>
      </w:pPr>
      <w:r>
        <w:rPr>
          <w:rFonts w:hint="eastAsia"/>
        </w:rPr>
        <w:t>钩藤实生苗移栽前</w:t>
      </w:r>
    </w:p>
    <w:p w14:paraId="70EA8B04" w14:textId="77777777" w:rsidR="004F412E" w:rsidRDefault="00000000" w:rsidP="00FF428B">
      <w:pPr>
        <w:ind w:firstLine="640"/>
        <w:jc w:val="center"/>
      </w:pPr>
      <w:r>
        <w:rPr>
          <w:noProof/>
        </w:rPr>
        <w:lastRenderedPageBreak/>
        <w:drawing>
          <wp:inline distT="0" distB="0" distL="0" distR="0" wp14:anchorId="2B8DF2D8" wp14:editId="7FAA1411">
            <wp:extent cx="5688330" cy="3306445"/>
            <wp:effectExtent l="0" t="0" r="7620" b="8255"/>
            <wp:docPr id="2633054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0543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88330" cy="3306445"/>
                    </a:xfrm>
                    <a:prstGeom prst="rect">
                      <a:avLst/>
                    </a:prstGeom>
                    <a:noFill/>
                    <a:ln>
                      <a:noFill/>
                    </a:ln>
                  </pic:spPr>
                </pic:pic>
              </a:graphicData>
            </a:graphic>
          </wp:inline>
        </w:drawing>
      </w:r>
    </w:p>
    <w:p w14:paraId="70E40E17" w14:textId="77777777" w:rsidR="004F412E" w:rsidRDefault="00000000" w:rsidP="00FF428B">
      <w:pPr>
        <w:ind w:firstLine="640"/>
        <w:jc w:val="center"/>
      </w:pPr>
      <w:r>
        <w:rPr>
          <w:rFonts w:hint="eastAsia"/>
        </w:rPr>
        <w:t>钩藤实生苗移栽后</w:t>
      </w:r>
    </w:p>
    <w:p w14:paraId="77FD6916" w14:textId="77777777" w:rsidR="004F412E" w:rsidRDefault="00000000" w:rsidP="00FF428B">
      <w:pPr>
        <w:autoSpaceDE w:val="0"/>
        <w:autoSpaceDN w:val="0"/>
        <w:adjustRightInd w:val="0"/>
        <w:ind w:firstLineChars="0" w:firstLine="0"/>
        <w:jc w:val="left"/>
        <w:rPr>
          <w:rFonts w:ascii="黑体" w:eastAsia="黑体" w:hAnsi="黑体" w:cs="仿宋_GB2312" w:hint="eastAsia"/>
          <w:szCs w:val="32"/>
        </w:rPr>
      </w:pPr>
      <w:r>
        <w:rPr>
          <w:rFonts w:ascii="黑体" w:eastAsia="黑体" w:hAnsi="黑体" w:cs="仿宋_GB2312" w:hint="eastAsia"/>
          <w:szCs w:val="32"/>
        </w:rPr>
        <w:t>（五）苗期管理</w:t>
      </w:r>
    </w:p>
    <w:p w14:paraId="4FB55E03" w14:textId="77777777" w:rsidR="004F412E" w:rsidRDefault="00000000" w:rsidP="00FF428B">
      <w:pPr>
        <w:pStyle w:val="aff7"/>
        <w:ind w:firstLine="640"/>
      </w:pPr>
      <w:r>
        <w:rPr>
          <w:rFonts w:hint="eastAsia"/>
        </w:rPr>
        <w:t>包括施肥管理、水分管理、除草及病虫害防治，主要结合起草单位在钩藤实生苗繁育的多年实践经验的基础上总结明确。</w:t>
      </w:r>
    </w:p>
    <w:p w14:paraId="7BE47E04" w14:textId="77777777" w:rsidR="004F412E" w:rsidRDefault="00000000" w:rsidP="00FF428B">
      <w:pPr>
        <w:pStyle w:val="aff7"/>
        <w:ind w:firstLine="640"/>
      </w:pPr>
      <w:r>
        <w:rPr>
          <w:rFonts w:hint="eastAsia"/>
        </w:rPr>
        <w:t>在施肥管理上，移栽后</w:t>
      </w:r>
      <w:r>
        <w:rPr>
          <w:rFonts w:hint="eastAsia"/>
        </w:rPr>
        <w:t>2</w:t>
      </w:r>
      <w:r>
        <w:rPr>
          <w:rFonts w:hint="eastAsia"/>
        </w:rPr>
        <w:t>～</w:t>
      </w:r>
      <w:r>
        <w:rPr>
          <w:rFonts w:hint="eastAsia"/>
        </w:rPr>
        <w:t>3</w:t>
      </w:r>
      <w:r>
        <w:rPr>
          <w:rFonts w:hint="eastAsia"/>
        </w:rPr>
        <w:t>个月，可追施叶面肥，每</w:t>
      </w:r>
      <w:r>
        <w:rPr>
          <w:rFonts w:hint="eastAsia"/>
        </w:rPr>
        <w:t>667 m2</w:t>
      </w:r>
      <w:r>
        <w:rPr>
          <w:rFonts w:hint="eastAsia"/>
        </w:rPr>
        <w:t>喷施</w:t>
      </w:r>
      <w:r>
        <w:rPr>
          <w:rFonts w:hint="eastAsia"/>
        </w:rPr>
        <w:t>0.2</w:t>
      </w:r>
      <w:r>
        <w:rPr>
          <w:rFonts w:hint="eastAsia"/>
        </w:rPr>
        <w:t>％尿素</w:t>
      </w:r>
      <w:r>
        <w:rPr>
          <w:rFonts w:hint="eastAsia"/>
        </w:rPr>
        <w:t>40 L</w:t>
      </w:r>
      <w:r>
        <w:rPr>
          <w:rFonts w:hint="eastAsia"/>
        </w:rPr>
        <w:t>～</w:t>
      </w:r>
      <w:r>
        <w:rPr>
          <w:rFonts w:hint="eastAsia"/>
        </w:rPr>
        <w:t>50 L</w:t>
      </w:r>
      <w:r>
        <w:rPr>
          <w:rFonts w:hint="eastAsia"/>
        </w:rPr>
        <w:t>，</w:t>
      </w:r>
      <w:r>
        <w:rPr>
          <w:rFonts w:hint="eastAsia"/>
        </w:rPr>
        <w:t>1.5</w:t>
      </w:r>
      <w:r>
        <w:rPr>
          <w:rFonts w:hint="eastAsia"/>
        </w:rPr>
        <w:t>～</w:t>
      </w:r>
      <w:r>
        <w:rPr>
          <w:rFonts w:hint="eastAsia"/>
        </w:rPr>
        <w:t>2</w:t>
      </w:r>
      <w:r>
        <w:rPr>
          <w:rFonts w:hint="eastAsia"/>
        </w:rPr>
        <w:t>个月喷施一次。出圃前</w:t>
      </w:r>
      <w:r>
        <w:rPr>
          <w:rFonts w:hint="eastAsia"/>
        </w:rPr>
        <w:t>1</w:t>
      </w:r>
      <w:r>
        <w:rPr>
          <w:rFonts w:hint="eastAsia"/>
        </w:rPr>
        <w:t>～</w:t>
      </w:r>
      <w:r>
        <w:rPr>
          <w:rFonts w:hint="eastAsia"/>
        </w:rPr>
        <w:t>2</w:t>
      </w:r>
      <w:r>
        <w:rPr>
          <w:rFonts w:hint="eastAsia"/>
        </w:rPr>
        <w:t>个月可每两株苗木间施撒</w:t>
      </w:r>
      <w:r>
        <w:rPr>
          <w:rFonts w:hint="eastAsia"/>
        </w:rPr>
        <w:t>30 g</w:t>
      </w:r>
      <w:r>
        <w:rPr>
          <w:rFonts w:hint="eastAsia"/>
        </w:rPr>
        <w:t>草木灰，施用后</w:t>
      </w:r>
      <w:r>
        <w:rPr>
          <w:rFonts w:hint="eastAsia"/>
        </w:rPr>
        <w:t>48 h</w:t>
      </w:r>
      <w:r>
        <w:rPr>
          <w:rFonts w:hint="eastAsia"/>
        </w:rPr>
        <w:t>内不可淋水；间隔</w:t>
      </w:r>
      <w:r>
        <w:rPr>
          <w:rFonts w:hint="eastAsia"/>
        </w:rPr>
        <w:t>7 d</w:t>
      </w:r>
      <w:r>
        <w:rPr>
          <w:rFonts w:hint="eastAsia"/>
        </w:rPr>
        <w:t>以上，在植株叶面均匀喷施</w:t>
      </w:r>
      <w:r>
        <w:rPr>
          <w:rFonts w:hint="eastAsia"/>
        </w:rPr>
        <w:t>0.3</w:t>
      </w:r>
      <w:r>
        <w:rPr>
          <w:rFonts w:hint="eastAsia"/>
        </w:rPr>
        <w:t>％磷酸二氢钾水溶肥，每</w:t>
      </w:r>
      <w:r>
        <w:rPr>
          <w:rFonts w:hint="eastAsia"/>
        </w:rPr>
        <w:t>667 m2</w:t>
      </w:r>
      <w:r>
        <w:rPr>
          <w:rFonts w:hint="eastAsia"/>
        </w:rPr>
        <w:t>喷施</w:t>
      </w:r>
      <w:r>
        <w:rPr>
          <w:rFonts w:hint="eastAsia"/>
        </w:rPr>
        <w:t>0.2</w:t>
      </w:r>
      <w:r>
        <w:rPr>
          <w:rFonts w:hint="eastAsia"/>
        </w:rPr>
        <w:t>％尿素</w:t>
      </w:r>
      <w:r>
        <w:rPr>
          <w:rFonts w:hint="eastAsia"/>
        </w:rPr>
        <w:t>80 L</w:t>
      </w:r>
      <w:r>
        <w:rPr>
          <w:rFonts w:hint="eastAsia"/>
        </w:rPr>
        <w:t>～</w:t>
      </w:r>
      <w:r>
        <w:rPr>
          <w:rFonts w:hint="eastAsia"/>
        </w:rPr>
        <w:t>100 L</w:t>
      </w:r>
      <w:r>
        <w:rPr>
          <w:rFonts w:hint="eastAsia"/>
        </w:rPr>
        <w:t>，肥料施用符合</w:t>
      </w:r>
      <w:r>
        <w:rPr>
          <w:rFonts w:hint="eastAsia"/>
        </w:rPr>
        <w:t>NY/T 496</w:t>
      </w:r>
      <w:r>
        <w:rPr>
          <w:rFonts w:hint="eastAsia"/>
        </w:rPr>
        <w:t>的规定。</w:t>
      </w:r>
    </w:p>
    <w:p w14:paraId="07C352FF" w14:textId="77777777" w:rsidR="004F412E" w:rsidRDefault="00000000" w:rsidP="00FF428B">
      <w:pPr>
        <w:pStyle w:val="aff7"/>
        <w:ind w:firstLine="640"/>
      </w:pPr>
      <w:r>
        <w:rPr>
          <w:rFonts w:hint="eastAsia"/>
        </w:rPr>
        <w:t>在水分管理上，应遵循“见干见湿”原则，旱季时每</w:t>
      </w:r>
      <w:r>
        <w:rPr>
          <w:rFonts w:hint="eastAsia"/>
        </w:rPr>
        <w:t>3 d</w:t>
      </w:r>
      <w:r>
        <w:rPr>
          <w:rFonts w:hint="eastAsia"/>
        </w:rPr>
        <w:t>浇透水一次；雨季时按需给水排水，表土发白微裂时浇水，旱季和雨季内沟渠均不可积水。主要是根据环境变化和幼苗需求，动态</w:t>
      </w:r>
      <w:r>
        <w:rPr>
          <w:rFonts w:hint="eastAsia"/>
        </w:rPr>
        <w:lastRenderedPageBreak/>
        <w:t>调节土壤水分含量，使根系始终处于“湿润但不涝、透气不干旱”的最佳状态，以提高幼苗成活率，促进其健壮生长。</w:t>
      </w:r>
    </w:p>
    <w:p w14:paraId="6B53B7B5" w14:textId="77777777" w:rsidR="004F412E" w:rsidRDefault="00000000" w:rsidP="00FF428B">
      <w:pPr>
        <w:pStyle w:val="aff7"/>
        <w:ind w:firstLine="640"/>
      </w:pPr>
      <w:r>
        <w:rPr>
          <w:rFonts w:hint="eastAsia"/>
        </w:rPr>
        <w:t>在除草管理上，主要是在保护幼苗根系的前提下，高效清除杂草，减少杂草对幼苗的竞争，同时适应杂草生长周期，维持苗圃生态稳定，因此，移栽一个月后，可人工拔除植株周围杂草，除草操作宜在雨后</w:t>
      </w:r>
      <w:r>
        <w:rPr>
          <w:rFonts w:hint="eastAsia"/>
        </w:rPr>
        <w:t>2 d</w:t>
      </w:r>
      <w:r>
        <w:rPr>
          <w:rFonts w:hint="eastAsia"/>
        </w:rPr>
        <w:t>～</w:t>
      </w:r>
      <w:r>
        <w:rPr>
          <w:rFonts w:hint="eastAsia"/>
        </w:rPr>
        <w:t>3 d</w:t>
      </w:r>
      <w:r>
        <w:rPr>
          <w:rFonts w:hint="eastAsia"/>
        </w:rPr>
        <w:t>土壤半干时进行，每月一次。</w:t>
      </w:r>
    </w:p>
    <w:p w14:paraId="05BB8801" w14:textId="77777777" w:rsidR="004F412E" w:rsidRDefault="00000000" w:rsidP="00FF428B">
      <w:pPr>
        <w:pStyle w:val="aff7"/>
        <w:ind w:firstLine="640"/>
      </w:pPr>
      <w:r>
        <w:rPr>
          <w:rFonts w:hint="eastAsia"/>
        </w:rPr>
        <w:t>在病虫害防治上，钩藤实生苗常见病虫害包括根腐病、卷叶蛾、蚜虫，坚持农业防治、物理防治和生物防治为主。应做好田间排灌水，保持土壤透气性，田间可放置黄板与扦插绑有反光铝箔条的竹条驱避害虫，每</w:t>
      </w:r>
      <w:r>
        <w:rPr>
          <w:rFonts w:hint="eastAsia"/>
        </w:rPr>
        <w:t>667 m2</w:t>
      </w:r>
      <w:r>
        <w:rPr>
          <w:rFonts w:hint="eastAsia"/>
        </w:rPr>
        <w:t>放置</w:t>
      </w:r>
      <w:r>
        <w:rPr>
          <w:rFonts w:hint="eastAsia"/>
        </w:rPr>
        <w:t>20</w:t>
      </w:r>
      <w:r>
        <w:rPr>
          <w:rFonts w:hint="eastAsia"/>
        </w:rPr>
        <w:t>块</w:t>
      </w:r>
      <w:r>
        <w:rPr>
          <w:rFonts w:hint="eastAsia"/>
        </w:rPr>
        <w:t>/</w:t>
      </w:r>
      <w:r>
        <w:rPr>
          <w:rFonts w:hint="eastAsia"/>
        </w:rPr>
        <w:t>条。</w:t>
      </w:r>
    </w:p>
    <w:p w14:paraId="065D3B8D" w14:textId="77777777" w:rsidR="004F412E" w:rsidRDefault="00000000" w:rsidP="00B33249">
      <w:pPr>
        <w:autoSpaceDE w:val="0"/>
        <w:autoSpaceDN w:val="0"/>
        <w:adjustRightInd w:val="0"/>
        <w:ind w:firstLineChars="0" w:firstLine="0"/>
        <w:jc w:val="left"/>
        <w:rPr>
          <w:rFonts w:ascii="黑体" w:eastAsia="黑体" w:hAnsi="黑体" w:cs="仿宋_GB2312" w:hint="eastAsia"/>
          <w:szCs w:val="32"/>
        </w:rPr>
      </w:pPr>
      <w:r>
        <w:rPr>
          <w:rFonts w:ascii="黑体" w:eastAsia="黑体" w:hAnsi="黑体" w:cs="仿宋_GB2312" w:hint="eastAsia"/>
          <w:szCs w:val="32"/>
        </w:rPr>
        <w:t>（六）苗木出圃</w:t>
      </w:r>
    </w:p>
    <w:p w14:paraId="41C231A4" w14:textId="6A85319A" w:rsidR="004F412E" w:rsidRDefault="00000000" w:rsidP="00FF428B">
      <w:pPr>
        <w:pStyle w:val="aff7"/>
        <w:ind w:firstLine="640"/>
      </w:pPr>
      <w:r>
        <w:rPr>
          <w:rFonts w:hint="eastAsia"/>
        </w:rPr>
        <w:t>当主基径＞</w:t>
      </w:r>
      <w:r>
        <w:rPr>
          <w:rFonts w:hint="eastAsia"/>
        </w:rPr>
        <w:t>0.7 cm</w:t>
      </w:r>
      <w:r>
        <w:rPr>
          <w:rFonts w:hint="eastAsia"/>
        </w:rPr>
        <w:t>时出圃，出圃时，留主茎长</w:t>
      </w:r>
      <w:r>
        <w:rPr>
          <w:rFonts w:hint="eastAsia"/>
        </w:rPr>
        <w:t>20 cm</w:t>
      </w:r>
      <w:r>
        <w:rPr>
          <w:rFonts w:hint="eastAsia"/>
        </w:rPr>
        <w:t>～</w:t>
      </w:r>
      <w:r>
        <w:rPr>
          <w:rFonts w:hint="eastAsia"/>
        </w:rPr>
        <w:t>25 cm</w:t>
      </w:r>
      <w:r>
        <w:rPr>
          <w:rFonts w:hint="eastAsia"/>
        </w:rPr>
        <w:t>，其余剪除，并按表</w:t>
      </w:r>
      <w:r w:rsidR="00AE15F9">
        <w:rPr>
          <w:rFonts w:hint="eastAsia"/>
        </w:rPr>
        <w:t>5</w:t>
      </w:r>
      <w:r>
        <w:rPr>
          <w:rFonts w:hint="eastAsia"/>
        </w:rPr>
        <w:t>的要求对钩藤实生苗进行分级，及时定植于大田。分级要求主要参考起草单位前期做的广西地方标准《</w:t>
      </w:r>
      <w:r>
        <w:rPr>
          <w:rFonts w:hint="eastAsia"/>
        </w:rPr>
        <w:t xml:space="preserve">DB45/T 2724-2023  </w:t>
      </w:r>
      <w:r>
        <w:rPr>
          <w:rFonts w:hint="eastAsia"/>
        </w:rPr>
        <w:t>钩藤种苗质量要求》的规定进行明确。</w:t>
      </w:r>
    </w:p>
    <w:p w14:paraId="17E41619" w14:textId="22511C88" w:rsidR="00AE15F9" w:rsidRDefault="00AE15F9" w:rsidP="00FD77D4">
      <w:pPr>
        <w:pStyle w:val="afff4"/>
        <w:spacing w:before="156" w:after="156"/>
      </w:pPr>
      <w:r>
        <w:rPr>
          <w:rFonts w:hint="eastAsia"/>
        </w:rPr>
        <w:t>表5  钩藤实生苗分级要求</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632"/>
        <w:gridCol w:w="2693"/>
        <w:gridCol w:w="3366"/>
      </w:tblGrid>
      <w:tr w:rsidR="00AE15F9" w14:paraId="7DB5255E" w14:textId="77777777" w:rsidTr="00B84B0A">
        <w:trPr>
          <w:cantSplit/>
          <w:trHeight w:val="283"/>
          <w:jc w:val="center"/>
        </w:trPr>
        <w:tc>
          <w:tcPr>
            <w:tcW w:w="3228" w:type="dxa"/>
            <w:gridSpan w:val="2"/>
            <w:vMerge w:val="restart"/>
            <w:tcBorders>
              <w:top w:val="single" w:sz="8" w:space="0" w:color="auto"/>
              <w:left w:val="single" w:sz="8" w:space="0" w:color="auto"/>
              <w:bottom w:val="single" w:sz="4" w:space="0" w:color="auto"/>
              <w:right w:val="single" w:sz="4" w:space="0" w:color="auto"/>
            </w:tcBorders>
            <w:vAlign w:val="center"/>
          </w:tcPr>
          <w:p w14:paraId="24307535"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项    目</w:t>
            </w:r>
          </w:p>
        </w:tc>
        <w:tc>
          <w:tcPr>
            <w:tcW w:w="6059" w:type="dxa"/>
            <w:gridSpan w:val="2"/>
            <w:tcBorders>
              <w:top w:val="single" w:sz="8" w:space="0" w:color="auto"/>
              <w:left w:val="single" w:sz="4" w:space="0" w:color="auto"/>
              <w:bottom w:val="single" w:sz="4" w:space="0" w:color="auto"/>
              <w:right w:val="single" w:sz="8" w:space="0" w:color="auto"/>
            </w:tcBorders>
            <w:vAlign w:val="center"/>
          </w:tcPr>
          <w:p w14:paraId="720D279A"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指    标</w:t>
            </w:r>
          </w:p>
        </w:tc>
      </w:tr>
      <w:tr w:rsidR="00AE15F9" w14:paraId="3EE679E1" w14:textId="77777777" w:rsidTr="00B84B0A">
        <w:trPr>
          <w:cantSplit/>
          <w:trHeight w:val="283"/>
          <w:jc w:val="center"/>
        </w:trPr>
        <w:tc>
          <w:tcPr>
            <w:tcW w:w="3228" w:type="dxa"/>
            <w:gridSpan w:val="2"/>
            <w:vMerge/>
            <w:tcBorders>
              <w:top w:val="single" w:sz="8" w:space="0" w:color="auto"/>
              <w:left w:val="single" w:sz="8" w:space="0" w:color="auto"/>
              <w:bottom w:val="single" w:sz="4" w:space="0" w:color="auto"/>
              <w:right w:val="single" w:sz="4" w:space="0" w:color="auto"/>
            </w:tcBorders>
            <w:vAlign w:val="center"/>
          </w:tcPr>
          <w:p w14:paraId="2967930B" w14:textId="77777777" w:rsidR="00AE15F9" w:rsidRDefault="00AE15F9" w:rsidP="00B84B0A">
            <w:pPr>
              <w:widowControl/>
              <w:ind w:firstLine="360"/>
              <w:jc w:val="left"/>
              <w:rPr>
                <w:rFonts w:ascii="宋体" w:hAnsi="宋体" w:hint="eastAsia"/>
                <w:kern w:val="0"/>
                <w:sz w:val="18"/>
                <w:szCs w:val="18"/>
              </w:rPr>
            </w:pPr>
          </w:p>
        </w:tc>
        <w:tc>
          <w:tcPr>
            <w:tcW w:w="2693" w:type="dxa"/>
            <w:tcBorders>
              <w:top w:val="single" w:sz="4" w:space="0" w:color="auto"/>
              <w:left w:val="single" w:sz="4" w:space="0" w:color="auto"/>
              <w:bottom w:val="single" w:sz="8" w:space="0" w:color="auto"/>
              <w:right w:val="single" w:sz="4" w:space="0" w:color="auto"/>
            </w:tcBorders>
            <w:vAlign w:val="center"/>
          </w:tcPr>
          <w:p w14:paraId="0580C545"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一级</w:t>
            </w:r>
          </w:p>
        </w:tc>
        <w:tc>
          <w:tcPr>
            <w:tcW w:w="3366" w:type="dxa"/>
            <w:tcBorders>
              <w:top w:val="single" w:sz="4" w:space="0" w:color="auto"/>
              <w:left w:val="single" w:sz="4" w:space="0" w:color="auto"/>
              <w:bottom w:val="single" w:sz="8" w:space="0" w:color="auto"/>
              <w:right w:val="single" w:sz="8" w:space="0" w:color="auto"/>
            </w:tcBorders>
            <w:vAlign w:val="center"/>
          </w:tcPr>
          <w:p w14:paraId="381CAB5A"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二级</w:t>
            </w:r>
          </w:p>
        </w:tc>
      </w:tr>
      <w:tr w:rsidR="00AE15F9" w14:paraId="01D52DF4" w14:textId="77777777" w:rsidTr="00B84B0A">
        <w:trPr>
          <w:trHeight w:val="283"/>
          <w:jc w:val="center"/>
        </w:trPr>
        <w:tc>
          <w:tcPr>
            <w:tcW w:w="3228" w:type="dxa"/>
            <w:gridSpan w:val="2"/>
            <w:tcBorders>
              <w:top w:val="single" w:sz="8" w:space="0" w:color="auto"/>
              <w:left w:val="single" w:sz="8" w:space="0" w:color="auto"/>
              <w:bottom w:val="single" w:sz="4" w:space="0" w:color="auto"/>
              <w:right w:val="single" w:sz="4" w:space="0" w:color="auto"/>
            </w:tcBorders>
            <w:vAlign w:val="center"/>
          </w:tcPr>
          <w:p w14:paraId="2ADE92F1" w14:textId="77777777" w:rsidR="00AE15F9" w:rsidRDefault="00AE15F9" w:rsidP="00B84B0A">
            <w:pPr>
              <w:pStyle w:val="aff0"/>
              <w:ind w:firstLineChars="0" w:firstLine="0"/>
              <w:rPr>
                <w:rFonts w:hAnsi="宋体" w:hint="eastAsia"/>
                <w:sz w:val="18"/>
                <w:szCs w:val="18"/>
              </w:rPr>
            </w:pPr>
            <w:r>
              <w:rPr>
                <w:rFonts w:hAnsi="宋体" w:hint="eastAsia"/>
                <w:sz w:val="18"/>
                <w:szCs w:val="18"/>
              </w:rPr>
              <w:t>苗高/cm                        ≥</w:t>
            </w:r>
          </w:p>
        </w:tc>
        <w:tc>
          <w:tcPr>
            <w:tcW w:w="2693" w:type="dxa"/>
            <w:tcBorders>
              <w:top w:val="single" w:sz="8" w:space="0" w:color="auto"/>
              <w:left w:val="single" w:sz="4" w:space="0" w:color="auto"/>
              <w:bottom w:val="single" w:sz="4" w:space="0" w:color="auto"/>
              <w:right w:val="single" w:sz="4" w:space="0" w:color="auto"/>
            </w:tcBorders>
            <w:vAlign w:val="center"/>
          </w:tcPr>
          <w:p w14:paraId="37B7F819"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50.00</w:t>
            </w:r>
          </w:p>
        </w:tc>
        <w:tc>
          <w:tcPr>
            <w:tcW w:w="3366" w:type="dxa"/>
            <w:tcBorders>
              <w:top w:val="single" w:sz="8" w:space="0" w:color="auto"/>
              <w:left w:val="single" w:sz="4" w:space="0" w:color="auto"/>
              <w:bottom w:val="single" w:sz="4" w:space="0" w:color="auto"/>
              <w:right w:val="single" w:sz="8" w:space="0" w:color="auto"/>
            </w:tcBorders>
            <w:vAlign w:val="center"/>
          </w:tcPr>
          <w:p w14:paraId="27B5BB0A"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30.00</w:t>
            </w:r>
          </w:p>
        </w:tc>
      </w:tr>
      <w:tr w:rsidR="00AE15F9" w14:paraId="6C45D027" w14:textId="77777777" w:rsidTr="00B84B0A">
        <w:trPr>
          <w:trHeight w:val="283"/>
          <w:jc w:val="center"/>
        </w:trPr>
        <w:tc>
          <w:tcPr>
            <w:tcW w:w="3228" w:type="dxa"/>
            <w:gridSpan w:val="2"/>
            <w:tcBorders>
              <w:top w:val="single" w:sz="4" w:space="0" w:color="auto"/>
              <w:left w:val="single" w:sz="8" w:space="0" w:color="auto"/>
              <w:bottom w:val="single" w:sz="4" w:space="0" w:color="auto"/>
              <w:right w:val="single" w:sz="4" w:space="0" w:color="auto"/>
            </w:tcBorders>
            <w:vAlign w:val="center"/>
          </w:tcPr>
          <w:p w14:paraId="6A508968" w14:textId="77777777" w:rsidR="00AE15F9" w:rsidRDefault="00AE15F9" w:rsidP="00B84B0A">
            <w:pPr>
              <w:pStyle w:val="aff0"/>
              <w:ind w:firstLineChars="0" w:firstLine="0"/>
              <w:rPr>
                <w:rFonts w:hAnsi="宋体" w:hint="eastAsia"/>
                <w:sz w:val="18"/>
                <w:szCs w:val="18"/>
              </w:rPr>
            </w:pPr>
            <w:r>
              <w:rPr>
                <w:rFonts w:hAnsi="宋体" w:hint="eastAsia"/>
                <w:sz w:val="18"/>
                <w:szCs w:val="18"/>
              </w:rPr>
              <w:t>茎粗/cm                        ≥</w:t>
            </w:r>
          </w:p>
        </w:tc>
        <w:tc>
          <w:tcPr>
            <w:tcW w:w="2693" w:type="dxa"/>
            <w:tcBorders>
              <w:top w:val="single" w:sz="4" w:space="0" w:color="auto"/>
              <w:left w:val="single" w:sz="4" w:space="0" w:color="auto"/>
              <w:bottom w:val="single" w:sz="4" w:space="0" w:color="auto"/>
              <w:right w:val="single" w:sz="4" w:space="0" w:color="auto"/>
            </w:tcBorders>
            <w:vAlign w:val="center"/>
          </w:tcPr>
          <w:p w14:paraId="2EB45B96"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0.7</w:t>
            </w:r>
          </w:p>
        </w:tc>
        <w:tc>
          <w:tcPr>
            <w:tcW w:w="3366" w:type="dxa"/>
            <w:tcBorders>
              <w:top w:val="single" w:sz="4" w:space="0" w:color="auto"/>
              <w:left w:val="single" w:sz="4" w:space="0" w:color="auto"/>
              <w:bottom w:val="single" w:sz="4" w:space="0" w:color="auto"/>
              <w:right w:val="single" w:sz="8" w:space="0" w:color="auto"/>
            </w:tcBorders>
            <w:vAlign w:val="center"/>
          </w:tcPr>
          <w:p w14:paraId="582A5D30"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0.4</w:t>
            </w:r>
          </w:p>
        </w:tc>
      </w:tr>
      <w:tr w:rsidR="00AE15F9" w14:paraId="26814ED4" w14:textId="77777777" w:rsidTr="00B84B0A">
        <w:trPr>
          <w:cantSplit/>
          <w:trHeight w:val="283"/>
          <w:jc w:val="center"/>
        </w:trPr>
        <w:tc>
          <w:tcPr>
            <w:tcW w:w="596" w:type="dxa"/>
            <w:vMerge w:val="restart"/>
            <w:tcBorders>
              <w:top w:val="nil"/>
              <w:left w:val="single" w:sz="8" w:space="0" w:color="auto"/>
              <w:bottom w:val="single" w:sz="4" w:space="0" w:color="auto"/>
              <w:right w:val="single" w:sz="4" w:space="0" w:color="auto"/>
            </w:tcBorders>
            <w:vAlign w:val="center"/>
          </w:tcPr>
          <w:p w14:paraId="4D4F6094"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根</w:t>
            </w:r>
          </w:p>
        </w:tc>
        <w:tc>
          <w:tcPr>
            <w:tcW w:w="2632" w:type="dxa"/>
            <w:tcBorders>
              <w:top w:val="single" w:sz="4" w:space="0" w:color="auto"/>
              <w:left w:val="single" w:sz="4" w:space="0" w:color="auto"/>
              <w:bottom w:val="single" w:sz="4" w:space="0" w:color="auto"/>
              <w:right w:val="single" w:sz="4" w:space="0" w:color="auto"/>
            </w:tcBorders>
            <w:vAlign w:val="center"/>
          </w:tcPr>
          <w:p w14:paraId="7938E3B5" w14:textId="77777777" w:rsidR="00AE15F9" w:rsidRDefault="00AE15F9" w:rsidP="00B84B0A">
            <w:pPr>
              <w:pStyle w:val="aff0"/>
              <w:ind w:firstLineChars="0" w:firstLine="0"/>
              <w:rPr>
                <w:rFonts w:hAnsi="宋体" w:hint="eastAsia"/>
                <w:sz w:val="18"/>
                <w:szCs w:val="18"/>
              </w:rPr>
            </w:pPr>
            <w:r>
              <w:rPr>
                <w:rFonts w:hAnsi="宋体" w:hint="eastAsia"/>
                <w:sz w:val="18"/>
                <w:szCs w:val="18"/>
              </w:rPr>
              <w:t>根长/cm                 ≥</w:t>
            </w:r>
          </w:p>
        </w:tc>
        <w:tc>
          <w:tcPr>
            <w:tcW w:w="2693" w:type="dxa"/>
            <w:tcBorders>
              <w:top w:val="single" w:sz="4" w:space="0" w:color="auto"/>
              <w:left w:val="single" w:sz="4" w:space="0" w:color="auto"/>
              <w:bottom w:val="single" w:sz="4" w:space="0" w:color="auto"/>
              <w:right w:val="single" w:sz="4" w:space="0" w:color="auto"/>
            </w:tcBorders>
            <w:vAlign w:val="center"/>
          </w:tcPr>
          <w:p w14:paraId="16847DB5"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25.00</w:t>
            </w:r>
          </w:p>
        </w:tc>
        <w:tc>
          <w:tcPr>
            <w:tcW w:w="3366" w:type="dxa"/>
            <w:tcBorders>
              <w:top w:val="single" w:sz="4" w:space="0" w:color="auto"/>
              <w:left w:val="single" w:sz="4" w:space="0" w:color="auto"/>
              <w:bottom w:val="single" w:sz="4" w:space="0" w:color="auto"/>
              <w:right w:val="single" w:sz="8" w:space="0" w:color="auto"/>
            </w:tcBorders>
            <w:vAlign w:val="center"/>
          </w:tcPr>
          <w:p w14:paraId="73D75268"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15.00</w:t>
            </w:r>
          </w:p>
        </w:tc>
      </w:tr>
      <w:tr w:rsidR="00AE15F9" w14:paraId="08B1966A" w14:textId="77777777" w:rsidTr="00B84B0A">
        <w:trPr>
          <w:cantSplit/>
          <w:trHeight w:val="283"/>
          <w:jc w:val="center"/>
        </w:trPr>
        <w:tc>
          <w:tcPr>
            <w:tcW w:w="0" w:type="auto"/>
            <w:vMerge/>
            <w:tcBorders>
              <w:top w:val="nil"/>
              <w:left w:val="single" w:sz="8" w:space="0" w:color="auto"/>
              <w:bottom w:val="single" w:sz="4" w:space="0" w:color="auto"/>
              <w:right w:val="single" w:sz="4" w:space="0" w:color="auto"/>
            </w:tcBorders>
            <w:vAlign w:val="center"/>
          </w:tcPr>
          <w:p w14:paraId="49B9D5FC" w14:textId="77777777" w:rsidR="00AE15F9" w:rsidRDefault="00AE15F9" w:rsidP="00B84B0A">
            <w:pPr>
              <w:widowControl/>
              <w:ind w:firstLine="360"/>
              <w:jc w:val="left"/>
              <w:rPr>
                <w:rFonts w:ascii="宋体" w:hAnsi="宋体" w:hint="eastAsia"/>
                <w:kern w:val="0"/>
                <w:sz w:val="18"/>
                <w:szCs w:val="18"/>
              </w:rPr>
            </w:pPr>
          </w:p>
        </w:tc>
        <w:tc>
          <w:tcPr>
            <w:tcW w:w="2632" w:type="dxa"/>
            <w:tcBorders>
              <w:top w:val="single" w:sz="4" w:space="0" w:color="auto"/>
              <w:left w:val="single" w:sz="4" w:space="0" w:color="auto"/>
              <w:bottom w:val="single" w:sz="4" w:space="0" w:color="auto"/>
              <w:right w:val="single" w:sz="4" w:space="0" w:color="auto"/>
            </w:tcBorders>
            <w:vAlign w:val="center"/>
          </w:tcPr>
          <w:p w14:paraId="7952FC82" w14:textId="77777777" w:rsidR="00AE15F9" w:rsidRDefault="00AE15F9" w:rsidP="00B84B0A">
            <w:pPr>
              <w:pStyle w:val="aff0"/>
              <w:ind w:firstLineChars="0" w:firstLine="0"/>
              <w:rPr>
                <w:rFonts w:hAnsi="宋体" w:hint="eastAsia"/>
                <w:sz w:val="18"/>
                <w:szCs w:val="18"/>
              </w:rPr>
            </w:pPr>
            <w:r>
              <w:rPr>
                <w:rFonts w:hAnsi="宋体" w:hint="eastAsia"/>
                <w:sz w:val="18"/>
                <w:szCs w:val="18"/>
              </w:rPr>
              <w:t>根粗/cm                 ≥</w:t>
            </w:r>
          </w:p>
        </w:tc>
        <w:tc>
          <w:tcPr>
            <w:tcW w:w="2693" w:type="dxa"/>
            <w:tcBorders>
              <w:top w:val="single" w:sz="4" w:space="0" w:color="auto"/>
              <w:left w:val="single" w:sz="4" w:space="0" w:color="auto"/>
              <w:bottom w:val="single" w:sz="4" w:space="0" w:color="auto"/>
              <w:right w:val="single" w:sz="4" w:space="0" w:color="auto"/>
            </w:tcBorders>
            <w:vAlign w:val="center"/>
          </w:tcPr>
          <w:p w14:paraId="7FAE10DE"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0.30</w:t>
            </w:r>
          </w:p>
        </w:tc>
        <w:tc>
          <w:tcPr>
            <w:tcW w:w="3366" w:type="dxa"/>
            <w:tcBorders>
              <w:top w:val="single" w:sz="4" w:space="0" w:color="auto"/>
              <w:left w:val="single" w:sz="4" w:space="0" w:color="auto"/>
              <w:bottom w:val="single" w:sz="4" w:space="0" w:color="auto"/>
              <w:right w:val="single" w:sz="8" w:space="0" w:color="auto"/>
            </w:tcBorders>
            <w:vAlign w:val="center"/>
          </w:tcPr>
          <w:p w14:paraId="53CA0869"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0.20</w:t>
            </w:r>
          </w:p>
        </w:tc>
      </w:tr>
      <w:tr w:rsidR="00AE15F9" w14:paraId="713ECFB9" w14:textId="77777777" w:rsidTr="00B84B0A">
        <w:trPr>
          <w:trHeight w:val="283"/>
          <w:jc w:val="center"/>
        </w:trPr>
        <w:tc>
          <w:tcPr>
            <w:tcW w:w="3228" w:type="dxa"/>
            <w:gridSpan w:val="2"/>
            <w:tcBorders>
              <w:top w:val="single" w:sz="4" w:space="0" w:color="auto"/>
              <w:left w:val="single" w:sz="8" w:space="0" w:color="auto"/>
              <w:bottom w:val="single" w:sz="8" w:space="0" w:color="auto"/>
              <w:right w:val="single" w:sz="4" w:space="0" w:color="auto"/>
            </w:tcBorders>
            <w:vAlign w:val="center"/>
          </w:tcPr>
          <w:p w14:paraId="1FE41410" w14:textId="77777777" w:rsidR="00AE15F9" w:rsidRDefault="00AE15F9" w:rsidP="00B84B0A">
            <w:pPr>
              <w:pStyle w:val="aff0"/>
              <w:ind w:firstLineChars="0" w:firstLine="0"/>
              <w:rPr>
                <w:rFonts w:hAnsi="宋体" w:hint="eastAsia"/>
                <w:sz w:val="18"/>
                <w:szCs w:val="18"/>
              </w:rPr>
            </w:pPr>
            <w:r>
              <w:rPr>
                <w:rFonts w:hAnsi="宋体" w:hint="eastAsia"/>
                <w:sz w:val="18"/>
                <w:szCs w:val="18"/>
              </w:rPr>
              <w:t>芽</w:t>
            </w:r>
          </w:p>
        </w:tc>
        <w:tc>
          <w:tcPr>
            <w:tcW w:w="2693" w:type="dxa"/>
            <w:tcBorders>
              <w:top w:val="single" w:sz="4" w:space="0" w:color="auto"/>
              <w:left w:val="single" w:sz="4" w:space="0" w:color="auto"/>
              <w:bottom w:val="single" w:sz="8" w:space="0" w:color="auto"/>
              <w:right w:val="single" w:sz="4" w:space="0" w:color="auto"/>
            </w:tcBorders>
            <w:vAlign w:val="center"/>
          </w:tcPr>
          <w:p w14:paraId="0BE25C18"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饱满</w:t>
            </w:r>
          </w:p>
        </w:tc>
        <w:tc>
          <w:tcPr>
            <w:tcW w:w="3366" w:type="dxa"/>
            <w:tcBorders>
              <w:top w:val="single" w:sz="4" w:space="0" w:color="auto"/>
              <w:left w:val="single" w:sz="4" w:space="0" w:color="auto"/>
              <w:bottom w:val="single" w:sz="8" w:space="0" w:color="auto"/>
              <w:right w:val="single" w:sz="8" w:space="0" w:color="auto"/>
            </w:tcBorders>
            <w:vAlign w:val="center"/>
          </w:tcPr>
          <w:p w14:paraId="05F3B3A1" w14:textId="77777777" w:rsidR="00AE15F9" w:rsidRDefault="00AE15F9" w:rsidP="00B84B0A">
            <w:pPr>
              <w:pStyle w:val="aff0"/>
              <w:ind w:firstLineChars="0" w:firstLine="0"/>
              <w:jc w:val="center"/>
              <w:rPr>
                <w:rFonts w:hAnsi="宋体" w:hint="eastAsia"/>
                <w:sz w:val="18"/>
                <w:szCs w:val="18"/>
              </w:rPr>
            </w:pPr>
            <w:r>
              <w:rPr>
                <w:rFonts w:hAnsi="宋体" w:hint="eastAsia"/>
                <w:sz w:val="18"/>
                <w:szCs w:val="18"/>
              </w:rPr>
              <w:t>基本饱满</w:t>
            </w:r>
          </w:p>
        </w:tc>
      </w:tr>
    </w:tbl>
    <w:p w14:paraId="51F73ADE" w14:textId="77777777" w:rsidR="004F412E" w:rsidRDefault="00000000" w:rsidP="00B33249">
      <w:pPr>
        <w:autoSpaceDE w:val="0"/>
        <w:autoSpaceDN w:val="0"/>
        <w:adjustRightInd w:val="0"/>
        <w:ind w:firstLineChars="0" w:firstLine="0"/>
        <w:rPr>
          <w:rFonts w:ascii="黑体" w:eastAsia="黑体" w:hAnsi="黑体" w:cs="仿宋_GB2312" w:hint="eastAsia"/>
          <w:szCs w:val="32"/>
        </w:rPr>
      </w:pPr>
      <w:r>
        <w:rPr>
          <w:rFonts w:ascii="黑体" w:eastAsia="黑体" w:hAnsi="黑体" w:cs="仿宋_GB2312" w:hint="eastAsia"/>
          <w:szCs w:val="32"/>
        </w:rPr>
        <w:t>（七）档案管理</w:t>
      </w:r>
    </w:p>
    <w:p w14:paraId="149A2BC5" w14:textId="77777777" w:rsidR="004F412E" w:rsidRDefault="00000000" w:rsidP="00FF428B">
      <w:pPr>
        <w:pStyle w:val="aff7"/>
        <w:ind w:firstLine="640"/>
      </w:pPr>
      <w:r>
        <w:rPr>
          <w:rFonts w:hint="eastAsia"/>
        </w:rPr>
        <w:t>按《中药材生产质量管理规范》的规定执行，对种子来源、</w:t>
      </w:r>
      <w:r>
        <w:rPr>
          <w:rFonts w:hint="eastAsia"/>
        </w:rPr>
        <w:lastRenderedPageBreak/>
        <w:t>苗床准备、苗期管理、各环节所采取的措施和有关责任人员等内容进行详细记录，建立和保存育苗档案，保证可追溯。</w:t>
      </w:r>
    </w:p>
    <w:p w14:paraId="798DE53A" w14:textId="77777777" w:rsidR="004F412E" w:rsidRDefault="00000000" w:rsidP="00FF428B">
      <w:pPr>
        <w:autoSpaceDE w:val="0"/>
        <w:autoSpaceDN w:val="0"/>
        <w:adjustRightInd w:val="0"/>
        <w:ind w:firstLine="640"/>
        <w:jc w:val="left"/>
        <w:rPr>
          <w:rFonts w:ascii="黑体" w:eastAsia="黑体" w:hAnsi="黑体" w:cs="仿宋_GB2312" w:hint="eastAsia"/>
          <w:szCs w:val="32"/>
        </w:rPr>
      </w:pPr>
      <w:r>
        <w:rPr>
          <w:rFonts w:ascii="黑体" w:eastAsia="黑体" w:hAnsi="黑体" w:cs="仿宋_GB2312" w:hint="eastAsia"/>
          <w:szCs w:val="32"/>
        </w:rPr>
        <w:t>六、</w:t>
      </w:r>
      <w:bookmarkEnd w:id="2"/>
      <w:r>
        <w:rPr>
          <w:rFonts w:ascii="黑体" w:eastAsia="黑体" w:hAnsi="黑体" w:cs="仿宋_GB2312" w:hint="eastAsia"/>
          <w:szCs w:val="32"/>
        </w:rPr>
        <w:t>重大分歧意见的处理经过和依据</w:t>
      </w:r>
    </w:p>
    <w:p w14:paraId="539FD8E8" w14:textId="77777777" w:rsidR="004F412E" w:rsidRDefault="00000000" w:rsidP="00FF428B">
      <w:pPr>
        <w:ind w:firstLine="640"/>
        <w:rPr>
          <w:rFonts w:ascii="仿宋_GB2312" w:hAnsi="宋体" w:hint="eastAsia"/>
          <w:szCs w:val="28"/>
        </w:rPr>
      </w:pPr>
      <w:r>
        <w:rPr>
          <w:rFonts w:ascii="仿宋_GB2312" w:hAnsi="宋体" w:hint="eastAsia"/>
          <w:szCs w:val="28"/>
        </w:rPr>
        <w:t>本标准研制过程中无重大分歧意见。</w:t>
      </w:r>
    </w:p>
    <w:p w14:paraId="3651196B" w14:textId="77777777" w:rsidR="004F412E" w:rsidRDefault="00000000" w:rsidP="00FF428B">
      <w:pPr>
        <w:autoSpaceDE w:val="0"/>
        <w:autoSpaceDN w:val="0"/>
        <w:adjustRightInd w:val="0"/>
        <w:ind w:firstLine="640"/>
        <w:jc w:val="left"/>
        <w:rPr>
          <w:rFonts w:ascii="黑体" w:eastAsia="黑体" w:hAnsi="黑体" w:cs="仿宋_GB2312" w:hint="eastAsia"/>
          <w:szCs w:val="32"/>
        </w:rPr>
      </w:pPr>
      <w:r>
        <w:rPr>
          <w:rFonts w:ascii="黑体" w:eastAsia="黑体" w:hAnsi="黑体" w:cs="仿宋_GB2312" w:hint="eastAsia"/>
          <w:szCs w:val="32"/>
        </w:rPr>
        <w:t>七</w:t>
      </w:r>
      <w:r>
        <w:rPr>
          <w:rFonts w:ascii="黑体" w:eastAsia="黑体" w:hAnsi="黑体" w:cs="仿宋_GB2312"/>
          <w:szCs w:val="32"/>
        </w:rPr>
        <w:t>、</w:t>
      </w:r>
      <w:r>
        <w:rPr>
          <w:rFonts w:ascii="黑体" w:eastAsia="黑体" w:hAnsi="黑体" w:cs="仿宋_GB2312" w:hint="eastAsia"/>
          <w:szCs w:val="32"/>
        </w:rPr>
        <w:t>实施标准的措施</w:t>
      </w:r>
    </w:p>
    <w:p w14:paraId="6048EF3E" w14:textId="77777777" w:rsidR="004F412E" w:rsidRDefault="00000000" w:rsidP="00FF428B">
      <w:pPr>
        <w:ind w:firstLine="643"/>
        <w:rPr>
          <w:rFonts w:ascii="仿宋_GB2312" w:hAnsi="宋体" w:hint="eastAsia"/>
          <w:b/>
          <w:szCs w:val="28"/>
        </w:rPr>
      </w:pPr>
      <w:r>
        <w:rPr>
          <w:rFonts w:ascii="仿宋_GB2312" w:hAnsi="宋体" w:hint="eastAsia"/>
          <w:b/>
          <w:szCs w:val="28"/>
        </w:rPr>
        <w:t>（一）标准报批发布后，成立标准宣贯工作组</w:t>
      </w:r>
    </w:p>
    <w:p w14:paraId="690F0167" w14:textId="77777777" w:rsidR="004F412E" w:rsidRDefault="00000000" w:rsidP="00FF428B">
      <w:pPr>
        <w:ind w:firstLine="640"/>
        <w:rPr>
          <w:rFonts w:ascii="仿宋_GB2312" w:hAnsi="宋体" w:hint="eastAsia"/>
          <w:szCs w:val="28"/>
        </w:rPr>
      </w:pPr>
      <w:r>
        <w:rPr>
          <w:rFonts w:ascii="仿宋_GB2312" w:hAnsi="宋体" w:hint="eastAsia"/>
          <w:szCs w:val="28"/>
        </w:rPr>
        <w:t>本标准发布后，成立以主要起草人为成员的标准宣贯工作组，主要负责标准的宣贯实施培训计划制定、标准实施交流会策划、标准实施信息反馈收集和标准实施效果评估等工作，并根据标准实施信息反馈和标准实施效果评估情况，及时组织标准复审修订。</w:t>
      </w:r>
    </w:p>
    <w:p w14:paraId="7FB5AB20" w14:textId="77777777" w:rsidR="004F412E" w:rsidRDefault="00000000" w:rsidP="00FF428B">
      <w:pPr>
        <w:ind w:firstLine="643"/>
        <w:rPr>
          <w:rFonts w:ascii="仿宋_GB2312" w:hAnsi="宋体" w:hint="eastAsia"/>
          <w:b/>
          <w:szCs w:val="28"/>
        </w:rPr>
      </w:pPr>
      <w:r>
        <w:rPr>
          <w:rFonts w:ascii="仿宋_GB2312" w:hAnsi="宋体" w:hint="eastAsia"/>
          <w:b/>
          <w:szCs w:val="28"/>
        </w:rPr>
        <w:t>（二）组织开展标准宣贯培训</w:t>
      </w:r>
    </w:p>
    <w:p w14:paraId="7772DB3D" w14:textId="77777777" w:rsidR="004F412E" w:rsidRDefault="00000000" w:rsidP="00FF428B">
      <w:pPr>
        <w:ind w:firstLine="640"/>
        <w:rPr>
          <w:rFonts w:ascii="仿宋_GB2312" w:hAnsi="宋体" w:hint="eastAsia"/>
          <w:szCs w:val="28"/>
        </w:rPr>
      </w:pPr>
      <w:r>
        <w:rPr>
          <w:rFonts w:ascii="仿宋_GB2312" w:hAnsi="宋体" w:hint="eastAsia"/>
          <w:szCs w:val="28"/>
        </w:rPr>
        <w:t>标准发布实施后，标准宣贯工作小组制作标准解读宣贯培训PPT课件和标准核心技术明白书，并按标准宣贯培训计划深入各市县相关机构、单位开展标准宣贯培训，对标准进行逐条解读，让技术人员掌握标准核心内容，助力标准实施落地。</w:t>
      </w:r>
    </w:p>
    <w:p w14:paraId="0C51B3AA" w14:textId="77777777" w:rsidR="004F412E" w:rsidRDefault="00000000" w:rsidP="00FF428B">
      <w:pPr>
        <w:ind w:firstLine="643"/>
        <w:rPr>
          <w:rFonts w:ascii="仿宋_GB2312" w:hAnsi="宋体" w:hint="eastAsia"/>
          <w:b/>
          <w:szCs w:val="28"/>
        </w:rPr>
      </w:pPr>
      <w:r>
        <w:rPr>
          <w:rFonts w:ascii="仿宋_GB2312" w:hAnsi="宋体" w:hint="eastAsia"/>
          <w:b/>
          <w:szCs w:val="28"/>
        </w:rPr>
        <w:t>（三）开展标准实施交流会，收集标准实施反馈信息</w:t>
      </w:r>
    </w:p>
    <w:p w14:paraId="35664804" w14:textId="77777777" w:rsidR="004F412E" w:rsidRDefault="00000000" w:rsidP="00FF428B">
      <w:pPr>
        <w:ind w:firstLine="640"/>
        <w:rPr>
          <w:rFonts w:ascii="仿宋_GB2312" w:hAnsi="宋体" w:hint="eastAsia"/>
          <w:szCs w:val="28"/>
        </w:rPr>
      </w:pPr>
      <w:r>
        <w:rPr>
          <w:rFonts w:ascii="仿宋_GB2312" w:hAnsi="宋体" w:hint="eastAsia"/>
          <w:szCs w:val="28"/>
        </w:rPr>
        <w:t>标准起草小组深入各市县相关机构、单位组织技术人员召开标准实施交流会，听取标准实施过程中存在的问题并做好记录和解答，对存在的问题组织专家团队进行研讨，为标准的复审修订做准备。</w:t>
      </w:r>
    </w:p>
    <w:p w14:paraId="2FE59154" w14:textId="77777777" w:rsidR="004F412E" w:rsidRDefault="00000000" w:rsidP="00FF428B">
      <w:pPr>
        <w:ind w:firstLine="643"/>
        <w:rPr>
          <w:rFonts w:ascii="仿宋_GB2312" w:hAnsi="宋体" w:hint="eastAsia"/>
          <w:b/>
          <w:szCs w:val="28"/>
        </w:rPr>
      </w:pPr>
      <w:r>
        <w:rPr>
          <w:rFonts w:ascii="仿宋_GB2312" w:hAnsi="宋体" w:hint="eastAsia"/>
          <w:b/>
          <w:szCs w:val="28"/>
        </w:rPr>
        <w:t>（四）开展标准实施效果评估</w:t>
      </w:r>
    </w:p>
    <w:p w14:paraId="15050F1F" w14:textId="77777777" w:rsidR="004F412E" w:rsidRDefault="00000000" w:rsidP="00FF428B">
      <w:pPr>
        <w:ind w:firstLine="640"/>
        <w:rPr>
          <w:rFonts w:ascii="仿宋_GB2312" w:hAnsi="宋体" w:hint="eastAsia"/>
          <w:szCs w:val="28"/>
        </w:rPr>
      </w:pPr>
      <w:r>
        <w:rPr>
          <w:rFonts w:ascii="仿宋_GB2312" w:hAnsi="宋体" w:hint="eastAsia"/>
          <w:szCs w:val="28"/>
        </w:rPr>
        <w:t>标准实施满2年，每年标准宣贯工作组采取网络调查、问卷</w:t>
      </w:r>
      <w:r>
        <w:rPr>
          <w:rFonts w:ascii="仿宋_GB2312" w:hAnsi="宋体" w:hint="eastAsia"/>
          <w:szCs w:val="28"/>
        </w:rPr>
        <w:lastRenderedPageBreak/>
        <w:t>调查、实地调研、召开座谈会或论证会、专家咨询等方式开展标准实施效果评估，并形成标准实施效果评估报告，为标准的复审修订做准备。</w:t>
      </w:r>
    </w:p>
    <w:p w14:paraId="7E21D64D" w14:textId="77777777" w:rsidR="004F412E" w:rsidRDefault="00000000" w:rsidP="00FF428B">
      <w:pPr>
        <w:autoSpaceDE w:val="0"/>
        <w:autoSpaceDN w:val="0"/>
        <w:adjustRightInd w:val="0"/>
        <w:ind w:firstLine="640"/>
        <w:jc w:val="left"/>
        <w:rPr>
          <w:rFonts w:ascii="黑体" w:eastAsia="黑体" w:hAnsi="黑体" w:cs="仿宋_GB2312" w:hint="eastAsia"/>
          <w:szCs w:val="32"/>
        </w:rPr>
      </w:pPr>
      <w:r>
        <w:rPr>
          <w:rFonts w:ascii="黑体" w:eastAsia="黑体" w:hAnsi="黑体" w:cs="仿宋_GB2312" w:hint="eastAsia"/>
          <w:szCs w:val="32"/>
        </w:rPr>
        <w:t>八、其他应当说明的事项</w:t>
      </w:r>
    </w:p>
    <w:p w14:paraId="73273118" w14:textId="77777777" w:rsidR="004F412E" w:rsidRDefault="00000000" w:rsidP="00FF428B">
      <w:pPr>
        <w:ind w:firstLine="640"/>
        <w:rPr>
          <w:rFonts w:ascii="仿宋_GB2312" w:hAnsi="宋体" w:hint="eastAsia"/>
          <w:szCs w:val="28"/>
        </w:rPr>
      </w:pPr>
      <w:r>
        <w:rPr>
          <w:rFonts w:ascii="仿宋_GB2312" w:hAnsi="宋体" w:hint="eastAsia"/>
          <w:szCs w:val="28"/>
        </w:rPr>
        <w:t>无。</w:t>
      </w:r>
    </w:p>
    <w:p w14:paraId="4DD3EAD4" w14:textId="77777777" w:rsidR="004F412E" w:rsidRDefault="00000000" w:rsidP="00FF428B">
      <w:pPr>
        <w:ind w:firstLine="640"/>
        <w:jc w:val="right"/>
        <w:rPr>
          <w:rFonts w:ascii="仿宋_GB2312" w:hAnsi="宋体" w:hint="eastAsia"/>
          <w:szCs w:val="28"/>
        </w:rPr>
      </w:pPr>
      <w:r>
        <w:rPr>
          <w:rFonts w:ascii="仿宋_GB2312" w:hAnsi="宋体" w:hint="eastAsia"/>
          <w:szCs w:val="28"/>
        </w:rPr>
        <w:t xml:space="preserve"> 团体标准《钩藤实生苗繁育技术规程》</w:t>
      </w:r>
    </w:p>
    <w:p w14:paraId="55E497CA" w14:textId="77777777" w:rsidR="004F412E" w:rsidRDefault="00000000" w:rsidP="00FF428B">
      <w:pPr>
        <w:ind w:firstLine="640"/>
        <w:jc w:val="right"/>
        <w:rPr>
          <w:rFonts w:ascii="仿宋_GB2312" w:hAnsi="宋体" w:hint="eastAsia"/>
          <w:szCs w:val="28"/>
        </w:rPr>
      </w:pPr>
      <w:r>
        <w:rPr>
          <w:rFonts w:ascii="仿宋_GB2312" w:hAnsi="宋体" w:hint="eastAsia"/>
          <w:szCs w:val="28"/>
        </w:rPr>
        <w:t>标准编制工作组</w:t>
      </w:r>
    </w:p>
    <w:p w14:paraId="1F34DBC1" w14:textId="332E5674" w:rsidR="008C583E" w:rsidRDefault="00000000" w:rsidP="00D13BA4">
      <w:pPr>
        <w:ind w:firstLine="640"/>
        <w:jc w:val="right"/>
        <w:rPr>
          <w:rFonts w:ascii="仿宋_GB2312" w:hAnsi="宋体" w:hint="eastAsia"/>
          <w:szCs w:val="28"/>
        </w:rPr>
      </w:pPr>
      <w:r>
        <w:rPr>
          <w:rFonts w:ascii="仿宋_GB2312" w:hAnsi="宋体" w:hint="eastAsia"/>
          <w:szCs w:val="28"/>
        </w:rPr>
        <w:t>2025年6月20日</w:t>
      </w:r>
    </w:p>
    <w:p w14:paraId="0E5B8AC9" w14:textId="77777777" w:rsidR="008C583E" w:rsidRDefault="008C583E" w:rsidP="008C583E">
      <w:pPr>
        <w:spacing w:line="560" w:lineRule="exact"/>
        <w:ind w:firstLineChars="0" w:firstLine="0"/>
        <w:jc w:val="left"/>
        <w:rPr>
          <w:rFonts w:ascii="仿宋_GB2312" w:hAnsi="宋体" w:hint="eastAsia"/>
          <w:szCs w:val="28"/>
        </w:rPr>
      </w:pPr>
    </w:p>
    <w:sectPr w:rsidR="008C583E">
      <w:headerReference w:type="even" r:id="rId9"/>
      <w:headerReference w:type="default" r:id="rId10"/>
      <w:footerReference w:type="even" r:id="rId11"/>
      <w:footerReference w:type="default" r:id="rId12"/>
      <w:headerReference w:type="first" r:id="rId13"/>
      <w:footerReference w:type="first" r:id="rId14"/>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33015" w14:textId="77777777" w:rsidR="00C8532F" w:rsidRDefault="00C8532F">
      <w:pPr>
        <w:ind w:firstLine="640"/>
      </w:pPr>
      <w:r>
        <w:separator/>
      </w:r>
    </w:p>
  </w:endnote>
  <w:endnote w:type="continuationSeparator" w:id="0">
    <w:p w14:paraId="0C49E31D" w14:textId="77777777" w:rsidR="00C8532F" w:rsidRDefault="00C8532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7338" w14:textId="77777777" w:rsidR="004F412E" w:rsidRDefault="004F412E">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16374"/>
    </w:sdtPr>
    <w:sdtContent>
      <w:p w14:paraId="0E76AC9A" w14:textId="77777777" w:rsidR="004F412E" w:rsidRDefault="00000000">
        <w:pPr>
          <w:pStyle w:val="af9"/>
          <w:ind w:firstLine="360"/>
          <w:jc w:val="center"/>
        </w:pPr>
        <w:r>
          <w:fldChar w:fldCharType="begin"/>
        </w:r>
        <w:r>
          <w:instrText>PAGE   \* MERGEFORMAT</w:instrText>
        </w:r>
        <w:r>
          <w:fldChar w:fldCharType="separate"/>
        </w:r>
        <w:r>
          <w:rPr>
            <w:lang w:val="zh-CN"/>
          </w:rPr>
          <w:t>1</w:t>
        </w:r>
        <w:r>
          <w:fldChar w:fldCharType="end"/>
        </w:r>
      </w:p>
    </w:sdtContent>
  </w:sdt>
  <w:p w14:paraId="79C84AE9" w14:textId="77777777" w:rsidR="004F412E" w:rsidRDefault="004F412E">
    <w:pPr>
      <w:pStyle w:val="af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C28D" w14:textId="77777777" w:rsidR="004F412E" w:rsidRDefault="004F412E">
    <w:pPr>
      <w:pStyle w:val="af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1B41C" w14:textId="77777777" w:rsidR="00C8532F" w:rsidRDefault="00C8532F">
      <w:pPr>
        <w:ind w:firstLine="640"/>
      </w:pPr>
      <w:r>
        <w:separator/>
      </w:r>
    </w:p>
  </w:footnote>
  <w:footnote w:type="continuationSeparator" w:id="0">
    <w:p w14:paraId="376A7E7A" w14:textId="77777777" w:rsidR="00C8532F" w:rsidRDefault="00C8532F">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9F39" w14:textId="77777777" w:rsidR="004F412E" w:rsidRDefault="004F412E">
    <w:pPr>
      <w:pStyle w:val="af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17B8" w14:textId="77777777" w:rsidR="004F412E" w:rsidRDefault="004F412E">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D95E3" w14:textId="77777777" w:rsidR="004F412E" w:rsidRDefault="004F412E">
    <w:pPr>
      <w:pStyle w:val="af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CE7D34"/>
    <w:multiLevelType w:val="multilevel"/>
    <w:tmpl w:val="BFCE7D34"/>
    <w:lvl w:ilvl="0">
      <w:start w:val="1"/>
      <w:numFmt w:val="upperLetter"/>
      <w:suff w:val="space"/>
      <w:lvlText w:val="%1"/>
      <w:lvlJc w:val="left"/>
      <w:pPr>
        <w:ind w:left="425" w:hanging="425"/>
      </w:pPr>
    </w:lvl>
    <w:lvl w:ilvl="1">
      <w:start w:val="1"/>
      <w:numFmt w:val="decimal"/>
      <w:pStyle w:val="a"/>
      <w:suff w:val="space"/>
      <w:lvlText w:val="表%1.%2"/>
      <w:lvlJc w:val="center"/>
      <w:pPr>
        <w:ind w:left="0" w:firstLine="0"/>
      </w:pPr>
      <w:rPr>
        <w:rFonts w:ascii="黑体" w:eastAsia="黑体" w:hAnsi="Times New Roman" w:cs="黑体" w:hint="eastAsia"/>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5"/>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E09D9079"/>
    <w:multiLevelType w:val="multilevel"/>
    <w:tmpl w:val="E09D9079"/>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0"/>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 w15:restartNumberingAfterBreak="0">
    <w:nsid w:val="E6F4C356"/>
    <w:multiLevelType w:val="multilevel"/>
    <w:tmpl w:val="E6F4C356"/>
    <w:lvl w:ilvl="0">
      <w:start w:val="1"/>
      <w:numFmt w:val="none"/>
      <w:pStyle w:val="a1"/>
      <w:lvlText w:val="%1注："/>
      <w:lvlJc w:val="left"/>
      <w:pPr>
        <w:ind w:left="737" w:hanging="374"/>
      </w:pPr>
      <w:rPr>
        <w:rFonts w:ascii="黑体" w:eastAsia="黑体" w:hAnsi="Times New Roman" w:cs="黑体"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3" w15:restartNumberingAfterBreak="0">
    <w:nsid w:val="EC520B8A"/>
    <w:multiLevelType w:val="multilevel"/>
    <w:tmpl w:val="EC520B8A"/>
    <w:lvl w:ilvl="0">
      <w:start w:val="1"/>
      <w:numFmt w:val="none"/>
      <w:suff w:val="nothing"/>
      <w:lvlText w:val="%1"/>
      <w:lvlJc w:val="left"/>
      <w:pPr>
        <w:tabs>
          <w:tab w:val="left" w:pos="0"/>
        </w:tabs>
        <w:ind w:left="0" w:firstLine="0"/>
      </w:pPr>
      <w:rPr>
        <w:rFonts w:cs="Times New Roman"/>
      </w:rPr>
    </w:lvl>
    <w:lvl w:ilvl="1">
      <w:start w:val="1"/>
      <w:numFmt w:val="decimal"/>
      <w:suff w:val="nothing"/>
      <w:lvlText w:val="%1%2　"/>
      <w:lvlJc w:val="left"/>
      <w:pPr>
        <w:tabs>
          <w:tab w:val="left" w:pos="0"/>
        </w:tabs>
        <w:ind w:left="0" w:firstLine="0"/>
      </w:pPr>
      <w:rPr>
        <w:rFonts w:ascii="黑体" w:eastAsia="黑体" w:hAnsi="Times New Roman" w:cs="Times New Roman" w:hint="eastAsia"/>
        <w:b w:val="0"/>
        <w:i w:val="0"/>
        <w:sz w:val="21"/>
      </w:rPr>
    </w:lvl>
    <w:lvl w:ilvl="2">
      <w:start w:val="1"/>
      <w:numFmt w:val="decimal"/>
      <w:pStyle w:val="a2"/>
      <w:suff w:val="nothing"/>
      <w:lvlText w:val="%1%2.%3　"/>
      <w:lvlJc w:val="left"/>
      <w:pPr>
        <w:tabs>
          <w:tab w:val="left" w:pos="0"/>
        </w:tabs>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suff w:val="nothing"/>
      <w:lvlText w:val="%1%2.%3.%4　"/>
      <w:lvlJc w:val="left"/>
      <w:pPr>
        <w:tabs>
          <w:tab w:val="left" w:pos="0"/>
        </w:tabs>
        <w:ind w:left="0" w:firstLine="0"/>
      </w:pPr>
      <w:rPr>
        <w:rFonts w:ascii="黑体" w:eastAsia="黑体" w:hAnsi="Times New Roman" w:cs="Times New Roman" w:hint="eastAsia"/>
        <w:b w:val="0"/>
        <w:i w:val="0"/>
        <w:sz w:val="21"/>
      </w:rPr>
    </w:lvl>
    <w:lvl w:ilvl="4">
      <w:start w:val="1"/>
      <w:numFmt w:val="decimal"/>
      <w:suff w:val="nothing"/>
      <w:lvlText w:val="%1%2.%3.%4.%5　"/>
      <w:lvlJc w:val="left"/>
      <w:pPr>
        <w:tabs>
          <w:tab w:val="left" w:pos="0"/>
        </w:tabs>
        <w:ind w:left="0" w:firstLine="0"/>
      </w:pPr>
      <w:rPr>
        <w:rFonts w:ascii="黑体" w:eastAsia="黑体" w:hAnsi="Times New Roman" w:cs="Times New Roman" w:hint="eastAsia"/>
        <w:b w:val="0"/>
        <w:i w:val="0"/>
        <w:sz w:val="21"/>
      </w:rPr>
    </w:lvl>
    <w:lvl w:ilvl="5">
      <w:start w:val="1"/>
      <w:numFmt w:val="decimal"/>
      <w:suff w:val="nothing"/>
      <w:lvlText w:val="%1%2.%3.%4.%5.%6　"/>
      <w:lvlJc w:val="left"/>
      <w:pPr>
        <w:tabs>
          <w:tab w:val="left" w:pos="0"/>
        </w:tabs>
        <w:ind w:left="0" w:firstLine="0"/>
      </w:pPr>
      <w:rPr>
        <w:rFonts w:ascii="黑体" w:eastAsia="黑体" w:hAnsi="Times New Roman" w:cs="Times New Roman" w:hint="eastAsia"/>
        <w:b w:val="0"/>
        <w:i w:val="0"/>
        <w:sz w:val="21"/>
      </w:rPr>
    </w:lvl>
    <w:lvl w:ilvl="6">
      <w:start w:val="1"/>
      <w:numFmt w:val="decimal"/>
      <w:suff w:val="nothing"/>
      <w:lvlText w:val="%1%2.%3.%4.%5.%6.%7　"/>
      <w:lvlJc w:val="left"/>
      <w:pPr>
        <w:tabs>
          <w:tab w:val="left" w:pos="0"/>
        </w:tabs>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72"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4" w15:restartNumberingAfterBreak="0">
    <w:nsid w:val="079102AD"/>
    <w:multiLevelType w:val="multilevel"/>
    <w:tmpl w:val="079102AD"/>
    <w:lvl w:ilvl="0">
      <w:start w:val="1"/>
      <w:numFmt w:val="decimal"/>
      <w:pStyle w:val="a3"/>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9A288B3"/>
    <w:multiLevelType w:val="multilevel"/>
    <w:tmpl w:val="19A288B3"/>
    <w:lvl w:ilvl="0">
      <w:start w:val="1"/>
      <w:numFmt w:val="upperLetter"/>
      <w:suff w:val="nothing"/>
      <w:lvlText w:val="附录%1"/>
      <w:lvlJc w:val="left"/>
      <w:pPr>
        <w:ind w:left="0" w:firstLine="0"/>
      </w:pPr>
      <w:rPr>
        <w:spacing w:val="100"/>
      </w:rPr>
    </w:lvl>
    <w:lvl w:ilvl="1">
      <w:start w:val="1"/>
      <w:numFmt w:val="decimal"/>
      <w:pStyle w:val="a5"/>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52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34FD0FF7"/>
    <w:multiLevelType w:val="multilevel"/>
    <w:tmpl w:val="34FD0FF7"/>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b"/>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1" w15:restartNumberingAfterBreak="0">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5B36EB98"/>
    <w:multiLevelType w:val="multilevel"/>
    <w:tmpl w:val="5B36EB98"/>
    <w:lvl w:ilvl="0">
      <w:start w:val="1"/>
      <w:numFmt w:val="none"/>
      <w:pStyle w:val="ad"/>
      <w:lvlText w:val="%1——"/>
      <w:lvlJc w:val="left"/>
      <w:pPr>
        <w:tabs>
          <w:tab w:val="left" w:pos="851"/>
        </w:tabs>
        <w:ind w:left="851" w:hanging="426"/>
      </w:pPr>
      <w:rPr>
        <w:rFonts w:ascii="宋体" w:eastAsia="宋体" w:hAnsi="Times New Roman" w:cs="宋体" w:hint="eastAsia"/>
        <w:b w:val="0"/>
        <w:i w:val="0"/>
        <w:sz w:val="21"/>
      </w:rPr>
    </w:lvl>
    <w:lvl w:ilvl="1">
      <w:start w:val="1"/>
      <w:numFmt w:val="none"/>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3"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66461DC"/>
    <w:multiLevelType w:val="multilevel"/>
    <w:tmpl w:val="666461DC"/>
    <w:lvl w:ilvl="0">
      <w:start w:val="1"/>
      <w:numFmt w:val="decimal"/>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f0"/>
      <w:suff w:val="nothing"/>
      <w:lvlText w:val="%1%2　"/>
      <w:lvlJc w:val="left"/>
      <w:pPr>
        <w:ind w:left="0" w:firstLine="0"/>
      </w:pPr>
      <w:rPr>
        <w:rFonts w:ascii="黑体" w:eastAsia="黑体" w:hint="eastAsia"/>
        <w:b w:val="0"/>
        <w:i w:val="0"/>
        <w:sz w:val="21"/>
      </w:rPr>
    </w:lvl>
    <w:lvl w:ilvl="2">
      <w:start w:val="1"/>
      <w:numFmt w:val="decimal"/>
      <w:pStyle w:val="a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227647565">
    <w:abstractNumId w:val="14"/>
  </w:num>
  <w:num w:numId="2" w16cid:durableId="1729112822">
    <w:abstractNumId w:val="11"/>
  </w:num>
  <w:num w:numId="3" w16cid:durableId="84303325">
    <w:abstractNumId w:val="8"/>
  </w:num>
  <w:num w:numId="4" w16cid:durableId="443573895">
    <w:abstractNumId w:val="4"/>
  </w:num>
  <w:num w:numId="5" w16cid:durableId="1230967711">
    <w:abstractNumId w:val="9"/>
  </w:num>
  <w:num w:numId="6" w16cid:durableId="1195463269">
    <w:abstractNumId w:val="7"/>
  </w:num>
  <w:num w:numId="7" w16cid:durableId="1594632123">
    <w:abstractNumId w:val="5"/>
  </w:num>
  <w:num w:numId="8" w16cid:durableId="2106342517">
    <w:abstractNumId w:val="13"/>
  </w:num>
  <w:num w:numId="9" w16cid:durableId="1845974890">
    <w:abstractNumId w:val="3"/>
  </w:num>
  <w:num w:numId="10" w16cid:durableId="1192261274">
    <w:abstractNumId w:val="16"/>
  </w:num>
  <w:num w:numId="11" w16cid:durableId="456023286">
    <w:abstractNumId w:val="10"/>
  </w:num>
  <w:num w:numId="12" w16cid:durableId="901406063">
    <w:abstractNumId w:val="12"/>
  </w:num>
  <w:num w:numId="13" w16cid:durableId="1749502726">
    <w:abstractNumId w:val="1"/>
  </w:num>
  <w:num w:numId="14" w16cid:durableId="2075664757">
    <w:abstractNumId w:val="6"/>
  </w:num>
  <w:num w:numId="15" w16cid:durableId="436294661">
    <w:abstractNumId w:val="0"/>
  </w:num>
  <w:num w:numId="16" w16cid:durableId="710806226">
    <w:abstractNumId w:val="2"/>
  </w:num>
  <w:num w:numId="17" w16cid:durableId="8922298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62E"/>
    <w:rsid w:val="BDF63E3D"/>
    <w:rsid w:val="CB7C5BFC"/>
    <w:rsid w:val="DF3A5D3C"/>
    <w:rsid w:val="EEE3C452"/>
    <w:rsid w:val="EEF751F1"/>
    <w:rsid w:val="F57963B0"/>
    <w:rsid w:val="F9DB69FD"/>
    <w:rsid w:val="FF7E6780"/>
    <w:rsid w:val="FF7F5C5C"/>
    <w:rsid w:val="FFFEF4CD"/>
    <w:rsid w:val="0000457E"/>
    <w:rsid w:val="00005CA4"/>
    <w:rsid w:val="000107BC"/>
    <w:rsid w:val="00013090"/>
    <w:rsid w:val="00016837"/>
    <w:rsid w:val="00021331"/>
    <w:rsid w:val="00023119"/>
    <w:rsid w:val="00023FE2"/>
    <w:rsid w:val="00024212"/>
    <w:rsid w:val="00024664"/>
    <w:rsid w:val="00032CD6"/>
    <w:rsid w:val="00033257"/>
    <w:rsid w:val="00034233"/>
    <w:rsid w:val="00034BDB"/>
    <w:rsid w:val="00047D7B"/>
    <w:rsid w:val="00053B0B"/>
    <w:rsid w:val="00055147"/>
    <w:rsid w:val="00056C7D"/>
    <w:rsid w:val="000576D0"/>
    <w:rsid w:val="00057758"/>
    <w:rsid w:val="00060FE2"/>
    <w:rsid w:val="00063836"/>
    <w:rsid w:val="0007330D"/>
    <w:rsid w:val="00073F72"/>
    <w:rsid w:val="00074EB1"/>
    <w:rsid w:val="00076BBA"/>
    <w:rsid w:val="00080F2F"/>
    <w:rsid w:val="0008145A"/>
    <w:rsid w:val="0009177A"/>
    <w:rsid w:val="0009191C"/>
    <w:rsid w:val="00093E74"/>
    <w:rsid w:val="000962F6"/>
    <w:rsid w:val="000A0201"/>
    <w:rsid w:val="000A1EAE"/>
    <w:rsid w:val="000A3070"/>
    <w:rsid w:val="000A4601"/>
    <w:rsid w:val="000A77CD"/>
    <w:rsid w:val="000B572A"/>
    <w:rsid w:val="000D0ACE"/>
    <w:rsid w:val="000D15BE"/>
    <w:rsid w:val="000D4F09"/>
    <w:rsid w:val="000D5AC8"/>
    <w:rsid w:val="000D6612"/>
    <w:rsid w:val="000D751C"/>
    <w:rsid w:val="000D7F33"/>
    <w:rsid w:val="000E7896"/>
    <w:rsid w:val="000F10EB"/>
    <w:rsid w:val="000F3365"/>
    <w:rsid w:val="000F517A"/>
    <w:rsid w:val="001012D5"/>
    <w:rsid w:val="00101D2E"/>
    <w:rsid w:val="00103B83"/>
    <w:rsid w:val="00105252"/>
    <w:rsid w:val="001062E3"/>
    <w:rsid w:val="00106661"/>
    <w:rsid w:val="0010769F"/>
    <w:rsid w:val="00110544"/>
    <w:rsid w:val="00110864"/>
    <w:rsid w:val="00110F43"/>
    <w:rsid w:val="00112415"/>
    <w:rsid w:val="00113B53"/>
    <w:rsid w:val="00114946"/>
    <w:rsid w:val="00122573"/>
    <w:rsid w:val="00124F56"/>
    <w:rsid w:val="00126CA6"/>
    <w:rsid w:val="001273E7"/>
    <w:rsid w:val="00127EB0"/>
    <w:rsid w:val="00131B03"/>
    <w:rsid w:val="00132C5F"/>
    <w:rsid w:val="00133786"/>
    <w:rsid w:val="00134DD4"/>
    <w:rsid w:val="00134FC2"/>
    <w:rsid w:val="001353EB"/>
    <w:rsid w:val="001435D3"/>
    <w:rsid w:val="001449B5"/>
    <w:rsid w:val="001463AC"/>
    <w:rsid w:val="00151076"/>
    <w:rsid w:val="0015152A"/>
    <w:rsid w:val="00156020"/>
    <w:rsid w:val="00156663"/>
    <w:rsid w:val="001611BB"/>
    <w:rsid w:val="00167167"/>
    <w:rsid w:val="001708F8"/>
    <w:rsid w:val="0018112C"/>
    <w:rsid w:val="00183467"/>
    <w:rsid w:val="0018451D"/>
    <w:rsid w:val="00190A64"/>
    <w:rsid w:val="00190C6A"/>
    <w:rsid w:val="00191774"/>
    <w:rsid w:val="00191DCE"/>
    <w:rsid w:val="001923CF"/>
    <w:rsid w:val="001925FD"/>
    <w:rsid w:val="00192FF7"/>
    <w:rsid w:val="001930A1"/>
    <w:rsid w:val="00194FE3"/>
    <w:rsid w:val="00196054"/>
    <w:rsid w:val="0019711F"/>
    <w:rsid w:val="001A0DBF"/>
    <w:rsid w:val="001A3402"/>
    <w:rsid w:val="001B0E92"/>
    <w:rsid w:val="001B36E5"/>
    <w:rsid w:val="001B3B17"/>
    <w:rsid w:val="001C5F01"/>
    <w:rsid w:val="001C793C"/>
    <w:rsid w:val="001D22F0"/>
    <w:rsid w:val="001D64DB"/>
    <w:rsid w:val="001D7816"/>
    <w:rsid w:val="001E5000"/>
    <w:rsid w:val="001F07A8"/>
    <w:rsid w:val="001F16E6"/>
    <w:rsid w:val="001F241E"/>
    <w:rsid w:val="001F537A"/>
    <w:rsid w:val="001F660A"/>
    <w:rsid w:val="001F79F5"/>
    <w:rsid w:val="001F7E35"/>
    <w:rsid w:val="00205603"/>
    <w:rsid w:val="00210916"/>
    <w:rsid w:val="00210E9C"/>
    <w:rsid w:val="002116FB"/>
    <w:rsid w:val="00214221"/>
    <w:rsid w:val="00217683"/>
    <w:rsid w:val="002223DD"/>
    <w:rsid w:val="002231E8"/>
    <w:rsid w:val="00223EB7"/>
    <w:rsid w:val="00224EB8"/>
    <w:rsid w:val="002317FD"/>
    <w:rsid w:val="00231E62"/>
    <w:rsid w:val="00232769"/>
    <w:rsid w:val="0023623C"/>
    <w:rsid w:val="00244ADA"/>
    <w:rsid w:val="00244C0C"/>
    <w:rsid w:val="002465C7"/>
    <w:rsid w:val="002526F3"/>
    <w:rsid w:val="00254F7A"/>
    <w:rsid w:val="00256FE0"/>
    <w:rsid w:val="002614C6"/>
    <w:rsid w:val="002621E1"/>
    <w:rsid w:val="00262753"/>
    <w:rsid w:val="00262771"/>
    <w:rsid w:val="00262F6C"/>
    <w:rsid w:val="00264A7D"/>
    <w:rsid w:val="00264CE4"/>
    <w:rsid w:val="002651A9"/>
    <w:rsid w:val="00266090"/>
    <w:rsid w:val="0027235B"/>
    <w:rsid w:val="00276DBC"/>
    <w:rsid w:val="00277C35"/>
    <w:rsid w:val="00283085"/>
    <w:rsid w:val="00283E25"/>
    <w:rsid w:val="0029084D"/>
    <w:rsid w:val="00291D7F"/>
    <w:rsid w:val="00291EF3"/>
    <w:rsid w:val="002952AC"/>
    <w:rsid w:val="002A1569"/>
    <w:rsid w:val="002A2FCF"/>
    <w:rsid w:val="002A4D06"/>
    <w:rsid w:val="002A5D80"/>
    <w:rsid w:val="002B07E3"/>
    <w:rsid w:val="002B23AB"/>
    <w:rsid w:val="002B2E35"/>
    <w:rsid w:val="002B3D69"/>
    <w:rsid w:val="002B5497"/>
    <w:rsid w:val="002C1D2A"/>
    <w:rsid w:val="002C4618"/>
    <w:rsid w:val="002C4FFB"/>
    <w:rsid w:val="002C5534"/>
    <w:rsid w:val="002C611B"/>
    <w:rsid w:val="002C73B6"/>
    <w:rsid w:val="002D2662"/>
    <w:rsid w:val="002D2B4A"/>
    <w:rsid w:val="002D49CC"/>
    <w:rsid w:val="002D6D1E"/>
    <w:rsid w:val="002E073F"/>
    <w:rsid w:val="002E7467"/>
    <w:rsid w:val="002E7A35"/>
    <w:rsid w:val="002F34AA"/>
    <w:rsid w:val="002F4B59"/>
    <w:rsid w:val="002F4D7B"/>
    <w:rsid w:val="002F513F"/>
    <w:rsid w:val="002F613B"/>
    <w:rsid w:val="003025DF"/>
    <w:rsid w:val="00303E23"/>
    <w:rsid w:val="00304BFD"/>
    <w:rsid w:val="00306925"/>
    <w:rsid w:val="0031011D"/>
    <w:rsid w:val="00311AEE"/>
    <w:rsid w:val="003144B8"/>
    <w:rsid w:val="00314640"/>
    <w:rsid w:val="00327623"/>
    <w:rsid w:val="00332688"/>
    <w:rsid w:val="0033375C"/>
    <w:rsid w:val="0034090F"/>
    <w:rsid w:val="00342E4F"/>
    <w:rsid w:val="00343C24"/>
    <w:rsid w:val="00345BCC"/>
    <w:rsid w:val="00352D8D"/>
    <w:rsid w:val="00353735"/>
    <w:rsid w:val="00354D06"/>
    <w:rsid w:val="00356D19"/>
    <w:rsid w:val="00357A1D"/>
    <w:rsid w:val="00357E18"/>
    <w:rsid w:val="0036001E"/>
    <w:rsid w:val="00360952"/>
    <w:rsid w:val="003620B6"/>
    <w:rsid w:val="00362F10"/>
    <w:rsid w:val="00365252"/>
    <w:rsid w:val="003709AC"/>
    <w:rsid w:val="00372A01"/>
    <w:rsid w:val="00372C98"/>
    <w:rsid w:val="00373BAD"/>
    <w:rsid w:val="00374390"/>
    <w:rsid w:val="003754CF"/>
    <w:rsid w:val="0037702D"/>
    <w:rsid w:val="00381796"/>
    <w:rsid w:val="00382AB2"/>
    <w:rsid w:val="00384BBF"/>
    <w:rsid w:val="00385D55"/>
    <w:rsid w:val="00386647"/>
    <w:rsid w:val="00390728"/>
    <w:rsid w:val="00391984"/>
    <w:rsid w:val="00392E22"/>
    <w:rsid w:val="00396025"/>
    <w:rsid w:val="003B2F32"/>
    <w:rsid w:val="003B5050"/>
    <w:rsid w:val="003B729F"/>
    <w:rsid w:val="003C2C74"/>
    <w:rsid w:val="003C2D44"/>
    <w:rsid w:val="003C483D"/>
    <w:rsid w:val="003D3AF0"/>
    <w:rsid w:val="003D48B6"/>
    <w:rsid w:val="003D51D0"/>
    <w:rsid w:val="003D5CB5"/>
    <w:rsid w:val="003D6E58"/>
    <w:rsid w:val="003D7910"/>
    <w:rsid w:val="003E330B"/>
    <w:rsid w:val="003E4A86"/>
    <w:rsid w:val="003F284D"/>
    <w:rsid w:val="003F28D0"/>
    <w:rsid w:val="003F3119"/>
    <w:rsid w:val="003F392A"/>
    <w:rsid w:val="003F3AAC"/>
    <w:rsid w:val="003F727B"/>
    <w:rsid w:val="0040035D"/>
    <w:rsid w:val="00403F64"/>
    <w:rsid w:val="00404BD1"/>
    <w:rsid w:val="004050BE"/>
    <w:rsid w:val="0040610D"/>
    <w:rsid w:val="00406A80"/>
    <w:rsid w:val="00415729"/>
    <w:rsid w:val="0042062E"/>
    <w:rsid w:val="00421D80"/>
    <w:rsid w:val="004247E7"/>
    <w:rsid w:val="00424AF1"/>
    <w:rsid w:val="00424FCB"/>
    <w:rsid w:val="00425860"/>
    <w:rsid w:val="00427B81"/>
    <w:rsid w:val="00434E46"/>
    <w:rsid w:val="00434F90"/>
    <w:rsid w:val="004378E4"/>
    <w:rsid w:val="0044118D"/>
    <w:rsid w:val="004441BD"/>
    <w:rsid w:val="004503F4"/>
    <w:rsid w:val="0045483D"/>
    <w:rsid w:val="00455661"/>
    <w:rsid w:val="0046025A"/>
    <w:rsid w:val="00460359"/>
    <w:rsid w:val="004605D8"/>
    <w:rsid w:val="004626AF"/>
    <w:rsid w:val="00462BA6"/>
    <w:rsid w:val="00465230"/>
    <w:rsid w:val="00467DEF"/>
    <w:rsid w:val="004715D8"/>
    <w:rsid w:val="00475C51"/>
    <w:rsid w:val="004805D0"/>
    <w:rsid w:val="00480BA1"/>
    <w:rsid w:val="00481328"/>
    <w:rsid w:val="004814A9"/>
    <w:rsid w:val="0048357F"/>
    <w:rsid w:val="00484EF3"/>
    <w:rsid w:val="00485212"/>
    <w:rsid w:val="00485ABA"/>
    <w:rsid w:val="004865C9"/>
    <w:rsid w:val="0049011A"/>
    <w:rsid w:val="00491FE3"/>
    <w:rsid w:val="0049241F"/>
    <w:rsid w:val="0049390C"/>
    <w:rsid w:val="004A25C4"/>
    <w:rsid w:val="004A2878"/>
    <w:rsid w:val="004A614E"/>
    <w:rsid w:val="004A660C"/>
    <w:rsid w:val="004A76AB"/>
    <w:rsid w:val="004B2E7F"/>
    <w:rsid w:val="004B31EC"/>
    <w:rsid w:val="004C4136"/>
    <w:rsid w:val="004D155D"/>
    <w:rsid w:val="004D2302"/>
    <w:rsid w:val="004D393C"/>
    <w:rsid w:val="004D5B22"/>
    <w:rsid w:val="004D7ED2"/>
    <w:rsid w:val="004E3026"/>
    <w:rsid w:val="004E6650"/>
    <w:rsid w:val="004F0593"/>
    <w:rsid w:val="004F412E"/>
    <w:rsid w:val="004F48C2"/>
    <w:rsid w:val="004F74F0"/>
    <w:rsid w:val="004F7FA9"/>
    <w:rsid w:val="005009D1"/>
    <w:rsid w:val="0050156A"/>
    <w:rsid w:val="00505469"/>
    <w:rsid w:val="005066ED"/>
    <w:rsid w:val="005067C2"/>
    <w:rsid w:val="0051028F"/>
    <w:rsid w:val="0051148B"/>
    <w:rsid w:val="00513080"/>
    <w:rsid w:val="00514C97"/>
    <w:rsid w:val="005159F5"/>
    <w:rsid w:val="00516AFA"/>
    <w:rsid w:val="00526200"/>
    <w:rsid w:val="005269CF"/>
    <w:rsid w:val="00533886"/>
    <w:rsid w:val="0053418A"/>
    <w:rsid w:val="00535AC6"/>
    <w:rsid w:val="00537550"/>
    <w:rsid w:val="0053760A"/>
    <w:rsid w:val="00541E4A"/>
    <w:rsid w:val="0054317B"/>
    <w:rsid w:val="00546DEA"/>
    <w:rsid w:val="005476F8"/>
    <w:rsid w:val="00550145"/>
    <w:rsid w:val="005639F8"/>
    <w:rsid w:val="005656AA"/>
    <w:rsid w:val="005742DB"/>
    <w:rsid w:val="00577C08"/>
    <w:rsid w:val="005802BD"/>
    <w:rsid w:val="0058151C"/>
    <w:rsid w:val="00581CE7"/>
    <w:rsid w:val="00582F5C"/>
    <w:rsid w:val="0058472C"/>
    <w:rsid w:val="005870E5"/>
    <w:rsid w:val="005873D6"/>
    <w:rsid w:val="005876DE"/>
    <w:rsid w:val="00593466"/>
    <w:rsid w:val="00596702"/>
    <w:rsid w:val="005977DE"/>
    <w:rsid w:val="005A1A17"/>
    <w:rsid w:val="005A4523"/>
    <w:rsid w:val="005A4707"/>
    <w:rsid w:val="005B0CDC"/>
    <w:rsid w:val="005B2261"/>
    <w:rsid w:val="005B23F7"/>
    <w:rsid w:val="005B7128"/>
    <w:rsid w:val="005B76D5"/>
    <w:rsid w:val="005B7B7E"/>
    <w:rsid w:val="005C468E"/>
    <w:rsid w:val="005D06D6"/>
    <w:rsid w:val="005D1EE1"/>
    <w:rsid w:val="005D2762"/>
    <w:rsid w:val="005D2AEE"/>
    <w:rsid w:val="005D3F96"/>
    <w:rsid w:val="005D42F6"/>
    <w:rsid w:val="005D5DDF"/>
    <w:rsid w:val="005D6A5C"/>
    <w:rsid w:val="005E05D4"/>
    <w:rsid w:val="005E207A"/>
    <w:rsid w:val="005E2143"/>
    <w:rsid w:val="005F0995"/>
    <w:rsid w:val="005F1E35"/>
    <w:rsid w:val="005F36D9"/>
    <w:rsid w:val="005F4F92"/>
    <w:rsid w:val="005F6C71"/>
    <w:rsid w:val="005F71EC"/>
    <w:rsid w:val="005F7613"/>
    <w:rsid w:val="00601C97"/>
    <w:rsid w:val="006038B2"/>
    <w:rsid w:val="006062AE"/>
    <w:rsid w:val="0060656D"/>
    <w:rsid w:val="00606B5A"/>
    <w:rsid w:val="00610884"/>
    <w:rsid w:val="00614347"/>
    <w:rsid w:val="006147DA"/>
    <w:rsid w:val="0062702A"/>
    <w:rsid w:val="00636DF8"/>
    <w:rsid w:val="006404F1"/>
    <w:rsid w:val="0064449B"/>
    <w:rsid w:val="00644C40"/>
    <w:rsid w:val="00644EED"/>
    <w:rsid w:val="006467C4"/>
    <w:rsid w:val="00651C9C"/>
    <w:rsid w:val="00654D8C"/>
    <w:rsid w:val="006555D8"/>
    <w:rsid w:val="00655638"/>
    <w:rsid w:val="006610FC"/>
    <w:rsid w:val="0066440C"/>
    <w:rsid w:val="00664832"/>
    <w:rsid w:val="006670DB"/>
    <w:rsid w:val="00667C57"/>
    <w:rsid w:val="0067586A"/>
    <w:rsid w:val="00680EEB"/>
    <w:rsid w:val="006811BF"/>
    <w:rsid w:val="00681C0F"/>
    <w:rsid w:val="00682D7C"/>
    <w:rsid w:val="00682FAD"/>
    <w:rsid w:val="0068494D"/>
    <w:rsid w:val="00690D6C"/>
    <w:rsid w:val="00692ABA"/>
    <w:rsid w:val="006945D3"/>
    <w:rsid w:val="006A1BD7"/>
    <w:rsid w:val="006A3112"/>
    <w:rsid w:val="006B1080"/>
    <w:rsid w:val="006B2092"/>
    <w:rsid w:val="006B6EA3"/>
    <w:rsid w:val="006C0CC1"/>
    <w:rsid w:val="006C6B87"/>
    <w:rsid w:val="006C70ED"/>
    <w:rsid w:val="006D0354"/>
    <w:rsid w:val="006D4B56"/>
    <w:rsid w:val="006D4CCC"/>
    <w:rsid w:val="006D50EC"/>
    <w:rsid w:val="006D5788"/>
    <w:rsid w:val="006D5D5F"/>
    <w:rsid w:val="006E155C"/>
    <w:rsid w:val="006E65EC"/>
    <w:rsid w:val="006E7520"/>
    <w:rsid w:val="006F03ED"/>
    <w:rsid w:val="006F67E6"/>
    <w:rsid w:val="006F77F7"/>
    <w:rsid w:val="00700D32"/>
    <w:rsid w:val="0070138D"/>
    <w:rsid w:val="00701A2B"/>
    <w:rsid w:val="0070266E"/>
    <w:rsid w:val="00705429"/>
    <w:rsid w:val="00705F4C"/>
    <w:rsid w:val="0070730B"/>
    <w:rsid w:val="00712BC5"/>
    <w:rsid w:val="00715CA4"/>
    <w:rsid w:val="00716EAC"/>
    <w:rsid w:val="00720395"/>
    <w:rsid w:val="00722AAE"/>
    <w:rsid w:val="0072448B"/>
    <w:rsid w:val="007245EF"/>
    <w:rsid w:val="00726016"/>
    <w:rsid w:val="00726F82"/>
    <w:rsid w:val="00735B90"/>
    <w:rsid w:val="007432F4"/>
    <w:rsid w:val="0075401E"/>
    <w:rsid w:val="00755471"/>
    <w:rsid w:val="007556A8"/>
    <w:rsid w:val="00756686"/>
    <w:rsid w:val="00760DDA"/>
    <w:rsid w:val="00760FBD"/>
    <w:rsid w:val="00774780"/>
    <w:rsid w:val="007768A2"/>
    <w:rsid w:val="00776FE6"/>
    <w:rsid w:val="007812EA"/>
    <w:rsid w:val="00781F1A"/>
    <w:rsid w:val="00782C84"/>
    <w:rsid w:val="00784D8F"/>
    <w:rsid w:val="007912E9"/>
    <w:rsid w:val="007923BD"/>
    <w:rsid w:val="00793820"/>
    <w:rsid w:val="00794DE3"/>
    <w:rsid w:val="00797654"/>
    <w:rsid w:val="00797B14"/>
    <w:rsid w:val="007A022B"/>
    <w:rsid w:val="007A1A73"/>
    <w:rsid w:val="007A36E9"/>
    <w:rsid w:val="007A4FEA"/>
    <w:rsid w:val="007A5B26"/>
    <w:rsid w:val="007A710B"/>
    <w:rsid w:val="007B0B70"/>
    <w:rsid w:val="007B317A"/>
    <w:rsid w:val="007B4614"/>
    <w:rsid w:val="007B7812"/>
    <w:rsid w:val="007C11E0"/>
    <w:rsid w:val="007C3308"/>
    <w:rsid w:val="007C4C1F"/>
    <w:rsid w:val="007D1773"/>
    <w:rsid w:val="007D3096"/>
    <w:rsid w:val="007D4356"/>
    <w:rsid w:val="007D4FCA"/>
    <w:rsid w:val="007D520B"/>
    <w:rsid w:val="007D5225"/>
    <w:rsid w:val="007D6192"/>
    <w:rsid w:val="007D646F"/>
    <w:rsid w:val="007E0035"/>
    <w:rsid w:val="007E1ADC"/>
    <w:rsid w:val="007F05BA"/>
    <w:rsid w:val="007F1688"/>
    <w:rsid w:val="007F17C2"/>
    <w:rsid w:val="007F3051"/>
    <w:rsid w:val="007F445F"/>
    <w:rsid w:val="007F69C4"/>
    <w:rsid w:val="00800158"/>
    <w:rsid w:val="00800C49"/>
    <w:rsid w:val="008019FB"/>
    <w:rsid w:val="00805B1A"/>
    <w:rsid w:val="00812666"/>
    <w:rsid w:val="0081604D"/>
    <w:rsid w:val="00816354"/>
    <w:rsid w:val="00825BEF"/>
    <w:rsid w:val="00826AFA"/>
    <w:rsid w:val="008275DE"/>
    <w:rsid w:val="0083025F"/>
    <w:rsid w:val="00831A4E"/>
    <w:rsid w:val="00834158"/>
    <w:rsid w:val="00834F29"/>
    <w:rsid w:val="00835BCC"/>
    <w:rsid w:val="00837133"/>
    <w:rsid w:val="00841FDD"/>
    <w:rsid w:val="00843099"/>
    <w:rsid w:val="00844A63"/>
    <w:rsid w:val="00845B6B"/>
    <w:rsid w:val="0085555C"/>
    <w:rsid w:val="0085722C"/>
    <w:rsid w:val="00860076"/>
    <w:rsid w:val="00864B42"/>
    <w:rsid w:val="00864EDC"/>
    <w:rsid w:val="008717FD"/>
    <w:rsid w:val="00872085"/>
    <w:rsid w:val="0087311E"/>
    <w:rsid w:val="008766A7"/>
    <w:rsid w:val="0088023F"/>
    <w:rsid w:val="00881D70"/>
    <w:rsid w:val="00884AB2"/>
    <w:rsid w:val="008853E8"/>
    <w:rsid w:val="00890B67"/>
    <w:rsid w:val="00893361"/>
    <w:rsid w:val="00893A8E"/>
    <w:rsid w:val="00893CE3"/>
    <w:rsid w:val="008941F8"/>
    <w:rsid w:val="0089639E"/>
    <w:rsid w:val="00896455"/>
    <w:rsid w:val="0089684C"/>
    <w:rsid w:val="008A328F"/>
    <w:rsid w:val="008A42EB"/>
    <w:rsid w:val="008A4E58"/>
    <w:rsid w:val="008A5709"/>
    <w:rsid w:val="008B1A6F"/>
    <w:rsid w:val="008B35DA"/>
    <w:rsid w:val="008B6562"/>
    <w:rsid w:val="008B7C56"/>
    <w:rsid w:val="008C1BE0"/>
    <w:rsid w:val="008C5328"/>
    <w:rsid w:val="008C583E"/>
    <w:rsid w:val="008C6844"/>
    <w:rsid w:val="008D1502"/>
    <w:rsid w:val="008D2E6B"/>
    <w:rsid w:val="008D3059"/>
    <w:rsid w:val="008D44E2"/>
    <w:rsid w:val="008D5C1F"/>
    <w:rsid w:val="008D612C"/>
    <w:rsid w:val="008E0C90"/>
    <w:rsid w:val="008E340A"/>
    <w:rsid w:val="008E71FB"/>
    <w:rsid w:val="008F024A"/>
    <w:rsid w:val="008F25CF"/>
    <w:rsid w:val="008F4CD3"/>
    <w:rsid w:val="008F62FB"/>
    <w:rsid w:val="00900B1D"/>
    <w:rsid w:val="00901C67"/>
    <w:rsid w:val="009058DF"/>
    <w:rsid w:val="00910D7C"/>
    <w:rsid w:val="00910E34"/>
    <w:rsid w:val="00911CE5"/>
    <w:rsid w:val="009133CD"/>
    <w:rsid w:val="0091490C"/>
    <w:rsid w:val="009204DB"/>
    <w:rsid w:val="009206E4"/>
    <w:rsid w:val="0092128F"/>
    <w:rsid w:val="00922063"/>
    <w:rsid w:val="009220D3"/>
    <w:rsid w:val="009226F2"/>
    <w:rsid w:val="00926314"/>
    <w:rsid w:val="00930317"/>
    <w:rsid w:val="00933333"/>
    <w:rsid w:val="0093364F"/>
    <w:rsid w:val="00934E57"/>
    <w:rsid w:val="00936A0A"/>
    <w:rsid w:val="00944176"/>
    <w:rsid w:val="00946A46"/>
    <w:rsid w:val="0094724D"/>
    <w:rsid w:val="009510ED"/>
    <w:rsid w:val="00954E13"/>
    <w:rsid w:val="00955098"/>
    <w:rsid w:val="00962A6D"/>
    <w:rsid w:val="009642C6"/>
    <w:rsid w:val="0096452B"/>
    <w:rsid w:val="00975377"/>
    <w:rsid w:val="0097752F"/>
    <w:rsid w:val="00980E2D"/>
    <w:rsid w:val="00981308"/>
    <w:rsid w:val="00983CDC"/>
    <w:rsid w:val="00983E62"/>
    <w:rsid w:val="00984743"/>
    <w:rsid w:val="00985D99"/>
    <w:rsid w:val="009878F3"/>
    <w:rsid w:val="00987A4E"/>
    <w:rsid w:val="00987C57"/>
    <w:rsid w:val="0099188F"/>
    <w:rsid w:val="009926D7"/>
    <w:rsid w:val="00993328"/>
    <w:rsid w:val="00995822"/>
    <w:rsid w:val="00997A44"/>
    <w:rsid w:val="009A1FC7"/>
    <w:rsid w:val="009A7254"/>
    <w:rsid w:val="009B2BF4"/>
    <w:rsid w:val="009B52A3"/>
    <w:rsid w:val="009B53BA"/>
    <w:rsid w:val="009B609B"/>
    <w:rsid w:val="009B6F4E"/>
    <w:rsid w:val="009B6FA5"/>
    <w:rsid w:val="009B70E4"/>
    <w:rsid w:val="009B74CD"/>
    <w:rsid w:val="009D1F6F"/>
    <w:rsid w:val="009D38DB"/>
    <w:rsid w:val="009D3D0A"/>
    <w:rsid w:val="009D628E"/>
    <w:rsid w:val="009D62DE"/>
    <w:rsid w:val="009E1F06"/>
    <w:rsid w:val="009E5DEF"/>
    <w:rsid w:val="009E6B6B"/>
    <w:rsid w:val="009E71E2"/>
    <w:rsid w:val="009F212C"/>
    <w:rsid w:val="009F3B36"/>
    <w:rsid w:val="009F79E3"/>
    <w:rsid w:val="00A01A52"/>
    <w:rsid w:val="00A02A0A"/>
    <w:rsid w:val="00A04717"/>
    <w:rsid w:val="00A04E49"/>
    <w:rsid w:val="00A10236"/>
    <w:rsid w:val="00A10B7E"/>
    <w:rsid w:val="00A11E9D"/>
    <w:rsid w:val="00A1598C"/>
    <w:rsid w:val="00A15EDE"/>
    <w:rsid w:val="00A163CB"/>
    <w:rsid w:val="00A24789"/>
    <w:rsid w:val="00A25268"/>
    <w:rsid w:val="00A34924"/>
    <w:rsid w:val="00A35F3F"/>
    <w:rsid w:val="00A3755F"/>
    <w:rsid w:val="00A40234"/>
    <w:rsid w:val="00A4496C"/>
    <w:rsid w:val="00A51BDA"/>
    <w:rsid w:val="00A52FED"/>
    <w:rsid w:val="00A547EA"/>
    <w:rsid w:val="00A54EE3"/>
    <w:rsid w:val="00A60040"/>
    <w:rsid w:val="00A60906"/>
    <w:rsid w:val="00A61125"/>
    <w:rsid w:val="00A62925"/>
    <w:rsid w:val="00A64033"/>
    <w:rsid w:val="00A65635"/>
    <w:rsid w:val="00A66230"/>
    <w:rsid w:val="00A666E6"/>
    <w:rsid w:val="00A66B33"/>
    <w:rsid w:val="00A706DE"/>
    <w:rsid w:val="00A70BEA"/>
    <w:rsid w:val="00A7226B"/>
    <w:rsid w:val="00A74C23"/>
    <w:rsid w:val="00A77E2C"/>
    <w:rsid w:val="00A80575"/>
    <w:rsid w:val="00A806B3"/>
    <w:rsid w:val="00A80E57"/>
    <w:rsid w:val="00A82337"/>
    <w:rsid w:val="00A84B0F"/>
    <w:rsid w:val="00A90118"/>
    <w:rsid w:val="00A90821"/>
    <w:rsid w:val="00A928C5"/>
    <w:rsid w:val="00A94CCD"/>
    <w:rsid w:val="00A955A3"/>
    <w:rsid w:val="00A958C2"/>
    <w:rsid w:val="00A95C9E"/>
    <w:rsid w:val="00A965CD"/>
    <w:rsid w:val="00A96933"/>
    <w:rsid w:val="00A97D34"/>
    <w:rsid w:val="00AA175E"/>
    <w:rsid w:val="00AA1B3F"/>
    <w:rsid w:val="00AA565B"/>
    <w:rsid w:val="00AA6572"/>
    <w:rsid w:val="00AA6DE0"/>
    <w:rsid w:val="00AA6F83"/>
    <w:rsid w:val="00AB0EDD"/>
    <w:rsid w:val="00AB238D"/>
    <w:rsid w:val="00AC5DC1"/>
    <w:rsid w:val="00AD1275"/>
    <w:rsid w:val="00AD56BA"/>
    <w:rsid w:val="00AE15F9"/>
    <w:rsid w:val="00AE5941"/>
    <w:rsid w:val="00AE7E72"/>
    <w:rsid w:val="00AF00B0"/>
    <w:rsid w:val="00AF0B6E"/>
    <w:rsid w:val="00AF0C1B"/>
    <w:rsid w:val="00AF1152"/>
    <w:rsid w:val="00AF20DE"/>
    <w:rsid w:val="00AF2ADA"/>
    <w:rsid w:val="00AF2C7E"/>
    <w:rsid w:val="00AF337C"/>
    <w:rsid w:val="00AF365B"/>
    <w:rsid w:val="00AF3BC9"/>
    <w:rsid w:val="00B0152E"/>
    <w:rsid w:val="00B06F77"/>
    <w:rsid w:val="00B17EA4"/>
    <w:rsid w:val="00B2401D"/>
    <w:rsid w:val="00B271E2"/>
    <w:rsid w:val="00B27F1E"/>
    <w:rsid w:val="00B320E0"/>
    <w:rsid w:val="00B32D83"/>
    <w:rsid w:val="00B33249"/>
    <w:rsid w:val="00B35A2B"/>
    <w:rsid w:val="00B3629C"/>
    <w:rsid w:val="00B40143"/>
    <w:rsid w:val="00B44598"/>
    <w:rsid w:val="00B44C87"/>
    <w:rsid w:val="00B45127"/>
    <w:rsid w:val="00B47772"/>
    <w:rsid w:val="00B525E7"/>
    <w:rsid w:val="00B5298A"/>
    <w:rsid w:val="00B52BC2"/>
    <w:rsid w:val="00B54B9E"/>
    <w:rsid w:val="00B5655B"/>
    <w:rsid w:val="00B602C0"/>
    <w:rsid w:val="00B630FC"/>
    <w:rsid w:val="00B639CC"/>
    <w:rsid w:val="00B65AA6"/>
    <w:rsid w:val="00B67A38"/>
    <w:rsid w:val="00B736AC"/>
    <w:rsid w:val="00B753D4"/>
    <w:rsid w:val="00B777DB"/>
    <w:rsid w:val="00B804DA"/>
    <w:rsid w:val="00B83BD4"/>
    <w:rsid w:val="00B873B1"/>
    <w:rsid w:val="00B91C42"/>
    <w:rsid w:val="00BA7E71"/>
    <w:rsid w:val="00BB0ED6"/>
    <w:rsid w:val="00BB1C0A"/>
    <w:rsid w:val="00BB4376"/>
    <w:rsid w:val="00BB4A45"/>
    <w:rsid w:val="00BB4B74"/>
    <w:rsid w:val="00BB6FED"/>
    <w:rsid w:val="00BC41B2"/>
    <w:rsid w:val="00BC45B6"/>
    <w:rsid w:val="00BC4F9E"/>
    <w:rsid w:val="00BE0799"/>
    <w:rsid w:val="00BE26D9"/>
    <w:rsid w:val="00BF1119"/>
    <w:rsid w:val="00BF5510"/>
    <w:rsid w:val="00C00C31"/>
    <w:rsid w:val="00C04C3E"/>
    <w:rsid w:val="00C070A2"/>
    <w:rsid w:val="00C10D37"/>
    <w:rsid w:val="00C13A0F"/>
    <w:rsid w:val="00C14C4A"/>
    <w:rsid w:val="00C15796"/>
    <w:rsid w:val="00C17E66"/>
    <w:rsid w:val="00C22482"/>
    <w:rsid w:val="00C242A9"/>
    <w:rsid w:val="00C24D87"/>
    <w:rsid w:val="00C3032A"/>
    <w:rsid w:val="00C31C6D"/>
    <w:rsid w:val="00C31FF2"/>
    <w:rsid w:val="00C33C36"/>
    <w:rsid w:val="00C34E53"/>
    <w:rsid w:val="00C37264"/>
    <w:rsid w:val="00C40428"/>
    <w:rsid w:val="00C408D1"/>
    <w:rsid w:val="00C41ED9"/>
    <w:rsid w:val="00C44645"/>
    <w:rsid w:val="00C50A3F"/>
    <w:rsid w:val="00C51474"/>
    <w:rsid w:val="00C51847"/>
    <w:rsid w:val="00C55C36"/>
    <w:rsid w:val="00C60DD6"/>
    <w:rsid w:val="00C61072"/>
    <w:rsid w:val="00C6137D"/>
    <w:rsid w:val="00C61540"/>
    <w:rsid w:val="00C61B0C"/>
    <w:rsid w:val="00C634E4"/>
    <w:rsid w:val="00C67D4C"/>
    <w:rsid w:val="00C706FA"/>
    <w:rsid w:val="00C71FD7"/>
    <w:rsid w:val="00C808FE"/>
    <w:rsid w:val="00C81D18"/>
    <w:rsid w:val="00C82258"/>
    <w:rsid w:val="00C82744"/>
    <w:rsid w:val="00C836D9"/>
    <w:rsid w:val="00C84109"/>
    <w:rsid w:val="00C843F0"/>
    <w:rsid w:val="00C8532F"/>
    <w:rsid w:val="00C85F66"/>
    <w:rsid w:val="00C87386"/>
    <w:rsid w:val="00C87F51"/>
    <w:rsid w:val="00C95F0B"/>
    <w:rsid w:val="00C96EE4"/>
    <w:rsid w:val="00CA0CFD"/>
    <w:rsid w:val="00CA37C8"/>
    <w:rsid w:val="00CA5047"/>
    <w:rsid w:val="00CA7C2A"/>
    <w:rsid w:val="00CB654E"/>
    <w:rsid w:val="00CC1221"/>
    <w:rsid w:val="00CC4EE7"/>
    <w:rsid w:val="00CC6DD2"/>
    <w:rsid w:val="00CD4CC6"/>
    <w:rsid w:val="00CD58FA"/>
    <w:rsid w:val="00CD5B55"/>
    <w:rsid w:val="00CD5C22"/>
    <w:rsid w:val="00CE363E"/>
    <w:rsid w:val="00CF1430"/>
    <w:rsid w:val="00CF1AE4"/>
    <w:rsid w:val="00D0046C"/>
    <w:rsid w:val="00D00979"/>
    <w:rsid w:val="00D019CE"/>
    <w:rsid w:val="00D01E3B"/>
    <w:rsid w:val="00D05480"/>
    <w:rsid w:val="00D06EEA"/>
    <w:rsid w:val="00D11946"/>
    <w:rsid w:val="00D13BA4"/>
    <w:rsid w:val="00D14F71"/>
    <w:rsid w:val="00D15612"/>
    <w:rsid w:val="00D156E5"/>
    <w:rsid w:val="00D17A89"/>
    <w:rsid w:val="00D204BD"/>
    <w:rsid w:val="00D21619"/>
    <w:rsid w:val="00D21B1B"/>
    <w:rsid w:val="00D220B5"/>
    <w:rsid w:val="00D22B2D"/>
    <w:rsid w:val="00D26063"/>
    <w:rsid w:val="00D30FB0"/>
    <w:rsid w:val="00D32832"/>
    <w:rsid w:val="00D33C76"/>
    <w:rsid w:val="00D34827"/>
    <w:rsid w:val="00D3642E"/>
    <w:rsid w:val="00D37490"/>
    <w:rsid w:val="00D41F8D"/>
    <w:rsid w:val="00D451AB"/>
    <w:rsid w:val="00D50991"/>
    <w:rsid w:val="00D50F65"/>
    <w:rsid w:val="00D578AF"/>
    <w:rsid w:val="00D61DA0"/>
    <w:rsid w:val="00D65D7A"/>
    <w:rsid w:val="00D6793A"/>
    <w:rsid w:val="00D7347C"/>
    <w:rsid w:val="00D74D7F"/>
    <w:rsid w:val="00D75348"/>
    <w:rsid w:val="00D80F6F"/>
    <w:rsid w:val="00D820E3"/>
    <w:rsid w:val="00D863C9"/>
    <w:rsid w:val="00D9342C"/>
    <w:rsid w:val="00D944CB"/>
    <w:rsid w:val="00DA326B"/>
    <w:rsid w:val="00DA3BCE"/>
    <w:rsid w:val="00DA48A2"/>
    <w:rsid w:val="00DA59FA"/>
    <w:rsid w:val="00DB1157"/>
    <w:rsid w:val="00DB295F"/>
    <w:rsid w:val="00DB29E4"/>
    <w:rsid w:val="00DB3826"/>
    <w:rsid w:val="00DB47DC"/>
    <w:rsid w:val="00DB74F2"/>
    <w:rsid w:val="00DC205C"/>
    <w:rsid w:val="00DC5687"/>
    <w:rsid w:val="00DC6575"/>
    <w:rsid w:val="00DC7A5D"/>
    <w:rsid w:val="00DD00EF"/>
    <w:rsid w:val="00DD1CF8"/>
    <w:rsid w:val="00DD6102"/>
    <w:rsid w:val="00DD71F1"/>
    <w:rsid w:val="00DE00C5"/>
    <w:rsid w:val="00DE3FB5"/>
    <w:rsid w:val="00DF2749"/>
    <w:rsid w:val="00DF60A6"/>
    <w:rsid w:val="00E00D0A"/>
    <w:rsid w:val="00E05B5A"/>
    <w:rsid w:val="00E05F1B"/>
    <w:rsid w:val="00E07B93"/>
    <w:rsid w:val="00E07E15"/>
    <w:rsid w:val="00E1354A"/>
    <w:rsid w:val="00E161F8"/>
    <w:rsid w:val="00E261A4"/>
    <w:rsid w:val="00E26EE5"/>
    <w:rsid w:val="00E32815"/>
    <w:rsid w:val="00E33554"/>
    <w:rsid w:val="00E40596"/>
    <w:rsid w:val="00E40BA9"/>
    <w:rsid w:val="00E41B77"/>
    <w:rsid w:val="00E45EC3"/>
    <w:rsid w:val="00E47C4F"/>
    <w:rsid w:val="00E53BBB"/>
    <w:rsid w:val="00E541A3"/>
    <w:rsid w:val="00E637BB"/>
    <w:rsid w:val="00E638C8"/>
    <w:rsid w:val="00E658DD"/>
    <w:rsid w:val="00E65D7E"/>
    <w:rsid w:val="00E70383"/>
    <w:rsid w:val="00E7427C"/>
    <w:rsid w:val="00E75972"/>
    <w:rsid w:val="00E815D2"/>
    <w:rsid w:val="00E82204"/>
    <w:rsid w:val="00E8377B"/>
    <w:rsid w:val="00E83A77"/>
    <w:rsid w:val="00E8796C"/>
    <w:rsid w:val="00E90251"/>
    <w:rsid w:val="00E933C0"/>
    <w:rsid w:val="00E962B7"/>
    <w:rsid w:val="00E96877"/>
    <w:rsid w:val="00E978BF"/>
    <w:rsid w:val="00EA1188"/>
    <w:rsid w:val="00EB0752"/>
    <w:rsid w:val="00EB0AE1"/>
    <w:rsid w:val="00EB1186"/>
    <w:rsid w:val="00EB77CC"/>
    <w:rsid w:val="00EC0997"/>
    <w:rsid w:val="00EC2CEC"/>
    <w:rsid w:val="00EC2EEF"/>
    <w:rsid w:val="00EC5DDD"/>
    <w:rsid w:val="00ED2F39"/>
    <w:rsid w:val="00ED30F4"/>
    <w:rsid w:val="00ED43BB"/>
    <w:rsid w:val="00ED449A"/>
    <w:rsid w:val="00ED68E9"/>
    <w:rsid w:val="00EE1FC2"/>
    <w:rsid w:val="00EE419C"/>
    <w:rsid w:val="00EF4076"/>
    <w:rsid w:val="00EF52E8"/>
    <w:rsid w:val="00EF670C"/>
    <w:rsid w:val="00F1132A"/>
    <w:rsid w:val="00F11F09"/>
    <w:rsid w:val="00F1455B"/>
    <w:rsid w:val="00F16D36"/>
    <w:rsid w:val="00F210FD"/>
    <w:rsid w:val="00F250D2"/>
    <w:rsid w:val="00F33087"/>
    <w:rsid w:val="00F350B2"/>
    <w:rsid w:val="00F372A2"/>
    <w:rsid w:val="00F4243D"/>
    <w:rsid w:val="00F4304A"/>
    <w:rsid w:val="00F43155"/>
    <w:rsid w:val="00F44DA4"/>
    <w:rsid w:val="00F45BA7"/>
    <w:rsid w:val="00F45BE9"/>
    <w:rsid w:val="00F46308"/>
    <w:rsid w:val="00F46F4A"/>
    <w:rsid w:val="00F52CE1"/>
    <w:rsid w:val="00F57917"/>
    <w:rsid w:val="00F60788"/>
    <w:rsid w:val="00F70440"/>
    <w:rsid w:val="00F7063D"/>
    <w:rsid w:val="00F70C88"/>
    <w:rsid w:val="00F7168A"/>
    <w:rsid w:val="00F734AD"/>
    <w:rsid w:val="00F745D9"/>
    <w:rsid w:val="00F76618"/>
    <w:rsid w:val="00F76E42"/>
    <w:rsid w:val="00F81D1B"/>
    <w:rsid w:val="00F83FBC"/>
    <w:rsid w:val="00F841A7"/>
    <w:rsid w:val="00F84292"/>
    <w:rsid w:val="00F85E04"/>
    <w:rsid w:val="00F864DA"/>
    <w:rsid w:val="00F9134D"/>
    <w:rsid w:val="00F916DA"/>
    <w:rsid w:val="00F92643"/>
    <w:rsid w:val="00F936B3"/>
    <w:rsid w:val="00F97F7D"/>
    <w:rsid w:val="00FA0333"/>
    <w:rsid w:val="00FA19D5"/>
    <w:rsid w:val="00FA2A94"/>
    <w:rsid w:val="00FA3EE8"/>
    <w:rsid w:val="00FA6669"/>
    <w:rsid w:val="00FA7639"/>
    <w:rsid w:val="00FB3457"/>
    <w:rsid w:val="00FB3E2C"/>
    <w:rsid w:val="00FB695B"/>
    <w:rsid w:val="00FC037E"/>
    <w:rsid w:val="00FC19B9"/>
    <w:rsid w:val="00FC43C0"/>
    <w:rsid w:val="00FC4DE3"/>
    <w:rsid w:val="00FC6716"/>
    <w:rsid w:val="00FD00A5"/>
    <w:rsid w:val="00FD4B0F"/>
    <w:rsid w:val="00FD77D4"/>
    <w:rsid w:val="00FE0661"/>
    <w:rsid w:val="00FF0C09"/>
    <w:rsid w:val="00FF1D34"/>
    <w:rsid w:val="00FF1DD7"/>
    <w:rsid w:val="00FF3775"/>
    <w:rsid w:val="00FF3996"/>
    <w:rsid w:val="00FF428B"/>
    <w:rsid w:val="01CE5D1C"/>
    <w:rsid w:val="026475DE"/>
    <w:rsid w:val="039E595D"/>
    <w:rsid w:val="06E15F8D"/>
    <w:rsid w:val="070F07F6"/>
    <w:rsid w:val="0765096C"/>
    <w:rsid w:val="08083403"/>
    <w:rsid w:val="081C3970"/>
    <w:rsid w:val="09BE5E2A"/>
    <w:rsid w:val="0A091F73"/>
    <w:rsid w:val="0A8504E9"/>
    <w:rsid w:val="0AF54E47"/>
    <w:rsid w:val="0B073D25"/>
    <w:rsid w:val="0C9D4EAB"/>
    <w:rsid w:val="0D92619C"/>
    <w:rsid w:val="0DEA65B5"/>
    <w:rsid w:val="0F412CA9"/>
    <w:rsid w:val="0FD566D2"/>
    <w:rsid w:val="13B2170D"/>
    <w:rsid w:val="13B97480"/>
    <w:rsid w:val="14034EB5"/>
    <w:rsid w:val="14870494"/>
    <w:rsid w:val="15085E8C"/>
    <w:rsid w:val="15174F60"/>
    <w:rsid w:val="1556095A"/>
    <w:rsid w:val="167D7F24"/>
    <w:rsid w:val="17306AB5"/>
    <w:rsid w:val="17373F64"/>
    <w:rsid w:val="19534DA3"/>
    <w:rsid w:val="19A054D6"/>
    <w:rsid w:val="1B0717C8"/>
    <w:rsid w:val="1BA03836"/>
    <w:rsid w:val="1BE33681"/>
    <w:rsid w:val="1DCB4E4A"/>
    <w:rsid w:val="1E1467F1"/>
    <w:rsid w:val="1FBDA86D"/>
    <w:rsid w:val="207417C9"/>
    <w:rsid w:val="21862EC6"/>
    <w:rsid w:val="237A2B2A"/>
    <w:rsid w:val="242D2C2D"/>
    <w:rsid w:val="25FBCF81"/>
    <w:rsid w:val="28FB2A87"/>
    <w:rsid w:val="2C4F36F5"/>
    <w:rsid w:val="2D5F22BD"/>
    <w:rsid w:val="2FF37D11"/>
    <w:rsid w:val="3013049D"/>
    <w:rsid w:val="332C3D99"/>
    <w:rsid w:val="334836EB"/>
    <w:rsid w:val="33484B1B"/>
    <w:rsid w:val="339259E4"/>
    <w:rsid w:val="365875C5"/>
    <w:rsid w:val="384B399F"/>
    <w:rsid w:val="39356049"/>
    <w:rsid w:val="3B4E60E4"/>
    <w:rsid w:val="3BFE2074"/>
    <w:rsid w:val="3E072245"/>
    <w:rsid w:val="3F8C7277"/>
    <w:rsid w:val="3FA0222F"/>
    <w:rsid w:val="3FDF106E"/>
    <w:rsid w:val="42C133BC"/>
    <w:rsid w:val="42D769B6"/>
    <w:rsid w:val="44F600D3"/>
    <w:rsid w:val="45617704"/>
    <w:rsid w:val="459B4F7E"/>
    <w:rsid w:val="48B048DB"/>
    <w:rsid w:val="4A4831FA"/>
    <w:rsid w:val="4B7C707F"/>
    <w:rsid w:val="4B8C0594"/>
    <w:rsid w:val="4BDFF161"/>
    <w:rsid w:val="4C0F7B1B"/>
    <w:rsid w:val="4C887636"/>
    <w:rsid w:val="4CFE380A"/>
    <w:rsid w:val="4D862B8C"/>
    <w:rsid w:val="4DFF35F5"/>
    <w:rsid w:val="4EBF1B1D"/>
    <w:rsid w:val="4EF47599"/>
    <w:rsid w:val="4FE3578A"/>
    <w:rsid w:val="5382777D"/>
    <w:rsid w:val="53CF9561"/>
    <w:rsid w:val="546121C6"/>
    <w:rsid w:val="54E94B5B"/>
    <w:rsid w:val="55661639"/>
    <w:rsid w:val="55761622"/>
    <w:rsid w:val="59A529A6"/>
    <w:rsid w:val="5BD857FA"/>
    <w:rsid w:val="5C080481"/>
    <w:rsid w:val="5D1B4C6E"/>
    <w:rsid w:val="5DFE65DB"/>
    <w:rsid w:val="5E202145"/>
    <w:rsid w:val="5F621BCD"/>
    <w:rsid w:val="6031647B"/>
    <w:rsid w:val="60B9109D"/>
    <w:rsid w:val="62F74A7A"/>
    <w:rsid w:val="63BB5260"/>
    <w:rsid w:val="63D25BB7"/>
    <w:rsid w:val="64C23E7D"/>
    <w:rsid w:val="65EE9BF0"/>
    <w:rsid w:val="668E2223"/>
    <w:rsid w:val="67CF7924"/>
    <w:rsid w:val="67FFD309"/>
    <w:rsid w:val="683026D9"/>
    <w:rsid w:val="693F388B"/>
    <w:rsid w:val="69FFFC0A"/>
    <w:rsid w:val="6D6B2492"/>
    <w:rsid w:val="6DBA21A1"/>
    <w:rsid w:val="6F136B04"/>
    <w:rsid w:val="7304780E"/>
    <w:rsid w:val="73731F46"/>
    <w:rsid w:val="75BB73CE"/>
    <w:rsid w:val="75ED0344"/>
    <w:rsid w:val="78AF3D07"/>
    <w:rsid w:val="7AB14320"/>
    <w:rsid w:val="7AF5051C"/>
    <w:rsid w:val="7BBA680A"/>
    <w:rsid w:val="7BE826AE"/>
    <w:rsid w:val="7BF3368A"/>
    <w:rsid w:val="7CCF532E"/>
    <w:rsid w:val="7DF033B2"/>
    <w:rsid w:val="7E00338F"/>
    <w:rsid w:val="7FAF8CE9"/>
    <w:rsid w:val="7FBE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BDA47"/>
  <w15:docId w15:val="{B05D6D17-4AC1-4CC1-8F28-CCA319F8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2">
    <w:name w:val="Normal"/>
    <w:qFormat/>
    <w:pPr>
      <w:widowControl w:val="0"/>
      <w:ind w:firstLineChars="200" w:firstLine="880"/>
      <w:jc w:val="both"/>
    </w:pPr>
    <w:rPr>
      <w:rFonts w:eastAsia="仿宋_GB2312"/>
      <w:kern w:val="2"/>
      <w:sz w:val="32"/>
      <w:szCs w:val="24"/>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Body Text"/>
    <w:basedOn w:val="af2"/>
    <w:unhideWhenUsed/>
    <w:qFormat/>
    <w:pPr>
      <w:spacing w:after="120"/>
    </w:pPr>
  </w:style>
  <w:style w:type="paragraph" w:styleId="af7">
    <w:name w:val="Balloon Text"/>
    <w:basedOn w:val="af2"/>
    <w:link w:val="af8"/>
    <w:semiHidden/>
    <w:unhideWhenUsed/>
    <w:qFormat/>
    <w:rPr>
      <w:sz w:val="18"/>
      <w:szCs w:val="18"/>
    </w:rPr>
  </w:style>
  <w:style w:type="paragraph" w:styleId="af9">
    <w:name w:val="footer"/>
    <w:basedOn w:val="af2"/>
    <w:link w:val="afa"/>
    <w:uiPriority w:val="99"/>
    <w:qFormat/>
    <w:pPr>
      <w:tabs>
        <w:tab w:val="center" w:pos="4153"/>
        <w:tab w:val="right" w:pos="8306"/>
      </w:tabs>
      <w:snapToGrid w:val="0"/>
      <w:jc w:val="left"/>
    </w:pPr>
    <w:rPr>
      <w:sz w:val="18"/>
      <w:szCs w:val="18"/>
    </w:rPr>
  </w:style>
  <w:style w:type="paragraph" w:styleId="afb">
    <w:name w:val="header"/>
    <w:basedOn w:val="af2"/>
    <w:link w:val="afc"/>
    <w:qFormat/>
    <w:pPr>
      <w:pBdr>
        <w:bottom w:val="single" w:sz="6" w:space="1" w:color="auto"/>
      </w:pBdr>
      <w:tabs>
        <w:tab w:val="center" w:pos="4153"/>
        <w:tab w:val="right" w:pos="8306"/>
      </w:tabs>
      <w:snapToGrid w:val="0"/>
      <w:jc w:val="center"/>
    </w:pPr>
    <w:rPr>
      <w:sz w:val="18"/>
      <w:szCs w:val="18"/>
    </w:rPr>
  </w:style>
  <w:style w:type="paragraph" w:styleId="afd">
    <w:name w:val="Normal (Web)"/>
    <w:basedOn w:val="af2"/>
    <w:uiPriority w:val="99"/>
    <w:qFormat/>
    <w:pPr>
      <w:spacing w:before="100" w:beforeAutospacing="1" w:after="100" w:afterAutospacing="1"/>
      <w:jc w:val="left"/>
    </w:pPr>
    <w:rPr>
      <w:kern w:val="0"/>
      <w:sz w:val="24"/>
    </w:rPr>
  </w:style>
  <w:style w:type="table" w:styleId="afe">
    <w:name w:val="Table Grid"/>
    <w:basedOn w:val="af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Hyperlink"/>
    <w:basedOn w:val="af3"/>
    <w:uiPriority w:val="99"/>
    <w:unhideWhenUsed/>
    <w:qFormat/>
    <w:rPr>
      <w:color w:val="0000FF"/>
      <w:u w:val="single"/>
    </w:rPr>
  </w:style>
  <w:style w:type="paragraph" w:customStyle="1" w:styleId="af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f1">
    <w:name w:val="正文表标题"/>
    <w:next w:val="aff0"/>
    <w:qFormat/>
    <w:pPr>
      <w:spacing w:beforeLines="50" w:afterLines="50"/>
      <w:jc w:val="center"/>
    </w:pPr>
    <w:rPr>
      <w:rFonts w:ascii="黑体" w:eastAsia="黑体"/>
      <w:sz w:val="21"/>
    </w:rPr>
  </w:style>
  <w:style w:type="paragraph" w:customStyle="1" w:styleId="af">
    <w:name w:val="正文图标题"/>
    <w:next w:val="aff0"/>
    <w:qFormat/>
    <w:pPr>
      <w:numPr>
        <w:numId w:val="1"/>
      </w:numPr>
      <w:tabs>
        <w:tab w:val="left" w:pos="360"/>
      </w:tabs>
      <w:spacing w:beforeLines="50" w:afterLines="50"/>
      <w:jc w:val="center"/>
    </w:pPr>
    <w:rPr>
      <w:rFonts w:ascii="黑体" w:eastAsia="黑体"/>
      <w:sz w:val="21"/>
    </w:rPr>
  </w:style>
  <w:style w:type="paragraph" w:customStyle="1" w:styleId="ac">
    <w:name w:val="其他发布日期"/>
    <w:basedOn w:val="af2"/>
    <w:qFormat/>
    <w:pPr>
      <w:framePr w:w="3997" w:h="471" w:hRule="exact" w:vSpace="181" w:wrap="around" w:vAnchor="page" w:hAnchor="page" w:x="1419" w:y="14097" w:anchorLock="1"/>
      <w:widowControl/>
      <w:numPr>
        <w:numId w:val="2"/>
      </w:numPr>
      <w:jc w:val="left"/>
    </w:pPr>
    <w:rPr>
      <w:rFonts w:eastAsia="黑体"/>
      <w:kern w:val="0"/>
      <w:sz w:val="28"/>
      <w:szCs w:val="20"/>
    </w:rPr>
  </w:style>
  <w:style w:type="paragraph" w:customStyle="1" w:styleId="aff2">
    <w:name w:val="一级条标题"/>
    <w:next w:val="aff0"/>
    <w:qFormat/>
    <w:pPr>
      <w:spacing w:beforeLines="50" w:afterLines="50"/>
      <w:ind w:left="525"/>
      <w:outlineLvl w:val="2"/>
    </w:pPr>
    <w:rPr>
      <w:rFonts w:ascii="黑体" w:eastAsia="黑体"/>
      <w:sz w:val="21"/>
      <w:szCs w:val="21"/>
    </w:rPr>
  </w:style>
  <w:style w:type="paragraph" w:customStyle="1" w:styleId="a7">
    <w:name w:val="章标题"/>
    <w:next w:val="aff0"/>
    <w:qFormat/>
    <w:pPr>
      <w:numPr>
        <w:numId w:val="3"/>
      </w:numPr>
      <w:spacing w:beforeLines="100" w:afterLines="100"/>
      <w:jc w:val="both"/>
      <w:outlineLvl w:val="1"/>
    </w:pPr>
    <w:rPr>
      <w:rFonts w:ascii="黑体" w:eastAsia="黑体"/>
      <w:sz w:val="21"/>
    </w:rPr>
  </w:style>
  <w:style w:type="paragraph" w:customStyle="1" w:styleId="aff3">
    <w:name w:val="二级条标题"/>
    <w:basedOn w:val="aff2"/>
    <w:next w:val="aff0"/>
    <w:qFormat/>
    <w:pPr>
      <w:spacing w:before="50" w:after="50"/>
      <w:outlineLvl w:val="3"/>
    </w:pPr>
  </w:style>
  <w:style w:type="paragraph" w:customStyle="1" w:styleId="aff4">
    <w:name w:val="三级条标题"/>
    <w:basedOn w:val="aff3"/>
    <w:next w:val="aff0"/>
    <w:qFormat/>
    <w:pPr>
      <w:outlineLvl w:val="4"/>
    </w:pPr>
  </w:style>
  <w:style w:type="paragraph" w:customStyle="1" w:styleId="aff5">
    <w:name w:val="四级条标题"/>
    <w:basedOn w:val="aff4"/>
    <w:next w:val="aff0"/>
    <w:qFormat/>
    <w:pPr>
      <w:outlineLvl w:val="5"/>
    </w:pPr>
  </w:style>
  <w:style w:type="paragraph" w:customStyle="1" w:styleId="aff6">
    <w:name w:val="五级条标题"/>
    <w:basedOn w:val="aff5"/>
    <w:next w:val="aff0"/>
    <w:qFormat/>
    <w:pPr>
      <w:outlineLvl w:val="6"/>
    </w:pPr>
  </w:style>
  <w:style w:type="paragraph" w:customStyle="1" w:styleId="a3">
    <w:name w:val="注："/>
    <w:next w:val="aff0"/>
    <w:qFormat/>
    <w:pPr>
      <w:widowControl w:val="0"/>
      <w:numPr>
        <w:numId w:val="4"/>
      </w:numPr>
      <w:autoSpaceDE w:val="0"/>
      <w:autoSpaceDN w:val="0"/>
      <w:ind w:left="726" w:hanging="363"/>
      <w:jc w:val="both"/>
    </w:pPr>
    <w:rPr>
      <w:rFonts w:ascii="宋体"/>
      <w:sz w:val="18"/>
      <w:szCs w:val="18"/>
    </w:rPr>
  </w:style>
  <w:style w:type="paragraph" w:customStyle="1" w:styleId="a9">
    <w:name w:val="附录图标号"/>
    <w:basedOn w:val="af2"/>
    <w:qFormat/>
    <w:pPr>
      <w:keepNext/>
      <w:pageBreakBefore/>
      <w:widowControl/>
      <w:numPr>
        <w:numId w:val="5"/>
      </w:numPr>
      <w:spacing w:line="14" w:lineRule="exact"/>
      <w:ind w:left="0" w:firstLine="363"/>
      <w:jc w:val="center"/>
      <w:outlineLvl w:val="0"/>
    </w:pPr>
    <w:rPr>
      <w:color w:val="FFFFFF"/>
    </w:rPr>
  </w:style>
  <w:style w:type="paragraph" w:customStyle="1" w:styleId="aa">
    <w:name w:val="附录图标题"/>
    <w:basedOn w:val="af2"/>
    <w:next w:val="aff0"/>
    <w:qFormat/>
    <w:pPr>
      <w:numPr>
        <w:ilvl w:val="1"/>
        <w:numId w:val="5"/>
      </w:numPr>
      <w:tabs>
        <w:tab w:val="left" w:pos="363"/>
      </w:tabs>
      <w:spacing w:beforeLines="50" w:afterLines="50"/>
      <w:ind w:left="0" w:firstLine="0"/>
      <w:jc w:val="center"/>
    </w:pPr>
    <w:rPr>
      <w:rFonts w:ascii="黑体" w:eastAsia="黑体"/>
      <w:szCs w:val="21"/>
    </w:rPr>
  </w:style>
  <w:style w:type="paragraph" w:customStyle="1" w:styleId="a6">
    <w:name w:val="注×：（正文）"/>
    <w:qFormat/>
    <w:pPr>
      <w:numPr>
        <w:numId w:val="6"/>
      </w:numPr>
      <w:jc w:val="both"/>
    </w:pPr>
    <w:rPr>
      <w:rFonts w:ascii="宋体"/>
      <w:sz w:val="18"/>
      <w:szCs w:val="18"/>
    </w:rPr>
  </w:style>
  <w:style w:type="paragraph" w:customStyle="1" w:styleId="a4">
    <w:name w:val="图表脚注说明"/>
    <w:basedOn w:val="af2"/>
    <w:qFormat/>
    <w:pPr>
      <w:numPr>
        <w:numId w:val="7"/>
      </w:numPr>
    </w:pPr>
    <w:rPr>
      <w:rFonts w:ascii="宋体"/>
      <w:sz w:val="18"/>
      <w:szCs w:val="18"/>
    </w:rPr>
  </w:style>
  <w:style w:type="character" w:customStyle="1" w:styleId="Char">
    <w:name w:val="段 Char"/>
    <w:basedOn w:val="af3"/>
    <w:link w:val="aff0"/>
    <w:qFormat/>
    <w:rPr>
      <w:rFonts w:ascii="宋体"/>
      <w:sz w:val="21"/>
      <w:lang w:val="en-US" w:eastAsia="zh-CN" w:bidi="ar-SA"/>
    </w:rPr>
  </w:style>
  <w:style w:type="character" w:customStyle="1" w:styleId="afc">
    <w:name w:val="页眉 字符"/>
    <w:basedOn w:val="af3"/>
    <w:link w:val="afb"/>
    <w:qFormat/>
    <w:rPr>
      <w:kern w:val="2"/>
      <w:sz w:val="18"/>
      <w:szCs w:val="18"/>
    </w:rPr>
  </w:style>
  <w:style w:type="character" w:customStyle="1" w:styleId="afa">
    <w:name w:val="页脚 字符"/>
    <w:basedOn w:val="af3"/>
    <w:link w:val="af9"/>
    <w:uiPriority w:val="99"/>
    <w:qFormat/>
    <w:rPr>
      <w:kern w:val="2"/>
      <w:sz w:val="18"/>
      <w:szCs w:val="18"/>
    </w:rPr>
  </w:style>
  <w:style w:type="paragraph" w:customStyle="1" w:styleId="ae">
    <w:name w:val="附录表标题"/>
    <w:basedOn w:val="af2"/>
    <w:next w:val="aff0"/>
    <w:qFormat/>
    <w:pPr>
      <w:numPr>
        <w:ilvl w:val="1"/>
        <w:numId w:val="8"/>
      </w:numPr>
      <w:tabs>
        <w:tab w:val="left" w:pos="180"/>
      </w:tabs>
      <w:spacing w:beforeLines="50" w:afterLines="50"/>
      <w:ind w:left="0" w:firstLine="0"/>
      <w:jc w:val="center"/>
    </w:pPr>
    <w:rPr>
      <w:rFonts w:ascii="黑体" w:eastAsia="黑体"/>
      <w:szCs w:val="21"/>
    </w:rPr>
  </w:style>
  <w:style w:type="paragraph" w:styleId="aff7">
    <w:name w:val="List Paragraph"/>
    <w:basedOn w:val="af2"/>
    <w:uiPriority w:val="34"/>
    <w:unhideWhenUsed/>
    <w:qFormat/>
    <w:pPr>
      <w:ind w:firstLine="420"/>
    </w:pPr>
  </w:style>
  <w:style w:type="paragraph" w:customStyle="1" w:styleId="aff8">
    <w:name w:val="其他标准称谓"/>
    <w:qFormat/>
    <w:pPr>
      <w:spacing w:line="0" w:lineRule="atLeast"/>
      <w:jc w:val="distribute"/>
    </w:pPr>
    <w:rPr>
      <w:rFonts w:ascii="黑体" w:eastAsia="黑体" w:hAnsi="宋体"/>
      <w:sz w:val="52"/>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character" w:customStyle="1" w:styleId="aff9">
    <w:name w:val="发布"/>
    <w:qFormat/>
    <w:rPr>
      <w:rFonts w:ascii="黑体" w:eastAsia="黑体"/>
      <w:spacing w:val="22"/>
      <w:w w:val="100"/>
      <w:position w:val="3"/>
      <w:sz w:val="28"/>
    </w:rPr>
  </w:style>
  <w:style w:type="paragraph" w:customStyle="1" w:styleId="affa">
    <w:name w:val="其他发布部门"/>
    <w:basedOn w:val="af2"/>
    <w:qFormat/>
    <w:pPr>
      <w:widowControl/>
      <w:spacing w:line="0" w:lineRule="atLeast"/>
      <w:jc w:val="center"/>
    </w:pPr>
    <w:rPr>
      <w:rFonts w:ascii="黑体" w:eastAsia="黑体"/>
      <w:spacing w:val="20"/>
      <w:w w:val="135"/>
      <w:kern w:val="0"/>
      <w:sz w:val="36"/>
      <w:szCs w:val="20"/>
    </w:rPr>
  </w:style>
  <w:style w:type="paragraph" w:customStyle="1" w:styleId="affb">
    <w:name w:val="标准文件_段"/>
    <w:qFormat/>
    <w:pPr>
      <w:autoSpaceDE w:val="0"/>
      <w:autoSpaceDN w:val="0"/>
      <w:ind w:firstLineChars="200" w:firstLine="200"/>
      <w:jc w:val="both"/>
    </w:pPr>
    <w:rPr>
      <w:rFonts w:ascii="宋体"/>
      <w:sz w:val="21"/>
    </w:rPr>
  </w:style>
  <w:style w:type="character" w:customStyle="1" w:styleId="af8">
    <w:name w:val="批注框文本 字符"/>
    <w:basedOn w:val="af3"/>
    <w:link w:val="af7"/>
    <w:semiHidden/>
    <w:qFormat/>
    <w:rPr>
      <w:rFonts w:ascii="Times New Roman" w:hAnsi="Times New Roman"/>
      <w:kern w:val="2"/>
      <w:sz w:val="18"/>
      <w:szCs w:val="18"/>
    </w:rPr>
  </w:style>
  <w:style w:type="paragraph" w:customStyle="1" w:styleId="BodyText2">
    <w:name w:val="BodyText2"/>
    <w:qFormat/>
    <w:pPr>
      <w:widowControl w:val="0"/>
      <w:spacing w:after="120" w:line="480" w:lineRule="auto"/>
      <w:jc w:val="both"/>
      <w:textAlignment w:val="baseline"/>
    </w:pPr>
    <w:rPr>
      <w:kern w:val="2"/>
      <w:sz w:val="32"/>
      <w:szCs w:val="32"/>
    </w:rPr>
  </w:style>
  <w:style w:type="paragraph" w:customStyle="1" w:styleId="a8">
    <w:name w:val="一级无"/>
    <w:basedOn w:val="aff2"/>
    <w:qFormat/>
    <w:pPr>
      <w:numPr>
        <w:ilvl w:val="1"/>
        <w:numId w:val="3"/>
      </w:numPr>
      <w:spacing w:beforeLines="0" w:afterLines="0"/>
    </w:pPr>
    <w:rPr>
      <w:rFonts w:ascii="宋体" w:eastAsia="宋体"/>
    </w:rPr>
  </w:style>
  <w:style w:type="paragraph" w:customStyle="1" w:styleId="a2">
    <w:name w:val="标准文件_一级无标题"/>
    <w:basedOn w:val="af1"/>
    <w:qFormat/>
    <w:pPr>
      <w:numPr>
        <w:numId w:val="9"/>
      </w:numPr>
    </w:pPr>
    <w:rPr>
      <w:rFonts w:ascii="宋体" w:hint="eastAsia"/>
    </w:rPr>
  </w:style>
  <w:style w:type="paragraph" w:customStyle="1" w:styleId="af1">
    <w:name w:val="标准文件_一级条标题"/>
    <w:basedOn w:val="af0"/>
    <w:next w:val="affb"/>
    <w:qFormat/>
    <w:pPr>
      <w:numPr>
        <w:ilvl w:val="2"/>
      </w:numPr>
      <w:spacing w:beforeLines="50" w:before="50" w:afterLines="50" w:after="50"/>
      <w:outlineLvl w:val="1"/>
    </w:pPr>
  </w:style>
  <w:style w:type="paragraph" w:customStyle="1" w:styleId="af0">
    <w:name w:val="标准文件_章标题"/>
    <w:next w:val="affb"/>
    <w:qFormat/>
    <w:pPr>
      <w:numPr>
        <w:ilvl w:val="1"/>
        <w:numId w:val="10"/>
      </w:numPr>
      <w:spacing w:beforeLines="100" w:before="100" w:afterLines="100" w:after="100"/>
      <w:jc w:val="both"/>
      <w:outlineLvl w:val="0"/>
    </w:pPr>
    <w:rPr>
      <w:rFonts w:ascii="黑体" w:eastAsia="黑体"/>
      <w:sz w:val="21"/>
    </w:rPr>
  </w:style>
  <w:style w:type="paragraph" w:customStyle="1" w:styleId="ab">
    <w:name w:val="标准文件_二级无标题"/>
    <w:qFormat/>
    <w:pPr>
      <w:widowControl w:val="0"/>
      <w:numPr>
        <w:ilvl w:val="3"/>
        <w:numId w:val="11"/>
      </w:numPr>
      <w:jc w:val="both"/>
    </w:pPr>
    <w:rPr>
      <w:rFonts w:ascii="宋体" w:hint="eastAsia"/>
      <w:sz w:val="21"/>
    </w:rPr>
  </w:style>
  <w:style w:type="paragraph" w:customStyle="1" w:styleId="ad">
    <w:name w:val="标准文件_一级项"/>
    <w:basedOn w:val="af2"/>
    <w:qFormat/>
    <w:pPr>
      <w:widowControl/>
      <w:numPr>
        <w:numId w:val="12"/>
      </w:numPr>
      <w:jc w:val="left"/>
    </w:pPr>
    <w:rPr>
      <w:rFonts w:ascii="宋体" w:eastAsia="宋体" w:hint="eastAsia"/>
      <w:kern w:val="0"/>
      <w:sz w:val="21"/>
      <w:szCs w:val="20"/>
    </w:rPr>
  </w:style>
  <w:style w:type="character" w:customStyle="1" w:styleId="Char0">
    <w:name w:val="标准文件_段 Char"/>
    <w:basedOn w:val="af3"/>
    <w:qFormat/>
    <w:rPr>
      <w:rFonts w:ascii="宋体" w:eastAsia="宋体" w:hAnsi="宋体" w:cs="宋体" w:hint="eastAsia"/>
      <w:sz w:val="21"/>
    </w:rPr>
  </w:style>
  <w:style w:type="paragraph" w:customStyle="1" w:styleId="a0">
    <w:name w:val="标准文件_二级条标题"/>
    <w:basedOn w:val="af2"/>
    <w:qFormat/>
    <w:pPr>
      <w:numPr>
        <w:ilvl w:val="3"/>
        <w:numId w:val="13"/>
      </w:numPr>
      <w:spacing w:beforeLines="50" w:afterLines="50"/>
      <w:outlineLvl w:val="2"/>
    </w:pPr>
    <w:rPr>
      <w:rFonts w:ascii="黑体" w:eastAsia="黑体" w:hint="eastAsia"/>
      <w:kern w:val="0"/>
      <w:sz w:val="21"/>
      <w:szCs w:val="20"/>
    </w:rPr>
  </w:style>
  <w:style w:type="paragraph" w:customStyle="1" w:styleId="a5">
    <w:name w:val="标准文件_附录一级条标题"/>
    <w:basedOn w:val="af2"/>
    <w:next w:val="af2"/>
    <w:qFormat/>
    <w:pPr>
      <w:numPr>
        <w:ilvl w:val="1"/>
        <w:numId w:val="14"/>
      </w:numPr>
      <w:spacing w:beforeLines="50" w:afterLines="50"/>
      <w:outlineLvl w:val="2"/>
    </w:pPr>
    <w:rPr>
      <w:rFonts w:ascii="黑体" w:eastAsia="黑体" w:hint="eastAsia"/>
      <w:kern w:val="21"/>
      <w:sz w:val="21"/>
      <w:szCs w:val="20"/>
    </w:rPr>
  </w:style>
  <w:style w:type="paragraph" w:customStyle="1" w:styleId="a">
    <w:name w:val="标准文件_附录表标题"/>
    <w:basedOn w:val="af2"/>
    <w:qFormat/>
    <w:pPr>
      <w:widowControl/>
      <w:numPr>
        <w:ilvl w:val="1"/>
        <w:numId w:val="15"/>
      </w:numPr>
      <w:adjustRightInd w:val="0"/>
      <w:snapToGrid w:val="0"/>
      <w:spacing w:beforeLines="50" w:afterLines="50"/>
      <w:jc w:val="center"/>
    </w:pPr>
    <w:rPr>
      <w:rFonts w:ascii="黑体" w:eastAsia="黑体" w:hint="eastAsia"/>
      <w:kern w:val="21"/>
      <w:sz w:val="21"/>
      <w:szCs w:val="20"/>
    </w:rPr>
  </w:style>
  <w:style w:type="paragraph" w:customStyle="1" w:styleId="a1">
    <w:name w:val="标准文件_注："/>
    <w:basedOn w:val="af2"/>
    <w:qFormat/>
    <w:pPr>
      <w:numPr>
        <w:numId w:val="16"/>
      </w:numPr>
      <w:autoSpaceDE w:val="0"/>
      <w:autoSpaceDN w:val="0"/>
    </w:pPr>
    <w:rPr>
      <w:rFonts w:ascii="宋体" w:eastAsia="宋体" w:hint="eastAsia"/>
      <w:kern w:val="0"/>
      <w:sz w:val="18"/>
      <w:szCs w:val="18"/>
    </w:rPr>
  </w:style>
  <w:style w:type="paragraph" w:styleId="affc">
    <w:name w:val="Revision"/>
    <w:hidden/>
    <w:uiPriority w:val="99"/>
    <w:unhideWhenUsed/>
    <w:rsid w:val="00644C40"/>
    <w:rPr>
      <w:rFonts w:eastAsia="仿宋_GB2312"/>
      <w:kern w:val="2"/>
      <w:sz w:val="32"/>
      <w:szCs w:val="24"/>
    </w:rPr>
  </w:style>
  <w:style w:type="character" w:styleId="affd">
    <w:name w:val="annotation reference"/>
    <w:basedOn w:val="af3"/>
    <w:semiHidden/>
    <w:unhideWhenUsed/>
    <w:rsid w:val="00332688"/>
    <w:rPr>
      <w:sz w:val="21"/>
      <w:szCs w:val="21"/>
    </w:rPr>
  </w:style>
  <w:style w:type="paragraph" w:styleId="affe">
    <w:name w:val="annotation text"/>
    <w:basedOn w:val="af2"/>
    <w:link w:val="afff"/>
    <w:unhideWhenUsed/>
    <w:rsid w:val="00332688"/>
    <w:pPr>
      <w:jc w:val="left"/>
    </w:pPr>
  </w:style>
  <w:style w:type="character" w:customStyle="1" w:styleId="afff">
    <w:name w:val="批注文字 字符"/>
    <w:basedOn w:val="af3"/>
    <w:link w:val="affe"/>
    <w:rsid w:val="00332688"/>
    <w:rPr>
      <w:rFonts w:eastAsia="仿宋_GB2312"/>
      <w:kern w:val="2"/>
      <w:sz w:val="32"/>
      <w:szCs w:val="24"/>
    </w:rPr>
  </w:style>
  <w:style w:type="paragraph" w:styleId="afff0">
    <w:name w:val="annotation subject"/>
    <w:basedOn w:val="affe"/>
    <w:next w:val="affe"/>
    <w:link w:val="afff1"/>
    <w:semiHidden/>
    <w:unhideWhenUsed/>
    <w:rsid w:val="00332688"/>
    <w:rPr>
      <w:b/>
      <w:bCs/>
    </w:rPr>
  </w:style>
  <w:style w:type="character" w:customStyle="1" w:styleId="afff1">
    <w:name w:val="批注主题 字符"/>
    <w:basedOn w:val="afff"/>
    <w:link w:val="afff0"/>
    <w:semiHidden/>
    <w:rsid w:val="00332688"/>
    <w:rPr>
      <w:rFonts w:eastAsia="仿宋_GB2312"/>
      <w:b/>
      <w:bCs/>
      <w:kern w:val="2"/>
      <w:sz w:val="32"/>
      <w:szCs w:val="24"/>
    </w:rPr>
  </w:style>
  <w:style w:type="paragraph" w:styleId="afff2">
    <w:name w:val="Date"/>
    <w:basedOn w:val="af2"/>
    <w:next w:val="af2"/>
    <w:link w:val="afff3"/>
    <w:semiHidden/>
    <w:unhideWhenUsed/>
    <w:rsid w:val="008C583E"/>
    <w:pPr>
      <w:ind w:leftChars="2500" w:left="100"/>
    </w:pPr>
  </w:style>
  <w:style w:type="character" w:customStyle="1" w:styleId="afff3">
    <w:name w:val="日期 字符"/>
    <w:basedOn w:val="af3"/>
    <w:link w:val="afff2"/>
    <w:semiHidden/>
    <w:rsid w:val="008C583E"/>
    <w:rPr>
      <w:rFonts w:eastAsia="仿宋_GB2312"/>
      <w:kern w:val="2"/>
      <w:sz w:val="32"/>
      <w:szCs w:val="24"/>
    </w:rPr>
  </w:style>
  <w:style w:type="paragraph" w:customStyle="1" w:styleId="afff4">
    <w:name w:val="标准文件_正文表标题"/>
    <w:next w:val="affb"/>
    <w:qFormat/>
    <w:rsid w:val="00AE15F9"/>
    <w:pPr>
      <w:tabs>
        <w:tab w:val="left" w:pos="0"/>
      </w:tabs>
      <w:spacing w:beforeLines="50" w:before="50" w:afterLines="50" w:after="50"/>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20</Pages>
  <Words>5327</Words>
  <Characters>5701</Characters>
  <Application>Microsoft Office Word</Application>
  <DocSecurity>0</DocSecurity>
  <Lines>335</Lines>
  <Paragraphs>315</Paragraphs>
  <ScaleCrop>false</ScaleCrop>
  <Company>WWW.YlmF.CoM</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广西地方标准《脱氢枞酸》（征求意见稿）</dc:title>
  <dc:creator>USER</dc:creator>
  <cp:lastModifiedBy>映梅 韦</cp:lastModifiedBy>
  <cp:revision>68</cp:revision>
  <cp:lastPrinted>2025-01-15T04:51:00Z</cp:lastPrinted>
  <dcterms:created xsi:type="dcterms:W3CDTF">2025-02-19T02:46:00Z</dcterms:created>
  <dcterms:modified xsi:type="dcterms:W3CDTF">2025-06-29T13:23:00Z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5FAC6B0E9A2C4B59A12644F9C27EB80D_13</vt:lpwstr>
  </property>
  <property fmtid="{D5CDD505-2E9C-101B-9397-08002B2CF9AE}" pid="4" name="KSOTemplateDocerSaveRecord">
    <vt:lpwstr>eyJoZGlkIjoiZTI0ODQwYWI0NTRkNTA0NmRmMDcwNWEzYWY4NzYxNWMiLCJ1c2VySWQiOiI0NDI1MTU5MDcifQ==</vt:lpwstr>
  </property>
</Properties>
</file>