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nil"/>
              <w:left w:val="nil"/>
              <w:bottom w:val="single" w:color="auto" w:sz="4" w:space="0"/>
              <w:right w:val="nil"/>
            </w:tcBorders>
          </w:tcPr>
          <w:p>
            <w:pPr>
              <w:pageBreakBefore w:val="0"/>
              <w:kinsoku/>
              <w:overflowPunct/>
              <w:topLinePunct w:val="0"/>
              <w:autoSpaceDE/>
              <w:autoSpaceDN/>
              <w:bidi w:val="0"/>
              <w:adjustRightInd/>
              <w:snapToGrid/>
              <w:spacing w:line="420" w:lineRule="exact"/>
              <w:jc w:val="center"/>
              <w:textAlignment w:val="auto"/>
              <w:outlineLvl w:val="9"/>
              <w:rPr>
                <w:rFonts w:hint="eastAsia" w:ascii="新宋体" w:hAnsi="新宋体" w:eastAsia="新宋体" w:cs="新宋体"/>
                <w:b w:val="0"/>
                <w:bCs w:val="0"/>
                <w:sz w:val="24"/>
                <w:szCs w:val="24"/>
                <w:vertAlign w:val="baseline"/>
                <w:lang w:val="en-US" w:eastAsia="zh-CN"/>
              </w:rPr>
            </w:pPr>
            <w:r>
              <w:rPr>
                <w:rFonts w:hint="eastAsia" w:ascii="新宋体" w:hAnsi="新宋体" w:eastAsia="新宋体" w:cs="新宋体"/>
                <w:b w:val="0"/>
                <w:bCs w:val="0"/>
                <w:sz w:val="24"/>
                <w:szCs w:val="24"/>
                <w:lang w:val="en-US" w:eastAsia="zh-CN"/>
              </w:rPr>
              <w:t>团体标准</w:t>
            </w:r>
          </w:p>
        </w:tc>
      </w:tr>
    </w:tbl>
    <w:p>
      <w:pPr>
        <w:kinsoku/>
        <w:overflowPunct/>
        <w:topLinePunct w:val="0"/>
        <w:autoSpaceDE/>
        <w:autoSpaceDN/>
        <w:bidi w:val="0"/>
        <w:adjustRightInd/>
        <w:snapToGrid/>
        <w:spacing w:line="420" w:lineRule="exact"/>
        <w:ind w:firstLine="482" w:firstLineChars="200"/>
        <w:jc w:val="center"/>
        <w:textAlignment w:val="auto"/>
        <w:outlineLvl w:val="0"/>
        <w:rPr>
          <w:rFonts w:hint="eastAsia" w:ascii="新宋体" w:hAnsi="新宋体" w:eastAsia="新宋体" w:cs="新宋体"/>
          <w:b/>
          <w:bCs/>
          <w:sz w:val="24"/>
          <w:szCs w:val="24"/>
        </w:rPr>
      </w:pPr>
      <w:bookmarkStart w:id="0" w:name="_Toc9231"/>
      <w:bookmarkStart w:id="1" w:name="_Toc198891106"/>
    </w:p>
    <w:p>
      <w:pPr>
        <w:kinsoku/>
        <w:overflowPunct/>
        <w:topLinePunct w:val="0"/>
        <w:autoSpaceDE/>
        <w:autoSpaceDN/>
        <w:bidi w:val="0"/>
        <w:adjustRightInd/>
        <w:snapToGrid/>
        <w:spacing w:line="420" w:lineRule="exact"/>
        <w:ind w:firstLine="482" w:firstLineChars="200"/>
        <w:jc w:val="center"/>
        <w:textAlignment w:val="auto"/>
        <w:outlineLvl w:val="0"/>
        <w:rPr>
          <w:rFonts w:hint="eastAsia" w:ascii="新宋体" w:hAnsi="新宋体" w:eastAsia="新宋体" w:cs="新宋体"/>
          <w:b/>
          <w:bCs/>
          <w:sz w:val="24"/>
          <w:szCs w:val="24"/>
        </w:rPr>
      </w:pPr>
    </w:p>
    <w:p>
      <w:pPr>
        <w:kinsoku/>
        <w:overflowPunct/>
        <w:topLinePunct w:val="0"/>
        <w:autoSpaceDE/>
        <w:autoSpaceDN/>
        <w:bidi w:val="0"/>
        <w:adjustRightInd/>
        <w:snapToGrid/>
        <w:spacing w:line="420" w:lineRule="exact"/>
        <w:ind w:firstLine="643" w:firstLineChars="200"/>
        <w:jc w:val="center"/>
        <w:textAlignment w:val="auto"/>
        <w:outlineLvl w:val="0"/>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rPr>
        <w:t>服装行业数字化快反工厂建设指南</w:t>
      </w:r>
      <w:bookmarkEnd w:id="0"/>
      <w:bookmarkEnd w:id="1"/>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bookmarkStart w:id="2" w:name="_Toc23362"/>
      <w:r>
        <w:rPr>
          <w:rFonts w:hint="eastAsia" w:ascii="新宋体" w:hAnsi="新宋体" w:eastAsia="新宋体" w:cs="新宋体"/>
          <w:b w:val="0"/>
          <w:bCs w:val="0"/>
          <w:sz w:val="24"/>
          <w:szCs w:val="24"/>
        </w:rPr>
        <w:t>Guidelines for the Construction of Digital Quick Response Factories in the Apparel Industry</w:t>
      </w:r>
      <w:bookmarkEnd w:id="2"/>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r>
        <w:rPr>
          <w:rFonts w:hint="eastAsia" w:ascii="新宋体" w:hAnsi="新宋体" w:eastAsia="新宋体" w:cs="新宋体"/>
          <w:b w:val="0"/>
          <w:bCs w:val="0"/>
          <w:sz w:val="24"/>
          <w:szCs w:val="24"/>
          <w:lang w:val="en-US" w:eastAsia="zh-CN"/>
        </w:rPr>
        <w:t>（征求意见稿）</w:t>
      </w: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kinsoku/>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r>
        <w:rPr>
          <w:rFonts w:hint="eastAsia" w:ascii="新宋体" w:hAnsi="新宋体" w:eastAsia="新宋体" w:cs="新宋体"/>
          <w:b w:val="0"/>
          <w:bCs w:val="0"/>
          <w:sz w:val="24"/>
          <w:szCs w:val="24"/>
          <w:lang w:val="en-US" w:eastAsia="zh-CN"/>
        </w:rPr>
        <w:t>2025</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XX</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XX 发布 XXXX</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XX</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XX 实施</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nil"/>
              <w:bottom w:val="nil"/>
              <w:right w:val="nil"/>
            </w:tcBorders>
          </w:tcPr>
          <w:p>
            <w:pPr>
              <w:pageBreakBefore w:val="0"/>
              <w:kinsoku/>
              <w:wordWrap w:val="0"/>
              <w:overflowPunct/>
              <w:topLinePunct w:val="0"/>
              <w:autoSpaceDE/>
              <w:autoSpaceDN/>
              <w:bidi w:val="0"/>
              <w:adjustRightInd/>
              <w:snapToGrid/>
              <w:spacing w:line="420" w:lineRule="exact"/>
              <w:jc w:val="right"/>
              <w:textAlignment w:val="auto"/>
              <w:outlineLvl w:val="0"/>
              <w:rPr>
                <w:rFonts w:hint="eastAsia" w:ascii="新宋体" w:hAnsi="新宋体" w:eastAsia="新宋体" w:cs="新宋体"/>
                <w:b w:val="0"/>
                <w:bCs w:val="0"/>
                <w:sz w:val="24"/>
                <w:szCs w:val="24"/>
                <w:vertAlign w:val="baseline"/>
                <w:lang w:val="en-US" w:eastAsia="zh-CN"/>
              </w:rPr>
            </w:pPr>
            <w:bookmarkStart w:id="3" w:name="_Toc3590"/>
            <w:bookmarkStart w:id="4" w:name="_Toc1343581813"/>
            <w:bookmarkStart w:id="5" w:name="_Toc6983"/>
            <w:bookmarkStart w:id="6" w:name="_Toc1491642872"/>
            <w:bookmarkStart w:id="7" w:name="_Toc4930"/>
            <w:bookmarkStart w:id="8" w:name="_Toc2008286809"/>
            <w:bookmarkStart w:id="9" w:name="_Toc1979225578"/>
            <w:bookmarkStart w:id="10" w:name="_Toc520312066"/>
            <w:bookmarkStart w:id="11" w:name="_Toc2743"/>
            <w:bookmarkStart w:id="12" w:name="_Toc118251660"/>
            <w:bookmarkStart w:id="13" w:name="_Toc16043"/>
            <w:bookmarkStart w:id="14" w:name="_Toc989"/>
            <w:bookmarkStart w:id="15" w:name="_Toc5400"/>
            <w:bookmarkStart w:id="16" w:name="_Toc1278263810"/>
            <w:bookmarkStart w:id="17" w:name="_Toc17071"/>
            <w:bookmarkStart w:id="18" w:name="_Toc1159340672"/>
            <w:bookmarkStart w:id="19" w:name="_Toc23472"/>
            <w:bookmarkStart w:id="20" w:name="_Toc22821"/>
            <w:bookmarkStart w:id="21" w:name="_Toc2468"/>
            <w:r>
              <w:rPr>
                <w:rFonts w:hint="eastAsia" w:ascii="新宋体" w:hAnsi="新宋体" w:eastAsia="新宋体" w:cs="新宋体"/>
                <w:b w:val="0"/>
                <w:bCs w:val="0"/>
                <w:sz w:val="24"/>
                <w:szCs w:val="24"/>
                <w:vertAlign w:val="baseline"/>
                <w:lang w:val="en-US" w:eastAsia="zh-CN"/>
              </w:rPr>
              <w:t>成都服装（服饰）行业协会                       发布</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Fonts w:hint="eastAsia" w:ascii="新宋体" w:hAnsi="新宋体" w:eastAsia="新宋体" w:cs="新宋体"/>
                <w:b w:val="0"/>
                <w:bCs w:val="0"/>
                <w:sz w:val="24"/>
                <w:szCs w:val="24"/>
                <w:vertAlign w:val="baseline"/>
                <w:lang w:val="en-US" w:eastAsia="zh-CN"/>
              </w:rPr>
              <w:t xml:space="preserve">  </w:t>
            </w:r>
          </w:p>
        </w:tc>
      </w:tr>
    </w:tbl>
    <w:p>
      <w:pPr>
        <w:pageBreakBefore w:val="0"/>
        <w:kinsoku/>
        <w:overflowPunct/>
        <w:topLinePunct w:val="0"/>
        <w:autoSpaceDE/>
        <w:autoSpaceDN/>
        <w:bidi w:val="0"/>
        <w:adjustRightInd/>
        <w:snapToGrid/>
        <w:spacing w:line="420" w:lineRule="exact"/>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kern w:val="2"/>
          <w:sz w:val="24"/>
          <w:szCs w:val="24"/>
          <w:lang w:val="en-US" w:eastAsia="zh-CN" w:bidi="ar-SA"/>
        </w:rPr>
        <w:br w:type="page"/>
      </w:r>
    </w:p>
    <w:p>
      <w:pPr>
        <w:pageBreakBefore w:val="0"/>
        <w:kinsoku/>
        <w:overflowPunct/>
        <w:topLinePunct w:val="0"/>
        <w:autoSpaceDE/>
        <w:autoSpaceDN/>
        <w:bidi w:val="0"/>
        <w:adjustRightInd/>
        <w:snapToGrid/>
        <w:spacing w:before="0" w:beforeLines="0" w:after="0" w:afterLines="0" w:line="420" w:lineRule="exact"/>
        <w:ind w:left="0" w:leftChars="0" w:right="0" w:rightChars="0" w:firstLine="480" w:firstLineChars="200"/>
        <w:jc w:val="center"/>
        <w:textAlignment w:val="auto"/>
        <w:rPr>
          <w:rFonts w:hint="eastAsia" w:ascii="新宋体" w:hAnsi="新宋体" w:eastAsia="新宋体" w:cs="新宋体"/>
          <w:b w:val="0"/>
          <w:bCs w:val="0"/>
          <w:sz w:val="24"/>
          <w:szCs w:val="24"/>
        </w:rPr>
      </w:pPr>
      <w:bookmarkStart w:id="22" w:name="_Toc9809"/>
      <w:r>
        <w:rPr>
          <w:rFonts w:hint="eastAsia" w:ascii="新宋体" w:hAnsi="新宋体" w:eastAsia="新宋体" w:cs="新宋体"/>
          <w:b w:val="0"/>
          <w:bCs w:val="0"/>
          <w:sz w:val="24"/>
          <w:szCs w:val="24"/>
        </w:rPr>
        <w:t>目录</w:t>
      </w:r>
    </w:p>
    <w:p>
      <w:pPr>
        <w:pStyle w:val="12"/>
        <w:tabs>
          <w:tab w:val="right" w:leader="dot" w:pos="8306"/>
        </w:tabs>
      </w:pPr>
      <w:r>
        <w:rPr>
          <w:rFonts w:hint="eastAsia" w:ascii="新宋体" w:hAnsi="新宋体" w:eastAsia="新宋体" w:cs="新宋体"/>
          <w:b w:val="0"/>
          <w:bCs w:val="0"/>
          <w:sz w:val="24"/>
          <w:szCs w:val="24"/>
        </w:rPr>
        <w:fldChar w:fldCharType="begin"/>
      </w:r>
      <w:r>
        <w:rPr>
          <w:rFonts w:hint="eastAsia" w:ascii="新宋体" w:hAnsi="新宋体" w:eastAsia="新宋体" w:cs="新宋体"/>
          <w:b w:val="0"/>
          <w:bCs w:val="0"/>
          <w:sz w:val="24"/>
          <w:szCs w:val="24"/>
        </w:rPr>
        <w:instrText xml:space="preserve">TOC \o "1-2" \h \u </w:instrText>
      </w:r>
      <w:r>
        <w:rPr>
          <w:rFonts w:hint="eastAsia" w:ascii="新宋体" w:hAnsi="新宋体" w:eastAsia="新宋体" w:cs="新宋体"/>
          <w:b w:val="0"/>
          <w:bCs w:val="0"/>
          <w:sz w:val="24"/>
          <w:szCs w:val="24"/>
        </w:rPr>
        <w:fldChar w:fldCharType="separate"/>
      </w:r>
    </w:p>
    <w:p>
      <w:pPr>
        <w:pStyle w:val="12"/>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_Toc192137325 </w:instrText>
      </w:r>
      <w:r>
        <w:rPr>
          <w:rFonts w:hint="eastAsia" w:ascii="新宋体" w:hAnsi="新宋体" w:eastAsia="新宋体" w:cs="新宋体"/>
          <w:bCs w:val="0"/>
          <w:szCs w:val="24"/>
        </w:rPr>
        <w:fldChar w:fldCharType="separate"/>
      </w:r>
      <w:r>
        <w:rPr>
          <w:rFonts w:hint="eastAsia" w:ascii="新宋体" w:hAnsi="新宋体" w:eastAsia="新宋体" w:cs="新宋体"/>
          <w:bCs/>
          <w:szCs w:val="24"/>
          <w:lang w:val="en-US" w:eastAsia="zh-CN"/>
        </w:rPr>
        <w:t>一．范围</w:t>
      </w:r>
      <w:r>
        <w:tab/>
      </w:r>
      <w:r>
        <w:fldChar w:fldCharType="begin"/>
      </w:r>
      <w:r>
        <w:instrText xml:space="preserve"> PAGEREF _Toc192137325 \h </w:instrText>
      </w:r>
      <w:r>
        <w:fldChar w:fldCharType="separate"/>
      </w:r>
      <w:r>
        <w:t>1</w:t>
      </w:r>
      <w:r>
        <w:fldChar w:fldCharType="end"/>
      </w:r>
      <w:r>
        <w:rPr>
          <w:rFonts w:hint="eastAsia" w:ascii="新宋体" w:hAnsi="新宋体" w:eastAsia="新宋体" w:cs="新宋体"/>
          <w:bCs w:val="0"/>
          <w:szCs w:val="24"/>
        </w:rPr>
        <w:fldChar w:fldCharType="end"/>
      </w:r>
    </w:p>
    <w:p>
      <w:pPr>
        <w:pStyle w:val="12"/>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_Toc1584099834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二．规范性引用文件</w:t>
      </w:r>
      <w:r>
        <w:rPr>
          <w:rFonts w:hint="eastAsia" w:ascii="新宋体" w:hAnsi="新宋体" w:eastAsia="新宋体" w:cs="新宋体"/>
          <w:bCs w:val="0"/>
          <w:kern w:val="2"/>
          <w:szCs w:val="24"/>
          <w:lang w:val="en-US" w:eastAsia="zh-CN" w:bidi="ar-SA"/>
        </w:rPr>
        <w:t>​​</w:t>
      </w:r>
      <w:r>
        <w:rPr>
          <w:rFonts w:hint="eastAsia" w:ascii="新宋体" w:hAnsi="新宋体" w:eastAsia="新宋体" w:cs="新宋体"/>
          <w:bCs w:val="0"/>
          <w:kern w:val="0"/>
          <w:szCs w:val="24"/>
          <w:lang w:val="en-US" w:eastAsia="zh-CN" w:bidi="ar"/>
        </w:rPr>
        <w:t>​</w:t>
      </w:r>
      <w:r>
        <w:tab/>
      </w:r>
      <w:r>
        <w:fldChar w:fldCharType="begin"/>
      </w:r>
      <w:r>
        <w:instrText xml:space="preserve"> PAGEREF _Toc1584099834 \h </w:instrText>
      </w:r>
      <w:r>
        <w:fldChar w:fldCharType="separate"/>
      </w:r>
      <w:r>
        <w:t>1</w:t>
      </w:r>
      <w:r>
        <w:fldChar w:fldCharType="end"/>
      </w:r>
      <w:r>
        <w:rPr>
          <w:rFonts w:hint="eastAsia" w:ascii="新宋体" w:hAnsi="新宋体" w:eastAsia="新宋体" w:cs="新宋体"/>
          <w:bCs w:val="0"/>
          <w:szCs w:val="24"/>
        </w:rPr>
        <w:fldChar w:fldCharType="end"/>
      </w:r>
    </w:p>
    <w:p>
      <w:pPr>
        <w:pStyle w:val="12"/>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_Toc1611138179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三．术语与定义</w:t>
      </w:r>
      <w:r>
        <w:tab/>
      </w:r>
      <w:r>
        <w:fldChar w:fldCharType="begin"/>
      </w:r>
      <w:r>
        <w:instrText xml:space="preserve"> PAGEREF _Toc1611138179 \h </w:instrText>
      </w:r>
      <w:r>
        <w:fldChar w:fldCharType="separate"/>
      </w:r>
      <w:r>
        <w:t>2</w:t>
      </w:r>
      <w:r>
        <w:fldChar w:fldCharType="end"/>
      </w:r>
      <w:r>
        <w:rPr>
          <w:rFonts w:hint="eastAsia" w:ascii="新宋体" w:hAnsi="新宋体" w:eastAsia="新宋体" w:cs="新宋体"/>
          <w:bCs w:val="0"/>
          <w:szCs w:val="24"/>
        </w:rPr>
        <w:fldChar w:fldCharType="end"/>
      </w:r>
    </w:p>
    <w:p>
      <w:pPr>
        <w:pStyle w:val="12"/>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_Toc1495110287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四．概述</w:t>
      </w:r>
      <w:r>
        <w:tab/>
      </w:r>
      <w:r>
        <w:fldChar w:fldCharType="begin"/>
      </w:r>
      <w:r>
        <w:instrText xml:space="preserve"> PAGEREF _Toc1495110287 \h </w:instrText>
      </w:r>
      <w:r>
        <w:fldChar w:fldCharType="separate"/>
      </w:r>
      <w:r>
        <w:t>6</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_Toc612440062 </w:instrText>
      </w:r>
      <w:r>
        <w:rPr>
          <w:rFonts w:hint="eastAsia" w:ascii="新宋体" w:hAnsi="新宋体" w:eastAsia="新宋体" w:cs="新宋体"/>
          <w:bCs w:val="0"/>
          <w:szCs w:val="24"/>
        </w:rPr>
        <w:fldChar w:fldCharType="separate"/>
      </w:r>
      <w:r>
        <w:rPr>
          <w:rFonts w:hint="eastAsia" w:ascii="新宋体" w:hAnsi="新宋体" w:eastAsia="新宋体" w:cs="新宋体"/>
          <w:bCs/>
          <w:szCs w:val="24"/>
          <w:lang w:val="en-US" w:eastAsia="zh-CN"/>
        </w:rPr>
        <w:t>4.1核心特征</w:t>
      </w:r>
      <w:r>
        <w:tab/>
      </w:r>
      <w:r>
        <w:fldChar w:fldCharType="begin"/>
      </w:r>
      <w:r>
        <w:instrText xml:space="preserve"> PAGEREF _Toc612440062 \h </w:instrText>
      </w:r>
      <w:r>
        <w:fldChar w:fldCharType="separate"/>
      </w:r>
      <w:r>
        <w:t>6</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_Toc391001963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bidi="ar-SA"/>
        </w:rPr>
        <w:t>4.2 建设框架</w:t>
      </w:r>
      <w:r>
        <w:tab/>
      </w:r>
      <w:r>
        <w:fldChar w:fldCharType="begin"/>
      </w:r>
      <w:r>
        <w:instrText xml:space="preserve"> PAGEREF _Toc391001963 \h </w:instrText>
      </w:r>
      <w:r>
        <w:fldChar w:fldCharType="separate"/>
      </w:r>
      <w:r>
        <w:t>7</w:t>
      </w:r>
      <w:r>
        <w:fldChar w:fldCharType="end"/>
      </w:r>
      <w:r>
        <w:rPr>
          <w:rFonts w:hint="eastAsia" w:ascii="新宋体" w:hAnsi="新宋体" w:eastAsia="新宋体" w:cs="新宋体"/>
          <w:bCs w:val="0"/>
          <w:szCs w:val="24"/>
        </w:rPr>
        <w:fldChar w:fldCharType="end"/>
      </w:r>
    </w:p>
    <w:p>
      <w:pPr>
        <w:pStyle w:val="12"/>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_Toc270032321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五．建设标准</w:t>
      </w:r>
      <w:r>
        <w:tab/>
      </w:r>
      <w:r>
        <w:fldChar w:fldCharType="begin"/>
      </w:r>
      <w:r>
        <w:instrText xml:space="preserve"> PAGEREF _Toc270032321 \h </w:instrText>
      </w:r>
      <w:r>
        <w:fldChar w:fldCharType="separate"/>
      </w:r>
      <w:r>
        <w:t>8</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_Toc800272936 </w:instrText>
      </w:r>
      <w:r>
        <w:rPr>
          <w:rFonts w:hint="eastAsia" w:ascii="新宋体" w:hAnsi="新宋体" w:eastAsia="新宋体" w:cs="新宋体"/>
          <w:bCs w:val="0"/>
          <w:szCs w:val="24"/>
        </w:rPr>
        <w:fldChar w:fldCharType="separate"/>
      </w:r>
      <w:r>
        <w:rPr>
          <w:rFonts w:hint="eastAsia" w:ascii="新宋体" w:hAnsi="新宋体" w:eastAsia="新宋体" w:cs="新宋体"/>
          <w:bCs/>
          <w:szCs w:val="24"/>
          <w:lang w:val="en-US" w:eastAsia="zh-CN"/>
        </w:rPr>
        <w:t>5.1需求响应</w:t>
      </w:r>
      <w:r>
        <w:tab/>
      </w:r>
      <w:r>
        <w:fldChar w:fldCharType="begin"/>
      </w:r>
      <w:r>
        <w:instrText xml:space="preserve"> PAGEREF _Toc800272936 \h </w:instrText>
      </w:r>
      <w:r>
        <w:fldChar w:fldCharType="separate"/>
      </w:r>
      <w:r>
        <w:t>8</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_Toc497154191 </w:instrText>
      </w:r>
      <w:r>
        <w:rPr>
          <w:rFonts w:hint="eastAsia" w:ascii="新宋体" w:hAnsi="新宋体" w:eastAsia="新宋体" w:cs="新宋体"/>
          <w:bCs w:val="0"/>
          <w:szCs w:val="24"/>
        </w:rPr>
        <w:fldChar w:fldCharType="separate"/>
      </w:r>
      <w:r>
        <w:rPr>
          <w:rFonts w:hint="eastAsia" w:ascii="新宋体" w:hAnsi="新宋体" w:eastAsia="新宋体" w:cs="新宋体"/>
          <w:bCs/>
          <w:szCs w:val="24"/>
          <w:lang w:val="en-US" w:eastAsia="zh-CN"/>
        </w:rPr>
        <w:t>5.2计划敏捷</w:t>
      </w:r>
      <w:r>
        <w:tab/>
      </w:r>
      <w:r>
        <w:fldChar w:fldCharType="begin"/>
      </w:r>
      <w:r>
        <w:instrText xml:space="preserve"> PAGEREF _Toc497154191 \h </w:instrText>
      </w:r>
      <w:r>
        <w:fldChar w:fldCharType="separate"/>
      </w:r>
      <w:r>
        <w:t>10</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_Toc1959101307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5.3</w:t>
      </w:r>
      <w:r>
        <w:rPr>
          <w:rFonts w:hint="eastAsia" w:ascii="新宋体" w:hAnsi="新宋体" w:eastAsia="新宋体" w:cs="新宋体"/>
          <w:bCs/>
          <w:szCs w:val="24"/>
        </w:rPr>
        <w:t>生产柔性</w:t>
      </w:r>
      <w:r>
        <w:tab/>
      </w:r>
      <w:r>
        <w:fldChar w:fldCharType="begin"/>
      </w:r>
      <w:r>
        <w:instrText xml:space="preserve"> PAGEREF _Toc1959101307 \h </w:instrText>
      </w:r>
      <w:r>
        <w:fldChar w:fldCharType="separate"/>
      </w:r>
      <w:r>
        <w:t>12</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_Toc1396390945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bidi="ar-SA"/>
        </w:rPr>
        <w:t>5.4 供应协同</w:t>
      </w:r>
      <w:r>
        <w:tab/>
      </w:r>
      <w:r>
        <w:fldChar w:fldCharType="begin"/>
      </w:r>
      <w:r>
        <w:instrText xml:space="preserve"> PAGEREF _Toc1396390945 \h </w:instrText>
      </w:r>
      <w:r>
        <w:fldChar w:fldCharType="separate"/>
      </w:r>
      <w:r>
        <w:t>14</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_Toc1441318199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bidi="ar-SA"/>
        </w:rPr>
        <w:t>5.5 质量内建</w:t>
      </w:r>
      <w:r>
        <w:tab/>
      </w:r>
      <w:r>
        <w:fldChar w:fldCharType="begin"/>
      </w:r>
      <w:r>
        <w:instrText xml:space="preserve"> PAGEREF _Toc1441318199 \h </w:instrText>
      </w:r>
      <w:r>
        <w:fldChar w:fldCharType="separate"/>
      </w:r>
      <w:r>
        <w:t>16</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_Toc619432433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bidi="ar-SA"/>
        </w:rPr>
        <w:t>5.6 成本控制</w:t>
      </w:r>
      <w:r>
        <w:tab/>
      </w:r>
      <w:r>
        <w:fldChar w:fldCharType="begin"/>
      </w:r>
      <w:r>
        <w:instrText xml:space="preserve"> PAGEREF _Toc619432433 \h </w:instrText>
      </w:r>
      <w:r>
        <w:fldChar w:fldCharType="separate"/>
      </w:r>
      <w:r>
        <w:t>18</w:t>
      </w:r>
      <w:r>
        <w:fldChar w:fldCharType="end"/>
      </w:r>
      <w:r>
        <w:rPr>
          <w:rFonts w:hint="eastAsia" w:ascii="新宋体" w:hAnsi="新宋体" w:eastAsia="新宋体" w:cs="新宋体"/>
          <w:bCs w:val="0"/>
          <w:szCs w:val="24"/>
        </w:rPr>
        <w:fldChar w:fldCharType="end"/>
      </w:r>
    </w:p>
    <w:p>
      <w:pPr>
        <w:pStyle w:val="12"/>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_Toc1947664422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六．数实协同</w:t>
      </w:r>
      <w:r>
        <w:tab/>
      </w:r>
      <w:r>
        <w:fldChar w:fldCharType="begin"/>
      </w:r>
      <w:r>
        <w:instrText xml:space="preserve"> PAGEREF _Toc1947664422 \h </w:instrText>
      </w:r>
      <w:r>
        <w:fldChar w:fldCharType="separate"/>
      </w:r>
      <w:r>
        <w:t>20</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_Toc246999988 </w:instrText>
      </w:r>
      <w:r>
        <w:rPr>
          <w:rFonts w:hint="eastAsia" w:ascii="新宋体" w:hAnsi="新宋体" w:eastAsia="新宋体" w:cs="新宋体"/>
          <w:bCs w:val="0"/>
          <w:szCs w:val="24"/>
        </w:rPr>
        <w:fldChar w:fldCharType="separate"/>
      </w:r>
      <w:r>
        <w:rPr>
          <w:rFonts w:hint="eastAsia" w:ascii="新宋体" w:hAnsi="新宋体" w:eastAsia="新宋体" w:cs="新宋体"/>
          <w:bCs/>
          <w:i w:val="0"/>
          <w:iCs w:val="0"/>
          <w:caps w:val="0"/>
          <w:spacing w:val="0"/>
          <w:szCs w:val="24"/>
          <w:shd w:val="clear" w:fill="FFFFFF"/>
          <w:lang w:val="en-US" w:eastAsia="zh-CN"/>
        </w:rPr>
        <w:t>6.1</w:t>
      </w:r>
      <w:r>
        <w:rPr>
          <w:rFonts w:hint="eastAsia" w:ascii="新宋体" w:hAnsi="新宋体" w:eastAsia="新宋体" w:cs="新宋体"/>
          <w:bCs/>
          <w:i w:val="0"/>
          <w:iCs w:val="0"/>
          <w:caps w:val="0"/>
          <w:spacing w:val="0"/>
          <w:szCs w:val="24"/>
          <w:shd w:val="clear" w:fill="FFFFFF"/>
        </w:rPr>
        <w:t>协同架构</w:t>
      </w:r>
      <w:r>
        <w:tab/>
      </w:r>
      <w:r>
        <w:fldChar w:fldCharType="begin"/>
      </w:r>
      <w:r>
        <w:instrText xml:space="preserve"> PAGEREF _Toc246999988 \h </w:instrText>
      </w:r>
      <w:r>
        <w:fldChar w:fldCharType="separate"/>
      </w:r>
      <w:r>
        <w:t>20</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_Toc242908665 </w:instrText>
      </w:r>
      <w:r>
        <w:rPr>
          <w:rFonts w:hint="eastAsia" w:ascii="新宋体" w:hAnsi="新宋体" w:eastAsia="新宋体" w:cs="新宋体"/>
          <w:bCs w:val="0"/>
          <w:szCs w:val="24"/>
        </w:rPr>
        <w:fldChar w:fldCharType="separate"/>
      </w:r>
      <w:r>
        <w:rPr>
          <w:rFonts w:hint="eastAsia" w:ascii="新宋体" w:hAnsi="新宋体" w:eastAsia="新宋体" w:cs="新宋体"/>
          <w:bCs/>
          <w:i w:val="0"/>
          <w:iCs w:val="0"/>
          <w:caps w:val="0"/>
          <w:spacing w:val="0"/>
          <w:szCs w:val="24"/>
          <w:shd w:val="clear" w:fill="FFFFFF"/>
          <w:lang w:val="en-US" w:eastAsia="zh-CN"/>
        </w:rPr>
        <w:t>6.2</w:t>
      </w:r>
      <w:r>
        <w:rPr>
          <w:rFonts w:hint="eastAsia" w:ascii="新宋体" w:hAnsi="新宋体" w:eastAsia="新宋体" w:cs="新宋体"/>
          <w:bCs/>
          <w:i w:val="0"/>
          <w:iCs w:val="0"/>
          <w:caps w:val="0"/>
          <w:spacing w:val="0"/>
          <w:szCs w:val="24"/>
          <w:shd w:val="clear" w:fill="FFFFFF"/>
        </w:rPr>
        <w:t>数据闭环</w:t>
      </w:r>
      <w:r>
        <w:tab/>
      </w:r>
      <w:r>
        <w:fldChar w:fldCharType="begin"/>
      </w:r>
      <w:r>
        <w:instrText xml:space="preserve"> PAGEREF _Toc242908665 \h </w:instrText>
      </w:r>
      <w:r>
        <w:fldChar w:fldCharType="separate"/>
      </w:r>
      <w:r>
        <w:t>21</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_Toc199519708 </w:instrText>
      </w:r>
      <w:r>
        <w:rPr>
          <w:rFonts w:hint="eastAsia" w:ascii="新宋体" w:hAnsi="新宋体" w:eastAsia="新宋体" w:cs="新宋体"/>
          <w:bCs w:val="0"/>
          <w:szCs w:val="24"/>
        </w:rPr>
        <w:fldChar w:fldCharType="separate"/>
      </w:r>
      <w:r>
        <w:rPr>
          <w:rFonts w:hint="eastAsia" w:ascii="新宋体" w:hAnsi="新宋体" w:eastAsia="新宋体" w:cs="新宋体"/>
          <w:bCs/>
          <w:i w:val="0"/>
          <w:iCs w:val="0"/>
          <w:caps w:val="0"/>
          <w:spacing w:val="0"/>
          <w:szCs w:val="24"/>
          <w:shd w:val="clear" w:fill="FFFFFF"/>
          <w:lang w:val="en-US" w:eastAsia="zh-CN"/>
        </w:rPr>
        <w:t>6.3</w:t>
      </w:r>
      <w:r>
        <w:rPr>
          <w:rFonts w:hint="eastAsia" w:ascii="新宋体" w:hAnsi="新宋体" w:eastAsia="新宋体" w:cs="新宋体"/>
          <w:bCs/>
          <w:i w:val="0"/>
          <w:iCs w:val="0"/>
          <w:caps w:val="0"/>
          <w:spacing w:val="0"/>
          <w:szCs w:val="24"/>
          <w:shd w:val="clear" w:fill="FFFFFF"/>
        </w:rPr>
        <w:t>业务场景</w:t>
      </w:r>
      <w:r>
        <w:tab/>
      </w:r>
      <w:r>
        <w:fldChar w:fldCharType="begin"/>
      </w:r>
      <w:r>
        <w:instrText xml:space="preserve"> PAGEREF _Toc199519708 \h </w:instrText>
      </w:r>
      <w:r>
        <w:fldChar w:fldCharType="separate"/>
      </w:r>
      <w:r>
        <w:t>21</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_Toc1105759389 </w:instrText>
      </w:r>
      <w:r>
        <w:rPr>
          <w:rFonts w:hint="eastAsia" w:ascii="新宋体" w:hAnsi="新宋体" w:eastAsia="新宋体" w:cs="新宋体"/>
          <w:bCs w:val="0"/>
          <w:szCs w:val="24"/>
        </w:rPr>
        <w:fldChar w:fldCharType="separate"/>
      </w:r>
      <w:r>
        <w:rPr>
          <w:rFonts w:hint="eastAsia" w:ascii="新宋体" w:hAnsi="新宋体" w:eastAsia="新宋体" w:cs="新宋体"/>
          <w:bCs/>
          <w:i w:val="0"/>
          <w:iCs w:val="0"/>
          <w:caps w:val="0"/>
          <w:spacing w:val="0"/>
          <w:szCs w:val="24"/>
          <w:shd w:val="clear" w:fill="FFFFFF"/>
          <w:lang w:val="en-US" w:eastAsia="zh-CN"/>
        </w:rPr>
        <w:t>6.4</w:t>
      </w:r>
      <w:r>
        <w:rPr>
          <w:rFonts w:hint="eastAsia" w:ascii="新宋体" w:hAnsi="新宋体" w:eastAsia="新宋体" w:cs="新宋体"/>
          <w:bCs/>
          <w:i w:val="0"/>
          <w:iCs w:val="0"/>
          <w:caps w:val="0"/>
          <w:spacing w:val="0"/>
          <w:szCs w:val="24"/>
          <w:shd w:val="clear" w:fill="FFFFFF"/>
        </w:rPr>
        <w:t>技术规范</w:t>
      </w:r>
      <w:r>
        <w:tab/>
      </w:r>
      <w:r>
        <w:fldChar w:fldCharType="begin"/>
      </w:r>
      <w:r>
        <w:instrText xml:space="preserve"> PAGEREF _Toc1105759389 \h </w:instrText>
      </w:r>
      <w:r>
        <w:fldChar w:fldCharType="separate"/>
      </w:r>
      <w:r>
        <w:t>22</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_Toc174569785 </w:instrText>
      </w:r>
      <w:r>
        <w:rPr>
          <w:rFonts w:hint="eastAsia" w:ascii="新宋体" w:hAnsi="新宋体" w:eastAsia="新宋体" w:cs="新宋体"/>
          <w:bCs w:val="0"/>
          <w:szCs w:val="24"/>
        </w:rPr>
        <w:fldChar w:fldCharType="separate"/>
      </w:r>
      <w:r>
        <w:rPr>
          <w:rFonts w:hint="eastAsia" w:ascii="新宋体" w:hAnsi="新宋体" w:eastAsia="新宋体" w:cs="新宋体"/>
          <w:bCs/>
          <w:i w:val="0"/>
          <w:iCs w:val="0"/>
          <w:caps w:val="0"/>
          <w:spacing w:val="0"/>
          <w:szCs w:val="24"/>
          <w:shd w:val="clear" w:fill="FFFFFF"/>
          <w:lang w:val="en-US" w:eastAsia="zh-CN"/>
        </w:rPr>
        <w:t>6.5</w:t>
      </w:r>
      <w:r>
        <w:rPr>
          <w:rFonts w:hint="eastAsia" w:ascii="新宋体" w:hAnsi="新宋体" w:eastAsia="新宋体" w:cs="新宋体"/>
          <w:bCs/>
          <w:i w:val="0"/>
          <w:iCs w:val="0"/>
          <w:caps w:val="0"/>
          <w:spacing w:val="0"/>
          <w:szCs w:val="24"/>
          <w:shd w:val="clear" w:fill="FFFFFF"/>
        </w:rPr>
        <w:t>选型标准</w:t>
      </w:r>
      <w:r>
        <w:tab/>
      </w:r>
      <w:r>
        <w:fldChar w:fldCharType="begin"/>
      </w:r>
      <w:r>
        <w:instrText xml:space="preserve"> PAGEREF _Toc174569785 \h </w:instrText>
      </w:r>
      <w:r>
        <w:fldChar w:fldCharType="separate"/>
      </w:r>
      <w:r>
        <w:t>22</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_Toc531714693 </w:instrText>
      </w:r>
      <w:r>
        <w:rPr>
          <w:rFonts w:hint="eastAsia" w:ascii="新宋体" w:hAnsi="新宋体" w:eastAsia="新宋体" w:cs="新宋体"/>
          <w:bCs w:val="0"/>
          <w:szCs w:val="24"/>
        </w:rPr>
        <w:fldChar w:fldCharType="separate"/>
      </w:r>
      <w:r>
        <w:rPr>
          <w:rFonts w:hint="eastAsia" w:ascii="新宋体" w:hAnsi="新宋体" w:eastAsia="新宋体" w:cs="新宋体"/>
          <w:bCs/>
          <w:i w:val="0"/>
          <w:iCs w:val="0"/>
          <w:caps w:val="0"/>
          <w:spacing w:val="0"/>
          <w:szCs w:val="24"/>
          <w:shd w:val="clear" w:fill="FFFFFF"/>
          <w:lang w:val="en-US" w:eastAsia="zh-CN"/>
        </w:rPr>
        <w:t>6.6</w:t>
      </w:r>
      <w:r>
        <w:rPr>
          <w:rFonts w:hint="eastAsia" w:ascii="新宋体" w:hAnsi="新宋体" w:eastAsia="新宋体" w:cs="新宋体"/>
          <w:bCs/>
          <w:i w:val="0"/>
          <w:iCs w:val="0"/>
          <w:caps w:val="0"/>
          <w:spacing w:val="0"/>
          <w:szCs w:val="24"/>
          <w:shd w:val="clear" w:fill="FFFFFF"/>
        </w:rPr>
        <w:t>体系价值</w:t>
      </w:r>
      <w:r>
        <w:tab/>
      </w:r>
      <w:r>
        <w:fldChar w:fldCharType="begin"/>
      </w:r>
      <w:r>
        <w:instrText xml:space="preserve"> PAGEREF _Toc531714693 \h </w:instrText>
      </w:r>
      <w:r>
        <w:fldChar w:fldCharType="separate"/>
      </w:r>
      <w:r>
        <w:t>23</w:t>
      </w:r>
      <w:r>
        <w:fldChar w:fldCharType="end"/>
      </w:r>
      <w:r>
        <w:rPr>
          <w:rFonts w:hint="eastAsia" w:ascii="新宋体" w:hAnsi="新宋体" w:eastAsia="新宋体" w:cs="新宋体"/>
          <w:bCs w:val="0"/>
          <w:szCs w:val="24"/>
        </w:rPr>
        <w:fldChar w:fldCharType="end"/>
      </w:r>
    </w:p>
    <w:p>
      <w:pPr>
        <w:pStyle w:val="12"/>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_Toc849390084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七．实施评估</w:t>
      </w:r>
      <w:r>
        <w:tab/>
      </w:r>
      <w:r>
        <w:fldChar w:fldCharType="begin"/>
      </w:r>
      <w:r>
        <w:instrText xml:space="preserve"> PAGEREF _Toc849390084 \h </w:instrText>
      </w:r>
      <w:r>
        <w:fldChar w:fldCharType="separate"/>
      </w:r>
      <w:r>
        <w:t>23</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_Toc1375340179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7.1 实施路径</w:t>
      </w:r>
      <w:r>
        <w:tab/>
      </w:r>
      <w:r>
        <w:fldChar w:fldCharType="begin"/>
      </w:r>
      <w:r>
        <w:instrText xml:space="preserve"> PAGEREF _Toc1375340179 \h </w:instrText>
      </w:r>
      <w:r>
        <w:fldChar w:fldCharType="separate"/>
      </w:r>
      <w:r>
        <w:t>23</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_Toc1975895792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7</w:t>
      </w:r>
      <w:r>
        <w:rPr>
          <w:rFonts w:hint="eastAsia" w:ascii="新宋体" w:hAnsi="新宋体" w:eastAsia="新宋体" w:cs="新宋体"/>
          <w:bCs/>
          <w:kern w:val="2"/>
          <w:szCs w:val="24"/>
          <w:lang w:bidi="ar-SA"/>
        </w:rPr>
        <w:t>.2 绩效评估</w:t>
      </w:r>
      <w:r>
        <w:tab/>
      </w:r>
      <w:r>
        <w:fldChar w:fldCharType="begin"/>
      </w:r>
      <w:r>
        <w:instrText xml:space="preserve"> PAGEREF _Toc1975895792 \h </w:instrText>
      </w:r>
      <w:r>
        <w:fldChar w:fldCharType="separate"/>
      </w:r>
      <w:r>
        <w:t>24</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_Toc69866575 </w:instrText>
      </w:r>
      <w:r>
        <w:rPr>
          <w:rFonts w:hint="eastAsia" w:ascii="新宋体" w:hAnsi="新宋体" w:eastAsia="新宋体" w:cs="新宋体"/>
          <w:bCs w:val="0"/>
          <w:szCs w:val="24"/>
        </w:rPr>
        <w:fldChar w:fldCharType="separate"/>
      </w:r>
      <w:r>
        <w:rPr>
          <w:rFonts w:hint="eastAsia" w:ascii="新宋体" w:hAnsi="新宋体" w:eastAsia="新宋体" w:cs="新宋体"/>
          <w:bCs/>
          <w:szCs w:val="24"/>
          <w:lang w:val="en-US" w:eastAsia="zh-CN"/>
        </w:rPr>
        <w:t>7.3 持续改善</w:t>
      </w:r>
      <w:r>
        <w:tab/>
      </w:r>
      <w:r>
        <w:fldChar w:fldCharType="begin"/>
      </w:r>
      <w:r>
        <w:instrText xml:space="preserve"> PAGEREF _Toc69866575 \h </w:instrText>
      </w:r>
      <w:r>
        <w:fldChar w:fldCharType="separate"/>
      </w:r>
      <w:r>
        <w:t>25</w:t>
      </w:r>
      <w:r>
        <w:fldChar w:fldCharType="end"/>
      </w:r>
      <w:r>
        <w:rPr>
          <w:rFonts w:hint="eastAsia" w:ascii="新宋体" w:hAnsi="新宋体" w:eastAsia="新宋体" w:cs="新宋体"/>
          <w:bCs w:val="0"/>
          <w:szCs w:val="24"/>
        </w:rPr>
        <w:fldChar w:fldCharType="end"/>
      </w:r>
    </w:p>
    <w:p>
      <w:pPr>
        <w:pStyle w:val="12"/>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_Toc1416482528 </w:instrText>
      </w:r>
      <w:r>
        <w:rPr>
          <w:rFonts w:hint="eastAsia" w:ascii="新宋体" w:hAnsi="新宋体" w:eastAsia="新宋体" w:cs="新宋体"/>
          <w:bCs w:val="0"/>
          <w:szCs w:val="24"/>
        </w:rPr>
        <w:fldChar w:fldCharType="separate"/>
      </w:r>
      <w:r>
        <w:rPr>
          <w:rFonts w:hint="eastAsia" w:ascii="新宋体" w:hAnsi="新宋体" w:eastAsia="新宋体" w:cs="新宋体"/>
          <w:bCs/>
          <w:szCs w:val="24"/>
          <w:lang w:val="en-US" w:eastAsia="zh-CN"/>
        </w:rPr>
        <w:t>八．绿色安全</w:t>
      </w:r>
      <w:r>
        <w:tab/>
      </w:r>
      <w:r>
        <w:fldChar w:fldCharType="begin"/>
      </w:r>
      <w:r>
        <w:instrText xml:space="preserve"> PAGEREF _Toc1416482528 \h </w:instrText>
      </w:r>
      <w:r>
        <w:fldChar w:fldCharType="separate"/>
      </w:r>
      <w:r>
        <w:t>26</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_Toc1452902706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8</w:t>
      </w:r>
      <w:r>
        <w:rPr>
          <w:rFonts w:hint="eastAsia" w:ascii="新宋体" w:hAnsi="新宋体" w:eastAsia="新宋体" w:cs="新宋体"/>
          <w:bCs/>
          <w:kern w:val="2"/>
          <w:szCs w:val="24"/>
          <w:lang w:bidi="ar-SA"/>
        </w:rPr>
        <w:t>.1 生产安全</w:t>
      </w:r>
      <w:r>
        <w:tab/>
      </w:r>
      <w:r>
        <w:fldChar w:fldCharType="begin"/>
      </w:r>
      <w:r>
        <w:instrText xml:space="preserve"> PAGEREF _Toc1452902706 \h </w:instrText>
      </w:r>
      <w:r>
        <w:fldChar w:fldCharType="separate"/>
      </w:r>
      <w:r>
        <w:t>26</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_Toc612388539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8</w:t>
      </w:r>
      <w:r>
        <w:rPr>
          <w:rFonts w:hint="eastAsia" w:ascii="新宋体" w:hAnsi="新宋体" w:eastAsia="新宋体" w:cs="新宋体"/>
          <w:bCs/>
          <w:kern w:val="2"/>
          <w:szCs w:val="24"/>
          <w:lang w:bidi="ar-SA"/>
        </w:rPr>
        <w:t>.2 网络</w:t>
      </w:r>
      <w:r>
        <w:rPr>
          <w:rFonts w:hint="eastAsia" w:ascii="新宋体" w:hAnsi="新宋体" w:eastAsia="新宋体" w:cs="新宋体"/>
          <w:bCs/>
          <w:kern w:val="2"/>
          <w:szCs w:val="24"/>
          <w:lang w:val="en-US" w:eastAsia="zh-CN" w:bidi="ar-SA"/>
        </w:rPr>
        <w:t>安全</w:t>
      </w:r>
      <w:r>
        <w:tab/>
      </w:r>
      <w:r>
        <w:fldChar w:fldCharType="begin"/>
      </w:r>
      <w:r>
        <w:instrText xml:space="preserve"> PAGEREF _Toc612388539 \h </w:instrText>
      </w:r>
      <w:r>
        <w:fldChar w:fldCharType="separate"/>
      </w:r>
      <w:r>
        <w:t>26</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_Toc686423114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8</w:t>
      </w:r>
      <w:r>
        <w:rPr>
          <w:rFonts w:hint="eastAsia" w:ascii="新宋体" w:hAnsi="新宋体" w:eastAsia="新宋体" w:cs="新宋体"/>
          <w:bCs/>
          <w:kern w:val="2"/>
          <w:szCs w:val="24"/>
          <w:lang w:bidi="ar-SA"/>
        </w:rPr>
        <w:t>.3 工控</w:t>
      </w:r>
      <w:r>
        <w:rPr>
          <w:rFonts w:hint="eastAsia" w:ascii="新宋体" w:hAnsi="新宋体" w:eastAsia="新宋体" w:cs="新宋体"/>
          <w:bCs/>
          <w:kern w:val="2"/>
          <w:szCs w:val="24"/>
          <w:lang w:val="en-US" w:eastAsia="zh-CN" w:bidi="ar-SA"/>
        </w:rPr>
        <w:t>安全</w:t>
      </w:r>
      <w:r>
        <w:tab/>
      </w:r>
      <w:r>
        <w:fldChar w:fldCharType="begin"/>
      </w:r>
      <w:r>
        <w:instrText xml:space="preserve"> PAGEREF _Toc686423114 \h </w:instrText>
      </w:r>
      <w:r>
        <w:fldChar w:fldCharType="separate"/>
      </w:r>
      <w:r>
        <w:t>26</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_Toc464045496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8</w:t>
      </w:r>
      <w:r>
        <w:rPr>
          <w:rFonts w:hint="eastAsia" w:ascii="新宋体" w:hAnsi="新宋体" w:eastAsia="新宋体" w:cs="新宋体"/>
          <w:bCs/>
          <w:kern w:val="2"/>
          <w:szCs w:val="24"/>
          <w:lang w:bidi="ar-SA"/>
        </w:rPr>
        <w:t>.4 数据安全</w:t>
      </w:r>
      <w:r>
        <w:tab/>
      </w:r>
      <w:r>
        <w:fldChar w:fldCharType="begin"/>
      </w:r>
      <w:r>
        <w:instrText xml:space="preserve"> PAGEREF _Toc464045496 \h </w:instrText>
      </w:r>
      <w:r>
        <w:fldChar w:fldCharType="separate"/>
      </w:r>
      <w:r>
        <w:t>26</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_Toc1112899046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bidi="ar-SA"/>
        </w:rPr>
        <w:t>8</w:t>
      </w:r>
      <w:r>
        <w:rPr>
          <w:rFonts w:hint="eastAsia" w:ascii="新宋体" w:hAnsi="新宋体" w:eastAsia="新宋体" w:cs="新宋体"/>
          <w:bCs/>
          <w:kern w:val="2"/>
          <w:szCs w:val="24"/>
          <w:lang w:bidi="ar-SA"/>
        </w:rPr>
        <w:t>.5 绿色制造</w:t>
      </w:r>
      <w:r>
        <w:tab/>
      </w:r>
      <w:r>
        <w:fldChar w:fldCharType="begin"/>
      </w:r>
      <w:r>
        <w:instrText xml:space="preserve"> PAGEREF _Toc1112899046 \h </w:instrText>
      </w:r>
      <w:r>
        <w:fldChar w:fldCharType="separate"/>
      </w:r>
      <w:r>
        <w:t>27</w:t>
      </w:r>
      <w:r>
        <w:fldChar w:fldCharType="end"/>
      </w:r>
      <w:r>
        <w:rPr>
          <w:rFonts w:hint="eastAsia" w:ascii="新宋体" w:hAnsi="新宋体" w:eastAsia="新宋体" w:cs="新宋体"/>
          <w:bCs w:val="0"/>
          <w:szCs w:val="24"/>
        </w:rPr>
        <w:fldChar w:fldCharType="end"/>
      </w:r>
    </w:p>
    <w:p>
      <w:pPr>
        <w:pStyle w:val="12"/>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_Toc549881730 </w:instrText>
      </w:r>
      <w:r>
        <w:rPr>
          <w:rFonts w:hint="eastAsia" w:ascii="新宋体" w:hAnsi="新宋体" w:eastAsia="新宋体" w:cs="新宋体"/>
          <w:bCs w:val="0"/>
          <w:szCs w:val="24"/>
        </w:rPr>
        <w:fldChar w:fldCharType="separate"/>
      </w:r>
      <w:r>
        <w:rPr>
          <w:rFonts w:hint="eastAsia" w:ascii="新宋体" w:hAnsi="新宋体" w:eastAsia="新宋体" w:cs="新宋体"/>
          <w:bCs/>
          <w:szCs w:val="24"/>
          <w:lang w:val="en-US" w:eastAsia="zh-CN"/>
        </w:rPr>
        <w:t>九．等级指标</w:t>
      </w:r>
      <w:r>
        <w:tab/>
      </w:r>
      <w:r>
        <w:fldChar w:fldCharType="begin"/>
      </w:r>
      <w:r>
        <w:instrText xml:space="preserve"> PAGEREF _Toc549881730 \h </w:instrText>
      </w:r>
      <w:r>
        <w:fldChar w:fldCharType="separate"/>
      </w:r>
      <w:r>
        <w:t>27</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_Toc1240103069 </w:instrText>
      </w:r>
      <w:r>
        <w:rPr>
          <w:rFonts w:hint="eastAsia" w:ascii="新宋体" w:hAnsi="新宋体" w:eastAsia="新宋体" w:cs="新宋体"/>
          <w:bCs w:val="0"/>
          <w:szCs w:val="24"/>
        </w:rPr>
        <w:fldChar w:fldCharType="separate"/>
      </w:r>
      <w:r>
        <w:rPr>
          <w:rFonts w:hint="eastAsia" w:ascii="新宋体" w:hAnsi="新宋体" w:eastAsia="新宋体" w:cs="新宋体"/>
          <w:bCs/>
          <w:szCs w:val="24"/>
          <w:lang w:val="en-US" w:eastAsia="zh-CN"/>
        </w:rPr>
        <w:t>9</w:t>
      </w:r>
      <w:r>
        <w:rPr>
          <w:rFonts w:hint="eastAsia" w:ascii="新宋体" w:hAnsi="新宋体" w:eastAsia="新宋体" w:cs="新宋体"/>
          <w:bCs/>
          <w:szCs w:val="24"/>
        </w:rPr>
        <w:t>.</w:t>
      </w:r>
      <w:r>
        <w:rPr>
          <w:rFonts w:hint="eastAsia" w:ascii="新宋体" w:hAnsi="新宋体" w:eastAsia="新宋体" w:cs="新宋体"/>
          <w:bCs/>
          <w:szCs w:val="24"/>
          <w:lang w:val="en-US" w:eastAsia="zh-CN"/>
        </w:rPr>
        <w:t>1标准体系</w:t>
      </w:r>
      <w:r>
        <w:tab/>
      </w:r>
      <w:r>
        <w:fldChar w:fldCharType="begin"/>
      </w:r>
      <w:r>
        <w:instrText xml:space="preserve"> PAGEREF _Toc1240103069 \h </w:instrText>
      </w:r>
      <w:r>
        <w:fldChar w:fldCharType="separate"/>
      </w:r>
      <w:r>
        <w:t>27</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_Toc1083486548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rPr>
        <w:t>9</w:t>
      </w:r>
      <w:r>
        <w:rPr>
          <w:rFonts w:hint="eastAsia" w:ascii="新宋体" w:hAnsi="新宋体" w:eastAsia="新宋体" w:cs="新宋体"/>
          <w:bCs/>
          <w:kern w:val="2"/>
          <w:szCs w:val="24"/>
          <w:lang w:eastAsia="zh-CN"/>
        </w:rPr>
        <w:t>.</w:t>
      </w:r>
      <w:r>
        <w:rPr>
          <w:rFonts w:hint="eastAsia" w:ascii="新宋体" w:hAnsi="新宋体" w:eastAsia="新宋体" w:cs="新宋体"/>
          <w:bCs/>
          <w:kern w:val="2"/>
          <w:szCs w:val="24"/>
          <w:lang w:val="en-US" w:eastAsia="zh-CN"/>
        </w:rPr>
        <w:t>2标准等级</w:t>
      </w:r>
      <w:r>
        <w:tab/>
      </w:r>
      <w:r>
        <w:fldChar w:fldCharType="begin"/>
      </w:r>
      <w:r>
        <w:instrText xml:space="preserve"> PAGEREF _Toc1083486548 \h </w:instrText>
      </w:r>
      <w:r>
        <w:fldChar w:fldCharType="separate"/>
      </w:r>
      <w:r>
        <w:t>27</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_Toc1644569323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2"/>
          <w:szCs w:val="24"/>
          <w:lang w:val="en-US" w:eastAsia="zh-CN"/>
        </w:rPr>
        <w:t>9.3</w:t>
      </w:r>
      <w:r>
        <w:rPr>
          <w:rFonts w:hint="eastAsia" w:ascii="新宋体" w:hAnsi="新宋体" w:eastAsia="新宋体" w:cs="新宋体"/>
          <w:bCs/>
          <w:kern w:val="2"/>
          <w:szCs w:val="24"/>
          <w:lang w:eastAsia="zh-CN"/>
        </w:rPr>
        <w:t>构建原则</w:t>
      </w:r>
      <w:r>
        <w:tab/>
      </w:r>
      <w:r>
        <w:fldChar w:fldCharType="begin"/>
      </w:r>
      <w:r>
        <w:instrText xml:space="preserve"> PAGEREF _Toc1644569323 \h </w:instrText>
      </w:r>
      <w:r>
        <w:fldChar w:fldCharType="separate"/>
      </w:r>
      <w:r>
        <w:t>28</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_Toc14591124 </w:instrText>
      </w:r>
      <w:r>
        <w:rPr>
          <w:rFonts w:hint="eastAsia" w:ascii="新宋体" w:hAnsi="新宋体" w:eastAsia="新宋体" w:cs="新宋体"/>
          <w:bCs w:val="0"/>
          <w:szCs w:val="24"/>
        </w:rPr>
        <w:fldChar w:fldCharType="separate"/>
      </w:r>
      <w:r>
        <w:rPr>
          <w:rFonts w:hint="eastAsia" w:ascii="新宋体" w:hAnsi="新宋体" w:eastAsia="新宋体" w:cs="新宋体"/>
          <w:bCs/>
          <w:szCs w:val="24"/>
          <w:lang w:val="en-US" w:eastAsia="zh-CN"/>
        </w:rPr>
        <w:t>9.4评级指标定义</w:t>
      </w:r>
      <w:r>
        <w:tab/>
      </w:r>
      <w:r>
        <w:fldChar w:fldCharType="begin"/>
      </w:r>
      <w:r>
        <w:instrText xml:space="preserve"> PAGEREF _Toc14591124 \h </w:instrText>
      </w:r>
      <w:r>
        <w:fldChar w:fldCharType="separate"/>
      </w:r>
      <w:r>
        <w:t>33</w:t>
      </w:r>
      <w:r>
        <w:fldChar w:fldCharType="end"/>
      </w:r>
      <w:r>
        <w:rPr>
          <w:rFonts w:hint="eastAsia" w:ascii="新宋体" w:hAnsi="新宋体" w:eastAsia="新宋体" w:cs="新宋体"/>
          <w:bCs w:val="0"/>
          <w:szCs w:val="24"/>
        </w:rPr>
        <w:fldChar w:fldCharType="end"/>
      </w:r>
    </w:p>
    <w:p>
      <w:pPr>
        <w:pStyle w:val="13"/>
        <w:tabs>
          <w:tab w:val="right" w:leader="dot" w:pos="8306"/>
        </w:tabs>
      </w:pPr>
      <w:r>
        <w:rPr>
          <w:rFonts w:hint="eastAsia" w:ascii="新宋体" w:hAnsi="新宋体" w:eastAsia="新宋体" w:cs="新宋体"/>
          <w:bCs w:val="0"/>
          <w:szCs w:val="24"/>
        </w:rPr>
        <w:fldChar w:fldCharType="begin"/>
      </w:r>
      <w:r>
        <w:rPr>
          <w:rFonts w:hint="eastAsia" w:ascii="新宋体" w:hAnsi="新宋体" w:eastAsia="新宋体" w:cs="新宋体"/>
          <w:bCs w:val="0"/>
          <w:szCs w:val="24"/>
        </w:rPr>
        <w:instrText xml:space="preserve"> HYPERLINK \l _Toc285461191 </w:instrText>
      </w:r>
      <w:r>
        <w:rPr>
          <w:rFonts w:hint="eastAsia" w:ascii="新宋体" w:hAnsi="新宋体" w:eastAsia="新宋体" w:cs="新宋体"/>
          <w:bCs w:val="0"/>
          <w:szCs w:val="24"/>
        </w:rPr>
        <w:fldChar w:fldCharType="separate"/>
      </w:r>
      <w:r>
        <w:rPr>
          <w:rFonts w:hint="eastAsia" w:ascii="新宋体" w:hAnsi="新宋体" w:eastAsia="新宋体" w:cs="新宋体"/>
          <w:bCs/>
          <w:kern w:val="0"/>
          <w:szCs w:val="24"/>
          <w:lang w:val="en-US" w:eastAsia="zh-CN" w:bidi="ar"/>
        </w:rPr>
        <w:t>9</w:t>
      </w:r>
      <w:r>
        <w:rPr>
          <w:rFonts w:hint="eastAsia" w:ascii="新宋体" w:hAnsi="新宋体" w:eastAsia="新宋体" w:cs="新宋体"/>
          <w:bCs/>
          <w:kern w:val="0"/>
          <w:szCs w:val="24"/>
          <w:lang w:bidi="ar"/>
        </w:rPr>
        <w:t>.</w:t>
      </w:r>
      <w:r>
        <w:rPr>
          <w:rFonts w:hint="eastAsia" w:ascii="新宋体" w:hAnsi="新宋体" w:eastAsia="新宋体" w:cs="新宋体"/>
          <w:bCs/>
          <w:kern w:val="0"/>
          <w:szCs w:val="24"/>
          <w:lang w:val="en-US" w:eastAsia="zh-CN" w:bidi="ar"/>
        </w:rPr>
        <w:t>5</w:t>
      </w:r>
      <w:r>
        <w:rPr>
          <w:rFonts w:hint="eastAsia" w:ascii="新宋体" w:hAnsi="新宋体" w:eastAsia="新宋体" w:cs="新宋体"/>
          <w:bCs/>
          <w:kern w:val="0"/>
          <w:szCs w:val="24"/>
          <w:lang w:bidi="ar"/>
        </w:rPr>
        <w:t xml:space="preserve"> 等级标准关键</w:t>
      </w:r>
      <w:r>
        <w:rPr>
          <w:rFonts w:hint="eastAsia" w:ascii="新宋体" w:hAnsi="新宋体" w:eastAsia="新宋体" w:cs="新宋体"/>
          <w:bCs/>
          <w:kern w:val="0"/>
          <w:szCs w:val="24"/>
          <w:lang w:val="en-US" w:eastAsia="zh-CN" w:bidi="ar"/>
        </w:rPr>
        <w:t>要素</w:t>
      </w:r>
      <w:r>
        <w:tab/>
      </w:r>
      <w:r>
        <w:fldChar w:fldCharType="begin"/>
      </w:r>
      <w:r>
        <w:instrText xml:space="preserve"> PAGEREF _Toc285461191 \h </w:instrText>
      </w:r>
      <w:r>
        <w:fldChar w:fldCharType="separate"/>
      </w:r>
      <w:r>
        <w:t>49</w:t>
      </w:r>
      <w:r>
        <w:fldChar w:fldCharType="end"/>
      </w:r>
      <w:r>
        <w:rPr>
          <w:rFonts w:hint="eastAsia" w:ascii="新宋体" w:hAnsi="新宋体" w:eastAsia="新宋体" w:cs="新宋体"/>
          <w:bCs w:val="0"/>
          <w:szCs w:val="24"/>
        </w:rPr>
        <w:fldChar w:fldCharType="end"/>
      </w:r>
    </w:p>
    <w:p>
      <w:pPr>
        <w:pageBreakBefore w:val="0"/>
        <w:kinsoku/>
        <w:overflowPunct/>
        <w:topLinePunct w:val="0"/>
        <w:autoSpaceDE/>
        <w:autoSpaceDN/>
        <w:bidi w:val="0"/>
        <w:adjustRightInd/>
        <w:snapToGrid/>
        <w:spacing w:line="420" w:lineRule="exact"/>
        <w:ind w:firstLine="420" w:firstLineChars="200"/>
        <w:textAlignment w:val="auto"/>
        <w:rPr>
          <w:rFonts w:hint="eastAsia" w:ascii="新宋体" w:hAnsi="新宋体" w:eastAsia="新宋体" w:cs="新宋体"/>
          <w:b w:val="0"/>
          <w:bCs w:val="0"/>
          <w:sz w:val="24"/>
          <w:szCs w:val="24"/>
        </w:rPr>
      </w:pPr>
      <w:r>
        <w:rPr>
          <w:rFonts w:hint="eastAsia" w:ascii="新宋体" w:hAnsi="新宋体" w:eastAsia="新宋体" w:cs="新宋体"/>
          <w:bCs w:val="0"/>
          <w:szCs w:val="24"/>
        </w:rPr>
        <w:fldChar w:fldCharType="end"/>
      </w:r>
    </w:p>
    <w:p>
      <w:pPr>
        <w:pageBreakBefore w:val="0"/>
        <w:kinsoku/>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rPr>
      </w:pPr>
      <w:bookmarkStart w:id="23" w:name="_Toc2918"/>
      <w:r>
        <w:rPr>
          <w:rFonts w:hint="eastAsia" w:ascii="新宋体" w:hAnsi="新宋体" w:eastAsia="新宋体" w:cs="新宋体"/>
          <w:b w:val="0"/>
          <w:bCs w:val="0"/>
          <w:sz w:val="24"/>
          <w:szCs w:val="24"/>
        </w:rPr>
        <w:br w:type="page"/>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center"/>
        <w:textAlignment w:val="auto"/>
        <w:outlineLvl w:val="0"/>
        <w:rPr>
          <w:rFonts w:hint="eastAsia" w:ascii="新宋体" w:hAnsi="新宋体" w:eastAsia="新宋体" w:cs="新宋体"/>
          <w:b/>
          <w:bCs/>
          <w:sz w:val="24"/>
          <w:szCs w:val="24"/>
        </w:rPr>
      </w:pPr>
      <w:bookmarkStart w:id="24" w:name="_Toc353450082"/>
      <w:r>
        <w:rPr>
          <w:rFonts w:hint="eastAsia" w:ascii="新宋体" w:hAnsi="新宋体" w:eastAsia="新宋体" w:cs="新宋体"/>
          <w:b/>
          <w:bCs/>
          <w:sz w:val="24"/>
          <w:szCs w:val="24"/>
        </w:rPr>
        <w:t>前言</w:t>
      </w:r>
      <w:bookmarkEnd w:id="22"/>
      <w:bookmarkEnd w:id="23"/>
      <w:bookmarkEnd w:id="24"/>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 xml:space="preserve">本文件按照GB/T1.1—2020《标准化工作导则第1部分：标准化文件的结构和起草规则》的规定起草。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本文件由</w:t>
      </w:r>
      <w:r>
        <w:rPr>
          <w:rFonts w:hint="eastAsia" w:ascii="新宋体" w:hAnsi="新宋体" w:eastAsia="新宋体" w:cs="新宋体"/>
          <w:b w:val="0"/>
          <w:bCs w:val="0"/>
          <w:sz w:val="24"/>
          <w:szCs w:val="24"/>
          <w:lang w:val="en-US" w:eastAsia="zh-CN"/>
        </w:rPr>
        <w:t>中国联合网络通信有限公司成都市分公司</w:t>
      </w:r>
      <w:r>
        <w:rPr>
          <w:rFonts w:hint="eastAsia" w:ascii="新宋体" w:hAnsi="新宋体" w:eastAsia="新宋体" w:cs="新宋体"/>
          <w:b w:val="0"/>
          <w:bCs w:val="0"/>
          <w:sz w:val="24"/>
          <w:szCs w:val="24"/>
        </w:rPr>
        <w:t>提出。</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本文件由</w:t>
      </w:r>
      <w:r>
        <w:rPr>
          <w:rFonts w:hint="eastAsia" w:ascii="新宋体" w:hAnsi="新宋体" w:eastAsia="新宋体" w:cs="新宋体"/>
          <w:b w:val="0"/>
          <w:bCs w:val="0"/>
          <w:sz w:val="24"/>
          <w:szCs w:val="24"/>
          <w:lang w:eastAsia="zh-CN"/>
        </w:rPr>
        <w:t>成都服装（服饰）行业协会</w:t>
      </w:r>
      <w:r>
        <w:rPr>
          <w:rFonts w:hint="eastAsia" w:ascii="新宋体" w:hAnsi="新宋体" w:eastAsia="新宋体" w:cs="新宋体"/>
          <w:b w:val="0"/>
          <w:bCs w:val="0"/>
          <w:sz w:val="24"/>
          <w:szCs w:val="24"/>
        </w:rPr>
        <w:t>归口。</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新宋体" w:hAnsi="新宋体" w:eastAsia="新宋体" w:cs="新宋体"/>
          <w:color w:val="auto"/>
          <w:sz w:val="24"/>
          <w:szCs w:val="24"/>
          <w:lang w:val="en-US" w:eastAsia="zh-CN"/>
        </w:rPr>
      </w:pPr>
      <w:r>
        <w:rPr>
          <w:rFonts w:hint="eastAsia" w:ascii="新宋体" w:hAnsi="新宋体" w:eastAsia="新宋体" w:cs="新宋体"/>
          <w:color w:val="auto"/>
          <w:sz w:val="24"/>
          <w:szCs w:val="24"/>
        </w:rPr>
        <w:t>本文件起草单位：</w:t>
      </w:r>
      <w:r>
        <w:rPr>
          <w:rFonts w:hint="eastAsia" w:ascii="新宋体" w:hAnsi="新宋体" w:eastAsia="新宋体" w:cs="新宋体"/>
          <w:color w:val="auto"/>
          <w:sz w:val="24"/>
          <w:szCs w:val="24"/>
          <w:lang w:val="en-US" w:eastAsia="zh-CN"/>
        </w:rPr>
        <w:t>中国联通成都市分公司</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lang w:val="en-US" w:eastAsia="zh-CN"/>
        </w:rPr>
        <w:t>圣山白玉兰实业有限公司、四川祥和鸟服饰有限公司、工信安创、成都汇智山科技有限公司、成都晋沙汇川服装有限公司、成都乔梦斯服饰有限公司、成都市沐阳制衣有限公司、四川家康服饰有限公司、四川牧森服饰有限公司、四川骑宇服饰集团有限公司、成都仁和制衣有限责任公司、四川锦鹏祥云服饰有限公司、四川伟虎着装服饰有限公司、简阳市华宇制衣有限公司。</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color w:val="auto"/>
          <w:sz w:val="24"/>
          <w:szCs w:val="24"/>
          <w:lang w:val="en-US" w:eastAsia="zh-CN"/>
        </w:rPr>
      </w:pPr>
      <w:r>
        <w:rPr>
          <w:rFonts w:hint="eastAsia" w:ascii="新宋体" w:hAnsi="新宋体" w:eastAsia="新宋体" w:cs="新宋体"/>
          <w:color w:val="auto"/>
          <w:sz w:val="24"/>
          <w:szCs w:val="24"/>
        </w:rPr>
        <w:t>本文件主要起草人：</w:t>
      </w:r>
      <w:r>
        <w:rPr>
          <w:rFonts w:hint="eastAsia" w:ascii="新宋体" w:hAnsi="新宋体" w:eastAsia="新宋体" w:cs="新宋体"/>
          <w:color w:val="auto"/>
          <w:sz w:val="24"/>
          <w:szCs w:val="24"/>
          <w:lang w:val="en-US" w:eastAsia="zh-CN"/>
        </w:rPr>
        <w:t>严俊明、高雪莲、兰芯、朱熹、王润泽、</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color w:val="auto"/>
          <w:sz w:val="24"/>
          <w:szCs w:val="24"/>
          <w:lang w:val="en-US" w:eastAsia="zh-CN"/>
        </w:rPr>
      </w:pPr>
      <w:bookmarkStart w:id="621" w:name="_GoBack"/>
      <w:bookmarkEnd w:id="621"/>
    </w:p>
    <w:p>
      <w:pPr>
        <w:pageBreakBefore w:val="0"/>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kern w:val="2"/>
          <w:sz w:val="24"/>
          <w:szCs w:val="24"/>
          <w:lang w:val="en-US" w:eastAsia="zh-CN" w:bidi="ar-SA"/>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center"/>
        <w:textAlignment w:val="auto"/>
        <w:outlineLvl w:val="0"/>
        <w:rPr>
          <w:rFonts w:hint="eastAsia" w:ascii="新宋体" w:hAnsi="新宋体" w:eastAsia="新宋体" w:cs="新宋体"/>
          <w:b/>
          <w:bCs/>
          <w:kern w:val="2"/>
          <w:sz w:val="24"/>
          <w:szCs w:val="24"/>
          <w:lang w:val="en-US" w:eastAsia="zh-CN" w:bidi="ar-SA"/>
        </w:rPr>
      </w:pPr>
      <w:bookmarkStart w:id="25" w:name="_Toc495760572"/>
      <w:r>
        <w:rPr>
          <w:rFonts w:hint="eastAsia" w:ascii="新宋体" w:hAnsi="新宋体" w:eastAsia="新宋体" w:cs="新宋体"/>
          <w:b/>
          <w:bCs/>
          <w:sz w:val="24"/>
          <w:szCs w:val="24"/>
          <w:lang w:val="en-US" w:eastAsia="zh-CN"/>
        </w:rPr>
        <w:t>引</w:t>
      </w:r>
      <w:r>
        <w:rPr>
          <w:rFonts w:hint="eastAsia" w:ascii="新宋体" w:hAnsi="新宋体" w:eastAsia="新宋体" w:cs="新宋体"/>
          <w:b/>
          <w:bCs/>
          <w:sz w:val="24"/>
          <w:szCs w:val="24"/>
        </w:rPr>
        <w:t>言</w:t>
      </w:r>
      <w:bookmarkEnd w:id="25"/>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全球服装产业正从传统 “以产定销” 的长周期大批量模式，向消费者驱动的 “小单快反” 模式转型。数字化转型是关键，但许多企业投入巨资引入自动化设备和软件后，却因技术与管理脱节，陷入 “自动化孤岛” 或 “数字化黑箱”，未达预期效益。</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本指南核心主张：数字化快反工厂的灵魂是精益生产管理体系，数字化技术是赋能其高效运作的 “神经系统”。需纠正 “重技术、轻管理” 的误区，确立 “管理为本，数字赋能” 的理念。</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指南构建 “指标量化 - 能力建设 - 工具落地” 三位一体实施框架，以 28 项快反核心指标匹配分级能力标准，贯穿信息化到智能工厂全周期。其核心是将精益生产原则（价值流、标准化作业、持续改善）与 MOM、APS、IoT 等数字化工具深度融合，不仅明确 “用什么技术”，更聚焦 “如何通过技术固化管理实践，并以数据驱动管理进化”，构建数字化快反运营体系。</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指南以制造运营管理体系为骨架，融合精益理念，通过数字化技术打通生产、质量、物流协同链路，消除数据壁垒。遵循 “价值流优化”“持续改善” 原则，重构订单处理、柔性排产等流程，形成 “数据驱动决策 - 流程持续优化 - 能力螺旋提升” 的快反闭环。</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此外，指南构建 “战略规划 - 能力分级 - 工具落地 - 持续改进” 的闭环实施框架，提供数字化工具集成路径，通过行业对标与案例引导企业科学规划转型，实现从传统批量生产到数字化快反的跃迁，增强产业链协同竞争力。</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br w:type="textWrapping"/>
      </w:r>
    </w:p>
    <w:p>
      <w:pPr>
        <w:pStyle w:val="2"/>
        <w:pageBreakBefore w:val="0"/>
        <w:kinsoku/>
        <w:wordWrap/>
        <w:overflowPunct/>
        <w:topLinePunct w:val="0"/>
        <w:autoSpaceDE/>
        <w:autoSpaceDN/>
        <w:bidi w:val="0"/>
        <w:adjustRightInd/>
        <w:snapToGrid/>
        <w:spacing w:line="420" w:lineRule="exact"/>
        <w:jc w:val="center"/>
        <w:textAlignment w:val="auto"/>
        <w:rPr>
          <w:rFonts w:hint="eastAsia" w:ascii="新宋体" w:hAnsi="新宋体" w:eastAsia="新宋体" w:cs="新宋体"/>
          <w:b/>
          <w:bCs/>
          <w:color w:val="000000" w:themeColor="text1"/>
          <w:sz w:val="32"/>
          <w:szCs w:val="32"/>
          <w:lang w:val="en-US" w:eastAsia="zh-CN"/>
          <w14:textFill>
            <w14:solidFill>
              <w14:schemeClr w14:val="tx1"/>
            </w14:solidFill>
          </w14:textFill>
        </w:rPr>
      </w:pPr>
      <w:bookmarkStart w:id="26" w:name="_Toc919545073"/>
      <w:bookmarkStart w:id="27" w:name="_Toc317654626"/>
      <w:bookmarkStart w:id="28" w:name="_Toc322597416"/>
      <w:bookmarkStart w:id="29" w:name="_Toc1275918964"/>
      <w:bookmarkStart w:id="30" w:name="_Toc11383244"/>
      <w:bookmarkStart w:id="31" w:name="_Toc788982886"/>
      <w:bookmarkStart w:id="32" w:name="_Toc4743"/>
      <w:r>
        <w:rPr>
          <w:rFonts w:hint="eastAsia" w:ascii="新宋体" w:hAnsi="新宋体" w:eastAsia="新宋体" w:cs="新宋体"/>
          <w:b/>
          <w:bCs/>
          <w:color w:val="000000" w:themeColor="text1"/>
          <w:sz w:val="32"/>
          <w:szCs w:val="32"/>
          <w:lang w:val="en-US" w:eastAsia="zh-CN"/>
          <w14:textFill>
            <w14:solidFill>
              <w14:schemeClr w14:val="tx1"/>
            </w14:solidFill>
          </w14:textFill>
        </w:rPr>
        <w:t>服装行业数字化快反工厂建设指南</w:t>
      </w:r>
      <w:bookmarkEnd w:id="26"/>
      <w:bookmarkEnd w:id="27"/>
      <w:bookmarkEnd w:id="28"/>
      <w:bookmarkEnd w:id="29"/>
      <w:bookmarkEnd w:id="30"/>
      <w:bookmarkEnd w:id="31"/>
    </w:p>
    <w:p>
      <w:pPr>
        <w:pStyle w:val="2"/>
        <w:pageBreakBefore w:val="0"/>
        <w:kinsoku/>
        <w:wordWrap/>
        <w:overflowPunct/>
        <w:topLinePunct w:val="0"/>
        <w:autoSpaceDE/>
        <w:autoSpaceDN/>
        <w:bidi w:val="0"/>
        <w:adjustRightInd/>
        <w:snapToGrid/>
        <w:spacing w:line="420" w:lineRule="exact"/>
        <w:jc w:val="both"/>
        <w:textAlignment w:val="auto"/>
        <w:rPr>
          <w:rFonts w:hint="eastAsia" w:ascii="新宋体" w:hAnsi="新宋体" w:eastAsia="新宋体" w:cs="新宋体"/>
          <w:b/>
          <w:bCs/>
          <w:color w:val="000000" w:themeColor="text1"/>
          <w:sz w:val="24"/>
          <w:szCs w:val="24"/>
          <w:lang w:val="en-US" w:eastAsia="zh-CN"/>
          <w14:textFill>
            <w14:solidFill>
              <w14:schemeClr w14:val="tx1"/>
            </w14:solidFill>
          </w14:textFill>
        </w:rPr>
      </w:pPr>
      <w:bookmarkStart w:id="33" w:name="_Toc1501718099"/>
      <w:bookmarkStart w:id="34" w:name="_Toc1745812653"/>
      <w:bookmarkStart w:id="35" w:name="_Toc1646045684"/>
      <w:bookmarkStart w:id="36" w:name="_Toc192137325"/>
      <w:r>
        <w:rPr>
          <w:rFonts w:hint="eastAsia" w:ascii="新宋体" w:hAnsi="新宋体" w:eastAsia="新宋体" w:cs="新宋体"/>
          <w:b/>
          <w:bCs/>
          <w:color w:val="000000" w:themeColor="text1"/>
          <w:sz w:val="24"/>
          <w:szCs w:val="24"/>
          <w:lang w:val="en-US" w:eastAsia="zh-CN"/>
          <w14:textFill>
            <w14:solidFill>
              <w14:schemeClr w14:val="tx1"/>
            </w14:solidFill>
          </w14:textFill>
        </w:rPr>
        <w:t>一．范围</w:t>
      </w:r>
      <w:bookmarkEnd w:id="32"/>
      <w:bookmarkEnd w:id="33"/>
      <w:bookmarkEnd w:id="34"/>
      <w:bookmarkEnd w:id="35"/>
      <w:bookmarkEnd w:id="36"/>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lang w:val="en-US" w:eastAsia="zh-CN"/>
        </w:rPr>
      </w:pPr>
      <w:bookmarkStart w:id="37" w:name="_Toc14661"/>
      <w:r>
        <w:rPr>
          <w:rFonts w:hint="eastAsia" w:ascii="新宋体" w:hAnsi="新宋体" w:eastAsia="新宋体" w:cs="新宋体"/>
          <w:b w:val="0"/>
          <w:bCs w:val="0"/>
          <w:color w:val="auto"/>
          <w:sz w:val="24"/>
          <w:szCs w:val="24"/>
          <w:lang w:val="en-US" w:eastAsia="zh-CN"/>
        </w:rPr>
        <w:t>本文件提供了服装行业数字化快反工厂建设的总体架构、技术要求、能力指标、实施路径及安全规范，为企业实现 “小单快反” 生产模式提供系统性指导。</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本文件适用于各类服装生产企业，包括但不限于品牌自建工厂、专业代加工厂（OEM/ODM），以及参与服装设计、打样、裁剪、缝制、后整理等生产环节的企业或生产单元，在规划、设计、建设、改造、运营和评估其数字化快反工厂时参照使用。尤其适用于那些致力于实现或提升“小单快反”生产能力，以适应多品种、小批量、短交期、个性化市场需求的服装工厂。对于不同规模、不同产品类型的服装生产企业，可根据自身实际情况和发展阶段，选择性采纳本文件的相关条款。</w:t>
      </w:r>
    </w:p>
    <w:p>
      <w:pPr>
        <w:keepNext w:val="0"/>
        <w:keepLines w:val="0"/>
        <w:pageBreakBefore w:val="0"/>
        <w:widowControl/>
        <w:suppressLineNumbers w:val="0"/>
        <w:kinsoku/>
        <w:wordWrap/>
        <w:overflowPunct/>
        <w:topLinePunct w:val="0"/>
        <w:autoSpaceDE/>
        <w:autoSpaceDN/>
        <w:bidi w:val="0"/>
        <w:adjustRightInd/>
        <w:snapToGrid/>
        <w:spacing w:line="420" w:lineRule="exact"/>
        <w:ind w:firstLine="480" w:firstLineChars="200"/>
        <w:jc w:val="left"/>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本文件不适用于纯贸易型企业、非服装制造环节的供应链企业，以及不涉及生产环节的数字化改造场景。</w:t>
      </w:r>
    </w:p>
    <w:p>
      <w:pPr>
        <w:keepNext w:val="0"/>
        <w:keepLines w:val="0"/>
        <w:pageBreakBefore w:val="0"/>
        <w:kinsoku/>
        <w:wordWrap/>
        <w:overflowPunct/>
        <w:topLinePunct w:val="0"/>
        <w:autoSpaceDE/>
        <w:autoSpaceDN/>
        <w:bidi w:val="0"/>
        <w:adjustRightInd/>
        <w:snapToGrid/>
        <w:spacing w:line="420" w:lineRule="exact"/>
        <w:textAlignment w:val="auto"/>
        <w:outlineLvl w:val="0"/>
        <w:rPr>
          <w:rFonts w:hint="eastAsia" w:ascii="新宋体" w:hAnsi="新宋体" w:eastAsia="新宋体" w:cs="新宋体"/>
          <w:b w:val="0"/>
          <w:bCs w:val="0"/>
          <w:kern w:val="0"/>
          <w:sz w:val="24"/>
          <w:szCs w:val="24"/>
          <w:lang w:val="en-US" w:eastAsia="zh-CN" w:bidi="ar"/>
        </w:rPr>
      </w:pPr>
      <w:bookmarkStart w:id="38" w:name="_Toc1584099834"/>
      <w:bookmarkStart w:id="39" w:name="_Toc804190010"/>
      <w:bookmarkStart w:id="40" w:name="_Toc786702"/>
      <w:bookmarkStart w:id="41" w:name="_Toc1205470334"/>
      <w:r>
        <w:rPr>
          <w:rFonts w:hint="eastAsia" w:ascii="新宋体" w:hAnsi="新宋体" w:eastAsia="新宋体" w:cs="新宋体"/>
          <w:b/>
          <w:bCs/>
          <w:color w:val="000000" w:themeColor="text1"/>
          <w:kern w:val="2"/>
          <w:sz w:val="24"/>
          <w:szCs w:val="24"/>
          <w:lang w:val="en-US" w:eastAsia="zh-CN" w:bidi="ar-SA"/>
          <w14:textFill>
            <w14:solidFill>
              <w14:schemeClr w14:val="tx1"/>
            </w14:solidFill>
          </w14:textFill>
        </w:rPr>
        <w:t>二．规范性引用文件</w:t>
      </w:r>
      <w:bookmarkEnd w:id="37"/>
      <w:r>
        <w:rPr>
          <w:rFonts w:hint="eastAsia" w:ascii="新宋体" w:hAnsi="新宋体" w:eastAsia="新宋体" w:cs="新宋体"/>
          <w:b w:val="0"/>
          <w:bCs w:val="0"/>
          <w:color w:val="000000" w:themeColor="text1"/>
          <w:kern w:val="2"/>
          <w:sz w:val="24"/>
          <w:szCs w:val="24"/>
          <w:lang w:val="en-US" w:eastAsia="zh-CN" w:bidi="ar-SA"/>
          <w14:textFill>
            <w14:solidFill>
              <w14:schemeClr w14:val="tx1"/>
            </w14:solidFill>
          </w14:textFill>
        </w:rPr>
        <w:t>​​</w:t>
      </w:r>
      <w:r>
        <w:rPr>
          <w:rFonts w:hint="eastAsia" w:ascii="新宋体" w:hAnsi="新宋体" w:eastAsia="新宋体" w:cs="新宋体"/>
          <w:b w:val="0"/>
          <w:bCs w:val="0"/>
          <w:kern w:val="0"/>
          <w:sz w:val="24"/>
          <w:szCs w:val="24"/>
          <w:lang w:val="en-US" w:eastAsia="zh-CN" w:bidi="ar"/>
        </w:rPr>
        <w:t>​</w:t>
      </w:r>
      <w:bookmarkEnd w:id="38"/>
      <w:bookmarkEnd w:id="39"/>
      <w:bookmarkEnd w:id="40"/>
      <w:bookmarkEnd w:id="41"/>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GB/T39116</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2020《智能制造能力成熟度模型》</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GBT 44462.1</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2024 《工业互联网企业网络安全》​​​​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lang w:eastAsia="zh-CN"/>
        </w:rPr>
      </w:pPr>
      <w:r>
        <w:rPr>
          <w:rFonts w:hint="eastAsia" w:ascii="新宋体" w:hAnsi="新宋体" w:eastAsia="新宋体" w:cs="新宋体"/>
          <w:b w:val="0"/>
          <w:bCs w:val="0"/>
          <w:sz w:val="24"/>
          <w:szCs w:val="24"/>
        </w:rPr>
        <w:t>GB/T 42127</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2022</w:t>
      </w:r>
      <w:r>
        <w:rPr>
          <w:rFonts w:hint="eastAsia" w:ascii="新宋体" w:hAnsi="新宋体" w:eastAsia="新宋体" w:cs="新宋体"/>
          <w:b w:val="0"/>
          <w:bCs w:val="0"/>
          <w:sz w:val="24"/>
          <w:szCs w:val="24"/>
          <w:lang w:eastAsia="zh-CN"/>
        </w:rPr>
        <w:t>《智能制造工业数据采集规范》</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i w:val="0"/>
          <w:iCs w:val="0"/>
          <w:caps w:val="0"/>
          <w:color w:val="333333"/>
          <w:spacing w:val="0"/>
          <w:sz w:val="24"/>
          <w:szCs w:val="24"/>
        </w:rPr>
      </w:pPr>
      <w:r>
        <w:rPr>
          <w:rFonts w:hint="eastAsia" w:ascii="新宋体" w:hAnsi="新宋体" w:eastAsia="新宋体" w:cs="新宋体"/>
          <w:b w:val="0"/>
          <w:bCs w:val="0"/>
          <w:i w:val="0"/>
          <w:iCs w:val="0"/>
          <w:caps w:val="0"/>
          <w:color w:val="333333"/>
          <w:spacing w:val="0"/>
          <w:sz w:val="24"/>
          <w:szCs w:val="24"/>
        </w:rPr>
        <w:t xml:space="preserve">GB/T 39116-2020 </w:t>
      </w:r>
      <w:r>
        <w:rPr>
          <w:rFonts w:hint="eastAsia" w:ascii="新宋体" w:hAnsi="新宋体" w:eastAsia="新宋体" w:cs="新宋体"/>
          <w:b w:val="0"/>
          <w:bCs w:val="0"/>
          <w:i w:val="0"/>
          <w:iCs w:val="0"/>
          <w:caps w:val="0"/>
          <w:color w:val="333333"/>
          <w:spacing w:val="0"/>
          <w:sz w:val="24"/>
          <w:szCs w:val="24"/>
          <w:lang w:eastAsia="zh-CN"/>
        </w:rPr>
        <w:t>《</w:t>
      </w:r>
      <w:r>
        <w:rPr>
          <w:rFonts w:hint="eastAsia" w:ascii="新宋体" w:hAnsi="新宋体" w:eastAsia="新宋体" w:cs="新宋体"/>
          <w:b w:val="0"/>
          <w:bCs w:val="0"/>
          <w:i w:val="0"/>
          <w:iCs w:val="0"/>
          <w:caps w:val="0"/>
          <w:color w:val="333333"/>
          <w:spacing w:val="0"/>
          <w:sz w:val="24"/>
          <w:szCs w:val="24"/>
        </w:rPr>
        <w:t>信息技术服务数字化转型成熟度模型与评估</w:t>
      </w:r>
      <w:r>
        <w:rPr>
          <w:rFonts w:hint="eastAsia" w:ascii="新宋体" w:hAnsi="新宋体" w:eastAsia="新宋体" w:cs="新宋体"/>
          <w:b w:val="0"/>
          <w:bCs w:val="0"/>
          <w:i w:val="0"/>
          <w:iCs w:val="0"/>
          <w:caps w:val="0"/>
          <w:color w:val="333333"/>
          <w:spacing w:val="0"/>
          <w:sz w:val="24"/>
          <w:szCs w:val="24"/>
          <w:lang w:eastAsia="zh-CN"/>
        </w:rPr>
        <w:t>》</w:t>
      </w:r>
      <w:r>
        <w:rPr>
          <w:rFonts w:hint="eastAsia" w:ascii="新宋体" w:hAnsi="新宋体" w:eastAsia="新宋体" w:cs="新宋体"/>
          <w:b w:val="0"/>
          <w:bCs w:val="0"/>
          <w:i w:val="0"/>
          <w:iCs w:val="0"/>
          <w:caps w:val="0"/>
          <w:color w:val="333333"/>
          <w:spacing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lang w:eastAsia="zh-CN"/>
        </w:rPr>
      </w:pPr>
      <w:r>
        <w:rPr>
          <w:rFonts w:hint="eastAsia" w:ascii="新宋体" w:hAnsi="新宋体" w:eastAsia="新宋体" w:cs="新宋体"/>
          <w:b w:val="0"/>
          <w:bCs w:val="0"/>
          <w:sz w:val="24"/>
          <w:szCs w:val="24"/>
        </w:rPr>
        <w:t xml:space="preserve">GB/T 36073 </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数据管理能力成熟度评估模型 </w:t>
      </w:r>
      <w:r>
        <w:rPr>
          <w:rFonts w:hint="eastAsia" w:ascii="新宋体" w:hAnsi="新宋体" w:eastAsia="新宋体" w:cs="新宋体"/>
          <w:b w:val="0"/>
          <w:bCs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lang w:eastAsia="zh-CN"/>
        </w:rPr>
      </w:pPr>
      <w:r>
        <w:rPr>
          <w:rFonts w:hint="eastAsia" w:ascii="新宋体" w:hAnsi="新宋体" w:eastAsia="新宋体" w:cs="新宋体"/>
          <w:b w:val="0"/>
          <w:bCs w:val="0"/>
          <w:sz w:val="24"/>
          <w:szCs w:val="24"/>
        </w:rPr>
        <w:t>T/GTES 3</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2024</w:t>
      </w:r>
      <w:r>
        <w:rPr>
          <w:rFonts w:hint="eastAsia" w:ascii="新宋体" w:hAnsi="新宋体" w:eastAsia="新宋体" w:cs="新宋体"/>
          <w:b w:val="0"/>
          <w:bCs w:val="0"/>
          <w:sz w:val="24"/>
          <w:szCs w:val="24"/>
          <w:lang w:eastAsia="zh-CN"/>
        </w:rPr>
        <w:t>《快反工厂功能建设规范基本要求与评价》</w:t>
      </w:r>
      <w:r>
        <w:rPr>
          <w:rFonts w:hint="eastAsia" w:ascii="新宋体" w:hAnsi="新宋体" w:eastAsia="新宋体" w:cs="新宋体"/>
          <w:b w:val="0"/>
          <w:bCs w:val="0"/>
          <w:sz w:val="24"/>
          <w:szCs w:val="24"/>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 xml:space="preserve">T/CNGA 7-2019 </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服装智能制造 制造执行系统技术规范</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lang w:eastAsia="zh-CN"/>
        </w:rPr>
      </w:pPr>
      <w:r>
        <w:rPr>
          <w:rFonts w:hint="eastAsia" w:ascii="新宋体" w:hAnsi="新宋体" w:eastAsia="新宋体" w:cs="新宋体"/>
          <w:b w:val="0"/>
          <w:bCs w:val="0"/>
          <w:sz w:val="24"/>
          <w:szCs w:val="24"/>
        </w:rPr>
        <w:t xml:space="preserve">T/CNGA 10-2019 </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服装智能制造 能力成熟度评估规范</w:t>
      </w:r>
      <w:r>
        <w:rPr>
          <w:rFonts w:hint="eastAsia" w:ascii="新宋体" w:hAnsi="新宋体" w:eastAsia="新宋体" w:cs="新宋体"/>
          <w:b w:val="0"/>
          <w:bCs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lang w:eastAsia="zh-CN"/>
        </w:rPr>
      </w:pPr>
      <w:r>
        <w:rPr>
          <w:rFonts w:hint="eastAsia" w:ascii="新宋体" w:hAnsi="新宋体" w:eastAsia="新宋体" w:cs="新宋体"/>
          <w:b w:val="0"/>
          <w:bCs w:val="0"/>
          <w:sz w:val="24"/>
          <w:szCs w:val="24"/>
        </w:rPr>
        <w:t xml:space="preserve">T/CNGA 11-2018 </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服装智能制造 数据规范</w:t>
      </w:r>
      <w:r>
        <w:rPr>
          <w:rFonts w:hint="eastAsia" w:ascii="新宋体" w:hAnsi="新宋体" w:eastAsia="新宋体" w:cs="新宋体"/>
          <w:b w:val="0"/>
          <w:bCs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 xml:space="preserve">T/CNGA 12-2019 </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服装智能制造 仓储管理系统(WMS)技术规范</w:t>
      </w:r>
      <w:r>
        <w:rPr>
          <w:rFonts w:hint="eastAsia" w:ascii="新宋体" w:hAnsi="新宋体" w:eastAsia="新宋体" w:cs="新宋体"/>
          <w:b w:val="0"/>
          <w:bCs w:val="0"/>
          <w:sz w:val="24"/>
          <w:szCs w:val="24"/>
          <w:lang w:eastAsia="zh-CN"/>
        </w:rPr>
        <w:t>》</w:t>
      </w:r>
    </w:p>
    <w:p>
      <w:pPr>
        <w:keepNext w:val="0"/>
        <w:keepLines w:val="0"/>
        <w:pageBreakBefore w:val="0"/>
        <w:kinsoku/>
        <w:wordWrap/>
        <w:overflowPunct/>
        <w:topLinePunct w:val="0"/>
        <w:autoSpaceDE/>
        <w:autoSpaceDN/>
        <w:bidi w:val="0"/>
        <w:adjustRightInd/>
        <w:snapToGrid/>
        <w:spacing w:line="420" w:lineRule="exact"/>
        <w:textAlignment w:val="auto"/>
        <w:outlineLvl w:val="0"/>
        <w:rPr>
          <w:rFonts w:hint="eastAsia" w:ascii="新宋体" w:hAnsi="新宋体" w:eastAsia="新宋体" w:cs="新宋体"/>
          <w:b/>
          <w:bCs/>
          <w:color w:val="000000" w:themeColor="text1"/>
          <w:kern w:val="2"/>
          <w:sz w:val="24"/>
          <w:szCs w:val="24"/>
          <w:lang w:val="en-US" w:eastAsia="zh-CN" w:bidi="ar-SA"/>
          <w14:textFill>
            <w14:solidFill>
              <w14:schemeClr w14:val="tx1"/>
            </w14:solidFill>
          </w14:textFill>
        </w:rPr>
      </w:pPr>
      <w:bookmarkStart w:id="42" w:name="_Toc1611138179"/>
      <w:bookmarkStart w:id="43" w:name="_Toc337198632"/>
      <w:bookmarkStart w:id="44" w:name="_Toc979177740"/>
      <w:bookmarkStart w:id="45" w:name="_Toc1906907499"/>
      <w:r>
        <w:rPr>
          <w:rFonts w:hint="eastAsia" w:ascii="新宋体" w:hAnsi="新宋体" w:eastAsia="新宋体" w:cs="新宋体"/>
          <w:b/>
          <w:bCs/>
          <w:color w:val="000000" w:themeColor="text1"/>
          <w:kern w:val="2"/>
          <w:sz w:val="24"/>
          <w:szCs w:val="24"/>
          <w:lang w:val="en-US" w:eastAsia="zh-CN" w:bidi="ar-SA"/>
          <w14:textFill>
            <w14:solidFill>
              <w14:schemeClr w14:val="tx1"/>
            </w14:solidFill>
          </w14:textFill>
        </w:rPr>
        <w:t>三．术语与定义</w:t>
      </w:r>
      <w:bookmarkEnd w:id="42"/>
      <w:bookmarkEnd w:id="43"/>
      <w:bookmarkEnd w:id="44"/>
      <w:bookmarkEnd w:id="45"/>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46" w:name="_Toc778069430"/>
      <w:r>
        <w:rPr>
          <w:rFonts w:hint="eastAsia" w:ascii="新宋体" w:hAnsi="新宋体" w:eastAsia="新宋体" w:cs="新宋体"/>
          <w:b w:val="0"/>
          <w:bCs w:val="0"/>
          <w:sz w:val="24"/>
          <w:szCs w:val="24"/>
          <w:lang w:val="en-US" w:eastAsia="zh-CN"/>
        </w:rPr>
        <w:t>3.1数字化快反工厂</w:t>
      </w:r>
      <w:bookmarkEnd w:id="46"/>
      <w:r>
        <w:rPr>
          <w:rFonts w:hint="eastAsia" w:ascii="新宋体" w:hAnsi="新宋体" w:eastAsia="新宋体" w:cs="新宋体"/>
          <w:b w:val="0"/>
          <w:bCs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数字化快反工厂是指通过集成物联网（IOT）、大数据、人工智能（AI）、云计算等数字化技术，构建具备实时数据驱动、快速响应市场变化、柔性生产调整能力的现代化制造体系。其核心目标是在多品种小批量、定制化生产场景中，缩短从订单到交付的周期，同时保证质量与成本可控。</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47" w:name="_Toc984983427"/>
      <w:r>
        <w:rPr>
          <w:rFonts w:hint="eastAsia" w:ascii="新宋体" w:hAnsi="新宋体" w:eastAsia="新宋体" w:cs="新宋体"/>
          <w:b w:val="0"/>
          <w:bCs w:val="0"/>
          <w:sz w:val="24"/>
          <w:szCs w:val="24"/>
          <w:lang w:val="en-US" w:eastAsia="zh-CN"/>
        </w:rPr>
        <w:t>3.2柔性生产</w:t>
      </w:r>
      <w:bookmarkEnd w:id="47"/>
      <w:r>
        <w:rPr>
          <w:rFonts w:hint="eastAsia" w:ascii="新宋体" w:hAnsi="新宋体" w:eastAsia="新宋体" w:cs="新宋体"/>
          <w:b w:val="0"/>
          <w:bCs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能够经济有效地生产不同款式、不同批量、不同工艺要求的服装产品，并能快速适应产品设计变更、订单结构调整和市场需求波动的生产系统。其核心在于生产设备的可重构性、工艺流程的灵活性、人员技能的多样性以及信息系统的支持能力。</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color w:val="auto"/>
          <w:sz w:val="24"/>
          <w:szCs w:val="24"/>
          <w:lang w:val="en-US" w:eastAsia="zh-CN"/>
        </w:rPr>
      </w:pPr>
      <w:bookmarkStart w:id="48" w:name="_Toc1812506513"/>
      <w:r>
        <w:rPr>
          <w:rFonts w:hint="eastAsia" w:ascii="新宋体" w:hAnsi="新宋体" w:eastAsia="新宋体" w:cs="新宋体"/>
          <w:b w:val="0"/>
          <w:bCs w:val="0"/>
          <w:sz w:val="24"/>
          <w:szCs w:val="24"/>
          <w:lang w:val="en-US" w:eastAsia="zh-CN"/>
        </w:rPr>
        <w:t>3.3</w:t>
      </w:r>
      <w:r>
        <w:rPr>
          <w:rFonts w:hint="eastAsia" w:ascii="新宋体" w:hAnsi="新宋体" w:eastAsia="新宋体" w:cs="新宋体"/>
          <w:b w:val="0"/>
          <w:bCs w:val="0"/>
          <w:color w:val="auto"/>
          <w:sz w:val="24"/>
          <w:szCs w:val="24"/>
          <w:lang w:val="en-US" w:eastAsia="zh-CN"/>
        </w:rPr>
        <w:t>小单快反</w:t>
      </w:r>
      <w:bookmarkEnd w:id="48"/>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一种以小批量订单启动首单生产，通过快速的市场测试和销售反馈，对畅销款进行敏捷补单，对滞销款及时止损的生产与供应链运营模式。其核心在于降低首单风险、减少库存积压、快速响应市场变化，并实现按需生产。</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49" w:name="_Toc741431296"/>
      <w:r>
        <w:rPr>
          <w:rFonts w:hint="eastAsia" w:ascii="新宋体" w:hAnsi="新宋体" w:eastAsia="新宋体" w:cs="新宋体"/>
          <w:b w:val="0"/>
          <w:bCs w:val="0"/>
          <w:sz w:val="24"/>
          <w:szCs w:val="24"/>
          <w:lang w:val="en-US" w:eastAsia="zh-CN"/>
        </w:rPr>
        <w:t>3.4数字孪生</w:t>
      </w:r>
      <w:bookmarkEnd w:id="49"/>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对服装生产实体工厂（包括生产线、设备、物料、工艺流程、环境等）在数字空间中构建的动态、高保真虚拟模型。通过实时采集物理实体的数据，数字孪生能够模拟、监控、诊断、预测和优化物理工厂的运行状态和性能，实现物理世界与数字世界的闭环交互、数据驱动决策和智能优化。</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50" w:name="_Toc1535671978"/>
      <w:r>
        <w:rPr>
          <w:rFonts w:hint="eastAsia" w:ascii="新宋体" w:hAnsi="新宋体" w:eastAsia="新宋体" w:cs="新宋体"/>
          <w:b w:val="0"/>
          <w:bCs w:val="0"/>
          <w:sz w:val="24"/>
          <w:szCs w:val="24"/>
          <w:lang w:val="en-US" w:eastAsia="zh-CN"/>
        </w:rPr>
        <w:t>3.5 物联网（I</w:t>
      </w:r>
      <w:r>
        <w:rPr>
          <w:rFonts w:hint="eastAsia" w:ascii="新宋体" w:hAnsi="新宋体" w:eastAsia="新宋体" w:cs="新宋体"/>
          <w:b w:val="0"/>
          <w:bCs w:val="0"/>
          <w:sz w:val="24"/>
          <w:szCs w:val="24"/>
          <w:lang w:eastAsia="zh-CN"/>
        </w:rPr>
        <w:t>OT</w:t>
      </w:r>
      <w:r>
        <w:rPr>
          <w:rFonts w:hint="eastAsia" w:ascii="新宋体" w:hAnsi="新宋体" w:eastAsia="新宋体" w:cs="新宋体"/>
          <w:b w:val="0"/>
          <w:bCs w:val="0"/>
          <w:sz w:val="24"/>
          <w:szCs w:val="24"/>
          <w:lang w:val="en-US" w:eastAsia="zh-CN"/>
        </w:rPr>
        <w:t>）</w:t>
      </w:r>
      <w:bookmarkEnd w:id="50"/>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物联网是通过传感器、通信模块等技术将缝纫机、裁床等生产设备接入网络，实现设备间数据交互与智能控制的系统，其核心是构建设备互联网络，让生产设备具备状态感知、数据传输和指令执行能力。</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51" w:name="_Toc1580464600"/>
      <w:r>
        <w:rPr>
          <w:rFonts w:hint="eastAsia" w:ascii="新宋体" w:hAnsi="新宋体" w:eastAsia="新宋体" w:cs="新宋体"/>
          <w:b w:val="0"/>
          <w:bCs w:val="0"/>
          <w:sz w:val="24"/>
          <w:szCs w:val="24"/>
          <w:lang w:val="en-US" w:eastAsia="zh-CN"/>
        </w:rPr>
        <w:t>3.6制造运营管理系统 (MOM)</w:t>
      </w:r>
      <w:bookmarkEnd w:id="51"/>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制造运营管理系统是面向制造企业的核心管理框架，聚焦生产计划至产品交付的全流程管控，通过整合人、机、料、法、环等生产要素，实现制造过程的高效协同、实时监控与持续优化，其核心价值体现在全流程管控、要素集成管理、实时决策支撑和持续改进闭环四个方面。</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52" w:name="_Toc643302457"/>
      <w:r>
        <w:rPr>
          <w:rFonts w:hint="eastAsia" w:ascii="新宋体" w:hAnsi="新宋体" w:eastAsia="新宋体" w:cs="新宋体"/>
          <w:b w:val="0"/>
          <w:bCs w:val="0"/>
          <w:sz w:val="24"/>
          <w:szCs w:val="24"/>
          <w:lang w:val="en-US" w:eastAsia="zh-CN"/>
        </w:rPr>
        <w:t>3.7制造执行系统 (MES)</w:t>
      </w:r>
      <w:bookmarkEnd w:id="52"/>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sz w:val="24"/>
          <w:szCs w:val="24"/>
          <w:lang w:val="en-US" w:eastAsia="zh-CN"/>
        </w:rPr>
      </w:pPr>
      <w:r>
        <w:rPr>
          <w:rFonts w:hint="eastAsia" w:ascii="新宋体" w:hAnsi="新宋体" w:eastAsia="新宋体" w:cs="新宋体"/>
          <w:b w:val="0"/>
          <w:bCs w:val="0"/>
          <w:color w:val="auto"/>
          <w:sz w:val="24"/>
          <w:szCs w:val="24"/>
          <w:lang w:val="en-US" w:eastAsia="zh-CN"/>
        </w:rPr>
        <w:t>作为MOM核心组件之一，MES是面向车间层的生产信息化管理系统，负责优化管理从订单下达到产品完成的整个生产过程。其功能通常包括生产调度、过程监控、质量管理、物料跟踪、设备管理、数据采集与分析等，是实现车间透明化、精益化和智能化生产的关键支撑。在MOM架构下，MES的功能会与其他运营管理模块（如质量、维护、库存）更紧密地集成。</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53" w:name="_Toc1551715801"/>
      <w:r>
        <w:rPr>
          <w:rFonts w:hint="eastAsia" w:ascii="新宋体" w:hAnsi="新宋体" w:eastAsia="新宋体" w:cs="新宋体"/>
          <w:b w:val="0"/>
          <w:bCs w:val="0"/>
          <w:sz w:val="24"/>
          <w:szCs w:val="24"/>
          <w:lang w:val="en-US" w:eastAsia="zh-CN"/>
        </w:rPr>
        <w:t>3.8主生产计划(MPS)</w:t>
      </w:r>
      <w:bookmarkEnd w:id="53"/>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主生产计划是制造业计划体系的核心环节，指根据客户订单、市场预测及产能约束，明确未来一段时间内（通常 3-18 个月）具体产品的生产数量、时间及交付计划。其本质是衔接销售需求与生产供给的 “桥梁”，确保资源（人力、设备、物料）的合理配置。</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rPr>
      </w:pPr>
      <w:bookmarkStart w:id="54" w:name="_Toc646058239"/>
      <w:r>
        <w:rPr>
          <w:rFonts w:hint="eastAsia" w:ascii="新宋体" w:hAnsi="新宋体" w:eastAsia="新宋体" w:cs="新宋体"/>
          <w:b w:val="0"/>
          <w:bCs w:val="0"/>
          <w:sz w:val="24"/>
          <w:szCs w:val="24"/>
          <w:lang w:val="en-US" w:eastAsia="zh-CN"/>
        </w:rPr>
        <w:t>3.9高级计划排程</w:t>
      </w:r>
      <w:r>
        <w:rPr>
          <w:rFonts w:hint="eastAsia" w:ascii="新宋体" w:hAnsi="新宋体" w:eastAsia="新宋体" w:cs="新宋体"/>
          <w:b w:val="0"/>
          <w:bCs w:val="0"/>
          <w:sz w:val="24"/>
          <w:szCs w:val="24"/>
        </w:rPr>
        <w:t>（</w:t>
      </w:r>
      <w:r>
        <w:rPr>
          <w:rFonts w:hint="eastAsia" w:ascii="新宋体" w:hAnsi="新宋体" w:eastAsia="新宋体" w:cs="新宋体"/>
          <w:b w:val="0"/>
          <w:bCs w:val="0"/>
          <w:sz w:val="24"/>
          <w:szCs w:val="24"/>
          <w:lang w:val="en-US" w:eastAsia="zh-CN"/>
        </w:rPr>
        <w:t>APS</w:t>
      </w:r>
      <w:r>
        <w:rPr>
          <w:rFonts w:hint="eastAsia" w:ascii="新宋体" w:hAnsi="新宋体" w:eastAsia="新宋体" w:cs="新宋体"/>
          <w:b w:val="0"/>
          <w:bCs w:val="0"/>
          <w:sz w:val="24"/>
          <w:szCs w:val="24"/>
        </w:rPr>
        <w:t>）</w:t>
      </w:r>
      <w:bookmarkEnd w:id="54"/>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APS 一种综合的生产计划排程系统，能够实现生产计划、调度、控制等功能的自动化。通过集成先进的信息技术和自动化设备，如计算机、机器人、自动化生产线等，将生产过程中的各个环节紧密联系在一起，使生产活动能够按照预设的计划和流程自动、高效地进行。</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rPr>
      </w:pPr>
      <w:bookmarkStart w:id="55" w:name="_Toc623503641"/>
      <w:r>
        <w:rPr>
          <w:rFonts w:hint="eastAsia" w:ascii="新宋体" w:hAnsi="新宋体" w:eastAsia="新宋体" w:cs="新宋体"/>
          <w:b w:val="0"/>
          <w:bCs w:val="0"/>
          <w:sz w:val="24"/>
          <w:szCs w:val="24"/>
          <w:lang w:val="en-US" w:eastAsia="zh-CN"/>
        </w:rPr>
        <w:t>3.10</w:t>
      </w:r>
      <w:r>
        <w:rPr>
          <w:rFonts w:hint="eastAsia" w:ascii="新宋体" w:hAnsi="新宋体" w:eastAsia="新宋体" w:cs="新宋体"/>
          <w:b w:val="0"/>
          <w:bCs w:val="0"/>
          <w:sz w:val="24"/>
          <w:szCs w:val="24"/>
        </w:rPr>
        <w:t>企业资源计划系统（ERP）</w:t>
      </w:r>
      <w:bookmarkEnd w:id="55"/>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企业资源计划系统涵盖了企业的财务管理、供应链管理、生产计划与控制、人力资源管理等多个方面的功能。在服装行业快反工厂建设中，ERP 系统主要用于企业层面的资源规划和管理，与 MES 等系统集成，实现企业资源的优化配置和高效利用，提高企业的整体运营效率和管理水平。</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rPr>
      </w:pPr>
      <w:bookmarkStart w:id="56" w:name="_Toc1652980574"/>
      <w:r>
        <w:rPr>
          <w:rFonts w:hint="eastAsia" w:ascii="新宋体" w:hAnsi="新宋体" w:eastAsia="新宋体" w:cs="新宋体"/>
          <w:b w:val="0"/>
          <w:bCs w:val="0"/>
          <w:sz w:val="24"/>
          <w:szCs w:val="24"/>
          <w:lang w:val="en-US" w:eastAsia="zh-CN"/>
        </w:rPr>
        <w:t>3.11</w:t>
      </w:r>
      <w:r>
        <w:rPr>
          <w:rFonts w:hint="eastAsia" w:ascii="新宋体" w:hAnsi="新宋体" w:eastAsia="新宋体" w:cs="新宋体"/>
          <w:b w:val="0"/>
          <w:bCs w:val="0"/>
          <w:sz w:val="24"/>
          <w:szCs w:val="24"/>
        </w:rPr>
        <w:t>供应链</w:t>
      </w:r>
      <w:r>
        <w:rPr>
          <w:rFonts w:hint="eastAsia" w:ascii="新宋体" w:hAnsi="新宋体" w:eastAsia="新宋体" w:cs="新宋体"/>
          <w:b w:val="0"/>
          <w:bCs w:val="0"/>
          <w:sz w:val="24"/>
          <w:szCs w:val="24"/>
          <w:lang w:val="en-US" w:eastAsia="zh-CN"/>
        </w:rPr>
        <w:t>管理系统</w:t>
      </w:r>
      <w:r>
        <w:rPr>
          <w:rFonts w:hint="eastAsia" w:ascii="新宋体" w:hAnsi="新宋体" w:eastAsia="新宋体" w:cs="新宋体"/>
          <w:b w:val="0"/>
          <w:bCs w:val="0"/>
          <w:sz w:val="24"/>
          <w:szCs w:val="24"/>
        </w:rPr>
        <w:t>（SCM）</w:t>
      </w:r>
      <w:bookmarkEnd w:id="56"/>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sz w:val="24"/>
          <w:szCs w:val="24"/>
        </w:rPr>
        <w:t>供应链</w:t>
      </w:r>
      <w:r>
        <w:rPr>
          <w:rFonts w:hint="eastAsia" w:ascii="新宋体" w:hAnsi="新宋体" w:eastAsia="新宋体" w:cs="新宋体"/>
          <w:b w:val="0"/>
          <w:bCs w:val="0"/>
          <w:sz w:val="24"/>
          <w:szCs w:val="24"/>
          <w:lang w:val="en-US" w:eastAsia="zh-CN"/>
        </w:rPr>
        <w:t>管理系统</w:t>
      </w:r>
      <w:r>
        <w:rPr>
          <w:rFonts w:hint="eastAsia" w:ascii="新宋体" w:hAnsi="新宋体" w:eastAsia="新宋体" w:cs="新宋体"/>
          <w:b w:val="0"/>
          <w:bCs w:val="0"/>
          <w:color w:val="auto"/>
          <w:sz w:val="24"/>
          <w:szCs w:val="24"/>
          <w:lang w:val="en-US" w:eastAsia="zh-CN"/>
        </w:rPr>
        <w:t xml:space="preserve">是服装行业快反工厂实现供应链协同的关键。它要求 </w:t>
      </w:r>
      <w:r>
        <w:rPr>
          <w:rFonts w:hint="eastAsia" w:ascii="新宋体" w:hAnsi="新宋体" w:eastAsia="新宋体" w:cs="新宋体"/>
          <w:b w:val="0"/>
          <w:bCs w:val="0"/>
          <w:sz w:val="24"/>
          <w:szCs w:val="24"/>
          <w:lang w:val="en-US" w:eastAsia="zh-CN"/>
        </w:rPr>
        <w:t xml:space="preserve">MES、ERP、SCM </w:t>
      </w:r>
      <w:r>
        <w:rPr>
          <w:rFonts w:hint="eastAsia" w:ascii="新宋体" w:hAnsi="新宋体" w:eastAsia="新宋体" w:cs="新宋体"/>
          <w:b w:val="0"/>
          <w:bCs w:val="0"/>
          <w:color w:val="auto"/>
          <w:sz w:val="24"/>
          <w:szCs w:val="24"/>
          <w:lang w:val="en-US" w:eastAsia="zh-CN"/>
        </w:rPr>
        <w:t>等系统实现跨部门数据共享与流程协同，支持与供应链上下游系统的数据对接，确保订单、库存、物流信息的实时同步，从而提高供应链的整体效率和竞争力，确保服装产品能够快速、准确地交付到客户手中。</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57" w:name="_Toc1796049626"/>
      <w:r>
        <w:rPr>
          <w:rFonts w:hint="eastAsia" w:ascii="新宋体" w:hAnsi="新宋体" w:eastAsia="新宋体" w:cs="新宋体"/>
          <w:b w:val="0"/>
          <w:bCs w:val="0"/>
          <w:color w:val="auto"/>
          <w:sz w:val="24"/>
          <w:szCs w:val="24"/>
          <w:lang w:val="en-US" w:eastAsia="zh-CN"/>
        </w:rPr>
        <w:t>3.12</w:t>
      </w:r>
      <w:r>
        <w:rPr>
          <w:rFonts w:hint="eastAsia" w:ascii="新宋体" w:hAnsi="新宋体" w:eastAsia="新宋体" w:cs="新宋体"/>
          <w:b w:val="0"/>
          <w:bCs w:val="0"/>
          <w:sz w:val="24"/>
          <w:szCs w:val="24"/>
          <w:lang w:val="en-US" w:eastAsia="zh-CN"/>
        </w:rPr>
        <w:t>产品生命周期管理（PLM）</w:t>
      </w:r>
      <w:bookmarkEnd w:id="57"/>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产品生命周期管理是一套整合产品从需求规划、设计开发、生产制造、服务运维到退市回收全流程数据与业务的管理体系。通过数字化平台，实现跨部门、跨组织的协同，确保产品全生命周期中信息的一致性与可追溯性。</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58" w:name="_Toc1175921950"/>
      <w:r>
        <w:rPr>
          <w:rFonts w:hint="eastAsia" w:ascii="新宋体" w:hAnsi="新宋体" w:eastAsia="新宋体" w:cs="新宋体"/>
          <w:b w:val="0"/>
          <w:bCs w:val="0"/>
          <w:sz w:val="24"/>
          <w:szCs w:val="24"/>
          <w:lang w:val="en-US" w:eastAsia="zh-CN"/>
        </w:rPr>
        <w:t>3.13物料需求计划（MRP）</w:t>
      </w:r>
      <w:bookmarkEnd w:id="58"/>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物料需求计划是一种基于产品</w:t>
      </w:r>
      <w:r>
        <w:rPr>
          <w:rFonts w:hint="eastAsia" w:ascii="新宋体" w:hAnsi="新宋体" w:eastAsia="新宋体" w:cs="新宋体"/>
          <w:b w:val="0"/>
          <w:bCs w:val="0"/>
          <w:sz w:val="24"/>
          <w:szCs w:val="24"/>
          <w:lang w:val="en-US" w:eastAsia="zh-CN"/>
        </w:rPr>
        <w:t>物料清单（BOM）</w:t>
      </w:r>
      <w:r>
        <w:rPr>
          <w:rFonts w:hint="eastAsia" w:ascii="新宋体" w:hAnsi="新宋体" w:eastAsia="新宋体" w:cs="新宋体"/>
          <w:b w:val="0"/>
          <w:bCs w:val="0"/>
          <w:color w:val="auto"/>
          <w:sz w:val="24"/>
          <w:szCs w:val="24"/>
          <w:lang w:val="en-US" w:eastAsia="zh-CN"/>
        </w:rPr>
        <w:t>、主生产计划</w:t>
      </w:r>
      <w:r>
        <w:rPr>
          <w:rFonts w:hint="eastAsia" w:ascii="新宋体" w:hAnsi="新宋体" w:eastAsia="新宋体" w:cs="新宋体"/>
          <w:b w:val="0"/>
          <w:bCs w:val="0"/>
          <w:sz w:val="24"/>
          <w:szCs w:val="24"/>
          <w:lang w:val="en-US" w:eastAsia="zh-CN"/>
        </w:rPr>
        <w:t>（MPS）</w:t>
      </w:r>
      <w:r>
        <w:rPr>
          <w:rFonts w:hint="eastAsia" w:ascii="新宋体" w:hAnsi="新宋体" w:eastAsia="新宋体" w:cs="新宋体"/>
          <w:b w:val="0"/>
          <w:bCs w:val="0"/>
          <w:color w:val="auto"/>
          <w:sz w:val="24"/>
          <w:szCs w:val="24"/>
          <w:lang w:val="en-US" w:eastAsia="zh-CN"/>
        </w:rPr>
        <w:t>和库存数据，计算物料需求时间与数量的计划管理方法，核心在于解决 “何时需要什么物料、需要多少” 的问题。</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59" w:name="_Toc428210309"/>
      <w:r>
        <w:rPr>
          <w:rFonts w:hint="eastAsia" w:ascii="新宋体" w:hAnsi="新宋体" w:eastAsia="新宋体" w:cs="新宋体"/>
          <w:b w:val="0"/>
          <w:bCs w:val="0"/>
          <w:sz w:val="24"/>
          <w:szCs w:val="24"/>
          <w:lang w:val="en-US" w:eastAsia="zh-CN"/>
        </w:rPr>
        <w:t>3.14物料清单（BOM）</w:t>
      </w:r>
      <w:bookmarkEnd w:id="59"/>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物料清单是描述产品结构的技术文件，以层级化方式明确产品由哪些物料（原材料、零部件、半成品）组成，以及各物料的数量、装配关系和技术要求。其本质是制造业的 “数字骨架”，贯穿产品从设计到生产、采购的全流程。</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60" w:name="_Toc712962266"/>
      <w:r>
        <w:rPr>
          <w:rFonts w:hint="eastAsia" w:ascii="新宋体" w:hAnsi="新宋体" w:eastAsia="新宋体" w:cs="新宋体"/>
          <w:b w:val="0"/>
          <w:bCs w:val="0"/>
          <w:sz w:val="24"/>
          <w:szCs w:val="24"/>
          <w:lang w:val="en-US" w:eastAsia="zh-CN"/>
        </w:rPr>
        <w:t>3.15订单管理系统（OMS）</w:t>
      </w:r>
      <w:bookmarkEnd w:id="60"/>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订单管理系统是贯穿订单从创建到完结全流程的中枢系统，通过整合前端销售渠道与后端供应链资源，实现订单处理的自动化、可视化与智能化。</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61" w:name="_Toc1945538049"/>
      <w:r>
        <w:rPr>
          <w:rFonts w:hint="eastAsia" w:ascii="新宋体" w:hAnsi="新宋体" w:eastAsia="新宋体" w:cs="新宋体"/>
          <w:b w:val="0"/>
          <w:bCs w:val="0"/>
          <w:sz w:val="24"/>
          <w:szCs w:val="24"/>
          <w:lang w:val="en-US" w:eastAsia="zh-CN"/>
        </w:rPr>
        <w:t>3.16客户关系管理（CRM）</w:t>
      </w:r>
      <w:bookmarkEnd w:id="61"/>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客户关系管理是通过数字化工具整合客户数据、交互行为及业务流程，以优化客户体验、提升忠诚度与商业价值的管理体系。其核心是从 “以产品为中心” 转向 “以客户为中心”，通过数据驱动决策，实现客户全生命周期价值最大化。</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62" w:name="_Toc1071980321"/>
      <w:r>
        <w:rPr>
          <w:rFonts w:hint="eastAsia" w:ascii="新宋体" w:hAnsi="新宋体" w:eastAsia="新宋体" w:cs="新宋体"/>
          <w:b w:val="0"/>
          <w:bCs w:val="0"/>
          <w:sz w:val="24"/>
          <w:szCs w:val="24"/>
          <w:lang w:val="en-US" w:eastAsia="zh-CN"/>
        </w:rPr>
        <w:t>3.17质量管理体系（QMS）</w:t>
      </w:r>
      <w:bookmarkEnd w:id="62"/>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质量管理体系是组织为实现质量目标而建立的结构化管理框架，通过策划、实施、检查和改进的闭环，确保产品或服务持续满足要求。</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rPr>
      </w:pPr>
      <w:bookmarkStart w:id="63" w:name="_Toc1532940364"/>
      <w:r>
        <w:rPr>
          <w:rFonts w:hint="eastAsia" w:ascii="新宋体" w:hAnsi="新宋体" w:eastAsia="新宋体" w:cs="新宋体"/>
          <w:b w:val="0"/>
          <w:bCs w:val="0"/>
          <w:sz w:val="24"/>
          <w:szCs w:val="24"/>
          <w:lang w:val="en-US" w:eastAsia="zh-CN"/>
        </w:rPr>
        <w:t>3.18</w:t>
      </w:r>
      <w:r>
        <w:rPr>
          <w:rFonts w:hint="eastAsia" w:ascii="新宋体" w:hAnsi="新宋体" w:eastAsia="新宋体" w:cs="新宋体"/>
          <w:b w:val="0"/>
          <w:bCs w:val="0"/>
          <w:sz w:val="24"/>
          <w:szCs w:val="24"/>
        </w:rPr>
        <w:t>仓储管理系统（WMS）</w:t>
      </w:r>
      <w:bookmarkEnd w:id="63"/>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WMS 系统用于实现物料的自动分拣、实时库存跟踪、出入库管理等功能。通过对仓库作业流程的优化和自动化控制，提高仓储管理效率和准确性，降低库存成本，确保物料和成品能够及时、准确地供应和配送。</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rPr>
      </w:pPr>
      <w:bookmarkStart w:id="64" w:name="_Toc767384689"/>
      <w:r>
        <w:rPr>
          <w:rFonts w:hint="eastAsia" w:ascii="新宋体" w:hAnsi="新宋体" w:eastAsia="新宋体" w:cs="新宋体"/>
          <w:b w:val="0"/>
          <w:bCs w:val="0"/>
          <w:sz w:val="24"/>
          <w:szCs w:val="24"/>
          <w:lang w:val="en-US" w:eastAsia="zh-CN"/>
        </w:rPr>
        <w:t>3.19</w:t>
      </w:r>
      <w:r>
        <w:rPr>
          <w:rFonts w:hint="eastAsia" w:ascii="新宋体" w:hAnsi="新宋体" w:eastAsia="新宋体" w:cs="新宋体"/>
          <w:b w:val="0"/>
          <w:bCs w:val="0"/>
          <w:sz w:val="24"/>
          <w:szCs w:val="24"/>
        </w:rPr>
        <w:t>自动导引车（AGV）</w:t>
      </w:r>
      <w:bookmarkEnd w:id="64"/>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在服装行业快反工厂的仓储与物流环节中，AGV 可根据生产计划和指令，自动完成物料的搬运和配送任务，提高物料流转效率，降低人工劳动强度，实现仓储与物流的自动化和智能化。</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rPr>
      </w:pPr>
      <w:bookmarkStart w:id="65" w:name="_Toc1795167788"/>
      <w:r>
        <w:rPr>
          <w:rFonts w:hint="eastAsia" w:ascii="新宋体" w:hAnsi="新宋体" w:eastAsia="新宋体" w:cs="新宋体"/>
          <w:b w:val="0"/>
          <w:bCs w:val="0"/>
          <w:sz w:val="24"/>
          <w:szCs w:val="24"/>
          <w:lang w:val="en-US" w:eastAsia="zh-CN"/>
        </w:rPr>
        <w:t>3.20</w:t>
      </w:r>
      <w:r>
        <w:rPr>
          <w:rFonts w:hint="eastAsia" w:ascii="新宋体" w:hAnsi="新宋体" w:eastAsia="新宋体" w:cs="新宋体"/>
          <w:b w:val="0"/>
          <w:bCs w:val="0"/>
          <w:sz w:val="24"/>
          <w:szCs w:val="24"/>
        </w:rPr>
        <w:t>射频识别技术</w:t>
      </w:r>
      <w:r>
        <w:rPr>
          <w:rFonts w:hint="eastAsia" w:ascii="新宋体" w:hAnsi="新宋体" w:eastAsia="新宋体" w:cs="新宋体"/>
          <w:b w:val="0"/>
          <w:bCs w:val="0"/>
          <w:sz w:val="24"/>
          <w:szCs w:val="24"/>
          <w:lang w:val="en-US" w:eastAsia="zh-CN"/>
        </w:rPr>
        <w:t>和二维码技术</w:t>
      </w:r>
      <w:r>
        <w:rPr>
          <w:rFonts w:hint="eastAsia" w:ascii="新宋体" w:hAnsi="新宋体" w:eastAsia="新宋体" w:cs="新宋体"/>
          <w:b w:val="0"/>
          <w:bCs w:val="0"/>
          <w:sz w:val="24"/>
          <w:szCs w:val="24"/>
        </w:rPr>
        <w:t>（RFID）</w:t>
      </w:r>
      <w:bookmarkEnd w:id="65"/>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RFID 技术可用于对物料、半成品、成品等的标识和跟踪，实现生产过程中的物流信息的实时采集和管理，提高生产效率和物流管理水平。</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二维码是一种信息存储技术，由黑白相间的像素点组成，用于存储数据。在服装行业快反工厂中，二维码技术可用于对物料、半成品、成品等的标识和跟踪，实现生产过程中的信息采集和管理，提高生产效率和管理水平。</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66" w:name="_Toc1387256213"/>
      <w:r>
        <w:rPr>
          <w:rFonts w:hint="eastAsia" w:ascii="新宋体" w:hAnsi="新宋体" w:eastAsia="新宋体" w:cs="新宋体"/>
          <w:b w:val="0"/>
          <w:bCs w:val="0"/>
          <w:sz w:val="24"/>
          <w:szCs w:val="24"/>
          <w:lang w:val="en-US" w:eastAsia="zh-CN"/>
        </w:rPr>
        <w:t>3.21安灯系统</w:t>
      </w:r>
      <w:bookmarkEnd w:id="66"/>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安灯系统 源自丰田生产方式，是一种通过可视化手段实现生产异常快速响应的管理系统。“问题即停，全员响应”，通过即时报警机制防止缺陷扩大，避免过量生产，本质是精益生产中 “自动化” 原则的具象化工具。</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67" w:name="_Toc385216412"/>
      <w:r>
        <w:rPr>
          <w:rFonts w:hint="eastAsia" w:ascii="新宋体" w:hAnsi="新宋体" w:eastAsia="新宋体" w:cs="新宋体"/>
          <w:b w:val="0"/>
          <w:bCs w:val="0"/>
          <w:sz w:val="24"/>
          <w:szCs w:val="24"/>
          <w:lang w:val="en-US" w:eastAsia="zh-CN"/>
        </w:rPr>
        <w:t>3.22数据仪表盘</w:t>
      </w:r>
      <w:bookmarkEnd w:id="67"/>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数据仪表盘是一种可视化工具，通过图表、指标卡、趋势图等组件，将关键数据（KPI、业务指标、流程状态）以直观方式呈现，辅助用户快速理解业务现状、识别趋势或异常。其核心价值在于整合多源数据（如 ERP、MES、CRM），避免数据孤岛；通过可视化减少信息处理时间，使管理者在 30 秒内抓住重点，实时监控异常指标（如红色预警），提前发现问题。</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68" w:name="_Toc1816524426"/>
      <w:r>
        <w:rPr>
          <w:rFonts w:hint="eastAsia" w:ascii="新宋体" w:hAnsi="新宋体" w:eastAsia="新宋体" w:cs="新宋体"/>
          <w:b w:val="0"/>
          <w:bCs w:val="0"/>
          <w:sz w:val="24"/>
          <w:szCs w:val="24"/>
          <w:lang w:val="en-US" w:eastAsia="zh-CN"/>
        </w:rPr>
        <w:t>3.23假设分析法（What-if 分析）</w:t>
      </w:r>
      <w:bookmarkEnd w:id="68"/>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假设分析法是一种通过设定不同假设条件，模拟系统或模型在变量变化下的响应，从而辅助决策的分析方法。其本质是通过 “如果 XX 发生，结果会如何” 的提问，探索潜在变量对目标的影响路径。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sz w:val="24"/>
          <w:szCs w:val="24"/>
          <w:lang w:val="en-US" w:eastAsia="zh-CN"/>
        </w:rPr>
      </w:pPr>
      <w:bookmarkStart w:id="69" w:name="_Toc1698502030"/>
      <w:r>
        <w:rPr>
          <w:rFonts w:hint="eastAsia" w:ascii="新宋体" w:hAnsi="新宋体" w:eastAsia="新宋体" w:cs="新宋体"/>
          <w:b w:val="0"/>
          <w:bCs w:val="0"/>
          <w:sz w:val="24"/>
          <w:szCs w:val="24"/>
          <w:lang w:val="en-US" w:eastAsia="zh-CN"/>
        </w:rPr>
        <w:t>3.24设备综合效率（OEE）</w:t>
      </w:r>
      <w:bookmarkEnd w:id="69"/>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OEE是衡量制造业设备运行效率的关键指标，通过量化设备的时间利用率、性能表现和产品合格率，反映生产过程中的损耗与改进空间。其核心价值在于识别效率瓶颈，定位设备停机、速度损失、质量缺陷等问题；优化生产管理，为产能规划、维护策略、工艺改进提供数据支撑；提升精益生产，助力实现 “零浪费” 目标，降低生产成本。</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color w:val="auto"/>
          <w:sz w:val="24"/>
          <w:szCs w:val="24"/>
          <w:lang w:val="en-US" w:eastAsia="zh-CN"/>
        </w:rPr>
      </w:pPr>
      <w:bookmarkStart w:id="70" w:name="_Toc223498639"/>
      <w:r>
        <w:rPr>
          <w:rFonts w:hint="eastAsia" w:ascii="新宋体" w:hAnsi="新宋体" w:eastAsia="新宋体" w:cs="新宋体"/>
          <w:b w:val="0"/>
          <w:bCs w:val="0"/>
          <w:color w:val="auto"/>
          <w:sz w:val="24"/>
          <w:szCs w:val="24"/>
          <w:lang w:val="en-US" w:eastAsia="zh-CN"/>
        </w:rPr>
        <w:t>3.25业务流程再造（BPR）</w:t>
      </w:r>
      <w:bookmarkEnd w:id="70"/>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BPR是指以战略目标为导向，彻底重新设计企业核心流程，打破传统职能分工模式，通过消除非增值环节、优化增值活动，实现成本、效率、质量等关键指标的突破性提升。</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color w:val="auto"/>
          <w:sz w:val="24"/>
          <w:szCs w:val="24"/>
          <w:lang w:val="en-US" w:eastAsia="zh-CN"/>
        </w:rPr>
      </w:pPr>
      <w:bookmarkStart w:id="71" w:name="_Toc392727070"/>
      <w:r>
        <w:rPr>
          <w:rFonts w:hint="eastAsia" w:ascii="新宋体" w:hAnsi="新宋体" w:eastAsia="新宋体" w:cs="新宋体"/>
          <w:b w:val="0"/>
          <w:bCs w:val="0"/>
          <w:color w:val="auto"/>
          <w:sz w:val="24"/>
          <w:szCs w:val="24"/>
          <w:lang w:val="en-US" w:eastAsia="zh-CN"/>
        </w:rPr>
        <w:t>3.26质量内建</w:t>
      </w:r>
      <w:bookmarkEnd w:id="71"/>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质量内建是现代质量管理中的核心理念，强调将质量要求融入产品设计、流程开发和运营的全生命周期，而非依赖事后检验或补救。其核心在于从源头预防质量问题，通过系统化的设计和管理机制，使质量成为各环节的内在属性。质量内建的本质是在产品或流程的设计阶段就将质量标准、用户需求和可靠性要求嵌入其中，通过流程优化、工具应用和全员参与，确保每个环节输出的 “质量” 符合预期。核心理念是“第一次就做对”，而非通过后期检验 “筛选” 质量问题。</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color w:val="auto"/>
          <w:sz w:val="24"/>
          <w:szCs w:val="24"/>
          <w:lang w:val="en-US" w:eastAsia="zh-CN"/>
        </w:rPr>
      </w:pPr>
      <w:bookmarkStart w:id="72" w:name="_Toc1346618259"/>
      <w:r>
        <w:rPr>
          <w:rFonts w:hint="eastAsia" w:ascii="新宋体" w:hAnsi="新宋体" w:eastAsia="新宋体" w:cs="新宋体"/>
          <w:b w:val="0"/>
          <w:bCs w:val="0"/>
          <w:color w:val="auto"/>
          <w:sz w:val="24"/>
          <w:szCs w:val="24"/>
          <w:lang w:val="en-US" w:eastAsia="zh-CN"/>
        </w:rPr>
        <w:t>3.27统计过程控制（SPC） </w:t>
      </w:r>
      <w:bookmarkEnd w:id="72"/>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kern w:val="2"/>
          <w:sz w:val="24"/>
          <w:szCs w:val="24"/>
          <w:lang w:val="en-US" w:eastAsia="zh-CN" w:bidi="ar-SA"/>
        </w:rPr>
      </w:pPr>
      <w:r>
        <w:rPr>
          <w:rFonts w:hint="eastAsia" w:ascii="新宋体" w:hAnsi="新宋体" w:eastAsia="新宋体" w:cs="新宋体"/>
          <w:b w:val="0"/>
          <w:bCs w:val="0"/>
          <w:color w:val="auto"/>
          <w:sz w:val="24"/>
          <w:szCs w:val="24"/>
          <w:lang w:val="en-US" w:eastAsia="zh-CN"/>
        </w:rPr>
        <w:t>SPC是通过统计学方法对生产过程数据进行收集、分析和监控，以区分过程变异的 “普通原因” 与 “特殊原因”，从而实现过程稳定性控制的方法论。其核心价值在于以预防为主替代传统 “事后检验” 模式，在过程中识别异常，降低不良品率；使用量化指标衡量过程能力</w:t>
      </w:r>
      <w:r>
        <w:rPr>
          <w:rFonts w:hint="eastAsia" w:ascii="新宋体" w:hAnsi="新宋体" w:eastAsia="新宋体" w:cs="新宋体"/>
          <w:b w:val="0"/>
          <w:bCs w:val="0"/>
          <w:color w:val="auto"/>
          <w:kern w:val="2"/>
          <w:sz w:val="24"/>
          <w:szCs w:val="24"/>
          <w:lang w:val="en-US" w:eastAsia="zh-CN" w:bidi="ar-SA"/>
        </w:rPr>
        <w:t>，避免经验主义偏差；通过动态监控为流程优化提供数据支撑。</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color w:val="auto"/>
          <w:sz w:val="24"/>
          <w:szCs w:val="24"/>
          <w:lang w:val="en-US" w:eastAsia="zh-CN"/>
        </w:rPr>
      </w:pPr>
      <w:bookmarkStart w:id="73" w:name="_Toc282923280"/>
      <w:bookmarkStart w:id="74" w:name="X19de59963ece247fb39d9bb7135270716b969c1"/>
      <w:r>
        <w:rPr>
          <w:rFonts w:hint="eastAsia" w:ascii="新宋体" w:hAnsi="新宋体" w:eastAsia="新宋体" w:cs="新宋体"/>
          <w:b w:val="0"/>
          <w:bCs w:val="0"/>
          <w:color w:val="auto"/>
          <w:sz w:val="24"/>
          <w:szCs w:val="24"/>
          <w:lang w:val="en-US" w:eastAsia="zh-CN"/>
        </w:rPr>
        <w:t>3.28标准工时</w:t>
      </w:r>
      <w:bookmarkEnd w:id="73"/>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在标准作业条件下，由一名受过训练的熟练工人，以正常的速度和效率，遵循规定的作业方法，完成某项具有明确质量要求的作业所需的作业时间。它不再是静态的定额，而是动态的、可追溯的、系统化的基石数据，是进行APS高级排程、MES实时效率评估、ERP精准成本核算及员工绩效激励的统一量度。</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color w:val="auto"/>
          <w:sz w:val="24"/>
          <w:szCs w:val="24"/>
          <w:lang w:val="en-US" w:eastAsia="zh-CN"/>
        </w:rPr>
      </w:pPr>
      <w:bookmarkStart w:id="75" w:name="_Toc562772502"/>
      <w:r>
        <w:rPr>
          <w:rFonts w:hint="eastAsia" w:ascii="新宋体" w:hAnsi="新宋体" w:eastAsia="新宋体" w:cs="新宋体"/>
          <w:b w:val="0"/>
          <w:bCs w:val="0"/>
          <w:color w:val="auto"/>
          <w:sz w:val="24"/>
          <w:szCs w:val="24"/>
          <w:lang w:val="en-US" w:eastAsia="zh-CN"/>
        </w:rPr>
        <w:t>3.29工业工程( IE)</w:t>
      </w:r>
      <w:bookmarkEnd w:id="75"/>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一门研究如何对由人、物料、设备、能源和信息所组成的集成系统进行设计、改善和设置的学科。在数字化快反工厂中，IE是持续优化生产流程、提升系统效率、消除浪费的方法论体系。数字化系统的核心价值之一，就是将IE分析得出的最佳实践(如产线平衡方案、标准作业程序)进行固化，并为IE的持续改善活动提供精准的数据输入和效果验证。</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color w:val="auto"/>
          <w:sz w:val="24"/>
          <w:szCs w:val="24"/>
          <w:lang w:val="en-US" w:eastAsia="zh-CN"/>
        </w:rPr>
      </w:pPr>
      <w:bookmarkStart w:id="76" w:name="_Toc999459726"/>
      <w:r>
        <w:rPr>
          <w:rFonts w:hint="eastAsia" w:ascii="新宋体" w:hAnsi="新宋体" w:eastAsia="新宋体" w:cs="新宋体"/>
          <w:b w:val="0"/>
          <w:bCs w:val="0"/>
          <w:color w:val="auto"/>
          <w:sz w:val="24"/>
          <w:szCs w:val="24"/>
          <w:lang w:val="en-US" w:eastAsia="zh-CN"/>
        </w:rPr>
        <w:t>3.30制造工程(ME)</w:t>
      </w:r>
      <w:bookmarkEnd w:id="76"/>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专注于将产品设计转化为高效、经济、可靠的制造过程的工程学科。在快反工厂中，ME是确保产品可制造性 、工艺稳定性和质量一致性的技术保障体系。ME为数字化生产系统提供可靠、标准的工艺参数(如缝制针距、熨烫温度、压力)，是实现”质量内建”和工艺防错的源头。</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outlineLvl w:val="1"/>
        <w:rPr>
          <w:rFonts w:hint="eastAsia" w:ascii="新宋体" w:hAnsi="新宋体" w:eastAsia="新宋体" w:cs="新宋体"/>
          <w:b w:val="0"/>
          <w:bCs w:val="0"/>
          <w:color w:val="auto"/>
          <w:sz w:val="24"/>
          <w:szCs w:val="24"/>
          <w:lang w:val="en-US" w:eastAsia="zh-CN"/>
        </w:rPr>
      </w:pPr>
      <w:bookmarkStart w:id="77" w:name="_Toc302528048"/>
      <w:r>
        <w:rPr>
          <w:rFonts w:hint="eastAsia" w:ascii="新宋体" w:hAnsi="新宋体" w:eastAsia="新宋体" w:cs="新宋体"/>
          <w:b w:val="0"/>
          <w:bCs w:val="0"/>
          <w:color w:val="auto"/>
          <w:sz w:val="24"/>
          <w:szCs w:val="24"/>
          <w:lang w:val="en-US" w:eastAsia="zh-CN"/>
        </w:rPr>
        <w:t>3.31生产计划与物料控制( PMC)</w:t>
      </w:r>
      <w:bookmarkEnd w:id="77"/>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lang w:val="en-US" w:eastAsia="zh-CN"/>
        </w:rPr>
      </w:pPr>
      <w:r>
        <w:rPr>
          <w:rFonts w:hint="eastAsia" w:ascii="新宋体" w:hAnsi="新宋体" w:eastAsia="新宋体" w:cs="新宋体"/>
          <w:b w:val="0"/>
          <w:bCs w:val="0"/>
          <w:color w:val="auto"/>
          <w:sz w:val="24"/>
          <w:szCs w:val="24"/>
          <w:lang w:val="en-US" w:eastAsia="zh-CN"/>
        </w:rPr>
        <w:t>负责制定生产计划、跟踪生产进度、以及确保物料按时、按量、按质供应的管理职能。在数字化快反的复杂环境中，PMC是连接市场需求(订单)与生产执行(车间)的指挥中枢。数字化系统(特别是APS、MES、WMS的集成)的核心任务，就是为PMC提供全景可视的、实时动态的决策支持工具，大幅提升其计划的准确性和对异常的响应速度。</w:t>
      </w:r>
      <w:bookmarkEnd w:id="74"/>
      <w:bookmarkStart w:id="78" w:name="_Toc348387865"/>
      <w:bookmarkStart w:id="79" w:name="_Toc1495110287"/>
      <w:bookmarkStart w:id="80" w:name="_Toc88063591"/>
      <w:bookmarkStart w:id="81" w:name="_Toc873089219"/>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新宋体" w:hAnsi="新宋体" w:eastAsia="新宋体" w:cs="新宋体"/>
          <w:b/>
          <w:bCs/>
          <w:color w:val="000000" w:themeColor="text1"/>
          <w:kern w:val="2"/>
          <w:sz w:val="24"/>
          <w:szCs w:val="24"/>
          <w:lang w:val="en-US" w:eastAsia="zh-CN" w:bidi="ar-SA"/>
          <w14:textFill>
            <w14:solidFill>
              <w14:schemeClr w14:val="tx1"/>
            </w14:solidFill>
          </w14:textFill>
        </w:rPr>
      </w:pPr>
      <w:r>
        <w:rPr>
          <w:rFonts w:hint="eastAsia" w:ascii="新宋体" w:hAnsi="新宋体" w:eastAsia="新宋体" w:cs="新宋体"/>
          <w:b/>
          <w:bCs/>
          <w:color w:val="000000" w:themeColor="text1"/>
          <w:kern w:val="2"/>
          <w:sz w:val="24"/>
          <w:szCs w:val="24"/>
          <w:lang w:val="en-US" w:eastAsia="zh-CN" w:bidi="ar-SA"/>
          <w14:textFill>
            <w14:solidFill>
              <w14:schemeClr w14:val="tx1"/>
            </w14:solidFill>
          </w14:textFill>
        </w:rPr>
        <w:t>四．概述</w:t>
      </w:r>
      <w:bookmarkEnd w:id="78"/>
      <w:bookmarkEnd w:id="79"/>
      <w:bookmarkEnd w:id="80"/>
      <w:bookmarkEnd w:id="81"/>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服装数字化快反工厂展现了管理智慧与数字技术深度结合的创新生产模式。它融合了物联网、人工智能、数字孪生等尖端技术，并与工业工程(IE)、制造工程(ME)以及生产物料控制(PMC)等传统生产管理体系紧密结合，形成了一个以“管理为本，技术赋能”为核心的双层架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在管理作业层，科学的标准工时体系作为量化基础，IE部门优化标准作业流程，ME部门制定工艺参数，PMC建立精准计划与物料控制体系，共同构成了管理的骨架。技术支撑层则通过全流程数据采集和以MOM系统为核心的软件生态来固化和放大这些管理实践。这种融合构建了一个完整的业务闭环，从IE部门基于科学方法建立标准工时，到物联设备实时采集执行数据与标准进行比对；从APS利用标准工时进行精确排程，到MES推送IE设计的电子SOP实现作业标准化；再到通过数据分析持续优化工时标准和工艺参数。</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bidi="ar-SA"/>
        </w:rPr>
      </w:pPr>
      <w:r>
        <w:rPr>
          <w:rFonts w:hint="eastAsia" w:ascii="新宋体" w:hAnsi="新宋体" w:eastAsia="新宋体" w:cs="新宋体"/>
          <w:b w:val="0"/>
          <w:bCs w:val="0"/>
          <w:color w:val="auto"/>
          <w:kern w:val="2"/>
          <w:sz w:val="24"/>
          <w:szCs w:val="24"/>
          <w:lang w:bidi="ar-SA"/>
        </w:rPr>
        <w:t>与传统模式相比，这种数字化快速反应工厂显著缩短了响应周期，提升了资源效率，实现了经济小批量生产，并确保了多批次产品的质量一致性。其实施路径遵循“先诊断、后优化、再固化、持续改进”的科学步骤，确保管理基础先行，数字工具精准赋能。数字化快反模式代表了制造业的未来发展方向，通过将传统规模经济转变为数据驱动的敏捷响应能力，使企业能够精确满足个性化消费时代的多元需求，创造出适应市场变化的新型竞争优势。</w:t>
      </w:r>
    </w:p>
    <w:p>
      <w:pPr>
        <w:keepNext w:val="0"/>
        <w:keepLines w:val="0"/>
        <w:pageBreakBefore w:val="0"/>
        <w:widowControl w:val="0"/>
        <w:kinsoku/>
        <w:wordWrap/>
        <w:overflowPunct/>
        <w:topLinePunct w:val="0"/>
        <w:autoSpaceDE/>
        <w:autoSpaceDN/>
        <w:bidi w:val="0"/>
        <w:adjustRightInd/>
        <w:snapToGrid/>
        <w:spacing w:line="420" w:lineRule="exact"/>
        <w:textAlignment w:val="auto"/>
        <w:outlineLvl w:val="1"/>
        <w:rPr>
          <w:rFonts w:hint="eastAsia" w:ascii="新宋体" w:hAnsi="新宋体" w:eastAsia="新宋体" w:cs="新宋体"/>
          <w:b/>
          <w:bCs/>
          <w:sz w:val="24"/>
          <w:szCs w:val="24"/>
          <w:lang w:val="en-US" w:eastAsia="zh-CN"/>
        </w:rPr>
      </w:pPr>
      <w:bookmarkStart w:id="82" w:name="_Toc612440062"/>
      <w:r>
        <w:rPr>
          <w:rFonts w:hint="eastAsia" w:ascii="新宋体" w:hAnsi="新宋体" w:eastAsia="新宋体" w:cs="新宋体"/>
          <w:b/>
          <w:bCs/>
          <w:sz w:val="24"/>
          <w:szCs w:val="24"/>
          <w:lang w:val="en-US" w:eastAsia="zh-CN"/>
        </w:rPr>
        <w:t>4.1核心特征</w:t>
      </w:r>
      <w:bookmarkEnd w:id="82"/>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4.1</w:t>
      </w:r>
      <w:r>
        <w:rPr>
          <w:rFonts w:hint="eastAsia" w:ascii="新宋体" w:hAnsi="新宋体" w:eastAsia="新宋体" w:cs="新宋体"/>
          <w:b/>
          <w:bCs/>
          <w:color w:val="auto"/>
          <w:kern w:val="2"/>
          <w:sz w:val="24"/>
          <w:szCs w:val="24"/>
          <w:lang w:bidi="ar-SA"/>
        </w:rPr>
        <w:t>.1 快速响应市场需求</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迅速捕捉流行趋势，缩短新品设计周期，提高对小单和定制单的接受度，减少订单确认所需时间。</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4.1.2</w:t>
      </w:r>
      <w:r>
        <w:rPr>
          <w:rFonts w:hint="eastAsia" w:ascii="新宋体" w:hAnsi="新宋体" w:eastAsia="新宋体" w:cs="新宋体"/>
          <w:b/>
          <w:bCs/>
          <w:color w:val="auto"/>
          <w:kern w:val="2"/>
          <w:sz w:val="24"/>
          <w:szCs w:val="24"/>
          <w:lang w:bidi="ar-SA"/>
        </w:rPr>
        <w:t xml:space="preserve"> 动态敏捷计划排程</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从订单到生产计划的下达过程迅速，支持多种约束条件，计划调整的响应时间短，小单插单的成功率高。</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4.1.3</w:t>
      </w:r>
      <w:r>
        <w:rPr>
          <w:rFonts w:hint="eastAsia" w:ascii="新宋体" w:hAnsi="新宋体" w:eastAsia="新宋体" w:cs="新宋体"/>
          <w:b/>
          <w:bCs/>
          <w:color w:val="auto"/>
          <w:kern w:val="2"/>
          <w:sz w:val="24"/>
          <w:szCs w:val="24"/>
          <w:lang w:bidi="ar-SA"/>
        </w:rPr>
        <w:t xml:space="preserve"> 柔性高效生产执行</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模块化产线的换款时间极短，设备综合效率高，加快在制品的周转率，实现单件流生产模式。</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4.1.4</w:t>
      </w:r>
      <w:r>
        <w:rPr>
          <w:rFonts w:hint="eastAsia" w:ascii="新宋体" w:hAnsi="新宋体" w:eastAsia="新宋体" w:cs="新宋体"/>
          <w:b/>
          <w:bCs/>
          <w:color w:val="auto"/>
          <w:kern w:val="2"/>
          <w:sz w:val="24"/>
          <w:szCs w:val="24"/>
          <w:lang w:bidi="ar-SA"/>
        </w:rPr>
        <w:t xml:space="preserve"> 加速供应链协同</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供应商交付的准时率极高，面辅料采购周期缩短，订单的准时交付率高，成品出库效率提升。</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4.1.5</w:t>
      </w:r>
      <w:r>
        <w:rPr>
          <w:rFonts w:hint="eastAsia" w:ascii="新宋体" w:hAnsi="新宋体" w:eastAsia="新宋体" w:cs="新宋体"/>
          <w:b/>
          <w:bCs/>
          <w:color w:val="auto"/>
          <w:kern w:val="2"/>
          <w:sz w:val="24"/>
          <w:szCs w:val="24"/>
          <w:lang w:bidi="ar-SA"/>
        </w:rPr>
        <w:t xml:space="preserve"> 全流程质量管控</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产品一次通过率高，制程不良率极低，质量问题的解决时间短，实现数字孪生全追溯。</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4.1.6</w:t>
      </w:r>
      <w:r>
        <w:rPr>
          <w:rFonts w:hint="eastAsia" w:ascii="新宋体" w:hAnsi="新宋体" w:eastAsia="新宋体" w:cs="新宋体"/>
          <w:b/>
          <w:bCs/>
          <w:color w:val="auto"/>
          <w:kern w:val="2"/>
          <w:sz w:val="24"/>
          <w:szCs w:val="24"/>
          <w:lang w:bidi="ar-SA"/>
        </w:rPr>
        <w:t xml:space="preserve"> 精益化成本控制</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val="en-US" w:eastAsia="zh-CN" w:bidi="ar-SA"/>
        </w:rPr>
      </w:pPr>
      <w:r>
        <w:rPr>
          <w:rFonts w:hint="eastAsia" w:ascii="新宋体" w:hAnsi="新宋体" w:eastAsia="新宋体" w:cs="新宋体"/>
          <w:b w:val="0"/>
          <w:bCs w:val="0"/>
          <w:color w:val="auto"/>
          <w:kern w:val="2"/>
          <w:sz w:val="24"/>
          <w:szCs w:val="24"/>
          <w:lang w:bidi="ar-SA"/>
        </w:rPr>
        <w:t>小单生产的综合成本低于行业平均水平，库存持有成本小，资源综合利用率高，成本动态优化。</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1"/>
        <w:rPr>
          <w:rFonts w:hint="eastAsia" w:ascii="新宋体" w:hAnsi="新宋体" w:eastAsia="新宋体" w:cs="新宋体"/>
          <w:b/>
          <w:bCs/>
          <w:color w:val="auto"/>
          <w:kern w:val="2"/>
          <w:sz w:val="24"/>
          <w:szCs w:val="24"/>
          <w:lang w:bidi="ar-SA"/>
        </w:rPr>
      </w:pPr>
      <w:bookmarkStart w:id="83" w:name="_Toc391001963"/>
      <w:r>
        <w:rPr>
          <w:rFonts w:hint="eastAsia" w:ascii="新宋体" w:hAnsi="新宋体" w:eastAsia="新宋体" w:cs="新宋体"/>
          <w:b/>
          <w:bCs/>
          <w:color w:val="auto"/>
          <w:kern w:val="2"/>
          <w:sz w:val="24"/>
          <w:szCs w:val="24"/>
          <w:lang w:bidi="ar-SA"/>
        </w:rPr>
        <w:t>4.2 建设框架</w:t>
      </w:r>
      <w:bookmarkEnd w:id="83"/>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构建一个基于六大快反核心指标的双向映射，形成一个“感知 - 传输 - 管理 - 智能 - 协同 - 生态”的完整闭环：</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4.2.1 感知执行层</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通过智能传感器、RFID、智能裁剪机、AGV 等设备，实现生产现场物理状态的实时感知与指令执行。</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4.2.2 网络通信层</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建立工厂物联网（IoT），确保设备、物料、人员的全方位互联，实现生产数据（如工单进度、设备状态）的实时传输。</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4.2.3 运营管理层</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整合 APS、MES、WMS、QMS 等系统，负责生产计划的安排、执行监控、物流调度与质量控制。</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4.2.4 数据智能层</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基于运营管理数据，采用大数据分析、AI、数字孪生技术，实现 KPI 可视化（如交付率看板）、预测性维护、智能质量控制（SPC）。</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4.2.5 企业协同层</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融合 ERP、PLM、CRM、OMS 等系统，实现企业级资源规划（BOM、成本核算）与客户需求转化（订单确认、定制配置）。</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4.2.6 生态交互层</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bidi="ar-SA"/>
        </w:rPr>
      </w:pPr>
      <w:r>
        <w:rPr>
          <w:rFonts w:hint="eastAsia" w:ascii="新宋体" w:hAnsi="新宋体" w:eastAsia="新宋体" w:cs="新宋体"/>
          <w:b w:val="0"/>
          <w:bCs w:val="0"/>
          <w:color w:val="auto"/>
          <w:kern w:val="2"/>
          <w:sz w:val="24"/>
          <w:szCs w:val="24"/>
          <w:lang w:bidi="ar-SA"/>
        </w:rPr>
        <w:t>通过 SCM 平台、供应商门户、物流追踪系统，实现与面辅料供应商、物流商的实时数据交互。</w:t>
      </w:r>
    </w:p>
    <w:p>
      <w:pPr>
        <w:keepNext w:val="0"/>
        <w:keepLines w:val="0"/>
        <w:pageBreakBefore w:val="0"/>
        <w:kinsoku/>
        <w:wordWrap/>
        <w:overflowPunct/>
        <w:topLinePunct w:val="0"/>
        <w:autoSpaceDE/>
        <w:autoSpaceDN/>
        <w:bidi w:val="0"/>
        <w:adjustRightInd/>
        <w:snapToGrid/>
        <w:spacing w:line="420" w:lineRule="exact"/>
        <w:textAlignment w:val="auto"/>
        <w:outlineLvl w:val="0"/>
        <w:rPr>
          <w:rFonts w:hint="eastAsia" w:ascii="新宋体" w:hAnsi="新宋体" w:eastAsia="新宋体" w:cs="新宋体"/>
          <w:b/>
          <w:bCs/>
          <w:color w:val="000000" w:themeColor="text1"/>
          <w:kern w:val="2"/>
          <w:sz w:val="24"/>
          <w:szCs w:val="24"/>
          <w:lang w:val="en-US" w:eastAsia="zh-CN" w:bidi="ar-SA"/>
          <w14:textFill>
            <w14:solidFill>
              <w14:schemeClr w14:val="tx1"/>
            </w14:solidFill>
          </w14:textFill>
        </w:rPr>
      </w:pPr>
      <w:bookmarkStart w:id="84" w:name="_Toc270032321"/>
      <w:bookmarkStart w:id="85" w:name="_Toc468541154"/>
      <w:bookmarkStart w:id="86" w:name="_Toc254743782"/>
      <w:bookmarkStart w:id="87" w:name="_Toc1314425333"/>
      <w:r>
        <w:rPr>
          <w:rFonts w:hint="eastAsia" w:ascii="新宋体" w:hAnsi="新宋体" w:eastAsia="新宋体" w:cs="新宋体"/>
          <w:b/>
          <w:bCs/>
          <w:color w:val="000000" w:themeColor="text1"/>
          <w:kern w:val="2"/>
          <w:sz w:val="24"/>
          <w:szCs w:val="24"/>
          <w:lang w:val="en-US" w:eastAsia="zh-CN" w:bidi="ar-SA"/>
          <w14:textFill>
            <w14:solidFill>
              <w14:schemeClr w14:val="tx1"/>
            </w14:solidFill>
          </w14:textFill>
        </w:rPr>
        <w:t>五．建设标准</w:t>
      </w:r>
      <w:bookmarkEnd w:id="84"/>
      <w:bookmarkEnd w:id="85"/>
      <w:bookmarkEnd w:id="86"/>
      <w:bookmarkEnd w:id="87"/>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bookmarkStart w:id="88" w:name="X4bc0d9713dab20938bc33af5170f93bd15dd8a0"/>
      <w:r>
        <w:rPr>
          <w:rFonts w:hint="eastAsia" w:ascii="新宋体" w:hAnsi="新宋体" w:eastAsia="新宋体" w:cs="新宋体"/>
          <w:b w:val="0"/>
          <w:bCs w:val="0"/>
          <w:color w:val="auto"/>
          <w:kern w:val="2"/>
          <w:sz w:val="24"/>
          <w:szCs w:val="24"/>
          <w:lang w:val="en-US" w:eastAsia="zh-CN" w:bidi="ar-SA"/>
        </w:rPr>
        <w:t>服装数字化快反工厂建设的核心在于提升企业市场快速响应能力。通过构建 "可定义、可测量、可优化" 的核心能力要求与建设标准，将数字化快反的抽象能力转化为具体运营目标。围绕市场响应、计划排程、生产执行、供应链协同、质量控制、成本管理六大关键维度，定义 28 项核心指标及能力，每项指标均明确目标方向及对应的数字化工具。</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1"/>
        <w:rPr>
          <w:rFonts w:hint="eastAsia" w:ascii="新宋体" w:hAnsi="新宋体" w:eastAsia="新宋体" w:cs="新宋体"/>
          <w:b/>
          <w:bCs/>
          <w:sz w:val="24"/>
          <w:szCs w:val="24"/>
          <w:lang w:val="en-US" w:eastAsia="zh-CN"/>
        </w:rPr>
      </w:pPr>
      <w:bookmarkStart w:id="89" w:name="_Toc800272936"/>
      <w:r>
        <w:rPr>
          <w:rFonts w:hint="eastAsia" w:ascii="新宋体" w:hAnsi="新宋体" w:eastAsia="新宋体" w:cs="新宋体"/>
          <w:b/>
          <w:bCs/>
          <w:sz w:val="24"/>
          <w:szCs w:val="24"/>
          <w:lang w:val="en-US" w:eastAsia="zh-CN"/>
        </w:rPr>
        <w:t>5.1需求响应</w:t>
      </w:r>
      <w:bookmarkEnd w:id="89"/>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bidi="ar-SA"/>
        </w:rPr>
      </w:pPr>
      <w:r>
        <w:rPr>
          <w:rFonts w:hint="eastAsia" w:ascii="新宋体" w:hAnsi="新宋体" w:eastAsia="新宋体" w:cs="新宋体"/>
          <w:b w:val="0"/>
          <w:bCs w:val="0"/>
          <w:color w:val="auto"/>
          <w:kern w:val="2"/>
          <w:sz w:val="24"/>
          <w:szCs w:val="24"/>
          <w:lang w:bidi="ar-SA"/>
        </w:rPr>
        <w:t>迅速识别并应对市场需求的核心能力要求与建设标准，将市场需求的快速响应能力视为服装数字化快反工厂实现“小单快反”策略的关键环节。通过构建一个“需求感知 - 趋势预判 - 快速响应”的闭环体系，将市场动态</w:t>
      </w:r>
      <w:r>
        <w:rPr>
          <w:rFonts w:hint="eastAsia" w:ascii="新宋体" w:hAnsi="新宋体" w:eastAsia="新宋体" w:cs="新宋体"/>
          <w:b w:val="0"/>
          <w:bCs w:val="0"/>
          <w:color w:val="auto"/>
          <w:kern w:val="2"/>
          <w:sz w:val="24"/>
          <w:szCs w:val="24"/>
          <w:lang w:val="en-US" w:eastAsia="zh-CN" w:bidi="ar-SA"/>
        </w:rPr>
        <w:t>需求</w:t>
      </w:r>
      <w:r>
        <w:rPr>
          <w:rFonts w:hint="eastAsia" w:ascii="新宋体" w:hAnsi="新宋体" w:eastAsia="新宋体" w:cs="新宋体"/>
          <w:b w:val="0"/>
          <w:bCs w:val="0"/>
          <w:color w:val="auto"/>
          <w:kern w:val="2"/>
          <w:sz w:val="24"/>
          <w:szCs w:val="24"/>
          <w:lang w:bidi="ar-SA"/>
        </w:rPr>
        <w:t>转化为可操作的生产</w:t>
      </w:r>
      <w:r>
        <w:rPr>
          <w:rFonts w:hint="eastAsia" w:ascii="新宋体" w:hAnsi="新宋体" w:eastAsia="新宋体" w:cs="新宋体"/>
          <w:b w:val="0"/>
          <w:bCs w:val="0"/>
          <w:color w:val="auto"/>
          <w:kern w:val="2"/>
          <w:sz w:val="24"/>
          <w:szCs w:val="24"/>
          <w:lang w:val="en-US" w:eastAsia="zh-CN" w:bidi="ar-SA"/>
        </w:rPr>
        <w:t>执行</w:t>
      </w:r>
      <w:r>
        <w:rPr>
          <w:rFonts w:hint="eastAsia" w:ascii="新宋体" w:hAnsi="新宋体" w:eastAsia="新宋体" w:cs="新宋体"/>
          <w:b w:val="0"/>
          <w:bCs w:val="0"/>
          <w:color w:val="auto"/>
          <w:kern w:val="2"/>
          <w:sz w:val="24"/>
          <w:szCs w:val="24"/>
          <w:lang w:bidi="ar-SA"/>
        </w:rPr>
        <w:t>指令。针对服装行业消费趋势的多变性和订单的碎片化特点，明确市场响应速度、需求预测准确率等关键指标，从而形成从数据收集到决策执行的完整链条规范。</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5.1.1 市场洞察与需求感知能力</w:t>
      </w:r>
    </w:p>
    <w:p>
      <w:pPr>
        <w:pStyle w:val="23"/>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（1）数据驱动洞察：</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打造融合CRM客户数据、OMS订单数据、社交媒体用户反馈、电商平台销售数据、时尚资讯等多源数据的消费者洞察体系。利用AI算法进行用户画像构建、情感分析、购买行为预测以及流行趋势分析。</w:t>
      </w:r>
    </w:p>
    <w:p>
      <w:pPr>
        <w:pStyle w:val="23"/>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（2）快速需求获取：</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PLM系统需要具备市场、客户、设计师等多方面设计需求和创意的快速搜集、整理和管理能力，并能与趋势分析结果进行有效整合。</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5.1.2 快速设计与款式迭代能力</w:t>
      </w:r>
    </w:p>
    <w:p>
      <w:pPr>
        <w:pStyle w:val="23"/>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（1）数字化设计工具：</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广泛采用3D服装设计软件、虚拟打样技术、在线虚拟试衣等，显著减少实物打样次数和时间，加速设计验证与迭代过程。PLM系统需能够管理3D模型及其相关数据。</w:t>
      </w:r>
    </w:p>
    <w:p>
      <w:pPr>
        <w:pStyle w:val="23"/>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（2）模块化与标准化设计：</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PLM系统应支持建立和管理企业级的标准化版型库、面辅料材质库(包括物理属性、环保认证等)、工艺数据库(包括标准工时、工序分解)、色彩库、辅件库等基础设计资源。推广模块化设计理念，通过组件的灵活组合快速生成新款式。</w:t>
      </w:r>
    </w:p>
    <w:p>
      <w:pPr>
        <w:pStyle w:val="23"/>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（3）协同设计平台：</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PLM系统提供协同设计环境，支持设计师、版师、工艺师、采购、营销等跨部门团队进行在线协作、版本管理、评审审批，缩短设计沟通周期。</w:t>
      </w:r>
    </w:p>
    <w:p>
      <w:pPr>
        <w:pStyle w:val="23"/>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（4）集成可制造性设计的数字化评审流程：</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sz w:val="24"/>
          <w:szCs w:val="24"/>
          <w:lang w:eastAsia="zh-CN"/>
        </w:rPr>
      </w:pPr>
      <w:r>
        <w:rPr>
          <w:rFonts w:hint="eastAsia" w:ascii="新宋体" w:hAnsi="新宋体" w:eastAsia="新宋体" w:cs="新宋体"/>
          <w:b w:val="0"/>
          <w:bCs w:val="0"/>
          <w:color w:val="auto"/>
          <w:kern w:val="2"/>
          <w:sz w:val="24"/>
          <w:szCs w:val="24"/>
          <w:lang w:bidi="ar-SA"/>
        </w:rPr>
        <w:t>在PLM系统中，新款式设计完成后，必须触发一个由ME部门主导的数字化评审工作流。ME工程师需在线评估该款式在现有快反生产线上的工艺可行性、设备适应性、潜在瓶颈工序及预估成本，并将评审意见和修改建议数字化记录于PLM中，形成闭环。此举可避免因设计缺陷导致后续生产效率低下或成本失控，确保设计速度与生产效益的平衡。</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5.1.3 订单快速处理与转化能力</w:t>
      </w:r>
    </w:p>
    <w:p>
      <w:pPr>
        <w:pStyle w:val="23"/>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（1）全渠道订单统一管理：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OMS系统实现对线上(官网、电商平台、小程序)、线下(门店POS)、B2B等所有渠道订单的统一接入、自动校验、智能拆分/合并以及状态跟踪。</w:t>
      </w:r>
    </w:p>
    <w:p>
      <w:pPr>
        <w:pStyle w:val="23"/>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（2）客户需求精准确认：</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CRM系统记录客户历史偏好、沟通记录，支持销售人员或在线配置器与客户快速确认定制需求(如款式细节、面料、尺寸、个性化元素)。PLM系统可集成定制配置器，生成精确的BOM和工艺指令。</w:t>
      </w:r>
    </w:p>
    <w:p>
      <w:pPr>
        <w:pStyle w:val="23"/>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（3）订单信息高效转化：</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val="en-US" w:eastAsia="zh-CN" w:bidi="ar-SA"/>
        </w:rPr>
      </w:pPr>
      <w:r>
        <w:rPr>
          <w:rFonts w:hint="eastAsia" w:ascii="新宋体" w:hAnsi="新宋体" w:eastAsia="新宋体" w:cs="新宋体"/>
          <w:b w:val="0"/>
          <w:bCs w:val="0"/>
          <w:color w:val="auto"/>
          <w:kern w:val="2"/>
          <w:sz w:val="24"/>
          <w:szCs w:val="24"/>
          <w:lang w:bidi="ar-SA"/>
        </w:rPr>
        <w:t>ERP系统应与OMS/CRM/PLM系统无缝集成，实现销售订单信息(客户、产品、数量、交期、特殊要求)向生产主数据(如生产订单、BOM、工艺路线)的快速、准确转化，降低人工录入错误。</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498"/>
        <w:gridCol w:w="916"/>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pct"/>
          </w:tcPr>
          <w:p>
            <w:pPr>
              <w:pStyle w:val="23"/>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lang w:eastAsia="zh-CN"/>
              </w:rPr>
            </w:pPr>
            <w:r>
              <w:rPr>
                <w:rFonts w:hint="eastAsia" w:ascii="新宋体" w:hAnsi="新宋体" w:eastAsia="新宋体" w:cs="新宋体"/>
                <w:b w:val="0"/>
                <w:bCs w:val="0"/>
                <w:sz w:val="24"/>
                <w:szCs w:val="24"/>
                <w:lang w:val="en-US" w:eastAsia="zh-CN"/>
              </w:rPr>
              <w:t>能力要求</w:t>
            </w:r>
          </w:p>
        </w:tc>
        <w:tc>
          <w:tcPr>
            <w:tcW w:w="2257"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lang w:val="en-US" w:eastAsia="zh-CN"/>
              </w:rPr>
              <w:t>能力定义</w:t>
            </w:r>
          </w:p>
        </w:tc>
        <w:tc>
          <w:tcPr>
            <w:tcW w:w="459"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方向</w:t>
            </w:r>
          </w:p>
        </w:tc>
        <w:tc>
          <w:tcPr>
            <w:tcW w:w="1385"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关联数字化工具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新品概念到设计稿时间</w:t>
            </w:r>
          </w:p>
        </w:tc>
        <w:tc>
          <w:tcPr>
            <w:tcW w:w="2257"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从市场需求/流行趋势明确到首版设计稿完成的平均时长</w:t>
            </w:r>
          </w:p>
        </w:tc>
        <w:tc>
          <w:tcPr>
            <w:tcW w:w="459"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缩短</w:t>
            </w:r>
          </w:p>
        </w:tc>
        <w:tc>
          <w:tcPr>
            <w:tcW w:w="1385"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PLM</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AI趋势分析工具</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协同设计平台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流行趋势捕捉准确率与转化率</w:t>
            </w:r>
          </w:p>
        </w:tc>
        <w:tc>
          <w:tcPr>
            <w:tcW w:w="2257"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预测的流行元素与实际市场热销元素吻合度；成功转化为畅销款式的比例</w:t>
            </w:r>
          </w:p>
        </w:tc>
        <w:tc>
          <w:tcPr>
            <w:tcW w:w="459"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提高</w:t>
            </w:r>
          </w:p>
        </w:tc>
        <w:tc>
          <w:tcPr>
            <w:tcW w:w="1385"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AI趋势预测</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大数据分析平台</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CRM</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OMS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社交工具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客户需求理解与订单确认速度</w:t>
            </w:r>
          </w:p>
        </w:tc>
        <w:tc>
          <w:tcPr>
            <w:tcW w:w="2257"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从客户提出需求/意向到订单信息(含规格、工艺、数量、交期)最终确认的平均时长</w:t>
            </w:r>
          </w:p>
        </w:tc>
        <w:tc>
          <w:tcPr>
            <w:tcW w:w="459"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缩短</w:t>
            </w:r>
          </w:p>
        </w:tc>
        <w:tc>
          <w:tcPr>
            <w:tcW w:w="1385"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CRM</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OMS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PLM</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协同平台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小单/定制单接单比例与处理效率</w:t>
            </w:r>
          </w:p>
        </w:tc>
        <w:tc>
          <w:tcPr>
            <w:tcW w:w="2257"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小批量订单/定制订单数量占总订单数量的比例：单位时间内处理小单/定制单的数量</w:t>
            </w:r>
          </w:p>
        </w:tc>
        <w:tc>
          <w:tcPr>
            <w:tcW w:w="459"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提高/提升</w:t>
            </w:r>
          </w:p>
        </w:tc>
        <w:tc>
          <w:tcPr>
            <w:tcW w:w="1385" w:type="pct"/>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OMS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CRM</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ERP</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APS</w:t>
            </w:r>
          </w:p>
        </w:tc>
      </w:tr>
      <w:bookmarkEnd w:id="88"/>
    </w:tbl>
    <w:p>
      <w:pPr>
        <w:keepNext w:val="0"/>
        <w:keepLines w:val="0"/>
        <w:pageBreakBefore w:val="0"/>
        <w:widowControl w:val="0"/>
        <w:kinsoku/>
        <w:wordWrap/>
        <w:overflowPunct/>
        <w:topLinePunct w:val="0"/>
        <w:autoSpaceDE/>
        <w:autoSpaceDN/>
        <w:bidi w:val="0"/>
        <w:adjustRightInd/>
        <w:snapToGrid/>
        <w:spacing w:line="420" w:lineRule="exact"/>
        <w:textAlignment w:val="auto"/>
        <w:outlineLvl w:val="1"/>
        <w:rPr>
          <w:rFonts w:hint="eastAsia" w:ascii="新宋体" w:hAnsi="新宋体" w:eastAsia="新宋体" w:cs="新宋体"/>
          <w:b/>
          <w:bCs/>
          <w:sz w:val="24"/>
          <w:szCs w:val="24"/>
          <w:lang w:val="en-US" w:eastAsia="zh-CN"/>
        </w:rPr>
      </w:pPr>
      <w:bookmarkStart w:id="90" w:name="_Toc2096125376"/>
      <w:bookmarkStart w:id="91" w:name="_Toc1543835603"/>
      <w:bookmarkStart w:id="92" w:name="_Toc497154191"/>
      <w:bookmarkStart w:id="93" w:name="X7aac9539dc0c339b59dd0a642a3aceeb3614b43"/>
      <w:r>
        <w:rPr>
          <w:rFonts w:hint="eastAsia" w:ascii="新宋体" w:hAnsi="新宋体" w:eastAsia="新宋体" w:cs="新宋体"/>
          <w:b/>
          <w:bCs/>
          <w:sz w:val="24"/>
          <w:szCs w:val="24"/>
          <w:lang w:val="en-US" w:eastAsia="zh-CN"/>
        </w:rPr>
        <w:t>5.2计划</w:t>
      </w:r>
      <w:bookmarkEnd w:id="90"/>
      <w:bookmarkEnd w:id="91"/>
      <w:r>
        <w:rPr>
          <w:rFonts w:hint="eastAsia" w:ascii="新宋体" w:hAnsi="新宋体" w:eastAsia="新宋体" w:cs="新宋体"/>
          <w:b/>
          <w:bCs/>
          <w:sz w:val="24"/>
          <w:szCs w:val="24"/>
          <w:lang w:val="en-US" w:eastAsia="zh-CN"/>
        </w:rPr>
        <w:t>敏捷</w:t>
      </w:r>
      <w:bookmarkEnd w:id="92"/>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bidi="ar-SA"/>
        </w:rPr>
      </w:pPr>
      <w:r>
        <w:rPr>
          <w:rFonts w:hint="eastAsia" w:ascii="新宋体" w:hAnsi="新宋体" w:eastAsia="新宋体" w:cs="新宋体"/>
          <w:b w:val="0"/>
          <w:bCs w:val="0"/>
          <w:color w:val="auto"/>
          <w:kern w:val="2"/>
          <w:sz w:val="24"/>
          <w:szCs w:val="24"/>
          <w:lang w:bidi="ar-SA"/>
        </w:rPr>
        <w:t>敏捷计划与排程的核心能力要求与建设标准，作为快速响应生产的枢纽，通过构建“动态排程 - 产能感知 - 协同优化”的能力体系，实现了多品种小批量订单的高效调度。针对服装行业插单频繁、产能波动大的特点，定义了计划达成率、换产时间等关键指标，形成了基于APS系统的智能排程规范。</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5.2.1 多约束动态排程能力</w:t>
      </w:r>
    </w:p>
    <w:p>
      <w:pPr>
        <w:pStyle w:val="23"/>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（1）高级计划排程系统APS：</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180" w:line="420" w:lineRule="exact"/>
        <w:ind w:leftChars="0" w:firstLine="480" w:firstLineChars="200"/>
        <w:jc w:val="both"/>
        <w:textAlignment w:val="auto"/>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必须部署APS系统，该系统应具备基于有限能力（包括设备实际产能、人员技能与可用性、物料齐套日期、模具/工具约束等）的智能排程功能。APS应能应对服装行业特有的工艺路径复杂性、颜色/尺码组合、面料批次等约束。</w:t>
      </w:r>
    </w:p>
    <w:p>
      <w:pPr>
        <w:pStyle w:val="23"/>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（2）优化算法支持：</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180" w:line="420" w:lineRule="exact"/>
        <w:ind w:leftChars="0" w:firstLine="480" w:firstLineChars="200"/>
        <w:jc w:val="both"/>
        <w:textAlignment w:val="auto"/>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APS系统应内置或支持集成先进的优化算法（例如遗传算法、模拟退火、约束规划），以实现多目标（如最小化总生产时间、最大化设备利用率、最小化换线次数、满足订单交期优先级）的排程优化。</w:t>
      </w:r>
    </w:p>
    <w:p>
      <w:pPr>
        <w:pStyle w:val="23"/>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（3）实时数据驱动：</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180" w:line="420" w:lineRule="exact"/>
        <w:ind w:leftChars="0" w:firstLine="480" w:firstLineChars="200"/>
        <w:jc w:val="both"/>
        <w:textAlignment w:val="auto"/>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APS排程应能实时获取来自MES的设备状态、在制品进度、人员出勤信息，来自WMS的物料库存与预计到货数据，以及来自ERP的最新订单信息，从而实现计划的动态调整和滚动优化。</w:t>
      </w:r>
    </w:p>
    <w:p>
      <w:pPr>
        <w:pStyle w:val="23"/>
        <w:keepNext w:val="0"/>
        <w:keepLines w:val="0"/>
        <w:pageBreakBefore w:val="0"/>
        <w:widowControl w:val="0"/>
        <w:numPr>
          <w:ilvl w:val="0"/>
          <w:numId w:val="1"/>
        </w:numPr>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以标准工时为核心的精确数据输入：</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180" w:line="420" w:lineRule="exact"/>
        <w:ind w:leftChars="0" w:firstLine="480" w:firstLineChars="200"/>
        <w:jc w:val="both"/>
        <w:textAlignment w:val="auto"/>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APS系统的有效性，高度依赖于精确的基础数据。其中，由IE部门主导建立并持续维护的、精确到款式-工序-难度系数级别的标准工时数据库是其进行产能负荷计算和工序时间预估的核心输入。任何脱离科学工时测定的排程，都只是粗略的估算。</w:t>
      </w:r>
    </w:p>
    <w:p>
      <w:pPr>
        <w:pStyle w:val="23"/>
        <w:keepNext w:val="0"/>
        <w:keepLines w:val="0"/>
        <w:pageBreakBefore w:val="0"/>
        <w:widowControl w:val="0"/>
        <w:numPr>
          <w:ilvl w:val="0"/>
          <w:numId w:val="1"/>
        </w:numPr>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与PMC主生产计划(MPS)的闭环协同：</w:t>
      </w:r>
    </w:p>
    <w:p>
      <w:pPr>
        <w:pStyle w:val="23"/>
        <w:keepNext w:val="0"/>
        <w:keepLines w:val="0"/>
        <w:pageBreakBefore w:val="0"/>
        <w:widowControl w:val="0"/>
        <w:numPr>
          <w:ilvl w:val="0"/>
          <w:numId w:val="0"/>
        </w:numPr>
        <w:kinsoku/>
        <w:wordWrap/>
        <w:overflowPunct/>
        <w:topLinePunct w:val="0"/>
        <w:autoSpaceDE/>
        <w:autoSpaceDN/>
        <w:bidi w:val="0"/>
        <w:adjustRightInd/>
        <w:snapToGrid/>
        <w:spacing w:before="180" w:line="420" w:lineRule="exact"/>
        <w:ind w:leftChars="0" w:firstLine="480" w:firstLineChars="200"/>
        <w:jc w:val="both"/>
        <w:textAlignment w:val="auto"/>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APS生成的详细生产计划，必须与PMC部门基于市场预测和产能规划制定的主生产计划(MPS) 保持双向同步和校验，形成”宏观规划”与”微观调度”的闭环。APS应能实时反馈计划执行偏差，帮助PMC动态调整MPS。</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5.2.2 计划协同与快速下达能力</w:t>
      </w:r>
    </w:p>
    <w:p>
      <w:pPr>
        <w:pStyle w:val="23"/>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（1）ERP-APS-MES集成：</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建立ERP、APS、MES之间的紧密集成和数据双向同步机制。APS排程结果应能自动生成MES所需的生产工单和作业指令。</w:t>
      </w:r>
    </w:p>
    <w:p>
      <w:pPr>
        <w:pStyle w:val="23"/>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（2）计划可视化与确认：</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APS/MES系统应提供甘特图、资源负载图等可视化工具，清晰展示排程结果、资源占用情况和潜在瓶颈。计划调整后应有快速确认和下发流程。</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5.2.3 模拟与预案能力</w:t>
      </w:r>
    </w:p>
    <w:p>
      <w:pPr>
        <w:pStyle w:val="23"/>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（1）What-if分析：</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APS/MES系统应支持对不同排程策略、紧急插单、设备故障、物料延迟等场景进行“What-if”仿真分析，以快速评估其对整体计划（如交期、成本、资源）的影响。</w:t>
      </w:r>
    </w:p>
    <w:p>
      <w:pPr>
        <w:pStyle w:val="23"/>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（2）预案管理：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val="en-US" w:eastAsia="zh-CN" w:bidi="ar-SA"/>
        </w:rPr>
      </w:pPr>
      <w:r>
        <w:rPr>
          <w:rFonts w:hint="eastAsia" w:ascii="新宋体" w:hAnsi="新宋体" w:eastAsia="新宋体" w:cs="新宋体"/>
          <w:b w:val="0"/>
          <w:bCs w:val="0"/>
          <w:color w:val="auto"/>
          <w:kern w:val="2"/>
          <w:sz w:val="24"/>
          <w:szCs w:val="24"/>
          <w:lang w:bidi="ar-SA"/>
        </w:rPr>
        <w:t>针对常见异常情况，系统应能预设或辅助生成应对预案，从而提高计划的鲁棒性和应急响应能力。</w:t>
      </w:r>
    </w:p>
    <w:tbl>
      <w:tblPr>
        <w:tblStyle w:val="25"/>
        <w:tblW w:w="51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8"/>
        <w:gridCol w:w="4208"/>
        <w:gridCol w:w="994"/>
        <w:gridCol w:w="2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4" w:type="dxa"/>
            <w:shd w:val="clear" w:color="auto" w:fill="auto"/>
            <w:vAlign w:val="top"/>
          </w:tcPr>
          <w:p>
            <w:pPr>
              <w:pStyle w:val="23"/>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lang w:val="en-US" w:eastAsia="zh-CN"/>
              </w:rPr>
              <w:t>能力要求</w:t>
            </w:r>
          </w:p>
        </w:tc>
        <w:tc>
          <w:tcPr>
            <w:tcW w:w="3600" w:type="dxa"/>
            <w:shd w:val="clear" w:color="auto" w:fill="auto"/>
            <w:vAlign w:val="top"/>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lang w:val="en-US" w:eastAsia="zh-CN"/>
              </w:rPr>
              <w:t>能力定义</w:t>
            </w:r>
          </w:p>
        </w:tc>
        <w:tc>
          <w:tcPr>
            <w:tcW w:w="850"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方向</w:t>
            </w:r>
          </w:p>
        </w:tc>
        <w:tc>
          <w:tcPr>
            <w:tcW w:w="2191"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关联数字化工具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订单到生产计划下达时间</w:t>
            </w:r>
          </w:p>
        </w:tc>
        <w:tc>
          <w:tcPr>
            <w:tcW w:w="3600"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从订单确认到详细生产计划(含工单、排程)下达到车间的平均时长</w:t>
            </w:r>
          </w:p>
        </w:tc>
        <w:tc>
          <w:tcPr>
            <w:tcW w:w="850"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缩短</w:t>
            </w:r>
          </w:p>
        </w:tc>
        <w:tc>
          <w:tcPr>
            <w:tcW w:w="2191"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ERP</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APS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MES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计划调整响应时间与灵活性</w:t>
            </w:r>
          </w:p>
        </w:tc>
        <w:tc>
          <w:tcPr>
            <w:tcW w:w="3600"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从</w:t>
            </w:r>
            <w:r>
              <w:rPr>
                <w:rFonts w:hint="eastAsia" w:ascii="新宋体" w:hAnsi="新宋体" w:eastAsia="新宋体" w:cs="新宋体"/>
                <w:b w:val="0"/>
                <w:bCs w:val="0"/>
                <w:sz w:val="24"/>
                <w:szCs w:val="24"/>
                <w:lang w:eastAsia="zh-CN"/>
              </w:rPr>
              <w:t>接收</w:t>
            </w:r>
            <w:r>
              <w:rPr>
                <w:rFonts w:hint="eastAsia" w:ascii="新宋体" w:hAnsi="新宋体" w:eastAsia="新宋体" w:cs="新宋体"/>
                <w:b w:val="0"/>
                <w:bCs w:val="0"/>
                <w:sz w:val="24"/>
                <w:szCs w:val="24"/>
              </w:rPr>
              <w:t>计划变更请求(如插单、改单、物料变更)到完成计划调整并下发的平均时长；系统支持的计划调整场景和约束条件数量</w:t>
            </w:r>
          </w:p>
        </w:tc>
        <w:tc>
          <w:tcPr>
            <w:tcW w:w="850"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缩短/提高</w:t>
            </w:r>
          </w:p>
        </w:tc>
        <w:tc>
          <w:tcPr>
            <w:tcW w:w="2191"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APS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MES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ERP</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SCM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小单/急单插单成功率与影响评估效率</w:t>
            </w:r>
          </w:p>
        </w:tc>
        <w:tc>
          <w:tcPr>
            <w:tcW w:w="3600"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成功插入并按期完成的小单/急单数量占总申请数量的比例：评估插单对现有计划影响(如交期、成本)所需平均时长</w:t>
            </w:r>
          </w:p>
        </w:tc>
        <w:tc>
          <w:tcPr>
            <w:tcW w:w="850"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提高/缩短</w:t>
            </w:r>
          </w:p>
        </w:tc>
        <w:tc>
          <w:tcPr>
            <w:tcW w:w="2191"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APS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MES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资源(设备、人员、物料)计划利用率</w:t>
            </w:r>
          </w:p>
        </w:tc>
        <w:tc>
          <w:tcPr>
            <w:tcW w:w="3600"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计划期内，关键设备计划工时利用率、计划人员工时利用率、计划物料满足率</w:t>
            </w:r>
          </w:p>
        </w:tc>
        <w:tc>
          <w:tcPr>
            <w:tcW w:w="850"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提高</w:t>
            </w:r>
          </w:p>
        </w:tc>
        <w:tc>
          <w:tcPr>
            <w:tcW w:w="2191"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APS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MES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ERP</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WMS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HR系统</w:t>
            </w:r>
          </w:p>
        </w:tc>
      </w:tr>
      <w:bookmarkEnd w:id="93"/>
    </w:tbl>
    <w:p>
      <w:pPr>
        <w:pStyle w:val="3"/>
        <w:keepNext w:val="0"/>
        <w:keepLines w:val="0"/>
        <w:pageBreakBefore w:val="0"/>
        <w:kinsoku/>
        <w:wordWrap/>
        <w:overflowPunct/>
        <w:topLinePunct w:val="0"/>
        <w:autoSpaceDE/>
        <w:autoSpaceDN/>
        <w:bidi w:val="0"/>
        <w:adjustRightInd/>
        <w:snapToGrid/>
        <w:spacing w:line="420" w:lineRule="exact"/>
        <w:textAlignment w:val="auto"/>
        <w:rPr>
          <w:rFonts w:hint="eastAsia" w:ascii="新宋体" w:hAnsi="新宋体" w:eastAsia="新宋体" w:cs="新宋体"/>
          <w:b/>
          <w:bCs/>
          <w:sz w:val="24"/>
          <w:szCs w:val="24"/>
          <w:lang w:val="en-US" w:eastAsia="zh-CN"/>
        </w:rPr>
      </w:pPr>
      <w:bookmarkStart w:id="94" w:name="_Toc1347556567"/>
      <w:bookmarkStart w:id="95" w:name="_Toc109965397"/>
      <w:bookmarkStart w:id="96" w:name="_Toc1959101307"/>
      <w:bookmarkStart w:id="97" w:name="c55d9c4576cc098fea3f55dce4ab85e3"/>
      <w:r>
        <w:rPr>
          <w:rFonts w:hint="eastAsia" w:ascii="新宋体" w:hAnsi="新宋体" w:eastAsia="新宋体" w:cs="新宋体"/>
          <w:b/>
          <w:bCs/>
          <w:kern w:val="2"/>
          <w:sz w:val="24"/>
          <w:szCs w:val="24"/>
          <w:lang w:val="en-US" w:eastAsia="zh-CN" w:bidi="ar-SA"/>
        </w:rPr>
        <w:t>5.3</w:t>
      </w:r>
      <w:r>
        <w:rPr>
          <w:rFonts w:hint="eastAsia" w:ascii="新宋体" w:hAnsi="新宋体" w:eastAsia="新宋体" w:cs="新宋体"/>
          <w:b/>
          <w:bCs/>
          <w:sz w:val="24"/>
          <w:szCs w:val="24"/>
        </w:rPr>
        <w:t>生产柔性</w:t>
      </w:r>
      <w:bookmarkEnd w:id="94"/>
      <w:bookmarkEnd w:id="95"/>
      <w:bookmarkEnd w:id="96"/>
      <w:bookmarkStart w:id="98" w:name="b03d0895e2b7603813106d3395c041d8"/>
    </w:p>
    <w:bookmarkEnd w:id="98"/>
    <w:p>
      <w:pPr>
        <w:pStyle w:val="23"/>
        <w:keepNext w:val="0"/>
        <w:keepLines w:val="0"/>
        <w:pageBreakBefore w:val="0"/>
        <w:widowControl/>
        <w:kinsoku/>
        <w:wordWrap/>
        <w:overflowPunct/>
        <w:topLinePunct w:val="0"/>
        <w:autoSpaceDE/>
        <w:autoSpaceDN/>
        <w:bidi w:val="0"/>
        <w:adjustRightInd/>
        <w:snapToGrid/>
        <w:spacing w:before="180" w:line="420" w:lineRule="exact"/>
        <w:ind w:left="0" w:leftChars="0" w:firstLine="480" w:firstLineChars="200"/>
        <w:jc w:val="both"/>
        <w:textAlignment w:val="auto"/>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柔性生产线的核心能力要求与建设标准，柔性生产执行能力是实现“小单快反”的制造基础，通过构建“设备互联 - 工艺自适应 - 流程柔性”的执行体系，解决服装生产多品种换产难题。针对服装行业款式多变、工艺复杂的特性，定义设备OEE、换产时间等核心指标，形成基于MES与数字孪生的生产执行规范。</w:t>
      </w:r>
    </w:p>
    <w:p>
      <w:pPr>
        <w:pStyle w:val="23"/>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rPr>
          <w:rFonts w:hint="eastAsia" w:ascii="新宋体" w:hAnsi="新宋体" w:eastAsia="新宋体" w:cs="新宋体"/>
          <w:sz w:val="24"/>
          <w:szCs w:val="24"/>
          <w:lang w:eastAsia="zh-CN"/>
        </w:rPr>
      </w:pPr>
      <w:r>
        <w:rPr>
          <w:rFonts w:hint="eastAsia" w:ascii="新宋体" w:hAnsi="新宋体" w:eastAsia="新宋体" w:cs="新宋体"/>
          <w:b w:val="0"/>
          <w:bCs w:val="0"/>
          <w:kern w:val="2"/>
          <w:sz w:val="24"/>
          <w:szCs w:val="24"/>
          <w:lang w:bidi="ar-SA"/>
        </w:rPr>
        <w:t>在柔性生产线的构建中，关键在于打造一个能够迅速响应市场变化的生产环境。这要求生产线不仅能够灵活适应不同产品的生产需求，还要能够高效地在不同产品间切换，以最小的代价实现生产效率的最大化。因此，制定明确的设备效率指标（OEE）和缩短换产时间成为衡量生产线柔性的重要标准。通过整合制造执行系统（MES）和数字孪生技术，可以为服装生产提供一个精准、高效的执行框架，确保生产线在面对多样化和个性化需求时，依然能够保持高效率和高质量的生产。</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5.3.1 柔性生产单元构建与管理能力</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对于柔性生产单元（例如U型线、</w:t>
      </w:r>
      <w:r>
        <w:rPr>
          <w:rFonts w:hint="eastAsia" w:ascii="新宋体" w:hAnsi="新宋体" w:eastAsia="新宋体" w:cs="新宋体"/>
          <w:b w:val="0"/>
          <w:bCs w:val="0"/>
          <w:color w:val="auto"/>
          <w:kern w:val="2"/>
          <w:sz w:val="24"/>
          <w:szCs w:val="24"/>
          <w:lang w:val="en-US" w:eastAsia="zh-CN" w:bidi="ar-SA"/>
        </w:rPr>
        <w:t>吊挂线、</w:t>
      </w:r>
      <w:r>
        <w:rPr>
          <w:rFonts w:hint="eastAsia" w:ascii="新宋体" w:hAnsi="新宋体" w:eastAsia="新宋体" w:cs="新宋体"/>
          <w:b w:val="0"/>
          <w:bCs w:val="0"/>
          <w:color w:val="auto"/>
          <w:kern w:val="2"/>
          <w:sz w:val="24"/>
          <w:szCs w:val="24"/>
          <w:lang w:bidi="ar-SA"/>
        </w:rPr>
        <w:t>细胞式生产）的物理布局和作业流程，必须由工业工程部门（IE部门）运用其专业知识（如动作经济原则、物流动线分析）进行主导设计。制造执行系统（MES系统）应能支持这种柔性布局下的人员派工、物料拉动和数据采集。</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（1）模块化产线设计：</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推广模块化、可重构的生产单元，支持根据订单特点快速调整产线布局、工序组合和设备配置。MES系统应能管理柔性单元的资源和任务分配。</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（2）多技能工培养与调度：</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建立员工技能矩阵（MES/HR系统管理），培养员工具备多种工序操作技能（“一人多能”）。MES/APS系统应支持基于技能匹配和任务需求的柔性人员调度。</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（3）混流生产支持：</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MES系统应能支持不同款式、不同批量订单在同一产线或生产单元进行混合生产，通过智能物料系统（如智能吊挂、AGV）和电子作业指导（MES工位终端）确保生产的准确性和有序性。</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5.3.2 精益生产执行与过程控制能力</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MES工位终端展示的电子作业指导书（e-SOP），其内容（包括作业顺序的图文/视频分解、关键质量要点、所用工具、标准工时等）必须由工业工程部门（IE部门）和机械工程部门（ME部门）共同制定和维护，确保其科学性、标准化和可执行性。这实现了将最佳实践固化于数字化系统中，是培训新员工和保证质量一致性的关键。</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（1）MES核心功能：</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全面部署MES系统，实现生产工单的精细化管理、工序级的实时报工（通过扫码、RFID、设备自动采集）、在制品（WIP）的可视化追踪、生产异常（如设备故障、物料短缺、质量问题）的快速上报与处理（安灯系统）。</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（2）标准化作业与电子指导：</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产品生命周期管理（PLM）/MES系统提供标准化的电子作业指导书（SOP）、工艺参数、质量标准到工位终端，确保操作规范。</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（3）智能物料流转：</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应用智能吊挂系统、自动引导车（AGV）/自主移动机器人（AMR）等自动化物流设备，与MES/仓库管理系统（WMS）系统联动，实现衣片/半成品/物料在工序间的自动、按需、高效流转，减少搬运和等待浪费。</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5.3.3 快速换产与设备高效运行能力</w:t>
      </w:r>
    </w:p>
    <w:p>
      <w:pPr>
        <w:pStyle w:val="7"/>
        <w:keepNext w:val="0"/>
        <w:keepLines w:val="0"/>
        <w:pageBreakBefore w:val="0"/>
        <w:widowControl w:val="0"/>
        <w:kinsoku/>
        <w:wordWrap/>
        <w:overflowPunct/>
        <w:topLinePunct w:val="0"/>
        <w:autoSpaceDE/>
        <w:autoSpaceDN/>
        <w:bidi w:val="0"/>
        <w:adjustRightInd/>
        <w:snapToGrid/>
        <w:spacing w:before="180"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数字化快速换模管理，其核心价值在于支撑工业工程部门（IE部门）主导的内外作业分析与改善活动。系统应能详细记录换产的每一个步骤及其耗时，IE人员可利用这些数据，识别换产瓶颈，推动将内部作业（必须停机才能做的）转化为外部作业（可在生产中提前准备的）的改善项目，而不仅仅是作为一个计时器。</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（1）快速换模/换款与数字化辅助：</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结合精益生产的快速换模/换款方法论，利用MES/产品生命周期管理（PLM）系统提供标准化的换产作业指导、换产前准备清单（如预备模具模板、预备物料）、换产过程计时与分析，持续缩短换产时间。智能设备应支持参数一键切换或自动调整。</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（2）设备OEE监控与全面生产维护：</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MES系统集成物联网（IoT）平台数据，实时监控和计算设备OEE，分析OEE损失原因（停机、速度、质量）。维护运营管理（MOM）维护模块支持全面生产维护理念，实现设备自主维护、计划维护、预防性维护和预测性维护，保障设备高可用性。</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5.3.4 拉动式物料供应与线边库管理能力</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（1）拉动式物料供应：</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仓库管理系统（WMS）应能根据MES系统的实时生产进度和物料消耗，或通过电子看板、安灯系统呼叫等方式，实现面向生产线工位或模块化单元的看板拉动式物料配送。</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（2）精益化线边库：</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rPr>
          <w:rFonts w:hint="eastAsia" w:ascii="新宋体" w:hAnsi="新宋体" w:eastAsia="新宋体" w:cs="新宋体"/>
          <w:sz w:val="24"/>
          <w:szCs w:val="24"/>
          <w:lang w:eastAsia="zh-CN"/>
        </w:rPr>
      </w:pPr>
      <w:r>
        <w:rPr>
          <w:rFonts w:hint="eastAsia" w:ascii="新宋体" w:hAnsi="新宋体" w:eastAsia="新宋体" w:cs="新宋体"/>
          <w:b w:val="0"/>
          <w:bCs w:val="0"/>
          <w:kern w:val="2"/>
          <w:sz w:val="24"/>
          <w:szCs w:val="24"/>
          <w:lang w:bidi="ar-SA"/>
        </w:rPr>
        <w:t>对生产线旁的线边库进行精益化管理，设定合理的库存水平（如最小/最大库存量、安全库存）和补货策略，通过WMS/MES系统实现自动补货提醒或触发，确保生产不间断，同时避免线边物料过多积压和浪费。</w:t>
      </w:r>
    </w:p>
    <w:tbl>
      <w:tblPr>
        <w:tblStyle w:val="25"/>
        <w:tblW w:w="50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4614"/>
        <w:gridCol w:w="905"/>
        <w:gridCol w:w="2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820" w:type="dxa"/>
            <w:vAlign w:val="top"/>
          </w:tcPr>
          <w:p>
            <w:pPr>
              <w:pStyle w:val="23"/>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lang w:val="en-US" w:eastAsia="zh-CN"/>
              </w:rPr>
              <w:t>能力要求</w:t>
            </w:r>
          </w:p>
        </w:tc>
        <w:tc>
          <w:tcPr>
            <w:tcW w:w="3947" w:type="dxa"/>
            <w:vAlign w:val="top"/>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lang w:val="en-US" w:eastAsia="zh-CN"/>
              </w:rPr>
              <w:t>能力定义</w:t>
            </w:r>
          </w:p>
        </w:tc>
        <w:tc>
          <w:tcPr>
            <w:tcW w:w="774"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方向</w:t>
            </w:r>
          </w:p>
        </w:tc>
        <w:tc>
          <w:tcPr>
            <w:tcW w:w="2143"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关联数字化工具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820"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生产制造周期</w:t>
            </w:r>
          </w:p>
        </w:tc>
        <w:tc>
          <w:tcPr>
            <w:tcW w:w="3947"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从原材料投入生产到成品完工入库的平均时长</w:t>
            </w:r>
          </w:p>
        </w:tc>
        <w:tc>
          <w:tcPr>
            <w:tcW w:w="774"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缩短</w:t>
            </w:r>
          </w:p>
        </w:tc>
        <w:tc>
          <w:tcPr>
            <w:tcW w:w="2143"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MES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WMS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APS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换款/换线平均时间</w:t>
            </w:r>
          </w:p>
        </w:tc>
        <w:tc>
          <w:tcPr>
            <w:tcW w:w="3947"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生产线从生产A款式切换到生产B款式的平均准备时间(含设备调整、物料切换、工艺参数设定等)</w:t>
            </w:r>
          </w:p>
        </w:tc>
        <w:tc>
          <w:tcPr>
            <w:tcW w:w="774"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缩短</w:t>
            </w:r>
          </w:p>
        </w:tc>
        <w:tc>
          <w:tcPr>
            <w:tcW w:w="2143"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MES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PLM</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智能设备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1820" w:type="dxa"/>
          </w:tcPr>
          <w:p>
            <w:pPr>
              <w:pStyle w:val="7"/>
              <w:keepNext w:val="0"/>
              <w:keepLines w:val="0"/>
              <w:pageBreakBefore w:val="0"/>
              <w:kinsoku/>
              <w:wordWrap/>
              <w:overflowPunct/>
              <w:topLinePunct w:val="0"/>
              <w:autoSpaceDE/>
              <w:autoSpaceDN/>
              <w:bidi w:val="0"/>
              <w:adjustRightInd/>
              <w:snapToGrid/>
              <w:spacing w:before="180" w:after="180" w:line="420" w:lineRule="exact"/>
              <w:ind w:left="0" w:leftChars="0" w:firstLine="0" w:firstLineChars="0"/>
              <w:textAlignment w:val="auto"/>
              <w:rPr>
                <w:rFonts w:hint="eastAsia" w:ascii="新宋体" w:hAnsi="新宋体" w:eastAsia="新宋体" w:cs="新宋体"/>
                <w:b w:val="0"/>
                <w:bCs w:val="0"/>
                <w:sz w:val="24"/>
                <w:szCs w:val="24"/>
                <w:lang w:eastAsia="zh-CN"/>
              </w:rPr>
            </w:pPr>
            <w:r>
              <w:rPr>
                <w:rFonts w:hint="eastAsia" w:ascii="新宋体" w:hAnsi="新宋体" w:eastAsia="新宋体" w:cs="新宋体"/>
                <w:b w:val="0"/>
                <w:bCs w:val="0"/>
                <w:sz w:val="24"/>
                <w:szCs w:val="24"/>
                <w:lang w:bidi="ar-SA"/>
              </w:rPr>
              <w:t>在制品（WIP）水平与周转率</w:t>
            </w:r>
          </w:p>
        </w:tc>
        <w:tc>
          <w:tcPr>
            <w:tcW w:w="3947"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生产过程中各工序间在制品的平均数量/金额；WIP周转次数/天数</w:t>
            </w:r>
          </w:p>
        </w:tc>
        <w:tc>
          <w:tcPr>
            <w:tcW w:w="774"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降低/提高</w:t>
            </w:r>
          </w:p>
        </w:tc>
        <w:tc>
          <w:tcPr>
            <w:tcW w:w="2143"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MES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WMS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看板系统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设备综合效率(OEE)</w:t>
            </w:r>
          </w:p>
        </w:tc>
        <w:tc>
          <w:tcPr>
            <w:tcW w:w="3947"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OEE=时间稼动率×性能稼动率×合格品率</w:t>
            </w:r>
          </w:p>
        </w:tc>
        <w:tc>
          <w:tcPr>
            <w:tcW w:w="774"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提高</w:t>
            </w:r>
          </w:p>
        </w:tc>
        <w:tc>
          <w:tcPr>
            <w:tcW w:w="2143"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MES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IoT平台</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设备数据采集系统</w:t>
            </w:r>
          </w:p>
        </w:tc>
      </w:tr>
      <w:bookmarkEnd w:id="97"/>
    </w:tbl>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1"/>
        <w:rPr>
          <w:rFonts w:hint="eastAsia" w:ascii="新宋体" w:hAnsi="新宋体" w:eastAsia="新宋体" w:cs="新宋体"/>
          <w:b/>
          <w:bCs/>
          <w:kern w:val="2"/>
          <w:sz w:val="24"/>
          <w:szCs w:val="24"/>
          <w:lang w:bidi="ar-SA"/>
        </w:rPr>
      </w:pPr>
      <w:bookmarkStart w:id="99" w:name="_Toc1396390945"/>
      <w:bookmarkStart w:id="100" w:name="X8796c0871fe167ba44f4a2410d0f8b75e7628fa"/>
      <w:r>
        <w:rPr>
          <w:rFonts w:hint="eastAsia" w:ascii="新宋体" w:hAnsi="新宋体" w:eastAsia="新宋体" w:cs="新宋体"/>
          <w:b/>
          <w:bCs/>
          <w:kern w:val="2"/>
          <w:sz w:val="24"/>
          <w:szCs w:val="24"/>
          <w:lang w:bidi="ar-SA"/>
        </w:rPr>
        <w:t>5.4 供应协同</w:t>
      </w:r>
      <w:bookmarkEnd w:id="99"/>
    </w:p>
    <w:p>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auto"/>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供应链协同保障的核心能力要求与建设标准，突显了供应链协同响应能力作为快速反应体系价值的拓展。通过构建一个“面辅料齐套 - 产能共享 - 物流联动”的协同网络，有效缓解了服装供应链中的长鞭效应问题。针对服装行业特有的面辅料采购周期长、委外加工频繁的挑战，我们设定了供应商交付准时率、齐套率等关键指标，从而确立了端到端的供应链协同规范。</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5.4.1 供应商协同与快速响应能力</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（1）SCM平台建设：</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构建或整合SCM平台，以实现与核心面辅料供应商在采购订单、生产计划、库存水平、发货通知、质量信息等方面的实时共享与电子化协同。支持供应商在线接单、反馈交期、打印送货单等功能。</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（2）供应商绩效管理：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SCM/ERP系统应构建供应商绩效评估体系，从交期、质量、价格、服务、快速响应配合度等多个维度对供应商进行评估，并作为采购决策和持续改进的依据。</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5.4.2 物料精准计划与快速获取能力</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（1）MRP/APS驱动采购：</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ERP系统的MRP模块或APS系统应能依据确认的生产订单、精确的BOM清单和实时库存数据，自动计算面辅料的净需求量和需求日期，生成采购建议。</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（2）小批量高频采购支持：</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SCM/ERP系统应支持小批量、多批次、高频率的采购模式，优化采购流程，缩短采购周期。WMS系统应支持快速收货、质检和入库上架。</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（3）物料替代与寻源：</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PLM/ERP系统应管理物料的替代关系，当主料短缺或交期无法满足时，能快速查询和评估替代料方案。SCM平台应支持快速寻源和询价。</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5.4.3 订单履行与物流追踪能力</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（1）OMS订单全生命周期管理：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OMS系统需实现订单从接收、审核、分配(至仓库或生产环节)、状态跟踪(包括生产中、已完成、已发货、已签收)直至售后服务的全生命周期的可视化管理。</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（2）WMS高效出库作业：</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WMS系统应支持基于OMS发货指令的智能拣选(例如，按订单波次、路径优化)、快速复核、高效打包以及准确发运作业。</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（3）物流运输透明化：</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val="en-US" w:eastAsia="zh-CN" w:bidi="ar-SA"/>
        </w:rPr>
      </w:pPr>
      <w:r>
        <w:rPr>
          <w:rFonts w:hint="eastAsia" w:ascii="新宋体" w:hAnsi="新宋体" w:eastAsia="新宋体" w:cs="新宋体"/>
          <w:b w:val="0"/>
          <w:bCs w:val="0"/>
          <w:color w:val="auto"/>
          <w:kern w:val="2"/>
          <w:sz w:val="24"/>
          <w:szCs w:val="24"/>
          <w:lang w:bidi="ar-SA"/>
        </w:rPr>
        <w:t>通过与TMS(运输管理系统)或第三方物流平台(如菜鸟、顺丰API)的对接，实现成品在途运输状态的实时追踪，并能将物流信息及时同步至CRM/OMS系统及客户。</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4368"/>
        <w:gridCol w:w="946"/>
        <w:gridCol w:w="2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Align w:val="top"/>
          </w:tcPr>
          <w:p>
            <w:pPr>
              <w:pStyle w:val="23"/>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lang w:val="en-US" w:eastAsia="zh-CN"/>
              </w:rPr>
              <w:t>能力要求</w:t>
            </w:r>
          </w:p>
        </w:tc>
        <w:tc>
          <w:tcPr>
            <w:tcW w:w="3737" w:type="dxa"/>
            <w:vAlign w:val="top"/>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lang w:val="en-US" w:eastAsia="zh-CN"/>
              </w:rPr>
              <w:t>能力定义</w:t>
            </w:r>
          </w:p>
        </w:tc>
        <w:tc>
          <w:tcPr>
            <w:tcW w:w="80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方向</w:t>
            </w:r>
          </w:p>
        </w:tc>
        <w:tc>
          <w:tcPr>
            <w:tcW w:w="184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关联数字化工具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供应商接单响应时间与交付准时率</w:t>
            </w:r>
          </w:p>
        </w:tc>
        <w:tc>
          <w:tcPr>
            <w:tcW w:w="3737"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供应商从接收采购订单到确认订单的平均时长；供应商按约定时间、数量、质量交付的批次比例</w:t>
            </w:r>
          </w:p>
        </w:tc>
        <w:tc>
          <w:tcPr>
            <w:tcW w:w="80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缩短/提高</w:t>
            </w:r>
          </w:p>
        </w:tc>
        <w:tc>
          <w:tcPr>
            <w:tcW w:w="184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SCM，ERP， 供应商门户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面辅料采购周期与齐套准时率</w:t>
            </w:r>
          </w:p>
        </w:tc>
        <w:tc>
          <w:tcPr>
            <w:tcW w:w="3737"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从发起采购需求到面辅料入库验收合格的平均时长；按生产计划需求日期，面辅料准时、足量、配套到位的比例</w:t>
            </w:r>
          </w:p>
        </w:tc>
        <w:tc>
          <w:tcPr>
            <w:tcW w:w="80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缩短/提高</w:t>
            </w:r>
          </w:p>
        </w:tc>
        <w:tc>
          <w:tcPr>
            <w:tcW w:w="184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SCM</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ERP</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WMS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APS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订单准时交付率</w:t>
            </w:r>
          </w:p>
        </w:tc>
        <w:tc>
          <w:tcPr>
            <w:tcW w:w="3737"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按客户要求或约定日期准时完成并交付的订单数量占总订单数量的比例</w:t>
            </w:r>
          </w:p>
        </w:tc>
        <w:tc>
          <w:tcPr>
            <w:tcW w:w="80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提高</w:t>
            </w:r>
          </w:p>
        </w:tc>
        <w:tc>
          <w:tcPr>
            <w:tcW w:w="184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OMS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ERP</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MES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WMS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CRM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成品出库与物流配送效率</w:t>
            </w:r>
          </w:p>
        </w:tc>
        <w:tc>
          <w:tcPr>
            <w:tcW w:w="3737"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从订单拣货完成到货物发出装车的平均时长；</w:t>
            </w:r>
            <w:r>
              <w:rPr>
                <w:rFonts w:hint="eastAsia" w:ascii="新宋体" w:hAnsi="新宋体" w:eastAsia="新宋体" w:cs="新宋体"/>
                <w:b w:val="0"/>
                <w:bCs w:val="0"/>
                <w:color w:val="auto"/>
                <w:sz w:val="24"/>
                <w:szCs w:val="24"/>
                <w:lang w:val="en-US" w:eastAsia="zh-CN"/>
              </w:rPr>
              <w:t>从发货到客户签收的物流</w:t>
            </w:r>
            <w:r>
              <w:rPr>
                <w:rFonts w:hint="eastAsia" w:ascii="新宋体" w:hAnsi="新宋体" w:eastAsia="新宋体" w:cs="新宋体"/>
                <w:b w:val="0"/>
                <w:bCs w:val="0"/>
                <w:color w:val="auto"/>
                <w:sz w:val="24"/>
                <w:szCs w:val="24"/>
                <w:lang w:eastAsia="zh-CN"/>
              </w:rPr>
              <w:t>状态</w:t>
            </w:r>
          </w:p>
        </w:tc>
        <w:tc>
          <w:tcPr>
            <w:tcW w:w="80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缩短/可控</w:t>
            </w:r>
          </w:p>
        </w:tc>
        <w:tc>
          <w:tcPr>
            <w:tcW w:w="184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jc w:val="left"/>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WMS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OMS， TMS(运输管理系统)</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物流追踪平台</w:t>
            </w:r>
          </w:p>
        </w:tc>
      </w:tr>
      <w:bookmarkEnd w:id="100"/>
    </w:tbl>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1"/>
        <w:rPr>
          <w:rFonts w:hint="eastAsia" w:ascii="新宋体" w:hAnsi="新宋体" w:eastAsia="新宋体" w:cs="新宋体"/>
          <w:b/>
          <w:bCs/>
          <w:kern w:val="2"/>
          <w:sz w:val="24"/>
          <w:szCs w:val="24"/>
          <w:lang w:bidi="ar-SA"/>
        </w:rPr>
      </w:pPr>
      <w:bookmarkStart w:id="101" w:name="_Toc1441318199"/>
      <w:bookmarkStart w:id="102" w:name="bd22b8f159b896c2c6fc5a734aeaa92e"/>
      <w:r>
        <w:rPr>
          <w:rFonts w:hint="eastAsia" w:ascii="新宋体" w:hAnsi="新宋体" w:eastAsia="新宋体" w:cs="新宋体"/>
          <w:b/>
          <w:bCs/>
          <w:kern w:val="2"/>
          <w:sz w:val="24"/>
          <w:szCs w:val="24"/>
          <w:lang w:bidi="ar-SA"/>
        </w:rPr>
        <w:t>5.5 质量内建</w:t>
      </w:r>
      <w:bookmarkEnd w:id="101"/>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迅速识别、及时反馈、高效解决质量问题的关键能力要求与建设准则，构成了快速反应生产的坚实基础。通过构建一个“全程追溯 - 异常预警 - 快速改进”的质量控制体系，我们能够应对小批量生产中的质量波动挑战。针对服装行业工艺繁复、检验点众多的特点，我们定义了质量一次通过率、异常响应时间等关键指标，从而形成了基于质量管理系统的敏捷质量控制规范。</w:t>
      </w:r>
    </w:p>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5.5.1 全流程质量标准与控制能力</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（1）PLM定义质量核心：</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作为产品数据的源头，PLM系统应详细定义每款产品的质量标准、关键质量控制点、检验方法、允收标准、面辅料规格要求、工艺参数公差等，从而形成产品的“质量核心”。</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（2）MES/QMS数字化质量执行：</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MES/QMS系统应集成PLM的质量标准，实现来料检验、生产过程检验(包括首件检、巡检、自检、互检)、成品检验的数字化管理。检验员通过移动终端或工位终端记录检验数据，系统自动判定合格与否，并实时上传。</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（3）SPC与过程预警：</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对于关键工序或关键质量特性，应运用SPC(统计过程控制)工具(集成在MES/QMS中)，绘制控制图，监控过程的稳定性和能力，对超出控制限或出现异常趋势的情况进行自动预警，从而实现从“事后检验”向“事中控制、事前预防”的转变。</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（4）智能检测应用：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在适当的环节(如面料检测、裁片检测、缝合质量检测、成品外观检测)推广应用基于机器视觉、AI算法的智能检测设备，以提高检测效率、准确性和一致性，减少人为因素的干扰。</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5.5.2 质量追溯与快速响应能力</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（1）MOM驱动的全程追溯：</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MOM系统应为每件(或每批)产品赋予唯一的序列号或批次号(如通过RFID标签、二维码)，并记录其从原材料(供应商、批次号)、生产过程(关键工序、操作人员、设备编号、生产时间、工艺参数)、各阶段质量检验结果到成品出库、物流配送、客户签收的全生命周期关键信息，形成完整的电子化产品履历。</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（2）快速精准追溯：</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在发生质量问题或客户投诉时，能够通过产品序列号或批次号，在MOM系统中快速、准确地进行正向追溯(从原材料到成品)和反向追溯(从成品到原材料及生产过程)，迅速定位问题环节、影响范围(如涉及哪些订单、哪些批次)。</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（3）不合格品闭环处理：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MES/QMS系统应建立规范的不合格品处理流程，包括不合格品的隔离、标识、评审(返工、返修、降级、报废)、处理执行和效果验证，确保不合格品得到有效控制和处置。</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5.5.3 客户反馈闭环与持续改进能力</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（1）CRM整合客户反馈：</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CRM系统应统一收集和管理来自各渠道(如客服电话、邮件、社交媒体、电商评价)的客户质量反馈和投诉信息。</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（2）质量问题协同处理：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CRM系统中的质量问题应能快速流转到QMS/MES/PLM等相关系统，触发内部调查、原因分析、纠正与预防措施制定等流程。处理进度和结果应能反馈给CRM系统及客户。</w:t>
      </w:r>
    </w:p>
    <w:p>
      <w:pPr>
        <w:pStyle w:val="23"/>
        <w:keepNext w:val="0"/>
        <w:keepLines w:val="0"/>
        <w:pageBreakBefore w:val="0"/>
        <w:widowControl w:val="0"/>
        <w:kinsoku/>
        <w:wordWrap/>
        <w:overflowPunct/>
        <w:topLinePunct w:val="0"/>
        <w:autoSpaceDE/>
        <w:autoSpaceDN/>
        <w:bidi w:val="0"/>
        <w:adjustRightInd/>
        <w:snapToGrid/>
        <w:spacing w:before="180" w:after="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（3）数据驱动持续改进：</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val="en-US" w:eastAsia="zh-CN" w:bidi="ar-SA"/>
        </w:rPr>
      </w:pPr>
      <w:r>
        <w:rPr>
          <w:rFonts w:hint="eastAsia" w:ascii="新宋体" w:hAnsi="新宋体" w:eastAsia="新宋体" w:cs="新宋体"/>
          <w:b w:val="0"/>
          <w:bCs w:val="0"/>
          <w:color w:val="auto"/>
          <w:kern w:val="2"/>
          <w:sz w:val="24"/>
          <w:szCs w:val="24"/>
          <w:lang w:bidi="ar-SA"/>
        </w:rPr>
        <w:t>QMS/MOM系统应对质量数据(如不良品柏拉图分析、PPM趋势、客户投诉类型分析)进行深度挖掘，识别系统性质量问题和改进机会，推动产品设计、工艺流程、供应商管理等方面的持续改进。</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3"/>
        <w:gridCol w:w="4250"/>
        <w:gridCol w:w="907"/>
        <w:gridCol w:w="2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vAlign w:val="top"/>
          </w:tcPr>
          <w:p>
            <w:pPr>
              <w:pStyle w:val="23"/>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lang w:val="en-US" w:eastAsia="zh-CN"/>
              </w:rPr>
              <w:t>能力要求</w:t>
            </w:r>
          </w:p>
        </w:tc>
        <w:tc>
          <w:tcPr>
            <w:tcW w:w="3636" w:type="dxa"/>
            <w:vAlign w:val="top"/>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lang w:val="en-US" w:eastAsia="zh-CN"/>
              </w:rPr>
              <w:t>能力定义</w:t>
            </w:r>
          </w:p>
        </w:tc>
        <w:tc>
          <w:tcPr>
            <w:tcW w:w="77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方向</w:t>
            </w:r>
          </w:p>
        </w:tc>
        <w:tc>
          <w:tcPr>
            <w:tcW w:w="252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关联数字化工具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一次通过率</w:t>
            </w:r>
          </w:p>
        </w:tc>
        <w:tc>
          <w:tcPr>
            <w:tcW w:w="363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产品在首次通过所有检验工序即判定为合格品的比例</w:t>
            </w:r>
          </w:p>
        </w:tc>
        <w:tc>
          <w:tcPr>
            <w:tcW w:w="77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提高</w:t>
            </w:r>
          </w:p>
        </w:tc>
        <w:tc>
          <w:tcPr>
            <w:tcW w:w="252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MES，QMS，PLM，智能检测设备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制程不良率</w:t>
            </w:r>
          </w:p>
        </w:tc>
        <w:tc>
          <w:tcPr>
            <w:tcW w:w="363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生产过程中每百万件产品中出现的不良品数量</w:t>
            </w:r>
          </w:p>
        </w:tc>
        <w:tc>
          <w:tcPr>
            <w:tcW w:w="77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降低</w:t>
            </w:r>
          </w:p>
        </w:tc>
        <w:tc>
          <w:tcPr>
            <w:tcW w:w="2526"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MES，QMS，SPC工具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质量问题发现到解决平均时间</w:t>
            </w:r>
          </w:p>
        </w:tc>
        <w:tc>
          <w:tcPr>
            <w:tcW w:w="3636"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从质量问题(如客诉、制程不良)被发现/报告到根本原因查明并实施有效纠正/预防措施的平均时长</w:t>
            </w:r>
          </w:p>
        </w:tc>
        <w:tc>
          <w:tcPr>
            <w:tcW w:w="776"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缩短</w:t>
            </w:r>
          </w:p>
        </w:tc>
        <w:tc>
          <w:tcPr>
            <w:tcW w:w="2526"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QMS， MES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CRM，PLM，协同平台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客户因质量问题退货率</w:t>
            </w:r>
          </w:p>
        </w:tc>
        <w:tc>
          <w:tcPr>
            <w:tcW w:w="3636"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因产品质量问题导致的客户退货数量占总销售数量的比例</w:t>
            </w:r>
          </w:p>
        </w:tc>
        <w:tc>
          <w:tcPr>
            <w:tcW w:w="776"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降低</w:t>
            </w:r>
          </w:p>
        </w:tc>
        <w:tc>
          <w:tcPr>
            <w:tcW w:w="2526"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CRM， OMS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QMS，ERP</w:t>
            </w:r>
          </w:p>
        </w:tc>
      </w:tr>
      <w:bookmarkEnd w:id="102"/>
    </w:tbl>
    <w:p>
      <w:pPr>
        <w:keepNext w:val="0"/>
        <w:keepLines w:val="0"/>
        <w:pageBreakBefore w:val="0"/>
        <w:widowControl w:val="0"/>
        <w:kinsoku/>
        <w:wordWrap/>
        <w:overflowPunct/>
        <w:topLinePunct w:val="0"/>
        <w:autoSpaceDE/>
        <w:autoSpaceDN/>
        <w:bidi w:val="0"/>
        <w:adjustRightInd/>
        <w:snapToGrid/>
        <w:spacing w:line="420" w:lineRule="exact"/>
        <w:jc w:val="both"/>
        <w:textAlignment w:val="auto"/>
        <w:outlineLvl w:val="1"/>
        <w:rPr>
          <w:rFonts w:hint="eastAsia" w:ascii="新宋体" w:hAnsi="新宋体" w:eastAsia="新宋体" w:cs="新宋体"/>
          <w:b/>
          <w:bCs/>
          <w:kern w:val="2"/>
          <w:sz w:val="24"/>
          <w:szCs w:val="24"/>
          <w:lang w:bidi="ar-SA"/>
        </w:rPr>
      </w:pPr>
      <w:bookmarkStart w:id="103" w:name="_Toc619432433"/>
      <w:bookmarkStart w:id="104" w:name="X763197334a7726644ff8337b7c81bbfd5900a13"/>
      <w:r>
        <w:rPr>
          <w:rFonts w:hint="eastAsia" w:ascii="新宋体" w:hAnsi="新宋体" w:eastAsia="新宋体" w:cs="新宋体"/>
          <w:b/>
          <w:bCs/>
          <w:kern w:val="2"/>
          <w:sz w:val="24"/>
          <w:szCs w:val="24"/>
          <w:lang w:bidi="ar-SA"/>
        </w:rPr>
        <w:t>5.6 成本控制</w:t>
      </w:r>
      <w:bookmarkEnd w:id="103"/>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在快速反应模式下，成本控制的核心能力要求和建设标准至关重要。成本动态控制能力构成了快速反应模式效益的核心，通过建立一个“物料精益管理 - 能耗监控 - 效率优化”的成本管控体系，实现小批量生产成本与效率之间的平衡。针对服装行业特点，即面辅料占比较高且能耗波动较大，我们定义了单位产品能耗、面料利用率等关键指标，从而形成了一套以数据驱动的成本控制规范。</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5.6.1 精细化成本核算与分析能力</w:t>
      </w:r>
    </w:p>
    <w:p>
      <w:pPr>
        <w:pStyle w:val="7"/>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（1）ERP集成实时数据：</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ERP系统需与MES、WMS等系统深度集成，实时获取精确的工单实际工时消耗、实际物料消耗（根据BOM反冲或精确领用）、设备运行时间等数据，以支持按订单、按批次、按产品款式的精细化成本核算。</w:t>
      </w:r>
    </w:p>
    <w:p>
      <w:pPr>
        <w:pStyle w:val="7"/>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（2）成本构成与差异分析：</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ERP系统应能清晰展示产品成本构成（包括材料、人工、费用），并进行标准成本与实际成本的差异分析，以定位成本超支的原因和环节，为成本控制提供决策支持。</w:t>
      </w:r>
    </w:p>
    <w:p>
      <w:pPr>
        <w:pStyle w:val="7"/>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（3）小单成本模型：</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针对小单生产特点（如换线成本分摊、学习曲线效应），应建立专门的小单成本核算模型和盈利能力分析模型。</w:t>
      </w:r>
    </w:p>
    <w:p>
      <w:pPr>
        <w:pStyle w:val="7"/>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（4）构建三位一体的标准成本体系：</w:t>
      </w:r>
    </w:p>
    <w:p>
      <w:pPr>
        <w:pStyle w:val="7"/>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ERP系统的标准成本体系是成本控制的基准。其核心构成是三位一体的，PLM系统提供的标准物料清单(BOM)，ME部门制定的标准工艺路线，以及IE部门测定的标准工时。实际成本发生后，系统必须能自动进行差异分析，并能精准追溯到差异的根源，例如，是由于物料价格上涨(采购差异)、物料超耗(用量差异)，还是生产效率低下(工时效率差异)，为精益改善提供明确的方向。</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5.6.2 生产过程资源消耗监控与优化能力</w:t>
      </w:r>
    </w:p>
    <w:p>
      <w:pPr>
        <w:pStyle w:val="7"/>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（1）MES实时监控：</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MES系统应实时采集和监控生产过程中的工时消耗（区分有效工时与辅助工时）、物料消耗（与标准BOM用量对比，分析超耗与节约）、能源消耗（关键设备能耗监测）等数据。</w:t>
      </w:r>
    </w:p>
    <w:p>
      <w:pPr>
        <w:pStyle w:val="7"/>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（2）MOM驱动资源优化：</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MOM平台应支持对生产资源（包括设备、人员、能源）的利用效率进行分析，识别瓶颈资源和浪费环节。例如，通过优化排程减少设备空闲和等待，通过工艺改进降低单件工时，通过设备维护和参数优化降低能耗。</w:t>
      </w:r>
    </w:p>
    <w:p>
      <w:pPr>
        <w:pStyle w:val="7"/>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（3）可视化管理：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通过电子看板或BI报表，实时展示关键资源的消耗情况、利用率和成本绩效，提高透明度，促进全员参与成本控制。</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bidi="ar-SA"/>
        </w:rPr>
        <w:t>5.6.3 库存成本控制能力</w:t>
      </w:r>
    </w:p>
    <w:p>
      <w:pPr>
        <w:pStyle w:val="7"/>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（1）准时制生产理念与精益库存：</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全面推行准时制生产理念，通过APS精准计划、MES拉动执行、WMS高效配送、SCM协同供应，最大限度压缩原材料、在制品(WIP)、成品各环节的库存水平。</w:t>
      </w:r>
    </w:p>
    <w:p>
      <w:pPr>
        <w:pStyle w:val="7"/>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（2）需求预测与库存优化：</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CRM/OMS系统结合AI算法进行更精准的销售预测，指导ERP/APS制定合理的库存计划和补货策略（如安全库存、订货点）。WMS系统应支持对呆滞料、超储料的预警和处理。</w:t>
      </w:r>
    </w:p>
    <w:p>
      <w:pPr>
        <w:pStyle w:val="7"/>
        <w:keepNext w:val="0"/>
        <w:keepLines w:val="0"/>
        <w:pageBreakBefore w:val="0"/>
        <w:widowControl w:val="0"/>
        <w:kinsoku/>
        <w:wordWrap/>
        <w:overflowPunct/>
        <w:topLinePunct w:val="0"/>
        <w:autoSpaceDE/>
        <w:autoSpaceDN/>
        <w:bidi w:val="0"/>
        <w:adjustRightInd/>
        <w:snapToGrid/>
        <w:spacing w:before="180" w:line="420" w:lineRule="exact"/>
        <w:ind w:left="0" w:leftChars="0" w:firstLine="480" w:firstLineChars="200"/>
        <w:jc w:val="both"/>
        <w:textAlignment w:val="auto"/>
        <w:outlineLvl w:val="3"/>
        <w:rPr>
          <w:rFonts w:hint="eastAsia" w:ascii="新宋体" w:hAnsi="新宋体" w:eastAsia="新宋体" w:cs="新宋体"/>
          <w:b w:val="0"/>
          <w:bCs w:val="0"/>
          <w:kern w:val="2"/>
          <w:sz w:val="24"/>
          <w:szCs w:val="24"/>
          <w:lang w:bidi="ar-SA"/>
        </w:rPr>
      </w:pPr>
      <w:r>
        <w:rPr>
          <w:rFonts w:hint="eastAsia" w:ascii="新宋体" w:hAnsi="新宋体" w:eastAsia="新宋体" w:cs="新宋体"/>
          <w:b w:val="0"/>
          <w:bCs w:val="0"/>
          <w:kern w:val="2"/>
          <w:sz w:val="24"/>
          <w:szCs w:val="24"/>
          <w:lang w:bidi="ar-SA"/>
        </w:rPr>
        <w:t>（3）供应链协同降本：</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val="en-US" w:eastAsia="zh-CN" w:bidi="ar-SA"/>
        </w:rPr>
      </w:pPr>
      <w:r>
        <w:rPr>
          <w:rFonts w:hint="eastAsia" w:ascii="新宋体" w:hAnsi="新宋体" w:eastAsia="新宋体" w:cs="新宋体"/>
          <w:b w:val="0"/>
          <w:bCs w:val="0"/>
          <w:color w:val="auto"/>
          <w:kern w:val="2"/>
          <w:sz w:val="24"/>
          <w:szCs w:val="24"/>
          <w:lang w:bidi="ar-SA"/>
        </w:rPr>
        <w:t>通过SCM平台与供应商协同，探索VMI（供应商管理库存）、寄售等模式，共同降低供应链整体库存成本和风险。</w:t>
      </w:r>
    </w:p>
    <w:tbl>
      <w:tblPr>
        <w:tblStyle w:val="25"/>
        <w:tblW w:w="53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6"/>
        <w:gridCol w:w="4728"/>
        <w:gridCol w:w="852"/>
        <w:gridCol w:w="2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dxa"/>
            <w:vAlign w:val="top"/>
          </w:tcPr>
          <w:p>
            <w:pPr>
              <w:pStyle w:val="23"/>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lang w:val="en-US" w:eastAsia="zh-CN"/>
              </w:rPr>
              <w:t>能力要求</w:t>
            </w:r>
          </w:p>
        </w:tc>
        <w:tc>
          <w:tcPr>
            <w:tcW w:w="4045" w:type="dxa"/>
            <w:vAlign w:val="top"/>
          </w:tcPr>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lang w:val="en-US" w:eastAsia="zh-CN"/>
              </w:rPr>
              <w:t>能力定义</w:t>
            </w:r>
          </w:p>
        </w:tc>
        <w:tc>
          <w:tcPr>
            <w:tcW w:w="72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方向</w:t>
            </w:r>
          </w:p>
        </w:tc>
        <w:tc>
          <w:tcPr>
            <w:tcW w:w="248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关联数字化工具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小单生产综合成本</w:t>
            </w:r>
          </w:p>
        </w:tc>
        <w:tc>
          <w:tcPr>
            <w:tcW w:w="4045"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小批量订单的单位产品总成本(含直接材料、直接人工、制造费用、管理费用、换线成本分摊等)</w:t>
            </w:r>
          </w:p>
        </w:tc>
        <w:tc>
          <w:tcPr>
            <w:tcW w:w="72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降低</w:t>
            </w:r>
          </w:p>
        </w:tc>
        <w:tc>
          <w:tcPr>
            <w:tcW w:w="248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lang w:eastAsia="zh-CN"/>
              </w:rPr>
            </w:pPr>
            <w:r>
              <w:rPr>
                <w:rFonts w:hint="eastAsia" w:ascii="新宋体" w:hAnsi="新宋体" w:eastAsia="新宋体" w:cs="新宋体"/>
                <w:b w:val="0"/>
                <w:bCs w:val="0"/>
                <w:sz w:val="24"/>
                <w:szCs w:val="24"/>
              </w:rPr>
              <w:t>ERP</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MES</w:t>
            </w:r>
            <w:r>
              <w:rPr>
                <w:rFonts w:hint="eastAsia" w:ascii="新宋体" w:hAnsi="新宋体" w:eastAsia="新宋体" w:cs="新宋体"/>
                <w:b w:val="0"/>
                <w:bCs w:val="0"/>
                <w:sz w:val="24"/>
                <w:szCs w:val="24"/>
                <w:lang w:eastAsia="zh-CN"/>
              </w:rPr>
              <w:t>、</w:t>
            </w:r>
          </w:p>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WMS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PLM</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APS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单位产品变动成本</w:t>
            </w:r>
          </w:p>
        </w:tc>
        <w:tc>
          <w:tcPr>
            <w:tcW w:w="4045"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与产量直接相关的单位产品成本(如直接材料、计件工资)</w:t>
            </w:r>
          </w:p>
        </w:tc>
        <w:tc>
          <w:tcPr>
            <w:tcW w:w="72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降低</w:t>
            </w:r>
          </w:p>
        </w:tc>
        <w:tc>
          <w:tcPr>
            <w:tcW w:w="248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ERP</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MES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WMS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资源(设备、人工、能源)综合利用率</w:t>
            </w:r>
          </w:p>
        </w:tc>
        <w:tc>
          <w:tcPr>
            <w:tcW w:w="4045"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实际产出与理论最大产出(或标准产出)的比率，综合考量设备利用率、人工效率、能源效率</w:t>
            </w:r>
          </w:p>
        </w:tc>
        <w:tc>
          <w:tcPr>
            <w:tcW w:w="72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提高</w:t>
            </w:r>
          </w:p>
        </w:tc>
        <w:tc>
          <w:tcPr>
            <w:tcW w:w="2489" w:type="dxa"/>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sz w:val="24"/>
                <w:szCs w:val="24"/>
              </w:rPr>
            </w:pPr>
            <w:r>
              <w:rPr>
                <w:rFonts w:hint="eastAsia" w:ascii="新宋体" w:hAnsi="新宋体" w:eastAsia="新宋体" w:cs="新宋体"/>
                <w:b w:val="0"/>
                <w:bCs w:val="0"/>
                <w:sz w:val="24"/>
                <w:szCs w:val="24"/>
              </w:rPr>
              <w:t>MES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IoT平台</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ERP</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 xml:space="preserve"> HR系统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库存持有成本</w:t>
            </w:r>
          </w:p>
        </w:tc>
        <w:tc>
          <w:tcPr>
            <w:tcW w:w="4045"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(期初库存金额+期末库存金额) /2×库存持有成本率(含资金占用、仓储、损耗、过时风险等)</w:t>
            </w:r>
          </w:p>
        </w:tc>
        <w:tc>
          <w:tcPr>
            <w:tcW w:w="729"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降低</w:t>
            </w:r>
          </w:p>
        </w:tc>
        <w:tc>
          <w:tcPr>
            <w:tcW w:w="2489" w:type="dxa"/>
            <w:shd w:val="clear" w:color="auto" w:fill="auto"/>
            <w:vAlign w:val="top"/>
          </w:tcPr>
          <w:p>
            <w:pPr>
              <w:pStyle w:val="7"/>
              <w:keepNext w:val="0"/>
              <w:keepLines w:val="0"/>
              <w:pageBreakBefore w:val="0"/>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kern w:val="2"/>
                <w:sz w:val="24"/>
                <w:szCs w:val="24"/>
                <w:lang w:val="en-US" w:eastAsia="zh-CN" w:bidi="ar-SA"/>
              </w:rPr>
            </w:pPr>
            <w:r>
              <w:rPr>
                <w:rFonts w:hint="eastAsia" w:ascii="新宋体" w:hAnsi="新宋体" w:eastAsia="新宋体" w:cs="新宋体"/>
                <w:b w:val="0"/>
                <w:bCs w:val="0"/>
                <w:sz w:val="24"/>
                <w:szCs w:val="24"/>
              </w:rPr>
              <w:t>ERP</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WMS</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SCM</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APS</w:t>
            </w:r>
          </w:p>
        </w:tc>
      </w:tr>
      <w:bookmarkEnd w:id="104"/>
    </w:tbl>
    <w:p>
      <w:pPr>
        <w:keepNext w:val="0"/>
        <w:keepLines w:val="0"/>
        <w:pageBreakBefore w:val="0"/>
        <w:numPr>
          <w:ilvl w:val="0"/>
          <w:numId w:val="0"/>
        </w:numPr>
        <w:kinsoku/>
        <w:wordWrap/>
        <w:overflowPunct/>
        <w:topLinePunct w:val="0"/>
        <w:autoSpaceDE/>
        <w:autoSpaceDN/>
        <w:bidi w:val="0"/>
        <w:adjustRightInd/>
        <w:snapToGrid/>
        <w:spacing w:line="420" w:lineRule="exact"/>
        <w:textAlignment w:val="auto"/>
        <w:outlineLvl w:val="0"/>
        <w:rPr>
          <w:rFonts w:hint="eastAsia" w:ascii="新宋体" w:hAnsi="新宋体" w:eastAsia="新宋体" w:cs="新宋体"/>
          <w:b/>
          <w:bCs/>
          <w:color w:val="000000" w:themeColor="text1"/>
          <w:kern w:val="2"/>
          <w:sz w:val="24"/>
          <w:szCs w:val="24"/>
          <w:lang w:val="en-US" w:eastAsia="zh-CN" w:bidi="ar-SA"/>
          <w14:textFill>
            <w14:solidFill>
              <w14:schemeClr w14:val="tx1"/>
            </w14:solidFill>
          </w14:textFill>
        </w:rPr>
      </w:pPr>
      <w:bookmarkStart w:id="105" w:name="_Toc382295042"/>
      <w:bookmarkStart w:id="106" w:name="_Toc491474027"/>
      <w:bookmarkStart w:id="107" w:name="_Toc1947664422"/>
      <w:bookmarkStart w:id="108" w:name="_Toc1806172205"/>
      <w:r>
        <w:rPr>
          <w:rFonts w:hint="eastAsia" w:ascii="新宋体" w:hAnsi="新宋体" w:eastAsia="新宋体" w:cs="新宋体"/>
          <w:b/>
          <w:bCs/>
          <w:color w:val="000000" w:themeColor="text1"/>
          <w:kern w:val="2"/>
          <w:sz w:val="24"/>
          <w:szCs w:val="24"/>
          <w:lang w:val="en-US" w:eastAsia="zh-CN" w:bidi="ar-SA"/>
          <w14:textFill>
            <w14:solidFill>
              <w14:schemeClr w14:val="tx1"/>
            </w14:solidFill>
          </w14:textFill>
        </w:rPr>
        <w:t>六．数实协同</w:t>
      </w:r>
      <w:bookmarkEnd w:id="105"/>
      <w:bookmarkEnd w:id="106"/>
      <w:bookmarkEnd w:id="107"/>
      <w:bookmarkEnd w:id="108"/>
    </w:p>
    <w:p>
      <w:pPr>
        <w:keepNext w:val="0"/>
        <w:keepLines w:val="0"/>
        <w:pageBreakBefore w:val="0"/>
        <w:numPr>
          <w:ilvl w:val="0"/>
          <w:numId w:val="0"/>
        </w:numPr>
        <w:kinsoku/>
        <w:wordWrap/>
        <w:overflowPunct/>
        <w:topLinePunct w:val="0"/>
        <w:autoSpaceDE/>
        <w:autoSpaceDN/>
        <w:bidi w:val="0"/>
        <w:adjustRightInd/>
        <w:snapToGrid/>
        <w:spacing w:line="420" w:lineRule="exact"/>
        <w:ind w:firstLine="480" w:firstLineChars="200"/>
        <w:textAlignment w:val="auto"/>
        <w:outlineLvl w:val="0"/>
        <w:rPr>
          <w:rFonts w:hint="eastAsia" w:ascii="新宋体" w:hAnsi="新宋体" w:eastAsia="新宋体" w:cs="新宋体"/>
          <w:b w:val="0"/>
          <w:bCs w:val="0"/>
          <w:i w:val="0"/>
          <w:iCs w:val="0"/>
          <w:caps w:val="0"/>
          <w:color w:val="1F2329"/>
          <w:spacing w:val="0"/>
          <w:sz w:val="24"/>
          <w:szCs w:val="24"/>
          <w:shd w:val="clear" w:fill="FFFFFF"/>
          <w:lang w:val="en-US" w:eastAsia="zh-CN"/>
        </w:rPr>
      </w:pPr>
      <w:bookmarkStart w:id="109" w:name="_Toc302709333"/>
      <w:bookmarkStart w:id="110" w:name="_Toc579443874"/>
      <w:r>
        <w:rPr>
          <w:rFonts w:hint="eastAsia" w:ascii="新宋体" w:hAnsi="新宋体" w:eastAsia="新宋体" w:cs="新宋体"/>
          <w:b w:val="0"/>
          <w:bCs w:val="0"/>
          <w:i w:val="0"/>
          <w:iCs w:val="0"/>
          <w:caps w:val="0"/>
          <w:color w:val="1F2329"/>
          <w:spacing w:val="0"/>
          <w:sz w:val="24"/>
          <w:szCs w:val="24"/>
          <w:shd w:val="clear" w:fill="FFFFFF"/>
        </w:rPr>
        <w:t>以 MOM（制造运营管理系统）作为数字化的核心，打造一个将“物理生产现场 - 数字管理模型 - 精益管理逻辑”紧密结合的数实协同体系。通过将IE效率优化、ME工艺管控、PMC物料协同等精益管理要素转化为可量化的数字模型，利用MOM集成ERP/MES/APS等系统，实现虚拟管理指令与实体生产过程的双向同步，形成“数字建模 - 物理执行 - 数据反馈”的闭环联动。将精益管理的“消除浪费”理念与数字化工具的“精准控制”能力深度结合，推动服装生产从“经验驱动”向“数字驱动”转型，构建一个既高效又灵活的现代化快速反应运营模式。</w:t>
      </w:r>
      <w:bookmarkEnd w:id="109"/>
      <w:bookmarkEnd w:id="110"/>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outlineLvl w:val="1"/>
        <w:rPr>
          <w:rFonts w:hint="eastAsia" w:ascii="新宋体" w:hAnsi="新宋体" w:eastAsia="新宋体" w:cs="新宋体"/>
          <w:b/>
          <w:bCs/>
          <w:i w:val="0"/>
          <w:iCs w:val="0"/>
          <w:caps w:val="0"/>
          <w:color w:val="1F2329"/>
          <w:spacing w:val="0"/>
          <w:sz w:val="24"/>
          <w:szCs w:val="24"/>
          <w:shd w:val="clear" w:fill="FFFFFF"/>
        </w:rPr>
      </w:pPr>
      <w:bookmarkStart w:id="111" w:name="_Toc246999988"/>
      <w:r>
        <w:rPr>
          <w:rFonts w:hint="eastAsia" w:ascii="新宋体" w:hAnsi="新宋体" w:eastAsia="新宋体" w:cs="新宋体"/>
          <w:b/>
          <w:bCs/>
          <w:i w:val="0"/>
          <w:iCs w:val="0"/>
          <w:caps w:val="0"/>
          <w:color w:val="1F2329"/>
          <w:spacing w:val="0"/>
          <w:sz w:val="24"/>
          <w:szCs w:val="24"/>
          <w:shd w:val="clear" w:fill="FFFFFF"/>
          <w:lang w:val="en-US" w:eastAsia="zh-CN"/>
        </w:rPr>
        <w:t>6.1</w:t>
      </w:r>
      <w:r>
        <w:rPr>
          <w:rFonts w:hint="eastAsia" w:ascii="新宋体" w:hAnsi="新宋体" w:eastAsia="新宋体" w:cs="新宋体"/>
          <w:b/>
          <w:bCs/>
          <w:i w:val="0"/>
          <w:iCs w:val="0"/>
          <w:caps w:val="0"/>
          <w:color w:val="1F2329"/>
          <w:spacing w:val="0"/>
          <w:sz w:val="24"/>
          <w:szCs w:val="24"/>
          <w:shd w:val="clear" w:fill="FFFFFF"/>
        </w:rPr>
        <w:t>协同架构</w:t>
      </w:r>
      <w:bookmarkEnd w:id="111"/>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outlineLvl w:val="2"/>
        <w:rPr>
          <w:rFonts w:hint="eastAsia" w:ascii="新宋体" w:hAnsi="新宋体" w:eastAsia="新宋体" w:cs="新宋体"/>
          <w:b/>
          <w:bCs/>
          <w:i w:val="0"/>
          <w:iCs w:val="0"/>
          <w:caps w:val="0"/>
          <w:color w:val="1F2329"/>
          <w:spacing w:val="0"/>
          <w:sz w:val="24"/>
          <w:szCs w:val="24"/>
          <w:shd w:val="clear" w:fill="FFFFFF"/>
          <w:lang w:val="en-US" w:eastAsia="zh-CN"/>
        </w:rPr>
      </w:pPr>
      <w:r>
        <w:rPr>
          <w:rFonts w:hint="eastAsia" w:ascii="新宋体" w:hAnsi="新宋体" w:eastAsia="新宋体" w:cs="新宋体"/>
          <w:b/>
          <w:bCs/>
          <w:i w:val="0"/>
          <w:iCs w:val="0"/>
          <w:caps w:val="0"/>
          <w:color w:val="1F2329"/>
          <w:spacing w:val="0"/>
          <w:sz w:val="24"/>
          <w:szCs w:val="24"/>
          <w:shd w:val="clear" w:fill="FFFFFF"/>
          <w:lang w:val="en-US" w:eastAsia="zh-CN"/>
        </w:rPr>
        <w:t>6.1.1 MOM的数实转换中枢功能</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物理数据数字化：MOM 通过 IoT 接口实时采集设备运行参数（如缝纫机转速、裁床刀具状态）、工序进度等物理生产数据，转化为数字孪生模型中的生产镜像，实现实体产线的 1:1 数字映射。</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数字指令物理化：将 IE 制定的标准工时体系、ME 定义的工艺参数包等数字管理规则，通过 MOM 转化为实体设备的执行指令（如自动调校缝制针距、AGV 物料配送路径规划），确保数字标准在物理生产中精准落地。</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outlineLvl w:val="2"/>
        <w:rPr>
          <w:rFonts w:hint="eastAsia" w:ascii="新宋体" w:hAnsi="新宋体" w:eastAsia="新宋体" w:cs="新宋体"/>
          <w:b/>
          <w:bCs/>
          <w:i w:val="0"/>
          <w:iCs w:val="0"/>
          <w:caps w:val="0"/>
          <w:color w:val="1F2329"/>
          <w:spacing w:val="0"/>
          <w:sz w:val="24"/>
          <w:szCs w:val="24"/>
          <w:shd w:val="clear" w:fill="FFFFFF"/>
        </w:rPr>
      </w:pPr>
      <w:r>
        <w:rPr>
          <w:rFonts w:hint="eastAsia" w:ascii="新宋体" w:hAnsi="新宋体" w:eastAsia="新宋体" w:cs="新宋体"/>
          <w:b/>
          <w:bCs/>
          <w:i w:val="0"/>
          <w:iCs w:val="0"/>
          <w:caps w:val="0"/>
          <w:color w:val="1F2329"/>
          <w:spacing w:val="0"/>
          <w:sz w:val="24"/>
          <w:szCs w:val="24"/>
          <w:shd w:val="clear" w:fill="FFFFFF"/>
          <w:lang w:val="en-US" w:eastAsia="zh-CN"/>
        </w:rPr>
        <w:t>6.1.2系统协同中的数实联动链路</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ERP-PMC 数实协同：OMS 订单经 ERP 数字化处理后，MOM 驱动 WMS 完成实体物料的 JIT 配送，同时 PMC 通过数字看板实时监控物理库存与在途物料状态，实现数字需求与物理供给的动态匹配。</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MES-IE 数实交互：MES 采集实体产线的工位产出数据，与 IE 预设的数字标准工时模型比对，通过 MOM 生成产线平衡优化方案，反哺实体工序排布调整，形成 "数字分析 - 物理改善" 的闭环。</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outlineLvl w:val="1"/>
        <w:rPr>
          <w:rFonts w:hint="eastAsia" w:ascii="新宋体" w:hAnsi="新宋体" w:eastAsia="新宋体" w:cs="新宋体"/>
          <w:b/>
          <w:bCs/>
          <w:i w:val="0"/>
          <w:iCs w:val="0"/>
          <w:caps w:val="0"/>
          <w:color w:val="1F2329"/>
          <w:spacing w:val="0"/>
          <w:sz w:val="24"/>
          <w:szCs w:val="24"/>
          <w:shd w:val="clear" w:fill="FFFFFF"/>
        </w:rPr>
      </w:pPr>
      <w:bookmarkStart w:id="112" w:name="_Toc242908665"/>
      <w:r>
        <w:rPr>
          <w:rFonts w:hint="eastAsia" w:ascii="新宋体" w:hAnsi="新宋体" w:eastAsia="新宋体" w:cs="新宋体"/>
          <w:b/>
          <w:bCs/>
          <w:i w:val="0"/>
          <w:iCs w:val="0"/>
          <w:caps w:val="0"/>
          <w:color w:val="1F2329"/>
          <w:spacing w:val="0"/>
          <w:sz w:val="24"/>
          <w:szCs w:val="24"/>
          <w:shd w:val="clear" w:fill="FFFFFF"/>
          <w:lang w:val="en-US" w:eastAsia="zh-CN"/>
        </w:rPr>
        <w:t>6.2</w:t>
      </w:r>
      <w:r>
        <w:rPr>
          <w:rFonts w:hint="eastAsia" w:ascii="新宋体" w:hAnsi="新宋体" w:eastAsia="新宋体" w:cs="新宋体"/>
          <w:b/>
          <w:bCs/>
          <w:i w:val="0"/>
          <w:iCs w:val="0"/>
          <w:caps w:val="0"/>
          <w:color w:val="1F2329"/>
          <w:spacing w:val="0"/>
          <w:sz w:val="24"/>
          <w:szCs w:val="24"/>
          <w:shd w:val="clear" w:fill="FFFFFF"/>
        </w:rPr>
        <w:t>数据闭环</w:t>
      </w:r>
      <w:bookmarkEnd w:id="112"/>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bCs/>
          <w:i w:val="0"/>
          <w:iCs w:val="0"/>
          <w:caps w:val="0"/>
          <w:color w:val="1F2329"/>
          <w:spacing w:val="0"/>
          <w:sz w:val="24"/>
          <w:szCs w:val="24"/>
          <w:shd w:val="clear" w:fill="FFFFFF"/>
          <w:lang w:val="en-US" w:eastAsia="zh-CN"/>
        </w:rPr>
        <w:t>6.2.1价值流数字化与实体改善闭环</w:t>
      </w:r>
      <w:r>
        <w:rPr>
          <w:rFonts w:hint="eastAsia" w:ascii="新宋体" w:hAnsi="新宋体" w:eastAsia="新宋体" w:cs="新宋体"/>
          <w:b w:val="0"/>
          <w:bCs w:val="0"/>
          <w:i w:val="0"/>
          <w:iCs w:val="0"/>
          <w:caps w:val="0"/>
          <w:color w:val="1F2329"/>
          <w:spacing w:val="0"/>
          <w:sz w:val="24"/>
          <w:szCs w:val="24"/>
          <w:shd w:val="clear" w:fill="FFFFFF"/>
          <w:lang w:val="en-US" w:eastAsia="zh-CN"/>
        </w:rPr>
        <w:br w:type="textWrapping"/>
      </w:r>
      <w:r>
        <w:rPr>
          <w:rFonts w:hint="eastAsia" w:ascii="新宋体" w:hAnsi="新宋体" w:eastAsia="新宋体" w:cs="新宋体"/>
          <w:b w:val="0"/>
          <w:bCs w:val="0"/>
          <w:i w:val="0"/>
          <w:iCs w:val="0"/>
          <w:caps w:val="0"/>
          <w:color w:val="1F2329"/>
          <w:spacing w:val="0"/>
          <w:sz w:val="24"/>
          <w:szCs w:val="24"/>
          <w:shd w:val="clear" w:fill="FFFFFF"/>
          <w:lang w:val="en-US" w:eastAsia="zh-CN"/>
        </w:rPr>
        <w:t>MOM 将物理生产中的各工序 CT（加工时间）、C/O（换产时间）、WIP（在制品数量）等数据转化为动态价值流数字模型，IE 部门基于虚拟模型识别实体产线中的等待浪费、过度加工等环节，通过 MOM 将改善方案推送至物理产线执行，再通过数据反馈验证优化效果，形成 "数字诊断 - 物理整改 - 数据验证" 的持续改善循环。</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bCs/>
          <w:i w:val="0"/>
          <w:iCs w:val="0"/>
          <w:caps w:val="0"/>
          <w:color w:val="1F2329"/>
          <w:spacing w:val="0"/>
          <w:sz w:val="24"/>
          <w:szCs w:val="24"/>
          <w:shd w:val="clear" w:fill="FFFFFF"/>
          <w:lang w:val="en-US" w:eastAsia="zh-CN"/>
        </w:rPr>
        <w:t>6.2.2工艺参数的数实孪生管控</w:t>
      </w:r>
      <w:r>
        <w:rPr>
          <w:rFonts w:hint="eastAsia" w:ascii="新宋体" w:hAnsi="新宋体" w:eastAsia="新宋体" w:cs="新宋体"/>
          <w:b w:val="0"/>
          <w:bCs w:val="0"/>
          <w:i w:val="0"/>
          <w:iCs w:val="0"/>
          <w:caps w:val="0"/>
          <w:color w:val="1F2329"/>
          <w:spacing w:val="0"/>
          <w:sz w:val="24"/>
          <w:szCs w:val="24"/>
          <w:shd w:val="clear" w:fill="FFFFFF"/>
          <w:lang w:val="en-US" w:eastAsia="zh-CN"/>
        </w:rPr>
        <w:br w:type="textWrapping"/>
      </w:r>
      <w:r>
        <w:rPr>
          <w:rFonts w:hint="eastAsia" w:ascii="新宋体" w:hAnsi="新宋体" w:eastAsia="新宋体" w:cs="新宋体"/>
          <w:b w:val="0"/>
          <w:bCs w:val="0"/>
          <w:i w:val="0"/>
          <w:iCs w:val="0"/>
          <w:caps w:val="0"/>
          <w:color w:val="1F2329"/>
          <w:spacing w:val="0"/>
          <w:sz w:val="24"/>
          <w:szCs w:val="24"/>
          <w:shd w:val="clear" w:fill="FFFFFF"/>
          <w:lang w:val="en-US" w:eastAsia="zh-CN"/>
        </w:rPr>
        <w:t>ME 在 PLM 中构建的工艺参数数字库（如不同面料对应的熨烫温度模型），通过 MOM 下发至实体设备执行，设备传感器实时采集物理参数偏差并反馈至数字模型，触发安灯报警与自动调校机制，实现数字工艺标准与物理执行过程的实时校准，确保工艺一致性。</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outlineLvl w:val="1"/>
        <w:rPr>
          <w:rFonts w:hint="eastAsia" w:ascii="新宋体" w:hAnsi="新宋体" w:eastAsia="新宋体" w:cs="新宋体"/>
          <w:b/>
          <w:bCs/>
          <w:i w:val="0"/>
          <w:iCs w:val="0"/>
          <w:caps w:val="0"/>
          <w:color w:val="1F2329"/>
          <w:spacing w:val="0"/>
          <w:sz w:val="24"/>
          <w:szCs w:val="24"/>
          <w:shd w:val="clear" w:fill="FFFFFF"/>
        </w:rPr>
      </w:pPr>
      <w:bookmarkStart w:id="113" w:name="_Toc199519708"/>
      <w:r>
        <w:rPr>
          <w:rFonts w:hint="eastAsia" w:ascii="新宋体" w:hAnsi="新宋体" w:eastAsia="新宋体" w:cs="新宋体"/>
          <w:b/>
          <w:bCs/>
          <w:i w:val="0"/>
          <w:iCs w:val="0"/>
          <w:caps w:val="0"/>
          <w:color w:val="1F2329"/>
          <w:spacing w:val="0"/>
          <w:sz w:val="24"/>
          <w:szCs w:val="24"/>
          <w:shd w:val="clear" w:fill="FFFFFF"/>
          <w:lang w:val="en-US" w:eastAsia="zh-CN"/>
        </w:rPr>
        <w:t>6.3</w:t>
      </w:r>
      <w:r>
        <w:rPr>
          <w:rFonts w:hint="eastAsia" w:ascii="新宋体" w:hAnsi="新宋体" w:eastAsia="新宋体" w:cs="新宋体"/>
          <w:b/>
          <w:bCs/>
          <w:i w:val="0"/>
          <w:iCs w:val="0"/>
          <w:caps w:val="0"/>
          <w:color w:val="1F2329"/>
          <w:spacing w:val="0"/>
          <w:sz w:val="24"/>
          <w:szCs w:val="24"/>
          <w:shd w:val="clear" w:fill="FFFFFF"/>
        </w:rPr>
        <w:t>业务场景</w:t>
      </w:r>
      <w:bookmarkEnd w:id="113"/>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2" w:firstLineChars="200"/>
        <w:textAlignment w:val="auto"/>
        <w:outlineLvl w:val="2"/>
        <w:rPr>
          <w:rFonts w:hint="eastAsia" w:ascii="新宋体" w:hAnsi="新宋体" w:eastAsia="新宋体" w:cs="新宋体"/>
          <w:b/>
          <w:bCs/>
          <w:i w:val="0"/>
          <w:iCs w:val="0"/>
          <w:caps w:val="0"/>
          <w:color w:val="1F2329"/>
          <w:spacing w:val="0"/>
          <w:sz w:val="24"/>
          <w:szCs w:val="24"/>
          <w:shd w:val="clear" w:fill="FFFFFF"/>
        </w:rPr>
      </w:pPr>
      <w:r>
        <w:rPr>
          <w:rFonts w:hint="eastAsia" w:ascii="新宋体" w:hAnsi="新宋体" w:eastAsia="新宋体" w:cs="新宋体"/>
          <w:b/>
          <w:bCs/>
          <w:i w:val="0"/>
          <w:iCs w:val="0"/>
          <w:caps w:val="0"/>
          <w:color w:val="1F2329"/>
          <w:spacing w:val="0"/>
          <w:sz w:val="24"/>
          <w:szCs w:val="24"/>
          <w:shd w:val="clear" w:fill="FFFFFF"/>
          <w:lang w:val="en-US" w:eastAsia="zh-CN"/>
        </w:rPr>
        <w:t>6.3.1 IE 主导的数字 - 物理效率优化</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数字动作分析：MOM 集成高清摄像头与可穿戴传感器，通过 AI 视觉算法对实体操作工动作进行数字建模，识别无效动作（如转身、弯腰）并与 IE 预设的标准动作模型比对，基于数字分析结果优化实体工位布局，将改进方案更新至 MES 电子 SOP，实现操作流程的数实同步优化。</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虚拟产线平衡：IE 在 MOM 中通过数字孪生模型模拟不同工序分配方案，系统自动计算虚拟平衡率，验证通过后将最优方案推送至实体产线调整工位排布，缩短物理换产时间，提升小单生产效率。</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bCs/>
          <w:i w:val="0"/>
          <w:iCs w:val="0"/>
          <w:caps w:val="0"/>
          <w:color w:val="1F2329"/>
          <w:spacing w:val="0"/>
          <w:sz w:val="24"/>
          <w:szCs w:val="24"/>
          <w:shd w:val="clear" w:fill="FFFFFF"/>
          <w:lang w:val="en-US" w:eastAsia="zh-CN"/>
        </w:rPr>
        <w:t>6.3.2 PMC 驱动的物料数实齐套管理</w:t>
      </w:r>
      <w:r>
        <w:rPr>
          <w:rFonts w:hint="eastAsia" w:ascii="新宋体" w:hAnsi="新宋体" w:eastAsia="新宋体" w:cs="新宋体"/>
          <w:b w:val="0"/>
          <w:bCs w:val="0"/>
          <w:i w:val="0"/>
          <w:iCs w:val="0"/>
          <w:caps w:val="0"/>
          <w:color w:val="1F2329"/>
          <w:spacing w:val="0"/>
          <w:sz w:val="24"/>
          <w:szCs w:val="24"/>
          <w:shd w:val="clear" w:fill="FFFFFF"/>
          <w:lang w:val="en-US" w:eastAsia="zh-CN"/>
        </w:rPr>
        <w:br w:type="textWrapping"/>
      </w:r>
      <w:r>
        <w:rPr>
          <w:rFonts w:hint="eastAsia" w:ascii="新宋体" w:hAnsi="新宋体" w:eastAsia="新宋体" w:cs="新宋体"/>
          <w:b w:val="0"/>
          <w:bCs w:val="0"/>
          <w:i w:val="0"/>
          <w:iCs w:val="0"/>
          <w:caps w:val="0"/>
          <w:color w:val="1F2329"/>
          <w:spacing w:val="0"/>
          <w:sz w:val="24"/>
          <w:szCs w:val="24"/>
          <w:shd w:val="clear" w:fill="FFFFFF"/>
          <w:lang w:val="en-US" w:eastAsia="zh-CN"/>
        </w:rPr>
        <w:t>MOM 整合 ERP/WMS 的数字库存数据与实体仓库的 RFID 物料追踪信息，生成实时齐套看板。当数字模型预警缺料风险时，PMC 基于看板协调实体物流配送，确保生产计划下达前，面辅料的数字需求与物理库存完全匹配，消除因缺料导致的实体生产停滞。</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bCs/>
          <w:i w:val="0"/>
          <w:iCs w:val="0"/>
          <w:caps w:val="0"/>
          <w:color w:val="1F2329"/>
          <w:spacing w:val="0"/>
          <w:sz w:val="24"/>
          <w:szCs w:val="24"/>
          <w:shd w:val="clear" w:fill="FFFFFF"/>
          <w:lang w:val="en-US" w:eastAsia="zh-CN"/>
        </w:rPr>
        <w:t>6.3.3 ME 参与的设备数实适配管理</w:t>
      </w:r>
      <w:r>
        <w:rPr>
          <w:rFonts w:hint="eastAsia" w:ascii="新宋体" w:hAnsi="新宋体" w:eastAsia="新宋体" w:cs="新宋体"/>
          <w:b w:val="0"/>
          <w:bCs w:val="0"/>
          <w:i w:val="0"/>
          <w:iCs w:val="0"/>
          <w:caps w:val="0"/>
          <w:color w:val="1F2329"/>
          <w:spacing w:val="0"/>
          <w:sz w:val="24"/>
          <w:szCs w:val="24"/>
          <w:shd w:val="clear" w:fill="FFFFFF"/>
          <w:lang w:val="en-US" w:eastAsia="zh-CN"/>
        </w:rPr>
        <w:br w:type="textWrapping"/>
      </w:r>
      <w:r>
        <w:rPr>
          <w:rFonts w:hint="eastAsia" w:ascii="新宋体" w:hAnsi="新宋体" w:eastAsia="新宋体" w:cs="新宋体"/>
          <w:b w:val="0"/>
          <w:bCs w:val="0"/>
          <w:i w:val="0"/>
          <w:iCs w:val="0"/>
          <w:caps w:val="0"/>
          <w:color w:val="1F2329"/>
          <w:spacing w:val="0"/>
          <w:sz w:val="24"/>
          <w:szCs w:val="24"/>
          <w:shd w:val="clear" w:fill="FFFFFF"/>
          <w:lang w:val="en-US" w:eastAsia="zh-CN"/>
        </w:rPr>
        <w:t>在设备选型阶段，ME 通过 MOM 调取历史工艺的数字模型，模拟评估实体设备对薄料缝制、弹性面料处理等特殊工艺的适配性，将数字评估结果录入设备管理模块，为后续实体设备的 TPM（全员生产维护）计划提供数据支撑，实现设备全生命周期的数实协同管理。</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outlineLvl w:val="1"/>
        <w:rPr>
          <w:rFonts w:hint="eastAsia" w:ascii="新宋体" w:hAnsi="新宋体" w:eastAsia="新宋体" w:cs="新宋体"/>
          <w:b/>
          <w:bCs/>
          <w:i w:val="0"/>
          <w:iCs w:val="0"/>
          <w:caps w:val="0"/>
          <w:color w:val="1F2329"/>
          <w:spacing w:val="0"/>
          <w:sz w:val="24"/>
          <w:szCs w:val="24"/>
          <w:shd w:val="clear" w:fill="FFFFFF"/>
        </w:rPr>
      </w:pPr>
      <w:bookmarkStart w:id="114" w:name="_Toc1105759389"/>
      <w:r>
        <w:rPr>
          <w:rFonts w:hint="eastAsia" w:ascii="新宋体" w:hAnsi="新宋体" w:eastAsia="新宋体" w:cs="新宋体"/>
          <w:b/>
          <w:bCs/>
          <w:i w:val="0"/>
          <w:iCs w:val="0"/>
          <w:caps w:val="0"/>
          <w:color w:val="1F2329"/>
          <w:spacing w:val="0"/>
          <w:sz w:val="24"/>
          <w:szCs w:val="24"/>
          <w:shd w:val="clear" w:fill="FFFFFF"/>
          <w:lang w:val="en-US" w:eastAsia="zh-CN"/>
        </w:rPr>
        <w:t>6.4</w:t>
      </w:r>
      <w:r>
        <w:rPr>
          <w:rFonts w:hint="eastAsia" w:ascii="新宋体" w:hAnsi="新宋体" w:eastAsia="新宋体" w:cs="新宋体"/>
          <w:b/>
          <w:bCs/>
          <w:i w:val="0"/>
          <w:iCs w:val="0"/>
          <w:caps w:val="0"/>
          <w:color w:val="1F2329"/>
          <w:spacing w:val="0"/>
          <w:sz w:val="24"/>
          <w:szCs w:val="24"/>
          <w:shd w:val="clear" w:fill="FFFFFF"/>
        </w:rPr>
        <w:t>技术规范</w:t>
      </w:r>
      <w:bookmarkEnd w:id="114"/>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outlineLvl w:val="2"/>
        <w:rPr>
          <w:rFonts w:hint="eastAsia" w:ascii="新宋体" w:hAnsi="新宋体" w:eastAsia="新宋体" w:cs="新宋体"/>
          <w:b/>
          <w:bCs/>
          <w:i w:val="0"/>
          <w:iCs w:val="0"/>
          <w:caps w:val="0"/>
          <w:color w:val="1F2329"/>
          <w:spacing w:val="0"/>
          <w:sz w:val="24"/>
          <w:szCs w:val="24"/>
          <w:shd w:val="clear" w:fill="FFFFFF"/>
        </w:rPr>
      </w:pPr>
      <w:r>
        <w:rPr>
          <w:rFonts w:hint="eastAsia" w:ascii="新宋体" w:hAnsi="新宋体" w:eastAsia="新宋体" w:cs="新宋体"/>
          <w:b/>
          <w:bCs/>
          <w:i w:val="0"/>
          <w:iCs w:val="0"/>
          <w:caps w:val="0"/>
          <w:color w:val="1F2329"/>
          <w:spacing w:val="0"/>
          <w:sz w:val="24"/>
          <w:szCs w:val="24"/>
          <w:shd w:val="clear" w:fill="FFFFFF"/>
          <w:lang w:val="en-US" w:eastAsia="zh-CN"/>
        </w:rPr>
        <w:t>6.4.1接口架构的数实转换标准</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OPC UA/MQTT 协议：MOM 通过工业协议实现实体设备传感器数据与数字系统的标准化交互，确保物理信号准确转化为数字模型可识别的参数，传输延迟≤50ms。</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RESTful API 接口：定义数字管理指令（如 IE 标准工时、ME 工艺参数）向实体设备的传输规范，采用 TLS 1.3 加密保障指令执行精度，接口调用成功率≥99.9%。</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bCs/>
          <w:i w:val="0"/>
          <w:iCs w:val="0"/>
          <w:caps w:val="0"/>
          <w:color w:val="1F2329"/>
          <w:spacing w:val="0"/>
          <w:sz w:val="24"/>
          <w:szCs w:val="24"/>
          <w:shd w:val="clear" w:fill="FFFFFF"/>
          <w:lang w:val="en-US" w:eastAsia="zh-CN"/>
        </w:rPr>
        <w:t>6.4.2主数据管理的数实一致性机制</w:t>
      </w:r>
      <w:r>
        <w:rPr>
          <w:rFonts w:hint="eastAsia" w:ascii="新宋体" w:hAnsi="新宋体" w:eastAsia="新宋体" w:cs="新宋体"/>
          <w:b w:val="0"/>
          <w:bCs w:val="0"/>
          <w:i w:val="0"/>
          <w:iCs w:val="0"/>
          <w:caps w:val="0"/>
          <w:color w:val="1F2329"/>
          <w:spacing w:val="0"/>
          <w:sz w:val="24"/>
          <w:szCs w:val="24"/>
          <w:shd w:val="clear" w:fill="FFFFFF"/>
          <w:lang w:val="en-US" w:eastAsia="zh-CN"/>
        </w:rPr>
        <w:br w:type="textWrapping"/>
      </w:r>
      <w:r>
        <w:rPr>
          <w:rFonts w:hint="eastAsia" w:ascii="新宋体" w:hAnsi="新宋体" w:eastAsia="新宋体" w:cs="新宋体"/>
          <w:b w:val="0"/>
          <w:bCs w:val="0"/>
          <w:i w:val="0"/>
          <w:iCs w:val="0"/>
          <w:caps w:val="0"/>
          <w:color w:val="1F2329"/>
          <w:spacing w:val="0"/>
          <w:sz w:val="24"/>
          <w:szCs w:val="24"/>
          <w:shd w:val="clear" w:fill="FFFFFF"/>
          <w:lang w:val="en-US" w:eastAsia="zh-CN"/>
        </w:rPr>
        <w:t>通过 MOM 建立 "数字编码 - 物理标识" 映射库（如物料数字编码与 RFID 标签绑定），统一维护产品、工艺等主数据的数字模型与物理标识规则，确保跨系统数据交互时的数实一致性，主数据同步准确率≥99.5%。</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outlineLvl w:val="1"/>
        <w:rPr>
          <w:rFonts w:hint="eastAsia" w:ascii="新宋体" w:hAnsi="新宋体" w:eastAsia="新宋体" w:cs="新宋体"/>
          <w:b/>
          <w:bCs/>
          <w:i w:val="0"/>
          <w:iCs w:val="0"/>
          <w:caps w:val="0"/>
          <w:color w:val="1F2329"/>
          <w:spacing w:val="0"/>
          <w:sz w:val="24"/>
          <w:szCs w:val="24"/>
          <w:shd w:val="clear" w:fill="FFFFFF"/>
        </w:rPr>
      </w:pPr>
      <w:bookmarkStart w:id="115" w:name="_Toc174569785"/>
      <w:r>
        <w:rPr>
          <w:rFonts w:hint="eastAsia" w:ascii="新宋体" w:hAnsi="新宋体" w:eastAsia="新宋体" w:cs="新宋体"/>
          <w:b/>
          <w:bCs/>
          <w:i w:val="0"/>
          <w:iCs w:val="0"/>
          <w:caps w:val="0"/>
          <w:color w:val="1F2329"/>
          <w:spacing w:val="0"/>
          <w:sz w:val="24"/>
          <w:szCs w:val="24"/>
          <w:shd w:val="clear" w:fill="FFFFFF"/>
          <w:lang w:val="en-US" w:eastAsia="zh-CN"/>
        </w:rPr>
        <w:t>6.5</w:t>
      </w:r>
      <w:r>
        <w:rPr>
          <w:rFonts w:hint="eastAsia" w:ascii="新宋体" w:hAnsi="新宋体" w:eastAsia="新宋体" w:cs="新宋体"/>
          <w:b/>
          <w:bCs/>
          <w:i w:val="0"/>
          <w:iCs w:val="0"/>
          <w:caps w:val="0"/>
          <w:color w:val="1F2329"/>
          <w:spacing w:val="0"/>
          <w:sz w:val="24"/>
          <w:szCs w:val="24"/>
          <w:shd w:val="clear" w:fill="FFFFFF"/>
        </w:rPr>
        <w:t>选型标准</w:t>
      </w:r>
      <w:bookmarkEnd w:id="115"/>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outlineLvl w:val="2"/>
        <w:rPr>
          <w:rFonts w:hint="eastAsia" w:ascii="新宋体" w:hAnsi="新宋体" w:eastAsia="新宋体" w:cs="新宋体"/>
          <w:b/>
          <w:bCs/>
          <w:i w:val="0"/>
          <w:iCs w:val="0"/>
          <w:caps w:val="0"/>
          <w:color w:val="1F2329"/>
          <w:spacing w:val="0"/>
          <w:sz w:val="24"/>
          <w:szCs w:val="24"/>
          <w:shd w:val="clear" w:fill="FFFFFF"/>
        </w:rPr>
      </w:pPr>
      <w:r>
        <w:rPr>
          <w:rFonts w:hint="eastAsia" w:ascii="新宋体" w:hAnsi="新宋体" w:eastAsia="新宋体" w:cs="新宋体"/>
          <w:b/>
          <w:bCs/>
          <w:i w:val="0"/>
          <w:iCs w:val="0"/>
          <w:caps w:val="0"/>
          <w:color w:val="1F2329"/>
          <w:spacing w:val="0"/>
          <w:sz w:val="24"/>
          <w:szCs w:val="24"/>
          <w:shd w:val="clear" w:fill="FFFFFF"/>
          <w:lang w:val="en-US" w:eastAsia="zh-CN"/>
        </w:rPr>
        <w:t>6.5.1智能硬件的数实协同能力</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智能裁剪设备：需支持 DXF-AAMA/ASTM 标准接口与智能排料算法，数字排料方案可直接驱动物理裁剪设备执行，面料利用率提升≥3%，满足 IE 降低物料消耗的精益目标。</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智能缝制设备：需具备 MES 联网能力与工艺参数自动设定功能，实时采集针迹数据、断线次数等物理生产数据并上传至 MOM 数字模型，为 ME 工艺优化与 IE 效率分析提供实时数据支撑。</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智能吊挂系统：需与 MES/WMS 调度算法深度集成，通过数字指令驱动实体裁片按 IE 设计的单件流路径自动流转，实现 WIP（在制品）数量可视化管控，物理在制品堆积减少≥40%。</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outlineLvl w:val="2"/>
        <w:rPr>
          <w:rFonts w:hint="eastAsia" w:ascii="新宋体" w:hAnsi="新宋体" w:eastAsia="新宋体" w:cs="新宋体"/>
          <w:b/>
          <w:bCs/>
          <w:i w:val="0"/>
          <w:iCs w:val="0"/>
          <w:caps w:val="0"/>
          <w:color w:val="1F2329"/>
          <w:spacing w:val="0"/>
          <w:sz w:val="24"/>
          <w:szCs w:val="24"/>
          <w:shd w:val="clear" w:fill="FFFFFF"/>
        </w:rPr>
      </w:pPr>
      <w:r>
        <w:rPr>
          <w:rFonts w:hint="eastAsia" w:ascii="新宋体" w:hAnsi="新宋体" w:eastAsia="新宋体" w:cs="新宋体"/>
          <w:b/>
          <w:bCs/>
          <w:i w:val="0"/>
          <w:iCs w:val="0"/>
          <w:caps w:val="0"/>
          <w:color w:val="1F2329"/>
          <w:spacing w:val="0"/>
          <w:sz w:val="24"/>
          <w:szCs w:val="24"/>
          <w:shd w:val="clear" w:fill="FFFFFF"/>
          <w:lang w:val="en-US" w:eastAsia="zh-CN"/>
        </w:rPr>
        <w:t>6.5.2软件系统的数实融合模块</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功能要求：MOM/APS/PLM 需内置数字孪生建模、标准工时管理、产线平衡分析等模块，支持 PMC 物料齐套数字看板、ME 工艺参数数字库等功能，实现数字模型与物理生产的实时联动。</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rPr>
      </w:pPr>
      <w:r>
        <w:rPr>
          <w:rFonts w:hint="eastAsia" w:ascii="新宋体" w:hAnsi="新宋体" w:eastAsia="新宋体" w:cs="新宋体"/>
          <w:b w:val="0"/>
          <w:bCs w:val="0"/>
          <w:i w:val="0"/>
          <w:iCs w:val="0"/>
          <w:caps w:val="0"/>
          <w:color w:val="1F2329"/>
          <w:spacing w:val="0"/>
          <w:sz w:val="24"/>
          <w:szCs w:val="24"/>
          <w:shd w:val="clear" w:fill="FFFFFF"/>
        </w:rPr>
        <w:t>供应商能力：优先选择具备 IE/PMC/ME 咨询经验的供应商，提供 "精益流程数字化建模 - 物理产线改造 - 数实协同验证" 一体化服务，确保技术工具与精益管理逻辑深度融合。</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textAlignment w:val="auto"/>
        <w:outlineLvl w:val="1"/>
        <w:rPr>
          <w:rFonts w:hint="eastAsia" w:ascii="新宋体" w:hAnsi="新宋体" w:eastAsia="新宋体" w:cs="新宋体"/>
          <w:b/>
          <w:bCs/>
          <w:i w:val="0"/>
          <w:iCs w:val="0"/>
          <w:caps w:val="0"/>
          <w:color w:val="1F2329"/>
          <w:spacing w:val="0"/>
          <w:sz w:val="24"/>
          <w:szCs w:val="24"/>
          <w:shd w:val="clear" w:fill="FFFFFF"/>
        </w:rPr>
      </w:pPr>
      <w:bookmarkStart w:id="116" w:name="_Toc531714693"/>
      <w:r>
        <w:rPr>
          <w:rFonts w:hint="eastAsia" w:ascii="新宋体" w:hAnsi="新宋体" w:eastAsia="新宋体" w:cs="新宋体"/>
          <w:b/>
          <w:bCs/>
          <w:i w:val="0"/>
          <w:iCs w:val="0"/>
          <w:caps w:val="0"/>
          <w:color w:val="1F2329"/>
          <w:spacing w:val="0"/>
          <w:sz w:val="24"/>
          <w:szCs w:val="24"/>
          <w:shd w:val="clear" w:fill="FFFFFF"/>
          <w:lang w:val="en-US" w:eastAsia="zh-CN"/>
        </w:rPr>
        <w:t>6.6</w:t>
      </w:r>
      <w:r>
        <w:rPr>
          <w:rFonts w:hint="eastAsia" w:ascii="新宋体" w:hAnsi="新宋体" w:eastAsia="新宋体" w:cs="新宋体"/>
          <w:b/>
          <w:bCs/>
          <w:i w:val="0"/>
          <w:iCs w:val="0"/>
          <w:caps w:val="0"/>
          <w:color w:val="1F2329"/>
          <w:spacing w:val="0"/>
          <w:sz w:val="24"/>
          <w:szCs w:val="24"/>
          <w:shd w:val="clear" w:fill="FFFFFF"/>
        </w:rPr>
        <w:t>体系价值</w:t>
      </w:r>
      <w:bookmarkEnd w:id="116"/>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lang w:bidi="ar-SA"/>
        </w:rPr>
      </w:pPr>
      <w:r>
        <w:rPr>
          <w:rFonts w:hint="eastAsia" w:ascii="新宋体" w:hAnsi="新宋体" w:eastAsia="新宋体" w:cs="新宋体"/>
          <w:b w:val="0"/>
          <w:bCs w:val="0"/>
          <w:i w:val="0"/>
          <w:iCs w:val="0"/>
          <w:caps w:val="0"/>
          <w:color w:val="1F2329"/>
          <w:spacing w:val="0"/>
          <w:sz w:val="24"/>
          <w:szCs w:val="24"/>
          <w:shd w:val="clear" w:fill="FFFFFF"/>
          <w:lang w:bidi="ar-SA"/>
        </w:rPr>
        <w:t>通过 MOM 实现的数实协同体系，将传统精益管理的物理改善模式升级为 "数字预判 - 物理精准执行" 的智能闭环，核心价值包括：</w:t>
      </w:r>
    </w:p>
    <w:p>
      <w:pPr>
        <w:keepNext w:val="0"/>
        <w:keepLines w:val="0"/>
        <w:pageBreakBefore w:val="0"/>
        <w:widowControl/>
        <w:numPr>
          <w:ilvl w:val="0"/>
          <w:numId w:val="0"/>
        </w:numPr>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lang w:bidi="ar-SA"/>
        </w:rPr>
      </w:pPr>
      <w:r>
        <w:rPr>
          <w:rFonts w:hint="eastAsia" w:ascii="新宋体" w:hAnsi="新宋体" w:eastAsia="新宋体" w:cs="新宋体"/>
          <w:b w:val="0"/>
          <w:bCs w:val="0"/>
          <w:i w:val="0"/>
          <w:iCs w:val="0"/>
          <w:caps w:val="0"/>
          <w:color w:val="1F2329"/>
          <w:spacing w:val="0"/>
          <w:sz w:val="24"/>
          <w:szCs w:val="24"/>
          <w:shd w:val="clear" w:fill="FFFFFF"/>
          <w:lang w:bidi="ar-SA"/>
        </w:rPr>
        <w:t>效率提升：IE 通过数字模型优化使实体产线换产时间缩短 ，标准工时执行偏差率降低；</w:t>
      </w:r>
    </w:p>
    <w:p>
      <w:pPr>
        <w:keepNext w:val="0"/>
        <w:keepLines w:val="0"/>
        <w:pageBreakBefore w:val="0"/>
        <w:widowControl/>
        <w:numPr>
          <w:ilvl w:val="0"/>
          <w:numId w:val="0"/>
        </w:numPr>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lang w:bidi="ar-SA"/>
        </w:rPr>
      </w:pPr>
      <w:r>
        <w:rPr>
          <w:rFonts w:hint="eastAsia" w:ascii="新宋体" w:hAnsi="新宋体" w:eastAsia="新宋体" w:cs="新宋体"/>
          <w:b w:val="0"/>
          <w:bCs w:val="0"/>
          <w:i w:val="0"/>
          <w:iCs w:val="0"/>
          <w:caps w:val="0"/>
          <w:color w:val="1F2329"/>
          <w:spacing w:val="0"/>
          <w:sz w:val="24"/>
          <w:szCs w:val="24"/>
          <w:shd w:val="clear" w:fill="FFFFFF"/>
          <w:lang w:bidi="ar-SA"/>
        </w:rPr>
        <w:t>工艺稳定：ME 的数字工艺标准在物理生产中的执行一致性提升，质量异常响应时间缩短；</w:t>
      </w:r>
    </w:p>
    <w:p>
      <w:pPr>
        <w:keepNext w:val="0"/>
        <w:keepLines w:val="0"/>
        <w:pageBreakBefore w:val="0"/>
        <w:widowControl/>
        <w:numPr>
          <w:ilvl w:val="0"/>
          <w:numId w:val="0"/>
        </w:numPr>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lang w:bidi="ar-SA"/>
        </w:rPr>
      </w:pPr>
      <w:r>
        <w:rPr>
          <w:rFonts w:hint="eastAsia" w:ascii="新宋体" w:hAnsi="新宋体" w:eastAsia="新宋体" w:cs="新宋体"/>
          <w:b w:val="0"/>
          <w:bCs w:val="0"/>
          <w:i w:val="0"/>
          <w:iCs w:val="0"/>
          <w:caps w:val="0"/>
          <w:color w:val="1F2329"/>
          <w:spacing w:val="0"/>
          <w:sz w:val="24"/>
          <w:szCs w:val="24"/>
          <w:shd w:val="clear" w:fill="FFFFFF"/>
          <w:lang w:bidi="ar-SA"/>
        </w:rPr>
        <w:t>物料协同：PMC 通过数字看板实现实体物料精准调度，库存周转率提升，缺料导致的计划变更减少；</w:t>
      </w:r>
    </w:p>
    <w:p>
      <w:pPr>
        <w:keepNext w:val="0"/>
        <w:keepLines w:val="0"/>
        <w:pageBreakBefore w:val="0"/>
        <w:widowControl/>
        <w:numPr>
          <w:ilvl w:val="0"/>
          <w:numId w:val="0"/>
        </w:numPr>
        <w:pBdr>
          <w:left w:val="none" w:color="auto" w:sz="0" w:space="0"/>
        </w:pBdr>
        <w:kinsoku/>
        <w:wordWrap/>
        <w:overflowPunct/>
        <w:topLinePunct w:val="0"/>
        <w:autoSpaceDE/>
        <w:autoSpaceDN/>
        <w:bidi w:val="0"/>
        <w:adjustRightInd/>
        <w:snapToGrid/>
        <w:spacing w:before="240" w:beforeAutospacing="0" w:after="0" w:afterAutospacing="0" w:line="420" w:lineRule="exact"/>
        <w:ind w:right="0" w:rightChars="0" w:firstLine="480" w:firstLineChars="200"/>
        <w:textAlignment w:val="auto"/>
        <w:rPr>
          <w:rFonts w:hint="eastAsia" w:ascii="新宋体" w:hAnsi="新宋体" w:eastAsia="新宋体" w:cs="新宋体"/>
          <w:b w:val="0"/>
          <w:bCs w:val="0"/>
          <w:i w:val="0"/>
          <w:iCs w:val="0"/>
          <w:caps w:val="0"/>
          <w:color w:val="1F2329"/>
          <w:spacing w:val="0"/>
          <w:sz w:val="24"/>
          <w:szCs w:val="24"/>
          <w:shd w:val="clear" w:fill="FFFFFF"/>
          <w:lang w:eastAsia="zh-CN"/>
        </w:rPr>
      </w:pPr>
      <w:r>
        <w:rPr>
          <w:rFonts w:hint="eastAsia" w:ascii="新宋体" w:hAnsi="新宋体" w:eastAsia="新宋体" w:cs="新宋体"/>
          <w:b w:val="0"/>
          <w:bCs w:val="0"/>
          <w:i w:val="0"/>
          <w:iCs w:val="0"/>
          <w:caps w:val="0"/>
          <w:color w:val="1F2329"/>
          <w:spacing w:val="0"/>
          <w:sz w:val="24"/>
          <w:szCs w:val="24"/>
          <w:shd w:val="clear" w:fill="FFFFFF"/>
          <w:lang w:bidi="ar-SA"/>
        </w:rPr>
        <w:t>柔性增强：数字模型与物理生产的实时联动，支持订单的快速换产，新品上市周期缩短 。</w:t>
      </w:r>
    </w:p>
    <w:p>
      <w:pPr>
        <w:keepNext w:val="0"/>
        <w:keepLines w:val="0"/>
        <w:pageBreakBefore w:val="0"/>
        <w:kinsoku/>
        <w:wordWrap/>
        <w:overflowPunct/>
        <w:topLinePunct w:val="0"/>
        <w:autoSpaceDE/>
        <w:autoSpaceDN/>
        <w:bidi w:val="0"/>
        <w:adjustRightInd/>
        <w:snapToGrid/>
        <w:spacing w:line="420" w:lineRule="exact"/>
        <w:textAlignment w:val="auto"/>
        <w:outlineLvl w:val="0"/>
        <w:rPr>
          <w:rFonts w:hint="eastAsia" w:ascii="新宋体" w:hAnsi="新宋体" w:eastAsia="新宋体" w:cs="新宋体"/>
          <w:b/>
          <w:bCs/>
          <w:color w:val="000000" w:themeColor="text1"/>
          <w:kern w:val="2"/>
          <w:sz w:val="24"/>
          <w:szCs w:val="24"/>
          <w:lang w:val="en-US" w:eastAsia="zh-CN" w:bidi="ar-SA"/>
          <w14:textFill>
            <w14:solidFill>
              <w14:schemeClr w14:val="tx1"/>
            </w14:solidFill>
          </w14:textFill>
        </w:rPr>
      </w:pPr>
      <w:bookmarkStart w:id="117" w:name="_Toc1654899090"/>
      <w:bookmarkStart w:id="118" w:name="_Toc2109182717"/>
      <w:bookmarkStart w:id="119" w:name="_Toc849390084"/>
      <w:bookmarkStart w:id="120" w:name="_Toc981865427"/>
      <w:r>
        <w:rPr>
          <w:rFonts w:hint="eastAsia" w:ascii="新宋体" w:hAnsi="新宋体" w:eastAsia="新宋体" w:cs="新宋体"/>
          <w:b/>
          <w:bCs/>
          <w:color w:val="000000" w:themeColor="text1"/>
          <w:kern w:val="2"/>
          <w:sz w:val="24"/>
          <w:szCs w:val="24"/>
          <w:lang w:val="en-US" w:eastAsia="zh-CN" w:bidi="ar-SA"/>
          <w14:textFill>
            <w14:solidFill>
              <w14:schemeClr w14:val="tx1"/>
            </w14:solidFill>
          </w14:textFill>
        </w:rPr>
        <w:t>七．实施评估</w:t>
      </w:r>
      <w:bookmarkEnd w:id="117"/>
      <w:bookmarkEnd w:id="118"/>
      <w:bookmarkEnd w:id="119"/>
      <w:bookmarkEnd w:id="120"/>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outlineLvl w:val="1"/>
        <w:rPr>
          <w:rFonts w:hint="eastAsia" w:ascii="新宋体" w:hAnsi="新宋体" w:eastAsia="新宋体" w:cs="新宋体"/>
          <w:b/>
          <w:bCs/>
          <w:color w:val="auto"/>
          <w:kern w:val="2"/>
          <w:sz w:val="24"/>
          <w:szCs w:val="24"/>
          <w:lang w:val="en-US" w:eastAsia="zh-CN" w:bidi="ar-SA"/>
        </w:rPr>
      </w:pPr>
      <w:bookmarkStart w:id="121" w:name="_Toc1375340179"/>
      <w:bookmarkStart w:id="122" w:name="X4960ed3e89fd0f6e44eb2e344b382b668b14aff"/>
      <w:r>
        <w:rPr>
          <w:rFonts w:hint="eastAsia" w:ascii="新宋体" w:hAnsi="新宋体" w:eastAsia="新宋体" w:cs="新宋体"/>
          <w:b/>
          <w:bCs/>
          <w:color w:val="auto"/>
          <w:kern w:val="2"/>
          <w:sz w:val="24"/>
          <w:szCs w:val="24"/>
          <w:lang w:val="en-US" w:eastAsia="zh-CN" w:bidi="ar-SA"/>
        </w:rPr>
        <w:t>7.1 实施路径</w:t>
      </w:r>
      <w:bookmarkEnd w:id="121"/>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构建数字化快反工厂应遵循系统性和阶段性原则，通过战略规划、流程再造、技术落地与组织适配的协同推进，将核心指标要求转化为可执行的建设路径。以下从六大维度细化实施策略，确保快反能力的有序构建与持续提升。</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7</w:t>
      </w:r>
      <w:r>
        <w:rPr>
          <w:rFonts w:hint="eastAsia" w:ascii="新宋体" w:hAnsi="新宋体" w:eastAsia="新宋体" w:cs="新宋体"/>
          <w:b/>
          <w:bCs/>
          <w:color w:val="auto"/>
          <w:kern w:val="2"/>
          <w:sz w:val="24"/>
          <w:szCs w:val="24"/>
          <w:lang w:bidi="ar-SA"/>
        </w:rPr>
        <w:t>.1.1 顶层规划</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企业的最高管理层应给予高度重视，并亲自领导数字化转型。需要制定明确的企业数字化转型战略和数字化快反工厂建设蓝图，设定阶段性目标（例如3个月、6个月、1年、3年）、确定重点任务、制定时间表、规划资源投入（包括预算和人力资源）以及预期效益（与核心指标相关联）。蓝图设计应充分考虑企业的自身特点、市场定位和发展阶段。</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7</w:t>
      </w:r>
      <w:r>
        <w:rPr>
          <w:rFonts w:hint="eastAsia" w:ascii="新宋体" w:hAnsi="新宋体" w:eastAsia="新宋体" w:cs="新宋体"/>
          <w:b/>
          <w:bCs/>
          <w:color w:val="auto"/>
          <w:kern w:val="2"/>
          <w:sz w:val="24"/>
          <w:szCs w:val="24"/>
          <w:lang w:bidi="ar-SA"/>
        </w:rPr>
        <w:t>.1.2 流程梳理</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outlineLvl w:val="2"/>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在大规模引入数字化系统之前，必须对现有与快反相关的所有核心业务流程（如订单处理、计划排程、生产执行、物料供应、质量控制等）进行全面梳理、分析和优化。应用精益生产原则以消除浪费、简化流程、标准化作业，为数字化实施打下坚实的业务基础。避免将落后的管理模式和低效流程固化到新系统中。</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7</w:t>
      </w:r>
      <w:r>
        <w:rPr>
          <w:rFonts w:hint="eastAsia" w:ascii="新宋体" w:hAnsi="新宋体" w:eastAsia="新宋体" w:cs="新宋体"/>
          <w:b/>
          <w:bCs/>
          <w:color w:val="auto"/>
          <w:kern w:val="2"/>
          <w:sz w:val="24"/>
          <w:szCs w:val="24"/>
          <w:lang w:bidi="ar-SA"/>
        </w:rPr>
        <w:t>.1.3 分步实施</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both"/>
        <w:textAlignment w:val="auto"/>
        <w:outlineLvl w:val="2"/>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根据“急用先行、效益驱动、风险可控”的原则，选择对提升快反能力最关键、业务痛点最突出、基础条件较好、易于见效的业务环节或代表性产品线/车间进行试点项目。例如，可以从MES核心功能（如WIP追踪、生产报工、安灯系统）或APS小单排程开始。通过试点验证方案的可行性、技术的适用性和预期效益，积累实施经验，培养内部团队，树立成功标杆，然后总结经验教训，分阶段、分步骤向全厂或更多业务领域推广。</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7</w:t>
      </w:r>
      <w:r>
        <w:rPr>
          <w:rFonts w:hint="eastAsia" w:ascii="新宋体" w:hAnsi="新宋体" w:eastAsia="新宋体" w:cs="新宋体"/>
          <w:b/>
          <w:bCs/>
          <w:color w:val="auto"/>
          <w:kern w:val="2"/>
          <w:sz w:val="24"/>
          <w:szCs w:val="24"/>
          <w:lang w:bidi="ar-SA"/>
        </w:rPr>
        <w:t>.1.4 优化迭代</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对于大型、复杂的数字化项目，推荐采用敏捷项目管理方法。将项目分解为若干个小的、可管理的迭代周期（如2-4周），每个迭代周期都有明确的交付成果和业务价值。鼓励快速原型、用户深度参与（尤其是业务部门和一线操作人员）、持续反馈和灵活调整需求，以降低项目风险，提高用户满意度和系统适用性。</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7</w:t>
      </w:r>
      <w:r>
        <w:rPr>
          <w:rFonts w:hint="eastAsia" w:ascii="新宋体" w:hAnsi="新宋体" w:eastAsia="新宋体" w:cs="新宋体"/>
          <w:b/>
          <w:bCs/>
          <w:color w:val="auto"/>
          <w:kern w:val="2"/>
          <w:sz w:val="24"/>
          <w:szCs w:val="24"/>
          <w:lang w:bidi="ar-SA"/>
        </w:rPr>
        <w:t>.1.5 机制建设</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bidi="ar-SA"/>
        </w:rPr>
        <w:t>从项目规划和实施初期就必须高度重视数据治理工作。同步建立企业</w:t>
      </w:r>
      <w:r>
        <w:rPr>
          <w:rFonts w:hint="eastAsia" w:ascii="新宋体" w:hAnsi="新宋体" w:eastAsia="新宋体" w:cs="新宋体"/>
          <w:b w:val="0"/>
          <w:bCs w:val="0"/>
          <w:color w:val="auto"/>
          <w:kern w:val="2"/>
          <w:sz w:val="24"/>
          <w:szCs w:val="24"/>
          <w:lang w:eastAsia="zh-CN" w:bidi="ar-SA"/>
        </w:rPr>
        <w:t>自主</w:t>
      </w:r>
      <w:r>
        <w:rPr>
          <w:rFonts w:hint="eastAsia" w:ascii="新宋体" w:hAnsi="新宋体" w:eastAsia="新宋体" w:cs="新宋体"/>
          <w:b w:val="0"/>
          <w:bCs w:val="0"/>
          <w:color w:val="auto"/>
          <w:kern w:val="2"/>
          <w:sz w:val="24"/>
          <w:szCs w:val="24"/>
          <w:lang w:bidi="ar-SA"/>
        </w:rPr>
        <w:t>数据管理规范、数据质量标准、数据安全体系和数据共享机制。确保数据的准确性、一致性、完整性和及时性，这是实现系统集成、数据分析和智能应用的前提。</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both"/>
        <w:textAlignment w:val="auto"/>
        <w:outlineLvl w:val="2"/>
        <w:rPr>
          <w:rFonts w:hint="eastAsia" w:ascii="新宋体" w:hAnsi="新宋体" w:eastAsia="新宋体" w:cs="新宋体"/>
          <w:b/>
          <w:bCs/>
          <w:color w:val="auto"/>
          <w:kern w:val="2"/>
          <w:sz w:val="24"/>
          <w:szCs w:val="24"/>
          <w:lang w:bidi="ar-SA"/>
        </w:rPr>
      </w:pPr>
      <w:r>
        <w:rPr>
          <w:rFonts w:hint="eastAsia" w:ascii="新宋体" w:hAnsi="新宋体" w:eastAsia="新宋体" w:cs="新宋体"/>
          <w:b/>
          <w:bCs/>
          <w:color w:val="auto"/>
          <w:kern w:val="2"/>
          <w:sz w:val="24"/>
          <w:szCs w:val="24"/>
          <w:lang w:val="en-US" w:eastAsia="zh-CN" w:bidi="ar-SA"/>
        </w:rPr>
        <w:t>7</w:t>
      </w:r>
      <w:r>
        <w:rPr>
          <w:rFonts w:hint="eastAsia" w:ascii="新宋体" w:hAnsi="新宋体" w:eastAsia="新宋体" w:cs="新宋体"/>
          <w:b/>
          <w:bCs/>
          <w:color w:val="auto"/>
          <w:kern w:val="2"/>
          <w:sz w:val="24"/>
          <w:szCs w:val="24"/>
          <w:lang w:bidi="ar-SA"/>
        </w:rPr>
        <w:t>.1.6 人才</w:t>
      </w:r>
      <w:r>
        <w:rPr>
          <w:rFonts w:hint="eastAsia" w:ascii="新宋体" w:hAnsi="新宋体" w:eastAsia="新宋体" w:cs="新宋体"/>
          <w:b/>
          <w:bCs/>
          <w:color w:val="auto"/>
          <w:kern w:val="2"/>
          <w:sz w:val="24"/>
          <w:szCs w:val="24"/>
          <w:lang w:val="en-US" w:eastAsia="zh-CN" w:bidi="ar-SA"/>
        </w:rPr>
        <w:t>培养</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eastAsia" w:ascii="新宋体" w:hAnsi="新宋体" w:eastAsia="新宋体" w:cs="新宋体"/>
          <w:b w:val="0"/>
          <w:bCs w:val="0"/>
          <w:color w:val="auto"/>
          <w:kern w:val="2"/>
          <w:sz w:val="24"/>
          <w:szCs w:val="24"/>
          <w:lang w:val="en-US" w:eastAsia="zh-CN" w:bidi="ar-SA"/>
        </w:rPr>
      </w:pPr>
      <w:r>
        <w:rPr>
          <w:rFonts w:hint="eastAsia" w:ascii="新宋体" w:hAnsi="新宋体" w:eastAsia="新宋体" w:cs="新宋体"/>
          <w:b w:val="0"/>
          <w:bCs w:val="0"/>
          <w:color w:val="auto"/>
          <w:kern w:val="2"/>
          <w:sz w:val="24"/>
          <w:szCs w:val="24"/>
          <w:lang w:bidi="ar-SA"/>
        </w:rPr>
        <w:t>数字化转型不仅仅是技术升级，更是管理模式和组织文化的变革。需要建立适应数字化快反模式的敏捷型组织架构，打破部门壁垒，加强跨团队协作。成立由高层领导、业务骨干、IT人员组成的跨职能数字化转型项目团队。制定系统性的人才培养计划，加强对管理层和员工的数字化理念、精益思想、新系统操作、数据分析应用等方面的培训，培养既懂业务又懂技术的复合型人才。</w:t>
      </w:r>
    </w:p>
    <w:bookmarkEnd w:id="122"/>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1"/>
        <w:rPr>
          <w:rFonts w:hint="eastAsia" w:ascii="新宋体" w:hAnsi="新宋体" w:eastAsia="新宋体" w:cs="新宋体"/>
          <w:b/>
          <w:bCs/>
          <w:kern w:val="2"/>
          <w:sz w:val="24"/>
          <w:szCs w:val="24"/>
          <w:lang w:bidi="ar-SA"/>
        </w:rPr>
      </w:pPr>
      <w:bookmarkStart w:id="123" w:name="_Toc1828293333"/>
      <w:bookmarkStart w:id="124" w:name="_Toc1975895792"/>
      <w:bookmarkStart w:id="125" w:name="_Toc947888041"/>
      <w:bookmarkStart w:id="126" w:name="Xa20ee8661cbcca71c6987bd4a8faa5d7bdd4eea"/>
      <w:r>
        <w:rPr>
          <w:rFonts w:hint="eastAsia" w:ascii="新宋体" w:hAnsi="新宋体" w:eastAsia="新宋体" w:cs="新宋体"/>
          <w:b/>
          <w:bCs/>
          <w:kern w:val="2"/>
          <w:sz w:val="24"/>
          <w:szCs w:val="24"/>
          <w:lang w:val="en-US" w:eastAsia="zh-CN" w:bidi="ar-SA"/>
        </w:rPr>
        <w:t>7</w:t>
      </w:r>
      <w:r>
        <w:rPr>
          <w:rFonts w:hint="eastAsia" w:ascii="新宋体" w:hAnsi="新宋体" w:eastAsia="新宋体" w:cs="新宋体"/>
          <w:b/>
          <w:bCs/>
          <w:kern w:val="2"/>
          <w:sz w:val="24"/>
          <w:szCs w:val="24"/>
          <w:lang w:bidi="ar-SA"/>
        </w:rPr>
        <w:t>.2 绩效评估</w:t>
      </w:r>
      <w:bookmarkEnd w:id="123"/>
      <w:bookmarkEnd w:id="124"/>
      <w:bookmarkEnd w:id="125"/>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127" w:name="_Toc231301677"/>
      <w:bookmarkStart w:id="128" w:name="_Toc1120611641"/>
      <w:bookmarkStart w:id="129" w:name="_Toc193458936"/>
      <w:bookmarkStart w:id="130" w:name="_Toc936685475"/>
      <w:bookmarkStart w:id="131" w:name="_Toc1930026455"/>
      <w:r>
        <w:rPr>
          <w:rFonts w:hint="eastAsia" w:ascii="新宋体" w:hAnsi="新宋体" w:eastAsia="新宋体" w:cs="新宋体"/>
          <w:b w:val="0"/>
          <w:bCs w:val="0"/>
          <w:kern w:val="2"/>
          <w:sz w:val="24"/>
          <w:szCs w:val="24"/>
          <w:lang w:bidi="ar-SA"/>
        </w:rPr>
        <w:t>绩效评估是数字化快反工厂持续改进的核心动力。通过构建一个数据驱动的评估体系，将第四章所定义的六大核心指标转化为可量化的、可追踪的管理工具。本节将从基线建立、指标定义、结果应用到可视化监控，构建一个全流程评估闭环，确保快反能力的持续提升与优化。</w:t>
      </w:r>
      <w:bookmarkEnd w:id="127"/>
      <w:bookmarkEnd w:id="128"/>
      <w:bookmarkEnd w:id="129"/>
      <w:bookmarkEnd w:id="130"/>
      <w:bookmarkEnd w:id="131"/>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2"/>
        <w:rPr>
          <w:rFonts w:hint="eastAsia" w:ascii="新宋体" w:hAnsi="新宋体" w:eastAsia="新宋体" w:cs="新宋体"/>
          <w:b/>
          <w:bCs/>
          <w:kern w:val="2"/>
          <w:sz w:val="24"/>
          <w:szCs w:val="24"/>
          <w:lang w:bidi="ar-SA"/>
        </w:rPr>
      </w:pPr>
      <w:bookmarkStart w:id="132" w:name="_Toc1817645815"/>
      <w:bookmarkStart w:id="133" w:name="_Toc541884269"/>
      <w:bookmarkStart w:id="134" w:name="_Toc214141250"/>
      <w:bookmarkStart w:id="135" w:name="_Toc688266097"/>
      <w:r>
        <w:rPr>
          <w:rFonts w:hint="eastAsia" w:ascii="新宋体" w:hAnsi="新宋体" w:eastAsia="新宋体" w:cs="新宋体"/>
          <w:b/>
          <w:bCs/>
          <w:kern w:val="2"/>
          <w:sz w:val="24"/>
          <w:szCs w:val="24"/>
          <w:lang w:val="en-US" w:eastAsia="zh-CN" w:bidi="ar-SA"/>
        </w:rPr>
        <w:t>7</w:t>
      </w:r>
      <w:r>
        <w:rPr>
          <w:rFonts w:hint="eastAsia" w:ascii="新宋体" w:hAnsi="新宋体" w:eastAsia="新宋体" w:cs="新宋体"/>
          <w:b/>
          <w:bCs/>
          <w:kern w:val="2"/>
          <w:sz w:val="24"/>
          <w:szCs w:val="24"/>
          <w:lang w:bidi="ar-SA"/>
        </w:rPr>
        <w:t>.2.1 建立基线</w:t>
      </w:r>
      <w:bookmarkEnd w:id="132"/>
      <w:bookmarkEnd w:id="133"/>
      <w:bookmarkEnd w:id="134"/>
      <w:bookmarkEnd w:id="135"/>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136" w:name="_Toc2118245803"/>
      <w:bookmarkStart w:id="137" w:name="_Toc174095794"/>
      <w:bookmarkStart w:id="138" w:name="_Toc2036880025"/>
      <w:bookmarkStart w:id="139" w:name="_Toc1218334130"/>
      <w:bookmarkStart w:id="140" w:name="_Toc1341369537"/>
      <w:r>
        <w:rPr>
          <w:rFonts w:hint="eastAsia" w:ascii="新宋体" w:hAnsi="新宋体" w:eastAsia="新宋体" w:cs="新宋体"/>
          <w:b w:val="0"/>
          <w:bCs w:val="0"/>
          <w:kern w:val="2"/>
          <w:sz w:val="24"/>
          <w:szCs w:val="24"/>
          <w:lang w:bidi="ar-SA"/>
        </w:rPr>
        <w:t>数据初始化采集：在项目启动前的30天内，完成市场响应速度、生产柔性等六大类核心指标的现状数据采集，形成《基线数据手册》。</w:t>
      </w:r>
      <w:bookmarkEnd w:id="136"/>
      <w:bookmarkEnd w:id="137"/>
      <w:bookmarkEnd w:id="138"/>
      <w:bookmarkEnd w:id="139"/>
      <w:bookmarkEnd w:id="140"/>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141" w:name="_Toc285148765"/>
      <w:bookmarkStart w:id="142" w:name="_Toc1155282544"/>
      <w:bookmarkStart w:id="143" w:name="_Toc805763348"/>
      <w:bookmarkStart w:id="144" w:name="_Toc373311055"/>
      <w:bookmarkStart w:id="145" w:name="_Toc114482153"/>
      <w:r>
        <w:rPr>
          <w:rFonts w:hint="eastAsia" w:ascii="新宋体" w:hAnsi="新宋体" w:eastAsia="新宋体" w:cs="新宋体"/>
          <w:b w:val="0"/>
          <w:bCs w:val="0"/>
          <w:kern w:val="2"/>
          <w:sz w:val="24"/>
          <w:szCs w:val="24"/>
          <w:lang w:bidi="ar-SA"/>
        </w:rPr>
        <w:t>动态对比机制：每月的第5个工作日前，将当期指标数据与基线数据进行环比分析，量化改进幅度。</w:t>
      </w:r>
      <w:bookmarkEnd w:id="141"/>
      <w:bookmarkEnd w:id="142"/>
      <w:bookmarkEnd w:id="143"/>
      <w:bookmarkEnd w:id="144"/>
      <w:bookmarkEnd w:id="145"/>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146" w:name="_Toc432711854"/>
      <w:bookmarkStart w:id="147" w:name="_Toc1439168498"/>
      <w:bookmarkStart w:id="148" w:name="_Toc1434064481"/>
      <w:bookmarkStart w:id="149" w:name="_Toc1459276898"/>
      <w:bookmarkStart w:id="150" w:name="_Toc2103681406"/>
      <w:r>
        <w:rPr>
          <w:rFonts w:hint="eastAsia" w:ascii="新宋体" w:hAnsi="新宋体" w:eastAsia="新宋体" w:cs="新宋体"/>
          <w:b w:val="0"/>
          <w:bCs w:val="0"/>
          <w:kern w:val="2"/>
          <w:sz w:val="24"/>
          <w:szCs w:val="24"/>
          <w:lang w:bidi="ar-SA"/>
        </w:rPr>
        <w:t>行业对标库建设：每季度更新《快反能力行业对标报告》，参照L5级标准及头部企业实践，设定阶段性挑战目标。</w:t>
      </w:r>
      <w:bookmarkEnd w:id="146"/>
      <w:bookmarkEnd w:id="147"/>
      <w:bookmarkEnd w:id="148"/>
      <w:bookmarkEnd w:id="149"/>
      <w:bookmarkEnd w:id="150"/>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2"/>
        <w:rPr>
          <w:rFonts w:hint="eastAsia" w:ascii="新宋体" w:hAnsi="新宋体" w:eastAsia="新宋体" w:cs="新宋体"/>
          <w:b/>
          <w:bCs/>
          <w:kern w:val="2"/>
          <w:sz w:val="24"/>
          <w:szCs w:val="24"/>
          <w:lang w:bidi="ar-SA"/>
        </w:rPr>
      </w:pPr>
      <w:bookmarkStart w:id="151" w:name="_Toc1803575946"/>
      <w:bookmarkStart w:id="152" w:name="_Toc1208501436"/>
      <w:bookmarkStart w:id="153" w:name="_Toc402626434"/>
      <w:bookmarkStart w:id="154" w:name="_Toc996629725"/>
      <w:r>
        <w:rPr>
          <w:rFonts w:hint="eastAsia" w:ascii="新宋体" w:hAnsi="新宋体" w:eastAsia="新宋体" w:cs="新宋体"/>
          <w:b/>
          <w:bCs/>
          <w:kern w:val="2"/>
          <w:sz w:val="24"/>
          <w:szCs w:val="24"/>
          <w:lang w:val="en-US" w:eastAsia="zh-CN" w:bidi="ar-SA"/>
        </w:rPr>
        <w:t>7</w:t>
      </w:r>
      <w:r>
        <w:rPr>
          <w:rFonts w:hint="eastAsia" w:ascii="新宋体" w:hAnsi="新宋体" w:eastAsia="新宋体" w:cs="新宋体"/>
          <w:b/>
          <w:bCs/>
          <w:kern w:val="2"/>
          <w:sz w:val="24"/>
          <w:szCs w:val="24"/>
          <w:lang w:bidi="ar-SA"/>
        </w:rPr>
        <w:t>.2.2 核心指标</w:t>
      </w:r>
      <w:bookmarkEnd w:id="151"/>
      <w:bookmarkEnd w:id="152"/>
      <w:bookmarkEnd w:id="153"/>
      <w:bookmarkEnd w:id="154"/>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3"/>
        <w:rPr>
          <w:rFonts w:hint="eastAsia" w:ascii="新宋体" w:hAnsi="新宋体" w:eastAsia="新宋体" w:cs="新宋体"/>
          <w:b w:val="0"/>
          <w:bCs w:val="0"/>
          <w:kern w:val="2"/>
          <w:sz w:val="24"/>
          <w:szCs w:val="24"/>
          <w:lang w:bidi="ar-SA"/>
        </w:rPr>
      </w:pPr>
      <w:bookmarkStart w:id="155" w:name="_Toc2130825122"/>
      <w:bookmarkStart w:id="156" w:name="_Toc969247017"/>
      <w:bookmarkStart w:id="157" w:name="_Toc383301526"/>
      <w:bookmarkStart w:id="158" w:name="_Toc221504541"/>
      <w:r>
        <w:rPr>
          <w:rFonts w:hint="eastAsia" w:ascii="新宋体" w:hAnsi="新宋体" w:eastAsia="新宋体" w:cs="新宋体"/>
          <w:b w:val="0"/>
          <w:bCs w:val="0"/>
          <w:kern w:val="2"/>
          <w:sz w:val="24"/>
          <w:szCs w:val="24"/>
          <w:lang w:bidi="ar-SA"/>
        </w:rPr>
        <w:t>指标标准化定义：严格遵循第四章规范，明确各指标计算逻辑、数据来源及统计周期。</w:t>
      </w:r>
      <w:bookmarkEnd w:id="155"/>
      <w:bookmarkEnd w:id="156"/>
      <w:bookmarkEnd w:id="157"/>
      <w:bookmarkEnd w:id="158"/>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159" w:name="_Toc1340528082"/>
      <w:bookmarkStart w:id="160" w:name="_Toc1845290129"/>
      <w:bookmarkStart w:id="161" w:name="_Toc1471152224"/>
      <w:bookmarkStart w:id="162" w:name="_Toc1112761886"/>
      <w:bookmarkStart w:id="163" w:name="_Toc1237660336"/>
      <w:r>
        <w:rPr>
          <w:rFonts w:hint="eastAsia" w:ascii="新宋体" w:hAnsi="新宋体" w:eastAsia="新宋体" w:cs="新宋体"/>
          <w:b w:val="0"/>
          <w:bCs w:val="0"/>
          <w:kern w:val="2"/>
          <w:sz w:val="24"/>
          <w:szCs w:val="24"/>
          <w:lang w:bidi="ar-SA"/>
        </w:rPr>
        <w:t>责任矩阵落地：建立《指标责任分配表》，例如市场响应指标由营销中心负责、生产效率指标由制造部主导，各部门需在月度经营会上汇报指标达成情况。</w:t>
      </w:r>
      <w:bookmarkEnd w:id="159"/>
      <w:bookmarkEnd w:id="160"/>
      <w:bookmarkEnd w:id="161"/>
      <w:bookmarkEnd w:id="162"/>
      <w:bookmarkEnd w:id="163"/>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164" w:name="_Toc1676200857"/>
      <w:bookmarkStart w:id="165" w:name="_Toc1004533497"/>
      <w:bookmarkStart w:id="166" w:name="_Toc830662310"/>
      <w:bookmarkStart w:id="167" w:name="_Toc1979851776"/>
      <w:bookmarkStart w:id="168" w:name="_Toc1901419926"/>
      <w:r>
        <w:rPr>
          <w:rFonts w:hint="eastAsia" w:ascii="新宋体" w:hAnsi="新宋体" w:eastAsia="新宋体" w:cs="新宋体"/>
          <w:b w:val="0"/>
          <w:bCs w:val="0"/>
          <w:kern w:val="2"/>
          <w:sz w:val="24"/>
          <w:szCs w:val="24"/>
          <w:lang w:bidi="ar-SA"/>
        </w:rPr>
        <w:t>目标分级设定：按L1-L5等级标准设定三阶段目标，每季度更新《目标达成路径图》，标注关键里程碑。</w:t>
      </w:r>
      <w:bookmarkEnd w:id="164"/>
      <w:bookmarkEnd w:id="165"/>
      <w:bookmarkEnd w:id="166"/>
      <w:bookmarkEnd w:id="167"/>
      <w:bookmarkEnd w:id="168"/>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2"/>
        <w:rPr>
          <w:rFonts w:hint="eastAsia" w:ascii="新宋体" w:hAnsi="新宋体" w:eastAsia="新宋体" w:cs="新宋体"/>
          <w:b/>
          <w:bCs/>
          <w:kern w:val="2"/>
          <w:sz w:val="24"/>
          <w:szCs w:val="24"/>
          <w:lang w:bidi="ar-SA"/>
        </w:rPr>
      </w:pPr>
      <w:bookmarkStart w:id="169" w:name="_Toc109688967"/>
      <w:bookmarkStart w:id="170" w:name="_Toc1825535012"/>
      <w:bookmarkStart w:id="171" w:name="_Toc1217322253"/>
      <w:bookmarkStart w:id="172" w:name="_Toc150255023"/>
      <w:r>
        <w:rPr>
          <w:rFonts w:hint="eastAsia" w:ascii="新宋体" w:hAnsi="新宋体" w:eastAsia="新宋体" w:cs="新宋体"/>
          <w:b/>
          <w:bCs/>
          <w:kern w:val="2"/>
          <w:sz w:val="24"/>
          <w:szCs w:val="24"/>
          <w:lang w:val="en-US" w:eastAsia="zh-CN" w:bidi="ar-SA"/>
        </w:rPr>
        <w:t>7</w:t>
      </w:r>
      <w:r>
        <w:rPr>
          <w:rFonts w:hint="eastAsia" w:ascii="新宋体" w:hAnsi="新宋体" w:eastAsia="新宋体" w:cs="新宋体"/>
          <w:b/>
          <w:bCs/>
          <w:kern w:val="2"/>
          <w:sz w:val="24"/>
          <w:szCs w:val="24"/>
          <w:lang w:bidi="ar-SA"/>
        </w:rPr>
        <w:t>.2.3 评估结果</w:t>
      </w:r>
      <w:bookmarkEnd w:id="169"/>
      <w:bookmarkEnd w:id="170"/>
      <w:bookmarkEnd w:id="171"/>
      <w:bookmarkEnd w:id="172"/>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173" w:name="_Toc458401202"/>
      <w:bookmarkStart w:id="174" w:name="_Toc460545275"/>
      <w:bookmarkStart w:id="175" w:name="_Toc668081995"/>
      <w:bookmarkStart w:id="176" w:name="_Toc2042886336"/>
      <w:bookmarkStart w:id="177" w:name="_Toc1001499243"/>
      <w:r>
        <w:rPr>
          <w:rFonts w:hint="eastAsia" w:ascii="新宋体" w:hAnsi="新宋体" w:eastAsia="新宋体" w:cs="新宋体"/>
          <w:b w:val="0"/>
          <w:bCs w:val="0"/>
          <w:kern w:val="2"/>
          <w:sz w:val="24"/>
          <w:szCs w:val="24"/>
          <w:lang w:bidi="ar-SA"/>
        </w:rPr>
        <w:t>多维分析模型：运用柏拉图分析识别主要瓶颈、趋势分析预判风险，结合关联分析定位根本原因。</w:t>
      </w:r>
      <w:bookmarkEnd w:id="173"/>
      <w:bookmarkEnd w:id="174"/>
      <w:bookmarkEnd w:id="175"/>
      <w:bookmarkEnd w:id="176"/>
      <w:bookmarkEnd w:id="177"/>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178" w:name="_Toc220951915"/>
      <w:bookmarkStart w:id="179" w:name="_Toc1325160225"/>
      <w:bookmarkStart w:id="180" w:name="_Toc1409583449"/>
      <w:bookmarkStart w:id="181" w:name="_Toc822100916"/>
      <w:bookmarkStart w:id="182" w:name="_Toc853373137"/>
      <w:r>
        <w:rPr>
          <w:rFonts w:hint="eastAsia" w:ascii="新宋体" w:hAnsi="新宋体" w:eastAsia="新宋体" w:cs="新宋体"/>
          <w:b w:val="0"/>
          <w:bCs w:val="0"/>
          <w:kern w:val="2"/>
          <w:sz w:val="24"/>
          <w:szCs w:val="24"/>
          <w:lang w:bidi="ar-SA"/>
        </w:rPr>
        <w:t>改进闭环管理：针对评估发现的问题，启动8D改善流程，由责任部门制定对策，MOM平台跟踪措施落地进度。</w:t>
      </w:r>
      <w:bookmarkEnd w:id="178"/>
      <w:bookmarkEnd w:id="179"/>
      <w:bookmarkEnd w:id="180"/>
      <w:bookmarkEnd w:id="181"/>
      <w:bookmarkEnd w:id="182"/>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3"/>
        <w:rPr>
          <w:rFonts w:hint="eastAsia" w:ascii="新宋体" w:hAnsi="新宋体" w:eastAsia="新宋体" w:cs="新宋体"/>
          <w:b w:val="0"/>
          <w:bCs w:val="0"/>
          <w:kern w:val="2"/>
          <w:sz w:val="24"/>
          <w:szCs w:val="24"/>
          <w:lang w:bidi="ar-SA"/>
        </w:rPr>
      </w:pPr>
      <w:bookmarkStart w:id="183" w:name="_Toc539609742"/>
      <w:bookmarkStart w:id="184" w:name="_Toc140310414"/>
      <w:bookmarkStart w:id="185" w:name="_Toc414998538"/>
      <w:bookmarkStart w:id="186" w:name="_Toc1976917286"/>
      <w:r>
        <w:rPr>
          <w:rFonts w:hint="eastAsia" w:ascii="新宋体" w:hAnsi="新宋体" w:eastAsia="新宋体" w:cs="新宋体"/>
          <w:b w:val="0"/>
          <w:bCs w:val="0"/>
          <w:kern w:val="2"/>
          <w:sz w:val="24"/>
          <w:szCs w:val="24"/>
          <w:lang w:bidi="ar-SA"/>
        </w:rPr>
        <w:t>绩效挂钩机制：将指标达成率纳入部门KPI及个人考核，设置正负激励。</w:t>
      </w:r>
      <w:bookmarkEnd w:id="183"/>
      <w:bookmarkEnd w:id="184"/>
      <w:bookmarkEnd w:id="185"/>
      <w:bookmarkEnd w:id="186"/>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2"/>
        <w:rPr>
          <w:rFonts w:hint="eastAsia" w:ascii="新宋体" w:hAnsi="新宋体" w:eastAsia="新宋体" w:cs="新宋体"/>
          <w:b/>
          <w:bCs/>
          <w:kern w:val="2"/>
          <w:sz w:val="24"/>
          <w:szCs w:val="24"/>
          <w:lang w:bidi="ar-SA"/>
        </w:rPr>
      </w:pPr>
      <w:bookmarkStart w:id="187" w:name="_Toc2001026357"/>
      <w:bookmarkStart w:id="188" w:name="_Toc181839418"/>
      <w:bookmarkStart w:id="189" w:name="_Toc260083692"/>
      <w:bookmarkStart w:id="190" w:name="_Toc397492513"/>
      <w:r>
        <w:rPr>
          <w:rFonts w:hint="eastAsia" w:ascii="新宋体" w:hAnsi="新宋体" w:eastAsia="新宋体" w:cs="新宋体"/>
          <w:b/>
          <w:bCs/>
          <w:kern w:val="2"/>
          <w:sz w:val="24"/>
          <w:szCs w:val="24"/>
          <w:lang w:val="en-US" w:eastAsia="zh-CN" w:bidi="ar-SA"/>
        </w:rPr>
        <w:t>7</w:t>
      </w:r>
      <w:r>
        <w:rPr>
          <w:rFonts w:hint="eastAsia" w:ascii="新宋体" w:hAnsi="新宋体" w:eastAsia="新宋体" w:cs="新宋体"/>
          <w:b/>
          <w:bCs/>
          <w:kern w:val="2"/>
          <w:sz w:val="24"/>
          <w:szCs w:val="24"/>
          <w:lang w:bidi="ar-SA"/>
        </w:rPr>
        <w:t>.2.4 绩效可视化</w:t>
      </w:r>
      <w:bookmarkEnd w:id="187"/>
      <w:bookmarkEnd w:id="188"/>
      <w:bookmarkEnd w:id="189"/>
      <w:bookmarkEnd w:id="190"/>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191" w:name="_Toc305868645"/>
      <w:bookmarkStart w:id="192" w:name="_Toc1746518893"/>
      <w:bookmarkStart w:id="193" w:name="_Toc1097389799"/>
      <w:bookmarkStart w:id="194" w:name="_Toc1982523821"/>
      <w:bookmarkStart w:id="195" w:name="_Toc1656070079"/>
      <w:r>
        <w:rPr>
          <w:rFonts w:hint="eastAsia" w:ascii="新宋体" w:hAnsi="新宋体" w:eastAsia="新宋体" w:cs="新宋体"/>
          <w:b w:val="0"/>
          <w:bCs w:val="0"/>
          <w:kern w:val="2"/>
          <w:sz w:val="24"/>
          <w:szCs w:val="24"/>
          <w:lang w:bidi="ar-SA"/>
        </w:rPr>
        <w:t>四级看板体系：</w:t>
      </w:r>
      <w:bookmarkEnd w:id="191"/>
      <w:bookmarkEnd w:id="192"/>
      <w:bookmarkEnd w:id="193"/>
      <w:bookmarkEnd w:id="194"/>
      <w:bookmarkEnd w:id="195"/>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196" w:name="_Toc34268986"/>
      <w:bookmarkStart w:id="197" w:name="_Toc1936547455"/>
      <w:bookmarkStart w:id="198" w:name="_Toc1805949244"/>
      <w:bookmarkStart w:id="199" w:name="_Toc1240791357"/>
      <w:bookmarkStart w:id="200" w:name="_Toc2069076342"/>
      <w:r>
        <w:rPr>
          <w:rFonts w:hint="eastAsia" w:ascii="新宋体" w:hAnsi="新宋体" w:eastAsia="新宋体" w:cs="新宋体"/>
          <w:b w:val="0"/>
          <w:bCs w:val="0"/>
          <w:kern w:val="2"/>
          <w:sz w:val="24"/>
          <w:szCs w:val="24"/>
          <w:lang w:bidi="ar-SA"/>
        </w:rPr>
        <w:t>公司级：BI大屏实时展示订单准时交付率、小单接单比例等战略指标，红灯预警时自动推送负责人；</w:t>
      </w:r>
      <w:bookmarkEnd w:id="196"/>
      <w:bookmarkEnd w:id="197"/>
      <w:bookmarkEnd w:id="198"/>
      <w:bookmarkEnd w:id="199"/>
      <w:bookmarkEnd w:id="200"/>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201" w:name="_Toc433230306"/>
      <w:bookmarkStart w:id="202" w:name="_Toc290922253"/>
      <w:bookmarkStart w:id="203" w:name="_Toc1914124729"/>
      <w:bookmarkStart w:id="204" w:name="_Toc763384123"/>
      <w:bookmarkStart w:id="205" w:name="_Toc55077210"/>
      <w:r>
        <w:rPr>
          <w:rFonts w:hint="eastAsia" w:ascii="新宋体" w:hAnsi="新宋体" w:eastAsia="新宋体" w:cs="新宋体"/>
          <w:b w:val="0"/>
          <w:bCs w:val="0"/>
          <w:kern w:val="2"/>
          <w:sz w:val="24"/>
          <w:szCs w:val="24"/>
          <w:lang w:bidi="ar-SA"/>
        </w:rPr>
        <w:t>工厂级：MOM平台看板聚焦生产周期、OEE等运营指标，按车间颜色区分绩效（绿色达标、黄色预警、红色整改）；</w:t>
      </w:r>
      <w:bookmarkEnd w:id="201"/>
      <w:bookmarkEnd w:id="202"/>
      <w:bookmarkEnd w:id="203"/>
      <w:bookmarkEnd w:id="204"/>
      <w:bookmarkEnd w:id="205"/>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206" w:name="_Toc1857525599"/>
      <w:bookmarkStart w:id="207" w:name="_Toc117216613"/>
      <w:bookmarkStart w:id="208" w:name="_Toc1389288243"/>
      <w:bookmarkStart w:id="209" w:name="_Toc1129648083"/>
      <w:bookmarkStart w:id="210" w:name="_Toc1332189612"/>
      <w:r>
        <w:rPr>
          <w:rFonts w:hint="eastAsia" w:ascii="新宋体" w:hAnsi="新宋体" w:eastAsia="新宋体" w:cs="新宋体"/>
          <w:b w:val="0"/>
          <w:bCs w:val="0"/>
          <w:kern w:val="2"/>
          <w:sz w:val="24"/>
          <w:szCs w:val="24"/>
          <w:lang w:bidi="ar-SA"/>
        </w:rPr>
        <w:t>车间级：电子看板动态显示当日换产次数、在制品周转情况，班组长可通过扫码查询实时数据；</w:t>
      </w:r>
      <w:bookmarkEnd w:id="206"/>
      <w:bookmarkEnd w:id="207"/>
      <w:bookmarkEnd w:id="208"/>
      <w:bookmarkEnd w:id="209"/>
      <w:bookmarkEnd w:id="210"/>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211" w:name="_Toc446305262"/>
      <w:bookmarkStart w:id="212" w:name="_Toc1462965954"/>
      <w:bookmarkStart w:id="213" w:name="_Toc817110392"/>
      <w:bookmarkStart w:id="214" w:name="_Toc177806270"/>
      <w:bookmarkStart w:id="215" w:name="_Toc92407854"/>
      <w:r>
        <w:rPr>
          <w:rFonts w:hint="eastAsia" w:ascii="新宋体" w:hAnsi="新宋体" w:eastAsia="新宋体" w:cs="新宋体"/>
          <w:b w:val="0"/>
          <w:bCs w:val="0"/>
          <w:kern w:val="2"/>
          <w:sz w:val="24"/>
          <w:szCs w:val="24"/>
          <w:lang w:bidi="ar-SA"/>
        </w:rPr>
        <w:t>工位级：设备终端显示工序良率、标准工时达成率，员工可实时查看个人绩效数据。</w:t>
      </w:r>
      <w:bookmarkEnd w:id="211"/>
      <w:bookmarkEnd w:id="212"/>
      <w:bookmarkEnd w:id="213"/>
      <w:bookmarkEnd w:id="214"/>
      <w:bookmarkEnd w:id="215"/>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216" w:name="_Toc1240226913"/>
      <w:bookmarkStart w:id="217" w:name="_Toc468125397"/>
      <w:bookmarkStart w:id="218" w:name="_Toc2039643110"/>
      <w:bookmarkStart w:id="219" w:name="_Toc1528514375"/>
      <w:bookmarkStart w:id="220" w:name="_Toc16435779"/>
      <w:r>
        <w:rPr>
          <w:rFonts w:hint="eastAsia" w:ascii="新宋体" w:hAnsi="新宋体" w:eastAsia="新宋体" w:cs="新宋体"/>
          <w:b w:val="0"/>
          <w:bCs w:val="0"/>
          <w:kern w:val="2"/>
          <w:sz w:val="24"/>
          <w:szCs w:val="24"/>
          <w:lang w:bidi="ar-SA"/>
        </w:rPr>
        <w:t>智能预警规则：设定指标波动阈值，系统自动触发邮件/短信通知（抄送管理层及责任工程师），并关联《应急响应预案》。</w:t>
      </w:r>
      <w:bookmarkEnd w:id="216"/>
      <w:bookmarkEnd w:id="217"/>
      <w:bookmarkEnd w:id="218"/>
      <w:bookmarkEnd w:id="219"/>
      <w:bookmarkEnd w:id="220"/>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eastAsia="zh-CN" w:bidi="ar-SA"/>
        </w:rPr>
      </w:pPr>
      <w:bookmarkStart w:id="221" w:name="_Toc292709"/>
      <w:bookmarkStart w:id="222" w:name="_Toc1541715211"/>
      <w:bookmarkStart w:id="223" w:name="_Toc1017449009"/>
      <w:bookmarkStart w:id="224" w:name="_Toc1358230837"/>
      <w:bookmarkStart w:id="225" w:name="_Toc1550948418"/>
      <w:r>
        <w:rPr>
          <w:rFonts w:hint="eastAsia" w:ascii="新宋体" w:hAnsi="新宋体" w:eastAsia="新宋体" w:cs="新宋体"/>
          <w:b w:val="0"/>
          <w:bCs w:val="0"/>
          <w:kern w:val="2"/>
          <w:sz w:val="24"/>
          <w:szCs w:val="24"/>
          <w:lang w:bidi="ar-SA"/>
        </w:rPr>
        <w:t>移动化决策支持：开发快反绩效APP，管理层可随时随地查看指标趋势，通过语音指令调取详细数据。</w:t>
      </w:r>
      <w:bookmarkEnd w:id="221"/>
      <w:bookmarkEnd w:id="222"/>
      <w:bookmarkEnd w:id="223"/>
      <w:bookmarkEnd w:id="224"/>
      <w:bookmarkEnd w:id="225"/>
    </w:p>
    <w:p>
      <w:pPr>
        <w:keepNext w:val="0"/>
        <w:keepLines w:val="0"/>
        <w:pageBreakBefore w:val="0"/>
        <w:widowControl w:val="0"/>
        <w:kinsoku/>
        <w:wordWrap/>
        <w:overflowPunct/>
        <w:topLinePunct w:val="0"/>
        <w:autoSpaceDE/>
        <w:autoSpaceDN/>
        <w:bidi w:val="0"/>
        <w:adjustRightInd/>
        <w:snapToGrid/>
        <w:spacing w:line="420" w:lineRule="exact"/>
        <w:textAlignment w:val="auto"/>
        <w:outlineLvl w:val="1"/>
        <w:rPr>
          <w:rFonts w:hint="eastAsia" w:ascii="新宋体" w:hAnsi="新宋体" w:eastAsia="新宋体" w:cs="新宋体"/>
          <w:b/>
          <w:bCs/>
          <w:sz w:val="24"/>
          <w:szCs w:val="24"/>
          <w:lang w:val="en-US" w:eastAsia="zh-CN"/>
        </w:rPr>
      </w:pPr>
      <w:bookmarkStart w:id="226" w:name="_Toc2000696849"/>
      <w:bookmarkStart w:id="227" w:name="_Toc69866575"/>
      <w:bookmarkStart w:id="228" w:name="_Toc633554040"/>
      <w:r>
        <w:rPr>
          <w:rFonts w:hint="eastAsia" w:ascii="新宋体" w:hAnsi="新宋体" w:eastAsia="新宋体" w:cs="新宋体"/>
          <w:b/>
          <w:bCs/>
          <w:sz w:val="24"/>
          <w:szCs w:val="24"/>
          <w:lang w:val="en-US" w:eastAsia="zh-CN"/>
        </w:rPr>
        <w:t>7.3 持续改善</w:t>
      </w:r>
      <w:bookmarkEnd w:id="226"/>
      <w:bookmarkEnd w:id="227"/>
      <w:bookmarkEnd w:id="228"/>
    </w:p>
    <w:bookmarkEnd w:id="126"/>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229" w:name="_Toc1721454763"/>
      <w:bookmarkStart w:id="230" w:name="_Toc412996417"/>
      <w:bookmarkStart w:id="231" w:name="_Toc918828454"/>
      <w:bookmarkStart w:id="232" w:name="_Toc186447453"/>
      <w:bookmarkStart w:id="233" w:name="_Toc632282747"/>
      <w:bookmarkStart w:id="234" w:name="X93fc8318c1e4f6d8ba31b6f9cb87f3ef093c56d"/>
      <w:r>
        <w:rPr>
          <w:rFonts w:hint="eastAsia" w:ascii="新宋体" w:hAnsi="新宋体" w:eastAsia="新宋体" w:cs="新宋体"/>
          <w:b w:val="0"/>
          <w:bCs w:val="0"/>
          <w:kern w:val="2"/>
          <w:sz w:val="24"/>
          <w:szCs w:val="24"/>
          <w:lang w:val="en-US" w:eastAsia="zh-CN" w:bidi="ar-SA"/>
        </w:rPr>
        <w:t>持续改善是数字化快反工厂实现螺旋式提升的核心机制，通过将 PDCA 方法论与数字化工具深度融合，形成 “评估 - 改进 - 固化 - 提升” 的闭环管理。以下从循环驱动、文化赋能、工具支撑、定期迭代四个维度，构建与六大核心指标联动的持续优化体系，确保快反能力的持续精进。</w:t>
      </w:r>
      <w:bookmarkEnd w:id="229"/>
      <w:bookmarkEnd w:id="230"/>
      <w:bookmarkEnd w:id="231"/>
      <w:bookmarkEnd w:id="232"/>
      <w:bookmarkEnd w:id="233"/>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2"/>
        <w:rPr>
          <w:rFonts w:hint="eastAsia" w:ascii="新宋体" w:hAnsi="新宋体" w:eastAsia="新宋体" w:cs="新宋体"/>
          <w:b/>
          <w:bCs/>
          <w:kern w:val="2"/>
          <w:sz w:val="24"/>
          <w:szCs w:val="24"/>
          <w:lang w:bidi="ar-SA"/>
        </w:rPr>
      </w:pPr>
      <w:bookmarkStart w:id="235" w:name="_Toc1027043473"/>
      <w:bookmarkStart w:id="236" w:name="_Toc443701598"/>
      <w:bookmarkStart w:id="237" w:name="_Toc563633415"/>
      <w:bookmarkStart w:id="238" w:name="_Toc194920801"/>
      <w:r>
        <w:rPr>
          <w:rFonts w:hint="eastAsia" w:ascii="新宋体" w:hAnsi="新宋体" w:eastAsia="新宋体" w:cs="新宋体"/>
          <w:b/>
          <w:bCs/>
          <w:kern w:val="2"/>
          <w:sz w:val="24"/>
          <w:szCs w:val="24"/>
          <w:lang w:val="en-US" w:eastAsia="zh-CN" w:bidi="ar-SA"/>
        </w:rPr>
        <w:t>7</w:t>
      </w:r>
      <w:r>
        <w:rPr>
          <w:rFonts w:hint="eastAsia" w:ascii="新宋体" w:hAnsi="新宋体" w:eastAsia="新宋体" w:cs="新宋体"/>
          <w:b/>
          <w:bCs/>
          <w:kern w:val="2"/>
          <w:sz w:val="24"/>
          <w:szCs w:val="24"/>
          <w:lang w:bidi="ar-SA"/>
        </w:rPr>
        <w:t>.3.1 循环驱动</w:t>
      </w:r>
      <w:bookmarkEnd w:id="235"/>
      <w:bookmarkEnd w:id="236"/>
      <w:bookmarkEnd w:id="237"/>
      <w:bookmarkEnd w:id="238"/>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3"/>
        <w:rPr>
          <w:rFonts w:hint="eastAsia" w:ascii="新宋体" w:hAnsi="新宋体" w:eastAsia="新宋体" w:cs="新宋体"/>
          <w:b w:val="0"/>
          <w:bCs w:val="0"/>
          <w:kern w:val="2"/>
          <w:sz w:val="24"/>
          <w:szCs w:val="24"/>
          <w:lang w:bidi="ar-SA"/>
        </w:rPr>
      </w:pPr>
      <w:bookmarkStart w:id="239" w:name="_Toc46096125"/>
      <w:bookmarkStart w:id="240" w:name="_Toc1229535202"/>
      <w:bookmarkStart w:id="241" w:name="_Toc436438988"/>
      <w:bookmarkStart w:id="242" w:name="_Toc1121340732"/>
      <w:r>
        <w:rPr>
          <w:rFonts w:hint="eastAsia" w:ascii="新宋体" w:hAnsi="新宋体" w:eastAsia="新宋体" w:cs="新宋体"/>
          <w:b w:val="0"/>
          <w:bCs w:val="0"/>
          <w:kern w:val="2"/>
          <w:sz w:val="24"/>
          <w:szCs w:val="24"/>
          <w:lang w:bidi="ar-SA"/>
        </w:rPr>
        <w:t>计划锚定指标：基于绩效评估结果，制定专项改善计划，明确目标值及时间节点。</w:t>
      </w:r>
      <w:bookmarkEnd w:id="239"/>
      <w:bookmarkEnd w:id="240"/>
      <w:bookmarkEnd w:id="241"/>
      <w:bookmarkEnd w:id="242"/>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243" w:name="_Toc1710488580"/>
      <w:bookmarkStart w:id="244" w:name="_Toc57196652"/>
      <w:bookmarkStart w:id="245" w:name="_Toc1573416811"/>
      <w:bookmarkStart w:id="246" w:name="_Toc1643459955"/>
      <w:bookmarkStart w:id="247" w:name="_Toc1590509357"/>
      <w:r>
        <w:rPr>
          <w:rFonts w:hint="eastAsia" w:ascii="新宋体" w:hAnsi="新宋体" w:eastAsia="新宋体" w:cs="新宋体"/>
          <w:b w:val="0"/>
          <w:bCs w:val="0"/>
          <w:kern w:val="2"/>
          <w:sz w:val="24"/>
          <w:szCs w:val="24"/>
          <w:lang w:bidi="ar-SA"/>
        </w:rPr>
        <w:t>执行数据追踪：通过系统实时采集改进措施落地数据，对比基线记录改善幅度。</w:t>
      </w:r>
      <w:bookmarkEnd w:id="243"/>
      <w:bookmarkEnd w:id="244"/>
      <w:bookmarkEnd w:id="245"/>
      <w:bookmarkEnd w:id="246"/>
      <w:bookmarkEnd w:id="247"/>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248" w:name="_Toc1378939955"/>
      <w:bookmarkStart w:id="249" w:name="_Toc1965465318"/>
      <w:bookmarkStart w:id="250" w:name="_Toc1961808890"/>
      <w:bookmarkStart w:id="251" w:name="_Toc696795971"/>
      <w:bookmarkStart w:id="252" w:name="_Toc302713319"/>
      <w:r>
        <w:rPr>
          <w:rFonts w:hint="eastAsia" w:ascii="新宋体" w:hAnsi="新宋体" w:eastAsia="新宋体" w:cs="新宋体"/>
          <w:b w:val="0"/>
          <w:bCs w:val="0"/>
          <w:kern w:val="2"/>
          <w:sz w:val="24"/>
          <w:szCs w:val="24"/>
          <w:lang w:bidi="ar-SA"/>
        </w:rPr>
        <w:t>检查差异分析：运用专业工具分析执行结果与目标偏差，定位瓶颈环节。</w:t>
      </w:r>
      <w:bookmarkEnd w:id="248"/>
      <w:bookmarkEnd w:id="249"/>
      <w:bookmarkEnd w:id="250"/>
      <w:bookmarkEnd w:id="251"/>
      <w:bookmarkEnd w:id="252"/>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253" w:name="_Toc313992690"/>
      <w:bookmarkStart w:id="254" w:name="_Toc1805581839"/>
      <w:bookmarkStart w:id="255" w:name="_Toc982141472"/>
      <w:bookmarkStart w:id="256" w:name="_Toc200305261"/>
      <w:bookmarkStart w:id="257" w:name="_Toc821557506"/>
      <w:r>
        <w:rPr>
          <w:rFonts w:hint="eastAsia" w:ascii="新宋体" w:hAnsi="新宋体" w:eastAsia="新宋体" w:cs="新宋体"/>
          <w:b w:val="0"/>
          <w:bCs w:val="0"/>
          <w:kern w:val="2"/>
          <w:sz w:val="24"/>
          <w:szCs w:val="24"/>
          <w:lang w:bidi="ar-SA"/>
        </w:rPr>
        <w:t>标准化固化成果：将成功经验嵌入系统，形成标准化流程防止问题反弹。</w:t>
      </w:r>
      <w:bookmarkEnd w:id="253"/>
      <w:bookmarkEnd w:id="254"/>
      <w:bookmarkEnd w:id="255"/>
      <w:bookmarkEnd w:id="256"/>
      <w:bookmarkEnd w:id="257"/>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2"/>
        <w:rPr>
          <w:rFonts w:hint="eastAsia" w:ascii="新宋体" w:hAnsi="新宋体" w:eastAsia="新宋体" w:cs="新宋体"/>
          <w:b/>
          <w:bCs/>
          <w:kern w:val="2"/>
          <w:sz w:val="24"/>
          <w:szCs w:val="24"/>
          <w:lang w:bidi="ar-SA"/>
        </w:rPr>
      </w:pPr>
      <w:bookmarkStart w:id="258" w:name="_Toc1423646778"/>
      <w:bookmarkStart w:id="259" w:name="_Toc1744636779"/>
      <w:bookmarkStart w:id="260" w:name="_Toc1292409062"/>
      <w:bookmarkStart w:id="261" w:name="_Toc907820151"/>
      <w:r>
        <w:rPr>
          <w:rFonts w:hint="eastAsia" w:ascii="新宋体" w:hAnsi="新宋体" w:eastAsia="新宋体" w:cs="新宋体"/>
          <w:b/>
          <w:bCs/>
          <w:kern w:val="2"/>
          <w:sz w:val="24"/>
          <w:szCs w:val="24"/>
          <w:lang w:val="en-US" w:eastAsia="zh-CN" w:bidi="ar-SA"/>
        </w:rPr>
        <w:t>7</w:t>
      </w:r>
      <w:r>
        <w:rPr>
          <w:rFonts w:hint="eastAsia" w:ascii="新宋体" w:hAnsi="新宋体" w:eastAsia="新宋体" w:cs="新宋体"/>
          <w:b/>
          <w:bCs/>
          <w:kern w:val="2"/>
          <w:sz w:val="24"/>
          <w:szCs w:val="24"/>
          <w:lang w:bidi="ar-SA"/>
        </w:rPr>
        <w:t>.3.2 文化赋能</w:t>
      </w:r>
      <w:bookmarkEnd w:id="258"/>
      <w:bookmarkEnd w:id="259"/>
      <w:bookmarkEnd w:id="260"/>
      <w:bookmarkEnd w:id="261"/>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3"/>
        <w:rPr>
          <w:rFonts w:hint="eastAsia" w:ascii="新宋体" w:hAnsi="新宋体" w:eastAsia="新宋体" w:cs="新宋体"/>
          <w:b w:val="0"/>
          <w:bCs w:val="0"/>
          <w:kern w:val="2"/>
          <w:sz w:val="24"/>
          <w:szCs w:val="24"/>
          <w:lang w:bidi="ar-SA"/>
        </w:rPr>
      </w:pPr>
      <w:bookmarkStart w:id="262" w:name="_Toc2009449569"/>
      <w:bookmarkStart w:id="263" w:name="_Toc2116086619"/>
      <w:bookmarkStart w:id="264" w:name="_Toc368628515"/>
      <w:bookmarkStart w:id="265" w:name="_Toc1869499276"/>
      <w:r>
        <w:rPr>
          <w:rFonts w:hint="eastAsia" w:ascii="新宋体" w:hAnsi="新宋体" w:eastAsia="新宋体" w:cs="新宋体"/>
          <w:b w:val="0"/>
          <w:bCs w:val="0"/>
          <w:kern w:val="2"/>
          <w:sz w:val="24"/>
          <w:szCs w:val="24"/>
          <w:lang w:bidi="ar-SA"/>
        </w:rPr>
        <w:t>改善机制搭建：推行快反改善提案制度，鼓励员工提交效率提升建议并实施激励。</w:t>
      </w:r>
      <w:bookmarkEnd w:id="262"/>
      <w:bookmarkEnd w:id="263"/>
      <w:bookmarkEnd w:id="264"/>
      <w:bookmarkEnd w:id="265"/>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266" w:name="_Toc841092475"/>
      <w:bookmarkStart w:id="267" w:name="_Toc322552316"/>
      <w:bookmarkStart w:id="268" w:name="_Toc591127566"/>
      <w:bookmarkStart w:id="269" w:name="_Toc49130010"/>
      <w:bookmarkStart w:id="270" w:name="_Toc1491073461"/>
      <w:r>
        <w:rPr>
          <w:rFonts w:hint="eastAsia" w:ascii="新宋体" w:hAnsi="新宋体" w:eastAsia="新宋体" w:cs="新宋体"/>
          <w:b w:val="0"/>
          <w:bCs w:val="0"/>
          <w:kern w:val="2"/>
          <w:sz w:val="24"/>
          <w:szCs w:val="24"/>
          <w:lang w:bidi="ar-SA"/>
        </w:rPr>
        <w:t>QC 小组攻坚：组建跨部门小组针对关键指标开展专项攻关，运用科学方法分析问题。</w:t>
      </w:r>
      <w:bookmarkEnd w:id="266"/>
      <w:bookmarkEnd w:id="267"/>
      <w:bookmarkEnd w:id="268"/>
      <w:bookmarkEnd w:id="269"/>
      <w:bookmarkEnd w:id="270"/>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3"/>
        <w:rPr>
          <w:rFonts w:hint="eastAsia" w:ascii="新宋体" w:hAnsi="新宋体" w:eastAsia="新宋体" w:cs="新宋体"/>
          <w:b w:val="0"/>
          <w:bCs w:val="0"/>
          <w:kern w:val="2"/>
          <w:sz w:val="24"/>
          <w:szCs w:val="24"/>
          <w:lang w:bidi="ar-SA"/>
        </w:rPr>
      </w:pPr>
      <w:bookmarkStart w:id="271" w:name="_Toc821650740"/>
      <w:bookmarkStart w:id="272" w:name="_Toc1503862771"/>
      <w:bookmarkStart w:id="273" w:name="_Toc1094357622"/>
      <w:bookmarkStart w:id="274" w:name="_Toc1484982184"/>
      <w:r>
        <w:rPr>
          <w:rFonts w:hint="eastAsia" w:ascii="新宋体" w:hAnsi="新宋体" w:eastAsia="新宋体" w:cs="新宋体"/>
          <w:b w:val="0"/>
          <w:bCs w:val="0"/>
          <w:kern w:val="2"/>
          <w:sz w:val="24"/>
          <w:szCs w:val="24"/>
          <w:lang w:val="en-US" w:eastAsia="zh-CN" w:bidi="ar-SA"/>
        </w:rPr>
        <w:t>6</w:t>
      </w:r>
      <w:r>
        <w:rPr>
          <w:rFonts w:hint="eastAsia" w:ascii="新宋体" w:hAnsi="新宋体" w:eastAsia="新宋体" w:cs="新宋体"/>
          <w:b w:val="0"/>
          <w:bCs w:val="0"/>
          <w:kern w:val="2"/>
          <w:sz w:val="24"/>
          <w:szCs w:val="24"/>
          <w:lang w:bidi="ar-SA"/>
        </w:rPr>
        <w:t xml:space="preserve">S 深化应用：将 </w:t>
      </w:r>
      <w:r>
        <w:rPr>
          <w:rFonts w:hint="eastAsia" w:ascii="新宋体" w:hAnsi="新宋体" w:eastAsia="新宋体" w:cs="新宋体"/>
          <w:b w:val="0"/>
          <w:bCs w:val="0"/>
          <w:kern w:val="2"/>
          <w:sz w:val="24"/>
          <w:szCs w:val="24"/>
          <w:lang w:val="en-US" w:eastAsia="zh-CN" w:bidi="ar-SA"/>
        </w:rPr>
        <w:t>6</w:t>
      </w:r>
      <w:r>
        <w:rPr>
          <w:rFonts w:hint="eastAsia" w:ascii="新宋体" w:hAnsi="新宋体" w:eastAsia="新宋体" w:cs="新宋体"/>
          <w:b w:val="0"/>
          <w:bCs w:val="0"/>
          <w:kern w:val="2"/>
          <w:sz w:val="24"/>
          <w:szCs w:val="24"/>
          <w:lang w:bidi="ar-SA"/>
        </w:rPr>
        <w:t>S 标准纳入工位考核，通过电子看板公示评分并关联奖金分配。</w:t>
      </w:r>
      <w:bookmarkEnd w:id="271"/>
      <w:bookmarkEnd w:id="272"/>
      <w:bookmarkEnd w:id="273"/>
      <w:bookmarkEnd w:id="274"/>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2"/>
        <w:rPr>
          <w:rFonts w:hint="eastAsia" w:ascii="新宋体" w:hAnsi="新宋体" w:eastAsia="新宋体" w:cs="新宋体"/>
          <w:b/>
          <w:bCs/>
          <w:kern w:val="2"/>
          <w:sz w:val="24"/>
          <w:szCs w:val="24"/>
          <w:lang w:bidi="ar-SA"/>
        </w:rPr>
      </w:pPr>
      <w:bookmarkStart w:id="275" w:name="_Toc1818600046"/>
      <w:bookmarkStart w:id="276" w:name="_Toc40621054"/>
      <w:bookmarkStart w:id="277" w:name="_Toc1686550654"/>
      <w:bookmarkStart w:id="278" w:name="_Toc1164136970"/>
      <w:r>
        <w:rPr>
          <w:rFonts w:hint="eastAsia" w:ascii="新宋体" w:hAnsi="新宋体" w:eastAsia="新宋体" w:cs="新宋体"/>
          <w:b/>
          <w:bCs/>
          <w:kern w:val="2"/>
          <w:sz w:val="24"/>
          <w:szCs w:val="24"/>
          <w:lang w:val="en-US" w:eastAsia="zh-CN" w:bidi="ar-SA"/>
        </w:rPr>
        <w:t>7</w:t>
      </w:r>
      <w:r>
        <w:rPr>
          <w:rFonts w:hint="eastAsia" w:ascii="新宋体" w:hAnsi="新宋体" w:eastAsia="新宋体" w:cs="新宋体"/>
          <w:b/>
          <w:bCs/>
          <w:kern w:val="2"/>
          <w:sz w:val="24"/>
          <w:szCs w:val="24"/>
          <w:lang w:bidi="ar-SA"/>
        </w:rPr>
        <w:t>.3.3 工具支撑</w:t>
      </w:r>
      <w:bookmarkEnd w:id="275"/>
      <w:bookmarkEnd w:id="276"/>
      <w:bookmarkEnd w:id="277"/>
      <w:bookmarkEnd w:id="278"/>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279" w:name="_Toc2074030620"/>
      <w:bookmarkStart w:id="280" w:name="_Toc1965738479"/>
      <w:bookmarkStart w:id="281" w:name="_Toc76225371"/>
      <w:bookmarkStart w:id="282" w:name="_Toc888049984"/>
      <w:bookmarkStart w:id="283" w:name="_Toc1220185025"/>
      <w:r>
        <w:rPr>
          <w:rFonts w:hint="eastAsia" w:ascii="新宋体" w:hAnsi="新宋体" w:eastAsia="新宋体" w:cs="新宋体"/>
          <w:b w:val="0"/>
          <w:bCs w:val="0"/>
          <w:kern w:val="2"/>
          <w:sz w:val="24"/>
          <w:szCs w:val="24"/>
          <w:lang w:bidi="ar-SA"/>
        </w:rPr>
        <w:t>BI 智能诊断：利用 BI 系统生成指标健康度看板，自动识别持续恶化指标并推送预警。</w:t>
      </w:r>
      <w:bookmarkEnd w:id="279"/>
      <w:bookmarkEnd w:id="280"/>
      <w:bookmarkEnd w:id="281"/>
      <w:bookmarkEnd w:id="282"/>
      <w:bookmarkEnd w:id="283"/>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3"/>
        <w:rPr>
          <w:rFonts w:hint="eastAsia" w:ascii="新宋体" w:hAnsi="新宋体" w:eastAsia="新宋体" w:cs="新宋体"/>
          <w:b w:val="0"/>
          <w:bCs w:val="0"/>
          <w:kern w:val="2"/>
          <w:sz w:val="24"/>
          <w:szCs w:val="24"/>
          <w:lang w:bidi="ar-SA"/>
        </w:rPr>
      </w:pPr>
      <w:bookmarkStart w:id="284" w:name="_Toc1328369972"/>
      <w:bookmarkStart w:id="285" w:name="_Toc278072236"/>
      <w:bookmarkStart w:id="286" w:name="_Toc1219556785"/>
      <w:bookmarkStart w:id="287" w:name="_Toc1278191105"/>
      <w:r>
        <w:rPr>
          <w:rFonts w:hint="eastAsia" w:ascii="新宋体" w:hAnsi="新宋体" w:eastAsia="新宋体" w:cs="新宋体"/>
          <w:b w:val="0"/>
          <w:bCs w:val="0"/>
          <w:kern w:val="2"/>
          <w:sz w:val="24"/>
          <w:szCs w:val="24"/>
          <w:lang w:bidi="ar-SA"/>
        </w:rPr>
        <w:t>在线协同管理：通过协同平台搭建快反改善工作区，实时同步进度与跨部门协作。</w:t>
      </w:r>
      <w:bookmarkEnd w:id="284"/>
      <w:bookmarkEnd w:id="285"/>
      <w:bookmarkEnd w:id="286"/>
      <w:bookmarkEnd w:id="287"/>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288" w:name="_Toc635654580"/>
      <w:bookmarkStart w:id="289" w:name="_Toc1506958527"/>
      <w:bookmarkStart w:id="290" w:name="_Toc674125192"/>
      <w:bookmarkStart w:id="291" w:name="_Toc444734438"/>
      <w:bookmarkStart w:id="292" w:name="_Toc1278980794"/>
      <w:r>
        <w:rPr>
          <w:rFonts w:hint="eastAsia" w:ascii="新宋体" w:hAnsi="新宋体" w:eastAsia="新宋体" w:cs="新宋体"/>
          <w:b w:val="0"/>
          <w:bCs w:val="0"/>
          <w:kern w:val="2"/>
          <w:sz w:val="24"/>
          <w:szCs w:val="24"/>
          <w:lang w:bidi="ar-SA"/>
        </w:rPr>
        <w:t>知识沉淀复用：在知识管理系统建立案例库，分类存储成功实践供各端检索复用。</w:t>
      </w:r>
      <w:bookmarkEnd w:id="288"/>
      <w:bookmarkEnd w:id="289"/>
      <w:bookmarkEnd w:id="290"/>
      <w:bookmarkEnd w:id="291"/>
      <w:bookmarkEnd w:id="292"/>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2"/>
        <w:rPr>
          <w:rFonts w:hint="eastAsia" w:ascii="新宋体" w:hAnsi="新宋体" w:eastAsia="新宋体" w:cs="新宋体"/>
          <w:b/>
          <w:bCs/>
          <w:kern w:val="2"/>
          <w:sz w:val="24"/>
          <w:szCs w:val="24"/>
          <w:lang w:bidi="ar-SA"/>
        </w:rPr>
      </w:pPr>
      <w:bookmarkStart w:id="293" w:name="_Toc2045864019"/>
      <w:bookmarkStart w:id="294" w:name="_Toc1666381935"/>
      <w:bookmarkStart w:id="295" w:name="_Toc1862865882"/>
      <w:bookmarkStart w:id="296" w:name="_Toc29830571"/>
      <w:r>
        <w:rPr>
          <w:rFonts w:hint="eastAsia" w:ascii="新宋体" w:hAnsi="新宋体" w:eastAsia="新宋体" w:cs="新宋体"/>
          <w:b/>
          <w:bCs/>
          <w:kern w:val="2"/>
          <w:sz w:val="24"/>
          <w:szCs w:val="24"/>
          <w:lang w:val="en-US" w:eastAsia="zh-CN" w:bidi="ar-SA"/>
        </w:rPr>
        <w:t>7</w:t>
      </w:r>
      <w:r>
        <w:rPr>
          <w:rFonts w:hint="eastAsia" w:ascii="新宋体" w:hAnsi="新宋体" w:eastAsia="新宋体" w:cs="新宋体"/>
          <w:b/>
          <w:bCs/>
          <w:kern w:val="2"/>
          <w:sz w:val="24"/>
          <w:szCs w:val="24"/>
          <w:lang w:bidi="ar-SA"/>
        </w:rPr>
        <w:t>.3.4 定期迭代</w:t>
      </w:r>
      <w:bookmarkEnd w:id="293"/>
      <w:bookmarkEnd w:id="294"/>
      <w:bookmarkEnd w:id="295"/>
      <w:bookmarkEnd w:id="296"/>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0"/>
        <w:rPr>
          <w:rFonts w:hint="eastAsia" w:ascii="新宋体" w:hAnsi="新宋体" w:eastAsia="新宋体" w:cs="新宋体"/>
          <w:b w:val="0"/>
          <w:bCs w:val="0"/>
          <w:kern w:val="2"/>
          <w:sz w:val="24"/>
          <w:szCs w:val="24"/>
          <w:lang w:bidi="ar-SA"/>
        </w:rPr>
      </w:pPr>
      <w:bookmarkStart w:id="297" w:name="_Toc1546941018"/>
      <w:bookmarkStart w:id="298" w:name="_Toc1408607906"/>
      <w:bookmarkStart w:id="299" w:name="_Toc998717046"/>
      <w:bookmarkStart w:id="300" w:name="_Toc1022789161"/>
      <w:bookmarkStart w:id="301" w:name="_Toc1475895216"/>
      <w:r>
        <w:rPr>
          <w:rFonts w:hint="eastAsia" w:ascii="新宋体" w:hAnsi="新宋体" w:eastAsia="新宋体" w:cs="新宋体"/>
          <w:b w:val="0"/>
          <w:bCs w:val="0"/>
          <w:kern w:val="2"/>
          <w:sz w:val="24"/>
          <w:szCs w:val="24"/>
          <w:lang w:bidi="ar-SA"/>
        </w:rPr>
        <w:t>季度复盘会：对照等级标准评估当前水平，调整技术投入优先级与资源分配。</w:t>
      </w:r>
      <w:bookmarkEnd w:id="297"/>
      <w:bookmarkEnd w:id="298"/>
      <w:bookmarkEnd w:id="299"/>
      <w:bookmarkEnd w:id="300"/>
      <w:bookmarkEnd w:id="301"/>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302" w:name="_Toc705207170"/>
      <w:bookmarkStart w:id="303" w:name="_Toc2000658944"/>
      <w:bookmarkStart w:id="304" w:name="_Toc1558318339"/>
      <w:bookmarkStart w:id="305" w:name="_Toc613351614"/>
      <w:bookmarkStart w:id="306" w:name="_Toc1934772462"/>
      <w:r>
        <w:rPr>
          <w:rFonts w:hint="eastAsia" w:ascii="新宋体" w:hAnsi="新宋体" w:eastAsia="新宋体" w:cs="新宋体"/>
          <w:b w:val="0"/>
          <w:bCs w:val="0"/>
          <w:kern w:val="2"/>
          <w:sz w:val="24"/>
          <w:szCs w:val="24"/>
          <w:lang w:bidi="ar-SA"/>
        </w:rPr>
        <w:t>敏捷迭代包：将评审共识转化为阶段性迭代任务，由专项小组跟踪闭环。</w:t>
      </w:r>
      <w:bookmarkEnd w:id="302"/>
      <w:bookmarkEnd w:id="303"/>
      <w:bookmarkEnd w:id="304"/>
      <w:bookmarkEnd w:id="305"/>
      <w:bookmarkEnd w:id="306"/>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307" w:name="_Toc2093248408"/>
      <w:bookmarkStart w:id="308" w:name="_Toc1923410729"/>
      <w:bookmarkStart w:id="309" w:name="_Toc523385960"/>
      <w:bookmarkStart w:id="310" w:name="_Toc454658397"/>
      <w:bookmarkStart w:id="311" w:name="_Toc679070898"/>
      <w:r>
        <w:rPr>
          <w:rFonts w:hint="eastAsia" w:ascii="新宋体" w:hAnsi="新宋体" w:eastAsia="新宋体" w:cs="新宋体"/>
          <w:b w:val="0"/>
          <w:bCs w:val="0"/>
          <w:kern w:val="2"/>
          <w:sz w:val="24"/>
          <w:szCs w:val="24"/>
          <w:lang w:bidi="ar-SA"/>
        </w:rPr>
        <w:t>技术路线图更新：结合行业趋势与企业指标缺口，动态调整中长期技术规划。</w:t>
      </w:r>
      <w:bookmarkEnd w:id="307"/>
      <w:bookmarkEnd w:id="308"/>
      <w:bookmarkEnd w:id="309"/>
      <w:bookmarkEnd w:id="310"/>
      <w:bookmarkEnd w:id="311"/>
    </w:p>
    <w:p>
      <w:pPr>
        <w:keepNext w:val="0"/>
        <w:keepLines w:val="0"/>
        <w:pageBreakBefore w:val="0"/>
        <w:widowControl w:val="0"/>
        <w:kinsoku/>
        <w:wordWrap/>
        <w:overflowPunct/>
        <w:topLinePunct w:val="0"/>
        <w:autoSpaceDE/>
        <w:autoSpaceDN/>
        <w:bidi w:val="0"/>
        <w:adjustRightInd/>
        <w:snapToGrid/>
        <w:spacing w:line="420" w:lineRule="exact"/>
        <w:jc w:val="left"/>
        <w:textAlignment w:val="auto"/>
        <w:outlineLvl w:val="0"/>
        <w:rPr>
          <w:rFonts w:hint="eastAsia" w:ascii="新宋体" w:hAnsi="新宋体" w:eastAsia="新宋体" w:cs="新宋体"/>
          <w:b/>
          <w:bCs/>
          <w:sz w:val="24"/>
          <w:szCs w:val="24"/>
          <w:lang w:val="en-US" w:eastAsia="zh-CN"/>
        </w:rPr>
      </w:pPr>
      <w:bookmarkStart w:id="312" w:name="_Toc692784012"/>
      <w:bookmarkStart w:id="313" w:name="_Toc1148888102"/>
      <w:bookmarkStart w:id="314" w:name="_Toc1416482528"/>
      <w:bookmarkStart w:id="315" w:name="X592fb23bead3bbded711b6b3c528fae306cd804"/>
      <w:r>
        <w:rPr>
          <w:rFonts w:hint="eastAsia" w:ascii="新宋体" w:hAnsi="新宋体" w:eastAsia="新宋体" w:cs="新宋体"/>
          <w:b/>
          <w:bCs/>
          <w:sz w:val="24"/>
          <w:szCs w:val="24"/>
          <w:lang w:val="en-US" w:eastAsia="zh-CN"/>
        </w:rPr>
        <w:t>八．绿色安全</w:t>
      </w:r>
      <w:bookmarkEnd w:id="312"/>
      <w:bookmarkEnd w:id="313"/>
      <w:bookmarkEnd w:id="314"/>
    </w:p>
    <w:bookmarkEnd w:id="234"/>
    <w:bookmarkEnd w:id="315"/>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316" w:name="_Toc1937239780"/>
      <w:bookmarkStart w:id="317" w:name="_Toc1124395983"/>
      <w:bookmarkStart w:id="318" w:name="_Toc2112039297"/>
      <w:bookmarkStart w:id="319" w:name="_Toc1336860137"/>
      <w:bookmarkStart w:id="320" w:name="_Toc1965621101"/>
      <w:r>
        <w:rPr>
          <w:rFonts w:hint="eastAsia" w:ascii="新宋体" w:hAnsi="新宋体" w:eastAsia="新宋体" w:cs="新宋体"/>
          <w:b w:val="0"/>
          <w:bCs w:val="0"/>
          <w:kern w:val="2"/>
          <w:sz w:val="24"/>
          <w:szCs w:val="24"/>
          <w:lang w:bidi="ar-SA"/>
        </w:rPr>
        <w:t>绿色安全是数字化快反工厂可持续运营的核心基石，通过数字化技术与安全环保体系的深度融合，构建了“生产安全、网络可控、数据合规、绿色低碳”的运营生态。以下从安全筑基、网络防护、工控加固、数据合规、绿色制造五个维度，形成与快反能力建设协同推进的安全环保管理体系，确保工厂在高效响应市场的同时实现可持续发展。</w:t>
      </w:r>
      <w:bookmarkEnd w:id="316"/>
      <w:bookmarkEnd w:id="317"/>
      <w:bookmarkEnd w:id="318"/>
      <w:bookmarkEnd w:id="319"/>
      <w:bookmarkEnd w:id="320"/>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1"/>
        <w:rPr>
          <w:rFonts w:hint="eastAsia" w:ascii="新宋体" w:hAnsi="新宋体" w:eastAsia="新宋体" w:cs="新宋体"/>
          <w:b/>
          <w:bCs/>
          <w:kern w:val="2"/>
          <w:sz w:val="24"/>
          <w:szCs w:val="24"/>
          <w:lang w:bidi="ar-SA"/>
        </w:rPr>
      </w:pPr>
      <w:bookmarkStart w:id="321" w:name="_Toc1287263416"/>
      <w:bookmarkStart w:id="322" w:name="_Toc1634407645"/>
      <w:bookmarkStart w:id="323" w:name="_Toc1452902706"/>
      <w:r>
        <w:rPr>
          <w:rFonts w:hint="eastAsia" w:ascii="新宋体" w:hAnsi="新宋体" w:eastAsia="新宋体" w:cs="新宋体"/>
          <w:b/>
          <w:bCs/>
          <w:kern w:val="2"/>
          <w:sz w:val="24"/>
          <w:szCs w:val="24"/>
          <w:lang w:val="en-US" w:eastAsia="zh-CN" w:bidi="ar-SA"/>
        </w:rPr>
        <w:t>8</w:t>
      </w:r>
      <w:r>
        <w:rPr>
          <w:rFonts w:hint="eastAsia" w:ascii="新宋体" w:hAnsi="新宋体" w:eastAsia="新宋体" w:cs="新宋体"/>
          <w:b/>
          <w:bCs/>
          <w:kern w:val="2"/>
          <w:sz w:val="24"/>
          <w:szCs w:val="24"/>
          <w:lang w:bidi="ar-SA"/>
        </w:rPr>
        <w:t>.1 生产安全</w:t>
      </w:r>
      <w:bookmarkEnd w:id="321"/>
      <w:bookmarkEnd w:id="322"/>
      <w:bookmarkEnd w:id="323"/>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324" w:name="_Toc1290382447"/>
      <w:bookmarkStart w:id="325" w:name="_Toc1641008175"/>
      <w:bookmarkStart w:id="326" w:name="_Toc1025960738"/>
      <w:bookmarkStart w:id="327" w:name="_Toc2046713352"/>
      <w:bookmarkStart w:id="328" w:name="_Toc1285972834"/>
      <w:r>
        <w:rPr>
          <w:rFonts w:hint="eastAsia" w:ascii="新宋体" w:hAnsi="新宋体" w:eastAsia="新宋体" w:cs="新宋体"/>
          <w:b w:val="0"/>
          <w:bCs w:val="0"/>
          <w:kern w:val="2"/>
          <w:sz w:val="24"/>
          <w:szCs w:val="24"/>
          <w:lang w:bidi="ar-SA"/>
        </w:rPr>
        <w:t>构建安全生产责任制与操作规程体系，定期开展危险源辨识与风险评估，部署智能化监控预警系统（视频监控、烟火报警），实现生产安全的数字化管控。</w:t>
      </w:r>
      <w:bookmarkEnd w:id="324"/>
      <w:bookmarkEnd w:id="325"/>
      <w:bookmarkEnd w:id="326"/>
      <w:bookmarkEnd w:id="327"/>
      <w:bookmarkEnd w:id="328"/>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329" w:name="_Toc1069997630"/>
      <w:bookmarkStart w:id="330" w:name="_Toc718249418"/>
      <w:bookmarkStart w:id="331" w:name="_Toc20435676"/>
      <w:bookmarkStart w:id="332" w:name="_Toc291918804"/>
      <w:bookmarkStart w:id="333" w:name="_Toc1175921803"/>
      <w:r>
        <w:rPr>
          <w:rFonts w:hint="eastAsia" w:ascii="新宋体" w:hAnsi="新宋体" w:eastAsia="新宋体" w:cs="新宋体"/>
          <w:b w:val="0"/>
          <w:bCs w:val="0"/>
          <w:kern w:val="2"/>
          <w:sz w:val="24"/>
          <w:szCs w:val="24"/>
          <w:lang w:bidi="ar-SA"/>
        </w:rPr>
        <w:t>强化员工安全培训与应急演练，配备符合国家标准的防护装备，将安全指标（如事故率）纳入工厂 KPI 考核，与快反生产效率指标联动管理。</w:t>
      </w:r>
      <w:bookmarkEnd w:id="329"/>
      <w:bookmarkEnd w:id="330"/>
      <w:bookmarkEnd w:id="331"/>
      <w:bookmarkEnd w:id="332"/>
      <w:bookmarkEnd w:id="333"/>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1"/>
        <w:rPr>
          <w:rFonts w:hint="eastAsia" w:ascii="新宋体" w:hAnsi="新宋体" w:eastAsia="新宋体" w:cs="新宋体"/>
          <w:b/>
          <w:bCs/>
          <w:kern w:val="2"/>
          <w:sz w:val="24"/>
          <w:szCs w:val="24"/>
          <w:lang w:val="en-US" w:eastAsia="zh-CN" w:bidi="ar-SA"/>
        </w:rPr>
      </w:pPr>
      <w:bookmarkStart w:id="334" w:name="_Toc422107432"/>
      <w:bookmarkStart w:id="335" w:name="_Toc612388539"/>
      <w:bookmarkStart w:id="336" w:name="_Toc425739680"/>
      <w:r>
        <w:rPr>
          <w:rFonts w:hint="eastAsia" w:ascii="新宋体" w:hAnsi="新宋体" w:eastAsia="新宋体" w:cs="新宋体"/>
          <w:b/>
          <w:bCs/>
          <w:kern w:val="2"/>
          <w:sz w:val="24"/>
          <w:szCs w:val="24"/>
          <w:lang w:val="en-US" w:eastAsia="zh-CN" w:bidi="ar-SA"/>
        </w:rPr>
        <w:t>8</w:t>
      </w:r>
      <w:r>
        <w:rPr>
          <w:rFonts w:hint="eastAsia" w:ascii="新宋体" w:hAnsi="新宋体" w:eastAsia="新宋体" w:cs="新宋体"/>
          <w:b/>
          <w:bCs/>
          <w:kern w:val="2"/>
          <w:sz w:val="24"/>
          <w:szCs w:val="24"/>
          <w:lang w:bidi="ar-SA"/>
        </w:rPr>
        <w:t>.2 网络</w:t>
      </w:r>
      <w:bookmarkStart w:id="337" w:name="_Toc1708448805"/>
      <w:r>
        <w:rPr>
          <w:rFonts w:hint="eastAsia" w:ascii="新宋体" w:hAnsi="新宋体" w:eastAsia="新宋体" w:cs="新宋体"/>
          <w:b/>
          <w:bCs/>
          <w:kern w:val="2"/>
          <w:sz w:val="24"/>
          <w:szCs w:val="24"/>
          <w:lang w:val="en-US" w:eastAsia="zh-CN" w:bidi="ar-SA"/>
        </w:rPr>
        <w:t>安全</w:t>
      </w:r>
      <w:bookmarkEnd w:id="334"/>
      <w:bookmarkEnd w:id="335"/>
      <w:bookmarkEnd w:id="336"/>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338" w:name="_Toc1221123583"/>
      <w:bookmarkStart w:id="339" w:name="_Toc1672538549"/>
      <w:bookmarkStart w:id="340" w:name="_Toc2138773603"/>
      <w:bookmarkStart w:id="341" w:name="_Toc1331977563"/>
      <w:r>
        <w:rPr>
          <w:rFonts w:hint="eastAsia" w:ascii="新宋体" w:hAnsi="新宋体" w:eastAsia="新宋体" w:cs="新宋体"/>
          <w:b w:val="0"/>
          <w:bCs w:val="0"/>
          <w:kern w:val="2"/>
          <w:sz w:val="24"/>
          <w:szCs w:val="24"/>
          <w:lang w:bidi="ar-SA"/>
        </w:rPr>
        <w:t>搭建分区分域的网络安全架构，实现生产网与办公网物理隔离，部署工业防火墙、IDS/IPS 等安全组件，构建工厂网络的立体防护体系。</w:t>
      </w:r>
      <w:bookmarkEnd w:id="337"/>
      <w:bookmarkEnd w:id="338"/>
      <w:bookmarkEnd w:id="339"/>
      <w:bookmarkEnd w:id="340"/>
      <w:bookmarkEnd w:id="341"/>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342" w:name="_Toc1786662135"/>
      <w:bookmarkStart w:id="343" w:name="_Toc1177365013"/>
      <w:bookmarkStart w:id="344" w:name="_Toc2070328749"/>
      <w:bookmarkStart w:id="345" w:name="_Toc2042705245"/>
      <w:bookmarkStart w:id="346" w:name="_Toc1941937460"/>
      <w:r>
        <w:rPr>
          <w:rFonts w:hint="eastAsia" w:ascii="新宋体" w:hAnsi="新宋体" w:eastAsia="新宋体" w:cs="新宋体"/>
          <w:b w:val="0"/>
          <w:bCs w:val="0"/>
          <w:kern w:val="2"/>
          <w:sz w:val="24"/>
          <w:szCs w:val="24"/>
          <w:lang w:bidi="ar-SA"/>
        </w:rPr>
        <w:t>加强无线网络与远程访问的安全管理，通过网络安全审计系统实时监控流量异常，确保数字化快反系统的网络环境稳定可靠。</w:t>
      </w:r>
      <w:bookmarkEnd w:id="342"/>
      <w:bookmarkEnd w:id="343"/>
      <w:bookmarkEnd w:id="344"/>
      <w:bookmarkEnd w:id="345"/>
      <w:bookmarkEnd w:id="346"/>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1"/>
        <w:rPr>
          <w:rFonts w:hint="eastAsia" w:ascii="新宋体" w:hAnsi="新宋体" w:eastAsia="新宋体" w:cs="新宋体"/>
          <w:b/>
          <w:bCs/>
          <w:kern w:val="2"/>
          <w:sz w:val="24"/>
          <w:szCs w:val="24"/>
          <w:lang w:eastAsia="zh-CN" w:bidi="ar-SA"/>
        </w:rPr>
      </w:pPr>
      <w:bookmarkStart w:id="347" w:name="_Toc166666944"/>
      <w:bookmarkStart w:id="348" w:name="_Toc337752102"/>
      <w:bookmarkStart w:id="349" w:name="_Toc686423114"/>
      <w:r>
        <w:rPr>
          <w:rFonts w:hint="eastAsia" w:ascii="新宋体" w:hAnsi="新宋体" w:eastAsia="新宋体" w:cs="新宋体"/>
          <w:b/>
          <w:bCs/>
          <w:kern w:val="2"/>
          <w:sz w:val="24"/>
          <w:szCs w:val="24"/>
          <w:lang w:val="en-US" w:eastAsia="zh-CN" w:bidi="ar-SA"/>
        </w:rPr>
        <w:t>8</w:t>
      </w:r>
      <w:r>
        <w:rPr>
          <w:rFonts w:hint="eastAsia" w:ascii="新宋体" w:hAnsi="新宋体" w:eastAsia="新宋体" w:cs="新宋体"/>
          <w:b/>
          <w:bCs/>
          <w:kern w:val="2"/>
          <w:sz w:val="24"/>
          <w:szCs w:val="24"/>
          <w:lang w:bidi="ar-SA"/>
        </w:rPr>
        <w:t>.3 工控</w:t>
      </w:r>
      <w:r>
        <w:rPr>
          <w:rFonts w:hint="eastAsia" w:ascii="新宋体" w:hAnsi="新宋体" w:eastAsia="新宋体" w:cs="新宋体"/>
          <w:b/>
          <w:bCs/>
          <w:kern w:val="2"/>
          <w:sz w:val="24"/>
          <w:szCs w:val="24"/>
          <w:lang w:val="en-US" w:eastAsia="zh-CN" w:bidi="ar-SA"/>
        </w:rPr>
        <w:t>安全</w:t>
      </w:r>
      <w:bookmarkEnd w:id="347"/>
      <w:bookmarkEnd w:id="348"/>
      <w:bookmarkEnd w:id="349"/>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350" w:name="_Toc852652120"/>
      <w:bookmarkStart w:id="351" w:name="_Toc800299293"/>
      <w:bookmarkStart w:id="352" w:name="_Toc431125314"/>
      <w:bookmarkStart w:id="353" w:name="_Toc1389787354"/>
      <w:bookmarkStart w:id="354" w:name="_Toc1622948942"/>
      <w:r>
        <w:rPr>
          <w:rFonts w:hint="eastAsia" w:ascii="新宋体" w:hAnsi="新宋体" w:eastAsia="新宋体" w:cs="新宋体"/>
          <w:b w:val="0"/>
          <w:bCs w:val="0"/>
          <w:kern w:val="2"/>
          <w:sz w:val="24"/>
          <w:szCs w:val="24"/>
          <w:lang w:bidi="ar-SA"/>
        </w:rPr>
        <w:t>对 PLC、SCADA 等关键工控系统开展安全评估与漏洞修复，限制非必要网络连接，采用白名单机制防御网络攻击。</w:t>
      </w:r>
      <w:bookmarkEnd w:id="350"/>
      <w:bookmarkEnd w:id="351"/>
      <w:bookmarkEnd w:id="352"/>
      <w:bookmarkEnd w:id="353"/>
      <w:bookmarkEnd w:id="354"/>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355" w:name="_Toc365804409"/>
      <w:bookmarkStart w:id="356" w:name="_Toc1713067647"/>
      <w:bookmarkStart w:id="357" w:name="_Toc2123913906"/>
      <w:bookmarkStart w:id="358" w:name="_Toc940136290"/>
      <w:bookmarkStart w:id="359" w:name="_Toc313327420"/>
      <w:r>
        <w:rPr>
          <w:rFonts w:hint="eastAsia" w:ascii="新宋体" w:hAnsi="新宋体" w:eastAsia="新宋体" w:cs="新宋体"/>
          <w:b w:val="0"/>
          <w:bCs w:val="0"/>
          <w:kern w:val="2"/>
          <w:sz w:val="24"/>
          <w:szCs w:val="24"/>
          <w:lang w:bidi="ar-SA"/>
        </w:rPr>
        <w:t>部署工控安全审计工具，实时监测系统运行状态，保障生产执行系统（MES）与设备控制的安全性，避免因工控漏洞影响快反生产连续性。</w:t>
      </w:r>
      <w:bookmarkEnd w:id="355"/>
      <w:bookmarkEnd w:id="356"/>
      <w:bookmarkEnd w:id="357"/>
      <w:bookmarkEnd w:id="358"/>
      <w:bookmarkEnd w:id="359"/>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1"/>
        <w:rPr>
          <w:rFonts w:hint="eastAsia" w:ascii="新宋体" w:hAnsi="新宋体" w:eastAsia="新宋体" w:cs="新宋体"/>
          <w:b/>
          <w:bCs/>
          <w:kern w:val="2"/>
          <w:sz w:val="24"/>
          <w:szCs w:val="24"/>
          <w:lang w:bidi="ar-SA"/>
        </w:rPr>
      </w:pPr>
      <w:bookmarkStart w:id="360" w:name="_Toc1976504349"/>
      <w:bookmarkStart w:id="361" w:name="_Toc1833435051"/>
      <w:bookmarkStart w:id="362" w:name="_Toc464045496"/>
      <w:r>
        <w:rPr>
          <w:rFonts w:hint="eastAsia" w:ascii="新宋体" w:hAnsi="新宋体" w:eastAsia="新宋体" w:cs="新宋体"/>
          <w:b/>
          <w:bCs/>
          <w:kern w:val="2"/>
          <w:sz w:val="24"/>
          <w:szCs w:val="24"/>
          <w:lang w:val="en-US" w:eastAsia="zh-CN" w:bidi="ar-SA"/>
        </w:rPr>
        <w:t>8</w:t>
      </w:r>
      <w:r>
        <w:rPr>
          <w:rFonts w:hint="eastAsia" w:ascii="新宋体" w:hAnsi="新宋体" w:eastAsia="新宋体" w:cs="新宋体"/>
          <w:b/>
          <w:bCs/>
          <w:kern w:val="2"/>
          <w:sz w:val="24"/>
          <w:szCs w:val="24"/>
          <w:lang w:bidi="ar-SA"/>
        </w:rPr>
        <w:t>.4 数据安全</w:t>
      </w:r>
      <w:bookmarkEnd w:id="360"/>
      <w:bookmarkEnd w:id="361"/>
      <w:bookmarkEnd w:id="362"/>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363" w:name="_Toc485327640"/>
      <w:bookmarkStart w:id="364" w:name="_Toc1699529015"/>
      <w:bookmarkStart w:id="365" w:name="_Toc1831541847"/>
      <w:bookmarkStart w:id="366" w:name="_Toc300051354"/>
      <w:bookmarkStart w:id="367" w:name="_Toc862757355"/>
      <w:r>
        <w:rPr>
          <w:rFonts w:hint="eastAsia" w:ascii="新宋体" w:hAnsi="新宋体" w:eastAsia="新宋体" w:cs="新宋体"/>
          <w:b w:val="0"/>
          <w:bCs w:val="0"/>
          <w:kern w:val="2"/>
          <w:sz w:val="24"/>
          <w:szCs w:val="24"/>
          <w:lang w:bidi="ar-SA"/>
        </w:rPr>
        <w:t>遵循网络安全法等法规要求，建立数据分类分级制度，对核心工艺、客户订单等敏感数据实施访问控制、加密传输与备份机制。</w:t>
      </w:r>
      <w:bookmarkEnd w:id="363"/>
      <w:bookmarkEnd w:id="364"/>
      <w:bookmarkEnd w:id="365"/>
      <w:bookmarkEnd w:id="366"/>
      <w:bookmarkEnd w:id="367"/>
    </w:p>
    <w:p>
      <w:pPr>
        <w:keepNext w:val="0"/>
        <w:keepLines w:val="0"/>
        <w:pageBreakBefore w:val="0"/>
        <w:widowControl w:val="0"/>
        <w:kinsoku/>
        <w:wordWrap/>
        <w:overflowPunct/>
        <w:topLinePunct w:val="0"/>
        <w:autoSpaceDE/>
        <w:autoSpaceDN/>
        <w:bidi w:val="0"/>
        <w:adjustRightInd/>
        <w:snapToGrid/>
        <w:spacing w:after="0" w:line="420" w:lineRule="exact"/>
        <w:ind w:firstLine="480" w:firstLineChars="200"/>
        <w:jc w:val="both"/>
        <w:textAlignment w:val="auto"/>
        <w:outlineLvl w:val="1"/>
        <w:rPr>
          <w:rFonts w:hint="eastAsia" w:ascii="新宋体" w:hAnsi="新宋体" w:eastAsia="新宋体" w:cs="新宋体"/>
          <w:b w:val="0"/>
          <w:bCs w:val="0"/>
          <w:kern w:val="2"/>
          <w:sz w:val="24"/>
          <w:szCs w:val="24"/>
          <w:lang w:bidi="ar-SA"/>
        </w:rPr>
      </w:pPr>
      <w:bookmarkStart w:id="368" w:name="_Toc304166358"/>
      <w:bookmarkStart w:id="369" w:name="_Toc693226431"/>
      <w:bookmarkStart w:id="370" w:name="_Toc671503522"/>
      <w:bookmarkStart w:id="371" w:name="_Toc553280941"/>
      <w:bookmarkStart w:id="372" w:name="_Toc758754174"/>
      <w:r>
        <w:rPr>
          <w:rFonts w:hint="eastAsia" w:ascii="新宋体" w:hAnsi="新宋体" w:eastAsia="新宋体" w:cs="新宋体"/>
          <w:b w:val="0"/>
          <w:bCs w:val="0"/>
          <w:kern w:val="2"/>
          <w:sz w:val="24"/>
          <w:szCs w:val="24"/>
          <w:lang w:bidi="ar-SA"/>
        </w:rPr>
        <w:t>定期开展数据安全风险评估，将数据合规性纳入快反系统验收标准，确保数字化快反过程中的数据安全与隐私保护。</w:t>
      </w:r>
      <w:bookmarkEnd w:id="368"/>
      <w:bookmarkEnd w:id="369"/>
      <w:bookmarkEnd w:id="370"/>
      <w:bookmarkEnd w:id="371"/>
      <w:bookmarkEnd w:id="372"/>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1"/>
        <w:rPr>
          <w:rFonts w:hint="eastAsia" w:ascii="新宋体" w:hAnsi="新宋体" w:eastAsia="新宋体" w:cs="新宋体"/>
          <w:b/>
          <w:bCs/>
          <w:kern w:val="2"/>
          <w:sz w:val="24"/>
          <w:szCs w:val="24"/>
          <w:lang w:bidi="ar-SA"/>
        </w:rPr>
      </w:pPr>
      <w:bookmarkStart w:id="373" w:name="_Toc957840842"/>
      <w:bookmarkStart w:id="374" w:name="_Toc1112899046"/>
      <w:bookmarkStart w:id="375" w:name="_Toc933129269"/>
      <w:r>
        <w:rPr>
          <w:rFonts w:hint="eastAsia" w:ascii="新宋体" w:hAnsi="新宋体" w:eastAsia="新宋体" w:cs="新宋体"/>
          <w:b/>
          <w:bCs/>
          <w:kern w:val="2"/>
          <w:sz w:val="24"/>
          <w:szCs w:val="24"/>
          <w:lang w:val="en-US" w:eastAsia="zh-CN" w:bidi="ar-SA"/>
        </w:rPr>
        <w:t>8</w:t>
      </w:r>
      <w:r>
        <w:rPr>
          <w:rFonts w:hint="eastAsia" w:ascii="新宋体" w:hAnsi="新宋体" w:eastAsia="新宋体" w:cs="新宋体"/>
          <w:b/>
          <w:bCs/>
          <w:kern w:val="2"/>
          <w:sz w:val="24"/>
          <w:szCs w:val="24"/>
          <w:lang w:bidi="ar-SA"/>
        </w:rPr>
        <w:t>.5 绿色制造</w:t>
      </w:r>
      <w:bookmarkEnd w:id="373"/>
      <w:bookmarkEnd w:id="374"/>
      <w:bookmarkEnd w:id="375"/>
      <w:bookmarkStart w:id="376" w:name="_Toc1701569611"/>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1"/>
        <w:rPr>
          <w:rFonts w:hint="eastAsia" w:ascii="新宋体" w:hAnsi="新宋体" w:eastAsia="新宋体" w:cs="新宋体"/>
          <w:b w:val="0"/>
          <w:bCs w:val="0"/>
          <w:kern w:val="2"/>
          <w:sz w:val="24"/>
          <w:szCs w:val="24"/>
          <w:lang w:bidi="ar-SA"/>
        </w:rPr>
      </w:pPr>
      <w:bookmarkStart w:id="377" w:name="_Toc30550042"/>
      <w:bookmarkStart w:id="378" w:name="_Toc431450212"/>
      <w:bookmarkStart w:id="379" w:name="_Toc893613582"/>
      <w:bookmarkStart w:id="380" w:name="_Toc2059184399"/>
      <w:r>
        <w:rPr>
          <w:rFonts w:hint="eastAsia" w:ascii="新宋体" w:hAnsi="新宋体" w:eastAsia="新宋体" w:cs="新宋体"/>
          <w:b/>
          <w:bCs/>
          <w:kern w:val="2"/>
          <w:sz w:val="24"/>
          <w:szCs w:val="24"/>
          <w:lang w:val="en-US" w:eastAsia="zh-CN" w:bidi="ar-SA"/>
        </w:rPr>
        <w:t>8.5.1</w:t>
      </w:r>
      <w:r>
        <w:rPr>
          <w:rFonts w:hint="eastAsia" w:ascii="新宋体" w:hAnsi="新宋体" w:eastAsia="新宋体" w:cs="新宋体"/>
          <w:b/>
          <w:bCs/>
          <w:kern w:val="2"/>
          <w:sz w:val="24"/>
          <w:szCs w:val="24"/>
          <w:lang w:bidi="ar-SA"/>
        </w:rPr>
        <w:t>节能降耗</w:t>
      </w:r>
      <w:r>
        <w:rPr>
          <w:rFonts w:hint="eastAsia" w:ascii="新宋体" w:hAnsi="新宋体" w:eastAsia="新宋体" w:cs="新宋体"/>
          <w:b w:val="0"/>
          <w:bCs w:val="0"/>
          <w:kern w:val="2"/>
          <w:sz w:val="24"/>
          <w:szCs w:val="24"/>
          <w:lang w:bidi="ar-SA"/>
        </w:rPr>
        <w:t>：利用 MOM 与 IoT 平台实时监测能耗数据，优化工艺参数与设备运行，提升资源利用率（如单位产品能耗降低 15%），直接关联成本动态控制指标。</w:t>
      </w:r>
      <w:bookmarkEnd w:id="376"/>
      <w:bookmarkEnd w:id="377"/>
      <w:bookmarkEnd w:id="378"/>
      <w:bookmarkEnd w:id="379"/>
      <w:bookmarkEnd w:id="380"/>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1"/>
        <w:rPr>
          <w:rFonts w:hint="eastAsia" w:ascii="新宋体" w:hAnsi="新宋体" w:eastAsia="新宋体" w:cs="新宋体"/>
          <w:b w:val="0"/>
          <w:bCs w:val="0"/>
          <w:kern w:val="2"/>
          <w:sz w:val="24"/>
          <w:szCs w:val="24"/>
          <w:lang w:bidi="ar-SA"/>
        </w:rPr>
      </w:pPr>
      <w:bookmarkStart w:id="381" w:name="_Toc205964261"/>
      <w:bookmarkStart w:id="382" w:name="_Toc2013222588"/>
      <w:bookmarkStart w:id="383" w:name="_Toc240724978"/>
      <w:bookmarkStart w:id="384" w:name="_Toc1478920812"/>
      <w:bookmarkStart w:id="385" w:name="_Toc1610329203"/>
      <w:r>
        <w:rPr>
          <w:rFonts w:hint="eastAsia" w:ascii="新宋体" w:hAnsi="新宋体" w:eastAsia="新宋体" w:cs="新宋体"/>
          <w:b/>
          <w:bCs/>
          <w:kern w:val="2"/>
          <w:sz w:val="24"/>
          <w:szCs w:val="24"/>
          <w:lang w:val="en-US" w:eastAsia="zh-CN" w:bidi="ar-SA"/>
        </w:rPr>
        <w:t>8.5.2</w:t>
      </w:r>
      <w:r>
        <w:rPr>
          <w:rFonts w:hint="eastAsia" w:ascii="新宋体" w:hAnsi="新宋体" w:eastAsia="新宋体" w:cs="新宋体"/>
          <w:b/>
          <w:bCs/>
          <w:kern w:val="2"/>
          <w:sz w:val="24"/>
          <w:szCs w:val="24"/>
          <w:lang w:bidi="ar-SA"/>
        </w:rPr>
        <w:t>减排循环</w:t>
      </w:r>
      <w:r>
        <w:rPr>
          <w:rFonts w:hint="eastAsia" w:ascii="新宋体" w:hAnsi="新宋体" w:eastAsia="新宋体" w:cs="新宋体"/>
          <w:b w:val="0"/>
          <w:bCs w:val="0"/>
          <w:kern w:val="2"/>
          <w:sz w:val="24"/>
          <w:szCs w:val="24"/>
          <w:lang w:bidi="ar-SA"/>
        </w:rPr>
        <w:t>：通过智能排料等技术减少废弃物产生，分类回收处理布角料等生产废料，推广可降解包装材料，降低环境负荷。</w:t>
      </w:r>
      <w:bookmarkEnd w:id="381"/>
      <w:bookmarkEnd w:id="382"/>
      <w:bookmarkEnd w:id="383"/>
      <w:bookmarkEnd w:id="384"/>
      <w:bookmarkEnd w:id="385"/>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1"/>
        <w:rPr>
          <w:rFonts w:hint="eastAsia" w:ascii="新宋体" w:hAnsi="新宋体" w:eastAsia="新宋体" w:cs="新宋体"/>
          <w:b w:val="0"/>
          <w:bCs w:val="0"/>
          <w:kern w:val="2"/>
          <w:sz w:val="24"/>
          <w:szCs w:val="24"/>
          <w:lang w:bidi="ar-SA"/>
        </w:rPr>
      </w:pPr>
      <w:bookmarkStart w:id="386" w:name="_Toc1246356906"/>
      <w:bookmarkStart w:id="387" w:name="_Toc2045179310"/>
      <w:bookmarkStart w:id="388" w:name="_Toc5514298"/>
      <w:bookmarkStart w:id="389" w:name="_Toc66511680"/>
      <w:bookmarkStart w:id="390" w:name="_Toc479694384"/>
      <w:r>
        <w:rPr>
          <w:rFonts w:hint="eastAsia" w:ascii="新宋体" w:hAnsi="新宋体" w:eastAsia="新宋体" w:cs="新宋体"/>
          <w:b/>
          <w:bCs/>
          <w:kern w:val="2"/>
          <w:sz w:val="24"/>
          <w:szCs w:val="24"/>
          <w:lang w:val="en-US" w:eastAsia="zh-CN" w:bidi="ar-SA"/>
        </w:rPr>
        <w:t>8.5.3</w:t>
      </w:r>
      <w:r>
        <w:rPr>
          <w:rFonts w:hint="eastAsia" w:ascii="新宋体" w:hAnsi="新宋体" w:eastAsia="新宋体" w:cs="新宋体"/>
          <w:b/>
          <w:bCs/>
          <w:kern w:val="2"/>
          <w:sz w:val="24"/>
          <w:szCs w:val="24"/>
          <w:lang w:bidi="ar-SA"/>
        </w:rPr>
        <w:t>环保工艺</w:t>
      </w:r>
      <w:r>
        <w:rPr>
          <w:rFonts w:hint="eastAsia" w:ascii="新宋体" w:hAnsi="新宋体" w:eastAsia="新宋体" w:cs="新宋体"/>
          <w:b w:val="0"/>
          <w:bCs w:val="0"/>
          <w:kern w:val="2"/>
          <w:sz w:val="24"/>
          <w:szCs w:val="24"/>
          <w:lang w:bidi="ar-SA"/>
        </w:rPr>
        <w:t>：优先采用有机棉等环保面辅料，引入无水染色等清洁生产技术，将环保指标（如污染物排放）纳入供应商协同评估体系。</w:t>
      </w:r>
      <w:bookmarkEnd w:id="386"/>
      <w:bookmarkEnd w:id="387"/>
      <w:bookmarkEnd w:id="388"/>
      <w:bookmarkEnd w:id="389"/>
      <w:bookmarkEnd w:id="390"/>
    </w:p>
    <w:p>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outlineLvl w:val="1"/>
        <w:rPr>
          <w:rFonts w:hint="eastAsia" w:ascii="新宋体" w:hAnsi="新宋体" w:eastAsia="新宋体" w:cs="新宋体"/>
          <w:b w:val="0"/>
          <w:bCs w:val="0"/>
          <w:kern w:val="2"/>
          <w:sz w:val="24"/>
          <w:szCs w:val="24"/>
          <w:lang w:bidi="ar-SA"/>
        </w:rPr>
      </w:pPr>
      <w:bookmarkStart w:id="391" w:name="_Toc569901050"/>
      <w:bookmarkStart w:id="392" w:name="_Toc965026304"/>
      <w:bookmarkStart w:id="393" w:name="_Toc337009665"/>
      <w:bookmarkStart w:id="394" w:name="_Toc705409288"/>
      <w:bookmarkStart w:id="395" w:name="_Toc1170309320"/>
      <w:r>
        <w:rPr>
          <w:rFonts w:hint="eastAsia" w:ascii="新宋体" w:hAnsi="新宋体" w:eastAsia="新宋体" w:cs="新宋体"/>
          <w:b/>
          <w:bCs/>
          <w:kern w:val="2"/>
          <w:sz w:val="24"/>
          <w:szCs w:val="24"/>
          <w:lang w:val="en-US" w:eastAsia="zh-CN" w:bidi="ar-SA"/>
        </w:rPr>
        <w:t>8.5.4</w:t>
      </w:r>
      <w:r>
        <w:rPr>
          <w:rFonts w:hint="eastAsia" w:ascii="新宋体" w:hAnsi="新宋体" w:eastAsia="新宋体" w:cs="新宋体"/>
          <w:b/>
          <w:bCs/>
          <w:kern w:val="2"/>
          <w:sz w:val="24"/>
          <w:szCs w:val="24"/>
          <w:lang w:bidi="ar-SA"/>
        </w:rPr>
        <w:t>体系管理</w:t>
      </w:r>
      <w:r>
        <w:rPr>
          <w:rFonts w:hint="eastAsia" w:ascii="新宋体" w:hAnsi="新宋体" w:eastAsia="新宋体" w:cs="新宋体"/>
          <w:b w:val="0"/>
          <w:bCs w:val="0"/>
          <w:kern w:val="2"/>
          <w:sz w:val="24"/>
          <w:szCs w:val="24"/>
          <w:lang w:bidi="ar-SA"/>
        </w:rPr>
        <w:t>：建立 ISO 14001 环境管理体系，推动供应链绿色协同，通过数字化手段（如碳足迹追踪）实现可持续发展目标与快反能力的协同提升。</w:t>
      </w:r>
      <w:bookmarkEnd w:id="391"/>
      <w:bookmarkEnd w:id="392"/>
      <w:bookmarkEnd w:id="393"/>
      <w:bookmarkEnd w:id="394"/>
      <w:bookmarkEnd w:id="395"/>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outlineLvl w:val="0"/>
        <w:rPr>
          <w:rFonts w:hint="eastAsia" w:ascii="新宋体" w:hAnsi="新宋体" w:eastAsia="新宋体" w:cs="新宋体"/>
          <w:b/>
          <w:bCs/>
          <w:sz w:val="24"/>
          <w:szCs w:val="24"/>
          <w:lang w:val="en-US" w:eastAsia="zh-CN"/>
        </w:rPr>
      </w:pPr>
      <w:bookmarkStart w:id="396" w:name="_Toc586018367"/>
      <w:bookmarkStart w:id="397" w:name="_Toc521363590"/>
      <w:bookmarkStart w:id="398" w:name="_Toc549881730"/>
      <w:bookmarkStart w:id="399" w:name="_Toc1704171976"/>
      <w:r>
        <w:rPr>
          <w:rFonts w:hint="eastAsia" w:ascii="新宋体" w:hAnsi="新宋体" w:eastAsia="新宋体" w:cs="新宋体"/>
          <w:b/>
          <w:bCs/>
          <w:sz w:val="24"/>
          <w:szCs w:val="24"/>
          <w:lang w:val="en-US" w:eastAsia="zh-CN"/>
        </w:rPr>
        <w:t>九．等级指标</w:t>
      </w:r>
      <w:bookmarkEnd w:id="396"/>
      <w:bookmarkEnd w:id="397"/>
      <w:bookmarkEnd w:id="398"/>
      <w:bookmarkEnd w:id="399"/>
    </w:p>
    <w:p>
      <w:pPr>
        <w:pStyle w:val="7"/>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auto"/>
        <w:outlineLvl w:val="1"/>
        <w:rPr>
          <w:rFonts w:hint="eastAsia" w:ascii="新宋体" w:hAnsi="新宋体" w:eastAsia="新宋体" w:cs="新宋体"/>
          <w:b/>
          <w:bCs/>
          <w:color w:val="auto"/>
          <w:sz w:val="24"/>
          <w:szCs w:val="24"/>
          <w:lang w:val="en-US" w:eastAsia="zh-CN"/>
        </w:rPr>
      </w:pPr>
      <w:bookmarkStart w:id="400" w:name="_Toc1240103069"/>
      <w:r>
        <w:rPr>
          <w:rFonts w:hint="eastAsia" w:ascii="新宋体" w:hAnsi="新宋体" w:eastAsia="新宋体" w:cs="新宋体"/>
          <w:b/>
          <w:bCs/>
          <w:color w:val="auto"/>
          <w:sz w:val="24"/>
          <w:szCs w:val="24"/>
          <w:lang w:val="en-US" w:eastAsia="zh-CN"/>
        </w:rPr>
        <w:t>9</w:t>
      </w:r>
      <w:r>
        <w:rPr>
          <w:rFonts w:hint="eastAsia" w:ascii="新宋体" w:hAnsi="新宋体" w:eastAsia="新宋体" w:cs="新宋体"/>
          <w:b/>
          <w:bCs/>
          <w:color w:val="auto"/>
          <w:sz w:val="24"/>
          <w:szCs w:val="24"/>
        </w:rPr>
        <w:t>.</w:t>
      </w:r>
      <w:r>
        <w:rPr>
          <w:rFonts w:hint="eastAsia" w:ascii="新宋体" w:hAnsi="新宋体" w:eastAsia="新宋体" w:cs="新宋体"/>
          <w:b/>
          <w:bCs/>
          <w:color w:val="auto"/>
          <w:sz w:val="24"/>
          <w:szCs w:val="24"/>
          <w:lang w:val="en-US" w:eastAsia="zh-CN"/>
        </w:rPr>
        <w:t>1标准体系</w:t>
      </w:r>
      <w:bookmarkEnd w:id="400"/>
    </w:p>
    <w:p>
      <w:pPr>
        <w:pStyle w:val="23"/>
        <w:keepNext w:val="0"/>
        <w:keepLines w:val="0"/>
        <w:pageBreakBefore w:val="0"/>
        <w:widowControl/>
        <w:kinsoku/>
        <w:wordWrap/>
        <w:overflowPunct/>
        <w:topLinePunct w:val="0"/>
        <w:autoSpaceDE/>
        <w:autoSpaceDN/>
        <w:bidi w:val="0"/>
        <w:adjustRightInd/>
        <w:snapToGrid/>
        <w:spacing w:after="0"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rPr>
      </w:pPr>
      <w:r>
        <w:rPr>
          <w:rFonts w:hint="eastAsia" w:ascii="新宋体" w:hAnsi="新宋体" w:eastAsia="新宋体" w:cs="新宋体"/>
          <w:b w:val="0"/>
          <w:bCs w:val="0"/>
          <w:color w:val="auto"/>
          <w:kern w:val="2"/>
          <w:sz w:val="24"/>
          <w:szCs w:val="24"/>
          <w:lang w:val="en-US" w:eastAsia="zh-CN"/>
        </w:rPr>
        <w:t>服装数字化快反工厂的能力分级体系以 “从局部效率提升到全域智能协同” 为核心演进逻辑，构建起覆盖企业数字化转型全生命周期的能力评估框架。该体系严格遵循产业发展规律，将工厂建设能力科学划分为五个渐进等级，各等级以数据集成深度、系统协同广度、智能应用强度为关键区分维度，形成与第四章核心指标体系高度耦合的能力评价标准。通过明确各等级的特征边界与进化路径，为企业提供从信息化筑基到智慧化引领的清晰升级蓝图，确保数字化快反能力建设与业务需求、技术发展阶段相适配。</w:t>
      </w:r>
    </w:p>
    <w:p>
      <w:pPr>
        <w:pStyle w:val="23"/>
        <w:keepNext w:val="0"/>
        <w:keepLines w:val="0"/>
        <w:pageBreakBefore w:val="0"/>
        <w:widowControl/>
        <w:kinsoku/>
        <w:wordWrap/>
        <w:overflowPunct/>
        <w:topLinePunct w:val="0"/>
        <w:autoSpaceDE/>
        <w:autoSpaceDN/>
        <w:bidi w:val="0"/>
        <w:adjustRightInd/>
        <w:snapToGrid/>
        <w:spacing w:after="0" w:line="420" w:lineRule="exact"/>
        <w:ind w:left="0" w:leftChars="0" w:firstLine="0" w:firstLineChars="0"/>
        <w:jc w:val="both"/>
        <w:textAlignment w:val="auto"/>
        <w:outlineLvl w:val="1"/>
        <w:rPr>
          <w:rFonts w:hint="eastAsia" w:ascii="新宋体" w:hAnsi="新宋体" w:eastAsia="新宋体" w:cs="新宋体"/>
          <w:b/>
          <w:bCs/>
          <w:color w:val="auto"/>
          <w:kern w:val="2"/>
          <w:sz w:val="24"/>
          <w:szCs w:val="24"/>
          <w:lang w:val="en-US" w:eastAsia="zh-CN"/>
        </w:rPr>
      </w:pPr>
      <w:bookmarkStart w:id="401" w:name="_Toc1083486548"/>
      <w:r>
        <w:rPr>
          <w:rFonts w:hint="eastAsia" w:ascii="新宋体" w:hAnsi="新宋体" w:eastAsia="新宋体" w:cs="新宋体"/>
          <w:b/>
          <w:bCs/>
          <w:color w:val="auto"/>
          <w:kern w:val="2"/>
          <w:sz w:val="24"/>
          <w:szCs w:val="24"/>
          <w:lang w:val="en-US" w:eastAsia="zh-CN"/>
        </w:rPr>
        <w:t>9</w:t>
      </w:r>
      <w:r>
        <w:rPr>
          <w:rFonts w:hint="eastAsia" w:ascii="新宋体" w:hAnsi="新宋体" w:eastAsia="新宋体" w:cs="新宋体"/>
          <w:b/>
          <w:bCs/>
          <w:color w:val="auto"/>
          <w:kern w:val="2"/>
          <w:sz w:val="24"/>
          <w:szCs w:val="24"/>
          <w:lang w:eastAsia="zh-CN"/>
        </w:rPr>
        <w:t>.</w:t>
      </w:r>
      <w:r>
        <w:rPr>
          <w:rFonts w:hint="eastAsia" w:ascii="新宋体" w:hAnsi="新宋体" w:eastAsia="新宋体" w:cs="新宋体"/>
          <w:b/>
          <w:bCs/>
          <w:color w:val="auto"/>
          <w:kern w:val="2"/>
          <w:sz w:val="24"/>
          <w:szCs w:val="24"/>
          <w:lang w:val="en-US" w:eastAsia="zh-CN"/>
        </w:rPr>
        <w:t>2标准等级</w:t>
      </w:r>
      <w:bookmarkEnd w:id="401"/>
    </w:p>
    <w:p>
      <w:pPr>
        <w:pStyle w:val="23"/>
        <w:keepNext w:val="0"/>
        <w:keepLines w:val="0"/>
        <w:pageBreakBefore w:val="0"/>
        <w:widowControl/>
        <w:kinsoku/>
        <w:wordWrap/>
        <w:overflowPunct/>
        <w:topLinePunct w:val="0"/>
        <w:autoSpaceDE/>
        <w:autoSpaceDN/>
        <w:bidi w:val="0"/>
        <w:adjustRightInd/>
        <w:snapToGrid/>
        <w:spacing w:after="0" w:line="420" w:lineRule="exact"/>
        <w:ind w:left="0" w:leftChars="0" w:firstLine="0" w:firstLineChars="0"/>
        <w:jc w:val="both"/>
        <w:textAlignment w:val="auto"/>
        <w:outlineLvl w:val="2"/>
        <w:rPr>
          <w:rFonts w:hint="eastAsia" w:ascii="新宋体" w:hAnsi="新宋体" w:eastAsia="新宋体" w:cs="新宋体"/>
          <w:b/>
          <w:bCs/>
          <w:color w:val="auto"/>
          <w:kern w:val="2"/>
          <w:sz w:val="24"/>
          <w:szCs w:val="24"/>
          <w:lang w:eastAsia="zh-CN"/>
        </w:rPr>
      </w:pPr>
      <w:r>
        <w:rPr>
          <w:rFonts w:hint="eastAsia" w:ascii="新宋体" w:hAnsi="新宋体" w:eastAsia="新宋体" w:cs="新宋体"/>
          <w:b/>
          <w:bCs/>
          <w:color w:val="auto"/>
          <w:kern w:val="2"/>
          <w:sz w:val="24"/>
          <w:szCs w:val="24"/>
          <w:lang w:val="en-US" w:eastAsia="zh-CN"/>
        </w:rPr>
        <w:t>9.2.1</w:t>
      </w:r>
      <w:r>
        <w:rPr>
          <w:rFonts w:hint="eastAsia" w:ascii="新宋体" w:hAnsi="新宋体" w:eastAsia="新宋体" w:cs="新宋体"/>
          <w:b/>
          <w:bCs/>
          <w:color w:val="auto"/>
          <w:kern w:val="2"/>
          <w:sz w:val="24"/>
          <w:szCs w:val="24"/>
          <w:lang w:eastAsia="zh-CN"/>
        </w:rPr>
        <w:t>初始级：手工运维向数字化萌芽过渡</w:t>
      </w:r>
    </w:p>
    <w:p>
      <w:pPr>
        <w:pStyle w:val="23"/>
        <w:keepNext w:val="0"/>
        <w:keepLines w:val="0"/>
        <w:pageBreakBefore w:val="0"/>
        <w:widowControl/>
        <w:kinsoku/>
        <w:wordWrap/>
        <w:overflowPunct/>
        <w:topLinePunct w:val="0"/>
        <w:autoSpaceDE/>
        <w:autoSpaceDN/>
        <w:bidi w:val="0"/>
        <w:adjustRightInd/>
        <w:snapToGrid/>
        <w:spacing w:after="0"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rPr>
      </w:pPr>
      <w:r>
        <w:rPr>
          <w:rFonts w:hint="eastAsia" w:ascii="新宋体" w:hAnsi="新宋体" w:eastAsia="新宋体" w:cs="新宋体"/>
          <w:b w:val="0"/>
          <w:bCs w:val="0"/>
          <w:color w:val="auto"/>
          <w:kern w:val="2"/>
          <w:sz w:val="24"/>
          <w:szCs w:val="24"/>
          <w:lang w:eastAsia="zh-CN"/>
        </w:rPr>
        <w:t>核心特征：以传统手工作业为主体，局部环节存在数字化工具浅层次应用（如单机版设计软件），业务流程缺乏标准化定义，数据以碎片化形态分散在各业务节点，尚未形成支撑快反的基础能力架构。</w:t>
      </w:r>
    </w:p>
    <w:p>
      <w:pPr>
        <w:pStyle w:val="23"/>
        <w:keepNext w:val="0"/>
        <w:keepLines w:val="0"/>
        <w:pageBreakBefore w:val="0"/>
        <w:widowControl/>
        <w:kinsoku/>
        <w:wordWrap/>
        <w:overflowPunct/>
        <w:topLinePunct w:val="0"/>
        <w:autoSpaceDE/>
        <w:autoSpaceDN/>
        <w:bidi w:val="0"/>
        <w:adjustRightInd/>
        <w:snapToGrid/>
        <w:spacing w:after="0" w:line="420" w:lineRule="exact"/>
        <w:ind w:left="0" w:leftChars="0" w:firstLine="0" w:firstLineChars="0"/>
        <w:jc w:val="both"/>
        <w:textAlignment w:val="auto"/>
        <w:outlineLvl w:val="2"/>
        <w:rPr>
          <w:rFonts w:hint="eastAsia" w:ascii="新宋体" w:hAnsi="新宋体" w:eastAsia="新宋体" w:cs="新宋体"/>
          <w:b/>
          <w:bCs/>
          <w:color w:val="auto"/>
          <w:kern w:val="2"/>
          <w:sz w:val="24"/>
          <w:szCs w:val="24"/>
          <w:lang w:eastAsia="zh-CN"/>
        </w:rPr>
      </w:pPr>
      <w:r>
        <w:rPr>
          <w:rFonts w:hint="eastAsia" w:ascii="新宋体" w:hAnsi="新宋体" w:eastAsia="新宋体" w:cs="新宋体"/>
          <w:b/>
          <w:bCs/>
          <w:color w:val="auto"/>
          <w:kern w:val="2"/>
          <w:sz w:val="24"/>
          <w:szCs w:val="24"/>
          <w:lang w:val="en-US" w:eastAsia="zh-CN"/>
        </w:rPr>
        <w:t>9.2.2</w:t>
      </w:r>
      <w:r>
        <w:rPr>
          <w:rFonts w:hint="eastAsia" w:ascii="新宋体" w:hAnsi="新宋体" w:eastAsia="新宋体" w:cs="新宋体"/>
          <w:b/>
          <w:bCs/>
          <w:color w:val="auto"/>
          <w:kern w:val="2"/>
          <w:sz w:val="24"/>
          <w:szCs w:val="24"/>
          <w:lang w:eastAsia="zh-CN"/>
        </w:rPr>
        <w:t>单元级：单点业务数字化突破</w:t>
      </w:r>
    </w:p>
    <w:p>
      <w:pPr>
        <w:pStyle w:val="23"/>
        <w:keepNext w:val="0"/>
        <w:keepLines w:val="0"/>
        <w:pageBreakBefore w:val="0"/>
        <w:widowControl/>
        <w:kinsoku/>
        <w:wordWrap/>
        <w:overflowPunct/>
        <w:topLinePunct w:val="0"/>
        <w:autoSpaceDE/>
        <w:autoSpaceDN/>
        <w:bidi w:val="0"/>
        <w:adjustRightInd/>
        <w:snapToGrid/>
        <w:spacing w:after="0"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rPr>
      </w:pPr>
      <w:r>
        <w:rPr>
          <w:rFonts w:hint="eastAsia" w:ascii="新宋体" w:hAnsi="新宋体" w:eastAsia="新宋体" w:cs="新宋体"/>
          <w:b w:val="0"/>
          <w:bCs w:val="0"/>
          <w:color w:val="auto"/>
          <w:kern w:val="2"/>
          <w:sz w:val="24"/>
          <w:szCs w:val="24"/>
          <w:lang w:eastAsia="zh-CN"/>
        </w:rPr>
        <w:t>演进逻辑：在设计、排程、仓储等单一业务单元实现数字化工具的规模化应用，建立部门级数据管理规范，单点效率提升显著但系统间协同壁垒明显，形成 “数据孤岛” 式的初级数字化能力。</w:t>
      </w:r>
    </w:p>
    <w:p>
      <w:pPr>
        <w:pStyle w:val="23"/>
        <w:keepNext w:val="0"/>
        <w:keepLines w:val="0"/>
        <w:pageBreakBefore w:val="0"/>
        <w:widowControl/>
        <w:kinsoku/>
        <w:wordWrap/>
        <w:overflowPunct/>
        <w:topLinePunct w:val="0"/>
        <w:autoSpaceDE/>
        <w:autoSpaceDN/>
        <w:bidi w:val="0"/>
        <w:adjustRightInd/>
        <w:snapToGrid/>
        <w:spacing w:after="0" w:line="420" w:lineRule="exact"/>
        <w:ind w:left="0" w:leftChars="0" w:firstLine="0" w:firstLineChars="0"/>
        <w:jc w:val="both"/>
        <w:textAlignment w:val="auto"/>
        <w:outlineLvl w:val="2"/>
        <w:rPr>
          <w:rFonts w:hint="eastAsia" w:ascii="新宋体" w:hAnsi="新宋体" w:eastAsia="新宋体" w:cs="新宋体"/>
          <w:b/>
          <w:bCs/>
          <w:color w:val="auto"/>
          <w:kern w:val="2"/>
          <w:sz w:val="24"/>
          <w:szCs w:val="24"/>
          <w:lang w:eastAsia="zh-CN"/>
        </w:rPr>
      </w:pPr>
      <w:r>
        <w:rPr>
          <w:rFonts w:hint="eastAsia" w:ascii="新宋体" w:hAnsi="新宋体" w:eastAsia="新宋体" w:cs="新宋体"/>
          <w:b/>
          <w:bCs/>
          <w:color w:val="auto"/>
          <w:kern w:val="2"/>
          <w:sz w:val="24"/>
          <w:szCs w:val="24"/>
          <w:lang w:val="en-US" w:eastAsia="zh-CN"/>
        </w:rPr>
        <w:t>9.2.3</w:t>
      </w:r>
      <w:r>
        <w:rPr>
          <w:rFonts w:hint="eastAsia" w:ascii="新宋体" w:hAnsi="新宋体" w:eastAsia="新宋体" w:cs="新宋体"/>
          <w:b/>
          <w:bCs/>
          <w:color w:val="auto"/>
          <w:kern w:val="2"/>
          <w:sz w:val="24"/>
          <w:szCs w:val="24"/>
          <w:lang w:eastAsia="zh-CN"/>
        </w:rPr>
        <w:t>集成级：企业级系统协同成型</w:t>
      </w:r>
    </w:p>
    <w:p>
      <w:pPr>
        <w:pStyle w:val="23"/>
        <w:keepNext w:val="0"/>
        <w:keepLines w:val="0"/>
        <w:pageBreakBefore w:val="0"/>
        <w:widowControl/>
        <w:kinsoku/>
        <w:wordWrap/>
        <w:overflowPunct/>
        <w:topLinePunct w:val="0"/>
        <w:autoSpaceDE/>
        <w:autoSpaceDN/>
        <w:bidi w:val="0"/>
        <w:adjustRightInd/>
        <w:snapToGrid/>
        <w:spacing w:after="0"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rPr>
      </w:pPr>
      <w:r>
        <w:rPr>
          <w:rFonts w:hint="eastAsia" w:ascii="新宋体" w:hAnsi="新宋体" w:eastAsia="新宋体" w:cs="新宋体"/>
          <w:b w:val="0"/>
          <w:bCs w:val="0"/>
          <w:color w:val="auto"/>
          <w:kern w:val="2"/>
          <w:sz w:val="24"/>
          <w:szCs w:val="24"/>
          <w:lang w:eastAsia="zh-CN"/>
        </w:rPr>
        <w:t>能力跃迁：核心业务系统（ERP/MES/PLM）实现数据互通与流程联动，关键业务流（设计 - 生产 - 交付）完成线上化改造，形成跨部门数据共享机制，初步构建起基于数据驱动的快反决策基础。</w:t>
      </w:r>
    </w:p>
    <w:p>
      <w:pPr>
        <w:pStyle w:val="23"/>
        <w:keepNext w:val="0"/>
        <w:keepLines w:val="0"/>
        <w:pageBreakBefore w:val="0"/>
        <w:widowControl/>
        <w:kinsoku/>
        <w:wordWrap/>
        <w:overflowPunct/>
        <w:topLinePunct w:val="0"/>
        <w:autoSpaceDE/>
        <w:autoSpaceDN/>
        <w:bidi w:val="0"/>
        <w:adjustRightInd/>
        <w:snapToGrid/>
        <w:spacing w:after="0" w:line="420" w:lineRule="exact"/>
        <w:ind w:left="0" w:leftChars="0" w:firstLine="0" w:firstLineChars="0"/>
        <w:jc w:val="both"/>
        <w:textAlignment w:val="auto"/>
        <w:outlineLvl w:val="2"/>
        <w:rPr>
          <w:rFonts w:hint="eastAsia" w:ascii="新宋体" w:hAnsi="新宋体" w:eastAsia="新宋体" w:cs="新宋体"/>
          <w:b/>
          <w:bCs/>
          <w:color w:val="auto"/>
          <w:kern w:val="2"/>
          <w:sz w:val="24"/>
          <w:szCs w:val="24"/>
          <w:lang w:eastAsia="zh-CN"/>
        </w:rPr>
      </w:pPr>
      <w:r>
        <w:rPr>
          <w:rFonts w:hint="eastAsia" w:ascii="新宋体" w:hAnsi="新宋体" w:eastAsia="新宋体" w:cs="新宋体"/>
          <w:b/>
          <w:bCs/>
          <w:color w:val="auto"/>
          <w:kern w:val="2"/>
          <w:sz w:val="24"/>
          <w:szCs w:val="24"/>
          <w:lang w:val="en-US" w:eastAsia="zh-CN"/>
        </w:rPr>
        <w:t>9.2.4</w:t>
      </w:r>
      <w:r>
        <w:rPr>
          <w:rFonts w:hint="eastAsia" w:ascii="新宋体" w:hAnsi="新宋体" w:eastAsia="新宋体" w:cs="新宋体"/>
          <w:b/>
          <w:bCs/>
          <w:color w:val="auto"/>
          <w:kern w:val="2"/>
          <w:sz w:val="24"/>
          <w:szCs w:val="24"/>
          <w:lang w:eastAsia="zh-CN"/>
        </w:rPr>
        <w:t>协同级：产业链价值网络互联</w:t>
      </w:r>
    </w:p>
    <w:p>
      <w:pPr>
        <w:pStyle w:val="23"/>
        <w:keepNext w:val="0"/>
        <w:keepLines w:val="0"/>
        <w:pageBreakBefore w:val="0"/>
        <w:widowControl/>
        <w:kinsoku/>
        <w:wordWrap/>
        <w:overflowPunct/>
        <w:topLinePunct w:val="0"/>
        <w:autoSpaceDE/>
        <w:autoSpaceDN/>
        <w:bidi w:val="0"/>
        <w:adjustRightInd/>
        <w:snapToGrid/>
        <w:spacing w:after="0"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rPr>
      </w:pPr>
      <w:r>
        <w:rPr>
          <w:rFonts w:hint="eastAsia" w:ascii="新宋体" w:hAnsi="新宋体" w:eastAsia="新宋体" w:cs="新宋体"/>
          <w:b w:val="0"/>
          <w:bCs w:val="0"/>
          <w:color w:val="auto"/>
          <w:kern w:val="2"/>
          <w:sz w:val="24"/>
          <w:szCs w:val="24"/>
          <w:lang w:eastAsia="zh-CN"/>
        </w:rPr>
        <w:t>生态延伸：企业内部系统集成能力向供应链上下游延伸，实现与核心供应商、物流商的数据实时交互，基于端到端数据链开展流程优化，形成跨组织的快反协同网络，具备应对市场波动的柔性调节能力。</w:t>
      </w:r>
    </w:p>
    <w:p>
      <w:pPr>
        <w:pStyle w:val="23"/>
        <w:keepNext w:val="0"/>
        <w:keepLines w:val="0"/>
        <w:pageBreakBefore w:val="0"/>
        <w:widowControl/>
        <w:kinsoku/>
        <w:wordWrap/>
        <w:overflowPunct/>
        <w:topLinePunct w:val="0"/>
        <w:autoSpaceDE/>
        <w:autoSpaceDN/>
        <w:bidi w:val="0"/>
        <w:adjustRightInd/>
        <w:snapToGrid/>
        <w:spacing w:after="0" w:line="420" w:lineRule="exact"/>
        <w:ind w:left="0" w:leftChars="0" w:firstLine="0" w:firstLineChars="0"/>
        <w:jc w:val="both"/>
        <w:textAlignment w:val="auto"/>
        <w:outlineLvl w:val="2"/>
        <w:rPr>
          <w:rFonts w:hint="eastAsia" w:ascii="新宋体" w:hAnsi="新宋体" w:eastAsia="新宋体" w:cs="新宋体"/>
          <w:b/>
          <w:bCs/>
          <w:color w:val="auto"/>
          <w:kern w:val="2"/>
          <w:sz w:val="24"/>
          <w:szCs w:val="24"/>
          <w:lang w:eastAsia="zh-CN"/>
        </w:rPr>
      </w:pPr>
      <w:r>
        <w:rPr>
          <w:rFonts w:hint="eastAsia" w:ascii="新宋体" w:hAnsi="新宋体" w:eastAsia="新宋体" w:cs="新宋体"/>
          <w:b/>
          <w:bCs/>
          <w:color w:val="auto"/>
          <w:kern w:val="2"/>
          <w:sz w:val="24"/>
          <w:szCs w:val="24"/>
          <w:lang w:val="en-US" w:eastAsia="zh-CN"/>
        </w:rPr>
        <w:t>9.2.5</w:t>
      </w:r>
      <w:r>
        <w:rPr>
          <w:rFonts w:hint="eastAsia" w:ascii="新宋体" w:hAnsi="新宋体" w:eastAsia="新宋体" w:cs="新宋体"/>
          <w:b/>
          <w:bCs/>
          <w:color w:val="auto"/>
          <w:kern w:val="2"/>
          <w:sz w:val="24"/>
          <w:szCs w:val="24"/>
          <w:lang w:eastAsia="zh-CN"/>
        </w:rPr>
        <w:t>智能级：全域智能决策体系构建</w:t>
      </w:r>
    </w:p>
    <w:p>
      <w:pPr>
        <w:pStyle w:val="23"/>
        <w:keepNext w:val="0"/>
        <w:keepLines w:val="0"/>
        <w:pageBreakBefore w:val="0"/>
        <w:widowControl/>
        <w:kinsoku/>
        <w:wordWrap/>
        <w:overflowPunct/>
        <w:topLinePunct w:val="0"/>
        <w:autoSpaceDE/>
        <w:autoSpaceDN/>
        <w:bidi w:val="0"/>
        <w:adjustRightInd/>
        <w:snapToGrid/>
        <w:spacing w:after="0"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rPr>
      </w:pPr>
      <w:r>
        <w:rPr>
          <w:rFonts w:hint="eastAsia" w:ascii="新宋体" w:hAnsi="新宋体" w:eastAsia="新宋体" w:cs="新宋体"/>
          <w:b w:val="0"/>
          <w:bCs w:val="0"/>
          <w:color w:val="auto"/>
          <w:kern w:val="2"/>
          <w:sz w:val="24"/>
          <w:szCs w:val="24"/>
          <w:lang w:eastAsia="zh-CN"/>
        </w:rPr>
        <w:t>终极形态：全面融合 AI、数字孪生等前沿技术，实现生产运营全要素、全流程的智能化管理，系统具备自主学习、预测预警与动态优化能力，快反决策效率与精准度达到行业领先水平，引领产业生态创新。</w:t>
      </w:r>
    </w:p>
    <w:p>
      <w:pPr>
        <w:pStyle w:val="23"/>
        <w:keepNext w:val="0"/>
        <w:keepLines w:val="0"/>
        <w:pageBreakBefore w:val="0"/>
        <w:widowControl/>
        <w:kinsoku/>
        <w:wordWrap/>
        <w:overflowPunct/>
        <w:topLinePunct w:val="0"/>
        <w:autoSpaceDE/>
        <w:autoSpaceDN/>
        <w:bidi w:val="0"/>
        <w:adjustRightInd/>
        <w:snapToGrid/>
        <w:spacing w:after="0" w:line="420" w:lineRule="exact"/>
        <w:ind w:left="0" w:leftChars="0" w:firstLine="0" w:firstLineChars="0"/>
        <w:jc w:val="both"/>
        <w:textAlignment w:val="auto"/>
        <w:outlineLvl w:val="1"/>
        <w:rPr>
          <w:rFonts w:hint="eastAsia" w:ascii="新宋体" w:hAnsi="新宋体" w:eastAsia="新宋体" w:cs="新宋体"/>
          <w:b/>
          <w:bCs/>
          <w:color w:val="auto"/>
          <w:kern w:val="2"/>
          <w:sz w:val="24"/>
          <w:szCs w:val="24"/>
          <w:lang w:eastAsia="zh-CN"/>
        </w:rPr>
      </w:pPr>
      <w:bookmarkStart w:id="402" w:name="_Toc1644569323"/>
      <w:r>
        <w:rPr>
          <w:rFonts w:hint="eastAsia" w:ascii="新宋体" w:hAnsi="新宋体" w:eastAsia="新宋体" w:cs="新宋体"/>
          <w:b/>
          <w:bCs/>
          <w:color w:val="auto"/>
          <w:kern w:val="2"/>
          <w:sz w:val="24"/>
          <w:szCs w:val="24"/>
          <w:lang w:val="en-US" w:eastAsia="zh-CN"/>
        </w:rPr>
        <w:t>9.3</w:t>
      </w:r>
      <w:r>
        <w:rPr>
          <w:rFonts w:hint="eastAsia" w:ascii="新宋体" w:hAnsi="新宋体" w:eastAsia="新宋体" w:cs="新宋体"/>
          <w:b/>
          <w:bCs/>
          <w:color w:val="auto"/>
          <w:kern w:val="2"/>
          <w:sz w:val="24"/>
          <w:szCs w:val="24"/>
          <w:lang w:eastAsia="zh-CN"/>
        </w:rPr>
        <w:t>构建原则</w:t>
      </w:r>
      <w:bookmarkEnd w:id="402"/>
    </w:p>
    <w:p>
      <w:pPr>
        <w:pStyle w:val="23"/>
        <w:keepNext w:val="0"/>
        <w:keepLines w:val="0"/>
        <w:pageBreakBefore w:val="0"/>
        <w:widowControl/>
        <w:kinsoku/>
        <w:wordWrap/>
        <w:overflowPunct/>
        <w:topLinePunct w:val="0"/>
        <w:autoSpaceDE/>
        <w:autoSpaceDN/>
        <w:bidi w:val="0"/>
        <w:adjustRightInd/>
        <w:snapToGrid/>
        <w:spacing w:after="0"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rPr>
      </w:pPr>
      <w:r>
        <w:rPr>
          <w:rFonts w:hint="eastAsia" w:ascii="新宋体" w:hAnsi="新宋体" w:eastAsia="新宋体" w:cs="新宋体"/>
          <w:b w:val="0"/>
          <w:bCs w:val="0"/>
          <w:color w:val="auto"/>
          <w:kern w:val="2"/>
          <w:sz w:val="24"/>
          <w:szCs w:val="24"/>
          <w:lang w:eastAsia="zh-CN"/>
        </w:rPr>
        <w:t>数据成熟度导向：从数据碎片化到全域数据贯通，体现 “采集 - 集成 - 分析 - 预测” 的全链路能力进化，与第四章数据智能层建设要求形成技术呼应。</w:t>
      </w:r>
    </w:p>
    <w:p>
      <w:pPr>
        <w:pStyle w:val="23"/>
        <w:keepNext w:val="0"/>
        <w:keepLines w:val="0"/>
        <w:pageBreakBefore w:val="0"/>
        <w:widowControl/>
        <w:kinsoku/>
        <w:wordWrap/>
        <w:overflowPunct/>
        <w:topLinePunct w:val="0"/>
        <w:autoSpaceDE/>
        <w:autoSpaceDN/>
        <w:bidi w:val="0"/>
        <w:adjustRightInd/>
        <w:snapToGrid/>
        <w:spacing w:after="0"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rPr>
      </w:pPr>
      <w:r>
        <w:rPr>
          <w:rFonts w:hint="eastAsia" w:ascii="新宋体" w:hAnsi="新宋体" w:eastAsia="新宋体" w:cs="新宋体"/>
          <w:b w:val="0"/>
          <w:bCs w:val="0"/>
          <w:color w:val="auto"/>
          <w:kern w:val="2"/>
          <w:sz w:val="24"/>
          <w:szCs w:val="24"/>
          <w:lang w:eastAsia="zh-CN"/>
        </w:rPr>
        <w:t>系统集成深度递进：从单点工具应用到数字孪生闭环，对应</w:t>
      </w:r>
      <w:r>
        <w:rPr>
          <w:rFonts w:hint="eastAsia" w:ascii="新宋体" w:hAnsi="新宋体" w:eastAsia="新宋体" w:cs="新宋体"/>
          <w:b w:val="0"/>
          <w:bCs w:val="0"/>
          <w:color w:val="auto"/>
          <w:kern w:val="2"/>
          <w:sz w:val="24"/>
          <w:szCs w:val="24"/>
          <w:lang w:val="en-US" w:eastAsia="zh-CN"/>
        </w:rPr>
        <w:t>运营管理</w:t>
      </w:r>
      <w:r>
        <w:rPr>
          <w:rFonts w:hint="eastAsia" w:ascii="新宋体" w:hAnsi="新宋体" w:eastAsia="新宋体" w:cs="新宋体"/>
          <w:b w:val="0"/>
          <w:bCs w:val="0"/>
          <w:color w:val="auto"/>
          <w:kern w:val="2"/>
          <w:sz w:val="24"/>
          <w:szCs w:val="24"/>
          <w:lang w:eastAsia="zh-CN"/>
        </w:rPr>
        <w:t>层、企业协同层的逐级集成，确保各等级技术架构与快反业务场景深度适配。</w:t>
      </w:r>
    </w:p>
    <w:p>
      <w:pPr>
        <w:pStyle w:val="23"/>
        <w:keepNext w:val="0"/>
        <w:keepLines w:val="0"/>
        <w:pageBreakBefore w:val="0"/>
        <w:widowControl/>
        <w:kinsoku/>
        <w:wordWrap/>
        <w:overflowPunct/>
        <w:topLinePunct w:val="0"/>
        <w:autoSpaceDE/>
        <w:autoSpaceDN/>
        <w:bidi w:val="0"/>
        <w:adjustRightInd/>
        <w:snapToGrid/>
        <w:spacing w:after="0" w:line="420" w:lineRule="exact"/>
        <w:ind w:firstLine="480" w:firstLineChars="200"/>
        <w:jc w:val="both"/>
        <w:textAlignment w:val="auto"/>
        <w:rPr>
          <w:rFonts w:hint="eastAsia" w:ascii="新宋体" w:hAnsi="新宋体" w:eastAsia="新宋体" w:cs="新宋体"/>
          <w:b w:val="0"/>
          <w:bCs w:val="0"/>
          <w:color w:val="auto"/>
          <w:kern w:val="2"/>
          <w:sz w:val="24"/>
          <w:szCs w:val="24"/>
          <w:lang w:eastAsia="zh-CN"/>
        </w:rPr>
      </w:pPr>
      <w:r>
        <w:rPr>
          <w:rFonts w:hint="eastAsia" w:ascii="新宋体" w:hAnsi="新宋体" w:eastAsia="新宋体" w:cs="新宋体"/>
          <w:b w:val="0"/>
          <w:bCs w:val="0"/>
          <w:color w:val="auto"/>
          <w:kern w:val="2"/>
          <w:sz w:val="24"/>
          <w:szCs w:val="24"/>
          <w:lang w:eastAsia="zh-CN"/>
        </w:rPr>
        <w:t>快反能力维度全覆盖：每个等级均围绕市场响应、生产柔性、供应链协同等六大核心指标体系设定能力边界，通过量化标准与定性描述双重定义，保障评估体系的科学性与可操作性。</w:t>
      </w:r>
    </w:p>
    <w:p>
      <w:pPr>
        <w:pStyle w:val="2"/>
        <w:pageBreakBefore w:val="0"/>
        <w:widowControl/>
        <w:kinsoku/>
        <w:wordWrap/>
        <w:overflowPunct/>
        <w:topLinePunct w:val="0"/>
        <w:autoSpaceDE/>
        <w:autoSpaceDN/>
        <w:bidi w:val="0"/>
        <w:adjustRightInd/>
        <w:snapToGrid/>
        <w:spacing w:line="420" w:lineRule="exact"/>
        <w:textAlignment w:val="auto"/>
        <w:outlineLvl w:val="1"/>
        <w:rPr>
          <w:rFonts w:hint="eastAsia" w:ascii="新宋体" w:hAnsi="新宋体" w:eastAsia="新宋体" w:cs="新宋体"/>
          <w:b/>
          <w:bCs/>
          <w:color w:val="auto"/>
          <w:sz w:val="24"/>
          <w:szCs w:val="24"/>
          <w:lang w:val="en-US" w:eastAsia="zh-CN"/>
        </w:rPr>
      </w:pPr>
      <w:bookmarkStart w:id="403" w:name="_Toc850689027"/>
      <w:bookmarkStart w:id="404" w:name="_Toc1029000593"/>
      <w:bookmarkStart w:id="405" w:name="_Toc824577370"/>
      <w:bookmarkStart w:id="406" w:name="_Toc14591124"/>
      <w:bookmarkStart w:id="407" w:name="X16caeade3fe621283800d60321b1d0ca55f214e"/>
      <w:r>
        <w:rPr>
          <w:rFonts w:hint="eastAsia" w:ascii="新宋体" w:hAnsi="新宋体" w:eastAsia="新宋体" w:cs="新宋体"/>
          <w:b/>
          <w:bCs/>
          <w:color w:val="auto"/>
          <w:sz w:val="24"/>
          <w:szCs w:val="24"/>
          <w:lang w:val="en-US" w:eastAsia="zh-CN"/>
        </w:rPr>
        <w:t>9.4评级指标</w:t>
      </w:r>
      <w:bookmarkEnd w:id="403"/>
      <w:bookmarkEnd w:id="404"/>
      <w:bookmarkEnd w:id="405"/>
      <w:r>
        <w:rPr>
          <w:rFonts w:hint="eastAsia" w:ascii="新宋体" w:hAnsi="新宋体" w:eastAsia="新宋体" w:cs="新宋体"/>
          <w:b/>
          <w:bCs/>
          <w:color w:val="auto"/>
          <w:sz w:val="24"/>
          <w:szCs w:val="24"/>
          <w:lang w:val="en-US" w:eastAsia="zh-CN"/>
        </w:rPr>
        <w:t>定义</w:t>
      </w:r>
      <w:bookmarkEnd w:id="406"/>
    </w:p>
    <w:p>
      <w:pPr>
        <w:pStyle w:val="2"/>
        <w:widowControl/>
        <w:kinsoku/>
        <w:wordWrap/>
        <w:overflowPunct/>
        <w:topLinePunct w:val="0"/>
        <w:autoSpaceDE/>
        <w:autoSpaceDN/>
        <w:bidi w:val="0"/>
        <w:adjustRightInd/>
        <w:snapToGrid/>
        <w:spacing w:line="420" w:lineRule="exact"/>
        <w:textAlignment w:val="auto"/>
        <w:outlineLvl w:val="2"/>
        <w:rPr>
          <w:rFonts w:hint="eastAsia" w:ascii="新宋体" w:hAnsi="新宋体" w:eastAsia="新宋体" w:cs="新宋体"/>
          <w:b/>
          <w:bCs/>
          <w:color w:val="auto"/>
          <w:sz w:val="24"/>
          <w:szCs w:val="24"/>
        </w:rPr>
      </w:pPr>
      <w:bookmarkStart w:id="408" w:name="_Toc1731838710"/>
      <w:bookmarkStart w:id="409" w:name="_Toc727157260"/>
      <w:bookmarkStart w:id="410" w:name="_Toc774387075"/>
      <w:bookmarkStart w:id="411" w:name="_Toc959883499"/>
      <w:r>
        <w:rPr>
          <w:rFonts w:hint="eastAsia" w:ascii="新宋体" w:hAnsi="新宋体" w:eastAsia="新宋体" w:cs="新宋体"/>
          <w:b/>
          <w:bCs/>
          <w:color w:val="auto"/>
          <w:sz w:val="24"/>
          <w:szCs w:val="24"/>
          <w:lang w:val="en-US" w:eastAsia="zh-CN"/>
        </w:rPr>
        <w:t>9.4.1</w:t>
      </w:r>
      <w:r>
        <w:rPr>
          <w:rFonts w:hint="eastAsia" w:ascii="新宋体" w:hAnsi="新宋体" w:eastAsia="新宋体" w:cs="新宋体"/>
          <w:b/>
          <w:bCs/>
          <w:color w:val="auto"/>
          <w:sz w:val="24"/>
          <w:szCs w:val="24"/>
        </w:rPr>
        <w:t>市场响应</w:t>
      </w:r>
      <w:bookmarkEnd w:id="408"/>
      <w:bookmarkEnd w:id="409"/>
      <w:bookmarkEnd w:id="410"/>
      <w:bookmarkEnd w:id="411"/>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bookmarkStart w:id="412" w:name="adb3701fd4cf0e758c54127a62407032"/>
      <w:r>
        <w:rPr>
          <w:rFonts w:hint="eastAsia" w:ascii="新宋体" w:hAnsi="新宋体" w:eastAsia="新宋体" w:cs="新宋体"/>
          <w:b w:val="0"/>
          <w:bCs w:val="0"/>
          <w:color w:val="auto"/>
          <w:sz w:val="24"/>
          <w:szCs w:val="24"/>
        </w:rPr>
        <w:t>指标定义：从市场需求/流行趋势明确到首版设计稿完成的平均时长。</w:t>
      </w:r>
    </w:p>
    <w:tbl>
      <w:tblPr>
        <w:tblStyle w:val="25"/>
        <w:tblW w:w="512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3"/>
        <w:gridCol w:w="8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pct"/>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3951" w:type="pct"/>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3951" w:type="pct"/>
          </w:tcPr>
          <w:p>
            <w:pPr>
              <w:pStyle w:val="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bCs/>
                <w:color w:val="auto"/>
                <w:sz w:val="24"/>
                <w:szCs w:val="24"/>
              </w:rPr>
            </w:pPr>
            <w:bookmarkStart w:id="413" w:name="_Toc419885310"/>
            <w:r>
              <w:rPr>
                <w:rFonts w:hint="eastAsia" w:ascii="新宋体" w:hAnsi="新宋体" w:eastAsia="新宋体" w:cs="新宋体"/>
                <w:b w:val="0"/>
                <w:bCs w:val="0"/>
                <w:color w:val="auto"/>
                <w:sz w:val="24"/>
                <w:szCs w:val="24"/>
              </w:rPr>
              <w:t>7天。主要</w:t>
            </w:r>
            <w:bookmarkStart w:id="414" w:name="_Toc1372668705"/>
            <w:bookmarkStart w:id="415" w:name="_Toc2633743"/>
            <w:bookmarkStart w:id="416" w:name="_Toc19847532"/>
            <w:bookmarkStart w:id="417" w:name="_Toc1084834033"/>
            <w:r>
              <w:rPr>
                <w:rFonts w:hint="eastAsia" w:ascii="新宋体" w:hAnsi="新宋体" w:eastAsia="新宋体" w:cs="新宋体"/>
                <w:b/>
                <w:bCs/>
                <w:color w:val="auto"/>
                <w:sz w:val="24"/>
                <w:szCs w:val="24"/>
              </w:rPr>
              <w:t>(1)新品概念到设计稿时间</w:t>
            </w:r>
            <w:bookmarkEnd w:id="413"/>
            <w:bookmarkEnd w:id="414"/>
            <w:bookmarkEnd w:id="415"/>
            <w:bookmarkEnd w:id="416"/>
            <w:bookmarkEnd w:id="417"/>
          </w:p>
          <w:p>
            <w:pPr>
              <w:pStyle w:val="8"/>
              <w:widowControl/>
              <w:kinsoku/>
              <w:wordWrap/>
              <w:overflowPunct/>
              <w:topLinePunct w:val="0"/>
              <w:autoSpaceDE/>
              <w:autoSpaceDN/>
              <w:bidi w:val="0"/>
              <w:adjustRightInd/>
              <w:snapToGrid/>
              <w:spacing w:line="420" w:lineRule="exact"/>
              <w:ind w:left="0" w:leftChars="0"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依赖人工收集信息和手工绘图，流程随意，缺乏标准化，设计周期长且不可控。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3951"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7天</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3天。开始使用基础的数字化设计工具(如2DCAD)，有初步的资料库概念，但协同性差，设计效率提升有限。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3951"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72小时</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48小时。广泛应用2D/3D设计软件，PLM系统初步应用，设计素材库和流程有一定规范，设计团队内部协同改善，设计周期缩短。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3951"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48小时</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24小时。PLM系统深度应用，实现设计、工艺、物料数据的集成管理，与市场数据联动，支持快速原型和虚拟评审，跨部门协同设计，设计效率和准确性大幅提升。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3951"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&lt;24小时。AI辅助设计，基于大数据分析自动生成设计草案或元素推荐，设计过程高度自动化和智能化，实现与消费者需求的实时互动和设计迭代，引领设计潮流。</w:t>
            </w:r>
          </w:p>
        </w:tc>
      </w:tr>
      <w:bookmarkEnd w:id="412"/>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418" w:name="_Toc381141128"/>
      <w:bookmarkStart w:id="419" w:name="_Toc669429601"/>
      <w:bookmarkStart w:id="420" w:name="_Toc1315645661"/>
      <w:bookmarkStart w:id="421" w:name="_Toc26105214"/>
      <w:bookmarkStart w:id="422" w:name="_Toc717505039"/>
      <w:bookmarkStart w:id="423" w:name="b73c949a5ea4c258c6aa5f1bbf41d4c3"/>
      <w:r>
        <w:rPr>
          <w:rFonts w:hint="eastAsia" w:ascii="新宋体" w:hAnsi="新宋体" w:eastAsia="新宋体" w:cs="新宋体"/>
          <w:b/>
          <w:bCs/>
          <w:color w:val="auto"/>
          <w:sz w:val="24"/>
          <w:szCs w:val="24"/>
        </w:rPr>
        <w:t>(2)流行趋势捕捉准确率与转化率</w:t>
      </w:r>
      <w:bookmarkEnd w:id="418"/>
      <w:bookmarkEnd w:id="419"/>
      <w:bookmarkEnd w:id="420"/>
      <w:bookmarkEnd w:id="421"/>
      <w:bookmarkEnd w:id="422"/>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指标定义：预测的流行元素与实际市场热销元素吻合度；成功转化为畅销款式的比例。</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1"/>
        <w:gridCol w:w="7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4" w:type="pct"/>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3935" w:type="pct"/>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3935"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准确率&lt;10%或无法有效统计。主要依赖设计师个人经验和主观判断，缺乏数据支持，市场风险高。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3935"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准确率11%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20%。开始关注外部时尚资讯网站和报告，有少量数据收集，但分析能力弱，对设计指导有限。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3935"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准确率21%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40%。利用社交媒体、电商平台等数据进行初步分析，有专门团队负责趋势研究，结果应用于设计企划，畅销款比例有所提升。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3935"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准确率41%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60%。构建多源数据洞察体系，利用大数据分析工具进行趋势预测和用户画像，预测结果指导产品开发全流程，显著提高爆款命中率。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1814"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3935"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准确率&gt;61%。应用AI算法进行深度趋势挖掘和精准预测，实现趋势的实时感知和快速验证，动态调整产品策略，引领市场潮流，高比例打造畅销款。</w:t>
            </w:r>
          </w:p>
        </w:tc>
      </w:tr>
      <w:bookmarkEnd w:id="423"/>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424" w:name="_Toc1564994915"/>
      <w:bookmarkStart w:id="425" w:name="_Toc2042702942"/>
      <w:bookmarkStart w:id="426" w:name="_Toc663667710"/>
      <w:bookmarkStart w:id="427" w:name="_Toc986512568"/>
      <w:bookmarkStart w:id="428" w:name="_Toc436477374"/>
      <w:bookmarkStart w:id="429" w:name="X723ed21636014afde80a0e643efebfdcc24e610"/>
      <w:r>
        <w:rPr>
          <w:rFonts w:hint="eastAsia" w:ascii="新宋体" w:hAnsi="新宋体" w:eastAsia="新宋体" w:cs="新宋体"/>
          <w:b/>
          <w:bCs/>
          <w:color w:val="auto"/>
          <w:sz w:val="24"/>
          <w:szCs w:val="24"/>
        </w:rPr>
        <w:t>(3)客户需求理解与订单确认速度</w:t>
      </w:r>
      <w:bookmarkEnd w:id="424"/>
      <w:bookmarkEnd w:id="425"/>
      <w:bookmarkEnd w:id="426"/>
      <w:bookmarkEnd w:id="427"/>
      <w:bookmarkEnd w:id="428"/>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指标定义：从客户提出需求/意向到订单信息(含规格、工艺、数量、交期)1最终确认的平均时长。</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gridCol w:w="7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3999" w:type="pct"/>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3999" w:type="pct"/>
          </w:tcPr>
          <w:p>
            <w:pPr>
              <w:pStyle w:val="8"/>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72小时。沟通主要依赖邮件、电话,信息传递易出错和遗漏，反复确认，效率低下，客户体验差。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3999"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36</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72小时。有初步的客户需求记录表单，部分信息通过内部系统流转，但仍需大量人工干预和多轮沟通。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3999"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12</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36小时。CRM/OMS系统应用，客户需求信息结构化管理，与PLM/ERP初步集成，部分参数可快速校验，订单确认效率提升。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3999"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6</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12小时。客户可通过在线平台</w:t>
            </w:r>
            <w:r>
              <w:rPr>
                <w:rFonts w:hint="eastAsia" w:ascii="新宋体" w:hAnsi="新宋体" w:eastAsia="新宋体" w:cs="新宋体"/>
                <w:b w:val="0"/>
                <w:bCs w:val="0"/>
                <w:color w:val="auto"/>
                <w:sz w:val="24"/>
                <w:szCs w:val="24"/>
                <w:lang w:eastAsia="zh-CN"/>
              </w:rPr>
              <w:t>自主</w:t>
            </w:r>
            <w:r>
              <w:rPr>
                <w:rFonts w:hint="eastAsia" w:ascii="新宋体" w:hAnsi="新宋体" w:eastAsia="新宋体" w:cs="新宋体"/>
                <w:b w:val="0"/>
                <w:bCs w:val="0"/>
                <w:color w:val="auto"/>
                <w:sz w:val="24"/>
                <w:szCs w:val="24"/>
              </w:rPr>
              <w:t>配置或提交需求，系统自动进行可行性分析和初步报价，订单确认流程高度自动化，显著缩短确认时间。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3999"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&lt;6小时。AI智能客服理解客户意图，实时交互完成需求定义，系统自动生成完整订单并进行资源预锁，实现</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即时订单”确认，客户体验极佳。</w:t>
            </w:r>
          </w:p>
        </w:tc>
      </w:tr>
      <w:bookmarkEnd w:id="429"/>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430" w:name="_Toc71086666"/>
      <w:bookmarkStart w:id="431" w:name="_Toc489827949"/>
      <w:bookmarkStart w:id="432" w:name="_Toc2034765252"/>
      <w:bookmarkStart w:id="433" w:name="_Toc233139452"/>
      <w:bookmarkStart w:id="434" w:name="_Toc1742975536"/>
      <w:bookmarkStart w:id="435" w:name="cbea94098913d9d8f9c8233308491703"/>
      <w:r>
        <w:rPr>
          <w:rFonts w:hint="eastAsia" w:ascii="新宋体" w:hAnsi="新宋体" w:eastAsia="新宋体" w:cs="新宋体"/>
          <w:b/>
          <w:bCs/>
          <w:color w:val="auto"/>
          <w:sz w:val="24"/>
          <w:szCs w:val="24"/>
        </w:rPr>
        <w:t>(4)小单/定制单接单比例与处理效率</w:t>
      </w:r>
      <w:bookmarkEnd w:id="430"/>
      <w:bookmarkEnd w:id="431"/>
      <w:bookmarkEnd w:id="432"/>
      <w:bookmarkEnd w:id="433"/>
      <w:bookmarkEnd w:id="434"/>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指标定义：小批量订单/定制订单数量占总订单数量的比例；单位时间内(如日/周)处理小单/定制单的数量。</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1"/>
        <w:gridCol w:w="7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9" w:type="pct"/>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3980" w:type="pct"/>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3980"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接单比例&lt;10%；日处理小单&lt;5个。几乎不具备小单快反能力，主要依赖人工处理，成本高昂，响应缓慢。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3980"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接单比例10%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20%；日处理小单5</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10个。有专门小组尝试处理小单，但流程未优化，效率不高，盈利能力弱。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3980"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接单比例21%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40%； 日处理小单11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30个。 OMS/APS系统支持小单处理，生产线有一定柔性，但仍有瓶颈，成本控制有待加强。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3980"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接单比例41%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60%；日处理小单31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80个。小单处理流程高度优化，实现自动化报价、排产和物料准备，生产线柔性高，小单盈利能力提升。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7"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3980"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接单比例&gt;60%；日处理小单&gt;80个。完全实现C2M模式，个性化定制与小单生产成为常态，系统自动高效处理海量小订单，成本可控且具备竞争力。</w:t>
            </w:r>
          </w:p>
        </w:tc>
      </w:tr>
      <w:bookmarkEnd w:id="407"/>
      <w:bookmarkEnd w:id="435"/>
    </w:tbl>
    <w:p>
      <w:pPr>
        <w:pStyle w:val="2"/>
        <w:widowControl/>
        <w:kinsoku/>
        <w:wordWrap/>
        <w:overflowPunct/>
        <w:topLinePunct w:val="0"/>
        <w:autoSpaceDE/>
        <w:autoSpaceDN/>
        <w:bidi w:val="0"/>
        <w:adjustRightInd/>
        <w:snapToGrid/>
        <w:spacing w:before="0" w:beforeAutospacing="0" w:line="420" w:lineRule="exact"/>
        <w:textAlignment w:val="auto"/>
        <w:outlineLvl w:val="2"/>
        <w:rPr>
          <w:rFonts w:hint="eastAsia" w:ascii="新宋体" w:hAnsi="新宋体" w:eastAsia="新宋体" w:cs="新宋体"/>
          <w:b/>
          <w:bCs/>
          <w:color w:val="auto"/>
          <w:sz w:val="24"/>
          <w:szCs w:val="24"/>
          <w:lang w:val="en-US" w:eastAsia="zh-CN"/>
        </w:rPr>
      </w:pPr>
      <w:bookmarkStart w:id="436" w:name="_Toc752687730"/>
      <w:bookmarkStart w:id="437" w:name="_Toc1233519892"/>
      <w:bookmarkStart w:id="438" w:name="_Toc864811429"/>
      <w:bookmarkStart w:id="439" w:name="_Toc365404825"/>
      <w:bookmarkStart w:id="440" w:name="_Toc1364597636"/>
      <w:bookmarkStart w:id="441" w:name="Xc7efa7ed7131d35ec4b56dc4a3034710a80aa31"/>
      <w:r>
        <w:rPr>
          <w:rFonts w:hint="eastAsia" w:ascii="新宋体" w:hAnsi="新宋体" w:eastAsia="新宋体" w:cs="新宋体"/>
          <w:b/>
          <w:bCs/>
          <w:color w:val="auto"/>
          <w:sz w:val="24"/>
          <w:szCs w:val="24"/>
          <w:lang w:val="en-US" w:eastAsia="zh-CN"/>
        </w:rPr>
        <w:t>9.4.2</w:t>
      </w:r>
      <w:r>
        <w:rPr>
          <w:rFonts w:hint="eastAsia" w:ascii="新宋体" w:hAnsi="新宋体" w:eastAsia="新宋体" w:cs="新宋体"/>
          <w:b/>
          <w:bCs/>
          <w:color w:val="auto"/>
          <w:sz w:val="24"/>
          <w:szCs w:val="24"/>
        </w:rPr>
        <w:t>计划</w:t>
      </w:r>
      <w:bookmarkEnd w:id="436"/>
      <w:bookmarkEnd w:id="437"/>
      <w:bookmarkEnd w:id="438"/>
      <w:bookmarkEnd w:id="439"/>
      <w:bookmarkEnd w:id="440"/>
      <w:r>
        <w:rPr>
          <w:rFonts w:hint="eastAsia" w:ascii="新宋体" w:hAnsi="新宋体" w:eastAsia="新宋体" w:cs="新宋体"/>
          <w:b/>
          <w:bCs/>
          <w:color w:val="auto"/>
          <w:sz w:val="24"/>
          <w:szCs w:val="24"/>
          <w:lang w:val="en-US" w:eastAsia="zh-CN"/>
        </w:rPr>
        <w:t>敏捷</w:t>
      </w:r>
    </w:p>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442" w:name="_Toc2109180353"/>
      <w:bookmarkStart w:id="443" w:name="_Toc1769995536"/>
      <w:bookmarkStart w:id="444" w:name="_Toc1814601939"/>
      <w:bookmarkStart w:id="445" w:name="_Toc1743997280"/>
      <w:bookmarkStart w:id="446" w:name="_Toc1703147002"/>
      <w:bookmarkStart w:id="447" w:name="Xe18c8f74a9fc3101c00068075e4a6c35e67707e"/>
      <w:r>
        <w:rPr>
          <w:rFonts w:hint="eastAsia" w:ascii="新宋体" w:hAnsi="新宋体" w:eastAsia="新宋体" w:cs="新宋体"/>
          <w:b/>
          <w:bCs/>
          <w:color w:val="auto"/>
          <w:sz w:val="24"/>
          <w:szCs w:val="24"/>
        </w:rPr>
        <w:t>(1)订单到生产计划下达时间</w:t>
      </w:r>
      <w:bookmarkEnd w:id="442"/>
      <w:bookmarkEnd w:id="443"/>
      <w:bookmarkEnd w:id="444"/>
      <w:bookmarkEnd w:id="445"/>
      <w:bookmarkEnd w:id="446"/>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指标定义：从订单确认到详细生产计划(含工单、排程))下达到车间的平均时长。</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2"/>
        <w:gridCol w:w="7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6" w:type="pct"/>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3713" w:type="pct"/>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3713" w:type="pct"/>
          </w:tcPr>
          <w:p>
            <w:pPr>
              <w:pStyle w:val="8"/>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72小时。人工排产，依赖经验，信息不透明，计划调整困难，生产准备周期长。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3713"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36</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72小时。使用Excel等工具辅助排产，有初步的产能概念，但数据更新不及时，计划准确性低。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3713"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24</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36小时。ERP/MES系统应用，可根据订单和BOM生成初步生产计划，但优化能力不足，仍需人工调整。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3713"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12</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24小时。APS系统深度应用，考虑多约束条件(物料、设备、人员、工艺))进行智能排程，计划准确性和执行性高。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2"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3713"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&lt;12小时。APS与IoT、AI结合， 实现基于实时数据的动态自适应排程，预测瓶颈并自动调整，计划即执行，效率极高。</w:t>
            </w:r>
          </w:p>
        </w:tc>
      </w:tr>
      <w:bookmarkEnd w:id="447"/>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448" w:name="_Toc481631842"/>
      <w:bookmarkStart w:id="449" w:name="_Toc982131751"/>
      <w:bookmarkStart w:id="450" w:name="_Toc1599517726"/>
      <w:bookmarkStart w:id="451" w:name="_Toc1371495308"/>
      <w:bookmarkStart w:id="452" w:name="_Toc357987057"/>
      <w:bookmarkStart w:id="453" w:name="d745993089deae3e6689ce931800787d"/>
      <w:r>
        <w:rPr>
          <w:rFonts w:hint="eastAsia" w:ascii="新宋体" w:hAnsi="新宋体" w:eastAsia="新宋体" w:cs="新宋体"/>
          <w:b/>
          <w:bCs/>
          <w:color w:val="auto"/>
          <w:sz w:val="24"/>
          <w:szCs w:val="24"/>
        </w:rPr>
        <w:t>(2)计划调整响应时间与灵活性</w:t>
      </w:r>
      <w:bookmarkEnd w:id="448"/>
      <w:bookmarkEnd w:id="449"/>
      <w:bookmarkEnd w:id="450"/>
      <w:bookmarkEnd w:id="451"/>
      <w:bookmarkEnd w:id="452"/>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指标定义：从接收到计划变更请求(如插单、改单、物料变更))到完成计划调整并下发的平均时长；系统支持的计划调整场景和约束条件数量。</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8"/>
        <w:gridCol w:w="7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7864" w:type="dxa"/>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207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7864"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响应时间&gt;24小时；调整场景支持：基础手动级/&lt;3个约束条件。计划僵化，调整困难，影响大，几乎无法应对变更。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7864" w:type="dxa"/>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响应时间12</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24小时；调整场景支持：基础系统级/4</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6个约束条件。可进行简单调整，但效率低，依赖人工判断，易出错。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7864" w:type="dxa"/>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响应时间6</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12小时：调整场景支持：动态优化/7</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11个约束条件。APS系统支持有限条件下的动态调整，能评估部分影响，响应速度一般。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7864"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响应时间2</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6小时；调整场景支持：智能协同级/12</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15个约束条件。APS系统能快速响应复杂变更，自动进行多方案模拟和优化，评估全面影响，计划调整高效。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8"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7864" w:type="dxa"/>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响应时间&lt;2小时；调整场景支持：自主决策级</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15个约束条件。系统具备自主决策能力，实时感知变化并自动优化调整计划，几乎无缝应对各类变更，计划敏捷性极高。</w:t>
            </w:r>
          </w:p>
        </w:tc>
      </w:tr>
      <w:bookmarkEnd w:id="453"/>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454" w:name="_Toc1779658305"/>
      <w:bookmarkStart w:id="455" w:name="_Toc894127736"/>
      <w:bookmarkStart w:id="456" w:name="_Toc920502951"/>
      <w:bookmarkStart w:id="457" w:name="_Toc1586771752"/>
      <w:bookmarkStart w:id="458" w:name="_Toc1129028215"/>
      <w:bookmarkStart w:id="459" w:name="c231da03863d04a393f5d5163255348d"/>
      <w:r>
        <w:rPr>
          <w:rFonts w:hint="eastAsia" w:ascii="新宋体" w:hAnsi="新宋体" w:eastAsia="新宋体" w:cs="新宋体"/>
          <w:b/>
          <w:bCs/>
          <w:color w:val="auto"/>
          <w:sz w:val="24"/>
          <w:szCs w:val="24"/>
        </w:rPr>
        <w:t>(3)小单/急单插单成功率与影响评估效率</w:t>
      </w:r>
      <w:bookmarkEnd w:id="454"/>
      <w:bookmarkEnd w:id="455"/>
      <w:bookmarkEnd w:id="456"/>
      <w:bookmarkEnd w:id="457"/>
      <w:bookmarkEnd w:id="458"/>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指标定义：成功插入并按期完成的小单/急单数量占总申请数量的比例；评估插单对现有计划影响(如交期、成本)的平均时长。</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5"/>
        <w:gridCol w:w="8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5" w:type="dxa"/>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8063" w:type="dxa"/>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8063"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成功率&lt;30%；影响评估&gt;48小时。几乎无法处理插单，评估完全靠人工，耗时长且不准确，严重影响正常生产。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8063"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成功率30%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40%；影响评估24</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48小时。可少量尝试插单，评估仍主要依赖人工，但有基础数据参考，处理能力有限。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8063"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成功率40%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60%；影响评估8</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24小时。APS系统可辅助进行插单可行性分析和影响评估，但不够精准和快速，插单能力一般。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8063"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成功率60%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75%；影响评估1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8小时。APS系统能快速、较准确地评估插单影响，并给出优化建议，插单处理能力增强，能较好应对市场波动。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5"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8063"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成功率&gt;75%</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85%；影响评估&lt;1小时。系统自动评估插单的最优方案并实时调整计划，对整体计划影响最小化，插单处理高效且常态化，敏捷响应市场。</w:t>
            </w:r>
          </w:p>
        </w:tc>
      </w:tr>
      <w:bookmarkEnd w:id="441"/>
      <w:bookmarkEnd w:id="459"/>
    </w:tbl>
    <w:p>
      <w:pPr>
        <w:pStyle w:val="2"/>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460" w:name="_Toc1661780893"/>
      <w:bookmarkStart w:id="461" w:name="_Toc420904469"/>
      <w:bookmarkStart w:id="462" w:name="_Toc716364307"/>
      <w:bookmarkStart w:id="463" w:name="_Toc1420907418"/>
      <w:bookmarkStart w:id="464" w:name="_Toc411704613"/>
      <w:bookmarkStart w:id="465" w:name="X7b010eb163bcd3b241f129fb33c0b7304b8fd1e"/>
      <w:r>
        <w:rPr>
          <w:rFonts w:hint="eastAsia" w:ascii="新宋体" w:hAnsi="新宋体" w:eastAsia="新宋体" w:cs="新宋体"/>
          <w:b/>
          <w:bCs/>
          <w:color w:val="auto"/>
          <w:sz w:val="24"/>
          <w:szCs w:val="24"/>
        </w:rPr>
        <w:t>(4)资源(设备、人员、物料)计划利用率</w:t>
      </w:r>
      <w:bookmarkEnd w:id="460"/>
      <w:bookmarkEnd w:id="461"/>
      <w:bookmarkEnd w:id="462"/>
      <w:bookmarkEnd w:id="463"/>
      <w:bookmarkEnd w:id="464"/>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指标定义：关键设备计划工时利用率；计划人员工时利用率；计划物料满足率。</w:t>
      </w:r>
    </w:p>
    <w:tbl>
      <w:tblPr>
        <w:tblStyle w:val="25"/>
        <w:tblW w:w="99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8310" w:type="dxa"/>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1"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8310"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设备利用率&lt;40%，人员利用率&lt;50%，物料满足率&lt;60%。资源浪费严重，计划与实际脱节，生产效率低下。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1"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8310"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设备利用率40%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50%，人员利用率50%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60%，物料满足率60%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74%。有初步的资源统计，但计划粗放，利用率不高，仍有较大提升空间。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1"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8310"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设备利用率50%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70%，人员利用率60%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80%，物料满足率75%</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89%。MES/ERP系统提供</w:t>
            </w:r>
            <w:r>
              <w:rPr>
                <w:rFonts w:hint="eastAsia" w:ascii="新宋体" w:hAnsi="新宋体" w:eastAsia="新宋体" w:cs="新宋体"/>
                <w:b w:val="0"/>
                <w:bCs w:val="0"/>
                <w:color w:val="auto"/>
                <w:sz w:val="24"/>
                <w:szCs w:val="24"/>
                <w:lang w:eastAsia="zh-CN"/>
              </w:rPr>
              <w:t>多源数据</w:t>
            </w:r>
            <w:r>
              <w:rPr>
                <w:rFonts w:hint="eastAsia" w:ascii="新宋体" w:hAnsi="新宋体" w:eastAsia="新宋体" w:cs="新宋体"/>
                <w:b w:val="0"/>
                <w:bCs w:val="0"/>
                <w:color w:val="auto"/>
                <w:sz w:val="24"/>
                <w:szCs w:val="24"/>
              </w:rPr>
              <w:t>，计划相对准确，利用率有所提升，但优化不足。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1"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8310" w:type="dxa"/>
          </w:tcPr>
          <w:p>
            <w:pPr>
              <w:pStyle w:val="7"/>
              <w:widowControl/>
              <w:kinsoku/>
              <w:wordWrap/>
              <w:overflowPunct/>
              <w:topLinePunct w:val="0"/>
              <w:autoSpaceDE/>
              <w:autoSpaceDN/>
              <w:bidi w:val="0"/>
              <w:adjustRightInd/>
              <w:snapToGrid/>
              <w:spacing w:line="420" w:lineRule="exact"/>
              <w:ind w:left="0" w:leftChars="0"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设备利用率70%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85%，人员利用率81%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92%，物料满足率89%</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96%。</w:t>
            </w:r>
          </w:p>
          <w:p>
            <w:pPr>
              <w:pStyle w:val="7"/>
              <w:widowControl/>
              <w:kinsoku/>
              <w:wordWrap/>
              <w:overflowPunct/>
              <w:topLinePunct w:val="0"/>
              <w:autoSpaceDE/>
              <w:autoSpaceDN/>
              <w:bidi w:val="0"/>
              <w:adjustRightInd/>
              <w:snapToGrid/>
              <w:spacing w:line="420" w:lineRule="exact"/>
              <w:ind w:left="0" w:leftChars="0"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APS系统精细化管理资源，实现资源供需平衡和高效利用，瓶颈环节得到改善。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1"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8310"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设备利用率&gt;85%(目标86%</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95%)，人员利用率&gt;92%， 物料满足率97%。基于AI和数字孪生实现资源动态优化配置和预测性调度，资源利用率最大化，浪费最小化。</w:t>
            </w:r>
          </w:p>
        </w:tc>
      </w:tr>
      <w:bookmarkEnd w:id="465"/>
    </w:tbl>
    <w:p>
      <w:pPr>
        <w:pStyle w:val="2"/>
        <w:widowControl/>
        <w:kinsoku/>
        <w:wordWrap/>
        <w:overflowPunct/>
        <w:topLinePunct w:val="0"/>
        <w:autoSpaceDE/>
        <w:autoSpaceDN/>
        <w:bidi w:val="0"/>
        <w:adjustRightInd/>
        <w:snapToGrid/>
        <w:spacing w:line="420" w:lineRule="exact"/>
        <w:textAlignment w:val="auto"/>
        <w:outlineLvl w:val="2"/>
        <w:rPr>
          <w:rFonts w:hint="eastAsia" w:ascii="新宋体" w:hAnsi="新宋体" w:eastAsia="新宋体" w:cs="新宋体"/>
          <w:b/>
          <w:bCs/>
          <w:color w:val="auto"/>
          <w:sz w:val="24"/>
          <w:szCs w:val="24"/>
        </w:rPr>
      </w:pPr>
      <w:bookmarkStart w:id="466" w:name="_Toc1172819686"/>
      <w:bookmarkStart w:id="467" w:name="_Toc327120057"/>
      <w:bookmarkStart w:id="468" w:name="_Toc1526639416"/>
      <w:bookmarkStart w:id="469" w:name="_Toc1141582667"/>
      <w:bookmarkStart w:id="470" w:name="_Toc330277265"/>
      <w:bookmarkStart w:id="471" w:name="Xe371c4abd8b5d43bdf58d1c47dbd6ade30a6b26"/>
      <w:r>
        <w:rPr>
          <w:rFonts w:hint="eastAsia" w:ascii="新宋体" w:hAnsi="新宋体" w:eastAsia="新宋体" w:cs="新宋体"/>
          <w:b/>
          <w:bCs/>
          <w:color w:val="auto"/>
          <w:sz w:val="24"/>
          <w:szCs w:val="24"/>
          <w:lang w:val="en-US" w:eastAsia="zh-CN"/>
        </w:rPr>
        <w:t>9.4.3</w:t>
      </w:r>
      <w:r>
        <w:rPr>
          <w:rFonts w:hint="eastAsia" w:ascii="新宋体" w:hAnsi="新宋体" w:eastAsia="新宋体" w:cs="新宋体"/>
          <w:b/>
          <w:bCs/>
          <w:color w:val="auto"/>
          <w:sz w:val="24"/>
          <w:szCs w:val="24"/>
        </w:rPr>
        <w:t>生产柔性</w:t>
      </w:r>
      <w:bookmarkEnd w:id="466"/>
      <w:bookmarkEnd w:id="467"/>
      <w:bookmarkEnd w:id="468"/>
      <w:bookmarkEnd w:id="469"/>
      <w:bookmarkEnd w:id="470"/>
    </w:p>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472" w:name="_Toc1975550436"/>
      <w:bookmarkStart w:id="473" w:name="_Toc348661679"/>
      <w:bookmarkStart w:id="474" w:name="_Toc94050356"/>
      <w:bookmarkStart w:id="475" w:name="_Toc1872249007"/>
      <w:bookmarkStart w:id="476" w:name="_Toc564896719"/>
      <w:bookmarkStart w:id="477" w:name="X7e7fa0b19e250125cd65bf4cf0fab80ecea2a22"/>
      <w:r>
        <w:rPr>
          <w:rFonts w:hint="eastAsia" w:ascii="新宋体" w:hAnsi="新宋体" w:eastAsia="新宋体" w:cs="新宋体"/>
          <w:b/>
          <w:bCs/>
          <w:color w:val="auto"/>
          <w:sz w:val="24"/>
          <w:szCs w:val="24"/>
        </w:rPr>
        <w:t>(1)生产周期</w:t>
      </w:r>
      <w:bookmarkEnd w:id="472"/>
      <w:bookmarkEnd w:id="473"/>
      <w:bookmarkEnd w:id="474"/>
      <w:bookmarkEnd w:id="475"/>
      <w:bookmarkEnd w:id="476"/>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指标定义：从生产订单下达到成品完工入库的平均时长。</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8"/>
        <w:gridCol w:w="7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7656" w:type="dxa"/>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7656"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按周或月计算，周期长且极不稳定。生产过程黑箱，进度不可控，交期难以保证。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225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7656"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按天计算，周期波动较大。部分工序有数据采集，但整体流程不畅，瓶颈多。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7656" w:type="dxa"/>
          </w:tcPr>
          <w:p>
            <w:pPr>
              <w:keepNext w:val="0"/>
              <w:keepLines w:val="0"/>
              <w:widowControl/>
              <w:suppressLineNumbers w:val="0"/>
              <w:kinsoku/>
              <w:wordWrap/>
              <w:overflowPunct/>
              <w:topLinePunct w:val="0"/>
              <w:autoSpaceDE/>
              <w:autoSpaceDN/>
              <w:bidi w:val="0"/>
              <w:adjustRightInd/>
              <w:snapToGrid/>
              <w:spacing w:line="420" w:lineRule="exact"/>
              <w:jc w:val="lef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精确到天或小时，周期相对稳定。MES系统实现工单跟踪，关键节点透明化，生产进度有一定掌控。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7656" w:type="dxa"/>
          </w:tcPr>
          <w:p>
            <w:pPr>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精确到小时，周期显著缩短且稳定。MES与APS联动， 拉动式生产，瓶颈持续改善，生产效率高。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8"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7656" w:type="dxa"/>
          </w:tcPr>
          <w:p>
            <w:pPr>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按分钟或小时计，周期极短且高度可预测。数字孪生实时监控和优化，实现JIT生产，柔性应对各种订单。</w:t>
            </w:r>
          </w:p>
        </w:tc>
      </w:tr>
      <w:bookmarkEnd w:id="477"/>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478" w:name="_Toc156369100"/>
      <w:bookmarkStart w:id="479" w:name="_Toc1958664805"/>
      <w:bookmarkStart w:id="480" w:name="_Toc831511585"/>
      <w:bookmarkStart w:id="481" w:name="_Toc1621449937"/>
      <w:bookmarkStart w:id="482" w:name="_Toc193952846"/>
      <w:bookmarkStart w:id="483" w:name="X3c64407a8edc3b65852a24008d7abc53edb5400"/>
      <w:r>
        <w:rPr>
          <w:rFonts w:hint="eastAsia" w:ascii="新宋体" w:hAnsi="新宋体" w:eastAsia="新宋体" w:cs="新宋体"/>
          <w:b/>
          <w:bCs/>
          <w:color w:val="auto"/>
          <w:sz w:val="24"/>
          <w:szCs w:val="24"/>
        </w:rPr>
        <w:t>(2)在制品(WIP)水平</w:t>
      </w:r>
      <w:bookmarkEnd w:id="478"/>
      <w:bookmarkEnd w:id="479"/>
      <w:bookmarkEnd w:id="480"/>
      <w:bookmarkEnd w:id="481"/>
      <w:bookmarkEnd w:id="482"/>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指标定义：车间内所有工序上正在加工和等待加工的物料总量或总金额。</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7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7722" w:type="dxa"/>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7722"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WIP水平高且不可控，车间大量堆积。依赖经验管理，缺乏数据支撑，资金占用大。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7722" w:type="dxa"/>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WIP水平较高，部分区域有统计。开始关注WIP，但控制手段有限，效果不明显。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7722" w:type="dxa"/>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WIP水平得到一定控制，MES系统可实时追踪。通过看板等方式管理，WIP有所下降。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7722" w:type="dxa"/>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WIP水平显著降低，接近精益生产要求。MES/APS驱动的拉动式补料和生产，WIP得到有效控制。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8"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7722" w:type="dxa"/>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WIP水平极低，实现单件流或小批量流转。AI优化物料流和生产节拍，动态控制WIP，资金周转快。</w:t>
            </w:r>
          </w:p>
        </w:tc>
      </w:tr>
      <w:bookmarkEnd w:id="483"/>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484" w:name="_Toc502552772"/>
      <w:bookmarkStart w:id="485" w:name="_Toc2032790223"/>
      <w:bookmarkStart w:id="486" w:name="_Toc1722963419"/>
      <w:bookmarkStart w:id="487" w:name="_Toc141610729"/>
      <w:bookmarkStart w:id="488" w:name="_Toc1539118066"/>
      <w:bookmarkStart w:id="489" w:name="X84595dfa8140f5f8325e151d8be565945aaa2a5"/>
      <w:r>
        <w:rPr>
          <w:rFonts w:hint="eastAsia" w:ascii="新宋体" w:hAnsi="新宋体" w:eastAsia="新宋体" w:cs="新宋体"/>
          <w:b/>
          <w:bCs/>
          <w:color w:val="auto"/>
          <w:sz w:val="24"/>
          <w:szCs w:val="24"/>
        </w:rPr>
        <w:t>(3)快速换产时间(SMED)</w:t>
      </w:r>
      <w:bookmarkEnd w:id="484"/>
      <w:bookmarkEnd w:id="485"/>
      <w:bookmarkEnd w:id="486"/>
      <w:bookmarkEnd w:id="487"/>
      <w:bookmarkEnd w:id="488"/>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指标定义：从上一批次最后一个合格品产出到下一批次第一个合格品产出的平均时间。</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5"/>
        <w:gridCol w:w="7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2" w:type="pct"/>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3807" w:type="pct"/>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3807" w:type="pct"/>
          </w:tcPr>
          <w:p>
            <w:pPr>
              <w:pStyle w:val="8"/>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4小时，换产随意，无标准流程，严重影响小单生产率。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3807"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2</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4小时，有初步的换产步骤记录，但未优化，依赖熟练工。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3807"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2小时，MES/PLM提供换产指导，部分实现内外作业分离，换产效率有所提升。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3807"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30分钟</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1小时，标准化换产流程，利用数字化工具辅助，持续优化，SMED活动常态化。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3807"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&lt;30分钟，设备支持一键换产或参数自动调整，AI辅助优化换产策略，实现近乎零时间的换产。</w:t>
            </w:r>
          </w:p>
        </w:tc>
      </w:tr>
      <w:bookmarkEnd w:id="489"/>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490" w:name="_Toc639641427"/>
      <w:bookmarkStart w:id="491" w:name="_Toc1516807147"/>
      <w:bookmarkStart w:id="492" w:name="_Toc1176686985"/>
      <w:bookmarkStart w:id="493" w:name="_Toc787937838"/>
      <w:bookmarkStart w:id="494" w:name="_Toc351255353"/>
      <w:bookmarkStart w:id="495" w:name="a851331d24099f8b35ddd154070e68da"/>
      <w:r>
        <w:rPr>
          <w:rFonts w:hint="eastAsia" w:ascii="新宋体" w:hAnsi="新宋体" w:eastAsia="新宋体" w:cs="新宋体"/>
          <w:b/>
          <w:bCs/>
          <w:color w:val="auto"/>
          <w:sz w:val="24"/>
          <w:szCs w:val="24"/>
        </w:rPr>
        <w:t>(4)设备综合效率(OEE)</w:t>
      </w:r>
      <w:bookmarkEnd w:id="490"/>
      <w:bookmarkEnd w:id="491"/>
      <w:bookmarkEnd w:id="492"/>
      <w:bookmarkEnd w:id="493"/>
      <w:bookmarkEnd w:id="494"/>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指标定义：综合反映设备时间开动率、性能开动率和产品合格率的指标(OEE=时间开动率×性能开动率×合格品率)。</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2"/>
        <w:gridCol w:w="7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3939" w:type="pct"/>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3939" w:type="pct"/>
            <w:shd w:val="clear" w:color="auto" w:fill="auto"/>
            <w:vAlign w:val="top"/>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OEE&lt;40%，无OEE概念或手工粗略估算。设备故障频繁，维护被动，设备效能低下。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3939"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OEE 40%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55%， 开始统计设备停机时间，有基础的维护记录，但OEE水平仍较低。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3939"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OEE 55%</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70%， MES/IoT平台采集设备数据，自动计算OEE，实施预防性维护， OEE有所改善。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3939"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OEE 70%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85%， 基于OEE数据分析损失原因，持续改进设备性能和维护策略， 推广TPM， OEE达到良好水平。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7"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3939"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OEE&gt;85%，实现预测性维护，AI优化设备运行参数和维护计划， OEE持续提升，达到行业领先或世界级水平。</w:t>
            </w:r>
          </w:p>
        </w:tc>
      </w:tr>
      <w:bookmarkEnd w:id="471"/>
      <w:bookmarkEnd w:id="495"/>
    </w:tbl>
    <w:p>
      <w:pPr>
        <w:pStyle w:val="2"/>
        <w:widowControl/>
        <w:kinsoku/>
        <w:wordWrap/>
        <w:overflowPunct/>
        <w:topLinePunct w:val="0"/>
        <w:autoSpaceDE/>
        <w:autoSpaceDN/>
        <w:bidi w:val="0"/>
        <w:adjustRightInd/>
        <w:snapToGrid/>
        <w:spacing w:line="420" w:lineRule="exact"/>
        <w:textAlignment w:val="auto"/>
        <w:outlineLvl w:val="2"/>
        <w:rPr>
          <w:rFonts w:hint="eastAsia" w:ascii="新宋体" w:hAnsi="新宋体" w:eastAsia="新宋体" w:cs="新宋体"/>
          <w:b/>
          <w:bCs/>
          <w:color w:val="auto"/>
          <w:sz w:val="24"/>
          <w:szCs w:val="24"/>
        </w:rPr>
      </w:pPr>
      <w:bookmarkStart w:id="496" w:name="_Toc960981971"/>
      <w:bookmarkStart w:id="497" w:name="_Toc116172268"/>
      <w:bookmarkStart w:id="498" w:name="_Toc150326707"/>
      <w:bookmarkStart w:id="499" w:name="_Toc199346092"/>
      <w:bookmarkStart w:id="500" w:name="_Toc401251672"/>
      <w:bookmarkStart w:id="501" w:name="fef57483b1c82327aadda69ab4078976"/>
      <w:r>
        <w:rPr>
          <w:rFonts w:hint="eastAsia" w:ascii="新宋体" w:hAnsi="新宋体" w:eastAsia="新宋体" w:cs="新宋体"/>
          <w:b/>
          <w:bCs/>
          <w:color w:val="auto"/>
          <w:sz w:val="24"/>
          <w:szCs w:val="24"/>
          <w:lang w:val="en-US" w:eastAsia="zh-CN"/>
        </w:rPr>
        <w:t>9.4.4</w:t>
      </w:r>
      <w:r>
        <w:rPr>
          <w:rFonts w:hint="eastAsia" w:ascii="新宋体" w:hAnsi="新宋体" w:eastAsia="新宋体" w:cs="新宋体"/>
          <w:b/>
          <w:bCs/>
          <w:color w:val="auto"/>
          <w:sz w:val="24"/>
          <w:szCs w:val="24"/>
        </w:rPr>
        <w:t>供应协同</w:t>
      </w:r>
      <w:bookmarkEnd w:id="496"/>
      <w:bookmarkEnd w:id="497"/>
      <w:bookmarkEnd w:id="498"/>
      <w:bookmarkEnd w:id="499"/>
      <w:bookmarkEnd w:id="500"/>
    </w:p>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02" w:name="_Toc335278924"/>
      <w:bookmarkStart w:id="503" w:name="_Toc1100195677"/>
      <w:bookmarkStart w:id="504" w:name="_Toc1487075864"/>
      <w:bookmarkStart w:id="505" w:name="_Toc738199724"/>
      <w:bookmarkStart w:id="506" w:name="_Toc444673153"/>
      <w:bookmarkStart w:id="507" w:name="X0e2a5073bde7d09aafc5198967656df5d5ea60a"/>
      <w:r>
        <w:rPr>
          <w:rFonts w:hint="eastAsia" w:ascii="新宋体" w:hAnsi="新宋体" w:eastAsia="新宋体" w:cs="新宋体"/>
          <w:b/>
          <w:bCs/>
          <w:color w:val="auto"/>
          <w:sz w:val="24"/>
          <w:szCs w:val="24"/>
        </w:rPr>
        <w:t>(1)供应商接单响应时间与交付准时率</w:t>
      </w:r>
      <w:bookmarkEnd w:id="502"/>
      <w:bookmarkEnd w:id="503"/>
      <w:bookmarkEnd w:id="504"/>
      <w:bookmarkEnd w:id="505"/>
      <w:bookmarkEnd w:id="506"/>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指标定义：供应商从接收采购订单到确认订单的平均时长；供应商按约定时间、数量、质量交付的批次比例。</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2"/>
        <w:gridCol w:w="8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pct"/>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4030" w:type="pct"/>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3"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4030"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响应时间&gt;48h，准时率&lt;70%。与供应商沟通低效，信息传递主要靠电话/邮件，供应商管理混乱，供应不稳定。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3"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4030"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响应时间24</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48h，准时率70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80%。通过邮件/Excel管理订单，有基础供应商档案，但协同性差。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3"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4030"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响应时间12</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24h，准时率80-90%。ERP/SCM系统与部分核心供应商对接，订单电子化，有供应商绩效初步评估。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3"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4030"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响应时间&lt;12h，准时率90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97%。SCM平台广泛应用，与主要供应商实时共享计划与库存，协同预测，建立战略合作。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3"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4030"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实时响应，准时率&gt;97%。与供应商建立深度战略合作伙伴关系，数据完全透明共享，AI驱动的智能补货与协同计划，形成敏捷响应的供应网络。</w:t>
            </w:r>
          </w:p>
        </w:tc>
      </w:tr>
      <w:bookmarkEnd w:id="507"/>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08" w:name="_Toc378590911"/>
      <w:bookmarkStart w:id="509" w:name="_Toc869362462"/>
      <w:bookmarkStart w:id="510" w:name="_Toc1154542669"/>
      <w:bookmarkStart w:id="511" w:name="_Toc909732549"/>
      <w:bookmarkStart w:id="512" w:name="_Toc35785940"/>
      <w:bookmarkStart w:id="513" w:name="Xffaeb713a64b692f5248b0d611d4c69e89a7444"/>
      <w:r>
        <w:rPr>
          <w:rFonts w:hint="eastAsia" w:ascii="新宋体" w:hAnsi="新宋体" w:eastAsia="新宋体" w:cs="新宋体"/>
          <w:b/>
          <w:bCs/>
          <w:color w:val="auto"/>
          <w:sz w:val="24"/>
          <w:szCs w:val="24"/>
        </w:rPr>
        <w:t>(2)面辅料采购周期与齐套准时率</w:t>
      </w:r>
      <w:bookmarkEnd w:id="508"/>
      <w:bookmarkEnd w:id="509"/>
      <w:bookmarkEnd w:id="510"/>
      <w:bookmarkEnd w:id="511"/>
      <w:bookmarkEnd w:id="512"/>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指标定义：从发起采购需求到面辅料入库验收合格的平均时长；按生产计划需求日期，面辅料准时、足量、配套到位的比例。</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1"/>
        <w:gridCol w:w="7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6811" w:type="dxa"/>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6811"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采购周期&gt;15天，齐套率&lt;70%。采购流程冗长，人工操作多，物料短缺频发，严重影响生产。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6811" w:type="dxa"/>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采购周期10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15天，齐套率70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80%。有采购计划，但执行跟踪不力，物料管理粗放。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6811" w:type="dxa"/>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采购周期5</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10天，齐套率80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90%。ERP/MRP系统计算需求，WMS管理库存，采购流程部分优化，齐套性有所改善。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6811" w:type="dxa"/>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采购周期2</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5天，齐套率90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97%。APS驱动精准采购，与供应商协同备料，支持小批量高频采购模式， 物料供应敏捷。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6811"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采购周期&lt;2天，齐套率&gt;97%。VMI/JIT供料模式广泛应用， AI预测需求并自动触发采购，实现按需精准、快速补给，供应链韧性强。</w:t>
            </w:r>
          </w:p>
        </w:tc>
      </w:tr>
      <w:bookmarkEnd w:id="513"/>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14" w:name="_Toc2043648293"/>
      <w:bookmarkStart w:id="515" w:name="_Toc1883887238"/>
      <w:bookmarkStart w:id="516" w:name="_Toc158872420"/>
      <w:bookmarkStart w:id="517" w:name="_Toc1938868050"/>
      <w:bookmarkStart w:id="518" w:name="_Toc2130878763"/>
      <w:bookmarkStart w:id="519" w:name="Xc470c30b51e120c11d01dc6f5dda55115330b62"/>
      <w:r>
        <w:rPr>
          <w:rFonts w:hint="eastAsia" w:ascii="新宋体" w:hAnsi="新宋体" w:eastAsia="新宋体" w:cs="新宋体"/>
          <w:b/>
          <w:bCs/>
          <w:color w:val="auto"/>
          <w:sz w:val="24"/>
          <w:szCs w:val="24"/>
        </w:rPr>
        <w:t>(3)订单准时交付率(OTD)</w:t>
      </w:r>
      <w:bookmarkEnd w:id="514"/>
      <w:bookmarkEnd w:id="515"/>
      <w:bookmarkEnd w:id="516"/>
      <w:bookmarkEnd w:id="517"/>
      <w:bookmarkEnd w:id="518"/>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指标定义：按客户要求或约定日期准时完成并交付的订单数量占总订单数量的比例。</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8"/>
        <w:gridCol w:w="7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9" w:type="pct"/>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3630" w:type="pct"/>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4"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3630"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OTD&lt;70%。频繁延期，客户满意度低，订单流失风险高。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4"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3630"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OTD 70%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85%。有交付目标，但过程控制弱，计划与执行脱节时有发生。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4"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3630"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OTD 85%</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95%。 OMS/ERP/MES联动，订单全程跟踪，交付能力提升，客户满意度改善。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4"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3630"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OTD 95%</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99%。全流程优化，建立交付风险预警机制，确保高准时交付率，客户信任度高。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4"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3630"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OTD&gt;99%。AI预测交付风险并自动调整计划与资源，实现近乎完美的准时交付，成为核心竞争力。</w:t>
            </w:r>
          </w:p>
        </w:tc>
      </w:tr>
      <w:bookmarkEnd w:id="519"/>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20" w:name="_Toc638456772"/>
      <w:bookmarkStart w:id="521" w:name="_Toc2141401345"/>
      <w:bookmarkStart w:id="522" w:name="_Toc94588722"/>
      <w:bookmarkStart w:id="523" w:name="_Toc743410333"/>
      <w:bookmarkStart w:id="524" w:name="_Toc846589719"/>
      <w:bookmarkStart w:id="525" w:name="X8f1bcceb3c6174474db963f7c96d7cf0fe1f368"/>
      <w:r>
        <w:rPr>
          <w:rFonts w:hint="eastAsia" w:ascii="新宋体" w:hAnsi="新宋体" w:eastAsia="新宋体" w:cs="新宋体"/>
          <w:b/>
          <w:bCs/>
          <w:color w:val="auto"/>
          <w:sz w:val="24"/>
          <w:szCs w:val="24"/>
        </w:rPr>
        <w:t>(4)成品出库与物流配送效率</w:t>
      </w:r>
      <w:bookmarkEnd w:id="520"/>
      <w:bookmarkEnd w:id="521"/>
      <w:bookmarkEnd w:id="522"/>
      <w:bookmarkEnd w:id="523"/>
      <w:bookmarkEnd w:id="524"/>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指标定义：从订单拣货完成到货物发出装车的平均时长；</w:t>
      </w:r>
      <w:r>
        <w:rPr>
          <w:rFonts w:hint="eastAsia" w:ascii="新宋体" w:hAnsi="新宋体" w:eastAsia="新宋体" w:cs="新宋体"/>
          <w:b w:val="0"/>
          <w:bCs w:val="0"/>
          <w:color w:val="auto"/>
          <w:sz w:val="24"/>
          <w:szCs w:val="24"/>
          <w:lang w:val="en-US" w:eastAsia="zh-CN"/>
        </w:rPr>
        <w:t>从发货到客户签收的物流</w:t>
      </w:r>
      <w:r>
        <w:rPr>
          <w:rFonts w:hint="eastAsia" w:ascii="新宋体" w:hAnsi="新宋体" w:eastAsia="新宋体" w:cs="新宋体"/>
          <w:b w:val="0"/>
          <w:bCs w:val="0"/>
          <w:color w:val="auto"/>
          <w:sz w:val="24"/>
          <w:szCs w:val="24"/>
          <w:lang w:eastAsia="zh-CN"/>
        </w:rPr>
        <w:t>状态</w:t>
      </w:r>
      <w:r>
        <w:rPr>
          <w:rFonts w:hint="eastAsia" w:ascii="新宋体" w:hAnsi="新宋体" w:eastAsia="新宋体" w:cs="新宋体"/>
          <w:b w:val="0"/>
          <w:bCs w:val="0"/>
          <w:color w:val="auto"/>
          <w:sz w:val="24"/>
          <w:szCs w:val="24"/>
        </w:rPr>
        <w:t>。</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9"/>
        <w:gridCol w:w="7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pct"/>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3751" w:type="pct"/>
          </w:tcPr>
          <w:p>
            <w:pPr>
              <w:pStyle w:val="24"/>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3751"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出库时长&gt;24h，配送时长不可控。仓库管理混乱，手工单据，物流信息不透明，配送效率低。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3751"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出库时长12</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24h，配送时长有初步跟踪。WMS初步应用，人工调度出库，与少数物流商有固定合作。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3751"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出库时长4</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12h，配送时长可跟踪。WMS优化拣选路径，与TMS初步集成，物流状态部分可见。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3751"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出库时长1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4h，配送时长可控且优化。WMS智能调度，TMS深度集成，物流路径优化，与物流商协同效率高。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3751"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出库时长&lt;1h，配送时长最短且可预测。自动化仓库，AI优化物流网络和配送方案，客户实时可见全程物流，实现高效精准送达。</w:t>
            </w:r>
          </w:p>
        </w:tc>
      </w:tr>
      <w:bookmarkEnd w:id="501"/>
      <w:bookmarkEnd w:id="525"/>
    </w:tbl>
    <w:p>
      <w:pPr>
        <w:pStyle w:val="2"/>
        <w:widowControl/>
        <w:kinsoku/>
        <w:wordWrap/>
        <w:overflowPunct/>
        <w:topLinePunct w:val="0"/>
        <w:autoSpaceDE/>
        <w:autoSpaceDN/>
        <w:bidi w:val="0"/>
        <w:adjustRightInd/>
        <w:snapToGrid/>
        <w:spacing w:line="420" w:lineRule="exact"/>
        <w:textAlignment w:val="auto"/>
        <w:outlineLvl w:val="2"/>
        <w:rPr>
          <w:rFonts w:hint="eastAsia" w:ascii="新宋体" w:hAnsi="新宋体" w:eastAsia="新宋体" w:cs="新宋体"/>
          <w:b/>
          <w:bCs/>
          <w:color w:val="auto"/>
          <w:sz w:val="24"/>
          <w:szCs w:val="24"/>
        </w:rPr>
      </w:pPr>
      <w:bookmarkStart w:id="526" w:name="_Toc1554245858"/>
      <w:bookmarkStart w:id="527" w:name="_Toc853965342"/>
      <w:bookmarkStart w:id="528" w:name="_Toc1714666592"/>
      <w:bookmarkStart w:id="529" w:name="_Toc614751874"/>
      <w:bookmarkStart w:id="530" w:name="_Toc2146961157"/>
      <w:bookmarkStart w:id="531" w:name="X6e44a35125b015f58e005d26ede6bd6945c14a7"/>
      <w:r>
        <w:rPr>
          <w:rFonts w:hint="eastAsia" w:ascii="新宋体" w:hAnsi="新宋体" w:eastAsia="新宋体" w:cs="新宋体"/>
          <w:b/>
          <w:bCs/>
          <w:color w:val="auto"/>
          <w:sz w:val="24"/>
          <w:szCs w:val="24"/>
          <w:lang w:val="en-US" w:eastAsia="zh-CN"/>
        </w:rPr>
        <w:t>9.4.5</w:t>
      </w:r>
      <w:r>
        <w:rPr>
          <w:rFonts w:hint="eastAsia" w:ascii="新宋体" w:hAnsi="新宋体" w:eastAsia="新宋体" w:cs="新宋体"/>
          <w:b/>
          <w:bCs/>
          <w:color w:val="auto"/>
          <w:sz w:val="24"/>
          <w:szCs w:val="24"/>
        </w:rPr>
        <w:t>质量内建</w:t>
      </w:r>
      <w:bookmarkEnd w:id="526"/>
      <w:bookmarkEnd w:id="527"/>
      <w:bookmarkEnd w:id="528"/>
      <w:bookmarkEnd w:id="529"/>
      <w:bookmarkEnd w:id="530"/>
    </w:p>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32" w:name="_Toc219053298"/>
      <w:bookmarkStart w:id="533" w:name="_Toc1318352651"/>
      <w:bookmarkStart w:id="534" w:name="_Toc962290093"/>
      <w:bookmarkStart w:id="535" w:name="_Toc590920601"/>
      <w:bookmarkStart w:id="536" w:name="_Toc437608485"/>
      <w:bookmarkStart w:id="537" w:name="X90d00ccf6204f66383352c1fa6e54dbdaadb566"/>
      <w:r>
        <w:rPr>
          <w:rFonts w:hint="eastAsia" w:ascii="新宋体" w:hAnsi="新宋体" w:eastAsia="新宋体" w:cs="新宋体"/>
          <w:b/>
          <w:bCs/>
          <w:color w:val="auto"/>
          <w:sz w:val="24"/>
          <w:szCs w:val="24"/>
        </w:rPr>
        <w:t>(1)一次通过率(FPY)</w:t>
      </w:r>
      <w:bookmarkEnd w:id="532"/>
      <w:bookmarkEnd w:id="533"/>
      <w:bookmarkEnd w:id="534"/>
      <w:bookmarkEnd w:id="535"/>
      <w:bookmarkEnd w:id="536"/>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指标定义：产品在首次通过所有检验工序即判定为合格品的比例。</w:t>
      </w:r>
    </w:p>
    <w:tbl>
      <w:tblPr>
        <w:tblStyle w:val="25"/>
        <w:tblW w:w="99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8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8017"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8017"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FPY&lt;70%。质量问题多，依赖事后检验和大量返工，质量</w:t>
            </w:r>
            <w:r>
              <w:rPr>
                <w:rFonts w:hint="eastAsia" w:ascii="新宋体" w:hAnsi="新宋体" w:eastAsia="新宋体" w:cs="新宋体"/>
                <w:b w:val="0"/>
                <w:bCs w:val="0"/>
                <w:color w:val="auto"/>
                <w:sz w:val="24"/>
                <w:szCs w:val="24"/>
                <w:lang w:eastAsia="zh-CN"/>
              </w:rPr>
              <w:t>成本</w:t>
            </w:r>
            <w:r>
              <w:rPr>
                <w:rFonts w:hint="eastAsia" w:ascii="新宋体" w:hAnsi="新宋体" w:eastAsia="新宋体" w:cs="新宋体"/>
                <w:b w:val="0"/>
                <w:bCs w:val="0"/>
                <w:color w:val="auto"/>
                <w:sz w:val="24"/>
                <w:szCs w:val="24"/>
              </w:rPr>
              <w:t>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96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8017"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FPY70%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80%。有检验标准，但执行不严格，数据记录不完整，质量控制能力弱。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8017"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FPY 80%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90%。QMS/MES系统管理质量数据，关键工序有检验点， SPC初步应用，质量水平有所提升。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8017"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FPY90%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97%。质量内建理念深入，全员参与质量控制，SPC广泛应用，实现过程预警和持续改进。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8017"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FPY&gt;97%。AI赋能智能检测和质量预测，实现零缺陷目标，质量成为核心竞争力，品牌美誉度高。</w:t>
            </w:r>
          </w:p>
        </w:tc>
      </w:tr>
      <w:bookmarkEnd w:id="537"/>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38" w:name="_Toc1964219258"/>
      <w:bookmarkStart w:id="539" w:name="_Toc841808528"/>
      <w:bookmarkStart w:id="540" w:name="_Toc1901800067"/>
      <w:bookmarkStart w:id="541" w:name="_Toc510247494"/>
      <w:bookmarkStart w:id="542" w:name="_Toc1638157279"/>
      <w:bookmarkStart w:id="543" w:name="a9d37b7ed4a3dddf7af5ca0953da701b"/>
      <w:r>
        <w:rPr>
          <w:rFonts w:hint="eastAsia" w:ascii="新宋体" w:hAnsi="新宋体" w:eastAsia="新宋体" w:cs="新宋体"/>
          <w:b/>
          <w:bCs/>
          <w:color w:val="auto"/>
          <w:sz w:val="24"/>
          <w:szCs w:val="24"/>
        </w:rPr>
        <w:t>(2)制程不良率(PPM)</w:t>
      </w:r>
      <w:bookmarkEnd w:id="538"/>
      <w:bookmarkEnd w:id="539"/>
      <w:bookmarkEnd w:id="540"/>
      <w:bookmarkEnd w:id="541"/>
      <w:bookmarkEnd w:id="542"/>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指标定义：生产过程中每百万件产品中出现的不良品数量。</w:t>
      </w:r>
    </w:p>
    <w:tbl>
      <w:tblPr>
        <w:tblStyle w:val="25"/>
        <w:tblW w:w="99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9"/>
        <w:gridCol w:w="8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8210"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8210"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PPM&gt;50000。不良品多，原因分析不清，浪费严重。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8210"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PPM 20000-50000。开始统计不良数据，但分析和改进不足，效果不佳。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8210"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PPM5000-20000。MES/QMS记录和分析不良，有针对性改进措施，不良率有所下降。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8210"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PPM 1000-5000。系统化问题解决机制(如8D)，持续降低不良，质量稳定性提高。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9"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8210"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PPM&lt;1000。AI预测和预防不良发生，接近六西格玛水平，实现卓越质量。</w:t>
            </w:r>
          </w:p>
        </w:tc>
      </w:tr>
      <w:bookmarkEnd w:id="543"/>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44" w:name="_Toc1514447522"/>
      <w:bookmarkStart w:id="545" w:name="_Toc1769033613"/>
      <w:bookmarkStart w:id="546" w:name="_Toc653663660"/>
      <w:bookmarkStart w:id="547" w:name="_Toc827429187"/>
      <w:bookmarkStart w:id="548" w:name="_Toc407124121"/>
      <w:bookmarkStart w:id="549" w:name="X3bda91a277567d16369550c5ffefc11c750d49f"/>
      <w:r>
        <w:rPr>
          <w:rFonts w:hint="eastAsia" w:ascii="新宋体" w:hAnsi="新宋体" w:eastAsia="新宋体" w:cs="新宋体"/>
          <w:b/>
          <w:bCs/>
          <w:color w:val="auto"/>
          <w:sz w:val="24"/>
          <w:szCs w:val="24"/>
        </w:rPr>
        <w:t>(3)质量问题发现到解决平均时间</w:t>
      </w:r>
      <w:bookmarkEnd w:id="544"/>
      <w:bookmarkEnd w:id="545"/>
      <w:bookmarkEnd w:id="546"/>
      <w:bookmarkEnd w:id="547"/>
      <w:bookmarkEnd w:id="548"/>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指标定义：从质量问题(如客诉、制程不良)被发现/报告到根本原因查明并实施有效纠正/预防措施的平均时长。</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7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pct"/>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3864" w:type="pct"/>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3864" w:type="pct"/>
          </w:tcPr>
          <w:p>
            <w:pPr>
              <w:pStyle w:val="8"/>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7天。问题处理流程混乱，响应缓慢，问题反复出现。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3864" w:type="pct"/>
            <w:shd w:val="clear" w:color="auto" w:fill="auto"/>
            <w:vAlign w:val="top"/>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3</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7天。有初步的问题上报机制，但处理效率低，根本原因分析不足。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3864"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3天。QMS系统支持问题处理流程，跨部门协同有改善，问题解决速度提升。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3864"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&lt;24小时。标准化的快速响应和问题解决流程，根本原因分析深入，预防措施有效。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3864"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&lt;8小时。AI辅助诊断和决策，实现问题的快速闭环和知识沉淀，形成持续改进的良性循环。</w:t>
            </w:r>
          </w:p>
        </w:tc>
      </w:tr>
      <w:bookmarkEnd w:id="549"/>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50" w:name="_Toc1645731584"/>
      <w:bookmarkStart w:id="551" w:name="_Toc652202305"/>
      <w:bookmarkStart w:id="552" w:name="_Toc1343318010"/>
      <w:bookmarkStart w:id="553" w:name="_Toc236840976"/>
      <w:bookmarkStart w:id="554" w:name="_Toc1746279215"/>
      <w:bookmarkStart w:id="555" w:name="X4a16aa7a82a29f72a984d77f199caba1092b8a5"/>
      <w:r>
        <w:rPr>
          <w:rFonts w:hint="eastAsia" w:ascii="新宋体" w:hAnsi="新宋体" w:eastAsia="新宋体" w:cs="新宋体"/>
          <w:b/>
          <w:bCs/>
          <w:color w:val="auto"/>
          <w:sz w:val="24"/>
          <w:szCs w:val="24"/>
        </w:rPr>
        <w:t>(4)客户因质量问题退货率</w:t>
      </w:r>
      <w:bookmarkEnd w:id="550"/>
      <w:bookmarkEnd w:id="551"/>
      <w:bookmarkEnd w:id="552"/>
      <w:bookmarkEnd w:id="553"/>
      <w:bookmarkEnd w:id="554"/>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指标定义：因产品质量问题导致的客户退货数量占总销售数量的比例。</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0"/>
        <w:gridCol w:w="8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8" w:type="pct"/>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4101"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4101"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退货率&gt;5%。客户投诉多，品牌声誉受损，市场竞争力弱。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4101"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退货率3%</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5%。开始关注客户反馈，但改进措施滞后，效果有限。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4101"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退货率1%</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3%。CRM/QMS联动，客户反馈能及时传递到生产和质量部门，退货率有所降低。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4101"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退货率0.5%</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1%。建立客户反馈闭环管理，持续改进产品和服务质量，客户满意度高。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4101"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退货率&lt;0.5%。通过预测分析提前识别潜在质量风险，主动服务客户，退货率极低，客户忠诚度高。</w:t>
            </w:r>
          </w:p>
        </w:tc>
      </w:tr>
      <w:bookmarkEnd w:id="531"/>
      <w:bookmarkEnd w:id="555"/>
    </w:tbl>
    <w:p>
      <w:pPr>
        <w:pStyle w:val="2"/>
        <w:widowControl/>
        <w:kinsoku/>
        <w:wordWrap/>
        <w:overflowPunct/>
        <w:topLinePunct w:val="0"/>
        <w:autoSpaceDE/>
        <w:autoSpaceDN/>
        <w:bidi w:val="0"/>
        <w:adjustRightInd/>
        <w:snapToGrid/>
        <w:spacing w:line="420" w:lineRule="exact"/>
        <w:textAlignment w:val="auto"/>
        <w:outlineLvl w:val="2"/>
        <w:rPr>
          <w:rFonts w:hint="eastAsia" w:ascii="新宋体" w:hAnsi="新宋体" w:eastAsia="新宋体" w:cs="新宋体"/>
          <w:b/>
          <w:bCs/>
          <w:color w:val="auto"/>
          <w:sz w:val="24"/>
          <w:szCs w:val="24"/>
        </w:rPr>
      </w:pPr>
      <w:bookmarkStart w:id="556" w:name="_Toc1955928805"/>
      <w:bookmarkStart w:id="557" w:name="_Toc1299085741"/>
      <w:bookmarkStart w:id="558" w:name="_Toc55762956"/>
      <w:bookmarkStart w:id="559" w:name="_Toc221358928"/>
      <w:bookmarkStart w:id="560" w:name="_Toc650213159"/>
      <w:bookmarkStart w:id="561" w:name="Xfe44e8fb77a57dd18295a8963a6dd21b4761ca0"/>
      <w:r>
        <w:rPr>
          <w:rFonts w:hint="eastAsia" w:ascii="新宋体" w:hAnsi="新宋体" w:eastAsia="新宋体" w:cs="新宋体"/>
          <w:b/>
          <w:bCs/>
          <w:color w:val="auto"/>
          <w:sz w:val="24"/>
          <w:szCs w:val="24"/>
          <w:lang w:val="en-US" w:eastAsia="zh-CN"/>
        </w:rPr>
        <w:t>9.4.6</w:t>
      </w:r>
      <w:r>
        <w:rPr>
          <w:rFonts w:hint="eastAsia" w:ascii="新宋体" w:hAnsi="新宋体" w:eastAsia="新宋体" w:cs="新宋体"/>
          <w:b/>
          <w:bCs/>
          <w:color w:val="auto"/>
          <w:sz w:val="24"/>
          <w:szCs w:val="24"/>
        </w:rPr>
        <w:t>成本控制</w:t>
      </w:r>
      <w:bookmarkEnd w:id="556"/>
      <w:bookmarkEnd w:id="557"/>
      <w:bookmarkEnd w:id="558"/>
      <w:bookmarkEnd w:id="559"/>
      <w:bookmarkEnd w:id="560"/>
    </w:p>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62" w:name="_Toc937826292"/>
      <w:bookmarkStart w:id="563" w:name="_Toc267809938"/>
      <w:bookmarkStart w:id="564" w:name="_Toc807605847"/>
      <w:bookmarkStart w:id="565" w:name="_Toc905131400"/>
      <w:bookmarkStart w:id="566" w:name="_Toc1735767377"/>
      <w:bookmarkStart w:id="567" w:name="baeca1f97fc30e864f8d808e83604334"/>
      <w:r>
        <w:rPr>
          <w:rFonts w:hint="eastAsia" w:ascii="新宋体" w:hAnsi="新宋体" w:eastAsia="新宋体" w:cs="新宋体"/>
          <w:b/>
          <w:bCs/>
          <w:color w:val="auto"/>
          <w:sz w:val="24"/>
          <w:szCs w:val="24"/>
        </w:rPr>
        <w:t>(1)小单生产综合成本</w:t>
      </w:r>
      <w:bookmarkEnd w:id="562"/>
      <w:bookmarkEnd w:id="563"/>
      <w:bookmarkEnd w:id="564"/>
      <w:bookmarkEnd w:id="565"/>
      <w:bookmarkEnd w:id="566"/>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指标定义：小批量订单的单位产品总成本(含直接材料、直接人工、制造费用、管理费用、换线成本分摊等)。</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2"/>
        <w:gridCol w:w="8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2" w:type="dxa"/>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8136"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8136"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成本远高于大单，无法盈利。缺乏成本核算能力，成本控制无从下手。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8136"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成本仍较高，有初步的成本估算，但准确性差，难以指导决策。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8136"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rPr>
            </w:pPr>
            <w:r>
              <w:rPr>
                <w:rFonts w:hint="eastAsia" w:ascii="新宋体" w:hAnsi="新宋体" w:eastAsia="新宋体" w:cs="新宋体"/>
                <w:b w:val="0"/>
                <w:bCs w:val="0"/>
                <w:color w:val="auto"/>
                <w:sz w:val="24"/>
                <w:szCs w:val="24"/>
              </w:rPr>
              <w:t>成本有所下降，ERP/MES支持按订单核算成本，但分摊不精细，成本分析能力不足。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2"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8136"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rPr>
            </w:pPr>
            <w:r>
              <w:rPr>
                <w:rFonts w:hint="eastAsia" w:ascii="新宋体" w:hAnsi="新宋体" w:eastAsia="新宋体" w:cs="新宋体"/>
                <w:b w:val="0"/>
                <w:bCs w:val="0"/>
                <w:color w:val="auto"/>
                <w:sz w:val="24"/>
                <w:szCs w:val="24"/>
              </w:rPr>
              <w:t>成本得到有效控制，接近或持平大单。精细化成本模型，持续优化降本，小单具备盈利能力。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2"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8136"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rPr>
            </w:pPr>
            <w:r>
              <w:rPr>
                <w:rFonts w:hint="eastAsia" w:ascii="新宋体" w:hAnsi="新宋体" w:eastAsia="新宋体" w:cs="新宋体"/>
                <w:b w:val="0"/>
                <w:bCs w:val="0"/>
                <w:color w:val="auto"/>
                <w:sz w:val="24"/>
                <w:szCs w:val="24"/>
              </w:rPr>
              <w:t>成本显著低于行业平均，实现规模化定制的成本优势。AI优化资源配置和成本结构，成本控制达到极致。</w:t>
            </w:r>
          </w:p>
        </w:tc>
      </w:tr>
      <w:bookmarkEnd w:id="567"/>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68" w:name="_Toc2103387501"/>
      <w:bookmarkStart w:id="569" w:name="_Toc1624444391"/>
      <w:bookmarkStart w:id="570" w:name="_Toc1916768099"/>
      <w:bookmarkStart w:id="571" w:name="_Toc1664004311"/>
      <w:bookmarkStart w:id="572" w:name="_Toc1334821489"/>
      <w:bookmarkStart w:id="573" w:name="ad8480522ef800377f25485ffc388f17"/>
      <w:r>
        <w:rPr>
          <w:rFonts w:hint="eastAsia" w:ascii="新宋体" w:hAnsi="新宋体" w:eastAsia="新宋体" w:cs="新宋体"/>
          <w:b/>
          <w:bCs/>
          <w:color w:val="auto"/>
          <w:sz w:val="24"/>
          <w:szCs w:val="24"/>
        </w:rPr>
        <w:t>(2)单位产品变动成本</w:t>
      </w:r>
      <w:bookmarkEnd w:id="568"/>
      <w:bookmarkEnd w:id="569"/>
      <w:bookmarkEnd w:id="570"/>
      <w:bookmarkEnd w:id="571"/>
      <w:bookmarkEnd w:id="572"/>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指标定义：与产量直接相关的单位产品成本(如直接材料、计件工资)。</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0"/>
        <w:gridCol w:w="8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变动成本高且不稳定。材料浪费大，人工效率低，缺乏标准。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变动成本较高，有基础记录，但控制手段缺乏。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变动成本有所降低， MES记录实际消耗，与BOM对比分析，发现浪费点。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变动成本持续降低。精益生产减少浪费，工艺优化提高效率，成本控制精细化。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变动成本达到行业领先水平。智能化生产最大限度减少浪费，实现最优成本效益。</w:t>
            </w:r>
          </w:p>
        </w:tc>
      </w:tr>
      <w:bookmarkEnd w:id="573"/>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74" w:name="_Toc240920096"/>
      <w:bookmarkStart w:id="575" w:name="_Toc719251246"/>
      <w:bookmarkStart w:id="576" w:name="_Toc1905416040"/>
      <w:bookmarkStart w:id="577" w:name="_Toc1077275226"/>
      <w:bookmarkStart w:id="578" w:name="_Toc1730589061"/>
      <w:bookmarkStart w:id="579" w:name="f4168851046d7d705d96a25c6dcbf550"/>
      <w:r>
        <w:rPr>
          <w:rFonts w:hint="eastAsia" w:ascii="新宋体" w:hAnsi="新宋体" w:eastAsia="新宋体" w:cs="新宋体"/>
          <w:b/>
          <w:bCs/>
          <w:color w:val="auto"/>
          <w:sz w:val="24"/>
          <w:szCs w:val="24"/>
        </w:rPr>
        <w:t>(3)资源(设备、人工、能源)综合利用率</w:t>
      </w:r>
      <w:bookmarkEnd w:id="574"/>
      <w:bookmarkEnd w:id="575"/>
      <w:bookmarkEnd w:id="576"/>
      <w:bookmarkEnd w:id="577"/>
      <w:bookmarkEnd w:id="578"/>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指标定义：实际产出与理论最大产出(或标准产出)的比率，综合考量设备利用率、人工效率、能源效率。</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8"/>
        <w:gridCol w:w="8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7151"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7151"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综合利用率低，&lt;50%。资源闲置和浪费严重，生产瓶颈多。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7151"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综合利用率50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60%。部分环节有监控，但整体优化不足，效率提升不明显。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7151"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综合利用率60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75%。MES/IoT采集数据，进行初步分析和改善，资源利用有所提高。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7151"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综合利用率75</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85%。系统化分析资源瓶颈，持续优化资源配置和使用效率，精益效益显现。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7151"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综合利用率&gt;85%。AI驱动的资源动态调度和能效优化，实现资源价值最大化，绿色低碳生产。</w:t>
            </w:r>
          </w:p>
        </w:tc>
      </w:tr>
      <w:bookmarkEnd w:id="579"/>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80" w:name="_Toc270242559"/>
      <w:bookmarkStart w:id="581" w:name="_Toc330095525"/>
      <w:bookmarkStart w:id="582" w:name="_Toc1137378877"/>
      <w:bookmarkStart w:id="583" w:name="_Toc1051240216"/>
      <w:bookmarkStart w:id="584" w:name="_Toc491833259"/>
      <w:bookmarkStart w:id="585" w:name="X9ea287eb89c6c97c3927b0c654c0149be777761"/>
      <w:r>
        <w:rPr>
          <w:rFonts w:hint="eastAsia" w:ascii="新宋体" w:hAnsi="新宋体" w:eastAsia="新宋体" w:cs="新宋体"/>
          <w:b/>
          <w:bCs/>
          <w:color w:val="auto"/>
          <w:sz w:val="24"/>
          <w:szCs w:val="24"/>
        </w:rPr>
        <w:t>(4)库存持有成本</w:t>
      </w:r>
      <w:bookmarkEnd w:id="580"/>
      <w:bookmarkEnd w:id="581"/>
      <w:bookmarkEnd w:id="582"/>
      <w:bookmarkEnd w:id="583"/>
      <w:bookmarkEnd w:id="584"/>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指标定义：(期初库存金额+期末库存金额)/2×库存持有成本率(含资金占用、仓储、损耗、过时风险等)。以占销售额百分比或绝对金额衡量。</w:t>
      </w:r>
    </w:p>
    <w:tbl>
      <w:tblPr>
        <w:tblStyle w:val="25"/>
        <w:tblW w:w="99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5"/>
        <w:gridCol w:w="8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8544"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1425"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8544"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库存持有成本占比高，如&gt;25%(示例值)。大量呆滞库存，资金周转慢，风险高。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单元级</w:t>
            </w:r>
          </w:p>
        </w:tc>
        <w:tc>
          <w:tcPr>
            <w:tcW w:w="8544"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库存持有成本占比20%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25%(示例值)。有库存统计，但周转慢，库存结构不合理。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集成级</w:t>
            </w:r>
          </w:p>
        </w:tc>
        <w:tc>
          <w:tcPr>
            <w:tcW w:w="8544"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库存持有成本占比15%</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20%(示例值)。ERP/WMS管理库存，实施安全库存策略，库存水平有所下降。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协同级</w:t>
            </w:r>
          </w:p>
        </w:tc>
        <w:tc>
          <w:tcPr>
            <w:tcW w:w="8544"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库存持有成本占比10%</w:t>
            </w:r>
            <w:r>
              <w:rPr>
                <w:rFonts w:hint="eastAsia" w:ascii="新宋体" w:hAnsi="新宋体" w:eastAsia="新宋体" w:cs="新宋体"/>
                <w:b w:val="0"/>
                <w:bCs w:val="0"/>
                <w:color w:val="auto"/>
                <w:sz w:val="24"/>
                <w:szCs w:val="24"/>
                <w:lang w:eastAsia="zh-CN"/>
              </w:rPr>
              <w:t>～</w:t>
            </w:r>
            <w:r>
              <w:rPr>
                <w:rFonts w:hint="eastAsia" w:ascii="新宋体" w:hAnsi="新宋体" w:eastAsia="新宋体" w:cs="新宋体"/>
                <w:b w:val="0"/>
                <w:bCs w:val="0"/>
                <w:color w:val="auto"/>
                <w:sz w:val="24"/>
                <w:szCs w:val="24"/>
              </w:rPr>
              <w:t>15%(示例值)。精益库存管理，需求预测驱动补货，供应链协同降库存，库存周转率提高。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shd w:val="clear" w:color="auto" w:fill="auto"/>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8544"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库存持有成本占比&lt;10%(示例值)。实现按需生产和JIT供应， 库存水平极低，接近零库存目标，资金效率高。</w:t>
            </w:r>
          </w:p>
        </w:tc>
      </w:tr>
      <w:bookmarkEnd w:id="561"/>
      <w:bookmarkEnd w:id="585"/>
    </w:tbl>
    <w:p>
      <w:pPr>
        <w:pStyle w:val="2"/>
        <w:widowControl/>
        <w:kinsoku/>
        <w:wordWrap/>
        <w:overflowPunct/>
        <w:topLinePunct w:val="0"/>
        <w:autoSpaceDE/>
        <w:autoSpaceDN/>
        <w:bidi w:val="0"/>
        <w:adjustRightInd/>
        <w:snapToGrid/>
        <w:spacing w:line="420" w:lineRule="exact"/>
        <w:textAlignment w:val="auto"/>
        <w:outlineLvl w:val="2"/>
        <w:rPr>
          <w:rFonts w:hint="eastAsia" w:ascii="新宋体" w:hAnsi="新宋体" w:eastAsia="新宋体" w:cs="新宋体"/>
          <w:b/>
          <w:bCs/>
          <w:color w:val="auto"/>
          <w:sz w:val="24"/>
          <w:szCs w:val="24"/>
        </w:rPr>
      </w:pPr>
      <w:bookmarkStart w:id="586" w:name="_Toc846346443"/>
      <w:bookmarkStart w:id="587" w:name="_Toc38775708"/>
      <w:bookmarkStart w:id="588" w:name="_Toc1763241006"/>
      <w:bookmarkStart w:id="589" w:name="_Toc965228474"/>
      <w:bookmarkStart w:id="590" w:name="_Toc1174843792"/>
      <w:bookmarkStart w:id="591" w:name="Xa3ce544c735c810e425fe62ba3b95a7b339ca2c"/>
      <w:r>
        <w:rPr>
          <w:rFonts w:hint="eastAsia" w:ascii="新宋体" w:hAnsi="新宋体" w:eastAsia="新宋体" w:cs="新宋体"/>
          <w:b/>
          <w:bCs/>
          <w:color w:val="auto"/>
          <w:sz w:val="24"/>
          <w:szCs w:val="24"/>
          <w:lang w:val="en-US" w:eastAsia="zh-CN"/>
        </w:rPr>
        <w:t>9.4.7绿色</w:t>
      </w:r>
      <w:r>
        <w:rPr>
          <w:rFonts w:hint="eastAsia" w:ascii="新宋体" w:hAnsi="新宋体" w:eastAsia="新宋体" w:cs="新宋体"/>
          <w:b/>
          <w:bCs/>
          <w:color w:val="auto"/>
          <w:sz w:val="24"/>
          <w:szCs w:val="24"/>
        </w:rPr>
        <w:t>安全</w:t>
      </w:r>
      <w:bookmarkEnd w:id="586"/>
      <w:bookmarkEnd w:id="587"/>
      <w:bookmarkEnd w:id="588"/>
      <w:bookmarkEnd w:id="589"/>
      <w:bookmarkEnd w:id="590"/>
    </w:p>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92" w:name="_Toc1634961626"/>
      <w:bookmarkStart w:id="593" w:name="_Toc577026710"/>
      <w:bookmarkStart w:id="594" w:name="_Toc1015779315"/>
      <w:bookmarkStart w:id="595" w:name="_Toc1760473420"/>
      <w:bookmarkStart w:id="596" w:name="_Toc503493080"/>
      <w:bookmarkStart w:id="597" w:name="d74440b4fce67c6b35474ec657e30867"/>
      <w:r>
        <w:rPr>
          <w:rFonts w:hint="eastAsia" w:ascii="新宋体" w:hAnsi="新宋体" w:eastAsia="新宋体" w:cs="新宋体"/>
          <w:b/>
          <w:bCs/>
          <w:color w:val="auto"/>
          <w:sz w:val="24"/>
          <w:szCs w:val="24"/>
        </w:rPr>
        <w:t>(1)网络与数据安全保障</w:t>
      </w:r>
      <w:bookmarkEnd w:id="592"/>
      <w:bookmarkEnd w:id="593"/>
      <w:bookmarkEnd w:id="594"/>
      <w:bookmarkEnd w:id="595"/>
      <w:bookmarkEnd w:id="596"/>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指标定义：设备联网率，专网部署，边缘计算应用程度；工厂网络安全防护体系建设；数据分类分级与敏感数据保护措施。</w:t>
      </w:r>
    </w:p>
    <w:tbl>
      <w:tblPr>
        <w:tblStyle w:val="25"/>
        <w:tblW w:w="99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8"/>
        <w:gridCol w:w="8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8024"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8024"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设备联网率&lt;70%，无专网，无边缘计算；仅部署基础防火墙；无数据安全制度和意识，数据</w:t>
            </w:r>
            <w:r>
              <w:rPr>
                <w:rFonts w:hint="eastAsia" w:ascii="新宋体" w:hAnsi="新宋体" w:eastAsia="新宋体" w:cs="新宋体"/>
                <w:b w:val="0"/>
                <w:bCs w:val="0"/>
                <w:color w:val="auto"/>
                <w:sz w:val="24"/>
                <w:szCs w:val="24"/>
                <w:lang w:eastAsia="zh-CN"/>
              </w:rPr>
              <w:t>泄漏风险</w:t>
            </w:r>
            <w:r>
              <w:rPr>
                <w:rFonts w:hint="eastAsia" w:ascii="新宋体" w:hAnsi="新宋体" w:eastAsia="新宋体" w:cs="新宋体"/>
                <w:b w:val="0"/>
                <w:bCs w:val="0"/>
                <w:color w:val="auto"/>
                <w:sz w:val="24"/>
                <w:szCs w:val="24"/>
              </w:rPr>
              <w:t>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单元级</w:t>
            </w:r>
          </w:p>
        </w:tc>
        <w:tc>
          <w:tcPr>
            <w:tcW w:w="8024"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设备联网率≥70%，采用内网，部署防火墙；有基本的数据备份机制，但缺乏系统性安全防护。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集成级</w:t>
            </w:r>
          </w:p>
        </w:tc>
        <w:tc>
          <w:tcPr>
            <w:tcW w:w="8024"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设备联网率≥80%，生产网与办公网物理隔离，部分应用边缘计算；构建分区分域防护体系；建立数据分类分级制度，对敏感数据有保护措施。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8" w:hRule="atLeast"/>
        </w:trPr>
        <w:tc>
          <w:tcPr>
            <w:tcW w:w="1958"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协同级</w:t>
            </w:r>
          </w:p>
        </w:tc>
        <w:tc>
          <w:tcPr>
            <w:tcW w:w="8024"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设备联网率≥90%，采用虚拟专网或混合专网，广泛部署边缘计算；完善网络安全监控与应急响应机制；数据安全审计常态化，安全防护能力较强。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8" w:type="dxa"/>
            <w:shd w:val="clear" w:color="auto" w:fill="auto"/>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8024"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设备联网率≥95%，采用独立5G专网，全面部署边缘计算；具备AI驱动的智能主动防御能力，实现零信任安全架构，数据安全达到行业领先水平。</w:t>
            </w:r>
          </w:p>
        </w:tc>
      </w:tr>
      <w:bookmarkEnd w:id="597"/>
    </w:tbl>
    <w:p>
      <w:pPr>
        <w:pStyle w:val="3"/>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598" w:name="_Toc247081574"/>
      <w:bookmarkStart w:id="599" w:name="_Toc1122626380"/>
      <w:bookmarkStart w:id="600" w:name="_Toc1746784817"/>
      <w:bookmarkStart w:id="601" w:name="_Toc1855437202"/>
      <w:bookmarkStart w:id="602" w:name="_Toc51765118"/>
      <w:bookmarkStart w:id="603" w:name="Xf38cc6f16172b16a58cf67a0394a4f315f33d44"/>
      <w:r>
        <w:rPr>
          <w:rFonts w:hint="eastAsia" w:ascii="新宋体" w:hAnsi="新宋体" w:eastAsia="新宋体" w:cs="新宋体"/>
          <w:b/>
          <w:bCs/>
          <w:color w:val="auto"/>
          <w:sz w:val="24"/>
          <w:szCs w:val="24"/>
        </w:rPr>
        <w:t>(2)生产安全保障</w:t>
      </w:r>
      <w:bookmarkEnd w:id="598"/>
      <w:bookmarkEnd w:id="599"/>
      <w:bookmarkEnd w:id="600"/>
      <w:bookmarkEnd w:id="601"/>
      <w:bookmarkEnd w:id="602"/>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指标定义：构建全面的工厂安全生产责任制、管理制度和操作规程，装备智能化安全监控与预警系统。</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7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7" w:type="pct"/>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3792"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3792"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有基本安全意识，但缺乏系统性安全制度和措施，安全事故时有发生。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3792"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建立基本安全生产责任制和管理制度，有安全检查，但执行不到位，安全设施不足。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3792"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全面安全生产责任制、管理制度和操作规程，部分区域安装智能监控，安全培训常态化。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7"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3792" w:type="pct"/>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完善的智能安全监控与预警系统，定期进行安全演练和风险评估，形成良好安全文化。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7" w:type="dxa"/>
            <w:shd w:val="clear" w:color="auto" w:fill="auto"/>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3792" w:type="pct"/>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AI驱动的预测性安全管理，实现本质安全，安全绩效行业领先，员工安全意识和技能高。</w:t>
            </w:r>
          </w:p>
        </w:tc>
      </w:tr>
      <w:bookmarkEnd w:id="603"/>
    </w:tbl>
    <w:p>
      <w:pPr>
        <w:pStyle w:val="8"/>
        <w:widowControl/>
        <w:kinsoku/>
        <w:wordWrap/>
        <w:overflowPunct/>
        <w:topLinePunct w:val="0"/>
        <w:autoSpaceDE/>
        <w:autoSpaceDN/>
        <w:bidi w:val="0"/>
        <w:adjustRightInd/>
        <w:snapToGrid/>
        <w:spacing w:line="420" w:lineRule="exact"/>
        <w:ind w:left="0" w:leftChars="0" w:firstLine="482" w:firstLineChars="200"/>
        <w:textAlignment w:val="auto"/>
        <w:outlineLvl w:val="3"/>
        <w:rPr>
          <w:rFonts w:hint="eastAsia" w:ascii="新宋体" w:hAnsi="新宋体" w:eastAsia="新宋体" w:cs="新宋体"/>
          <w:b/>
          <w:bCs/>
          <w:color w:val="auto"/>
          <w:sz w:val="24"/>
          <w:szCs w:val="24"/>
        </w:rPr>
      </w:pPr>
      <w:bookmarkStart w:id="604" w:name="bcecfab5b8ed93f6a2f3a8fe9ab53730"/>
      <w:r>
        <w:rPr>
          <w:rFonts w:hint="eastAsia" w:ascii="新宋体" w:hAnsi="新宋体" w:eastAsia="新宋体" w:cs="新宋体"/>
          <w:b/>
          <w:bCs/>
          <w:color w:val="auto"/>
          <w:sz w:val="24"/>
          <w:szCs w:val="24"/>
        </w:rPr>
        <w:t>(3)控制安全保障</w:t>
      </w:r>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指标定义：对PLC、SCADA、DCS等关键工控系统进行全面的安全评估和加固，修补已知漏洞，限制不必要的网络连接。</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1"/>
        <w:gridCol w:w="8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1" w:type="dxa"/>
          </w:tcPr>
          <w:p>
            <w:pPr>
              <w:pStyle w:val="23"/>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8164"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1"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8164"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未对工控系统进行安全评估和加固，工控系统暴露风险高。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791"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8164"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对关键工控系统进行初步安全评估，修补部分已知高危漏洞，但缺乏持续性措施。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1"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集成级</w:t>
            </w:r>
          </w:p>
        </w:tc>
        <w:tc>
          <w:tcPr>
            <w:tcW w:w="8164"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对关键工控系统进行较全面的安全评估和加固，修补已知漏洞，限制不必要网络连接，建立基础工控安全策略。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1"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协同级</w:t>
            </w:r>
          </w:p>
        </w:tc>
        <w:tc>
          <w:tcPr>
            <w:tcW w:w="8164"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建立工控系统安全基线和持续监控机制，定期进行渗透测试和漏洞扫描，具备一定的工控安全事件响应能力。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1" w:type="dxa"/>
            <w:shd w:val="clear" w:color="auto" w:fill="auto"/>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8164"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AI驱动的工控系统异常行为检测和主动防御，实现内生安全，工控系统安全防护达到行业领先水平。</w:t>
            </w:r>
          </w:p>
        </w:tc>
      </w:tr>
      <w:bookmarkEnd w:id="591"/>
      <w:bookmarkEnd w:id="604"/>
    </w:tbl>
    <w:p>
      <w:pPr>
        <w:pStyle w:val="2"/>
        <w:widowControl/>
        <w:kinsoku/>
        <w:wordWrap/>
        <w:overflowPunct/>
        <w:topLinePunct w:val="0"/>
        <w:autoSpaceDE/>
        <w:autoSpaceDN/>
        <w:bidi w:val="0"/>
        <w:adjustRightInd/>
        <w:snapToGrid/>
        <w:spacing w:line="420" w:lineRule="exact"/>
        <w:ind w:firstLine="482" w:firstLineChars="200"/>
        <w:textAlignment w:val="auto"/>
        <w:outlineLvl w:val="3"/>
        <w:rPr>
          <w:rFonts w:hint="eastAsia" w:ascii="新宋体" w:hAnsi="新宋体" w:eastAsia="新宋体" w:cs="新宋体"/>
          <w:b/>
          <w:bCs/>
          <w:color w:val="auto"/>
          <w:sz w:val="24"/>
          <w:szCs w:val="24"/>
        </w:rPr>
      </w:pPr>
      <w:bookmarkStart w:id="605" w:name="_Toc2110964829"/>
      <w:bookmarkStart w:id="606" w:name="_Toc1664742889"/>
      <w:bookmarkStart w:id="607" w:name="_Toc1614124567"/>
      <w:bookmarkStart w:id="608" w:name="_Toc723015927"/>
      <w:bookmarkStart w:id="609" w:name="_Toc190246118"/>
      <w:r>
        <w:rPr>
          <w:rFonts w:hint="eastAsia" w:ascii="新宋体" w:hAnsi="新宋体" w:eastAsia="新宋体" w:cs="新宋体"/>
          <w:b/>
          <w:bCs/>
          <w:color w:val="auto"/>
          <w:sz w:val="24"/>
          <w:szCs w:val="24"/>
        </w:rPr>
        <w:t>(</w:t>
      </w:r>
      <w:r>
        <w:rPr>
          <w:rFonts w:hint="eastAsia" w:ascii="新宋体" w:hAnsi="新宋体" w:eastAsia="新宋体" w:cs="新宋体"/>
          <w:b/>
          <w:bCs/>
          <w:color w:val="auto"/>
          <w:sz w:val="24"/>
          <w:szCs w:val="24"/>
          <w:lang w:val="en-US" w:eastAsia="zh-CN"/>
        </w:rPr>
        <w:t>4</w:t>
      </w:r>
      <w:r>
        <w:rPr>
          <w:rFonts w:hint="eastAsia" w:ascii="新宋体" w:hAnsi="新宋体" w:eastAsia="新宋体" w:cs="新宋体"/>
          <w:b/>
          <w:bCs/>
          <w:color w:val="auto"/>
          <w:sz w:val="24"/>
          <w:szCs w:val="24"/>
        </w:rPr>
        <w:t>)绿色制造与可持续发展能力</w:t>
      </w:r>
      <w:bookmarkEnd w:id="605"/>
      <w:bookmarkEnd w:id="606"/>
      <w:bookmarkEnd w:id="607"/>
      <w:bookmarkEnd w:id="608"/>
      <w:bookmarkEnd w:id="609"/>
    </w:p>
    <w:p>
      <w:pPr>
        <w:pStyle w:val="23"/>
        <w:widowControl/>
        <w:kinsoku/>
        <w:wordWrap/>
        <w:overflowPunct/>
        <w:topLinePunct w:val="0"/>
        <w:autoSpaceDE/>
        <w:autoSpaceDN/>
        <w:bidi w:val="0"/>
        <w:adjustRightInd/>
        <w:snapToGrid/>
        <w:spacing w:line="420" w:lineRule="exact"/>
        <w:ind w:firstLine="480" w:firstLineChars="20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指标定义：涵盖节能降耗与资源高效利用、废弃物减量化与循环利用、推广环保材料与清洁生产工艺、环境管理体系与社会责任。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8"/>
        <w:gridCol w:w="8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tcPr>
          <w:p>
            <w:pPr>
              <w:pStyle w:val="23"/>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等级</w:t>
            </w:r>
          </w:p>
        </w:tc>
        <w:tc>
          <w:tcPr>
            <w:tcW w:w="8150" w:type="dxa"/>
          </w:tcPr>
          <w:p>
            <w:pPr>
              <w:pStyle w:val="7"/>
              <w:widowControl/>
              <w:kinsoku/>
              <w:wordWrap/>
              <w:overflowPunct/>
              <w:topLinePunct w:val="0"/>
              <w:autoSpaceDE/>
              <w:autoSpaceDN/>
              <w:bidi w:val="0"/>
              <w:adjustRightInd/>
              <w:snapToGrid/>
              <w:spacing w:line="420" w:lineRule="exact"/>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评定标准说明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初始级</w:t>
            </w:r>
          </w:p>
        </w:tc>
        <w:tc>
          <w:tcPr>
            <w:tcW w:w="8150" w:type="dxa"/>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环保意识薄弱，仅满足最低排放标准，资源浪费现象普遍。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单元级</w:t>
            </w:r>
          </w:p>
        </w:tc>
        <w:tc>
          <w:tcPr>
            <w:tcW w:w="8150"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开始关注节能降耗和废弃物处理，采取了一些初步措施，但缺乏系统规划和投入。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集成级</w:t>
            </w:r>
          </w:p>
        </w:tc>
        <w:tc>
          <w:tcPr>
            <w:tcW w:w="8150"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对主要用能设备和生产过程能源消耗进行监测计量，优化设计和工艺减少废弃物，部分采用环保材料，建立基础环境管理制度。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rPr>
              <w:t>协同级</w:t>
            </w:r>
          </w:p>
        </w:tc>
        <w:tc>
          <w:tcPr>
            <w:tcW w:w="8150"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系统性推广节能技术和设备，精确控制物料投入，废弃物分类回收利用率高，积极采用清洁生产工艺，建立ISO14001等环境管理体系。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vAlign w:val="top"/>
          </w:tcPr>
          <w:p>
            <w:pPr>
              <w:pStyle w:val="24"/>
              <w:widowControl/>
              <w:kinsoku/>
              <w:wordWrap/>
              <w:overflowPunct/>
              <w:topLinePunct w:val="0"/>
              <w:autoSpaceDE/>
              <w:autoSpaceDN/>
              <w:bidi w:val="0"/>
              <w:adjustRightInd/>
              <w:snapToGrid/>
              <w:spacing w:line="420" w:lineRule="exact"/>
              <w:ind w:firstLine="0" w:firstLineChars="0"/>
              <w:textAlignment w:val="auto"/>
              <w:rPr>
                <w:rFonts w:hint="eastAsia" w:ascii="新宋体" w:hAnsi="新宋体" w:eastAsia="新宋体" w:cs="新宋体"/>
                <w:b w:val="0"/>
                <w:bCs w:val="0"/>
                <w:color w:val="auto"/>
                <w:sz w:val="24"/>
                <w:szCs w:val="24"/>
              </w:rPr>
            </w:pPr>
            <w:r>
              <w:rPr>
                <w:rFonts w:hint="eastAsia" w:ascii="新宋体" w:hAnsi="新宋体" w:eastAsia="新宋体" w:cs="新宋体"/>
                <w:b w:val="0"/>
                <w:bCs w:val="0"/>
                <w:color w:val="auto"/>
                <w:sz w:val="24"/>
                <w:szCs w:val="24"/>
                <w:lang w:val="en-US" w:eastAsia="zh-CN"/>
              </w:rPr>
              <w:t>智能</w:t>
            </w:r>
            <w:r>
              <w:rPr>
                <w:rFonts w:hint="eastAsia" w:ascii="新宋体" w:hAnsi="新宋体" w:eastAsia="新宋体" w:cs="新宋体"/>
                <w:b w:val="0"/>
                <w:bCs w:val="0"/>
                <w:color w:val="auto"/>
                <w:sz w:val="24"/>
                <w:szCs w:val="24"/>
              </w:rPr>
              <w:t>级</w:t>
            </w:r>
          </w:p>
        </w:tc>
        <w:tc>
          <w:tcPr>
            <w:tcW w:w="8150" w:type="dxa"/>
            <w:shd w:val="clear" w:color="auto" w:fill="auto"/>
            <w:vAlign w:val="top"/>
          </w:tcPr>
          <w:p>
            <w:pPr>
              <w:pStyle w:val="7"/>
              <w:widowControl/>
              <w:kinsoku/>
              <w:wordWrap/>
              <w:overflowPunct/>
              <w:topLinePunct w:val="0"/>
              <w:autoSpaceDE/>
              <w:autoSpaceDN/>
              <w:bidi w:val="0"/>
              <w:adjustRightInd/>
              <w:snapToGrid/>
              <w:spacing w:line="420" w:lineRule="exact"/>
              <w:ind w:left="0" w:leftChars="0" w:firstLine="0" w:firstLineChars="0"/>
              <w:textAlignment w:val="auto"/>
              <w:rPr>
                <w:rFonts w:hint="eastAsia" w:ascii="新宋体" w:hAnsi="新宋体" w:eastAsia="新宋体" w:cs="新宋体"/>
                <w:b w:val="0"/>
                <w:bCs w:val="0"/>
                <w:color w:val="auto"/>
                <w:sz w:val="24"/>
                <w:szCs w:val="24"/>
                <w:lang w:val="en-US" w:eastAsia="en-US" w:bidi="ar-SA"/>
              </w:rPr>
            </w:pPr>
            <w:r>
              <w:rPr>
                <w:rFonts w:hint="eastAsia" w:ascii="新宋体" w:hAnsi="新宋体" w:eastAsia="新宋体" w:cs="新宋体"/>
                <w:b w:val="0"/>
                <w:bCs w:val="0"/>
                <w:color w:val="auto"/>
                <w:sz w:val="24"/>
                <w:szCs w:val="24"/>
              </w:rPr>
              <w:t>全面实现绿色制造，AI优化能源和资源利用效率，引领环保材料和工艺创新，积极履行社会责任，推动产业链可持续发展，成为行业可持续发展标杆。</w:t>
            </w:r>
          </w:p>
        </w:tc>
      </w:tr>
    </w:tbl>
    <w:p>
      <w:pPr>
        <w:pStyle w:val="3"/>
        <w:widowControl/>
        <w:kinsoku/>
        <w:wordWrap/>
        <w:overflowPunct/>
        <w:topLinePunct w:val="0"/>
        <w:autoSpaceDE/>
        <w:autoSpaceDN/>
        <w:bidi w:val="0"/>
        <w:adjustRightInd/>
        <w:snapToGrid/>
        <w:spacing w:before="0" w:beforeAutospacing="1" w:after="0" w:afterAutospacing="1" w:line="420" w:lineRule="exact"/>
        <w:jc w:val="left"/>
        <w:textAlignment w:val="auto"/>
        <w:rPr>
          <w:rFonts w:hint="eastAsia" w:ascii="新宋体" w:hAnsi="新宋体" w:eastAsia="新宋体" w:cs="新宋体"/>
          <w:b/>
          <w:bCs/>
          <w:color w:val="auto"/>
          <w:kern w:val="0"/>
          <w:sz w:val="24"/>
          <w:szCs w:val="24"/>
          <w:lang w:val="en-US" w:eastAsia="zh-CN" w:bidi="ar"/>
        </w:rPr>
      </w:pPr>
      <w:bookmarkStart w:id="610" w:name="_Toc1578168665"/>
      <w:bookmarkStart w:id="611" w:name="_Toc285461191"/>
      <w:bookmarkStart w:id="612" w:name="_Toc408548916"/>
      <w:r>
        <w:rPr>
          <w:rFonts w:hint="eastAsia" w:ascii="新宋体" w:hAnsi="新宋体" w:eastAsia="新宋体" w:cs="新宋体"/>
          <w:b/>
          <w:bCs/>
          <w:color w:val="auto"/>
          <w:kern w:val="0"/>
          <w:sz w:val="24"/>
          <w:szCs w:val="24"/>
          <w:lang w:val="en-US" w:eastAsia="zh-CN" w:bidi="ar"/>
        </w:rPr>
        <w:t>9</w:t>
      </w:r>
      <w:r>
        <w:rPr>
          <w:rFonts w:hint="eastAsia" w:ascii="新宋体" w:hAnsi="新宋体" w:eastAsia="新宋体" w:cs="新宋体"/>
          <w:b/>
          <w:bCs/>
          <w:color w:val="auto"/>
          <w:kern w:val="0"/>
          <w:sz w:val="24"/>
          <w:szCs w:val="24"/>
          <w:lang w:bidi="ar"/>
        </w:rPr>
        <w:t>.</w:t>
      </w:r>
      <w:r>
        <w:rPr>
          <w:rFonts w:hint="eastAsia" w:ascii="新宋体" w:hAnsi="新宋体" w:eastAsia="新宋体" w:cs="新宋体"/>
          <w:b/>
          <w:bCs/>
          <w:color w:val="auto"/>
          <w:kern w:val="0"/>
          <w:sz w:val="24"/>
          <w:szCs w:val="24"/>
          <w:lang w:val="en-US" w:eastAsia="zh-CN" w:bidi="ar"/>
        </w:rPr>
        <w:t>5</w:t>
      </w:r>
      <w:r>
        <w:rPr>
          <w:rFonts w:hint="eastAsia" w:ascii="新宋体" w:hAnsi="新宋体" w:eastAsia="新宋体" w:cs="新宋体"/>
          <w:b/>
          <w:bCs/>
          <w:color w:val="auto"/>
          <w:kern w:val="0"/>
          <w:sz w:val="24"/>
          <w:szCs w:val="24"/>
          <w:lang w:bidi="ar"/>
        </w:rPr>
        <w:t xml:space="preserve"> 等级标准关键</w:t>
      </w:r>
      <w:r>
        <w:rPr>
          <w:rFonts w:hint="eastAsia" w:ascii="新宋体" w:hAnsi="新宋体" w:eastAsia="新宋体" w:cs="新宋体"/>
          <w:b/>
          <w:bCs/>
          <w:color w:val="auto"/>
          <w:kern w:val="0"/>
          <w:sz w:val="24"/>
          <w:szCs w:val="24"/>
          <w:lang w:val="en-US" w:eastAsia="zh-CN" w:bidi="ar"/>
        </w:rPr>
        <w:t>要素</w:t>
      </w:r>
      <w:bookmarkEnd w:id="610"/>
      <w:bookmarkEnd w:id="611"/>
      <w:bookmarkEnd w:id="612"/>
    </w:p>
    <w:p>
      <w:pPr>
        <w:pStyle w:val="23"/>
        <w:widowControl/>
        <w:kinsoku/>
        <w:wordWrap/>
        <w:overflowPunct/>
        <w:topLinePunct w:val="0"/>
        <w:autoSpaceDE/>
        <w:autoSpaceDN/>
        <w:bidi w:val="0"/>
        <w:adjustRightInd/>
        <w:snapToGrid/>
        <w:spacing w:before="180" w:line="420" w:lineRule="exact"/>
        <w:ind w:left="0" w:leftChars="0" w:firstLine="0" w:firstLineChars="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val="en-US" w:eastAsia="zh-CN" w:bidi="ar-SA"/>
        </w:rPr>
        <w:t>9</w:t>
      </w:r>
      <w:r>
        <w:rPr>
          <w:rFonts w:hint="eastAsia" w:ascii="新宋体" w:hAnsi="新宋体" w:eastAsia="新宋体" w:cs="新宋体"/>
          <w:b w:val="0"/>
          <w:bCs w:val="0"/>
          <w:color w:val="auto"/>
          <w:kern w:val="2"/>
          <w:sz w:val="24"/>
          <w:szCs w:val="24"/>
          <w:lang w:bidi="ar-SA"/>
        </w:rPr>
        <w:t>.</w:t>
      </w:r>
      <w:r>
        <w:rPr>
          <w:rFonts w:hint="eastAsia" w:ascii="新宋体" w:hAnsi="新宋体" w:eastAsia="新宋体" w:cs="新宋体"/>
          <w:b w:val="0"/>
          <w:bCs w:val="0"/>
          <w:color w:val="auto"/>
          <w:kern w:val="2"/>
          <w:sz w:val="24"/>
          <w:szCs w:val="24"/>
          <w:lang w:val="en-US" w:eastAsia="zh-CN" w:bidi="ar-SA"/>
        </w:rPr>
        <w:t>5</w:t>
      </w:r>
      <w:r>
        <w:rPr>
          <w:rFonts w:hint="eastAsia" w:ascii="新宋体" w:hAnsi="新宋体" w:eastAsia="新宋体" w:cs="新宋体"/>
          <w:b w:val="0"/>
          <w:bCs w:val="0"/>
          <w:color w:val="auto"/>
          <w:kern w:val="2"/>
          <w:sz w:val="24"/>
          <w:szCs w:val="24"/>
          <w:lang w:bidi="ar-SA"/>
        </w:rPr>
        <w:t>.1 系统性进阶：数字化快反工厂的建设是一个从基础信息化到全面智慧化的系统性进阶过程，五个等级清晰描绘了这一路径。</w:t>
      </w:r>
    </w:p>
    <w:p>
      <w:pPr>
        <w:pStyle w:val="23"/>
        <w:widowControl/>
        <w:kinsoku/>
        <w:wordWrap/>
        <w:overflowPunct/>
        <w:topLinePunct w:val="0"/>
        <w:autoSpaceDE/>
        <w:autoSpaceDN/>
        <w:bidi w:val="0"/>
        <w:adjustRightInd/>
        <w:snapToGrid/>
        <w:spacing w:before="180" w:line="420" w:lineRule="exact"/>
        <w:ind w:left="0" w:leftChars="0" w:firstLine="0" w:firstLineChars="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val="en-US" w:eastAsia="zh-CN" w:bidi="ar-SA"/>
        </w:rPr>
        <w:t>9</w:t>
      </w:r>
      <w:r>
        <w:rPr>
          <w:rFonts w:hint="eastAsia" w:ascii="新宋体" w:hAnsi="新宋体" w:eastAsia="新宋体" w:cs="新宋体"/>
          <w:b w:val="0"/>
          <w:bCs w:val="0"/>
          <w:color w:val="auto"/>
          <w:kern w:val="2"/>
          <w:sz w:val="24"/>
          <w:szCs w:val="24"/>
          <w:lang w:bidi="ar-SA"/>
        </w:rPr>
        <w:t>.</w:t>
      </w:r>
      <w:r>
        <w:rPr>
          <w:rFonts w:hint="eastAsia" w:ascii="新宋体" w:hAnsi="新宋体" w:eastAsia="新宋体" w:cs="新宋体"/>
          <w:b w:val="0"/>
          <w:bCs w:val="0"/>
          <w:color w:val="auto"/>
          <w:kern w:val="2"/>
          <w:sz w:val="24"/>
          <w:szCs w:val="24"/>
          <w:lang w:val="en-US" w:eastAsia="zh-CN" w:bidi="ar-SA"/>
        </w:rPr>
        <w:t>5</w:t>
      </w:r>
      <w:r>
        <w:rPr>
          <w:rFonts w:hint="eastAsia" w:ascii="新宋体" w:hAnsi="新宋体" w:eastAsia="新宋体" w:cs="新宋体"/>
          <w:b w:val="0"/>
          <w:bCs w:val="0"/>
          <w:color w:val="auto"/>
          <w:kern w:val="2"/>
          <w:sz w:val="24"/>
          <w:szCs w:val="24"/>
          <w:lang w:bidi="ar-SA"/>
        </w:rPr>
        <w:t>.2 数据驱动核心：数据在每个层级的提升中都扮演着核心角色，从数据采集、集成共享到分析优化，最终实现智能决策。</w:t>
      </w:r>
    </w:p>
    <w:p>
      <w:pPr>
        <w:pStyle w:val="23"/>
        <w:widowControl/>
        <w:kinsoku/>
        <w:wordWrap/>
        <w:overflowPunct/>
        <w:topLinePunct w:val="0"/>
        <w:autoSpaceDE/>
        <w:autoSpaceDN/>
        <w:bidi w:val="0"/>
        <w:adjustRightInd/>
        <w:snapToGrid/>
        <w:spacing w:before="180" w:line="420" w:lineRule="exact"/>
        <w:ind w:left="0" w:leftChars="0" w:firstLine="0" w:firstLineChars="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val="en-US" w:eastAsia="zh-CN" w:bidi="ar-SA"/>
        </w:rPr>
        <w:t>9</w:t>
      </w:r>
      <w:r>
        <w:rPr>
          <w:rFonts w:hint="eastAsia" w:ascii="新宋体" w:hAnsi="新宋体" w:eastAsia="新宋体" w:cs="新宋体"/>
          <w:b w:val="0"/>
          <w:bCs w:val="0"/>
          <w:color w:val="auto"/>
          <w:kern w:val="2"/>
          <w:sz w:val="24"/>
          <w:szCs w:val="24"/>
          <w:lang w:bidi="ar-SA"/>
        </w:rPr>
        <w:t>.</w:t>
      </w:r>
      <w:r>
        <w:rPr>
          <w:rFonts w:hint="eastAsia" w:ascii="新宋体" w:hAnsi="新宋体" w:eastAsia="新宋体" w:cs="新宋体"/>
          <w:b w:val="0"/>
          <w:bCs w:val="0"/>
          <w:color w:val="auto"/>
          <w:kern w:val="2"/>
          <w:sz w:val="24"/>
          <w:szCs w:val="24"/>
          <w:lang w:val="en-US" w:eastAsia="zh-CN" w:bidi="ar-SA"/>
        </w:rPr>
        <w:t>5.</w:t>
      </w:r>
      <w:r>
        <w:rPr>
          <w:rFonts w:hint="eastAsia" w:ascii="新宋体" w:hAnsi="新宋体" w:eastAsia="新宋体" w:cs="新宋体"/>
          <w:b w:val="0"/>
          <w:bCs w:val="0"/>
          <w:color w:val="auto"/>
          <w:kern w:val="2"/>
          <w:sz w:val="24"/>
          <w:szCs w:val="24"/>
          <w:lang w:bidi="ar-SA"/>
        </w:rPr>
        <w:t>3 全面能力提升：分级标准涵盖市场响应、计划排程、生产执行、供应链协同、质量管理、成本控制以及安全合规等多个维度，体现了快反能力的综合性。</w:t>
      </w:r>
    </w:p>
    <w:p>
      <w:pPr>
        <w:pStyle w:val="23"/>
        <w:widowControl/>
        <w:kinsoku/>
        <w:wordWrap/>
        <w:overflowPunct/>
        <w:topLinePunct w:val="0"/>
        <w:autoSpaceDE/>
        <w:autoSpaceDN/>
        <w:bidi w:val="0"/>
        <w:adjustRightInd/>
        <w:snapToGrid/>
        <w:spacing w:before="180" w:line="420" w:lineRule="exact"/>
        <w:ind w:left="0" w:leftChars="0" w:firstLine="0" w:firstLineChars="0"/>
        <w:jc w:val="both"/>
        <w:textAlignment w:val="auto"/>
        <w:rPr>
          <w:rFonts w:hint="eastAsia" w:ascii="新宋体" w:hAnsi="新宋体" w:eastAsia="新宋体" w:cs="新宋体"/>
          <w:b w:val="0"/>
          <w:bCs w:val="0"/>
          <w:color w:val="auto"/>
          <w:kern w:val="2"/>
          <w:sz w:val="24"/>
          <w:szCs w:val="24"/>
          <w:lang w:bidi="ar-SA"/>
        </w:rPr>
      </w:pPr>
      <w:r>
        <w:rPr>
          <w:rFonts w:hint="eastAsia" w:ascii="新宋体" w:hAnsi="新宋体" w:eastAsia="新宋体" w:cs="新宋体"/>
          <w:b w:val="0"/>
          <w:bCs w:val="0"/>
          <w:color w:val="auto"/>
          <w:kern w:val="2"/>
          <w:sz w:val="24"/>
          <w:szCs w:val="24"/>
          <w:lang w:val="en-US" w:eastAsia="zh-CN" w:bidi="ar-SA"/>
        </w:rPr>
        <w:t>9</w:t>
      </w:r>
      <w:r>
        <w:rPr>
          <w:rFonts w:hint="eastAsia" w:ascii="新宋体" w:hAnsi="新宋体" w:eastAsia="新宋体" w:cs="新宋体"/>
          <w:b w:val="0"/>
          <w:bCs w:val="0"/>
          <w:color w:val="auto"/>
          <w:kern w:val="2"/>
          <w:sz w:val="24"/>
          <w:szCs w:val="24"/>
          <w:lang w:bidi="ar-SA"/>
        </w:rPr>
        <w:t>.</w:t>
      </w:r>
      <w:r>
        <w:rPr>
          <w:rFonts w:hint="eastAsia" w:ascii="新宋体" w:hAnsi="新宋体" w:eastAsia="新宋体" w:cs="新宋体"/>
          <w:b w:val="0"/>
          <w:bCs w:val="0"/>
          <w:color w:val="auto"/>
          <w:kern w:val="2"/>
          <w:sz w:val="24"/>
          <w:szCs w:val="24"/>
          <w:lang w:val="en-US" w:eastAsia="zh-CN" w:bidi="ar-SA"/>
        </w:rPr>
        <w:t>5</w:t>
      </w:r>
      <w:r>
        <w:rPr>
          <w:rFonts w:hint="eastAsia" w:ascii="新宋体" w:hAnsi="新宋体" w:eastAsia="新宋体" w:cs="新宋体"/>
          <w:b w:val="0"/>
          <w:bCs w:val="0"/>
          <w:color w:val="auto"/>
          <w:kern w:val="2"/>
          <w:sz w:val="24"/>
          <w:szCs w:val="24"/>
          <w:lang w:bidi="ar-SA"/>
        </w:rPr>
        <w:t>.4 量化与定性结合：每个指标的评定标准都结合了可量化的目标值和对能力状态的定性描述，便于企业对标和改进。</w:t>
      </w:r>
    </w:p>
    <w:p>
      <w:pPr>
        <w:pStyle w:val="23"/>
        <w:widowControl/>
        <w:kinsoku/>
        <w:wordWrap/>
        <w:overflowPunct/>
        <w:topLinePunct w:val="0"/>
        <w:autoSpaceDE/>
        <w:autoSpaceDN/>
        <w:bidi w:val="0"/>
        <w:adjustRightInd/>
        <w:snapToGrid/>
        <w:spacing w:before="180" w:line="420" w:lineRule="exact"/>
        <w:ind w:left="0" w:leftChars="0" w:firstLine="0" w:firstLineChars="0"/>
        <w:jc w:val="both"/>
        <w:textAlignment w:val="auto"/>
        <w:rPr>
          <w:rFonts w:hint="eastAsia" w:ascii="新宋体" w:hAnsi="新宋体" w:eastAsia="新宋体" w:cs="新宋体"/>
          <w:b w:val="0"/>
          <w:bCs w:val="0"/>
          <w:sz w:val="24"/>
          <w:szCs w:val="24"/>
          <w:lang w:val="en-US" w:eastAsia="zh-CN"/>
        </w:rPr>
      </w:pPr>
      <w:r>
        <w:rPr>
          <w:rFonts w:hint="eastAsia" w:ascii="新宋体" w:hAnsi="新宋体" w:eastAsia="新宋体" w:cs="新宋体"/>
          <w:b w:val="0"/>
          <w:bCs w:val="0"/>
          <w:color w:val="auto"/>
          <w:kern w:val="2"/>
          <w:sz w:val="24"/>
          <w:szCs w:val="24"/>
          <w:lang w:val="en-US" w:eastAsia="zh-CN" w:bidi="ar-SA"/>
        </w:rPr>
        <w:t>9</w:t>
      </w:r>
      <w:r>
        <w:rPr>
          <w:rFonts w:hint="eastAsia" w:ascii="新宋体" w:hAnsi="新宋体" w:eastAsia="新宋体" w:cs="新宋体"/>
          <w:b w:val="0"/>
          <w:bCs w:val="0"/>
          <w:color w:val="auto"/>
          <w:kern w:val="2"/>
          <w:sz w:val="24"/>
          <w:szCs w:val="24"/>
          <w:lang w:bidi="ar-SA"/>
        </w:rPr>
        <w:t>.</w:t>
      </w:r>
      <w:r>
        <w:rPr>
          <w:rFonts w:hint="eastAsia" w:ascii="新宋体" w:hAnsi="新宋体" w:eastAsia="新宋体" w:cs="新宋体"/>
          <w:b w:val="0"/>
          <w:bCs w:val="0"/>
          <w:color w:val="auto"/>
          <w:kern w:val="2"/>
          <w:sz w:val="24"/>
          <w:szCs w:val="24"/>
          <w:lang w:val="en-US" w:eastAsia="zh-CN" w:bidi="ar-SA"/>
        </w:rPr>
        <w:t>5</w:t>
      </w:r>
      <w:r>
        <w:rPr>
          <w:rFonts w:hint="eastAsia" w:ascii="新宋体" w:hAnsi="新宋体" w:eastAsia="新宋体" w:cs="新宋体"/>
          <w:b w:val="0"/>
          <w:bCs w:val="0"/>
          <w:color w:val="auto"/>
          <w:kern w:val="2"/>
          <w:sz w:val="24"/>
          <w:szCs w:val="24"/>
          <w:lang w:bidi="ar-SA"/>
        </w:rPr>
        <w:t>.5 持续改进导向：本标准不仅是评估工具，更是企业持续改进数字化快反能力的行动指南，旨在引导企业不断追求卓越。</w:t>
      </w: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bookmarkStart w:id="613" w:name="_Toc15614"/>
      <w:bookmarkStart w:id="614" w:name="_Toc25664"/>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p>
    <w:p>
      <w:pPr>
        <w:pageBreakBefore w:val="0"/>
        <w:numPr>
          <w:ilvl w:val="0"/>
          <w:numId w:val="0"/>
        </w:numPr>
        <w:kinsoku/>
        <w:wordWrap/>
        <w:overflowPunct/>
        <w:topLinePunct w:val="0"/>
        <w:autoSpaceDE/>
        <w:autoSpaceDN/>
        <w:bidi w:val="0"/>
        <w:adjustRightInd/>
        <w:snapToGrid/>
        <w:spacing w:line="420" w:lineRule="exact"/>
        <w:ind w:firstLine="480" w:firstLineChars="200"/>
        <w:jc w:val="center"/>
        <w:textAlignment w:val="auto"/>
        <w:outlineLvl w:val="0"/>
        <w:rPr>
          <w:rFonts w:hint="eastAsia" w:ascii="新宋体" w:hAnsi="新宋体" w:eastAsia="新宋体" w:cs="新宋体"/>
          <w:b w:val="0"/>
          <w:bCs w:val="0"/>
          <w:sz w:val="24"/>
          <w:szCs w:val="24"/>
          <w:lang w:val="en-US" w:eastAsia="zh-CN"/>
        </w:rPr>
      </w:pPr>
      <w:bookmarkStart w:id="615" w:name="_Toc267769739"/>
      <w:r>
        <w:rPr>
          <w:rFonts w:hint="eastAsia" w:ascii="新宋体" w:hAnsi="新宋体" w:eastAsia="新宋体" w:cs="新宋体"/>
          <w:b w:val="0"/>
          <w:bCs w:val="0"/>
          <w:sz w:val="24"/>
          <w:szCs w:val="24"/>
          <w:lang w:val="en-US" w:eastAsia="zh-CN"/>
        </w:rPr>
        <w:t>参考文献</w:t>
      </w:r>
      <w:bookmarkEnd w:id="613"/>
      <w:bookmarkEnd w:id="614"/>
      <w:bookmarkEnd w:id="615"/>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rPr>
      </w:pPr>
      <w:bookmarkStart w:id="616" w:name="_Toc7392"/>
      <w:r>
        <w:rPr>
          <w:rFonts w:hint="eastAsia" w:ascii="新宋体" w:hAnsi="新宋体" w:eastAsia="新宋体" w:cs="新宋体"/>
          <w:b w:val="0"/>
          <w:bCs w:val="0"/>
          <w:sz w:val="24"/>
          <w:szCs w:val="24"/>
        </w:rPr>
        <w:t>T/GTES 3</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2024</w:t>
      </w:r>
      <w:r>
        <w:rPr>
          <w:rFonts w:hint="eastAsia" w:ascii="新宋体" w:hAnsi="新宋体" w:eastAsia="新宋体" w:cs="新宋体"/>
          <w:b w:val="0"/>
          <w:bCs w:val="0"/>
          <w:sz w:val="24"/>
          <w:szCs w:val="24"/>
          <w:lang w:eastAsia="zh-CN"/>
        </w:rPr>
        <w:t>《快反工厂功能建设规范基本要求与评价》</w:t>
      </w:r>
      <w:r>
        <w:rPr>
          <w:rFonts w:hint="eastAsia" w:ascii="新宋体" w:hAnsi="新宋体" w:eastAsia="新宋体" w:cs="新宋体"/>
          <w:b w:val="0"/>
          <w:bCs w:val="0"/>
          <w:sz w:val="24"/>
          <w:szCs w:val="24"/>
        </w:rPr>
        <w:t>​​</w:t>
      </w:r>
      <w:bookmarkEnd w:id="616"/>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rPr>
      </w:pPr>
      <w:bookmarkStart w:id="617" w:name="_Toc8088"/>
      <w:r>
        <w:rPr>
          <w:rFonts w:hint="eastAsia" w:ascii="新宋体" w:hAnsi="新宋体" w:eastAsia="新宋体" w:cs="新宋体"/>
          <w:b w:val="0"/>
          <w:bCs w:val="0"/>
          <w:sz w:val="24"/>
          <w:szCs w:val="24"/>
        </w:rPr>
        <w:t>GB/T39116</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2020《智能制造能力成熟度模型》</w:t>
      </w:r>
      <w:bookmarkEnd w:id="617"/>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rPr>
      </w:pPr>
      <w:bookmarkStart w:id="618" w:name="_Toc20358"/>
      <w:r>
        <w:rPr>
          <w:rFonts w:hint="eastAsia" w:ascii="新宋体" w:hAnsi="新宋体" w:eastAsia="新宋体" w:cs="新宋体"/>
          <w:b w:val="0"/>
          <w:bCs w:val="0"/>
          <w:sz w:val="24"/>
          <w:szCs w:val="24"/>
        </w:rPr>
        <w:t>GBT 44462.1</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2024 《工业互联网企业网络安全》​</w:t>
      </w:r>
      <w:bookmarkEnd w:id="618"/>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rPr>
      </w:pPr>
      <w:bookmarkStart w:id="619" w:name="_Toc31210"/>
      <w:r>
        <w:rPr>
          <w:rFonts w:hint="eastAsia" w:ascii="新宋体" w:hAnsi="新宋体" w:eastAsia="新宋体" w:cs="新宋体"/>
          <w:b w:val="0"/>
          <w:bCs w:val="0"/>
          <w:sz w:val="24"/>
          <w:szCs w:val="24"/>
        </w:rPr>
        <w:t>GB/T 42127</w:t>
      </w:r>
      <w:r>
        <w:rPr>
          <w:rFonts w:hint="eastAsia" w:ascii="新宋体" w:hAnsi="新宋体" w:eastAsia="新宋体" w:cs="新宋体"/>
          <w:b w:val="0"/>
          <w:bCs w:val="0"/>
          <w:sz w:val="24"/>
          <w:szCs w:val="24"/>
          <w:lang w:eastAsia="zh-CN"/>
        </w:rPr>
        <w:t>—</w:t>
      </w:r>
      <w:r>
        <w:rPr>
          <w:rFonts w:hint="eastAsia" w:ascii="新宋体" w:hAnsi="新宋体" w:eastAsia="新宋体" w:cs="新宋体"/>
          <w:b w:val="0"/>
          <w:bCs w:val="0"/>
          <w:sz w:val="24"/>
          <w:szCs w:val="24"/>
        </w:rPr>
        <w:t>2022</w:t>
      </w:r>
      <w:r>
        <w:rPr>
          <w:rFonts w:hint="eastAsia" w:ascii="新宋体" w:hAnsi="新宋体" w:eastAsia="新宋体" w:cs="新宋体"/>
          <w:b w:val="0"/>
          <w:bCs w:val="0"/>
          <w:sz w:val="24"/>
          <w:szCs w:val="24"/>
          <w:lang w:eastAsia="zh-CN"/>
        </w:rPr>
        <w:t>《智能制造工业数据采集规范》</w:t>
      </w:r>
      <w:r>
        <w:rPr>
          <w:rFonts w:hint="eastAsia" w:ascii="新宋体" w:hAnsi="新宋体" w:eastAsia="新宋体" w:cs="新宋体"/>
          <w:b w:val="0"/>
          <w:bCs w:val="0"/>
          <w:sz w:val="24"/>
          <w:szCs w:val="24"/>
        </w:rPr>
        <w:t>​​</w:t>
      </w:r>
      <w:bookmarkEnd w:id="619"/>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center"/>
        <w:textAlignment w:val="auto"/>
        <w:outlineLvl w:val="9"/>
        <w:rPr>
          <w:rFonts w:hint="eastAsia" w:ascii="新宋体" w:hAnsi="新宋体" w:eastAsia="新宋体" w:cs="新宋体"/>
          <w:b w:val="0"/>
          <w:bCs w:val="0"/>
          <w:sz w:val="24"/>
          <w:szCs w:val="24"/>
          <w:lang w:val="en-US" w:eastAsia="zh-CN"/>
        </w:rPr>
      </w:pPr>
      <w:bookmarkStart w:id="620" w:name="_Toc25826"/>
      <w:r>
        <w:rPr>
          <w:rFonts w:hint="eastAsia" w:ascii="新宋体" w:hAnsi="新宋体" w:eastAsia="新宋体" w:cs="新宋体"/>
          <w:b w:val="0"/>
          <w:bCs w:val="0"/>
          <w:sz w:val="24"/>
          <w:szCs w:val="24"/>
        </w:rPr>
        <w:t>​</w:t>
      </w:r>
      <w:bookmarkEnd w:id="620"/>
    </w:p>
    <w:sectPr>
      <w:footerReference r:id="rId5" w:type="default"/>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ascii="宋体" w:hAnsi="宋体" w:eastAsia="宋体" w:cs="宋体"/>
        <w:sz w:val="24"/>
        <w:szCs w:val="24"/>
      </w:rPr>
      <w:t>T/</w:t>
    </w:r>
    <w:r>
      <w:rPr>
        <w:rFonts w:hint="eastAsia" w:ascii="宋体" w:hAnsi="宋体" w:eastAsia="宋体" w:cs="宋体"/>
        <w:sz w:val="24"/>
        <w:szCs w:val="24"/>
        <w:lang w:val="en-US" w:eastAsia="zh-CN"/>
      </w:rPr>
      <w:t>CDFX-001-2025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FD1E1"/>
    <w:multiLevelType w:val="singleLevel"/>
    <w:tmpl w:val="FBFFD1E1"/>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1118FA"/>
    <w:rsid w:val="0967205A"/>
    <w:rsid w:val="09E64811"/>
    <w:rsid w:val="0A134895"/>
    <w:rsid w:val="0A466107"/>
    <w:rsid w:val="0AA51080"/>
    <w:rsid w:val="10555000"/>
    <w:rsid w:val="11F3117B"/>
    <w:rsid w:val="152A6126"/>
    <w:rsid w:val="157F87EA"/>
    <w:rsid w:val="17DB69BB"/>
    <w:rsid w:val="1A1118FA"/>
    <w:rsid w:val="1A1A3CDD"/>
    <w:rsid w:val="1EF70C7A"/>
    <w:rsid w:val="1F1C0BE3"/>
    <w:rsid w:val="206C281C"/>
    <w:rsid w:val="21DF0502"/>
    <w:rsid w:val="23276519"/>
    <w:rsid w:val="23C878CB"/>
    <w:rsid w:val="23F752E8"/>
    <w:rsid w:val="25E63C3C"/>
    <w:rsid w:val="2D1C6DE5"/>
    <w:rsid w:val="2DEC7B47"/>
    <w:rsid w:val="368A567F"/>
    <w:rsid w:val="3A8F66BD"/>
    <w:rsid w:val="3AC809A0"/>
    <w:rsid w:val="3BDFFD91"/>
    <w:rsid w:val="3C1E5AB8"/>
    <w:rsid w:val="3C9677DB"/>
    <w:rsid w:val="3D3261DA"/>
    <w:rsid w:val="3DDC4F8A"/>
    <w:rsid w:val="3E3B1714"/>
    <w:rsid w:val="3E854A58"/>
    <w:rsid w:val="3E8A2DEA"/>
    <w:rsid w:val="456450B8"/>
    <w:rsid w:val="467CE82E"/>
    <w:rsid w:val="499FB837"/>
    <w:rsid w:val="4B6B168F"/>
    <w:rsid w:val="4B9660DA"/>
    <w:rsid w:val="4D6F55C4"/>
    <w:rsid w:val="4D9F1366"/>
    <w:rsid w:val="4E575062"/>
    <w:rsid w:val="4FD72E6D"/>
    <w:rsid w:val="4FF63839"/>
    <w:rsid w:val="52BF2D89"/>
    <w:rsid w:val="52EE63E5"/>
    <w:rsid w:val="53D538CB"/>
    <w:rsid w:val="555F829E"/>
    <w:rsid w:val="566931C0"/>
    <w:rsid w:val="58696014"/>
    <w:rsid w:val="5BAB6BB0"/>
    <w:rsid w:val="5CC4578A"/>
    <w:rsid w:val="5D540A10"/>
    <w:rsid w:val="5F475D9B"/>
    <w:rsid w:val="5F5FF525"/>
    <w:rsid w:val="631F09E8"/>
    <w:rsid w:val="636674C9"/>
    <w:rsid w:val="67DFDEFB"/>
    <w:rsid w:val="67FE0898"/>
    <w:rsid w:val="697F7D95"/>
    <w:rsid w:val="6AAD64FD"/>
    <w:rsid w:val="6CA4287F"/>
    <w:rsid w:val="6E754F89"/>
    <w:rsid w:val="6E75D1AA"/>
    <w:rsid w:val="6F0A1F32"/>
    <w:rsid w:val="71837504"/>
    <w:rsid w:val="71BA9A06"/>
    <w:rsid w:val="72861477"/>
    <w:rsid w:val="732BE642"/>
    <w:rsid w:val="74FEAB96"/>
    <w:rsid w:val="756250FD"/>
    <w:rsid w:val="75BFDDA3"/>
    <w:rsid w:val="75FEC593"/>
    <w:rsid w:val="761631F2"/>
    <w:rsid w:val="77AE53E6"/>
    <w:rsid w:val="786C5FC5"/>
    <w:rsid w:val="7BAF02F5"/>
    <w:rsid w:val="7D203894"/>
    <w:rsid w:val="7F6677F8"/>
    <w:rsid w:val="7FC611EF"/>
    <w:rsid w:val="7FDE1F51"/>
    <w:rsid w:val="7FFB8D5B"/>
    <w:rsid w:val="7FFFA7A9"/>
    <w:rsid w:val="7FFFCECD"/>
    <w:rsid w:val="937ACB2F"/>
    <w:rsid w:val="9EF78666"/>
    <w:rsid w:val="9F6DC0A9"/>
    <w:rsid w:val="AAFCD39F"/>
    <w:rsid w:val="B6DA2891"/>
    <w:rsid w:val="BE736415"/>
    <w:rsid w:val="BF91FE3A"/>
    <w:rsid w:val="BFB366B8"/>
    <w:rsid w:val="C95DC42E"/>
    <w:rsid w:val="C98FCE23"/>
    <w:rsid w:val="CF9D6E3D"/>
    <w:rsid w:val="DD7EE093"/>
    <w:rsid w:val="E4F83A48"/>
    <w:rsid w:val="F1FDB39C"/>
    <w:rsid w:val="F2D7F052"/>
    <w:rsid w:val="F7BEADA0"/>
    <w:rsid w:val="F7BF9A89"/>
    <w:rsid w:val="FBBF6115"/>
    <w:rsid w:val="FBE777C8"/>
    <w:rsid w:val="FDDB9CAA"/>
    <w:rsid w:val="FDFE1DCA"/>
    <w:rsid w:val="FF73E1A0"/>
    <w:rsid w:val="FF9FFDB9"/>
    <w:rsid w:val="FFD369D7"/>
    <w:rsid w:val="FFEE0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60" w:after="0" w:line="240" w:lineRule="auto"/>
      <w:outlineLvl w:val="0"/>
    </w:pPr>
    <w:rPr>
      <w:rFonts w:ascii="Calibri Light" w:hAnsi="Calibri Light" w:eastAsia="宋体" w:cs="Times New Roman"/>
      <w:bCs/>
      <w:color w:val="44546A"/>
      <w:sz w:val="32"/>
      <w:szCs w:val="28"/>
    </w:rPr>
  </w:style>
  <w:style w:type="paragraph" w:styleId="3">
    <w:name w:val="heading 2"/>
    <w:basedOn w:val="1"/>
    <w:next w:val="1"/>
    <w:link w:val="26"/>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Body Text"/>
    <w:basedOn w:val="6"/>
    <w:qFormat/>
    <w:uiPriority w:val="0"/>
    <w:pPr>
      <w:spacing w:before="180"/>
      <w:ind w:firstLine="200"/>
    </w:pPr>
  </w:style>
  <w:style w:type="paragraph" w:styleId="8">
    <w:name w:val="Block Text"/>
    <w:basedOn w:val="7"/>
    <w:next w:val="7"/>
    <w:unhideWhenUsed/>
    <w:qFormat/>
    <w:uiPriority w:val="9"/>
    <w:pPr>
      <w:keepLines/>
      <w:pageBreakBefore/>
      <w:spacing w:before="100" w:after="100"/>
      <w:ind w:left="482" w:right="482" w:firstLine="0" w:firstLineChars="0"/>
    </w:p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WPSOffice手动目录 1"/>
    <w:qFormat/>
    <w:uiPriority w:val="0"/>
    <w:pPr>
      <w:ind w:leftChars="0"/>
    </w:pPr>
    <w:rPr>
      <w:rFonts w:ascii="Calibri" w:hAnsi="Calibri" w:eastAsia="宋体" w:cs="Times New Roman"/>
      <w:sz w:val="20"/>
      <w:szCs w:val="20"/>
    </w:rPr>
  </w:style>
  <w:style w:type="paragraph" w:customStyle="1" w:styleId="21">
    <w:name w:val="WPSOffice手动目录 2"/>
    <w:qFormat/>
    <w:uiPriority w:val="0"/>
    <w:pPr>
      <w:ind w:leftChars="200"/>
    </w:pPr>
    <w:rPr>
      <w:rFonts w:ascii="Calibri" w:hAnsi="Calibri" w:eastAsia="宋体" w:cs="Times New Roman"/>
      <w:sz w:val="20"/>
      <w:szCs w:val="20"/>
    </w:rPr>
  </w:style>
  <w:style w:type="paragraph" w:customStyle="1" w:styleId="22">
    <w:name w:val="WPSOffice手动目录 3"/>
    <w:qFormat/>
    <w:uiPriority w:val="0"/>
    <w:pPr>
      <w:ind w:leftChars="400"/>
    </w:pPr>
    <w:rPr>
      <w:rFonts w:ascii="Calibri" w:hAnsi="Calibri" w:eastAsia="宋体" w:cs="Times New Roman"/>
      <w:sz w:val="20"/>
      <w:szCs w:val="20"/>
    </w:rPr>
  </w:style>
  <w:style w:type="paragraph" w:customStyle="1" w:styleId="23">
    <w:name w:val="First Paragraph"/>
    <w:basedOn w:val="7"/>
    <w:next w:val="7"/>
    <w:qFormat/>
    <w:uiPriority w:val="0"/>
  </w:style>
  <w:style w:type="paragraph" w:customStyle="1" w:styleId="24">
    <w:name w:val="Compact"/>
    <w:basedOn w:val="7"/>
    <w:qFormat/>
    <w:uiPriority w:val="0"/>
    <w:pPr>
      <w:spacing w:before="36" w:after="36"/>
      <w:ind w:firstLine="0" w:firstLineChars="0"/>
    </w:pPr>
  </w:style>
  <w:style w:type="table" w:customStyle="1" w:styleId="25">
    <w:name w:val="Table"/>
    <w:semiHidden/>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blStylePr w:type="firstRow">
      <w:tcPr>
        <w:tcBorders>
          <w:bottom w:val="single" w:color="auto" w:sz="0" w:space="0"/>
        </w:tcBorders>
        <w:vAlign w:val="bottom"/>
      </w:tcPr>
    </w:tblStylePr>
  </w:style>
  <w:style w:type="character" w:customStyle="1" w:styleId="26">
    <w:name w:val="标题 2 Char"/>
    <w:link w:val="3"/>
    <w:qFormat/>
    <w:uiPriority w:val="0"/>
    <w:rPr>
      <w:rFonts w:hint="eastAsia" w:ascii="宋体" w:hAnsi="宋体" w:eastAsia="宋体" w:cs="宋体"/>
      <w:b/>
      <w:bCs/>
      <w:kern w:val="0"/>
      <w:sz w:val="36"/>
      <w:szCs w:val="36"/>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四川省分公司</Company>
  <Pages>54</Pages>
  <Words>0</Words>
  <Characters>0</Characters>
  <Lines>0</Lines>
  <Paragraphs>0</Paragraphs>
  <TotalTime>15</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2025-04-16T05:36:00Z</dcterms:created>
  <dc:creator>王润泽</dc:creator>
  <cp:lastModifiedBy>王润泽</cp:lastModifiedBy>
  <dcterms:modified xsi:type="dcterms:W3CDTF">2025-07-09T00:52:54Z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4594A017444146EC919E93001B63C31A</vt:lpwstr>
  </property>
</Properties>
</file>