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282177">
      <w:pPr>
        <w:pStyle w:val="136"/>
        <w:framePr w:wrap="around" w:vAnchor="page" w:hAnchor="page" w:x="1412" w:y="825"/>
        <w:jc w:val="both"/>
        <w:rPr>
          <w:color w:val="auto"/>
        </w:rPr>
      </w:pPr>
      <w:r>
        <w:rPr>
          <w:rFonts w:ascii="Times New Roman"/>
          <w:color w:val="auto"/>
        </w:rPr>
        <w:t>ICS</w:t>
      </w:r>
      <w:r>
        <w:rPr>
          <w:rFonts w:hint="eastAsia" w:ascii="MS Mincho" w:hAnsi="MS Mincho" w:eastAsia="MS Mincho" w:cs="MS Mincho"/>
          <w:color w:val="auto"/>
        </w:rPr>
        <w:t> </w:t>
      </w:r>
      <w:r>
        <w:rPr>
          <w:rFonts w:hint="eastAsia" w:eastAsia="宋体"/>
          <w:color w:val="auto"/>
          <w:lang w:val="en-US" w:eastAsia="zh-CN"/>
        </w:rPr>
        <w:t>35</w:t>
      </w:r>
      <w:r>
        <w:rPr>
          <w:color w:val="auto"/>
        </w:rPr>
        <w:t>.</w:t>
      </w:r>
      <w:r>
        <w:rPr>
          <w:rFonts w:hint="eastAsia"/>
          <w:color w:val="auto"/>
          <w:lang w:val="en-US" w:eastAsia="zh-CN"/>
        </w:rPr>
        <w:t>020</w:t>
      </w:r>
    </w:p>
    <w:p w14:paraId="1C6F668D">
      <w:pPr>
        <w:pStyle w:val="136"/>
        <w:framePr w:wrap="around" w:vAnchor="page" w:hAnchor="page" w:x="1412" w:y="825"/>
        <w:rPr>
          <w:color w:val="auto"/>
        </w:rPr>
      </w:pPr>
      <w:r>
        <w:rPr>
          <w:rFonts w:ascii="Times New Roman"/>
          <w:color w:val="auto"/>
        </w:rPr>
        <w:t xml:space="preserve">CCS </w:t>
      </w:r>
      <w:r>
        <w:rPr>
          <w:rFonts w:hint="eastAsia" w:ascii="Times New Roman"/>
          <w:color w:val="auto"/>
          <w:lang w:val="en-US" w:eastAsia="zh-CN"/>
        </w:rPr>
        <w:t>L</w:t>
      </w:r>
      <w:r>
        <w:rPr>
          <w:rFonts w:hint="eastAsia"/>
          <w:color w:val="auto"/>
        </w:rPr>
        <w:t xml:space="preserve"> </w:t>
      </w:r>
      <w:r>
        <w:rPr>
          <w:rFonts w:hint="eastAsia"/>
          <w:color w:val="auto"/>
          <w:lang w:val="en-US" w:eastAsia="zh-CN"/>
        </w:rPr>
        <w:t>70</w:t>
      </w:r>
    </w:p>
    <w:tbl>
      <w:tblPr>
        <w:tblStyle w:val="3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4"/>
      </w:tblGrid>
      <w:tr w14:paraId="5A3D6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4" w:type="dxa"/>
            <w:tcBorders>
              <w:top w:val="nil"/>
              <w:left w:val="nil"/>
              <w:bottom w:val="nil"/>
              <w:right w:val="nil"/>
            </w:tcBorders>
          </w:tcPr>
          <w:p w14:paraId="43F1B89C">
            <w:pPr>
              <w:pStyle w:val="136"/>
              <w:framePr w:wrap="around" w:vAnchor="page" w:hAnchor="page" w:x="1412" w:y="825"/>
              <w:rPr>
                <w:color w:val="auto"/>
              </w:rPr>
            </w:pPr>
            <w:r>
              <w:rPr>
                <w:color w:val="auto"/>
              </w:rPr>
              <mc:AlternateContent>
                <mc:Choice Requires="wps">
                  <w:drawing>
                    <wp:anchor distT="0" distB="0" distL="114300" distR="114300" simplePos="0" relativeHeight="251659264" behindDoc="1" locked="0" layoutInCell="1" allowOverlap="1">
                      <wp:simplePos x="0" y="0"/>
                      <wp:positionH relativeFrom="column">
                        <wp:posOffset>-66675</wp:posOffset>
                      </wp:positionH>
                      <wp:positionV relativeFrom="paragraph">
                        <wp:posOffset>0</wp:posOffset>
                      </wp:positionV>
                      <wp:extent cx="866775" cy="198120"/>
                      <wp:effectExtent l="0" t="0" r="9525" b="5080"/>
                      <wp:wrapNone/>
                      <wp:docPr id="2" name="BAH"/>
                      <wp:cNvGraphicFramePr/>
                      <a:graphic xmlns:a="http://schemas.openxmlformats.org/drawingml/2006/main">
                        <a:graphicData uri="http://schemas.microsoft.com/office/word/2010/wordprocessingShape">
                          <wps:wsp>
                            <wps:cNvSpPr/>
                            <wps:spPr>
                              <a:xfrm>
                                <a:off x="0" y="0"/>
                                <a:ext cx="866775" cy="198120"/>
                              </a:xfrm>
                              <a:prstGeom prst="rect">
                                <a:avLst/>
                              </a:prstGeom>
                              <a:solidFill>
                                <a:srgbClr val="FFFFFF"/>
                              </a:solidFill>
                              <a:ln>
                                <a:noFill/>
                              </a:ln>
                            </wps:spPr>
                            <wps:txbx>
                              <w:txbxContent>
                                <w:p w14:paraId="48489BBD"/>
                              </w:txbxContent>
                            </wps:txbx>
                            <wps:bodyPr wrap="square" upright="1"/>
                          </wps:wsp>
                        </a:graphicData>
                      </a:graphic>
                    </wp:anchor>
                  </w:drawing>
                </mc:Choice>
                <mc:Fallback>
                  <w:pict>
                    <v:rect id="BAH" o:spid="_x0000_s1026" o:spt="1" style="position:absolute;left:0pt;margin-left:-5.25pt;margin-top:0pt;height:15.6pt;width:68.25pt;z-index:-251657216;mso-width-relative:page;mso-height-relative:page;" fillcolor="#FFFFFF" filled="t" stroked="f" coordsize="21600,2160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ri/s1QAAAAcBAAAPAAAAAAAAAAEAIAAAACIAAABkcnMvZG93bnJldi54bWxQSwECFAAUAAAACACH&#10;TuJA+HF5UrUBAAByAwAADgAAAAAAAAABACAAAAAkAQAAZHJzL2Uyb0RvYy54bWxQSwUGAAAAAAYA&#10;BgBZAQAASwUAAAAA&#10;">
                      <v:fill on="t" focussize="0,0"/>
                      <v:stroke on="f"/>
                      <v:imagedata o:title=""/>
                      <o:lock v:ext="edit" aspectratio="f"/>
                      <v:textbox>
                        <w:txbxContent>
                          <w:p w14:paraId="48489BBD"/>
                        </w:txbxContent>
                      </v:textbox>
                    </v:rect>
                  </w:pict>
                </mc:Fallback>
              </mc:AlternateContent>
            </w:r>
          </w:p>
        </w:tc>
      </w:tr>
    </w:tbl>
    <w:p w14:paraId="530B12AE">
      <w:pPr>
        <w:pStyle w:val="134"/>
        <w:framePr w:w="7310" w:wrap="around" w:x="2498" w:y="2325"/>
        <w:rPr>
          <w:color w:val="auto"/>
          <w:sz w:val="72"/>
          <w:szCs w:val="72"/>
        </w:rPr>
      </w:pPr>
      <w:r>
        <w:rPr>
          <w:rFonts w:hint="eastAsia"/>
          <w:color w:val="auto"/>
          <w:sz w:val="72"/>
          <w:szCs w:val="72"/>
        </w:rPr>
        <w:t>团体标准</w:t>
      </w:r>
    </w:p>
    <w:p w14:paraId="1A329A58">
      <w:pPr>
        <w:pStyle w:val="99"/>
        <w:framePr w:wrap="around"/>
        <w:rPr>
          <w:rFonts w:ascii="Times New Roman"/>
          <w:color w:val="auto"/>
        </w:rPr>
      </w:pPr>
    </w:p>
    <w:p w14:paraId="481482DE">
      <w:pPr>
        <w:pStyle w:val="99"/>
        <w:framePr w:wrap="around"/>
        <w:rPr>
          <w:rFonts w:hint="default" w:hAnsi="黑体"/>
          <w:color w:val="auto"/>
          <w:lang w:val="en-US"/>
        </w:rPr>
      </w:pPr>
      <w:r>
        <w:rPr>
          <w:rFonts w:hint="eastAsia" w:ascii="Times New Roman"/>
          <w:color w:val="auto"/>
        </w:rPr>
        <w:t>T</w:t>
      </w:r>
      <w:r>
        <w:rPr>
          <w:rFonts w:ascii="Times New Roman"/>
          <w:color w:val="auto"/>
        </w:rPr>
        <w:t>/</w:t>
      </w:r>
      <w:r>
        <w:rPr>
          <w:rFonts w:hint="eastAsia" w:ascii="Times New Roman"/>
          <w:color w:val="auto"/>
        </w:rPr>
        <w:t xml:space="preserve">DZJN </w:t>
      </w:r>
      <w:r>
        <w:rPr>
          <w:rFonts w:hint="eastAsia" w:ascii="Times New Roman"/>
          <w:color w:val="auto"/>
          <w:lang w:val="en-US" w:eastAsia="zh-CN"/>
        </w:rPr>
        <w:t>***</w:t>
      </w:r>
      <w:r>
        <w:rPr>
          <w:rFonts w:hAnsi="黑体"/>
          <w:color w:val="auto"/>
        </w:rPr>
        <w:t>—</w:t>
      </w:r>
      <w:r>
        <w:rPr>
          <w:rFonts w:hint="eastAsia" w:hAnsi="黑体"/>
          <w:color w:val="auto"/>
          <w:lang w:val="en-US" w:eastAsia="zh-CN"/>
        </w:rPr>
        <w:t>2025</w:t>
      </w:r>
    </w:p>
    <w:tbl>
      <w:tblPr>
        <w:tblStyle w:val="3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14:paraId="57C19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14:paraId="1649E153">
            <w:pPr>
              <w:pStyle w:val="65"/>
              <w:framePr w:wrap="around"/>
              <w:rPr>
                <w:color w:val="auto"/>
              </w:rPr>
            </w:pPr>
          </w:p>
        </w:tc>
      </w:tr>
    </w:tbl>
    <w:p w14:paraId="28AA6B1D">
      <w:pPr>
        <w:pStyle w:val="99"/>
        <w:framePr w:wrap="around"/>
        <w:rPr>
          <w:rFonts w:hAnsi="黑体"/>
          <w:color w:val="auto"/>
        </w:rPr>
      </w:pPr>
    </w:p>
    <w:p w14:paraId="0A32134F">
      <w:pPr>
        <w:pStyle w:val="99"/>
        <w:framePr w:wrap="around"/>
        <w:rPr>
          <w:rFonts w:hAnsi="黑体"/>
          <w:color w:val="auto"/>
        </w:rPr>
      </w:pPr>
    </w:p>
    <w:p w14:paraId="38579D36">
      <w:pPr>
        <w:framePr w:w="9639" w:h="6917" w:hRule="exact" w:wrap="around" w:vAnchor="page" w:hAnchor="page" w:x="1146" w:y="6231" w:anchorLock="1"/>
        <w:jc w:val="center"/>
        <w:rPr>
          <w:rFonts w:hint="eastAsia" w:ascii="黑体" w:eastAsia="黑体"/>
          <w:color w:val="auto"/>
          <w:kern w:val="0"/>
          <w:sz w:val="52"/>
          <w:szCs w:val="20"/>
          <w:lang w:eastAsia="zh-CN"/>
        </w:rPr>
      </w:pPr>
      <w:r>
        <w:rPr>
          <w:rFonts w:hint="eastAsia" w:ascii="黑体" w:eastAsia="黑体"/>
          <w:color w:val="auto"/>
          <w:kern w:val="0"/>
          <w:sz w:val="52"/>
          <w:szCs w:val="20"/>
          <w:lang w:eastAsia="zh-CN"/>
        </w:rPr>
        <w:t>单对以太网系统工程技术</w:t>
      </w:r>
      <w:r>
        <w:rPr>
          <w:rFonts w:hint="eastAsia" w:ascii="黑体" w:eastAsia="黑体"/>
          <w:color w:val="auto"/>
          <w:kern w:val="0"/>
          <w:sz w:val="52"/>
          <w:szCs w:val="20"/>
          <w:lang w:val="en-US" w:eastAsia="zh-CN"/>
        </w:rPr>
        <w:t>标准</w:t>
      </w:r>
    </w:p>
    <w:p w14:paraId="2562D5FC">
      <w:pPr>
        <w:framePr w:w="9639" w:h="6917" w:hRule="exact" w:wrap="around" w:vAnchor="page" w:hAnchor="page" w:x="1146" w:y="6231" w:anchorLock="1"/>
        <w:jc w:val="center"/>
        <w:rPr>
          <w:rFonts w:hint="eastAsia" w:ascii="黑体" w:hAnsi="黑体" w:eastAsia="黑体"/>
          <w:color w:val="auto"/>
          <w:kern w:val="0"/>
          <w:sz w:val="28"/>
          <w:szCs w:val="28"/>
          <w:lang w:eastAsia="zh-CN"/>
        </w:rPr>
      </w:pPr>
      <w:r>
        <w:rPr>
          <w:rFonts w:hint="eastAsia" w:ascii="黑体" w:hAnsi="黑体" w:eastAsia="黑体"/>
          <w:color w:val="auto"/>
          <w:kern w:val="0"/>
          <w:sz w:val="28"/>
          <w:szCs w:val="28"/>
          <w:lang w:eastAsia="zh-CN"/>
        </w:rPr>
        <w:t xml:space="preserve">Single-Pair Ethernet </w:t>
      </w:r>
      <w:r>
        <w:rPr>
          <w:rFonts w:hint="eastAsia" w:ascii="黑体" w:hAnsi="黑体" w:eastAsia="黑体"/>
          <w:color w:val="auto"/>
          <w:kern w:val="0"/>
          <w:sz w:val="28"/>
          <w:szCs w:val="28"/>
          <w:lang w:val="en-US" w:eastAsia="zh-CN"/>
        </w:rPr>
        <w:t xml:space="preserve">system </w:t>
      </w:r>
      <w:r>
        <w:rPr>
          <w:rFonts w:hint="eastAsia" w:ascii="黑体" w:hAnsi="黑体" w:eastAsia="黑体"/>
          <w:color w:val="auto"/>
          <w:kern w:val="0"/>
          <w:sz w:val="28"/>
          <w:szCs w:val="28"/>
          <w:lang w:eastAsia="zh-CN"/>
        </w:rPr>
        <w:t>Engineering Technical Standard</w:t>
      </w:r>
    </w:p>
    <w:tbl>
      <w:tblPr>
        <w:tblStyle w:val="3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14:paraId="4928D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14:paraId="496CD230">
            <w:pPr>
              <w:pStyle w:val="96"/>
              <w:framePr w:wrap="around" w:x="1146" w:y="6231"/>
              <w:rPr>
                <w:color w:val="auto"/>
              </w:rPr>
            </w:pPr>
          </w:p>
        </w:tc>
      </w:tr>
      <w:tr w14:paraId="1699F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14:paraId="55C294B7">
            <w:pPr>
              <w:pStyle w:val="101"/>
              <w:framePr w:wrap="around" w:x="1146" w:y="6231"/>
              <w:rPr>
                <w:color w:val="auto"/>
              </w:rPr>
            </w:pPr>
          </w:p>
        </w:tc>
      </w:tr>
    </w:tbl>
    <w:p w14:paraId="608253B8">
      <w:pPr>
        <w:pStyle w:val="138"/>
        <w:framePr w:wrap="around" w:hAnchor="page" w:x="1069" w:y="14201"/>
        <w:rPr>
          <w:color w:val="auto"/>
        </w:rPr>
      </w:pPr>
      <w:r>
        <w:rPr>
          <w:rFonts w:hint="eastAsia" w:ascii="黑体"/>
          <w:color w:val="auto"/>
        </w:rPr>
        <w:t>20</w:t>
      </w:r>
      <w:r>
        <w:rPr>
          <w:rFonts w:hint="eastAsia" w:ascii="黑体"/>
          <w:color w:val="auto"/>
          <w:lang w:val="en-US" w:eastAsia="zh-CN"/>
        </w:rPr>
        <w:t>25</w:t>
      </w:r>
      <w:r>
        <w:rPr>
          <w:color w:val="auto"/>
        </w:rPr>
        <w:t xml:space="preserve"> </w:t>
      </w:r>
      <w:r>
        <w:rPr>
          <w:rFonts w:ascii="黑体"/>
          <w:color w:val="auto"/>
        </w:rPr>
        <w:t>-</w:t>
      </w:r>
      <w:r>
        <w:rPr>
          <w:rFonts w:hint="eastAsia" w:ascii="黑体"/>
          <w:color w:val="auto"/>
          <w:lang w:val="en-US" w:eastAsia="zh-CN"/>
        </w:rPr>
        <w:t xml:space="preserve"> XX</w:t>
      </w:r>
      <w:r>
        <w:rPr>
          <w:color w:val="auto"/>
        </w:rPr>
        <w:t xml:space="preserve"> </w:t>
      </w:r>
      <w:r>
        <w:rPr>
          <w:rFonts w:ascii="黑体"/>
          <w:color w:val="auto"/>
        </w:rPr>
        <w:t>-</w:t>
      </w:r>
      <w:r>
        <w:rPr>
          <w:rFonts w:hint="eastAsia" w:ascii="黑体"/>
          <w:color w:val="auto"/>
          <w:lang w:val="en-US" w:eastAsia="zh-CN"/>
        </w:rPr>
        <w:t xml:space="preserve"> XX</w:t>
      </w:r>
      <w:r>
        <w:rPr>
          <w:rFonts w:hint="eastAsia"/>
          <w:color w:val="auto"/>
        </w:rPr>
        <w:t>发布</w:t>
      </w:r>
    </w:p>
    <w:p w14:paraId="4765793F">
      <w:pPr>
        <w:pStyle w:val="88"/>
        <w:framePr w:wrap="around" w:hAnchor="page" w:x="6574" w:y="14213"/>
        <w:rPr>
          <w:color w:val="auto"/>
        </w:rPr>
      </w:pPr>
      <w:r>
        <w:rPr>
          <w:rFonts w:hint="eastAsia" w:ascii="黑体"/>
          <w:color w:val="auto"/>
        </w:rPr>
        <w:t>20</w:t>
      </w:r>
      <w:r>
        <w:rPr>
          <w:rFonts w:hint="eastAsia" w:ascii="黑体"/>
          <w:color w:val="auto"/>
          <w:lang w:val="en-US" w:eastAsia="zh-CN"/>
        </w:rPr>
        <w:t>25</w:t>
      </w:r>
      <w:r>
        <w:rPr>
          <w:color w:val="auto"/>
        </w:rPr>
        <w:t xml:space="preserve"> </w:t>
      </w:r>
      <w:r>
        <w:rPr>
          <w:rFonts w:ascii="黑体"/>
          <w:color w:val="auto"/>
        </w:rPr>
        <w:t>-</w:t>
      </w:r>
      <w:r>
        <w:rPr>
          <w:rFonts w:hint="eastAsia" w:ascii="黑体"/>
          <w:color w:val="auto"/>
          <w:lang w:val="en-US" w:eastAsia="zh-CN"/>
        </w:rPr>
        <w:t xml:space="preserve"> XX</w:t>
      </w:r>
      <w:r>
        <w:rPr>
          <w:color w:val="auto"/>
        </w:rPr>
        <w:t xml:space="preserve"> </w:t>
      </w:r>
      <w:r>
        <w:rPr>
          <w:rFonts w:ascii="黑体"/>
          <w:color w:val="auto"/>
        </w:rPr>
        <w:t>-</w:t>
      </w:r>
      <w:r>
        <w:rPr>
          <w:rFonts w:hint="eastAsia" w:ascii="黑体"/>
          <w:color w:val="auto"/>
          <w:lang w:val="en-US" w:eastAsia="zh-CN"/>
        </w:rPr>
        <w:t xml:space="preserve"> XX</w:t>
      </w:r>
      <w:r>
        <w:rPr>
          <w:rFonts w:hint="eastAsia"/>
          <w:color w:val="auto"/>
        </w:rPr>
        <w:t>实施</w:t>
      </w:r>
    </w:p>
    <w:p w14:paraId="0D283ECC">
      <w:pPr>
        <w:pStyle w:val="120"/>
        <w:framePr w:w="10387" w:h="1441" w:hRule="exact" w:wrap="around" w:x="956" w:y="14988"/>
        <w:rPr>
          <w:color w:val="auto"/>
          <w:sz w:val="36"/>
          <w:szCs w:val="36"/>
        </w:rPr>
      </w:pPr>
      <w:r>
        <w:rPr>
          <w:rFonts w:hint="eastAsia" w:ascii="MS Mincho" w:hAnsi="MS Mincho" w:eastAsia="宋体" w:cs="MS Mincho"/>
          <w:color w:val="auto"/>
          <w:sz w:val="32"/>
          <w:szCs w:val="32"/>
        </w:rPr>
        <w:t>中国电子节能技术协会</w:t>
      </w:r>
      <w:r>
        <w:rPr>
          <w:rFonts w:hint="eastAsia" w:ascii="MS Mincho" w:hAnsi="MS Mincho" w:eastAsia="MS Mincho" w:cs="MS Mincho"/>
          <w:color w:val="auto"/>
          <w:sz w:val="36"/>
          <w:szCs w:val="36"/>
        </w:rPr>
        <w:t> </w:t>
      </w:r>
      <w:r>
        <w:rPr>
          <w:rStyle w:val="54"/>
          <w:rFonts w:hint="eastAsia"/>
          <w:color w:val="auto"/>
        </w:rPr>
        <w:t>发布</w:t>
      </w:r>
    </w:p>
    <w:p w14:paraId="36646C73">
      <w:pPr>
        <w:pStyle w:val="26"/>
        <w:rPr>
          <w:color w:val="auto"/>
        </w:rPr>
        <w:sectPr>
          <w:headerReference r:id="rId3" w:type="default"/>
          <w:footerReference r:id="rId4" w:type="default"/>
          <w:pgSz w:w="11906" w:h="16838"/>
          <w:pgMar w:top="567" w:right="850" w:bottom="1134" w:left="1418" w:header="0" w:footer="0" w:gutter="0"/>
          <w:pgBorders>
            <w:top w:val="none" w:sz="0" w:space="0"/>
            <w:left w:val="none" w:sz="0" w:space="0"/>
            <w:bottom w:val="none" w:sz="0" w:space="0"/>
            <w:right w:val="none" w:sz="0" w:space="0"/>
          </w:pgBorders>
          <w:pgNumType w:start="1"/>
          <w:cols w:space="720" w:num="1"/>
          <w:docGrid w:type="lines" w:linePitch="312" w:charSpace="0"/>
        </w:sectPr>
      </w:pPr>
      <w:r>
        <w:rPr>
          <w:color w:val="auto"/>
        </w:rPr>
        <mc:AlternateContent>
          <mc:Choice Requires="wps">
            <w:drawing>
              <wp:anchor distT="0" distB="0" distL="114300" distR="114300" simplePos="0" relativeHeight="251661312" behindDoc="0" locked="0" layoutInCell="1" allowOverlap="1">
                <wp:simplePos x="0" y="0"/>
                <wp:positionH relativeFrom="column">
                  <wp:posOffset>-244475</wp:posOffset>
                </wp:positionH>
                <wp:positionV relativeFrom="paragraph">
                  <wp:posOffset>8979535</wp:posOffset>
                </wp:positionV>
                <wp:extent cx="6120130" cy="0"/>
                <wp:effectExtent l="0" t="0" r="0" b="0"/>
                <wp:wrapNone/>
                <wp:docPr id="5" name="直线 11"/>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1" o:spid="_x0000_s1026" o:spt="20" style="position:absolute;left:0pt;margin-left:-19.25pt;margin-top:707.05pt;height:0pt;width:481.9pt;z-index:251661312;mso-width-relative:page;mso-height-relative:page;" filled="f" stroked="t" coordsize="21600,21600" o:gfxdata="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RxMT2AAAAA0BAAAP&#10;AAAAAAAAAAEAIAAAACIAAABkcnMvZG93bnJldi54bWxQSwECFAAUAAAACACHTuJAbNgTpN8BAADQ&#10;AwAADgAAAAAAAAABACAAAAAnAQAAZHJzL2Uyb0RvYy54bWxQSwUGAAAAAAYABgBZAQAAeAUAAAAA&#10;">
                <v:fill on="f" focussize="0,0"/>
                <v:stroke color="#000000" joinstyle="round"/>
                <v:imagedata o:title=""/>
                <o:lock v:ext="edit" aspectratio="f"/>
              </v:line>
            </w:pict>
          </mc:Fallback>
        </mc:AlternateContent>
      </w:r>
      <w:r>
        <w:rPr>
          <w:color w:val="auto"/>
        </w:rPr>
        <mc:AlternateContent>
          <mc:Choice Requires="wps">
            <w:drawing>
              <wp:anchor distT="0" distB="0" distL="114300" distR="114300" simplePos="0" relativeHeight="251660288" behindDoc="0" locked="0" layoutInCell="1" allowOverlap="1">
                <wp:simplePos x="0" y="0"/>
                <wp:positionH relativeFrom="column">
                  <wp:posOffset>-180340</wp:posOffset>
                </wp:positionH>
                <wp:positionV relativeFrom="paragraph">
                  <wp:posOffset>2482850</wp:posOffset>
                </wp:positionV>
                <wp:extent cx="6120130" cy="0"/>
                <wp:effectExtent l="0" t="0" r="0" b="0"/>
                <wp:wrapNone/>
                <wp:docPr id="4" name="直线 11"/>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1" o:spid="_x0000_s1026" o:spt="20" style="position:absolute;left:0pt;margin-left:-14.2pt;margin-top:195.5pt;height:0pt;width:481.9pt;z-index:251660288;mso-width-relative:page;mso-height-relative:page;" filled="f" stroked="t" coordsize="21600,21600" o:gfxdata="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gzH6HtYAAAALAQAADwAA&#10;AAAAAAABACAAAAAiAAAAZHJzL2Rvd25yZXYueG1sUEsBAhQAFAAAAAgAh07iQJkLjxXfAQAA0AMA&#10;AA4AAAAAAAAAAQAgAAAAJQEAAGRycy9lMm9Eb2MueG1sUEsFBgAAAAAGAAYAWQEAAHYFAAAAAA==&#10;">
                <v:fill on="f" focussize="0,0"/>
                <v:stroke color="#000000" joinstyle="round"/>
                <v:imagedata o:title=""/>
                <o:lock v:ext="edit" aspectratio="f"/>
              </v:line>
            </w:pict>
          </mc:Fallback>
        </mc:AlternateContent>
      </w:r>
    </w:p>
    <w:p w14:paraId="0C071FBE">
      <w:pPr>
        <w:spacing w:before="0" w:beforeLines="0" w:after="0" w:afterLines="0" w:line="240" w:lineRule="auto"/>
        <w:ind w:left="0" w:leftChars="0" w:right="0" w:rightChars="0" w:firstLine="0" w:firstLineChars="0"/>
        <w:jc w:val="cente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rPr>
        <w:t>目</w:t>
      </w:r>
      <w:r>
        <w:rPr>
          <w:rFonts w:hint="eastAsia" w:ascii="黑体" w:hAnsi="黑体" w:eastAsia="黑体" w:cs="黑体"/>
          <w:color w:val="auto"/>
          <w:sz w:val="32"/>
          <w:szCs w:val="32"/>
          <w:highlight w:val="none"/>
        </w:rPr>
        <w:t>  </w:t>
      </w:r>
      <w:r>
        <w:rPr>
          <w:rFonts w:hint="eastAsia" w:ascii="黑体" w:hAnsi="黑体" w:eastAsia="黑体" w:cs="黑体"/>
          <w:color w:val="auto"/>
          <w:sz w:val="32"/>
          <w:szCs w:val="32"/>
          <w:lang w:val="en-US" w:eastAsia="zh-CN"/>
        </w:rPr>
        <w:t>次</w:t>
      </w:r>
    </w:p>
    <w:p w14:paraId="6D52818B">
      <w:pPr>
        <w:pStyle w:val="22"/>
        <w:tabs>
          <w:tab w:val="right" w:leader="dot" w:pos="9354"/>
          <w:tab w:val="clear" w:pos="9241"/>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TOC \o "1-2" \h \u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_Toc24360 </w:instrText>
      </w:r>
      <w:r>
        <w:rPr>
          <w:rFonts w:hint="eastAsia" w:ascii="宋体" w:hAnsi="宋体" w:eastAsia="宋体" w:cs="宋体"/>
          <w:color w:val="auto"/>
        </w:rPr>
        <w:fldChar w:fldCharType="separate"/>
      </w:r>
      <w:r>
        <w:rPr>
          <w:rFonts w:hint="eastAsia" w:ascii="宋体" w:hAnsi="宋体" w:eastAsia="宋体" w:cs="宋体"/>
          <w:color w:val="auto"/>
          <w:highlight w:val="none"/>
        </w:rPr>
        <w:t>前  言</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_Toc24360 \h </w:instrText>
      </w:r>
      <w:r>
        <w:rPr>
          <w:rFonts w:hint="eastAsia" w:ascii="宋体" w:hAnsi="宋体" w:eastAsia="宋体" w:cs="宋体"/>
          <w:color w:val="auto"/>
        </w:rPr>
        <w:fldChar w:fldCharType="separate"/>
      </w:r>
      <w:r>
        <w:rPr>
          <w:rFonts w:hint="eastAsia" w:ascii="宋体" w:hAnsi="宋体" w:eastAsia="宋体" w:cs="宋体"/>
          <w:color w:val="auto"/>
        </w:rPr>
        <w:t>2</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40FC01B7">
      <w:pPr>
        <w:pStyle w:val="22"/>
        <w:tabs>
          <w:tab w:val="right" w:leader="dot" w:pos="9354"/>
          <w:tab w:val="clear" w:pos="9241"/>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_Toc26860 </w:instrText>
      </w:r>
      <w:r>
        <w:rPr>
          <w:rFonts w:hint="eastAsia" w:ascii="宋体" w:hAnsi="宋体" w:eastAsia="宋体" w:cs="宋体"/>
          <w:color w:val="auto"/>
        </w:rPr>
        <w:fldChar w:fldCharType="separate"/>
      </w:r>
      <w:r>
        <w:rPr>
          <w:rFonts w:hint="eastAsia" w:ascii="宋体" w:hAnsi="宋体" w:eastAsia="宋体" w:cs="宋体"/>
          <w:i w:val="0"/>
          <w:color w:val="auto"/>
          <w:szCs w:val="21"/>
        </w:rPr>
        <w:t xml:space="preserve">1 </w:t>
      </w:r>
      <w:r>
        <w:rPr>
          <w:rFonts w:hint="eastAsia" w:ascii="宋体" w:hAnsi="宋体" w:eastAsia="宋体" w:cs="宋体"/>
          <w:color w:val="auto"/>
          <w:highlight w:val="none"/>
        </w:rPr>
        <w:t>范围</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_Toc26860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6CB22251">
      <w:pPr>
        <w:pStyle w:val="22"/>
        <w:tabs>
          <w:tab w:val="right" w:leader="dot" w:pos="9354"/>
          <w:tab w:val="clear" w:pos="9241"/>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_Toc31650 </w:instrText>
      </w:r>
      <w:r>
        <w:rPr>
          <w:rFonts w:hint="eastAsia" w:ascii="宋体" w:hAnsi="宋体" w:eastAsia="宋体" w:cs="宋体"/>
          <w:color w:val="auto"/>
        </w:rPr>
        <w:fldChar w:fldCharType="separate"/>
      </w:r>
      <w:r>
        <w:rPr>
          <w:rFonts w:hint="eastAsia" w:ascii="宋体" w:hAnsi="宋体" w:eastAsia="宋体" w:cs="宋体"/>
          <w:i w:val="0"/>
          <w:color w:val="auto"/>
          <w:szCs w:val="21"/>
        </w:rPr>
        <w:t xml:space="preserve">2 </w:t>
      </w:r>
      <w:r>
        <w:rPr>
          <w:rFonts w:hint="eastAsia" w:ascii="宋体" w:hAnsi="宋体" w:eastAsia="宋体" w:cs="宋体"/>
          <w:color w:val="auto"/>
          <w:highlight w:val="none"/>
        </w:rPr>
        <w:t>规范性引用文件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_Toc31650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4932FE89">
      <w:pPr>
        <w:pStyle w:val="22"/>
        <w:tabs>
          <w:tab w:val="right" w:leader="dot" w:pos="9354"/>
          <w:tab w:val="clear" w:pos="9241"/>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_Toc2962 </w:instrText>
      </w:r>
      <w:r>
        <w:rPr>
          <w:rFonts w:hint="eastAsia" w:ascii="宋体" w:hAnsi="宋体" w:eastAsia="宋体" w:cs="宋体"/>
          <w:color w:val="auto"/>
        </w:rPr>
        <w:fldChar w:fldCharType="separate"/>
      </w:r>
      <w:r>
        <w:rPr>
          <w:rFonts w:hint="eastAsia" w:ascii="宋体" w:hAnsi="宋体" w:eastAsia="宋体" w:cs="宋体"/>
          <w:i w:val="0"/>
          <w:color w:val="auto"/>
          <w:szCs w:val="21"/>
        </w:rPr>
        <w:t xml:space="preserve">3 </w:t>
      </w:r>
      <w:r>
        <w:rPr>
          <w:rFonts w:hint="eastAsia" w:ascii="宋体" w:hAnsi="宋体" w:eastAsia="宋体" w:cs="宋体"/>
          <w:color w:val="auto"/>
          <w:highlight w:val="none"/>
        </w:rPr>
        <w:t>术语和</w:t>
      </w:r>
      <w:r>
        <w:rPr>
          <w:rFonts w:hint="eastAsia" w:ascii="宋体" w:hAnsi="宋体" w:eastAsia="宋体" w:cs="宋体"/>
          <w:color w:val="auto"/>
          <w:highlight w:val="none"/>
          <w:lang w:val="en-US" w:eastAsia="zh-CN"/>
        </w:rPr>
        <w:t>缩略语</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_Toc2962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373A4879">
      <w:pPr>
        <w:pStyle w:val="31"/>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_Toc21337 </w:instrText>
      </w:r>
      <w:r>
        <w:rPr>
          <w:rFonts w:hint="eastAsia" w:ascii="宋体" w:hAnsi="宋体" w:eastAsia="宋体" w:cs="宋体"/>
          <w:color w:val="auto"/>
        </w:rPr>
        <w:fldChar w:fldCharType="separate"/>
      </w:r>
      <w:r>
        <w:rPr>
          <w:rFonts w:hint="eastAsia" w:ascii="宋体" w:hAnsi="宋体" w:eastAsia="宋体" w:cs="宋体"/>
          <w:i w:val="0"/>
          <w:color w:val="auto"/>
          <w:szCs w:val="21"/>
        </w:rPr>
        <w:t xml:space="preserve">4 </w:t>
      </w:r>
      <w:r>
        <w:rPr>
          <w:rFonts w:hint="eastAsia" w:ascii="宋体" w:hAnsi="宋体" w:eastAsia="宋体" w:cs="宋体"/>
          <w:color w:val="auto"/>
          <w:highlight w:val="none"/>
        </w:rPr>
        <w:t>单对以太网系统设计要求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_Toc21337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64DFB44A">
      <w:pPr>
        <w:pStyle w:val="31"/>
        <w:tabs>
          <w:tab w:val="right" w:leader="dot" w:pos="9354"/>
          <w:tab w:val="clear" w:pos="9241"/>
        </w:tabs>
        <w:ind w:leftChars="100"/>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_Toc6853 </w:instrText>
      </w:r>
      <w:r>
        <w:rPr>
          <w:rFonts w:hint="eastAsia" w:ascii="宋体" w:hAnsi="宋体" w:eastAsia="宋体" w:cs="宋体"/>
          <w:color w:val="auto"/>
        </w:rPr>
        <w:fldChar w:fldCharType="separate"/>
      </w:r>
      <w:r>
        <w:rPr>
          <w:rFonts w:hint="eastAsia" w:ascii="宋体" w:hAnsi="宋体" w:eastAsia="宋体" w:cs="宋体"/>
          <w:bCs w:val="0"/>
          <w:i w:val="0"/>
          <w:iCs w:val="0"/>
          <w:caps w:val="0"/>
          <w:strike w:val="0"/>
          <w:dstrike w:val="0"/>
          <w:vanish w:val="0"/>
          <w:color w:val="auto"/>
          <w:spacing w:val="0"/>
          <w:kern w:val="0"/>
          <w:position w:val="0"/>
          <w:szCs w:val="21"/>
          <w:vertAlign w:val="baseline"/>
          <w14:shadow w14:blurRad="0" w14:dist="0" w14:dir="0" w14:sx="0" w14:sy="0" w14:kx="0" w14:ky="0" w14:algn="none">
            <w14:srgbClr w14:val="000000"/>
          </w14:shadow>
        </w:rPr>
        <w:t xml:space="preserve">4.1 </w:t>
      </w:r>
      <w:r>
        <w:rPr>
          <w:rFonts w:hint="eastAsia" w:ascii="宋体" w:hAnsi="宋体" w:eastAsia="宋体" w:cs="宋体"/>
          <w:color w:val="auto"/>
          <w:highlight w:val="none"/>
        </w:rPr>
        <w:t>网络系统架构</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_Toc6853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1626D977">
      <w:pPr>
        <w:pStyle w:val="31"/>
        <w:tabs>
          <w:tab w:val="right" w:leader="dot" w:pos="9354"/>
          <w:tab w:val="clear" w:pos="9241"/>
        </w:tabs>
        <w:ind w:leftChars="100"/>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_Toc14413 </w:instrText>
      </w:r>
      <w:r>
        <w:rPr>
          <w:rFonts w:hint="eastAsia" w:ascii="宋体" w:hAnsi="宋体" w:eastAsia="宋体" w:cs="宋体"/>
          <w:color w:val="auto"/>
        </w:rPr>
        <w:fldChar w:fldCharType="separate"/>
      </w:r>
      <w:r>
        <w:rPr>
          <w:rFonts w:hint="eastAsia" w:ascii="宋体" w:hAnsi="宋体" w:eastAsia="宋体" w:cs="宋体"/>
          <w:bCs w:val="0"/>
          <w:i w:val="0"/>
          <w:iCs w:val="0"/>
          <w:caps w:val="0"/>
          <w:strike w:val="0"/>
          <w:dstrike w:val="0"/>
          <w:vanish w:val="0"/>
          <w:color w:val="auto"/>
          <w:spacing w:val="0"/>
          <w:kern w:val="0"/>
          <w:position w:val="0"/>
          <w:szCs w:val="21"/>
          <w:vertAlign w:val="baseline"/>
          <w14:shadow w14:blurRad="0" w14:dist="0" w14:dir="0" w14:sx="0" w14:sy="0" w14:kx="0" w14:ky="0" w14:algn="none">
            <w14:srgbClr w14:val="000000"/>
          </w14:shadow>
        </w:rPr>
        <w:t xml:space="preserve">4.2 </w:t>
      </w:r>
      <w:r>
        <w:rPr>
          <w:rFonts w:hint="eastAsia" w:ascii="宋体" w:hAnsi="宋体" w:eastAsia="宋体" w:cs="宋体"/>
          <w:color w:val="auto"/>
          <w:highlight w:val="none"/>
        </w:rPr>
        <w:t>SPE网络分类及要求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_Toc14413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1F39360F">
      <w:pPr>
        <w:pStyle w:val="31"/>
        <w:tabs>
          <w:tab w:val="right" w:leader="dot" w:pos="9354"/>
          <w:tab w:val="clear" w:pos="9241"/>
        </w:tabs>
        <w:ind w:leftChars="100"/>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_Toc20093 </w:instrText>
      </w:r>
      <w:r>
        <w:rPr>
          <w:rFonts w:hint="eastAsia" w:ascii="宋体" w:hAnsi="宋体" w:eastAsia="宋体" w:cs="宋体"/>
          <w:color w:val="auto"/>
        </w:rPr>
        <w:fldChar w:fldCharType="separate"/>
      </w:r>
      <w:r>
        <w:rPr>
          <w:rFonts w:hint="eastAsia" w:ascii="宋体" w:hAnsi="宋体" w:eastAsia="宋体" w:cs="宋体"/>
          <w:bCs w:val="0"/>
          <w:i w:val="0"/>
          <w:iCs w:val="0"/>
          <w:caps w:val="0"/>
          <w:strike w:val="0"/>
          <w:dstrike w:val="0"/>
          <w:vanish w:val="0"/>
          <w:color w:val="auto"/>
          <w:spacing w:val="0"/>
          <w:kern w:val="0"/>
          <w:position w:val="0"/>
          <w:szCs w:val="21"/>
          <w:vertAlign w:val="baseline"/>
          <w14:shadow w14:blurRad="0" w14:dist="0" w14:dir="0" w14:sx="0" w14:sy="0" w14:kx="0" w14:ky="0" w14:algn="none">
            <w14:srgbClr w14:val="000000"/>
          </w14:shadow>
        </w:rPr>
        <w:t xml:space="preserve">4.3 </w:t>
      </w:r>
      <w:r>
        <w:rPr>
          <w:rFonts w:hint="eastAsia" w:ascii="宋体" w:hAnsi="宋体" w:eastAsia="宋体" w:cs="宋体"/>
          <w:color w:val="auto"/>
          <w:highlight w:val="none"/>
        </w:rPr>
        <w:t>SPE系统供电要求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_Toc20093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3B2B503D">
      <w:pPr>
        <w:pStyle w:val="31"/>
        <w:tabs>
          <w:tab w:val="right" w:leader="dot" w:pos="9354"/>
          <w:tab w:val="clear" w:pos="9241"/>
        </w:tabs>
        <w:ind w:leftChars="100"/>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_Toc8449 </w:instrText>
      </w:r>
      <w:r>
        <w:rPr>
          <w:rFonts w:hint="eastAsia" w:ascii="宋体" w:hAnsi="宋体" w:eastAsia="宋体" w:cs="宋体"/>
          <w:color w:val="auto"/>
        </w:rPr>
        <w:fldChar w:fldCharType="separate"/>
      </w:r>
      <w:r>
        <w:rPr>
          <w:rFonts w:hint="eastAsia" w:ascii="宋体" w:hAnsi="宋体" w:eastAsia="宋体" w:cs="宋体"/>
          <w:bCs w:val="0"/>
          <w:i w:val="0"/>
          <w:iCs w:val="0"/>
          <w:caps w:val="0"/>
          <w:strike w:val="0"/>
          <w:dstrike w:val="0"/>
          <w:vanish w:val="0"/>
          <w:color w:val="auto"/>
          <w:spacing w:val="0"/>
          <w:kern w:val="0"/>
          <w:position w:val="0"/>
          <w:szCs w:val="21"/>
          <w:vertAlign w:val="baseline"/>
          <w14:shadow w14:blurRad="0" w14:dist="0" w14:dir="0" w14:sx="0" w14:sy="0" w14:kx="0" w14:ky="0" w14:algn="none">
            <w14:srgbClr w14:val="000000"/>
          </w14:shadow>
        </w:rPr>
        <w:t xml:space="preserve">4.4 </w:t>
      </w:r>
      <w:r>
        <w:rPr>
          <w:rFonts w:hint="eastAsia" w:ascii="宋体" w:hAnsi="宋体" w:eastAsia="宋体" w:cs="宋体"/>
          <w:color w:val="auto"/>
          <w:highlight w:val="none"/>
          <w:lang w:val="en-US" w:eastAsia="zh-CN"/>
        </w:rPr>
        <w:t>SPE网络应用场景</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_Toc8449 \h </w:instrText>
      </w:r>
      <w:r>
        <w:rPr>
          <w:rFonts w:hint="eastAsia" w:ascii="宋体" w:hAnsi="宋体" w:eastAsia="宋体" w:cs="宋体"/>
          <w:color w:val="auto"/>
        </w:rPr>
        <w:fldChar w:fldCharType="separate"/>
      </w:r>
      <w:r>
        <w:rPr>
          <w:rFonts w:hint="eastAsia" w:ascii="宋体" w:hAnsi="宋体" w:eastAsia="宋体" w:cs="宋体"/>
          <w:color w:val="auto"/>
        </w:rPr>
        <w:t>9</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4CCAAD41">
      <w:pPr>
        <w:pStyle w:val="22"/>
        <w:tabs>
          <w:tab w:val="right" w:leader="dot" w:pos="9354"/>
          <w:tab w:val="clear" w:pos="9241"/>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_Toc1517 </w:instrText>
      </w:r>
      <w:r>
        <w:rPr>
          <w:rFonts w:hint="eastAsia" w:ascii="宋体" w:hAnsi="宋体" w:eastAsia="宋体" w:cs="宋体"/>
          <w:color w:val="auto"/>
        </w:rPr>
        <w:fldChar w:fldCharType="separate"/>
      </w:r>
      <w:r>
        <w:rPr>
          <w:rFonts w:hint="eastAsia" w:ascii="宋体" w:hAnsi="宋体" w:eastAsia="宋体" w:cs="宋体"/>
          <w:i w:val="0"/>
          <w:color w:val="auto"/>
          <w:szCs w:val="21"/>
        </w:rPr>
        <w:t xml:space="preserve">5 </w:t>
      </w:r>
      <w:r>
        <w:rPr>
          <w:rFonts w:hint="eastAsia" w:ascii="宋体" w:hAnsi="宋体" w:eastAsia="宋体" w:cs="宋体"/>
          <w:color w:val="auto"/>
          <w:highlight w:val="none"/>
        </w:rPr>
        <w:t>线缆及器件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_Toc1517 \h </w:instrText>
      </w:r>
      <w:r>
        <w:rPr>
          <w:rFonts w:hint="eastAsia" w:ascii="宋体" w:hAnsi="宋体" w:eastAsia="宋体" w:cs="宋体"/>
          <w:color w:val="auto"/>
        </w:rPr>
        <w:fldChar w:fldCharType="separate"/>
      </w:r>
      <w:r>
        <w:rPr>
          <w:rFonts w:hint="eastAsia" w:ascii="宋体" w:hAnsi="宋体" w:eastAsia="宋体" w:cs="宋体"/>
          <w:color w:val="auto"/>
        </w:rPr>
        <w:t>9</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054FE6DB">
      <w:pPr>
        <w:pStyle w:val="31"/>
        <w:tabs>
          <w:tab w:val="right" w:leader="dot" w:pos="9354"/>
          <w:tab w:val="clear" w:pos="9241"/>
        </w:tabs>
        <w:ind w:leftChars="100"/>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_Toc11956 </w:instrText>
      </w:r>
      <w:r>
        <w:rPr>
          <w:rFonts w:hint="eastAsia" w:ascii="宋体" w:hAnsi="宋体" w:eastAsia="宋体" w:cs="宋体"/>
          <w:color w:val="auto"/>
        </w:rPr>
        <w:fldChar w:fldCharType="separate"/>
      </w:r>
      <w:r>
        <w:rPr>
          <w:rFonts w:hint="eastAsia" w:ascii="宋体" w:hAnsi="宋体" w:eastAsia="宋体" w:cs="宋体"/>
          <w:bCs w:val="0"/>
          <w:i w:val="0"/>
          <w:iCs w:val="0"/>
          <w:caps w:val="0"/>
          <w:strike w:val="0"/>
          <w:dstrike w:val="0"/>
          <w:vanish w:val="0"/>
          <w:color w:val="auto"/>
          <w:spacing w:val="0"/>
          <w:kern w:val="0"/>
          <w:position w:val="0"/>
          <w:szCs w:val="21"/>
          <w:vertAlign w:val="baseline"/>
          <w:lang w:val="en-US" w:eastAsia="zh-CN"/>
          <w14:shadow w14:blurRad="0" w14:dist="0" w14:dir="0" w14:sx="0" w14:sy="0" w14:kx="0" w14:ky="0" w14:algn="none">
            <w14:srgbClr w14:val="000000"/>
          </w14:shadow>
        </w:rPr>
        <w:t xml:space="preserve">5.1 </w:t>
      </w:r>
      <w:r>
        <w:rPr>
          <w:rFonts w:hint="eastAsia" w:ascii="宋体" w:hAnsi="宋体" w:eastAsia="宋体" w:cs="宋体"/>
          <w:color w:val="auto"/>
          <w:highlight w:val="none"/>
          <w:lang w:val="en-US" w:eastAsia="zh-CN"/>
        </w:rPr>
        <w:t>单线对对绞电缆要求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_Toc11956 \h </w:instrText>
      </w:r>
      <w:r>
        <w:rPr>
          <w:rFonts w:hint="eastAsia" w:ascii="宋体" w:hAnsi="宋体" w:eastAsia="宋体" w:cs="宋体"/>
          <w:color w:val="auto"/>
        </w:rPr>
        <w:fldChar w:fldCharType="separate"/>
      </w:r>
      <w:r>
        <w:rPr>
          <w:rFonts w:hint="eastAsia" w:ascii="宋体" w:hAnsi="宋体" w:eastAsia="宋体" w:cs="宋体"/>
          <w:color w:val="auto"/>
        </w:rPr>
        <w:t>9</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73C7DD19">
      <w:pPr>
        <w:pStyle w:val="31"/>
        <w:tabs>
          <w:tab w:val="right" w:leader="dot" w:pos="9354"/>
          <w:tab w:val="clear" w:pos="9241"/>
        </w:tabs>
        <w:ind w:leftChars="100"/>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_Toc9961 </w:instrText>
      </w:r>
      <w:r>
        <w:rPr>
          <w:rFonts w:hint="eastAsia" w:ascii="宋体" w:hAnsi="宋体" w:eastAsia="宋体" w:cs="宋体"/>
          <w:color w:val="auto"/>
        </w:rPr>
        <w:fldChar w:fldCharType="separate"/>
      </w:r>
      <w:r>
        <w:rPr>
          <w:rFonts w:hint="eastAsia" w:ascii="宋体" w:hAnsi="宋体" w:eastAsia="宋体" w:cs="宋体"/>
          <w:bCs w:val="0"/>
          <w:i w:val="0"/>
          <w:iCs w:val="0"/>
          <w:caps w:val="0"/>
          <w:strike w:val="0"/>
          <w:dstrike w:val="0"/>
          <w:vanish w:val="0"/>
          <w:color w:val="auto"/>
          <w:spacing w:val="0"/>
          <w:kern w:val="0"/>
          <w:position w:val="0"/>
          <w:szCs w:val="21"/>
          <w:vertAlign w:val="baseline"/>
          <w:lang w:val="en-US" w:eastAsia="zh-CN"/>
          <w14:shadow w14:blurRad="0" w14:dist="0" w14:dir="0" w14:sx="0" w14:sy="0" w14:kx="0" w14:ky="0" w14:algn="none">
            <w14:srgbClr w14:val="000000"/>
          </w14:shadow>
        </w:rPr>
        <w:t xml:space="preserve">5.2 </w:t>
      </w:r>
      <w:r>
        <w:rPr>
          <w:rFonts w:hint="eastAsia" w:ascii="宋体" w:hAnsi="宋体" w:eastAsia="宋体" w:cs="宋体"/>
          <w:color w:val="auto"/>
          <w:highlight w:val="none"/>
          <w:lang w:val="en-US" w:eastAsia="zh-CN"/>
        </w:rPr>
        <w:t>连接器件要求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_Toc9961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27E7CF4A">
      <w:pPr>
        <w:pStyle w:val="31"/>
        <w:tabs>
          <w:tab w:val="right" w:leader="dot" w:pos="9354"/>
          <w:tab w:val="clear" w:pos="9241"/>
        </w:tabs>
        <w:ind w:leftChars="100"/>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_Toc15130 </w:instrText>
      </w:r>
      <w:r>
        <w:rPr>
          <w:rFonts w:hint="eastAsia" w:ascii="宋体" w:hAnsi="宋体" w:eastAsia="宋体" w:cs="宋体"/>
          <w:color w:val="auto"/>
        </w:rPr>
        <w:fldChar w:fldCharType="separate"/>
      </w:r>
      <w:r>
        <w:rPr>
          <w:rFonts w:hint="eastAsia" w:ascii="宋体" w:hAnsi="宋体" w:eastAsia="宋体" w:cs="宋体"/>
          <w:bCs w:val="0"/>
          <w:i w:val="0"/>
          <w:iCs w:val="0"/>
          <w:caps w:val="0"/>
          <w:strike w:val="0"/>
          <w:dstrike w:val="0"/>
          <w:vanish w:val="0"/>
          <w:color w:val="auto"/>
          <w:spacing w:val="0"/>
          <w:kern w:val="0"/>
          <w:position w:val="0"/>
          <w:szCs w:val="21"/>
          <w:vertAlign w:val="baseline"/>
          <w:lang w:val="en-US" w:eastAsia="zh-CN"/>
          <w14:shadow w14:blurRad="0" w14:dist="0" w14:dir="0" w14:sx="0" w14:sy="0" w14:kx="0" w14:ky="0" w14:algn="none">
            <w14:srgbClr w14:val="000000"/>
          </w14:shadow>
        </w:rPr>
        <w:t xml:space="preserve">5.3 </w:t>
      </w:r>
      <w:r>
        <w:rPr>
          <w:rFonts w:hint="eastAsia" w:ascii="宋体" w:hAnsi="宋体" w:eastAsia="宋体" w:cs="宋体"/>
          <w:color w:val="auto"/>
          <w:highlight w:val="none"/>
          <w:lang w:val="en-US" w:eastAsia="zh-CN"/>
        </w:rPr>
        <w:t>SPE设备要求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_Toc15130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54C835A5">
      <w:pPr>
        <w:pStyle w:val="22"/>
        <w:tabs>
          <w:tab w:val="right" w:leader="dot" w:pos="9354"/>
          <w:tab w:val="clear" w:pos="9241"/>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_Toc19140 </w:instrText>
      </w:r>
      <w:r>
        <w:rPr>
          <w:rFonts w:hint="eastAsia" w:ascii="宋体" w:hAnsi="宋体" w:eastAsia="宋体" w:cs="宋体"/>
          <w:color w:val="auto"/>
        </w:rPr>
        <w:fldChar w:fldCharType="separate"/>
      </w:r>
      <w:r>
        <w:rPr>
          <w:rFonts w:hint="eastAsia" w:ascii="宋体" w:hAnsi="宋体" w:eastAsia="宋体" w:cs="宋体"/>
          <w:i w:val="0"/>
          <w:color w:val="auto"/>
          <w:szCs w:val="21"/>
        </w:rPr>
        <w:t xml:space="preserve">6 </w:t>
      </w:r>
      <w:r>
        <w:rPr>
          <w:rFonts w:hint="eastAsia" w:ascii="宋体" w:hAnsi="宋体" w:eastAsia="宋体" w:cs="宋体"/>
          <w:color w:val="auto"/>
          <w:highlight w:val="none"/>
          <w:lang w:val="en-US" w:eastAsia="zh-CN"/>
        </w:rPr>
        <w:t>性能指标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_Toc19140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27867ABC">
      <w:pPr>
        <w:pStyle w:val="22"/>
        <w:tabs>
          <w:tab w:val="right" w:leader="dot" w:pos="9354"/>
          <w:tab w:val="clear" w:pos="9241"/>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_Toc12031 </w:instrText>
      </w:r>
      <w:r>
        <w:rPr>
          <w:rFonts w:hint="eastAsia" w:ascii="宋体" w:hAnsi="宋体" w:eastAsia="宋体" w:cs="宋体"/>
          <w:color w:val="auto"/>
        </w:rPr>
        <w:fldChar w:fldCharType="separate"/>
      </w:r>
      <w:r>
        <w:rPr>
          <w:rFonts w:hint="eastAsia" w:ascii="宋体" w:hAnsi="宋体" w:eastAsia="宋体" w:cs="宋体"/>
          <w:i w:val="0"/>
          <w:color w:val="auto"/>
          <w:szCs w:val="21"/>
        </w:rPr>
        <w:t xml:space="preserve">7 </w:t>
      </w:r>
      <w:r>
        <w:rPr>
          <w:rFonts w:hint="eastAsia" w:ascii="宋体" w:hAnsi="宋体" w:eastAsia="宋体" w:cs="宋体"/>
          <w:color w:val="auto"/>
          <w:szCs w:val="24"/>
        </w:rPr>
        <w:t>电气防护与接地</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_Toc12031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76EC3331">
      <w:pPr>
        <w:pStyle w:val="22"/>
        <w:tabs>
          <w:tab w:val="right" w:leader="dot" w:pos="9354"/>
          <w:tab w:val="clear" w:pos="9241"/>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_Toc8407 </w:instrText>
      </w:r>
      <w:r>
        <w:rPr>
          <w:rFonts w:hint="eastAsia" w:ascii="宋体" w:hAnsi="宋体" w:eastAsia="宋体" w:cs="宋体"/>
          <w:color w:val="auto"/>
        </w:rPr>
        <w:fldChar w:fldCharType="separate"/>
      </w:r>
      <w:r>
        <w:rPr>
          <w:rFonts w:hint="eastAsia" w:ascii="宋体" w:hAnsi="宋体" w:eastAsia="宋体" w:cs="宋体"/>
          <w:i w:val="0"/>
          <w:color w:val="auto"/>
          <w:szCs w:val="21"/>
        </w:rPr>
        <w:t xml:space="preserve">8 </w:t>
      </w:r>
      <w:r>
        <w:rPr>
          <w:rFonts w:hint="eastAsia" w:ascii="宋体" w:hAnsi="宋体" w:eastAsia="宋体" w:cs="宋体"/>
          <w:color w:val="auto"/>
          <w:highlight w:val="none"/>
          <w:lang w:val="en-US" w:eastAsia="zh-CN"/>
        </w:rPr>
        <w:t>施工要求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_Toc8407 \h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447F6A0C">
      <w:pPr>
        <w:pStyle w:val="22"/>
        <w:tabs>
          <w:tab w:val="right" w:leader="dot" w:pos="9354"/>
          <w:tab w:val="clear" w:pos="9241"/>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_Toc10025 </w:instrText>
      </w:r>
      <w:r>
        <w:rPr>
          <w:rFonts w:hint="eastAsia" w:ascii="宋体" w:hAnsi="宋体" w:eastAsia="宋体" w:cs="宋体"/>
          <w:color w:val="auto"/>
        </w:rPr>
        <w:fldChar w:fldCharType="separate"/>
      </w:r>
      <w:r>
        <w:rPr>
          <w:rFonts w:hint="eastAsia" w:ascii="宋体" w:hAnsi="宋体" w:eastAsia="宋体" w:cs="宋体"/>
          <w:i w:val="0"/>
          <w:color w:val="auto"/>
          <w:szCs w:val="21"/>
        </w:rPr>
        <w:t xml:space="preserve">9 </w:t>
      </w:r>
      <w:r>
        <w:rPr>
          <w:rFonts w:hint="eastAsia" w:ascii="宋体" w:hAnsi="宋体" w:eastAsia="宋体" w:cs="宋体"/>
          <w:color w:val="auto"/>
          <w:highlight w:val="none"/>
        </w:rPr>
        <w:t>系统</w:t>
      </w:r>
      <w:r>
        <w:rPr>
          <w:rFonts w:hint="eastAsia" w:ascii="宋体" w:hAnsi="宋体" w:eastAsia="宋体" w:cs="宋体"/>
          <w:color w:val="auto"/>
          <w:highlight w:val="none"/>
          <w:lang w:val="en-US" w:eastAsia="zh-CN"/>
        </w:rPr>
        <w:t>测试及验收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_Toc10025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1415BBEE">
      <w:pPr>
        <w:pStyle w:val="31"/>
        <w:tabs>
          <w:tab w:val="right" w:leader="dot" w:pos="9354"/>
          <w:tab w:val="clear" w:pos="9241"/>
        </w:tabs>
        <w:ind w:leftChars="100"/>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_Toc6737 </w:instrText>
      </w:r>
      <w:r>
        <w:rPr>
          <w:rFonts w:hint="eastAsia" w:ascii="宋体" w:hAnsi="宋体" w:eastAsia="宋体" w:cs="宋体"/>
          <w:color w:val="auto"/>
        </w:rPr>
        <w:fldChar w:fldCharType="separate"/>
      </w:r>
      <w:r>
        <w:rPr>
          <w:rFonts w:hint="eastAsia" w:ascii="宋体" w:hAnsi="宋体" w:eastAsia="宋体" w:cs="宋体"/>
          <w:bCs w:val="0"/>
          <w:i w:val="0"/>
          <w:iCs w:val="0"/>
          <w:caps w:val="0"/>
          <w:strike w:val="0"/>
          <w:dstrike w:val="0"/>
          <w:vanish w:val="0"/>
          <w:color w:val="auto"/>
          <w:spacing w:val="0"/>
          <w:kern w:val="0"/>
          <w:position w:val="0"/>
          <w:szCs w:val="21"/>
          <w:vertAlign w:val="baseline"/>
          <w14:shadow w14:blurRad="0" w14:dist="0" w14:dir="0" w14:sx="0" w14:sy="0" w14:kx="0" w14:ky="0" w14:algn="none">
            <w14:srgbClr w14:val="000000"/>
          </w14:shadow>
        </w:rPr>
        <w:t xml:space="preserve">9.1 </w:t>
      </w:r>
      <w:r>
        <w:rPr>
          <w:rFonts w:hint="eastAsia" w:ascii="宋体" w:hAnsi="宋体" w:eastAsia="宋体" w:cs="宋体"/>
          <w:color w:val="auto"/>
          <w:highlight w:val="none"/>
          <w:lang w:val="en-US" w:eastAsia="zh-CN"/>
        </w:rPr>
        <w:t>系统测试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_Toc6737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5E4533DA">
      <w:pPr>
        <w:pStyle w:val="31"/>
        <w:tabs>
          <w:tab w:val="right" w:leader="dot" w:pos="9354"/>
          <w:tab w:val="clear" w:pos="9241"/>
        </w:tabs>
        <w:ind w:leftChars="100"/>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_Toc8554 </w:instrText>
      </w:r>
      <w:r>
        <w:rPr>
          <w:rFonts w:hint="eastAsia" w:ascii="宋体" w:hAnsi="宋体" w:eastAsia="宋体" w:cs="宋体"/>
          <w:color w:val="auto"/>
        </w:rPr>
        <w:fldChar w:fldCharType="separate"/>
      </w:r>
      <w:r>
        <w:rPr>
          <w:rFonts w:hint="eastAsia" w:ascii="宋体" w:hAnsi="宋体" w:eastAsia="宋体" w:cs="宋体"/>
          <w:bCs w:val="0"/>
          <w:i w:val="0"/>
          <w:iCs w:val="0"/>
          <w:caps w:val="0"/>
          <w:strike w:val="0"/>
          <w:dstrike w:val="0"/>
          <w:vanish w:val="0"/>
          <w:color w:val="auto"/>
          <w:spacing w:val="0"/>
          <w:kern w:val="0"/>
          <w:position w:val="0"/>
          <w:szCs w:val="21"/>
          <w:vertAlign w:val="baseline"/>
          <w:lang w:val="en-US" w:eastAsia="zh-CN"/>
          <w14:shadow w14:blurRad="0" w14:dist="0" w14:dir="0" w14:sx="0" w14:sy="0" w14:kx="0" w14:ky="0" w14:algn="none">
            <w14:srgbClr w14:val="000000"/>
          </w14:shadow>
        </w:rPr>
        <w:t xml:space="preserve">9.2 </w:t>
      </w:r>
      <w:r>
        <w:rPr>
          <w:rFonts w:hint="eastAsia" w:ascii="宋体" w:hAnsi="宋体" w:eastAsia="宋体" w:cs="宋体"/>
          <w:color w:val="auto"/>
          <w:highlight w:val="none"/>
          <w:lang w:val="en-US" w:eastAsia="zh-CN"/>
        </w:rPr>
        <w:t>验收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_Toc8554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54787523">
      <w:pPr>
        <w:pStyle w:val="22"/>
        <w:tabs>
          <w:tab w:val="right" w:leader="dot" w:pos="9354"/>
          <w:tab w:val="clear" w:pos="9241"/>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_Toc20897 </w:instrText>
      </w:r>
      <w:r>
        <w:rPr>
          <w:rFonts w:hint="eastAsia" w:ascii="宋体" w:hAnsi="宋体" w:eastAsia="宋体" w:cs="宋体"/>
          <w:color w:val="auto"/>
        </w:rPr>
        <w:fldChar w:fldCharType="separate"/>
      </w:r>
      <w:r>
        <w:rPr>
          <w:rFonts w:hint="eastAsia" w:ascii="宋体" w:hAnsi="宋体" w:eastAsia="宋体" w:cs="宋体"/>
          <w:i w:val="0"/>
          <w:color w:val="auto"/>
          <w:szCs w:val="21"/>
        </w:rPr>
        <w:t xml:space="preserve">10 </w:t>
      </w:r>
      <w:r>
        <w:rPr>
          <w:rFonts w:hint="eastAsia" w:ascii="宋体" w:hAnsi="宋体" w:eastAsia="宋体" w:cs="宋体"/>
          <w:color w:val="auto"/>
          <w:lang w:val="en-US" w:eastAsia="zh-CN"/>
        </w:rPr>
        <w:t>运维要求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_Toc20897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23FFB5D5">
      <w:pPr>
        <w:pStyle w:val="22"/>
        <w:tabs>
          <w:tab w:val="right" w:leader="dot" w:pos="9354"/>
          <w:tab w:val="clear" w:pos="9241"/>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_Toc31468 </w:instrText>
      </w:r>
      <w:r>
        <w:rPr>
          <w:rFonts w:hint="eastAsia" w:ascii="宋体" w:hAnsi="宋体" w:eastAsia="宋体" w:cs="宋体"/>
          <w:color w:val="auto"/>
        </w:rPr>
        <w:fldChar w:fldCharType="separate"/>
      </w:r>
      <w:r>
        <w:rPr>
          <w:rFonts w:hint="eastAsia" w:ascii="宋体" w:hAnsi="宋体" w:eastAsia="宋体" w:cs="宋体"/>
          <w:i w:val="0"/>
          <w:color w:val="auto"/>
          <w:spacing w:val="0"/>
          <w:w w:val="100"/>
        </w:rPr>
        <w:t>附　录　A （规范性）单对以太网系统信道要求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_Toc31468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4E84FAFB">
      <w:pPr>
        <w:pStyle w:val="22"/>
        <w:tabs>
          <w:tab w:val="right" w:leader="dot" w:pos="9354"/>
          <w:tab w:val="clear" w:pos="9241"/>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_Toc18275 </w:instrText>
      </w:r>
      <w:r>
        <w:rPr>
          <w:rFonts w:hint="eastAsia" w:ascii="宋体" w:hAnsi="宋体" w:eastAsia="宋体" w:cs="宋体"/>
          <w:color w:val="auto"/>
        </w:rPr>
        <w:fldChar w:fldCharType="separate"/>
      </w:r>
      <w:r>
        <w:rPr>
          <w:rFonts w:hint="eastAsia" w:ascii="宋体" w:hAnsi="宋体" w:eastAsia="宋体" w:cs="宋体"/>
          <w:i w:val="0"/>
          <w:color w:val="auto"/>
          <w:spacing w:val="0"/>
          <w:w w:val="100"/>
          <w:lang w:val="en-US" w:eastAsia="zh-CN"/>
        </w:rPr>
        <w:t>附　录　B （资料性）PoDL系统典型供电流程</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_Toc18275 \h </w:instrText>
      </w:r>
      <w:r>
        <w:rPr>
          <w:rFonts w:hint="eastAsia" w:ascii="宋体" w:hAnsi="宋体" w:eastAsia="宋体" w:cs="宋体"/>
          <w:color w:val="auto"/>
        </w:rPr>
        <w:fldChar w:fldCharType="separate"/>
      </w:r>
      <w:r>
        <w:rPr>
          <w:rFonts w:hint="eastAsia" w:ascii="宋体" w:hAnsi="宋体" w:eastAsia="宋体" w:cs="宋体"/>
          <w:color w:val="auto"/>
        </w:rPr>
        <w:t>36</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738C2685">
      <w:pPr>
        <w:pStyle w:val="22"/>
        <w:tabs>
          <w:tab w:val="right" w:leader="dot" w:pos="9354"/>
          <w:tab w:val="clear" w:pos="9241"/>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_Toc23711 </w:instrText>
      </w:r>
      <w:r>
        <w:rPr>
          <w:rFonts w:hint="eastAsia" w:ascii="宋体" w:hAnsi="宋体" w:eastAsia="宋体" w:cs="宋体"/>
          <w:color w:val="auto"/>
        </w:rPr>
        <w:fldChar w:fldCharType="separate"/>
      </w:r>
      <w:r>
        <w:rPr>
          <w:rFonts w:hint="eastAsia" w:ascii="宋体" w:hAnsi="宋体" w:eastAsia="宋体" w:cs="宋体"/>
          <w:color w:val="auto"/>
          <w:spacing w:val="0"/>
          <w:kern w:val="2"/>
          <w:szCs w:val="21"/>
        </w:rPr>
        <w:t>条文说明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_Toc23711 \h </w:instrText>
      </w:r>
      <w:r>
        <w:rPr>
          <w:rFonts w:hint="eastAsia" w:ascii="宋体" w:hAnsi="宋体" w:eastAsia="宋体" w:cs="宋体"/>
          <w:color w:val="auto"/>
        </w:rPr>
        <w:fldChar w:fldCharType="separate"/>
      </w:r>
      <w:r>
        <w:rPr>
          <w:rFonts w:hint="eastAsia" w:ascii="宋体" w:hAnsi="宋体" w:eastAsia="宋体" w:cs="宋体"/>
          <w:color w:val="auto"/>
        </w:rPr>
        <w:t>38</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7CF7B0A5">
      <w:pPr>
        <w:rPr>
          <w:color w:val="auto"/>
        </w:rPr>
      </w:pPr>
      <w:r>
        <w:rPr>
          <w:rFonts w:hint="eastAsia" w:ascii="宋体" w:hAnsi="宋体" w:eastAsia="宋体" w:cs="宋体"/>
          <w:color w:val="auto"/>
        </w:rPr>
        <w:fldChar w:fldCharType="end"/>
      </w:r>
    </w:p>
    <w:p w14:paraId="45501733">
      <w:pPr>
        <w:pStyle w:val="125"/>
        <w:rPr>
          <w:color w:val="auto"/>
          <w:highlight w:val="none"/>
        </w:rPr>
      </w:pPr>
      <w:bookmarkStart w:id="0" w:name="_Toc2161"/>
      <w:bookmarkStart w:id="1" w:name="_Toc25331"/>
      <w:bookmarkStart w:id="2" w:name="_Toc24360"/>
      <w:bookmarkStart w:id="3" w:name="_Toc27534"/>
      <w:bookmarkStart w:id="4" w:name="_Toc31393"/>
      <w:bookmarkStart w:id="5" w:name="_Toc12150"/>
      <w:r>
        <w:rPr>
          <w:rFonts w:hint="eastAsia"/>
          <w:color w:val="auto"/>
          <w:highlight w:val="none"/>
        </w:rPr>
        <w:t>前</w:t>
      </w:r>
      <w:bookmarkStart w:id="6" w:name="BKQY"/>
      <w:r>
        <w:rPr>
          <w:rFonts w:hint="eastAsia" w:ascii="MS Mincho" w:hAnsi="MS Mincho" w:eastAsia="MS Mincho" w:cs="MS Mincho"/>
          <w:color w:val="auto"/>
          <w:highlight w:val="none"/>
        </w:rPr>
        <w:t>  </w:t>
      </w:r>
      <w:r>
        <w:rPr>
          <w:rFonts w:hint="eastAsia"/>
          <w:color w:val="auto"/>
          <w:highlight w:val="none"/>
        </w:rPr>
        <w:t>言</w:t>
      </w:r>
      <w:bookmarkEnd w:id="0"/>
      <w:bookmarkEnd w:id="1"/>
      <w:bookmarkEnd w:id="2"/>
      <w:bookmarkEnd w:id="3"/>
      <w:bookmarkEnd w:id="4"/>
      <w:bookmarkEnd w:id="5"/>
      <w:bookmarkEnd w:id="6"/>
    </w:p>
    <w:p w14:paraId="62DADED9">
      <w:pPr>
        <w:pStyle w:val="26"/>
        <w:rPr>
          <w:rFonts w:cs="宋体"/>
          <w:color w:val="auto"/>
          <w:highlight w:val="none"/>
        </w:rPr>
      </w:pPr>
      <w:r>
        <w:rPr>
          <w:rFonts w:hint="eastAsia" w:cs="宋体"/>
          <w:color w:val="auto"/>
          <w:highlight w:val="none"/>
        </w:rPr>
        <w:t>本文件</w:t>
      </w:r>
      <w:r>
        <w:rPr>
          <w:rFonts w:hint="eastAsia" w:ascii="宋体" w:hAnsi="宋体" w:cs="宋体"/>
          <w:color w:val="auto"/>
          <w:highlight w:val="none"/>
        </w:rPr>
        <w:t>按照</w:t>
      </w:r>
      <w:r>
        <w:rPr>
          <w:rFonts w:hint="eastAsia" w:ascii="宋体" w:hAnsi="宋体" w:eastAsia="宋体" w:cs="宋体"/>
          <w:color w:val="auto"/>
          <w:highlight w:val="none"/>
          <w:lang w:val="en-US" w:eastAsia="zh-CN"/>
        </w:rPr>
        <w:t> </w:t>
      </w:r>
      <w:r>
        <w:rPr>
          <w:rFonts w:hint="eastAsia" w:ascii="宋体" w:hAnsi="宋体" w:cs="宋体"/>
          <w:color w:val="auto"/>
          <w:highlight w:val="none"/>
        </w:rPr>
        <w:t>GB/T 1.1—2020《标准化工作导则  第1部分：标准化文件的结构和起草规则》的规定</w:t>
      </w:r>
      <w:r>
        <w:rPr>
          <w:rFonts w:hint="eastAsia" w:cs="宋体"/>
          <w:color w:val="auto"/>
          <w:highlight w:val="none"/>
        </w:rPr>
        <w:t>起草。</w:t>
      </w:r>
    </w:p>
    <w:p w14:paraId="1B0C4113">
      <w:pPr>
        <w:pStyle w:val="26"/>
        <w:rPr>
          <w:rFonts w:cs="宋体"/>
          <w:color w:val="auto"/>
          <w:highlight w:val="none"/>
        </w:rPr>
      </w:pPr>
      <w:r>
        <w:rPr>
          <w:rFonts w:hint="eastAsia" w:cs="宋体"/>
          <w:color w:val="auto"/>
          <w:highlight w:val="none"/>
        </w:rPr>
        <w:t>请注意本文件的某些内容可能涉及专利。本文件的发布机构不承担识别这些专利的责任。</w:t>
      </w:r>
    </w:p>
    <w:p w14:paraId="746DA9CA">
      <w:pPr>
        <w:pStyle w:val="26"/>
        <w:rPr>
          <w:rFonts w:cs="宋体"/>
          <w:color w:val="auto"/>
          <w:highlight w:val="none"/>
        </w:rPr>
      </w:pPr>
      <w:r>
        <w:rPr>
          <w:rFonts w:hint="eastAsia" w:cs="宋体"/>
          <w:color w:val="auto"/>
          <w:highlight w:val="none"/>
        </w:rPr>
        <w:t>本文件由中国电子节能技术协会</w:t>
      </w:r>
      <w:r>
        <w:rPr>
          <w:rFonts w:hint="eastAsia" w:cs="宋体"/>
          <w:color w:val="auto"/>
          <w:highlight w:val="none"/>
          <w:lang w:val="en-US" w:eastAsia="zh-CN"/>
        </w:rPr>
        <w:t>数据中心节能技术分会</w:t>
      </w:r>
      <w:r>
        <w:rPr>
          <w:rFonts w:hint="eastAsia" w:cs="宋体"/>
          <w:color w:val="auto"/>
          <w:highlight w:val="none"/>
        </w:rPr>
        <w:t>提出。</w:t>
      </w:r>
    </w:p>
    <w:p w14:paraId="19C8979C">
      <w:pPr>
        <w:pStyle w:val="26"/>
        <w:rPr>
          <w:rFonts w:hint="eastAsia" w:cs="宋体"/>
          <w:color w:val="auto"/>
          <w:highlight w:val="none"/>
        </w:rPr>
      </w:pPr>
      <w:r>
        <w:rPr>
          <w:rFonts w:hint="eastAsia" w:cs="宋体"/>
          <w:color w:val="auto"/>
          <w:highlight w:val="none"/>
        </w:rPr>
        <w:t>本文件由中国电子节能技术协会归口。</w:t>
      </w:r>
    </w:p>
    <w:p w14:paraId="38731574">
      <w:pPr>
        <w:pStyle w:val="26"/>
        <w:rPr>
          <w:rFonts w:hint="eastAsia" w:ascii="Times New Roman"/>
          <w:color w:val="auto"/>
          <w:highlight w:val="none"/>
          <w:lang w:eastAsia="zh-CN"/>
        </w:rPr>
      </w:pPr>
      <w:r>
        <w:rPr>
          <w:rFonts w:hint="eastAsia" w:cs="宋体"/>
          <w:color w:val="auto"/>
          <w:highlight w:val="none"/>
        </w:rPr>
        <w:t>本文件起草单位</w:t>
      </w:r>
      <w:r>
        <w:rPr>
          <w:rFonts w:ascii="Times New Roman"/>
          <w:color w:val="auto"/>
          <w:highlight w:val="none"/>
        </w:rPr>
        <w:t>：</w:t>
      </w:r>
      <w:r>
        <w:rPr>
          <w:rFonts w:hint="eastAsia" w:ascii="Times New Roman"/>
          <w:color w:val="auto"/>
          <w:highlight w:val="none"/>
        </w:rPr>
        <w:t>中国移动通信集团设计院有限公司、中国电子节能技术协会</w:t>
      </w:r>
      <w:r>
        <w:rPr>
          <w:rFonts w:hint="eastAsia" w:ascii="Times New Roman"/>
          <w:color w:val="auto"/>
          <w:highlight w:val="none"/>
          <w:lang w:val="en-US" w:eastAsia="zh-CN"/>
        </w:rPr>
        <w:t>数据中心节能技术分</w:t>
      </w:r>
      <w:r>
        <w:rPr>
          <w:rFonts w:hint="eastAsia" w:ascii="Times New Roman"/>
          <w:color w:val="auto"/>
          <w:highlight w:val="none"/>
        </w:rPr>
        <w:t>会</w:t>
      </w:r>
      <w:r>
        <w:rPr>
          <w:rFonts w:hint="eastAsia" w:ascii="Times New Roman"/>
          <w:color w:val="auto"/>
          <w:highlight w:val="none"/>
          <w:lang w:eastAsia="zh-CN"/>
        </w:rPr>
        <w:t>……</w:t>
      </w:r>
    </w:p>
    <w:p w14:paraId="74A7F062">
      <w:pPr>
        <w:pStyle w:val="26"/>
        <w:rPr>
          <w:rFonts w:ascii="Times New Roman"/>
          <w:color w:val="auto"/>
          <w:highlight w:val="none"/>
        </w:rPr>
      </w:pPr>
      <w:r>
        <w:rPr>
          <w:rFonts w:ascii="Times New Roman"/>
          <w:color w:val="auto"/>
          <w:highlight w:val="none"/>
        </w:rPr>
        <w:t>本文件主要起草人：</w:t>
      </w:r>
    </w:p>
    <w:p w14:paraId="767D9593">
      <w:pPr>
        <w:pStyle w:val="26"/>
        <w:rPr>
          <w:rFonts w:ascii="Times New Roman"/>
          <w:color w:val="auto"/>
          <w:highlight w:val="none"/>
        </w:rPr>
      </w:pPr>
    </w:p>
    <w:p w14:paraId="35DE381B">
      <w:pPr>
        <w:pStyle w:val="98"/>
        <w:rPr>
          <w:rFonts w:hint="eastAsia" w:eastAsia="黑体"/>
          <w:color w:val="auto"/>
          <w:highlight w:val="none"/>
          <w:lang w:eastAsia="zh-CN"/>
        </w:rPr>
      </w:pPr>
      <w:bookmarkStart w:id="7" w:name="_Toc7251"/>
      <w:bookmarkStart w:id="8" w:name="_Toc5321"/>
      <w:r>
        <w:rPr>
          <w:rFonts w:hint="eastAsia"/>
          <w:color w:val="auto"/>
          <w:highlight w:val="none"/>
          <w:lang w:eastAsia="zh-CN"/>
        </w:rPr>
        <w:t>单对以太网系统工程技术</w:t>
      </w:r>
      <w:bookmarkEnd w:id="7"/>
      <w:bookmarkEnd w:id="8"/>
      <w:r>
        <w:rPr>
          <w:rFonts w:hint="eastAsia"/>
          <w:color w:val="auto"/>
          <w:highlight w:val="none"/>
          <w:lang w:val="en-US" w:eastAsia="zh-CN"/>
        </w:rPr>
        <w:t>标准</w:t>
      </w:r>
      <w:bookmarkStart w:id="417" w:name="_GoBack"/>
      <w:bookmarkEnd w:id="417"/>
    </w:p>
    <w:p w14:paraId="7421D46B">
      <w:pPr>
        <w:pStyle w:val="91"/>
        <w:outlineLvl w:val="0"/>
        <w:rPr>
          <w:color w:val="auto"/>
          <w:highlight w:val="none"/>
        </w:rPr>
      </w:pPr>
      <w:bookmarkStart w:id="9" w:name="_Toc25380"/>
      <w:bookmarkStart w:id="10" w:name="_Toc9356"/>
      <w:bookmarkStart w:id="11" w:name="_Toc16707"/>
      <w:bookmarkStart w:id="12" w:name="_Toc11628"/>
      <w:bookmarkStart w:id="13" w:name="_Toc19151"/>
      <w:bookmarkStart w:id="14" w:name="_Toc536177898"/>
      <w:bookmarkStart w:id="15" w:name="_Toc31104"/>
      <w:bookmarkStart w:id="16" w:name="_Toc1649375"/>
      <w:bookmarkStart w:id="17" w:name="_Toc28873"/>
      <w:bookmarkStart w:id="18" w:name="_Toc17680"/>
      <w:bookmarkStart w:id="19" w:name="_Toc3651"/>
      <w:bookmarkStart w:id="20" w:name="_Toc536184685"/>
      <w:bookmarkStart w:id="21" w:name="_Toc1653797"/>
      <w:bookmarkStart w:id="22" w:name="_Toc536091674"/>
      <w:bookmarkStart w:id="23" w:name="_Toc12773"/>
      <w:bookmarkStart w:id="24" w:name="_Toc14186"/>
      <w:bookmarkStart w:id="25" w:name="_Toc4162281"/>
      <w:bookmarkStart w:id="26" w:name="_Toc535919373"/>
      <w:bookmarkStart w:id="27" w:name="_Toc5188"/>
      <w:bookmarkStart w:id="28" w:name="_Toc32285"/>
      <w:bookmarkStart w:id="29" w:name="_Toc7922"/>
      <w:bookmarkStart w:id="30" w:name="_Toc535411697"/>
      <w:bookmarkStart w:id="31" w:name="_Toc29471"/>
      <w:bookmarkStart w:id="32" w:name="_Toc4236"/>
      <w:bookmarkStart w:id="33" w:name="_Toc22601"/>
      <w:bookmarkStart w:id="34" w:name="_Toc23509526"/>
      <w:bookmarkStart w:id="35" w:name="_Toc26860"/>
      <w:r>
        <w:rPr>
          <w:rFonts w:hint="eastAsia"/>
          <w:color w:val="auto"/>
          <w:highlight w:val="none"/>
        </w:rPr>
        <w:t>范围</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450D85BF">
      <w:pPr>
        <w:pStyle w:val="26"/>
        <w:rPr>
          <w:color w:val="auto"/>
          <w:highlight w:val="none"/>
        </w:rPr>
      </w:pPr>
      <w:r>
        <w:rPr>
          <w:rFonts w:hint="eastAsia"/>
          <w:color w:val="auto"/>
          <w:highlight w:val="none"/>
        </w:rPr>
        <w:t>本</w:t>
      </w:r>
      <w:r>
        <w:rPr>
          <w:rFonts w:hint="eastAsia" w:cs="宋体"/>
          <w:color w:val="auto"/>
          <w:highlight w:val="none"/>
        </w:rPr>
        <w:t>文件</w:t>
      </w:r>
      <w:r>
        <w:rPr>
          <w:rFonts w:hint="eastAsia"/>
          <w:color w:val="auto"/>
          <w:highlight w:val="none"/>
        </w:rPr>
        <w:t>规定了</w:t>
      </w:r>
      <w:r>
        <w:rPr>
          <w:rFonts w:hint="eastAsia"/>
          <w:color w:val="auto"/>
          <w:highlight w:val="none"/>
          <w:lang w:val="en-US" w:eastAsia="zh-CN"/>
        </w:rPr>
        <w:t>单对以太网系统工程的设计、线缆及器件、性能指标、电气防护与接地、施工、系统测试与验收、运维</w:t>
      </w:r>
      <w:r>
        <w:rPr>
          <w:rFonts w:hint="eastAsia"/>
          <w:color w:val="auto"/>
          <w:highlight w:val="none"/>
        </w:rPr>
        <w:t>的</w:t>
      </w:r>
      <w:r>
        <w:rPr>
          <w:rFonts w:hint="eastAsia"/>
          <w:color w:val="auto"/>
          <w:highlight w:val="none"/>
          <w:lang w:val="en-US" w:eastAsia="zh-CN"/>
        </w:rPr>
        <w:t>技术要求</w:t>
      </w:r>
      <w:r>
        <w:rPr>
          <w:rFonts w:hint="eastAsia"/>
          <w:color w:val="auto"/>
          <w:highlight w:val="none"/>
        </w:rPr>
        <w:t>。</w:t>
      </w:r>
    </w:p>
    <w:p w14:paraId="27E86498">
      <w:pPr>
        <w:pStyle w:val="26"/>
        <w:rPr>
          <w:rFonts w:hint="eastAsia"/>
          <w:color w:val="auto"/>
          <w:highlight w:val="none"/>
        </w:rPr>
      </w:pPr>
      <w:r>
        <w:rPr>
          <w:rFonts w:hint="eastAsia"/>
          <w:color w:val="auto"/>
          <w:highlight w:val="none"/>
        </w:rPr>
        <w:t>本</w:t>
      </w:r>
      <w:r>
        <w:rPr>
          <w:rFonts w:hint="eastAsia" w:cs="宋体"/>
          <w:color w:val="auto"/>
          <w:highlight w:val="none"/>
        </w:rPr>
        <w:t>文件</w:t>
      </w:r>
      <w:r>
        <w:rPr>
          <w:rFonts w:hint="eastAsia"/>
          <w:color w:val="auto"/>
          <w:highlight w:val="none"/>
        </w:rPr>
        <w:t>适用于新建、改建和扩建的单对以太网</w:t>
      </w:r>
      <w:r>
        <w:rPr>
          <w:rFonts w:hint="eastAsia"/>
          <w:color w:val="auto"/>
          <w:highlight w:val="none"/>
          <w:lang w:val="en-US" w:eastAsia="zh-CN"/>
        </w:rPr>
        <w:t>系统</w:t>
      </w:r>
      <w:r>
        <w:rPr>
          <w:rFonts w:hint="eastAsia"/>
          <w:color w:val="auto"/>
          <w:highlight w:val="none"/>
        </w:rPr>
        <w:t>工程设计、施工、验收及运维。</w:t>
      </w:r>
    </w:p>
    <w:p w14:paraId="60E615AB">
      <w:pPr>
        <w:pStyle w:val="91"/>
        <w:outlineLvl w:val="0"/>
        <w:rPr>
          <w:color w:val="auto"/>
          <w:highlight w:val="none"/>
        </w:rPr>
      </w:pPr>
      <w:bookmarkStart w:id="36" w:name="_Toc31700"/>
      <w:bookmarkStart w:id="37" w:name="_Toc31588"/>
      <w:bookmarkStart w:id="38" w:name="_Toc23876"/>
      <w:bookmarkStart w:id="39" w:name="_Toc18402"/>
      <w:bookmarkStart w:id="40" w:name="_Toc6364"/>
      <w:bookmarkStart w:id="41" w:name="_Toc1653798"/>
      <w:bookmarkStart w:id="42" w:name="_Toc536177899"/>
      <w:bookmarkStart w:id="43" w:name="_Toc2077"/>
      <w:bookmarkStart w:id="44" w:name="_Toc23463"/>
      <w:bookmarkStart w:id="45" w:name="_Toc536091675"/>
      <w:bookmarkStart w:id="46" w:name="_Toc31650"/>
      <w:bookmarkStart w:id="47" w:name="_Toc21410"/>
      <w:bookmarkStart w:id="48" w:name="_Toc535919374"/>
      <w:bookmarkStart w:id="49" w:name="_Toc3167"/>
      <w:bookmarkStart w:id="50" w:name="_Toc23509527"/>
      <w:bookmarkStart w:id="51" w:name="_Toc23475"/>
      <w:bookmarkStart w:id="52" w:name="_Toc536184686"/>
      <w:bookmarkStart w:id="53" w:name="_Toc535411698"/>
      <w:bookmarkStart w:id="54" w:name="_Toc2230"/>
      <w:bookmarkStart w:id="55" w:name="_Toc4162282"/>
      <w:bookmarkStart w:id="56" w:name="_Toc3364"/>
      <w:bookmarkStart w:id="57" w:name="_Toc1649376"/>
      <w:bookmarkStart w:id="58" w:name="_Toc18722"/>
      <w:bookmarkStart w:id="59" w:name="_Toc25509"/>
      <w:bookmarkStart w:id="60" w:name="_Toc16869"/>
      <w:bookmarkStart w:id="61" w:name="_Toc21530"/>
      <w:bookmarkStart w:id="62" w:name="_Toc8511"/>
      <w:r>
        <w:rPr>
          <w:rFonts w:hint="eastAsia"/>
          <w:color w:val="auto"/>
          <w:highlight w:val="none"/>
        </w:rPr>
        <w:t>规范性引用文件</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11C6C84B">
      <w:pPr>
        <w:pStyle w:val="26"/>
        <w:rPr>
          <w:rFonts w:hint="eastAsia"/>
          <w:color w:val="auto"/>
          <w:highlight w:val="none"/>
        </w:rPr>
      </w:pPr>
      <w:r>
        <w:rPr>
          <w:rFonts w:hint="eastAsia"/>
          <w:color w:val="auto"/>
          <w:highlight w:val="none"/>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2A7F7E46">
      <w:pPr>
        <w:pStyle w:val="26"/>
        <w:rPr>
          <w:rFonts w:hint="eastAsia"/>
          <w:color w:val="auto"/>
          <w:highlight w:val="none"/>
        </w:rPr>
      </w:pPr>
      <w:r>
        <w:rPr>
          <w:rFonts w:hint="eastAsia"/>
          <w:color w:val="auto"/>
          <w:highlight w:val="none"/>
        </w:rPr>
        <w:t>GB/T 18233.1</w:t>
      </w:r>
      <w:r>
        <w:rPr>
          <w:rFonts w:hint="eastAsia"/>
          <w:color w:val="auto"/>
          <w:highlight w:val="none"/>
          <w:lang w:val="en-US" w:eastAsia="zh-CN"/>
        </w:rPr>
        <w:t xml:space="preserve">  </w:t>
      </w:r>
      <w:r>
        <w:rPr>
          <w:rFonts w:hint="eastAsia"/>
          <w:color w:val="auto"/>
          <w:highlight w:val="none"/>
        </w:rPr>
        <w:t>信息技术用户建筑群通用布缆 第1部分：通用要求</w:t>
      </w:r>
    </w:p>
    <w:p w14:paraId="44ACE1DA">
      <w:pPr>
        <w:pStyle w:val="26"/>
        <w:rPr>
          <w:rFonts w:hint="eastAsia"/>
          <w:color w:val="auto"/>
          <w:highlight w:val="none"/>
        </w:rPr>
      </w:pPr>
      <w:r>
        <w:rPr>
          <w:rFonts w:hint="eastAsia"/>
          <w:color w:val="auto"/>
          <w:highlight w:val="none"/>
        </w:rPr>
        <w:t>GB</w:t>
      </w:r>
      <w:r>
        <w:rPr>
          <w:rFonts w:hint="eastAsia"/>
          <w:color w:val="auto"/>
          <w:highlight w:val="none"/>
          <w:lang w:val="en-US" w:eastAsia="zh-CN"/>
        </w:rPr>
        <w:t xml:space="preserve"> </w:t>
      </w:r>
      <w:r>
        <w:rPr>
          <w:rFonts w:hint="eastAsia"/>
          <w:color w:val="auto"/>
          <w:highlight w:val="none"/>
        </w:rPr>
        <w:t>50311</w:t>
      </w:r>
      <w:r>
        <w:rPr>
          <w:rFonts w:hint="eastAsia"/>
          <w:color w:val="auto"/>
          <w:highlight w:val="none"/>
          <w:lang w:val="en-US" w:eastAsia="zh-CN"/>
        </w:rPr>
        <w:t xml:space="preserve">  </w:t>
      </w:r>
      <w:r>
        <w:rPr>
          <w:rFonts w:hint="eastAsia"/>
          <w:color w:val="auto"/>
          <w:highlight w:val="none"/>
        </w:rPr>
        <w:t>综合布线系统工程设计规范</w:t>
      </w:r>
    </w:p>
    <w:p w14:paraId="1F63CA93">
      <w:pPr>
        <w:pStyle w:val="26"/>
        <w:rPr>
          <w:rFonts w:hint="eastAsia"/>
          <w:color w:val="auto"/>
          <w:highlight w:val="none"/>
        </w:rPr>
      </w:pPr>
      <w:r>
        <w:rPr>
          <w:rFonts w:hint="eastAsia" w:ascii="宋体" w:hAnsi="Times New Roman" w:eastAsia="宋体" w:cs="Times New Roman"/>
          <w:b w:val="0"/>
          <w:bCs w:val="0"/>
          <w:color w:val="auto"/>
          <w:sz w:val="21"/>
          <w:szCs w:val="20"/>
          <w:highlight w:val="none"/>
        </w:rPr>
        <w:t>GB 50343</w:t>
      </w:r>
      <w:r>
        <w:rPr>
          <w:rFonts w:hint="eastAsia" w:ascii="宋体" w:hAnsi="Times New Roman" w:eastAsia="宋体" w:cs="Times New Roman"/>
          <w:b w:val="0"/>
          <w:bCs w:val="0"/>
          <w:color w:val="auto"/>
          <w:sz w:val="21"/>
          <w:szCs w:val="20"/>
          <w:highlight w:val="none"/>
          <w:lang w:val="en-US" w:eastAsia="zh-CN"/>
        </w:rPr>
        <w:t xml:space="preserve">  </w:t>
      </w:r>
      <w:r>
        <w:rPr>
          <w:rFonts w:hint="eastAsia" w:ascii="宋体" w:hAnsi="Times New Roman" w:eastAsia="宋体" w:cs="Times New Roman"/>
          <w:b w:val="0"/>
          <w:bCs w:val="0"/>
          <w:color w:val="auto"/>
          <w:sz w:val="21"/>
          <w:szCs w:val="20"/>
          <w:highlight w:val="none"/>
        </w:rPr>
        <w:t>建筑物电子信息系统防雷技术规范</w:t>
      </w:r>
    </w:p>
    <w:p w14:paraId="71D91592">
      <w:pPr>
        <w:pStyle w:val="26"/>
        <w:ind w:left="609" w:leftChars="190" w:hanging="210" w:hangingChars="100"/>
        <w:rPr>
          <w:rFonts w:hint="eastAsia" w:eastAsia="宋体"/>
          <w:color w:val="auto"/>
          <w:highlight w:val="none"/>
          <w:lang w:eastAsia="zh-CN"/>
        </w:rPr>
      </w:pPr>
      <w:r>
        <w:rPr>
          <w:rFonts w:hint="eastAsia"/>
          <w:color w:val="auto"/>
          <w:highlight w:val="none"/>
        </w:rPr>
        <w:t>YD/T 4304</w:t>
      </w:r>
      <w:r>
        <w:rPr>
          <w:rFonts w:hint="eastAsia"/>
          <w:color w:val="auto"/>
          <w:highlight w:val="none"/>
          <w:lang w:val="en-US" w:eastAsia="zh-CN"/>
        </w:rPr>
        <w:t xml:space="preserve">  </w:t>
      </w:r>
      <w:r>
        <w:rPr>
          <w:rFonts w:hint="eastAsia"/>
          <w:color w:val="auto"/>
          <w:highlight w:val="none"/>
        </w:rPr>
        <w:t>数字通信用</w:t>
      </w:r>
      <w:r>
        <w:rPr>
          <w:rFonts w:hint="eastAsia"/>
          <w:color w:val="auto"/>
          <w:highlight w:val="none"/>
          <w:lang w:eastAsia="zh-CN"/>
        </w:rPr>
        <w:t>单线对对绞电缆</w:t>
      </w:r>
    </w:p>
    <w:p w14:paraId="5ABF398B">
      <w:pPr>
        <w:pStyle w:val="26"/>
        <w:ind w:left="609" w:leftChars="190" w:hanging="210" w:hangingChars="100"/>
        <w:rPr>
          <w:rFonts w:hint="default" w:eastAsia="宋体"/>
          <w:color w:val="auto"/>
          <w:highlight w:val="none"/>
          <w:lang w:val="en-US" w:eastAsia="zh-CN"/>
        </w:rPr>
      </w:pPr>
      <w:r>
        <w:rPr>
          <w:rFonts w:hint="eastAsia"/>
          <w:color w:val="auto"/>
          <w:highlight w:val="none"/>
          <w:lang w:val="en-US" w:eastAsia="zh-CN"/>
        </w:rPr>
        <w:t>IEC 63171（所有部分）  电气和电子设备连接器（Connectors for electrical and electronic equipment）</w:t>
      </w:r>
    </w:p>
    <w:p w14:paraId="20064662">
      <w:pPr>
        <w:pStyle w:val="91"/>
        <w:outlineLvl w:val="0"/>
        <w:rPr>
          <w:color w:val="auto"/>
          <w:highlight w:val="none"/>
        </w:rPr>
      </w:pPr>
      <w:bookmarkStart w:id="63" w:name="_Toc22124"/>
      <w:bookmarkStart w:id="64" w:name="_Toc14941"/>
      <w:bookmarkStart w:id="65" w:name="_Toc536177900"/>
      <w:bookmarkStart w:id="66" w:name="_Toc19306"/>
      <w:bookmarkStart w:id="67" w:name="_Toc30603"/>
      <w:bookmarkStart w:id="68" w:name="_Toc18078"/>
      <w:bookmarkStart w:id="69" w:name="_Toc536184687"/>
      <w:bookmarkStart w:id="70" w:name="_Toc20550"/>
      <w:bookmarkStart w:id="71" w:name="_Toc536091676"/>
      <w:bookmarkStart w:id="72" w:name="_Toc16865"/>
      <w:bookmarkStart w:id="73" w:name="_Toc10386"/>
      <w:bookmarkStart w:id="74" w:name="_Toc14229"/>
      <w:bookmarkStart w:id="75" w:name="_Toc1653799"/>
      <w:bookmarkStart w:id="76" w:name="_Toc12197"/>
      <w:bookmarkStart w:id="77" w:name="_Toc535919375"/>
      <w:bookmarkStart w:id="78" w:name="_Toc4162283"/>
      <w:bookmarkStart w:id="79" w:name="_Toc20309"/>
      <w:bookmarkStart w:id="80" w:name="_Toc22197"/>
      <w:bookmarkStart w:id="81" w:name="_Toc11778"/>
      <w:bookmarkStart w:id="82" w:name="_Toc23509528"/>
      <w:bookmarkStart w:id="83" w:name="_Toc5047"/>
      <w:bookmarkStart w:id="84" w:name="_Toc10659"/>
      <w:bookmarkStart w:id="85" w:name="_Toc1649377"/>
      <w:bookmarkStart w:id="86" w:name="_Toc16448"/>
      <w:bookmarkStart w:id="87" w:name="_Toc535411699"/>
      <w:bookmarkStart w:id="88" w:name="_Toc16483"/>
      <w:bookmarkStart w:id="89" w:name="_Toc2962"/>
      <w:r>
        <w:rPr>
          <w:rFonts w:hint="eastAsia"/>
          <w:color w:val="auto"/>
          <w:highlight w:val="none"/>
        </w:rPr>
        <w:t>术语和</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Pr>
          <w:rFonts w:hint="eastAsia"/>
          <w:color w:val="auto"/>
          <w:highlight w:val="none"/>
          <w:lang w:val="en-US" w:eastAsia="zh-CN"/>
        </w:rPr>
        <w:t>缩略语</w:t>
      </w:r>
      <w:bookmarkEnd w:id="89"/>
    </w:p>
    <w:p w14:paraId="3D2A1428">
      <w:pPr>
        <w:pStyle w:val="76"/>
        <w:outlineLvl w:val="1"/>
        <w:rPr>
          <w:color w:val="auto"/>
          <w:highlight w:val="none"/>
        </w:rPr>
      </w:pPr>
      <w:bookmarkStart w:id="90" w:name="_Toc1397"/>
      <w:bookmarkEnd w:id="90"/>
      <w:bookmarkStart w:id="91" w:name="_Toc4038"/>
      <w:bookmarkEnd w:id="91"/>
      <w:bookmarkStart w:id="92" w:name="_Toc6589"/>
      <w:bookmarkEnd w:id="92"/>
      <w:bookmarkStart w:id="93" w:name="_Toc14158"/>
      <w:bookmarkEnd w:id="93"/>
      <w:bookmarkStart w:id="94" w:name="_Toc8832"/>
      <w:bookmarkEnd w:id="94"/>
      <w:bookmarkStart w:id="95" w:name="_Toc10514"/>
      <w:bookmarkEnd w:id="95"/>
      <w:bookmarkStart w:id="96" w:name="_Toc25398"/>
      <w:bookmarkEnd w:id="96"/>
      <w:bookmarkStart w:id="97" w:name="_Toc6955"/>
      <w:bookmarkEnd w:id="97"/>
      <w:bookmarkStart w:id="98" w:name="_Toc22452"/>
      <w:bookmarkEnd w:id="98"/>
      <w:bookmarkStart w:id="99" w:name="_Toc3016"/>
      <w:bookmarkEnd w:id="99"/>
      <w:bookmarkStart w:id="100" w:name="_Toc7372"/>
      <w:bookmarkEnd w:id="100"/>
      <w:bookmarkStart w:id="101" w:name="_Toc26099"/>
      <w:bookmarkEnd w:id="101"/>
      <w:bookmarkStart w:id="102" w:name="_Toc26218"/>
      <w:bookmarkEnd w:id="102"/>
      <w:bookmarkStart w:id="103" w:name="_Toc21412"/>
      <w:bookmarkEnd w:id="103"/>
      <w:bookmarkStart w:id="104" w:name="_Toc19309"/>
      <w:bookmarkEnd w:id="104"/>
      <w:bookmarkStart w:id="105" w:name="_Toc10883"/>
      <w:bookmarkStart w:id="106" w:name="_Toc31759"/>
      <w:bookmarkStart w:id="107" w:name="_Toc28297"/>
      <w:bookmarkStart w:id="108" w:name="_Toc13447"/>
      <w:bookmarkStart w:id="109" w:name="_Toc24622"/>
      <w:bookmarkStart w:id="110" w:name="_Toc15254"/>
      <w:bookmarkStart w:id="111" w:name="_Toc14205"/>
      <w:bookmarkStart w:id="112" w:name="_Toc28228"/>
    </w:p>
    <w:p w14:paraId="2104F8D9">
      <w:pPr>
        <w:pStyle w:val="76"/>
        <w:numPr>
          <w:ilvl w:val="1"/>
          <w:numId w:val="0"/>
        </w:numPr>
        <w:ind w:firstLine="420" w:firstLineChars="200"/>
        <w:outlineLvl w:val="1"/>
        <w:rPr>
          <w:rFonts w:hint="default" w:eastAsia="黑体"/>
          <w:color w:val="auto"/>
          <w:highlight w:val="none"/>
          <w:lang w:val="en-US" w:eastAsia="zh-CN"/>
        </w:rPr>
      </w:pPr>
      <w:bookmarkStart w:id="113" w:name="_Toc20006"/>
      <w:bookmarkStart w:id="114" w:name="_Toc28782"/>
      <w:bookmarkStart w:id="115" w:name="_Toc23697"/>
      <w:bookmarkStart w:id="116" w:name="_Toc19199"/>
      <w:bookmarkStart w:id="117" w:name="_Toc1055"/>
      <w:bookmarkStart w:id="118" w:name="_Toc12387"/>
      <w:bookmarkStart w:id="119" w:name="_Toc11639"/>
      <w:bookmarkStart w:id="120" w:name="_Toc2655"/>
      <w:bookmarkStart w:id="121" w:name="_Toc27642"/>
      <w:bookmarkStart w:id="122" w:name="_Toc21325"/>
      <w:bookmarkStart w:id="123" w:name="_Toc14144"/>
      <w:bookmarkStart w:id="124" w:name="_Toc8281"/>
      <w:bookmarkStart w:id="125" w:name="_Toc9790"/>
      <w:bookmarkStart w:id="126" w:name="_Toc32765"/>
      <w:bookmarkStart w:id="127" w:name="_Toc26336"/>
      <w:r>
        <w:rPr>
          <w:rFonts w:hint="default"/>
          <w:color w:val="auto"/>
          <w:highlight w:val="none"/>
          <w:lang w:val="en-US" w:eastAsia="zh-CN"/>
        </w:rPr>
        <w:t>单对以太网</w:t>
      </w:r>
      <w:r>
        <w:rPr>
          <w:rFonts w:hint="default"/>
          <w:color w:val="auto"/>
          <w:highlight w:val="none"/>
        </w:rPr>
        <w:t xml:space="preserve">  </w:t>
      </w:r>
      <w:r>
        <w:rPr>
          <w:rFonts w:hint="eastAsia"/>
          <w:color w:val="auto"/>
          <w:highlight w:val="none"/>
          <w:lang w:val="en-US" w:eastAsia="zh-CN"/>
        </w:rPr>
        <w:t>s</w:t>
      </w:r>
      <w:r>
        <w:rPr>
          <w:rFonts w:hint="default"/>
          <w:color w:val="auto"/>
          <w:highlight w:val="none"/>
        </w:rPr>
        <w:t>ingle-</w:t>
      </w:r>
      <w:r>
        <w:rPr>
          <w:rFonts w:hint="eastAsia"/>
          <w:color w:val="auto"/>
          <w:highlight w:val="none"/>
          <w:lang w:val="en-US" w:eastAsia="zh-CN"/>
        </w:rPr>
        <w:t>p</w:t>
      </w:r>
      <w:r>
        <w:rPr>
          <w:rFonts w:hint="default"/>
          <w:color w:val="auto"/>
          <w:highlight w:val="none"/>
        </w:rPr>
        <w:t xml:space="preserve">air </w:t>
      </w:r>
      <w:r>
        <w:rPr>
          <w:rFonts w:hint="eastAsia"/>
          <w:color w:val="auto"/>
          <w:highlight w:val="none"/>
          <w:lang w:val="en-US" w:eastAsia="zh-CN"/>
        </w:rPr>
        <w:t>e</w:t>
      </w:r>
      <w:r>
        <w:rPr>
          <w:rFonts w:hint="default"/>
          <w:color w:val="auto"/>
          <w:highlight w:val="none"/>
        </w:rPr>
        <w:t>thernet</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Pr>
          <w:rFonts w:hint="eastAsia"/>
          <w:color w:val="auto"/>
          <w:highlight w:val="none"/>
          <w:lang w:val="en-US" w:eastAsia="zh-CN"/>
        </w:rPr>
        <w:t>（SPE）</w:t>
      </w:r>
      <w:bookmarkEnd w:id="127"/>
    </w:p>
    <w:p w14:paraId="4CBAEEDB">
      <w:pPr>
        <w:pStyle w:val="26"/>
        <w:rPr>
          <w:rFonts w:hint="eastAsia"/>
          <w:color w:val="auto"/>
          <w:szCs w:val="21"/>
          <w:highlight w:val="none"/>
        </w:rPr>
      </w:pPr>
      <w:r>
        <w:rPr>
          <w:rFonts w:hint="eastAsia"/>
          <w:color w:val="auto"/>
          <w:szCs w:val="21"/>
          <w:highlight w:val="none"/>
        </w:rPr>
        <w:t>通过</w:t>
      </w:r>
      <w:r>
        <w:rPr>
          <w:rFonts w:hint="eastAsia"/>
          <w:color w:val="auto"/>
          <w:szCs w:val="21"/>
          <w:highlight w:val="none"/>
          <w:lang w:eastAsia="zh-CN"/>
        </w:rPr>
        <w:t>单线对对绞电缆</w:t>
      </w:r>
      <w:r>
        <w:rPr>
          <w:rFonts w:hint="eastAsia"/>
          <w:color w:val="auto"/>
          <w:szCs w:val="21"/>
          <w:highlight w:val="none"/>
        </w:rPr>
        <w:t>传输数据</w:t>
      </w:r>
      <w:r>
        <w:rPr>
          <w:rFonts w:hint="eastAsia"/>
          <w:color w:val="auto"/>
          <w:szCs w:val="21"/>
          <w:highlight w:val="none"/>
          <w:lang w:val="en-US" w:eastAsia="zh-CN"/>
        </w:rPr>
        <w:t>信息</w:t>
      </w:r>
      <w:r>
        <w:rPr>
          <w:rFonts w:hint="eastAsia"/>
          <w:color w:val="auto"/>
          <w:szCs w:val="21"/>
          <w:highlight w:val="none"/>
        </w:rPr>
        <w:t>的以太网。</w:t>
      </w:r>
    </w:p>
    <w:p w14:paraId="57AAEA2A">
      <w:pPr>
        <w:pStyle w:val="76"/>
        <w:outlineLvl w:val="1"/>
        <w:rPr>
          <w:rFonts w:hint="default"/>
          <w:color w:val="auto"/>
          <w:szCs w:val="21"/>
          <w:highlight w:val="none"/>
          <w:lang w:eastAsia="zh-CN"/>
        </w:rPr>
      </w:pPr>
      <w:bookmarkStart w:id="128" w:name="_Toc6480"/>
      <w:bookmarkEnd w:id="128"/>
    </w:p>
    <w:p w14:paraId="30E5D2DC">
      <w:pPr>
        <w:pStyle w:val="76"/>
        <w:numPr>
          <w:ilvl w:val="1"/>
          <w:numId w:val="0"/>
        </w:numPr>
        <w:ind w:left="420" w:leftChars="200"/>
        <w:outlineLvl w:val="1"/>
        <w:rPr>
          <w:rFonts w:hint="default"/>
          <w:color w:val="auto"/>
          <w:szCs w:val="21"/>
          <w:highlight w:val="none"/>
          <w:lang w:eastAsia="zh-CN"/>
        </w:rPr>
      </w:pPr>
      <w:bookmarkStart w:id="129" w:name="_Toc29218"/>
      <w:r>
        <w:rPr>
          <w:rFonts w:hint="default"/>
          <w:color w:val="auto"/>
          <w:szCs w:val="21"/>
          <w:highlight w:val="none"/>
          <w:lang w:eastAsia="zh-CN"/>
        </w:rPr>
        <w:t>数据线供电系统  power over data lines system</w:t>
      </w:r>
      <w:r>
        <w:rPr>
          <w:rFonts w:hint="eastAsia"/>
          <w:color w:val="auto"/>
          <w:szCs w:val="21"/>
          <w:highlight w:val="none"/>
          <w:lang w:eastAsia="zh-CN"/>
        </w:rPr>
        <w:t>（PoDL）</w:t>
      </w:r>
      <w:bookmarkEnd w:id="129"/>
    </w:p>
    <w:p w14:paraId="4809D9EE">
      <w:pPr>
        <w:pStyle w:val="26"/>
        <w:rPr>
          <w:rFonts w:hint="eastAsia"/>
          <w:color w:val="auto"/>
          <w:szCs w:val="21"/>
          <w:highlight w:val="none"/>
          <w:lang w:eastAsia="zh-CN"/>
        </w:rPr>
      </w:pPr>
      <w:r>
        <w:rPr>
          <w:rFonts w:hint="eastAsia"/>
          <w:color w:val="auto"/>
          <w:szCs w:val="21"/>
          <w:highlight w:val="none"/>
          <w:lang w:eastAsia="zh-CN"/>
        </w:rPr>
        <w:t>通过100Ω单线对对绞电缆传</w:t>
      </w:r>
      <w:r>
        <w:rPr>
          <w:rFonts w:hint="eastAsia"/>
          <w:color w:val="auto"/>
          <w:szCs w:val="21"/>
          <w:highlight w:val="none"/>
          <w:lang w:val="en-US" w:eastAsia="zh-CN"/>
        </w:rPr>
        <w:t>送电力</w:t>
      </w:r>
      <w:r>
        <w:rPr>
          <w:rFonts w:hint="eastAsia"/>
          <w:color w:val="auto"/>
          <w:szCs w:val="21"/>
          <w:highlight w:val="none"/>
          <w:lang w:eastAsia="zh-CN"/>
        </w:rPr>
        <w:t>且同时传输数据信息的供电系统，简称PoDL系统。</w:t>
      </w:r>
    </w:p>
    <w:p w14:paraId="0C823C89">
      <w:pPr>
        <w:pStyle w:val="76"/>
        <w:outlineLvl w:val="1"/>
        <w:rPr>
          <w:color w:val="auto"/>
          <w:highlight w:val="none"/>
        </w:rPr>
      </w:pPr>
      <w:bookmarkStart w:id="130" w:name="_Toc15689"/>
      <w:bookmarkEnd w:id="130"/>
      <w:bookmarkStart w:id="131" w:name="_Toc7129"/>
      <w:bookmarkEnd w:id="131"/>
      <w:bookmarkStart w:id="132" w:name="_Toc29160"/>
      <w:bookmarkEnd w:id="132"/>
      <w:bookmarkStart w:id="133" w:name="_Toc16752"/>
      <w:bookmarkEnd w:id="133"/>
      <w:bookmarkStart w:id="134" w:name="_Toc14646"/>
      <w:bookmarkEnd w:id="134"/>
      <w:bookmarkStart w:id="135" w:name="_Toc9282"/>
      <w:bookmarkEnd w:id="135"/>
      <w:bookmarkStart w:id="136" w:name="_Toc9621"/>
      <w:bookmarkEnd w:id="136"/>
      <w:bookmarkStart w:id="137" w:name="_Toc7377"/>
      <w:bookmarkEnd w:id="137"/>
      <w:bookmarkStart w:id="138" w:name="_Toc12052"/>
      <w:bookmarkEnd w:id="138"/>
      <w:bookmarkStart w:id="139" w:name="_Toc29985"/>
      <w:bookmarkEnd w:id="139"/>
      <w:bookmarkStart w:id="140" w:name="_Toc502"/>
      <w:bookmarkEnd w:id="140"/>
      <w:bookmarkStart w:id="141" w:name="_Toc24054"/>
      <w:bookmarkEnd w:id="141"/>
      <w:bookmarkStart w:id="142" w:name="_Toc20127"/>
      <w:bookmarkEnd w:id="142"/>
      <w:bookmarkStart w:id="143" w:name="_Toc31168"/>
      <w:bookmarkEnd w:id="143"/>
      <w:bookmarkStart w:id="144" w:name="_Toc31255"/>
      <w:bookmarkEnd w:id="144"/>
      <w:bookmarkStart w:id="145" w:name="_Toc232"/>
      <w:bookmarkStart w:id="146" w:name="_Toc17012"/>
      <w:bookmarkStart w:id="147" w:name="_Toc7982"/>
      <w:bookmarkStart w:id="148" w:name="_Toc20709"/>
      <w:bookmarkStart w:id="149" w:name="_Toc2809"/>
      <w:bookmarkStart w:id="150" w:name="_Toc31657"/>
      <w:bookmarkStart w:id="151" w:name="_Toc17096"/>
      <w:bookmarkStart w:id="152" w:name="_Toc25896"/>
    </w:p>
    <w:p w14:paraId="79DBC462">
      <w:pPr>
        <w:pStyle w:val="76"/>
        <w:numPr>
          <w:ilvl w:val="1"/>
          <w:numId w:val="0"/>
        </w:numPr>
        <w:ind w:firstLine="420" w:firstLineChars="200"/>
        <w:outlineLvl w:val="1"/>
        <w:rPr>
          <w:rFonts w:hint="eastAsia" w:eastAsia="黑体"/>
          <w:color w:val="auto"/>
          <w:highlight w:val="none"/>
          <w:lang w:eastAsia="zh-CN"/>
        </w:rPr>
      </w:pPr>
      <w:bookmarkStart w:id="153" w:name="_Toc3687"/>
      <w:bookmarkStart w:id="154" w:name="_Toc25484"/>
      <w:bookmarkStart w:id="155" w:name="_Toc24554"/>
      <w:bookmarkStart w:id="156" w:name="_Toc9077"/>
      <w:bookmarkStart w:id="157" w:name="_Toc11418"/>
      <w:bookmarkStart w:id="158" w:name="_Toc2636"/>
      <w:bookmarkStart w:id="159" w:name="_Toc5223"/>
      <w:bookmarkStart w:id="160" w:name="_Toc21998"/>
      <w:bookmarkStart w:id="161" w:name="_Toc18229"/>
      <w:bookmarkStart w:id="162" w:name="_Toc19202"/>
      <w:bookmarkStart w:id="163" w:name="_Toc28822"/>
      <w:bookmarkStart w:id="164" w:name="_Toc25808"/>
      <w:bookmarkStart w:id="165" w:name="_Toc28161"/>
      <w:bookmarkStart w:id="166" w:name="_Toc3867"/>
      <w:bookmarkStart w:id="167" w:name="_Toc9101"/>
      <w:r>
        <w:rPr>
          <w:rFonts w:hint="eastAsia"/>
          <w:color w:val="auto"/>
          <w:highlight w:val="none"/>
        </w:rPr>
        <w:t>受电设备 powered device</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Fonts w:hint="eastAsia"/>
          <w:color w:val="auto"/>
          <w:highlight w:val="none"/>
          <w:lang w:eastAsia="zh-CN"/>
        </w:rPr>
        <w:t>（</w:t>
      </w:r>
      <w:r>
        <w:rPr>
          <w:rFonts w:hint="eastAsia"/>
          <w:color w:val="auto"/>
          <w:highlight w:val="none"/>
          <w:lang w:val="en-US" w:eastAsia="zh-CN"/>
        </w:rPr>
        <w:t>PD</w:t>
      </w:r>
      <w:r>
        <w:rPr>
          <w:rFonts w:hint="eastAsia"/>
          <w:color w:val="auto"/>
          <w:highlight w:val="none"/>
          <w:lang w:eastAsia="zh-CN"/>
        </w:rPr>
        <w:t>）</w:t>
      </w:r>
      <w:bookmarkEnd w:id="167"/>
    </w:p>
    <w:p w14:paraId="78D1BC57">
      <w:pPr>
        <w:pStyle w:val="26"/>
        <w:rPr>
          <w:color w:val="auto"/>
          <w:szCs w:val="21"/>
          <w:highlight w:val="none"/>
        </w:rPr>
      </w:pPr>
      <w:r>
        <w:rPr>
          <w:rFonts w:hint="eastAsia"/>
          <w:color w:val="auto"/>
          <w:szCs w:val="21"/>
          <w:highlight w:val="none"/>
        </w:rPr>
        <w:t>PoDL系统中</w:t>
      </w:r>
      <w:r>
        <w:rPr>
          <w:rFonts w:hint="eastAsia"/>
          <w:color w:val="auto"/>
          <w:szCs w:val="21"/>
          <w:highlight w:val="none"/>
          <w:lang w:val="en-US" w:eastAsia="zh-CN"/>
        </w:rPr>
        <w:t>通过</w:t>
      </w:r>
      <w:r>
        <w:rPr>
          <w:rFonts w:hint="eastAsia"/>
          <w:color w:val="auto"/>
          <w:szCs w:val="21"/>
          <w:highlight w:val="none"/>
        </w:rPr>
        <w:t>由</w:t>
      </w:r>
      <w:r>
        <w:rPr>
          <w:rFonts w:hint="eastAsia"/>
          <w:color w:val="auto"/>
          <w:szCs w:val="21"/>
          <w:highlight w:val="none"/>
          <w:lang w:eastAsia="zh-CN"/>
        </w:rPr>
        <w:t>单线对对绞电缆</w:t>
      </w:r>
      <w:r>
        <w:rPr>
          <w:rFonts w:hint="eastAsia"/>
          <w:color w:val="auto"/>
          <w:szCs w:val="21"/>
          <w:highlight w:val="none"/>
        </w:rPr>
        <w:t>组成的链路部分接收电力的设备。</w:t>
      </w:r>
    </w:p>
    <w:p w14:paraId="3A4AC324">
      <w:pPr>
        <w:pStyle w:val="76"/>
        <w:outlineLvl w:val="1"/>
        <w:rPr>
          <w:color w:val="auto"/>
          <w:highlight w:val="none"/>
        </w:rPr>
      </w:pPr>
      <w:bookmarkStart w:id="168" w:name="_Toc14420"/>
      <w:bookmarkEnd w:id="168"/>
      <w:bookmarkStart w:id="169" w:name="_Toc24182"/>
      <w:bookmarkEnd w:id="169"/>
      <w:bookmarkStart w:id="170" w:name="_Toc13253"/>
      <w:bookmarkEnd w:id="170"/>
      <w:bookmarkStart w:id="171" w:name="_Toc26396"/>
      <w:bookmarkEnd w:id="171"/>
      <w:bookmarkStart w:id="172" w:name="_Toc16377"/>
      <w:bookmarkEnd w:id="172"/>
      <w:bookmarkStart w:id="173" w:name="_Toc19780"/>
      <w:bookmarkEnd w:id="173"/>
      <w:bookmarkStart w:id="174" w:name="_Toc31847"/>
      <w:bookmarkEnd w:id="174"/>
      <w:bookmarkStart w:id="175" w:name="_Toc20601"/>
      <w:bookmarkEnd w:id="175"/>
      <w:bookmarkStart w:id="176" w:name="_Toc8057"/>
      <w:bookmarkEnd w:id="176"/>
      <w:bookmarkStart w:id="177" w:name="_Toc13936"/>
      <w:bookmarkEnd w:id="177"/>
      <w:bookmarkStart w:id="178" w:name="_Toc30866"/>
      <w:bookmarkEnd w:id="178"/>
      <w:bookmarkStart w:id="179" w:name="_Toc18804"/>
      <w:bookmarkEnd w:id="179"/>
      <w:bookmarkStart w:id="180" w:name="_Toc5651"/>
      <w:bookmarkEnd w:id="180"/>
      <w:bookmarkStart w:id="181" w:name="_Toc27405"/>
      <w:bookmarkEnd w:id="181"/>
      <w:bookmarkStart w:id="182" w:name="_Toc14033"/>
      <w:bookmarkEnd w:id="182"/>
      <w:bookmarkStart w:id="183" w:name="_Toc7208"/>
      <w:bookmarkStart w:id="184" w:name="_Toc32742"/>
      <w:bookmarkStart w:id="185" w:name="_Toc7405"/>
      <w:bookmarkStart w:id="186" w:name="_Toc25090"/>
      <w:bookmarkStart w:id="187" w:name="_Toc21986"/>
      <w:bookmarkStart w:id="188" w:name="_Toc2784"/>
    </w:p>
    <w:p w14:paraId="2F06F9F6">
      <w:pPr>
        <w:pStyle w:val="76"/>
        <w:numPr>
          <w:ilvl w:val="1"/>
          <w:numId w:val="0"/>
        </w:numPr>
        <w:ind w:firstLine="420" w:firstLineChars="200"/>
        <w:outlineLvl w:val="1"/>
        <w:rPr>
          <w:rFonts w:hint="eastAsia" w:eastAsia="黑体"/>
          <w:color w:val="auto"/>
          <w:highlight w:val="none"/>
          <w:lang w:eastAsia="zh-CN"/>
        </w:rPr>
      </w:pPr>
      <w:bookmarkStart w:id="189" w:name="_Toc29249"/>
      <w:bookmarkStart w:id="190" w:name="_Toc22650"/>
      <w:bookmarkStart w:id="191" w:name="_Toc29126"/>
      <w:bookmarkStart w:id="192" w:name="_Toc25381"/>
      <w:bookmarkStart w:id="193" w:name="_Toc7173"/>
      <w:bookmarkStart w:id="194" w:name="_Toc24668"/>
      <w:bookmarkStart w:id="195" w:name="_Toc30729"/>
      <w:bookmarkStart w:id="196" w:name="_Toc3543"/>
      <w:bookmarkStart w:id="197" w:name="_Toc20564"/>
      <w:bookmarkStart w:id="198" w:name="_Toc27192"/>
      <w:bookmarkStart w:id="199" w:name="_Toc25103"/>
      <w:bookmarkStart w:id="200" w:name="_Toc13947"/>
      <w:bookmarkStart w:id="201" w:name="_Toc1152"/>
      <w:bookmarkStart w:id="202" w:name="_Toc16730"/>
      <w:bookmarkStart w:id="203" w:name="_Toc11159"/>
      <w:r>
        <w:rPr>
          <w:rFonts w:hint="eastAsia"/>
          <w:color w:val="auto"/>
          <w:highlight w:val="none"/>
        </w:rPr>
        <w:t>供电设备 power sourcing equipment</w:t>
      </w:r>
      <w:bookmarkEnd w:id="183"/>
      <w:bookmarkEnd w:id="184"/>
      <w:bookmarkEnd w:id="185"/>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Pr>
          <w:rFonts w:hint="eastAsia"/>
          <w:color w:val="auto"/>
          <w:highlight w:val="none"/>
          <w:lang w:eastAsia="zh-CN"/>
        </w:rPr>
        <w:t>（</w:t>
      </w:r>
      <w:r>
        <w:rPr>
          <w:rFonts w:hint="eastAsia"/>
          <w:color w:val="auto"/>
          <w:highlight w:val="none"/>
          <w:lang w:val="en-US" w:eastAsia="zh-CN"/>
        </w:rPr>
        <w:t>PSE</w:t>
      </w:r>
      <w:r>
        <w:rPr>
          <w:rFonts w:hint="eastAsia"/>
          <w:color w:val="auto"/>
          <w:highlight w:val="none"/>
          <w:lang w:eastAsia="zh-CN"/>
        </w:rPr>
        <w:t>）</w:t>
      </w:r>
      <w:bookmarkEnd w:id="203"/>
    </w:p>
    <w:p w14:paraId="5C8C4E54">
      <w:pPr>
        <w:pStyle w:val="26"/>
        <w:rPr>
          <w:rFonts w:hAnsi="宋体" w:cs="宋体"/>
          <w:color w:val="auto"/>
          <w:highlight w:val="none"/>
        </w:rPr>
      </w:pPr>
      <w:r>
        <w:rPr>
          <w:rFonts w:hint="eastAsia" w:hAnsi="宋体" w:cs="宋体"/>
          <w:color w:val="auto"/>
          <w:highlight w:val="none"/>
        </w:rPr>
        <w:t>PoDL系统通过由</w:t>
      </w:r>
      <w:r>
        <w:rPr>
          <w:rFonts w:hint="eastAsia" w:hAnsi="宋体" w:cs="宋体"/>
          <w:color w:val="auto"/>
          <w:highlight w:val="none"/>
          <w:lang w:eastAsia="zh-CN"/>
        </w:rPr>
        <w:t>单线对对绞电缆</w:t>
      </w:r>
      <w:r>
        <w:rPr>
          <w:rFonts w:hint="eastAsia" w:hAnsi="宋体" w:cs="宋体"/>
          <w:color w:val="auto"/>
          <w:highlight w:val="none"/>
        </w:rPr>
        <w:t>组成的链路部分向PD供电的设备。</w:t>
      </w:r>
    </w:p>
    <w:p w14:paraId="2B5F74B1">
      <w:pPr>
        <w:pStyle w:val="76"/>
        <w:outlineLvl w:val="1"/>
        <w:rPr>
          <w:color w:val="auto"/>
        </w:rPr>
      </w:pPr>
      <w:bookmarkStart w:id="204" w:name="_Toc6903"/>
      <w:bookmarkEnd w:id="204"/>
      <w:bookmarkStart w:id="205" w:name="_Toc31223"/>
      <w:bookmarkEnd w:id="205"/>
      <w:bookmarkStart w:id="206" w:name="_Toc21022"/>
      <w:bookmarkEnd w:id="206"/>
      <w:bookmarkStart w:id="207" w:name="_Toc2498"/>
      <w:bookmarkEnd w:id="207"/>
      <w:bookmarkStart w:id="208" w:name="_Toc24340"/>
      <w:bookmarkEnd w:id="208"/>
      <w:bookmarkStart w:id="209" w:name="_Toc10280"/>
      <w:bookmarkEnd w:id="209"/>
      <w:bookmarkStart w:id="210" w:name="_Toc31778"/>
      <w:bookmarkEnd w:id="210"/>
      <w:bookmarkStart w:id="211" w:name="_Toc12315"/>
      <w:bookmarkEnd w:id="211"/>
      <w:bookmarkStart w:id="212" w:name="_Toc31231"/>
      <w:bookmarkEnd w:id="212"/>
      <w:bookmarkStart w:id="213" w:name="_Toc10335"/>
      <w:bookmarkEnd w:id="213"/>
      <w:bookmarkStart w:id="214" w:name="_Toc26601"/>
      <w:bookmarkEnd w:id="214"/>
      <w:bookmarkStart w:id="215" w:name="_Toc21502"/>
      <w:bookmarkEnd w:id="215"/>
      <w:bookmarkStart w:id="216" w:name="_Toc17677"/>
      <w:bookmarkEnd w:id="216"/>
      <w:bookmarkStart w:id="217" w:name="_Toc18711"/>
      <w:bookmarkEnd w:id="217"/>
      <w:bookmarkStart w:id="218" w:name="_Toc11029"/>
      <w:bookmarkEnd w:id="218"/>
      <w:bookmarkStart w:id="219" w:name="_Toc22137"/>
      <w:bookmarkStart w:id="220" w:name="_Toc13319"/>
      <w:bookmarkStart w:id="221" w:name="_Toc28906"/>
    </w:p>
    <w:p w14:paraId="12A37593">
      <w:pPr>
        <w:pStyle w:val="76"/>
        <w:numPr>
          <w:ilvl w:val="1"/>
          <w:numId w:val="0"/>
        </w:numPr>
        <w:ind w:firstLine="420" w:firstLineChars="200"/>
        <w:outlineLvl w:val="1"/>
        <w:rPr>
          <w:rFonts w:hint="eastAsia" w:eastAsia="黑体"/>
          <w:color w:val="auto"/>
          <w:highlight w:val="none"/>
          <w:lang w:eastAsia="zh-CN"/>
        </w:rPr>
      </w:pPr>
      <w:bookmarkStart w:id="222" w:name="_Toc25720"/>
      <w:bookmarkStart w:id="223" w:name="_Toc11990"/>
      <w:bookmarkStart w:id="224" w:name="_Toc19641"/>
      <w:bookmarkStart w:id="225" w:name="_Toc10643"/>
      <w:bookmarkStart w:id="226" w:name="_Toc13478"/>
      <w:bookmarkStart w:id="227" w:name="_Toc4809"/>
      <w:bookmarkStart w:id="228" w:name="_Toc2041"/>
      <w:bookmarkStart w:id="229" w:name="_Toc6211"/>
      <w:bookmarkStart w:id="230" w:name="_Toc16424"/>
      <w:bookmarkStart w:id="231" w:name="_Toc23442"/>
      <w:bookmarkStart w:id="232" w:name="_Toc1313"/>
      <w:bookmarkStart w:id="233" w:name="_Toc26875"/>
      <w:bookmarkStart w:id="234" w:name="_Toc11231"/>
      <w:bookmarkStart w:id="235" w:name="_Toc23750"/>
      <w:bookmarkStart w:id="236" w:name="_Toc11327"/>
      <w:r>
        <w:rPr>
          <w:rFonts w:hint="eastAsia"/>
          <w:color w:val="auto"/>
          <w:highlight w:val="none"/>
        </w:rPr>
        <w:t>电源接口 power interface</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Pr>
          <w:rFonts w:hint="eastAsia"/>
          <w:color w:val="auto"/>
          <w:highlight w:val="none"/>
          <w:lang w:eastAsia="zh-CN"/>
        </w:rPr>
        <w:t>（</w:t>
      </w:r>
      <w:r>
        <w:rPr>
          <w:rFonts w:hint="eastAsia"/>
          <w:color w:val="auto"/>
          <w:highlight w:val="none"/>
          <w:lang w:val="en-US" w:eastAsia="zh-CN"/>
        </w:rPr>
        <w:t>PI</w:t>
      </w:r>
      <w:r>
        <w:rPr>
          <w:rFonts w:hint="eastAsia"/>
          <w:color w:val="auto"/>
          <w:highlight w:val="none"/>
          <w:lang w:eastAsia="zh-CN"/>
        </w:rPr>
        <w:t>）</w:t>
      </w:r>
      <w:bookmarkEnd w:id="236"/>
    </w:p>
    <w:p w14:paraId="25DBC4CC">
      <w:pPr>
        <w:pStyle w:val="26"/>
        <w:rPr>
          <w:rFonts w:hint="eastAsia" w:hAnsi="宋体" w:cs="宋体"/>
          <w:color w:val="auto"/>
          <w:highlight w:val="none"/>
        </w:rPr>
      </w:pPr>
      <w:r>
        <w:rPr>
          <w:rFonts w:hint="eastAsia" w:hAnsi="宋体" w:cs="宋体"/>
          <w:color w:val="auto"/>
          <w:highlight w:val="none"/>
        </w:rPr>
        <w:t>PSE或PD与传输介质之间的机械和电气接口。</w:t>
      </w:r>
    </w:p>
    <w:p w14:paraId="2791C90A">
      <w:pPr>
        <w:pStyle w:val="76"/>
        <w:outlineLvl w:val="1"/>
        <w:rPr>
          <w:rFonts w:hint="default"/>
          <w:color w:val="auto"/>
          <w:lang w:val="en-US"/>
        </w:rPr>
      </w:pPr>
      <w:bookmarkStart w:id="237" w:name="_Toc8276"/>
      <w:bookmarkEnd w:id="237"/>
      <w:bookmarkStart w:id="238" w:name="_Toc10693"/>
      <w:bookmarkEnd w:id="238"/>
      <w:bookmarkStart w:id="239" w:name="_Toc31207"/>
      <w:bookmarkEnd w:id="239"/>
      <w:bookmarkStart w:id="240" w:name="_Toc32035"/>
      <w:bookmarkEnd w:id="240"/>
      <w:bookmarkStart w:id="241" w:name="_Toc11135"/>
      <w:bookmarkEnd w:id="241"/>
      <w:bookmarkStart w:id="242" w:name="_Toc25025"/>
      <w:bookmarkEnd w:id="242"/>
      <w:bookmarkStart w:id="243" w:name="_Toc3790"/>
      <w:bookmarkEnd w:id="243"/>
      <w:bookmarkStart w:id="244" w:name="_Toc1157"/>
      <w:bookmarkEnd w:id="244"/>
      <w:bookmarkStart w:id="245" w:name="_Toc6788"/>
      <w:bookmarkEnd w:id="245"/>
      <w:bookmarkStart w:id="246" w:name="_Toc19191"/>
      <w:bookmarkEnd w:id="246"/>
      <w:bookmarkStart w:id="247" w:name="_Toc27679"/>
      <w:bookmarkEnd w:id="247"/>
      <w:bookmarkStart w:id="248" w:name="_Toc18477"/>
      <w:bookmarkEnd w:id="248"/>
    </w:p>
    <w:p w14:paraId="41601173">
      <w:pPr>
        <w:pStyle w:val="76"/>
        <w:numPr>
          <w:ilvl w:val="-1"/>
          <w:numId w:val="0"/>
        </w:numPr>
        <w:ind w:firstLine="420" w:firstLineChars="200"/>
        <w:rPr>
          <w:rFonts w:hint="eastAsia" w:eastAsia="黑体"/>
          <w:color w:val="auto"/>
          <w:lang w:eastAsia="zh-CN"/>
        </w:rPr>
      </w:pPr>
      <w:bookmarkStart w:id="249" w:name="_Toc15995"/>
      <w:bookmarkStart w:id="250" w:name="_Toc17702"/>
      <w:r>
        <w:rPr>
          <w:rFonts w:hint="default"/>
          <w:color w:val="auto"/>
        </w:rPr>
        <w:t>串行通信分级协议 serial communication classification protocol</w:t>
      </w:r>
      <w:bookmarkEnd w:id="249"/>
      <w:bookmarkEnd w:id="250"/>
      <w:r>
        <w:rPr>
          <w:rFonts w:hint="default"/>
          <w:color w:val="auto"/>
        </w:rPr>
        <w:t xml:space="preserve"> </w:t>
      </w:r>
      <w:r>
        <w:rPr>
          <w:rFonts w:hint="eastAsia"/>
          <w:color w:val="auto"/>
          <w:lang w:eastAsia="zh-CN"/>
        </w:rPr>
        <w:t>（</w:t>
      </w:r>
      <w:r>
        <w:rPr>
          <w:rFonts w:hint="eastAsia"/>
          <w:color w:val="auto"/>
          <w:lang w:val="en-US" w:eastAsia="zh-CN"/>
        </w:rPr>
        <w:t>SCCP</w:t>
      </w:r>
      <w:r>
        <w:rPr>
          <w:rFonts w:hint="eastAsia"/>
          <w:color w:val="auto"/>
          <w:lang w:eastAsia="zh-CN"/>
        </w:rPr>
        <w:t>）</w:t>
      </w:r>
    </w:p>
    <w:p w14:paraId="242A1D38">
      <w:pPr>
        <w:pStyle w:val="26"/>
        <w:rPr>
          <w:rFonts w:hint="default" w:eastAsia="宋体"/>
          <w:color w:val="auto"/>
          <w:lang w:val="en-US" w:eastAsia="zh-CN"/>
        </w:rPr>
      </w:pPr>
      <w:r>
        <w:rPr>
          <w:rFonts w:hint="default"/>
          <w:color w:val="auto"/>
        </w:rPr>
        <w:t>PoDL系统</w:t>
      </w:r>
      <w:r>
        <w:rPr>
          <w:rFonts w:hint="eastAsia"/>
          <w:color w:val="auto"/>
          <w:lang w:val="en-US" w:eastAsia="zh-CN"/>
        </w:rPr>
        <w:t>中PSE与PD采用串行方式实现用以确定供电等级的通信协议。</w:t>
      </w:r>
    </w:p>
    <w:bookmarkEnd w:id="186"/>
    <w:bookmarkEnd w:id="187"/>
    <w:bookmarkEnd w:id="188"/>
    <w:p w14:paraId="45CE1D0A">
      <w:pPr>
        <w:pStyle w:val="91"/>
        <w:outlineLvl w:val="0"/>
        <w:rPr>
          <w:rFonts w:hint="default" w:ascii="Times New Roman" w:hAnsi="Times New Roman" w:cs="Times New Roman"/>
          <w:color w:val="auto"/>
          <w:highlight w:val="none"/>
        </w:rPr>
      </w:pPr>
      <w:bookmarkStart w:id="251" w:name="_Toc31268"/>
      <w:bookmarkEnd w:id="251"/>
      <w:bookmarkStart w:id="252" w:name="_Toc28141"/>
      <w:bookmarkEnd w:id="252"/>
      <w:bookmarkStart w:id="253" w:name="_Toc2964"/>
      <w:bookmarkEnd w:id="253"/>
      <w:bookmarkStart w:id="254" w:name="_Toc32556"/>
      <w:bookmarkEnd w:id="254"/>
      <w:bookmarkStart w:id="255" w:name="_Toc27956"/>
      <w:bookmarkEnd w:id="255"/>
      <w:bookmarkStart w:id="256" w:name="_Toc29702"/>
      <w:bookmarkEnd w:id="256"/>
      <w:bookmarkStart w:id="257" w:name="_Toc9661"/>
      <w:bookmarkEnd w:id="257"/>
      <w:bookmarkStart w:id="258" w:name="_Toc4570"/>
      <w:bookmarkEnd w:id="258"/>
      <w:bookmarkStart w:id="259" w:name="_Toc11783"/>
      <w:bookmarkEnd w:id="259"/>
      <w:bookmarkStart w:id="260" w:name="_Toc26386"/>
      <w:bookmarkEnd w:id="260"/>
      <w:bookmarkStart w:id="261" w:name="_Toc21337"/>
      <w:bookmarkStart w:id="262" w:name="_Toc1645"/>
      <w:bookmarkStart w:id="263" w:name="_Toc535411700"/>
      <w:bookmarkStart w:id="264" w:name="_Toc1649378"/>
      <w:bookmarkStart w:id="265" w:name="_Toc536091677"/>
      <w:bookmarkStart w:id="266" w:name="_Toc23509529"/>
      <w:bookmarkStart w:id="267" w:name="_Toc1653800"/>
      <w:bookmarkStart w:id="268" w:name="_Toc4162284"/>
      <w:bookmarkStart w:id="269" w:name="_Toc535919376"/>
      <w:bookmarkStart w:id="270" w:name="_Toc536177901"/>
      <w:bookmarkStart w:id="271" w:name="_Toc536184688"/>
      <w:r>
        <w:rPr>
          <w:rFonts w:hint="default" w:ascii="Times New Roman" w:hAnsi="Times New Roman" w:cs="Times New Roman"/>
          <w:color w:val="auto"/>
          <w:highlight w:val="none"/>
        </w:rPr>
        <w:t>单对以太网系统设计要求</w:t>
      </w:r>
      <w:bookmarkEnd w:id="261"/>
      <w:bookmarkEnd w:id="262"/>
    </w:p>
    <w:p w14:paraId="55AAA7C3">
      <w:pPr>
        <w:pStyle w:val="76"/>
        <w:outlineLvl w:val="1"/>
        <w:rPr>
          <w:rFonts w:hint="default" w:ascii="Times New Roman" w:hAnsi="Times New Roman" w:cs="Times New Roman"/>
          <w:color w:val="auto"/>
          <w:highlight w:val="none"/>
        </w:rPr>
      </w:pPr>
      <w:bookmarkStart w:id="272" w:name="_Toc6853"/>
      <w:bookmarkStart w:id="273" w:name="_Toc2556"/>
      <w:r>
        <w:rPr>
          <w:rFonts w:hint="default" w:ascii="Times New Roman" w:hAnsi="Times New Roman" w:cs="Times New Roman"/>
          <w:color w:val="auto"/>
          <w:highlight w:val="none"/>
        </w:rPr>
        <w:t>网络系统架构</w:t>
      </w:r>
      <w:bookmarkEnd w:id="272"/>
      <w:bookmarkEnd w:id="273"/>
    </w:p>
    <w:p w14:paraId="078EFCAD">
      <w:pPr>
        <w:pStyle w:val="75"/>
        <w:spacing w:before="156" w:after="15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单对以太网系统宜采用图</w:t>
      </w:r>
      <w:r>
        <w:rPr>
          <w:rFonts w:hint="default" w:ascii="Times New Roman" w:hAnsi="Times New Roman" w:eastAsia="宋体" w:cs="Times New Roman"/>
          <w:color w:val="auto"/>
          <w:highlight w:val="none"/>
          <w:lang w:val="en-US" w:eastAsia="zh-CN"/>
        </w:rPr>
        <w:t>1的</w:t>
      </w:r>
      <w:r>
        <w:rPr>
          <w:rFonts w:hint="default" w:ascii="Times New Roman" w:hAnsi="Times New Roman" w:eastAsia="宋体" w:cs="Times New Roman"/>
          <w:color w:val="auto"/>
          <w:highlight w:val="none"/>
        </w:rPr>
        <w:t>组网架构。</w:t>
      </w:r>
    </w:p>
    <w:p w14:paraId="0667251C">
      <w:pPr>
        <w:pStyle w:val="26"/>
        <w:ind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5929630" cy="4229100"/>
            <wp:effectExtent l="0" t="0" r="13970" b="7620"/>
            <wp:docPr id="6" name="图片 6" descr="单对以太网系统组网架构2025020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单对以太网系统组网架构20250205_副本"/>
                    <pic:cNvPicPr>
                      <a:picLocks noChangeAspect="1"/>
                    </pic:cNvPicPr>
                  </pic:nvPicPr>
                  <pic:blipFill>
                    <a:blip r:embed="rId8"/>
                    <a:stretch>
                      <a:fillRect/>
                    </a:stretch>
                  </pic:blipFill>
                  <pic:spPr>
                    <a:xfrm>
                      <a:off x="0" y="0"/>
                      <a:ext cx="5929630" cy="4229100"/>
                    </a:xfrm>
                    <a:prstGeom prst="rect">
                      <a:avLst/>
                    </a:prstGeom>
                  </pic:spPr>
                </pic:pic>
              </a:graphicData>
            </a:graphic>
          </wp:inline>
        </w:drawing>
      </w:r>
    </w:p>
    <w:p w14:paraId="5DA39449">
      <w:pPr>
        <w:pStyle w:val="47"/>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cs="Times New Roman"/>
          <w:color w:val="auto"/>
          <w:lang w:val="en-US" w:eastAsia="zh-CN"/>
        </w:rPr>
      </w:pPr>
    </w:p>
    <w:p w14:paraId="35CD872C">
      <w:pPr>
        <w:pStyle w:val="140"/>
        <w:bidi w:val="0"/>
        <w:rPr>
          <w:rFonts w:hint="default" w:ascii="Times New Roman" w:hAnsi="Times New Roman" w:cs="Times New Roman"/>
          <w:color w:val="auto"/>
        </w:rPr>
      </w:pPr>
      <w:r>
        <w:rPr>
          <w:rFonts w:hint="default" w:ascii="Times New Roman" w:hAnsi="Times New Roman" w:cs="Times New Roman"/>
          <w:color w:val="auto"/>
        </w:rPr>
        <w:t>单对以太网组网架构</w:t>
      </w:r>
      <w:r>
        <w:rPr>
          <w:rFonts w:hint="eastAsia" w:ascii="Times New Roman" w:cs="Times New Roman"/>
          <w:color w:val="auto"/>
          <w:lang w:val="en-US" w:eastAsia="zh-CN"/>
        </w:rPr>
        <w:t>示意图</w:t>
      </w:r>
    </w:p>
    <w:p w14:paraId="530C2DCA">
      <w:pPr>
        <w:spacing w:before="156" w:after="15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br w:type="page"/>
      </w:r>
    </w:p>
    <w:p w14:paraId="0EDA208C">
      <w:pPr>
        <w:pStyle w:val="75"/>
        <w:spacing w:before="156" w:after="15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单对以太网系统宜部署在以太网的接入层。</w:t>
      </w:r>
    </w:p>
    <w:p w14:paraId="702AC59D">
      <w:pPr>
        <w:pStyle w:val="75"/>
        <w:spacing w:before="156" w:after="15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单对以太网系统应根据SPE接入设备上传带宽要求、距离、连接点数及接入设备的供电要求确定采用的SPE类型、PSE及P</w:t>
      </w:r>
      <w:r>
        <w:rPr>
          <w:rFonts w:hint="eastAsia" w:ascii="Times New Roman" w:eastAsia="宋体" w:cs="Times New Roman"/>
          <w:color w:val="auto"/>
          <w:highlight w:val="none"/>
          <w:lang w:val="en-US" w:eastAsia="zh-CN"/>
        </w:rPr>
        <w:t>D</w:t>
      </w:r>
      <w:r>
        <w:rPr>
          <w:rFonts w:hint="default" w:ascii="Times New Roman" w:hAnsi="Times New Roman" w:eastAsia="宋体" w:cs="Times New Roman"/>
          <w:color w:val="auto"/>
          <w:highlight w:val="none"/>
        </w:rPr>
        <w:t>类型及功率等级</w:t>
      </w:r>
      <w:r>
        <w:rPr>
          <w:rFonts w:hint="eastAsia" w:ascii="Times New Roman" w:eastAsia="宋体" w:cs="Times New Roman"/>
          <w:color w:val="auto"/>
          <w:highlight w:val="none"/>
          <w:lang w:eastAsia="zh-CN"/>
        </w:rPr>
        <w:t>。</w:t>
      </w:r>
    </w:p>
    <w:p w14:paraId="447E69B3">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单对以太网系统接入设备与接入交换机间可设置连接点。</w:t>
      </w:r>
    </w:p>
    <w:p w14:paraId="27D44FEA">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单对以太网</w:t>
      </w:r>
      <w:r>
        <w:rPr>
          <w:rFonts w:hint="eastAsia" w:ascii="Times New Roman" w:eastAsia="宋体" w:cs="Times New Roman"/>
          <w:color w:val="auto"/>
          <w:highlight w:val="none"/>
          <w:lang w:val="en-US" w:eastAsia="zh-CN"/>
        </w:rPr>
        <w:t>系统</w:t>
      </w:r>
      <w:r>
        <w:rPr>
          <w:rFonts w:hint="default" w:ascii="Times New Roman" w:hAnsi="Times New Roman" w:eastAsia="宋体" w:cs="Times New Roman"/>
          <w:color w:val="auto"/>
          <w:highlight w:val="none"/>
          <w:lang w:val="en-US" w:eastAsia="zh-CN"/>
        </w:rPr>
        <w:t>信道的组成可包含用户跳线、水平线缆及成对连接器</w:t>
      </w:r>
      <w:r>
        <w:rPr>
          <w:rFonts w:hint="eastAsia" w:ascii="Times New Roman" w:eastAsia="宋体" w:cs="Times New Roman"/>
          <w:color w:val="auto"/>
          <w:highlight w:val="none"/>
          <w:lang w:val="en-US" w:eastAsia="zh-CN"/>
        </w:rPr>
        <w:t>，信道组见图2。</w:t>
      </w:r>
    </w:p>
    <w:p w14:paraId="174FA4E8">
      <w:pPr>
        <w:pStyle w:val="75"/>
        <w:numPr>
          <w:ilvl w:val="-1"/>
          <w:numId w:val="0"/>
        </w:numPr>
        <w:spacing w:before="156" w:after="156"/>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drawing>
          <wp:inline distT="0" distB="0" distL="114300" distR="114300">
            <wp:extent cx="5936615" cy="688975"/>
            <wp:effectExtent l="0" t="0" r="6985" b="12065"/>
            <wp:docPr id="8" name="图片 8"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绘图1"/>
                    <pic:cNvPicPr>
                      <a:picLocks noChangeAspect="1"/>
                    </pic:cNvPicPr>
                  </pic:nvPicPr>
                  <pic:blipFill>
                    <a:blip r:embed="rId9"/>
                    <a:stretch>
                      <a:fillRect/>
                    </a:stretch>
                  </pic:blipFill>
                  <pic:spPr>
                    <a:xfrm>
                      <a:off x="0" y="0"/>
                      <a:ext cx="5936615" cy="688975"/>
                    </a:xfrm>
                    <a:prstGeom prst="rect">
                      <a:avLst/>
                    </a:prstGeom>
                  </pic:spPr>
                </pic:pic>
              </a:graphicData>
            </a:graphic>
          </wp:inline>
        </w:drawing>
      </w:r>
    </w:p>
    <w:p w14:paraId="4B72B8B5">
      <w:pPr>
        <w:pStyle w:val="140"/>
        <w:spacing w:before="156" w:after="156"/>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highlight w:val="none"/>
          <w:lang w:val="en-US" w:eastAsia="zh-CN"/>
        </w:rPr>
        <w:t>单对以太网</w:t>
      </w:r>
      <w:r>
        <w:rPr>
          <w:rFonts w:hint="eastAsia" w:ascii="Times New Roman" w:cs="Times New Roman"/>
          <w:color w:val="auto"/>
          <w:lang w:val="en-US" w:eastAsia="zh-CN"/>
        </w:rPr>
        <w:t>信道组成示意图</w:t>
      </w:r>
    </w:p>
    <w:p w14:paraId="15215F12">
      <w:pPr>
        <w:pStyle w:val="76"/>
        <w:outlineLvl w:val="1"/>
        <w:rPr>
          <w:rFonts w:hint="default" w:ascii="Times New Roman" w:hAnsi="Times New Roman" w:cs="Times New Roman"/>
          <w:color w:val="auto"/>
          <w:highlight w:val="none"/>
        </w:rPr>
      </w:pPr>
      <w:bookmarkStart w:id="274" w:name="_Toc14413"/>
      <w:bookmarkStart w:id="275" w:name="_Toc30617"/>
      <w:r>
        <w:rPr>
          <w:rFonts w:hint="default" w:ascii="Times New Roman" w:hAnsi="Times New Roman" w:cs="Times New Roman"/>
          <w:color w:val="auto"/>
          <w:highlight w:val="none"/>
        </w:rPr>
        <w:t>SPE网络分类及要求</w:t>
      </w:r>
      <w:bookmarkEnd w:id="274"/>
      <w:bookmarkEnd w:id="275"/>
    </w:p>
    <w:p w14:paraId="6E15E6E7">
      <w:pPr>
        <w:pStyle w:val="75"/>
        <w:spacing w:before="156" w:after="15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单对以太网系统分类应符合表1的要求。</w:t>
      </w:r>
    </w:p>
    <w:p w14:paraId="3057C426">
      <w:pPr>
        <w:pStyle w:val="132"/>
        <w:bidi w:val="0"/>
        <w:ind w:left="0" w:leftChars="0"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单对以太网系统分类</w:t>
      </w:r>
    </w:p>
    <w:tbl>
      <w:tblPr>
        <w:tblStyle w:val="37"/>
        <w:tblW w:w="446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100"/>
        <w:gridCol w:w="1537"/>
        <w:gridCol w:w="1539"/>
        <w:gridCol w:w="1539"/>
        <w:gridCol w:w="1833"/>
      </w:tblGrid>
      <w:tr w14:paraId="7E4C86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229" w:type="pct"/>
            <w:tcBorders>
              <w:bottom w:val="single" w:color="auto" w:sz="8" w:space="0"/>
            </w:tcBorders>
            <w:shd w:val="clear" w:color="auto" w:fill="auto"/>
            <w:vAlign w:val="center"/>
          </w:tcPr>
          <w:p w14:paraId="20BD6BDC">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SPE类型</w:t>
            </w:r>
          </w:p>
        </w:tc>
        <w:tc>
          <w:tcPr>
            <w:tcW w:w="899" w:type="pct"/>
            <w:tcBorders>
              <w:bottom w:val="single" w:color="auto" w:sz="8" w:space="0"/>
            </w:tcBorders>
            <w:shd w:val="clear" w:color="auto" w:fill="auto"/>
            <w:vAlign w:val="center"/>
          </w:tcPr>
          <w:p w14:paraId="3E567902">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最长距离（m）</w:t>
            </w:r>
          </w:p>
        </w:tc>
        <w:tc>
          <w:tcPr>
            <w:tcW w:w="900" w:type="pct"/>
            <w:tcBorders>
              <w:bottom w:val="single" w:color="auto" w:sz="8" w:space="0"/>
            </w:tcBorders>
            <w:shd w:val="clear" w:color="auto" w:fill="auto"/>
            <w:vAlign w:val="center"/>
          </w:tcPr>
          <w:p w14:paraId="4190A876">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最多连接点</w:t>
            </w:r>
          </w:p>
        </w:tc>
        <w:tc>
          <w:tcPr>
            <w:tcW w:w="900" w:type="pct"/>
            <w:tcBorders>
              <w:bottom w:val="single" w:color="auto" w:sz="8" w:space="0"/>
            </w:tcBorders>
            <w:shd w:val="clear" w:color="auto" w:fill="auto"/>
            <w:vAlign w:val="center"/>
          </w:tcPr>
          <w:p w14:paraId="4ECDFE53">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工作频率（MHz）</w:t>
            </w:r>
          </w:p>
        </w:tc>
        <w:tc>
          <w:tcPr>
            <w:tcW w:w="1070" w:type="pct"/>
            <w:tcBorders>
              <w:bottom w:val="single" w:color="auto" w:sz="8" w:space="0"/>
            </w:tcBorders>
            <w:shd w:val="clear" w:color="auto" w:fill="auto"/>
            <w:vAlign w:val="center"/>
          </w:tcPr>
          <w:p w14:paraId="2A88CD3A">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信息速率</w:t>
            </w:r>
          </w:p>
        </w:tc>
      </w:tr>
      <w:tr w14:paraId="2F92D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9" w:type="pct"/>
            <w:tcBorders>
              <w:top w:val="single" w:color="auto" w:sz="8" w:space="0"/>
            </w:tcBorders>
            <w:shd w:val="clear" w:color="auto" w:fill="auto"/>
            <w:vAlign w:val="center"/>
          </w:tcPr>
          <w:p w14:paraId="0EFD5E6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10BASE-T1L</w:t>
            </w:r>
          </w:p>
        </w:tc>
        <w:tc>
          <w:tcPr>
            <w:tcW w:w="899" w:type="pct"/>
            <w:tcBorders>
              <w:top w:val="single" w:color="auto" w:sz="8" w:space="0"/>
            </w:tcBorders>
            <w:shd w:val="clear" w:color="auto" w:fill="auto"/>
            <w:vAlign w:val="center"/>
          </w:tcPr>
          <w:p w14:paraId="577E64B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1000</w:t>
            </w:r>
          </w:p>
        </w:tc>
        <w:tc>
          <w:tcPr>
            <w:tcW w:w="900" w:type="pct"/>
            <w:tcBorders>
              <w:top w:val="single" w:color="auto" w:sz="8" w:space="0"/>
            </w:tcBorders>
            <w:shd w:val="clear" w:color="auto" w:fill="auto"/>
            <w:vAlign w:val="center"/>
          </w:tcPr>
          <w:p w14:paraId="0E48917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w:t>
            </w:r>
          </w:p>
        </w:tc>
        <w:tc>
          <w:tcPr>
            <w:tcW w:w="900" w:type="pct"/>
            <w:tcBorders>
              <w:top w:val="single" w:color="auto" w:sz="8" w:space="0"/>
            </w:tcBorders>
            <w:shd w:val="clear" w:color="auto" w:fill="auto"/>
            <w:vAlign w:val="center"/>
          </w:tcPr>
          <w:p w14:paraId="3E96589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0.1 – 20</w:t>
            </w:r>
          </w:p>
        </w:tc>
        <w:tc>
          <w:tcPr>
            <w:tcW w:w="1070" w:type="pct"/>
            <w:vMerge w:val="restart"/>
            <w:tcBorders>
              <w:top w:val="single" w:color="auto" w:sz="8" w:space="0"/>
            </w:tcBorders>
            <w:shd w:val="clear" w:color="auto" w:fill="auto"/>
            <w:vAlign w:val="center"/>
          </w:tcPr>
          <w:p w14:paraId="73A8B1F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 Mb/s</w:t>
            </w:r>
          </w:p>
        </w:tc>
      </w:tr>
      <w:tr w14:paraId="653B5C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9" w:type="pct"/>
            <w:vMerge w:val="restart"/>
            <w:shd w:val="clear" w:color="auto" w:fill="auto"/>
            <w:vAlign w:val="center"/>
          </w:tcPr>
          <w:p w14:paraId="5DC3F7E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10BASE-T1S</w:t>
            </w:r>
          </w:p>
        </w:tc>
        <w:tc>
          <w:tcPr>
            <w:tcW w:w="899" w:type="pct"/>
            <w:shd w:val="clear" w:color="auto" w:fill="auto"/>
            <w:vAlign w:val="center"/>
          </w:tcPr>
          <w:p w14:paraId="207AC8D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15</w:t>
            </w:r>
          </w:p>
        </w:tc>
        <w:tc>
          <w:tcPr>
            <w:tcW w:w="900" w:type="pct"/>
            <w:shd w:val="clear" w:color="auto" w:fill="auto"/>
            <w:vAlign w:val="center"/>
          </w:tcPr>
          <w:p w14:paraId="773FADB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w:t>
            </w:r>
          </w:p>
        </w:tc>
        <w:tc>
          <w:tcPr>
            <w:tcW w:w="900" w:type="pct"/>
            <w:vMerge w:val="restart"/>
            <w:shd w:val="clear" w:color="auto" w:fill="auto"/>
            <w:vAlign w:val="center"/>
          </w:tcPr>
          <w:p w14:paraId="7A69459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0.3 – 40</w:t>
            </w:r>
          </w:p>
        </w:tc>
        <w:tc>
          <w:tcPr>
            <w:tcW w:w="1070" w:type="pct"/>
            <w:vMerge w:val="continue"/>
            <w:shd w:val="clear" w:color="auto" w:fill="auto"/>
            <w:vAlign w:val="center"/>
          </w:tcPr>
          <w:p w14:paraId="294153F3">
            <w:pPr>
              <w:widowControl/>
              <w:jc w:val="center"/>
              <w:textAlignment w:val="center"/>
              <w:rPr>
                <w:rFonts w:hint="default" w:ascii="Times New Roman" w:hAnsi="Times New Roman" w:cs="Times New Roman"/>
                <w:color w:val="auto"/>
                <w:kern w:val="0"/>
                <w:sz w:val="18"/>
                <w:szCs w:val="18"/>
                <w:highlight w:val="none"/>
                <w:lang w:val="en-US" w:eastAsia="zh-CN" w:bidi="ar"/>
              </w:rPr>
            </w:pPr>
          </w:p>
        </w:tc>
      </w:tr>
      <w:tr w14:paraId="5EE2B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9" w:type="pct"/>
            <w:vMerge w:val="continue"/>
            <w:shd w:val="clear" w:color="auto" w:fill="auto"/>
            <w:vAlign w:val="center"/>
          </w:tcPr>
          <w:p w14:paraId="37FB50CA">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899" w:type="pct"/>
            <w:shd w:val="clear" w:color="auto" w:fill="auto"/>
            <w:vAlign w:val="center"/>
          </w:tcPr>
          <w:p w14:paraId="01E8D6A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25</w:t>
            </w:r>
          </w:p>
        </w:tc>
        <w:tc>
          <w:tcPr>
            <w:tcW w:w="900" w:type="pct"/>
            <w:shd w:val="clear" w:color="auto" w:fill="auto"/>
            <w:vAlign w:val="center"/>
          </w:tcPr>
          <w:p w14:paraId="2EC823F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8</w:t>
            </w:r>
          </w:p>
        </w:tc>
        <w:tc>
          <w:tcPr>
            <w:tcW w:w="900" w:type="pct"/>
            <w:vMerge w:val="continue"/>
            <w:shd w:val="clear" w:color="auto" w:fill="auto"/>
            <w:vAlign w:val="center"/>
          </w:tcPr>
          <w:p w14:paraId="2C12725A">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1070" w:type="pct"/>
            <w:vMerge w:val="continue"/>
            <w:shd w:val="clear" w:color="auto" w:fill="auto"/>
            <w:vAlign w:val="center"/>
          </w:tcPr>
          <w:p w14:paraId="5369C662">
            <w:pPr>
              <w:widowControl/>
              <w:jc w:val="center"/>
              <w:textAlignment w:val="center"/>
              <w:rPr>
                <w:rFonts w:hint="default" w:ascii="Times New Roman" w:hAnsi="Times New Roman" w:cs="Times New Roman"/>
                <w:color w:val="auto"/>
                <w:kern w:val="0"/>
                <w:sz w:val="18"/>
                <w:szCs w:val="18"/>
                <w:highlight w:val="none"/>
                <w:lang w:val="en-US" w:eastAsia="zh-CN" w:bidi="ar"/>
              </w:rPr>
            </w:pPr>
          </w:p>
        </w:tc>
      </w:tr>
      <w:tr w14:paraId="109466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9" w:type="pct"/>
            <w:shd w:val="clear" w:color="auto" w:fill="auto"/>
            <w:vAlign w:val="center"/>
          </w:tcPr>
          <w:p w14:paraId="42C22AA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10BASE-T1S1</w:t>
            </w:r>
          </w:p>
        </w:tc>
        <w:tc>
          <w:tcPr>
            <w:tcW w:w="899" w:type="pct"/>
            <w:shd w:val="clear" w:color="auto" w:fill="auto"/>
            <w:vAlign w:val="center"/>
          </w:tcPr>
          <w:p w14:paraId="008E4E9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50</w:t>
            </w:r>
          </w:p>
        </w:tc>
        <w:tc>
          <w:tcPr>
            <w:tcW w:w="900" w:type="pct"/>
            <w:shd w:val="clear" w:color="auto" w:fill="auto"/>
            <w:vAlign w:val="center"/>
          </w:tcPr>
          <w:p w14:paraId="2A14EC3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16</w:t>
            </w:r>
          </w:p>
        </w:tc>
        <w:tc>
          <w:tcPr>
            <w:tcW w:w="900" w:type="pct"/>
            <w:vMerge w:val="continue"/>
            <w:shd w:val="clear" w:color="auto" w:fill="auto"/>
            <w:vAlign w:val="center"/>
          </w:tcPr>
          <w:p w14:paraId="61CCD863">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1070" w:type="pct"/>
            <w:vMerge w:val="continue"/>
            <w:shd w:val="clear" w:color="auto" w:fill="auto"/>
            <w:vAlign w:val="center"/>
          </w:tcPr>
          <w:p w14:paraId="7DC03458">
            <w:pPr>
              <w:widowControl/>
              <w:jc w:val="center"/>
              <w:textAlignment w:val="center"/>
              <w:rPr>
                <w:rFonts w:hint="default" w:ascii="Times New Roman" w:hAnsi="Times New Roman" w:cs="Times New Roman"/>
                <w:color w:val="auto"/>
                <w:kern w:val="0"/>
                <w:sz w:val="18"/>
                <w:szCs w:val="18"/>
                <w:highlight w:val="none"/>
                <w:lang w:val="en-US" w:eastAsia="zh-CN" w:bidi="ar"/>
              </w:rPr>
            </w:pPr>
          </w:p>
        </w:tc>
      </w:tr>
      <w:tr w14:paraId="4F4DCC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9" w:type="pct"/>
            <w:shd w:val="clear" w:color="auto" w:fill="auto"/>
            <w:vAlign w:val="center"/>
          </w:tcPr>
          <w:p w14:paraId="090C77A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100BASE-T1</w:t>
            </w:r>
          </w:p>
        </w:tc>
        <w:tc>
          <w:tcPr>
            <w:tcW w:w="899" w:type="pct"/>
            <w:shd w:val="clear" w:color="auto" w:fill="auto"/>
            <w:vAlign w:val="center"/>
          </w:tcPr>
          <w:p w14:paraId="6C812E1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15</w:t>
            </w:r>
          </w:p>
        </w:tc>
        <w:tc>
          <w:tcPr>
            <w:tcW w:w="900" w:type="pct"/>
            <w:shd w:val="clear" w:color="auto" w:fill="auto"/>
            <w:vAlign w:val="center"/>
          </w:tcPr>
          <w:p w14:paraId="4635DC8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w:t>
            </w:r>
          </w:p>
        </w:tc>
        <w:tc>
          <w:tcPr>
            <w:tcW w:w="900" w:type="pct"/>
            <w:shd w:val="clear" w:color="auto" w:fill="auto"/>
            <w:vAlign w:val="center"/>
          </w:tcPr>
          <w:p w14:paraId="08EBE2D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 – 66</w:t>
            </w:r>
          </w:p>
        </w:tc>
        <w:tc>
          <w:tcPr>
            <w:tcW w:w="1070" w:type="pct"/>
            <w:shd w:val="clear" w:color="auto" w:fill="auto"/>
            <w:vAlign w:val="center"/>
          </w:tcPr>
          <w:p w14:paraId="219279A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100 Mb/s</w:t>
            </w:r>
          </w:p>
        </w:tc>
      </w:tr>
      <w:tr w14:paraId="298111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9" w:type="pct"/>
            <w:shd w:val="clear" w:color="auto" w:fill="auto"/>
            <w:vAlign w:val="center"/>
          </w:tcPr>
          <w:p w14:paraId="44CF708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1000BASE-T1 Type A</w:t>
            </w:r>
          </w:p>
        </w:tc>
        <w:tc>
          <w:tcPr>
            <w:tcW w:w="899" w:type="pct"/>
            <w:shd w:val="clear" w:color="auto" w:fill="auto"/>
            <w:vAlign w:val="center"/>
          </w:tcPr>
          <w:p w14:paraId="300D5B6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15</w:t>
            </w:r>
          </w:p>
        </w:tc>
        <w:tc>
          <w:tcPr>
            <w:tcW w:w="900" w:type="pct"/>
            <w:vMerge w:val="restart"/>
            <w:shd w:val="clear" w:color="auto" w:fill="auto"/>
            <w:vAlign w:val="center"/>
          </w:tcPr>
          <w:p w14:paraId="691803F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w:t>
            </w:r>
          </w:p>
        </w:tc>
        <w:tc>
          <w:tcPr>
            <w:tcW w:w="900" w:type="pct"/>
            <w:vMerge w:val="restart"/>
            <w:shd w:val="clear" w:color="auto" w:fill="auto"/>
            <w:vAlign w:val="center"/>
          </w:tcPr>
          <w:p w14:paraId="28FFE87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 – 600</w:t>
            </w:r>
          </w:p>
        </w:tc>
        <w:tc>
          <w:tcPr>
            <w:tcW w:w="1070" w:type="pct"/>
            <w:vMerge w:val="restart"/>
            <w:shd w:val="clear" w:color="auto" w:fill="auto"/>
            <w:vAlign w:val="center"/>
          </w:tcPr>
          <w:p w14:paraId="3CF19DD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1000 Mb/s</w:t>
            </w:r>
          </w:p>
        </w:tc>
      </w:tr>
      <w:tr w14:paraId="1ACCEF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9" w:type="pct"/>
            <w:shd w:val="clear" w:color="auto" w:fill="auto"/>
            <w:vAlign w:val="center"/>
          </w:tcPr>
          <w:p w14:paraId="1C433E7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1000BASE-T1 Type B</w:t>
            </w:r>
          </w:p>
        </w:tc>
        <w:tc>
          <w:tcPr>
            <w:tcW w:w="899" w:type="pct"/>
            <w:shd w:val="clear" w:color="auto" w:fill="auto"/>
            <w:vAlign w:val="center"/>
          </w:tcPr>
          <w:p w14:paraId="163FEF3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40</w:t>
            </w:r>
          </w:p>
        </w:tc>
        <w:tc>
          <w:tcPr>
            <w:tcW w:w="900" w:type="pct"/>
            <w:vMerge w:val="continue"/>
            <w:shd w:val="clear" w:color="auto" w:fill="auto"/>
            <w:vAlign w:val="center"/>
          </w:tcPr>
          <w:p w14:paraId="6CCF1D3F">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900" w:type="pct"/>
            <w:vMerge w:val="continue"/>
            <w:shd w:val="clear" w:color="auto" w:fill="auto"/>
            <w:vAlign w:val="center"/>
          </w:tcPr>
          <w:p w14:paraId="2790D46C">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1070" w:type="pct"/>
            <w:vMerge w:val="continue"/>
            <w:shd w:val="clear" w:color="auto" w:fill="auto"/>
            <w:vAlign w:val="center"/>
          </w:tcPr>
          <w:p w14:paraId="29EA7581">
            <w:pPr>
              <w:widowControl/>
              <w:jc w:val="center"/>
              <w:textAlignment w:val="center"/>
              <w:rPr>
                <w:rFonts w:hint="default" w:ascii="Times New Roman" w:hAnsi="Times New Roman" w:cs="Times New Roman"/>
                <w:color w:val="auto"/>
                <w:kern w:val="0"/>
                <w:sz w:val="18"/>
                <w:szCs w:val="18"/>
                <w:highlight w:val="none"/>
                <w:lang w:val="en-US" w:eastAsia="zh-CN" w:bidi="ar"/>
              </w:rPr>
            </w:pPr>
          </w:p>
        </w:tc>
      </w:tr>
      <w:tr w14:paraId="2AB8A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9" w:type="pct"/>
            <w:shd w:val="clear" w:color="auto" w:fill="auto"/>
            <w:vAlign w:val="center"/>
          </w:tcPr>
          <w:p w14:paraId="42580AC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2.5GBASE-T1</w:t>
            </w:r>
          </w:p>
        </w:tc>
        <w:tc>
          <w:tcPr>
            <w:tcW w:w="899" w:type="pct"/>
            <w:vMerge w:val="restart"/>
            <w:shd w:val="clear" w:color="auto" w:fill="auto"/>
            <w:vAlign w:val="center"/>
          </w:tcPr>
          <w:p w14:paraId="69FE937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15</w:t>
            </w:r>
          </w:p>
        </w:tc>
        <w:tc>
          <w:tcPr>
            <w:tcW w:w="900" w:type="pct"/>
            <w:vMerge w:val="restart"/>
            <w:shd w:val="clear" w:color="auto" w:fill="auto"/>
            <w:vAlign w:val="center"/>
          </w:tcPr>
          <w:p w14:paraId="0353613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w:t>
            </w:r>
          </w:p>
        </w:tc>
        <w:tc>
          <w:tcPr>
            <w:tcW w:w="900" w:type="pct"/>
            <w:shd w:val="clear" w:color="auto" w:fill="auto"/>
            <w:vAlign w:val="center"/>
          </w:tcPr>
          <w:p w14:paraId="7160B47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 – 1000</w:t>
            </w:r>
          </w:p>
        </w:tc>
        <w:tc>
          <w:tcPr>
            <w:tcW w:w="1070" w:type="pct"/>
            <w:shd w:val="clear" w:color="auto" w:fill="auto"/>
            <w:vAlign w:val="center"/>
          </w:tcPr>
          <w:p w14:paraId="05862EB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2.5 Gb/s</w:t>
            </w:r>
          </w:p>
        </w:tc>
      </w:tr>
      <w:tr w14:paraId="093D5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9" w:type="pct"/>
            <w:shd w:val="clear" w:color="auto" w:fill="auto"/>
            <w:vAlign w:val="center"/>
          </w:tcPr>
          <w:p w14:paraId="4AAD202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5GBASE-T1</w:t>
            </w:r>
          </w:p>
        </w:tc>
        <w:tc>
          <w:tcPr>
            <w:tcW w:w="899" w:type="pct"/>
            <w:vMerge w:val="continue"/>
            <w:shd w:val="clear" w:color="auto" w:fill="auto"/>
            <w:vAlign w:val="center"/>
          </w:tcPr>
          <w:p w14:paraId="06ADF9AF">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900" w:type="pct"/>
            <w:vMerge w:val="continue"/>
            <w:shd w:val="clear" w:color="auto" w:fill="auto"/>
            <w:vAlign w:val="center"/>
          </w:tcPr>
          <w:p w14:paraId="2AF7737B">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900" w:type="pct"/>
            <w:shd w:val="clear" w:color="auto" w:fill="auto"/>
            <w:vAlign w:val="center"/>
          </w:tcPr>
          <w:p w14:paraId="473D651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 – 2000</w:t>
            </w:r>
          </w:p>
        </w:tc>
        <w:tc>
          <w:tcPr>
            <w:tcW w:w="1070" w:type="pct"/>
            <w:shd w:val="clear" w:color="auto" w:fill="auto"/>
            <w:vAlign w:val="center"/>
          </w:tcPr>
          <w:p w14:paraId="7BE7577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 Gb/s</w:t>
            </w:r>
          </w:p>
        </w:tc>
      </w:tr>
      <w:tr w14:paraId="60F8FE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9" w:type="pct"/>
            <w:shd w:val="clear" w:color="auto" w:fill="auto"/>
            <w:vAlign w:val="center"/>
          </w:tcPr>
          <w:p w14:paraId="49631B1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10GBASE-T1</w:t>
            </w:r>
          </w:p>
        </w:tc>
        <w:tc>
          <w:tcPr>
            <w:tcW w:w="899" w:type="pct"/>
            <w:vMerge w:val="continue"/>
            <w:shd w:val="clear" w:color="auto" w:fill="auto"/>
            <w:vAlign w:val="center"/>
          </w:tcPr>
          <w:p w14:paraId="1197B7EB">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900" w:type="pct"/>
            <w:vMerge w:val="continue"/>
            <w:shd w:val="clear" w:color="auto" w:fill="auto"/>
            <w:vAlign w:val="center"/>
          </w:tcPr>
          <w:p w14:paraId="1D7F3DB8">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900" w:type="pct"/>
            <w:shd w:val="clear" w:color="auto" w:fill="auto"/>
            <w:vAlign w:val="center"/>
          </w:tcPr>
          <w:p w14:paraId="0D843F6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 – 4000</w:t>
            </w:r>
          </w:p>
        </w:tc>
        <w:tc>
          <w:tcPr>
            <w:tcW w:w="1070" w:type="pct"/>
            <w:shd w:val="clear" w:color="auto" w:fill="auto"/>
            <w:vAlign w:val="center"/>
          </w:tcPr>
          <w:p w14:paraId="74DA072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 Gb/s</w:t>
            </w:r>
          </w:p>
        </w:tc>
      </w:tr>
      <w:tr w14:paraId="48166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9" w:type="pct"/>
            <w:tcBorders>
              <w:bottom w:val="single" w:color="auto" w:sz="8" w:space="0"/>
            </w:tcBorders>
            <w:shd w:val="clear" w:color="auto" w:fill="auto"/>
            <w:vAlign w:val="center"/>
          </w:tcPr>
          <w:p w14:paraId="1F11452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25GBASE-T1</w:t>
            </w:r>
          </w:p>
        </w:tc>
        <w:tc>
          <w:tcPr>
            <w:tcW w:w="899" w:type="pct"/>
            <w:tcBorders>
              <w:bottom w:val="single" w:color="auto" w:sz="8" w:space="0"/>
            </w:tcBorders>
            <w:shd w:val="clear" w:color="auto" w:fill="auto"/>
            <w:vAlign w:val="center"/>
          </w:tcPr>
          <w:p w14:paraId="71E3099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11</w:t>
            </w:r>
          </w:p>
        </w:tc>
        <w:tc>
          <w:tcPr>
            <w:tcW w:w="900" w:type="pct"/>
            <w:tcBorders>
              <w:bottom w:val="single" w:color="auto" w:sz="8" w:space="0"/>
            </w:tcBorders>
            <w:shd w:val="clear" w:color="auto" w:fill="auto"/>
            <w:vAlign w:val="center"/>
          </w:tcPr>
          <w:p w14:paraId="2CC4565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w:t>
            </w:r>
          </w:p>
        </w:tc>
        <w:tc>
          <w:tcPr>
            <w:tcW w:w="900" w:type="pct"/>
            <w:tcBorders>
              <w:bottom w:val="single" w:color="auto" w:sz="8" w:space="0"/>
            </w:tcBorders>
            <w:shd w:val="clear" w:color="auto" w:fill="auto"/>
            <w:vAlign w:val="center"/>
          </w:tcPr>
          <w:p w14:paraId="3403F70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 – 9000</w:t>
            </w:r>
          </w:p>
        </w:tc>
        <w:tc>
          <w:tcPr>
            <w:tcW w:w="1070" w:type="pct"/>
            <w:tcBorders>
              <w:bottom w:val="single" w:color="auto" w:sz="8" w:space="0"/>
            </w:tcBorders>
            <w:shd w:val="clear" w:color="auto" w:fill="auto"/>
            <w:vAlign w:val="center"/>
          </w:tcPr>
          <w:p w14:paraId="6E31F48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25 Gb/s</w:t>
            </w:r>
          </w:p>
        </w:tc>
      </w:tr>
      <w:tr w14:paraId="6A2A6D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single" w:color="auto" w:sz="8" w:space="0"/>
            </w:tcBorders>
            <w:shd w:val="clear" w:color="auto" w:fill="auto"/>
            <w:vAlign w:val="center"/>
          </w:tcPr>
          <w:p w14:paraId="2ADCDAA0">
            <w:pPr>
              <w:pStyle w:val="69"/>
              <w:widowControl/>
              <w:jc w:val="left"/>
              <w:textAlignment w:val="center"/>
              <w:rPr>
                <w:rFonts w:hint="default" w:ascii="Times New Roman" w:hAnsi="Times New Roman" w:cs="Times New Roman"/>
                <w:color w:val="auto"/>
                <w:kern w:val="0"/>
                <w:szCs w:val="18"/>
                <w:highlight w:val="none"/>
                <w:lang w:val="en-US" w:eastAsia="zh-CN" w:bidi="ar"/>
              </w:rPr>
            </w:pPr>
            <w:r>
              <w:rPr>
                <w:rFonts w:hint="eastAsia"/>
                <w:color w:val="auto"/>
                <w:lang w:val="en-US" w:eastAsia="zh-CN"/>
              </w:rPr>
              <w:t>SPE类型中的10BASE-T1S1目前处于草案阶段。</w:t>
            </w:r>
          </w:p>
        </w:tc>
      </w:tr>
    </w:tbl>
    <w:p w14:paraId="2FED6FC0">
      <w:pPr>
        <w:rPr>
          <w:rFonts w:hint="default" w:ascii="Times New Roman" w:hAnsi="Times New Roman" w:eastAsia="宋体" w:cs="Times New Roman"/>
          <w:color w:val="auto"/>
          <w:highlight w:val="none"/>
          <w:lang w:val="en-US" w:eastAsia="zh-CN"/>
        </w:rPr>
      </w:pPr>
    </w:p>
    <w:p w14:paraId="433FAD9F">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单对以太网系统信道分类应符合表2及表3的要求。</w:t>
      </w:r>
    </w:p>
    <w:p w14:paraId="6227169A">
      <w:pPr>
        <w:pStyle w:val="132"/>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最高工作频率20 MHz的单对以太网信道分类</w:t>
      </w:r>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2268"/>
        <w:gridCol w:w="2268"/>
        <w:gridCol w:w="2268"/>
      </w:tblGrid>
      <w:tr w14:paraId="086828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46" w:type="dxa"/>
            <w:tcBorders>
              <w:bottom w:val="single" w:color="auto" w:sz="8" w:space="0"/>
            </w:tcBorders>
            <w:vAlign w:val="center"/>
          </w:tcPr>
          <w:p w14:paraId="7BEB432E">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信道类别</w:t>
            </w:r>
          </w:p>
        </w:tc>
        <w:tc>
          <w:tcPr>
            <w:tcW w:w="2268" w:type="dxa"/>
            <w:tcBorders>
              <w:bottom w:val="single" w:color="auto" w:sz="8" w:space="0"/>
            </w:tcBorders>
            <w:vAlign w:val="center"/>
          </w:tcPr>
          <w:p w14:paraId="68BF975C">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最长距离（m）</w:t>
            </w:r>
          </w:p>
        </w:tc>
        <w:tc>
          <w:tcPr>
            <w:tcW w:w="2268" w:type="dxa"/>
            <w:tcBorders>
              <w:bottom w:val="single" w:color="auto" w:sz="8" w:space="0"/>
            </w:tcBorders>
            <w:vAlign w:val="center"/>
          </w:tcPr>
          <w:p w14:paraId="377A32AC">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最多连接点</w:t>
            </w:r>
          </w:p>
        </w:tc>
        <w:tc>
          <w:tcPr>
            <w:tcW w:w="2268" w:type="dxa"/>
            <w:tcBorders>
              <w:bottom w:val="single" w:color="auto" w:sz="8" w:space="0"/>
            </w:tcBorders>
            <w:vAlign w:val="center"/>
          </w:tcPr>
          <w:p w14:paraId="080B857E">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工作频率（MHz）</w:t>
            </w:r>
          </w:p>
        </w:tc>
      </w:tr>
      <w:tr w14:paraId="55B4D1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6" w:type="dxa"/>
            <w:tcBorders>
              <w:top w:val="single" w:color="auto" w:sz="8" w:space="0"/>
            </w:tcBorders>
            <w:vAlign w:val="center"/>
          </w:tcPr>
          <w:p w14:paraId="17F742A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SP1-1000</w:t>
            </w:r>
          </w:p>
        </w:tc>
        <w:tc>
          <w:tcPr>
            <w:tcW w:w="2268" w:type="dxa"/>
            <w:tcBorders>
              <w:top w:val="single" w:color="auto" w:sz="8" w:space="0"/>
            </w:tcBorders>
            <w:vAlign w:val="center"/>
          </w:tcPr>
          <w:p w14:paraId="22F670D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1000</w:t>
            </w:r>
          </w:p>
        </w:tc>
        <w:tc>
          <w:tcPr>
            <w:tcW w:w="2268" w:type="dxa"/>
            <w:tcBorders>
              <w:top w:val="single" w:color="auto" w:sz="8" w:space="0"/>
            </w:tcBorders>
            <w:vAlign w:val="center"/>
          </w:tcPr>
          <w:p w14:paraId="139F8D5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w:t>
            </w:r>
          </w:p>
        </w:tc>
        <w:tc>
          <w:tcPr>
            <w:tcW w:w="2268" w:type="dxa"/>
            <w:tcBorders>
              <w:top w:val="single" w:color="auto" w:sz="8" w:space="0"/>
            </w:tcBorders>
            <w:vAlign w:val="center"/>
          </w:tcPr>
          <w:p w14:paraId="66DCB7F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0.1–20</w:t>
            </w:r>
          </w:p>
        </w:tc>
      </w:tr>
      <w:tr w14:paraId="78C0AC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4E2FC60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SP1-400</w:t>
            </w:r>
          </w:p>
        </w:tc>
        <w:tc>
          <w:tcPr>
            <w:tcW w:w="2268" w:type="dxa"/>
            <w:vAlign w:val="center"/>
          </w:tcPr>
          <w:p w14:paraId="6E00C3C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400</w:t>
            </w:r>
          </w:p>
        </w:tc>
        <w:tc>
          <w:tcPr>
            <w:tcW w:w="2268" w:type="dxa"/>
            <w:vAlign w:val="center"/>
          </w:tcPr>
          <w:p w14:paraId="36BE310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w:t>
            </w:r>
          </w:p>
        </w:tc>
        <w:tc>
          <w:tcPr>
            <w:tcW w:w="2268" w:type="dxa"/>
            <w:vAlign w:val="center"/>
          </w:tcPr>
          <w:p w14:paraId="34A898F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0.1–20</w:t>
            </w:r>
          </w:p>
        </w:tc>
      </w:tr>
    </w:tbl>
    <w:p w14:paraId="7B605C9A">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14:paraId="2EC38380">
      <w:pPr>
        <w:pStyle w:val="132"/>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最高工作频率600 MHz的单对以太网信道分类</w:t>
      </w:r>
    </w:p>
    <w:tbl>
      <w:tblPr>
        <w:tblStyle w:val="37"/>
        <w:tblW w:w="85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2268"/>
        <w:gridCol w:w="2268"/>
        <w:gridCol w:w="2268"/>
      </w:tblGrid>
      <w:tr w14:paraId="578E97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1746" w:type="dxa"/>
            <w:tcBorders>
              <w:bottom w:val="single" w:color="auto" w:sz="8" w:space="0"/>
            </w:tcBorders>
            <w:vAlign w:val="center"/>
          </w:tcPr>
          <w:p w14:paraId="1F648CFF">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信道类别</w:t>
            </w:r>
          </w:p>
        </w:tc>
        <w:tc>
          <w:tcPr>
            <w:tcW w:w="2268" w:type="dxa"/>
            <w:tcBorders>
              <w:bottom w:val="single" w:color="auto" w:sz="8" w:space="0"/>
            </w:tcBorders>
            <w:vAlign w:val="center"/>
          </w:tcPr>
          <w:p w14:paraId="2D8283CC">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最长距离（m）</w:t>
            </w:r>
          </w:p>
        </w:tc>
        <w:tc>
          <w:tcPr>
            <w:tcW w:w="2268" w:type="dxa"/>
            <w:tcBorders>
              <w:bottom w:val="single" w:color="auto" w:sz="8" w:space="0"/>
            </w:tcBorders>
            <w:vAlign w:val="center"/>
          </w:tcPr>
          <w:p w14:paraId="576C27BC">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最多连接点</w:t>
            </w:r>
          </w:p>
        </w:tc>
        <w:tc>
          <w:tcPr>
            <w:tcW w:w="2268" w:type="dxa"/>
            <w:tcBorders>
              <w:bottom w:val="single" w:color="auto" w:sz="8" w:space="0"/>
            </w:tcBorders>
            <w:vAlign w:val="center"/>
          </w:tcPr>
          <w:p w14:paraId="7FCE288A">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工作频率（MHz）</w:t>
            </w:r>
          </w:p>
        </w:tc>
      </w:tr>
      <w:tr w14:paraId="1D8B04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tcBorders>
              <w:top w:val="single" w:color="auto" w:sz="8" w:space="0"/>
            </w:tcBorders>
            <w:vAlign w:val="center"/>
          </w:tcPr>
          <w:p w14:paraId="38ADE6E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Type A</w:t>
            </w:r>
          </w:p>
        </w:tc>
        <w:tc>
          <w:tcPr>
            <w:tcW w:w="2268" w:type="dxa"/>
            <w:tcBorders>
              <w:top w:val="single" w:color="auto" w:sz="8" w:space="0"/>
            </w:tcBorders>
            <w:vAlign w:val="center"/>
          </w:tcPr>
          <w:p w14:paraId="33F352C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15</w:t>
            </w:r>
          </w:p>
        </w:tc>
        <w:tc>
          <w:tcPr>
            <w:tcW w:w="2268" w:type="dxa"/>
            <w:tcBorders>
              <w:top w:val="single" w:color="auto" w:sz="8" w:space="0"/>
            </w:tcBorders>
            <w:vAlign w:val="center"/>
          </w:tcPr>
          <w:p w14:paraId="64C617F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w:t>
            </w:r>
          </w:p>
        </w:tc>
        <w:tc>
          <w:tcPr>
            <w:tcW w:w="2268" w:type="dxa"/>
            <w:tcBorders>
              <w:top w:val="single" w:color="auto" w:sz="8" w:space="0"/>
            </w:tcBorders>
            <w:vAlign w:val="center"/>
          </w:tcPr>
          <w:p w14:paraId="693691F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 – 600</w:t>
            </w:r>
          </w:p>
        </w:tc>
      </w:tr>
      <w:tr w14:paraId="0C78F4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373A9F7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Type B</w:t>
            </w:r>
          </w:p>
        </w:tc>
        <w:tc>
          <w:tcPr>
            <w:tcW w:w="2268" w:type="dxa"/>
            <w:vAlign w:val="center"/>
          </w:tcPr>
          <w:p w14:paraId="608159F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40</w:t>
            </w:r>
          </w:p>
        </w:tc>
        <w:tc>
          <w:tcPr>
            <w:tcW w:w="2268" w:type="dxa"/>
            <w:vAlign w:val="center"/>
          </w:tcPr>
          <w:p w14:paraId="669C9FA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w:t>
            </w:r>
          </w:p>
        </w:tc>
        <w:tc>
          <w:tcPr>
            <w:tcW w:w="2268" w:type="dxa"/>
            <w:vAlign w:val="center"/>
          </w:tcPr>
          <w:p w14:paraId="07EA150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 – 600</w:t>
            </w:r>
          </w:p>
        </w:tc>
      </w:tr>
    </w:tbl>
    <w:p w14:paraId="7716E90C">
      <w:pPr>
        <w:rPr>
          <w:rFonts w:hint="default"/>
          <w:color w:val="auto"/>
          <w:lang w:val="en-US" w:eastAsia="zh-CN"/>
        </w:rPr>
      </w:pPr>
    </w:p>
    <w:p w14:paraId="2091003C">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单对以太网系统信道应按工作环境进行分级，环境等级应符合《信息技术用户建筑群通用布缆 第1部分：通用要求》GB/T 18233.1的相关要求。</w:t>
      </w:r>
    </w:p>
    <w:p w14:paraId="0D2196C4">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单对以太网系统传输性能应满足信道分类及环境等级要求。</w:t>
      </w:r>
    </w:p>
    <w:p w14:paraId="34A8C4B3">
      <w:pPr>
        <w:pStyle w:val="76"/>
        <w:outlineLvl w:val="1"/>
        <w:rPr>
          <w:rFonts w:hint="default" w:ascii="Times New Roman" w:hAnsi="Times New Roman" w:cs="Times New Roman"/>
          <w:color w:val="auto"/>
          <w:highlight w:val="none"/>
        </w:rPr>
      </w:pPr>
      <w:bookmarkStart w:id="276" w:name="_Toc14043"/>
      <w:bookmarkStart w:id="277" w:name="_Toc20093"/>
      <w:r>
        <w:rPr>
          <w:rFonts w:hint="default" w:ascii="Times New Roman" w:hAnsi="Times New Roman" w:cs="Times New Roman"/>
          <w:color w:val="auto"/>
          <w:highlight w:val="none"/>
        </w:rPr>
        <w:t>SPE系统供电要求</w:t>
      </w:r>
      <w:bookmarkEnd w:id="276"/>
      <w:bookmarkEnd w:id="277"/>
    </w:p>
    <w:p w14:paraId="36B8404A">
      <w:pPr>
        <w:pStyle w:val="75"/>
        <w:spacing w:before="156" w:after="15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PoDL系统应由PSE、链路及PD组成。</w:t>
      </w:r>
    </w:p>
    <w:p w14:paraId="4EDB4B6C">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单对以太网系统应具备由PSE通过单对双绞线向PD供电的能力。</w:t>
      </w:r>
    </w:p>
    <w:p w14:paraId="4BAB905C">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PoDL系统可分为A、B、C、D、E五类，与SPE类型的兼容性应符合表4的要求。</w:t>
      </w:r>
    </w:p>
    <w:p w14:paraId="095A57D1">
      <w:pPr>
        <w:pStyle w:val="132"/>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PoDL分类及兼容性</w:t>
      </w:r>
    </w:p>
    <w:tbl>
      <w:tblPr>
        <w:tblStyle w:val="36"/>
        <w:tblW w:w="4465"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29"/>
        <w:gridCol w:w="1245"/>
        <w:gridCol w:w="1247"/>
        <w:gridCol w:w="1247"/>
        <w:gridCol w:w="1531"/>
        <w:gridCol w:w="1247"/>
      </w:tblGrid>
      <w:tr w14:paraId="70E6AD5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blHeader/>
          <w:jc w:val="center"/>
        </w:trPr>
        <w:tc>
          <w:tcPr>
            <w:tcW w:w="1187" w:type="pct"/>
            <w:tcBorders>
              <w:bottom w:val="single" w:color="auto" w:sz="8" w:space="0"/>
              <w:right w:val="single" w:color="000000" w:sz="4" w:space="0"/>
            </w:tcBorders>
            <w:shd w:val="clear" w:color="auto" w:fill="auto"/>
            <w:vAlign w:val="center"/>
          </w:tcPr>
          <w:p w14:paraId="3253F02E">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类型</w:t>
            </w:r>
          </w:p>
        </w:tc>
        <w:tc>
          <w:tcPr>
            <w:tcW w:w="728" w:type="pct"/>
            <w:tcBorders>
              <w:left w:val="single" w:color="000000" w:sz="4" w:space="0"/>
              <w:bottom w:val="single" w:color="auto" w:sz="8" w:space="0"/>
              <w:right w:val="single" w:color="000000" w:sz="4" w:space="0"/>
            </w:tcBorders>
            <w:shd w:val="clear" w:color="auto" w:fill="auto"/>
            <w:vAlign w:val="center"/>
          </w:tcPr>
          <w:p w14:paraId="38C1A9FC">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A</w:t>
            </w:r>
          </w:p>
        </w:tc>
        <w:tc>
          <w:tcPr>
            <w:tcW w:w="729" w:type="pct"/>
            <w:tcBorders>
              <w:left w:val="single" w:color="000000" w:sz="4" w:space="0"/>
              <w:bottom w:val="single" w:color="auto" w:sz="8" w:space="0"/>
              <w:right w:val="single" w:color="000000" w:sz="4" w:space="0"/>
            </w:tcBorders>
            <w:shd w:val="clear" w:color="auto" w:fill="auto"/>
            <w:vAlign w:val="center"/>
          </w:tcPr>
          <w:p w14:paraId="5F834637">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B</w:t>
            </w:r>
          </w:p>
        </w:tc>
        <w:tc>
          <w:tcPr>
            <w:tcW w:w="729" w:type="pct"/>
            <w:tcBorders>
              <w:left w:val="single" w:color="000000" w:sz="4" w:space="0"/>
              <w:bottom w:val="single" w:color="auto" w:sz="8" w:space="0"/>
              <w:right w:val="single" w:color="000000" w:sz="4" w:space="0"/>
            </w:tcBorders>
            <w:shd w:val="clear" w:color="auto" w:fill="auto"/>
            <w:vAlign w:val="center"/>
          </w:tcPr>
          <w:p w14:paraId="714E2566">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C</w:t>
            </w:r>
          </w:p>
        </w:tc>
        <w:tc>
          <w:tcPr>
            <w:tcW w:w="895" w:type="pct"/>
            <w:tcBorders>
              <w:left w:val="single" w:color="000000" w:sz="4" w:space="0"/>
              <w:bottom w:val="single" w:color="auto" w:sz="8" w:space="0"/>
              <w:right w:val="single" w:color="000000" w:sz="4" w:space="0"/>
            </w:tcBorders>
            <w:shd w:val="clear" w:color="auto" w:fill="auto"/>
            <w:vAlign w:val="center"/>
          </w:tcPr>
          <w:p w14:paraId="71DE7495">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D</w:t>
            </w:r>
          </w:p>
        </w:tc>
        <w:tc>
          <w:tcPr>
            <w:tcW w:w="729" w:type="pct"/>
            <w:tcBorders>
              <w:left w:val="single" w:color="000000" w:sz="4" w:space="0"/>
              <w:bottom w:val="single" w:color="auto" w:sz="8" w:space="0"/>
            </w:tcBorders>
            <w:shd w:val="clear" w:color="auto" w:fill="auto"/>
            <w:vAlign w:val="center"/>
          </w:tcPr>
          <w:p w14:paraId="650CD54C">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E</w:t>
            </w:r>
          </w:p>
        </w:tc>
      </w:tr>
      <w:tr w14:paraId="778D34F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187" w:type="pct"/>
            <w:tcBorders>
              <w:top w:val="single" w:color="auto" w:sz="8" w:space="0"/>
              <w:bottom w:val="single" w:color="000000" w:sz="4" w:space="0"/>
              <w:right w:val="single" w:color="000000" w:sz="4" w:space="0"/>
            </w:tcBorders>
            <w:shd w:val="clear" w:color="auto" w:fill="auto"/>
            <w:vAlign w:val="center"/>
          </w:tcPr>
          <w:p w14:paraId="4D2F766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10BASE-T1S</w:t>
            </w:r>
          </w:p>
        </w:tc>
        <w:tc>
          <w:tcPr>
            <w:tcW w:w="728" w:type="pct"/>
            <w:tcBorders>
              <w:top w:val="single" w:color="auto" w:sz="8" w:space="0"/>
              <w:left w:val="single" w:color="000000" w:sz="4" w:space="0"/>
              <w:bottom w:val="single" w:color="000000" w:sz="4" w:space="0"/>
              <w:right w:val="single" w:color="000000" w:sz="4" w:space="0"/>
            </w:tcBorders>
            <w:shd w:val="clear" w:color="auto" w:fill="auto"/>
            <w:vAlign w:val="center"/>
          </w:tcPr>
          <w:p w14:paraId="13D1095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兼容</w:t>
            </w:r>
          </w:p>
        </w:tc>
        <w:tc>
          <w:tcPr>
            <w:tcW w:w="729" w:type="pct"/>
            <w:tcBorders>
              <w:top w:val="single" w:color="auto" w:sz="8" w:space="0"/>
              <w:left w:val="single" w:color="000000" w:sz="4" w:space="0"/>
              <w:bottom w:val="single" w:color="000000" w:sz="4" w:space="0"/>
              <w:right w:val="single" w:color="000000" w:sz="4" w:space="0"/>
            </w:tcBorders>
            <w:shd w:val="clear" w:color="auto" w:fill="auto"/>
            <w:vAlign w:val="center"/>
          </w:tcPr>
          <w:p w14:paraId="008DBDC9">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729" w:type="pct"/>
            <w:tcBorders>
              <w:top w:val="single" w:color="auto" w:sz="8" w:space="0"/>
              <w:left w:val="single" w:color="000000" w:sz="4" w:space="0"/>
              <w:bottom w:val="single" w:color="000000" w:sz="4" w:space="0"/>
              <w:right w:val="single" w:color="000000" w:sz="4" w:space="0"/>
            </w:tcBorders>
            <w:shd w:val="clear" w:color="auto" w:fill="auto"/>
            <w:vAlign w:val="center"/>
          </w:tcPr>
          <w:p w14:paraId="0FE7592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兼容</w:t>
            </w:r>
          </w:p>
        </w:tc>
        <w:tc>
          <w:tcPr>
            <w:tcW w:w="895" w:type="pct"/>
            <w:tcBorders>
              <w:top w:val="single" w:color="auto" w:sz="8" w:space="0"/>
              <w:left w:val="single" w:color="000000" w:sz="4" w:space="0"/>
              <w:bottom w:val="single" w:color="000000" w:sz="4" w:space="0"/>
              <w:right w:val="single" w:color="000000" w:sz="4" w:space="0"/>
            </w:tcBorders>
            <w:shd w:val="clear" w:color="auto" w:fill="auto"/>
            <w:noWrap/>
            <w:vAlign w:val="center"/>
          </w:tcPr>
          <w:p w14:paraId="5D897668">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729" w:type="pct"/>
            <w:tcBorders>
              <w:top w:val="single" w:color="auto" w:sz="8" w:space="0"/>
              <w:left w:val="single" w:color="000000" w:sz="4" w:space="0"/>
              <w:bottom w:val="single" w:color="000000" w:sz="4" w:space="0"/>
            </w:tcBorders>
            <w:shd w:val="clear" w:color="auto" w:fill="auto"/>
            <w:noWrap/>
            <w:vAlign w:val="center"/>
          </w:tcPr>
          <w:p w14:paraId="2DEB874E">
            <w:pPr>
              <w:widowControl/>
              <w:jc w:val="center"/>
              <w:textAlignment w:val="center"/>
              <w:rPr>
                <w:rFonts w:hint="default" w:ascii="Times New Roman" w:hAnsi="Times New Roman" w:cs="Times New Roman"/>
                <w:color w:val="auto"/>
                <w:kern w:val="0"/>
                <w:sz w:val="18"/>
                <w:szCs w:val="18"/>
                <w:highlight w:val="none"/>
                <w:lang w:val="en-US" w:eastAsia="zh-CN" w:bidi="ar"/>
              </w:rPr>
            </w:pPr>
          </w:p>
        </w:tc>
      </w:tr>
      <w:tr w14:paraId="5353A36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187" w:type="pct"/>
            <w:tcBorders>
              <w:top w:val="single" w:color="000000" w:sz="4" w:space="0"/>
              <w:bottom w:val="single" w:color="000000" w:sz="4" w:space="0"/>
              <w:right w:val="single" w:color="000000" w:sz="4" w:space="0"/>
            </w:tcBorders>
            <w:shd w:val="clear" w:color="auto" w:fill="auto"/>
            <w:vAlign w:val="center"/>
          </w:tcPr>
          <w:p w14:paraId="7EC6318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10BASE-T1L</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4A872">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04806">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9A359">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36927">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729" w:type="pct"/>
            <w:tcBorders>
              <w:top w:val="single" w:color="000000" w:sz="4" w:space="0"/>
              <w:left w:val="single" w:color="000000" w:sz="4" w:space="0"/>
              <w:bottom w:val="single" w:color="000000" w:sz="4" w:space="0"/>
            </w:tcBorders>
            <w:shd w:val="clear" w:color="auto" w:fill="auto"/>
            <w:noWrap/>
            <w:vAlign w:val="center"/>
          </w:tcPr>
          <w:p w14:paraId="02B8E8A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兼容</w:t>
            </w:r>
          </w:p>
        </w:tc>
      </w:tr>
      <w:tr w14:paraId="4573C02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187" w:type="pct"/>
            <w:tcBorders>
              <w:top w:val="single" w:color="000000" w:sz="4" w:space="0"/>
              <w:bottom w:val="single" w:color="000000" w:sz="4" w:space="0"/>
              <w:right w:val="single" w:color="000000" w:sz="4" w:space="0"/>
            </w:tcBorders>
            <w:shd w:val="clear" w:color="auto" w:fill="auto"/>
            <w:vAlign w:val="center"/>
          </w:tcPr>
          <w:p w14:paraId="425BC1A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100BASE-T1</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E2AF2">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7E44A">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E172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兼容</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379E5">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729" w:type="pct"/>
            <w:tcBorders>
              <w:top w:val="single" w:color="000000" w:sz="4" w:space="0"/>
              <w:left w:val="single" w:color="000000" w:sz="4" w:space="0"/>
              <w:bottom w:val="single" w:color="000000" w:sz="4" w:space="0"/>
            </w:tcBorders>
            <w:shd w:val="clear" w:color="auto" w:fill="auto"/>
            <w:noWrap/>
            <w:vAlign w:val="center"/>
          </w:tcPr>
          <w:p w14:paraId="13BA317B">
            <w:pPr>
              <w:widowControl/>
              <w:jc w:val="center"/>
              <w:textAlignment w:val="center"/>
              <w:rPr>
                <w:rFonts w:hint="default" w:ascii="Times New Roman" w:hAnsi="Times New Roman" w:cs="Times New Roman"/>
                <w:color w:val="auto"/>
                <w:kern w:val="0"/>
                <w:sz w:val="18"/>
                <w:szCs w:val="18"/>
                <w:highlight w:val="none"/>
                <w:lang w:val="en-US" w:eastAsia="zh-CN" w:bidi="ar"/>
              </w:rPr>
            </w:pPr>
          </w:p>
        </w:tc>
      </w:tr>
      <w:tr w14:paraId="6B4D014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187" w:type="pct"/>
            <w:tcBorders>
              <w:top w:val="single" w:color="000000" w:sz="4" w:space="0"/>
              <w:bottom w:val="single" w:color="000000" w:sz="4" w:space="0"/>
              <w:right w:val="single" w:color="000000" w:sz="4" w:space="0"/>
            </w:tcBorders>
            <w:shd w:val="clear" w:color="auto" w:fill="auto"/>
            <w:vAlign w:val="center"/>
          </w:tcPr>
          <w:p w14:paraId="6740666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1000BASE-T1</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DF58B">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AA8E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兼容</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A3A6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兼容</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A3683">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729" w:type="pct"/>
            <w:tcBorders>
              <w:top w:val="single" w:color="000000" w:sz="4" w:space="0"/>
              <w:left w:val="single" w:color="000000" w:sz="4" w:space="0"/>
              <w:bottom w:val="single" w:color="000000" w:sz="4" w:space="0"/>
            </w:tcBorders>
            <w:shd w:val="clear" w:color="auto" w:fill="auto"/>
            <w:noWrap/>
            <w:vAlign w:val="center"/>
          </w:tcPr>
          <w:p w14:paraId="76145E71">
            <w:pPr>
              <w:widowControl/>
              <w:jc w:val="center"/>
              <w:textAlignment w:val="center"/>
              <w:rPr>
                <w:rFonts w:hint="default" w:ascii="Times New Roman" w:hAnsi="Times New Roman" w:cs="Times New Roman"/>
                <w:color w:val="auto"/>
                <w:kern w:val="0"/>
                <w:sz w:val="18"/>
                <w:szCs w:val="18"/>
                <w:highlight w:val="none"/>
                <w:lang w:val="en-US" w:eastAsia="zh-CN" w:bidi="ar"/>
              </w:rPr>
            </w:pPr>
          </w:p>
        </w:tc>
      </w:tr>
      <w:tr w14:paraId="3554D5D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1187" w:type="pct"/>
            <w:tcBorders>
              <w:top w:val="single" w:color="000000" w:sz="4" w:space="0"/>
              <w:right w:val="single" w:color="000000" w:sz="4" w:space="0"/>
            </w:tcBorders>
            <w:shd w:val="clear" w:color="auto" w:fill="auto"/>
            <w:vAlign w:val="center"/>
          </w:tcPr>
          <w:p w14:paraId="01532D7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无数据或不兼容</w:t>
            </w:r>
          </w:p>
        </w:tc>
        <w:tc>
          <w:tcPr>
            <w:tcW w:w="728" w:type="pct"/>
            <w:tcBorders>
              <w:top w:val="single" w:color="000000" w:sz="4" w:space="0"/>
              <w:left w:val="single" w:color="000000" w:sz="4" w:space="0"/>
              <w:right w:val="single" w:color="000000" w:sz="4" w:space="0"/>
            </w:tcBorders>
            <w:shd w:val="clear" w:color="auto" w:fill="auto"/>
            <w:vAlign w:val="center"/>
          </w:tcPr>
          <w:p w14:paraId="2B0B83D4">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729" w:type="pct"/>
            <w:tcBorders>
              <w:top w:val="single" w:color="000000" w:sz="4" w:space="0"/>
              <w:left w:val="single" w:color="000000" w:sz="4" w:space="0"/>
              <w:right w:val="single" w:color="000000" w:sz="4" w:space="0"/>
            </w:tcBorders>
            <w:shd w:val="clear" w:color="auto" w:fill="auto"/>
            <w:noWrap/>
            <w:vAlign w:val="center"/>
          </w:tcPr>
          <w:p w14:paraId="1FDAE193">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729" w:type="pct"/>
            <w:tcBorders>
              <w:top w:val="single" w:color="000000" w:sz="4" w:space="0"/>
              <w:left w:val="single" w:color="000000" w:sz="4" w:space="0"/>
              <w:right w:val="single" w:color="000000" w:sz="4" w:space="0"/>
            </w:tcBorders>
            <w:shd w:val="clear" w:color="auto" w:fill="auto"/>
            <w:vAlign w:val="center"/>
          </w:tcPr>
          <w:p w14:paraId="7CCC8FDE">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895" w:type="pct"/>
            <w:tcBorders>
              <w:top w:val="single" w:color="000000" w:sz="4" w:space="0"/>
              <w:left w:val="single" w:color="000000" w:sz="4" w:space="0"/>
              <w:right w:val="single" w:color="000000" w:sz="4" w:space="0"/>
            </w:tcBorders>
            <w:shd w:val="clear" w:color="auto" w:fill="auto"/>
            <w:vAlign w:val="center"/>
          </w:tcPr>
          <w:p w14:paraId="209322C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无数据或不兼容</w:t>
            </w:r>
          </w:p>
        </w:tc>
        <w:tc>
          <w:tcPr>
            <w:tcW w:w="729" w:type="pct"/>
            <w:tcBorders>
              <w:top w:val="single" w:color="000000" w:sz="4" w:space="0"/>
              <w:left w:val="single" w:color="000000" w:sz="4" w:space="0"/>
            </w:tcBorders>
            <w:shd w:val="clear" w:color="auto" w:fill="auto"/>
            <w:noWrap/>
            <w:vAlign w:val="center"/>
          </w:tcPr>
          <w:p w14:paraId="590D8484">
            <w:pPr>
              <w:widowControl/>
              <w:jc w:val="center"/>
              <w:textAlignment w:val="center"/>
              <w:rPr>
                <w:rFonts w:hint="default" w:ascii="Times New Roman" w:hAnsi="Times New Roman" w:cs="Times New Roman"/>
                <w:color w:val="auto"/>
                <w:kern w:val="0"/>
                <w:sz w:val="18"/>
                <w:szCs w:val="18"/>
                <w:highlight w:val="none"/>
                <w:lang w:val="en-US" w:eastAsia="zh-CN" w:bidi="ar"/>
              </w:rPr>
            </w:pPr>
          </w:p>
        </w:tc>
      </w:tr>
    </w:tbl>
    <w:p w14:paraId="03CA5E20">
      <w:pPr>
        <w:rPr>
          <w:rFonts w:hint="default"/>
          <w:color w:val="auto"/>
          <w:lang w:val="en-US" w:eastAsia="zh-CN"/>
        </w:rPr>
      </w:pPr>
    </w:p>
    <w:p w14:paraId="6C80226A">
      <w:pPr>
        <w:rPr>
          <w:rFonts w:hint="default"/>
          <w:color w:val="auto"/>
          <w:lang w:val="en-US" w:eastAsia="zh-CN"/>
        </w:rPr>
      </w:pPr>
    </w:p>
    <w:p w14:paraId="115D90C3">
      <w:pPr>
        <w:rPr>
          <w:rFonts w:hint="default"/>
          <w:color w:val="auto"/>
          <w:lang w:val="en-US" w:eastAsia="zh-CN"/>
        </w:rPr>
      </w:pPr>
    </w:p>
    <w:p w14:paraId="718B98E0">
      <w:pPr>
        <w:rPr>
          <w:rFonts w:hint="default"/>
          <w:color w:val="auto"/>
          <w:lang w:val="en-US" w:eastAsia="zh-CN"/>
        </w:rPr>
      </w:pPr>
    </w:p>
    <w:p w14:paraId="1070F178">
      <w:pPr>
        <w:spacing w:before="156" w:after="156"/>
        <w:rPr>
          <w:rFonts w:hint="default"/>
          <w:color w:val="auto"/>
          <w:lang w:val="en-US" w:eastAsia="zh-CN"/>
        </w:rPr>
        <w:sectPr>
          <w:headerReference r:id="rId5" w:type="default"/>
          <w:footerReference r:id="rId6" w:type="default"/>
          <w:pgSz w:w="11906" w:h="16838"/>
          <w:pgMar w:top="567" w:right="1134" w:bottom="1134" w:left="1418" w:header="1418" w:footer="1134" w:gutter="0"/>
          <w:pgBorders>
            <w:top w:val="none" w:sz="0" w:space="0"/>
            <w:left w:val="none" w:sz="0" w:space="0"/>
            <w:bottom w:val="none" w:sz="0" w:space="0"/>
            <w:right w:val="none" w:sz="0" w:space="0"/>
          </w:pgBorders>
          <w:pgNumType w:start="1"/>
          <w:cols w:space="720" w:num="1"/>
          <w:formProt w:val="0"/>
          <w:docGrid w:type="lines" w:linePitch="312" w:charSpace="0"/>
        </w:sectPr>
      </w:pPr>
    </w:p>
    <w:p w14:paraId="0E972382">
      <w:pPr>
        <w:pStyle w:val="75"/>
        <w:spacing w:before="156" w:after="156"/>
        <w:rPr>
          <w:rFonts w:hint="default" w:ascii="Times New Roman" w:eastAsia="宋体"/>
          <w:color w:val="auto"/>
          <w:highlight w:val="none"/>
          <w:lang w:val="en-US" w:eastAsia="zh-CN"/>
        </w:rPr>
      </w:pPr>
      <w:r>
        <w:rPr>
          <w:rFonts w:hint="default" w:ascii="Times New Roman" w:eastAsia="宋体"/>
          <w:color w:val="auto"/>
          <w:highlight w:val="none"/>
        </w:rPr>
        <w:t>PoDL系统电源等级可分为16类，不同电源等级供电电压及功率等应符合表5的要求。</w:t>
      </w:r>
    </w:p>
    <w:p w14:paraId="48585957">
      <w:pPr>
        <w:pStyle w:val="132"/>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PoDL</w:t>
      </w:r>
      <w:r>
        <w:rPr>
          <w:rFonts w:hint="eastAsia" w:ascii="Times New Roman" w:cs="Times New Roman"/>
          <w:color w:val="auto"/>
          <w:lang w:val="en-US" w:eastAsia="zh-CN"/>
        </w:rPr>
        <w:t>系统</w:t>
      </w:r>
      <w:r>
        <w:rPr>
          <w:rFonts w:hint="default" w:ascii="Times New Roman" w:hAnsi="Times New Roman" w:cs="Times New Roman"/>
          <w:color w:val="auto"/>
          <w:lang w:val="en-US" w:eastAsia="zh-CN"/>
        </w:rPr>
        <w:t>电源等级</w:t>
      </w:r>
    </w:p>
    <w:tbl>
      <w:tblPr>
        <w:tblStyle w:val="36"/>
        <w:tblW w:w="4998" w:type="pct"/>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60"/>
        <w:gridCol w:w="817"/>
        <w:gridCol w:w="817"/>
        <w:gridCol w:w="817"/>
        <w:gridCol w:w="817"/>
        <w:gridCol w:w="817"/>
        <w:gridCol w:w="817"/>
        <w:gridCol w:w="817"/>
        <w:gridCol w:w="817"/>
        <w:gridCol w:w="817"/>
        <w:gridCol w:w="817"/>
        <w:gridCol w:w="817"/>
        <w:gridCol w:w="817"/>
        <w:gridCol w:w="817"/>
        <w:gridCol w:w="817"/>
        <w:gridCol w:w="817"/>
        <w:gridCol w:w="832"/>
      </w:tblGrid>
      <w:tr w14:paraId="36E5B4F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36" w:type="pct"/>
            <w:tcBorders>
              <w:bottom w:val="single" w:color="auto" w:sz="8" w:space="0"/>
              <w:right w:val="single" w:color="000000" w:sz="4" w:space="0"/>
            </w:tcBorders>
            <w:shd w:val="clear" w:color="auto" w:fill="auto"/>
            <w:vAlign w:val="center"/>
          </w:tcPr>
          <w:p w14:paraId="319F470B">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等级</w:t>
            </w:r>
          </w:p>
        </w:tc>
        <w:tc>
          <w:tcPr>
            <w:tcW w:w="266" w:type="pct"/>
            <w:tcBorders>
              <w:left w:val="single" w:color="000000" w:sz="4" w:space="0"/>
              <w:bottom w:val="single" w:color="auto" w:sz="8" w:space="0"/>
              <w:right w:val="single" w:color="000000" w:sz="4" w:space="0"/>
            </w:tcBorders>
            <w:shd w:val="clear" w:color="auto" w:fill="auto"/>
            <w:vAlign w:val="center"/>
          </w:tcPr>
          <w:p w14:paraId="49A3BF17">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0</w:t>
            </w:r>
          </w:p>
        </w:tc>
        <w:tc>
          <w:tcPr>
            <w:tcW w:w="266" w:type="pct"/>
            <w:tcBorders>
              <w:left w:val="single" w:color="000000" w:sz="4" w:space="0"/>
              <w:bottom w:val="single" w:color="auto" w:sz="8" w:space="0"/>
              <w:right w:val="single" w:color="000000" w:sz="4" w:space="0"/>
            </w:tcBorders>
            <w:shd w:val="clear" w:color="auto" w:fill="auto"/>
            <w:vAlign w:val="center"/>
          </w:tcPr>
          <w:p w14:paraId="7A2CD7FA">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1</w:t>
            </w:r>
          </w:p>
        </w:tc>
        <w:tc>
          <w:tcPr>
            <w:tcW w:w="266" w:type="pct"/>
            <w:tcBorders>
              <w:left w:val="single" w:color="000000" w:sz="4" w:space="0"/>
              <w:bottom w:val="single" w:color="auto" w:sz="8" w:space="0"/>
              <w:right w:val="single" w:color="000000" w:sz="4" w:space="0"/>
            </w:tcBorders>
            <w:shd w:val="clear" w:color="auto" w:fill="auto"/>
            <w:vAlign w:val="center"/>
          </w:tcPr>
          <w:p w14:paraId="24540655">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2</w:t>
            </w:r>
          </w:p>
        </w:tc>
        <w:tc>
          <w:tcPr>
            <w:tcW w:w="266" w:type="pct"/>
            <w:tcBorders>
              <w:left w:val="single" w:color="000000" w:sz="4" w:space="0"/>
              <w:bottom w:val="single" w:color="auto" w:sz="8" w:space="0"/>
              <w:right w:val="single" w:color="000000" w:sz="4" w:space="0"/>
            </w:tcBorders>
            <w:shd w:val="clear" w:color="auto" w:fill="auto"/>
            <w:vAlign w:val="center"/>
          </w:tcPr>
          <w:p w14:paraId="276C9AD3">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3</w:t>
            </w:r>
          </w:p>
        </w:tc>
        <w:tc>
          <w:tcPr>
            <w:tcW w:w="266" w:type="pct"/>
            <w:tcBorders>
              <w:left w:val="single" w:color="000000" w:sz="4" w:space="0"/>
              <w:bottom w:val="single" w:color="auto" w:sz="8" w:space="0"/>
              <w:right w:val="single" w:color="000000" w:sz="4" w:space="0"/>
            </w:tcBorders>
            <w:shd w:val="clear" w:color="auto" w:fill="auto"/>
            <w:vAlign w:val="center"/>
          </w:tcPr>
          <w:p w14:paraId="1615C60D">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4</w:t>
            </w:r>
          </w:p>
        </w:tc>
        <w:tc>
          <w:tcPr>
            <w:tcW w:w="266" w:type="pct"/>
            <w:tcBorders>
              <w:left w:val="single" w:color="000000" w:sz="4" w:space="0"/>
              <w:bottom w:val="single" w:color="auto" w:sz="8" w:space="0"/>
              <w:right w:val="single" w:color="000000" w:sz="4" w:space="0"/>
            </w:tcBorders>
            <w:shd w:val="clear" w:color="auto" w:fill="auto"/>
            <w:vAlign w:val="center"/>
          </w:tcPr>
          <w:p w14:paraId="2EF238E5">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5</w:t>
            </w:r>
          </w:p>
        </w:tc>
        <w:tc>
          <w:tcPr>
            <w:tcW w:w="266" w:type="pct"/>
            <w:tcBorders>
              <w:left w:val="single" w:color="000000" w:sz="4" w:space="0"/>
              <w:bottom w:val="single" w:color="auto" w:sz="8" w:space="0"/>
              <w:right w:val="single" w:color="000000" w:sz="4" w:space="0"/>
            </w:tcBorders>
            <w:shd w:val="clear" w:color="auto" w:fill="auto"/>
            <w:vAlign w:val="center"/>
          </w:tcPr>
          <w:p w14:paraId="3BE6889B">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6</w:t>
            </w:r>
          </w:p>
        </w:tc>
        <w:tc>
          <w:tcPr>
            <w:tcW w:w="266" w:type="pct"/>
            <w:tcBorders>
              <w:left w:val="single" w:color="000000" w:sz="4" w:space="0"/>
              <w:bottom w:val="single" w:color="auto" w:sz="8" w:space="0"/>
              <w:right w:val="single" w:color="000000" w:sz="4" w:space="0"/>
            </w:tcBorders>
            <w:shd w:val="clear" w:color="auto" w:fill="auto"/>
            <w:vAlign w:val="center"/>
          </w:tcPr>
          <w:p w14:paraId="48CE06BB">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7</w:t>
            </w:r>
          </w:p>
        </w:tc>
        <w:tc>
          <w:tcPr>
            <w:tcW w:w="266" w:type="pct"/>
            <w:tcBorders>
              <w:left w:val="single" w:color="000000" w:sz="4" w:space="0"/>
              <w:bottom w:val="single" w:color="auto" w:sz="8" w:space="0"/>
              <w:right w:val="single" w:color="000000" w:sz="4" w:space="0"/>
            </w:tcBorders>
            <w:shd w:val="clear" w:color="auto" w:fill="auto"/>
            <w:vAlign w:val="center"/>
          </w:tcPr>
          <w:p w14:paraId="608AC40B">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8</w:t>
            </w:r>
          </w:p>
        </w:tc>
        <w:tc>
          <w:tcPr>
            <w:tcW w:w="266" w:type="pct"/>
            <w:tcBorders>
              <w:left w:val="single" w:color="000000" w:sz="4" w:space="0"/>
              <w:bottom w:val="single" w:color="auto" w:sz="8" w:space="0"/>
              <w:right w:val="single" w:color="000000" w:sz="4" w:space="0"/>
            </w:tcBorders>
            <w:shd w:val="clear" w:color="auto" w:fill="auto"/>
            <w:vAlign w:val="center"/>
          </w:tcPr>
          <w:p w14:paraId="29572EC7">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9</w:t>
            </w:r>
          </w:p>
        </w:tc>
        <w:tc>
          <w:tcPr>
            <w:tcW w:w="266" w:type="pct"/>
            <w:tcBorders>
              <w:left w:val="single" w:color="000000" w:sz="4" w:space="0"/>
              <w:bottom w:val="single" w:color="auto" w:sz="8" w:space="0"/>
              <w:right w:val="single" w:color="000000" w:sz="4" w:space="0"/>
            </w:tcBorders>
            <w:shd w:val="clear" w:color="auto" w:fill="auto"/>
            <w:vAlign w:val="center"/>
          </w:tcPr>
          <w:p w14:paraId="0A37F1B8">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10</w:t>
            </w:r>
          </w:p>
        </w:tc>
        <w:tc>
          <w:tcPr>
            <w:tcW w:w="266" w:type="pct"/>
            <w:tcBorders>
              <w:left w:val="single" w:color="000000" w:sz="4" w:space="0"/>
              <w:bottom w:val="single" w:color="auto" w:sz="8" w:space="0"/>
              <w:right w:val="single" w:color="000000" w:sz="4" w:space="0"/>
            </w:tcBorders>
            <w:shd w:val="clear" w:color="auto" w:fill="auto"/>
            <w:vAlign w:val="center"/>
          </w:tcPr>
          <w:p w14:paraId="019E5787">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11</w:t>
            </w:r>
          </w:p>
        </w:tc>
        <w:tc>
          <w:tcPr>
            <w:tcW w:w="266" w:type="pct"/>
            <w:tcBorders>
              <w:left w:val="single" w:color="000000" w:sz="4" w:space="0"/>
              <w:bottom w:val="single" w:color="auto" w:sz="8" w:space="0"/>
              <w:right w:val="single" w:color="000000" w:sz="4" w:space="0"/>
            </w:tcBorders>
            <w:shd w:val="clear" w:color="auto" w:fill="auto"/>
            <w:vAlign w:val="center"/>
          </w:tcPr>
          <w:p w14:paraId="02339100">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12</w:t>
            </w:r>
          </w:p>
        </w:tc>
        <w:tc>
          <w:tcPr>
            <w:tcW w:w="266" w:type="pct"/>
            <w:tcBorders>
              <w:left w:val="single" w:color="000000" w:sz="4" w:space="0"/>
              <w:bottom w:val="single" w:color="auto" w:sz="8" w:space="0"/>
              <w:right w:val="single" w:color="000000" w:sz="4" w:space="0"/>
            </w:tcBorders>
            <w:shd w:val="clear" w:color="auto" w:fill="auto"/>
            <w:vAlign w:val="center"/>
          </w:tcPr>
          <w:p w14:paraId="1A65FD30">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13</w:t>
            </w:r>
          </w:p>
        </w:tc>
        <w:tc>
          <w:tcPr>
            <w:tcW w:w="266" w:type="pct"/>
            <w:tcBorders>
              <w:left w:val="single" w:color="000000" w:sz="4" w:space="0"/>
              <w:bottom w:val="single" w:color="auto" w:sz="8" w:space="0"/>
              <w:right w:val="single" w:color="000000" w:sz="4" w:space="0"/>
            </w:tcBorders>
            <w:shd w:val="clear" w:color="auto" w:fill="auto"/>
            <w:vAlign w:val="center"/>
          </w:tcPr>
          <w:p w14:paraId="5FB22FA3">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14</w:t>
            </w:r>
          </w:p>
        </w:tc>
        <w:tc>
          <w:tcPr>
            <w:tcW w:w="271" w:type="pct"/>
            <w:tcBorders>
              <w:left w:val="single" w:color="000000" w:sz="4" w:space="0"/>
              <w:bottom w:val="single" w:color="auto" w:sz="8" w:space="0"/>
            </w:tcBorders>
            <w:shd w:val="clear" w:color="auto" w:fill="auto"/>
            <w:vAlign w:val="center"/>
          </w:tcPr>
          <w:p w14:paraId="457BF3B7">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15</w:t>
            </w:r>
          </w:p>
        </w:tc>
      </w:tr>
      <w:tr w14:paraId="2192AF1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trPr>
        <w:tc>
          <w:tcPr>
            <w:tcW w:w="736" w:type="pct"/>
            <w:tcBorders>
              <w:top w:val="single" w:color="auto" w:sz="8" w:space="0"/>
              <w:bottom w:val="single" w:color="000000" w:sz="4" w:space="0"/>
              <w:right w:val="single" w:color="000000" w:sz="4" w:space="0"/>
            </w:tcBorders>
            <w:shd w:val="clear" w:color="auto" w:fill="auto"/>
            <w:vAlign w:val="center"/>
          </w:tcPr>
          <w:p w14:paraId="30A1C86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是否稳压电源</w:t>
            </w:r>
          </w:p>
        </w:tc>
        <w:tc>
          <w:tcPr>
            <w:tcW w:w="532" w:type="pct"/>
            <w:gridSpan w:val="2"/>
            <w:tcBorders>
              <w:top w:val="single" w:color="auto" w:sz="8" w:space="0"/>
              <w:left w:val="single" w:color="000000" w:sz="4" w:space="0"/>
              <w:bottom w:val="single" w:color="000000" w:sz="4" w:space="0"/>
              <w:right w:val="single" w:color="000000" w:sz="4" w:space="0"/>
            </w:tcBorders>
            <w:shd w:val="clear" w:color="auto" w:fill="auto"/>
            <w:vAlign w:val="center"/>
          </w:tcPr>
          <w:p w14:paraId="7B7F69A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12V非稳压</w:t>
            </w:r>
          </w:p>
        </w:tc>
        <w:tc>
          <w:tcPr>
            <w:tcW w:w="532" w:type="pct"/>
            <w:gridSpan w:val="2"/>
            <w:tcBorders>
              <w:top w:val="single" w:color="auto" w:sz="8" w:space="0"/>
              <w:left w:val="single" w:color="000000" w:sz="4" w:space="0"/>
              <w:bottom w:val="single" w:color="000000" w:sz="4" w:space="0"/>
              <w:right w:val="single" w:color="000000" w:sz="4" w:space="0"/>
            </w:tcBorders>
            <w:shd w:val="clear" w:color="auto" w:fill="auto"/>
            <w:vAlign w:val="center"/>
          </w:tcPr>
          <w:p w14:paraId="5FA92F9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12V稳压</w:t>
            </w:r>
          </w:p>
        </w:tc>
        <w:tc>
          <w:tcPr>
            <w:tcW w:w="532" w:type="pct"/>
            <w:gridSpan w:val="2"/>
            <w:tcBorders>
              <w:top w:val="single" w:color="auto" w:sz="8" w:space="0"/>
              <w:left w:val="single" w:color="000000" w:sz="4" w:space="0"/>
              <w:bottom w:val="single" w:color="000000" w:sz="4" w:space="0"/>
              <w:right w:val="single" w:color="000000" w:sz="4" w:space="0"/>
            </w:tcBorders>
            <w:shd w:val="clear" w:color="auto" w:fill="auto"/>
            <w:vAlign w:val="center"/>
          </w:tcPr>
          <w:p w14:paraId="32164C0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24V非稳压</w:t>
            </w:r>
          </w:p>
        </w:tc>
        <w:tc>
          <w:tcPr>
            <w:tcW w:w="532" w:type="pct"/>
            <w:gridSpan w:val="2"/>
            <w:tcBorders>
              <w:top w:val="single" w:color="auto" w:sz="8" w:space="0"/>
              <w:left w:val="single" w:color="000000" w:sz="4" w:space="0"/>
              <w:bottom w:val="single" w:color="000000" w:sz="4" w:space="0"/>
              <w:right w:val="single" w:color="000000" w:sz="4" w:space="0"/>
            </w:tcBorders>
            <w:shd w:val="clear" w:color="auto" w:fill="auto"/>
            <w:vAlign w:val="center"/>
          </w:tcPr>
          <w:p w14:paraId="418C0B3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24V稳压</w:t>
            </w:r>
          </w:p>
        </w:tc>
        <w:tc>
          <w:tcPr>
            <w:tcW w:w="532" w:type="pct"/>
            <w:gridSpan w:val="2"/>
            <w:tcBorders>
              <w:top w:val="single" w:color="auto" w:sz="8" w:space="0"/>
              <w:left w:val="single" w:color="000000" w:sz="4" w:space="0"/>
              <w:bottom w:val="single" w:color="000000" w:sz="4" w:space="0"/>
              <w:right w:val="single" w:color="000000" w:sz="4" w:space="0"/>
            </w:tcBorders>
            <w:shd w:val="clear" w:color="auto" w:fill="auto"/>
            <w:vAlign w:val="center"/>
          </w:tcPr>
          <w:p w14:paraId="676DE0C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48V稳压</w:t>
            </w:r>
          </w:p>
        </w:tc>
        <w:tc>
          <w:tcPr>
            <w:tcW w:w="798" w:type="pct"/>
            <w:gridSpan w:val="3"/>
            <w:tcBorders>
              <w:top w:val="single" w:color="auto" w:sz="8" w:space="0"/>
              <w:left w:val="single" w:color="000000" w:sz="4" w:space="0"/>
              <w:bottom w:val="single" w:color="000000" w:sz="4" w:space="0"/>
              <w:right w:val="single" w:color="000000" w:sz="4" w:space="0"/>
            </w:tcBorders>
            <w:shd w:val="clear" w:color="auto" w:fill="auto"/>
            <w:vAlign w:val="center"/>
          </w:tcPr>
          <w:p w14:paraId="5E5E150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30V稳压</w:t>
            </w:r>
          </w:p>
        </w:tc>
        <w:tc>
          <w:tcPr>
            <w:tcW w:w="803" w:type="pct"/>
            <w:gridSpan w:val="3"/>
            <w:tcBorders>
              <w:top w:val="single" w:color="auto" w:sz="8" w:space="0"/>
              <w:left w:val="single" w:color="000000" w:sz="4" w:space="0"/>
              <w:bottom w:val="single" w:color="000000" w:sz="4" w:space="0"/>
            </w:tcBorders>
            <w:shd w:val="clear" w:color="auto" w:fill="auto"/>
            <w:vAlign w:val="center"/>
          </w:tcPr>
          <w:p w14:paraId="1AA36A5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58V稳压</w:t>
            </w:r>
          </w:p>
        </w:tc>
      </w:tr>
      <w:tr w14:paraId="2A66A10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36" w:type="pct"/>
            <w:tcBorders>
              <w:top w:val="single" w:color="000000" w:sz="4" w:space="0"/>
              <w:bottom w:val="single" w:color="000000" w:sz="4" w:space="0"/>
              <w:right w:val="single" w:color="000000" w:sz="4" w:space="0"/>
            </w:tcBorders>
            <w:shd w:val="clear" w:color="auto" w:fill="auto"/>
            <w:vAlign w:val="center"/>
          </w:tcPr>
          <w:p w14:paraId="7545FCC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PSE端最大电压（V）</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F760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18</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284F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18</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D8E8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18</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ACAB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18</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1131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36</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D615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36</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5C46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36</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F258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36</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C8DA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60</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192B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60</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9273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30</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9391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30</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5788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30</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1B77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58</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91CF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58</w:t>
            </w:r>
          </w:p>
        </w:tc>
        <w:tc>
          <w:tcPr>
            <w:tcW w:w="271" w:type="pct"/>
            <w:tcBorders>
              <w:top w:val="single" w:color="000000" w:sz="4" w:space="0"/>
              <w:left w:val="single" w:color="000000" w:sz="4" w:space="0"/>
              <w:bottom w:val="single" w:color="000000" w:sz="4" w:space="0"/>
            </w:tcBorders>
            <w:shd w:val="clear" w:color="auto" w:fill="auto"/>
            <w:vAlign w:val="center"/>
          </w:tcPr>
          <w:p w14:paraId="074BF25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58</w:t>
            </w:r>
          </w:p>
        </w:tc>
      </w:tr>
      <w:tr w14:paraId="63104A8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36" w:type="pct"/>
            <w:tcBorders>
              <w:top w:val="single" w:color="000000" w:sz="4" w:space="0"/>
              <w:bottom w:val="single" w:color="000000" w:sz="4" w:space="0"/>
              <w:right w:val="single" w:color="000000" w:sz="4" w:space="0"/>
            </w:tcBorders>
            <w:shd w:val="clear" w:color="auto" w:fill="auto"/>
            <w:vAlign w:val="center"/>
          </w:tcPr>
          <w:p w14:paraId="1F9DA1F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PSE端最小开路电压（V）</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68F1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6</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133C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6</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9912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14.4</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08F1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14.4</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66FE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12</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3DA0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12</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A329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26</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5484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26</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8D34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48</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4D4D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48</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7766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30</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0F1D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20</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2107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20</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5EA1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50</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EE58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50</w:t>
            </w:r>
          </w:p>
        </w:tc>
        <w:tc>
          <w:tcPr>
            <w:tcW w:w="271" w:type="pct"/>
            <w:tcBorders>
              <w:top w:val="single" w:color="000000" w:sz="4" w:space="0"/>
              <w:left w:val="single" w:color="000000" w:sz="4" w:space="0"/>
              <w:bottom w:val="single" w:color="000000" w:sz="4" w:space="0"/>
            </w:tcBorders>
            <w:shd w:val="clear" w:color="auto" w:fill="auto"/>
            <w:vAlign w:val="center"/>
          </w:tcPr>
          <w:p w14:paraId="327B273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50</w:t>
            </w:r>
          </w:p>
        </w:tc>
      </w:tr>
      <w:tr w14:paraId="0B11AA1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36" w:type="pct"/>
            <w:tcBorders>
              <w:top w:val="single" w:color="000000" w:sz="4" w:space="0"/>
              <w:bottom w:val="single" w:color="000000" w:sz="4" w:space="0"/>
              <w:right w:val="single" w:color="000000" w:sz="4" w:space="0"/>
            </w:tcBorders>
            <w:shd w:val="clear" w:color="auto" w:fill="auto"/>
            <w:vAlign w:val="center"/>
          </w:tcPr>
          <w:p w14:paraId="7057E0F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PSE端最小电压（V）</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44FD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5.6</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4543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5.77</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F269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14.4</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D06E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14.4</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0BFD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11.7</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6DA5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11.7</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D456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26</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7A0B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26</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B2F6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48</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D435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48</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4A71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20</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BBCE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20</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18C4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20</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23C5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50</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D655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50</w:t>
            </w:r>
          </w:p>
        </w:tc>
        <w:tc>
          <w:tcPr>
            <w:tcW w:w="271" w:type="pct"/>
            <w:tcBorders>
              <w:top w:val="single" w:color="000000" w:sz="4" w:space="0"/>
              <w:left w:val="single" w:color="000000" w:sz="4" w:space="0"/>
              <w:bottom w:val="single" w:color="000000" w:sz="4" w:space="0"/>
            </w:tcBorders>
            <w:shd w:val="clear" w:color="auto" w:fill="auto"/>
            <w:vAlign w:val="center"/>
          </w:tcPr>
          <w:p w14:paraId="5453F5E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50</w:t>
            </w:r>
          </w:p>
        </w:tc>
      </w:tr>
      <w:tr w14:paraId="0E1D7E9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36" w:type="pct"/>
            <w:tcBorders>
              <w:top w:val="single" w:color="000000" w:sz="4" w:space="0"/>
              <w:bottom w:val="single" w:color="000000" w:sz="4" w:space="0"/>
              <w:right w:val="single" w:color="000000" w:sz="4" w:space="0"/>
            </w:tcBorders>
            <w:shd w:val="clear" w:color="auto" w:fill="auto"/>
            <w:vAlign w:val="center"/>
          </w:tcPr>
          <w:p w14:paraId="0BEED2B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线路电流（mA）</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35BB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101</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9B3C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227</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AFFC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249</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0547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471</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C384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97</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BA3E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339</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9434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215</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55C2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461</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EB13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735</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D542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1360</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4935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92</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BB86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249</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42F1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632</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5F4D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231</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AB3F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600</w:t>
            </w:r>
          </w:p>
        </w:tc>
        <w:tc>
          <w:tcPr>
            <w:tcW w:w="271" w:type="pct"/>
            <w:tcBorders>
              <w:top w:val="single" w:color="000000" w:sz="4" w:space="0"/>
              <w:left w:val="single" w:color="000000" w:sz="4" w:space="0"/>
              <w:bottom w:val="single" w:color="000000" w:sz="4" w:space="0"/>
            </w:tcBorders>
            <w:shd w:val="clear" w:color="auto" w:fill="auto"/>
            <w:vAlign w:val="center"/>
          </w:tcPr>
          <w:p w14:paraId="1F65506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1579</w:t>
            </w:r>
          </w:p>
        </w:tc>
      </w:tr>
      <w:tr w14:paraId="418D1E4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36" w:type="pct"/>
            <w:tcBorders>
              <w:top w:val="single" w:color="000000" w:sz="4" w:space="0"/>
              <w:bottom w:val="single" w:color="000000" w:sz="4" w:space="0"/>
              <w:right w:val="single" w:color="000000" w:sz="4" w:space="0"/>
            </w:tcBorders>
            <w:shd w:val="clear" w:color="auto" w:fill="auto"/>
            <w:vAlign w:val="center"/>
          </w:tcPr>
          <w:p w14:paraId="4FE7927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PSE端最小输出功率（W）</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24E3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0.566</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8C4C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1.31</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0A74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3.59</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C1F3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6.79</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7923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1.14</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EAA5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3.97</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2AF4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5.59</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423F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12</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EF43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35.3</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A801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65.3</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8F4D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1.85</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4F7C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4.8</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05F1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12.63</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2BD7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11.54</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F97B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30</w:t>
            </w:r>
          </w:p>
        </w:tc>
        <w:tc>
          <w:tcPr>
            <w:tcW w:w="271" w:type="pct"/>
            <w:tcBorders>
              <w:top w:val="single" w:color="000000" w:sz="4" w:space="0"/>
              <w:left w:val="single" w:color="000000" w:sz="4" w:space="0"/>
              <w:bottom w:val="single" w:color="000000" w:sz="4" w:space="0"/>
            </w:tcBorders>
            <w:shd w:val="clear" w:color="auto" w:fill="auto"/>
            <w:vAlign w:val="center"/>
          </w:tcPr>
          <w:p w14:paraId="3D0293E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79</w:t>
            </w:r>
          </w:p>
        </w:tc>
      </w:tr>
      <w:tr w14:paraId="02B83C4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36" w:type="pct"/>
            <w:tcBorders>
              <w:top w:val="single" w:color="000000" w:sz="4" w:space="0"/>
              <w:bottom w:val="single" w:color="000000" w:sz="4" w:space="0"/>
              <w:right w:val="single" w:color="000000" w:sz="4" w:space="0"/>
            </w:tcBorders>
            <w:shd w:val="clear" w:color="auto" w:fill="auto"/>
            <w:vAlign w:val="center"/>
          </w:tcPr>
          <w:p w14:paraId="161CBB7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PD端最小电压（V）</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51F2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4.94</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E924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4.41</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F3CD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12</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0C8B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10.6</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0B24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10.3</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C812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8.86</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D6EC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23.3</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7A27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21.7</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1DFB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40.8</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D555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36.7</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4407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14</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6298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14</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4337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14</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1798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35</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5552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35</w:t>
            </w:r>
          </w:p>
        </w:tc>
        <w:tc>
          <w:tcPr>
            <w:tcW w:w="271" w:type="pct"/>
            <w:tcBorders>
              <w:top w:val="single" w:color="000000" w:sz="4" w:space="0"/>
              <w:left w:val="single" w:color="000000" w:sz="4" w:space="0"/>
              <w:bottom w:val="single" w:color="000000" w:sz="4" w:space="0"/>
            </w:tcBorders>
            <w:shd w:val="clear" w:color="auto" w:fill="auto"/>
            <w:vAlign w:val="center"/>
          </w:tcPr>
          <w:p w14:paraId="094E1E8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35</w:t>
            </w:r>
          </w:p>
        </w:tc>
      </w:tr>
      <w:tr w14:paraId="7F17D45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36" w:type="pct"/>
            <w:tcBorders>
              <w:top w:val="single" w:color="000000" w:sz="4" w:space="0"/>
              <w:right w:val="single" w:color="000000" w:sz="4" w:space="0"/>
            </w:tcBorders>
            <w:shd w:val="clear" w:color="auto" w:fill="auto"/>
            <w:vAlign w:val="center"/>
          </w:tcPr>
          <w:p w14:paraId="1589AFD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PD端最大接收功率（W）</w:t>
            </w:r>
          </w:p>
        </w:tc>
        <w:tc>
          <w:tcPr>
            <w:tcW w:w="266" w:type="pct"/>
            <w:tcBorders>
              <w:top w:val="single" w:color="000000" w:sz="4" w:space="0"/>
              <w:left w:val="single" w:color="000000" w:sz="4" w:space="0"/>
              <w:right w:val="single" w:color="000000" w:sz="4" w:space="0"/>
            </w:tcBorders>
            <w:shd w:val="clear" w:color="auto" w:fill="auto"/>
            <w:vAlign w:val="center"/>
          </w:tcPr>
          <w:p w14:paraId="396CA13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0.5</w:t>
            </w:r>
          </w:p>
        </w:tc>
        <w:tc>
          <w:tcPr>
            <w:tcW w:w="266" w:type="pct"/>
            <w:tcBorders>
              <w:top w:val="single" w:color="000000" w:sz="4" w:space="0"/>
              <w:left w:val="single" w:color="000000" w:sz="4" w:space="0"/>
              <w:right w:val="single" w:color="000000" w:sz="4" w:space="0"/>
            </w:tcBorders>
            <w:shd w:val="clear" w:color="auto" w:fill="auto"/>
            <w:vAlign w:val="center"/>
          </w:tcPr>
          <w:p w14:paraId="0583FBC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w:t>
            </w:r>
          </w:p>
        </w:tc>
        <w:tc>
          <w:tcPr>
            <w:tcW w:w="266" w:type="pct"/>
            <w:tcBorders>
              <w:top w:val="single" w:color="000000" w:sz="4" w:space="0"/>
              <w:left w:val="single" w:color="000000" w:sz="4" w:space="0"/>
              <w:right w:val="single" w:color="000000" w:sz="4" w:space="0"/>
            </w:tcBorders>
            <w:shd w:val="clear" w:color="auto" w:fill="auto"/>
            <w:vAlign w:val="center"/>
          </w:tcPr>
          <w:p w14:paraId="0157530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w:t>
            </w:r>
          </w:p>
        </w:tc>
        <w:tc>
          <w:tcPr>
            <w:tcW w:w="266" w:type="pct"/>
            <w:tcBorders>
              <w:top w:val="single" w:color="000000" w:sz="4" w:space="0"/>
              <w:left w:val="single" w:color="000000" w:sz="4" w:space="0"/>
              <w:right w:val="single" w:color="000000" w:sz="4" w:space="0"/>
            </w:tcBorders>
            <w:shd w:val="clear" w:color="auto" w:fill="auto"/>
            <w:vAlign w:val="center"/>
          </w:tcPr>
          <w:p w14:paraId="4EE9653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w:t>
            </w:r>
          </w:p>
        </w:tc>
        <w:tc>
          <w:tcPr>
            <w:tcW w:w="266" w:type="pct"/>
            <w:tcBorders>
              <w:top w:val="single" w:color="000000" w:sz="4" w:space="0"/>
              <w:left w:val="single" w:color="000000" w:sz="4" w:space="0"/>
              <w:right w:val="single" w:color="000000" w:sz="4" w:space="0"/>
            </w:tcBorders>
            <w:shd w:val="clear" w:color="auto" w:fill="auto"/>
            <w:vAlign w:val="center"/>
          </w:tcPr>
          <w:p w14:paraId="3C69BD3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w:t>
            </w:r>
          </w:p>
        </w:tc>
        <w:tc>
          <w:tcPr>
            <w:tcW w:w="266" w:type="pct"/>
            <w:tcBorders>
              <w:top w:val="single" w:color="000000" w:sz="4" w:space="0"/>
              <w:left w:val="single" w:color="000000" w:sz="4" w:space="0"/>
              <w:right w:val="single" w:color="000000" w:sz="4" w:space="0"/>
            </w:tcBorders>
            <w:shd w:val="clear" w:color="auto" w:fill="auto"/>
            <w:vAlign w:val="center"/>
          </w:tcPr>
          <w:p w14:paraId="56237FF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w:t>
            </w:r>
          </w:p>
        </w:tc>
        <w:tc>
          <w:tcPr>
            <w:tcW w:w="266" w:type="pct"/>
            <w:tcBorders>
              <w:top w:val="single" w:color="000000" w:sz="4" w:space="0"/>
              <w:left w:val="single" w:color="000000" w:sz="4" w:space="0"/>
              <w:right w:val="single" w:color="000000" w:sz="4" w:space="0"/>
            </w:tcBorders>
            <w:shd w:val="clear" w:color="auto" w:fill="auto"/>
            <w:vAlign w:val="center"/>
          </w:tcPr>
          <w:p w14:paraId="61F9C61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w:t>
            </w:r>
          </w:p>
        </w:tc>
        <w:tc>
          <w:tcPr>
            <w:tcW w:w="266" w:type="pct"/>
            <w:tcBorders>
              <w:top w:val="single" w:color="000000" w:sz="4" w:space="0"/>
              <w:left w:val="single" w:color="000000" w:sz="4" w:space="0"/>
              <w:right w:val="single" w:color="000000" w:sz="4" w:space="0"/>
            </w:tcBorders>
            <w:shd w:val="clear" w:color="auto" w:fill="auto"/>
            <w:vAlign w:val="center"/>
          </w:tcPr>
          <w:p w14:paraId="5A21917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w:t>
            </w:r>
          </w:p>
        </w:tc>
        <w:tc>
          <w:tcPr>
            <w:tcW w:w="266" w:type="pct"/>
            <w:tcBorders>
              <w:top w:val="single" w:color="000000" w:sz="4" w:space="0"/>
              <w:left w:val="single" w:color="000000" w:sz="4" w:space="0"/>
              <w:right w:val="single" w:color="000000" w:sz="4" w:space="0"/>
            </w:tcBorders>
            <w:shd w:val="clear" w:color="auto" w:fill="auto"/>
            <w:vAlign w:val="center"/>
          </w:tcPr>
          <w:p w14:paraId="1494A0C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30</w:t>
            </w:r>
          </w:p>
        </w:tc>
        <w:tc>
          <w:tcPr>
            <w:tcW w:w="266" w:type="pct"/>
            <w:tcBorders>
              <w:top w:val="single" w:color="000000" w:sz="4" w:space="0"/>
              <w:left w:val="single" w:color="000000" w:sz="4" w:space="0"/>
              <w:right w:val="single" w:color="000000" w:sz="4" w:space="0"/>
            </w:tcBorders>
            <w:shd w:val="clear" w:color="auto" w:fill="auto"/>
            <w:vAlign w:val="center"/>
          </w:tcPr>
          <w:p w14:paraId="0EF1E30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50</w:t>
            </w:r>
          </w:p>
        </w:tc>
        <w:tc>
          <w:tcPr>
            <w:tcW w:w="266" w:type="pct"/>
            <w:tcBorders>
              <w:top w:val="single" w:color="000000" w:sz="4" w:space="0"/>
              <w:left w:val="single" w:color="000000" w:sz="4" w:space="0"/>
              <w:right w:val="single" w:color="000000" w:sz="4" w:space="0"/>
            </w:tcBorders>
            <w:shd w:val="clear" w:color="auto" w:fill="auto"/>
            <w:vAlign w:val="center"/>
          </w:tcPr>
          <w:p w14:paraId="17CF36F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1.23</w:t>
            </w:r>
          </w:p>
        </w:tc>
        <w:tc>
          <w:tcPr>
            <w:tcW w:w="266" w:type="pct"/>
            <w:tcBorders>
              <w:top w:val="single" w:color="000000" w:sz="4" w:space="0"/>
              <w:left w:val="single" w:color="000000" w:sz="4" w:space="0"/>
              <w:right w:val="single" w:color="000000" w:sz="4" w:space="0"/>
            </w:tcBorders>
            <w:shd w:val="clear" w:color="auto" w:fill="auto"/>
            <w:vAlign w:val="center"/>
          </w:tcPr>
          <w:p w14:paraId="0E1CDE4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3.2</w:t>
            </w:r>
          </w:p>
        </w:tc>
        <w:tc>
          <w:tcPr>
            <w:tcW w:w="266" w:type="pct"/>
            <w:tcBorders>
              <w:top w:val="single" w:color="000000" w:sz="4" w:space="0"/>
              <w:left w:val="single" w:color="000000" w:sz="4" w:space="0"/>
              <w:right w:val="single" w:color="000000" w:sz="4" w:space="0"/>
            </w:tcBorders>
            <w:shd w:val="clear" w:color="auto" w:fill="auto"/>
            <w:vAlign w:val="center"/>
          </w:tcPr>
          <w:p w14:paraId="60C5392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8.4</w:t>
            </w:r>
          </w:p>
        </w:tc>
        <w:tc>
          <w:tcPr>
            <w:tcW w:w="266" w:type="pct"/>
            <w:tcBorders>
              <w:top w:val="single" w:color="000000" w:sz="4" w:space="0"/>
              <w:left w:val="single" w:color="000000" w:sz="4" w:space="0"/>
              <w:right w:val="single" w:color="000000" w:sz="4" w:space="0"/>
            </w:tcBorders>
            <w:shd w:val="clear" w:color="auto" w:fill="auto"/>
            <w:vAlign w:val="center"/>
          </w:tcPr>
          <w:p w14:paraId="19B37BA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7.7</w:t>
            </w:r>
          </w:p>
        </w:tc>
        <w:tc>
          <w:tcPr>
            <w:tcW w:w="266" w:type="pct"/>
            <w:tcBorders>
              <w:top w:val="single" w:color="000000" w:sz="4" w:space="0"/>
              <w:left w:val="single" w:color="000000" w:sz="4" w:space="0"/>
              <w:right w:val="single" w:color="000000" w:sz="4" w:space="0"/>
            </w:tcBorders>
            <w:shd w:val="clear" w:color="auto" w:fill="auto"/>
            <w:vAlign w:val="center"/>
          </w:tcPr>
          <w:p w14:paraId="79789D8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20</w:t>
            </w:r>
          </w:p>
        </w:tc>
        <w:tc>
          <w:tcPr>
            <w:tcW w:w="271" w:type="pct"/>
            <w:tcBorders>
              <w:top w:val="single" w:color="000000" w:sz="4" w:space="0"/>
              <w:left w:val="single" w:color="000000" w:sz="4" w:space="0"/>
            </w:tcBorders>
            <w:shd w:val="clear" w:color="auto" w:fill="auto"/>
            <w:vAlign w:val="center"/>
          </w:tcPr>
          <w:p w14:paraId="7B477B2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52</w:t>
            </w:r>
          </w:p>
        </w:tc>
      </w:tr>
    </w:tbl>
    <w:p w14:paraId="03406D42">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br w:type="page"/>
      </w:r>
    </w:p>
    <w:p w14:paraId="3E1CAB17">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不同等级PSE及PD应按表6进行适配。</w:t>
      </w:r>
    </w:p>
    <w:p w14:paraId="136D7D26">
      <w:pPr>
        <w:pStyle w:val="132"/>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PSE及PD适配表</w:t>
      </w:r>
    </w:p>
    <w:tbl>
      <w:tblPr>
        <w:tblStyle w:val="36"/>
        <w:tblW w:w="4999"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0"/>
        <w:gridCol w:w="1534"/>
        <w:gridCol w:w="865"/>
        <w:gridCol w:w="763"/>
        <w:gridCol w:w="767"/>
        <w:gridCol w:w="764"/>
        <w:gridCol w:w="768"/>
        <w:gridCol w:w="764"/>
        <w:gridCol w:w="771"/>
        <w:gridCol w:w="768"/>
        <w:gridCol w:w="768"/>
        <w:gridCol w:w="768"/>
        <w:gridCol w:w="768"/>
        <w:gridCol w:w="768"/>
        <w:gridCol w:w="768"/>
        <w:gridCol w:w="771"/>
        <w:gridCol w:w="768"/>
        <w:gridCol w:w="768"/>
        <w:gridCol w:w="789"/>
      </w:tblGrid>
      <w:tr w14:paraId="5C5F39E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blHeader/>
          <w:jc w:val="center"/>
        </w:trPr>
        <w:tc>
          <w:tcPr>
            <w:tcW w:w="994" w:type="pct"/>
            <w:gridSpan w:val="3"/>
            <w:vMerge w:val="restart"/>
            <w:tcBorders>
              <w:bottom w:val="single" w:color="000000" w:sz="4" w:space="0"/>
              <w:right w:val="single" w:color="000000" w:sz="4" w:space="0"/>
            </w:tcBorders>
            <w:shd w:val="clear" w:color="auto" w:fill="auto"/>
            <w:noWrap/>
            <w:vAlign w:val="center"/>
          </w:tcPr>
          <w:p w14:paraId="17905388">
            <w:pPr>
              <w:widowControl/>
              <w:jc w:val="center"/>
              <w:textAlignment w:val="center"/>
              <w:rPr>
                <w:rFonts w:hint="default" w:ascii="Times New Roman" w:hAnsi="Times New Roman" w:cs="Times New Roman"/>
                <w:b/>
                <w:bCs/>
                <w:color w:val="auto"/>
                <w:kern w:val="0"/>
                <w:sz w:val="18"/>
                <w:szCs w:val="18"/>
                <w:highlight w:val="none"/>
                <w:lang w:val="en-US" w:eastAsia="zh-CN" w:bidi="ar"/>
              </w:rPr>
            </w:pPr>
          </w:p>
        </w:tc>
        <w:tc>
          <w:tcPr>
            <w:tcW w:w="4005" w:type="pct"/>
            <w:gridSpan w:val="16"/>
            <w:tcBorders>
              <w:left w:val="single" w:color="000000" w:sz="4" w:space="0"/>
              <w:bottom w:val="single" w:color="000000" w:sz="4" w:space="0"/>
            </w:tcBorders>
            <w:shd w:val="clear" w:color="auto" w:fill="auto"/>
            <w:vAlign w:val="center"/>
          </w:tcPr>
          <w:p w14:paraId="7FCDBE98">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PSE等级</w:t>
            </w:r>
          </w:p>
        </w:tc>
      </w:tr>
      <w:tr w14:paraId="4C7B055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blHeader/>
          <w:jc w:val="center"/>
        </w:trPr>
        <w:tc>
          <w:tcPr>
            <w:tcW w:w="994" w:type="pct"/>
            <w:gridSpan w:val="3"/>
            <w:vMerge w:val="continue"/>
            <w:tcBorders>
              <w:top w:val="single" w:color="000000" w:sz="4" w:space="0"/>
              <w:bottom w:val="single" w:color="000000" w:sz="4" w:space="0"/>
              <w:right w:val="single" w:color="000000" w:sz="4" w:space="0"/>
            </w:tcBorders>
            <w:shd w:val="clear" w:color="auto" w:fill="auto"/>
            <w:noWrap/>
            <w:vAlign w:val="center"/>
          </w:tcPr>
          <w:p w14:paraId="0E42021B">
            <w:pPr>
              <w:widowControl/>
              <w:jc w:val="center"/>
              <w:textAlignment w:val="center"/>
              <w:rPr>
                <w:rFonts w:hint="default" w:ascii="Times New Roman" w:hAnsi="Times New Roman" w:cs="Times New Roman"/>
                <w:b/>
                <w:bCs/>
                <w:color w:val="auto"/>
                <w:kern w:val="0"/>
                <w:sz w:val="18"/>
                <w:szCs w:val="18"/>
                <w:highlight w:val="none"/>
                <w:lang w:val="en-US" w:eastAsia="zh-CN" w:bidi="ar"/>
              </w:rPr>
            </w:pPr>
          </w:p>
        </w:tc>
        <w:tc>
          <w:tcPr>
            <w:tcW w:w="4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8538B9">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12V非稳压</w:t>
            </w:r>
          </w:p>
        </w:tc>
        <w:tc>
          <w:tcPr>
            <w:tcW w:w="4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9612B9">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12V稳压</w:t>
            </w:r>
          </w:p>
        </w:tc>
        <w:tc>
          <w:tcPr>
            <w:tcW w:w="5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DD73F1">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24V非稳压</w:t>
            </w:r>
          </w:p>
        </w:tc>
        <w:tc>
          <w:tcPr>
            <w:tcW w:w="5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A7064D">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24V稳压</w:t>
            </w:r>
          </w:p>
        </w:tc>
        <w:tc>
          <w:tcPr>
            <w:tcW w:w="5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29F638">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48V稳压</w:t>
            </w:r>
          </w:p>
        </w:tc>
        <w:tc>
          <w:tcPr>
            <w:tcW w:w="75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1F6812">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30V稳压</w:t>
            </w:r>
          </w:p>
        </w:tc>
        <w:tc>
          <w:tcPr>
            <w:tcW w:w="752" w:type="pct"/>
            <w:gridSpan w:val="3"/>
            <w:tcBorders>
              <w:top w:val="single" w:color="000000" w:sz="4" w:space="0"/>
              <w:left w:val="single" w:color="000000" w:sz="4" w:space="0"/>
              <w:bottom w:val="single" w:color="000000" w:sz="4" w:space="0"/>
            </w:tcBorders>
            <w:shd w:val="clear" w:color="auto" w:fill="auto"/>
            <w:vAlign w:val="center"/>
          </w:tcPr>
          <w:p w14:paraId="4B5235CC">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58V稳压</w:t>
            </w:r>
          </w:p>
        </w:tc>
      </w:tr>
      <w:tr w14:paraId="2A5574E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blHeader/>
          <w:jc w:val="center"/>
        </w:trPr>
        <w:tc>
          <w:tcPr>
            <w:tcW w:w="994" w:type="pct"/>
            <w:gridSpan w:val="3"/>
            <w:vMerge w:val="continue"/>
            <w:tcBorders>
              <w:top w:val="single" w:color="000000" w:sz="4" w:space="0"/>
              <w:bottom w:val="single" w:color="auto" w:sz="8" w:space="0"/>
              <w:right w:val="single" w:color="000000" w:sz="4" w:space="0"/>
            </w:tcBorders>
            <w:shd w:val="clear" w:color="auto" w:fill="auto"/>
            <w:noWrap/>
            <w:vAlign w:val="center"/>
          </w:tcPr>
          <w:p w14:paraId="47A8DB24">
            <w:pPr>
              <w:widowControl/>
              <w:jc w:val="center"/>
              <w:textAlignment w:val="center"/>
              <w:rPr>
                <w:rFonts w:hint="default" w:ascii="Times New Roman" w:hAnsi="Times New Roman" w:cs="Times New Roman"/>
                <w:b/>
                <w:bCs/>
                <w:color w:val="auto"/>
                <w:kern w:val="0"/>
                <w:sz w:val="18"/>
                <w:szCs w:val="18"/>
                <w:highlight w:val="none"/>
                <w:lang w:val="en-US" w:eastAsia="zh-CN" w:bidi="ar"/>
              </w:rPr>
            </w:pPr>
          </w:p>
        </w:tc>
        <w:tc>
          <w:tcPr>
            <w:tcW w:w="249" w:type="pct"/>
            <w:tcBorders>
              <w:top w:val="single" w:color="000000" w:sz="4" w:space="0"/>
              <w:left w:val="single" w:color="000000" w:sz="4" w:space="0"/>
              <w:bottom w:val="single" w:color="auto" w:sz="8" w:space="0"/>
              <w:right w:val="single" w:color="000000" w:sz="4" w:space="0"/>
            </w:tcBorders>
            <w:shd w:val="clear" w:color="auto" w:fill="auto"/>
            <w:vAlign w:val="center"/>
          </w:tcPr>
          <w:p w14:paraId="41BC0E3B">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0</w:t>
            </w:r>
          </w:p>
        </w:tc>
        <w:tc>
          <w:tcPr>
            <w:tcW w:w="249" w:type="pct"/>
            <w:tcBorders>
              <w:top w:val="single" w:color="000000" w:sz="4" w:space="0"/>
              <w:left w:val="single" w:color="000000" w:sz="4" w:space="0"/>
              <w:bottom w:val="single" w:color="auto" w:sz="8" w:space="0"/>
              <w:right w:val="single" w:color="000000" w:sz="4" w:space="0"/>
            </w:tcBorders>
            <w:shd w:val="clear" w:color="auto" w:fill="auto"/>
            <w:vAlign w:val="center"/>
          </w:tcPr>
          <w:p w14:paraId="14DB0DA6">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1</w:t>
            </w:r>
          </w:p>
        </w:tc>
        <w:tc>
          <w:tcPr>
            <w:tcW w:w="249" w:type="pct"/>
            <w:tcBorders>
              <w:top w:val="single" w:color="000000" w:sz="4" w:space="0"/>
              <w:left w:val="single" w:color="000000" w:sz="4" w:space="0"/>
              <w:bottom w:val="single" w:color="auto" w:sz="8" w:space="0"/>
              <w:right w:val="single" w:color="000000" w:sz="4" w:space="0"/>
            </w:tcBorders>
            <w:shd w:val="clear" w:color="auto" w:fill="auto"/>
            <w:vAlign w:val="center"/>
          </w:tcPr>
          <w:p w14:paraId="00B6286C">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2</w:t>
            </w:r>
          </w:p>
        </w:tc>
        <w:tc>
          <w:tcPr>
            <w:tcW w:w="249" w:type="pct"/>
            <w:tcBorders>
              <w:top w:val="single" w:color="000000" w:sz="4" w:space="0"/>
              <w:left w:val="single" w:color="000000" w:sz="4" w:space="0"/>
              <w:bottom w:val="single" w:color="auto" w:sz="8" w:space="0"/>
              <w:right w:val="single" w:color="000000" w:sz="4" w:space="0"/>
            </w:tcBorders>
            <w:shd w:val="clear" w:color="auto" w:fill="auto"/>
            <w:vAlign w:val="center"/>
          </w:tcPr>
          <w:p w14:paraId="6FF0FFCA">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3</w:t>
            </w:r>
          </w:p>
        </w:tc>
        <w:tc>
          <w:tcPr>
            <w:tcW w:w="249" w:type="pct"/>
            <w:tcBorders>
              <w:top w:val="single" w:color="000000" w:sz="4" w:space="0"/>
              <w:left w:val="single" w:color="000000" w:sz="4" w:space="0"/>
              <w:bottom w:val="single" w:color="auto" w:sz="8" w:space="0"/>
              <w:right w:val="single" w:color="000000" w:sz="4" w:space="0"/>
            </w:tcBorders>
            <w:shd w:val="clear" w:color="auto" w:fill="auto"/>
            <w:vAlign w:val="center"/>
          </w:tcPr>
          <w:p w14:paraId="630BA9E8">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4</w:t>
            </w:r>
          </w:p>
        </w:tc>
        <w:tc>
          <w:tcPr>
            <w:tcW w:w="250" w:type="pct"/>
            <w:tcBorders>
              <w:top w:val="single" w:color="000000" w:sz="4" w:space="0"/>
              <w:left w:val="single" w:color="000000" w:sz="4" w:space="0"/>
              <w:bottom w:val="single" w:color="auto" w:sz="8" w:space="0"/>
              <w:right w:val="single" w:color="000000" w:sz="4" w:space="0"/>
            </w:tcBorders>
            <w:shd w:val="clear" w:color="auto" w:fill="auto"/>
            <w:vAlign w:val="center"/>
          </w:tcPr>
          <w:p w14:paraId="7CC06D72">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5</w:t>
            </w:r>
          </w:p>
        </w:tc>
        <w:tc>
          <w:tcPr>
            <w:tcW w:w="250" w:type="pct"/>
            <w:tcBorders>
              <w:top w:val="single" w:color="000000" w:sz="4" w:space="0"/>
              <w:left w:val="single" w:color="000000" w:sz="4" w:space="0"/>
              <w:bottom w:val="single" w:color="auto" w:sz="8" w:space="0"/>
              <w:right w:val="single" w:color="000000" w:sz="4" w:space="0"/>
            </w:tcBorders>
            <w:shd w:val="clear" w:color="auto" w:fill="auto"/>
            <w:vAlign w:val="center"/>
          </w:tcPr>
          <w:p w14:paraId="470F8EF7">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6</w:t>
            </w:r>
          </w:p>
        </w:tc>
        <w:tc>
          <w:tcPr>
            <w:tcW w:w="250" w:type="pct"/>
            <w:tcBorders>
              <w:top w:val="single" w:color="000000" w:sz="4" w:space="0"/>
              <w:left w:val="single" w:color="000000" w:sz="4" w:space="0"/>
              <w:bottom w:val="single" w:color="auto" w:sz="8" w:space="0"/>
              <w:right w:val="single" w:color="000000" w:sz="4" w:space="0"/>
            </w:tcBorders>
            <w:shd w:val="clear" w:color="auto" w:fill="auto"/>
            <w:vAlign w:val="center"/>
          </w:tcPr>
          <w:p w14:paraId="23A723BE">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7</w:t>
            </w:r>
          </w:p>
        </w:tc>
        <w:tc>
          <w:tcPr>
            <w:tcW w:w="250" w:type="pct"/>
            <w:tcBorders>
              <w:top w:val="single" w:color="000000" w:sz="4" w:space="0"/>
              <w:left w:val="single" w:color="000000" w:sz="4" w:space="0"/>
              <w:bottom w:val="single" w:color="auto" w:sz="8" w:space="0"/>
              <w:right w:val="single" w:color="000000" w:sz="4" w:space="0"/>
            </w:tcBorders>
            <w:shd w:val="clear" w:color="auto" w:fill="auto"/>
            <w:vAlign w:val="center"/>
          </w:tcPr>
          <w:p w14:paraId="33E29CB8">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8</w:t>
            </w:r>
          </w:p>
        </w:tc>
        <w:tc>
          <w:tcPr>
            <w:tcW w:w="250" w:type="pct"/>
            <w:tcBorders>
              <w:top w:val="single" w:color="000000" w:sz="4" w:space="0"/>
              <w:left w:val="single" w:color="000000" w:sz="4" w:space="0"/>
              <w:bottom w:val="single" w:color="auto" w:sz="8" w:space="0"/>
              <w:right w:val="single" w:color="000000" w:sz="4" w:space="0"/>
            </w:tcBorders>
            <w:shd w:val="clear" w:color="auto" w:fill="auto"/>
            <w:vAlign w:val="center"/>
          </w:tcPr>
          <w:p w14:paraId="66F14C0A">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9</w:t>
            </w:r>
          </w:p>
        </w:tc>
        <w:tc>
          <w:tcPr>
            <w:tcW w:w="250" w:type="pct"/>
            <w:tcBorders>
              <w:top w:val="single" w:color="000000" w:sz="4" w:space="0"/>
              <w:left w:val="single" w:color="000000" w:sz="4" w:space="0"/>
              <w:bottom w:val="single" w:color="auto" w:sz="8" w:space="0"/>
              <w:right w:val="single" w:color="000000" w:sz="4" w:space="0"/>
            </w:tcBorders>
            <w:shd w:val="clear" w:color="auto" w:fill="auto"/>
            <w:vAlign w:val="center"/>
          </w:tcPr>
          <w:p w14:paraId="00DF8B45">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10</w:t>
            </w:r>
          </w:p>
        </w:tc>
        <w:tc>
          <w:tcPr>
            <w:tcW w:w="250" w:type="pct"/>
            <w:tcBorders>
              <w:top w:val="single" w:color="000000" w:sz="4" w:space="0"/>
              <w:left w:val="single" w:color="000000" w:sz="4" w:space="0"/>
              <w:bottom w:val="single" w:color="auto" w:sz="8" w:space="0"/>
              <w:right w:val="single" w:color="000000" w:sz="4" w:space="0"/>
            </w:tcBorders>
            <w:shd w:val="clear" w:color="auto" w:fill="auto"/>
            <w:vAlign w:val="center"/>
          </w:tcPr>
          <w:p w14:paraId="1FA273EB">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11</w:t>
            </w:r>
          </w:p>
        </w:tc>
        <w:tc>
          <w:tcPr>
            <w:tcW w:w="250" w:type="pct"/>
            <w:tcBorders>
              <w:top w:val="single" w:color="000000" w:sz="4" w:space="0"/>
              <w:left w:val="single" w:color="000000" w:sz="4" w:space="0"/>
              <w:bottom w:val="single" w:color="auto" w:sz="8" w:space="0"/>
              <w:right w:val="single" w:color="000000" w:sz="4" w:space="0"/>
            </w:tcBorders>
            <w:shd w:val="clear" w:color="auto" w:fill="auto"/>
            <w:vAlign w:val="center"/>
          </w:tcPr>
          <w:p w14:paraId="3AB7ED40">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12</w:t>
            </w:r>
          </w:p>
        </w:tc>
        <w:tc>
          <w:tcPr>
            <w:tcW w:w="250" w:type="pct"/>
            <w:tcBorders>
              <w:top w:val="single" w:color="000000" w:sz="4" w:space="0"/>
              <w:left w:val="single" w:color="000000" w:sz="4" w:space="0"/>
              <w:bottom w:val="single" w:color="auto" w:sz="8" w:space="0"/>
              <w:right w:val="single" w:color="000000" w:sz="4" w:space="0"/>
            </w:tcBorders>
            <w:shd w:val="clear" w:color="auto" w:fill="auto"/>
            <w:vAlign w:val="center"/>
          </w:tcPr>
          <w:p w14:paraId="08E616DB">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13</w:t>
            </w:r>
          </w:p>
        </w:tc>
        <w:tc>
          <w:tcPr>
            <w:tcW w:w="250" w:type="pct"/>
            <w:tcBorders>
              <w:top w:val="single" w:color="000000" w:sz="4" w:space="0"/>
              <w:left w:val="single" w:color="000000" w:sz="4" w:space="0"/>
              <w:bottom w:val="single" w:color="auto" w:sz="8" w:space="0"/>
              <w:right w:val="single" w:color="000000" w:sz="4" w:space="0"/>
            </w:tcBorders>
            <w:shd w:val="clear" w:color="auto" w:fill="auto"/>
            <w:vAlign w:val="center"/>
          </w:tcPr>
          <w:p w14:paraId="412B827D">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14</w:t>
            </w:r>
          </w:p>
        </w:tc>
        <w:tc>
          <w:tcPr>
            <w:tcW w:w="251" w:type="pct"/>
            <w:tcBorders>
              <w:top w:val="single" w:color="000000" w:sz="4" w:space="0"/>
              <w:left w:val="single" w:color="000000" w:sz="4" w:space="0"/>
              <w:bottom w:val="single" w:color="auto" w:sz="8" w:space="0"/>
            </w:tcBorders>
            <w:shd w:val="clear" w:color="auto" w:fill="auto"/>
            <w:vAlign w:val="center"/>
          </w:tcPr>
          <w:p w14:paraId="084FC3F3">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15</w:t>
            </w:r>
          </w:p>
        </w:tc>
      </w:tr>
      <w:tr w14:paraId="5C32503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212" w:type="pct"/>
            <w:vMerge w:val="restart"/>
            <w:tcBorders>
              <w:top w:val="single" w:color="auto" w:sz="8" w:space="0"/>
              <w:bottom w:val="single" w:color="000000" w:sz="4" w:space="0"/>
              <w:right w:val="single" w:color="000000" w:sz="4" w:space="0"/>
            </w:tcBorders>
            <w:shd w:val="clear" w:color="auto" w:fill="auto"/>
            <w:vAlign w:val="center"/>
          </w:tcPr>
          <w:p w14:paraId="5ADE147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PD等级</w:t>
            </w:r>
          </w:p>
        </w:tc>
        <w:tc>
          <w:tcPr>
            <w:tcW w:w="500" w:type="pct"/>
            <w:vMerge w:val="restart"/>
            <w:tcBorders>
              <w:top w:val="single" w:color="auto" w:sz="8" w:space="0"/>
              <w:left w:val="single" w:color="000000" w:sz="4" w:space="0"/>
              <w:bottom w:val="single" w:color="000000" w:sz="4" w:space="0"/>
              <w:right w:val="single" w:color="000000" w:sz="4" w:space="0"/>
            </w:tcBorders>
            <w:shd w:val="clear" w:color="auto" w:fill="auto"/>
            <w:vAlign w:val="center"/>
          </w:tcPr>
          <w:p w14:paraId="349FB68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12V非稳压</w:t>
            </w:r>
          </w:p>
        </w:tc>
        <w:tc>
          <w:tcPr>
            <w:tcW w:w="282" w:type="pct"/>
            <w:tcBorders>
              <w:top w:val="single" w:color="auto" w:sz="8" w:space="0"/>
              <w:left w:val="single" w:color="000000" w:sz="4" w:space="0"/>
              <w:bottom w:val="single" w:color="000000" w:sz="4" w:space="0"/>
              <w:right w:val="single" w:color="000000" w:sz="4" w:space="0"/>
            </w:tcBorders>
            <w:shd w:val="clear" w:color="auto" w:fill="auto"/>
            <w:vAlign w:val="center"/>
          </w:tcPr>
          <w:p w14:paraId="69A0249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0</w:t>
            </w:r>
          </w:p>
        </w:tc>
        <w:tc>
          <w:tcPr>
            <w:tcW w:w="249" w:type="pct"/>
            <w:tcBorders>
              <w:top w:val="single" w:color="auto" w:sz="8" w:space="0"/>
              <w:left w:val="single" w:color="000000" w:sz="4" w:space="0"/>
              <w:bottom w:val="single" w:color="000000" w:sz="4" w:space="0"/>
              <w:right w:val="single" w:color="000000" w:sz="4" w:space="0"/>
            </w:tcBorders>
            <w:shd w:val="clear" w:color="auto" w:fill="auto"/>
            <w:vAlign w:val="center"/>
          </w:tcPr>
          <w:p w14:paraId="0B64A4C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49" w:type="pct"/>
            <w:tcBorders>
              <w:top w:val="single" w:color="auto" w:sz="8" w:space="0"/>
              <w:left w:val="single" w:color="000000" w:sz="4" w:space="0"/>
              <w:bottom w:val="single" w:color="000000" w:sz="4" w:space="0"/>
              <w:right w:val="single" w:color="000000" w:sz="4" w:space="0"/>
            </w:tcBorders>
            <w:shd w:val="clear" w:color="auto" w:fill="auto"/>
            <w:vAlign w:val="center"/>
          </w:tcPr>
          <w:p w14:paraId="4549A2C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49" w:type="pct"/>
            <w:tcBorders>
              <w:top w:val="single" w:color="auto" w:sz="8" w:space="0"/>
              <w:left w:val="single" w:color="000000" w:sz="4" w:space="0"/>
              <w:bottom w:val="single" w:color="000000" w:sz="4" w:space="0"/>
              <w:right w:val="single" w:color="000000" w:sz="4" w:space="0"/>
            </w:tcBorders>
            <w:shd w:val="clear" w:color="auto" w:fill="auto"/>
            <w:vAlign w:val="center"/>
          </w:tcPr>
          <w:p w14:paraId="0405A29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49" w:type="pct"/>
            <w:tcBorders>
              <w:top w:val="single" w:color="auto" w:sz="8" w:space="0"/>
              <w:left w:val="single" w:color="000000" w:sz="4" w:space="0"/>
              <w:bottom w:val="single" w:color="000000" w:sz="4" w:space="0"/>
              <w:right w:val="single" w:color="000000" w:sz="4" w:space="0"/>
            </w:tcBorders>
            <w:shd w:val="clear" w:color="auto" w:fill="auto"/>
            <w:vAlign w:val="center"/>
          </w:tcPr>
          <w:p w14:paraId="6BDE5CC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49" w:type="pct"/>
            <w:tcBorders>
              <w:top w:val="single" w:color="auto" w:sz="8" w:space="0"/>
              <w:left w:val="single" w:color="000000" w:sz="4" w:space="0"/>
              <w:bottom w:val="single" w:color="000000" w:sz="4" w:space="0"/>
              <w:right w:val="single" w:color="000000" w:sz="4" w:space="0"/>
            </w:tcBorders>
            <w:shd w:val="clear" w:color="auto" w:fill="auto"/>
            <w:vAlign w:val="center"/>
          </w:tcPr>
          <w:p w14:paraId="2860A2E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auto" w:sz="8" w:space="0"/>
              <w:left w:val="single" w:color="000000" w:sz="4" w:space="0"/>
              <w:bottom w:val="single" w:color="000000" w:sz="4" w:space="0"/>
              <w:right w:val="single" w:color="000000" w:sz="4" w:space="0"/>
            </w:tcBorders>
            <w:shd w:val="clear" w:color="auto" w:fill="auto"/>
            <w:vAlign w:val="center"/>
          </w:tcPr>
          <w:p w14:paraId="0DE9A7A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auto" w:sz="8" w:space="0"/>
              <w:left w:val="single" w:color="000000" w:sz="4" w:space="0"/>
              <w:bottom w:val="single" w:color="000000" w:sz="4" w:space="0"/>
              <w:right w:val="single" w:color="000000" w:sz="4" w:space="0"/>
            </w:tcBorders>
            <w:shd w:val="clear" w:color="auto" w:fill="auto"/>
            <w:vAlign w:val="center"/>
          </w:tcPr>
          <w:p w14:paraId="753834D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auto" w:sz="8" w:space="0"/>
              <w:left w:val="single" w:color="000000" w:sz="4" w:space="0"/>
              <w:bottom w:val="single" w:color="000000" w:sz="4" w:space="0"/>
              <w:right w:val="single" w:color="000000" w:sz="4" w:space="0"/>
            </w:tcBorders>
            <w:shd w:val="clear" w:color="auto" w:fill="auto"/>
            <w:vAlign w:val="center"/>
          </w:tcPr>
          <w:p w14:paraId="30CE320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auto" w:sz="8" w:space="0"/>
              <w:left w:val="single" w:color="000000" w:sz="4" w:space="0"/>
              <w:bottom w:val="single" w:color="000000" w:sz="4" w:space="0"/>
              <w:right w:val="single" w:color="000000" w:sz="4" w:space="0"/>
            </w:tcBorders>
            <w:shd w:val="clear" w:color="auto" w:fill="auto"/>
            <w:vAlign w:val="center"/>
          </w:tcPr>
          <w:p w14:paraId="3537524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auto" w:sz="8" w:space="0"/>
              <w:left w:val="single" w:color="000000" w:sz="4" w:space="0"/>
              <w:bottom w:val="single" w:color="000000" w:sz="4" w:space="0"/>
              <w:right w:val="single" w:color="000000" w:sz="4" w:space="0"/>
            </w:tcBorders>
            <w:shd w:val="clear" w:color="auto" w:fill="auto"/>
            <w:vAlign w:val="center"/>
          </w:tcPr>
          <w:p w14:paraId="3E8392A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auto" w:sz="8" w:space="0"/>
              <w:left w:val="single" w:color="000000" w:sz="4" w:space="0"/>
              <w:bottom w:val="single" w:color="000000" w:sz="4" w:space="0"/>
              <w:right w:val="single" w:color="000000" w:sz="4" w:space="0"/>
            </w:tcBorders>
            <w:shd w:val="clear" w:color="auto" w:fill="auto"/>
            <w:vAlign w:val="center"/>
          </w:tcPr>
          <w:p w14:paraId="092FECE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auto" w:sz="8" w:space="0"/>
              <w:left w:val="single" w:color="000000" w:sz="4" w:space="0"/>
              <w:bottom w:val="single" w:color="000000" w:sz="4" w:space="0"/>
              <w:right w:val="single" w:color="000000" w:sz="4" w:space="0"/>
            </w:tcBorders>
            <w:shd w:val="clear" w:color="auto" w:fill="auto"/>
            <w:vAlign w:val="center"/>
          </w:tcPr>
          <w:p w14:paraId="000B55A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auto" w:sz="8" w:space="0"/>
              <w:left w:val="single" w:color="000000" w:sz="4" w:space="0"/>
              <w:bottom w:val="single" w:color="000000" w:sz="4" w:space="0"/>
              <w:right w:val="single" w:color="000000" w:sz="4" w:space="0"/>
            </w:tcBorders>
            <w:shd w:val="clear" w:color="auto" w:fill="auto"/>
            <w:vAlign w:val="center"/>
          </w:tcPr>
          <w:p w14:paraId="60C2ED7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auto" w:sz="8" w:space="0"/>
              <w:left w:val="single" w:color="000000" w:sz="4" w:space="0"/>
              <w:bottom w:val="single" w:color="000000" w:sz="4" w:space="0"/>
              <w:right w:val="single" w:color="000000" w:sz="4" w:space="0"/>
            </w:tcBorders>
            <w:shd w:val="clear" w:color="auto" w:fill="auto"/>
            <w:vAlign w:val="center"/>
          </w:tcPr>
          <w:p w14:paraId="15D79D3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auto" w:sz="8" w:space="0"/>
              <w:left w:val="single" w:color="000000" w:sz="4" w:space="0"/>
              <w:bottom w:val="single" w:color="000000" w:sz="4" w:space="0"/>
              <w:right w:val="single" w:color="000000" w:sz="4" w:space="0"/>
            </w:tcBorders>
            <w:shd w:val="clear" w:color="auto" w:fill="auto"/>
            <w:vAlign w:val="center"/>
          </w:tcPr>
          <w:p w14:paraId="149FB81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1" w:type="pct"/>
            <w:tcBorders>
              <w:top w:val="single" w:color="auto" w:sz="8" w:space="0"/>
              <w:left w:val="single" w:color="000000" w:sz="4" w:space="0"/>
              <w:bottom w:val="single" w:color="000000" w:sz="4" w:space="0"/>
            </w:tcBorders>
            <w:shd w:val="clear" w:color="auto" w:fill="auto"/>
            <w:vAlign w:val="center"/>
          </w:tcPr>
          <w:p w14:paraId="63231E4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r>
      <w:tr w14:paraId="0D6ABF4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212" w:type="pct"/>
            <w:vMerge w:val="continue"/>
            <w:tcBorders>
              <w:top w:val="single" w:color="000000" w:sz="4" w:space="0"/>
              <w:bottom w:val="single" w:color="000000" w:sz="4" w:space="0"/>
              <w:right w:val="single" w:color="000000" w:sz="4" w:space="0"/>
            </w:tcBorders>
            <w:shd w:val="clear" w:color="auto" w:fill="auto"/>
            <w:vAlign w:val="center"/>
          </w:tcPr>
          <w:p w14:paraId="0E76C6A8">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5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24CCC">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0F5C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9FF0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D8B7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CF58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36BF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17C0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FA23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BAD1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6F84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5F01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8112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B1DB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6729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9CFD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A6ED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B791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1" w:type="pct"/>
            <w:tcBorders>
              <w:top w:val="single" w:color="000000" w:sz="4" w:space="0"/>
              <w:left w:val="single" w:color="000000" w:sz="4" w:space="0"/>
              <w:bottom w:val="single" w:color="000000" w:sz="4" w:space="0"/>
            </w:tcBorders>
            <w:shd w:val="clear" w:color="auto" w:fill="auto"/>
            <w:vAlign w:val="center"/>
          </w:tcPr>
          <w:p w14:paraId="22A1371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r>
      <w:tr w14:paraId="1C014AE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212" w:type="pct"/>
            <w:vMerge w:val="continue"/>
            <w:tcBorders>
              <w:top w:val="single" w:color="000000" w:sz="4" w:space="0"/>
              <w:bottom w:val="single" w:color="000000" w:sz="4" w:space="0"/>
              <w:right w:val="single" w:color="000000" w:sz="4" w:space="0"/>
            </w:tcBorders>
            <w:shd w:val="clear" w:color="auto" w:fill="auto"/>
            <w:vAlign w:val="center"/>
          </w:tcPr>
          <w:p w14:paraId="25EA327A">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5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AF124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12V稳压</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BF3F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4CC9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3033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B515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1806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9D5C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645A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35AE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F4B4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7BF4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F66A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357D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611E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4642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C42E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35D5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1" w:type="pct"/>
            <w:tcBorders>
              <w:top w:val="single" w:color="000000" w:sz="4" w:space="0"/>
              <w:left w:val="single" w:color="000000" w:sz="4" w:space="0"/>
              <w:bottom w:val="single" w:color="000000" w:sz="4" w:space="0"/>
            </w:tcBorders>
            <w:shd w:val="clear" w:color="auto" w:fill="auto"/>
            <w:vAlign w:val="center"/>
          </w:tcPr>
          <w:p w14:paraId="1669B95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r>
      <w:tr w14:paraId="10B3B47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212" w:type="pct"/>
            <w:vMerge w:val="continue"/>
            <w:tcBorders>
              <w:top w:val="single" w:color="000000" w:sz="4" w:space="0"/>
              <w:bottom w:val="single" w:color="000000" w:sz="4" w:space="0"/>
              <w:right w:val="single" w:color="000000" w:sz="4" w:space="0"/>
            </w:tcBorders>
            <w:shd w:val="clear" w:color="auto" w:fill="auto"/>
            <w:vAlign w:val="center"/>
          </w:tcPr>
          <w:p w14:paraId="6FD0E8A9">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5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04EC2">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9E54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E45E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7458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10B3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B870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DE0D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BC14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28A1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E28A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E91B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6206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7EB0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0B76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AE99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E6C3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2B9D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1" w:type="pct"/>
            <w:tcBorders>
              <w:top w:val="single" w:color="000000" w:sz="4" w:space="0"/>
              <w:left w:val="single" w:color="000000" w:sz="4" w:space="0"/>
              <w:bottom w:val="single" w:color="000000" w:sz="4" w:space="0"/>
            </w:tcBorders>
            <w:shd w:val="clear" w:color="auto" w:fill="auto"/>
            <w:vAlign w:val="center"/>
          </w:tcPr>
          <w:p w14:paraId="0968EA7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r>
      <w:tr w14:paraId="73C5CCD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212" w:type="pct"/>
            <w:vMerge w:val="continue"/>
            <w:tcBorders>
              <w:top w:val="single" w:color="000000" w:sz="4" w:space="0"/>
              <w:bottom w:val="single" w:color="000000" w:sz="4" w:space="0"/>
              <w:right w:val="single" w:color="000000" w:sz="4" w:space="0"/>
            </w:tcBorders>
            <w:shd w:val="clear" w:color="auto" w:fill="auto"/>
            <w:vAlign w:val="center"/>
          </w:tcPr>
          <w:p w14:paraId="634801EE">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5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CEFD6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24V非稳压</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87D4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4A6B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B2FF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4804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4714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475D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A525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BAE5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4C99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76A3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9102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68EA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713F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DE6F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26AC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CB22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1" w:type="pct"/>
            <w:tcBorders>
              <w:top w:val="single" w:color="000000" w:sz="4" w:space="0"/>
              <w:left w:val="single" w:color="000000" w:sz="4" w:space="0"/>
              <w:bottom w:val="single" w:color="000000" w:sz="4" w:space="0"/>
            </w:tcBorders>
            <w:shd w:val="clear" w:color="auto" w:fill="auto"/>
            <w:vAlign w:val="center"/>
          </w:tcPr>
          <w:p w14:paraId="7B9B784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r>
      <w:tr w14:paraId="0EB66C9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212" w:type="pct"/>
            <w:vMerge w:val="continue"/>
            <w:tcBorders>
              <w:top w:val="single" w:color="000000" w:sz="4" w:space="0"/>
              <w:bottom w:val="single" w:color="000000" w:sz="4" w:space="0"/>
              <w:right w:val="single" w:color="000000" w:sz="4" w:space="0"/>
            </w:tcBorders>
            <w:shd w:val="clear" w:color="auto" w:fill="auto"/>
            <w:vAlign w:val="center"/>
          </w:tcPr>
          <w:p w14:paraId="7EB3C718">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5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A2BF1">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3CF5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5E9D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4E61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51FD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C395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8C14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8E9C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2D5C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689A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BB66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09A2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08DD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8F52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6782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15A2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84B9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1" w:type="pct"/>
            <w:tcBorders>
              <w:top w:val="single" w:color="000000" w:sz="4" w:space="0"/>
              <w:left w:val="single" w:color="000000" w:sz="4" w:space="0"/>
              <w:bottom w:val="single" w:color="000000" w:sz="4" w:space="0"/>
            </w:tcBorders>
            <w:shd w:val="clear" w:color="auto" w:fill="auto"/>
            <w:vAlign w:val="center"/>
          </w:tcPr>
          <w:p w14:paraId="5746081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r>
      <w:tr w14:paraId="3030B52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212" w:type="pct"/>
            <w:vMerge w:val="continue"/>
            <w:tcBorders>
              <w:top w:val="single" w:color="000000" w:sz="4" w:space="0"/>
              <w:bottom w:val="single" w:color="000000" w:sz="4" w:space="0"/>
              <w:right w:val="single" w:color="000000" w:sz="4" w:space="0"/>
            </w:tcBorders>
            <w:shd w:val="clear" w:color="auto" w:fill="auto"/>
            <w:vAlign w:val="center"/>
          </w:tcPr>
          <w:p w14:paraId="45CC979A">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5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1370B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24V稳压</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2A38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6</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EA29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AE46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9382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13DB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E9D1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5561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1A12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30D1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D199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4DE2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D8CB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70D2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27A7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2AB3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81A3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1" w:type="pct"/>
            <w:tcBorders>
              <w:top w:val="single" w:color="000000" w:sz="4" w:space="0"/>
              <w:left w:val="single" w:color="000000" w:sz="4" w:space="0"/>
              <w:bottom w:val="single" w:color="000000" w:sz="4" w:space="0"/>
            </w:tcBorders>
            <w:shd w:val="clear" w:color="auto" w:fill="auto"/>
            <w:vAlign w:val="center"/>
          </w:tcPr>
          <w:p w14:paraId="52CAB28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r>
      <w:tr w14:paraId="1005BB0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212" w:type="pct"/>
            <w:vMerge w:val="continue"/>
            <w:tcBorders>
              <w:top w:val="single" w:color="000000" w:sz="4" w:space="0"/>
              <w:bottom w:val="single" w:color="000000" w:sz="4" w:space="0"/>
              <w:right w:val="single" w:color="000000" w:sz="4" w:space="0"/>
            </w:tcBorders>
            <w:shd w:val="clear" w:color="auto" w:fill="auto"/>
            <w:vAlign w:val="center"/>
          </w:tcPr>
          <w:p w14:paraId="5F4F5594">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5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F6D9A">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CC54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7</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E4E1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BB5C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B979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7116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C30E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3D1F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22FE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9A80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8DA2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1029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5455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696C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D4E5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D997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BEF1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1" w:type="pct"/>
            <w:tcBorders>
              <w:top w:val="single" w:color="000000" w:sz="4" w:space="0"/>
              <w:left w:val="single" w:color="000000" w:sz="4" w:space="0"/>
              <w:bottom w:val="single" w:color="000000" w:sz="4" w:space="0"/>
            </w:tcBorders>
            <w:shd w:val="clear" w:color="auto" w:fill="auto"/>
            <w:vAlign w:val="center"/>
          </w:tcPr>
          <w:p w14:paraId="1CD6AFA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r>
      <w:tr w14:paraId="2ED4ACA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212" w:type="pct"/>
            <w:vMerge w:val="continue"/>
            <w:tcBorders>
              <w:top w:val="single" w:color="000000" w:sz="4" w:space="0"/>
              <w:bottom w:val="single" w:color="000000" w:sz="4" w:space="0"/>
              <w:right w:val="single" w:color="000000" w:sz="4" w:space="0"/>
            </w:tcBorders>
            <w:shd w:val="clear" w:color="auto" w:fill="auto"/>
            <w:vAlign w:val="center"/>
          </w:tcPr>
          <w:p w14:paraId="72A772D5">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5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AD2F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48V稳压</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9BC3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8</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8F11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AE8F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2A72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4249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3ABD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AEE4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F97A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8115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EE04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241F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DD0E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FC64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B1D9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6E18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864A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1" w:type="pct"/>
            <w:tcBorders>
              <w:top w:val="single" w:color="000000" w:sz="4" w:space="0"/>
              <w:left w:val="single" w:color="000000" w:sz="4" w:space="0"/>
              <w:bottom w:val="single" w:color="000000" w:sz="4" w:space="0"/>
            </w:tcBorders>
            <w:shd w:val="clear" w:color="auto" w:fill="auto"/>
            <w:vAlign w:val="center"/>
          </w:tcPr>
          <w:p w14:paraId="3A00005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r>
      <w:tr w14:paraId="65D2B9F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212" w:type="pct"/>
            <w:vMerge w:val="continue"/>
            <w:tcBorders>
              <w:top w:val="single" w:color="000000" w:sz="4" w:space="0"/>
              <w:bottom w:val="single" w:color="000000" w:sz="4" w:space="0"/>
              <w:right w:val="single" w:color="000000" w:sz="4" w:space="0"/>
            </w:tcBorders>
            <w:shd w:val="clear" w:color="auto" w:fill="auto"/>
            <w:vAlign w:val="center"/>
          </w:tcPr>
          <w:p w14:paraId="1A78BD4C">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5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CDA5A">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E61D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9</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DB4B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E071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B20E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40DC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8DE4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E354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93A8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D4CB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9E6F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ECE2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0C31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101B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F31D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A3AD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AC24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1" w:type="pct"/>
            <w:tcBorders>
              <w:top w:val="single" w:color="000000" w:sz="4" w:space="0"/>
              <w:left w:val="single" w:color="000000" w:sz="4" w:space="0"/>
              <w:bottom w:val="single" w:color="000000" w:sz="4" w:space="0"/>
            </w:tcBorders>
            <w:shd w:val="clear" w:color="auto" w:fill="auto"/>
            <w:vAlign w:val="center"/>
          </w:tcPr>
          <w:p w14:paraId="537B1EC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r>
      <w:tr w14:paraId="19D3C1B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212" w:type="pct"/>
            <w:vMerge w:val="continue"/>
            <w:tcBorders>
              <w:top w:val="single" w:color="000000" w:sz="4" w:space="0"/>
              <w:bottom w:val="single" w:color="000000" w:sz="4" w:space="0"/>
              <w:right w:val="single" w:color="000000" w:sz="4" w:space="0"/>
            </w:tcBorders>
            <w:shd w:val="clear" w:color="auto" w:fill="auto"/>
            <w:vAlign w:val="center"/>
          </w:tcPr>
          <w:p w14:paraId="2C04D657">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5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4D9B9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30V稳压</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C924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6312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B857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6012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592C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379A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E335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23B6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A333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5313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3957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B975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C1CE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30A4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0A28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7A72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1" w:type="pct"/>
            <w:tcBorders>
              <w:top w:val="single" w:color="000000" w:sz="4" w:space="0"/>
              <w:left w:val="single" w:color="000000" w:sz="4" w:space="0"/>
              <w:bottom w:val="single" w:color="000000" w:sz="4" w:space="0"/>
            </w:tcBorders>
            <w:shd w:val="clear" w:color="auto" w:fill="auto"/>
            <w:vAlign w:val="center"/>
          </w:tcPr>
          <w:p w14:paraId="4CAE535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r>
      <w:tr w14:paraId="16D46C5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212" w:type="pct"/>
            <w:vMerge w:val="continue"/>
            <w:tcBorders>
              <w:top w:val="single" w:color="000000" w:sz="4" w:space="0"/>
              <w:bottom w:val="single" w:color="000000" w:sz="4" w:space="0"/>
              <w:right w:val="single" w:color="000000" w:sz="4" w:space="0"/>
            </w:tcBorders>
            <w:shd w:val="clear" w:color="auto" w:fill="auto"/>
            <w:vAlign w:val="center"/>
          </w:tcPr>
          <w:p w14:paraId="6D7111F6">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5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C6E66">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64E8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11</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3639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7795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8DB7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4428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9046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E7C7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FA99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2891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7525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BA95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C3E2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FC95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104C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E76E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533C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1" w:type="pct"/>
            <w:tcBorders>
              <w:top w:val="single" w:color="000000" w:sz="4" w:space="0"/>
              <w:left w:val="single" w:color="000000" w:sz="4" w:space="0"/>
              <w:bottom w:val="single" w:color="000000" w:sz="4" w:space="0"/>
            </w:tcBorders>
            <w:shd w:val="clear" w:color="auto" w:fill="auto"/>
            <w:vAlign w:val="center"/>
          </w:tcPr>
          <w:p w14:paraId="7E1B19D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r>
      <w:tr w14:paraId="22D313B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212" w:type="pct"/>
            <w:vMerge w:val="continue"/>
            <w:tcBorders>
              <w:top w:val="single" w:color="000000" w:sz="4" w:space="0"/>
              <w:bottom w:val="single" w:color="000000" w:sz="4" w:space="0"/>
              <w:right w:val="single" w:color="000000" w:sz="4" w:space="0"/>
            </w:tcBorders>
            <w:shd w:val="clear" w:color="auto" w:fill="auto"/>
            <w:vAlign w:val="center"/>
          </w:tcPr>
          <w:p w14:paraId="3A353A1D">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5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2AB54">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0FEB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12</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0A2A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DE20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7CFA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B800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4F3B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D86B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570A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E778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4F22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A59A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6C48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C6D2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367A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4526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7DF3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1" w:type="pct"/>
            <w:tcBorders>
              <w:top w:val="single" w:color="000000" w:sz="4" w:space="0"/>
              <w:left w:val="single" w:color="000000" w:sz="4" w:space="0"/>
              <w:bottom w:val="single" w:color="000000" w:sz="4" w:space="0"/>
            </w:tcBorders>
            <w:shd w:val="clear" w:color="auto" w:fill="auto"/>
            <w:vAlign w:val="center"/>
          </w:tcPr>
          <w:p w14:paraId="0E67126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r>
      <w:tr w14:paraId="77CA685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212" w:type="pct"/>
            <w:vMerge w:val="continue"/>
            <w:tcBorders>
              <w:top w:val="single" w:color="000000" w:sz="4" w:space="0"/>
              <w:bottom w:val="single" w:color="000000" w:sz="4" w:space="0"/>
              <w:right w:val="single" w:color="000000" w:sz="4" w:space="0"/>
            </w:tcBorders>
            <w:shd w:val="clear" w:color="auto" w:fill="auto"/>
            <w:vAlign w:val="center"/>
          </w:tcPr>
          <w:p w14:paraId="60569BCE">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5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4A381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58V稳压</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46C5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13</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D83E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3F47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3F45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B815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AF33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7A72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2EB9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3794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53DAE">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B886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EB9D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2B7C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18CE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5095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66B7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1" w:type="pct"/>
            <w:tcBorders>
              <w:top w:val="single" w:color="000000" w:sz="4" w:space="0"/>
              <w:left w:val="single" w:color="000000" w:sz="4" w:space="0"/>
              <w:bottom w:val="single" w:color="000000" w:sz="4" w:space="0"/>
            </w:tcBorders>
            <w:shd w:val="clear" w:color="auto" w:fill="auto"/>
            <w:vAlign w:val="center"/>
          </w:tcPr>
          <w:p w14:paraId="1FEDEFC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r>
      <w:tr w14:paraId="71D1568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212" w:type="pct"/>
            <w:vMerge w:val="continue"/>
            <w:tcBorders>
              <w:top w:val="single" w:color="000000" w:sz="4" w:space="0"/>
              <w:bottom w:val="single" w:color="000000" w:sz="4" w:space="0"/>
              <w:right w:val="single" w:color="000000" w:sz="4" w:space="0"/>
            </w:tcBorders>
            <w:shd w:val="clear" w:color="auto" w:fill="auto"/>
            <w:vAlign w:val="center"/>
          </w:tcPr>
          <w:p w14:paraId="3215CCF3">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5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B75A8">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87C3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14</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30A6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9723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020E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83A1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5984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8C1D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AFEC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26D0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9FA8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703E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59D0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1A5E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C60C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F67D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C3B8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c>
          <w:tcPr>
            <w:tcW w:w="251" w:type="pct"/>
            <w:tcBorders>
              <w:top w:val="single" w:color="000000" w:sz="4" w:space="0"/>
              <w:left w:val="single" w:color="000000" w:sz="4" w:space="0"/>
              <w:bottom w:val="single" w:color="000000" w:sz="4" w:space="0"/>
            </w:tcBorders>
            <w:shd w:val="clear" w:color="auto" w:fill="auto"/>
            <w:vAlign w:val="center"/>
          </w:tcPr>
          <w:p w14:paraId="35F23A0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r>
      <w:tr w14:paraId="05B8575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212" w:type="pct"/>
            <w:vMerge w:val="continue"/>
            <w:tcBorders>
              <w:top w:val="single" w:color="000000" w:sz="4" w:space="0"/>
              <w:right w:val="single" w:color="000000" w:sz="4" w:space="0"/>
            </w:tcBorders>
            <w:shd w:val="clear" w:color="auto" w:fill="auto"/>
            <w:vAlign w:val="center"/>
          </w:tcPr>
          <w:p w14:paraId="38822F37">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500" w:type="pct"/>
            <w:vMerge w:val="continue"/>
            <w:tcBorders>
              <w:top w:val="single" w:color="000000" w:sz="4" w:space="0"/>
              <w:left w:val="single" w:color="000000" w:sz="4" w:space="0"/>
              <w:right w:val="single" w:color="000000" w:sz="4" w:space="0"/>
            </w:tcBorders>
            <w:shd w:val="clear" w:color="auto" w:fill="auto"/>
            <w:vAlign w:val="center"/>
          </w:tcPr>
          <w:p w14:paraId="2A5E01D9">
            <w:pPr>
              <w:widowControl/>
              <w:jc w:val="center"/>
              <w:textAlignment w:val="center"/>
              <w:rPr>
                <w:rFonts w:hint="default" w:ascii="Times New Roman" w:hAnsi="Times New Roman" w:cs="Times New Roman"/>
                <w:color w:val="auto"/>
                <w:kern w:val="0"/>
                <w:sz w:val="18"/>
                <w:szCs w:val="18"/>
                <w:highlight w:val="none"/>
                <w:lang w:val="en-US" w:eastAsia="zh-CN" w:bidi="ar"/>
              </w:rPr>
            </w:pPr>
          </w:p>
        </w:tc>
        <w:tc>
          <w:tcPr>
            <w:tcW w:w="282" w:type="pct"/>
            <w:tcBorders>
              <w:top w:val="single" w:color="000000" w:sz="4" w:space="0"/>
              <w:left w:val="single" w:color="000000" w:sz="4" w:space="0"/>
              <w:right w:val="single" w:color="000000" w:sz="4" w:space="0"/>
            </w:tcBorders>
            <w:shd w:val="clear" w:color="auto" w:fill="auto"/>
            <w:vAlign w:val="center"/>
          </w:tcPr>
          <w:p w14:paraId="5441AE2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15</w:t>
            </w:r>
          </w:p>
        </w:tc>
        <w:tc>
          <w:tcPr>
            <w:tcW w:w="249" w:type="pct"/>
            <w:tcBorders>
              <w:top w:val="single" w:color="000000" w:sz="4" w:space="0"/>
              <w:left w:val="single" w:color="000000" w:sz="4" w:space="0"/>
              <w:right w:val="single" w:color="000000" w:sz="4" w:space="0"/>
            </w:tcBorders>
            <w:shd w:val="clear" w:color="auto" w:fill="auto"/>
            <w:vAlign w:val="center"/>
          </w:tcPr>
          <w:p w14:paraId="01E7FB4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right w:val="single" w:color="000000" w:sz="4" w:space="0"/>
            </w:tcBorders>
            <w:shd w:val="clear" w:color="auto" w:fill="auto"/>
            <w:vAlign w:val="center"/>
          </w:tcPr>
          <w:p w14:paraId="5C64F72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right w:val="single" w:color="000000" w:sz="4" w:space="0"/>
            </w:tcBorders>
            <w:shd w:val="clear" w:color="auto" w:fill="auto"/>
            <w:vAlign w:val="center"/>
          </w:tcPr>
          <w:p w14:paraId="100AD72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right w:val="single" w:color="000000" w:sz="4" w:space="0"/>
            </w:tcBorders>
            <w:shd w:val="clear" w:color="auto" w:fill="auto"/>
            <w:vAlign w:val="center"/>
          </w:tcPr>
          <w:p w14:paraId="61960B0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49" w:type="pct"/>
            <w:tcBorders>
              <w:top w:val="single" w:color="000000" w:sz="4" w:space="0"/>
              <w:left w:val="single" w:color="000000" w:sz="4" w:space="0"/>
              <w:right w:val="single" w:color="000000" w:sz="4" w:space="0"/>
            </w:tcBorders>
            <w:shd w:val="clear" w:color="auto" w:fill="auto"/>
            <w:vAlign w:val="center"/>
          </w:tcPr>
          <w:p w14:paraId="64757D5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right w:val="single" w:color="000000" w:sz="4" w:space="0"/>
            </w:tcBorders>
            <w:shd w:val="clear" w:color="auto" w:fill="auto"/>
            <w:vAlign w:val="center"/>
          </w:tcPr>
          <w:p w14:paraId="5234917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right w:val="single" w:color="000000" w:sz="4" w:space="0"/>
            </w:tcBorders>
            <w:shd w:val="clear" w:color="auto" w:fill="auto"/>
            <w:vAlign w:val="center"/>
          </w:tcPr>
          <w:p w14:paraId="71BB87E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right w:val="single" w:color="000000" w:sz="4" w:space="0"/>
            </w:tcBorders>
            <w:shd w:val="clear" w:color="auto" w:fill="auto"/>
            <w:vAlign w:val="center"/>
          </w:tcPr>
          <w:p w14:paraId="6B16681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right w:val="single" w:color="000000" w:sz="4" w:space="0"/>
            </w:tcBorders>
            <w:shd w:val="clear" w:color="auto" w:fill="auto"/>
            <w:vAlign w:val="center"/>
          </w:tcPr>
          <w:p w14:paraId="43B4144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right w:val="single" w:color="000000" w:sz="4" w:space="0"/>
            </w:tcBorders>
            <w:shd w:val="clear" w:color="auto" w:fill="auto"/>
            <w:vAlign w:val="center"/>
          </w:tcPr>
          <w:p w14:paraId="3783C5D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right w:val="single" w:color="000000" w:sz="4" w:space="0"/>
            </w:tcBorders>
            <w:shd w:val="clear" w:color="auto" w:fill="auto"/>
            <w:vAlign w:val="center"/>
          </w:tcPr>
          <w:p w14:paraId="088AB31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right w:val="single" w:color="000000" w:sz="4" w:space="0"/>
            </w:tcBorders>
            <w:shd w:val="clear" w:color="auto" w:fill="auto"/>
            <w:vAlign w:val="center"/>
          </w:tcPr>
          <w:p w14:paraId="649A6C5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right w:val="single" w:color="000000" w:sz="4" w:space="0"/>
            </w:tcBorders>
            <w:shd w:val="clear" w:color="auto" w:fill="auto"/>
            <w:vAlign w:val="center"/>
          </w:tcPr>
          <w:p w14:paraId="37084DC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right w:val="single" w:color="000000" w:sz="4" w:space="0"/>
            </w:tcBorders>
            <w:shd w:val="clear" w:color="auto" w:fill="auto"/>
            <w:vAlign w:val="center"/>
          </w:tcPr>
          <w:p w14:paraId="3CB6274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0" w:type="pct"/>
            <w:tcBorders>
              <w:top w:val="single" w:color="000000" w:sz="4" w:space="0"/>
              <w:left w:val="single" w:color="000000" w:sz="4" w:space="0"/>
              <w:right w:val="single" w:color="000000" w:sz="4" w:space="0"/>
            </w:tcBorders>
            <w:shd w:val="clear" w:color="auto" w:fill="auto"/>
            <w:vAlign w:val="center"/>
          </w:tcPr>
          <w:p w14:paraId="19D81A4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251" w:type="pct"/>
            <w:tcBorders>
              <w:top w:val="single" w:color="000000" w:sz="4" w:space="0"/>
              <w:left w:val="single" w:color="000000" w:sz="4" w:space="0"/>
            </w:tcBorders>
            <w:shd w:val="clear" w:color="auto" w:fill="auto"/>
            <w:vAlign w:val="center"/>
          </w:tcPr>
          <w:p w14:paraId="665F5514">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适配</w:t>
            </w:r>
          </w:p>
        </w:tc>
      </w:tr>
    </w:tbl>
    <w:p w14:paraId="25EA4D56">
      <w:pPr>
        <w:pStyle w:val="75"/>
        <w:numPr>
          <w:ilvl w:val="2"/>
          <w:numId w:val="0"/>
        </w:numPr>
        <w:spacing w:before="156" w:after="156"/>
        <w:ind w:leftChars="0"/>
        <w:rPr>
          <w:rFonts w:hint="default" w:ascii="Times New Roman" w:hAnsi="Times New Roman" w:eastAsia="宋体" w:cs="Times New Roman"/>
          <w:color w:val="auto"/>
          <w:highlight w:val="none"/>
          <w:lang w:val="en-US" w:eastAsia="zh-CN"/>
        </w:rPr>
        <w:sectPr>
          <w:pgSz w:w="16838" w:h="11906" w:orient="landscape"/>
          <w:pgMar w:top="1418" w:right="567" w:bottom="1134" w:left="1134" w:header="1418" w:footer="1134" w:gutter="0"/>
          <w:pgBorders>
            <w:top w:val="none" w:sz="0" w:space="0"/>
            <w:left w:val="none" w:sz="0" w:space="0"/>
            <w:bottom w:val="none" w:sz="0" w:space="0"/>
            <w:right w:val="none" w:sz="0" w:space="0"/>
          </w:pgBorders>
          <w:cols w:space="720" w:num="1"/>
          <w:formProt w:val="0"/>
          <w:docGrid w:type="lines" w:linePitch="312" w:charSpace="0"/>
        </w:sectPr>
      </w:pPr>
    </w:p>
    <w:p w14:paraId="57B35561">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不同PoDL</w:t>
      </w:r>
      <w:r>
        <w:rPr>
          <w:rFonts w:hint="eastAsia" w:ascii="Times New Roman" w:eastAsia="宋体" w:cs="Times New Roman"/>
          <w:color w:val="auto"/>
          <w:highlight w:val="none"/>
          <w:lang w:val="en-US" w:eastAsia="zh-CN"/>
        </w:rPr>
        <w:t>系统电源</w:t>
      </w:r>
      <w:r>
        <w:rPr>
          <w:rFonts w:hint="default" w:ascii="Times New Roman" w:hAnsi="Times New Roman" w:eastAsia="宋体" w:cs="Times New Roman"/>
          <w:color w:val="auto"/>
          <w:highlight w:val="none"/>
          <w:lang w:val="en-US" w:eastAsia="zh-CN"/>
        </w:rPr>
        <w:t>等级链路直流电阻应满足表7的要求</w:t>
      </w:r>
      <w:r>
        <w:rPr>
          <w:rFonts w:hint="eastAsia" w:ascii="Times New Roman" w:eastAsia="宋体" w:cs="Times New Roman"/>
          <w:color w:val="auto"/>
          <w:highlight w:val="none"/>
          <w:lang w:val="en-US" w:eastAsia="zh-CN"/>
        </w:rPr>
        <w:t>。</w:t>
      </w:r>
    </w:p>
    <w:p w14:paraId="0C103DF4">
      <w:pPr>
        <w:pStyle w:val="132"/>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PoDL</w:t>
      </w:r>
      <w:r>
        <w:rPr>
          <w:rFonts w:hint="eastAsia" w:ascii="Times New Roman" w:cs="Times New Roman"/>
          <w:color w:val="auto"/>
          <w:lang w:val="en-US" w:eastAsia="zh-CN"/>
        </w:rPr>
        <w:t>系统</w:t>
      </w:r>
      <w:r>
        <w:rPr>
          <w:rFonts w:hint="default" w:ascii="Times New Roman" w:hAnsi="Times New Roman" w:cs="Times New Roman"/>
          <w:color w:val="auto"/>
          <w:lang w:val="en-US" w:eastAsia="zh-CN"/>
        </w:rPr>
        <w:t>链路直流电阻要求</w:t>
      </w:r>
    </w:p>
    <w:tbl>
      <w:tblPr>
        <w:tblStyle w:val="37"/>
        <w:tblW w:w="854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880"/>
        <w:gridCol w:w="5669"/>
      </w:tblGrid>
      <w:tr w14:paraId="414001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blHeader/>
          <w:jc w:val="center"/>
        </w:trPr>
        <w:tc>
          <w:tcPr>
            <w:tcW w:w="2880" w:type="dxa"/>
            <w:tcBorders>
              <w:top w:val="single" w:color="auto" w:sz="8" w:space="0"/>
              <w:left w:val="single" w:color="auto" w:sz="8" w:space="0"/>
              <w:bottom w:val="single" w:color="auto" w:sz="8" w:space="0"/>
            </w:tcBorders>
            <w:vAlign w:val="center"/>
          </w:tcPr>
          <w:p w14:paraId="32A9E985">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等级</w:t>
            </w:r>
          </w:p>
        </w:tc>
        <w:tc>
          <w:tcPr>
            <w:tcW w:w="5669" w:type="dxa"/>
            <w:tcBorders>
              <w:top w:val="single" w:color="auto" w:sz="8" w:space="0"/>
              <w:bottom w:val="single" w:color="auto" w:sz="8" w:space="0"/>
              <w:right w:val="single" w:color="auto" w:sz="8" w:space="0"/>
            </w:tcBorders>
            <w:vAlign w:val="center"/>
          </w:tcPr>
          <w:p w14:paraId="319D4700">
            <w:pPr>
              <w:widowControl/>
              <w:jc w:val="center"/>
              <w:textAlignment w:val="center"/>
              <w:rPr>
                <w:rFonts w:hint="default" w:ascii="Times New Roman" w:hAnsi="Times New Roman" w:cs="Times New Roman"/>
                <w:b/>
                <w:bCs/>
                <w:color w:val="auto"/>
                <w:kern w:val="0"/>
                <w:sz w:val="18"/>
                <w:szCs w:val="18"/>
                <w:highlight w:val="none"/>
                <w:lang w:val="en-US" w:eastAsia="zh-CN" w:bidi="ar"/>
              </w:rPr>
            </w:pPr>
            <w:r>
              <w:rPr>
                <w:rFonts w:hint="default" w:ascii="Times New Roman" w:hAnsi="Times New Roman" w:cs="Times New Roman"/>
                <w:b/>
                <w:bCs/>
                <w:color w:val="auto"/>
                <w:kern w:val="0"/>
                <w:sz w:val="18"/>
                <w:szCs w:val="18"/>
                <w:highlight w:val="none"/>
                <w:lang w:val="en-US" w:eastAsia="zh-CN" w:bidi="ar"/>
              </w:rPr>
              <w:t>链路部分的直流回路电阻应小于（Ω）</w:t>
            </w:r>
          </w:p>
        </w:tc>
      </w:tr>
      <w:tr w14:paraId="72BF8D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880" w:type="dxa"/>
            <w:tcBorders>
              <w:top w:val="single" w:color="auto" w:sz="8" w:space="0"/>
              <w:left w:val="single" w:color="auto" w:sz="8" w:space="0"/>
            </w:tcBorders>
            <w:vAlign w:val="center"/>
          </w:tcPr>
          <w:p w14:paraId="0194B02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0~1</w:t>
            </w:r>
          </w:p>
        </w:tc>
        <w:tc>
          <w:tcPr>
            <w:tcW w:w="5669" w:type="dxa"/>
            <w:tcBorders>
              <w:top w:val="single" w:color="auto" w:sz="8" w:space="0"/>
              <w:right w:val="single" w:color="auto" w:sz="8" w:space="0"/>
            </w:tcBorders>
            <w:vAlign w:val="center"/>
          </w:tcPr>
          <w:p w14:paraId="4C575F0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6</w:t>
            </w:r>
          </w:p>
        </w:tc>
      </w:tr>
      <w:tr w14:paraId="25C3DA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880" w:type="dxa"/>
            <w:tcBorders>
              <w:left w:val="single" w:color="auto" w:sz="8" w:space="0"/>
            </w:tcBorders>
            <w:vAlign w:val="center"/>
          </w:tcPr>
          <w:p w14:paraId="5D89CA4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2~9</w:t>
            </w:r>
          </w:p>
        </w:tc>
        <w:tc>
          <w:tcPr>
            <w:tcW w:w="5669" w:type="dxa"/>
            <w:tcBorders>
              <w:right w:val="single" w:color="auto" w:sz="8" w:space="0"/>
            </w:tcBorders>
            <w:vAlign w:val="center"/>
          </w:tcPr>
          <w:p w14:paraId="5780F50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6.5</w:t>
            </w:r>
          </w:p>
        </w:tc>
      </w:tr>
      <w:tr w14:paraId="2AE9EF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880" w:type="dxa"/>
            <w:tcBorders>
              <w:left w:val="single" w:color="auto" w:sz="8" w:space="0"/>
            </w:tcBorders>
            <w:vAlign w:val="center"/>
          </w:tcPr>
          <w:p w14:paraId="4E5FE89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10~13</w:t>
            </w:r>
          </w:p>
        </w:tc>
        <w:tc>
          <w:tcPr>
            <w:tcW w:w="5669" w:type="dxa"/>
            <w:tcBorders>
              <w:right w:val="single" w:color="auto" w:sz="8" w:space="0"/>
            </w:tcBorders>
            <w:vAlign w:val="center"/>
          </w:tcPr>
          <w:p w14:paraId="3D45406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65</w:t>
            </w:r>
          </w:p>
        </w:tc>
      </w:tr>
      <w:tr w14:paraId="2F194F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880" w:type="dxa"/>
            <w:tcBorders>
              <w:left w:val="single" w:color="auto" w:sz="8" w:space="0"/>
            </w:tcBorders>
            <w:vAlign w:val="center"/>
          </w:tcPr>
          <w:p w14:paraId="57FEEEC8">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11~14</w:t>
            </w:r>
          </w:p>
        </w:tc>
        <w:tc>
          <w:tcPr>
            <w:tcW w:w="5669" w:type="dxa"/>
            <w:tcBorders>
              <w:right w:val="single" w:color="auto" w:sz="8" w:space="0"/>
            </w:tcBorders>
            <w:vAlign w:val="center"/>
          </w:tcPr>
          <w:p w14:paraId="6002E357">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25</w:t>
            </w:r>
          </w:p>
        </w:tc>
      </w:tr>
      <w:tr w14:paraId="2D5FD5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880" w:type="dxa"/>
            <w:tcBorders>
              <w:left w:val="single" w:color="auto" w:sz="8" w:space="0"/>
              <w:bottom w:val="single" w:color="auto" w:sz="8" w:space="0"/>
            </w:tcBorders>
            <w:shd w:val="clear" w:color="auto" w:fill="auto"/>
            <w:vAlign w:val="center"/>
          </w:tcPr>
          <w:p w14:paraId="4BC6A9BF">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12~15</w:t>
            </w:r>
          </w:p>
        </w:tc>
        <w:tc>
          <w:tcPr>
            <w:tcW w:w="5669" w:type="dxa"/>
            <w:tcBorders>
              <w:bottom w:val="single" w:color="auto" w:sz="8" w:space="0"/>
              <w:right w:val="single" w:color="auto" w:sz="8" w:space="0"/>
            </w:tcBorders>
            <w:shd w:val="clear" w:color="auto" w:fill="auto"/>
            <w:vAlign w:val="center"/>
          </w:tcPr>
          <w:p w14:paraId="3ED6F5F5">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95</w:t>
            </w:r>
          </w:p>
        </w:tc>
      </w:tr>
    </w:tbl>
    <w:p w14:paraId="160D1D38">
      <w:pPr>
        <w:spacing w:before="156" w:after="156"/>
        <w:rPr>
          <w:rFonts w:hint="default"/>
          <w:color w:val="auto"/>
          <w:lang w:val="en-US" w:eastAsia="zh-CN"/>
        </w:rPr>
      </w:pPr>
    </w:p>
    <w:p w14:paraId="3DFEA2B1">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PSE应具备以下功能：</w:t>
      </w:r>
    </w:p>
    <w:p w14:paraId="35512E7E">
      <w:pPr>
        <w:numPr>
          <w:ilvl w:val="1"/>
          <w:numId w:val="19"/>
        </w:numPr>
        <w:tabs>
          <w:tab w:val="clear" w:pos="84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在链路中搜索PD。</w:t>
      </w:r>
    </w:p>
    <w:p w14:paraId="312D872D">
      <w:pPr>
        <w:numPr>
          <w:ilvl w:val="1"/>
          <w:numId w:val="19"/>
        </w:numPr>
        <w:tabs>
          <w:tab w:val="clear" w:pos="84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通过链路为搜索到的PD供电。</w:t>
      </w:r>
    </w:p>
    <w:p w14:paraId="794A9C99">
      <w:pPr>
        <w:numPr>
          <w:ilvl w:val="1"/>
          <w:numId w:val="19"/>
        </w:numPr>
        <w:tabs>
          <w:tab w:val="clear" w:pos="84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监控供给链路的功率。</w:t>
      </w:r>
    </w:p>
    <w:p w14:paraId="1505E1DC">
      <w:pPr>
        <w:numPr>
          <w:ilvl w:val="1"/>
          <w:numId w:val="19"/>
        </w:numPr>
        <w:tabs>
          <w:tab w:val="clear" w:pos="84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当不再需要或检测到短路或其他故障时，停止供电。</w:t>
      </w:r>
    </w:p>
    <w:p w14:paraId="1715A06A">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PD应具备以下功能：</w:t>
      </w:r>
    </w:p>
    <w:p w14:paraId="5EABB4FE">
      <w:pPr>
        <w:numPr>
          <w:ilvl w:val="1"/>
          <w:numId w:val="20"/>
        </w:numPr>
        <w:tabs>
          <w:tab w:val="clear" w:pos="84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可被PSE检测。</w:t>
      </w:r>
    </w:p>
    <w:p w14:paraId="54E8DF0C">
      <w:pPr>
        <w:numPr>
          <w:ilvl w:val="1"/>
          <w:numId w:val="20"/>
        </w:numPr>
        <w:tabs>
          <w:tab w:val="clear" w:pos="84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可通过SCCP与PSE进行通信，并应提供PD的电源等级等信息。</w:t>
      </w:r>
    </w:p>
    <w:p w14:paraId="2ACC13AD">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PSE及PD应通过SCCP确定电源等级。</w:t>
      </w:r>
    </w:p>
    <w:p w14:paraId="4D539C82">
      <w:pPr>
        <w:pStyle w:val="76"/>
        <w:spacing w:line="240" w:lineRule="auto"/>
        <w:outlineLvl w:val="1"/>
        <w:rPr>
          <w:rFonts w:hint="default" w:ascii="Times New Roman" w:hAnsi="Times New Roman" w:cs="Times New Roman"/>
          <w:color w:val="auto"/>
        </w:rPr>
      </w:pPr>
      <w:bookmarkStart w:id="278" w:name="_Toc8449"/>
      <w:bookmarkStart w:id="279" w:name="_Toc19961"/>
      <w:bookmarkStart w:id="280" w:name="_Toc24715"/>
      <w:r>
        <w:rPr>
          <w:rFonts w:hint="default" w:ascii="Times New Roman" w:hAnsi="Times New Roman" w:cs="Times New Roman"/>
          <w:color w:val="auto"/>
          <w:highlight w:val="none"/>
          <w:lang w:val="en-US" w:eastAsia="zh-CN"/>
        </w:rPr>
        <w:t>SPE网络应用场景</w:t>
      </w:r>
      <w:bookmarkEnd w:id="278"/>
      <w:bookmarkEnd w:id="279"/>
    </w:p>
    <w:p w14:paraId="7D1A17EE">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当以太网接入设备多、设备部署地点分散、设备功率较低且设备本地取电受限、布线通道空间有限时宜采用单对以太网系统。</w:t>
      </w:r>
    </w:p>
    <w:p w14:paraId="5037CAB3">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楼宇及工业自动化可采用10BASE-T1L及E类PoDL。</w:t>
      </w:r>
    </w:p>
    <w:p w14:paraId="2D366535">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工业控制可采用10BASE-T1S、100BASE-T1及1000BASE-T1。</w:t>
      </w:r>
    </w:p>
    <w:p w14:paraId="36BCA3EC">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 当在产品内部采用SPE实现通信及器件供电时，可根据传输带宽、传输距离、电源等级等确定采用的SPE类型。</w:t>
      </w:r>
    </w:p>
    <w:p w14:paraId="46ECFA94">
      <w:pPr>
        <w:pStyle w:val="91"/>
        <w:outlineLvl w:val="0"/>
        <w:rPr>
          <w:rFonts w:hint="default" w:ascii="Times New Roman" w:hAnsi="Times New Roman" w:cs="Times New Roman"/>
          <w:color w:val="auto"/>
          <w:highlight w:val="none"/>
        </w:rPr>
      </w:pPr>
      <w:bookmarkStart w:id="281" w:name="_Toc613"/>
      <w:bookmarkStart w:id="282" w:name="_Toc1517"/>
      <w:r>
        <w:rPr>
          <w:rFonts w:hint="default" w:ascii="Times New Roman" w:hAnsi="Times New Roman" w:cs="Times New Roman"/>
          <w:color w:val="auto"/>
          <w:highlight w:val="none"/>
        </w:rPr>
        <w:t>线缆及器件</w:t>
      </w:r>
      <w:bookmarkEnd w:id="281"/>
      <w:bookmarkEnd w:id="282"/>
    </w:p>
    <w:p w14:paraId="3156F39E">
      <w:pPr>
        <w:pStyle w:val="76"/>
        <w:spacing w:line="240" w:lineRule="auto"/>
        <w:outlineLvl w:val="1"/>
        <w:rPr>
          <w:rFonts w:hint="default" w:ascii="Times New Roman" w:hAnsi="Times New Roman" w:cs="Times New Roman"/>
          <w:color w:val="auto"/>
          <w:highlight w:val="none"/>
          <w:lang w:val="en-US" w:eastAsia="zh-CN"/>
        </w:rPr>
      </w:pPr>
      <w:bookmarkStart w:id="283" w:name="_Toc11956"/>
      <w:bookmarkStart w:id="284" w:name="_Toc20095"/>
      <w:r>
        <w:rPr>
          <w:rFonts w:hint="eastAsia" w:ascii="Times New Roman" w:cs="Times New Roman"/>
          <w:color w:val="auto"/>
          <w:highlight w:val="none"/>
          <w:lang w:val="en-US" w:eastAsia="zh-CN"/>
        </w:rPr>
        <w:t>单线对对绞电缆</w:t>
      </w:r>
      <w:r>
        <w:rPr>
          <w:rFonts w:hint="default" w:ascii="Times New Roman" w:hAnsi="Times New Roman" w:cs="Times New Roman"/>
          <w:color w:val="auto"/>
          <w:highlight w:val="none"/>
          <w:lang w:val="en-US" w:eastAsia="zh-CN"/>
        </w:rPr>
        <w:t>要求</w:t>
      </w:r>
      <w:bookmarkEnd w:id="283"/>
      <w:bookmarkEnd w:id="284"/>
    </w:p>
    <w:p w14:paraId="5BC117CF">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单对以太网系统采用的电缆应根据SPE类型、PoDL电源等级及环境等级确定。</w:t>
      </w:r>
    </w:p>
    <w:p w14:paraId="47BBDFCD">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单对以太网水平电缆导体应</w:t>
      </w:r>
      <w:r>
        <w:rPr>
          <w:rFonts w:hint="eastAsia" w:ascii="Times New Roman" w:eastAsia="宋体" w:cs="Times New Roman"/>
          <w:color w:val="auto"/>
          <w:highlight w:val="none"/>
          <w:lang w:val="en-US" w:eastAsia="zh-CN"/>
        </w:rPr>
        <w:t>符合下列规定：</w:t>
      </w:r>
    </w:p>
    <w:p w14:paraId="39C23152">
      <w:pPr>
        <w:numPr>
          <w:ilvl w:val="1"/>
          <w:numId w:val="21"/>
        </w:numPr>
        <w:tabs>
          <w:tab w:val="clear" w:pos="840"/>
        </w:tabs>
        <w:spacing w:before="156" w:after="156" w:line="240" w:lineRule="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导体</w:t>
      </w:r>
      <w:r>
        <w:rPr>
          <w:rFonts w:hint="default" w:ascii="Times New Roman" w:hAnsi="Times New Roman" w:eastAsia="宋体" w:cs="Times New Roman"/>
          <w:color w:val="auto"/>
          <w:highlight w:val="none"/>
          <w:lang w:val="en-US" w:eastAsia="zh-CN"/>
        </w:rPr>
        <w:t>由退火铜线制成，质量均匀、无缺陷。</w:t>
      </w:r>
    </w:p>
    <w:p w14:paraId="03B45531">
      <w:pPr>
        <w:numPr>
          <w:ilvl w:val="1"/>
          <w:numId w:val="21"/>
        </w:numPr>
        <w:tabs>
          <w:tab w:val="clear" w:pos="840"/>
        </w:tabs>
        <w:spacing w:before="156" w:after="156"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绞合导体可以采用同心绞或者束绞的方式，将多根导体绞合成圆形截面。</w:t>
      </w:r>
    </w:p>
    <w:p w14:paraId="0DC9957F">
      <w:pPr>
        <w:numPr>
          <w:ilvl w:val="1"/>
          <w:numId w:val="21"/>
        </w:numPr>
        <w:tabs>
          <w:tab w:val="clear" w:pos="840"/>
        </w:tabs>
        <w:spacing w:before="156" w:after="156"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导体截面积不应小于根据PoDL电源分级及压降所允许的最小截面积。</w:t>
      </w:r>
    </w:p>
    <w:p w14:paraId="44908D1E">
      <w:pPr>
        <w:pStyle w:val="75"/>
        <w:spacing w:before="156" w:after="156"/>
        <w:rPr>
          <w:rFonts w:hint="default" w:ascii="Times New Roman" w:hAnsi="Times New Roman" w:eastAsia="宋体" w:cs="Times New Roman"/>
          <w:color w:val="auto"/>
          <w:highlight w:val="none"/>
          <w:lang w:val="en-US" w:eastAsia="zh-CN"/>
        </w:rPr>
      </w:pPr>
      <w:r>
        <w:rPr>
          <w:rFonts w:hint="eastAsia" w:ascii="Times New Roman" w:eastAsia="宋体" w:cs="Times New Roman"/>
          <w:color w:val="auto"/>
          <w:highlight w:val="none"/>
          <w:lang w:val="en-US" w:eastAsia="zh-CN"/>
        </w:rPr>
        <w:t>单线对对绞电缆的其它要求应</w:t>
      </w:r>
      <w:r>
        <w:rPr>
          <w:rFonts w:hint="default" w:ascii="Times New Roman" w:hAnsi="Times New Roman" w:eastAsia="宋体" w:cs="Times New Roman"/>
          <w:color w:val="auto"/>
          <w:highlight w:val="none"/>
          <w:lang w:val="en-US" w:eastAsia="zh-CN"/>
        </w:rPr>
        <w:t>符合《数字通信用</w:t>
      </w:r>
      <w:r>
        <w:rPr>
          <w:rFonts w:hint="eastAsia" w:ascii="Times New Roman" w:eastAsia="宋体" w:cs="Times New Roman"/>
          <w:color w:val="auto"/>
          <w:highlight w:val="none"/>
          <w:lang w:val="en-US" w:eastAsia="zh-CN"/>
        </w:rPr>
        <w:t>单线对对绞电缆</w:t>
      </w:r>
      <w:r>
        <w:rPr>
          <w:rFonts w:hint="default" w:ascii="Times New Roman" w:hAnsi="Times New Roman" w:eastAsia="宋体" w:cs="Times New Roman"/>
          <w:color w:val="auto"/>
          <w:highlight w:val="none"/>
          <w:lang w:val="en-US" w:eastAsia="zh-CN"/>
        </w:rPr>
        <w:t>》YD/T 4304的</w:t>
      </w:r>
      <w:r>
        <w:rPr>
          <w:rFonts w:hint="eastAsia" w:ascii="Times New Roman" w:eastAsia="宋体" w:cs="Times New Roman"/>
          <w:color w:val="auto"/>
          <w:highlight w:val="none"/>
          <w:lang w:val="en-US" w:eastAsia="zh-CN"/>
        </w:rPr>
        <w:t>有关规定</w:t>
      </w:r>
      <w:r>
        <w:rPr>
          <w:rFonts w:hint="default" w:ascii="Times New Roman" w:hAnsi="Times New Roman" w:eastAsia="宋体" w:cs="Times New Roman"/>
          <w:color w:val="auto"/>
          <w:highlight w:val="none"/>
          <w:lang w:val="en-US" w:eastAsia="zh-CN"/>
        </w:rPr>
        <w:t>。</w:t>
      </w:r>
    </w:p>
    <w:p w14:paraId="7706F306">
      <w:pPr>
        <w:pStyle w:val="76"/>
        <w:spacing w:line="240" w:lineRule="auto"/>
        <w:outlineLvl w:val="1"/>
        <w:rPr>
          <w:rFonts w:hint="default" w:ascii="Times New Roman" w:hAnsi="Times New Roman" w:cs="Times New Roman"/>
          <w:color w:val="auto"/>
          <w:highlight w:val="none"/>
          <w:lang w:val="en-US" w:eastAsia="zh-CN"/>
        </w:rPr>
      </w:pPr>
      <w:bookmarkStart w:id="285" w:name="_Toc27141"/>
      <w:bookmarkStart w:id="286" w:name="_Toc9961"/>
      <w:r>
        <w:rPr>
          <w:rFonts w:hint="default" w:ascii="Times New Roman" w:hAnsi="Times New Roman" w:cs="Times New Roman"/>
          <w:color w:val="auto"/>
          <w:highlight w:val="none"/>
          <w:lang w:val="en-US" w:eastAsia="zh-CN"/>
        </w:rPr>
        <w:t>连接器件要求</w:t>
      </w:r>
      <w:bookmarkEnd w:id="285"/>
      <w:bookmarkEnd w:id="286"/>
    </w:p>
    <w:p w14:paraId="7B97B11C">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单对以太网连接器应根据SPE类型及环境等级</w:t>
      </w:r>
      <w:r>
        <w:rPr>
          <w:rFonts w:hint="eastAsia" w:ascii="Times New Roman" w:eastAsia="宋体" w:cs="Times New Roman"/>
          <w:color w:val="auto"/>
          <w:highlight w:val="none"/>
          <w:lang w:val="en-US" w:eastAsia="zh-CN"/>
        </w:rPr>
        <w:t>的要求</w:t>
      </w:r>
      <w:r>
        <w:rPr>
          <w:rFonts w:hint="default" w:ascii="Times New Roman" w:hAnsi="Times New Roman" w:eastAsia="宋体" w:cs="Times New Roman"/>
          <w:color w:val="auto"/>
          <w:highlight w:val="none"/>
          <w:lang w:val="en-US" w:eastAsia="zh-CN"/>
        </w:rPr>
        <w:t>确定。</w:t>
      </w:r>
    </w:p>
    <w:p w14:paraId="6FF5B1DA">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单对以太网连接器形制尺寸、电气性能及传输性能应符合IEC</w:t>
      </w:r>
      <w:r>
        <w:rPr>
          <w:rFonts w:hint="eastAsia" w:asci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63171系列标准要求。</w:t>
      </w:r>
    </w:p>
    <w:p w14:paraId="2F05E1F8">
      <w:pPr>
        <w:pStyle w:val="76"/>
        <w:spacing w:line="240" w:lineRule="auto"/>
        <w:outlineLvl w:val="1"/>
        <w:rPr>
          <w:rFonts w:hint="default" w:ascii="Times New Roman" w:hAnsi="Times New Roman" w:cs="Times New Roman"/>
          <w:color w:val="auto"/>
          <w:highlight w:val="none"/>
          <w:lang w:val="en-US" w:eastAsia="zh-CN"/>
        </w:rPr>
      </w:pPr>
      <w:bookmarkStart w:id="287" w:name="_Toc15130"/>
      <w:bookmarkStart w:id="288" w:name="_Toc9251"/>
      <w:r>
        <w:rPr>
          <w:rFonts w:hint="default" w:ascii="Times New Roman" w:hAnsi="Times New Roman" w:cs="Times New Roman"/>
          <w:color w:val="auto"/>
          <w:highlight w:val="none"/>
          <w:lang w:val="en-US" w:eastAsia="zh-CN"/>
        </w:rPr>
        <w:t>SPE设备要求</w:t>
      </w:r>
      <w:bookmarkEnd w:id="287"/>
      <w:bookmarkEnd w:id="288"/>
    </w:p>
    <w:p w14:paraId="6B4BEAC1">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PoDL系统供电设备PSE和受电设备PD应符合</w:t>
      </w:r>
      <w:r>
        <w:rPr>
          <w:rFonts w:hint="eastAsia" w:ascii="Times New Roman" w:eastAsia="宋体" w:cs="Times New Roman"/>
          <w:color w:val="auto"/>
          <w:highlight w:val="none"/>
          <w:lang w:val="en-US" w:eastAsia="zh-CN"/>
        </w:rPr>
        <w:t>本文件4.5节的相关规定</w:t>
      </w:r>
      <w:r>
        <w:rPr>
          <w:rFonts w:hint="default" w:ascii="Times New Roman" w:hAnsi="Times New Roman" w:eastAsia="宋体" w:cs="Times New Roman"/>
          <w:color w:val="auto"/>
          <w:highlight w:val="none"/>
          <w:lang w:val="en-US" w:eastAsia="zh-CN"/>
        </w:rPr>
        <w:t>。</w:t>
      </w:r>
    </w:p>
    <w:p w14:paraId="57796781">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PSE应标明以下主要信息：</w:t>
      </w:r>
    </w:p>
    <w:p w14:paraId="2606B6F0">
      <w:pPr>
        <w:numPr>
          <w:ilvl w:val="1"/>
          <w:numId w:val="22"/>
        </w:numPr>
        <w:tabs>
          <w:tab w:val="clear" w:pos="84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设备名称和设备类型。</w:t>
      </w:r>
    </w:p>
    <w:p w14:paraId="069C8637">
      <w:pPr>
        <w:numPr>
          <w:ilvl w:val="1"/>
          <w:numId w:val="22"/>
        </w:numPr>
        <w:tabs>
          <w:tab w:val="clear" w:pos="84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设备支持的PoDL类型和等级。</w:t>
      </w:r>
    </w:p>
    <w:p w14:paraId="0BAA02BB">
      <w:pPr>
        <w:numPr>
          <w:ilvl w:val="1"/>
          <w:numId w:val="22"/>
        </w:numPr>
        <w:tabs>
          <w:tab w:val="clear" w:pos="84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设备可输出的PoDL总功率。</w:t>
      </w:r>
    </w:p>
    <w:p w14:paraId="36B67456">
      <w:pPr>
        <w:numPr>
          <w:ilvl w:val="1"/>
          <w:numId w:val="22"/>
        </w:numPr>
        <w:tabs>
          <w:tab w:val="clear" w:pos="84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端口支持的最大供电功率等级、接线极性及最大输出电压。</w:t>
      </w:r>
    </w:p>
    <w:p w14:paraId="2703B7CB">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PSE应具备以下功能：</w:t>
      </w:r>
    </w:p>
    <w:p w14:paraId="3D7782D2">
      <w:pPr>
        <w:numPr>
          <w:ilvl w:val="1"/>
          <w:numId w:val="23"/>
        </w:numPr>
        <w:tabs>
          <w:tab w:val="clear" w:pos="84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端口应有供电或断电指示。</w:t>
      </w:r>
    </w:p>
    <w:p w14:paraId="0B8DA684">
      <w:pPr>
        <w:numPr>
          <w:ilvl w:val="1"/>
          <w:numId w:val="23"/>
        </w:numPr>
        <w:tabs>
          <w:tab w:val="clear" w:pos="84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宜具备供电电源开关管理、功率限额和优先级管理等功能。</w:t>
      </w:r>
    </w:p>
    <w:p w14:paraId="0F7DFBC7">
      <w:pPr>
        <w:numPr>
          <w:ilvl w:val="1"/>
          <w:numId w:val="23"/>
        </w:numPr>
        <w:tabs>
          <w:tab w:val="clear" w:pos="84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供电设备宜默认设置为自动模式。</w:t>
      </w:r>
    </w:p>
    <w:p w14:paraId="4684B3CF">
      <w:pPr>
        <w:numPr>
          <w:ilvl w:val="1"/>
          <w:numId w:val="23"/>
        </w:numPr>
        <w:tabs>
          <w:tab w:val="clear" w:pos="84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供电设备</w:t>
      </w:r>
      <w:r>
        <w:rPr>
          <w:rFonts w:hint="eastAsia" w:cs="Times New Roman"/>
          <w:color w:val="auto"/>
          <w:highlight w:val="none"/>
          <w:lang w:val="en-US" w:eastAsia="zh-CN"/>
        </w:rPr>
        <w:t>应</w:t>
      </w:r>
      <w:r>
        <w:rPr>
          <w:rFonts w:hint="default" w:ascii="Times New Roman" w:hAnsi="Times New Roman" w:cs="Times New Roman"/>
          <w:color w:val="auto"/>
          <w:highlight w:val="none"/>
          <w:lang w:val="en-US" w:eastAsia="zh-CN"/>
        </w:rPr>
        <w:t>具有过流、过载监测等保护功能。</w:t>
      </w:r>
    </w:p>
    <w:p w14:paraId="1F116C52">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PD应标明以下信息：</w:t>
      </w:r>
    </w:p>
    <w:p w14:paraId="22AE5010">
      <w:pPr>
        <w:numPr>
          <w:ilvl w:val="1"/>
          <w:numId w:val="24"/>
        </w:numPr>
        <w:tabs>
          <w:tab w:val="clear" w:pos="84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设备名称和设备类型。</w:t>
      </w:r>
    </w:p>
    <w:p w14:paraId="2986D513">
      <w:pPr>
        <w:numPr>
          <w:ilvl w:val="1"/>
          <w:numId w:val="24"/>
        </w:numPr>
        <w:tabs>
          <w:tab w:val="clear" w:pos="84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设备可接受的PoDL的类型和等级。</w:t>
      </w:r>
    </w:p>
    <w:p w14:paraId="63F042DC">
      <w:pPr>
        <w:numPr>
          <w:ilvl w:val="1"/>
          <w:numId w:val="24"/>
        </w:numPr>
        <w:tabs>
          <w:tab w:val="clear" w:pos="84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设备可接受的PoDL电压。</w:t>
      </w:r>
    </w:p>
    <w:p w14:paraId="7B898318">
      <w:pPr>
        <w:numPr>
          <w:ilvl w:val="1"/>
          <w:numId w:val="24"/>
        </w:numPr>
        <w:tabs>
          <w:tab w:val="clear" w:pos="84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设备总功率。</w:t>
      </w:r>
    </w:p>
    <w:p w14:paraId="52CC39EF">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PD接线端口加载电压不应大于直流60V。</w:t>
      </w:r>
    </w:p>
    <w:p w14:paraId="01DA28C2">
      <w:pPr>
        <w:pStyle w:val="75"/>
        <w:spacing w:before="156" w:after="15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当SPE接入交换机与标准以太网设备互联时，应提供相应的标准以太网接口。</w:t>
      </w:r>
    </w:p>
    <w:bookmarkEnd w:id="280"/>
    <w:p w14:paraId="72ED0911">
      <w:pPr>
        <w:pStyle w:val="91"/>
        <w:spacing w:line="240" w:lineRule="auto"/>
        <w:outlineLvl w:val="0"/>
        <w:rPr>
          <w:color w:val="auto"/>
          <w:highlight w:val="none"/>
        </w:rPr>
      </w:pPr>
      <w:bookmarkStart w:id="289" w:name="_Toc19140"/>
      <w:bookmarkStart w:id="290" w:name="_Toc27431"/>
      <w:bookmarkStart w:id="291" w:name="_Toc27094"/>
      <w:bookmarkStart w:id="292" w:name="_Toc11823"/>
      <w:bookmarkStart w:id="293" w:name="_Toc15616"/>
      <w:r>
        <w:rPr>
          <w:rFonts w:hint="eastAsia"/>
          <w:color w:val="auto"/>
          <w:highlight w:val="none"/>
          <w:lang w:val="en-US" w:eastAsia="zh-CN"/>
        </w:rPr>
        <w:t>性能指标</w:t>
      </w:r>
      <w:bookmarkEnd w:id="289"/>
      <w:bookmarkEnd w:id="290"/>
    </w:p>
    <w:p w14:paraId="68665895">
      <w:pPr>
        <w:pStyle w:val="76"/>
        <w:spacing w:before="156" w:after="156"/>
        <w:ind w:leftChars="0"/>
        <w:rPr>
          <w:rFonts w:hint="eastAsia" w:ascii="宋体" w:hAnsi="宋体" w:eastAsia="宋体" w:cs="宋体"/>
          <w:color w:val="auto"/>
          <w:lang w:val="en-US" w:eastAsia="zh-CN"/>
        </w:rPr>
      </w:pPr>
      <w:r>
        <w:rPr>
          <w:rFonts w:hint="eastAsia" w:ascii="宋体" w:hAnsi="宋体" w:eastAsia="宋体" w:cs="宋体"/>
          <w:color w:val="auto"/>
          <w:lang w:val="en-US" w:eastAsia="zh-CN"/>
        </w:rPr>
        <w:t>单对以太网系统工程应根据现场情况确定采用的单线对对绞电缆结构、直径、材料、承受拉力、弯曲半径等机械性能指标。</w:t>
      </w:r>
    </w:p>
    <w:p w14:paraId="7B37E023">
      <w:pPr>
        <w:pStyle w:val="76"/>
        <w:spacing w:before="156" w:after="156"/>
        <w:ind w:leftChars="0"/>
        <w:rPr>
          <w:rFonts w:hint="eastAsia" w:ascii="宋体" w:hAnsi="宋体" w:eastAsia="宋体" w:cs="宋体"/>
          <w:color w:val="auto"/>
          <w:lang w:val="en-US" w:eastAsia="zh-CN"/>
        </w:rPr>
      </w:pPr>
      <w:r>
        <w:rPr>
          <w:rFonts w:hint="eastAsia" w:ascii="宋体" w:hAnsi="宋体" w:eastAsia="宋体" w:cs="宋体"/>
          <w:color w:val="auto"/>
          <w:lang w:val="en-US" w:eastAsia="zh-CN"/>
        </w:rPr>
        <w:t>单线对对绞电缆及连接器件指标应符合本文件4.1条和4.2条的相关规定。</w:t>
      </w:r>
    </w:p>
    <w:p w14:paraId="34208DC5">
      <w:pPr>
        <w:pStyle w:val="76"/>
        <w:spacing w:before="156" w:after="156"/>
        <w:ind w:leftChars="0"/>
        <w:rPr>
          <w:rFonts w:hint="eastAsia" w:ascii="宋体" w:hAnsi="宋体" w:eastAsia="宋体" w:cs="宋体"/>
          <w:color w:val="auto"/>
          <w:lang w:val="en-US" w:eastAsia="zh-CN"/>
        </w:rPr>
      </w:pPr>
      <w:r>
        <w:rPr>
          <w:rFonts w:hint="eastAsia" w:ascii="宋体" w:hAnsi="宋体" w:eastAsia="宋体" w:cs="宋体"/>
          <w:color w:val="auto"/>
          <w:lang w:val="en-US" w:eastAsia="zh-CN"/>
        </w:rPr>
        <w:t>单对以太网信道的传输特性及环境等级应符合附录A的相关要求。</w:t>
      </w:r>
    </w:p>
    <w:bookmarkEnd w:id="291"/>
    <w:bookmarkEnd w:id="292"/>
    <w:bookmarkEnd w:id="293"/>
    <w:p w14:paraId="18D0D3AB">
      <w:pPr>
        <w:rPr>
          <w:rFonts w:hint="eastAsia"/>
          <w:color w:val="auto"/>
          <w:sz w:val="21"/>
          <w:szCs w:val="24"/>
        </w:rPr>
      </w:pPr>
      <w:bookmarkStart w:id="294" w:name="_Toc12031"/>
      <w:bookmarkStart w:id="295" w:name="_Toc9133"/>
      <w:bookmarkStart w:id="296" w:name="_Toc33613164"/>
      <w:bookmarkStart w:id="297" w:name="_Toc52278527"/>
      <w:r>
        <w:rPr>
          <w:rFonts w:hint="eastAsia"/>
          <w:color w:val="auto"/>
          <w:sz w:val="21"/>
          <w:szCs w:val="24"/>
        </w:rPr>
        <w:br w:type="page"/>
      </w:r>
    </w:p>
    <w:p w14:paraId="76D0DF33">
      <w:pPr>
        <w:pStyle w:val="91"/>
        <w:outlineLvl w:val="0"/>
        <w:rPr>
          <w:rFonts w:hint="eastAsia"/>
          <w:color w:val="auto"/>
          <w:sz w:val="21"/>
          <w:szCs w:val="24"/>
        </w:rPr>
      </w:pPr>
      <w:r>
        <w:rPr>
          <w:rFonts w:hint="eastAsia"/>
          <w:color w:val="auto"/>
          <w:sz w:val="21"/>
          <w:szCs w:val="24"/>
        </w:rPr>
        <w:t>电气防护与接地</w:t>
      </w:r>
      <w:bookmarkEnd w:id="294"/>
    </w:p>
    <w:p w14:paraId="75BBAB50">
      <w:pPr>
        <w:pStyle w:val="76"/>
        <w:spacing w:before="156" w:after="156"/>
        <w:rPr>
          <w:rFonts w:hint="eastAsia" w:ascii="宋体" w:hAnsi="宋体" w:eastAsia="宋体" w:cs="宋体"/>
          <w:color w:val="auto"/>
        </w:rPr>
      </w:pPr>
      <w:r>
        <w:rPr>
          <w:rFonts w:hint="eastAsia" w:ascii="宋体" w:hAnsi="宋体" w:eastAsia="宋体" w:cs="宋体"/>
          <w:color w:val="auto"/>
        </w:rPr>
        <w:t>单线对对绞电缆与附近可能产生高电平电磁干扰的电动机、电力变压器、射频应用设备等电器设备之间应保持间距，与电力电缆的间距应符合表</w:t>
      </w:r>
      <w:r>
        <w:rPr>
          <w:rFonts w:hint="default" w:ascii="Times New Roman" w:hAnsi="Times New Roman" w:eastAsia="宋体" w:cs="Times New Roman"/>
          <w:color w:val="auto"/>
        </w:rPr>
        <w:t>8</w:t>
      </w:r>
      <w:r>
        <w:rPr>
          <w:rFonts w:hint="eastAsia" w:ascii="宋体" w:hAnsi="宋体" w:eastAsia="宋体" w:cs="宋体"/>
          <w:color w:val="auto"/>
        </w:rPr>
        <w:t>的规定：</w:t>
      </w:r>
    </w:p>
    <w:p w14:paraId="1A8C6DF9">
      <w:pPr>
        <w:pStyle w:val="132"/>
        <w:spacing w:line="240" w:lineRule="auto"/>
        <w:rPr>
          <w:rFonts w:hint="default" w:ascii="Times New Roman"/>
          <w:color w:val="auto"/>
          <w:sz w:val="21"/>
          <w:szCs w:val="24"/>
        </w:rPr>
      </w:pPr>
      <w:r>
        <w:rPr>
          <w:rFonts w:hint="eastAsia" w:ascii="Times New Roman"/>
          <w:color w:val="auto"/>
          <w:sz w:val="21"/>
          <w:szCs w:val="24"/>
        </w:rPr>
        <w:t>单线对对绞电缆与电力电缆的间距</w:t>
      </w:r>
    </w:p>
    <w:tbl>
      <w:tblPr>
        <w:tblStyle w:val="36"/>
        <w:tblW w:w="84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29"/>
        <w:gridCol w:w="3782"/>
        <w:gridCol w:w="1995"/>
      </w:tblGrid>
      <w:tr w14:paraId="633396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29" w:type="dxa"/>
            <w:tcBorders>
              <w:top w:val="single" w:color="auto" w:sz="8" w:space="0"/>
              <w:left w:val="single" w:color="auto" w:sz="8" w:space="0"/>
              <w:bottom w:val="single" w:color="auto" w:sz="8" w:space="0"/>
              <w:right w:val="single" w:color="auto" w:sz="4" w:space="0"/>
              <w:tl2br w:val="nil"/>
              <w:tr2bl w:val="nil"/>
            </w:tcBorders>
            <w:noWrap w:val="0"/>
            <w:vAlign w:val="top"/>
          </w:tcPr>
          <w:p w14:paraId="5E29418A">
            <w:pPr>
              <w:widowControl/>
              <w:spacing w:beforeLines="0" w:afterLines="0" w:line="240" w:lineRule="auto"/>
              <w:jc w:val="center"/>
              <w:textAlignment w:val="center"/>
              <w:rPr>
                <w:rFonts w:hint="default"/>
                <w:b/>
                <w:color w:val="auto"/>
                <w:kern w:val="0"/>
                <w:sz w:val="18"/>
                <w:szCs w:val="18"/>
                <w:lang w:bidi="ar"/>
              </w:rPr>
            </w:pPr>
            <w:r>
              <w:rPr>
                <w:rFonts w:hint="default" w:ascii="宋体"/>
                <w:b/>
                <w:color w:val="auto"/>
                <w:kern w:val="0"/>
                <w:sz w:val="18"/>
                <w:szCs w:val="18"/>
                <w:lang w:bidi="ar"/>
              </w:rPr>
              <w:t>类别</w:t>
            </w:r>
          </w:p>
        </w:tc>
        <w:tc>
          <w:tcPr>
            <w:tcW w:w="3782" w:type="dxa"/>
            <w:tcBorders>
              <w:top w:val="single" w:color="auto" w:sz="8" w:space="0"/>
              <w:left w:val="single" w:color="auto" w:sz="4" w:space="0"/>
              <w:bottom w:val="single" w:color="auto" w:sz="8" w:space="0"/>
              <w:right w:val="single" w:color="auto" w:sz="4" w:space="0"/>
              <w:tl2br w:val="nil"/>
              <w:tr2bl w:val="nil"/>
            </w:tcBorders>
            <w:noWrap w:val="0"/>
            <w:vAlign w:val="top"/>
          </w:tcPr>
          <w:p w14:paraId="3A9BB4FF">
            <w:pPr>
              <w:widowControl/>
              <w:spacing w:beforeLines="0" w:afterLines="0" w:line="240" w:lineRule="auto"/>
              <w:jc w:val="center"/>
              <w:textAlignment w:val="center"/>
              <w:rPr>
                <w:rFonts w:hint="default"/>
                <w:b/>
                <w:color w:val="auto"/>
                <w:kern w:val="0"/>
                <w:sz w:val="18"/>
                <w:szCs w:val="18"/>
                <w:lang w:bidi="ar"/>
              </w:rPr>
            </w:pPr>
            <w:r>
              <w:rPr>
                <w:rFonts w:hint="default" w:ascii="宋体"/>
                <w:b/>
                <w:color w:val="auto"/>
                <w:kern w:val="0"/>
                <w:sz w:val="18"/>
                <w:szCs w:val="18"/>
                <w:lang w:bidi="ar"/>
              </w:rPr>
              <w:t>与单对以太网接近状况</w:t>
            </w:r>
          </w:p>
        </w:tc>
        <w:tc>
          <w:tcPr>
            <w:tcW w:w="1995" w:type="dxa"/>
            <w:tcBorders>
              <w:top w:val="single" w:color="auto" w:sz="8" w:space="0"/>
              <w:left w:val="single" w:color="auto" w:sz="4" w:space="0"/>
              <w:bottom w:val="single" w:color="auto" w:sz="8" w:space="0"/>
              <w:right w:val="single" w:color="auto" w:sz="8" w:space="0"/>
              <w:tl2br w:val="nil"/>
              <w:tr2bl w:val="nil"/>
            </w:tcBorders>
            <w:noWrap w:val="0"/>
            <w:vAlign w:val="top"/>
          </w:tcPr>
          <w:p w14:paraId="29C2588B">
            <w:pPr>
              <w:widowControl/>
              <w:spacing w:beforeLines="0" w:afterLines="0" w:line="240" w:lineRule="auto"/>
              <w:jc w:val="center"/>
              <w:textAlignment w:val="center"/>
              <w:rPr>
                <w:rFonts w:hint="default"/>
                <w:b/>
                <w:color w:val="auto"/>
                <w:kern w:val="0"/>
                <w:sz w:val="18"/>
                <w:szCs w:val="18"/>
                <w:lang w:bidi="ar"/>
              </w:rPr>
            </w:pPr>
            <w:r>
              <w:rPr>
                <w:rFonts w:hint="default" w:ascii="宋体"/>
                <w:b/>
                <w:color w:val="auto"/>
                <w:kern w:val="0"/>
                <w:sz w:val="18"/>
                <w:szCs w:val="18"/>
                <w:lang w:bidi="ar"/>
              </w:rPr>
              <w:t>最小间距（mm）</w:t>
            </w:r>
          </w:p>
        </w:tc>
      </w:tr>
      <w:tr w14:paraId="30B26F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29" w:type="dxa"/>
            <w:vMerge w:val="restart"/>
            <w:tcBorders>
              <w:top w:val="single" w:color="auto" w:sz="8" w:space="0"/>
              <w:left w:val="single" w:color="auto" w:sz="8" w:space="0"/>
              <w:bottom w:val="single" w:color="auto" w:sz="4" w:space="0"/>
              <w:right w:val="single" w:color="auto" w:sz="4" w:space="0"/>
              <w:tl2br w:val="nil"/>
              <w:tr2bl w:val="nil"/>
            </w:tcBorders>
            <w:noWrap w:val="0"/>
            <w:vAlign w:val="center"/>
          </w:tcPr>
          <w:p w14:paraId="3F98D1E8">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380V</w:t>
            </w:r>
            <w:r>
              <w:rPr>
                <w:rFonts w:hint="default" w:ascii="宋体"/>
                <w:color w:val="auto"/>
                <w:kern w:val="0"/>
                <w:sz w:val="18"/>
                <w:szCs w:val="18"/>
                <w:lang w:bidi="ar"/>
              </w:rPr>
              <w:t>电力电缆&lt;2kV·A</w:t>
            </w:r>
          </w:p>
        </w:tc>
        <w:tc>
          <w:tcPr>
            <w:tcW w:w="3782" w:type="dxa"/>
            <w:tcBorders>
              <w:top w:val="single" w:color="auto" w:sz="8" w:space="0"/>
              <w:left w:val="single" w:color="auto" w:sz="4" w:space="0"/>
              <w:bottom w:val="single" w:color="auto" w:sz="4" w:space="0"/>
              <w:right w:val="single" w:color="auto" w:sz="4" w:space="0"/>
              <w:tl2br w:val="nil"/>
              <w:tr2bl w:val="nil"/>
            </w:tcBorders>
            <w:noWrap w:val="0"/>
            <w:vAlign w:val="center"/>
          </w:tcPr>
          <w:p w14:paraId="6DBD0FED">
            <w:pPr>
              <w:widowControl/>
              <w:spacing w:beforeLines="0" w:afterLines="0" w:line="240" w:lineRule="auto"/>
              <w:jc w:val="center"/>
              <w:textAlignment w:val="center"/>
              <w:rPr>
                <w:rFonts w:hint="default"/>
                <w:color w:val="auto"/>
                <w:kern w:val="0"/>
                <w:sz w:val="18"/>
                <w:szCs w:val="18"/>
                <w:lang w:bidi="ar"/>
              </w:rPr>
            </w:pPr>
            <w:r>
              <w:rPr>
                <w:rFonts w:hint="default" w:ascii="宋体"/>
                <w:color w:val="auto"/>
                <w:kern w:val="0"/>
                <w:sz w:val="18"/>
                <w:szCs w:val="18"/>
                <w:lang w:bidi="ar"/>
              </w:rPr>
              <w:t>与线缆平行敷设</w:t>
            </w:r>
          </w:p>
        </w:tc>
        <w:tc>
          <w:tcPr>
            <w:tcW w:w="1995" w:type="dxa"/>
            <w:tcBorders>
              <w:top w:val="single" w:color="auto" w:sz="8" w:space="0"/>
              <w:left w:val="single" w:color="auto" w:sz="4" w:space="0"/>
              <w:bottom w:val="single" w:color="auto" w:sz="4" w:space="0"/>
              <w:right w:val="single" w:color="auto" w:sz="8" w:space="0"/>
              <w:tl2br w:val="nil"/>
              <w:tr2bl w:val="nil"/>
            </w:tcBorders>
            <w:noWrap w:val="0"/>
            <w:vAlign w:val="center"/>
          </w:tcPr>
          <w:p w14:paraId="44CA77AC">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130</w:t>
            </w:r>
          </w:p>
        </w:tc>
      </w:tr>
      <w:tr w14:paraId="5FE6E5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29" w:type="dxa"/>
            <w:vMerge w:val="continue"/>
            <w:tcBorders>
              <w:top w:val="single" w:color="auto" w:sz="4" w:space="0"/>
              <w:left w:val="single" w:color="auto" w:sz="8" w:space="0"/>
              <w:bottom w:val="single" w:color="auto" w:sz="4" w:space="0"/>
              <w:right w:val="single" w:color="auto" w:sz="4" w:space="0"/>
              <w:tl2br w:val="nil"/>
              <w:tr2bl w:val="nil"/>
            </w:tcBorders>
            <w:noWrap w:val="0"/>
            <w:vAlign w:val="center"/>
          </w:tcPr>
          <w:p w14:paraId="27727B27">
            <w:pPr>
              <w:widowControl/>
              <w:spacing w:beforeLines="0" w:afterLines="0" w:line="240" w:lineRule="auto"/>
              <w:jc w:val="center"/>
              <w:textAlignment w:val="center"/>
              <w:rPr>
                <w:rFonts w:hint="default"/>
                <w:color w:val="auto"/>
                <w:kern w:val="0"/>
                <w:sz w:val="18"/>
                <w:szCs w:val="18"/>
                <w:lang w:bidi="ar"/>
              </w:rPr>
            </w:pPr>
          </w:p>
        </w:tc>
        <w:tc>
          <w:tcPr>
            <w:tcW w:w="37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3FA0A5">
            <w:pPr>
              <w:widowControl/>
              <w:spacing w:beforeLines="0" w:afterLines="0" w:line="240" w:lineRule="auto"/>
              <w:jc w:val="center"/>
              <w:textAlignment w:val="center"/>
              <w:rPr>
                <w:rFonts w:hint="default"/>
                <w:color w:val="auto"/>
                <w:kern w:val="0"/>
                <w:sz w:val="18"/>
                <w:szCs w:val="18"/>
                <w:lang w:bidi="ar"/>
              </w:rPr>
            </w:pPr>
            <w:r>
              <w:rPr>
                <w:rFonts w:hint="default" w:ascii="宋体"/>
                <w:color w:val="auto"/>
                <w:kern w:val="0"/>
                <w:sz w:val="18"/>
                <w:szCs w:val="18"/>
                <w:lang w:bidi="ar"/>
              </w:rPr>
              <w:t>有一方在接地的金属槽盒或钢管中</w:t>
            </w:r>
          </w:p>
        </w:tc>
        <w:tc>
          <w:tcPr>
            <w:tcW w:w="1995" w:type="dxa"/>
            <w:tcBorders>
              <w:top w:val="single" w:color="auto" w:sz="4" w:space="0"/>
              <w:left w:val="single" w:color="auto" w:sz="4" w:space="0"/>
              <w:bottom w:val="single" w:color="auto" w:sz="4" w:space="0"/>
              <w:right w:val="single" w:color="auto" w:sz="8" w:space="0"/>
              <w:tl2br w:val="nil"/>
              <w:tr2bl w:val="nil"/>
            </w:tcBorders>
            <w:noWrap w:val="0"/>
            <w:vAlign w:val="center"/>
          </w:tcPr>
          <w:p w14:paraId="3CBD9016">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70</w:t>
            </w:r>
          </w:p>
        </w:tc>
      </w:tr>
      <w:tr w14:paraId="4D281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29" w:type="dxa"/>
            <w:vMerge w:val="continue"/>
            <w:tcBorders>
              <w:top w:val="single" w:color="auto" w:sz="4" w:space="0"/>
              <w:left w:val="single" w:color="auto" w:sz="8" w:space="0"/>
              <w:bottom w:val="single" w:color="auto" w:sz="4" w:space="0"/>
              <w:right w:val="single" w:color="auto" w:sz="4" w:space="0"/>
              <w:tl2br w:val="nil"/>
              <w:tr2bl w:val="nil"/>
            </w:tcBorders>
            <w:noWrap w:val="0"/>
            <w:vAlign w:val="center"/>
          </w:tcPr>
          <w:p w14:paraId="02833E71">
            <w:pPr>
              <w:widowControl/>
              <w:spacing w:beforeLines="0" w:afterLines="0" w:line="240" w:lineRule="auto"/>
              <w:jc w:val="center"/>
              <w:textAlignment w:val="center"/>
              <w:rPr>
                <w:rFonts w:hint="default"/>
                <w:color w:val="auto"/>
                <w:kern w:val="0"/>
                <w:sz w:val="18"/>
                <w:szCs w:val="18"/>
                <w:lang w:bidi="ar"/>
              </w:rPr>
            </w:pPr>
          </w:p>
        </w:tc>
        <w:tc>
          <w:tcPr>
            <w:tcW w:w="37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D5BEBF">
            <w:pPr>
              <w:widowControl/>
              <w:spacing w:beforeLines="0" w:afterLines="0" w:line="240" w:lineRule="auto"/>
              <w:jc w:val="center"/>
              <w:textAlignment w:val="center"/>
              <w:rPr>
                <w:rFonts w:hint="default"/>
                <w:color w:val="auto"/>
                <w:kern w:val="0"/>
                <w:sz w:val="18"/>
                <w:szCs w:val="18"/>
                <w:lang w:bidi="ar"/>
              </w:rPr>
            </w:pPr>
            <w:r>
              <w:rPr>
                <w:rFonts w:hint="default" w:ascii="宋体"/>
                <w:color w:val="auto"/>
                <w:kern w:val="0"/>
                <w:sz w:val="18"/>
                <w:szCs w:val="18"/>
                <w:lang w:bidi="ar"/>
              </w:rPr>
              <w:t>双方都在接地的金属槽盒或钢管中</w:t>
            </w:r>
          </w:p>
        </w:tc>
        <w:tc>
          <w:tcPr>
            <w:tcW w:w="1995" w:type="dxa"/>
            <w:tcBorders>
              <w:top w:val="single" w:color="auto" w:sz="4" w:space="0"/>
              <w:left w:val="single" w:color="auto" w:sz="4" w:space="0"/>
              <w:bottom w:val="single" w:color="auto" w:sz="4" w:space="0"/>
              <w:right w:val="single" w:color="auto" w:sz="8" w:space="0"/>
              <w:tl2br w:val="nil"/>
              <w:tr2bl w:val="nil"/>
            </w:tcBorders>
            <w:noWrap w:val="0"/>
            <w:vAlign w:val="center"/>
          </w:tcPr>
          <w:p w14:paraId="13D535A7">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 xml:space="preserve">10 </w:t>
            </w:r>
            <w:r>
              <w:rPr>
                <w:rFonts w:hint="default" w:ascii="宋体"/>
                <w:color w:val="auto"/>
                <w:kern w:val="0"/>
                <w:sz w:val="18"/>
                <w:szCs w:val="18"/>
                <w:lang w:bidi="ar"/>
              </w:rPr>
              <w:t>注</w:t>
            </w:r>
          </w:p>
        </w:tc>
      </w:tr>
      <w:tr w14:paraId="39B540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29" w:type="dxa"/>
            <w:vMerge w:val="restart"/>
            <w:tcBorders>
              <w:top w:val="single" w:color="auto" w:sz="4" w:space="0"/>
              <w:left w:val="single" w:color="auto" w:sz="8" w:space="0"/>
              <w:bottom w:val="single" w:color="auto" w:sz="4" w:space="0"/>
              <w:right w:val="single" w:color="auto" w:sz="4" w:space="0"/>
              <w:tl2br w:val="nil"/>
              <w:tr2bl w:val="nil"/>
            </w:tcBorders>
            <w:noWrap w:val="0"/>
            <w:vAlign w:val="center"/>
          </w:tcPr>
          <w:p w14:paraId="40AD5515">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380V</w:t>
            </w:r>
            <w:r>
              <w:rPr>
                <w:rFonts w:hint="default" w:ascii="宋体"/>
                <w:color w:val="auto"/>
                <w:kern w:val="0"/>
                <w:sz w:val="18"/>
                <w:szCs w:val="18"/>
                <w:lang w:bidi="ar"/>
              </w:rPr>
              <w:t>电力电缆2kV·A～5kV·A</w:t>
            </w:r>
          </w:p>
        </w:tc>
        <w:tc>
          <w:tcPr>
            <w:tcW w:w="37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880A9C">
            <w:pPr>
              <w:widowControl/>
              <w:spacing w:beforeLines="0" w:afterLines="0" w:line="240" w:lineRule="auto"/>
              <w:jc w:val="center"/>
              <w:textAlignment w:val="center"/>
              <w:rPr>
                <w:rFonts w:hint="default"/>
                <w:color w:val="auto"/>
                <w:kern w:val="0"/>
                <w:sz w:val="18"/>
                <w:szCs w:val="18"/>
                <w:lang w:bidi="ar"/>
              </w:rPr>
            </w:pPr>
            <w:r>
              <w:rPr>
                <w:rFonts w:hint="default" w:ascii="宋体"/>
                <w:color w:val="auto"/>
                <w:kern w:val="0"/>
                <w:sz w:val="18"/>
                <w:szCs w:val="18"/>
                <w:lang w:bidi="ar"/>
              </w:rPr>
              <w:t>与线缆平行敷设</w:t>
            </w:r>
          </w:p>
        </w:tc>
        <w:tc>
          <w:tcPr>
            <w:tcW w:w="1995" w:type="dxa"/>
            <w:tcBorders>
              <w:top w:val="single" w:color="auto" w:sz="4" w:space="0"/>
              <w:left w:val="single" w:color="auto" w:sz="4" w:space="0"/>
              <w:bottom w:val="single" w:color="auto" w:sz="4" w:space="0"/>
              <w:right w:val="single" w:color="auto" w:sz="8" w:space="0"/>
              <w:tl2br w:val="nil"/>
              <w:tr2bl w:val="nil"/>
            </w:tcBorders>
            <w:noWrap w:val="0"/>
            <w:vAlign w:val="center"/>
          </w:tcPr>
          <w:p w14:paraId="313FC75C">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300</w:t>
            </w:r>
          </w:p>
        </w:tc>
      </w:tr>
      <w:tr w14:paraId="409521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29" w:type="dxa"/>
            <w:vMerge w:val="continue"/>
            <w:tcBorders>
              <w:top w:val="single" w:color="auto" w:sz="4" w:space="0"/>
              <w:left w:val="single" w:color="auto" w:sz="8" w:space="0"/>
              <w:bottom w:val="single" w:color="auto" w:sz="4" w:space="0"/>
              <w:right w:val="single" w:color="auto" w:sz="4" w:space="0"/>
              <w:tl2br w:val="nil"/>
              <w:tr2bl w:val="nil"/>
            </w:tcBorders>
            <w:noWrap w:val="0"/>
            <w:vAlign w:val="center"/>
          </w:tcPr>
          <w:p w14:paraId="7D169E81">
            <w:pPr>
              <w:widowControl/>
              <w:spacing w:beforeLines="0" w:afterLines="0" w:line="240" w:lineRule="auto"/>
              <w:jc w:val="center"/>
              <w:textAlignment w:val="center"/>
              <w:rPr>
                <w:rFonts w:hint="default"/>
                <w:color w:val="auto"/>
                <w:kern w:val="0"/>
                <w:sz w:val="18"/>
                <w:szCs w:val="18"/>
                <w:lang w:bidi="ar"/>
              </w:rPr>
            </w:pPr>
          </w:p>
        </w:tc>
        <w:tc>
          <w:tcPr>
            <w:tcW w:w="37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E98F26">
            <w:pPr>
              <w:widowControl/>
              <w:spacing w:beforeLines="0" w:afterLines="0" w:line="240" w:lineRule="auto"/>
              <w:jc w:val="center"/>
              <w:textAlignment w:val="center"/>
              <w:rPr>
                <w:rFonts w:hint="default"/>
                <w:color w:val="auto"/>
                <w:kern w:val="0"/>
                <w:sz w:val="18"/>
                <w:szCs w:val="18"/>
                <w:lang w:bidi="ar"/>
              </w:rPr>
            </w:pPr>
            <w:r>
              <w:rPr>
                <w:rFonts w:hint="default" w:ascii="宋体"/>
                <w:color w:val="auto"/>
                <w:kern w:val="0"/>
                <w:sz w:val="18"/>
                <w:szCs w:val="18"/>
                <w:lang w:bidi="ar"/>
              </w:rPr>
              <w:t>有一方在接地的金属槽盒或钢管中</w:t>
            </w:r>
          </w:p>
        </w:tc>
        <w:tc>
          <w:tcPr>
            <w:tcW w:w="1995" w:type="dxa"/>
            <w:tcBorders>
              <w:top w:val="single" w:color="auto" w:sz="4" w:space="0"/>
              <w:left w:val="single" w:color="auto" w:sz="4" w:space="0"/>
              <w:bottom w:val="single" w:color="auto" w:sz="4" w:space="0"/>
              <w:right w:val="single" w:color="auto" w:sz="8" w:space="0"/>
              <w:tl2br w:val="nil"/>
              <w:tr2bl w:val="nil"/>
            </w:tcBorders>
            <w:noWrap w:val="0"/>
            <w:vAlign w:val="center"/>
          </w:tcPr>
          <w:p w14:paraId="40F46915">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150</w:t>
            </w:r>
          </w:p>
        </w:tc>
      </w:tr>
      <w:tr w14:paraId="20C287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629" w:type="dxa"/>
            <w:vMerge w:val="continue"/>
            <w:tcBorders>
              <w:top w:val="single" w:color="auto" w:sz="4" w:space="0"/>
              <w:left w:val="single" w:color="auto" w:sz="8" w:space="0"/>
              <w:bottom w:val="single" w:color="auto" w:sz="4" w:space="0"/>
              <w:right w:val="single" w:color="auto" w:sz="4" w:space="0"/>
              <w:tl2br w:val="nil"/>
              <w:tr2bl w:val="nil"/>
            </w:tcBorders>
            <w:noWrap w:val="0"/>
            <w:vAlign w:val="center"/>
          </w:tcPr>
          <w:p w14:paraId="7FD421D0">
            <w:pPr>
              <w:widowControl/>
              <w:spacing w:beforeLines="0" w:afterLines="0" w:line="240" w:lineRule="auto"/>
              <w:jc w:val="center"/>
              <w:textAlignment w:val="center"/>
              <w:rPr>
                <w:rFonts w:hint="default"/>
                <w:color w:val="auto"/>
                <w:kern w:val="0"/>
                <w:sz w:val="18"/>
                <w:szCs w:val="18"/>
                <w:lang w:bidi="ar"/>
              </w:rPr>
            </w:pPr>
          </w:p>
        </w:tc>
        <w:tc>
          <w:tcPr>
            <w:tcW w:w="37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67E205">
            <w:pPr>
              <w:widowControl/>
              <w:spacing w:beforeLines="0" w:afterLines="0" w:line="240" w:lineRule="auto"/>
              <w:jc w:val="center"/>
              <w:textAlignment w:val="center"/>
              <w:rPr>
                <w:rFonts w:hint="default"/>
                <w:color w:val="auto"/>
                <w:kern w:val="0"/>
                <w:sz w:val="18"/>
                <w:szCs w:val="18"/>
                <w:lang w:bidi="ar"/>
              </w:rPr>
            </w:pPr>
            <w:r>
              <w:rPr>
                <w:rFonts w:hint="default" w:ascii="宋体"/>
                <w:color w:val="auto"/>
                <w:kern w:val="0"/>
                <w:sz w:val="18"/>
                <w:szCs w:val="18"/>
                <w:lang w:bidi="ar"/>
              </w:rPr>
              <w:t>双方都在接地的金属槽盒或钢管中</w:t>
            </w:r>
          </w:p>
        </w:tc>
        <w:tc>
          <w:tcPr>
            <w:tcW w:w="1995" w:type="dxa"/>
            <w:tcBorders>
              <w:top w:val="single" w:color="auto" w:sz="4" w:space="0"/>
              <w:left w:val="single" w:color="auto" w:sz="4" w:space="0"/>
              <w:bottom w:val="single" w:color="auto" w:sz="4" w:space="0"/>
              <w:right w:val="single" w:color="auto" w:sz="8" w:space="0"/>
              <w:tl2br w:val="nil"/>
              <w:tr2bl w:val="nil"/>
            </w:tcBorders>
            <w:noWrap w:val="0"/>
            <w:vAlign w:val="center"/>
          </w:tcPr>
          <w:p w14:paraId="6E769327">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80</w:t>
            </w:r>
          </w:p>
        </w:tc>
      </w:tr>
      <w:tr w14:paraId="1B4CD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29" w:type="dxa"/>
            <w:vMerge w:val="restart"/>
            <w:tcBorders>
              <w:top w:val="single" w:color="auto" w:sz="4" w:space="0"/>
              <w:left w:val="single" w:color="auto" w:sz="8" w:space="0"/>
              <w:bottom w:val="single" w:color="auto" w:sz="4" w:space="0"/>
              <w:right w:val="single" w:color="auto" w:sz="4" w:space="0"/>
              <w:tl2br w:val="nil"/>
              <w:tr2bl w:val="nil"/>
            </w:tcBorders>
            <w:noWrap w:val="0"/>
            <w:vAlign w:val="center"/>
          </w:tcPr>
          <w:p w14:paraId="3FC7CCCE">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380V</w:t>
            </w:r>
            <w:r>
              <w:rPr>
                <w:rFonts w:hint="default" w:ascii="宋体"/>
                <w:color w:val="auto"/>
                <w:kern w:val="0"/>
                <w:sz w:val="18"/>
                <w:szCs w:val="18"/>
                <w:lang w:bidi="ar"/>
              </w:rPr>
              <w:t>电力电缆&gt;5kV·A</w:t>
            </w:r>
          </w:p>
        </w:tc>
        <w:tc>
          <w:tcPr>
            <w:tcW w:w="37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9BFB4A">
            <w:pPr>
              <w:widowControl/>
              <w:spacing w:beforeLines="0" w:afterLines="0" w:line="240" w:lineRule="auto"/>
              <w:jc w:val="center"/>
              <w:textAlignment w:val="center"/>
              <w:rPr>
                <w:rFonts w:hint="default"/>
                <w:color w:val="auto"/>
                <w:kern w:val="0"/>
                <w:sz w:val="18"/>
                <w:szCs w:val="18"/>
                <w:lang w:bidi="ar"/>
              </w:rPr>
            </w:pPr>
            <w:r>
              <w:rPr>
                <w:rFonts w:hint="default" w:ascii="宋体"/>
                <w:color w:val="auto"/>
                <w:kern w:val="0"/>
                <w:sz w:val="18"/>
                <w:szCs w:val="18"/>
                <w:lang w:bidi="ar"/>
              </w:rPr>
              <w:t>与线缆平行敷设</w:t>
            </w:r>
          </w:p>
        </w:tc>
        <w:tc>
          <w:tcPr>
            <w:tcW w:w="1995" w:type="dxa"/>
            <w:tcBorders>
              <w:top w:val="single" w:color="auto" w:sz="4" w:space="0"/>
              <w:left w:val="single" w:color="auto" w:sz="4" w:space="0"/>
              <w:bottom w:val="single" w:color="auto" w:sz="4" w:space="0"/>
              <w:right w:val="single" w:color="auto" w:sz="8" w:space="0"/>
              <w:tl2br w:val="nil"/>
              <w:tr2bl w:val="nil"/>
            </w:tcBorders>
            <w:noWrap w:val="0"/>
            <w:vAlign w:val="center"/>
          </w:tcPr>
          <w:p w14:paraId="47C667E3">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600</w:t>
            </w:r>
          </w:p>
        </w:tc>
      </w:tr>
      <w:tr w14:paraId="6490F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29" w:type="dxa"/>
            <w:vMerge w:val="continue"/>
            <w:tcBorders>
              <w:top w:val="single" w:color="auto" w:sz="4" w:space="0"/>
              <w:left w:val="single" w:color="auto" w:sz="8" w:space="0"/>
              <w:bottom w:val="single" w:color="auto" w:sz="4" w:space="0"/>
              <w:right w:val="single" w:color="auto" w:sz="4" w:space="0"/>
              <w:tl2br w:val="nil"/>
              <w:tr2bl w:val="nil"/>
            </w:tcBorders>
            <w:noWrap w:val="0"/>
            <w:vAlign w:val="top"/>
          </w:tcPr>
          <w:p w14:paraId="4D01549C">
            <w:pPr>
              <w:widowControl/>
              <w:spacing w:beforeLines="0" w:afterLines="0" w:line="240" w:lineRule="auto"/>
              <w:jc w:val="center"/>
              <w:textAlignment w:val="center"/>
              <w:rPr>
                <w:rFonts w:hint="default"/>
                <w:color w:val="auto"/>
                <w:kern w:val="0"/>
                <w:sz w:val="18"/>
                <w:szCs w:val="18"/>
                <w:lang w:bidi="ar"/>
              </w:rPr>
            </w:pPr>
          </w:p>
        </w:tc>
        <w:tc>
          <w:tcPr>
            <w:tcW w:w="37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C0CF9C">
            <w:pPr>
              <w:widowControl/>
              <w:spacing w:beforeLines="0" w:afterLines="0" w:line="240" w:lineRule="auto"/>
              <w:jc w:val="center"/>
              <w:textAlignment w:val="center"/>
              <w:rPr>
                <w:rFonts w:hint="default"/>
                <w:color w:val="auto"/>
                <w:kern w:val="0"/>
                <w:sz w:val="18"/>
                <w:szCs w:val="18"/>
                <w:lang w:bidi="ar"/>
              </w:rPr>
            </w:pPr>
            <w:r>
              <w:rPr>
                <w:rFonts w:hint="default" w:ascii="宋体"/>
                <w:color w:val="auto"/>
                <w:kern w:val="0"/>
                <w:sz w:val="18"/>
                <w:szCs w:val="18"/>
                <w:lang w:bidi="ar"/>
              </w:rPr>
              <w:t>有一方在接地的金属槽盒或钢管中</w:t>
            </w:r>
          </w:p>
        </w:tc>
        <w:tc>
          <w:tcPr>
            <w:tcW w:w="1995" w:type="dxa"/>
            <w:tcBorders>
              <w:top w:val="single" w:color="auto" w:sz="4" w:space="0"/>
              <w:left w:val="single" w:color="auto" w:sz="4" w:space="0"/>
              <w:bottom w:val="single" w:color="auto" w:sz="4" w:space="0"/>
              <w:right w:val="single" w:color="auto" w:sz="8" w:space="0"/>
              <w:tl2br w:val="nil"/>
              <w:tr2bl w:val="nil"/>
            </w:tcBorders>
            <w:noWrap w:val="0"/>
            <w:vAlign w:val="center"/>
          </w:tcPr>
          <w:p w14:paraId="4E2FA3B0">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300</w:t>
            </w:r>
          </w:p>
        </w:tc>
      </w:tr>
      <w:tr w14:paraId="3C2576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29" w:type="dxa"/>
            <w:vMerge w:val="continue"/>
            <w:tcBorders>
              <w:top w:val="single" w:color="auto" w:sz="4" w:space="0"/>
              <w:left w:val="single" w:color="auto" w:sz="8" w:space="0"/>
              <w:bottom w:val="single" w:color="auto" w:sz="4" w:space="0"/>
              <w:right w:val="single" w:color="auto" w:sz="4" w:space="0"/>
              <w:tl2br w:val="nil"/>
              <w:tr2bl w:val="nil"/>
            </w:tcBorders>
            <w:noWrap w:val="0"/>
            <w:vAlign w:val="top"/>
          </w:tcPr>
          <w:p w14:paraId="165A5476">
            <w:pPr>
              <w:widowControl/>
              <w:spacing w:beforeLines="0" w:afterLines="0" w:line="240" w:lineRule="auto"/>
              <w:jc w:val="center"/>
              <w:textAlignment w:val="center"/>
              <w:rPr>
                <w:rFonts w:hint="default"/>
                <w:color w:val="auto"/>
                <w:kern w:val="0"/>
                <w:sz w:val="18"/>
                <w:szCs w:val="18"/>
                <w:lang w:bidi="ar"/>
              </w:rPr>
            </w:pPr>
          </w:p>
        </w:tc>
        <w:tc>
          <w:tcPr>
            <w:tcW w:w="37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82ABA8">
            <w:pPr>
              <w:widowControl/>
              <w:spacing w:beforeLines="0" w:afterLines="0" w:line="240" w:lineRule="auto"/>
              <w:jc w:val="center"/>
              <w:textAlignment w:val="center"/>
              <w:rPr>
                <w:rFonts w:hint="default"/>
                <w:color w:val="auto"/>
                <w:kern w:val="0"/>
                <w:sz w:val="18"/>
                <w:szCs w:val="18"/>
                <w:lang w:bidi="ar"/>
              </w:rPr>
            </w:pPr>
            <w:r>
              <w:rPr>
                <w:rFonts w:hint="default" w:ascii="宋体"/>
                <w:color w:val="auto"/>
                <w:kern w:val="0"/>
                <w:sz w:val="18"/>
                <w:szCs w:val="18"/>
                <w:lang w:bidi="ar"/>
              </w:rPr>
              <w:t>双方都在接地的金属槽盒或钢管中</w:t>
            </w:r>
          </w:p>
        </w:tc>
        <w:tc>
          <w:tcPr>
            <w:tcW w:w="1995" w:type="dxa"/>
            <w:tcBorders>
              <w:top w:val="single" w:color="auto" w:sz="4" w:space="0"/>
              <w:left w:val="single" w:color="auto" w:sz="4" w:space="0"/>
              <w:bottom w:val="single" w:color="auto" w:sz="4" w:space="0"/>
              <w:right w:val="single" w:color="auto" w:sz="8" w:space="0"/>
              <w:tl2br w:val="nil"/>
              <w:tr2bl w:val="nil"/>
            </w:tcBorders>
            <w:noWrap w:val="0"/>
            <w:vAlign w:val="center"/>
          </w:tcPr>
          <w:p w14:paraId="0C918610">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150</w:t>
            </w:r>
          </w:p>
        </w:tc>
      </w:tr>
      <w:tr w14:paraId="5DC62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06" w:type="dxa"/>
            <w:gridSpan w:val="3"/>
            <w:tcBorders>
              <w:top w:val="single" w:color="auto" w:sz="4" w:space="0"/>
              <w:left w:val="single" w:color="auto" w:sz="8" w:space="0"/>
              <w:bottom w:val="single" w:color="auto" w:sz="8" w:space="0"/>
              <w:right w:val="single" w:color="auto" w:sz="8" w:space="0"/>
              <w:tl2br w:val="nil"/>
              <w:tr2bl w:val="nil"/>
            </w:tcBorders>
            <w:noWrap w:val="0"/>
            <w:vAlign w:val="top"/>
          </w:tcPr>
          <w:p w14:paraId="39C690C4">
            <w:pPr>
              <w:pStyle w:val="69"/>
              <w:widowControl/>
              <w:spacing w:beforeLines="0" w:afterLines="0"/>
              <w:jc w:val="left"/>
              <w:textAlignment w:val="center"/>
              <w:rPr>
                <w:rFonts w:hint="default"/>
                <w:color w:val="auto"/>
                <w:kern w:val="0"/>
                <w:szCs w:val="18"/>
                <w:lang w:bidi="ar"/>
              </w:rPr>
            </w:pPr>
            <w:r>
              <w:rPr>
                <w:rFonts w:hint="default"/>
                <w:color w:val="auto"/>
              </w:rPr>
              <w:t xml:space="preserve"> 双方都在接地的槽盒中，指两个不同的线槽，也可在同一线槽中用金属板隔开，且平行长度不大于10m。</w:t>
            </w:r>
          </w:p>
        </w:tc>
      </w:tr>
    </w:tbl>
    <w:p w14:paraId="2A9B2D42">
      <w:pPr>
        <w:spacing w:beforeLines="0" w:afterLines="0"/>
        <w:ind w:left="105" w:leftChars="50" w:firstLineChars="63"/>
        <w:rPr>
          <w:rFonts w:hint="default"/>
          <w:color w:val="auto"/>
        </w:rPr>
      </w:pPr>
    </w:p>
    <w:p w14:paraId="44B5E3D1">
      <w:pPr>
        <w:pStyle w:val="76"/>
        <w:rPr>
          <w:rFonts w:hint="eastAsia" w:ascii="宋体" w:hAnsi="宋体" w:eastAsia="宋体" w:cs="宋体"/>
          <w:color w:val="auto"/>
          <w:sz w:val="21"/>
          <w:szCs w:val="21"/>
        </w:rPr>
      </w:pPr>
      <w:r>
        <w:rPr>
          <w:rFonts w:hint="eastAsia" w:ascii="宋体" w:hAnsi="宋体" w:eastAsia="宋体" w:cs="宋体"/>
          <w:color w:val="auto"/>
          <w:sz w:val="21"/>
          <w:szCs w:val="21"/>
        </w:rPr>
        <w:t>外墙敷设的单对以太网管线与其他管线的间距应符合表</w:t>
      </w:r>
      <w:r>
        <w:rPr>
          <w:rFonts w:hint="default" w:ascii="Times New Roman" w:hAnsi="Times New Roman" w:eastAsia="宋体" w:cs="Times New Roman"/>
          <w:color w:val="auto"/>
          <w:sz w:val="21"/>
          <w:szCs w:val="21"/>
        </w:rPr>
        <w:t>9</w:t>
      </w:r>
      <w:r>
        <w:rPr>
          <w:rFonts w:hint="eastAsia" w:ascii="宋体" w:hAnsi="宋体" w:eastAsia="宋体" w:cs="宋体"/>
          <w:color w:val="auto"/>
          <w:sz w:val="21"/>
          <w:szCs w:val="21"/>
        </w:rPr>
        <w:t>的规定。</w:t>
      </w:r>
    </w:p>
    <w:p w14:paraId="0D7A754B">
      <w:pPr>
        <w:pStyle w:val="132"/>
        <w:spacing w:line="240" w:lineRule="auto"/>
        <w:rPr>
          <w:rFonts w:hint="default" w:ascii="Times New Roman"/>
          <w:color w:val="auto"/>
          <w:sz w:val="21"/>
          <w:szCs w:val="24"/>
        </w:rPr>
      </w:pPr>
      <w:r>
        <w:rPr>
          <w:rFonts w:hint="eastAsia" w:ascii="Times New Roman"/>
          <w:color w:val="auto"/>
          <w:sz w:val="21"/>
          <w:szCs w:val="24"/>
        </w:rPr>
        <w:t>单对以太网管线与其他管线的间距</w:t>
      </w:r>
    </w:p>
    <w:tbl>
      <w:tblPr>
        <w:tblStyle w:val="36"/>
        <w:tblW w:w="734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49"/>
        <w:gridCol w:w="2657"/>
        <w:gridCol w:w="2537"/>
      </w:tblGrid>
      <w:tr w14:paraId="3E528D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49" w:type="dxa"/>
            <w:tcBorders>
              <w:top w:val="single" w:color="auto" w:sz="8" w:space="0"/>
              <w:left w:val="single" w:color="auto" w:sz="8" w:space="0"/>
              <w:bottom w:val="single" w:color="auto" w:sz="8" w:space="0"/>
              <w:right w:val="single" w:color="auto" w:sz="4" w:space="0"/>
              <w:tl2br w:val="nil"/>
              <w:tr2bl w:val="nil"/>
            </w:tcBorders>
            <w:noWrap w:val="0"/>
            <w:vAlign w:val="center"/>
          </w:tcPr>
          <w:p w14:paraId="243F5760">
            <w:pPr>
              <w:widowControl/>
              <w:spacing w:beforeLines="0" w:afterLines="0" w:line="240" w:lineRule="auto"/>
              <w:jc w:val="center"/>
              <w:textAlignment w:val="center"/>
              <w:rPr>
                <w:rFonts w:hint="default"/>
                <w:b/>
                <w:color w:val="auto"/>
                <w:kern w:val="0"/>
                <w:sz w:val="18"/>
                <w:szCs w:val="18"/>
                <w:lang w:bidi="ar"/>
              </w:rPr>
            </w:pPr>
            <w:r>
              <w:rPr>
                <w:rFonts w:hint="default" w:ascii="宋体"/>
                <w:b/>
                <w:color w:val="auto"/>
                <w:kern w:val="0"/>
                <w:sz w:val="18"/>
                <w:szCs w:val="18"/>
                <w:lang w:bidi="ar"/>
              </w:rPr>
              <w:t>其他管线</w:t>
            </w:r>
          </w:p>
        </w:tc>
        <w:tc>
          <w:tcPr>
            <w:tcW w:w="2657" w:type="dxa"/>
            <w:tcBorders>
              <w:top w:val="single" w:color="auto" w:sz="8" w:space="0"/>
              <w:left w:val="single" w:color="auto" w:sz="4" w:space="0"/>
              <w:bottom w:val="single" w:color="auto" w:sz="8" w:space="0"/>
              <w:right w:val="single" w:color="auto" w:sz="4" w:space="0"/>
              <w:tl2br w:val="nil"/>
              <w:tr2bl w:val="nil"/>
            </w:tcBorders>
            <w:noWrap w:val="0"/>
            <w:vAlign w:val="top"/>
          </w:tcPr>
          <w:p w14:paraId="0C064DFC">
            <w:pPr>
              <w:widowControl/>
              <w:spacing w:beforeLines="0" w:afterLines="0" w:line="240" w:lineRule="auto"/>
              <w:jc w:val="center"/>
              <w:textAlignment w:val="center"/>
              <w:rPr>
                <w:rFonts w:hint="default"/>
                <w:b/>
                <w:color w:val="auto"/>
                <w:kern w:val="0"/>
                <w:sz w:val="18"/>
                <w:szCs w:val="18"/>
                <w:lang w:bidi="ar"/>
              </w:rPr>
            </w:pPr>
            <w:r>
              <w:rPr>
                <w:rFonts w:hint="default" w:ascii="宋体"/>
                <w:b/>
                <w:color w:val="auto"/>
                <w:kern w:val="0"/>
                <w:sz w:val="18"/>
                <w:szCs w:val="18"/>
                <w:lang w:bidi="ar"/>
              </w:rPr>
              <w:t>最小平行净距（mm）</w:t>
            </w:r>
          </w:p>
        </w:tc>
        <w:tc>
          <w:tcPr>
            <w:tcW w:w="2537" w:type="dxa"/>
            <w:tcBorders>
              <w:top w:val="single" w:color="auto" w:sz="8" w:space="0"/>
              <w:left w:val="single" w:color="auto" w:sz="4" w:space="0"/>
              <w:bottom w:val="single" w:color="auto" w:sz="8" w:space="0"/>
              <w:right w:val="single" w:color="auto" w:sz="8" w:space="0"/>
              <w:tl2br w:val="nil"/>
              <w:tr2bl w:val="nil"/>
            </w:tcBorders>
            <w:noWrap w:val="0"/>
            <w:vAlign w:val="top"/>
          </w:tcPr>
          <w:p w14:paraId="28D391B7">
            <w:pPr>
              <w:widowControl/>
              <w:spacing w:beforeLines="0" w:afterLines="0" w:line="240" w:lineRule="auto"/>
              <w:jc w:val="center"/>
              <w:textAlignment w:val="center"/>
              <w:rPr>
                <w:rFonts w:hint="default"/>
                <w:b/>
                <w:color w:val="auto"/>
                <w:kern w:val="0"/>
                <w:sz w:val="18"/>
                <w:szCs w:val="18"/>
                <w:lang w:bidi="ar"/>
              </w:rPr>
            </w:pPr>
            <w:r>
              <w:rPr>
                <w:rFonts w:hint="default" w:ascii="宋体"/>
                <w:b/>
                <w:color w:val="auto"/>
                <w:kern w:val="0"/>
                <w:sz w:val="18"/>
                <w:szCs w:val="18"/>
                <w:lang w:bidi="ar"/>
              </w:rPr>
              <w:t>最小垂直交叉净距（mm）</w:t>
            </w:r>
          </w:p>
        </w:tc>
      </w:tr>
      <w:tr w14:paraId="55045F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49" w:type="dxa"/>
            <w:tcBorders>
              <w:top w:val="single" w:color="auto" w:sz="8" w:space="0"/>
              <w:left w:val="single" w:color="auto" w:sz="8" w:space="0"/>
              <w:bottom w:val="single" w:color="auto" w:sz="4" w:space="0"/>
              <w:right w:val="single" w:color="auto" w:sz="4" w:space="0"/>
              <w:tl2br w:val="nil"/>
              <w:tr2bl w:val="nil"/>
            </w:tcBorders>
            <w:noWrap w:val="0"/>
            <w:vAlign w:val="center"/>
          </w:tcPr>
          <w:p w14:paraId="6F47714D">
            <w:pPr>
              <w:widowControl/>
              <w:spacing w:beforeLines="0" w:afterLines="0" w:line="240" w:lineRule="auto"/>
              <w:jc w:val="center"/>
              <w:textAlignment w:val="center"/>
              <w:rPr>
                <w:rFonts w:hint="default"/>
                <w:color w:val="auto"/>
                <w:kern w:val="0"/>
                <w:sz w:val="18"/>
                <w:szCs w:val="18"/>
                <w:lang w:bidi="ar"/>
              </w:rPr>
            </w:pPr>
            <w:r>
              <w:rPr>
                <w:rFonts w:hint="default" w:ascii="宋体"/>
                <w:color w:val="auto"/>
                <w:kern w:val="0"/>
                <w:sz w:val="18"/>
                <w:szCs w:val="18"/>
                <w:lang w:bidi="ar"/>
              </w:rPr>
              <w:t>防雷专设引下线</w:t>
            </w:r>
          </w:p>
        </w:tc>
        <w:tc>
          <w:tcPr>
            <w:tcW w:w="2657" w:type="dxa"/>
            <w:tcBorders>
              <w:top w:val="single" w:color="auto" w:sz="8" w:space="0"/>
              <w:left w:val="single" w:color="auto" w:sz="4" w:space="0"/>
              <w:bottom w:val="single" w:color="auto" w:sz="4" w:space="0"/>
              <w:right w:val="single" w:color="auto" w:sz="4" w:space="0"/>
              <w:tl2br w:val="nil"/>
              <w:tr2bl w:val="nil"/>
            </w:tcBorders>
            <w:noWrap w:val="0"/>
            <w:vAlign w:val="center"/>
          </w:tcPr>
          <w:p w14:paraId="51CE3EBB">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1000</w:t>
            </w:r>
          </w:p>
        </w:tc>
        <w:tc>
          <w:tcPr>
            <w:tcW w:w="2537" w:type="dxa"/>
            <w:tcBorders>
              <w:top w:val="single" w:color="auto" w:sz="8" w:space="0"/>
              <w:left w:val="single" w:color="auto" w:sz="4" w:space="0"/>
              <w:bottom w:val="single" w:color="auto" w:sz="4" w:space="0"/>
              <w:right w:val="single" w:color="auto" w:sz="8" w:space="0"/>
              <w:tl2br w:val="nil"/>
              <w:tr2bl w:val="nil"/>
            </w:tcBorders>
            <w:noWrap w:val="0"/>
            <w:vAlign w:val="center"/>
          </w:tcPr>
          <w:p w14:paraId="6EADA995">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300</w:t>
            </w:r>
          </w:p>
        </w:tc>
      </w:tr>
      <w:tr w14:paraId="0A636C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49" w:type="dxa"/>
            <w:tcBorders>
              <w:top w:val="single" w:color="auto" w:sz="4" w:space="0"/>
              <w:left w:val="single" w:color="auto" w:sz="8" w:space="0"/>
              <w:bottom w:val="single" w:color="auto" w:sz="4" w:space="0"/>
              <w:right w:val="single" w:color="auto" w:sz="4" w:space="0"/>
              <w:tl2br w:val="nil"/>
              <w:tr2bl w:val="nil"/>
            </w:tcBorders>
            <w:noWrap w:val="0"/>
            <w:vAlign w:val="center"/>
          </w:tcPr>
          <w:p w14:paraId="67DAD852">
            <w:pPr>
              <w:widowControl/>
              <w:spacing w:beforeLines="0" w:afterLines="0" w:line="240" w:lineRule="auto"/>
              <w:jc w:val="center"/>
              <w:textAlignment w:val="center"/>
              <w:rPr>
                <w:rFonts w:hint="default"/>
                <w:color w:val="auto"/>
                <w:kern w:val="0"/>
                <w:sz w:val="18"/>
                <w:szCs w:val="18"/>
                <w:lang w:bidi="ar"/>
              </w:rPr>
            </w:pPr>
            <w:r>
              <w:rPr>
                <w:rFonts w:hint="default" w:ascii="宋体"/>
                <w:color w:val="auto"/>
                <w:kern w:val="0"/>
                <w:sz w:val="18"/>
                <w:szCs w:val="18"/>
                <w:lang w:bidi="ar"/>
              </w:rPr>
              <w:t>保护地线</w:t>
            </w:r>
          </w:p>
        </w:tc>
        <w:tc>
          <w:tcPr>
            <w:tcW w:w="265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9D032A">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50</w:t>
            </w:r>
          </w:p>
        </w:tc>
        <w:tc>
          <w:tcPr>
            <w:tcW w:w="2537" w:type="dxa"/>
            <w:tcBorders>
              <w:top w:val="single" w:color="auto" w:sz="4" w:space="0"/>
              <w:left w:val="single" w:color="auto" w:sz="4" w:space="0"/>
              <w:bottom w:val="single" w:color="auto" w:sz="4" w:space="0"/>
              <w:right w:val="single" w:color="auto" w:sz="8" w:space="0"/>
              <w:tl2br w:val="nil"/>
              <w:tr2bl w:val="nil"/>
            </w:tcBorders>
            <w:noWrap w:val="0"/>
            <w:vAlign w:val="center"/>
          </w:tcPr>
          <w:p w14:paraId="0BFEF58A">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20</w:t>
            </w:r>
          </w:p>
        </w:tc>
      </w:tr>
      <w:tr w14:paraId="0FDBC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49" w:type="dxa"/>
            <w:tcBorders>
              <w:top w:val="single" w:color="auto" w:sz="4" w:space="0"/>
              <w:left w:val="single" w:color="auto" w:sz="8" w:space="0"/>
              <w:bottom w:val="single" w:color="auto" w:sz="4" w:space="0"/>
              <w:right w:val="single" w:color="auto" w:sz="4" w:space="0"/>
              <w:tl2br w:val="nil"/>
              <w:tr2bl w:val="nil"/>
            </w:tcBorders>
            <w:noWrap w:val="0"/>
            <w:vAlign w:val="center"/>
          </w:tcPr>
          <w:p w14:paraId="42403F54">
            <w:pPr>
              <w:widowControl/>
              <w:spacing w:beforeLines="0" w:afterLines="0" w:line="240" w:lineRule="auto"/>
              <w:jc w:val="center"/>
              <w:textAlignment w:val="center"/>
              <w:rPr>
                <w:rFonts w:hint="default"/>
                <w:color w:val="auto"/>
                <w:kern w:val="0"/>
                <w:sz w:val="18"/>
                <w:szCs w:val="18"/>
                <w:lang w:bidi="ar"/>
              </w:rPr>
            </w:pPr>
            <w:r>
              <w:rPr>
                <w:rFonts w:hint="default" w:ascii="宋体"/>
                <w:color w:val="auto"/>
                <w:kern w:val="0"/>
                <w:sz w:val="18"/>
                <w:szCs w:val="18"/>
                <w:lang w:bidi="ar"/>
              </w:rPr>
              <w:t>给水管</w:t>
            </w:r>
          </w:p>
        </w:tc>
        <w:tc>
          <w:tcPr>
            <w:tcW w:w="265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404B64">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150</w:t>
            </w:r>
          </w:p>
        </w:tc>
        <w:tc>
          <w:tcPr>
            <w:tcW w:w="2537" w:type="dxa"/>
            <w:tcBorders>
              <w:top w:val="single" w:color="auto" w:sz="4" w:space="0"/>
              <w:left w:val="single" w:color="auto" w:sz="4" w:space="0"/>
              <w:bottom w:val="single" w:color="auto" w:sz="4" w:space="0"/>
              <w:right w:val="single" w:color="auto" w:sz="8" w:space="0"/>
              <w:tl2br w:val="nil"/>
              <w:tr2bl w:val="nil"/>
            </w:tcBorders>
            <w:noWrap w:val="0"/>
            <w:vAlign w:val="center"/>
          </w:tcPr>
          <w:p w14:paraId="0AAE1E23">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20</w:t>
            </w:r>
          </w:p>
        </w:tc>
      </w:tr>
      <w:tr w14:paraId="1F5867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49" w:type="dxa"/>
            <w:tcBorders>
              <w:top w:val="single" w:color="auto" w:sz="4" w:space="0"/>
              <w:left w:val="single" w:color="auto" w:sz="8" w:space="0"/>
              <w:bottom w:val="single" w:color="auto" w:sz="4" w:space="0"/>
              <w:right w:val="single" w:color="auto" w:sz="4" w:space="0"/>
              <w:tl2br w:val="nil"/>
              <w:tr2bl w:val="nil"/>
            </w:tcBorders>
            <w:noWrap w:val="0"/>
            <w:vAlign w:val="center"/>
          </w:tcPr>
          <w:p w14:paraId="5A81E09C">
            <w:pPr>
              <w:widowControl/>
              <w:spacing w:beforeLines="0" w:afterLines="0" w:line="240" w:lineRule="auto"/>
              <w:jc w:val="center"/>
              <w:textAlignment w:val="center"/>
              <w:rPr>
                <w:rFonts w:hint="default"/>
                <w:color w:val="auto"/>
                <w:kern w:val="0"/>
                <w:sz w:val="18"/>
                <w:szCs w:val="18"/>
                <w:lang w:bidi="ar"/>
              </w:rPr>
            </w:pPr>
            <w:r>
              <w:rPr>
                <w:rFonts w:hint="default" w:ascii="宋体"/>
                <w:color w:val="auto"/>
                <w:kern w:val="0"/>
                <w:sz w:val="18"/>
                <w:szCs w:val="18"/>
                <w:lang w:bidi="ar"/>
              </w:rPr>
              <w:t>压缩空气管</w:t>
            </w:r>
          </w:p>
        </w:tc>
        <w:tc>
          <w:tcPr>
            <w:tcW w:w="265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9E6590">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150</w:t>
            </w:r>
          </w:p>
        </w:tc>
        <w:tc>
          <w:tcPr>
            <w:tcW w:w="2537" w:type="dxa"/>
            <w:tcBorders>
              <w:top w:val="single" w:color="auto" w:sz="4" w:space="0"/>
              <w:left w:val="single" w:color="auto" w:sz="4" w:space="0"/>
              <w:bottom w:val="single" w:color="auto" w:sz="4" w:space="0"/>
              <w:right w:val="single" w:color="auto" w:sz="8" w:space="0"/>
              <w:tl2br w:val="nil"/>
              <w:tr2bl w:val="nil"/>
            </w:tcBorders>
            <w:noWrap w:val="0"/>
            <w:vAlign w:val="center"/>
          </w:tcPr>
          <w:p w14:paraId="3887F970">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20</w:t>
            </w:r>
          </w:p>
        </w:tc>
      </w:tr>
      <w:tr w14:paraId="79DB12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49" w:type="dxa"/>
            <w:tcBorders>
              <w:top w:val="single" w:color="auto" w:sz="4" w:space="0"/>
              <w:left w:val="single" w:color="auto" w:sz="8" w:space="0"/>
              <w:bottom w:val="single" w:color="auto" w:sz="4" w:space="0"/>
              <w:right w:val="single" w:color="auto" w:sz="4" w:space="0"/>
              <w:tl2br w:val="nil"/>
              <w:tr2bl w:val="nil"/>
            </w:tcBorders>
            <w:noWrap w:val="0"/>
            <w:vAlign w:val="center"/>
          </w:tcPr>
          <w:p w14:paraId="771CBF30">
            <w:pPr>
              <w:widowControl/>
              <w:spacing w:beforeLines="0" w:afterLines="0" w:line="240" w:lineRule="auto"/>
              <w:jc w:val="center"/>
              <w:textAlignment w:val="center"/>
              <w:rPr>
                <w:rFonts w:hint="default"/>
                <w:color w:val="auto"/>
                <w:kern w:val="0"/>
                <w:sz w:val="18"/>
                <w:szCs w:val="18"/>
                <w:lang w:bidi="ar"/>
              </w:rPr>
            </w:pPr>
            <w:r>
              <w:rPr>
                <w:rFonts w:hint="default" w:ascii="宋体"/>
                <w:color w:val="auto"/>
                <w:kern w:val="0"/>
                <w:sz w:val="18"/>
                <w:szCs w:val="18"/>
                <w:lang w:bidi="ar"/>
              </w:rPr>
              <w:t>热力管（不包封）</w:t>
            </w:r>
          </w:p>
        </w:tc>
        <w:tc>
          <w:tcPr>
            <w:tcW w:w="265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8F2087">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500</w:t>
            </w:r>
          </w:p>
        </w:tc>
        <w:tc>
          <w:tcPr>
            <w:tcW w:w="2537" w:type="dxa"/>
            <w:tcBorders>
              <w:top w:val="single" w:color="auto" w:sz="4" w:space="0"/>
              <w:left w:val="single" w:color="auto" w:sz="4" w:space="0"/>
              <w:bottom w:val="single" w:color="auto" w:sz="4" w:space="0"/>
              <w:right w:val="single" w:color="auto" w:sz="8" w:space="0"/>
              <w:tl2br w:val="nil"/>
              <w:tr2bl w:val="nil"/>
            </w:tcBorders>
            <w:noWrap w:val="0"/>
            <w:vAlign w:val="center"/>
          </w:tcPr>
          <w:p w14:paraId="3FC6685B">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500</w:t>
            </w:r>
          </w:p>
        </w:tc>
      </w:tr>
      <w:tr w14:paraId="17E849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49" w:type="dxa"/>
            <w:tcBorders>
              <w:top w:val="single" w:color="auto" w:sz="4" w:space="0"/>
              <w:left w:val="single" w:color="auto" w:sz="8" w:space="0"/>
              <w:bottom w:val="single" w:color="auto" w:sz="4" w:space="0"/>
              <w:right w:val="single" w:color="auto" w:sz="4" w:space="0"/>
              <w:tl2br w:val="nil"/>
              <w:tr2bl w:val="nil"/>
            </w:tcBorders>
            <w:noWrap w:val="0"/>
            <w:vAlign w:val="center"/>
          </w:tcPr>
          <w:p w14:paraId="17EAB35F">
            <w:pPr>
              <w:widowControl/>
              <w:spacing w:beforeLines="0" w:afterLines="0" w:line="240" w:lineRule="auto"/>
              <w:jc w:val="center"/>
              <w:textAlignment w:val="center"/>
              <w:rPr>
                <w:rFonts w:hint="default"/>
                <w:color w:val="auto"/>
                <w:kern w:val="0"/>
                <w:sz w:val="18"/>
                <w:szCs w:val="18"/>
                <w:lang w:bidi="ar"/>
              </w:rPr>
            </w:pPr>
            <w:r>
              <w:rPr>
                <w:rFonts w:hint="default" w:ascii="宋体"/>
                <w:color w:val="auto"/>
                <w:kern w:val="0"/>
                <w:sz w:val="18"/>
                <w:szCs w:val="18"/>
                <w:lang w:bidi="ar"/>
              </w:rPr>
              <w:t>热力管（包封）</w:t>
            </w:r>
          </w:p>
        </w:tc>
        <w:tc>
          <w:tcPr>
            <w:tcW w:w="265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F26C43">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300</w:t>
            </w:r>
          </w:p>
        </w:tc>
        <w:tc>
          <w:tcPr>
            <w:tcW w:w="2537" w:type="dxa"/>
            <w:tcBorders>
              <w:top w:val="single" w:color="auto" w:sz="4" w:space="0"/>
              <w:left w:val="single" w:color="auto" w:sz="4" w:space="0"/>
              <w:bottom w:val="single" w:color="auto" w:sz="4" w:space="0"/>
              <w:right w:val="single" w:color="auto" w:sz="8" w:space="0"/>
              <w:tl2br w:val="nil"/>
              <w:tr2bl w:val="nil"/>
            </w:tcBorders>
            <w:noWrap w:val="0"/>
            <w:vAlign w:val="center"/>
          </w:tcPr>
          <w:p w14:paraId="20463580">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300</w:t>
            </w:r>
          </w:p>
        </w:tc>
      </w:tr>
      <w:tr w14:paraId="42715E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49" w:type="dxa"/>
            <w:tcBorders>
              <w:top w:val="single" w:color="auto" w:sz="4" w:space="0"/>
              <w:left w:val="single" w:color="auto" w:sz="8" w:space="0"/>
              <w:bottom w:val="single" w:color="auto" w:sz="8" w:space="0"/>
              <w:right w:val="single" w:color="auto" w:sz="4" w:space="0"/>
              <w:tl2br w:val="nil"/>
              <w:tr2bl w:val="nil"/>
            </w:tcBorders>
            <w:noWrap w:val="0"/>
            <w:vAlign w:val="center"/>
          </w:tcPr>
          <w:p w14:paraId="70B4C400">
            <w:pPr>
              <w:widowControl/>
              <w:spacing w:beforeLines="0" w:afterLines="0" w:line="240" w:lineRule="auto"/>
              <w:jc w:val="center"/>
              <w:textAlignment w:val="center"/>
              <w:rPr>
                <w:rFonts w:hint="default"/>
                <w:color w:val="auto"/>
                <w:kern w:val="0"/>
                <w:sz w:val="18"/>
                <w:szCs w:val="18"/>
                <w:lang w:bidi="ar"/>
              </w:rPr>
            </w:pPr>
            <w:r>
              <w:rPr>
                <w:rFonts w:hint="default" w:ascii="宋体"/>
                <w:color w:val="auto"/>
                <w:kern w:val="0"/>
                <w:sz w:val="18"/>
                <w:szCs w:val="18"/>
                <w:lang w:bidi="ar"/>
              </w:rPr>
              <w:t>燃气管</w:t>
            </w:r>
          </w:p>
        </w:tc>
        <w:tc>
          <w:tcPr>
            <w:tcW w:w="2657" w:type="dxa"/>
            <w:tcBorders>
              <w:top w:val="single" w:color="auto" w:sz="4" w:space="0"/>
              <w:left w:val="single" w:color="auto" w:sz="4" w:space="0"/>
              <w:bottom w:val="single" w:color="auto" w:sz="8" w:space="0"/>
              <w:right w:val="single" w:color="auto" w:sz="4" w:space="0"/>
              <w:tl2br w:val="nil"/>
              <w:tr2bl w:val="nil"/>
            </w:tcBorders>
            <w:noWrap w:val="0"/>
            <w:vAlign w:val="center"/>
          </w:tcPr>
          <w:p w14:paraId="3394AD45">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300</w:t>
            </w:r>
          </w:p>
        </w:tc>
        <w:tc>
          <w:tcPr>
            <w:tcW w:w="2537" w:type="dxa"/>
            <w:tcBorders>
              <w:top w:val="single" w:color="auto" w:sz="4" w:space="0"/>
              <w:left w:val="single" w:color="auto" w:sz="4" w:space="0"/>
              <w:bottom w:val="single" w:color="auto" w:sz="8" w:space="0"/>
              <w:right w:val="single" w:color="auto" w:sz="8" w:space="0"/>
              <w:tl2br w:val="nil"/>
              <w:tr2bl w:val="nil"/>
            </w:tcBorders>
            <w:noWrap w:val="0"/>
            <w:vAlign w:val="center"/>
          </w:tcPr>
          <w:p w14:paraId="3EC46693">
            <w:pPr>
              <w:widowControl/>
              <w:spacing w:beforeLines="0" w:afterLines="0" w:line="240" w:lineRule="auto"/>
              <w:jc w:val="center"/>
              <w:textAlignment w:val="center"/>
              <w:rPr>
                <w:rFonts w:hint="default"/>
                <w:color w:val="auto"/>
                <w:kern w:val="0"/>
                <w:sz w:val="18"/>
                <w:szCs w:val="18"/>
                <w:lang w:bidi="ar"/>
              </w:rPr>
            </w:pPr>
            <w:r>
              <w:rPr>
                <w:rFonts w:hint="default"/>
                <w:color w:val="auto"/>
                <w:kern w:val="0"/>
                <w:sz w:val="18"/>
                <w:szCs w:val="18"/>
                <w:lang w:bidi="ar"/>
              </w:rPr>
              <w:t>20</w:t>
            </w:r>
          </w:p>
        </w:tc>
      </w:tr>
    </w:tbl>
    <w:p w14:paraId="5953F174">
      <w:pPr>
        <w:spacing w:before="156" w:after="156"/>
        <w:rPr>
          <w:rFonts w:hint="eastAsia"/>
          <w:color w:val="auto"/>
        </w:rPr>
      </w:pPr>
    </w:p>
    <w:p w14:paraId="71BAEC81">
      <w:pPr>
        <w:pStyle w:val="76"/>
        <w:spacing w:before="156" w:after="156"/>
        <w:rPr>
          <w:rFonts w:hint="eastAsia" w:ascii="宋体" w:hAnsi="宋体" w:eastAsia="宋体" w:cs="宋体"/>
          <w:color w:val="auto"/>
          <w:sz w:val="21"/>
          <w:szCs w:val="21"/>
        </w:rPr>
      </w:pPr>
      <w:r>
        <w:rPr>
          <w:rFonts w:hint="eastAsia" w:ascii="宋体" w:hAnsi="宋体" w:eastAsia="宋体" w:cs="宋体"/>
          <w:color w:val="auto"/>
          <w:sz w:val="21"/>
          <w:szCs w:val="21"/>
        </w:rPr>
        <w:t>单对以太网系统应远离高温和电磁干扰的场地并应符合下列规定：</w:t>
      </w:r>
    </w:p>
    <w:p w14:paraId="7A9ED3A8">
      <w:pPr>
        <w:numPr>
          <w:ilvl w:val="1"/>
          <w:numId w:val="25"/>
        </w:numPr>
        <w:spacing w:beforeLines="0" w:afterLines="0" w:line="240" w:lineRule="auto"/>
        <w:rPr>
          <w:rFonts w:hint="default" w:ascii="Times New Roman"/>
          <w:color w:val="auto"/>
          <w:kern w:val="0"/>
          <w:sz w:val="21"/>
          <w:szCs w:val="21"/>
        </w:rPr>
      </w:pPr>
      <w:r>
        <w:rPr>
          <w:rFonts w:hint="default" w:ascii="宋体"/>
          <w:color w:val="auto"/>
          <w:sz w:val="21"/>
          <w:szCs w:val="24"/>
        </w:rPr>
        <w:t>当单对以太网区域内存在的电磁干扰场强低于</w:t>
      </w:r>
      <w:r>
        <w:rPr>
          <w:rFonts w:hint="default" w:ascii="Times New Roman"/>
          <w:color w:val="auto"/>
          <w:kern w:val="0"/>
          <w:sz w:val="21"/>
          <w:szCs w:val="21"/>
        </w:rPr>
        <w:t>3V/m时，可采用非屏蔽电缆和非屏蔽配线设备。</w:t>
      </w:r>
    </w:p>
    <w:p w14:paraId="64B79CE6">
      <w:pPr>
        <w:numPr>
          <w:ilvl w:val="1"/>
          <w:numId w:val="25"/>
        </w:numPr>
        <w:spacing w:beforeLines="0" w:afterLines="0" w:line="240" w:lineRule="auto"/>
        <w:rPr>
          <w:rFonts w:hint="default" w:ascii="宋体"/>
          <w:color w:val="auto"/>
          <w:sz w:val="21"/>
          <w:szCs w:val="24"/>
        </w:rPr>
      </w:pPr>
      <w:r>
        <w:rPr>
          <w:rFonts w:hint="default" w:ascii="Times New Roman"/>
          <w:color w:val="auto"/>
          <w:kern w:val="0"/>
          <w:sz w:val="21"/>
          <w:szCs w:val="21"/>
        </w:rPr>
        <w:t>当单对以太网区域内存在的电磁干扰场强高于3V/m，</w:t>
      </w:r>
      <w:r>
        <w:rPr>
          <w:rFonts w:hint="default" w:ascii="宋体"/>
          <w:color w:val="auto"/>
          <w:sz w:val="21"/>
          <w:szCs w:val="24"/>
        </w:rPr>
        <w:t>或用户对电磁兼容性有较高要求时，应采用屏蔽布线系统。</w:t>
      </w:r>
    </w:p>
    <w:p w14:paraId="6FC92F53">
      <w:pPr>
        <w:numPr>
          <w:ilvl w:val="1"/>
          <w:numId w:val="25"/>
        </w:numPr>
        <w:spacing w:beforeLines="0" w:afterLines="0" w:line="240" w:lineRule="auto"/>
        <w:rPr>
          <w:rFonts w:hint="default" w:ascii="宋体"/>
          <w:color w:val="auto"/>
          <w:sz w:val="21"/>
          <w:szCs w:val="24"/>
        </w:rPr>
      </w:pPr>
      <w:r>
        <w:rPr>
          <w:rFonts w:hint="default" w:ascii="宋体"/>
          <w:color w:val="auto"/>
          <w:sz w:val="21"/>
          <w:szCs w:val="24"/>
        </w:rPr>
        <w:t>当单对以太网路由上存在干扰源，且不能满足最小净距要求时，应采用金属导管和金属槽盒敷设，或采用屏蔽布线系统。</w:t>
      </w:r>
    </w:p>
    <w:p w14:paraId="16104BE7">
      <w:pPr>
        <w:numPr>
          <w:ilvl w:val="1"/>
          <w:numId w:val="25"/>
        </w:numPr>
        <w:spacing w:beforeLines="0" w:afterLines="0" w:line="240" w:lineRule="auto"/>
        <w:rPr>
          <w:rFonts w:hint="default" w:ascii="宋体"/>
          <w:color w:val="auto"/>
          <w:sz w:val="21"/>
          <w:szCs w:val="24"/>
        </w:rPr>
      </w:pPr>
      <w:r>
        <w:rPr>
          <w:rFonts w:hint="default" w:ascii="宋体"/>
          <w:color w:val="auto"/>
          <w:sz w:val="21"/>
          <w:szCs w:val="24"/>
        </w:rPr>
        <w:t>当局部地段与电力线或其他管线接近，或接近电动机、电力变压器等干扰源，且不能满足最小净距要求时，应采用金属导管或金属槽盒等局部屏蔽措施。</w:t>
      </w:r>
    </w:p>
    <w:p w14:paraId="46DD8979">
      <w:pPr>
        <w:pStyle w:val="76"/>
        <w:spacing w:before="156" w:after="156"/>
        <w:rPr>
          <w:rFonts w:hint="eastAsia" w:ascii="宋体" w:hAnsi="宋体" w:eastAsia="宋体" w:cs="宋体"/>
          <w:color w:val="auto"/>
          <w:sz w:val="21"/>
          <w:szCs w:val="21"/>
        </w:rPr>
      </w:pPr>
      <w:r>
        <w:rPr>
          <w:rFonts w:hint="eastAsia" w:ascii="宋体" w:hAnsi="宋体" w:eastAsia="宋体" w:cs="宋体"/>
          <w:color w:val="auto"/>
          <w:sz w:val="21"/>
          <w:szCs w:val="21"/>
        </w:rPr>
        <w:t>在建筑物电信间、设备间、进线间及各楼层信息通信竖井内均应设置辅助等电位联结端子板。</w:t>
      </w:r>
    </w:p>
    <w:p w14:paraId="0E120512">
      <w:pPr>
        <w:pStyle w:val="76"/>
        <w:spacing w:before="156" w:after="156"/>
        <w:rPr>
          <w:rFonts w:hint="eastAsia" w:ascii="宋体" w:hAnsi="宋体" w:eastAsia="宋体" w:cs="宋体"/>
          <w:color w:val="auto"/>
          <w:sz w:val="21"/>
          <w:szCs w:val="21"/>
        </w:rPr>
      </w:pPr>
      <w:r>
        <w:rPr>
          <w:rFonts w:hint="eastAsia" w:ascii="宋体" w:hAnsi="宋体" w:eastAsia="宋体" w:cs="宋体"/>
          <w:color w:val="auto"/>
          <w:sz w:val="21"/>
          <w:szCs w:val="21"/>
        </w:rPr>
        <w:t>单对以太网系统应采用建筑物共用接地的接地系统。当必须单独设置系统接地体时，其接地电阻不应大于</w:t>
      </w:r>
      <w:r>
        <w:rPr>
          <w:rFonts w:hint="default" w:ascii="Times New Roman" w:hAnsi="Times New Roman" w:eastAsia="宋体" w:cs="Times New Roman"/>
          <w:color w:val="auto"/>
          <w:sz w:val="21"/>
          <w:szCs w:val="21"/>
        </w:rPr>
        <w:t>4Ω</w:t>
      </w:r>
      <w:r>
        <w:rPr>
          <w:rFonts w:hint="eastAsia" w:ascii="宋体" w:hAnsi="宋体" w:eastAsia="宋体" w:cs="宋体"/>
          <w:color w:val="auto"/>
          <w:sz w:val="21"/>
          <w:szCs w:val="21"/>
        </w:rPr>
        <w:t>。当系统的接地系统中存在两个不同的接地体时，其接地电位差不应大</w:t>
      </w:r>
      <w:r>
        <w:rPr>
          <w:rFonts w:hint="default" w:ascii="Times New Roman" w:hAnsi="Times New Roman" w:eastAsia="宋体" w:cs="Times New Roman"/>
          <w:color w:val="auto"/>
          <w:sz w:val="21"/>
          <w:szCs w:val="21"/>
        </w:rPr>
        <w:t>于1Vr.m.s。</w:t>
      </w:r>
    </w:p>
    <w:p w14:paraId="7AB7E1C4">
      <w:pPr>
        <w:pStyle w:val="76"/>
        <w:spacing w:before="156" w:after="156"/>
        <w:rPr>
          <w:rFonts w:hint="eastAsia" w:ascii="宋体" w:hAnsi="宋体" w:eastAsia="宋体" w:cs="宋体"/>
          <w:color w:val="auto"/>
          <w:sz w:val="21"/>
          <w:szCs w:val="21"/>
        </w:rPr>
      </w:pPr>
      <w:r>
        <w:rPr>
          <w:rFonts w:hint="eastAsia" w:ascii="宋体" w:hAnsi="宋体" w:eastAsia="宋体" w:cs="宋体"/>
          <w:color w:val="auto"/>
          <w:sz w:val="21"/>
          <w:szCs w:val="21"/>
        </w:rPr>
        <w:t>屏蔽布线系统的屏蔽层应保持可靠连接、全程屏蔽，在屏蔽配线设备安装的位置应就近与等电位联结端子板可靠连接。</w:t>
      </w:r>
    </w:p>
    <w:p w14:paraId="18904597">
      <w:pPr>
        <w:pStyle w:val="76"/>
        <w:spacing w:before="156" w:after="156"/>
        <w:rPr>
          <w:rFonts w:hint="eastAsia" w:ascii="宋体" w:hAnsi="宋体" w:eastAsia="宋体" w:cs="宋体"/>
          <w:color w:val="auto"/>
          <w:sz w:val="21"/>
          <w:szCs w:val="21"/>
        </w:rPr>
      </w:pPr>
      <w:r>
        <w:rPr>
          <w:rFonts w:hint="eastAsia" w:ascii="宋体" w:hAnsi="宋体" w:eastAsia="宋体" w:cs="宋体"/>
          <w:color w:val="auto"/>
          <w:sz w:val="21"/>
          <w:szCs w:val="21"/>
        </w:rPr>
        <w:t>单线对对绞电缆采用金属管槽敷设时，管槽应保持连续的电气连接，并应有不少于两点的良好接地。</w:t>
      </w:r>
    </w:p>
    <w:p w14:paraId="03861D74">
      <w:pPr>
        <w:pStyle w:val="76"/>
        <w:spacing w:before="156" w:after="156"/>
        <w:rPr>
          <w:rFonts w:hint="eastAsia" w:ascii="宋体" w:hAnsi="宋体" w:eastAsia="宋体" w:cs="宋体"/>
          <w:color w:val="auto"/>
          <w:sz w:val="21"/>
          <w:szCs w:val="21"/>
        </w:rPr>
      </w:pPr>
      <w:r>
        <w:rPr>
          <w:rFonts w:hint="eastAsia" w:ascii="宋体" w:hAnsi="宋体" w:eastAsia="宋体" w:cs="宋体"/>
          <w:color w:val="auto"/>
          <w:sz w:val="21"/>
          <w:szCs w:val="21"/>
        </w:rPr>
        <w:t>当单线对对绞电缆从建筑物外引入建筑物时，电缆应在入口处就近与等电位联结端子板连接，并应选用适配的信号线路浪涌保护器。</w:t>
      </w:r>
    </w:p>
    <w:p w14:paraId="41726BA6">
      <w:pPr>
        <w:pStyle w:val="76"/>
        <w:outlineLvl w:val="2"/>
        <w:rPr>
          <w:rFonts w:hint="eastAsia" w:ascii="宋体" w:hAnsi="宋体" w:eastAsia="宋体" w:cs="宋体"/>
          <w:color w:val="auto"/>
          <w:highlight w:val="none"/>
        </w:rPr>
      </w:pPr>
      <w:r>
        <w:rPr>
          <w:rFonts w:hint="eastAsia" w:ascii="宋体" w:hAnsi="宋体" w:eastAsia="宋体" w:cs="宋体"/>
          <w:b w:val="0"/>
          <w:bCs w:val="0"/>
          <w:color w:val="auto"/>
          <w:sz w:val="21"/>
          <w:szCs w:val="21"/>
        </w:rPr>
        <w:t>单对以太网系统的雷电防护的其它要求应符合《建筑物电子信息系统防雷技术规</w:t>
      </w:r>
      <w:r>
        <w:rPr>
          <w:rFonts w:hint="default" w:ascii="Times New Roman" w:hAnsi="Times New Roman" w:eastAsia="宋体" w:cs="Times New Roman"/>
          <w:b w:val="0"/>
          <w:bCs w:val="0"/>
          <w:color w:val="auto"/>
          <w:sz w:val="21"/>
          <w:szCs w:val="21"/>
        </w:rPr>
        <w:t>范》GB 50343</w:t>
      </w:r>
      <w:r>
        <w:rPr>
          <w:rFonts w:hint="eastAsia" w:ascii="宋体" w:hAnsi="宋体" w:eastAsia="宋体" w:cs="宋体"/>
          <w:b w:val="0"/>
          <w:bCs w:val="0"/>
          <w:color w:val="auto"/>
          <w:sz w:val="21"/>
          <w:szCs w:val="21"/>
        </w:rPr>
        <w:t>的有关规定。</w:t>
      </w:r>
    </w:p>
    <w:p w14:paraId="46002D07">
      <w:pPr>
        <w:pStyle w:val="91"/>
        <w:outlineLvl w:val="0"/>
        <w:rPr>
          <w:color w:val="auto"/>
          <w:highlight w:val="none"/>
        </w:rPr>
      </w:pPr>
      <w:bookmarkStart w:id="298" w:name="_Toc8407"/>
      <w:r>
        <w:rPr>
          <w:rFonts w:hint="eastAsia"/>
          <w:color w:val="auto"/>
          <w:highlight w:val="none"/>
          <w:lang w:val="en-US" w:eastAsia="zh-CN"/>
        </w:rPr>
        <w:t>施工要求</w:t>
      </w:r>
      <w:bookmarkEnd w:id="295"/>
      <w:bookmarkEnd w:id="298"/>
    </w:p>
    <w:p w14:paraId="7D1BF5F8">
      <w:pPr>
        <w:pStyle w:val="76"/>
        <w:spacing w:before="156" w:after="156"/>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建筑物内单线对对绞电缆的敷设方式应根据建筑物构造、环境特征、使用要求、需求分布以及所选用线缆的类型、外形尺寸及结构等因素综合确定，并应符合下列规定：</w:t>
      </w:r>
    </w:p>
    <w:p w14:paraId="4BA3C653">
      <w:pPr>
        <w:numPr>
          <w:ilvl w:val="1"/>
          <w:numId w:val="26"/>
        </w:numPr>
        <w:tabs>
          <w:tab w:val="clear" w:pos="840"/>
        </w:tabs>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水平敷设时，应采用导管或桥架的方式，并应符合下列规定：</w:t>
      </w:r>
    </w:p>
    <w:p w14:paraId="595CAFEA">
      <w:pPr>
        <w:numPr>
          <w:ilvl w:val="0"/>
          <w:numId w:val="27"/>
        </w:numPr>
        <w:tabs>
          <w:tab w:val="clear" w:pos="840"/>
        </w:tabs>
        <w:ind w:left="1265" w:leftChars="0" w:hanging="425"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吊顶内宜采用金属桥架的方式敷设；</w:t>
      </w:r>
    </w:p>
    <w:p w14:paraId="611740BC">
      <w:pPr>
        <w:numPr>
          <w:ilvl w:val="0"/>
          <w:numId w:val="27"/>
        </w:numPr>
        <w:tabs>
          <w:tab w:val="clear" w:pos="840"/>
        </w:tabs>
        <w:ind w:left="1265" w:leftChars="0" w:hanging="425"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墙体内应采用穿导管方式敷设；</w:t>
      </w:r>
    </w:p>
    <w:p w14:paraId="501EBD89">
      <w:pPr>
        <w:numPr>
          <w:ilvl w:val="0"/>
          <w:numId w:val="27"/>
        </w:numPr>
        <w:tabs>
          <w:tab w:val="clear" w:pos="840"/>
        </w:tabs>
        <w:ind w:left="1265" w:leftChars="0" w:hanging="425"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当有架空地板时也可选用架空地板下的桥架方式敷设；</w:t>
      </w:r>
    </w:p>
    <w:p w14:paraId="559A90A4">
      <w:pPr>
        <w:numPr>
          <w:ilvl w:val="0"/>
          <w:numId w:val="27"/>
        </w:numPr>
        <w:tabs>
          <w:tab w:val="clear" w:pos="840"/>
        </w:tabs>
        <w:ind w:left="1265" w:leftChars="0" w:hanging="425"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从桥架引出至接入设备时可采用金属导管敷设。</w:t>
      </w:r>
    </w:p>
    <w:p w14:paraId="31DF4FCE">
      <w:pPr>
        <w:numPr>
          <w:ilvl w:val="1"/>
          <w:numId w:val="26"/>
        </w:numPr>
        <w:tabs>
          <w:tab w:val="clear" w:pos="840"/>
        </w:tabs>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垂直敷设时宜采用导管或桥架在竖井内敷设。</w:t>
      </w:r>
    </w:p>
    <w:p w14:paraId="587DDACE">
      <w:pPr>
        <w:pStyle w:val="76"/>
        <w:spacing w:before="156" w:after="156"/>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当在建筑群之间敷设单线对对绞电缆时，宜采用地下管道或电缆沟敷设方式。</w:t>
      </w:r>
    </w:p>
    <w:p w14:paraId="4BB4BA06">
      <w:pPr>
        <w:pStyle w:val="76"/>
        <w:spacing w:before="156" w:after="156"/>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布线路由不宜穿越建筑结构变形缝（伸缩缝、沉降缝、抗震缝），当必须穿越时，应采取补偿措施。</w:t>
      </w:r>
    </w:p>
    <w:p w14:paraId="7FB0450A">
      <w:pPr>
        <w:pStyle w:val="76"/>
        <w:spacing w:before="156" w:after="156"/>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布线导管或槽盒暗敷设于楼板时，不应穿越机电设备基础座。</w:t>
      </w:r>
    </w:p>
    <w:p w14:paraId="49848509">
      <w:pPr>
        <w:pStyle w:val="76"/>
        <w:spacing w:before="156" w:after="156"/>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暗敷设在钢筋混凝土现浇楼板内的布线导管或槽盒最大外径宜为楼板厚</w:t>
      </w:r>
      <w:r>
        <w:rPr>
          <w:rFonts w:hint="eastAsia" w:ascii="Times New Roman" w:hAnsi="Times New Roman" w:eastAsia="宋体" w:cs="Times New Roman"/>
          <w:color w:val="auto"/>
          <w:kern w:val="2"/>
          <w:szCs w:val="24"/>
          <w:highlight w:val="none"/>
          <w:lang w:val="en-US" w:eastAsia="zh-CN"/>
        </w:rPr>
        <w:t>的1/4～1/3</w:t>
      </w:r>
      <w:r>
        <w:rPr>
          <w:rFonts w:hint="eastAsia" w:ascii="宋体" w:hAnsi="宋体" w:eastAsia="宋体" w:cs="宋体"/>
          <w:color w:val="auto"/>
          <w:highlight w:val="none"/>
          <w:lang w:val="en-US" w:eastAsia="zh-CN"/>
        </w:rPr>
        <w:t>。</w:t>
      </w:r>
    </w:p>
    <w:p w14:paraId="3F693C11">
      <w:pPr>
        <w:pStyle w:val="76"/>
        <w:spacing w:before="156" w:after="156"/>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布线路由中每根暗管的转弯角不应多</w:t>
      </w:r>
      <w:r>
        <w:rPr>
          <w:rFonts w:hint="eastAsia" w:ascii="Times New Roman" w:hAnsi="Times New Roman" w:eastAsia="宋体" w:cs="Times New Roman"/>
          <w:color w:val="auto"/>
          <w:kern w:val="2"/>
          <w:szCs w:val="24"/>
          <w:highlight w:val="none"/>
          <w:lang w:val="en-US" w:eastAsia="zh-CN"/>
        </w:rPr>
        <w:t>于2个</w:t>
      </w:r>
      <w:r>
        <w:rPr>
          <w:rFonts w:hint="eastAsia" w:ascii="宋体" w:hAnsi="宋体" w:eastAsia="宋体" w:cs="宋体"/>
          <w:color w:val="auto"/>
          <w:highlight w:val="none"/>
          <w:lang w:val="en-US" w:eastAsia="zh-CN"/>
        </w:rPr>
        <w:t>，且弯曲角度应大于</w:t>
      </w:r>
      <w:r>
        <w:rPr>
          <w:rFonts w:hint="eastAsia" w:ascii="Times New Roman" w:hAnsi="Times New Roman" w:eastAsia="宋体" w:cs="Times New Roman"/>
          <w:color w:val="auto"/>
          <w:kern w:val="2"/>
          <w:szCs w:val="24"/>
          <w:highlight w:val="none"/>
          <w:lang w:val="en-US" w:eastAsia="zh-CN"/>
        </w:rPr>
        <w:t>90°</w:t>
      </w:r>
      <w:r>
        <w:rPr>
          <w:rFonts w:hint="eastAsia" w:ascii="宋体" w:hAnsi="宋体" w:eastAsia="宋体" w:cs="宋体"/>
          <w:color w:val="auto"/>
          <w:highlight w:val="none"/>
          <w:lang w:val="en-US" w:eastAsia="zh-CN"/>
        </w:rPr>
        <w:t>。</w:t>
      </w:r>
    </w:p>
    <w:p w14:paraId="6B23C894">
      <w:pPr>
        <w:pStyle w:val="76"/>
        <w:spacing w:before="156" w:after="156"/>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需对电磁场干扰提供增强防护或有抗外界电磁场干扰需求的场所，单线对对绞电缆应全程采用金属导管或金属槽盒防护。</w:t>
      </w:r>
    </w:p>
    <w:p w14:paraId="30CF6762">
      <w:pPr>
        <w:pStyle w:val="76"/>
        <w:spacing w:before="156" w:after="156"/>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明敷单线对对绞电缆应符合下列规定：</w:t>
      </w:r>
    </w:p>
    <w:p w14:paraId="70C087DA">
      <w:pPr>
        <w:numPr>
          <w:ilvl w:val="1"/>
          <w:numId w:val="28"/>
        </w:numPr>
        <w:tabs>
          <w:tab w:val="clear" w:pos="840"/>
        </w:tabs>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采用线卡沿墙体、顶棚或建筑物构件表面直接敷设，固定间距不宜大于1m。</w:t>
      </w:r>
    </w:p>
    <w:p w14:paraId="1D685C3A">
      <w:pPr>
        <w:numPr>
          <w:ilvl w:val="1"/>
          <w:numId w:val="28"/>
        </w:numPr>
        <w:tabs>
          <w:tab w:val="clear" w:pos="840"/>
        </w:tabs>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不应直接敷设于建筑物的顶棚内、顶棚抹灰层、墙体保温层及装饰板内。</w:t>
      </w:r>
    </w:p>
    <w:p w14:paraId="3C76637B">
      <w:pPr>
        <w:numPr>
          <w:ilvl w:val="1"/>
          <w:numId w:val="28"/>
        </w:numPr>
        <w:tabs>
          <w:tab w:val="clear" w:pos="840"/>
        </w:tabs>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与其他管线交叉贴邻时，应按防护要求采取保护隔离措施。</w:t>
      </w:r>
    </w:p>
    <w:p w14:paraId="4937A6F1">
      <w:pPr>
        <w:numPr>
          <w:ilvl w:val="1"/>
          <w:numId w:val="28"/>
        </w:numPr>
        <w:tabs>
          <w:tab w:val="clear" w:pos="840"/>
        </w:tabs>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在易受机械损伤的场所敷设时，应采用钢管保护。</w:t>
      </w:r>
    </w:p>
    <w:p w14:paraId="27F01630">
      <w:pPr>
        <w:pStyle w:val="76"/>
        <w:spacing w:before="156" w:after="156"/>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单线对对绞电缆的弯曲半径不应小于电缆外径的</w:t>
      </w:r>
      <w:r>
        <w:rPr>
          <w:rFonts w:hint="eastAsia" w:ascii="Times New Roman" w:hAnsi="Times New Roman" w:eastAsia="宋体" w:cs="Times New Roman"/>
          <w:color w:val="auto"/>
          <w:kern w:val="2"/>
          <w:szCs w:val="24"/>
          <w:highlight w:val="none"/>
          <w:lang w:val="en-US" w:eastAsia="zh-CN"/>
        </w:rPr>
        <w:t>4</w:t>
      </w:r>
      <w:r>
        <w:rPr>
          <w:rFonts w:hint="eastAsia" w:ascii="宋体" w:hAnsi="宋体" w:eastAsia="宋体" w:cs="宋体"/>
          <w:color w:val="auto"/>
          <w:highlight w:val="none"/>
          <w:lang w:val="en-US" w:eastAsia="zh-CN"/>
        </w:rPr>
        <w:t>倍。</w:t>
      </w:r>
    </w:p>
    <w:p w14:paraId="17680C09">
      <w:pPr>
        <w:pStyle w:val="76"/>
        <w:spacing w:before="156" w:after="156"/>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线缆在导管与槽盒内敷设时，导管截面利用率不应大于</w:t>
      </w:r>
      <w:r>
        <w:rPr>
          <w:rFonts w:hint="eastAsia" w:ascii="Times New Roman" w:hAnsi="Times New Roman" w:eastAsia="宋体" w:cs="Times New Roman"/>
          <w:color w:val="auto"/>
          <w:kern w:val="2"/>
          <w:szCs w:val="24"/>
          <w:highlight w:val="none"/>
          <w:lang w:val="en-US" w:eastAsia="zh-CN"/>
        </w:rPr>
        <w:t>30%，</w:t>
      </w:r>
      <w:r>
        <w:rPr>
          <w:rFonts w:hint="eastAsia" w:ascii="宋体" w:hAnsi="宋体" w:eastAsia="宋体" w:cs="宋体"/>
          <w:color w:val="auto"/>
          <w:highlight w:val="none"/>
          <w:lang w:val="en-US" w:eastAsia="zh-CN"/>
        </w:rPr>
        <w:t>槽盒内的截面利用率不应大于</w:t>
      </w:r>
      <w:r>
        <w:rPr>
          <w:rFonts w:hint="eastAsia" w:ascii="Times New Roman" w:hAnsi="Times New Roman" w:eastAsia="宋体" w:cs="Times New Roman"/>
          <w:color w:val="auto"/>
          <w:kern w:val="2"/>
          <w:szCs w:val="24"/>
          <w:highlight w:val="none"/>
          <w:lang w:val="en-US" w:eastAsia="zh-CN"/>
        </w:rPr>
        <w:t>50%</w:t>
      </w:r>
      <w:r>
        <w:rPr>
          <w:rFonts w:hint="eastAsia" w:ascii="宋体" w:hAnsi="宋体" w:eastAsia="宋体" w:cs="宋体"/>
          <w:color w:val="auto"/>
          <w:highlight w:val="none"/>
          <w:lang w:val="en-US" w:eastAsia="zh-CN"/>
        </w:rPr>
        <w:t>。</w:t>
      </w:r>
    </w:p>
    <w:p w14:paraId="1F83DBD3">
      <w:pPr>
        <w:pStyle w:val="76"/>
        <w:spacing w:before="156" w:after="156"/>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屏蔽单线对对绞电缆的屏蔽层与插接件终接处屏蔽罩应可靠接触，线缆屏蔽层应与接插件屏蔽罩圆周接触，接触长度不宜小于</w:t>
      </w:r>
      <w:r>
        <w:rPr>
          <w:rFonts w:hint="eastAsia" w:ascii="Times New Roman" w:hAnsi="Times New Roman" w:eastAsia="宋体" w:cs="Times New Roman"/>
          <w:color w:val="auto"/>
          <w:kern w:val="2"/>
          <w:szCs w:val="24"/>
          <w:highlight w:val="none"/>
          <w:lang w:val="en-US" w:eastAsia="zh-CN"/>
        </w:rPr>
        <w:t>10mm</w:t>
      </w:r>
      <w:r>
        <w:rPr>
          <w:rFonts w:hint="eastAsia" w:ascii="宋体" w:hAnsi="宋体" w:eastAsia="宋体" w:cs="宋体"/>
          <w:color w:val="auto"/>
          <w:highlight w:val="none"/>
          <w:lang w:val="en-US" w:eastAsia="zh-CN"/>
        </w:rPr>
        <w:t>。</w:t>
      </w:r>
    </w:p>
    <w:p w14:paraId="4C4EF958">
      <w:pPr>
        <w:pStyle w:val="76"/>
        <w:spacing w:before="156" w:after="156"/>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釆用屏蔽型单线对对绞电缆时，其屏蔽层应可靠接地。</w:t>
      </w:r>
    </w:p>
    <w:p w14:paraId="2775B8AE">
      <w:pPr>
        <w:pStyle w:val="76"/>
        <w:spacing w:before="156" w:after="156"/>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单线对对绞电缆在有酸碱腐蚀介质的环境场所敷设时，应符合下列规定：</w:t>
      </w:r>
    </w:p>
    <w:p w14:paraId="75119F42">
      <w:pPr>
        <w:numPr>
          <w:ilvl w:val="1"/>
          <w:numId w:val="29"/>
        </w:numPr>
        <w:tabs>
          <w:tab w:val="clear" w:pos="840"/>
        </w:tabs>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当在室内暗敷或明敷设时，宜穿钢塑复合型导管或在耐腐槽盒内敷设；在非高温或非易机械损伤的场所，可穿燃烧性能B1级且中等机械应力的塑料导管或在塑料槽盒内敷设。</w:t>
      </w:r>
    </w:p>
    <w:p w14:paraId="57D8F4ED">
      <w:pPr>
        <w:numPr>
          <w:ilvl w:val="1"/>
          <w:numId w:val="29"/>
        </w:numPr>
        <w:tabs>
          <w:tab w:val="clear" w:pos="840"/>
        </w:tabs>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当在室外埋地敷设时，宜穿钢塑复合管、热浸塑钢导管或中型机械应力及以上的塑料导管；采用塑料导管时，应采取防止机械损伤的措施。</w:t>
      </w:r>
    </w:p>
    <w:p w14:paraId="56A62957">
      <w:pPr>
        <w:numPr>
          <w:ilvl w:val="1"/>
          <w:numId w:val="29"/>
        </w:numPr>
        <w:tabs>
          <w:tab w:val="clear" w:pos="840"/>
        </w:tabs>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塑料导管和塑料槽盒不宜与热水管、蒸汽管同侧敷设。</w:t>
      </w:r>
    </w:p>
    <w:p w14:paraId="6C529702">
      <w:pPr>
        <w:pStyle w:val="76"/>
        <w:spacing w:before="156" w:after="156"/>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单线对对绞电缆的敷设与终接应符合下列规定：</w:t>
      </w:r>
    </w:p>
    <w:p w14:paraId="4C9EA831">
      <w:pPr>
        <w:numPr>
          <w:ilvl w:val="1"/>
          <w:numId w:val="30"/>
        </w:numPr>
        <w:tabs>
          <w:tab w:val="clear" w:pos="840"/>
        </w:tabs>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电缆的布放应自然平直，不得产生扭绞、打圈等现象，不应受外力的挤压和损伤。</w:t>
      </w:r>
    </w:p>
    <w:p w14:paraId="606FF696">
      <w:pPr>
        <w:numPr>
          <w:ilvl w:val="1"/>
          <w:numId w:val="30"/>
        </w:numPr>
        <w:tabs>
          <w:tab w:val="clear" w:pos="840"/>
        </w:tabs>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电缆不得中间直接绞接，不能挤压或损坏外护套。</w:t>
      </w:r>
    </w:p>
    <w:p w14:paraId="4DFD3D28">
      <w:pPr>
        <w:numPr>
          <w:ilvl w:val="1"/>
          <w:numId w:val="30"/>
        </w:numPr>
        <w:tabs>
          <w:tab w:val="clear" w:pos="840"/>
        </w:tabs>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电缆两端应贴有标签，应标明编号，标签书写应清晰，端正和正确；标签应选用不易损坏的材料。</w:t>
      </w:r>
    </w:p>
    <w:p w14:paraId="7D98CC31">
      <w:pPr>
        <w:numPr>
          <w:ilvl w:val="1"/>
          <w:numId w:val="30"/>
        </w:numPr>
        <w:tabs>
          <w:tab w:val="clear" w:pos="840"/>
        </w:tabs>
        <w:outlineLvl w:val="9"/>
        <w:rPr>
          <w:rFonts w:hint="eastAsia" w:ascii="宋体" w:hAnsi="宋体" w:cs="宋体"/>
          <w:color w:val="auto"/>
          <w:kern w:val="0"/>
          <w:szCs w:val="21"/>
          <w:highlight w:val="none"/>
          <w:lang w:val="en-US" w:eastAsia="zh-CN"/>
        </w:rPr>
      </w:pPr>
      <w:r>
        <w:rPr>
          <w:rFonts w:hint="eastAsia" w:ascii="Times New Roman" w:hAnsi="Times New Roman" w:cs="Times New Roman"/>
          <w:color w:val="auto"/>
          <w:highlight w:val="none"/>
          <w:lang w:val="en-US" w:eastAsia="zh-CN"/>
        </w:rPr>
        <w:t>终接时扭绞松开长度不应大于13mm，确保终接处压接紧密，电气接触良好</w:t>
      </w:r>
      <w:r>
        <w:rPr>
          <w:rFonts w:hint="eastAsia" w:cs="Times New Roman"/>
          <w:color w:val="auto"/>
          <w:highlight w:val="none"/>
          <w:lang w:val="en-US" w:eastAsia="zh-CN"/>
        </w:rPr>
        <w:t>；</w:t>
      </w:r>
    </w:p>
    <w:p w14:paraId="14E72E72">
      <w:pPr>
        <w:pStyle w:val="76"/>
        <w:spacing w:before="156" w:after="156"/>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单线对对绞电缆布线距离应不应超过其SPE类型所支持的最长距离。</w:t>
      </w:r>
    </w:p>
    <w:p w14:paraId="458DD64C">
      <w:pPr>
        <w:pStyle w:val="76"/>
        <w:spacing w:before="156" w:after="156"/>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单线对对绞电缆的敷设条数应满足工程的实际需求与线缆的规格，并应留有备份容量。</w:t>
      </w:r>
    </w:p>
    <w:p w14:paraId="32FDEF06">
      <w:pPr>
        <w:pStyle w:val="76"/>
        <w:spacing w:before="156" w:after="156"/>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单对以太网系统工程的其它施工要求应符合《综合布线系统工程设计规范》</w:t>
      </w:r>
      <w:r>
        <w:rPr>
          <w:rFonts w:hint="eastAsia" w:ascii="Times New Roman" w:hAnsi="Times New Roman" w:eastAsia="宋体" w:cs="Times New Roman"/>
          <w:color w:val="auto"/>
          <w:kern w:val="2"/>
          <w:szCs w:val="24"/>
          <w:highlight w:val="none"/>
          <w:lang w:val="en-US" w:eastAsia="zh-CN"/>
        </w:rPr>
        <w:t>GB 50311</w:t>
      </w:r>
      <w:r>
        <w:rPr>
          <w:rFonts w:hint="eastAsia" w:ascii="宋体" w:hAnsi="宋体" w:eastAsia="宋体" w:cs="宋体"/>
          <w:color w:val="auto"/>
          <w:highlight w:val="none"/>
          <w:lang w:val="en-US" w:eastAsia="zh-CN"/>
        </w:rPr>
        <w:t>的有关规定。</w:t>
      </w:r>
    </w:p>
    <w:bookmarkEnd w:id="296"/>
    <w:bookmarkEnd w:id="297"/>
    <w:p w14:paraId="33AD304E">
      <w:pPr>
        <w:pStyle w:val="91"/>
        <w:outlineLvl w:val="0"/>
        <w:rPr>
          <w:rFonts w:hint="default" w:ascii="Times New Roman" w:hAnsi="Times New Roman" w:cs="Times New Roman"/>
          <w:color w:val="auto"/>
          <w:highlight w:val="none"/>
        </w:rPr>
      </w:pPr>
      <w:bookmarkStart w:id="299" w:name="_Toc28053"/>
      <w:bookmarkStart w:id="300" w:name="_Toc682"/>
      <w:bookmarkStart w:id="301" w:name="_Toc24145"/>
      <w:bookmarkStart w:id="302" w:name="_Toc14245"/>
      <w:bookmarkStart w:id="303" w:name="_Toc16786"/>
      <w:bookmarkStart w:id="304" w:name="_Toc9720"/>
      <w:bookmarkStart w:id="305" w:name="_Toc29031"/>
      <w:bookmarkStart w:id="306" w:name="_Toc24285"/>
      <w:bookmarkStart w:id="307" w:name="_Toc5814"/>
      <w:bookmarkStart w:id="308" w:name="_Toc2967"/>
      <w:bookmarkStart w:id="309" w:name="_Toc10025"/>
      <w:bookmarkStart w:id="310" w:name="_Toc19148"/>
      <w:bookmarkStart w:id="311" w:name="_Toc3660"/>
      <w:bookmarkStart w:id="312" w:name="_Toc13579"/>
      <w:bookmarkStart w:id="313" w:name="_Toc14503"/>
      <w:bookmarkStart w:id="314" w:name="_Toc7945"/>
      <w:bookmarkStart w:id="315" w:name="_Toc20360"/>
      <w:bookmarkStart w:id="316" w:name="_Toc20676"/>
      <w:bookmarkStart w:id="317" w:name="_Toc20861"/>
      <w:bookmarkStart w:id="318" w:name="_Toc43280421"/>
      <w:bookmarkStart w:id="319" w:name="_Toc52278543"/>
      <w:r>
        <w:rPr>
          <w:rFonts w:hint="default" w:ascii="Times New Roman" w:hAnsi="Times New Roman" w:cs="Times New Roman"/>
          <w:color w:val="auto"/>
          <w:highlight w:val="none"/>
        </w:rPr>
        <w:t>系统</w:t>
      </w:r>
      <w:bookmarkEnd w:id="299"/>
      <w:bookmarkEnd w:id="300"/>
      <w:bookmarkEnd w:id="301"/>
      <w:bookmarkEnd w:id="302"/>
      <w:bookmarkEnd w:id="303"/>
      <w:bookmarkEnd w:id="304"/>
      <w:bookmarkEnd w:id="305"/>
      <w:bookmarkEnd w:id="306"/>
      <w:bookmarkEnd w:id="307"/>
      <w:bookmarkEnd w:id="308"/>
      <w:r>
        <w:rPr>
          <w:rFonts w:hint="default" w:ascii="Times New Roman" w:hAnsi="Times New Roman" w:cs="Times New Roman"/>
          <w:color w:val="auto"/>
          <w:highlight w:val="none"/>
          <w:lang w:val="en-US" w:eastAsia="zh-CN"/>
        </w:rPr>
        <w:t>测试及验收</w:t>
      </w:r>
      <w:bookmarkEnd w:id="309"/>
      <w:bookmarkEnd w:id="310"/>
    </w:p>
    <w:p w14:paraId="5E7E3F1A">
      <w:pPr>
        <w:pStyle w:val="76"/>
        <w:outlineLvl w:val="1"/>
        <w:rPr>
          <w:rFonts w:hint="default" w:ascii="Times New Roman" w:hAnsi="Times New Roman" w:cs="Times New Roman"/>
          <w:color w:val="auto"/>
          <w:highlight w:val="none"/>
        </w:rPr>
      </w:pPr>
      <w:bookmarkStart w:id="320" w:name="_Toc8313"/>
      <w:bookmarkStart w:id="321" w:name="_Toc6737"/>
      <w:r>
        <w:rPr>
          <w:rFonts w:hint="default" w:ascii="Times New Roman" w:hAnsi="Times New Roman" w:cs="Times New Roman"/>
          <w:color w:val="auto"/>
          <w:highlight w:val="none"/>
          <w:lang w:val="en-US" w:eastAsia="zh-CN"/>
        </w:rPr>
        <w:t>系统测试</w:t>
      </w:r>
      <w:bookmarkEnd w:id="320"/>
      <w:bookmarkEnd w:id="321"/>
    </w:p>
    <w:p w14:paraId="443D9D86">
      <w:pPr>
        <w:pStyle w:val="75"/>
        <w:spacing w:before="156" w:after="156" w:line="240" w:lineRule="auto"/>
        <w:rPr>
          <w:rFonts w:hint="default" w:ascii="Times New Roman" w:hAnsi="Times New Roman" w:eastAsia="宋体" w:cs="Times New Roman"/>
          <w:color w:val="auto"/>
          <w:highlight w:val="none"/>
          <w:lang w:val="en-US" w:eastAsia="zh-CN"/>
        </w:rPr>
      </w:pPr>
      <w:r>
        <w:rPr>
          <w:rFonts w:hint="eastAsia" w:ascii="Times New Roman" w:eastAsia="宋体" w:cs="Times New Roman"/>
          <w:color w:val="auto"/>
          <w:highlight w:val="none"/>
          <w:lang w:val="en-US" w:eastAsia="zh-CN"/>
        </w:rPr>
        <w:t>单对以太网系统工程</w:t>
      </w:r>
      <w:r>
        <w:rPr>
          <w:rFonts w:hint="default" w:ascii="Times New Roman" w:hAnsi="Times New Roman" w:eastAsia="宋体" w:cs="Times New Roman"/>
          <w:color w:val="auto"/>
          <w:highlight w:val="none"/>
          <w:lang w:val="en-US" w:eastAsia="zh-CN"/>
        </w:rPr>
        <w:t>检测包括综合布线系统工程测试和PoDL系统工程测试。</w:t>
      </w:r>
    </w:p>
    <w:p w14:paraId="02FD88BF">
      <w:pPr>
        <w:pStyle w:val="75"/>
        <w:spacing w:before="156" w:after="156" w:line="240" w:lineRule="auto"/>
        <w:rPr>
          <w:rFonts w:hint="default" w:ascii="Times New Roman" w:hAnsi="Times New Roman" w:eastAsia="宋体" w:cs="Times New Roman"/>
          <w:color w:val="auto"/>
          <w:highlight w:val="none"/>
          <w:lang w:val="en-US" w:eastAsia="zh-CN"/>
        </w:rPr>
      </w:pPr>
      <w:r>
        <w:rPr>
          <w:rFonts w:hint="eastAsia" w:ascii="Times New Roman" w:eastAsia="宋体" w:cs="Times New Roman"/>
          <w:color w:val="auto"/>
          <w:highlight w:val="none"/>
          <w:lang w:val="en-US" w:eastAsia="zh-CN"/>
        </w:rPr>
        <w:t>单对以太网系统工程</w:t>
      </w:r>
      <w:r>
        <w:rPr>
          <w:rFonts w:hint="default" w:ascii="Times New Roman" w:hAnsi="Times New Roman" w:eastAsia="宋体" w:cs="Times New Roman"/>
          <w:color w:val="auto"/>
          <w:highlight w:val="none"/>
          <w:lang w:val="en-US" w:eastAsia="zh-CN"/>
        </w:rPr>
        <w:t>链路检测应随工进行，信道检测应在接入PSE及PD前完成。</w:t>
      </w:r>
    </w:p>
    <w:p w14:paraId="7DA1D3C7">
      <w:pPr>
        <w:pStyle w:val="75"/>
        <w:spacing w:before="156" w:after="156"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 PoDL系统检测应在设备具备产品认证合格证书、设备自检合格、链路及信道检测合格后进行。</w:t>
      </w:r>
    </w:p>
    <w:p w14:paraId="0CCB10BE">
      <w:pPr>
        <w:pStyle w:val="75"/>
        <w:spacing w:before="156" w:after="156"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 </w:t>
      </w:r>
      <w:r>
        <w:rPr>
          <w:rFonts w:hint="eastAsia" w:ascii="Times New Roman" w:eastAsia="宋体" w:cs="Times New Roman"/>
          <w:color w:val="auto"/>
          <w:highlight w:val="none"/>
          <w:lang w:val="en-US" w:eastAsia="zh-CN"/>
        </w:rPr>
        <w:t>单对以太网系统工程</w:t>
      </w:r>
      <w:r>
        <w:rPr>
          <w:rFonts w:hint="default" w:ascii="Times New Roman" w:hAnsi="Times New Roman" w:eastAsia="宋体" w:cs="Times New Roman"/>
          <w:color w:val="auto"/>
          <w:highlight w:val="none"/>
          <w:lang w:val="en-US" w:eastAsia="zh-CN"/>
        </w:rPr>
        <w:t>检测应依据工程技术文件规定的检测项目、检测数量及检测方法编制系统检测方案，</w:t>
      </w:r>
      <w:r>
        <w:rPr>
          <w:rFonts w:hint="eastAsia" w:ascii="Times New Roman" w:eastAsia="宋体" w:cs="Times New Roman"/>
          <w:color w:val="auto"/>
          <w:highlight w:val="none"/>
          <w:lang w:val="en-US" w:eastAsia="zh-CN"/>
        </w:rPr>
        <w:t>系统</w:t>
      </w:r>
      <w:r>
        <w:rPr>
          <w:rFonts w:hint="default" w:ascii="Times New Roman" w:hAnsi="Times New Roman" w:eastAsia="宋体" w:cs="Times New Roman"/>
          <w:color w:val="auto"/>
          <w:highlight w:val="none"/>
          <w:lang w:val="en-US" w:eastAsia="zh-CN"/>
        </w:rPr>
        <w:t>检测方案应应符合下列规定</w:t>
      </w:r>
      <w:r>
        <w:rPr>
          <w:rFonts w:hint="eastAsia" w:ascii="Times New Roman" w:eastAsia="宋体" w:cs="Times New Roman"/>
          <w:color w:val="auto"/>
          <w:highlight w:val="none"/>
          <w:lang w:val="en-US" w:eastAsia="zh-CN"/>
        </w:rPr>
        <w:t>：</w:t>
      </w:r>
    </w:p>
    <w:p w14:paraId="68ACEC78">
      <w:pPr>
        <w:numPr>
          <w:ilvl w:val="1"/>
          <w:numId w:val="31"/>
        </w:numPr>
        <w:tabs>
          <w:tab w:val="clear" w:pos="840"/>
        </w:tabs>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应按系统检测方案所列检测项目进行检测。</w:t>
      </w:r>
    </w:p>
    <w:p w14:paraId="26961CAF">
      <w:pPr>
        <w:numPr>
          <w:ilvl w:val="1"/>
          <w:numId w:val="31"/>
        </w:numPr>
        <w:tabs>
          <w:tab w:val="clear" w:pos="840"/>
        </w:tabs>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应在完成检测</w:t>
      </w:r>
      <w:r>
        <w:rPr>
          <w:rFonts w:hint="eastAsia" w:cs="Times New Roman"/>
          <w:color w:val="auto"/>
          <w:highlight w:val="none"/>
          <w:lang w:val="en-US" w:eastAsia="zh-CN"/>
        </w:rPr>
        <w:t>后</w:t>
      </w:r>
      <w:r>
        <w:rPr>
          <w:rFonts w:hint="default" w:ascii="Times New Roman" w:hAnsi="Times New Roman" w:cs="Times New Roman"/>
          <w:color w:val="auto"/>
          <w:highlight w:val="none"/>
          <w:lang w:val="en-US" w:eastAsia="zh-CN"/>
        </w:rPr>
        <w:t>填写《布线链路测试记录》、《布线信道测试记录》和《PoDL系统测试记录》。</w:t>
      </w:r>
    </w:p>
    <w:p w14:paraId="7DB8E0A8">
      <w:pPr>
        <w:numPr>
          <w:ilvl w:val="1"/>
          <w:numId w:val="31"/>
        </w:numPr>
        <w:tabs>
          <w:tab w:val="clear" w:pos="840"/>
        </w:tabs>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测试记录宜采用电子表格或仪表自动生成的报告文件等记录方式。</w:t>
      </w:r>
    </w:p>
    <w:p w14:paraId="7A277CBF">
      <w:pPr>
        <w:numPr>
          <w:ilvl w:val="1"/>
          <w:numId w:val="31"/>
        </w:numPr>
        <w:tabs>
          <w:tab w:val="clear" w:pos="840"/>
        </w:tabs>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测试记录文件应作为竣工</w:t>
      </w:r>
      <w:r>
        <w:rPr>
          <w:rFonts w:hint="eastAsia" w:cs="Times New Roman"/>
          <w:color w:val="auto"/>
          <w:highlight w:val="none"/>
          <w:lang w:val="en-US" w:eastAsia="zh-CN"/>
        </w:rPr>
        <w:t>技术</w:t>
      </w:r>
      <w:r>
        <w:rPr>
          <w:rFonts w:hint="default" w:ascii="Times New Roman" w:hAnsi="Times New Roman" w:cs="Times New Roman"/>
          <w:color w:val="auto"/>
          <w:highlight w:val="none"/>
          <w:lang w:val="en-US" w:eastAsia="zh-CN"/>
        </w:rPr>
        <w:t>资料的一部分。</w:t>
      </w:r>
    </w:p>
    <w:p w14:paraId="3729BECB">
      <w:pPr>
        <w:rPr>
          <w:rFonts w:hint="default" w:ascii="Times New Roman" w:hAnsi="Times New Roman" w:cs="Times New Roman"/>
          <w:color w:val="auto"/>
          <w:highlight w:val="none"/>
          <w:lang w:val="en-US" w:eastAsia="zh-CN"/>
        </w:rPr>
      </w:pPr>
      <w:bookmarkStart w:id="322" w:name="_Toc8554"/>
      <w:bookmarkStart w:id="323" w:name="_Toc15634"/>
      <w:r>
        <w:rPr>
          <w:rFonts w:hint="default" w:ascii="Times New Roman" w:hAnsi="Times New Roman" w:cs="Times New Roman"/>
          <w:color w:val="auto"/>
          <w:highlight w:val="none"/>
          <w:lang w:val="en-US" w:eastAsia="zh-CN"/>
        </w:rPr>
        <w:br w:type="page"/>
      </w:r>
    </w:p>
    <w:p w14:paraId="459E37DA">
      <w:pPr>
        <w:pStyle w:val="76"/>
        <w:outlineLvl w:val="1"/>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验收</w:t>
      </w:r>
      <w:bookmarkEnd w:id="322"/>
      <w:bookmarkEnd w:id="323"/>
    </w:p>
    <w:p w14:paraId="79177741">
      <w:pPr>
        <w:pStyle w:val="75"/>
        <w:spacing w:before="156" w:after="156"/>
        <w:outlineLvl w:val="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竣工技术</w:t>
      </w:r>
      <w:r>
        <w:rPr>
          <w:rFonts w:hint="eastAsia" w:ascii="Times New Roman" w:eastAsia="宋体" w:cs="Times New Roman"/>
          <w:color w:val="auto"/>
          <w:highlight w:val="none"/>
          <w:lang w:val="en-US" w:eastAsia="zh-CN"/>
        </w:rPr>
        <w:t>资料</w:t>
      </w:r>
      <w:r>
        <w:rPr>
          <w:rFonts w:hint="default" w:ascii="Times New Roman" w:hAnsi="Times New Roman" w:eastAsia="宋体" w:cs="Times New Roman"/>
          <w:color w:val="auto"/>
          <w:highlight w:val="none"/>
          <w:lang w:val="en-US" w:eastAsia="zh-CN"/>
        </w:rPr>
        <w:t xml:space="preserve">应内容齐全、数据准确，并应包括下列内容： </w:t>
      </w:r>
    </w:p>
    <w:p w14:paraId="092286B5">
      <w:pPr>
        <w:numPr>
          <w:ilvl w:val="1"/>
          <w:numId w:val="32"/>
        </w:numPr>
        <w:tabs>
          <w:tab w:val="clear" w:pos="840"/>
        </w:tabs>
        <w:rPr>
          <w:rFonts w:hint="default"/>
          <w:color w:val="auto"/>
          <w:highlight w:val="none"/>
        </w:rPr>
      </w:pPr>
      <w:r>
        <w:rPr>
          <w:rFonts w:hint="default"/>
          <w:color w:val="auto"/>
          <w:highlight w:val="none"/>
        </w:rPr>
        <w:t>安装工程量。</w:t>
      </w:r>
    </w:p>
    <w:p w14:paraId="5D3577F1">
      <w:pPr>
        <w:numPr>
          <w:ilvl w:val="1"/>
          <w:numId w:val="32"/>
        </w:numPr>
        <w:tabs>
          <w:tab w:val="clear" w:pos="840"/>
        </w:tabs>
        <w:rPr>
          <w:rFonts w:hint="default"/>
          <w:color w:val="auto"/>
          <w:highlight w:val="none"/>
        </w:rPr>
      </w:pPr>
      <w:r>
        <w:rPr>
          <w:rFonts w:hint="default"/>
          <w:color w:val="auto"/>
          <w:highlight w:val="none"/>
        </w:rPr>
        <w:t>工程说明。</w:t>
      </w:r>
    </w:p>
    <w:p w14:paraId="395245B5">
      <w:pPr>
        <w:numPr>
          <w:ilvl w:val="1"/>
          <w:numId w:val="32"/>
        </w:numPr>
        <w:tabs>
          <w:tab w:val="clear" w:pos="840"/>
        </w:tabs>
        <w:rPr>
          <w:rFonts w:hint="default"/>
          <w:color w:val="auto"/>
          <w:highlight w:val="none"/>
        </w:rPr>
      </w:pPr>
      <w:r>
        <w:rPr>
          <w:rFonts w:hint="default"/>
          <w:color w:val="auto"/>
          <w:highlight w:val="none"/>
        </w:rPr>
        <w:t>设备、器材明细表。</w:t>
      </w:r>
    </w:p>
    <w:p w14:paraId="417C44A9">
      <w:pPr>
        <w:numPr>
          <w:ilvl w:val="1"/>
          <w:numId w:val="32"/>
        </w:numPr>
        <w:tabs>
          <w:tab w:val="clear" w:pos="840"/>
        </w:tabs>
        <w:rPr>
          <w:rFonts w:hint="default"/>
          <w:color w:val="auto"/>
          <w:highlight w:val="none"/>
        </w:rPr>
      </w:pPr>
      <w:r>
        <w:rPr>
          <w:rFonts w:hint="default"/>
          <w:color w:val="auto"/>
          <w:highlight w:val="none"/>
        </w:rPr>
        <w:t>竣工图纸。</w:t>
      </w:r>
    </w:p>
    <w:p w14:paraId="777A0A1C">
      <w:pPr>
        <w:numPr>
          <w:ilvl w:val="1"/>
          <w:numId w:val="32"/>
        </w:numPr>
        <w:tabs>
          <w:tab w:val="clear" w:pos="840"/>
        </w:tabs>
        <w:rPr>
          <w:rFonts w:hint="default"/>
          <w:color w:val="auto"/>
          <w:highlight w:val="none"/>
        </w:rPr>
      </w:pPr>
      <w:r>
        <w:rPr>
          <w:rFonts w:hint="default"/>
          <w:color w:val="auto"/>
          <w:highlight w:val="none"/>
        </w:rPr>
        <w:t>测试记录。</w:t>
      </w:r>
    </w:p>
    <w:p w14:paraId="6EA02D03">
      <w:pPr>
        <w:numPr>
          <w:ilvl w:val="1"/>
          <w:numId w:val="32"/>
        </w:numPr>
        <w:tabs>
          <w:tab w:val="clear" w:pos="840"/>
        </w:tabs>
        <w:rPr>
          <w:rFonts w:hint="default"/>
          <w:color w:val="auto"/>
          <w:highlight w:val="none"/>
        </w:rPr>
      </w:pPr>
      <w:r>
        <w:rPr>
          <w:rFonts w:hint="default"/>
          <w:color w:val="auto"/>
          <w:highlight w:val="none"/>
        </w:rPr>
        <w:t>工程变更、检查记录及施工过程中的洽谈记录。</w:t>
      </w:r>
    </w:p>
    <w:p w14:paraId="52665B49">
      <w:pPr>
        <w:numPr>
          <w:ilvl w:val="1"/>
          <w:numId w:val="32"/>
        </w:numPr>
        <w:tabs>
          <w:tab w:val="clear" w:pos="840"/>
        </w:tabs>
        <w:rPr>
          <w:rFonts w:hint="default"/>
          <w:color w:val="auto"/>
          <w:highlight w:val="none"/>
        </w:rPr>
      </w:pPr>
      <w:r>
        <w:rPr>
          <w:rFonts w:hint="default"/>
          <w:color w:val="auto"/>
          <w:highlight w:val="none"/>
        </w:rPr>
        <w:t>随工验收记录。</w:t>
      </w:r>
    </w:p>
    <w:p w14:paraId="1D594E2A">
      <w:pPr>
        <w:numPr>
          <w:ilvl w:val="1"/>
          <w:numId w:val="32"/>
        </w:numPr>
        <w:tabs>
          <w:tab w:val="clear" w:pos="840"/>
        </w:tabs>
        <w:rPr>
          <w:rFonts w:hint="default"/>
          <w:color w:val="auto"/>
          <w:highlight w:val="none"/>
        </w:rPr>
      </w:pPr>
      <w:r>
        <w:rPr>
          <w:rFonts w:hint="default"/>
          <w:color w:val="auto"/>
          <w:highlight w:val="none"/>
        </w:rPr>
        <w:t>隐蔽工程签证。</w:t>
      </w:r>
    </w:p>
    <w:p w14:paraId="5AD20AC8">
      <w:pPr>
        <w:numPr>
          <w:ilvl w:val="1"/>
          <w:numId w:val="32"/>
        </w:numPr>
        <w:tabs>
          <w:tab w:val="clear" w:pos="840"/>
        </w:tabs>
        <w:rPr>
          <w:rFonts w:hint="default" w:ascii="Times New Roman" w:hAnsi="Times New Roman" w:cs="Times New Roman"/>
          <w:color w:val="auto"/>
          <w:highlight w:val="none"/>
          <w:lang w:val="en-US" w:eastAsia="zh-CN"/>
        </w:rPr>
      </w:pPr>
      <w:r>
        <w:rPr>
          <w:rFonts w:hint="default"/>
          <w:color w:val="auto"/>
          <w:highlight w:val="none"/>
        </w:rPr>
        <w:t>工程决算。</w:t>
      </w:r>
    </w:p>
    <w:p w14:paraId="2F1EEB35">
      <w:pPr>
        <w:pStyle w:val="75"/>
        <w:spacing w:before="156" w:after="156"/>
        <w:outlineLvl w:val="2"/>
        <w:rPr>
          <w:rFonts w:hint="eastAsia" w:ascii="Times New Roman" w:hAnsi="Times New Roman" w:eastAsia="宋体" w:cs="Times New Roman"/>
          <w:color w:val="auto"/>
          <w:highlight w:val="none"/>
          <w:lang w:val="en-US" w:eastAsia="zh-CN"/>
        </w:rPr>
      </w:pPr>
      <w:r>
        <w:rPr>
          <w:rFonts w:hint="eastAsia" w:ascii="Times New Roman" w:eastAsia="宋体" w:cs="Times New Roman"/>
          <w:color w:val="auto"/>
          <w:highlight w:val="none"/>
          <w:lang w:val="en-US" w:eastAsia="zh-CN"/>
        </w:rPr>
        <w:t>单对以太网系统工程</w:t>
      </w:r>
      <w:r>
        <w:rPr>
          <w:rFonts w:hint="eastAsia" w:ascii="Times New Roman" w:hAnsi="Times New Roman" w:eastAsia="宋体" w:cs="Times New Roman"/>
          <w:color w:val="auto"/>
          <w:highlight w:val="none"/>
          <w:lang w:val="en-US" w:eastAsia="zh-CN"/>
        </w:rPr>
        <w:t>检验</w:t>
      </w:r>
      <w:r>
        <w:rPr>
          <w:rFonts w:hint="eastAsia" w:ascii="Times New Roman" w:eastAsia="宋体" w:cs="Times New Roman"/>
          <w:color w:val="auto"/>
          <w:highlight w:val="none"/>
          <w:lang w:val="en-US" w:eastAsia="zh-CN"/>
        </w:rPr>
        <w:t>结果</w:t>
      </w:r>
      <w:r>
        <w:rPr>
          <w:rFonts w:hint="eastAsia" w:ascii="Times New Roman" w:hAnsi="Times New Roman" w:eastAsia="宋体" w:cs="Times New Roman"/>
          <w:color w:val="auto"/>
          <w:highlight w:val="none"/>
          <w:lang w:val="en-US" w:eastAsia="zh-CN"/>
        </w:rPr>
        <w:t>应作为工程竣工资料的组成部分</w:t>
      </w:r>
      <w:r>
        <w:rPr>
          <w:rFonts w:hint="eastAsia" w:ascii="Times New Roman" w:eastAsia="宋体" w:cs="Times New Roman"/>
          <w:color w:val="auto"/>
          <w:highlight w:val="none"/>
          <w:lang w:val="en-US" w:eastAsia="zh-CN"/>
        </w:rPr>
        <w:t>。</w:t>
      </w:r>
    </w:p>
    <w:p w14:paraId="0F99F80A">
      <w:pPr>
        <w:pStyle w:val="75"/>
        <w:spacing w:before="156" w:after="156"/>
        <w:outlineLvl w:val="2"/>
        <w:rPr>
          <w:rFonts w:hint="eastAsia" w:ascii="Times New Roman" w:hAnsi="Times New Roman" w:eastAsia="宋体" w:cs="Times New Roman"/>
          <w:color w:val="auto"/>
          <w:highlight w:val="none"/>
          <w:lang w:val="en-US" w:eastAsia="zh-CN"/>
        </w:rPr>
      </w:pPr>
      <w:r>
        <w:rPr>
          <w:rFonts w:hint="eastAsia" w:ascii="Times New Roman" w:eastAsia="宋体"/>
          <w:color w:val="auto"/>
          <w:highlight w:val="none"/>
        </w:rPr>
        <w:t>单对以太网系统工程的质量评判应符合下列规定：</w:t>
      </w:r>
    </w:p>
    <w:p w14:paraId="04F5A9A6">
      <w:pPr>
        <w:numPr>
          <w:ilvl w:val="1"/>
          <w:numId w:val="33"/>
        </w:numPr>
        <w:tabs>
          <w:tab w:val="clear" w:pos="840"/>
        </w:tabs>
        <w:rPr>
          <w:rFonts w:hint="default" w:ascii="Times New Roman" w:hAnsi="Times New Roman" w:cs="Times New Roman"/>
          <w:color w:val="auto"/>
          <w:highlight w:val="none"/>
          <w:lang w:val="en-US" w:eastAsia="zh-CN"/>
        </w:rPr>
      </w:pPr>
      <w:r>
        <w:rPr>
          <w:rFonts w:hint="eastAsia"/>
          <w:color w:val="auto"/>
          <w:highlight w:val="none"/>
        </w:rPr>
        <w:t>工程安装质量应按10%的比例抽查，当符合设计要求时，被检项检查结果应判为合格。被检项的合格率为100%时，工程安装质量应判为合格。</w:t>
      </w:r>
      <w:r>
        <w:rPr>
          <w:rFonts w:hint="default" w:ascii="Times New Roman" w:hAnsi="Times New Roman" w:cs="Times New Roman"/>
          <w:color w:val="auto"/>
          <w:highlight w:val="none"/>
          <w:lang w:val="en-US" w:eastAsia="zh-CN"/>
        </w:rPr>
        <w:t>。</w:t>
      </w:r>
    </w:p>
    <w:p w14:paraId="40772F41">
      <w:pPr>
        <w:numPr>
          <w:ilvl w:val="1"/>
          <w:numId w:val="33"/>
        </w:numPr>
        <w:tabs>
          <w:tab w:val="clear" w:pos="84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竣工验收需要抽验系统性能时，抽样比例不应低于10%。</w:t>
      </w:r>
      <w:r>
        <w:rPr>
          <w:rFonts w:hint="default"/>
          <w:color w:val="auto"/>
          <w:highlight w:val="none"/>
        </w:rPr>
        <w:t>当全部检测或抽样检测的结果符合</w:t>
      </w:r>
      <w:r>
        <w:rPr>
          <w:rFonts w:hint="eastAsia"/>
          <w:color w:val="auto"/>
          <w:highlight w:val="none"/>
          <w:lang w:val="en-US" w:eastAsia="zh-CN"/>
        </w:rPr>
        <w:t>设计要求</w:t>
      </w:r>
      <w:r>
        <w:rPr>
          <w:rFonts w:hint="default"/>
          <w:color w:val="auto"/>
          <w:highlight w:val="none"/>
        </w:rPr>
        <w:t>时，</w:t>
      </w:r>
      <w:r>
        <w:rPr>
          <w:rFonts w:hint="eastAsia"/>
          <w:color w:val="auto"/>
          <w:highlight w:val="none"/>
          <w:lang w:val="en-US" w:eastAsia="zh-CN"/>
        </w:rPr>
        <w:t>系统性能</w:t>
      </w:r>
      <w:r>
        <w:rPr>
          <w:rFonts w:hint="default"/>
          <w:color w:val="auto"/>
          <w:highlight w:val="none"/>
        </w:rPr>
        <w:t>应判为合格。当有</w:t>
      </w:r>
      <w:r>
        <w:rPr>
          <w:rFonts w:hint="eastAsia"/>
          <w:color w:val="auto"/>
          <w:highlight w:val="none"/>
          <w:lang w:val="en-US" w:eastAsia="zh-CN"/>
        </w:rPr>
        <w:t>系统性能</w:t>
      </w:r>
      <w:r>
        <w:rPr>
          <w:rFonts w:hint="default"/>
          <w:color w:val="auto"/>
          <w:highlight w:val="none"/>
        </w:rPr>
        <w:t>检测结果不符合</w:t>
      </w:r>
      <w:r>
        <w:rPr>
          <w:rFonts w:hint="eastAsia"/>
          <w:color w:val="auto"/>
          <w:highlight w:val="none"/>
          <w:lang w:val="en-US" w:eastAsia="zh-CN"/>
        </w:rPr>
        <w:t>设计要求</w:t>
      </w:r>
      <w:r>
        <w:rPr>
          <w:rFonts w:hint="default"/>
          <w:color w:val="auto"/>
          <w:highlight w:val="none"/>
        </w:rPr>
        <w:t>时，应进行修复并重新检测，当修复后符合</w:t>
      </w:r>
      <w:r>
        <w:rPr>
          <w:rFonts w:hint="eastAsia"/>
          <w:color w:val="auto"/>
          <w:highlight w:val="none"/>
          <w:lang w:val="en-US" w:eastAsia="zh-CN"/>
        </w:rPr>
        <w:t>设计要求</w:t>
      </w:r>
      <w:r>
        <w:rPr>
          <w:rFonts w:hint="default"/>
          <w:color w:val="auto"/>
          <w:highlight w:val="none"/>
        </w:rPr>
        <w:t>时，可判为合格。当采用抽验方式并有</w:t>
      </w:r>
      <w:r>
        <w:rPr>
          <w:rFonts w:hint="eastAsia"/>
          <w:color w:val="auto"/>
          <w:highlight w:val="none"/>
          <w:lang w:val="en-US" w:eastAsia="zh-CN"/>
        </w:rPr>
        <w:t>系统性能</w:t>
      </w:r>
      <w:r>
        <w:rPr>
          <w:rFonts w:hint="default"/>
          <w:color w:val="auto"/>
          <w:highlight w:val="none"/>
        </w:rPr>
        <w:t>检测结果不符合</w:t>
      </w:r>
      <w:r>
        <w:rPr>
          <w:rFonts w:hint="eastAsia"/>
          <w:color w:val="auto"/>
          <w:highlight w:val="none"/>
          <w:lang w:val="en-US" w:eastAsia="zh-CN"/>
        </w:rPr>
        <w:t>设计要求</w:t>
      </w:r>
      <w:r>
        <w:rPr>
          <w:rFonts w:hint="default"/>
          <w:color w:val="auto"/>
          <w:highlight w:val="none"/>
        </w:rPr>
        <w:t>时，应</w:t>
      </w:r>
      <w:r>
        <w:rPr>
          <w:rFonts w:hint="eastAsia"/>
          <w:color w:val="auto"/>
          <w:highlight w:val="none"/>
          <w:lang w:val="en-US" w:eastAsia="zh-CN"/>
        </w:rPr>
        <w:t>进行</w:t>
      </w:r>
      <w:r>
        <w:rPr>
          <w:rFonts w:hint="default"/>
          <w:color w:val="auto"/>
          <w:highlight w:val="none"/>
        </w:rPr>
        <w:t>全</w:t>
      </w:r>
      <w:r>
        <w:rPr>
          <w:rFonts w:hint="eastAsia"/>
          <w:color w:val="auto"/>
          <w:highlight w:val="none"/>
          <w:lang w:val="en-US" w:eastAsia="zh-CN"/>
        </w:rPr>
        <w:t>量</w:t>
      </w:r>
      <w:r>
        <w:rPr>
          <w:rFonts w:hint="default"/>
          <w:color w:val="auto"/>
          <w:highlight w:val="none"/>
        </w:rPr>
        <w:t>检测，当</w:t>
      </w:r>
      <w:r>
        <w:rPr>
          <w:rFonts w:hint="eastAsia"/>
          <w:color w:val="auto"/>
          <w:highlight w:val="none"/>
          <w:lang w:val="en-US" w:eastAsia="zh-CN"/>
        </w:rPr>
        <w:t>全部系统性能检测</w:t>
      </w:r>
      <w:r>
        <w:rPr>
          <w:rFonts w:hint="default"/>
          <w:color w:val="auto"/>
          <w:highlight w:val="none"/>
        </w:rPr>
        <w:t>结果符合</w:t>
      </w:r>
      <w:r>
        <w:rPr>
          <w:rFonts w:hint="eastAsia"/>
          <w:color w:val="auto"/>
          <w:highlight w:val="none"/>
          <w:lang w:val="en-US" w:eastAsia="zh-CN"/>
        </w:rPr>
        <w:t>设计要求</w:t>
      </w:r>
      <w:r>
        <w:rPr>
          <w:rFonts w:hint="default"/>
          <w:color w:val="auto"/>
          <w:highlight w:val="none"/>
        </w:rPr>
        <w:t>时，可判为合格。</w:t>
      </w:r>
    </w:p>
    <w:p w14:paraId="36BDE895">
      <w:pPr>
        <w:numPr>
          <w:ilvl w:val="1"/>
          <w:numId w:val="33"/>
        </w:numPr>
        <w:tabs>
          <w:tab w:val="clear" w:pos="840"/>
        </w:tabs>
        <w:rPr>
          <w:rFonts w:hint="default" w:ascii="Times New Roman" w:hAnsi="Times New Roman" w:cs="Times New Roman"/>
          <w:color w:val="auto"/>
          <w:highlight w:val="none"/>
          <w:lang w:val="en-US" w:eastAsia="zh-CN"/>
        </w:rPr>
      </w:pPr>
      <w:r>
        <w:rPr>
          <w:rFonts w:hint="default"/>
          <w:color w:val="auto"/>
          <w:highlight w:val="none"/>
        </w:rPr>
        <w:t>当单对以太网系统工程检验项目全部合格时，工程质量应判定为合格</w:t>
      </w:r>
    </w:p>
    <w:bookmarkEnd w:id="311"/>
    <w:bookmarkEnd w:id="312"/>
    <w:bookmarkEnd w:id="313"/>
    <w:bookmarkEnd w:id="314"/>
    <w:bookmarkEnd w:id="315"/>
    <w:bookmarkEnd w:id="316"/>
    <w:bookmarkEnd w:id="317"/>
    <w:p w14:paraId="632F2E1D">
      <w:pPr>
        <w:rPr>
          <w:rFonts w:hint="default" w:ascii="Times New Roman" w:hAnsi="Times New Roman" w:cs="Times New Roman"/>
          <w:color w:val="auto"/>
        </w:rPr>
      </w:pPr>
      <w:bookmarkStart w:id="324" w:name="_Toc12377"/>
      <w:bookmarkStart w:id="325" w:name="_Toc20897"/>
      <w:bookmarkStart w:id="326" w:name="_Toc2035"/>
      <w:bookmarkStart w:id="327" w:name="_Toc8028"/>
      <w:bookmarkStart w:id="328" w:name="_Toc31891"/>
      <w:bookmarkStart w:id="329" w:name="_Toc1450"/>
      <w:bookmarkStart w:id="330" w:name="_Toc12884"/>
      <w:bookmarkStart w:id="331" w:name="_Toc16710"/>
      <w:bookmarkStart w:id="332" w:name="_Toc10016"/>
      <w:bookmarkStart w:id="333" w:name="_Toc13876"/>
      <w:bookmarkStart w:id="334" w:name="_Toc7543"/>
      <w:bookmarkStart w:id="335" w:name="_Toc30261"/>
      <w:bookmarkStart w:id="336" w:name="_Toc10724"/>
      <w:bookmarkStart w:id="337" w:name="_Toc29541"/>
      <w:r>
        <w:rPr>
          <w:rFonts w:hint="default" w:ascii="Times New Roman" w:hAnsi="Times New Roman" w:cs="Times New Roman"/>
          <w:color w:val="auto"/>
          <w:lang w:val="en-US" w:eastAsia="zh-CN"/>
        </w:rPr>
        <w:br w:type="page"/>
      </w:r>
    </w:p>
    <w:p w14:paraId="71361468">
      <w:pPr>
        <w:pStyle w:val="91"/>
        <w:shd w:val="clear"/>
        <w:outlineLvl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运维要求</w:t>
      </w:r>
      <w:bookmarkEnd w:id="324"/>
      <w:bookmarkEnd w:id="325"/>
    </w:p>
    <w:p w14:paraId="523A7E4D">
      <w:pPr>
        <w:pStyle w:val="76"/>
        <w:shd w:val="clear"/>
        <w:spacing w:before="156" w:after="156"/>
        <w:ind w:leftChars="0"/>
        <w:rPr>
          <w:rFonts w:hint="eastAsia" w:ascii="宋体" w:hAnsi="宋体" w:eastAsia="宋体" w:cs="宋体"/>
          <w:color w:val="auto"/>
          <w:lang w:val="en-US" w:eastAsia="zh-CN"/>
        </w:rPr>
      </w:pPr>
      <w:r>
        <w:rPr>
          <w:rFonts w:hint="eastAsia" w:ascii="宋体" w:hAnsi="宋体" w:eastAsia="宋体" w:cs="宋体"/>
          <w:color w:val="auto"/>
          <w:lang w:val="en-US" w:eastAsia="zh-CN"/>
        </w:rPr>
        <w:t>单对以太网系统运维应明确分工和职责。</w:t>
      </w:r>
    </w:p>
    <w:p w14:paraId="0A9D5558">
      <w:pPr>
        <w:pStyle w:val="76"/>
        <w:shd w:val="clear"/>
        <w:spacing w:before="156" w:after="156"/>
        <w:ind w:leftChars="0"/>
        <w:rPr>
          <w:rFonts w:hint="eastAsia" w:ascii="宋体" w:hAnsi="宋体" w:eastAsia="宋体" w:cs="宋体"/>
          <w:color w:val="auto"/>
          <w:lang w:val="en-US" w:eastAsia="zh-CN"/>
        </w:rPr>
      </w:pPr>
      <w:r>
        <w:rPr>
          <w:rFonts w:hint="eastAsia" w:ascii="宋体" w:hAnsi="宋体" w:eastAsia="宋体" w:cs="宋体"/>
          <w:color w:val="auto"/>
          <w:lang w:val="en-US" w:eastAsia="zh-CN"/>
        </w:rPr>
        <w:t>单对以太网系统运维宜采用电子表格、管理系统等工具。</w:t>
      </w:r>
    </w:p>
    <w:p w14:paraId="32A70171">
      <w:pPr>
        <w:pStyle w:val="76"/>
        <w:spacing w:before="156" w:after="156"/>
        <w:rPr>
          <w:rFonts w:hint="default" w:ascii="Times New Roman" w:hAnsi="Times New Roman" w:cs="Times New Roman"/>
          <w:color w:val="auto"/>
          <w:highlight w:val="none"/>
          <w:lang w:val="en-US" w:eastAsia="zh-CN"/>
        </w:rPr>
      </w:pPr>
      <w:r>
        <w:rPr>
          <w:rFonts w:hint="eastAsia" w:ascii="宋体" w:hAnsi="宋体" w:eastAsia="宋体" w:cs="宋体"/>
          <w:color w:val="auto"/>
          <w:lang w:val="en-US" w:eastAsia="zh-CN"/>
        </w:rPr>
        <w:t>单对以太网系统应设置专业运维人员。</w:t>
      </w:r>
    </w:p>
    <w:p w14:paraId="7726844D">
      <w:pPr>
        <w:pStyle w:val="76"/>
        <w:shd w:val="clear"/>
        <w:spacing w:before="156" w:after="156"/>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单对以太网系统运维服务应符合下列规定</w:t>
      </w:r>
      <w:r>
        <w:rPr>
          <w:rFonts w:hint="eastAsia" w:ascii="宋体" w:hAnsi="宋体" w:eastAsia="宋体" w:cs="宋体"/>
          <w:color w:val="auto"/>
          <w:lang w:val="en-US" w:eastAsia="zh-CN"/>
        </w:rPr>
        <w:t>：</w:t>
      </w:r>
    </w:p>
    <w:p w14:paraId="7056DFAE">
      <w:pPr>
        <w:numPr>
          <w:ilvl w:val="1"/>
          <w:numId w:val="0"/>
        </w:numPr>
        <w:ind w:left="0" w:firstLine="420" w:firstLineChars="20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2"/>
          <w:sz w:val="21"/>
          <w:szCs w:val="24"/>
          <w:lang w:val="en-US" w:eastAsia="zh-CN" w:bidi="ar-SA"/>
        </w:rPr>
        <w:t>a)</w:t>
      </w:r>
      <w:r>
        <w:rPr>
          <w:rFonts w:hint="default" w:ascii="Times New Roman" w:hAnsi="Times New Roman" w:cs="Times New Roman"/>
          <w:color w:val="auto"/>
          <w:highlight w:val="none"/>
          <w:lang w:val="en-US" w:eastAsia="zh-CN"/>
        </w:rPr>
        <w:t>应具备发现问题和解决问题、风险控制的能力。</w:t>
      </w:r>
    </w:p>
    <w:p w14:paraId="40F54867">
      <w:pPr>
        <w:numPr>
          <w:ilvl w:val="1"/>
          <w:numId w:val="0"/>
        </w:numPr>
        <w:ind w:left="0" w:firstLine="420" w:firstLineChars="2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b)应及时修复或更换故障组件。</w:t>
      </w:r>
    </w:p>
    <w:p w14:paraId="0F287294">
      <w:pPr>
        <w:numPr>
          <w:ilvl w:val="1"/>
          <w:numId w:val="0"/>
        </w:numPr>
        <w:ind w:left="0" w:firstLine="420" w:firstLineChars="20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2"/>
          <w:sz w:val="21"/>
          <w:szCs w:val="24"/>
          <w:lang w:val="en-US" w:eastAsia="zh-CN" w:bidi="ar-SA"/>
        </w:rPr>
        <w:t>c)宜按诊断、定位、修复和检测四个步骤维修故障。</w:t>
      </w:r>
    </w:p>
    <w:p w14:paraId="48E44E96">
      <w:pPr>
        <w:numPr>
          <w:ilvl w:val="1"/>
          <w:numId w:val="0"/>
        </w:numPr>
        <w:ind w:left="0" w:firstLine="420" w:firstLineChars="20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2"/>
          <w:sz w:val="21"/>
          <w:szCs w:val="24"/>
          <w:lang w:val="en-US" w:eastAsia="zh-CN" w:bidi="ar-SA"/>
        </w:rPr>
        <w:t>d)</w:t>
      </w:r>
      <w:r>
        <w:rPr>
          <w:rFonts w:hint="eastAsia" w:cs="Times New Roman"/>
          <w:color w:val="auto"/>
          <w:highlight w:val="none"/>
          <w:lang w:val="en-US" w:eastAsia="zh-CN"/>
        </w:rPr>
        <w:t>宜</w:t>
      </w:r>
      <w:r>
        <w:rPr>
          <w:rFonts w:hint="default" w:ascii="Times New Roman" w:hAnsi="Times New Roman" w:cs="Times New Roman"/>
          <w:color w:val="auto"/>
          <w:highlight w:val="none"/>
          <w:lang w:val="en-US" w:eastAsia="zh-CN"/>
        </w:rPr>
        <w:t>定期检查标签、配线表、软件功能、桥架情况等相关信息，收集故障信息和事件处理的方法，建立相关数据库。</w:t>
      </w:r>
    </w:p>
    <w:p w14:paraId="38D9FF0D">
      <w:pPr>
        <w:pStyle w:val="76"/>
        <w:shd w:val="clear"/>
        <w:spacing w:before="156" w:after="156"/>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单对以太网系统应建立运维文档管理制度，运维文档应完整、准确、规范。</w:t>
      </w:r>
    </w:p>
    <w:bookmarkEnd w:id="263"/>
    <w:bookmarkEnd w:id="264"/>
    <w:bookmarkEnd w:id="265"/>
    <w:bookmarkEnd w:id="266"/>
    <w:bookmarkEnd w:id="267"/>
    <w:bookmarkEnd w:id="268"/>
    <w:bookmarkEnd w:id="269"/>
    <w:bookmarkEnd w:id="270"/>
    <w:bookmarkEnd w:id="271"/>
    <w:bookmarkEnd w:id="318"/>
    <w:bookmarkEnd w:id="319"/>
    <w:bookmarkEnd w:id="326"/>
    <w:bookmarkEnd w:id="327"/>
    <w:bookmarkEnd w:id="328"/>
    <w:bookmarkEnd w:id="329"/>
    <w:bookmarkEnd w:id="330"/>
    <w:bookmarkEnd w:id="331"/>
    <w:bookmarkEnd w:id="332"/>
    <w:bookmarkEnd w:id="333"/>
    <w:bookmarkEnd w:id="334"/>
    <w:bookmarkEnd w:id="335"/>
    <w:bookmarkEnd w:id="336"/>
    <w:bookmarkEnd w:id="337"/>
    <w:p w14:paraId="34FB2557">
      <w:pPr>
        <w:pStyle w:val="75"/>
        <w:numPr>
          <w:ilvl w:val="2"/>
          <w:numId w:val="0"/>
        </w:numPr>
        <w:spacing w:before="156" w:after="156"/>
        <w:rPr>
          <w:rFonts w:hint="eastAsia"/>
          <w:color w:val="auto"/>
          <w:highlight w:val="none"/>
        </w:rPr>
      </w:pPr>
      <w:bookmarkStart w:id="338" w:name="_Toc4907"/>
      <w:bookmarkStart w:id="339" w:name="_Toc6429"/>
      <w:bookmarkStart w:id="340" w:name="_Toc13854"/>
      <w:bookmarkStart w:id="341" w:name="_Toc17325"/>
      <w:bookmarkStart w:id="342" w:name="_Toc16681"/>
      <w:bookmarkStart w:id="343" w:name="_Toc32028"/>
      <w:bookmarkStart w:id="344" w:name="_Toc19876"/>
      <w:bookmarkStart w:id="345" w:name="_Toc24717"/>
      <w:bookmarkStart w:id="346" w:name="_Toc3138"/>
      <w:bookmarkStart w:id="347" w:name="_Toc3950"/>
      <w:bookmarkStart w:id="348" w:name="_Toc7341"/>
      <w:bookmarkStart w:id="349" w:name="_Toc19327"/>
      <w:bookmarkStart w:id="350" w:name="_Toc3021"/>
      <w:bookmarkStart w:id="351" w:name="_Toc9000"/>
      <w:r>
        <w:rPr>
          <w:rFonts w:hint="eastAsia"/>
          <w:color w:val="auto"/>
          <w:highlight w:val="none"/>
        </w:rPr>
        <w:br w:type="page"/>
      </w:r>
    </w:p>
    <w:bookmarkEnd w:id="338"/>
    <w:bookmarkEnd w:id="339"/>
    <w:bookmarkEnd w:id="340"/>
    <w:bookmarkEnd w:id="341"/>
    <w:bookmarkEnd w:id="342"/>
    <w:bookmarkEnd w:id="343"/>
    <w:bookmarkEnd w:id="344"/>
    <w:p w14:paraId="61D23EF2">
      <w:pPr>
        <w:pStyle w:val="127"/>
        <w:rPr>
          <w:rFonts w:hint="eastAsia"/>
          <w:color w:val="auto"/>
        </w:rPr>
      </w:pPr>
      <w:bookmarkStart w:id="352" w:name="_Toc31468"/>
      <w:bookmarkEnd w:id="352"/>
      <w:bookmarkStart w:id="353" w:name="_Toc535411704"/>
      <w:bookmarkStart w:id="354" w:name="_Toc1653804"/>
      <w:bookmarkStart w:id="355" w:name="_Toc536091681"/>
      <w:bookmarkStart w:id="356" w:name="_Toc4162288"/>
      <w:bookmarkStart w:id="357" w:name="_Toc535919380"/>
      <w:bookmarkStart w:id="358" w:name="_Toc1649382"/>
      <w:bookmarkStart w:id="359" w:name="_Toc536177905"/>
      <w:bookmarkStart w:id="360" w:name="_Toc536184692"/>
      <w:bookmarkStart w:id="361" w:name="_Toc23509532"/>
    </w:p>
    <w:p w14:paraId="1A7DE92A">
      <w:pPr>
        <w:pStyle w:val="145"/>
        <w:rPr>
          <w:rFonts w:hint="eastAsia"/>
          <w:color w:val="auto"/>
        </w:rPr>
      </w:pPr>
      <w:r>
        <w:rPr>
          <w:rFonts w:hint="default"/>
          <w:color w:val="auto"/>
        </w:rPr>
        <w:t>（规范性）</w:t>
      </w:r>
      <w:bookmarkEnd w:id="353"/>
      <w:bookmarkEnd w:id="354"/>
      <w:bookmarkEnd w:id="355"/>
      <w:bookmarkEnd w:id="356"/>
      <w:bookmarkEnd w:id="357"/>
      <w:bookmarkEnd w:id="358"/>
      <w:bookmarkEnd w:id="359"/>
      <w:bookmarkEnd w:id="360"/>
      <w:bookmarkEnd w:id="361"/>
      <w:bookmarkStart w:id="362" w:name="_Toc388"/>
    </w:p>
    <w:bookmarkEnd w:id="345"/>
    <w:bookmarkEnd w:id="346"/>
    <w:bookmarkEnd w:id="347"/>
    <w:bookmarkEnd w:id="362"/>
    <w:p w14:paraId="17F398D4">
      <w:pPr>
        <w:pStyle w:val="145"/>
        <w:rPr>
          <w:rFonts w:hint="eastAsia"/>
          <w:color w:val="auto"/>
          <w:lang w:val="en-US" w:eastAsia="zh-CN"/>
        </w:rPr>
      </w:pPr>
      <w:r>
        <w:rPr>
          <w:rFonts w:hint="default"/>
          <w:color w:val="auto"/>
          <w:lang w:val="en-US" w:eastAsia="zh-CN"/>
        </w:rPr>
        <w:t>单对以太网系统信道要求</w:t>
      </w:r>
    </w:p>
    <w:p w14:paraId="73DCD2E7">
      <w:pPr>
        <w:pStyle w:val="106"/>
        <w:rPr>
          <w:rFonts w:hint="eastAsia"/>
          <w:color w:val="auto"/>
          <w:lang w:val="en-US" w:eastAsia="zh-CN"/>
        </w:rPr>
      </w:pPr>
      <w:bookmarkStart w:id="363" w:name="_Toc29161"/>
      <w:bookmarkStart w:id="364" w:name="_Toc6783"/>
      <w:r>
        <w:rPr>
          <w:rFonts w:hint="eastAsia"/>
          <w:color w:val="auto"/>
          <w:lang w:val="en-US" w:eastAsia="zh-CN"/>
        </w:rPr>
        <w:t>信道的环境</w:t>
      </w:r>
      <w:r>
        <w:rPr>
          <w:rFonts w:hint="eastAsia" w:hAnsi="Times New Roman" w:cs="Times New Roman"/>
          <w:color w:val="auto"/>
          <w:highlight w:val="none"/>
          <w:lang w:val="en-US" w:eastAsia="zh-CN"/>
        </w:rPr>
        <w:t>等级</w:t>
      </w:r>
      <w:bookmarkEnd w:id="363"/>
      <w:bookmarkEnd w:id="364"/>
    </w:p>
    <w:p w14:paraId="5B22BB1F">
      <w:pPr>
        <w:pStyle w:val="105"/>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单对以太网信道的环境分级应符合《信息技术用户建筑群通用布缆 第1部分：通用要求》GB/T 18233.1的相关要求，办公场景的分级不宜低于M</w:t>
      </w:r>
      <w:r>
        <w:rPr>
          <w:rFonts w:hint="default" w:ascii="Times New Roman" w:hAnsi="Times New Roman" w:eastAsia="宋体" w:cs="Times New Roman"/>
          <w:color w:val="auto"/>
          <w:highlight w:val="none"/>
          <w:vertAlign w:val="subscript"/>
          <w:lang w:val="en-US" w:eastAsia="zh-CN"/>
        </w:rPr>
        <w:t>1</w:t>
      </w:r>
      <w:r>
        <w:rPr>
          <w:rFonts w:hint="default" w:ascii="Times New Roman" w:hAnsi="Times New Roman" w:eastAsia="宋体" w:cs="Times New Roman"/>
          <w:color w:val="auto"/>
          <w:highlight w:val="none"/>
          <w:lang w:val="en-US" w:eastAsia="zh-CN"/>
        </w:rPr>
        <w:t>I</w:t>
      </w:r>
      <w:r>
        <w:rPr>
          <w:rFonts w:hint="default" w:ascii="Times New Roman" w:hAnsi="Times New Roman" w:eastAsia="宋体" w:cs="Times New Roman"/>
          <w:color w:val="auto"/>
          <w:highlight w:val="none"/>
          <w:vertAlign w:val="subscript"/>
          <w:lang w:val="en-US" w:eastAsia="zh-CN"/>
        </w:rPr>
        <w:t>1</w:t>
      </w:r>
      <w:r>
        <w:rPr>
          <w:rFonts w:hint="default" w:ascii="Times New Roman" w:hAnsi="Times New Roman" w:eastAsia="宋体" w:cs="Times New Roman"/>
          <w:color w:val="auto"/>
          <w:highlight w:val="none"/>
          <w:lang w:val="en-US" w:eastAsia="zh-CN"/>
        </w:rPr>
        <w:t>C</w:t>
      </w:r>
      <w:r>
        <w:rPr>
          <w:rFonts w:hint="default" w:ascii="Times New Roman" w:hAnsi="Times New Roman" w:eastAsia="宋体" w:cs="Times New Roman"/>
          <w:color w:val="auto"/>
          <w:highlight w:val="none"/>
          <w:vertAlign w:val="subscript"/>
          <w:lang w:val="en-US" w:eastAsia="zh-CN"/>
        </w:rPr>
        <w:t>1</w:t>
      </w:r>
      <w:r>
        <w:rPr>
          <w:rFonts w:hint="default" w:ascii="Times New Roman" w:hAnsi="Times New Roman" w:eastAsia="宋体" w:cs="Times New Roman"/>
          <w:color w:val="auto"/>
          <w:highlight w:val="none"/>
          <w:lang w:val="en-US" w:eastAsia="zh-CN"/>
        </w:rPr>
        <w:t>E</w:t>
      </w:r>
      <w:r>
        <w:rPr>
          <w:rFonts w:hint="default" w:ascii="Times New Roman" w:hAnsi="Times New Roman" w:eastAsia="宋体" w:cs="Times New Roman"/>
          <w:color w:val="auto"/>
          <w:highlight w:val="none"/>
          <w:vertAlign w:val="subscript"/>
          <w:lang w:val="en-US" w:eastAsia="zh-CN"/>
        </w:rPr>
        <w:t>1</w:t>
      </w:r>
      <w:r>
        <w:rPr>
          <w:rFonts w:hint="default" w:ascii="Times New Roman" w:hAnsi="Times New Roman" w:eastAsia="宋体" w:cs="Times New Roman"/>
          <w:color w:val="auto"/>
          <w:highlight w:val="none"/>
          <w:lang w:val="en-US" w:eastAsia="zh-CN"/>
        </w:rPr>
        <w:t>。</w:t>
      </w:r>
    </w:p>
    <w:p w14:paraId="151BA443">
      <w:pPr>
        <w:pStyle w:val="105"/>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单对以太网电磁环境等级可按照表A.1进行分级。</w:t>
      </w:r>
    </w:p>
    <w:p w14:paraId="0C8A08DE">
      <w:pPr>
        <w:pStyle w:val="102"/>
        <w:numPr>
          <w:ilvl w:val="1"/>
          <w:numId w:val="0"/>
        </w:numPr>
        <w:spacing w:before="156" w:after="156"/>
        <w:ind w:leftChars="0"/>
        <w:jc w:val="center"/>
        <w:rPr>
          <w:rFonts w:hint="eastAsia"/>
          <w:color w:val="auto"/>
          <w:highlight w:val="none"/>
          <w:lang w:val="en-US" w:eastAsia="zh-CN"/>
        </w:rPr>
      </w:pPr>
      <w:r>
        <w:rPr>
          <w:rFonts w:hint="eastAsia"/>
          <w:color w:val="auto"/>
          <w:highlight w:val="none"/>
          <w:lang w:val="en-US" w:eastAsia="zh-CN"/>
        </w:rPr>
        <w:t>表A.1  电磁干扰源与电磁环境等级</w:t>
      </w:r>
    </w:p>
    <w:tbl>
      <w:tblPr>
        <w:tblStyle w:val="37"/>
        <w:tblW w:w="85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14"/>
        <w:gridCol w:w="2268"/>
        <w:gridCol w:w="2268"/>
      </w:tblGrid>
      <w:tr w14:paraId="0A5A9B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014" w:type="dxa"/>
            <w:tcBorders>
              <w:bottom w:val="single" w:color="auto" w:sz="8" w:space="0"/>
            </w:tcBorders>
            <w:vAlign w:val="center"/>
          </w:tcPr>
          <w:p w14:paraId="466DE135">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电磁干扰源</w:t>
            </w:r>
          </w:p>
        </w:tc>
        <w:tc>
          <w:tcPr>
            <w:tcW w:w="2268" w:type="dxa"/>
            <w:tcBorders>
              <w:bottom w:val="single" w:color="auto" w:sz="8" w:space="0"/>
            </w:tcBorders>
            <w:vAlign w:val="center"/>
          </w:tcPr>
          <w:p w14:paraId="773260DD">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距离</w:t>
            </w:r>
          </w:p>
        </w:tc>
        <w:tc>
          <w:tcPr>
            <w:tcW w:w="2268" w:type="dxa"/>
            <w:tcBorders>
              <w:bottom w:val="single" w:color="auto" w:sz="8" w:space="0"/>
            </w:tcBorders>
            <w:vAlign w:val="center"/>
          </w:tcPr>
          <w:p w14:paraId="2865EED1">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电磁环境等级</w:t>
            </w:r>
          </w:p>
        </w:tc>
      </w:tr>
      <w:tr w14:paraId="408229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restart"/>
            <w:tcBorders>
              <w:top w:val="single" w:color="auto" w:sz="8" w:space="0"/>
            </w:tcBorders>
            <w:vAlign w:val="center"/>
          </w:tcPr>
          <w:p w14:paraId="5F6AF97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继电器接触器</w:t>
            </w:r>
          </w:p>
        </w:tc>
        <w:tc>
          <w:tcPr>
            <w:tcW w:w="2268" w:type="dxa"/>
            <w:tcBorders>
              <w:top w:val="single" w:color="auto" w:sz="8" w:space="0"/>
            </w:tcBorders>
            <w:vAlign w:val="center"/>
          </w:tcPr>
          <w:p w14:paraId="7CBE828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&lt; 0.5米</w:t>
            </w:r>
          </w:p>
        </w:tc>
        <w:tc>
          <w:tcPr>
            <w:tcW w:w="2268" w:type="dxa"/>
            <w:tcBorders>
              <w:top w:val="single" w:color="auto" w:sz="8" w:space="0"/>
            </w:tcBorders>
            <w:vAlign w:val="center"/>
          </w:tcPr>
          <w:p w14:paraId="51247AE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2</w:t>
            </w:r>
          </w:p>
        </w:tc>
      </w:tr>
      <w:tr w14:paraId="0F1F1F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continue"/>
            <w:vAlign w:val="center"/>
          </w:tcPr>
          <w:p w14:paraId="349D9031">
            <w:pPr>
              <w:jc w:val="center"/>
              <w:rPr>
                <w:rFonts w:hint="eastAsia" w:ascii="Times New Roman" w:hAnsi="Times New Roman" w:cs="Times New Roman"/>
                <w:color w:val="auto"/>
                <w:sz w:val="18"/>
                <w:szCs w:val="18"/>
                <w:highlight w:val="none"/>
                <w:lang w:val="en-US" w:eastAsia="zh-CN"/>
              </w:rPr>
            </w:pPr>
          </w:p>
        </w:tc>
        <w:tc>
          <w:tcPr>
            <w:tcW w:w="2268" w:type="dxa"/>
            <w:vAlign w:val="center"/>
          </w:tcPr>
          <w:p w14:paraId="5AD1B18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&gt; 0.5米</w:t>
            </w:r>
          </w:p>
        </w:tc>
        <w:tc>
          <w:tcPr>
            <w:tcW w:w="2268" w:type="dxa"/>
            <w:vAlign w:val="center"/>
          </w:tcPr>
          <w:p w14:paraId="2FA031E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1</w:t>
            </w:r>
          </w:p>
        </w:tc>
      </w:tr>
      <w:tr w14:paraId="1FDC5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restart"/>
            <w:vAlign w:val="center"/>
          </w:tcPr>
          <w:p w14:paraId="1B98628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发射机</w:t>
            </w:r>
          </w:p>
          <w:p w14:paraId="23F86FD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（&lt; 1 W）</w:t>
            </w:r>
          </w:p>
        </w:tc>
        <w:tc>
          <w:tcPr>
            <w:tcW w:w="2268" w:type="dxa"/>
            <w:vAlign w:val="center"/>
          </w:tcPr>
          <w:p w14:paraId="08D472A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&lt; 0.5米</w:t>
            </w:r>
          </w:p>
        </w:tc>
        <w:tc>
          <w:tcPr>
            <w:tcW w:w="2268" w:type="dxa"/>
            <w:vAlign w:val="center"/>
          </w:tcPr>
          <w:p w14:paraId="1ECE4A6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3</w:t>
            </w:r>
          </w:p>
        </w:tc>
      </w:tr>
      <w:tr w14:paraId="5AE68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continue"/>
            <w:vAlign w:val="center"/>
          </w:tcPr>
          <w:p w14:paraId="061A72C3">
            <w:pPr>
              <w:jc w:val="center"/>
              <w:rPr>
                <w:rFonts w:hint="eastAsia" w:ascii="Times New Roman" w:hAnsi="Times New Roman" w:cs="Times New Roman"/>
                <w:color w:val="auto"/>
                <w:sz w:val="18"/>
                <w:szCs w:val="18"/>
                <w:highlight w:val="none"/>
                <w:lang w:val="en-US" w:eastAsia="zh-CN"/>
              </w:rPr>
            </w:pPr>
          </w:p>
        </w:tc>
        <w:tc>
          <w:tcPr>
            <w:tcW w:w="2268" w:type="dxa"/>
            <w:vAlign w:val="center"/>
          </w:tcPr>
          <w:p w14:paraId="4619F47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&gt; 0.5米</w:t>
            </w:r>
          </w:p>
        </w:tc>
        <w:tc>
          <w:tcPr>
            <w:tcW w:w="2268" w:type="dxa"/>
            <w:vAlign w:val="center"/>
          </w:tcPr>
          <w:p w14:paraId="772A943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1</w:t>
            </w:r>
            <w:r>
              <w:rPr>
                <w:rFonts w:hint="eastAsia" w:ascii="Times New Roman" w:hAnsi="Times New Roman" w:cs="Times New Roman"/>
                <w:color w:val="auto"/>
                <w:sz w:val="18"/>
                <w:szCs w:val="18"/>
                <w:highlight w:val="none"/>
                <w:lang w:val="en-US" w:eastAsia="zh-CN"/>
              </w:rPr>
              <w:t>或E</w:t>
            </w:r>
            <w:r>
              <w:rPr>
                <w:rFonts w:hint="eastAsia" w:ascii="Times New Roman" w:hAnsi="Times New Roman" w:cs="Times New Roman"/>
                <w:color w:val="auto"/>
                <w:sz w:val="18"/>
                <w:szCs w:val="18"/>
                <w:highlight w:val="none"/>
                <w:vertAlign w:val="subscript"/>
                <w:lang w:val="en-US" w:eastAsia="zh-CN"/>
              </w:rPr>
              <w:t>2</w:t>
            </w:r>
          </w:p>
        </w:tc>
      </w:tr>
      <w:tr w14:paraId="6614E1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restart"/>
            <w:vAlign w:val="center"/>
          </w:tcPr>
          <w:p w14:paraId="04ECC60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发射机</w:t>
            </w:r>
          </w:p>
          <w:p w14:paraId="5D46B75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 W至3 W）</w:t>
            </w:r>
          </w:p>
        </w:tc>
        <w:tc>
          <w:tcPr>
            <w:tcW w:w="2268" w:type="dxa"/>
            <w:vAlign w:val="center"/>
          </w:tcPr>
          <w:p w14:paraId="5934F9D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&lt; 1米</w:t>
            </w:r>
          </w:p>
        </w:tc>
        <w:tc>
          <w:tcPr>
            <w:tcW w:w="2268" w:type="dxa"/>
            <w:vAlign w:val="center"/>
          </w:tcPr>
          <w:p w14:paraId="381D7F3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3</w:t>
            </w:r>
          </w:p>
        </w:tc>
      </w:tr>
      <w:tr w14:paraId="42832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continue"/>
            <w:vAlign w:val="center"/>
          </w:tcPr>
          <w:p w14:paraId="6CF983EF">
            <w:pPr>
              <w:jc w:val="center"/>
              <w:rPr>
                <w:rFonts w:hint="eastAsia" w:ascii="Times New Roman" w:hAnsi="Times New Roman" w:cs="Times New Roman"/>
                <w:color w:val="auto"/>
                <w:sz w:val="18"/>
                <w:szCs w:val="18"/>
                <w:highlight w:val="none"/>
                <w:lang w:val="en-US" w:eastAsia="zh-CN"/>
              </w:rPr>
            </w:pPr>
          </w:p>
        </w:tc>
        <w:tc>
          <w:tcPr>
            <w:tcW w:w="2268" w:type="dxa"/>
            <w:vAlign w:val="center"/>
          </w:tcPr>
          <w:p w14:paraId="71E7B87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1米</w:t>
            </w:r>
          </w:p>
        </w:tc>
        <w:tc>
          <w:tcPr>
            <w:tcW w:w="2268" w:type="dxa"/>
            <w:vAlign w:val="center"/>
          </w:tcPr>
          <w:p w14:paraId="7CFD1A9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1</w:t>
            </w:r>
            <w:r>
              <w:rPr>
                <w:rFonts w:hint="eastAsia" w:ascii="Times New Roman" w:hAnsi="Times New Roman" w:cs="Times New Roman"/>
                <w:color w:val="auto"/>
                <w:sz w:val="18"/>
                <w:szCs w:val="18"/>
                <w:highlight w:val="none"/>
                <w:lang w:val="en-US" w:eastAsia="zh-CN"/>
              </w:rPr>
              <w:t>或E</w:t>
            </w:r>
            <w:r>
              <w:rPr>
                <w:rFonts w:hint="eastAsia" w:ascii="Times New Roman" w:hAnsi="Times New Roman" w:cs="Times New Roman"/>
                <w:color w:val="auto"/>
                <w:sz w:val="18"/>
                <w:szCs w:val="18"/>
                <w:highlight w:val="none"/>
                <w:vertAlign w:val="subscript"/>
                <w:lang w:val="en-US" w:eastAsia="zh-CN"/>
              </w:rPr>
              <w:t>2</w:t>
            </w:r>
          </w:p>
        </w:tc>
      </w:tr>
      <w:tr w14:paraId="2D3CDA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restart"/>
            <w:vAlign w:val="center"/>
          </w:tcPr>
          <w:p w14:paraId="5F552A8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发射机</w:t>
            </w:r>
          </w:p>
          <w:p w14:paraId="232D24A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（TV、无线电、移动通信、基站）</w:t>
            </w:r>
          </w:p>
        </w:tc>
        <w:tc>
          <w:tcPr>
            <w:tcW w:w="2268" w:type="dxa"/>
            <w:vAlign w:val="center"/>
          </w:tcPr>
          <w:p w14:paraId="003B968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&lt; 3米</w:t>
            </w:r>
          </w:p>
        </w:tc>
        <w:tc>
          <w:tcPr>
            <w:tcW w:w="2268" w:type="dxa"/>
            <w:vAlign w:val="center"/>
          </w:tcPr>
          <w:p w14:paraId="4795F56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E3</w:t>
            </w:r>
          </w:p>
        </w:tc>
      </w:tr>
      <w:tr w14:paraId="747F1B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continue"/>
            <w:vAlign w:val="center"/>
          </w:tcPr>
          <w:p w14:paraId="1EA9AFAC">
            <w:pPr>
              <w:jc w:val="center"/>
              <w:rPr>
                <w:rFonts w:hint="eastAsia" w:ascii="Times New Roman" w:hAnsi="Times New Roman" w:cs="Times New Roman"/>
                <w:color w:val="auto"/>
                <w:sz w:val="18"/>
                <w:szCs w:val="18"/>
                <w:highlight w:val="none"/>
                <w:lang w:val="en-US" w:eastAsia="zh-CN"/>
              </w:rPr>
            </w:pPr>
          </w:p>
        </w:tc>
        <w:tc>
          <w:tcPr>
            <w:tcW w:w="2268" w:type="dxa"/>
            <w:vAlign w:val="center"/>
          </w:tcPr>
          <w:p w14:paraId="2A912E0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3米</w:t>
            </w:r>
          </w:p>
        </w:tc>
        <w:tc>
          <w:tcPr>
            <w:tcW w:w="2268" w:type="dxa"/>
            <w:vAlign w:val="center"/>
          </w:tcPr>
          <w:p w14:paraId="06704AB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1</w:t>
            </w:r>
            <w:r>
              <w:rPr>
                <w:rFonts w:hint="eastAsia" w:ascii="Times New Roman" w:hAnsi="Times New Roman" w:cs="Times New Roman"/>
                <w:color w:val="auto"/>
                <w:sz w:val="18"/>
                <w:szCs w:val="18"/>
                <w:highlight w:val="none"/>
                <w:lang w:val="en-US" w:eastAsia="zh-CN"/>
              </w:rPr>
              <w:t>或E</w:t>
            </w:r>
            <w:r>
              <w:rPr>
                <w:rFonts w:hint="eastAsia" w:ascii="Times New Roman" w:hAnsi="Times New Roman" w:cs="Times New Roman"/>
                <w:color w:val="auto"/>
                <w:sz w:val="18"/>
                <w:szCs w:val="18"/>
                <w:highlight w:val="none"/>
                <w:vertAlign w:val="subscript"/>
                <w:lang w:val="en-US" w:eastAsia="zh-CN"/>
              </w:rPr>
              <w:t>2</w:t>
            </w:r>
          </w:p>
        </w:tc>
      </w:tr>
      <w:tr w14:paraId="715F1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restart"/>
            <w:vAlign w:val="center"/>
          </w:tcPr>
          <w:p w14:paraId="5823C34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大功率电机</w:t>
            </w:r>
          </w:p>
        </w:tc>
        <w:tc>
          <w:tcPr>
            <w:tcW w:w="2268" w:type="dxa"/>
            <w:vAlign w:val="center"/>
          </w:tcPr>
          <w:p w14:paraId="39907C6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&lt; 3米</w:t>
            </w:r>
          </w:p>
        </w:tc>
        <w:tc>
          <w:tcPr>
            <w:tcW w:w="2268" w:type="dxa"/>
            <w:vAlign w:val="center"/>
          </w:tcPr>
          <w:p w14:paraId="2B4A1FD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3</w:t>
            </w:r>
          </w:p>
        </w:tc>
      </w:tr>
      <w:tr w14:paraId="703967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continue"/>
            <w:vAlign w:val="center"/>
          </w:tcPr>
          <w:p w14:paraId="5BFBA916">
            <w:pPr>
              <w:jc w:val="center"/>
              <w:rPr>
                <w:rFonts w:hint="eastAsia" w:ascii="Times New Roman" w:hAnsi="Times New Roman" w:cs="Times New Roman"/>
                <w:color w:val="auto"/>
                <w:sz w:val="18"/>
                <w:szCs w:val="18"/>
                <w:highlight w:val="none"/>
                <w:lang w:val="en-US" w:eastAsia="zh-CN"/>
              </w:rPr>
            </w:pPr>
          </w:p>
        </w:tc>
        <w:tc>
          <w:tcPr>
            <w:tcW w:w="2268" w:type="dxa"/>
            <w:vAlign w:val="center"/>
          </w:tcPr>
          <w:p w14:paraId="28ED565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&gt; 3米</w:t>
            </w:r>
          </w:p>
        </w:tc>
        <w:tc>
          <w:tcPr>
            <w:tcW w:w="2268" w:type="dxa"/>
            <w:vAlign w:val="center"/>
          </w:tcPr>
          <w:p w14:paraId="0AE6FEC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1</w:t>
            </w:r>
            <w:r>
              <w:rPr>
                <w:rFonts w:hint="eastAsia" w:ascii="Times New Roman" w:hAnsi="Times New Roman" w:cs="Times New Roman"/>
                <w:color w:val="auto"/>
                <w:sz w:val="18"/>
                <w:szCs w:val="18"/>
                <w:highlight w:val="none"/>
                <w:lang w:val="en-US" w:eastAsia="zh-CN"/>
              </w:rPr>
              <w:t>或E</w:t>
            </w:r>
            <w:r>
              <w:rPr>
                <w:rFonts w:hint="eastAsia" w:ascii="Times New Roman" w:hAnsi="Times New Roman" w:cs="Times New Roman"/>
                <w:color w:val="auto"/>
                <w:sz w:val="18"/>
                <w:szCs w:val="18"/>
                <w:highlight w:val="none"/>
                <w:vertAlign w:val="subscript"/>
                <w:lang w:val="en-US" w:eastAsia="zh-CN"/>
              </w:rPr>
              <w:t>2</w:t>
            </w:r>
          </w:p>
        </w:tc>
      </w:tr>
      <w:tr w14:paraId="50D6A4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restart"/>
            <w:vAlign w:val="center"/>
          </w:tcPr>
          <w:p w14:paraId="33B2C0E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电机控制器</w:t>
            </w:r>
          </w:p>
        </w:tc>
        <w:tc>
          <w:tcPr>
            <w:tcW w:w="2268" w:type="dxa"/>
            <w:vAlign w:val="center"/>
          </w:tcPr>
          <w:p w14:paraId="774D882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&lt; 0.5米</w:t>
            </w:r>
          </w:p>
        </w:tc>
        <w:tc>
          <w:tcPr>
            <w:tcW w:w="2268" w:type="dxa"/>
            <w:vAlign w:val="center"/>
          </w:tcPr>
          <w:p w14:paraId="7ACB976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3</w:t>
            </w:r>
          </w:p>
        </w:tc>
      </w:tr>
      <w:tr w14:paraId="536AD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continue"/>
            <w:vAlign w:val="center"/>
          </w:tcPr>
          <w:p w14:paraId="0B69742C">
            <w:pPr>
              <w:jc w:val="center"/>
              <w:rPr>
                <w:rFonts w:hint="eastAsia" w:ascii="Times New Roman" w:hAnsi="Times New Roman" w:cs="Times New Roman"/>
                <w:color w:val="auto"/>
                <w:sz w:val="18"/>
                <w:szCs w:val="18"/>
                <w:highlight w:val="none"/>
                <w:lang w:val="en-US" w:eastAsia="zh-CN"/>
              </w:rPr>
            </w:pPr>
          </w:p>
        </w:tc>
        <w:tc>
          <w:tcPr>
            <w:tcW w:w="2268" w:type="dxa"/>
            <w:vAlign w:val="center"/>
          </w:tcPr>
          <w:p w14:paraId="4552DAF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0.5米至3米</w:t>
            </w:r>
          </w:p>
        </w:tc>
        <w:tc>
          <w:tcPr>
            <w:tcW w:w="2268" w:type="dxa"/>
            <w:vAlign w:val="center"/>
          </w:tcPr>
          <w:p w14:paraId="43BD4EE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2</w:t>
            </w:r>
          </w:p>
        </w:tc>
      </w:tr>
      <w:tr w14:paraId="6303A0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continue"/>
            <w:vAlign w:val="center"/>
          </w:tcPr>
          <w:p w14:paraId="061D7C74">
            <w:pPr>
              <w:jc w:val="center"/>
              <w:rPr>
                <w:rFonts w:hint="eastAsia" w:ascii="Times New Roman" w:hAnsi="Times New Roman" w:cs="Times New Roman"/>
                <w:color w:val="auto"/>
                <w:sz w:val="18"/>
                <w:szCs w:val="18"/>
                <w:highlight w:val="none"/>
                <w:lang w:val="en-US" w:eastAsia="zh-CN"/>
              </w:rPr>
            </w:pPr>
          </w:p>
        </w:tc>
        <w:tc>
          <w:tcPr>
            <w:tcW w:w="2268" w:type="dxa"/>
            <w:vAlign w:val="center"/>
          </w:tcPr>
          <w:p w14:paraId="343A9F3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&gt; 3米</w:t>
            </w:r>
          </w:p>
        </w:tc>
        <w:tc>
          <w:tcPr>
            <w:tcW w:w="2268" w:type="dxa"/>
            <w:vAlign w:val="center"/>
          </w:tcPr>
          <w:p w14:paraId="3919697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1</w:t>
            </w:r>
          </w:p>
        </w:tc>
      </w:tr>
      <w:tr w14:paraId="0CC4F9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restart"/>
            <w:vAlign w:val="center"/>
          </w:tcPr>
          <w:p w14:paraId="2560FD5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感应加热</w:t>
            </w:r>
          </w:p>
          <w:p w14:paraId="4E98622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（&lt; 8 MW）</w:t>
            </w:r>
          </w:p>
        </w:tc>
        <w:tc>
          <w:tcPr>
            <w:tcW w:w="2268" w:type="dxa"/>
            <w:vAlign w:val="center"/>
          </w:tcPr>
          <w:p w14:paraId="53A0EB8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&lt; 0.5米</w:t>
            </w:r>
          </w:p>
        </w:tc>
        <w:tc>
          <w:tcPr>
            <w:tcW w:w="2268" w:type="dxa"/>
            <w:vAlign w:val="center"/>
          </w:tcPr>
          <w:p w14:paraId="4AB97DA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3</w:t>
            </w:r>
          </w:p>
        </w:tc>
      </w:tr>
      <w:tr w14:paraId="2692A1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continue"/>
            <w:vAlign w:val="center"/>
          </w:tcPr>
          <w:p w14:paraId="5209CB77">
            <w:pPr>
              <w:jc w:val="center"/>
              <w:rPr>
                <w:rFonts w:hint="eastAsia" w:ascii="Times New Roman" w:hAnsi="Times New Roman" w:cs="Times New Roman"/>
                <w:color w:val="auto"/>
                <w:sz w:val="18"/>
                <w:szCs w:val="18"/>
                <w:highlight w:val="none"/>
                <w:lang w:val="en-US" w:eastAsia="zh-CN"/>
              </w:rPr>
            </w:pPr>
          </w:p>
        </w:tc>
        <w:tc>
          <w:tcPr>
            <w:tcW w:w="2268" w:type="dxa"/>
            <w:vAlign w:val="center"/>
          </w:tcPr>
          <w:p w14:paraId="12DFC99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0.5米至3米</w:t>
            </w:r>
          </w:p>
        </w:tc>
        <w:tc>
          <w:tcPr>
            <w:tcW w:w="2268" w:type="dxa"/>
            <w:vAlign w:val="center"/>
          </w:tcPr>
          <w:p w14:paraId="34E7856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2</w:t>
            </w:r>
          </w:p>
        </w:tc>
      </w:tr>
      <w:tr w14:paraId="32021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continue"/>
            <w:vAlign w:val="center"/>
          </w:tcPr>
          <w:p w14:paraId="4D3007FD">
            <w:pPr>
              <w:jc w:val="center"/>
              <w:rPr>
                <w:rFonts w:hint="eastAsia" w:ascii="Times New Roman" w:hAnsi="Times New Roman" w:cs="Times New Roman"/>
                <w:color w:val="auto"/>
                <w:sz w:val="18"/>
                <w:szCs w:val="18"/>
                <w:highlight w:val="none"/>
                <w:lang w:val="en-US" w:eastAsia="zh-CN"/>
              </w:rPr>
            </w:pPr>
          </w:p>
        </w:tc>
        <w:tc>
          <w:tcPr>
            <w:tcW w:w="2268" w:type="dxa"/>
            <w:vAlign w:val="center"/>
          </w:tcPr>
          <w:p w14:paraId="7FB2094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&gt; 3米</w:t>
            </w:r>
          </w:p>
        </w:tc>
        <w:tc>
          <w:tcPr>
            <w:tcW w:w="2268" w:type="dxa"/>
            <w:vAlign w:val="center"/>
          </w:tcPr>
          <w:p w14:paraId="6706182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1</w:t>
            </w:r>
          </w:p>
        </w:tc>
      </w:tr>
      <w:tr w14:paraId="3091AA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restart"/>
            <w:vAlign w:val="center"/>
          </w:tcPr>
          <w:p w14:paraId="38CAF6D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电阻加热</w:t>
            </w:r>
          </w:p>
        </w:tc>
        <w:tc>
          <w:tcPr>
            <w:tcW w:w="2268" w:type="dxa"/>
            <w:vAlign w:val="center"/>
          </w:tcPr>
          <w:p w14:paraId="1FDED74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&lt; 0.5米</w:t>
            </w:r>
          </w:p>
        </w:tc>
        <w:tc>
          <w:tcPr>
            <w:tcW w:w="2268" w:type="dxa"/>
            <w:vAlign w:val="center"/>
          </w:tcPr>
          <w:p w14:paraId="3E0E9A2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2</w:t>
            </w:r>
          </w:p>
        </w:tc>
      </w:tr>
      <w:tr w14:paraId="4A1E9E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continue"/>
            <w:vAlign w:val="center"/>
          </w:tcPr>
          <w:p w14:paraId="0195C379">
            <w:pPr>
              <w:jc w:val="center"/>
              <w:rPr>
                <w:rFonts w:hint="eastAsia" w:ascii="Times New Roman" w:hAnsi="Times New Roman" w:cs="Times New Roman"/>
                <w:color w:val="auto"/>
                <w:sz w:val="18"/>
                <w:szCs w:val="18"/>
                <w:highlight w:val="none"/>
                <w:lang w:val="en-US" w:eastAsia="zh-CN"/>
              </w:rPr>
            </w:pPr>
          </w:p>
        </w:tc>
        <w:tc>
          <w:tcPr>
            <w:tcW w:w="2268" w:type="dxa"/>
            <w:vAlign w:val="center"/>
          </w:tcPr>
          <w:p w14:paraId="566C298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&gt; 0.5米</w:t>
            </w:r>
          </w:p>
        </w:tc>
        <w:tc>
          <w:tcPr>
            <w:tcW w:w="2268" w:type="dxa"/>
            <w:vAlign w:val="center"/>
          </w:tcPr>
          <w:p w14:paraId="1C3ACBC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1</w:t>
            </w:r>
          </w:p>
        </w:tc>
      </w:tr>
      <w:tr w14:paraId="457D68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restart"/>
            <w:vAlign w:val="center"/>
          </w:tcPr>
          <w:p w14:paraId="761572B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荧光灯</w:t>
            </w:r>
          </w:p>
        </w:tc>
        <w:tc>
          <w:tcPr>
            <w:tcW w:w="2268" w:type="dxa"/>
            <w:vAlign w:val="center"/>
          </w:tcPr>
          <w:p w14:paraId="55BEA47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&lt; 0.15米</w:t>
            </w:r>
          </w:p>
        </w:tc>
        <w:tc>
          <w:tcPr>
            <w:tcW w:w="2268" w:type="dxa"/>
            <w:vAlign w:val="center"/>
          </w:tcPr>
          <w:p w14:paraId="5A72715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3</w:t>
            </w:r>
          </w:p>
        </w:tc>
      </w:tr>
      <w:tr w14:paraId="7F4771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continue"/>
            <w:vAlign w:val="center"/>
          </w:tcPr>
          <w:p w14:paraId="64D99151">
            <w:pPr>
              <w:jc w:val="center"/>
              <w:rPr>
                <w:rFonts w:hint="eastAsia" w:ascii="Times New Roman" w:hAnsi="Times New Roman" w:cs="Times New Roman"/>
                <w:color w:val="auto"/>
                <w:sz w:val="18"/>
                <w:szCs w:val="18"/>
                <w:highlight w:val="none"/>
                <w:lang w:val="en-US" w:eastAsia="zh-CN"/>
              </w:rPr>
            </w:pPr>
          </w:p>
        </w:tc>
        <w:tc>
          <w:tcPr>
            <w:tcW w:w="2268" w:type="dxa"/>
            <w:vAlign w:val="center"/>
          </w:tcPr>
          <w:p w14:paraId="3A26C70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&gt; 0.15米</w:t>
            </w:r>
          </w:p>
        </w:tc>
        <w:tc>
          <w:tcPr>
            <w:tcW w:w="2268" w:type="dxa"/>
            <w:vAlign w:val="center"/>
          </w:tcPr>
          <w:p w14:paraId="5679737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1</w:t>
            </w:r>
            <w:r>
              <w:rPr>
                <w:rFonts w:hint="eastAsia" w:ascii="Times New Roman" w:hAnsi="Times New Roman" w:cs="Times New Roman"/>
                <w:color w:val="auto"/>
                <w:sz w:val="18"/>
                <w:szCs w:val="18"/>
                <w:highlight w:val="none"/>
                <w:lang w:val="en-US" w:eastAsia="zh-CN"/>
              </w:rPr>
              <w:t>或E</w:t>
            </w:r>
            <w:r>
              <w:rPr>
                <w:rFonts w:hint="eastAsia" w:ascii="Times New Roman" w:hAnsi="Times New Roman" w:cs="Times New Roman"/>
                <w:color w:val="auto"/>
                <w:sz w:val="18"/>
                <w:szCs w:val="18"/>
                <w:highlight w:val="none"/>
                <w:vertAlign w:val="subscript"/>
                <w:lang w:val="en-US" w:eastAsia="zh-CN"/>
              </w:rPr>
              <w:t>2</w:t>
            </w:r>
          </w:p>
        </w:tc>
      </w:tr>
      <w:tr w14:paraId="336150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restart"/>
            <w:vAlign w:val="center"/>
          </w:tcPr>
          <w:p w14:paraId="79A2346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恒温开关</w:t>
            </w:r>
          </w:p>
          <w:p w14:paraId="30A8696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（110 V至230 V）</w:t>
            </w:r>
          </w:p>
        </w:tc>
        <w:tc>
          <w:tcPr>
            <w:tcW w:w="2268" w:type="dxa"/>
            <w:vAlign w:val="center"/>
          </w:tcPr>
          <w:p w14:paraId="677E080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&lt; 0.5米</w:t>
            </w:r>
          </w:p>
        </w:tc>
        <w:tc>
          <w:tcPr>
            <w:tcW w:w="2268" w:type="dxa"/>
            <w:vAlign w:val="center"/>
          </w:tcPr>
          <w:p w14:paraId="0C07AFC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2</w:t>
            </w:r>
            <w:r>
              <w:rPr>
                <w:rFonts w:hint="eastAsia" w:ascii="Times New Roman" w:hAnsi="Times New Roman" w:cs="Times New Roman"/>
                <w:color w:val="auto"/>
                <w:sz w:val="18"/>
                <w:szCs w:val="18"/>
                <w:highlight w:val="none"/>
                <w:lang w:val="en-US" w:eastAsia="zh-CN"/>
              </w:rPr>
              <w:t>或E</w:t>
            </w:r>
            <w:r>
              <w:rPr>
                <w:rFonts w:hint="eastAsia" w:ascii="Times New Roman" w:hAnsi="Times New Roman" w:cs="Times New Roman"/>
                <w:color w:val="auto"/>
                <w:sz w:val="18"/>
                <w:szCs w:val="18"/>
                <w:highlight w:val="none"/>
                <w:vertAlign w:val="subscript"/>
                <w:lang w:val="en-US" w:eastAsia="zh-CN"/>
              </w:rPr>
              <w:t>3</w:t>
            </w:r>
          </w:p>
        </w:tc>
      </w:tr>
      <w:tr w14:paraId="730130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vMerge w:val="continue"/>
            <w:vAlign w:val="center"/>
          </w:tcPr>
          <w:p w14:paraId="699290B6">
            <w:pPr>
              <w:jc w:val="center"/>
              <w:rPr>
                <w:rFonts w:hint="eastAsia" w:ascii="Times New Roman" w:hAnsi="Times New Roman" w:cs="Times New Roman"/>
                <w:color w:val="auto"/>
                <w:sz w:val="18"/>
                <w:szCs w:val="18"/>
                <w:highlight w:val="none"/>
                <w:lang w:val="en-US" w:eastAsia="zh-CN"/>
              </w:rPr>
            </w:pPr>
          </w:p>
        </w:tc>
        <w:tc>
          <w:tcPr>
            <w:tcW w:w="2268" w:type="dxa"/>
            <w:vAlign w:val="center"/>
          </w:tcPr>
          <w:p w14:paraId="408ED37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&gt; 0.5米</w:t>
            </w:r>
          </w:p>
        </w:tc>
        <w:tc>
          <w:tcPr>
            <w:tcW w:w="2268" w:type="dxa"/>
            <w:vAlign w:val="center"/>
          </w:tcPr>
          <w:p w14:paraId="36CFA64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E</w:t>
            </w:r>
            <w:r>
              <w:rPr>
                <w:rFonts w:hint="eastAsia" w:ascii="Times New Roman" w:hAnsi="Times New Roman" w:cs="Times New Roman"/>
                <w:color w:val="auto"/>
                <w:sz w:val="18"/>
                <w:szCs w:val="18"/>
                <w:highlight w:val="none"/>
                <w:vertAlign w:val="subscript"/>
                <w:lang w:val="en-US" w:eastAsia="zh-CN"/>
              </w:rPr>
              <w:t>1</w:t>
            </w:r>
          </w:p>
        </w:tc>
      </w:tr>
    </w:tbl>
    <w:p w14:paraId="1B7C66EA">
      <w:pPr>
        <w:pStyle w:val="76"/>
        <w:numPr>
          <w:ilvl w:val="1"/>
          <w:numId w:val="0"/>
        </w:numPr>
        <w:outlineLvl w:val="1"/>
        <w:rPr>
          <w:rFonts w:hint="eastAsia" w:ascii="黑体" w:hAnsi="黑体" w:eastAsia="黑体" w:cs="黑体"/>
          <w:color w:val="auto"/>
          <w:highlight w:val="none"/>
          <w:lang w:val="en-US" w:eastAsia="zh-CN"/>
        </w:rPr>
      </w:pPr>
      <w:bookmarkStart w:id="365" w:name="_Toc22992"/>
    </w:p>
    <w:p w14:paraId="340DD25E">
      <w:pPr>
        <w:pStyle w:val="106"/>
        <w:rPr>
          <w:rFonts w:hint="eastAsia" w:ascii="黑体" w:hAnsi="Times New Roman" w:eastAsia="黑体" w:cs="Times New Roman"/>
          <w:color w:val="auto"/>
          <w:lang w:val="en-US" w:eastAsia="zh-CN"/>
        </w:rPr>
      </w:pPr>
      <w:bookmarkStart w:id="366" w:name="_Toc4678"/>
      <w:r>
        <w:rPr>
          <w:rFonts w:hint="eastAsia" w:ascii="黑体" w:hAnsi="Times New Roman" w:eastAsia="黑体" w:cs="Times New Roman"/>
          <w:color w:val="auto"/>
          <w:lang w:val="en-US" w:eastAsia="zh-CN"/>
        </w:rPr>
        <w:t>信道的传输特性</w:t>
      </w:r>
      <w:bookmarkEnd w:id="365"/>
      <w:bookmarkEnd w:id="366"/>
    </w:p>
    <w:p w14:paraId="6326A55F">
      <w:pPr>
        <w:pStyle w:val="105"/>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单对以太网信道的回波损耗应满足表A.2、</w:t>
      </w:r>
      <w:r>
        <w:rPr>
          <w:rFonts w:hint="eastAsia" w:ascii="Times New Roman" w:hAnsi="Times New Roman" w:eastAsia="宋体" w:cs="Times New Roman"/>
          <w:color w:val="auto"/>
          <w:highlight w:val="none"/>
          <w:lang w:val="en-US" w:eastAsia="zh-CN"/>
        </w:rPr>
        <w:t>表</w:t>
      </w:r>
      <w:r>
        <w:rPr>
          <w:rFonts w:hint="default" w:ascii="Times New Roman" w:hAnsi="Times New Roman" w:eastAsia="宋体" w:cs="Times New Roman"/>
          <w:color w:val="auto"/>
          <w:highlight w:val="none"/>
          <w:lang w:val="en-US" w:eastAsia="zh-CN"/>
        </w:rPr>
        <w:t>A.</w:t>
      </w:r>
      <w:r>
        <w:rPr>
          <w:rFonts w:hint="eastAsia" w:asci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表</w:t>
      </w:r>
      <w:r>
        <w:rPr>
          <w:rFonts w:hint="default" w:ascii="Times New Roman" w:hAnsi="Times New Roman" w:eastAsia="宋体" w:cs="Times New Roman"/>
          <w:color w:val="auto"/>
          <w:highlight w:val="none"/>
          <w:lang w:val="en-US" w:eastAsia="zh-CN"/>
        </w:rPr>
        <w:t>A.</w:t>
      </w:r>
      <w:r>
        <w:rPr>
          <w:rFonts w:hint="eastAsia" w:asci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及</w:t>
      </w:r>
      <w:r>
        <w:rPr>
          <w:rFonts w:hint="eastAsia" w:ascii="Times New Roman" w:eastAsia="宋体" w:cs="Times New Roman"/>
          <w:color w:val="auto"/>
          <w:highlight w:val="none"/>
          <w:lang w:val="en-US" w:eastAsia="zh-CN"/>
        </w:rPr>
        <w:t>图A.</w:t>
      </w:r>
      <w:r>
        <w:rPr>
          <w:rFonts w:hint="default" w:ascii="Times New Roman" w:hAnsi="Times New Roman" w:eastAsia="宋体" w:cs="Times New Roman"/>
          <w:color w:val="auto"/>
          <w:highlight w:val="none"/>
          <w:lang w:val="en-US" w:eastAsia="zh-CN"/>
        </w:rPr>
        <w:t>1的相关要求。</w:t>
      </w:r>
    </w:p>
    <w:p w14:paraId="64B16D56">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表A.2</w:t>
      </w:r>
      <w:r>
        <w:rPr>
          <w:rFonts w:hint="eastAsia"/>
          <w:color w:val="auto"/>
          <w:highlight w:val="none"/>
          <w:lang w:val="en-US" w:eastAsia="zh-CN"/>
        </w:rPr>
        <w:t xml:space="preserve">  </w:t>
      </w:r>
      <w:r>
        <w:rPr>
          <w:rFonts w:hint="eastAsia" w:hAnsi="Times New Roman" w:cs="Times New Roman"/>
          <w:color w:val="auto"/>
          <w:highlight w:val="none"/>
          <w:lang w:val="en-US" w:eastAsia="zh-CN"/>
        </w:rPr>
        <w:t>单对以太网信道最小回波损耗</w:t>
      </w:r>
    </w:p>
    <w:tbl>
      <w:tblPr>
        <w:tblStyle w:val="37"/>
        <w:tblW w:w="85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32"/>
        <w:gridCol w:w="2280"/>
        <w:gridCol w:w="4535"/>
      </w:tblGrid>
      <w:tr w14:paraId="39618D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32" w:type="dxa"/>
            <w:tcBorders>
              <w:bottom w:val="single" w:color="auto" w:sz="8" w:space="0"/>
            </w:tcBorders>
            <w:vAlign w:val="center"/>
          </w:tcPr>
          <w:p w14:paraId="747FB0E0">
            <w:pPr>
              <w:jc w:val="center"/>
              <w:rPr>
                <w:rFonts w:hint="default" w:ascii="Times New Roman" w:hAnsi="Times New Roman"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SPE类型</w:t>
            </w:r>
          </w:p>
        </w:tc>
        <w:tc>
          <w:tcPr>
            <w:tcW w:w="2280" w:type="dxa"/>
            <w:tcBorders>
              <w:bottom w:val="single" w:color="auto" w:sz="8" w:space="0"/>
            </w:tcBorders>
            <w:vAlign w:val="center"/>
          </w:tcPr>
          <w:p w14:paraId="61FEE6C3">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频率</w:t>
            </w:r>
            <w:r>
              <w:rPr>
                <w:rFonts w:hint="eastAsia" w:ascii="Times New Roman" w:hAnsi="Times New Roman" w:cs="Times New Roman"/>
                <w:b/>
                <w:bCs/>
                <w:color w:val="auto"/>
                <w:sz w:val="18"/>
                <w:szCs w:val="18"/>
                <w:highlight w:val="none"/>
                <w:lang w:val="en-US" w:eastAsia="zh-CN"/>
              </w:rPr>
              <w:br w:type="textWrapping"/>
            </w:r>
            <w:r>
              <w:rPr>
                <w:rFonts w:hint="eastAsia" w:ascii="Times New Roman" w:hAnsi="Times New Roman" w:cs="Times New Roman"/>
                <w:b/>
                <w:bCs/>
                <w:color w:val="auto"/>
                <w:sz w:val="18"/>
                <w:szCs w:val="18"/>
                <w:highlight w:val="none"/>
                <w:lang w:val="en-US" w:eastAsia="zh-CN"/>
              </w:rPr>
              <w:t>（MHz）</w:t>
            </w:r>
          </w:p>
        </w:tc>
        <w:tc>
          <w:tcPr>
            <w:tcW w:w="4535" w:type="dxa"/>
            <w:tcBorders>
              <w:bottom w:val="single" w:color="auto" w:sz="8" w:space="0"/>
            </w:tcBorders>
            <w:vAlign w:val="center"/>
          </w:tcPr>
          <w:p w14:paraId="0812A87B">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最小回波损耗</w:t>
            </w:r>
          </w:p>
          <w:p w14:paraId="59FC3A05">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（dB）</w:t>
            </w:r>
          </w:p>
        </w:tc>
      </w:tr>
      <w:tr w14:paraId="1B5A0F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restart"/>
            <w:tcBorders>
              <w:top w:val="single" w:color="auto" w:sz="8" w:space="0"/>
            </w:tcBorders>
            <w:vAlign w:val="center"/>
          </w:tcPr>
          <w:p w14:paraId="2224736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10BASE-T1L</w:t>
            </w:r>
          </w:p>
        </w:tc>
        <w:tc>
          <w:tcPr>
            <w:tcW w:w="2280" w:type="dxa"/>
            <w:tcBorders>
              <w:top w:val="single" w:color="auto" w:sz="8" w:space="0"/>
            </w:tcBorders>
            <w:vAlign w:val="center"/>
          </w:tcPr>
          <w:p w14:paraId="6C4DD7E7">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0.1≤f&lt;0.5</m:t>
                </m:r>
              </m:oMath>
            </m:oMathPara>
          </w:p>
        </w:tc>
        <w:tc>
          <w:tcPr>
            <w:tcW w:w="4535" w:type="dxa"/>
            <w:tcBorders>
              <w:top w:val="single" w:color="auto" w:sz="8" w:space="0"/>
            </w:tcBorders>
            <w:vAlign w:val="center"/>
          </w:tcPr>
          <w:p w14:paraId="5D64A423">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9+8f</m:t>
                </m:r>
              </m:oMath>
            </m:oMathPara>
          </w:p>
        </w:tc>
      </w:tr>
      <w:tr w14:paraId="7EF95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continue"/>
            <w:vAlign w:val="center"/>
          </w:tcPr>
          <w:p w14:paraId="766A5BC9">
            <w:pPr>
              <w:jc w:val="center"/>
              <w:rPr>
                <w:rFonts w:hint="eastAsia" w:ascii="Times New Roman" w:hAnsi="Times New Roman" w:cs="Times New Roman"/>
                <w:color w:val="auto"/>
                <w:sz w:val="18"/>
                <w:szCs w:val="18"/>
                <w:highlight w:val="none"/>
                <w:lang w:val="en-US" w:eastAsia="zh-CN"/>
              </w:rPr>
            </w:pPr>
          </w:p>
        </w:tc>
        <w:tc>
          <w:tcPr>
            <w:tcW w:w="2280" w:type="dxa"/>
            <w:vAlign w:val="center"/>
          </w:tcPr>
          <w:p w14:paraId="0916E0DA">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0.5≤f≤20</m:t>
                </m:r>
              </m:oMath>
            </m:oMathPara>
          </w:p>
        </w:tc>
        <w:tc>
          <w:tcPr>
            <w:tcW w:w="4535" w:type="dxa"/>
            <w:vAlign w:val="center"/>
          </w:tcPr>
          <w:p w14:paraId="2CD3E047">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13</m:t>
                </m:r>
              </m:oMath>
            </m:oMathPara>
          </w:p>
        </w:tc>
      </w:tr>
      <w:tr w14:paraId="5E8170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restart"/>
            <w:vAlign w:val="center"/>
          </w:tcPr>
          <w:p w14:paraId="7E5D8E6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10BASE-T1S</w:t>
            </w:r>
          </w:p>
        </w:tc>
        <w:tc>
          <w:tcPr>
            <w:tcW w:w="2280" w:type="dxa"/>
            <w:vAlign w:val="center"/>
          </w:tcPr>
          <w:p w14:paraId="10FAADA4">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0.3≤f&lt;10</m:t>
                </m:r>
              </m:oMath>
            </m:oMathPara>
          </w:p>
        </w:tc>
        <w:tc>
          <w:tcPr>
            <w:tcW w:w="4535" w:type="dxa"/>
            <w:vAlign w:val="center"/>
          </w:tcPr>
          <w:p w14:paraId="43FEC06F">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14</m:t>
                </m:r>
              </m:oMath>
            </m:oMathPara>
          </w:p>
        </w:tc>
      </w:tr>
      <w:tr w14:paraId="1DD6F3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continue"/>
            <w:vAlign w:val="center"/>
          </w:tcPr>
          <w:p w14:paraId="4E03A76B">
            <w:pPr>
              <w:jc w:val="center"/>
              <w:rPr>
                <w:rFonts w:hint="eastAsia" w:ascii="Times New Roman" w:hAnsi="Times New Roman" w:cs="Times New Roman"/>
                <w:color w:val="auto"/>
                <w:sz w:val="18"/>
                <w:szCs w:val="18"/>
                <w:highlight w:val="none"/>
                <w:lang w:val="en-US" w:eastAsia="zh-CN"/>
              </w:rPr>
            </w:pPr>
          </w:p>
        </w:tc>
        <w:tc>
          <w:tcPr>
            <w:tcW w:w="2280" w:type="dxa"/>
            <w:vAlign w:val="center"/>
          </w:tcPr>
          <w:p w14:paraId="650D1932">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10≤f≤40</m:t>
                </m:r>
              </m:oMath>
            </m:oMathPara>
          </w:p>
        </w:tc>
        <w:tc>
          <w:tcPr>
            <w:tcW w:w="4535" w:type="dxa"/>
            <w:vAlign w:val="center"/>
          </w:tcPr>
          <w:p w14:paraId="7E9831C6">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14−10×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33FDDC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restart"/>
            <w:vAlign w:val="center"/>
          </w:tcPr>
          <w:p w14:paraId="18F6569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100BASE-T1</w:t>
            </w:r>
          </w:p>
        </w:tc>
        <w:tc>
          <w:tcPr>
            <w:tcW w:w="2280" w:type="dxa"/>
            <w:vAlign w:val="center"/>
          </w:tcPr>
          <w:p w14:paraId="45A970B3">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1≤f&lt;20</m:t>
                </m:r>
              </m:oMath>
            </m:oMathPara>
          </w:p>
        </w:tc>
        <w:tc>
          <w:tcPr>
            <w:tcW w:w="4535" w:type="dxa"/>
            <w:vAlign w:val="center"/>
          </w:tcPr>
          <w:p w14:paraId="3FB0AF3F">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18</m:t>
                </m:r>
              </m:oMath>
            </m:oMathPara>
          </w:p>
        </w:tc>
      </w:tr>
      <w:tr w14:paraId="7E7C80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continue"/>
            <w:vAlign w:val="center"/>
          </w:tcPr>
          <w:p w14:paraId="1F0B4AF7">
            <w:pPr>
              <w:jc w:val="center"/>
              <w:rPr>
                <w:rFonts w:hint="eastAsia" w:ascii="Times New Roman" w:hAnsi="Times New Roman" w:cs="Times New Roman"/>
                <w:color w:val="auto"/>
                <w:sz w:val="18"/>
                <w:szCs w:val="18"/>
                <w:highlight w:val="none"/>
                <w:lang w:val="en-US" w:eastAsia="zh-CN"/>
              </w:rPr>
            </w:pPr>
          </w:p>
        </w:tc>
        <w:tc>
          <w:tcPr>
            <w:tcW w:w="2280" w:type="dxa"/>
            <w:vAlign w:val="center"/>
          </w:tcPr>
          <w:p w14:paraId="73C9A6F5">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20≤f≤66</m:t>
                </m:r>
              </m:oMath>
            </m:oMathPara>
          </w:p>
        </w:tc>
        <w:tc>
          <w:tcPr>
            <w:tcW w:w="4535" w:type="dxa"/>
            <w:vAlign w:val="center"/>
          </w:tcPr>
          <w:p w14:paraId="28E2634F">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18−10×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20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472D5C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restart"/>
            <w:vAlign w:val="center"/>
          </w:tcPr>
          <w:p w14:paraId="372836E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1000BASE-T1</w:t>
            </w:r>
          </w:p>
        </w:tc>
        <w:tc>
          <w:tcPr>
            <w:tcW w:w="2280" w:type="dxa"/>
            <w:vAlign w:val="center"/>
          </w:tcPr>
          <w:p w14:paraId="25D5B00C">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1≤f&lt;10</m:t>
                </m:r>
              </m:oMath>
            </m:oMathPara>
          </w:p>
        </w:tc>
        <w:tc>
          <w:tcPr>
            <w:tcW w:w="4535" w:type="dxa"/>
            <w:vAlign w:val="center"/>
          </w:tcPr>
          <w:p w14:paraId="0411AC5A">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19</m:t>
                </m:r>
              </m:oMath>
            </m:oMathPara>
          </w:p>
        </w:tc>
      </w:tr>
      <w:tr w14:paraId="70DC8C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continue"/>
            <w:vAlign w:val="center"/>
          </w:tcPr>
          <w:p w14:paraId="46FD3EE1">
            <w:pPr>
              <w:jc w:val="center"/>
              <w:rPr>
                <w:rFonts w:hint="eastAsia" w:ascii="Times New Roman" w:hAnsi="Times New Roman" w:cs="Times New Roman"/>
                <w:color w:val="auto"/>
                <w:sz w:val="18"/>
                <w:szCs w:val="18"/>
                <w:highlight w:val="none"/>
                <w:lang w:val="en-US" w:eastAsia="zh-CN"/>
              </w:rPr>
            </w:pPr>
          </w:p>
        </w:tc>
        <w:tc>
          <w:tcPr>
            <w:tcW w:w="2280" w:type="dxa"/>
            <w:vAlign w:val="center"/>
          </w:tcPr>
          <w:p w14:paraId="087D44AE">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10≤f&lt;40</m:t>
                </m:r>
              </m:oMath>
            </m:oMathPara>
          </w:p>
        </w:tc>
        <w:tc>
          <w:tcPr>
            <w:tcW w:w="4535" w:type="dxa"/>
            <w:vAlign w:val="center"/>
          </w:tcPr>
          <w:p w14:paraId="761EF870">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24−5×</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35DE80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continue"/>
            <w:vAlign w:val="center"/>
          </w:tcPr>
          <w:p w14:paraId="65A9B828">
            <w:pPr>
              <w:jc w:val="center"/>
              <w:rPr>
                <w:rFonts w:hint="eastAsia" w:ascii="Times New Roman" w:hAnsi="Times New Roman" w:cs="Times New Roman"/>
                <w:color w:val="auto"/>
                <w:sz w:val="18"/>
                <w:szCs w:val="18"/>
                <w:highlight w:val="none"/>
                <w:lang w:val="en-US" w:eastAsia="zh-CN"/>
              </w:rPr>
            </w:pPr>
          </w:p>
        </w:tc>
        <w:tc>
          <w:tcPr>
            <w:tcW w:w="2280" w:type="dxa"/>
            <w:vAlign w:val="center"/>
          </w:tcPr>
          <w:p w14:paraId="1B97EC76">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40≤f&lt;130</m:t>
                </m:r>
              </m:oMath>
            </m:oMathPara>
          </w:p>
        </w:tc>
        <w:tc>
          <w:tcPr>
            <w:tcW w:w="4535" w:type="dxa"/>
            <w:vAlign w:val="center"/>
          </w:tcPr>
          <w:p w14:paraId="2E9D4809">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16</m:t>
                </m:r>
              </m:oMath>
            </m:oMathPara>
          </w:p>
        </w:tc>
      </w:tr>
      <w:tr w14:paraId="5C0B3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continue"/>
            <w:vAlign w:val="center"/>
          </w:tcPr>
          <w:p w14:paraId="7D10A105">
            <w:pPr>
              <w:jc w:val="center"/>
              <w:rPr>
                <w:rFonts w:hint="eastAsia" w:ascii="Times New Roman" w:hAnsi="Times New Roman" w:cs="Times New Roman"/>
                <w:color w:val="auto"/>
                <w:sz w:val="18"/>
                <w:szCs w:val="18"/>
                <w:highlight w:val="none"/>
                <w:lang w:val="en-US" w:eastAsia="zh-CN"/>
              </w:rPr>
            </w:pPr>
          </w:p>
        </w:tc>
        <w:tc>
          <w:tcPr>
            <w:tcW w:w="2280" w:type="dxa"/>
            <w:vAlign w:val="center"/>
          </w:tcPr>
          <w:p w14:paraId="76CF7655">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130≤f&lt;400</m:t>
                </m:r>
              </m:oMath>
            </m:oMathPara>
          </w:p>
        </w:tc>
        <w:tc>
          <w:tcPr>
            <w:tcW w:w="4535" w:type="dxa"/>
            <w:vAlign w:val="center"/>
          </w:tcPr>
          <w:p w14:paraId="3A8BE297">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37−10×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57D158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continue"/>
            <w:vAlign w:val="center"/>
          </w:tcPr>
          <w:p w14:paraId="5E130561">
            <w:pPr>
              <w:jc w:val="center"/>
              <w:rPr>
                <w:rFonts w:hint="eastAsia" w:ascii="Times New Roman" w:hAnsi="Times New Roman" w:cs="Times New Roman"/>
                <w:color w:val="auto"/>
                <w:sz w:val="18"/>
                <w:szCs w:val="18"/>
                <w:highlight w:val="none"/>
                <w:lang w:val="en-US" w:eastAsia="zh-CN"/>
              </w:rPr>
            </w:pPr>
          </w:p>
        </w:tc>
        <w:tc>
          <w:tcPr>
            <w:tcW w:w="2280" w:type="dxa"/>
            <w:vAlign w:val="center"/>
          </w:tcPr>
          <w:p w14:paraId="24FF24C3">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400≤f≤600</m:t>
                </m:r>
              </m:oMath>
            </m:oMathPara>
          </w:p>
        </w:tc>
        <w:tc>
          <w:tcPr>
            <w:tcW w:w="4535" w:type="dxa"/>
            <w:vAlign w:val="center"/>
          </w:tcPr>
          <w:p w14:paraId="5C853FA9">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11</m:t>
                </m:r>
              </m:oMath>
            </m:oMathPara>
          </w:p>
        </w:tc>
      </w:tr>
      <w:tr w14:paraId="3F3106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restart"/>
            <w:vAlign w:val="center"/>
          </w:tcPr>
          <w:p w14:paraId="1CA5D1B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2.5GBASE-T1</w:t>
            </w:r>
          </w:p>
        </w:tc>
        <w:tc>
          <w:tcPr>
            <w:tcW w:w="2280" w:type="dxa"/>
            <w:vAlign w:val="center"/>
          </w:tcPr>
          <w:p w14:paraId="30637003">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1≤f&lt;240</m:t>
                </m:r>
              </m:oMath>
            </m:oMathPara>
          </w:p>
        </w:tc>
        <w:tc>
          <w:tcPr>
            <w:tcW w:w="4535" w:type="dxa"/>
            <w:vAlign w:val="center"/>
          </w:tcPr>
          <w:p w14:paraId="58836BE4">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20</m:t>
                </m:r>
              </m:oMath>
            </m:oMathPara>
          </w:p>
        </w:tc>
      </w:tr>
      <w:tr w14:paraId="5BE4BA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continue"/>
            <w:vAlign w:val="center"/>
          </w:tcPr>
          <w:p w14:paraId="33CF36CB">
            <w:pPr>
              <w:jc w:val="center"/>
              <w:rPr>
                <w:rFonts w:hint="eastAsia" w:ascii="Times New Roman" w:hAnsi="Times New Roman" w:cs="Times New Roman"/>
                <w:color w:val="auto"/>
                <w:sz w:val="18"/>
                <w:szCs w:val="18"/>
                <w:highlight w:val="none"/>
                <w:lang w:val="en-US" w:eastAsia="zh-CN"/>
              </w:rPr>
            </w:pPr>
          </w:p>
        </w:tc>
        <w:tc>
          <w:tcPr>
            <w:tcW w:w="2280" w:type="dxa"/>
            <w:vAlign w:val="center"/>
          </w:tcPr>
          <w:p w14:paraId="56223B69">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240≤f≤1000</m:t>
                </m:r>
              </m:oMath>
            </m:oMathPara>
          </w:p>
        </w:tc>
        <w:tc>
          <w:tcPr>
            <w:tcW w:w="4535" w:type="dxa"/>
            <w:vAlign w:val="center"/>
          </w:tcPr>
          <w:p w14:paraId="53825ABF">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20−10×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240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68FD07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restart"/>
            <w:vAlign w:val="center"/>
          </w:tcPr>
          <w:p w14:paraId="0B5CAC0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5GBASE-T1</w:t>
            </w:r>
          </w:p>
        </w:tc>
        <w:tc>
          <w:tcPr>
            <w:tcW w:w="2280" w:type="dxa"/>
            <w:vAlign w:val="center"/>
          </w:tcPr>
          <w:p w14:paraId="6E73B931">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1≤f&lt;</m:t>
                </m:r>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480</m:t>
                    </m:r>
                    <m:ctrlPr>
                      <w:rPr>
                        <w:rFonts w:hint="eastAsia" w:ascii="Cambria Math" w:hAnsi="Cambria Math" w:cs="Times New Roman"/>
                        <w:color w:val="auto"/>
                        <w:sz w:val="18"/>
                        <w:szCs w:val="18"/>
                        <w:highlight w:val="none"/>
                        <w:lang w:val="en-US" w:eastAsia="zh-CN"/>
                      </w:rPr>
                    </m:ctrlPr>
                  </m:num>
                  <m:den>
                    <m:sSup>
                      <m:sSupPr>
                        <m:ctrlPr>
                          <w:rPr>
                            <w:rFonts w:hint="eastAsia" w:ascii="Cambria Math" w:hAnsi="Cambria Math" w:cs="Times New Roman"/>
                            <w:color w:val="auto"/>
                            <w:sz w:val="18"/>
                            <w:szCs w:val="18"/>
                            <w:highlight w:val="none"/>
                            <w:lang w:val="en-US" w:eastAsia="zh-CN"/>
                          </w:rPr>
                        </m:ctrlPr>
                      </m:sSupPr>
                      <m:e>
                        <m:r>
                          <m:rPr>
                            <m:sty m:val="p"/>
                          </m:rPr>
                          <w:rPr>
                            <w:rFonts w:hint="eastAsia" w:ascii="Cambria Math" w:hAnsi="Cambria Math" w:cs="Times New Roman"/>
                            <w:color w:val="auto"/>
                            <w:sz w:val="18"/>
                            <w:szCs w:val="18"/>
                            <w:highlight w:val="none"/>
                            <w:lang w:val="en-US" w:eastAsia="zh-CN"/>
                          </w:rPr>
                          <m:t>2</m:t>
                        </m:r>
                        <m:ctrlPr>
                          <w:rPr>
                            <w:rFonts w:hint="eastAsia" w:ascii="Cambria Math" w:hAnsi="Cambria Math" w:cs="Times New Roman"/>
                            <w:color w:val="auto"/>
                            <w:sz w:val="18"/>
                            <w:szCs w:val="18"/>
                            <w:highlight w:val="none"/>
                            <w:lang w:val="en-US" w:eastAsia="zh-CN"/>
                          </w:rPr>
                        </m:ctrlPr>
                      </m:e>
                      <m:sup>
                        <m:r>
                          <m:rPr>
                            <m:sty m:val="p"/>
                          </m:rPr>
                          <w:rPr>
                            <w:rFonts w:hint="eastAsia" w:ascii="Cambria Math" w:hAnsi="Cambria Math" w:cs="Times New Roman"/>
                            <w:color w:val="auto"/>
                            <w:sz w:val="18"/>
                            <w:szCs w:val="18"/>
                            <w:highlight w:val="none"/>
                            <w:lang w:val="en-US" w:eastAsia="zh-CN"/>
                          </w:rPr>
                          <m:t>N</m:t>
                        </m:r>
                        <m:ctrlPr>
                          <w:rPr>
                            <w:rFonts w:hint="eastAsia" w:ascii="Cambria Math" w:hAnsi="Cambria Math" w:cs="Times New Roman"/>
                            <w:color w:val="auto"/>
                            <w:sz w:val="18"/>
                            <w:szCs w:val="18"/>
                            <w:highlight w:val="none"/>
                            <w:lang w:val="en-US" w:eastAsia="zh-CN"/>
                          </w:rPr>
                        </m:ctrlPr>
                      </m:sup>
                    </m:sSup>
                    <m:ctrlPr>
                      <w:rPr>
                        <w:rFonts w:hint="eastAsia" w:ascii="Cambria Math" w:hAnsi="Cambria Math" w:cs="Times New Roman"/>
                        <w:color w:val="auto"/>
                        <w:sz w:val="18"/>
                        <w:szCs w:val="18"/>
                        <w:highlight w:val="none"/>
                        <w:lang w:val="en-US" w:eastAsia="zh-CN"/>
                      </w:rPr>
                    </m:ctrlPr>
                  </m:den>
                </m:f>
              </m:oMath>
            </m:oMathPara>
          </w:p>
        </w:tc>
        <w:tc>
          <w:tcPr>
            <w:tcW w:w="4535" w:type="dxa"/>
            <w:vAlign w:val="center"/>
          </w:tcPr>
          <w:p w14:paraId="134FF7DB">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20</m:t>
                </m:r>
              </m:oMath>
            </m:oMathPara>
          </w:p>
        </w:tc>
      </w:tr>
      <w:tr w14:paraId="2BB6A3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continue"/>
            <w:vAlign w:val="center"/>
          </w:tcPr>
          <w:p w14:paraId="65A55DC1">
            <w:pPr>
              <w:jc w:val="center"/>
              <w:rPr>
                <w:rFonts w:hint="eastAsia" w:ascii="Times New Roman" w:hAnsi="Times New Roman" w:cs="Times New Roman"/>
                <w:color w:val="auto"/>
                <w:sz w:val="18"/>
                <w:szCs w:val="18"/>
                <w:highlight w:val="none"/>
                <w:lang w:val="en-US" w:eastAsia="zh-CN"/>
              </w:rPr>
            </w:pPr>
          </w:p>
        </w:tc>
        <w:tc>
          <w:tcPr>
            <w:tcW w:w="2280" w:type="dxa"/>
            <w:vAlign w:val="center"/>
          </w:tcPr>
          <w:p w14:paraId="54532C77">
            <w:pPr>
              <w:jc w:val="center"/>
              <w:rPr>
                <w:rFonts w:hint="eastAsia" w:ascii="Times New Roman" w:hAnsi="Times New Roman" w:cs="Times New Roman"/>
                <w:color w:val="auto"/>
                <w:sz w:val="18"/>
                <w:szCs w:val="18"/>
                <w:highlight w:val="none"/>
                <w:lang w:val="en-US" w:eastAsia="zh-CN"/>
              </w:rPr>
            </w:pPr>
            <m:oMathPara>
              <m:oMath>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480</m:t>
                    </m:r>
                    <m:ctrlPr>
                      <w:rPr>
                        <w:rFonts w:hint="eastAsia" w:ascii="Cambria Math" w:hAnsi="Cambria Math" w:cs="Times New Roman"/>
                        <w:color w:val="auto"/>
                        <w:sz w:val="18"/>
                        <w:szCs w:val="18"/>
                        <w:highlight w:val="none"/>
                        <w:lang w:val="en-US" w:eastAsia="zh-CN"/>
                      </w:rPr>
                    </m:ctrlPr>
                  </m:num>
                  <m:den>
                    <m:sSup>
                      <m:sSupPr>
                        <m:ctrlPr>
                          <w:rPr>
                            <w:rFonts w:hint="eastAsia" w:ascii="Cambria Math" w:hAnsi="Cambria Math" w:cs="Times New Roman"/>
                            <w:color w:val="auto"/>
                            <w:sz w:val="18"/>
                            <w:szCs w:val="18"/>
                            <w:highlight w:val="none"/>
                            <w:lang w:val="en-US" w:eastAsia="zh-CN"/>
                          </w:rPr>
                        </m:ctrlPr>
                      </m:sSupPr>
                      <m:e>
                        <m:r>
                          <m:rPr>
                            <m:sty m:val="p"/>
                          </m:rPr>
                          <w:rPr>
                            <w:rFonts w:hint="eastAsia" w:ascii="Cambria Math" w:hAnsi="Cambria Math" w:cs="Times New Roman"/>
                            <w:color w:val="auto"/>
                            <w:sz w:val="18"/>
                            <w:szCs w:val="18"/>
                            <w:highlight w:val="none"/>
                            <w:lang w:val="en-US" w:eastAsia="zh-CN"/>
                          </w:rPr>
                          <m:t>2</m:t>
                        </m:r>
                        <m:ctrlPr>
                          <w:rPr>
                            <w:rFonts w:hint="eastAsia" w:ascii="Cambria Math" w:hAnsi="Cambria Math" w:cs="Times New Roman"/>
                            <w:color w:val="auto"/>
                            <w:sz w:val="18"/>
                            <w:szCs w:val="18"/>
                            <w:highlight w:val="none"/>
                            <w:lang w:val="en-US" w:eastAsia="zh-CN"/>
                          </w:rPr>
                        </m:ctrlPr>
                      </m:e>
                      <m:sup>
                        <m:r>
                          <m:rPr>
                            <m:sty m:val="p"/>
                          </m:rPr>
                          <w:rPr>
                            <w:rFonts w:hint="eastAsia" w:ascii="Cambria Math" w:hAnsi="Cambria Math" w:cs="Times New Roman"/>
                            <w:color w:val="auto"/>
                            <w:sz w:val="18"/>
                            <w:szCs w:val="18"/>
                            <w:highlight w:val="none"/>
                            <w:lang w:val="en-US" w:eastAsia="zh-CN"/>
                          </w:rPr>
                          <m:t>N</m:t>
                        </m:r>
                        <m:ctrlPr>
                          <w:rPr>
                            <w:rFonts w:hint="eastAsia" w:ascii="Cambria Math" w:hAnsi="Cambria Math" w:cs="Times New Roman"/>
                            <w:color w:val="auto"/>
                            <w:sz w:val="18"/>
                            <w:szCs w:val="18"/>
                            <w:highlight w:val="none"/>
                            <w:lang w:val="en-US" w:eastAsia="zh-CN"/>
                          </w:rPr>
                        </m:ctrlPr>
                      </m:sup>
                    </m:sSup>
                    <m:ctrlPr>
                      <w:rPr>
                        <w:rFonts w:hint="eastAsia" w:ascii="Cambria Math" w:hAnsi="Cambria Math" w:cs="Times New Roman"/>
                        <w:color w:val="auto"/>
                        <w:sz w:val="18"/>
                        <w:szCs w:val="18"/>
                        <w:highlight w:val="none"/>
                        <w:lang w:val="en-US" w:eastAsia="zh-CN"/>
                      </w:rPr>
                    </m:ctrlPr>
                  </m:den>
                </m:f>
                <m:r>
                  <m:rPr>
                    <m:sty m:val="p"/>
                  </m:rPr>
                  <w:rPr>
                    <w:rFonts w:hint="eastAsia" w:ascii="Cambria Math" w:hAnsi="Cambria Math" w:cs="Times New Roman"/>
                    <w:color w:val="auto"/>
                    <w:sz w:val="18"/>
                    <w:szCs w:val="18"/>
                    <w:highlight w:val="none"/>
                    <w:lang w:val="en-US" w:eastAsia="zh-CN"/>
                  </w:rPr>
                  <m:t>≤f≤2000</m:t>
                </m:r>
              </m:oMath>
            </m:oMathPara>
          </w:p>
        </w:tc>
        <w:tc>
          <w:tcPr>
            <w:tcW w:w="4535" w:type="dxa"/>
            <w:vAlign w:val="center"/>
          </w:tcPr>
          <w:p w14:paraId="0D28A8EF">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20−10×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d>
                              <m:dPr>
                                <m:ctrlPr>
                                  <w:rPr>
                                    <w:rFonts w:hint="eastAsia" w:ascii="Cambria Math" w:hAnsi="Cambria Math" w:cs="Times New Roman"/>
                                    <w:color w:val="auto"/>
                                    <w:sz w:val="18"/>
                                    <w:szCs w:val="18"/>
                                    <w:highlight w:val="none"/>
                                    <w:lang w:val="en-US" w:eastAsia="zh-CN"/>
                                  </w:rPr>
                                </m:ctrlPr>
                              </m:dPr>
                              <m:e>
                                <m:sSup>
                                  <m:sSupPr>
                                    <m:ctrlPr>
                                      <w:rPr>
                                        <w:rFonts w:hint="eastAsia" w:ascii="Cambria Math" w:hAnsi="Cambria Math" w:cs="Times New Roman"/>
                                        <w:color w:val="auto"/>
                                        <w:sz w:val="18"/>
                                        <w:szCs w:val="18"/>
                                        <w:highlight w:val="none"/>
                                        <w:lang w:val="en-US" w:eastAsia="zh-CN"/>
                                      </w:rPr>
                                    </m:ctrlPr>
                                  </m:sSupPr>
                                  <m:e>
                                    <m:r>
                                      <m:rPr>
                                        <m:sty m:val="p"/>
                                      </m:rPr>
                                      <w:rPr>
                                        <w:rFonts w:hint="eastAsia" w:ascii="Cambria Math" w:hAnsi="Cambria Math" w:cs="Times New Roman"/>
                                        <w:color w:val="auto"/>
                                        <w:sz w:val="18"/>
                                        <w:szCs w:val="18"/>
                                        <w:highlight w:val="none"/>
                                        <w:lang w:val="en-US" w:eastAsia="zh-CN"/>
                                      </w:rPr>
                                      <m:t>2</m:t>
                                    </m:r>
                                    <m:ctrlPr>
                                      <w:rPr>
                                        <w:rFonts w:hint="eastAsia" w:ascii="Cambria Math" w:hAnsi="Cambria Math" w:cs="Times New Roman"/>
                                        <w:color w:val="auto"/>
                                        <w:sz w:val="18"/>
                                        <w:szCs w:val="18"/>
                                        <w:highlight w:val="none"/>
                                        <w:lang w:val="en-US" w:eastAsia="zh-CN"/>
                                      </w:rPr>
                                    </m:ctrlPr>
                                  </m:e>
                                  <m:sup>
                                    <m:r>
                                      <m:rPr>
                                        <m:sty m:val="p"/>
                                      </m:rPr>
                                      <w:rPr>
                                        <w:rFonts w:hint="eastAsia" w:ascii="Cambria Math" w:hAnsi="Cambria Math" w:cs="Times New Roman"/>
                                        <w:color w:val="auto"/>
                                        <w:sz w:val="18"/>
                                        <w:szCs w:val="18"/>
                                        <w:highlight w:val="none"/>
                                        <w:lang w:val="en-US" w:eastAsia="zh-CN"/>
                                      </w:rPr>
                                      <m:t>N</m:t>
                                    </m:r>
                                    <m:ctrlPr>
                                      <w:rPr>
                                        <w:rFonts w:hint="eastAsia" w:ascii="Cambria Math" w:hAnsi="Cambria Math" w:cs="Times New Roman"/>
                                        <w:color w:val="auto"/>
                                        <w:sz w:val="18"/>
                                        <w:szCs w:val="18"/>
                                        <w:highlight w:val="none"/>
                                        <w:lang w:val="en-US" w:eastAsia="zh-CN"/>
                                      </w:rPr>
                                    </m:ctrlPr>
                                  </m:sup>
                                </m:sSup>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480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14CE9E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restart"/>
            <w:vAlign w:val="center"/>
          </w:tcPr>
          <w:p w14:paraId="1B97F92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10GBASE-T1</w:t>
            </w:r>
          </w:p>
        </w:tc>
        <w:tc>
          <w:tcPr>
            <w:tcW w:w="2280" w:type="dxa"/>
            <w:vAlign w:val="center"/>
          </w:tcPr>
          <w:p w14:paraId="33D6BE66">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1≤f&lt;</m:t>
                </m:r>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480</m:t>
                    </m:r>
                    <m:ctrlPr>
                      <w:rPr>
                        <w:rFonts w:hint="eastAsia" w:ascii="Cambria Math" w:hAnsi="Cambria Math" w:cs="Times New Roman"/>
                        <w:color w:val="auto"/>
                        <w:sz w:val="18"/>
                        <w:szCs w:val="18"/>
                        <w:highlight w:val="none"/>
                        <w:lang w:val="en-US" w:eastAsia="zh-CN"/>
                      </w:rPr>
                    </m:ctrlPr>
                  </m:num>
                  <m:den>
                    <m:sSup>
                      <m:sSupPr>
                        <m:ctrlPr>
                          <w:rPr>
                            <w:rFonts w:hint="eastAsia" w:ascii="Cambria Math" w:hAnsi="Cambria Math" w:cs="Times New Roman"/>
                            <w:color w:val="auto"/>
                            <w:sz w:val="18"/>
                            <w:szCs w:val="18"/>
                            <w:highlight w:val="none"/>
                            <w:lang w:val="en-US" w:eastAsia="zh-CN"/>
                          </w:rPr>
                        </m:ctrlPr>
                      </m:sSupPr>
                      <m:e>
                        <m:r>
                          <m:rPr>
                            <m:sty m:val="p"/>
                          </m:rPr>
                          <w:rPr>
                            <w:rFonts w:hint="eastAsia" w:ascii="Cambria Math" w:hAnsi="Cambria Math" w:cs="Times New Roman"/>
                            <w:color w:val="auto"/>
                            <w:sz w:val="18"/>
                            <w:szCs w:val="18"/>
                            <w:highlight w:val="none"/>
                            <w:lang w:val="en-US" w:eastAsia="zh-CN"/>
                          </w:rPr>
                          <m:t>2</m:t>
                        </m:r>
                        <m:ctrlPr>
                          <w:rPr>
                            <w:rFonts w:hint="eastAsia" w:ascii="Cambria Math" w:hAnsi="Cambria Math" w:cs="Times New Roman"/>
                            <w:color w:val="auto"/>
                            <w:sz w:val="18"/>
                            <w:szCs w:val="18"/>
                            <w:highlight w:val="none"/>
                            <w:lang w:val="en-US" w:eastAsia="zh-CN"/>
                          </w:rPr>
                        </m:ctrlPr>
                      </m:e>
                      <m:sup>
                        <m:r>
                          <m:rPr>
                            <m:sty m:val="p"/>
                          </m:rPr>
                          <w:rPr>
                            <w:rFonts w:hint="eastAsia" w:ascii="Cambria Math" w:hAnsi="Cambria Math" w:cs="Times New Roman"/>
                            <w:color w:val="auto"/>
                            <w:sz w:val="18"/>
                            <w:szCs w:val="18"/>
                            <w:highlight w:val="none"/>
                            <w:lang w:val="en-US" w:eastAsia="zh-CN"/>
                          </w:rPr>
                          <m:t>N</m:t>
                        </m:r>
                        <m:ctrlPr>
                          <w:rPr>
                            <w:rFonts w:hint="eastAsia" w:ascii="Cambria Math" w:hAnsi="Cambria Math" w:cs="Times New Roman"/>
                            <w:color w:val="auto"/>
                            <w:sz w:val="18"/>
                            <w:szCs w:val="18"/>
                            <w:highlight w:val="none"/>
                            <w:lang w:val="en-US" w:eastAsia="zh-CN"/>
                          </w:rPr>
                        </m:ctrlPr>
                      </m:sup>
                    </m:sSup>
                    <m:ctrlPr>
                      <w:rPr>
                        <w:rFonts w:hint="eastAsia" w:ascii="Cambria Math" w:hAnsi="Cambria Math" w:cs="Times New Roman"/>
                        <w:color w:val="auto"/>
                        <w:sz w:val="18"/>
                        <w:szCs w:val="18"/>
                        <w:highlight w:val="none"/>
                        <w:lang w:val="en-US" w:eastAsia="zh-CN"/>
                      </w:rPr>
                    </m:ctrlPr>
                  </m:den>
                </m:f>
              </m:oMath>
            </m:oMathPara>
          </w:p>
        </w:tc>
        <w:tc>
          <w:tcPr>
            <w:tcW w:w="4535" w:type="dxa"/>
            <w:vAlign w:val="center"/>
          </w:tcPr>
          <w:p w14:paraId="213D84C8">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20</m:t>
                </m:r>
              </m:oMath>
            </m:oMathPara>
          </w:p>
        </w:tc>
      </w:tr>
      <w:tr w14:paraId="66875E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continue"/>
            <w:vAlign w:val="center"/>
          </w:tcPr>
          <w:p w14:paraId="56F9CF91">
            <w:pPr>
              <w:jc w:val="center"/>
              <w:rPr>
                <w:rFonts w:hint="eastAsia" w:ascii="Times New Roman" w:hAnsi="Times New Roman" w:cs="Times New Roman"/>
                <w:color w:val="auto"/>
                <w:sz w:val="18"/>
                <w:szCs w:val="18"/>
                <w:highlight w:val="none"/>
                <w:lang w:val="en-US" w:eastAsia="zh-CN"/>
              </w:rPr>
            </w:pPr>
          </w:p>
        </w:tc>
        <w:tc>
          <w:tcPr>
            <w:tcW w:w="2280" w:type="dxa"/>
            <w:vAlign w:val="center"/>
          </w:tcPr>
          <w:p w14:paraId="273669FB">
            <w:pPr>
              <w:jc w:val="center"/>
              <w:rPr>
                <w:rFonts w:hint="eastAsia" w:ascii="Times New Roman" w:hAnsi="Times New Roman" w:cs="Times New Roman"/>
                <w:color w:val="auto"/>
                <w:sz w:val="18"/>
                <w:szCs w:val="18"/>
                <w:highlight w:val="none"/>
                <w:lang w:val="en-US" w:eastAsia="zh-CN"/>
              </w:rPr>
            </w:pPr>
            <m:oMathPara>
              <m:oMath>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480</m:t>
                    </m:r>
                    <m:ctrlPr>
                      <w:rPr>
                        <w:rFonts w:hint="eastAsia" w:ascii="Cambria Math" w:hAnsi="Cambria Math" w:cs="Times New Roman"/>
                        <w:color w:val="auto"/>
                        <w:sz w:val="18"/>
                        <w:szCs w:val="18"/>
                        <w:highlight w:val="none"/>
                        <w:lang w:val="en-US" w:eastAsia="zh-CN"/>
                      </w:rPr>
                    </m:ctrlPr>
                  </m:num>
                  <m:den>
                    <m:sSup>
                      <m:sSupPr>
                        <m:ctrlPr>
                          <w:rPr>
                            <w:rFonts w:hint="eastAsia" w:ascii="Cambria Math" w:hAnsi="Cambria Math" w:cs="Times New Roman"/>
                            <w:color w:val="auto"/>
                            <w:sz w:val="18"/>
                            <w:szCs w:val="18"/>
                            <w:highlight w:val="none"/>
                            <w:lang w:val="en-US" w:eastAsia="zh-CN"/>
                          </w:rPr>
                        </m:ctrlPr>
                      </m:sSupPr>
                      <m:e>
                        <m:r>
                          <m:rPr>
                            <m:sty m:val="p"/>
                          </m:rPr>
                          <w:rPr>
                            <w:rFonts w:hint="eastAsia" w:ascii="Cambria Math" w:hAnsi="Cambria Math" w:cs="Times New Roman"/>
                            <w:color w:val="auto"/>
                            <w:sz w:val="18"/>
                            <w:szCs w:val="18"/>
                            <w:highlight w:val="none"/>
                            <w:lang w:val="en-US" w:eastAsia="zh-CN"/>
                          </w:rPr>
                          <m:t>2</m:t>
                        </m:r>
                        <m:ctrlPr>
                          <w:rPr>
                            <w:rFonts w:hint="eastAsia" w:ascii="Cambria Math" w:hAnsi="Cambria Math" w:cs="Times New Roman"/>
                            <w:color w:val="auto"/>
                            <w:sz w:val="18"/>
                            <w:szCs w:val="18"/>
                            <w:highlight w:val="none"/>
                            <w:lang w:val="en-US" w:eastAsia="zh-CN"/>
                          </w:rPr>
                        </m:ctrlPr>
                      </m:e>
                      <m:sup>
                        <m:r>
                          <m:rPr>
                            <m:sty m:val="p"/>
                          </m:rPr>
                          <w:rPr>
                            <w:rFonts w:hint="eastAsia" w:ascii="Cambria Math" w:hAnsi="Cambria Math" w:cs="Times New Roman"/>
                            <w:color w:val="auto"/>
                            <w:sz w:val="18"/>
                            <w:szCs w:val="18"/>
                            <w:highlight w:val="none"/>
                            <w:lang w:val="en-US" w:eastAsia="zh-CN"/>
                          </w:rPr>
                          <m:t>N</m:t>
                        </m:r>
                        <m:ctrlPr>
                          <w:rPr>
                            <w:rFonts w:hint="eastAsia" w:ascii="Cambria Math" w:hAnsi="Cambria Math" w:cs="Times New Roman"/>
                            <w:color w:val="auto"/>
                            <w:sz w:val="18"/>
                            <w:szCs w:val="18"/>
                            <w:highlight w:val="none"/>
                            <w:lang w:val="en-US" w:eastAsia="zh-CN"/>
                          </w:rPr>
                        </m:ctrlPr>
                      </m:sup>
                    </m:sSup>
                    <m:ctrlPr>
                      <w:rPr>
                        <w:rFonts w:hint="eastAsia" w:ascii="Cambria Math" w:hAnsi="Cambria Math" w:cs="Times New Roman"/>
                        <w:color w:val="auto"/>
                        <w:sz w:val="18"/>
                        <w:szCs w:val="18"/>
                        <w:highlight w:val="none"/>
                        <w:lang w:val="en-US" w:eastAsia="zh-CN"/>
                      </w:rPr>
                    </m:ctrlPr>
                  </m:den>
                </m:f>
                <m:r>
                  <m:rPr>
                    <m:sty m:val="p"/>
                  </m:rPr>
                  <w:rPr>
                    <w:rFonts w:hint="eastAsia" w:ascii="Cambria Math" w:hAnsi="Cambria Math" w:cs="Times New Roman"/>
                    <w:color w:val="auto"/>
                    <w:sz w:val="18"/>
                    <w:szCs w:val="18"/>
                    <w:highlight w:val="none"/>
                    <w:lang w:val="en-US" w:eastAsia="zh-CN"/>
                  </w:rPr>
                  <m:t>≤f&lt;3000</m:t>
                </m:r>
              </m:oMath>
            </m:oMathPara>
          </w:p>
        </w:tc>
        <w:tc>
          <w:tcPr>
            <w:tcW w:w="4535" w:type="dxa"/>
            <w:vAlign w:val="center"/>
          </w:tcPr>
          <w:p w14:paraId="3E1C2666">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20−10×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d>
                              <m:dPr>
                                <m:ctrlPr>
                                  <w:rPr>
                                    <w:rFonts w:hint="eastAsia" w:ascii="Cambria Math" w:hAnsi="Cambria Math" w:cs="Times New Roman"/>
                                    <w:color w:val="auto"/>
                                    <w:sz w:val="18"/>
                                    <w:szCs w:val="18"/>
                                    <w:highlight w:val="none"/>
                                    <w:lang w:val="en-US" w:eastAsia="zh-CN"/>
                                  </w:rPr>
                                </m:ctrlPr>
                              </m:dPr>
                              <m:e>
                                <m:sSup>
                                  <m:sSupPr>
                                    <m:ctrlPr>
                                      <w:rPr>
                                        <w:rFonts w:hint="eastAsia" w:ascii="Cambria Math" w:hAnsi="Cambria Math" w:cs="Times New Roman"/>
                                        <w:color w:val="auto"/>
                                        <w:sz w:val="18"/>
                                        <w:szCs w:val="18"/>
                                        <w:highlight w:val="none"/>
                                        <w:lang w:val="en-US" w:eastAsia="zh-CN"/>
                                      </w:rPr>
                                    </m:ctrlPr>
                                  </m:sSupPr>
                                  <m:e>
                                    <m:r>
                                      <m:rPr>
                                        <m:sty m:val="p"/>
                                      </m:rPr>
                                      <w:rPr>
                                        <w:rFonts w:hint="eastAsia" w:ascii="Cambria Math" w:hAnsi="Cambria Math" w:cs="Times New Roman"/>
                                        <w:color w:val="auto"/>
                                        <w:sz w:val="18"/>
                                        <w:szCs w:val="18"/>
                                        <w:highlight w:val="none"/>
                                        <w:lang w:val="en-US" w:eastAsia="zh-CN"/>
                                      </w:rPr>
                                      <m:t>2</m:t>
                                    </m:r>
                                    <m:ctrlPr>
                                      <w:rPr>
                                        <w:rFonts w:hint="eastAsia" w:ascii="Cambria Math" w:hAnsi="Cambria Math" w:cs="Times New Roman"/>
                                        <w:color w:val="auto"/>
                                        <w:sz w:val="18"/>
                                        <w:szCs w:val="18"/>
                                        <w:highlight w:val="none"/>
                                        <w:lang w:val="en-US" w:eastAsia="zh-CN"/>
                                      </w:rPr>
                                    </m:ctrlPr>
                                  </m:e>
                                  <m:sup>
                                    <m:r>
                                      <m:rPr>
                                        <m:sty m:val="p"/>
                                      </m:rPr>
                                      <w:rPr>
                                        <w:rFonts w:hint="eastAsia" w:ascii="Cambria Math" w:hAnsi="Cambria Math" w:cs="Times New Roman"/>
                                        <w:color w:val="auto"/>
                                        <w:sz w:val="18"/>
                                        <w:szCs w:val="18"/>
                                        <w:highlight w:val="none"/>
                                        <w:lang w:val="en-US" w:eastAsia="zh-CN"/>
                                      </w:rPr>
                                      <m:t>N</m:t>
                                    </m:r>
                                    <m:ctrlPr>
                                      <w:rPr>
                                        <w:rFonts w:hint="eastAsia" w:ascii="Cambria Math" w:hAnsi="Cambria Math" w:cs="Times New Roman"/>
                                        <w:color w:val="auto"/>
                                        <w:sz w:val="18"/>
                                        <w:szCs w:val="18"/>
                                        <w:highlight w:val="none"/>
                                        <w:lang w:val="en-US" w:eastAsia="zh-CN"/>
                                      </w:rPr>
                                    </m:ctrlPr>
                                  </m:sup>
                                </m:sSup>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480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6C318F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continue"/>
            <w:vAlign w:val="center"/>
          </w:tcPr>
          <w:p w14:paraId="7B50099E">
            <w:pPr>
              <w:jc w:val="center"/>
              <w:rPr>
                <w:rFonts w:hint="eastAsia" w:ascii="Times New Roman" w:hAnsi="Times New Roman" w:cs="Times New Roman"/>
                <w:color w:val="auto"/>
                <w:sz w:val="18"/>
                <w:szCs w:val="18"/>
                <w:highlight w:val="none"/>
                <w:lang w:val="en-US" w:eastAsia="zh-CN"/>
              </w:rPr>
            </w:pPr>
          </w:p>
        </w:tc>
        <w:tc>
          <w:tcPr>
            <w:tcW w:w="2280" w:type="dxa"/>
            <w:vAlign w:val="center"/>
          </w:tcPr>
          <w:p w14:paraId="6930D7C2">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3000≤f≤4000</m:t>
                </m:r>
              </m:oMath>
            </m:oMathPara>
          </w:p>
        </w:tc>
        <w:tc>
          <w:tcPr>
            <w:tcW w:w="4535" w:type="dxa"/>
            <w:vAlign w:val="center"/>
          </w:tcPr>
          <w:p w14:paraId="050EE0F4">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12−3N</m:t>
                </m:r>
              </m:oMath>
            </m:oMathPara>
          </w:p>
        </w:tc>
      </w:tr>
      <w:tr w14:paraId="68B206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restart"/>
            <w:vAlign w:val="center"/>
          </w:tcPr>
          <w:p w14:paraId="6519F8B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25GBASE-T1</w:t>
            </w:r>
          </w:p>
        </w:tc>
        <w:tc>
          <w:tcPr>
            <w:tcW w:w="2280" w:type="dxa"/>
            <w:vAlign w:val="center"/>
          </w:tcPr>
          <w:p w14:paraId="3B63275F">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10≤f&lt;480</m:t>
                </m:r>
              </m:oMath>
            </m:oMathPara>
          </w:p>
        </w:tc>
        <w:tc>
          <w:tcPr>
            <w:tcW w:w="4535" w:type="dxa"/>
            <w:vAlign w:val="center"/>
          </w:tcPr>
          <w:p w14:paraId="259221D8">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20</m:t>
                </m:r>
              </m:oMath>
            </m:oMathPara>
          </w:p>
        </w:tc>
      </w:tr>
      <w:tr w14:paraId="591037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continue"/>
            <w:vAlign w:val="center"/>
          </w:tcPr>
          <w:p w14:paraId="5BF210EE">
            <w:pPr>
              <w:jc w:val="center"/>
              <w:rPr>
                <w:rFonts w:hint="eastAsia" w:ascii="Times New Roman" w:hAnsi="Times New Roman" w:cs="Times New Roman"/>
                <w:color w:val="auto"/>
                <w:sz w:val="18"/>
                <w:szCs w:val="18"/>
                <w:highlight w:val="none"/>
                <w:lang w:val="en-US" w:eastAsia="zh-CN"/>
              </w:rPr>
            </w:pPr>
          </w:p>
        </w:tc>
        <w:tc>
          <w:tcPr>
            <w:tcW w:w="2280" w:type="dxa"/>
            <w:vAlign w:val="center"/>
          </w:tcPr>
          <w:p w14:paraId="1FEE3ADB">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480≤f&lt;7600</m:t>
                </m:r>
              </m:oMath>
            </m:oMathPara>
          </w:p>
        </w:tc>
        <w:tc>
          <w:tcPr>
            <w:tcW w:w="4535" w:type="dxa"/>
            <w:vAlign w:val="center"/>
          </w:tcPr>
          <w:p w14:paraId="038D7240">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20−10×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480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5C3DA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vMerge w:val="continue"/>
            <w:vAlign w:val="center"/>
          </w:tcPr>
          <w:p w14:paraId="6CD23F15">
            <w:pPr>
              <w:jc w:val="center"/>
              <w:rPr>
                <w:rFonts w:hint="eastAsia" w:ascii="Times New Roman" w:hAnsi="Times New Roman" w:cs="Times New Roman"/>
                <w:color w:val="auto"/>
                <w:sz w:val="18"/>
                <w:szCs w:val="18"/>
                <w:highlight w:val="none"/>
                <w:lang w:val="en-US" w:eastAsia="zh-CN"/>
              </w:rPr>
            </w:pPr>
          </w:p>
        </w:tc>
        <w:tc>
          <w:tcPr>
            <w:tcW w:w="2280" w:type="dxa"/>
            <w:vAlign w:val="center"/>
          </w:tcPr>
          <w:p w14:paraId="05A22D48">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7600≤f≤9000</m:t>
                </m:r>
              </m:oMath>
            </m:oMathPara>
          </w:p>
        </w:tc>
        <w:tc>
          <w:tcPr>
            <w:tcW w:w="4535" w:type="dxa"/>
            <w:vAlign w:val="center"/>
          </w:tcPr>
          <w:p w14:paraId="16696C0C">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8</m:t>
                </m:r>
              </m:oMath>
            </m:oMathPara>
          </w:p>
        </w:tc>
      </w:tr>
      <w:tr w14:paraId="62FF64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7" w:type="dxa"/>
            <w:gridSpan w:val="3"/>
            <w:vAlign w:val="center"/>
          </w:tcPr>
          <w:p w14:paraId="7541F15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5GBASE-T1：</w:t>
            </w:r>
            <m:oMath>
              <m:r>
                <m:rPr>
                  <m:sty m:val="p"/>
                </m:rPr>
                <w:rPr>
                  <w:rFonts w:hint="eastAsia" w:ascii="Cambria Math" w:hAnsi="Cambria Math" w:cs="Times New Roman"/>
                  <w:color w:val="auto"/>
                  <w:sz w:val="18"/>
                  <w:szCs w:val="18"/>
                  <w:highlight w:val="none"/>
                  <w:lang w:val="en-US" w:eastAsia="zh-CN"/>
                </w:rPr>
                <m:t>N=</m:t>
              </m:r>
              <m:d>
                <m:dPr>
                  <m:begChr m:val="{"/>
                  <m:endChr m:val=""/>
                  <m:ctrlPr>
                    <w:rPr>
                      <w:rFonts w:hint="eastAsia" w:ascii="Cambria Math" w:hAnsi="Cambria Math" w:cs="Times New Roman"/>
                      <w:color w:val="auto"/>
                      <w:sz w:val="18"/>
                      <w:szCs w:val="18"/>
                      <w:highlight w:val="none"/>
                      <w:lang w:val="en-US" w:eastAsia="zh-CN"/>
                    </w:rPr>
                  </m:ctrlPr>
                </m:dPr>
                <m:e>
                  <m:eqArr>
                    <m:eqArrPr>
                      <m:ctrlPr>
                        <w:rPr>
                          <w:rFonts w:hint="eastAsia" w:ascii="Cambria Math" w:hAnsi="Cambria Math" w:cs="Times New Roman"/>
                          <w:color w:val="auto"/>
                          <w:sz w:val="18"/>
                          <w:szCs w:val="18"/>
                          <w:highlight w:val="none"/>
                          <w:lang w:val="en-US" w:eastAsia="zh-CN"/>
                        </w:rPr>
                      </m:ctrlPr>
                    </m:eqArrPr>
                    <m:e>
                      <m:r>
                        <m:rPr>
                          <m:sty m:val="p"/>
                        </m:rPr>
                        <w:rPr>
                          <w:rFonts w:hint="eastAsia" w:ascii="Cambria Math" w:hAnsi="Cambria Math" w:cs="Times New Roman"/>
                          <w:color w:val="auto"/>
                          <w:sz w:val="18"/>
                          <w:szCs w:val="18"/>
                          <w:highlight w:val="none"/>
                          <w:lang w:val="en-US" w:eastAsia="zh-CN"/>
                        </w:rPr>
                        <m:t xml:space="preserve">0,        15 dB&lt;IL </m:t>
                      </m:r>
                      <m:d>
                        <m:dPr>
                          <m:ctrlPr>
                            <w:rPr>
                              <w:rFonts w:hint="eastAsia" w:ascii="Cambria Math" w:hAnsi="Cambria Math" w:cs="Times New Roman"/>
                              <w:color w:val="auto"/>
                              <w:sz w:val="18"/>
                              <w:szCs w:val="18"/>
                              <w:highlight w:val="none"/>
                              <w:lang w:val="en-US" w:eastAsia="zh-CN"/>
                            </w:rPr>
                          </m:ctrlPr>
                        </m:dPr>
                        <m:e>
                          <m:r>
                            <m:rPr>
                              <m:sty m:val="p"/>
                            </m:rPr>
                            <w:rPr>
                              <w:rFonts w:hint="eastAsia" w:ascii="Cambria Math" w:hAnsi="Cambria Math" w:cs="Times New Roman"/>
                              <w:color w:val="auto"/>
                              <w:sz w:val="18"/>
                              <w:szCs w:val="18"/>
                              <w:highlight w:val="none"/>
                              <w:lang w:val="en-US" w:eastAsia="zh-CN"/>
                            </w:rPr>
                            <m:t>1.5 GHz</m:t>
                          </m:r>
                          <m:ctrlPr>
                            <w:rPr>
                              <w:rFonts w:hint="eastAsia" w:ascii="Cambria Math" w:hAnsi="Cambria Math" w:cs="Times New Roman"/>
                              <w:color w:val="auto"/>
                              <w:sz w:val="18"/>
                              <w:szCs w:val="18"/>
                              <w:highlight w:val="none"/>
                              <w:lang w:val="en-US" w:eastAsia="zh-CN"/>
                            </w:rPr>
                          </m:ctrlPr>
                        </m:e>
                      </m:d>
                      <m:r>
                        <m:rPr>
                          <m:sty m:val="p"/>
                        </m:rPr>
                        <w:rPr>
                          <w:rFonts w:hint="eastAsia" w:ascii="Cambria Math" w:hAnsi="Cambria Math" w:cs="Times New Roman"/>
                          <w:color w:val="auto"/>
                          <w:sz w:val="18"/>
                          <w:szCs w:val="18"/>
                          <w:highlight w:val="none"/>
                          <w:lang w:val="en-US" w:eastAsia="zh-CN"/>
                        </w:rPr>
                        <m:t xml:space="preserve"> </m:t>
                      </m:r>
                      <m:ctrlPr>
                        <w:rPr>
                          <w:rFonts w:hint="eastAsia" w:ascii="Cambria Math" w:hAnsi="Cambria Math" w:cs="Times New Roman"/>
                          <w:color w:val="auto"/>
                          <w:sz w:val="18"/>
                          <w:szCs w:val="18"/>
                          <w:highlight w:val="none"/>
                          <w:lang w:val="en-US" w:eastAsia="zh-CN"/>
                        </w:rPr>
                      </m:ctrlPr>
                    </m:e>
                    <m:e>
                      <m:r>
                        <m:rPr>
                          <m:sty m:val="p"/>
                        </m:rPr>
                        <w:rPr>
                          <w:rFonts w:hint="eastAsia" w:ascii="Cambria Math" w:hAnsi="Cambria Math" w:cs="Times New Roman"/>
                          <w:color w:val="auto"/>
                          <w:sz w:val="18"/>
                          <w:szCs w:val="18"/>
                          <w:highlight w:val="none"/>
                          <w:lang w:val="en-US" w:eastAsia="zh-CN"/>
                        </w:rPr>
                        <m:t xml:space="preserve">1,        IL </m:t>
                      </m:r>
                      <m:d>
                        <m:dPr>
                          <m:ctrlPr>
                            <w:rPr>
                              <w:rFonts w:hint="eastAsia" w:ascii="Cambria Math" w:hAnsi="Cambria Math" w:cs="Times New Roman"/>
                              <w:color w:val="auto"/>
                              <w:sz w:val="18"/>
                              <w:szCs w:val="18"/>
                              <w:highlight w:val="none"/>
                              <w:lang w:val="en-US" w:eastAsia="zh-CN"/>
                            </w:rPr>
                          </m:ctrlPr>
                        </m:dPr>
                        <m:e>
                          <m:r>
                            <m:rPr>
                              <m:sty m:val="p"/>
                            </m:rPr>
                            <w:rPr>
                              <w:rFonts w:hint="eastAsia" w:ascii="Cambria Math" w:hAnsi="Cambria Math" w:cs="Times New Roman"/>
                              <w:color w:val="auto"/>
                              <w:sz w:val="18"/>
                              <w:szCs w:val="18"/>
                              <w:highlight w:val="none"/>
                              <w:lang w:val="en-US" w:eastAsia="zh-CN"/>
                            </w:rPr>
                            <m:t>1.5 GHz</m:t>
                          </m:r>
                          <m:ctrlPr>
                            <w:rPr>
                              <w:rFonts w:hint="eastAsia" w:ascii="Cambria Math" w:hAnsi="Cambria Math" w:cs="Times New Roman"/>
                              <w:color w:val="auto"/>
                              <w:sz w:val="18"/>
                              <w:szCs w:val="18"/>
                              <w:highlight w:val="none"/>
                              <w:lang w:val="en-US" w:eastAsia="zh-CN"/>
                            </w:rPr>
                          </m:ctrlPr>
                        </m:e>
                      </m:d>
                      <m:r>
                        <m:rPr>
                          <m:sty m:val="p"/>
                        </m:rPr>
                        <w:rPr>
                          <w:rFonts w:hint="eastAsia" w:ascii="Cambria Math" w:hAnsi="Cambria Math" w:cs="Times New Roman"/>
                          <w:color w:val="auto"/>
                          <w:sz w:val="18"/>
                          <w:szCs w:val="18"/>
                          <w:highlight w:val="none"/>
                          <w:lang w:val="en-US" w:eastAsia="zh-CN"/>
                        </w:rPr>
                        <m:t xml:space="preserve">≤15 dB </m:t>
                      </m:r>
                      <m:ctrlPr>
                        <w:rPr>
                          <w:rFonts w:hint="eastAsia" w:ascii="Cambria Math" w:hAnsi="Cambria Math" w:cs="Times New Roman"/>
                          <w:color w:val="auto"/>
                          <w:sz w:val="18"/>
                          <w:szCs w:val="18"/>
                          <w:highlight w:val="none"/>
                          <w:lang w:val="en-US" w:eastAsia="zh-CN"/>
                        </w:rPr>
                      </m:ctrlPr>
                    </m:e>
                  </m:eqArr>
                  <m:ctrlPr>
                    <w:rPr>
                      <w:rFonts w:hint="eastAsia" w:ascii="Cambria Math" w:hAnsi="Cambria Math" w:cs="Times New Roman"/>
                      <w:color w:val="auto"/>
                      <w:sz w:val="18"/>
                      <w:szCs w:val="18"/>
                      <w:highlight w:val="none"/>
                      <w:lang w:val="en-US" w:eastAsia="zh-CN"/>
                    </w:rPr>
                  </m:ctrlPr>
                </m:e>
              </m:d>
            </m:oMath>
          </w:p>
          <w:p w14:paraId="44F6B9C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10GBASE-T1：</w:t>
            </w:r>
            <m:oMath>
              <m:r>
                <m:rPr>
                  <m:sty m:val="p"/>
                </m:rPr>
                <w:rPr>
                  <w:rFonts w:hint="eastAsia" w:ascii="Cambria Math" w:hAnsi="Cambria Math" w:cs="Times New Roman"/>
                  <w:color w:val="auto"/>
                  <w:sz w:val="18"/>
                  <w:szCs w:val="18"/>
                  <w:highlight w:val="none"/>
                  <w:lang w:val="en-US" w:eastAsia="zh-CN"/>
                </w:rPr>
                <m:t>N=</m:t>
              </m:r>
              <m:d>
                <m:dPr>
                  <m:begChr m:val="{"/>
                  <m:endChr m:val=""/>
                  <m:ctrlPr>
                    <w:rPr>
                      <w:rFonts w:hint="eastAsia" w:ascii="Cambria Math" w:hAnsi="Cambria Math" w:cs="Times New Roman"/>
                      <w:color w:val="auto"/>
                      <w:sz w:val="18"/>
                      <w:szCs w:val="18"/>
                      <w:highlight w:val="none"/>
                      <w:lang w:val="en-US" w:eastAsia="zh-CN"/>
                    </w:rPr>
                  </m:ctrlPr>
                </m:dPr>
                <m:e>
                  <m:eqArr>
                    <m:eqArrPr>
                      <m:ctrlPr>
                        <w:rPr>
                          <w:rFonts w:hint="eastAsia" w:ascii="Cambria Math" w:hAnsi="Cambria Math" w:cs="Times New Roman"/>
                          <w:color w:val="auto"/>
                          <w:sz w:val="18"/>
                          <w:szCs w:val="18"/>
                          <w:highlight w:val="none"/>
                          <w:lang w:val="en-US" w:eastAsia="zh-CN"/>
                        </w:rPr>
                      </m:ctrlPr>
                    </m:eqArrPr>
                    <m:e>
                      <m:r>
                        <m:rPr>
                          <m:sty m:val="p"/>
                        </m:rPr>
                        <w:rPr>
                          <w:rFonts w:hint="eastAsia" w:ascii="Cambria Math" w:hAnsi="Cambria Math" w:cs="Times New Roman"/>
                          <w:color w:val="auto"/>
                          <w:sz w:val="18"/>
                          <w:szCs w:val="18"/>
                          <w:highlight w:val="none"/>
                          <w:lang w:val="en-US" w:eastAsia="zh-CN"/>
                        </w:rPr>
                        <m:t xml:space="preserve">0,        15 dB&lt;IL </m:t>
                      </m:r>
                      <m:d>
                        <m:dPr>
                          <m:ctrlPr>
                            <w:rPr>
                              <w:rFonts w:hint="eastAsia" w:ascii="Cambria Math" w:hAnsi="Cambria Math" w:cs="Times New Roman"/>
                              <w:color w:val="auto"/>
                              <w:sz w:val="18"/>
                              <w:szCs w:val="18"/>
                              <w:highlight w:val="none"/>
                              <w:lang w:val="en-US" w:eastAsia="zh-CN"/>
                            </w:rPr>
                          </m:ctrlPr>
                        </m:dPr>
                        <m:e>
                          <m:r>
                            <m:rPr>
                              <m:sty m:val="p"/>
                            </m:rPr>
                            <w:rPr>
                              <w:rFonts w:hint="eastAsia" w:ascii="Cambria Math" w:hAnsi="Cambria Math" w:cs="Times New Roman"/>
                              <w:color w:val="auto"/>
                              <w:sz w:val="18"/>
                              <w:szCs w:val="18"/>
                              <w:highlight w:val="none"/>
                              <w:lang w:val="en-US" w:eastAsia="zh-CN"/>
                            </w:rPr>
                            <m:t>3 GHz</m:t>
                          </m:r>
                          <m:ctrlPr>
                            <w:rPr>
                              <w:rFonts w:hint="eastAsia" w:ascii="Cambria Math" w:hAnsi="Cambria Math" w:cs="Times New Roman"/>
                              <w:color w:val="auto"/>
                              <w:sz w:val="18"/>
                              <w:szCs w:val="18"/>
                              <w:highlight w:val="none"/>
                              <w:lang w:val="en-US" w:eastAsia="zh-CN"/>
                            </w:rPr>
                          </m:ctrlPr>
                        </m:e>
                      </m:d>
                      <m:r>
                        <m:rPr>
                          <m:sty m:val="p"/>
                        </m:rPr>
                        <w:rPr>
                          <w:rFonts w:hint="eastAsia" w:ascii="Cambria Math" w:hAnsi="Cambria Math" w:cs="Times New Roman"/>
                          <w:color w:val="auto"/>
                          <w:sz w:val="18"/>
                          <w:szCs w:val="18"/>
                          <w:highlight w:val="none"/>
                          <w:lang w:val="en-US" w:eastAsia="zh-CN"/>
                        </w:rPr>
                        <m:t xml:space="preserve"> </m:t>
                      </m:r>
                      <m:ctrlPr>
                        <w:rPr>
                          <w:rFonts w:hint="eastAsia" w:ascii="Cambria Math" w:hAnsi="Cambria Math" w:cs="Times New Roman"/>
                          <w:color w:val="auto"/>
                          <w:sz w:val="18"/>
                          <w:szCs w:val="18"/>
                          <w:highlight w:val="none"/>
                          <w:lang w:val="en-US" w:eastAsia="zh-CN"/>
                        </w:rPr>
                      </m:ctrlPr>
                    </m:e>
                    <m:e>
                      <m:r>
                        <m:rPr>
                          <m:sty m:val="p"/>
                        </m:rPr>
                        <w:rPr>
                          <w:rFonts w:hint="eastAsia" w:ascii="Cambria Math" w:hAnsi="Cambria Math" w:cs="Times New Roman"/>
                          <w:color w:val="auto"/>
                          <w:sz w:val="18"/>
                          <w:szCs w:val="18"/>
                          <w:highlight w:val="none"/>
                          <w:lang w:val="en-US" w:eastAsia="zh-CN"/>
                        </w:rPr>
                        <m:t xml:space="preserve">1,        IL </m:t>
                      </m:r>
                      <m:d>
                        <m:dPr>
                          <m:ctrlPr>
                            <w:rPr>
                              <w:rFonts w:hint="eastAsia" w:ascii="Cambria Math" w:hAnsi="Cambria Math" w:cs="Times New Roman"/>
                              <w:color w:val="auto"/>
                              <w:sz w:val="18"/>
                              <w:szCs w:val="18"/>
                              <w:highlight w:val="none"/>
                              <w:lang w:val="en-US" w:eastAsia="zh-CN"/>
                            </w:rPr>
                          </m:ctrlPr>
                        </m:dPr>
                        <m:e>
                          <m:r>
                            <m:rPr>
                              <m:sty m:val="p"/>
                            </m:rPr>
                            <w:rPr>
                              <w:rFonts w:hint="eastAsia" w:ascii="Cambria Math" w:hAnsi="Cambria Math" w:cs="Times New Roman"/>
                              <w:color w:val="auto"/>
                              <w:sz w:val="18"/>
                              <w:szCs w:val="18"/>
                              <w:highlight w:val="none"/>
                              <w:lang w:val="en-US" w:eastAsia="zh-CN"/>
                            </w:rPr>
                            <m:t>3 GHz</m:t>
                          </m:r>
                          <m:ctrlPr>
                            <w:rPr>
                              <w:rFonts w:hint="eastAsia" w:ascii="Cambria Math" w:hAnsi="Cambria Math" w:cs="Times New Roman"/>
                              <w:color w:val="auto"/>
                              <w:sz w:val="18"/>
                              <w:szCs w:val="18"/>
                              <w:highlight w:val="none"/>
                              <w:lang w:val="en-US" w:eastAsia="zh-CN"/>
                            </w:rPr>
                          </m:ctrlPr>
                        </m:e>
                      </m:d>
                      <m:r>
                        <m:rPr>
                          <m:sty m:val="p"/>
                        </m:rPr>
                        <w:rPr>
                          <w:rFonts w:hint="eastAsia" w:ascii="Cambria Math" w:hAnsi="Cambria Math" w:cs="Times New Roman"/>
                          <w:color w:val="auto"/>
                          <w:sz w:val="18"/>
                          <w:szCs w:val="18"/>
                          <w:highlight w:val="none"/>
                          <w:lang w:val="en-US" w:eastAsia="zh-CN"/>
                        </w:rPr>
                        <m:t xml:space="preserve">≤15 dB </m:t>
                      </m:r>
                      <m:ctrlPr>
                        <w:rPr>
                          <w:rFonts w:hint="eastAsia" w:ascii="Cambria Math" w:hAnsi="Cambria Math" w:cs="Times New Roman"/>
                          <w:color w:val="auto"/>
                          <w:sz w:val="18"/>
                          <w:szCs w:val="18"/>
                          <w:highlight w:val="none"/>
                          <w:lang w:val="en-US" w:eastAsia="zh-CN"/>
                        </w:rPr>
                      </m:ctrlPr>
                    </m:e>
                  </m:eqArr>
                  <m:ctrlPr>
                    <w:rPr>
                      <w:rFonts w:hint="eastAsia" w:ascii="Cambria Math" w:hAnsi="Cambria Math" w:cs="Times New Roman"/>
                      <w:color w:val="auto"/>
                      <w:sz w:val="18"/>
                      <w:szCs w:val="18"/>
                      <w:highlight w:val="none"/>
                      <w:lang w:val="en-US" w:eastAsia="zh-CN"/>
                    </w:rPr>
                  </m:ctrlPr>
                </m:e>
              </m:d>
            </m:oMath>
          </w:p>
        </w:tc>
      </w:tr>
    </w:tbl>
    <w:p w14:paraId="75986E97">
      <w:pPr>
        <w:spacing w:before="156" w:beforeLines="50" w:after="156" w:afterLines="50"/>
        <w:ind w:firstLine="0" w:firstLineChars="0"/>
        <w:jc w:val="center"/>
        <w:rPr>
          <w:rFonts w:ascii="Times New Roman" w:hAnsi="Times New Roman" w:cs="Times New Roman"/>
          <w:i/>
          <w:iCs/>
          <w:color w:val="auto"/>
        </w:rPr>
      </w:pPr>
      <w:r>
        <w:rPr>
          <w:rFonts w:ascii="Times New Roman" w:hAnsi="Times New Roman" w:cs="Times New Roman"/>
          <w:i/>
          <w:iCs/>
          <w:color w:val="auto"/>
        </w:rPr>
        <w:drawing>
          <wp:inline distT="0" distB="0" distL="0" distR="0">
            <wp:extent cx="5122545" cy="3347720"/>
            <wp:effectExtent l="0" t="0" r="13335" b="508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noChangeArrowheads="1"/>
                    </pic:cNvPicPr>
                  </pic:nvPicPr>
                  <pic:blipFill>
                    <a:blip r:embed="rId10"/>
                    <a:srcRect/>
                    <a:stretch>
                      <a:fillRect/>
                    </a:stretch>
                  </pic:blipFill>
                  <pic:spPr>
                    <a:xfrm>
                      <a:off x="0" y="0"/>
                      <a:ext cx="5122545" cy="3348000"/>
                    </a:xfrm>
                    <a:prstGeom prst="rect">
                      <a:avLst/>
                    </a:prstGeom>
                    <a:noFill/>
                  </pic:spPr>
                </pic:pic>
              </a:graphicData>
            </a:graphic>
          </wp:inline>
        </w:drawing>
      </w:r>
    </w:p>
    <w:p w14:paraId="4635EAFC">
      <w:pPr>
        <w:pStyle w:val="140"/>
        <w:numPr>
          <w:ilvl w:val="0"/>
          <w:numId w:val="0"/>
        </w:numPr>
        <w:bidi w:val="0"/>
        <w:ind w:leftChars="0"/>
        <w:jc w:val="center"/>
        <w:rPr>
          <w:rFonts w:hint="eastAsia" w:ascii="Times New Roman" w:hAnsi="Times New Roman" w:cs="Times New Roman"/>
          <w:color w:val="auto"/>
          <w:lang w:val="en-US" w:eastAsia="zh-CN"/>
        </w:rPr>
      </w:pPr>
      <w:r>
        <w:rPr>
          <w:rFonts w:hint="eastAsia" w:hAnsi="黑体" w:cs="黑体"/>
          <w:color w:val="auto"/>
          <w:lang w:val="en-US" w:eastAsia="zh-CN"/>
        </w:rPr>
        <w:t>图A.</w:t>
      </w:r>
      <w:r>
        <w:rPr>
          <w:rFonts w:hint="eastAsia" w:ascii="黑体" w:hAnsi="黑体" w:eastAsia="黑体" w:cs="黑体"/>
          <w:color w:val="auto"/>
          <w:lang w:val="en-US" w:eastAsia="zh-CN"/>
        </w:rPr>
        <w:t>1</w:t>
      </w:r>
      <w:r>
        <w:rPr>
          <w:rFonts w:hint="eastAsia"/>
          <w:color w:val="auto"/>
          <w:highlight w:val="none"/>
          <w:lang w:val="en-US" w:eastAsia="zh-CN"/>
        </w:rPr>
        <w:t xml:space="preserve">  </w:t>
      </w:r>
      <w:r>
        <w:rPr>
          <w:rFonts w:hint="eastAsia" w:ascii="Times New Roman" w:hAnsi="Times New Roman" w:cs="Times New Roman"/>
          <w:color w:val="auto"/>
          <w:lang w:val="en-US" w:eastAsia="zh-CN"/>
        </w:rPr>
        <w:t>单对以太网最小回波损耗</w:t>
      </w:r>
    </w:p>
    <w:p w14:paraId="3786F456">
      <w:pPr>
        <w:pStyle w:val="26"/>
        <w:rPr>
          <w:rFonts w:hint="default"/>
          <w:color w:val="auto"/>
          <w:lang w:val="en-US" w:eastAsia="zh-CN"/>
        </w:rPr>
      </w:pPr>
    </w:p>
    <w:p w14:paraId="34B70FC3">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表A.</w:t>
      </w:r>
      <w:r>
        <w:rPr>
          <w:rFonts w:hint="eastAsia" w:cs="Times New Roman"/>
          <w:color w:val="auto"/>
          <w:highlight w:val="none"/>
          <w:lang w:val="en-US" w:eastAsia="zh-CN"/>
        </w:rPr>
        <w:t>3</w:t>
      </w:r>
      <w:r>
        <w:rPr>
          <w:rFonts w:hint="eastAsia"/>
          <w:color w:val="auto"/>
          <w:highlight w:val="none"/>
          <w:lang w:val="en-US" w:eastAsia="zh-CN"/>
        </w:rPr>
        <w:t xml:space="preserve">  </w:t>
      </w:r>
      <w:r>
        <w:rPr>
          <w:rFonts w:hint="eastAsia" w:hAnsi="Times New Roman" w:cs="Times New Roman"/>
          <w:color w:val="auto"/>
          <w:highlight w:val="none"/>
          <w:lang w:val="en-US" w:eastAsia="zh-CN"/>
        </w:rPr>
        <w:t>10BASE-T1L至1000BASE-T1典型频率点最小回波损耗</w:t>
      </w:r>
    </w:p>
    <w:tbl>
      <w:tblPr>
        <w:tblStyle w:val="37"/>
        <w:tblW w:w="85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6"/>
        <w:gridCol w:w="1701"/>
        <w:gridCol w:w="1701"/>
        <w:gridCol w:w="1701"/>
        <w:gridCol w:w="1701"/>
      </w:tblGrid>
      <w:tr w14:paraId="0200A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46" w:type="dxa"/>
            <w:vMerge w:val="restart"/>
            <w:vAlign w:val="center"/>
          </w:tcPr>
          <w:p w14:paraId="1C1425AE">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频率</w:t>
            </w:r>
          </w:p>
          <w:p w14:paraId="7557DE62">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（MHz）</w:t>
            </w:r>
          </w:p>
        </w:tc>
        <w:tc>
          <w:tcPr>
            <w:tcW w:w="6804" w:type="dxa"/>
            <w:gridSpan w:val="4"/>
            <w:vAlign w:val="center"/>
          </w:tcPr>
          <w:p w14:paraId="27096AF1">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最小回波损耗（dB）</w:t>
            </w:r>
          </w:p>
        </w:tc>
      </w:tr>
      <w:tr w14:paraId="2A74E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46" w:type="dxa"/>
            <w:vMerge w:val="continue"/>
            <w:tcBorders>
              <w:bottom w:val="single" w:color="auto" w:sz="8" w:space="0"/>
            </w:tcBorders>
            <w:vAlign w:val="center"/>
          </w:tcPr>
          <w:p w14:paraId="475D42AE">
            <w:pPr>
              <w:jc w:val="center"/>
              <w:rPr>
                <w:rFonts w:hint="eastAsia" w:ascii="Times New Roman" w:hAnsi="Times New Roman" w:cs="Times New Roman"/>
                <w:b/>
                <w:bCs/>
                <w:color w:val="auto"/>
                <w:sz w:val="18"/>
                <w:szCs w:val="18"/>
                <w:highlight w:val="none"/>
                <w:lang w:val="en-US" w:eastAsia="zh-CN"/>
              </w:rPr>
            </w:pPr>
          </w:p>
        </w:tc>
        <w:tc>
          <w:tcPr>
            <w:tcW w:w="1701" w:type="dxa"/>
            <w:tcBorders>
              <w:bottom w:val="single" w:color="auto" w:sz="8" w:space="0"/>
            </w:tcBorders>
            <w:vAlign w:val="center"/>
          </w:tcPr>
          <w:p w14:paraId="7BCB6220">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10BASE-T1L</w:t>
            </w:r>
          </w:p>
        </w:tc>
        <w:tc>
          <w:tcPr>
            <w:tcW w:w="1701" w:type="dxa"/>
            <w:tcBorders>
              <w:bottom w:val="single" w:color="auto" w:sz="8" w:space="0"/>
            </w:tcBorders>
          </w:tcPr>
          <w:p w14:paraId="2D9F94AA">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10BASE-T1S</w:t>
            </w:r>
          </w:p>
        </w:tc>
        <w:tc>
          <w:tcPr>
            <w:tcW w:w="1701" w:type="dxa"/>
            <w:tcBorders>
              <w:bottom w:val="single" w:color="auto" w:sz="8" w:space="0"/>
            </w:tcBorders>
          </w:tcPr>
          <w:p w14:paraId="0664416D">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100BASE-T1</w:t>
            </w:r>
          </w:p>
        </w:tc>
        <w:tc>
          <w:tcPr>
            <w:tcW w:w="1701" w:type="dxa"/>
            <w:tcBorders>
              <w:bottom w:val="single" w:color="auto" w:sz="8" w:space="0"/>
            </w:tcBorders>
          </w:tcPr>
          <w:p w14:paraId="4F740248">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1000BASE-T1</w:t>
            </w:r>
          </w:p>
        </w:tc>
      </w:tr>
      <w:tr w14:paraId="670B1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tcBorders>
              <w:top w:val="single" w:color="auto" w:sz="8" w:space="0"/>
            </w:tcBorders>
            <w:vAlign w:val="center"/>
          </w:tcPr>
          <w:p w14:paraId="2380BD7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w:t>
            </w:r>
          </w:p>
        </w:tc>
        <w:tc>
          <w:tcPr>
            <w:tcW w:w="1701" w:type="dxa"/>
            <w:tcBorders>
              <w:top w:val="single" w:color="auto" w:sz="8" w:space="0"/>
            </w:tcBorders>
            <w:vAlign w:val="center"/>
          </w:tcPr>
          <w:p w14:paraId="5BE3C4E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9.8 </w:t>
            </w:r>
          </w:p>
        </w:tc>
        <w:tc>
          <w:tcPr>
            <w:tcW w:w="1701" w:type="dxa"/>
            <w:tcBorders>
              <w:top w:val="single" w:color="auto" w:sz="8" w:space="0"/>
            </w:tcBorders>
            <w:vAlign w:val="center"/>
          </w:tcPr>
          <w:p w14:paraId="4FF9C49D">
            <w:pPr>
              <w:jc w:val="center"/>
              <w:rPr>
                <w:rFonts w:hint="eastAsia" w:ascii="Times New Roman" w:hAnsi="Times New Roman" w:cs="Times New Roman"/>
                <w:color w:val="auto"/>
                <w:sz w:val="18"/>
                <w:szCs w:val="18"/>
                <w:highlight w:val="none"/>
                <w:lang w:val="en-US" w:eastAsia="zh-CN"/>
              </w:rPr>
            </w:pPr>
          </w:p>
        </w:tc>
        <w:tc>
          <w:tcPr>
            <w:tcW w:w="1701" w:type="dxa"/>
            <w:tcBorders>
              <w:top w:val="single" w:color="auto" w:sz="8" w:space="0"/>
            </w:tcBorders>
            <w:vAlign w:val="center"/>
          </w:tcPr>
          <w:p w14:paraId="2D915702">
            <w:pPr>
              <w:jc w:val="center"/>
              <w:rPr>
                <w:rFonts w:hint="eastAsia" w:ascii="Times New Roman" w:hAnsi="Times New Roman" w:cs="Times New Roman"/>
                <w:color w:val="auto"/>
                <w:sz w:val="18"/>
                <w:szCs w:val="18"/>
                <w:highlight w:val="none"/>
                <w:lang w:val="en-US" w:eastAsia="zh-CN"/>
              </w:rPr>
            </w:pPr>
          </w:p>
        </w:tc>
        <w:tc>
          <w:tcPr>
            <w:tcW w:w="1701" w:type="dxa"/>
            <w:tcBorders>
              <w:top w:val="single" w:color="auto" w:sz="8" w:space="0"/>
            </w:tcBorders>
            <w:vAlign w:val="center"/>
          </w:tcPr>
          <w:p w14:paraId="69026124">
            <w:pPr>
              <w:jc w:val="center"/>
              <w:rPr>
                <w:rFonts w:hint="eastAsia" w:ascii="Times New Roman" w:hAnsi="Times New Roman" w:cs="Times New Roman"/>
                <w:color w:val="auto"/>
                <w:sz w:val="18"/>
                <w:szCs w:val="18"/>
                <w:highlight w:val="none"/>
                <w:lang w:val="en-US" w:eastAsia="zh-CN"/>
              </w:rPr>
            </w:pPr>
          </w:p>
        </w:tc>
      </w:tr>
      <w:tr w14:paraId="10FA80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48C82E7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0.3</w:t>
            </w:r>
          </w:p>
        </w:tc>
        <w:tc>
          <w:tcPr>
            <w:tcW w:w="1701" w:type="dxa"/>
            <w:vAlign w:val="center"/>
          </w:tcPr>
          <w:p w14:paraId="05BB929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11.4 </w:t>
            </w:r>
          </w:p>
        </w:tc>
        <w:tc>
          <w:tcPr>
            <w:tcW w:w="1701" w:type="dxa"/>
            <w:vAlign w:val="center"/>
          </w:tcPr>
          <w:p w14:paraId="2A47019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14.0 </w:t>
            </w:r>
          </w:p>
        </w:tc>
        <w:tc>
          <w:tcPr>
            <w:tcW w:w="1701" w:type="dxa"/>
            <w:vAlign w:val="center"/>
          </w:tcPr>
          <w:p w14:paraId="6BFE200F">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6A64FA30">
            <w:pPr>
              <w:jc w:val="center"/>
              <w:rPr>
                <w:rFonts w:hint="eastAsia" w:ascii="Times New Roman" w:hAnsi="Times New Roman" w:cs="Times New Roman"/>
                <w:color w:val="auto"/>
                <w:sz w:val="18"/>
                <w:szCs w:val="18"/>
                <w:highlight w:val="none"/>
                <w:lang w:val="en-US" w:eastAsia="zh-CN"/>
              </w:rPr>
            </w:pPr>
          </w:p>
        </w:tc>
      </w:tr>
      <w:tr w14:paraId="3616C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7D40A49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w:t>
            </w:r>
          </w:p>
        </w:tc>
        <w:tc>
          <w:tcPr>
            <w:tcW w:w="1701" w:type="dxa"/>
            <w:vAlign w:val="center"/>
          </w:tcPr>
          <w:p w14:paraId="0453879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13.0 </w:t>
            </w:r>
          </w:p>
        </w:tc>
        <w:tc>
          <w:tcPr>
            <w:tcW w:w="1701" w:type="dxa"/>
            <w:vAlign w:val="center"/>
          </w:tcPr>
          <w:p w14:paraId="5F407BA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14.0 </w:t>
            </w:r>
          </w:p>
        </w:tc>
        <w:tc>
          <w:tcPr>
            <w:tcW w:w="1701" w:type="dxa"/>
            <w:vAlign w:val="center"/>
          </w:tcPr>
          <w:p w14:paraId="6BB8E8A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18.0 </w:t>
            </w:r>
          </w:p>
        </w:tc>
        <w:tc>
          <w:tcPr>
            <w:tcW w:w="1701" w:type="dxa"/>
            <w:vAlign w:val="center"/>
          </w:tcPr>
          <w:p w14:paraId="746DF8C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19.0 </w:t>
            </w:r>
          </w:p>
        </w:tc>
      </w:tr>
      <w:tr w14:paraId="65B93D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7C94624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w:t>
            </w:r>
          </w:p>
        </w:tc>
        <w:tc>
          <w:tcPr>
            <w:tcW w:w="1701" w:type="dxa"/>
            <w:vAlign w:val="center"/>
          </w:tcPr>
          <w:p w14:paraId="3E3BB4F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13.0 </w:t>
            </w:r>
          </w:p>
        </w:tc>
        <w:tc>
          <w:tcPr>
            <w:tcW w:w="1701" w:type="dxa"/>
            <w:vAlign w:val="center"/>
          </w:tcPr>
          <w:p w14:paraId="56E49BD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14.0 </w:t>
            </w:r>
          </w:p>
        </w:tc>
        <w:tc>
          <w:tcPr>
            <w:tcW w:w="1701" w:type="dxa"/>
            <w:vAlign w:val="center"/>
          </w:tcPr>
          <w:p w14:paraId="2DCC645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18.0 </w:t>
            </w:r>
          </w:p>
        </w:tc>
        <w:tc>
          <w:tcPr>
            <w:tcW w:w="1701" w:type="dxa"/>
            <w:vAlign w:val="center"/>
          </w:tcPr>
          <w:p w14:paraId="7E53C78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19.0 </w:t>
            </w:r>
          </w:p>
        </w:tc>
      </w:tr>
      <w:tr w14:paraId="21702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25A997D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1701" w:type="dxa"/>
            <w:vAlign w:val="center"/>
          </w:tcPr>
          <w:p w14:paraId="6558146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13.0 </w:t>
            </w:r>
          </w:p>
        </w:tc>
        <w:tc>
          <w:tcPr>
            <w:tcW w:w="1701" w:type="dxa"/>
            <w:vAlign w:val="center"/>
          </w:tcPr>
          <w:p w14:paraId="4AA2666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14.0 </w:t>
            </w:r>
          </w:p>
        </w:tc>
        <w:tc>
          <w:tcPr>
            <w:tcW w:w="1701" w:type="dxa"/>
            <w:vAlign w:val="center"/>
          </w:tcPr>
          <w:p w14:paraId="52DE0BD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18.0 </w:t>
            </w:r>
          </w:p>
        </w:tc>
        <w:tc>
          <w:tcPr>
            <w:tcW w:w="1701" w:type="dxa"/>
            <w:vAlign w:val="center"/>
          </w:tcPr>
          <w:p w14:paraId="6B8041E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19.0 </w:t>
            </w:r>
          </w:p>
        </w:tc>
      </w:tr>
      <w:tr w14:paraId="767004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1B86820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16</w:t>
            </w:r>
          </w:p>
        </w:tc>
        <w:tc>
          <w:tcPr>
            <w:tcW w:w="1701" w:type="dxa"/>
            <w:vAlign w:val="center"/>
          </w:tcPr>
          <w:p w14:paraId="3080636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13.0 </w:t>
            </w:r>
          </w:p>
        </w:tc>
        <w:tc>
          <w:tcPr>
            <w:tcW w:w="1701" w:type="dxa"/>
            <w:vAlign w:val="center"/>
          </w:tcPr>
          <w:p w14:paraId="6F42811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12.0 </w:t>
            </w:r>
          </w:p>
        </w:tc>
        <w:tc>
          <w:tcPr>
            <w:tcW w:w="1701" w:type="dxa"/>
            <w:vAlign w:val="center"/>
          </w:tcPr>
          <w:p w14:paraId="419D166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18.0 </w:t>
            </w:r>
          </w:p>
        </w:tc>
        <w:tc>
          <w:tcPr>
            <w:tcW w:w="1701" w:type="dxa"/>
            <w:vAlign w:val="center"/>
          </w:tcPr>
          <w:p w14:paraId="491224C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18.0 </w:t>
            </w:r>
          </w:p>
        </w:tc>
      </w:tr>
      <w:tr w14:paraId="31061C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6DCD124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1701" w:type="dxa"/>
            <w:vAlign w:val="center"/>
          </w:tcPr>
          <w:p w14:paraId="6F4833C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13.0 </w:t>
            </w:r>
          </w:p>
        </w:tc>
        <w:tc>
          <w:tcPr>
            <w:tcW w:w="1701" w:type="dxa"/>
            <w:vAlign w:val="center"/>
          </w:tcPr>
          <w:p w14:paraId="35B103D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11.0 </w:t>
            </w:r>
          </w:p>
        </w:tc>
        <w:tc>
          <w:tcPr>
            <w:tcW w:w="1701" w:type="dxa"/>
            <w:vAlign w:val="center"/>
          </w:tcPr>
          <w:p w14:paraId="6FE071C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18.0 </w:t>
            </w:r>
          </w:p>
        </w:tc>
        <w:tc>
          <w:tcPr>
            <w:tcW w:w="1701" w:type="dxa"/>
            <w:vAlign w:val="center"/>
          </w:tcPr>
          <w:p w14:paraId="0AD1438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17.5 </w:t>
            </w:r>
          </w:p>
        </w:tc>
      </w:tr>
      <w:tr w14:paraId="3C585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381EAE1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w:t>
            </w:r>
          </w:p>
        </w:tc>
        <w:tc>
          <w:tcPr>
            <w:tcW w:w="1701" w:type="dxa"/>
            <w:vAlign w:val="center"/>
          </w:tcPr>
          <w:p w14:paraId="57757302">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0880606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9.2 </w:t>
            </w:r>
          </w:p>
        </w:tc>
        <w:tc>
          <w:tcPr>
            <w:tcW w:w="1701" w:type="dxa"/>
            <w:vAlign w:val="center"/>
          </w:tcPr>
          <w:p w14:paraId="7004480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16.2 </w:t>
            </w:r>
          </w:p>
        </w:tc>
        <w:tc>
          <w:tcPr>
            <w:tcW w:w="1701" w:type="dxa"/>
            <w:vAlign w:val="center"/>
          </w:tcPr>
          <w:p w14:paraId="1CB2ECC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16.6 </w:t>
            </w:r>
          </w:p>
        </w:tc>
      </w:tr>
      <w:tr w14:paraId="3A05E6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3DDCF35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w:t>
            </w:r>
          </w:p>
        </w:tc>
        <w:tc>
          <w:tcPr>
            <w:tcW w:w="1701" w:type="dxa"/>
            <w:vAlign w:val="center"/>
          </w:tcPr>
          <w:p w14:paraId="4F28BDCF">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7F42720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8.0 </w:t>
            </w:r>
          </w:p>
        </w:tc>
        <w:tc>
          <w:tcPr>
            <w:tcW w:w="1701" w:type="dxa"/>
            <w:vAlign w:val="center"/>
          </w:tcPr>
          <w:p w14:paraId="56EABE4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15.0 </w:t>
            </w:r>
          </w:p>
        </w:tc>
        <w:tc>
          <w:tcPr>
            <w:tcW w:w="1701" w:type="dxa"/>
            <w:vAlign w:val="center"/>
          </w:tcPr>
          <w:p w14:paraId="2544698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16.0 </w:t>
            </w:r>
          </w:p>
        </w:tc>
      </w:tr>
      <w:tr w14:paraId="0C7B74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0F955A4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w:t>
            </w:r>
          </w:p>
        </w:tc>
        <w:tc>
          <w:tcPr>
            <w:tcW w:w="1701" w:type="dxa"/>
            <w:vAlign w:val="center"/>
          </w:tcPr>
          <w:p w14:paraId="7C5933EF">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20928D84">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389ED5F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14.0 </w:t>
            </w:r>
          </w:p>
        </w:tc>
        <w:tc>
          <w:tcPr>
            <w:tcW w:w="1701" w:type="dxa"/>
            <w:vAlign w:val="center"/>
          </w:tcPr>
          <w:p w14:paraId="6E48BD8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16.0 </w:t>
            </w:r>
          </w:p>
        </w:tc>
      </w:tr>
      <w:tr w14:paraId="75173C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6645862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66</w:t>
            </w:r>
          </w:p>
        </w:tc>
        <w:tc>
          <w:tcPr>
            <w:tcW w:w="1701" w:type="dxa"/>
            <w:vAlign w:val="center"/>
          </w:tcPr>
          <w:p w14:paraId="386BD266">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6325F693">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1E855B6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12.8 </w:t>
            </w:r>
          </w:p>
        </w:tc>
        <w:tc>
          <w:tcPr>
            <w:tcW w:w="1701" w:type="dxa"/>
            <w:vAlign w:val="center"/>
          </w:tcPr>
          <w:p w14:paraId="3542AC7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16.0 </w:t>
            </w:r>
          </w:p>
        </w:tc>
      </w:tr>
      <w:tr w14:paraId="0C2C84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6B4D8B2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w:t>
            </w:r>
          </w:p>
        </w:tc>
        <w:tc>
          <w:tcPr>
            <w:tcW w:w="1701" w:type="dxa"/>
            <w:vAlign w:val="center"/>
          </w:tcPr>
          <w:p w14:paraId="3C6B23E1">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0747BCF2">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2B1953E4">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5A4D554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16.0 </w:t>
            </w:r>
          </w:p>
        </w:tc>
      </w:tr>
      <w:tr w14:paraId="07773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35AC465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400</w:t>
            </w:r>
          </w:p>
        </w:tc>
        <w:tc>
          <w:tcPr>
            <w:tcW w:w="1701" w:type="dxa"/>
            <w:vAlign w:val="center"/>
          </w:tcPr>
          <w:p w14:paraId="12F51064">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515A02B0">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1092B30D">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3A356EF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11.0 </w:t>
            </w:r>
          </w:p>
        </w:tc>
      </w:tr>
      <w:tr w14:paraId="6CC1BF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13ACC74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600</w:t>
            </w:r>
          </w:p>
        </w:tc>
        <w:tc>
          <w:tcPr>
            <w:tcW w:w="1701" w:type="dxa"/>
            <w:vAlign w:val="center"/>
          </w:tcPr>
          <w:p w14:paraId="45FCD312">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67D23050">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6C2D3FBF">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69E2667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11.0 </w:t>
            </w:r>
          </w:p>
        </w:tc>
      </w:tr>
    </w:tbl>
    <w:p w14:paraId="0A8E4D6A">
      <w:pPr>
        <w:pStyle w:val="102"/>
        <w:numPr>
          <w:ilvl w:val="1"/>
          <w:numId w:val="0"/>
        </w:numPr>
        <w:spacing w:before="156" w:after="156"/>
        <w:ind w:leftChars="0"/>
        <w:jc w:val="center"/>
        <w:rPr>
          <w:rFonts w:hint="eastAsia" w:hAnsi="Times New Roman" w:cs="Times New Roman"/>
          <w:color w:val="auto"/>
          <w:highlight w:val="none"/>
          <w:lang w:val="en-US" w:eastAsia="zh-CN"/>
        </w:rPr>
      </w:pPr>
    </w:p>
    <w:p w14:paraId="5BC2EB13">
      <w:pPr>
        <w:pStyle w:val="102"/>
        <w:numPr>
          <w:ilvl w:val="1"/>
          <w:numId w:val="0"/>
        </w:numPr>
        <w:spacing w:before="156" w:after="156"/>
        <w:ind w:leftChars="0"/>
        <w:jc w:val="center"/>
        <w:rPr>
          <w:rFonts w:hint="eastAsia" w:hAnsi="Times New Roman" w:cs="Times New Roman"/>
          <w:color w:val="auto"/>
          <w:highlight w:val="none"/>
          <w:lang w:val="en-US" w:eastAsia="zh-CN"/>
        </w:rPr>
      </w:pPr>
    </w:p>
    <w:p w14:paraId="47194D5A">
      <w:pPr>
        <w:pStyle w:val="102"/>
        <w:numPr>
          <w:ilvl w:val="1"/>
          <w:numId w:val="0"/>
        </w:numPr>
        <w:spacing w:before="156" w:after="156"/>
        <w:ind w:leftChars="0"/>
        <w:jc w:val="center"/>
        <w:rPr>
          <w:rFonts w:hint="eastAsia" w:hAnsi="Times New Roman" w:cs="Times New Roman"/>
          <w:color w:val="auto"/>
          <w:highlight w:val="none"/>
          <w:lang w:val="en-US" w:eastAsia="zh-CN"/>
        </w:rPr>
      </w:pPr>
    </w:p>
    <w:p w14:paraId="1D7962FC">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表A.</w:t>
      </w:r>
      <w:r>
        <w:rPr>
          <w:rFonts w:hint="eastAsia" w:cs="Times New Roman"/>
          <w:color w:val="auto"/>
          <w:highlight w:val="none"/>
          <w:lang w:val="en-US" w:eastAsia="zh-CN"/>
        </w:rPr>
        <w:t>4</w:t>
      </w:r>
      <w:r>
        <w:rPr>
          <w:rFonts w:hint="eastAsia"/>
          <w:color w:val="auto"/>
          <w:highlight w:val="none"/>
          <w:lang w:val="en-US" w:eastAsia="zh-CN"/>
        </w:rPr>
        <w:t xml:space="preserve">  </w:t>
      </w:r>
      <w:r>
        <w:rPr>
          <w:rFonts w:hint="eastAsia" w:hAnsi="Times New Roman" w:cs="Times New Roman"/>
          <w:color w:val="auto"/>
          <w:highlight w:val="none"/>
          <w:lang w:val="en-US" w:eastAsia="zh-CN"/>
        </w:rPr>
        <w:t>2.5GBASE-T1至25GBASE-T1典型频率点最小回波损耗</w:t>
      </w:r>
    </w:p>
    <w:tbl>
      <w:tblPr>
        <w:tblStyle w:val="37"/>
        <w:tblW w:w="85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6"/>
        <w:gridCol w:w="1701"/>
        <w:gridCol w:w="1701"/>
        <w:gridCol w:w="1701"/>
        <w:gridCol w:w="1701"/>
      </w:tblGrid>
      <w:tr w14:paraId="426858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46" w:type="dxa"/>
            <w:vMerge w:val="restart"/>
            <w:vAlign w:val="center"/>
          </w:tcPr>
          <w:p w14:paraId="64B3CCD2">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频率</w:t>
            </w:r>
          </w:p>
          <w:p w14:paraId="412A00A1">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（MHz）</w:t>
            </w:r>
          </w:p>
        </w:tc>
        <w:tc>
          <w:tcPr>
            <w:tcW w:w="6804" w:type="dxa"/>
            <w:gridSpan w:val="4"/>
            <w:vAlign w:val="center"/>
          </w:tcPr>
          <w:p w14:paraId="79660AA3">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最小回波损耗（dB）</w:t>
            </w:r>
          </w:p>
        </w:tc>
      </w:tr>
      <w:tr w14:paraId="4CAD5B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46" w:type="dxa"/>
            <w:vMerge w:val="continue"/>
            <w:tcBorders>
              <w:bottom w:val="single" w:color="auto" w:sz="8" w:space="0"/>
            </w:tcBorders>
            <w:vAlign w:val="center"/>
          </w:tcPr>
          <w:p w14:paraId="75FB8C9D">
            <w:pPr>
              <w:jc w:val="center"/>
              <w:rPr>
                <w:rFonts w:hint="eastAsia" w:ascii="Times New Roman" w:hAnsi="Times New Roman" w:cs="Times New Roman"/>
                <w:b/>
                <w:bCs/>
                <w:color w:val="auto"/>
                <w:sz w:val="18"/>
                <w:szCs w:val="18"/>
                <w:highlight w:val="none"/>
                <w:lang w:val="en-US" w:eastAsia="zh-CN"/>
              </w:rPr>
            </w:pPr>
          </w:p>
        </w:tc>
        <w:tc>
          <w:tcPr>
            <w:tcW w:w="1701" w:type="dxa"/>
            <w:tcBorders>
              <w:bottom w:val="single" w:color="auto" w:sz="8" w:space="0"/>
            </w:tcBorders>
            <w:vAlign w:val="center"/>
          </w:tcPr>
          <w:p w14:paraId="4F09A23C">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2.5GBASE-T1</w:t>
            </w:r>
          </w:p>
        </w:tc>
        <w:tc>
          <w:tcPr>
            <w:tcW w:w="1701" w:type="dxa"/>
            <w:tcBorders>
              <w:bottom w:val="single" w:color="auto" w:sz="8" w:space="0"/>
            </w:tcBorders>
            <w:vAlign w:val="center"/>
          </w:tcPr>
          <w:p w14:paraId="423693EC">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5GBASE-T1</w:t>
            </w:r>
          </w:p>
          <w:p w14:paraId="209C5C0A">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N = 0</w:t>
            </w:r>
          </w:p>
        </w:tc>
        <w:tc>
          <w:tcPr>
            <w:tcW w:w="1701" w:type="dxa"/>
            <w:tcBorders>
              <w:bottom w:val="single" w:color="auto" w:sz="8" w:space="0"/>
            </w:tcBorders>
            <w:vAlign w:val="center"/>
          </w:tcPr>
          <w:p w14:paraId="130A1710">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10GBASE-T1</w:t>
            </w:r>
          </w:p>
          <w:p w14:paraId="1AAF245C">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N = 0</w:t>
            </w:r>
          </w:p>
        </w:tc>
        <w:tc>
          <w:tcPr>
            <w:tcW w:w="1701" w:type="dxa"/>
            <w:tcBorders>
              <w:bottom w:val="single" w:color="auto" w:sz="8" w:space="0"/>
            </w:tcBorders>
            <w:vAlign w:val="center"/>
          </w:tcPr>
          <w:p w14:paraId="5E3A98CA">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25GBASE-T1</w:t>
            </w:r>
          </w:p>
        </w:tc>
      </w:tr>
      <w:tr w14:paraId="6E8BFB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tcBorders>
              <w:top w:val="single" w:color="auto" w:sz="8" w:space="0"/>
            </w:tcBorders>
            <w:vAlign w:val="center"/>
          </w:tcPr>
          <w:p w14:paraId="4E16D3D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w:t>
            </w:r>
          </w:p>
        </w:tc>
        <w:tc>
          <w:tcPr>
            <w:tcW w:w="1701" w:type="dxa"/>
            <w:tcBorders>
              <w:top w:val="single" w:color="auto" w:sz="8" w:space="0"/>
            </w:tcBorders>
            <w:vAlign w:val="center"/>
          </w:tcPr>
          <w:p w14:paraId="49E6063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c>
          <w:tcPr>
            <w:tcW w:w="1701" w:type="dxa"/>
            <w:tcBorders>
              <w:top w:val="single" w:color="auto" w:sz="8" w:space="0"/>
            </w:tcBorders>
            <w:vAlign w:val="center"/>
          </w:tcPr>
          <w:p w14:paraId="5CF0D84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c>
          <w:tcPr>
            <w:tcW w:w="1701" w:type="dxa"/>
            <w:tcBorders>
              <w:top w:val="single" w:color="auto" w:sz="8" w:space="0"/>
            </w:tcBorders>
            <w:vAlign w:val="center"/>
          </w:tcPr>
          <w:p w14:paraId="01FEC7D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c>
          <w:tcPr>
            <w:tcW w:w="1701" w:type="dxa"/>
            <w:tcBorders>
              <w:top w:val="single" w:color="auto" w:sz="8" w:space="0"/>
            </w:tcBorders>
            <w:vAlign w:val="center"/>
          </w:tcPr>
          <w:p w14:paraId="3031AFDD">
            <w:pPr>
              <w:jc w:val="center"/>
              <w:rPr>
                <w:rFonts w:hint="eastAsia" w:ascii="Times New Roman" w:hAnsi="Times New Roman" w:cs="Times New Roman"/>
                <w:color w:val="auto"/>
                <w:sz w:val="18"/>
                <w:szCs w:val="18"/>
                <w:highlight w:val="none"/>
                <w:lang w:val="en-US" w:eastAsia="zh-CN"/>
              </w:rPr>
            </w:pPr>
          </w:p>
        </w:tc>
      </w:tr>
      <w:tr w14:paraId="6C9C5E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01EFEBA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1701" w:type="dxa"/>
            <w:vAlign w:val="center"/>
          </w:tcPr>
          <w:p w14:paraId="1676AA3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c>
          <w:tcPr>
            <w:tcW w:w="1701" w:type="dxa"/>
            <w:vAlign w:val="center"/>
          </w:tcPr>
          <w:p w14:paraId="14D2DB7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c>
          <w:tcPr>
            <w:tcW w:w="1701" w:type="dxa"/>
            <w:vAlign w:val="center"/>
          </w:tcPr>
          <w:p w14:paraId="7EB42A4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c>
          <w:tcPr>
            <w:tcW w:w="1701" w:type="dxa"/>
            <w:vAlign w:val="center"/>
          </w:tcPr>
          <w:p w14:paraId="7BCF7C0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r>
      <w:tr w14:paraId="29D434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1FCE5CC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w:t>
            </w:r>
          </w:p>
        </w:tc>
        <w:tc>
          <w:tcPr>
            <w:tcW w:w="1701" w:type="dxa"/>
            <w:vAlign w:val="center"/>
          </w:tcPr>
          <w:p w14:paraId="27C5115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c>
          <w:tcPr>
            <w:tcW w:w="1701" w:type="dxa"/>
            <w:vAlign w:val="center"/>
          </w:tcPr>
          <w:p w14:paraId="09F076D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c>
          <w:tcPr>
            <w:tcW w:w="1701" w:type="dxa"/>
            <w:vAlign w:val="center"/>
          </w:tcPr>
          <w:p w14:paraId="6D88C78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c>
          <w:tcPr>
            <w:tcW w:w="1701" w:type="dxa"/>
            <w:vAlign w:val="center"/>
          </w:tcPr>
          <w:p w14:paraId="48C45D4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r>
      <w:tr w14:paraId="76A2EF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4AA4473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240</w:t>
            </w:r>
          </w:p>
        </w:tc>
        <w:tc>
          <w:tcPr>
            <w:tcW w:w="1701" w:type="dxa"/>
            <w:vAlign w:val="center"/>
          </w:tcPr>
          <w:p w14:paraId="47DC75C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c>
          <w:tcPr>
            <w:tcW w:w="1701" w:type="dxa"/>
            <w:vAlign w:val="center"/>
          </w:tcPr>
          <w:p w14:paraId="39FF2B4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c>
          <w:tcPr>
            <w:tcW w:w="1701" w:type="dxa"/>
            <w:vAlign w:val="center"/>
          </w:tcPr>
          <w:p w14:paraId="63654D5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c>
          <w:tcPr>
            <w:tcW w:w="1701" w:type="dxa"/>
            <w:vAlign w:val="center"/>
          </w:tcPr>
          <w:p w14:paraId="23C8238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r>
      <w:tr w14:paraId="6934A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4116790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400</w:t>
            </w:r>
          </w:p>
        </w:tc>
        <w:tc>
          <w:tcPr>
            <w:tcW w:w="1701" w:type="dxa"/>
            <w:vAlign w:val="center"/>
          </w:tcPr>
          <w:p w14:paraId="594DE92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17.8 </w:t>
            </w:r>
          </w:p>
        </w:tc>
        <w:tc>
          <w:tcPr>
            <w:tcW w:w="1701" w:type="dxa"/>
            <w:vAlign w:val="center"/>
          </w:tcPr>
          <w:p w14:paraId="423BE29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c>
          <w:tcPr>
            <w:tcW w:w="1701" w:type="dxa"/>
            <w:vAlign w:val="center"/>
          </w:tcPr>
          <w:p w14:paraId="3941477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c>
          <w:tcPr>
            <w:tcW w:w="1701" w:type="dxa"/>
            <w:vAlign w:val="center"/>
          </w:tcPr>
          <w:p w14:paraId="7A8120E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r>
      <w:tr w14:paraId="07EACB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05F22B9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480</w:t>
            </w:r>
          </w:p>
        </w:tc>
        <w:tc>
          <w:tcPr>
            <w:tcW w:w="1701" w:type="dxa"/>
            <w:vAlign w:val="center"/>
          </w:tcPr>
          <w:p w14:paraId="514C034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17.0 </w:t>
            </w:r>
          </w:p>
        </w:tc>
        <w:tc>
          <w:tcPr>
            <w:tcW w:w="1701" w:type="dxa"/>
            <w:vAlign w:val="center"/>
          </w:tcPr>
          <w:p w14:paraId="07A89DE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c>
          <w:tcPr>
            <w:tcW w:w="1701" w:type="dxa"/>
            <w:vAlign w:val="center"/>
          </w:tcPr>
          <w:p w14:paraId="714C2D1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c>
          <w:tcPr>
            <w:tcW w:w="1701" w:type="dxa"/>
            <w:vAlign w:val="center"/>
          </w:tcPr>
          <w:p w14:paraId="3E7B720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20.0 </w:t>
            </w:r>
          </w:p>
        </w:tc>
      </w:tr>
      <w:tr w14:paraId="1640B1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07E7B57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600</w:t>
            </w:r>
          </w:p>
        </w:tc>
        <w:tc>
          <w:tcPr>
            <w:tcW w:w="1701" w:type="dxa"/>
            <w:vAlign w:val="center"/>
          </w:tcPr>
          <w:p w14:paraId="113DC76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16.0 </w:t>
            </w:r>
          </w:p>
        </w:tc>
        <w:tc>
          <w:tcPr>
            <w:tcW w:w="1701" w:type="dxa"/>
            <w:vAlign w:val="center"/>
          </w:tcPr>
          <w:p w14:paraId="3FF38CF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19.0 </w:t>
            </w:r>
          </w:p>
        </w:tc>
        <w:tc>
          <w:tcPr>
            <w:tcW w:w="1701" w:type="dxa"/>
            <w:vAlign w:val="center"/>
          </w:tcPr>
          <w:p w14:paraId="207CDDF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19.0 </w:t>
            </w:r>
          </w:p>
        </w:tc>
        <w:tc>
          <w:tcPr>
            <w:tcW w:w="1701" w:type="dxa"/>
            <w:vAlign w:val="center"/>
          </w:tcPr>
          <w:p w14:paraId="73F396B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19.0 </w:t>
            </w:r>
          </w:p>
        </w:tc>
      </w:tr>
      <w:tr w14:paraId="068B84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7399A02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1000</w:t>
            </w:r>
          </w:p>
        </w:tc>
        <w:tc>
          <w:tcPr>
            <w:tcW w:w="1701" w:type="dxa"/>
            <w:vAlign w:val="center"/>
          </w:tcPr>
          <w:p w14:paraId="6D1D051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13.8 </w:t>
            </w:r>
          </w:p>
        </w:tc>
        <w:tc>
          <w:tcPr>
            <w:tcW w:w="1701" w:type="dxa"/>
            <w:vAlign w:val="center"/>
          </w:tcPr>
          <w:p w14:paraId="2F380F4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16.8 </w:t>
            </w:r>
          </w:p>
        </w:tc>
        <w:tc>
          <w:tcPr>
            <w:tcW w:w="1701" w:type="dxa"/>
            <w:vAlign w:val="center"/>
          </w:tcPr>
          <w:p w14:paraId="7A62912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16.8 </w:t>
            </w:r>
          </w:p>
        </w:tc>
        <w:tc>
          <w:tcPr>
            <w:tcW w:w="1701" w:type="dxa"/>
            <w:vAlign w:val="center"/>
          </w:tcPr>
          <w:p w14:paraId="08A3B8B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16.8 </w:t>
            </w:r>
          </w:p>
        </w:tc>
      </w:tr>
      <w:tr w14:paraId="40B14B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7A1742B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2000</w:t>
            </w:r>
          </w:p>
        </w:tc>
        <w:tc>
          <w:tcPr>
            <w:tcW w:w="1701" w:type="dxa"/>
            <w:vAlign w:val="center"/>
          </w:tcPr>
          <w:p w14:paraId="57C2E426">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197B9C7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13.8 </w:t>
            </w:r>
          </w:p>
        </w:tc>
        <w:tc>
          <w:tcPr>
            <w:tcW w:w="1701" w:type="dxa"/>
            <w:vAlign w:val="center"/>
          </w:tcPr>
          <w:p w14:paraId="59DF5D8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13.8 </w:t>
            </w:r>
          </w:p>
        </w:tc>
        <w:tc>
          <w:tcPr>
            <w:tcW w:w="1701" w:type="dxa"/>
            <w:vAlign w:val="center"/>
          </w:tcPr>
          <w:p w14:paraId="0C65F2E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13.8 </w:t>
            </w:r>
          </w:p>
        </w:tc>
      </w:tr>
      <w:tr w14:paraId="7EB766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10D204E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3000</w:t>
            </w:r>
          </w:p>
        </w:tc>
        <w:tc>
          <w:tcPr>
            <w:tcW w:w="1701" w:type="dxa"/>
            <w:vAlign w:val="center"/>
          </w:tcPr>
          <w:p w14:paraId="62F63B71">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60943447">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1EB3E48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12.0 </w:t>
            </w:r>
          </w:p>
        </w:tc>
        <w:tc>
          <w:tcPr>
            <w:tcW w:w="1701" w:type="dxa"/>
            <w:vAlign w:val="center"/>
          </w:tcPr>
          <w:p w14:paraId="652B0C5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12.0 </w:t>
            </w:r>
          </w:p>
        </w:tc>
      </w:tr>
      <w:tr w14:paraId="4B624C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3F05752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4000</w:t>
            </w:r>
          </w:p>
        </w:tc>
        <w:tc>
          <w:tcPr>
            <w:tcW w:w="1701" w:type="dxa"/>
            <w:vAlign w:val="center"/>
          </w:tcPr>
          <w:p w14:paraId="4C9DA7D1">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3A6E2487">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77EFC9F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12.0 </w:t>
            </w:r>
          </w:p>
        </w:tc>
        <w:tc>
          <w:tcPr>
            <w:tcW w:w="1701" w:type="dxa"/>
            <w:vAlign w:val="center"/>
          </w:tcPr>
          <w:p w14:paraId="69C25F5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10.8 </w:t>
            </w:r>
          </w:p>
        </w:tc>
      </w:tr>
      <w:tr w14:paraId="07DEB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6EFBF30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7600</w:t>
            </w:r>
          </w:p>
        </w:tc>
        <w:tc>
          <w:tcPr>
            <w:tcW w:w="1701" w:type="dxa"/>
            <w:vAlign w:val="center"/>
          </w:tcPr>
          <w:p w14:paraId="2DF3FB0A">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78D39CF8">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5F118D85">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78DF535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8.0 </w:t>
            </w:r>
          </w:p>
        </w:tc>
      </w:tr>
      <w:tr w14:paraId="063A1D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61245D6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9000</w:t>
            </w:r>
          </w:p>
        </w:tc>
        <w:tc>
          <w:tcPr>
            <w:tcW w:w="1701" w:type="dxa"/>
            <w:vAlign w:val="center"/>
          </w:tcPr>
          <w:p w14:paraId="671ECD3A">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2BB70166">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7F4CAFE3">
            <w:pPr>
              <w:jc w:val="center"/>
              <w:rPr>
                <w:rFonts w:hint="eastAsia" w:ascii="Times New Roman" w:hAnsi="Times New Roman" w:cs="Times New Roman"/>
                <w:color w:val="auto"/>
                <w:sz w:val="18"/>
                <w:szCs w:val="18"/>
                <w:highlight w:val="none"/>
                <w:lang w:val="en-US" w:eastAsia="zh-CN"/>
              </w:rPr>
            </w:pPr>
          </w:p>
        </w:tc>
        <w:tc>
          <w:tcPr>
            <w:tcW w:w="1701" w:type="dxa"/>
            <w:vAlign w:val="center"/>
          </w:tcPr>
          <w:p w14:paraId="4A03EF1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8.0 </w:t>
            </w:r>
          </w:p>
        </w:tc>
      </w:tr>
    </w:tbl>
    <w:p w14:paraId="41E0881F">
      <w:pPr>
        <w:rPr>
          <w:rFonts w:hint="eastAsia"/>
          <w:color w:val="auto"/>
          <w:lang w:val="en-US" w:eastAsia="zh-CN"/>
        </w:rPr>
      </w:pPr>
    </w:p>
    <w:p w14:paraId="5D904BF2">
      <w:pPr>
        <w:pStyle w:val="105"/>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单对以太网信道的</w:t>
      </w:r>
      <w:r>
        <w:rPr>
          <w:rFonts w:hint="eastAsia" w:ascii="Times New Roman" w:hAnsi="Times New Roman" w:eastAsia="宋体" w:cs="Times New Roman"/>
          <w:color w:val="auto"/>
          <w:highlight w:val="none"/>
          <w:lang w:val="en-US" w:eastAsia="zh-CN"/>
        </w:rPr>
        <w:t>插入损耗</w:t>
      </w:r>
      <w:r>
        <w:rPr>
          <w:rFonts w:hint="default" w:ascii="Times New Roman" w:hAnsi="Times New Roman" w:eastAsia="宋体" w:cs="Times New Roman"/>
          <w:color w:val="auto"/>
          <w:highlight w:val="none"/>
          <w:lang w:val="en-US" w:eastAsia="zh-CN"/>
        </w:rPr>
        <w:t>应满足表A.</w:t>
      </w:r>
      <w:r>
        <w:rPr>
          <w:rFonts w:hint="eastAsia" w:asci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表</w:t>
      </w:r>
      <w:r>
        <w:rPr>
          <w:rFonts w:hint="default" w:ascii="Times New Roman" w:hAnsi="Times New Roman" w:eastAsia="宋体" w:cs="Times New Roman"/>
          <w:color w:val="auto"/>
          <w:highlight w:val="none"/>
          <w:lang w:val="en-US" w:eastAsia="zh-CN"/>
        </w:rPr>
        <w:t>A.</w:t>
      </w:r>
      <w:r>
        <w:rPr>
          <w:rFonts w:hint="eastAsia" w:ascii="Times New Roman" w:eastAsia="宋体" w:cs="Times New Roman"/>
          <w:color w:val="auto"/>
          <w:highlight w:val="none"/>
          <w:lang w:val="en-US" w:eastAsia="zh-CN"/>
        </w:rPr>
        <w:t>6</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表</w:t>
      </w:r>
      <w:r>
        <w:rPr>
          <w:rFonts w:hint="default" w:ascii="Times New Roman" w:hAnsi="Times New Roman" w:eastAsia="宋体" w:cs="Times New Roman"/>
          <w:color w:val="auto"/>
          <w:highlight w:val="none"/>
          <w:lang w:val="en-US" w:eastAsia="zh-CN"/>
        </w:rPr>
        <w:t>A.</w:t>
      </w:r>
      <w:r>
        <w:rPr>
          <w:rFonts w:hint="eastAsia" w:ascii="Times New Roman" w:eastAsia="宋体" w:cs="Times New Roman"/>
          <w:color w:val="auto"/>
          <w:highlight w:val="none"/>
          <w:lang w:val="en-US" w:eastAsia="zh-CN"/>
        </w:rPr>
        <w:t>7</w:t>
      </w:r>
      <w:r>
        <w:rPr>
          <w:rFonts w:hint="eastAsia" w:ascii="Times New Roman" w:hAnsi="Times New Roman" w:eastAsia="宋体" w:cs="Times New Roman"/>
          <w:color w:val="auto"/>
          <w:highlight w:val="none"/>
          <w:lang w:val="en-US" w:eastAsia="zh-CN"/>
        </w:rPr>
        <w:t>、</w:t>
      </w:r>
      <w:r>
        <w:rPr>
          <w:rFonts w:hint="eastAsia" w:ascii="Times New Roman" w:eastAsia="宋体" w:cs="Times New Roman"/>
          <w:color w:val="auto"/>
          <w:highlight w:val="none"/>
          <w:lang w:val="en-US" w:eastAsia="zh-CN"/>
        </w:rPr>
        <w:t>图A.</w:t>
      </w:r>
      <w:r>
        <w:rPr>
          <w:rFonts w:hint="eastAsia" w:ascii="Times New Roman" w:hAnsi="Times New Roman" w:eastAsia="宋体" w:cs="Times New Roman"/>
          <w:color w:val="auto"/>
          <w:highlight w:val="none"/>
          <w:lang w:val="en-US" w:eastAsia="zh-CN"/>
        </w:rPr>
        <w:t>2、</w:t>
      </w:r>
      <w:r>
        <w:rPr>
          <w:rFonts w:hint="eastAsia" w:ascii="Times New Roman" w:eastAsia="宋体" w:cs="Times New Roman"/>
          <w:color w:val="auto"/>
          <w:highlight w:val="none"/>
          <w:lang w:val="en-US" w:eastAsia="zh-CN"/>
        </w:rPr>
        <w:t>图A.</w:t>
      </w:r>
      <w:r>
        <w:rPr>
          <w:rFonts w:hint="eastAsia" w:ascii="Times New Roman" w:hAnsi="Times New Roman" w:eastAsia="宋体" w:cs="Times New Roman"/>
          <w:color w:val="auto"/>
          <w:highlight w:val="none"/>
          <w:lang w:val="en-US" w:eastAsia="zh-CN"/>
        </w:rPr>
        <w:t>3、</w:t>
      </w:r>
      <w:r>
        <w:rPr>
          <w:rFonts w:hint="eastAsia" w:ascii="Times New Roman" w:eastAsia="宋体" w:cs="Times New Roman"/>
          <w:color w:val="auto"/>
          <w:highlight w:val="none"/>
          <w:lang w:val="en-US" w:eastAsia="zh-CN"/>
        </w:rPr>
        <w:t>图A.</w:t>
      </w:r>
      <w:r>
        <w:rPr>
          <w:rFonts w:hint="eastAsia" w:ascii="Times New Roman" w:hAnsi="Times New Roman" w:eastAsia="宋体" w:cs="Times New Roman"/>
          <w:color w:val="auto"/>
          <w:highlight w:val="none"/>
          <w:lang w:val="en-US" w:eastAsia="zh-CN"/>
        </w:rPr>
        <w:t>4及</w:t>
      </w:r>
      <w:r>
        <w:rPr>
          <w:rFonts w:hint="eastAsia" w:ascii="Times New Roman" w:eastAsia="宋体" w:cs="Times New Roman"/>
          <w:color w:val="auto"/>
          <w:highlight w:val="none"/>
          <w:lang w:val="en-US" w:eastAsia="zh-CN"/>
        </w:rPr>
        <w:t>图A.</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的相关要求。</w:t>
      </w:r>
    </w:p>
    <w:p w14:paraId="016DB3D6">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表</w:t>
      </w:r>
      <w:r>
        <w:rPr>
          <w:rFonts w:hint="default" w:hAnsi="Times New Roman" w:cs="Times New Roman"/>
          <w:color w:val="auto"/>
          <w:highlight w:val="none"/>
          <w:lang w:val="en-US" w:eastAsia="zh-CN"/>
        </w:rPr>
        <w:t>A.</w:t>
      </w:r>
      <w:r>
        <w:rPr>
          <w:rFonts w:hint="eastAsia" w:cs="Times New Roman"/>
          <w:color w:val="auto"/>
          <w:highlight w:val="none"/>
          <w:lang w:val="en-US" w:eastAsia="zh-CN"/>
        </w:rPr>
        <w:t>5</w:t>
      </w:r>
      <w:r>
        <w:rPr>
          <w:rFonts w:hint="eastAsia"/>
          <w:color w:val="auto"/>
          <w:highlight w:val="none"/>
          <w:lang w:val="en-US" w:eastAsia="zh-CN"/>
        </w:rPr>
        <w:t xml:space="preserve">  </w:t>
      </w:r>
      <w:r>
        <w:rPr>
          <w:rFonts w:hint="default" w:hAnsi="Times New Roman" w:cs="Times New Roman"/>
          <w:color w:val="auto"/>
          <w:highlight w:val="none"/>
          <w:lang w:val="en-US" w:eastAsia="zh-CN"/>
        </w:rPr>
        <w:t>单对以太网</w:t>
      </w:r>
      <w:r>
        <w:rPr>
          <w:rFonts w:hint="eastAsia" w:hAnsi="Times New Roman" w:cs="Times New Roman"/>
          <w:color w:val="auto"/>
          <w:highlight w:val="none"/>
          <w:lang w:val="en-US" w:eastAsia="zh-CN"/>
        </w:rPr>
        <w:t>信道最大插入损耗</w:t>
      </w:r>
    </w:p>
    <w:tbl>
      <w:tblPr>
        <w:tblStyle w:val="37"/>
        <w:tblW w:w="85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1179"/>
        <w:gridCol w:w="1587"/>
        <w:gridCol w:w="4252"/>
      </w:tblGrid>
      <w:tr w14:paraId="38D3B3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31" w:type="dxa"/>
            <w:tcBorders>
              <w:bottom w:val="single" w:color="auto" w:sz="8" w:space="0"/>
            </w:tcBorders>
            <w:vAlign w:val="center"/>
          </w:tcPr>
          <w:p w14:paraId="74AE113D">
            <w:pPr>
              <w:jc w:val="center"/>
              <w:rPr>
                <w:rFonts w:hint="default" w:ascii="Times New Roman" w:hAnsi="Times New Roman"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SPE类型</w:t>
            </w:r>
          </w:p>
        </w:tc>
        <w:tc>
          <w:tcPr>
            <w:tcW w:w="1179" w:type="dxa"/>
            <w:tcBorders>
              <w:bottom w:val="single" w:color="auto" w:sz="8" w:space="0"/>
            </w:tcBorders>
            <w:vAlign w:val="center"/>
          </w:tcPr>
          <w:p w14:paraId="1BA98F5C">
            <w:pPr>
              <w:jc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信道类别</w:t>
            </w:r>
          </w:p>
        </w:tc>
        <w:tc>
          <w:tcPr>
            <w:tcW w:w="1587" w:type="dxa"/>
            <w:tcBorders>
              <w:bottom w:val="single" w:color="auto" w:sz="8" w:space="0"/>
            </w:tcBorders>
            <w:vAlign w:val="center"/>
          </w:tcPr>
          <w:p w14:paraId="4CF79C2E">
            <w:pPr>
              <w:jc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频率</w:t>
            </w:r>
            <w:r>
              <w:rPr>
                <w:rFonts w:hint="default" w:ascii="Times New Roman" w:hAnsi="Times New Roman" w:cs="Times New Roman"/>
                <w:b/>
                <w:bCs/>
                <w:color w:val="auto"/>
                <w:sz w:val="18"/>
                <w:szCs w:val="18"/>
                <w:highlight w:val="none"/>
                <w:lang w:val="en-US" w:eastAsia="zh-CN"/>
              </w:rPr>
              <w:br w:type="textWrapping"/>
            </w:r>
            <w:r>
              <w:rPr>
                <w:rFonts w:hint="default" w:ascii="Times New Roman" w:hAnsi="Times New Roman" w:cs="Times New Roman"/>
                <w:b/>
                <w:bCs/>
                <w:color w:val="auto"/>
                <w:sz w:val="18"/>
                <w:szCs w:val="18"/>
                <w:highlight w:val="none"/>
                <w:lang w:val="en-US" w:eastAsia="zh-CN"/>
              </w:rPr>
              <w:t>（MHz）</w:t>
            </w:r>
          </w:p>
        </w:tc>
        <w:tc>
          <w:tcPr>
            <w:tcW w:w="4252" w:type="dxa"/>
            <w:tcBorders>
              <w:bottom w:val="single" w:color="auto" w:sz="8" w:space="0"/>
            </w:tcBorders>
            <w:vAlign w:val="center"/>
          </w:tcPr>
          <w:p w14:paraId="2CBB26A7">
            <w:pPr>
              <w:jc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最大插入损耗</w:t>
            </w:r>
          </w:p>
          <w:p w14:paraId="0FCB84C9">
            <w:pPr>
              <w:jc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（dB）</w:t>
            </w:r>
          </w:p>
        </w:tc>
      </w:tr>
      <w:tr w14:paraId="2018D8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restart"/>
            <w:tcBorders>
              <w:top w:val="single" w:color="auto" w:sz="8" w:space="0"/>
            </w:tcBorders>
            <w:vAlign w:val="center"/>
          </w:tcPr>
          <w:p w14:paraId="77A4E8A9">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10BASE-T1L</w:t>
            </w:r>
          </w:p>
        </w:tc>
        <w:tc>
          <w:tcPr>
            <w:tcW w:w="1179" w:type="dxa"/>
            <w:tcBorders>
              <w:top w:val="single" w:color="auto" w:sz="8" w:space="0"/>
            </w:tcBorders>
            <w:vAlign w:val="center"/>
          </w:tcPr>
          <w:p w14:paraId="5C5A3018">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SP1-1000</w:t>
            </w:r>
          </w:p>
        </w:tc>
        <w:tc>
          <w:tcPr>
            <w:tcW w:w="1587" w:type="dxa"/>
            <w:tcBorders>
              <w:top w:val="single" w:color="auto" w:sz="8" w:space="0"/>
            </w:tcBorders>
            <w:vAlign w:val="center"/>
          </w:tcPr>
          <w:p w14:paraId="7C82285C">
            <w:pPr>
              <w:jc w:val="center"/>
              <w:rPr>
                <w:rFonts w:hint="default" w:ascii="Times New Roman" w:hAnsi="Times New Roman" w:cs="Times New Roman"/>
                <w:color w:val="auto"/>
                <w:sz w:val="18"/>
                <w:szCs w:val="18"/>
                <w:highlight w:val="none"/>
                <w:lang w:val="en-US" w:eastAsia="zh-CN"/>
              </w:rPr>
            </w:pPr>
            <m:oMathPara>
              <m:oMath>
                <m:r>
                  <m:rPr>
                    <m:sty m:val="p"/>
                  </m:rPr>
                  <w:rPr>
                    <w:rFonts w:hint="default" w:ascii="Cambria Math" w:hAnsi="Cambria Math" w:cs="Times New Roman"/>
                    <w:color w:val="auto"/>
                    <w:sz w:val="18"/>
                    <w:szCs w:val="18"/>
                    <w:highlight w:val="none"/>
                    <w:lang w:val="en-US" w:eastAsia="zh-CN"/>
                  </w:rPr>
                  <m:t>0.1≤f≤20</m:t>
                </m:r>
              </m:oMath>
            </m:oMathPara>
          </w:p>
        </w:tc>
        <w:tc>
          <w:tcPr>
            <w:tcW w:w="4252" w:type="dxa"/>
            <w:tcBorders>
              <w:top w:val="single" w:color="auto" w:sz="8" w:space="0"/>
            </w:tcBorders>
            <w:vAlign w:val="center"/>
          </w:tcPr>
          <w:p w14:paraId="2AEF7281">
            <w:pPr>
              <w:jc w:val="center"/>
              <w:rPr>
                <w:rFonts w:hint="default" w:ascii="Times New Roman" w:hAnsi="Times New Roman" w:cs="Times New Roman"/>
                <w:color w:val="auto"/>
                <w:sz w:val="18"/>
                <w:szCs w:val="18"/>
                <w:highlight w:val="none"/>
                <w:lang w:val="en-US" w:eastAsia="zh-CN"/>
              </w:rPr>
            </w:pPr>
            <m:oMathPara>
              <m:oMath>
                <m:r>
                  <m:rPr>
                    <m:sty m:val="p"/>
                  </m:rPr>
                  <w:rPr>
                    <w:rFonts w:hint="default" w:ascii="Cambria Math" w:hAnsi="Cambria Math" w:cs="Times New Roman"/>
                    <w:color w:val="auto"/>
                    <w:sz w:val="18"/>
                    <w:szCs w:val="18"/>
                    <w:highlight w:val="none"/>
                    <w:lang w:val="en-US" w:eastAsia="zh-CN"/>
                  </w:rPr>
                  <m:t>10×</m:t>
                </m:r>
                <m:d>
                  <m:dPr>
                    <m:ctrlPr>
                      <w:rPr>
                        <w:rFonts w:hint="default" w:ascii="Cambria Math" w:hAnsi="Cambria Math" w:cs="Times New Roman"/>
                        <w:color w:val="auto"/>
                        <w:sz w:val="18"/>
                        <w:szCs w:val="18"/>
                        <w:highlight w:val="none"/>
                        <w:lang w:val="en-US" w:eastAsia="zh-CN"/>
                      </w:rPr>
                    </m:ctrlPr>
                  </m:dPr>
                  <m:e>
                    <m:r>
                      <m:rPr>
                        <m:sty m:val="p"/>
                      </m:rPr>
                      <w:rPr>
                        <w:rFonts w:hint="default" w:ascii="Cambria Math" w:hAnsi="Cambria Math" w:cs="Times New Roman"/>
                        <w:color w:val="auto"/>
                        <w:sz w:val="18"/>
                        <w:szCs w:val="18"/>
                        <w:highlight w:val="none"/>
                        <w:lang w:val="en-US" w:eastAsia="zh-CN"/>
                      </w:rPr>
                      <m:t>1.23</m:t>
                    </m:r>
                    <m:rad>
                      <m:radPr>
                        <m:degHide m:val="1"/>
                        <m:ctrlPr>
                          <w:rPr>
                            <w:rFonts w:hint="default" w:ascii="Cambria Math" w:hAnsi="Cambria Math" w:cs="Times New Roman"/>
                            <w:color w:val="auto"/>
                            <w:sz w:val="18"/>
                            <w:szCs w:val="18"/>
                            <w:highlight w:val="none"/>
                            <w:lang w:val="en-US" w:eastAsia="zh-CN"/>
                          </w:rPr>
                        </m:ctrlPr>
                      </m:radPr>
                      <m:deg>
                        <m:ctrlPr>
                          <w:rPr>
                            <w:rFonts w:hint="default" w:ascii="Cambria Math" w:hAnsi="Cambria Math" w:cs="Times New Roman"/>
                            <w:color w:val="auto"/>
                            <w:sz w:val="18"/>
                            <w:szCs w:val="18"/>
                            <w:highlight w:val="none"/>
                            <w:lang w:val="en-US" w:eastAsia="zh-CN"/>
                          </w:rPr>
                        </m:ctrlPr>
                      </m:deg>
                      <m:e>
                        <m:r>
                          <m:rPr>
                            <m:sty m:val="p"/>
                          </m:rPr>
                          <w:rPr>
                            <w:rFonts w:hint="default" w:ascii="Cambria Math" w:hAnsi="Cambria Math" w:cs="Times New Roman"/>
                            <w:color w:val="auto"/>
                            <w:sz w:val="18"/>
                            <w:szCs w:val="18"/>
                            <w:highlight w:val="none"/>
                            <w:lang w:val="en-US" w:eastAsia="zh-CN"/>
                          </w:rPr>
                          <m:t>f</m:t>
                        </m:r>
                        <m:ctrlPr>
                          <w:rPr>
                            <w:rFonts w:hint="default" w:ascii="Cambria Math" w:hAnsi="Cambria Math" w:cs="Times New Roman"/>
                            <w:color w:val="auto"/>
                            <w:sz w:val="18"/>
                            <w:szCs w:val="18"/>
                            <w:highlight w:val="none"/>
                            <w:lang w:val="en-US" w:eastAsia="zh-CN"/>
                          </w:rPr>
                        </m:ctrlPr>
                      </m:e>
                    </m:rad>
                    <m:r>
                      <m:rPr>
                        <m:sty m:val="p"/>
                      </m:rPr>
                      <w:rPr>
                        <w:rFonts w:hint="default" w:ascii="Cambria Math" w:hAnsi="Cambria Math" w:cs="Times New Roman"/>
                        <w:color w:val="auto"/>
                        <w:sz w:val="18"/>
                        <w:szCs w:val="18"/>
                        <w:highlight w:val="none"/>
                        <w:lang w:val="en-US" w:eastAsia="zh-CN"/>
                      </w:rPr>
                      <m:t>+0.01f+</m:t>
                    </m:r>
                    <m:f>
                      <m:fPr>
                        <m:ctrlPr>
                          <w:rPr>
                            <w:rFonts w:hint="default" w:ascii="Cambria Math" w:hAnsi="Cambria Math" w:cs="Times New Roman"/>
                            <w:color w:val="auto"/>
                            <w:sz w:val="18"/>
                            <w:szCs w:val="18"/>
                            <w:highlight w:val="none"/>
                            <w:lang w:val="en-US" w:eastAsia="zh-CN"/>
                          </w:rPr>
                        </m:ctrlPr>
                      </m:fPr>
                      <m:num>
                        <m:r>
                          <m:rPr>
                            <m:sty m:val="p"/>
                          </m:rPr>
                          <w:rPr>
                            <w:rFonts w:hint="default" w:ascii="Cambria Math" w:hAnsi="Cambria Math" w:cs="Times New Roman"/>
                            <w:color w:val="auto"/>
                            <w:sz w:val="18"/>
                            <w:szCs w:val="18"/>
                            <w:highlight w:val="none"/>
                            <w:lang w:val="en-US" w:eastAsia="zh-CN"/>
                          </w:rPr>
                          <m:t>0.2</m:t>
                        </m:r>
                        <m:ctrlPr>
                          <w:rPr>
                            <w:rFonts w:hint="default" w:ascii="Cambria Math" w:hAnsi="Cambria Math" w:cs="Times New Roman"/>
                            <w:color w:val="auto"/>
                            <w:sz w:val="18"/>
                            <w:szCs w:val="18"/>
                            <w:highlight w:val="none"/>
                            <w:lang w:val="en-US" w:eastAsia="zh-CN"/>
                          </w:rPr>
                        </m:ctrlPr>
                      </m:num>
                      <m:den>
                        <m:rad>
                          <m:radPr>
                            <m:degHide m:val="1"/>
                            <m:ctrlPr>
                              <w:rPr>
                                <w:rFonts w:hint="default" w:ascii="Cambria Math" w:hAnsi="Cambria Math" w:cs="Times New Roman"/>
                                <w:color w:val="auto"/>
                                <w:sz w:val="18"/>
                                <w:szCs w:val="18"/>
                                <w:highlight w:val="none"/>
                                <w:lang w:val="en-US" w:eastAsia="zh-CN"/>
                              </w:rPr>
                            </m:ctrlPr>
                          </m:radPr>
                          <m:deg>
                            <m:ctrlPr>
                              <w:rPr>
                                <w:rFonts w:hint="default" w:ascii="Cambria Math" w:hAnsi="Cambria Math" w:cs="Times New Roman"/>
                                <w:color w:val="auto"/>
                                <w:sz w:val="18"/>
                                <w:szCs w:val="18"/>
                                <w:highlight w:val="none"/>
                                <w:lang w:val="en-US" w:eastAsia="zh-CN"/>
                              </w:rPr>
                            </m:ctrlPr>
                          </m:deg>
                          <m:e>
                            <m:r>
                              <m:rPr>
                                <m:sty m:val="p"/>
                              </m:rPr>
                              <w:rPr>
                                <w:rFonts w:hint="default" w:ascii="Cambria Math" w:hAnsi="Cambria Math" w:cs="Times New Roman"/>
                                <w:color w:val="auto"/>
                                <w:sz w:val="18"/>
                                <w:szCs w:val="18"/>
                                <w:highlight w:val="none"/>
                                <w:lang w:val="en-US" w:eastAsia="zh-CN"/>
                              </w:rPr>
                              <m:t>f</m:t>
                            </m:r>
                            <m:ctrlPr>
                              <w:rPr>
                                <w:rFonts w:hint="default" w:ascii="Cambria Math" w:hAnsi="Cambria Math" w:cs="Times New Roman"/>
                                <w:color w:val="auto"/>
                                <w:sz w:val="18"/>
                                <w:szCs w:val="18"/>
                                <w:highlight w:val="none"/>
                                <w:lang w:val="en-US" w:eastAsia="zh-CN"/>
                              </w:rPr>
                            </m:ctrlPr>
                          </m:e>
                        </m:rad>
                        <m:ctrlPr>
                          <w:rPr>
                            <w:rFonts w:hint="default" w:ascii="Cambria Math" w:hAnsi="Cambria Math" w:cs="Times New Roman"/>
                            <w:color w:val="auto"/>
                            <w:sz w:val="18"/>
                            <w:szCs w:val="18"/>
                            <w:highlight w:val="none"/>
                            <w:lang w:val="en-US" w:eastAsia="zh-CN"/>
                          </w:rPr>
                        </m:ctrlPr>
                      </m:den>
                    </m:f>
                    <m:ctrlPr>
                      <w:rPr>
                        <w:rFonts w:hint="default" w:ascii="Cambria Math" w:hAnsi="Cambria Math" w:cs="Times New Roman"/>
                        <w:color w:val="auto"/>
                        <w:sz w:val="18"/>
                        <w:szCs w:val="18"/>
                        <w:highlight w:val="none"/>
                        <w:lang w:val="en-US" w:eastAsia="zh-CN"/>
                      </w:rPr>
                    </m:ctrlPr>
                  </m:e>
                </m:d>
                <m:r>
                  <m:rPr>
                    <m:sty m:val="p"/>
                  </m:rPr>
                  <w:rPr>
                    <w:rFonts w:hint="default" w:ascii="Cambria Math" w:hAnsi="Cambria Math" w:cs="Times New Roman"/>
                    <w:color w:val="auto"/>
                    <w:sz w:val="18"/>
                    <w:szCs w:val="18"/>
                    <w:highlight w:val="none"/>
                    <w:lang w:val="en-US" w:eastAsia="zh-CN"/>
                  </w:rPr>
                  <m:t>+10×0.02</m:t>
                </m:r>
                <m:rad>
                  <m:radPr>
                    <m:degHide m:val="1"/>
                    <m:ctrlPr>
                      <w:rPr>
                        <w:rFonts w:hint="default" w:ascii="Cambria Math" w:hAnsi="Cambria Math" w:cs="Times New Roman"/>
                        <w:color w:val="auto"/>
                        <w:sz w:val="18"/>
                        <w:szCs w:val="18"/>
                        <w:highlight w:val="none"/>
                        <w:lang w:val="en-US" w:eastAsia="zh-CN"/>
                      </w:rPr>
                    </m:ctrlPr>
                  </m:radPr>
                  <m:deg>
                    <m:ctrlPr>
                      <w:rPr>
                        <w:rFonts w:hint="default" w:ascii="Cambria Math" w:hAnsi="Cambria Math" w:cs="Times New Roman"/>
                        <w:color w:val="auto"/>
                        <w:sz w:val="18"/>
                        <w:szCs w:val="18"/>
                        <w:highlight w:val="none"/>
                        <w:lang w:val="en-US" w:eastAsia="zh-CN"/>
                      </w:rPr>
                    </m:ctrlPr>
                  </m:deg>
                  <m:e>
                    <m:r>
                      <m:rPr>
                        <m:sty m:val="p"/>
                      </m:rPr>
                      <w:rPr>
                        <w:rFonts w:hint="default" w:ascii="Cambria Math" w:hAnsi="Cambria Math" w:cs="Times New Roman"/>
                        <w:color w:val="auto"/>
                        <w:sz w:val="18"/>
                        <w:szCs w:val="18"/>
                        <w:highlight w:val="none"/>
                        <w:lang w:val="en-US" w:eastAsia="zh-CN"/>
                      </w:rPr>
                      <m:t>f</m:t>
                    </m:r>
                    <m:ctrlPr>
                      <w:rPr>
                        <w:rFonts w:hint="default" w:ascii="Cambria Math" w:hAnsi="Cambria Math" w:cs="Times New Roman"/>
                        <w:color w:val="auto"/>
                        <w:sz w:val="18"/>
                        <w:szCs w:val="18"/>
                        <w:highlight w:val="none"/>
                        <w:lang w:val="en-US" w:eastAsia="zh-CN"/>
                      </w:rPr>
                    </m:ctrlPr>
                  </m:e>
                </m:rad>
              </m:oMath>
            </m:oMathPara>
          </w:p>
        </w:tc>
      </w:tr>
      <w:tr w14:paraId="24854C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continue"/>
            <w:vAlign w:val="center"/>
          </w:tcPr>
          <w:p w14:paraId="79B78833">
            <w:pPr>
              <w:jc w:val="center"/>
              <w:rPr>
                <w:rFonts w:hint="eastAsia" w:ascii="Times New Roman" w:hAnsi="Times New Roman" w:cs="Times New Roman"/>
                <w:color w:val="auto"/>
                <w:sz w:val="18"/>
                <w:szCs w:val="18"/>
                <w:highlight w:val="none"/>
                <w:lang w:val="en-US" w:eastAsia="zh-CN"/>
              </w:rPr>
            </w:pPr>
          </w:p>
        </w:tc>
        <w:tc>
          <w:tcPr>
            <w:tcW w:w="1179" w:type="dxa"/>
            <w:vAlign w:val="center"/>
          </w:tcPr>
          <w:p w14:paraId="344FB68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SP1-400</w:t>
            </w:r>
          </w:p>
        </w:tc>
        <w:tc>
          <w:tcPr>
            <w:tcW w:w="1587" w:type="dxa"/>
            <w:vAlign w:val="center"/>
          </w:tcPr>
          <w:p w14:paraId="4A45C685">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0.1≤f≤20</m:t>
                </m:r>
              </m:oMath>
            </m:oMathPara>
          </w:p>
        </w:tc>
        <w:tc>
          <w:tcPr>
            <w:tcW w:w="4252" w:type="dxa"/>
            <w:vAlign w:val="center"/>
          </w:tcPr>
          <w:p w14:paraId="2AB87019">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4×</m:t>
                </m:r>
                <m:d>
                  <m:dPr>
                    <m:ctrlPr>
                      <w:rPr>
                        <w:rFonts w:hint="eastAsia" w:ascii="Cambria Math" w:hAnsi="Cambria Math" w:cs="Times New Roman"/>
                        <w:color w:val="auto"/>
                        <w:sz w:val="18"/>
                        <w:szCs w:val="18"/>
                        <w:highlight w:val="none"/>
                        <w:lang w:val="en-US" w:eastAsia="zh-CN"/>
                      </w:rPr>
                    </m:ctrlPr>
                  </m:dPr>
                  <m:e>
                    <m:r>
                      <m:rPr>
                        <m:sty m:val="p"/>
                      </m:rPr>
                      <w:rPr>
                        <w:rFonts w:hint="eastAsia" w:ascii="Cambria Math" w:hAnsi="Cambria Math" w:cs="Times New Roman"/>
                        <w:color w:val="auto"/>
                        <w:sz w:val="18"/>
                        <w:szCs w:val="18"/>
                        <w:highlight w:val="none"/>
                        <w:lang w:val="en-US" w:eastAsia="zh-CN"/>
                      </w:rPr>
                      <m:t>1.82</m:t>
                    </m:r>
                    <m:rad>
                      <m:radPr>
                        <m:degHide m:val="1"/>
                        <m:ctrlPr>
                          <w:rPr>
                            <w:rFonts w:hint="eastAsia" w:ascii="Cambria Math" w:hAnsi="Cambria Math" w:cs="Times New Roman"/>
                            <w:color w:val="auto"/>
                            <w:sz w:val="18"/>
                            <w:szCs w:val="18"/>
                            <w:highlight w:val="none"/>
                            <w:lang w:val="en-US" w:eastAsia="zh-CN"/>
                          </w:rPr>
                        </m:ctrlPr>
                      </m:radPr>
                      <m:deg>
                        <m:ctrlPr>
                          <w:rPr>
                            <w:rFonts w:hint="eastAsia" w:ascii="Cambria Math" w:hAnsi="Cambria Math" w:cs="Times New Roman"/>
                            <w:color w:val="auto"/>
                            <w:sz w:val="18"/>
                            <w:szCs w:val="18"/>
                            <w:highlight w:val="none"/>
                            <w:lang w:val="en-US" w:eastAsia="zh-CN"/>
                          </w:rPr>
                        </m:ctrlPr>
                      </m:deg>
                      <m:e>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e>
                    </m:rad>
                    <m:r>
                      <m:rPr>
                        <m:sty m:val="p"/>
                      </m:rPr>
                      <w:rPr>
                        <w:rFonts w:hint="eastAsia" w:ascii="Cambria Math" w:hAnsi="Cambria Math" w:cs="Times New Roman"/>
                        <w:color w:val="auto"/>
                        <w:sz w:val="18"/>
                        <w:szCs w:val="18"/>
                        <w:highlight w:val="none"/>
                        <w:lang w:val="en-US" w:eastAsia="zh-CN"/>
                      </w:rPr>
                      <m:t>+0.0091f+</m:t>
                    </m:r>
                    <m:f>
                      <m:fPr>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0.25</m:t>
                        </m:r>
                        <m:ctrlPr>
                          <w:rPr>
                            <w:rFonts w:hint="eastAsia" w:ascii="Cambria Math" w:hAnsi="Cambria Math" w:cs="Times New Roman"/>
                            <w:color w:val="auto"/>
                            <w:sz w:val="18"/>
                            <w:szCs w:val="18"/>
                            <w:highlight w:val="none"/>
                            <w:lang w:val="en-US" w:eastAsia="zh-CN"/>
                          </w:rPr>
                        </m:ctrlPr>
                      </m:num>
                      <m:den>
                        <m:rad>
                          <m:radPr>
                            <m:degHide m:val="1"/>
                            <m:ctrlPr>
                              <w:rPr>
                                <w:rFonts w:hint="eastAsia" w:ascii="Cambria Math" w:hAnsi="Cambria Math" w:cs="Times New Roman"/>
                                <w:color w:val="auto"/>
                                <w:sz w:val="18"/>
                                <w:szCs w:val="18"/>
                                <w:highlight w:val="none"/>
                                <w:lang w:val="en-US" w:eastAsia="zh-CN"/>
                              </w:rPr>
                            </m:ctrlPr>
                          </m:radPr>
                          <m:deg>
                            <m:ctrlPr>
                              <w:rPr>
                                <w:rFonts w:hint="eastAsia" w:ascii="Cambria Math" w:hAnsi="Cambria Math" w:cs="Times New Roman"/>
                                <w:color w:val="auto"/>
                                <w:sz w:val="18"/>
                                <w:szCs w:val="18"/>
                                <w:highlight w:val="none"/>
                                <w:lang w:val="en-US" w:eastAsia="zh-CN"/>
                              </w:rPr>
                            </m:ctrlPr>
                          </m:deg>
                          <m:e>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e>
                        </m:rad>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r>
                  <m:rPr>
                    <m:sty m:val="p"/>
                  </m:rPr>
                  <w:rPr>
                    <w:rFonts w:hint="eastAsia" w:ascii="Cambria Math" w:hAnsi="Cambria Math" w:cs="Times New Roman"/>
                    <w:color w:val="auto"/>
                    <w:sz w:val="18"/>
                    <w:szCs w:val="18"/>
                    <w:highlight w:val="none"/>
                    <w:lang w:val="en-US" w:eastAsia="zh-CN"/>
                  </w:rPr>
                  <m:t>+5×0.02</m:t>
                </m:r>
                <m:rad>
                  <m:radPr>
                    <m:degHide m:val="1"/>
                    <m:ctrlPr>
                      <w:rPr>
                        <w:rFonts w:hint="eastAsia" w:ascii="Cambria Math" w:hAnsi="Cambria Math" w:cs="Times New Roman"/>
                        <w:color w:val="auto"/>
                        <w:sz w:val="18"/>
                        <w:szCs w:val="18"/>
                        <w:highlight w:val="none"/>
                        <w:lang w:val="en-US" w:eastAsia="zh-CN"/>
                      </w:rPr>
                    </m:ctrlPr>
                  </m:radPr>
                  <m:deg>
                    <m:ctrlPr>
                      <w:rPr>
                        <w:rFonts w:hint="eastAsia" w:ascii="Cambria Math" w:hAnsi="Cambria Math" w:cs="Times New Roman"/>
                        <w:color w:val="auto"/>
                        <w:sz w:val="18"/>
                        <w:szCs w:val="18"/>
                        <w:highlight w:val="none"/>
                        <w:lang w:val="en-US" w:eastAsia="zh-CN"/>
                      </w:rPr>
                    </m:ctrlPr>
                  </m:deg>
                  <m:e>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e>
                </m:rad>
              </m:oMath>
            </m:oMathPara>
          </w:p>
        </w:tc>
      </w:tr>
      <w:tr w14:paraId="4B141B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restart"/>
            <w:vAlign w:val="center"/>
          </w:tcPr>
          <w:p w14:paraId="4E97AE9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10BASE-T1S</w:t>
            </w:r>
          </w:p>
        </w:tc>
        <w:tc>
          <w:tcPr>
            <w:tcW w:w="1179" w:type="dxa"/>
            <w:vMerge w:val="restart"/>
            <w:vAlign w:val="center"/>
          </w:tcPr>
          <w:p w14:paraId="4AA2C0F2">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3385A1E9">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0.3≤f&lt;10</m:t>
                </m:r>
              </m:oMath>
            </m:oMathPara>
          </w:p>
        </w:tc>
        <w:tc>
          <w:tcPr>
            <w:tcW w:w="4252" w:type="dxa"/>
            <w:vAlign w:val="center"/>
          </w:tcPr>
          <w:p w14:paraId="7FE201EA">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1.0+</m:t>
                </m:r>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1.6×</m:t>
                    </m:r>
                    <m:d>
                      <m:dPr>
                        <m:ctrlPr>
                          <w:rPr>
                            <w:rFonts w:hint="eastAsia" w:ascii="Cambria Math" w:hAnsi="Cambria Math" w:cs="Times New Roman"/>
                            <w:color w:val="auto"/>
                            <w:sz w:val="18"/>
                            <w:szCs w:val="18"/>
                            <w:highlight w:val="none"/>
                            <w:lang w:val="en-US" w:eastAsia="zh-CN"/>
                          </w:rPr>
                        </m:ctrlPr>
                      </m:dPr>
                      <m:e>
                        <m:r>
                          <m:rPr>
                            <m:sty m:val="p"/>
                          </m:rPr>
                          <w:rPr>
                            <w:rFonts w:hint="eastAsia" w:ascii="Cambria Math" w:hAnsi="Cambria Math" w:cs="Times New Roman"/>
                            <w:color w:val="auto"/>
                            <w:sz w:val="18"/>
                            <w:szCs w:val="18"/>
                            <w:highlight w:val="none"/>
                            <w:lang w:val="en-US" w:eastAsia="zh-CN"/>
                          </w:rPr>
                          <m:t>f−1</m:t>
                        </m:r>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9</m:t>
                    </m:r>
                    <m:ctrlPr>
                      <w:rPr>
                        <w:rFonts w:hint="eastAsia" w:ascii="Cambria Math" w:hAnsi="Cambria Math" w:cs="Times New Roman"/>
                        <w:color w:val="auto"/>
                        <w:sz w:val="18"/>
                        <w:szCs w:val="18"/>
                        <w:highlight w:val="none"/>
                        <w:lang w:val="en-US" w:eastAsia="zh-CN"/>
                      </w:rPr>
                    </m:ctrlPr>
                  </m:den>
                </m:f>
              </m:oMath>
            </m:oMathPara>
          </w:p>
        </w:tc>
      </w:tr>
      <w:tr w14:paraId="7798FC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continue"/>
            <w:vAlign w:val="center"/>
          </w:tcPr>
          <w:p w14:paraId="2C13908F">
            <w:pPr>
              <w:jc w:val="center"/>
              <w:rPr>
                <w:rFonts w:hint="eastAsia" w:ascii="Times New Roman" w:hAnsi="Times New Roman" w:cs="Times New Roman"/>
                <w:color w:val="auto"/>
                <w:sz w:val="18"/>
                <w:szCs w:val="18"/>
                <w:highlight w:val="none"/>
                <w:lang w:val="en-US" w:eastAsia="zh-CN"/>
              </w:rPr>
            </w:pPr>
          </w:p>
        </w:tc>
        <w:tc>
          <w:tcPr>
            <w:tcW w:w="1179" w:type="dxa"/>
            <w:vMerge w:val="continue"/>
            <w:vAlign w:val="center"/>
          </w:tcPr>
          <w:p w14:paraId="71A16694">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5E5C449A">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10≤f&lt;33</m:t>
                </m:r>
              </m:oMath>
            </m:oMathPara>
          </w:p>
        </w:tc>
        <w:tc>
          <w:tcPr>
            <w:tcW w:w="4252" w:type="dxa"/>
            <w:vAlign w:val="center"/>
          </w:tcPr>
          <w:p w14:paraId="43702070">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2.6+</m:t>
                </m:r>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2.3×</m:t>
                    </m:r>
                    <m:d>
                      <m:dPr>
                        <m:ctrlPr>
                          <w:rPr>
                            <w:rFonts w:hint="eastAsia" w:ascii="Cambria Math" w:hAnsi="Cambria Math" w:cs="Times New Roman"/>
                            <w:color w:val="auto"/>
                            <w:sz w:val="18"/>
                            <w:szCs w:val="18"/>
                            <w:highlight w:val="none"/>
                            <w:lang w:val="en-US" w:eastAsia="zh-CN"/>
                          </w:rPr>
                        </m:ctrlPr>
                      </m:dPr>
                      <m:e>
                        <m:r>
                          <m:rPr>
                            <m:sty m:val="p"/>
                          </m:rPr>
                          <w:rPr>
                            <w:rFonts w:hint="eastAsia" w:ascii="Cambria Math" w:hAnsi="Cambria Math" w:cs="Times New Roman"/>
                            <w:color w:val="auto"/>
                            <w:sz w:val="18"/>
                            <w:szCs w:val="18"/>
                            <w:highlight w:val="none"/>
                            <w:lang w:val="en-US" w:eastAsia="zh-CN"/>
                          </w:rPr>
                          <m:t>f−10</m:t>
                        </m:r>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23</m:t>
                    </m:r>
                    <m:ctrlPr>
                      <w:rPr>
                        <w:rFonts w:hint="eastAsia" w:ascii="Cambria Math" w:hAnsi="Cambria Math" w:cs="Times New Roman"/>
                        <w:color w:val="auto"/>
                        <w:sz w:val="18"/>
                        <w:szCs w:val="18"/>
                        <w:highlight w:val="none"/>
                        <w:lang w:val="en-US" w:eastAsia="zh-CN"/>
                      </w:rPr>
                    </m:ctrlPr>
                  </m:den>
                </m:f>
              </m:oMath>
            </m:oMathPara>
          </w:p>
        </w:tc>
      </w:tr>
      <w:tr w14:paraId="5D4A9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continue"/>
            <w:vAlign w:val="center"/>
          </w:tcPr>
          <w:p w14:paraId="7C45358A">
            <w:pPr>
              <w:jc w:val="center"/>
              <w:rPr>
                <w:rFonts w:hint="eastAsia" w:ascii="Times New Roman" w:hAnsi="Times New Roman" w:cs="Times New Roman"/>
                <w:color w:val="auto"/>
                <w:sz w:val="18"/>
                <w:szCs w:val="18"/>
                <w:highlight w:val="none"/>
                <w:lang w:val="en-US" w:eastAsia="zh-CN"/>
              </w:rPr>
            </w:pPr>
          </w:p>
        </w:tc>
        <w:tc>
          <w:tcPr>
            <w:tcW w:w="1179" w:type="dxa"/>
            <w:vMerge w:val="continue"/>
            <w:vAlign w:val="center"/>
          </w:tcPr>
          <w:p w14:paraId="67405E1A">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10531819">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33≤f≤40</m:t>
                </m:r>
              </m:oMath>
            </m:oMathPara>
          </w:p>
        </w:tc>
        <w:tc>
          <w:tcPr>
            <w:tcW w:w="4252" w:type="dxa"/>
            <w:vAlign w:val="center"/>
          </w:tcPr>
          <w:p w14:paraId="42D61C29">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4.9+</m:t>
                </m:r>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2.3×</m:t>
                    </m:r>
                    <m:d>
                      <m:dPr>
                        <m:ctrlPr>
                          <w:rPr>
                            <w:rFonts w:hint="eastAsia" w:ascii="Cambria Math" w:hAnsi="Cambria Math" w:cs="Times New Roman"/>
                            <w:color w:val="auto"/>
                            <w:sz w:val="18"/>
                            <w:szCs w:val="18"/>
                            <w:highlight w:val="none"/>
                            <w:lang w:val="en-US" w:eastAsia="zh-CN"/>
                          </w:rPr>
                        </m:ctrlPr>
                      </m:dPr>
                      <m:e>
                        <m:r>
                          <m:rPr>
                            <m:sty m:val="p"/>
                          </m:rPr>
                          <w:rPr>
                            <w:rFonts w:hint="eastAsia" w:ascii="Cambria Math" w:hAnsi="Cambria Math" w:cs="Times New Roman"/>
                            <w:color w:val="auto"/>
                            <w:sz w:val="18"/>
                            <w:szCs w:val="18"/>
                            <w:highlight w:val="none"/>
                            <w:lang w:val="en-US" w:eastAsia="zh-CN"/>
                          </w:rPr>
                          <m:t>f−33</m:t>
                        </m:r>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33</m:t>
                    </m:r>
                    <m:ctrlPr>
                      <w:rPr>
                        <w:rFonts w:hint="eastAsia" w:ascii="Cambria Math" w:hAnsi="Cambria Math" w:cs="Times New Roman"/>
                        <w:color w:val="auto"/>
                        <w:sz w:val="18"/>
                        <w:szCs w:val="18"/>
                        <w:highlight w:val="none"/>
                        <w:lang w:val="en-US" w:eastAsia="zh-CN"/>
                      </w:rPr>
                    </m:ctrlPr>
                  </m:den>
                </m:f>
              </m:oMath>
            </m:oMathPara>
          </w:p>
        </w:tc>
      </w:tr>
      <w:tr w14:paraId="5C986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restart"/>
            <w:vAlign w:val="center"/>
          </w:tcPr>
          <w:p w14:paraId="71F9319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100BASE-T1</w:t>
            </w:r>
          </w:p>
        </w:tc>
        <w:tc>
          <w:tcPr>
            <w:tcW w:w="1179" w:type="dxa"/>
            <w:vMerge w:val="restart"/>
            <w:vAlign w:val="center"/>
          </w:tcPr>
          <w:p w14:paraId="66780AE5">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12075570">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1≤f&lt;10</m:t>
                </m:r>
              </m:oMath>
            </m:oMathPara>
          </w:p>
        </w:tc>
        <w:tc>
          <w:tcPr>
            <w:tcW w:w="4252" w:type="dxa"/>
            <w:vAlign w:val="center"/>
          </w:tcPr>
          <w:p w14:paraId="33E5999B">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1.0+</m:t>
                </m:r>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1.6×</m:t>
                    </m:r>
                    <m:d>
                      <m:dPr>
                        <m:ctrlPr>
                          <w:rPr>
                            <w:rFonts w:hint="eastAsia" w:ascii="Cambria Math" w:hAnsi="Cambria Math" w:cs="Times New Roman"/>
                            <w:color w:val="auto"/>
                            <w:sz w:val="18"/>
                            <w:szCs w:val="18"/>
                            <w:highlight w:val="none"/>
                            <w:lang w:val="en-US" w:eastAsia="zh-CN"/>
                          </w:rPr>
                        </m:ctrlPr>
                      </m:dPr>
                      <m:e>
                        <m:r>
                          <m:rPr>
                            <m:sty m:val="p"/>
                          </m:rPr>
                          <w:rPr>
                            <w:rFonts w:hint="eastAsia" w:ascii="Cambria Math" w:hAnsi="Cambria Math" w:cs="Times New Roman"/>
                            <w:color w:val="auto"/>
                            <w:sz w:val="18"/>
                            <w:szCs w:val="18"/>
                            <w:highlight w:val="none"/>
                            <w:lang w:val="en-US" w:eastAsia="zh-CN"/>
                          </w:rPr>
                          <m:t>f−1</m:t>
                        </m:r>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9</m:t>
                    </m:r>
                    <m:ctrlPr>
                      <w:rPr>
                        <w:rFonts w:hint="eastAsia" w:ascii="Cambria Math" w:hAnsi="Cambria Math" w:cs="Times New Roman"/>
                        <w:color w:val="auto"/>
                        <w:sz w:val="18"/>
                        <w:szCs w:val="18"/>
                        <w:highlight w:val="none"/>
                        <w:lang w:val="en-US" w:eastAsia="zh-CN"/>
                      </w:rPr>
                    </m:ctrlPr>
                  </m:den>
                </m:f>
              </m:oMath>
            </m:oMathPara>
          </w:p>
        </w:tc>
      </w:tr>
      <w:tr w14:paraId="5FBA2D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continue"/>
            <w:vAlign w:val="center"/>
          </w:tcPr>
          <w:p w14:paraId="15848FE5">
            <w:pPr>
              <w:jc w:val="center"/>
              <w:rPr>
                <w:rFonts w:hint="eastAsia" w:ascii="Times New Roman" w:hAnsi="Times New Roman" w:cs="Times New Roman"/>
                <w:color w:val="auto"/>
                <w:sz w:val="18"/>
                <w:szCs w:val="18"/>
                <w:highlight w:val="none"/>
                <w:lang w:val="en-US" w:eastAsia="zh-CN"/>
              </w:rPr>
            </w:pPr>
          </w:p>
        </w:tc>
        <w:tc>
          <w:tcPr>
            <w:tcW w:w="1179" w:type="dxa"/>
            <w:vMerge w:val="continue"/>
            <w:vAlign w:val="center"/>
          </w:tcPr>
          <w:p w14:paraId="0EFE1937">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055B336E">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10≤f&lt;33</m:t>
                </m:r>
              </m:oMath>
            </m:oMathPara>
          </w:p>
        </w:tc>
        <w:tc>
          <w:tcPr>
            <w:tcW w:w="4252" w:type="dxa"/>
            <w:vAlign w:val="center"/>
          </w:tcPr>
          <w:p w14:paraId="3A76CEEF">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2.6+</m:t>
                </m:r>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2.3×</m:t>
                    </m:r>
                    <m:d>
                      <m:dPr>
                        <m:ctrlPr>
                          <w:rPr>
                            <w:rFonts w:hint="eastAsia" w:ascii="Cambria Math" w:hAnsi="Cambria Math" w:cs="Times New Roman"/>
                            <w:color w:val="auto"/>
                            <w:sz w:val="18"/>
                            <w:szCs w:val="18"/>
                            <w:highlight w:val="none"/>
                            <w:lang w:val="en-US" w:eastAsia="zh-CN"/>
                          </w:rPr>
                        </m:ctrlPr>
                      </m:dPr>
                      <m:e>
                        <m:r>
                          <m:rPr>
                            <m:sty m:val="p"/>
                          </m:rPr>
                          <w:rPr>
                            <w:rFonts w:hint="eastAsia" w:ascii="Cambria Math" w:hAnsi="Cambria Math" w:cs="Times New Roman"/>
                            <w:color w:val="auto"/>
                            <w:sz w:val="18"/>
                            <w:szCs w:val="18"/>
                            <w:highlight w:val="none"/>
                            <w:lang w:val="en-US" w:eastAsia="zh-CN"/>
                          </w:rPr>
                          <m:t>f−10</m:t>
                        </m:r>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23</m:t>
                    </m:r>
                    <m:ctrlPr>
                      <w:rPr>
                        <w:rFonts w:hint="eastAsia" w:ascii="Cambria Math" w:hAnsi="Cambria Math" w:cs="Times New Roman"/>
                        <w:color w:val="auto"/>
                        <w:sz w:val="18"/>
                        <w:szCs w:val="18"/>
                        <w:highlight w:val="none"/>
                        <w:lang w:val="en-US" w:eastAsia="zh-CN"/>
                      </w:rPr>
                    </m:ctrlPr>
                  </m:den>
                </m:f>
              </m:oMath>
            </m:oMathPara>
          </w:p>
        </w:tc>
      </w:tr>
      <w:tr w14:paraId="04A375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continue"/>
            <w:vAlign w:val="center"/>
          </w:tcPr>
          <w:p w14:paraId="2726EBD9">
            <w:pPr>
              <w:jc w:val="center"/>
              <w:rPr>
                <w:rFonts w:hint="eastAsia" w:ascii="Times New Roman" w:hAnsi="Times New Roman" w:cs="Times New Roman"/>
                <w:color w:val="auto"/>
                <w:sz w:val="18"/>
                <w:szCs w:val="18"/>
                <w:highlight w:val="none"/>
                <w:lang w:val="en-US" w:eastAsia="zh-CN"/>
              </w:rPr>
            </w:pPr>
          </w:p>
        </w:tc>
        <w:tc>
          <w:tcPr>
            <w:tcW w:w="1179" w:type="dxa"/>
            <w:vMerge w:val="continue"/>
            <w:vAlign w:val="center"/>
          </w:tcPr>
          <w:p w14:paraId="5053BE47">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3D2287A1">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33≤f≤66</m:t>
                </m:r>
              </m:oMath>
            </m:oMathPara>
          </w:p>
        </w:tc>
        <w:tc>
          <w:tcPr>
            <w:tcW w:w="4252" w:type="dxa"/>
            <w:vAlign w:val="center"/>
          </w:tcPr>
          <w:p w14:paraId="6538AAD7">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4.9+</m:t>
                </m:r>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2.3×</m:t>
                    </m:r>
                    <m:d>
                      <m:dPr>
                        <m:ctrlPr>
                          <w:rPr>
                            <w:rFonts w:hint="eastAsia" w:ascii="Cambria Math" w:hAnsi="Cambria Math" w:cs="Times New Roman"/>
                            <w:color w:val="auto"/>
                            <w:sz w:val="18"/>
                            <w:szCs w:val="18"/>
                            <w:highlight w:val="none"/>
                            <w:lang w:val="en-US" w:eastAsia="zh-CN"/>
                          </w:rPr>
                        </m:ctrlPr>
                      </m:dPr>
                      <m:e>
                        <m:r>
                          <m:rPr>
                            <m:sty m:val="p"/>
                          </m:rPr>
                          <w:rPr>
                            <w:rFonts w:hint="eastAsia" w:ascii="Cambria Math" w:hAnsi="Cambria Math" w:cs="Times New Roman"/>
                            <w:color w:val="auto"/>
                            <w:sz w:val="18"/>
                            <w:szCs w:val="18"/>
                            <w:highlight w:val="none"/>
                            <w:lang w:val="en-US" w:eastAsia="zh-CN"/>
                          </w:rPr>
                          <m:t>f−33</m:t>
                        </m:r>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33</m:t>
                    </m:r>
                    <m:ctrlPr>
                      <w:rPr>
                        <w:rFonts w:hint="eastAsia" w:ascii="Cambria Math" w:hAnsi="Cambria Math" w:cs="Times New Roman"/>
                        <w:color w:val="auto"/>
                        <w:sz w:val="18"/>
                        <w:szCs w:val="18"/>
                        <w:highlight w:val="none"/>
                        <w:lang w:val="en-US" w:eastAsia="zh-CN"/>
                      </w:rPr>
                    </m:ctrlPr>
                  </m:den>
                </m:f>
              </m:oMath>
            </m:oMathPara>
          </w:p>
        </w:tc>
      </w:tr>
      <w:tr w14:paraId="48828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restart"/>
            <w:vAlign w:val="center"/>
          </w:tcPr>
          <w:p w14:paraId="028244D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1000BASE-T1</w:t>
            </w:r>
          </w:p>
        </w:tc>
        <w:tc>
          <w:tcPr>
            <w:tcW w:w="1179" w:type="dxa"/>
            <w:vAlign w:val="center"/>
          </w:tcPr>
          <w:p w14:paraId="037BE2B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Type A</w:t>
            </w:r>
          </w:p>
        </w:tc>
        <w:tc>
          <w:tcPr>
            <w:tcW w:w="1587" w:type="dxa"/>
            <w:vAlign w:val="center"/>
          </w:tcPr>
          <w:p w14:paraId="277DF512">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1≤f≤600</m:t>
                </m:r>
              </m:oMath>
            </m:oMathPara>
          </w:p>
        </w:tc>
        <w:tc>
          <w:tcPr>
            <w:tcW w:w="4252" w:type="dxa"/>
            <w:vAlign w:val="center"/>
          </w:tcPr>
          <w:p w14:paraId="3C6B2AA6">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0.152×</m:t>
                </m:r>
                <m:d>
                  <m:dPr>
                    <m:ctrlPr>
                      <w:rPr>
                        <w:rFonts w:hint="eastAsia" w:ascii="Cambria Math" w:hAnsi="Cambria Math" w:cs="Times New Roman"/>
                        <w:color w:val="auto"/>
                        <w:sz w:val="18"/>
                        <w:szCs w:val="18"/>
                        <w:highlight w:val="none"/>
                        <w:lang w:val="en-US" w:eastAsia="zh-CN"/>
                      </w:rPr>
                    </m:ctrlPr>
                  </m:dPr>
                  <m:e>
                    <m:r>
                      <m:rPr>
                        <m:sty m:val="p"/>
                      </m:rPr>
                      <w:rPr>
                        <w:rFonts w:hint="eastAsia" w:ascii="Cambria Math" w:hAnsi="Cambria Math" w:cs="Times New Roman"/>
                        <w:color w:val="auto"/>
                        <w:sz w:val="18"/>
                        <w:szCs w:val="18"/>
                        <w:highlight w:val="none"/>
                        <w:lang w:val="en-US" w:eastAsia="zh-CN"/>
                      </w:rPr>
                      <m:t>3.36</m:t>
                    </m:r>
                    <m:rad>
                      <m:radPr>
                        <m:degHide m:val="1"/>
                        <m:ctrlPr>
                          <w:rPr>
                            <w:rFonts w:hint="eastAsia" w:ascii="Cambria Math" w:hAnsi="Cambria Math" w:cs="Times New Roman"/>
                            <w:color w:val="auto"/>
                            <w:sz w:val="18"/>
                            <w:szCs w:val="18"/>
                            <w:highlight w:val="none"/>
                            <w:lang w:val="en-US" w:eastAsia="zh-CN"/>
                          </w:rPr>
                        </m:ctrlPr>
                      </m:radPr>
                      <m:deg>
                        <m:ctrlPr>
                          <w:rPr>
                            <w:rFonts w:hint="eastAsia" w:ascii="Cambria Math" w:hAnsi="Cambria Math" w:cs="Times New Roman"/>
                            <w:color w:val="auto"/>
                            <w:sz w:val="18"/>
                            <w:szCs w:val="18"/>
                            <w:highlight w:val="none"/>
                            <w:lang w:val="en-US" w:eastAsia="zh-CN"/>
                          </w:rPr>
                        </m:ctrlPr>
                      </m:deg>
                      <m:e>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e>
                    </m:rad>
                    <m:r>
                      <m:rPr>
                        <m:sty m:val="p"/>
                      </m:rPr>
                      <w:rPr>
                        <w:rFonts w:hint="eastAsia" w:ascii="Cambria Math" w:hAnsi="Cambria Math" w:cs="Times New Roman"/>
                        <w:color w:val="auto"/>
                        <w:sz w:val="18"/>
                        <w:szCs w:val="18"/>
                        <w:highlight w:val="none"/>
                        <w:lang w:val="en-US" w:eastAsia="zh-CN"/>
                      </w:rPr>
                      <m:t>+0.015f+</m:t>
                    </m:r>
                    <m:f>
                      <m:fPr>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0.42</m:t>
                        </m:r>
                        <m:ctrlPr>
                          <w:rPr>
                            <w:rFonts w:hint="eastAsia" w:ascii="Cambria Math" w:hAnsi="Cambria Math" w:cs="Times New Roman"/>
                            <w:color w:val="auto"/>
                            <w:sz w:val="18"/>
                            <w:szCs w:val="18"/>
                            <w:highlight w:val="none"/>
                            <w:lang w:val="en-US" w:eastAsia="zh-CN"/>
                          </w:rPr>
                        </m:ctrlPr>
                      </m:num>
                      <m:den>
                        <m:rad>
                          <m:radPr>
                            <m:degHide m:val="1"/>
                            <m:ctrlPr>
                              <w:rPr>
                                <w:rFonts w:hint="eastAsia" w:ascii="Cambria Math" w:hAnsi="Cambria Math" w:cs="Times New Roman"/>
                                <w:color w:val="auto"/>
                                <w:sz w:val="18"/>
                                <w:szCs w:val="18"/>
                                <w:highlight w:val="none"/>
                                <w:lang w:val="en-US" w:eastAsia="zh-CN"/>
                              </w:rPr>
                            </m:ctrlPr>
                          </m:radPr>
                          <m:deg>
                            <m:ctrlPr>
                              <w:rPr>
                                <w:rFonts w:hint="eastAsia" w:ascii="Cambria Math" w:hAnsi="Cambria Math" w:cs="Times New Roman"/>
                                <w:color w:val="auto"/>
                                <w:sz w:val="18"/>
                                <w:szCs w:val="18"/>
                                <w:highlight w:val="none"/>
                                <w:lang w:val="en-US" w:eastAsia="zh-CN"/>
                              </w:rPr>
                            </m:ctrlPr>
                          </m:deg>
                          <m:e>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e>
                        </m:rad>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r>
                  <m:rPr>
                    <m:sty m:val="p"/>
                  </m:rPr>
                  <w:rPr>
                    <w:rFonts w:hint="eastAsia" w:ascii="Cambria Math" w:hAnsi="Cambria Math" w:cs="Times New Roman"/>
                    <w:color w:val="auto"/>
                    <w:sz w:val="18"/>
                    <w:szCs w:val="18"/>
                    <w:highlight w:val="none"/>
                    <w:lang w:val="en-US" w:eastAsia="zh-CN"/>
                  </w:rPr>
                  <m:t>+4×0.02</m:t>
                </m:r>
                <m:rad>
                  <m:radPr>
                    <m:degHide m:val="1"/>
                    <m:ctrlPr>
                      <w:rPr>
                        <w:rFonts w:hint="eastAsia" w:ascii="Cambria Math" w:hAnsi="Cambria Math" w:cs="Times New Roman"/>
                        <w:color w:val="auto"/>
                        <w:sz w:val="18"/>
                        <w:szCs w:val="18"/>
                        <w:highlight w:val="none"/>
                        <w:lang w:val="en-US" w:eastAsia="zh-CN"/>
                      </w:rPr>
                    </m:ctrlPr>
                  </m:radPr>
                  <m:deg>
                    <m:ctrlPr>
                      <w:rPr>
                        <w:rFonts w:hint="eastAsia" w:ascii="Cambria Math" w:hAnsi="Cambria Math" w:cs="Times New Roman"/>
                        <w:color w:val="auto"/>
                        <w:sz w:val="18"/>
                        <w:szCs w:val="18"/>
                        <w:highlight w:val="none"/>
                        <w:lang w:val="en-US" w:eastAsia="zh-CN"/>
                      </w:rPr>
                    </m:ctrlPr>
                  </m:deg>
                  <m:e>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e>
                </m:rad>
              </m:oMath>
            </m:oMathPara>
          </w:p>
        </w:tc>
      </w:tr>
      <w:tr w14:paraId="3582BB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continue"/>
            <w:vAlign w:val="center"/>
          </w:tcPr>
          <w:p w14:paraId="492A9B68">
            <w:pPr>
              <w:jc w:val="center"/>
              <w:rPr>
                <w:rFonts w:hint="eastAsia" w:ascii="Times New Roman" w:hAnsi="Times New Roman" w:cs="Times New Roman"/>
                <w:color w:val="auto"/>
                <w:sz w:val="18"/>
                <w:szCs w:val="18"/>
                <w:highlight w:val="none"/>
                <w:lang w:val="en-US" w:eastAsia="zh-CN"/>
              </w:rPr>
            </w:pPr>
          </w:p>
        </w:tc>
        <w:tc>
          <w:tcPr>
            <w:tcW w:w="1179" w:type="dxa"/>
            <w:vAlign w:val="center"/>
          </w:tcPr>
          <w:p w14:paraId="6C53A96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Type B</w:t>
            </w:r>
          </w:p>
        </w:tc>
        <w:tc>
          <w:tcPr>
            <w:tcW w:w="1587" w:type="dxa"/>
            <w:vAlign w:val="center"/>
          </w:tcPr>
          <w:p w14:paraId="549F7C06">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1≤f≤600</m:t>
                </m:r>
              </m:oMath>
            </m:oMathPara>
          </w:p>
        </w:tc>
        <w:tc>
          <w:tcPr>
            <w:tcW w:w="4252" w:type="dxa"/>
            <w:vAlign w:val="center"/>
          </w:tcPr>
          <w:p w14:paraId="52C2AE23">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0.42×</m:t>
                </m:r>
                <m:d>
                  <m:dPr>
                    <m:ctrlPr>
                      <w:rPr>
                        <w:rFonts w:hint="eastAsia" w:ascii="Cambria Math" w:hAnsi="Cambria Math" w:cs="Times New Roman"/>
                        <w:color w:val="auto"/>
                        <w:sz w:val="18"/>
                        <w:szCs w:val="18"/>
                        <w:highlight w:val="none"/>
                        <w:lang w:val="en-US" w:eastAsia="zh-CN"/>
                      </w:rPr>
                    </m:ctrlPr>
                  </m:dPr>
                  <m:e>
                    <m:r>
                      <m:rPr>
                        <m:sty m:val="p"/>
                      </m:rPr>
                      <w:rPr>
                        <w:rFonts w:hint="eastAsia" w:ascii="Cambria Math" w:hAnsi="Cambria Math" w:cs="Times New Roman"/>
                        <w:color w:val="auto"/>
                        <w:sz w:val="18"/>
                        <w:szCs w:val="18"/>
                        <w:highlight w:val="none"/>
                        <w:lang w:val="en-US" w:eastAsia="zh-CN"/>
                      </w:rPr>
                      <m:t>1.8</m:t>
                    </m:r>
                    <m:rad>
                      <m:radPr>
                        <m:degHide m:val="1"/>
                        <m:ctrlPr>
                          <w:rPr>
                            <w:rFonts w:hint="eastAsia" w:ascii="Cambria Math" w:hAnsi="Cambria Math" w:cs="Times New Roman"/>
                            <w:color w:val="auto"/>
                            <w:sz w:val="18"/>
                            <w:szCs w:val="18"/>
                            <w:highlight w:val="none"/>
                            <w:lang w:val="en-US" w:eastAsia="zh-CN"/>
                          </w:rPr>
                        </m:ctrlPr>
                      </m:radPr>
                      <m:deg>
                        <m:ctrlPr>
                          <w:rPr>
                            <w:rFonts w:hint="eastAsia" w:ascii="Cambria Math" w:hAnsi="Cambria Math" w:cs="Times New Roman"/>
                            <w:color w:val="auto"/>
                            <w:sz w:val="18"/>
                            <w:szCs w:val="18"/>
                            <w:highlight w:val="none"/>
                            <w:lang w:val="en-US" w:eastAsia="zh-CN"/>
                          </w:rPr>
                        </m:ctrlPr>
                      </m:deg>
                      <m:e>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e>
                    </m:rad>
                    <m:r>
                      <m:rPr>
                        <m:sty m:val="p"/>
                      </m:rPr>
                      <w:rPr>
                        <w:rFonts w:hint="eastAsia" w:ascii="Cambria Math" w:hAnsi="Cambria Math" w:cs="Times New Roman"/>
                        <w:color w:val="auto"/>
                        <w:sz w:val="18"/>
                        <w:szCs w:val="18"/>
                        <w:highlight w:val="none"/>
                        <w:lang w:val="en-US" w:eastAsia="zh-CN"/>
                      </w:rPr>
                      <m:t>+0.005f+</m:t>
                    </m:r>
                    <m:f>
                      <m:fPr>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0.25</m:t>
                        </m:r>
                        <m:ctrlPr>
                          <w:rPr>
                            <w:rFonts w:hint="eastAsia" w:ascii="Cambria Math" w:hAnsi="Cambria Math" w:cs="Times New Roman"/>
                            <w:color w:val="auto"/>
                            <w:sz w:val="18"/>
                            <w:szCs w:val="18"/>
                            <w:highlight w:val="none"/>
                            <w:lang w:val="en-US" w:eastAsia="zh-CN"/>
                          </w:rPr>
                        </m:ctrlPr>
                      </m:num>
                      <m:den>
                        <m:rad>
                          <m:radPr>
                            <m:degHide m:val="1"/>
                            <m:ctrlPr>
                              <w:rPr>
                                <w:rFonts w:hint="eastAsia" w:ascii="Cambria Math" w:hAnsi="Cambria Math" w:cs="Times New Roman"/>
                                <w:color w:val="auto"/>
                                <w:sz w:val="18"/>
                                <w:szCs w:val="18"/>
                                <w:highlight w:val="none"/>
                                <w:lang w:val="en-US" w:eastAsia="zh-CN"/>
                              </w:rPr>
                            </m:ctrlPr>
                          </m:radPr>
                          <m:deg>
                            <m:ctrlPr>
                              <w:rPr>
                                <w:rFonts w:hint="eastAsia" w:ascii="Cambria Math" w:hAnsi="Cambria Math" w:cs="Times New Roman"/>
                                <w:color w:val="auto"/>
                                <w:sz w:val="18"/>
                                <w:szCs w:val="18"/>
                                <w:highlight w:val="none"/>
                                <w:lang w:val="en-US" w:eastAsia="zh-CN"/>
                              </w:rPr>
                            </m:ctrlPr>
                          </m:deg>
                          <m:e>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e>
                        </m:rad>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r>
                  <m:rPr>
                    <m:sty m:val="p"/>
                  </m:rPr>
                  <w:rPr>
                    <w:rFonts w:hint="eastAsia" w:ascii="Cambria Math" w:hAnsi="Cambria Math" w:cs="Times New Roman"/>
                    <w:color w:val="auto"/>
                    <w:sz w:val="18"/>
                    <w:szCs w:val="18"/>
                    <w:highlight w:val="none"/>
                    <w:lang w:val="en-US" w:eastAsia="zh-CN"/>
                  </w:rPr>
                  <m:t>+4×0.02</m:t>
                </m:r>
                <m:rad>
                  <m:radPr>
                    <m:degHide m:val="1"/>
                    <m:ctrlPr>
                      <w:rPr>
                        <w:rFonts w:hint="eastAsia" w:ascii="Cambria Math" w:hAnsi="Cambria Math" w:cs="Times New Roman"/>
                        <w:color w:val="auto"/>
                        <w:sz w:val="18"/>
                        <w:szCs w:val="18"/>
                        <w:highlight w:val="none"/>
                        <w:lang w:val="en-US" w:eastAsia="zh-CN"/>
                      </w:rPr>
                    </m:ctrlPr>
                  </m:radPr>
                  <m:deg>
                    <m:ctrlPr>
                      <w:rPr>
                        <w:rFonts w:hint="eastAsia" w:ascii="Cambria Math" w:hAnsi="Cambria Math" w:cs="Times New Roman"/>
                        <w:color w:val="auto"/>
                        <w:sz w:val="18"/>
                        <w:szCs w:val="18"/>
                        <w:highlight w:val="none"/>
                        <w:lang w:val="en-US" w:eastAsia="zh-CN"/>
                      </w:rPr>
                    </m:ctrlPr>
                  </m:deg>
                  <m:e>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e>
                </m:rad>
              </m:oMath>
            </m:oMathPara>
          </w:p>
        </w:tc>
      </w:tr>
      <w:tr w14:paraId="7F4C2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486F9F7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2.5GBASE-T1</w:t>
            </w:r>
          </w:p>
        </w:tc>
        <w:tc>
          <w:tcPr>
            <w:tcW w:w="1179" w:type="dxa"/>
            <w:vAlign w:val="center"/>
          </w:tcPr>
          <w:p w14:paraId="10B72A33">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7255AA0F">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1≤f≤1000</m:t>
                </m:r>
              </m:oMath>
            </m:oMathPara>
          </w:p>
        </w:tc>
        <w:tc>
          <w:tcPr>
            <w:tcW w:w="4252" w:type="dxa"/>
            <w:vMerge w:val="restart"/>
            <w:vAlign w:val="center"/>
          </w:tcPr>
          <w:p w14:paraId="054B82FB">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0.002f+0.68</m:t>
                </m:r>
                <m:sSup>
                  <m:sSupPr>
                    <m:ctrlPr>
                      <w:rPr>
                        <w:rFonts w:hint="eastAsia" w:ascii="Cambria Math" w:hAnsi="Cambria Math" w:cs="Times New Roman"/>
                        <w:color w:val="auto"/>
                        <w:sz w:val="18"/>
                        <w:szCs w:val="18"/>
                        <w:highlight w:val="none"/>
                        <w:lang w:val="en-US" w:eastAsia="zh-CN"/>
                      </w:rPr>
                    </m:ctrlPr>
                  </m:sSupPr>
                  <m:e>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e>
                  <m:sup>
                    <m:r>
                      <m:rPr>
                        <m:sty m:val="p"/>
                      </m:rPr>
                      <w:rPr>
                        <w:rFonts w:hint="eastAsia" w:ascii="Cambria Math" w:hAnsi="Cambria Math" w:cs="Times New Roman"/>
                        <w:color w:val="auto"/>
                        <w:sz w:val="18"/>
                        <w:szCs w:val="18"/>
                        <w:highlight w:val="none"/>
                        <w:lang w:val="en-US" w:eastAsia="zh-CN"/>
                      </w:rPr>
                      <m:t>0.45</m:t>
                    </m:r>
                    <m:ctrlPr>
                      <w:rPr>
                        <w:rFonts w:hint="eastAsia" w:ascii="Cambria Math" w:hAnsi="Cambria Math" w:cs="Times New Roman"/>
                        <w:color w:val="auto"/>
                        <w:sz w:val="18"/>
                        <w:szCs w:val="18"/>
                        <w:highlight w:val="none"/>
                        <w:lang w:val="en-US" w:eastAsia="zh-CN"/>
                      </w:rPr>
                    </m:ctrlPr>
                  </m:sup>
                </m:sSup>
              </m:oMath>
            </m:oMathPara>
          </w:p>
        </w:tc>
      </w:tr>
      <w:tr w14:paraId="26BF03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20DEB51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5GBASE-T1</w:t>
            </w:r>
          </w:p>
        </w:tc>
        <w:tc>
          <w:tcPr>
            <w:tcW w:w="1179" w:type="dxa"/>
            <w:vAlign w:val="center"/>
          </w:tcPr>
          <w:p w14:paraId="09FCB46D">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07F54093">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1≤f≤2000</m:t>
                </m:r>
              </m:oMath>
            </m:oMathPara>
          </w:p>
        </w:tc>
        <w:tc>
          <w:tcPr>
            <w:tcW w:w="4252" w:type="dxa"/>
            <w:vMerge w:val="continue"/>
            <w:vAlign w:val="center"/>
          </w:tcPr>
          <w:p w14:paraId="00A32AB1">
            <w:pPr>
              <w:jc w:val="center"/>
              <w:rPr>
                <w:rFonts w:hint="eastAsia" w:ascii="Times New Roman" w:hAnsi="Times New Roman" w:cs="Times New Roman"/>
                <w:color w:val="auto"/>
                <w:sz w:val="18"/>
                <w:szCs w:val="18"/>
                <w:highlight w:val="none"/>
                <w:lang w:val="en-US" w:eastAsia="zh-CN"/>
              </w:rPr>
            </w:pPr>
          </w:p>
        </w:tc>
      </w:tr>
      <w:tr w14:paraId="595822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43DE06A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10GBASE-T1</w:t>
            </w:r>
          </w:p>
        </w:tc>
        <w:tc>
          <w:tcPr>
            <w:tcW w:w="1179" w:type="dxa"/>
            <w:vAlign w:val="center"/>
          </w:tcPr>
          <w:p w14:paraId="1339A5A7">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113A8D03">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1≤f≤4000</m:t>
                </m:r>
              </m:oMath>
            </m:oMathPara>
          </w:p>
        </w:tc>
        <w:tc>
          <w:tcPr>
            <w:tcW w:w="4252" w:type="dxa"/>
            <w:vAlign w:val="center"/>
          </w:tcPr>
          <w:p w14:paraId="6E981FAC">
            <w:pPr>
              <w:jc w:val="center"/>
              <w:rPr>
                <w:rFonts w:hint="eastAsia" w:ascii="Times New Roman" w:hAnsi="Times New Roman" w:cs="Times New Roman"/>
                <w:color w:val="auto"/>
                <w:sz w:val="18"/>
                <w:szCs w:val="18"/>
                <w:highlight w:val="none"/>
                <w:lang w:val="en-US" w:eastAsia="zh-CN"/>
              </w:rPr>
            </w:pPr>
          </w:p>
        </w:tc>
      </w:tr>
      <w:tr w14:paraId="5A56EF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6822461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25GBASE-T1</w:t>
            </w:r>
          </w:p>
        </w:tc>
        <w:tc>
          <w:tcPr>
            <w:tcW w:w="1179" w:type="dxa"/>
            <w:vAlign w:val="center"/>
          </w:tcPr>
          <w:p w14:paraId="6AAD9572">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03200D4C">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10≤f≤9000</m:t>
                </m:r>
              </m:oMath>
            </m:oMathPara>
          </w:p>
        </w:tc>
        <w:tc>
          <w:tcPr>
            <w:tcW w:w="4252" w:type="dxa"/>
            <w:vAlign w:val="center"/>
          </w:tcPr>
          <w:p w14:paraId="0D6F9C93">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0.00135f+0.3564</m:t>
                </m:r>
                <m:sSup>
                  <m:sSupPr>
                    <m:ctrlPr>
                      <w:rPr>
                        <w:rFonts w:hint="eastAsia" w:ascii="Cambria Math" w:hAnsi="Cambria Math" w:cs="Times New Roman"/>
                        <w:color w:val="auto"/>
                        <w:sz w:val="18"/>
                        <w:szCs w:val="18"/>
                        <w:highlight w:val="none"/>
                        <w:lang w:val="en-US" w:eastAsia="zh-CN"/>
                      </w:rPr>
                    </m:ctrlPr>
                  </m:sSupPr>
                  <m:e>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e>
                  <m:sup>
                    <m:r>
                      <m:rPr>
                        <m:sty m:val="p"/>
                      </m:rPr>
                      <w:rPr>
                        <w:rFonts w:hint="eastAsia" w:ascii="Cambria Math" w:hAnsi="Cambria Math" w:cs="Times New Roman"/>
                        <w:color w:val="auto"/>
                        <w:sz w:val="18"/>
                        <w:szCs w:val="18"/>
                        <w:highlight w:val="none"/>
                        <w:lang w:val="en-US" w:eastAsia="zh-CN"/>
                      </w:rPr>
                      <m:t>0.45</m:t>
                    </m:r>
                    <m:ctrlPr>
                      <w:rPr>
                        <w:rFonts w:hint="eastAsia" w:ascii="Cambria Math" w:hAnsi="Cambria Math" w:cs="Times New Roman"/>
                        <w:color w:val="auto"/>
                        <w:sz w:val="18"/>
                        <w:szCs w:val="18"/>
                        <w:highlight w:val="none"/>
                        <w:lang w:val="en-US" w:eastAsia="zh-CN"/>
                      </w:rPr>
                    </m:ctrlPr>
                  </m:sup>
                </m:sSup>
                <m:r>
                  <m:rPr>
                    <m:sty m:val="p"/>
                  </m:rPr>
                  <w:rPr>
                    <w:rFonts w:hint="eastAsia" w:ascii="Cambria Math" w:hAnsi="Cambria Math" w:cs="Times New Roman"/>
                    <w:color w:val="auto"/>
                    <w:sz w:val="18"/>
                    <w:szCs w:val="18"/>
                    <w:highlight w:val="none"/>
                    <w:lang w:val="en-US" w:eastAsia="zh-CN"/>
                  </w:rPr>
                  <m:t>+0.495</m:t>
                </m:r>
                <m:sSup>
                  <m:sSupPr>
                    <m:ctrlPr>
                      <w:rPr>
                        <w:rFonts w:hint="eastAsia" w:ascii="Cambria Math" w:hAnsi="Cambria Math" w:cs="Times New Roman"/>
                        <w:color w:val="auto"/>
                        <w:sz w:val="18"/>
                        <w:szCs w:val="18"/>
                        <w:highlight w:val="none"/>
                        <w:lang w:val="en-US" w:eastAsia="zh-CN"/>
                      </w:rPr>
                    </m:ctrlPr>
                  </m:sSupPr>
                  <m:e>
                    <m:d>
                      <m:dPr>
                        <m:ctrlPr>
                          <w:rPr>
                            <w:rFonts w:hint="eastAsia" w:ascii="Cambria Math" w:hAnsi="Cambria Math" w:cs="Times New Roman"/>
                            <w:color w:val="auto"/>
                            <w:sz w:val="18"/>
                            <w:szCs w:val="18"/>
                            <w:highlight w:val="none"/>
                            <w:lang w:val="en-US" w:eastAsia="zh-CN"/>
                          </w:rPr>
                        </m:ctrlPr>
                      </m:dPr>
                      <m:e>
                        <m:f>
                          <m:fPr>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7500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sup>
                    <m:r>
                      <m:rPr>
                        <m:sty m:val="p"/>
                      </m:rPr>
                      <w:rPr>
                        <w:rFonts w:hint="eastAsia" w:ascii="Cambria Math" w:hAnsi="Cambria Math" w:cs="Times New Roman"/>
                        <w:color w:val="auto"/>
                        <w:sz w:val="18"/>
                        <w:szCs w:val="18"/>
                        <w:highlight w:val="none"/>
                        <w:lang w:val="en-US" w:eastAsia="zh-CN"/>
                      </w:rPr>
                      <m:t>6</m:t>
                    </m:r>
                    <m:ctrlPr>
                      <w:rPr>
                        <w:rFonts w:hint="eastAsia" w:ascii="Cambria Math" w:hAnsi="Cambria Math" w:cs="Times New Roman"/>
                        <w:color w:val="auto"/>
                        <w:sz w:val="18"/>
                        <w:szCs w:val="18"/>
                        <w:highlight w:val="none"/>
                        <w:lang w:val="en-US" w:eastAsia="zh-CN"/>
                      </w:rPr>
                    </m:ctrlPr>
                  </m:sup>
                </m:sSup>
              </m:oMath>
            </m:oMathPara>
          </w:p>
        </w:tc>
      </w:tr>
    </w:tbl>
    <w:p w14:paraId="073F0E24">
      <w:pPr>
        <w:spacing w:before="156" w:beforeLines="50" w:after="156" w:afterLines="50"/>
        <w:ind w:firstLine="0" w:firstLineChars="0"/>
        <w:jc w:val="center"/>
        <w:rPr>
          <w:rFonts w:ascii="Times New Roman" w:hAnsi="Times New Roman" w:cs="Times New Roman"/>
          <w:i/>
          <w:iCs/>
          <w:color w:val="auto"/>
        </w:rPr>
      </w:pPr>
    </w:p>
    <w:p w14:paraId="2A786493">
      <w:pPr>
        <w:spacing w:before="156" w:beforeLines="50" w:after="156" w:afterLines="50"/>
        <w:ind w:firstLine="0" w:firstLineChars="0"/>
        <w:jc w:val="center"/>
        <w:rPr>
          <w:rFonts w:ascii="Times New Roman" w:hAnsi="Times New Roman" w:cs="Times New Roman"/>
          <w:i/>
          <w:iCs/>
          <w:color w:val="auto"/>
        </w:rPr>
      </w:pPr>
      <w:r>
        <w:rPr>
          <w:rFonts w:ascii="Times New Roman" w:hAnsi="Times New Roman" w:cs="Times New Roman"/>
          <w:i/>
          <w:iCs/>
          <w:color w:val="auto"/>
        </w:rPr>
        <w:drawing>
          <wp:inline distT="0" distB="0" distL="0" distR="0">
            <wp:extent cx="5126355" cy="3347720"/>
            <wp:effectExtent l="0" t="0" r="9525" b="508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1"/>
                    <a:srcRect/>
                    <a:stretch>
                      <a:fillRect/>
                    </a:stretch>
                  </pic:blipFill>
                  <pic:spPr>
                    <a:xfrm>
                      <a:off x="0" y="0"/>
                      <a:ext cx="5126355" cy="3348000"/>
                    </a:xfrm>
                    <a:prstGeom prst="rect">
                      <a:avLst/>
                    </a:prstGeom>
                    <a:noFill/>
                  </pic:spPr>
                </pic:pic>
              </a:graphicData>
            </a:graphic>
          </wp:inline>
        </w:drawing>
      </w:r>
    </w:p>
    <w:p w14:paraId="2A563F44">
      <w:pPr>
        <w:pStyle w:val="140"/>
        <w:numPr>
          <w:ilvl w:val="0"/>
          <w:numId w:val="0"/>
        </w:numPr>
        <w:bidi w:val="0"/>
        <w:ind w:leftChars="0"/>
        <w:jc w:val="center"/>
        <w:rPr>
          <w:rFonts w:hint="default" w:ascii="Times New Roman" w:hAnsi="Times New Roman" w:cs="Times New Roman"/>
          <w:color w:val="auto"/>
          <w:lang w:val="en-US" w:eastAsia="zh-CN"/>
        </w:rPr>
      </w:pPr>
      <w:r>
        <w:rPr>
          <w:rFonts w:hint="eastAsia" w:hAnsi="黑体" w:cs="黑体"/>
          <w:color w:val="auto"/>
          <w:lang w:val="en-US" w:eastAsia="zh-CN"/>
        </w:rPr>
        <w:t>图A.</w:t>
      </w:r>
      <w:r>
        <w:rPr>
          <w:rFonts w:hint="eastAsia" w:ascii="黑体" w:hAnsi="黑体" w:eastAsia="黑体" w:cs="黑体"/>
          <w:color w:val="auto"/>
          <w:lang w:val="en-US" w:eastAsia="zh-CN"/>
        </w:rPr>
        <w:t>2</w:t>
      </w:r>
      <w:r>
        <w:rPr>
          <w:rFonts w:hint="eastAsia"/>
          <w:color w:val="auto"/>
          <w:highlight w:val="none"/>
          <w:lang w:val="en-US" w:eastAsia="zh-CN"/>
        </w:rPr>
        <w:t xml:space="preserve">  </w:t>
      </w:r>
      <w:r>
        <w:rPr>
          <w:rFonts w:hint="default" w:ascii="Times New Roman" w:hAnsi="Times New Roman" w:cs="Times New Roman"/>
          <w:color w:val="auto"/>
          <w:lang w:val="en-US" w:eastAsia="zh-CN"/>
        </w:rPr>
        <w:t>单对以太网</w:t>
      </w:r>
      <w:r>
        <w:rPr>
          <w:rFonts w:hint="eastAsia" w:ascii="Times New Roman" w:hAnsi="Times New Roman" w:cs="Times New Roman"/>
          <w:color w:val="auto"/>
          <w:lang w:val="en-US" w:eastAsia="zh-CN"/>
        </w:rPr>
        <w:t>信道最大插入损耗1</w:t>
      </w:r>
    </w:p>
    <w:p w14:paraId="72E1E9E3">
      <w:pPr>
        <w:spacing w:before="156" w:beforeLines="50" w:after="156" w:afterLines="50"/>
        <w:ind w:firstLine="0" w:firstLineChars="0"/>
        <w:jc w:val="center"/>
        <w:rPr>
          <w:rFonts w:ascii="Times New Roman" w:hAnsi="Times New Roman" w:cs="Times New Roman"/>
          <w:color w:val="auto"/>
        </w:rPr>
      </w:pPr>
      <w:r>
        <w:rPr>
          <w:rFonts w:ascii="Times New Roman" w:hAnsi="Times New Roman" w:cs="Times New Roman"/>
          <w:color w:val="auto"/>
        </w:rPr>
        <w:drawing>
          <wp:inline distT="0" distB="0" distL="0" distR="0">
            <wp:extent cx="5122545" cy="3347720"/>
            <wp:effectExtent l="0" t="0" r="13335" b="508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noChangeArrowheads="1"/>
                    </pic:cNvPicPr>
                  </pic:nvPicPr>
                  <pic:blipFill>
                    <a:blip r:embed="rId12"/>
                    <a:srcRect/>
                    <a:stretch>
                      <a:fillRect/>
                    </a:stretch>
                  </pic:blipFill>
                  <pic:spPr>
                    <a:xfrm>
                      <a:off x="0" y="0"/>
                      <a:ext cx="5122545" cy="3348000"/>
                    </a:xfrm>
                    <a:prstGeom prst="rect">
                      <a:avLst/>
                    </a:prstGeom>
                    <a:noFill/>
                  </pic:spPr>
                </pic:pic>
              </a:graphicData>
            </a:graphic>
          </wp:inline>
        </w:drawing>
      </w:r>
    </w:p>
    <w:p w14:paraId="1A4ACD7F">
      <w:pPr>
        <w:pStyle w:val="140"/>
        <w:numPr>
          <w:ilvl w:val="0"/>
          <w:numId w:val="0"/>
        </w:numPr>
        <w:bidi w:val="0"/>
        <w:ind w:leftChars="0"/>
        <w:jc w:val="center"/>
        <w:rPr>
          <w:rFonts w:hint="eastAsia" w:ascii="Times New Roman" w:hAnsi="Times New Roman" w:cs="Times New Roman"/>
          <w:color w:val="auto"/>
          <w:lang w:val="en-US" w:eastAsia="zh-CN"/>
        </w:rPr>
      </w:pPr>
      <w:r>
        <w:rPr>
          <w:rFonts w:hint="eastAsia" w:hAnsi="黑体" w:cs="黑体"/>
          <w:color w:val="auto"/>
          <w:lang w:val="en-US" w:eastAsia="zh-CN"/>
        </w:rPr>
        <w:t>图A.</w:t>
      </w:r>
      <w:r>
        <w:rPr>
          <w:rFonts w:hint="eastAsia" w:ascii="黑体" w:hAnsi="黑体" w:eastAsia="黑体" w:cs="黑体"/>
          <w:color w:val="auto"/>
          <w:lang w:val="en-US" w:eastAsia="zh-CN"/>
        </w:rPr>
        <w:t>3</w:t>
      </w:r>
      <w:r>
        <w:rPr>
          <w:rFonts w:hint="eastAsia"/>
          <w:color w:val="auto"/>
          <w:highlight w:val="none"/>
          <w:lang w:val="en-US" w:eastAsia="zh-CN"/>
        </w:rPr>
        <w:t xml:space="preserve">  </w:t>
      </w:r>
      <w:r>
        <w:rPr>
          <w:rFonts w:hint="default" w:ascii="Times New Roman" w:hAnsi="Times New Roman" w:cs="Times New Roman"/>
          <w:color w:val="auto"/>
          <w:lang w:val="en-US" w:eastAsia="zh-CN"/>
        </w:rPr>
        <w:t>单对以太网</w:t>
      </w:r>
      <w:r>
        <w:rPr>
          <w:rFonts w:hint="eastAsia" w:ascii="Times New Roman" w:hAnsi="Times New Roman" w:cs="Times New Roman"/>
          <w:color w:val="auto"/>
          <w:lang w:val="en-US" w:eastAsia="zh-CN"/>
        </w:rPr>
        <w:t>信道最大插入损耗2</w:t>
      </w:r>
    </w:p>
    <w:p w14:paraId="3C5C3459">
      <w:pPr>
        <w:pStyle w:val="26"/>
        <w:rPr>
          <w:rFonts w:hint="default"/>
          <w:color w:val="auto"/>
          <w:lang w:val="en-US" w:eastAsia="zh-CN"/>
        </w:rPr>
      </w:pPr>
    </w:p>
    <w:p w14:paraId="11AE6BA2">
      <w:pPr>
        <w:spacing w:before="156" w:beforeLines="50" w:after="156" w:afterLines="50"/>
        <w:ind w:firstLine="0" w:firstLineChars="0"/>
        <w:jc w:val="center"/>
        <w:rPr>
          <w:rFonts w:ascii="Times New Roman" w:hAnsi="Times New Roman" w:cs="Times New Roman"/>
          <w:color w:val="auto"/>
        </w:rPr>
      </w:pPr>
      <w:r>
        <w:rPr>
          <w:rFonts w:ascii="Times New Roman" w:hAnsi="Times New Roman" w:cs="Times New Roman"/>
          <w:color w:val="auto"/>
        </w:rPr>
        <w:drawing>
          <wp:inline distT="0" distB="0" distL="0" distR="0">
            <wp:extent cx="5122545" cy="3347720"/>
            <wp:effectExtent l="0" t="0" r="13335" b="508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noChangeArrowheads="1"/>
                    </pic:cNvPicPr>
                  </pic:nvPicPr>
                  <pic:blipFill>
                    <a:blip r:embed="rId13"/>
                    <a:srcRect/>
                    <a:stretch>
                      <a:fillRect/>
                    </a:stretch>
                  </pic:blipFill>
                  <pic:spPr>
                    <a:xfrm>
                      <a:off x="0" y="0"/>
                      <a:ext cx="5122545" cy="3348000"/>
                    </a:xfrm>
                    <a:prstGeom prst="rect">
                      <a:avLst/>
                    </a:prstGeom>
                    <a:noFill/>
                  </pic:spPr>
                </pic:pic>
              </a:graphicData>
            </a:graphic>
          </wp:inline>
        </w:drawing>
      </w:r>
    </w:p>
    <w:p w14:paraId="7D73EC8F">
      <w:pPr>
        <w:pStyle w:val="140"/>
        <w:numPr>
          <w:ilvl w:val="0"/>
          <w:numId w:val="0"/>
        </w:numPr>
        <w:bidi w:val="0"/>
        <w:ind w:leftChars="0"/>
        <w:jc w:val="center"/>
        <w:rPr>
          <w:rFonts w:hint="default" w:ascii="Times New Roman" w:hAnsi="Times New Roman" w:cs="Times New Roman"/>
          <w:color w:val="auto"/>
          <w:lang w:val="en-US" w:eastAsia="zh-CN"/>
        </w:rPr>
      </w:pPr>
      <w:r>
        <w:rPr>
          <w:rFonts w:hint="eastAsia" w:hAnsi="黑体" w:cs="黑体"/>
          <w:color w:val="auto"/>
          <w:lang w:val="en-US" w:eastAsia="zh-CN"/>
        </w:rPr>
        <w:t>图A.</w:t>
      </w:r>
      <w:r>
        <w:rPr>
          <w:rFonts w:hint="eastAsia" w:ascii="黑体" w:hAnsi="黑体" w:eastAsia="黑体" w:cs="黑体"/>
          <w:color w:val="auto"/>
          <w:lang w:val="en-US" w:eastAsia="zh-CN"/>
        </w:rPr>
        <w:t>4</w:t>
      </w:r>
      <w:r>
        <w:rPr>
          <w:rFonts w:hint="eastAsia" w:ascii="黑体" w:hAnsi="黑体" w:eastAsia="黑体" w:cs="黑体"/>
          <w:color w:val="auto"/>
          <w:highlight w:val="none"/>
          <w:lang w:val="en-US" w:eastAsia="zh-CN"/>
        </w:rPr>
        <w:t xml:space="preserve">  </w:t>
      </w:r>
      <w:r>
        <w:rPr>
          <w:rFonts w:hint="default" w:ascii="Times New Roman" w:hAnsi="Times New Roman" w:cs="Times New Roman"/>
          <w:color w:val="auto"/>
          <w:lang w:val="en-US" w:eastAsia="zh-CN"/>
        </w:rPr>
        <w:t>单对以太网</w:t>
      </w:r>
      <w:r>
        <w:rPr>
          <w:rFonts w:hint="eastAsia" w:ascii="Times New Roman" w:hAnsi="Times New Roman" w:cs="Times New Roman"/>
          <w:color w:val="auto"/>
          <w:lang w:val="en-US" w:eastAsia="zh-CN"/>
        </w:rPr>
        <w:t>信道最大插入损耗3</w:t>
      </w:r>
    </w:p>
    <w:p w14:paraId="37CD0FE9">
      <w:pPr>
        <w:spacing w:before="156" w:beforeLines="50" w:after="156" w:afterLines="50"/>
        <w:ind w:firstLine="420" w:firstLineChars="200"/>
        <w:rPr>
          <w:rFonts w:ascii="Times New Roman" w:hAnsi="Times New Roman" w:cs="Times New Roman"/>
          <w:i/>
          <w:iCs/>
          <w:color w:val="auto"/>
        </w:rPr>
      </w:pPr>
    </w:p>
    <w:p w14:paraId="18000816">
      <w:pPr>
        <w:spacing w:before="156" w:beforeLines="50" w:after="156" w:afterLines="50"/>
        <w:ind w:firstLine="0" w:firstLineChars="0"/>
        <w:jc w:val="center"/>
        <w:rPr>
          <w:rFonts w:ascii="Times New Roman" w:hAnsi="Times New Roman" w:cs="Times New Roman"/>
          <w:color w:val="auto"/>
        </w:rPr>
      </w:pPr>
      <w:r>
        <w:rPr>
          <w:rFonts w:ascii="Times New Roman" w:hAnsi="Times New Roman" w:cs="Times New Roman"/>
          <w:color w:val="auto"/>
        </w:rPr>
        <w:drawing>
          <wp:inline distT="0" distB="0" distL="0" distR="0">
            <wp:extent cx="5122545" cy="3347720"/>
            <wp:effectExtent l="0" t="0" r="13335" b="508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noChangeArrowheads="1"/>
                    </pic:cNvPicPr>
                  </pic:nvPicPr>
                  <pic:blipFill>
                    <a:blip r:embed="rId14"/>
                    <a:srcRect/>
                    <a:stretch>
                      <a:fillRect/>
                    </a:stretch>
                  </pic:blipFill>
                  <pic:spPr>
                    <a:xfrm>
                      <a:off x="0" y="0"/>
                      <a:ext cx="5122545" cy="3348000"/>
                    </a:xfrm>
                    <a:prstGeom prst="rect">
                      <a:avLst/>
                    </a:prstGeom>
                    <a:noFill/>
                  </pic:spPr>
                </pic:pic>
              </a:graphicData>
            </a:graphic>
          </wp:inline>
        </w:drawing>
      </w:r>
    </w:p>
    <w:p w14:paraId="04C61338">
      <w:pPr>
        <w:pStyle w:val="140"/>
        <w:numPr>
          <w:ilvl w:val="0"/>
          <w:numId w:val="0"/>
        </w:numPr>
        <w:bidi w:val="0"/>
        <w:ind w:leftChars="0"/>
        <w:jc w:val="center"/>
        <w:rPr>
          <w:rFonts w:hint="eastAsia" w:ascii="Times New Roman" w:hAnsi="Times New Roman" w:cs="Times New Roman"/>
          <w:color w:val="auto"/>
          <w:lang w:val="en-US" w:eastAsia="zh-CN"/>
        </w:rPr>
      </w:pPr>
      <w:r>
        <w:rPr>
          <w:rFonts w:hint="eastAsia" w:hAnsi="黑体" w:cs="黑体"/>
          <w:color w:val="auto"/>
          <w:lang w:val="en-US" w:eastAsia="zh-CN"/>
        </w:rPr>
        <w:t>图A.</w:t>
      </w:r>
      <w:r>
        <w:rPr>
          <w:rFonts w:hint="eastAsia" w:ascii="黑体" w:hAnsi="黑体" w:eastAsia="黑体" w:cs="黑体"/>
          <w:color w:val="auto"/>
          <w:lang w:val="en-US" w:eastAsia="zh-CN"/>
        </w:rPr>
        <w:t>5</w:t>
      </w:r>
      <w:r>
        <w:rPr>
          <w:rFonts w:hint="eastAsia" w:ascii="黑体" w:hAnsi="黑体" w:eastAsia="黑体" w:cs="黑体"/>
          <w:color w:val="auto"/>
          <w:highlight w:val="none"/>
          <w:lang w:val="en-US" w:eastAsia="zh-CN"/>
        </w:rPr>
        <w:t xml:space="preserve">  </w:t>
      </w:r>
      <w:r>
        <w:rPr>
          <w:rFonts w:hint="default" w:ascii="Times New Roman" w:hAnsi="Times New Roman" w:cs="Times New Roman"/>
          <w:color w:val="auto"/>
          <w:lang w:val="en-US" w:eastAsia="zh-CN"/>
        </w:rPr>
        <w:t>单对以太网</w:t>
      </w:r>
      <w:r>
        <w:rPr>
          <w:rFonts w:hint="eastAsia" w:ascii="Times New Roman" w:hAnsi="Times New Roman" w:cs="Times New Roman"/>
          <w:color w:val="auto"/>
          <w:lang w:val="en-US" w:eastAsia="zh-CN"/>
        </w:rPr>
        <w:t>信道最大插入损耗4</w:t>
      </w:r>
    </w:p>
    <w:p w14:paraId="2BAE670C">
      <w:pPr>
        <w:pStyle w:val="26"/>
        <w:rPr>
          <w:rFonts w:hint="eastAsia" w:ascii="Times New Roman" w:hAnsi="Times New Roman" w:cs="Times New Roman"/>
          <w:color w:val="auto"/>
          <w:lang w:val="en-US" w:eastAsia="zh-CN"/>
        </w:rPr>
      </w:pPr>
    </w:p>
    <w:p w14:paraId="13ECA011">
      <w:pPr>
        <w:pStyle w:val="26"/>
        <w:rPr>
          <w:rFonts w:hint="eastAsia" w:ascii="Times New Roman" w:hAnsi="Times New Roman" w:cs="Times New Roman"/>
          <w:color w:val="auto"/>
          <w:lang w:val="en-US" w:eastAsia="zh-CN"/>
        </w:rPr>
      </w:pPr>
    </w:p>
    <w:p w14:paraId="318DA387">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表A.</w:t>
      </w:r>
      <w:r>
        <w:rPr>
          <w:rFonts w:hint="eastAsia" w:cs="Times New Roman"/>
          <w:color w:val="auto"/>
          <w:highlight w:val="none"/>
          <w:lang w:val="en-US" w:eastAsia="zh-CN"/>
        </w:rPr>
        <w:t>6</w:t>
      </w:r>
      <w:r>
        <w:rPr>
          <w:rFonts w:hint="eastAsia"/>
          <w:color w:val="auto"/>
          <w:highlight w:val="none"/>
          <w:lang w:val="en-US" w:eastAsia="zh-CN"/>
        </w:rPr>
        <w:t xml:space="preserve">  </w:t>
      </w:r>
      <w:r>
        <w:rPr>
          <w:rFonts w:hint="eastAsia" w:hAnsi="Times New Roman" w:cs="Times New Roman"/>
          <w:color w:val="auto"/>
          <w:highlight w:val="none"/>
          <w:lang w:val="en-US" w:eastAsia="zh-CN"/>
        </w:rPr>
        <w:t>10BASE-T1L至100BASE-T1典型频率点最大插入损耗</w:t>
      </w:r>
    </w:p>
    <w:tbl>
      <w:tblPr>
        <w:tblStyle w:val="36"/>
        <w:tblW w:w="85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6"/>
        <w:gridCol w:w="1134"/>
        <w:gridCol w:w="1134"/>
        <w:gridCol w:w="1417"/>
        <w:gridCol w:w="1418"/>
        <w:gridCol w:w="850"/>
        <w:gridCol w:w="851"/>
      </w:tblGrid>
      <w:tr w14:paraId="026DB9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tblHeader/>
          <w:jc w:val="center"/>
        </w:trPr>
        <w:tc>
          <w:tcPr>
            <w:tcW w:w="1746" w:type="dxa"/>
            <w:vMerge w:val="restart"/>
            <w:shd w:val="clear" w:color="auto" w:fill="auto"/>
            <w:noWrap/>
            <w:vAlign w:val="center"/>
          </w:tcPr>
          <w:p w14:paraId="717BDD02">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频率</w:t>
            </w:r>
          </w:p>
          <w:p w14:paraId="44294C03">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（MHz）</w:t>
            </w:r>
          </w:p>
        </w:tc>
        <w:tc>
          <w:tcPr>
            <w:tcW w:w="6804" w:type="dxa"/>
            <w:gridSpan w:val="6"/>
            <w:shd w:val="clear" w:color="auto" w:fill="auto"/>
            <w:vAlign w:val="center"/>
          </w:tcPr>
          <w:p w14:paraId="4E8F033D">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最大插入损耗（dB）</w:t>
            </w:r>
          </w:p>
        </w:tc>
      </w:tr>
      <w:tr w14:paraId="74C4A2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tblHeader/>
          <w:jc w:val="center"/>
        </w:trPr>
        <w:tc>
          <w:tcPr>
            <w:tcW w:w="1746" w:type="dxa"/>
            <w:vMerge w:val="continue"/>
            <w:shd w:val="clear" w:color="auto" w:fill="auto"/>
            <w:noWrap/>
            <w:vAlign w:val="center"/>
          </w:tcPr>
          <w:p w14:paraId="5FF2893B">
            <w:pPr>
              <w:jc w:val="center"/>
              <w:rPr>
                <w:rFonts w:hint="eastAsia" w:ascii="Times New Roman" w:hAnsi="Times New Roman" w:cs="Times New Roman"/>
                <w:b/>
                <w:bCs/>
                <w:color w:val="auto"/>
                <w:sz w:val="18"/>
                <w:szCs w:val="18"/>
                <w:highlight w:val="none"/>
                <w:lang w:val="en-US" w:eastAsia="zh-CN"/>
              </w:rPr>
            </w:pPr>
          </w:p>
        </w:tc>
        <w:tc>
          <w:tcPr>
            <w:tcW w:w="2268" w:type="dxa"/>
            <w:gridSpan w:val="2"/>
            <w:shd w:val="clear" w:color="auto" w:fill="auto"/>
            <w:vAlign w:val="center"/>
          </w:tcPr>
          <w:p w14:paraId="1E7DE0B3">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10BASE-T1L</w:t>
            </w:r>
          </w:p>
        </w:tc>
        <w:tc>
          <w:tcPr>
            <w:tcW w:w="1417" w:type="dxa"/>
            <w:vMerge w:val="restart"/>
            <w:shd w:val="clear" w:color="auto" w:fill="auto"/>
            <w:vAlign w:val="center"/>
          </w:tcPr>
          <w:p w14:paraId="0167FD40">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10BASE-T1S</w:t>
            </w:r>
          </w:p>
        </w:tc>
        <w:tc>
          <w:tcPr>
            <w:tcW w:w="1418" w:type="dxa"/>
            <w:vMerge w:val="restart"/>
            <w:shd w:val="clear" w:color="auto" w:fill="auto"/>
            <w:vAlign w:val="center"/>
          </w:tcPr>
          <w:p w14:paraId="7BE167E6">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100BASE-T1</w:t>
            </w:r>
          </w:p>
        </w:tc>
        <w:tc>
          <w:tcPr>
            <w:tcW w:w="1701" w:type="dxa"/>
            <w:gridSpan w:val="2"/>
            <w:vAlign w:val="center"/>
          </w:tcPr>
          <w:p w14:paraId="4B4B6F50">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1000BASE-T1</w:t>
            </w:r>
          </w:p>
        </w:tc>
      </w:tr>
      <w:tr w14:paraId="2AEA89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tblHeader/>
          <w:jc w:val="center"/>
        </w:trPr>
        <w:tc>
          <w:tcPr>
            <w:tcW w:w="1746" w:type="dxa"/>
            <w:vMerge w:val="continue"/>
            <w:tcBorders>
              <w:bottom w:val="single" w:color="auto" w:sz="8" w:space="0"/>
            </w:tcBorders>
            <w:shd w:val="clear" w:color="auto" w:fill="auto"/>
            <w:noWrap/>
            <w:vAlign w:val="center"/>
          </w:tcPr>
          <w:p w14:paraId="5E57247A">
            <w:pPr>
              <w:jc w:val="center"/>
              <w:rPr>
                <w:rFonts w:hint="eastAsia" w:ascii="Times New Roman" w:hAnsi="Times New Roman" w:cs="Times New Roman"/>
                <w:b/>
                <w:bCs/>
                <w:color w:val="auto"/>
                <w:sz w:val="18"/>
                <w:szCs w:val="18"/>
                <w:highlight w:val="none"/>
                <w:lang w:val="en-US" w:eastAsia="zh-CN"/>
              </w:rPr>
            </w:pPr>
          </w:p>
        </w:tc>
        <w:tc>
          <w:tcPr>
            <w:tcW w:w="1134" w:type="dxa"/>
            <w:tcBorders>
              <w:bottom w:val="single" w:color="auto" w:sz="8" w:space="0"/>
            </w:tcBorders>
            <w:shd w:val="clear" w:color="auto" w:fill="auto"/>
            <w:vAlign w:val="center"/>
          </w:tcPr>
          <w:p w14:paraId="716AEFA1">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SP1-1000</w:t>
            </w:r>
          </w:p>
        </w:tc>
        <w:tc>
          <w:tcPr>
            <w:tcW w:w="1134" w:type="dxa"/>
            <w:tcBorders>
              <w:bottom w:val="single" w:color="auto" w:sz="8" w:space="0"/>
            </w:tcBorders>
            <w:shd w:val="clear" w:color="auto" w:fill="auto"/>
            <w:vAlign w:val="center"/>
          </w:tcPr>
          <w:p w14:paraId="7E0271F6">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SP1-400</w:t>
            </w:r>
          </w:p>
        </w:tc>
        <w:tc>
          <w:tcPr>
            <w:tcW w:w="1417" w:type="dxa"/>
            <w:vMerge w:val="continue"/>
            <w:shd w:val="clear" w:color="auto" w:fill="auto"/>
            <w:vAlign w:val="center"/>
          </w:tcPr>
          <w:p w14:paraId="665DBF71">
            <w:pPr>
              <w:jc w:val="center"/>
              <w:rPr>
                <w:rFonts w:hint="eastAsia" w:ascii="Times New Roman" w:hAnsi="Times New Roman" w:cs="Times New Roman"/>
                <w:b/>
                <w:bCs/>
                <w:color w:val="auto"/>
                <w:sz w:val="18"/>
                <w:szCs w:val="18"/>
                <w:highlight w:val="none"/>
                <w:lang w:val="en-US" w:eastAsia="zh-CN"/>
              </w:rPr>
            </w:pPr>
          </w:p>
        </w:tc>
        <w:tc>
          <w:tcPr>
            <w:tcW w:w="1418" w:type="dxa"/>
            <w:vMerge w:val="continue"/>
            <w:shd w:val="clear" w:color="auto" w:fill="auto"/>
            <w:vAlign w:val="center"/>
          </w:tcPr>
          <w:p w14:paraId="2E1CF00F">
            <w:pPr>
              <w:jc w:val="center"/>
              <w:rPr>
                <w:rFonts w:hint="eastAsia" w:ascii="Times New Roman" w:hAnsi="Times New Roman" w:cs="Times New Roman"/>
                <w:b/>
                <w:bCs/>
                <w:color w:val="auto"/>
                <w:sz w:val="18"/>
                <w:szCs w:val="18"/>
                <w:highlight w:val="none"/>
                <w:lang w:val="en-US" w:eastAsia="zh-CN"/>
              </w:rPr>
            </w:pPr>
          </w:p>
        </w:tc>
        <w:tc>
          <w:tcPr>
            <w:tcW w:w="850" w:type="dxa"/>
            <w:tcBorders>
              <w:bottom w:val="single" w:color="auto" w:sz="8" w:space="0"/>
            </w:tcBorders>
            <w:vAlign w:val="center"/>
          </w:tcPr>
          <w:p w14:paraId="451360B8">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Type A</w:t>
            </w:r>
          </w:p>
        </w:tc>
        <w:tc>
          <w:tcPr>
            <w:tcW w:w="851" w:type="dxa"/>
            <w:tcBorders>
              <w:bottom w:val="single" w:color="auto" w:sz="8" w:space="0"/>
            </w:tcBorders>
            <w:vAlign w:val="center"/>
          </w:tcPr>
          <w:p w14:paraId="155745CD">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Type B</w:t>
            </w:r>
          </w:p>
        </w:tc>
      </w:tr>
      <w:tr w14:paraId="5FA822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tcBorders>
              <w:top w:val="single" w:color="auto" w:sz="8" w:space="0"/>
            </w:tcBorders>
            <w:shd w:val="clear" w:color="auto" w:fill="auto"/>
            <w:noWrap/>
            <w:vAlign w:val="center"/>
          </w:tcPr>
          <w:p w14:paraId="7FBA579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w:t>
            </w:r>
          </w:p>
        </w:tc>
        <w:tc>
          <w:tcPr>
            <w:tcW w:w="1134" w:type="dxa"/>
            <w:tcBorders>
              <w:top w:val="single" w:color="auto" w:sz="8" w:space="0"/>
            </w:tcBorders>
            <w:shd w:val="clear" w:color="auto" w:fill="auto"/>
            <w:noWrap/>
            <w:vAlign w:val="center"/>
          </w:tcPr>
          <w:p w14:paraId="7813B4E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10.3</w:t>
            </w:r>
          </w:p>
        </w:tc>
        <w:tc>
          <w:tcPr>
            <w:tcW w:w="1134" w:type="dxa"/>
            <w:tcBorders>
              <w:top w:val="single" w:color="auto" w:sz="8" w:space="0"/>
            </w:tcBorders>
            <w:shd w:val="clear" w:color="auto" w:fill="auto"/>
            <w:noWrap/>
            <w:vAlign w:val="center"/>
          </w:tcPr>
          <w:p w14:paraId="1CA7273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5.5</w:t>
            </w:r>
          </w:p>
        </w:tc>
        <w:tc>
          <w:tcPr>
            <w:tcW w:w="1417" w:type="dxa"/>
            <w:tcBorders>
              <w:top w:val="single" w:color="auto" w:sz="8" w:space="0"/>
            </w:tcBorders>
            <w:shd w:val="clear" w:color="auto" w:fill="auto"/>
            <w:noWrap/>
            <w:vAlign w:val="center"/>
          </w:tcPr>
          <w:p w14:paraId="6490C040">
            <w:pPr>
              <w:jc w:val="center"/>
              <w:rPr>
                <w:rFonts w:hint="eastAsia" w:ascii="Times New Roman" w:hAnsi="Times New Roman" w:cs="Times New Roman"/>
                <w:color w:val="auto"/>
                <w:sz w:val="18"/>
                <w:szCs w:val="18"/>
                <w:highlight w:val="none"/>
                <w:lang w:val="en-US" w:eastAsia="zh-CN"/>
              </w:rPr>
            </w:pPr>
          </w:p>
        </w:tc>
        <w:tc>
          <w:tcPr>
            <w:tcW w:w="1418" w:type="dxa"/>
            <w:tcBorders>
              <w:top w:val="single" w:color="auto" w:sz="8" w:space="0"/>
            </w:tcBorders>
            <w:shd w:val="clear" w:color="auto" w:fill="auto"/>
            <w:noWrap/>
            <w:vAlign w:val="center"/>
          </w:tcPr>
          <w:p w14:paraId="0327C714">
            <w:pPr>
              <w:jc w:val="center"/>
              <w:rPr>
                <w:rFonts w:hint="eastAsia" w:ascii="Times New Roman" w:hAnsi="Times New Roman" w:cs="Times New Roman"/>
                <w:color w:val="auto"/>
                <w:sz w:val="18"/>
                <w:szCs w:val="18"/>
                <w:highlight w:val="none"/>
                <w:lang w:val="en-US" w:eastAsia="zh-CN"/>
              </w:rPr>
            </w:pPr>
          </w:p>
        </w:tc>
        <w:tc>
          <w:tcPr>
            <w:tcW w:w="850" w:type="dxa"/>
            <w:tcBorders>
              <w:top w:val="single" w:color="auto" w:sz="8" w:space="0"/>
            </w:tcBorders>
            <w:vAlign w:val="center"/>
          </w:tcPr>
          <w:p w14:paraId="48B3382B">
            <w:pPr>
              <w:jc w:val="center"/>
              <w:rPr>
                <w:rFonts w:hint="eastAsia" w:ascii="Times New Roman" w:hAnsi="Times New Roman" w:cs="Times New Roman"/>
                <w:color w:val="auto"/>
                <w:sz w:val="18"/>
                <w:szCs w:val="18"/>
                <w:highlight w:val="none"/>
                <w:lang w:val="en-US" w:eastAsia="zh-CN"/>
              </w:rPr>
            </w:pPr>
          </w:p>
        </w:tc>
        <w:tc>
          <w:tcPr>
            <w:tcW w:w="851" w:type="dxa"/>
            <w:tcBorders>
              <w:top w:val="single" w:color="auto" w:sz="8" w:space="0"/>
            </w:tcBorders>
            <w:vAlign w:val="center"/>
          </w:tcPr>
          <w:p w14:paraId="51B037F8">
            <w:pPr>
              <w:jc w:val="center"/>
              <w:rPr>
                <w:rFonts w:hint="eastAsia" w:ascii="Times New Roman" w:hAnsi="Times New Roman" w:cs="Times New Roman"/>
                <w:color w:val="auto"/>
                <w:sz w:val="18"/>
                <w:szCs w:val="18"/>
                <w:highlight w:val="none"/>
                <w:lang w:val="en-US" w:eastAsia="zh-CN"/>
              </w:rPr>
            </w:pPr>
          </w:p>
        </w:tc>
      </w:tr>
      <w:tr w14:paraId="26D3E4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0908B39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0.3</w:t>
            </w:r>
          </w:p>
        </w:tc>
        <w:tc>
          <w:tcPr>
            <w:tcW w:w="1134" w:type="dxa"/>
            <w:shd w:val="clear" w:color="auto" w:fill="auto"/>
            <w:noWrap/>
            <w:vAlign w:val="center"/>
          </w:tcPr>
          <w:p w14:paraId="1004C14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10.5</w:t>
            </w:r>
          </w:p>
        </w:tc>
        <w:tc>
          <w:tcPr>
            <w:tcW w:w="1134" w:type="dxa"/>
            <w:shd w:val="clear" w:color="auto" w:fill="auto"/>
            <w:noWrap/>
            <w:vAlign w:val="center"/>
          </w:tcPr>
          <w:p w14:paraId="47E2699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5.9</w:t>
            </w:r>
          </w:p>
        </w:tc>
        <w:tc>
          <w:tcPr>
            <w:tcW w:w="1417" w:type="dxa"/>
            <w:shd w:val="clear" w:color="auto" w:fill="auto"/>
            <w:noWrap/>
            <w:vAlign w:val="center"/>
          </w:tcPr>
          <w:p w14:paraId="329B73E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0.9</w:t>
            </w:r>
          </w:p>
        </w:tc>
        <w:tc>
          <w:tcPr>
            <w:tcW w:w="1418" w:type="dxa"/>
            <w:shd w:val="clear" w:color="auto" w:fill="auto"/>
            <w:noWrap/>
            <w:vAlign w:val="center"/>
          </w:tcPr>
          <w:p w14:paraId="3D6B5B99">
            <w:pPr>
              <w:jc w:val="center"/>
              <w:rPr>
                <w:rFonts w:hint="eastAsia" w:ascii="Times New Roman" w:hAnsi="Times New Roman" w:cs="Times New Roman"/>
                <w:color w:val="auto"/>
                <w:sz w:val="18"/>
                <w:szCs w:val="18"/>
                <w:highlight w:val="none"/>
                <w:lang w:val="en-US" w:eastAsia="zh-CN"/>
              </w:rPr>
            </w:pPr>
          </w:p>
        </w:tc>
        <w:tc>
          <w:tcPr>
            <w:tcW w:w="850" w:type="dxa"/>
            <w:vAlign w:val="center"/>
          </w:tcPr>
          <w:p w14:paraId="60D16E52">
            <w:pPr>
              <w:jc w:val="center"/>
              <w:rPr>
                <w:rFonts w:hint="eastAsia" w:ascii="Times New Roman" w:hAnsi="Times New Roman" w:cs="Times New Roman"/>
                <w:color w:val="auto"/>
                <w:sz w:val="18"/>
                <w:szCs w:val="18"/>
                <w:highlight w:val="none"/>
                <w:lang w:val="en-US" w:eastAsia="zh-CN"/>
              </w:rPr>
            </w:pPr>
          </w:p>
        </w:tc>
        <w:tc>
          <w:tcPr>
            <w:tcW w:w="851" w:type="dxa"/>
            <w:vAlign w:val="center"/>
          </w:tcPr>
          <w:p w14:paraId="577DD072">
            <w:pPr>
              <w:jc w:val="center"/>
              <w:rPr>
                <w:rFonts w:hint="eastAsia" w:ascii="Times New Roman" w:hAnsi="Times New Roman" w:cs="Times New Roman"/>
                <w:color w:val="auto"/>
                <w:sz w:val="18"/>
                <w:szCs w:val="18"/>
                <w:highlight w:val="none"/>
                <w:lang w:val="en-US" w:eastAsia="zh-CN"/>
              </w:rPr>
            </w:pPr>
          </w:p>
        </w:tc>
      </w:tr>
      <w:tr w14:paraId="446E49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0CDE79A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0.5</w:t>
            </w:r>
          </w:p>
        </w:tc>
        <w:tc>
          <w:tcPr>
            <w:tcW w:w="1134" w:type="dxa"/>
            <w:shd w:val="clear" w:color="auto" w:fill="auto"/>
            <w:noWrap/>
            <w:vAlign w:val="center"/>
          </w:tcPr>
          <w:p w14:paraId="3B082F1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11.7</w:t>
            </w:r>
          </w:p>
        </w:tc>
        <w:tc>
          <w:tcPr>
            <w:tcW w:w="1134" w:type="dxa"/>
            <w:shd w:val="clear" w:color="auto" w:fill="auto"/>
            <w:noWrap/>
            <w:vAlign w:val="center"/>
          </w:tcPr>
          <w:p w14:paraId="26290FB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6.7</w:t>
            </w:r>
          </w:p>
        </w:tc>
        <w:tc>
          <w:tcPr>
            <w:tcW w:w="1417" w:type="dxa"/>
            <w:shd w:val="clear" w:color="auto" w:fill="auto"/>
            <w:noWrap/>
            <w:vAlign w:val="center"/>
          </w:tcPr>
          <w:p w14:paraId="4E6B221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0.9</w:t>
            </w:r>
          </w:p>
        </w:tc>
        <w:tc>
          <w:tcPr>
            <w:tcW w:w="1418" w:type="dxa"/>
            <w:shd w:val="clear" w:color="auto" w:fill="auto"/>
            <w:noWrap/>
            <w:vAlign w:val="center"/>
          </w:tcPr>
          <w:p w14:paraId="45D15657">
            <w:pPr>
              <w:jc w:val="center"/>
              <w:rPr>
                <w:rFonts w:hint="eastAsia" w:ascii="Times New Roman" w:hAnsi="Times New Roman" w:cs="Times New Roman"/>
                <w:color w:val="auto"/>
                <w:sz w:val="18"/>
                <w:szCs w:val="18"/>
                <w:highlight w:val="none"/>
                <w:lang w:val="en-US" w:eastAsia="zh-CN"/>
              </w:rPr>
            </w:pPr>
          </w:p>
        </w:tc>
        <w:tc>
          <w:tcPr>
            <w:tcW w:w="850" w:type="dxa"/>
            <w:vAlign w:val="center"/>
          </w:tcPr>
          <w:p w14:paraId="7C2E5470">
            <w:pPr>
              <w:jc w:val="center"/>
              <w:rPr>
                <w:rFonts w:hint="eastAsia" w:ascii="Times New Roman" w:hAnsi="Times New Roman" w:cs="Times New Roman"/>
                <w:color w:val="auto"/>
                <w:sz w:val="18"/>
                <w:szCs w:val="18"/>
                <w:highlight w:val="none"/>
                <w:lang w:val="en-US" w:eastAsia="zh-CN"/>
              </w:rPr>
            </w:pPr>
          </w:p>
        </w:tc>
        <w:tc>
          <w:tcPr>
            <w:tcW w:w="851" w:type="dxa"/>
            <w:vAlign w:val="center"/>
          </w:tcPr>
          <w:p w14:paraId="1BDAA282">
            <w:pPr>
              <w:jc w:val="center"/>
              <w:rPr>
                <w:rFonts w:hint="eastAsia" w:ascii="Times New Roman" w:hAnsi="Times New Roman" w:cs="Times New Roman"/>
                <w:color w:val="auto"/>
                <w:sz w:val="18"/>
                <w:szCs w:val="18"/>
                <w:highlight w:val="none"/>
                <w:lang w:val="en-US" w:eastAsia="zh-CN"/>
              </w:rPr>
            </w:pPr>
          </w:p>
        </w:tc>
      </w:tr>
      <w:tr w14:paraId="1C28E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79D54A9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w:t>
            </w:r>
          </w:p>
        </w:tc>
        <w:tc>
          <w:tcPr>
            <w:tcW w:w="1134" w:type="dxa"/>
            <w:shd w:val="clear" w:color="auto" w:fill="auto"/>
            <w:noWrap/>
            <w:vAlign w:val="center"/>
          </w:tcPr>
          <w:p w14:paraId="2B4E2F7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14.6</w:t>
            </w:r>
          </w:p>
        </w:tc>
        <w:tc>
          <w:tcPr>
            <w:tcW w:w="1134" w:type="dxa"/>
            <w:shd w:val="clear" w:color="auto" w:fill="auto"/>
            <w:noWrap/>
            <w:vAlign w:val="center"/>
          </w:tcPr>
          <w:p w14:paraId="011EA00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8.4</w:t>
            </w:r>
          </w:p>
        </w:tc>
        <w:tc>
          <w:tcPr>
            <w:tcW w:w="1417" w:type="dxa"/>
            <w:shd w:val="clear" w:color="auto" w:fill="auto"/>
            <w:noWrap/>
            <w:vAlign w:val="center"/>
          </w:tcPr>
          <w:p w14:paraId="28EF531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1418" w:type="dxa"/>
            <w:shd w:val="clear" w:color="auto" w:fill="auto"/>
            <w:noWrap/>
            <w:vAlign w:val="center"/>
          </w:tcPr>
          <w:p w14:paraId="15ED1F8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850" w:type="dxa"/>
            <w:vAlign w:val="center"/>
          </w:tcPr>
          <w:p w14:paraId="56DF802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0.7 </w:t>
            </w:r>
          </w:p>
        </w:tc>
        <w:tc>
          <w:tcPr>
            <w:tcW w:w="851" w:type="dxa"/>
            <w:vAlign w:val="center"/>
          </w:tcPr>
          <w:p w14:paraId="2E405D2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0.9 </w:t>
            </w:r>
          </w:p>
        </w:tc>
      </w:tr>
      <w:tr w14:paraId="5A7BBC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0878D4C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1134" w:type="dxa"/>
            <w:shd w:val="clear" w:color="auto" w:fill="auto"/>
            <w:noWrap/>
            <w:vAlign w:val="center"/>
          </w:tcPr>
          <w:p w14:paraId="5E4B082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41.2</w:t>
            </w:r>
          </w:p>
        </w:tc>
        <w:tc>
          <w:tcPr>
            <w:tcW w:w="1134" w:type="dxa"/>
            <w:shd w:val="clear" w:color="auto" w:fill="auto"/>
            <w:noWrap/>
            <w:vAlign w:val="center"/>
          </w:tcPr>
          <w:p w14:paraId="133F644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24.0</w:t>
            </w:r>
          </w:p>
        </w:tc>
        <w:tc>
          <w:tcPr>
            <w:tcW w:w="1417" w:type="dxa"/>
            <w:shd w:val="clear" w:color="auto" w:fill="auto"/>
            <w:noWrap/>
            <w:vAlign w:val="center"/>
          </w:tcPr>
          <w:p w14:paraId="6579FC4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2.6</w:t>
            </w:r>
          </w:p>
        </w:tc>
        <w:tc>
          <w:tcPr>
            <w:tcW w:w="1418" w:type="dxa"/>
            <w:shd w:val="clear" w:color="auto" w:fill="auto"/>
            <w:noWrap/>
            <w:vAlign w:val="center"/>
          </w:tcPr>
          <w:p w14:paraId="5CAA34C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2.6</w:t>
            </w:r>
          </w:p>
        </w:tc>
        <w:tc>
          <w:tcPr>
            <w:tcW w:w="850" w:type="dxa"/>
            <w:vAlign w:val="center"/>
          </w:tcPr>
          <w:p w14:paraId="1EDC366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1.9 </w:t>
            </w:r>
          </w:p>
        </w:tc>
        <w:tc>
          <w:tcPr>
            <w:tcW w:w="851" w:type="dxa"/>
            <w:vAlign w:val="center"/>
          </w:tcPr>
          <w:p w14:paraId="4D88855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2.7 </w:t>
            </w:r>
          </w:p>
        </w:tc>
      </w:tr>
      <w:tr w14:paraId="0956D7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5C9967D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16</w:t>
            </w:r>
          </w:p>
        </w:tc>
        <w:tc>
          <w:tcPr>
            <w:tcW w:w="1134" w:type="dxa"/>
            <w:shd w:val="clear" w:color="auto" w:fill="auto"/>
            <w:noWrap/>
            <w:vAlign w:val="center"/>
          </w:tcPr>
          <w:p w14:paraId="46BC0BE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52.1</w:t>
            </w:r>
          </w:p>
        </w:tc>
        <w:tc>
          <w:tcPr>
            <w:tcW w:w="1134" w:type="dxa"/>
            <w:shd w:val="clear" w:color="auto" w:fill="auto"/>
            <w:noWrap/>
            <w:vAlign w:val="center"/>
          </w:tcPr>
          <w:p w14:paraId="5759154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30.4</w:t>
            </w:r>
          </w:p>
        </w:tc>
        <w:tc>
          <w:tcPr>
            <w:tcW w:w="1417" w:type="dxa"/>
            <w:shd w:val="clear" w:color="auto" w:fill="auto"/>
            <w:noWrap/>
            <w:vAlign w:val="center"/>
          </w:tcPr>
          <w:p w14:paraId="304E7C5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3.2</w:t>
            </w:r>
          </w:p>
        </w:tc>
        <w:tc>
          <w:tcPr>
            <w:tcW w:w="1418" w:type="dxa"/>
            <w:shd w:val="clear" w:color="auto" w:fill="auto"/>
            <w:noWrap/>
            <w:vAlign w:val="center"/>
          </w:tcPr>
          <w:p w14:paraId="5A3DEE0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3.2</w:t>
            </w:r>
          </w:p>
        </w:tc>
        <w:tc>
          <w:tcPr>
            <w:tcW w:w="850" w:type="dxa"/>
            <w:vAlign w:val="center"/>
          </w:tcPr>
          <w:p w14:paraId="1054ADB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2.4 </w:t>
            </w:r>
          </w:p>
        </w:tc>
        <w:tc>
          <w:tcPr>
            <w:tcW w:w="851" w:type="dxa"/>
            <w:vAlign w:val="center"/>
          </w:tcPr>
          <w:p w14:paraId="68AA6B3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3.4 </w:t>
            </w:r>
          </w:p>
        </w:tc>
      </w:tr>
      <w:tr w14:paraId="5A93F3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2C37D55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1134" w:type="dxa"/>
            <w:shd w:val="clear" w:color="auto" w:fill="auto"/>
            <w:noWrap/>
            <w:vAlign w:val="center"/>
          </w:tcPr>
          <w:p w14:paraId="5DEB1EB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58.3</w:t>
            </w:r>
          </w:p>
        </w:tc>
        <w:tc>
          <w:tcPr>
            <w:tcW w:w="1134" w:type="dxa"/>
            <w:shd w:val="clear" w:color="auto" w:fill="auto"/>
            <w:noWrap/>
            <w:vAlign w:val="center"/>
          </w:tcPr>
          <w:p w14:paraId="4672543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34.0</w:t>
            </w:r>
          </w:p>
        </w:tc>
        <w:tc>
          <w:tcPr>
            <w:tcW w:w="1417" w:type="dxa"/>
            <w:shd w:val="clear" w:color="auto" w:fill="auto"/>
            <w:noWrap/>
            <w:vAlign w:val="center"/>
          </w:tcPr>
          <w:p w14:paraId="65993F8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3.6</w:t>
            </w:r>
          </w:p>
        </w:tc>
        <w:tc>
          <w:tcPr>
            <w:tcW w:w="1418" w:type="dxa"/>
            <w:shd w:val="clear" w:color="auto" w:fill="auto"/>
            <w:noWrap/>
            <w:vAlign w:val="center"/>
          </w:tcPr>
          <w:p w14:paraId="61BD0B9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3.6</w:t>
            </w:r>
          </w:p>
        </w:tc>
        <w:tc>
          <w:tcPr>
            <w:tcW w:w="850" w:type="dxa"/>
            <w:vAlign w:val="center"/>
          </w:tcPr>
          <w:p w14:paraId="373944F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2.7 </w:t>
            </w:r>
          </w:p>
        </w:tc>
        <w:tc>
          <w:tcPr>
            <w:tcW w:w="851" w:type="dxa"/>
            <w:vAlign w:val="center"/>
          </w:tcPr>
          <w:p w14:paraId="24584E6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3.8 </w:t>
            </w:r>
          </w:p>
        </w:tc>
      </w:tr>
      <w:tr w14:paraId="2F1631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337D720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w:t>
            </w:r>
          </w:p>
        </w:tc>
        <w:tc>
          <w:tcPr>
            <w:tcW w:w="1134" w:type="dxa"/>
            <w:shd w:val="clear" w:color="auto" w:fill="auto"/>
            <w:noWrap/>
            <w:vAlign w:val="center"/>
          </w:tcPr>
          <w:p w14:paraId="77AA8406">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776E390C">
            <w:pPr>
              <w:jc w:val="center"/>
              <w:rPr>
                <w:rFonts w:hint="eastAsia" w:ascii="Times New Roman" w:hAnsi="Times New Roman" w:cs="Times New Roman"/>
                <w:color w:val="auto"/>
                <w:sz w:val="18"/>
                <w:szCs w:val="18"/>
                <w:highlight w:val="none"/>
                <w:lang w:val="en-US" w:eastAsia="zh-CN"/>
              </w:rPr>
            </w:pPr>
          </w:p>
        </w:tc>
        <w:tc>
          <w:tcPr>
            <w:tcW w:w="1417" w:type="dxa"/>
            <w:shd w:val="clear" w:color="auto" w:fill="auto"/>
            <w:noWrap/>
            <w:vAlign w:val="center"/>
          </w:tcPr>
          <w:p w14:paraId="6AEBA9A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4.6</w:t>
            </w:r>
          </w:p>
        </w:tc>
        <w:tc>
          <w:tcPr>
            <w:tcW w:w="1418" w:type="dxa"/>
            <w:shd w:val="clear" w:color="auto" w:fill="auto"/>
            <w:noWrap/>
            <w:vAlign w:val="center"/>
          </w:tcPr>
          <w:p w14:paraId="53FEC1B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4.6</w:t>
            </w:r>
          </w:p>
        </w:tc>
        <w:tc>
          <w:tcPr>
            <w:tcW w:w="850" w:type="dxa"/>
            <w:vAlign w:val="center"/>
          </w:tcPr>
          <w:p w14:paraId="7556A68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3.3 </w:t>
            </w:r>
          </w:p>
        </w:tc>
        <w:tc>
          <w:tcPr>
            <w:tcW w:w="851" w:type="dxa"/>
            <w:vAlign w:val="center"/>
          </w:tcPr>
          <w:p w14:paraId="1ED4ACA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4.7 </w:t>
            </w:r>
          </w:p>
        </w:tc>
      </w:tr>
      <w:tr w14:paraId="508933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78846A2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w:t>
            </w:r>
          </w:p>
        </w:tc>
        <w:tc>
          <w:tcPr>
            <w:tcW w:w="1134" w:type="dxa"/>
            <w:shd w:val="clear" w:color="auto" w:fill="auto"/>
            <w:noWrap/>
            <w:vAlign w:val="center"/>
          </w:tcPr>
          <w:p w14:paraId="174670AD">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2ADA337B">
            <w:pPr>
              <w:jc w:val="center"/>
              <w:rPr>
                <w:rFonts w:hint="eastAsia" w:ascii="Times New Roman" w:hAnsi="Times New Roman" w:cs="Times New Roman"/>
                <w:color w:val="auto"/>
                <w:sz w:val="18"/>
                <w:szCs w:val="18"/>
                <w:highlight w:val="none"/>
                <w:lang w:val="en-US" w:eastAsia="zh-CN"/>
              </w:rPr>
            </w:pPr>
          </w:p>
        </w:tc>
        <w:tc>
          <w:tcPr>
            <w:tcW w:w="1417" w:type="dxa"/>
            <w:shd w:val="clear" w:color="auto" w:fill="auto"/>
            <w:noWrap/>
            <w:vAlign w:val="center"/>
          </w:tcPr>
          <w:p w14:paraId="03F8712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5.4</w:t>
            </w:r>
          </w:p>
        </w:tc>
        <w:tc>
          <w:tcPr>
            <w:tcW w:w="1418" w:type="dxa"/>
            <w:shd w:val="clear" w:color="auto" w:fill="auto"/>
            <w:noWrap/>
            <w:vAlign w:val="center"/>
          </w:tcPr>
          <w:p w14:paraId="622E7E0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5.4</w:t>
            </w:r>
          </w:p>
        </w:tc>
        <w:tc>
          <w:tcPr>
            <w:tcW w:w="850" w:type="dxa"/>
            <w:vAlign w:val="center"/>
          </w:tcPr>
          <w:p w14:paraId="671CB59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3.8 </w:t>
            </w:r>
          </w:p>
        </w:tc>
        <w:tc>
          <w:tcPr>
            <w:tcW w:w="851" w:type="dxa"/>
            <w:vAlign w:val="center"/>
          </w:tcPr>
          <w:p w14:paraId="7AAF7BE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5.4 </w:t>
            </w:r>
          </w:p>
        </w:tc>
      </w:tr>
      <w:tr w14:paraId="614451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29D1624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w:t>
            </w:r>
          </w:p>
        </w:tc>
        <w:tc>
          <w:tcPr>
            <w:tcW w:w="1134" w:type="dxa"/>
            <w:shd w:val="clear" w:color="auto" w:fill="auto"/>
            <w:noWrap/>
            <w:vAlign w:val="center"/>
          </w:tcPr>
          <w:p w14:paraId="3DAD426F">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0AC01E54">
            <w:pPr>
              <w:jc w:val="center"/>
              <w:rPr>
                <w:rFonts w:hint="eastAsia" w:ascii="Times New Roman" w:hAnsi="Times New Roman" w:cs="Times New Roman"/>
                <w:color w:val="auto"/>
                <w:sz w:val="18"/>
                <w:szCs w:val="18"/>
                <w:highlight w:val="none"/>
                <w:lang w:val="en-US" w:eastAsia="zh-CN"/>
              </w:rPr>
            </w:pPr>
          </w:p>
        </w:tc>
        <w:tc>
          <w:tcPr>
            <w:tcW w:w="1417" w:type="dxa"/>
            <w:shd w:val="clear" w:color="auto" w:fill="auto"/>
            <w:noWrap/>
            <w:vAlign w:val="center"/>
          </w:tcPr>
          <w:p w14:paraId="6B77DDBF">
            <w:pPr>
              <w:jc w:val="center"/>
              <w:rPr>
                <w:rFonts w:hint="eastAsia" w:ascii="Times New Roman" w:hAnsi="Times New Roman" w:cs="Times New Roman"/>
                <w:color w:val="auto"/>
                <w:sz w:val="18"/>
                <w:szCs w:val="18"/>
                <w:highlight w:val="none"/>
                <w:lang w:val="en-US" w:eastAsia="zh-CN"/>
              </w:rPr>
            </w:pPr>
          </w:p>
        </w:tc>
        <w:tc>
          <w:tcPr>
            <w:tcW w:w="1418" w:type="dxa"/>
            <w:shd w:val="clear" w:color="auto" w:fill="auto"/>
            <w:noWrap/>
            <w:vAlign w:val="center"/>
          </w:tcPr>
          <w:p w14:paraId="0FE3AD6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6.1</w:t>
            </w:r>
          </w:p>
        </w:tc>
        <w:tc>
          <w:tcPr>
            <w:tcW w:w="850" w:type="dxa"/>
            <w:vAlign w:val="center"/>
          </w:tcPr>
          <w:p w14:paraId="275F245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4.3 </w:t>
            </w:r>
          </w:p>
        </w:tc>
        <w:tc>
          <w:tcPr>
            <w:tcW w:w="851" w:type="dxa"/>
            <w:vAlign w:val="center"/>
          </w:tcPr>
          <w:p w14:paraId="706DF07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6.0 </w:t>
            </w:r>
          </w:p>
        </w:tc>
      </w:tr>
      <w:tr w14:paraId="6DB3FB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46A6CBF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66</w:t>
            </w:r>
          </w:p>
        </w:tc>
        <w:tc>
          <w:tcPr>
            <w:tcW w:w="1134" w:type="dxa"/>
            <w:shd w:val="clear" w:color="auto" w:fill="auto"/>
            <w:noWrap/>
            <w:vAlign w:val="center"/>
          </w:tcPr>
          <w:p w14:paraId="4C4E9C0A">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5336C1AA">
            <w:pPr>
              <w:jc w:val="center"/>
              <w:rPr>
                <w:rFonts w:hint="eastAsia" w:ascii="Times New Roman" w:hAnsi="Times New Roman" w:cs="Times New Roman"/>
                <w:color w:val="auto"/>
                <w:sz w:val="18"/>
                <w:szCs w:val="18"/>
                <w:highlight w:val="none"/>
                <w:lang w:val="en-US" w:eastAsia="zh-CN"/>
              </w:rPr>
            </w:pPr>
          </w:p>
        </w:tc>
        <w:tc>
          <w:tcPr>
            <w:tcW w:w="1417" w:type="dxa"/>
            <w:shd w:val="clear" w:color="auto" w:fill="auto"/>
            <w:noWrap/>
            <w:vAlign w:val="center"/>
          </w:tcPr>
          <w:p w14:paraId="63D9D79C">
            <w:pPr>
              <w:jc w:val="center"/>
              <w:rPr>
                <w:rFonts w:hint="eastAsia" w:ascii="Times New Roman" w:hAnsi="Times New Roman" w:cs="Times New Roman"/>
                <w:color w:val="auto"/>
                <w:sz w:val="18"/>
                <w:szCs w:val="18"/>
                <w:highlight w:val="none"/>
                <w:lang w:val="en-US" w:eastAsia="zh-CN"/>
              </w:rPr>
            </w:pPr>
          </w:p>
        </w:tc>
        <w:tc>
          <w:tcPr>
            <w:tcW w:w="1418" w:type="dxa"/>
            <w:shd w:val="clear" w:color="auto" w:fill="auto"/>
            <w:noWrap/>
            <w:vAlign w:val="center"/>
          </w:tcPr>
          <w:p w14:paraId="156607A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7.2</w:t>
            </w:r>
          </w:p>
        </w:tc>
        <w:tc>
          <w:tcPr>
            <w:tcW w:w="850" w:type="dxa"/>
            <w:vAlign w:val="center"/>
          </w:tcPr>
          <w:p w14:paraId="45C0414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5.0 </w:t>
            </w:r>
          </w:p>
        </w:tc>
        <w:tc>
          <w:tcPr>
            <w:tcW w:w="851" w:type="dxa"/>
            <w:vAlign w:val="center"/>
          </w:tcPr>
          <w:p w14:paraId="79F3DF1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6.9 </w:t>
            </w:r>
          </w:p>
        </w:tc>
      </w:tr>
      <w:tr w14:paraId="52781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510B6C0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w:t>
            </w:r>
          </w:p>
        </w:tc>
        <w:tc>
          <w:tcPr>
            <w:tcW w:w="1134" w:type="dxa"/>
            <w:shd w:val="clear" w:color="auto" w:fill="auto"/>
            <w:noWrap/>
            <w:vAlign w:val="center"/>
          </w:tcPr>
          <w:p w14:paraId="255C412D">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7F9AA8DF">
            <w:pPr>
              <w:jc w:val="center"/>
              <w:rPr>
                <w:rFonts w:hint="eastAsia" w:ascii="Times New Roman" w:hAnsi="Times New Roman" w:cs="Times New Roman"/>
                <w:color w:val="auto"/>
                <w:sz w:val="18"/>
                <w:szCs w:val="18"/>
                <w:highlight w:val="none"/>
                <w:lang w:val="en-US" w:eastAsia="zh-CN"/>
              </w:rPr>
            </w:pPr>
          </w:p>
        </w:tc>
        <w:tc>
          <w:tcPr>
            <w:tcW w:w="1417" w:type="dxa"/>
            <w:shd w:val="clear" w:color="auto" w:fill="auto"/>
            <w:noWrap/>
            <w:vAlign w:val="center"/>
          </w:tcPr>
          <w:p w14:paraId="096377C5">
            <w:pPr>
              <w:jc w:val="center"/>
              <w:rPr>
                <w:rFonts w:hint="eastAsia" w:ascii="Times New Roman" w:hAnsi="Times New Roman" w:cs="Times New Roman"/>
                <w:color w:val="auto"/>
                <w:sz w:val="18"/>
                <w:szCs w:val="18"/>
                <w:highlight w:val="none"/>
                <w:lang w:val="en-US" w:eastAsia="zh-CN"/>
              </w:rPr>
            </w:pPr>
          </w:p>
        </w:tc>
        <w:tc>
          <w:tcPr>
            <w:tcW w:w="1418" w:type="dxa"/>
            <w:shd w:val="clear" w:color="auto" w:fill="auto"/>
            <w:noWrap/>
            <w:vAlign w:val="center"/>
          </w:tcPr>
          <w:p w14:paraId="1801FEDA">
            <w:pPr>
              <w:jc w:val="center"/>
              <w:rPr>
                <w:rFonts w:hint="eastAsia" w:ascii="Times New Roman" w:hAnsi="Times New Roman" w:cs="Times New Roman"/>
                <w:color w:val="auto"/>
                <w:sz w:val="18"/>
                <w:szCs w:val="18"/>
                <w:highlight w:val="none"/>
                <w:lang w:val="en-US" w:eastAsia="zh-CN"/>
              </w:rPr>
            </w:pPr>
          </w:p>
        </w:tc>
        <w:tc>
          <w:tcPr>
            <w:tcW w:w="850" w:type="dxa"/>
            <w:vAlign w:val="center"/>
          </w:tcPr>
          <w:p w14:paraId="63CFE77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6.1 </w:t>
            </w:r>
          </w:p>
        </w:tc>
        <w:tc>
          <w:tcPr>
            <w:tcW w:w="851" w:type="dxa"/>
            <w:vAlign w:val="center"/>
          </w:tcPr>
          <w:p w14:paraId="24CCF81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8.6 </w:t>
            </w:r>
          </w:p>
        </w:tc>
      </w:tr>
      <w:tr w14:paraId="1423F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37BF6A4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400</w:t>
            </w:r>
          </w:p>
        </w:tc>
        <w:tc>
          <w:tcPr>
            <w:tcW w:w="1134" w:type="dxa"/>
            <w:shd w:val="clear" w:color="auto" w:fill="auto"/>
            <w:noWrap/>
            <w:vAlign w:val="center"/>
          </w:tcPr>
          <w:p w14:paraId="21286D3D">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3B16A142">
            <w:pPr>
              <w:jc w:val="center"/>
              <w:rPr>
                <w:rFonts w:hint="eastAsia" w:ascii="Times New Roman" w:hAnsi="Times New Roman" w:cs="Times New Roman"/>
                <w:color w:val="auto"/>
                <w:sz w:val="18"/>
                <w:szCs w:val="18"/>
                <w:highlight w:val="none"/>
                <w:lang w:val="en-US" w:eastAsia="zh-CN"/>
              </w:rPr>
            </w:pPr>
          </w:p>
        </w:tc>
        <w:tc>
          <w:tcPr>
            <w:tcW w:w="1417" w:type="dxa"/>
            <w:shd w:val="clear" w:color="auto" w:fill="auto"/>
            <w:noWrap/>
            <w:vAlign w:val="center"/>
          </w:tcPr>
          <w:p w14:paraId="282A18D5">
            <w:pPr>
              <w:jc w:val="center"/>
              <w:rPr>
                <w:rFonts w:hint="eastAsia" w:ascii="Times New Roman" w:hAnsi="Times New Roman" w:cs="Times New Roman"/>
                <w:color w:val="auto"/>
                <w:sz w:val="18"/>
                <w:szCs w:val="18"/>
                <w:highlight w:val="none"/>
                <w:lang w:val="en-US" w:eastAsia="zh-CN"/>
              </w:rPr>
            </w:pPr>
          </w:p>
        </w:tc>
        <w:tc>
          <w:tcPr>
            <w:tcW w:w="1418" w:type="dxa"/>
            <w:shd w:val="clear" w:color="auto" w:fill="auto"/>
            <w:noWrap/>
            <w:vAlign w:val="center"/>
          </w:tcPr>
          <w:p w14:paraId="1D2B62BC">
            <w:pPr>
              <w:jc w:val="center"/>
              <w:rPr>
                <w:rFonts w:hint="eastAsia" w:ascii="Times New Roman" w:hAnsi="Times New Roman" w:cs="Times New Roman"/>
                <w:color w:val="auto"/>
                <w:sz w:val="18"/>
                <w:szCs w:val="18"/>
                <w:highlight w:val="none"/>
                <w:lang w:val="en-US" w:eastAsia="zh-CN"/>
              </w:rPr>
            </w:pPr>
          </w:p>
        </w:tc>
        <w:tc>
          <w:tcPr>
            <w:tcW w:w="850" w:type="dxa"/>
            <w:vAlign w:val="center"/>
          </w:tcPr>
          <w:p w14:paraId="4969A11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12.7 </w:t>
            </w:r>
          </w:p>
        </w:tc>
        <w:tc>
          <w:tcPr>
            <w:tcW w:w="851" w:type="dxa"/>
            <w:vAlign w:val="center"/>
          </w:tcPr>
          <w:p w14:paraId="6AF3D0A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17.6 </w:t>
            </w:r>
          </w:p>
        </w:tc>
      </w:tr>
      <w:tr w14:paraId="0C8D9A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3F82470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600</w:t>
            </w:r>
          </w:p>
        </w:tc>
        <w:tc>
          <w:tcPr>
            <w:tcW w:w="1134" w:type="dxa"/>
            <w:shd w:val="clear" w:color="auto" w:fill="auto"/>
            <w:noWrap/>
            <w:vAlign w:val="center"/>
          </w:tcPr>
          <w:p w14:paraId="6649F77E">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6766A606">
            <w:pPr>
              <w:jc w:val="center"/>
              <w:rPr>
                <w:rFonts w:hint="eastAsia" w:ascii="Times New Roman" w:hAnsi="Times New Roman" w:cs="Times New Roman"/>
                <w:color w:val="auto"/>
                <w:sz w:val="18"/>
                <w:szCs w:val="18"/>
                <w:highlight w:val="none"/>
                <w:lang w:val="en-US" w:eastAsia="zh-CN"/>
              </w:rPr>
            </w:pPr>
          </w:p>
        </w:tc>
        <w:tc>
          <w:tcPr>
            <w:tcW w:w="1417" w:type="dxa"/>
            <w:shd w:val="clear" w:color="auto" w:fill="auto"/>
            <w:noWrap/>
            <w:vAlign w:val="center"/>
          </w:tcPr>
          <w:p w14:paraId="0F43BD76">
            <w:pPr>
              <w:jc w:val="center"/>
              <w:rPr>
                <w:rFonts w:hint="eastAsia" w:ascii="Times New Roman" w:hAnsi="Times New Roman" w:cs="Times New Roman"/>
                <w:color w:val="auto"/>
                <w:sz w:val="18"/>
                <w:szCs w:val="18"/>
                <w:highlight w:val="none"/>
                <w:lang w:val="en-US" w:eastAsia="zh-CN"/>
              </w:rPr>
            </w:pPr>
          </w:p>
        </w:tc>
        <w:tc>
          <w:tcPr>
            <w:tcW w:w="1418" w:type="dxa"/>
            <w:shd w:val="clear" w:color="auto" w:fill="auto"/>
            <w:noWrap/>
            <w:vAlign w:val="center"/>
          </w:tcPr>
          <w:p w14:paraId="77CF129A">
            <w:pPr>
              <w:jc w:val="center"/>
              <w:rPr>
                <w:rFonts w:hint="eastAsia" w:ascii="Times New Roman" w:hAnsi="Times New Roman" w:cs="Times New Roman"/>
                <w:color w:val="auto"/>
                <w:sz w:val="18"/>
                <w:szCs w:val="18"/>
                <w:highlight w:val="none"/>
                <w:lang w:val="en-US" w:eastAsia="zh-CN"/>
              </w:rPr>
            </w:pPr>
          </w:p>
        </w:tc>
        <w:tc>
          <w:tcPr>
            <w:tcW w:w="850" w:type="dxa"/>
            <w:vAlign w:val="center"/>
          </w:tcPr>
          <w:p w14:paraId="641EE42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15.8 </w:t>
            </w:r>
          </w:p>
        </w:tc>
        <w:tc>
          <w:tcPr>
            <w:tcW w:w="851" w:type="dxa"/>
            <w:vAlign w:val="center"/>
          </w:tcPr>
          <w:p w14:paraId="767EDD1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21.7 </w:t>
            </w:r>
          </w:p>
        </w:tc>
      </w:tr>
    </w:tbl>
    <w:p w14:paraId="5AD8618F">
      <w:pPr>
        <w:pStyle w:val="102"/>
        <w:numPr>
          <w:ilvl w:val="1"/>
          <w:numId w:val="0"/>
        </w:numPr>
        <w:spacing w:before="156" w:after="156"/>
        <w:ind w:leftChars="0"/>
        <w:jc w:val="center"/>
        <w:rPr>
          <w:rFonts w:hint="eastAsia" w:hAnsi="Times New Roman" w:cs="Times New Roman"/>
          <w:color w:val="auto"/>
          <w:highlight w:val="none"/>
          <w:lang w:val="en-US" w:eastAsia="zh-CN"/>
        </w:rPr>
      </w:pPr>
    </w:p>
    <w:p w14:paraId="6F05944E">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表A.</w:t>
      </w:r>
      <w:r>
        <w:rPr>
          <w:rFonts w:hint="eastAsia" w:cs="Times New Roman"/>
          <w:color w:val="auto"/>
          <w:highlight w:val="none"/>
          <w:lang w:val="en-US" w:eastAsia="zh-CN"/>
        </w:rPr>
        <w:t>7</w:t>
      </w:r>
      <w:r>
        <w:rPr>
          <w:rFonts w:hint="eastAsia"/>
          <w:color w:val="auto"/>
          <w:highlight w:val="none"/>
          <w:lang w:val="en-US" w:eastAsia="zh-CN"/>
        </w:rPr>
        <w:t xml:space="preserve">  </w:t>
      </w:r>
      <w:r>
        <w:rPr>
          <w:rFonts w:hint="eastAsia" w:hAnsi="Times New Roman" w:cs="Times New Roman"/>
          <w:color w:val="auto"/>
          <w:highlight w:val="none"/>
          <w:lang w:val="en-US" w:eastAsia="zh-CN"/>
        </w:rPr>
        <w:t>2.5GBASE-T1至25GBASE-T1典型频率点最大插入损耗</w:t>
      </w:r>
    </w:p>
    <w:tbl>
      <w:tblPr>
        <w:tblStyle w:val="36"/>
        <w:tblW w:w="85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1701"/>
        <w:gridCol w:w="1701"/>
        <w:gridCol w:w="1701"/>
        <w:gridCol w:w="1701"/>
      </w:tblGrid>
      <w:tr w14:paraId="3E32BE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tblHeader/>
          <w:jc w:val="center"/>
        </w:trPr>
        <w:tc>
          <w:tcPr>
            <w:tcW w:w="1746" w:type="dxa"/>
            <w:vMerge w:val="restart"/>
            <w:shd w:val="clear" w:color="auto" w:fill="auto"/>
            <w:noWrap/>
            <w:vAlign w:val="center"/>
          </w:tcPr>
          <w:p w14:paraId="401EBDDA">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频率</w:t>
            </w:r>
          </w:p>
          <w:p w14:paraId="3089627F">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（MHz）</w:t>
            </w:r>
          </w:p>
        </w:tc>
        <w:tc>
          <w:tcPr>
            <w:tcW w:w="6804" w:type="dxa"/>
            <w:gridSpan w:val="4"/>
            <w:shd w:val="clear" w:color="auto" w:fill="auto"/>
            <w:vAlign w:val="center"/>
          </w:tcPr>
          <w:p w14:paraId="1856FA66">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最大插入损耗（dB）</w:t>
            </w:r>
          </w:p>
        </w:tc>
      </w:tr>
      <w:tr w14:paraId="30E63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tblHeader/>
          <w:jc w:val="center"/>
        </w:trPr>
        <w:tc>
          <w:tcPr>
            <w:tcW w:w="1746" w:type="dxa"/>
            <w:vMerge w:val="continue"/>
            <w:tcBorders>
              <w:bottom w:val="single" w:color="auto" w:sz="8" w:space="0"/>
            </w:tcBorders>
            <w:shd w:val="clear" w:color="auto" w:fill="auto"/>
            <w:noWrap/>
            <w:vAlign w:val="center"/>
          </w:tcPr>
          <w:p w14:paraId="493F9D7E">
            <w:pPr>
              <w:jc w:val="center"/>
              <w:rPr>
                <w:rFonts w:hint="eastAsia" w:ascii="Times New Roman" w:hAnsi="Times New Roman" w:cs="Times New Roman"/>
                <w:b/>
                <w:bCs/>
                <w:color w:val="auto"/>
                <w:sz w:val="18"/>
                <w:szCs w:val="18"/>
                <w:highlight w:val="none"/>
                <w:lang w:val="en-US" w:eastAsia="zh-CN"/>
              </w:rPr>
            </w:pPr>
          </w:p>
        </w:tc>
        <w:tc>
          <w:tcPr>
            <w:tcW w:w="1701" w:type="dxa"/>
            <w:tcBorders>
              <w:bottom w:val="single" w:color="auto" w:sz="8" w:space="0"/>
            </w:tcBorders>
            <w:shd w:val="clear" w:color="auto" w:fill="auto"/>
            <w:vAlign w:val="center"/>
          </w:tcPr>
          <w:p w14:paraId="20D9E1DD">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2.5GBASE-T1</w:t>
            </w:r>
          </w:p>
        </w:tc>
        <w:tc>
          <w:tcPr>
            <w:tcW w:w="1701" w:type="dxa"/>
            <w:tcBorders>
              <w:bottom w:val="single" w:color="auto" w:sz="8" w:space="0"/>
            </w:tcBorders>
            <w:shd w:val="clear" w:color="auto" w:fill="auto"/>
            <w:vAlign w:val="center"/>
          </w:tcPr>
          <w:p w14:paraId="6FFCFE4D">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5GBASE-T1</w:t>
            </w:r>
          </w:p>
        </w:tc>
        <w:tc>
          <w:tcPr>
            <w:tcW w:w="1701" w:type="dxa"/>
            <w:tcBorders>
              <w:bottom w:val="single" w:color="auto" w:sz="8" w:space="0"/>
            </w:tcBorders>
            <w:shd w:val="clear" w:color="auto" w:fill="auto"/>
            <w:vAlign w:val="center"/>
          </w:tcPr>
          <w:p w14:paraId="1E3FAB5B">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10GBASE-T1</w:t>
            </w:r>
          </w:p>
        </w:tc>
        <w:tc>
          <w:tcPr>
            <w:tcW w:w="1701" w:type="dxa"/>
            <w:tcBorders>
              <w:bottom w:val="single" w:color="auto" w:sz="8" w:space="0"/>
            </w:tcBorders>
            <w:shd w:val="clear" w:color="auto" w:fill="auto"/>
            <w:vAlign w:val="center"/>
          </w:tcPr>
          <w:p w14:paraId="36DDED88">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25GBASE-T1</w:t>
            </w:r>
          </w:p>
        </w:tc>
      </w:tr>
      <w:tr w14:paraId="25CA57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tcBorders>
              <w:top w:val="single" w:color="auto" w:sz="8" w:space="0"/>
            </w:tcBorders>
            <w:shd w:val="clear" w:color="auto" w:fill="auto"/>
            <w:noWrap/>
            <w:vAlign w:val="center"/>
          </w:tcPr>
          <w:p w14:paraId="579D1DF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w:t>
            </w:r>
          </w:p>
        </w:tc>
        <w:tc>
          <w:tcPr>
            <w:tcW w:w="1701" w:type="dxa"/>
            <w:tcBorders>
              <w:top w:val="single" w:color="auto" w:sz="8" w:space="0"/>
            </w:tcBorders>
            <w:shd w:val="clear" w:color="auto" w:fill="auto"/>
            <w:noWrap/>
            <w:vAlign w:val="center"/>
          </w:tcPr>
          <w:p w14:paraId="4B2D06B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0.7</w:t>
            </w:r>
          </w:p>
        </w:tc>
        <w:tc>
          <w:tcPr>
            <w:tcW w:w="1701" w:type="dxa"/>
            <w:tcBorders>
              <w:top w:val="single" w:color="auto" w:sz="8" w:space="0"/>
            </w:tcBorders>
            <w:shd w:val="clear" w:color="auto" w:fill="auto"/>
            <w:noWrap/>
            <w:vAlign w:val="center"/>
          </w:tcPr>
          <w:p w14:paraId="185F584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0.7</w:t>
            </w:r>
          </w:p>
        </w:tc>
        <w:tc>
          <w:tcPr>
            <w:tcW w:w="1701" w:type="dxa"/>
            <w:tcBorders>
              <w:top w:val="single" w:color="auto" w:sz="8" w:space="0"/>
            </w:tcBorders>
            <w:shd w:val="clear" w:color="auto" w:fill="auto"/>
            <w:noWrap/>
            <w:vAlign w:val="center"/>
          </w:tcPr>
          <w:p w14:paraId="7541432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0.7</w:t>
            </w:r>
          </w:p>
        </w:tc>
        <w:tc>
          <w:tcPr>
            <w:tcW w:w="1701" w:type="dxa"/>
            <w:tcBorders>
              <w:top w:val="single" w:color="auto" w:sz="8" w:space="0"/>
            </w:tcBorders>
            <w:shd w:val="clear" w:color="auto" w:fill="auto"/>
            <w:noWrap/>
            <w:vAlign w:val="center"/>
          </w:tcPr>
          <w:p w14:paraId="6C58D6E7">
            <w:pPr>
              <w:jc w:val="center"/>
              <w:rPr>
                <w:rFonts w:hint="eastAsia" w:ascii="Times New Roman" w:hAnsi="Times New Roman" w:cs="Times New Roman"/>
                <w:color w:val="auto"/>
                <w:sz w:val="18"/>
                <w:szCs w:val="18"/>
                <w:highlight w:val="none"/>
                <w:lang w:val="en-US" w:eastAsia="zh-CN"/>
              </w:rPr>
            </w:pPr>
          </w:p>
        </w:tc>
      </w:tr>
      <w:tr w14:paraId="79C3D3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480CCF7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1701" w:type="dxa"/>
            <w:shd w:val="clear" w:color="auto" w:fill="auto"/>
            <w:noWrap/>
            <w:vAlign w:val="center"/>
          </w:tcPr>
          <w:p w14:paraId="7014838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1.9</w:t>
            </w:r>
          </w:p>
        </w:tc>
        <w:tc>
          <w:tcPr>
            <w:tcW w:w="1701" w:type="dxa"/>
            <w:shd w:val="clear" w:color="auto" w:fill="auto"/>
            <w:noWrap/>
            <w:vAlign w:val="center"/>
          </w:tcPr>
          <w:p w14:paraId="36F07C7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1.9</w:t>
            </w:r>
          </w:p>
        </w:tc>
        <w:tc>
          <w:tcPr>
            <w:tcW w:w="1701" w:type="dxa"/>
            <w:shd w:val="clear" w:color="auto" w:fill="auto"/>
            <w:noWrap/>
            <w:vAlign w:val="center"/>
          </w:tcPr>
          <w:p w14:paraId="66BD0BB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1.9</w:t>
            </w:r>
          </w:p>
        </w:tc>
        <w:tc>
          <w:tcPr>
            <w:tcW w:w="1701" w:type="dxa"/>
            <w:shd w:val="clear" w:color="auto" w:fill="auto"/>
            <w:noWrap/>
            <w:vAlign w:val="center"/>
          </w:tcPr>
          <w:p w14:paraId="537E488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r>
      <w:tr w14:paraId="12114E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46DDB67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w:t>
            </w:r>
          </w:p>
        </w:tc>
        <w:tc>
          <w:tcPr>
            <w:tcW w:w="1701" w:type="dxa"/>
            <w:shd w:val="clear" w:color="auto" w:fill="auto"/>
            <w:noWrap/>
            <w:vAlign w:val="center"/>
          </w:tcPr>
          <w:p w14:paraId="486D078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4.1</w:t>
            </w:r>
          </w:p>
        </w:tc>
        <w:tc>
          <w:tcPr>
            <w:tcW w:w="1701" w:type="dxa"/>
            <w:shd w:val="clear" w:color="auto" w:fill="auto"/>
            <w:noWrap/>
            <w:vAlign w:val="center"/>
          </w:tcPr>
          <w:p w14:paraId="213A306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4.1</w:t>
            </w:r>
          </w:p>
        </w:tc>
        <w:tc>
          <w:tcPr>
            <w:tcW w:w="1701" w:type="dxa"/>
            <w:shd w:val="clear" w:color="auto" w:fill="auto"/>
            <w:noWrap/>
            <w:vAlign w:val="center"/>
          </w:tcPr>
          <w:p w14:paraId="4397C83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4.1</w:t>
            </w:r>
          </w:p>
        </w:tc>
        <w:tc>
          <w:tcPr>
            <w:tcW w:w="1701" w:type="dxa"/>
            <w:shd w:val="clear" w:color="auto" w:fill="auto"/>
            <w:noWrap/>
            <w:vAlign w:val="center"/>
          </w:tcPr>
          <w:p w14:paraId="23B33F7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2.1</w:t>
            </w:r>
          </w:p>
        </w:tc>
      </w:tr>
      <w:tr w14:paraId="28A298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3AA48C2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w:t>
            </w:r>
          </w:p>
        </w:tc>
        <w:tc>
          <w:tcPr>
            <w:tcW w:w="1701" w:type="dxa"/>
            <w:shd w:val="clear" w:color="auto" w:fill="auto"/>
            <w:noWrap/>
            <w:vAlign w:val="center"/>
          </w:tcPr>
          <w:p w14:paraId="7144FAA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5.6</w:t>
            </w:r>
          </w:p>
        </w:tc>
        <w:tc>
          <w:tcPr>
            <w:tcW w:w="1701" w:type="dxa"/>
            <w:shd w:val="clear" w:color="auto" w:fill="auto"/>
            <w:noWrap/>
            <w:vAlign w:val="center"/>
          </w:tcPr>
          <w:p w14:paraId="44BE404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5.6</w:t>
            </w:r>
          </w:p>
        </w:tc>
        <w:tc>
          <w:tcPr>
            <w:tcW w:w="1701" w:type="dxa"/>
            <w:shd w:val="clear" w:color="auto" w:fill="auto"/>
            <w:noWrap/>
            <w:vAlign w:val="center"/>
          </w:tcPr>
          <w:p w14:paraId="7531FE3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5.6</w:t>
            </w:r>
          </w:p>
        </w:tc>
        <w:tc>
          <w:tcPr>
            <w:tcW w:w="1701" w:type="dxa"/>
            <w:shd w:val="clear" w:color="auto" w:fill="auto"/>
            <w:noWrap/>
            <w:vAlign w:val="center"/>
          </w:tcPr>
          <w:p w14:paraId="42EE52B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w:t>
            </w:r>
          </w:p>
        </w:tc>
      </w:tr>
      <w:tr w14:paraId="24A1E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77612FA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400</w:t>
            </w:r>
          </w:p>
        </w:tc>
        <w:tc>
          <w:tcPr>
            <w:tcW w:w="1701" w:type="dxa"/>
            <w:shd w:val="clear" w:color="auto" w:fill="auto"/>
            <w:noWrap/>
            <w:vAlign w:val="center"/>
          </w:tcPr>
          <w:p w14:paraId="69A0469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10.9</w:t>
            </w:r>
          </w:p>
        </w:tc>
        <w:tc>
          <w:tcPr>
            <w:tcW w:w="1701" w:type="dxa"/>
            <w:shd w:val="clear" w:color="auto" w:fill="auto"/>
            <w:noWrap/>
            <w:vAlign w:val="center"/>
          </w:tcPr>
          <w:p w14:paraId="4A5FF3C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10.9</w:t>
            </w:r>
          </w:p>
        </w:tc>
        <w:tc>
          <w:tcPr>
            <w:tcW w:w="1701" w:type="dxa"/>
            <w:shd w:val="clear" w:color="auto" w:fill="auto"/>
            <w:noWrap/>
            <w:vAlign w:val="center"/>
          </w:tcPr>
          <w:p w14:paraId="7A6E357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10.9</w:t>
            </w:r>
          </w:p>
        </w:tc>
        <w:tc>
          <w:tcPr>
            <w:tcW w:w="1701" w:type="dxa"/>
            <w:shd w:val="clear" w:color="auto" w:fill="auto"/>
            <w:noWrap/>
            <w:vAlign w:val="center"/>
          </w:tcPr>
          <w:p w14:paraId="412472B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5.8</w:t>
            </w:r>
          </w:p>
        </w:tc>
      </w:tr>
      <w:tr w14:paraId="0BB528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45BA9E4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600</w:t>
            </w:r>
          </w:p>
        </w:tc>
        <w:tc>
          <w:tcPr>
            <w:tcW w:w="1701" w:type="dxa"/>
            <w:shd w:val="clear" w:color="auto" w:fill="auto"/>
            <w:noWrap/>
            <w:vAlign w:val="center"/>
          </w:tcPr>
          <w:p w14:paraId="5264926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13.3</w:t>
            </w:r>
          </w:p>
        </w:tc>
        <w:tc>
          <w:tcPr>
            <w:tcW w:w="1701" w:type="dxa"/>
            <w:shd w:val="clear" w:color="auto" w:fill="auto"/>
            <w:noWrap/>
            <w:vAlign w:val="center"/>
          </w:tcPr>
          <w:p w14:paraId="343B0DC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13.3</w:t>
            </w:r>
          </w:p>
        </w:tc>
        <w:tc>
          <w:tcPr>
            <w:tcW w:w="1701" w:type="dxa"/>
            <w:shd w:val="clear" w:color="auto" w:fill="auto"/>
            <w:noWrap/>
            <w:vAlign w:val="center"/>
          </w:tcPr>
          <w:p w14:paraId="7028A03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13.3</w:t>
            </w:r>
          </w:p>
        </w:tc>
        <w:tc>
          <w:tcPr>
            <w:tcW w:w="1701" w:type="dxa"/>
            <w:shd w:val="clear" w:color="auto" w:fill="auto"/>
            <w:noWrap/>
            <w:vAlign w:val="center"/>
          </w:tcPr>
          <w:p w14:paraId="1A2AA50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7.2</w:t>
            </w:r>
          </w:p>
        </w:tc>
      </w:tr>
      <w:tr w14:paraId="355955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28F2E08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1000</w:t>
            </w:r>
          </w:p>
        </w:tc>
        <w:tc>
          <w:tcPr>
            <w:tcW w:w="1701" w:type="dxa"/>
            <w:shd w:val="clear" w:color="auto" w:fill="auto"/>
            <w:noWrap/>
            <w:vAlign w:val="center"/>
          </w:tcPr>
          <w:p w14:paraId="0EF7EC4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17.2</w:t>
            </w:r>
          </w:p>
        </w:tc>
        <w:tc>
          <w:tcPr>
            <w:tcW w:w="1701" w:type="dxa"/>
            <w:shd w:val="clear" w:color="auto" w:fill="auto"/>
            <w:noWrap/>
            <w:vAlign w:val="center"/>
          </w:tcPr>
          <w:p w14:paraId="2E27EF6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17.2</w:t>
            </w:r>
          </w:p>
        </w:tc>
        <w:tc>
          <w:tcPr>
            <w:tcW w:w="1701" w:type="dxa"/>
            <w:shd w:val="clear" w:color="auto" w:fill="auto"/>
            <w:noWrap/>
            <w:vAlign w:val="center"/>
          </w:tcPr>
          <w:p w14:paraId="3E54444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17.2</w:t>
            </w:r>
          </w:p>
        </w:tc>
        <w:tc>
          <w:tcPr>
            <w:tcW w:w="1701" w:type="dxa"/>
            <w:shd w:val="clear" w:color="auto" w:fill="auto"/>
            <w:noWrap/>
            <w:vAlign w:val="center"/>
          </w:tcPr>
          <w:p w14:paraId="70829A4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9.3</w:t>
            </w:r>
          </w:p>
        </w:tc>
      </w:tr>
      <w:tr w14:paraId="6A29A3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1503202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2000</w:t>
            </w:r>
          </w:p>
        </w:tc>
        <w:tc>
          <w:tcPr>
            <w:tcW w:w="1701" w:type="dxa"/>
            <w:shd w:val="clear" w:color="auto" w:fill="auto"/>
            <w:noWrap/>
            <w:vAlign w:val="center"/>
          </w:tcPr>
          <w:p w14:paraId="7A08365E">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405A418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24.8</w:t>
            </w:r>
          </w:p>
        </w:tc>
        <w:tc>
          <w:tcPr>
            <w:tcW w:w="1701" w:type="dxa"/>
            <w:shd w:val="clear" w:color="auto" w:fill="auto"/>
            <w:noWrap/>
            <w:vAlign w:val="center"/>
          </w:tcPr>
          <w:p w14:paraId="26D8833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24.8</w:t>
            </w:r>
          </w:p>
        </w:tc>
        <w:tc>
          <w:tcPr>
            <w:tcW w:w="1701" w:type="dxa"/>
            <w:shd w:val="clear" w:color="auto" w:fill="auto"/>
            <w:noWrap/>
            <w:vAlign w:val="center"/>
          </w:tcPr>
          <w:p w14:paraId="366D87F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13.6</w:t>
            </w:r>
          </w:p>
        </w:tc>
      </w:tr>
      <w:tr w14:paraId="7A5801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4A8AFCD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3000</w:t>
            </w:r>
          </w:p>
        </w:tc>
        <w:tc>
          <w:tcPr>
            <w:tcW w:w="1701" w:type="dxa"/>
            <w:shd w:val="clear" w:color="auto" w:fill="auto"/>
            <w:noWrap/>
            <w:vAlign w:val="center"/>
          </w:tcPr>
          <w:p w14:paraId="55C161B8">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09FCC76F">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2997F1D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31.0</w:t>
            </w:r>
          </w:p>
        </w:tc>
        <w:tc>
          <w:tcPr>
            <w:tcW w:w="1701" w:type="dxa"/>
            <w:shd w:val="clear" w:color="auto" w:fill="auto"/>
            <w:noWrap/>
            <w:vAlign w:val="center"/>
          </w:tcPr>
          <w:p w14:paraId="7110204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17.1</w:t>
            </w:r>
          </w:p>
        </w:tc>
      </w:tr>
      <w:tr w14:paraId="4284C3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0408A42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4000</w:t>
            </w:r>
          </w:p>
        </w:tc>
        <w:tc>
          <w:tcPr>
            <w:tcW w:w="1701" w:type="dxa"/>
            <w:shd w:val="clear" w:color="auto" w:fill="auto"/>
            <w:noWrap/>
            <w:vAlign w:val="center"/>
          </w:tcPr>
          <w:p w14:paraId="42C2C317">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745BAF16">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17832C8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36.4</w:t>
            </w:r>
          </w:p>
        </w:tc>
        <w:tc>
          <w:tcPr>
            <w:tcW w:w="1701" w:type="dxa"/>
            <w:shd w:val="clear" w:color="auto" w:fill="auto"/>
            <w:noWrap/>
            <w:vAlign w:val="center"/>
          </w:tcPr>
          <w:p w14:paraId="79DB3B2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20.3</w:t>
            </w:r>
          </w:p>
        </w:tc>
      </w:tr>
      <w:tr w14:paraId="7F2F5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2EC3278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9000</w:t>
            </w:r>
          </w:p>
        </w:tc>
        <w:tc>
          <w:tcPr>
            <w:tcW w:w="1701" w:type="dxa"/>
            <w:shd w:val="clear" w:color="auto" w:fill="auto"/>
            <w:noWrap/>
            <w:vAlign w:val="center"/>
          </w:tcPr>
          <w:p w14:paraId="7A145486">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386731F1">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724A4939">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5234075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35.1</w:t>
            </w:r>
          </w:p>
        </w:tc>
      </w:tr>
    </w:tbl>
    <w:p w14:paraId="1E853CA8">
      <w:pPr>
        <w:rPr>
          <w:rFonts w:hint="eastAsia"/>
          <w:color w:val="auto"/>
          <w:lang w:val="en-US" w:eastAsia="zh-CN"/>
        </w:rPr>
      </w:pPr>
    </w:p>
    <w:p w14:paraId="3B6D967B">
      <w:pPr>
        <w:pStyle w:val="75"/>
        <w:numPr>
          <w:ilvl w:val="2"/>
          <w:numId w:val="0"/>
        </w:numPr>
        <w:spacing w:before="156" w:after="156"/>
        <w:ind w:leftChars="0"/>
        <w:rPr>
          <w:rFonts w:hint="default" w:ascii="Times New Roman" w:hAnsi="Times New Roman" w:eastAsia="宋体" w:cs="Times New Roman"/>
          <w:color w:val="auto"/>
          <w:highlight w:val="none"/>
          <w:lang w:val="en-US" w:eastAsia="zh-CN"/>
        </w:rPr>
      </w:pPr>
      <w:r>
        <w:rPr>
          <w:rFonts w:hint="eastAsia" w:ascii="黑体" w:hAnsi="黑体" w:eastAsia="黑体" w:cs="黑体"/>
          <w:color w:val="auto"/>
          <w:highlight w:val="none"/>
          <w:lang w:val="en-US" w:eastAsia="zh-CN"/>
        </w:rPr>
        <w:t>A.2.</w:t>
      </w:r>
      <w:r>
        <w:rPr>
          <w:rFonts w:hint="eastAsia" w:hAnsi="黑体" w:cs="黑体"/>
          <w:color w:val="auto"/>
          <w:highlight w:val="none"/>
          <w:lang w:val="en-US" w:eastAsia="zh-CN"/>
        </w:rPr>
        <w:t xml:space="preserve">3  </w:t>
      </w:r>
      <w:r>
        <w:rPr>
          <w:rFonts w:hint="default" w:ascii="Times New Roman" w:hAnsi="Times New Roman" w:eastAsia="宋体" w:cs="Times New Roman"/>
          <w:color w:val="auto"/>
          <w:highlight w:val="none"/>
          <w:lang w:val="en-US" w:eastAsia="zh-CN"/>
        </w:rPr>
        <w:t>单对以太网</w:t>
      </w:r>
      <w:r>
        <w:rPr>
          <w:rFonts w:hint="eastAsia" w:ascii="Times New Roman" w:hAnsi="Times New Roman" w:eastAsia="宋体" w:cs="Times New Roman"/>
          <w:color w:val="auto"/>
          <w:highlight w:val="none"/>
          <w:lang w:val="en-US" w:eastAsia="zh-CN"/>
        </w:rPr>
        <w:t>非屏蔽</w:t>
      </w:r>
      <w:r>
        <w:rPr>
          <w:rFonts w:hint="default" w:ascii="Times New Roman" w:hAnsi="Times New Roman" w:eastAsia="宋体" w:cs="Times New Roman"/>
          <w:color w:val="auto"/>
          <w:highlight w:val="none"/>
          <w:lang w:val="en-US" w:eastAsia="zh-CN"/>
        </w:rPr>
        <w:t>信道的</w:t>
      </w:r>
      <w:r>
        <w:rPr>
          <w:rFonts w:hint="eastAsia" w:ascii="Times New Roman" w:hAnsi="Times New Roman" w:eastAsia="宋体" w:cs="Times New Roman"/>
          <w:color w:val="auto"/>
          <w:highlight w:val="none"/>
          <w:lang w:val="en-US" w:eastAsia="zh-CN"/>
        </w:rPr>
        <w:t>最小横向转换损耗</w:t>
      </w:r>
      <w:r>
        <w:rPr>
          <w:rFonts w:hint="default" w:ascii="Times New Roman" w:hAnsi="Times New Roman" w:eastAsia="宋体" w:cs="Times New Roman"/>
          <w:color w:val="auto"/>
          <w:highlight w:val="none"/>
          <w:lang w:val="en-US" w:eastAsia="zh-CN"/>
        </w:rPr>
        <w:t>应满足表A.</w:t>
      </w:r>
      <w:r>
        <w:rPr>
          <w:rFonts w:hint="eastAsia" w:ascii="Times New Roman" w:eastAsia="宋体" w:cs="Times New Roman"/>
          <w:color w:val="auto"/>
          <w:highlight w:val="none"/>
          <w:lang w:val="en-US" w:eastAsia="zh-CN"/>
        </w:rPr>
        <w:t>8</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表</w:t>
      </w:r>
      <w:r>
        <w:rPr>
          <w:rFonts w:hint="default" w:ascii="Times New Roman" w:hAnsi="Times New Roman" w:eastAsia="宋体" w:cs="Times New Roman"/>
          <w:color w:val="auto"/>
          <w:highlight w:val="none"/>
          <w:lang w:val="en-US" w:eastAsia="zh-CN"/>
        </w:rPr>
        <w:t>A.</w:t>
      </w:r>
      <w:r>
        <w:rPr>
          <w:rFonts w:hint="eastAsia" w:ascii="Times New Roman" w:eastAsia="宋体" w:cs="Times New Roman"/>
          <w:color w:val="auto"/>
          <w:highlight w:val="none"/>
          <w:lang w:val="en-US" w:eastAsia="zh-CN"/>
        </w:rPr>
        <w:t>9</w:t>
      </w:r>
      <w:r>
        <w:rPr>
          <w:rFonts w:hint="default" w:ascii="Times New Roman" w:hAnsi="Times New Roman" w:eastAsia="宋体" w:cs="Times New Roman"/>
          <w:color w:val="auto"/>
          <w:highlight w:val="none"/>
          <w:lang w:val="en-US" w:eastAsia="zh-CN"/>
        </w:rPr>
        <w:t>、</w:t>
      </w:r>
      <w:r>
        <w:rPr>
          <w:rFonts w:hint="eastAsia" w:ascii="Times New Roman" w:eastAsia="宋体" w:cs="Times New Roman"/>
          <w:color w:val="auto"/>
          <w:highlight w:val="none"/>
          <w:lang w:val="en-US" w:eastAsia="zh-CN"/>
        </w:rPr>
        <w:t>图A.</w:t>
      </w:r>
      <w:r>
        <w:rPr>
          <w:rFonts w:hint="eastAsia" w:ascii="Times New Roman" w:hAnsi="Times New Roman" w:eastAsia="宋体" w:cs="Times New Roman"/>
          <w:color w:val="auto"/>
          <w:highlight w:val="none"/>
          <w:lang w:val="en-US" w:eastAsia="zh-CN"/>
        </w:rPr>
        <w:t>6及</w:t>
      </w:r>
      <w:r>
        <w:rPr>
          <w:rFonts w:hint="eastAsia" w:ascii="Times New Roman" w:eastAsia="宋体" w:cs="Times New Roman"/>
          <w:color w:val="auto"/>
          <w:highlight w:val="none"/>
          <w:lang w:val="en-US" w:eastAsia="zh-CN"/>
        </w:rPr>
        <w:t>图A.</w:t>
      </w: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lang w:val="en-US" w:eastAsia="zh-CN"/>
        </w:rPr>
        <w:t>的相关要求。</w:t>
      </w:r>
    </w:p>
    <w:p w14:paraId="4E98ED17">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表</w:t>
      </w:r>
      <w:r>
        <w:rPr>
          <w:rFonts w:hint="default" w:hAnsi="Times New Roman" w:cs="Times New Roman"/>
          <w:color w:val="auto"/>
          <w:highlight w:val="none"/>
          <w:lang w:val="en-US" w:eastAsia="zh-CN"/>
        </w:rPr>
        <w:t>A.</w:t>
      </w:r>
      <w:r>
        <w:rPr>
          <w:rFonts w:hint="eastAsia" w:cs="Times New Roman"/>
          <w:color w:val="auto"/>
          <w:highlight w:val="none"/>
          <w:lang w:val="en-US" w:eastAsia="zh-CN"/>
        </w:rPr>
        <w:t>8</w:t>
      </w:r>
      <w:r>
        <w:rPr>
          <w:rFonts w:hint="eastAsia"/>
          <w:color w:val="auto"/>
          <w:highlight w:val="none"/>
          <w:lang w:val="en-US" w:eastAsia="zh-CN"/>
        </w:rPr>
        <w:t xml:space="preserve">  </w:t>
      </w:r>
      <w:r>
        <w:rPr>
          <w:rFonts w:hint="default" w:hAnsi="Times New Roman" w:cs="Times New Roman"/>
          <w:color w:val="auto"/>
          <w:highlight w:val="none"/>
          <w:lang w:val="en-US" w:eastAsia="zh-CN"/>
        </w:rPr>
        <w:t>单对以太网</w:t>
      </w:r>
      <w:r>
        <w:rPr>
          <w:rFonts w:hint="eastAsia" w:hAnsi="Times New Roman" w:cs="Times New Roman"/>
          <w:color w:val="auto"/>
          <w:highlight w:val="none"/>
          <w:lang w:val="en-US" w:eastAsia="zh-CN"/>
        </w:rPr>
        <w:t>非屏蔽信道最小横向转换损耗</w:t>
      </w:r>
    </w:p>
    <w:tbl>
      <w:tblPr>
        <w:tblStyle w:val="37"/>
        <w:tblW w:w="85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1179"/>
        <w:gridCol w:w="1587"/>
        <w:gridCol w:w="4252"/>
      </w:tblGrid>
      <w:tr w14:paraId="60D87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31" w:type="dxa"/>
            <w:tcBorders>
              <w:bottom w:val="single" w:color="auto" w:sz="8" w:space="0"/>
            </w:tcBorders>
            <w:vAlign w:val="center"/>
          </w:tcPr>
          <w:p w14:paraId="27E650F4">
            <w:pPr>
              <w:jc w:val="center"/>
              <w:rPr>
                <w:rFonts w:hint="eastAsia" w:ascii="Times New Roman" w:hAnsi="Times New Roman"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SPE类型</w:t>
            </w:r>
          </w:p>
        </w:tc>
        <w:tc>
          <w:tcPr>
            <w:tcW w:w="1179" w:type="dxa"/>
            <w:tcBorders>
              <w:bottom w:val="single" w:color="auto" w:sz="8" w:space="0"/>
            </w:tcBorders>
            <w:vAlign w:val="center"/>
          </w:tcPr>
          <w:p w14:paraId="2006FA59">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信道类别</w:t>
            </w:r>
          </w:p>
        </w:tc>
        <w:tc>
          <w:tcPr>
            <w:tcW w:w="1587" w:type="dxa"/>
            <w:tcBorders>
              <w:bottom w:val="single" w:color="auto" w:sz="8" w:space="0"/>
            </w:tcBorders>
            <w:vAlign w:val="center"/>
          </w:tcPr>
          <w:p w14:paraId="13B6AC73">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频率</w:t>
            </w:r>
            <w:r>
              <w:rPr>
                <w:rFonts w:hint="eastAsia" w:ascii="Times New Roman" w:hAnsi="Times New Roman" w:cs="Times New Roman"/>
                <w:b/>
                <w:bCs/>
                <w:color w:val="auto"/>
                <w:sz w:val="18"/>
                <w:szCs w:val="18"/>
                <w:highlight w:val="none"/>
                <w:lang w:val="en-US" w:eastAsia="zh-CN"/>
              </w:rPr>
              <w:br w:type="textWrapping"/>
            </w:r>
            <w:r>
              <w:rPr>
                <w:rFonts w:hint="eastAsia" w:ascii="Times New Roman" w:hAnsi="Times New Roman" w:cs="Times New Roman"/>
                <w:b/>
                <w:bCs/>
                <w:color w:val="auto"/>
                <w:sz w:val="18"/>
                <w:szCs w:val="18"/>
                <w:highlight w:val="none"/>
                <w:lang w:val="en-US" w:eastAsia="zh-CN"/>
              </w:rPr>
              <w:t>（MHz）</w:t>
            </w:r>
          </w:p>
        </w:tc>
        <w:tc>
          <w:tcPr>
            <w:tcW w:w="4252" w:type="dxa"/>
            <w:tcBorders>
              <w:bottom w:val="single" w:color="auto" w:sz="8" w:space="0"/>
            </w:tcBorders>
            <w:vAlign w:val="center"/>
          </w:tcPr>
          <w:p w14:paraId="099E9421">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最小横向转换损耗</w:t>
            </w:r>
          </w:p>
          <w:p w14:paraId="0D5541C4">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（dB）</w:t>
            </w:r>
          </w:p>
        </w:tc>
      </w:tr>
      <w:tr w14:paraId="22188E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restart"/>
            <w:tcBorders>
              <w:top w:val="single" w:color="auto" w:sz="8" w:space="0"/>
            </w:tcBorders>
            <w:vAlign w:val="center"/>
          </w:tcPr>
          <w:p w14:paraId="1B6015C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10BASE-T1L</w:t>
            </w:r>
          </w:p>
        </w:tc>
        <w:tc>
          <w:tcPr>
            <w:tcW w:w="1179" w:type="dxa"/>
            <w:vMerge w:val="restart"/>
            <w:tcBorders>
              <w:top w:val="single" w:color="auto" w:sz="8" w:space="0"/>
            </w:tcBorders>
            <w:vAlign w:val="center"/>
          </w:tcPr>
          <w:p w14:paraId="19827DD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SP1</w:t>
            </w:r>
          </w:p>
        </w:tc>
        <w:tc>
          <w:tcPr>
            <w:tcW w:w="1587" w:type="dxa"/>
            <w:tcBorders>
              <w:top w:val="single" w:color="auto" w:sz="8" w:space="0"/>
            </w:tcBorders>
            <w:vAlign w:val="center"/>
          </w:tcPr>
          <w:p w14:paraId="500F0B51">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0.1≤f≤10</m:t>
                </m:r>
              </m:oMath>
            </m:oMathPara>
          </w:p>
        </w:tc>
        <w:tc>
          <w:tcPr>
            <w:tcW w:w="4252" w:type="dxa"/>
            <w:tcBorders>
              <w:top w:val="single" w:color="auto" w:sz="8" w:space="0"/>
            </w:tcBorders>
            <w:vAlign w:val="center"/>
          </w:tcPr>
          <w:p w14:paraId="2FD1AEA3">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50</m:t>
                </m:r>
              </m:oMath>
            </m:oMathPara>
          </w:p>
        </w:tc>
      </w:tr>
      <w:tr w14:paraId="640438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continue"/>
            <w:vAlign w:val="center"/>
          </w:tcPr>
          <w:p w14:paraId="746519D9">
            <w:pPr>
              <w:jc w:val="center"/>
              <w:rPr>
                <w:rFonts w:hint="eastAsia" w:ascii="Times New Roman" w:hAnsi="Times New Roman" w:cs="Times New Roman"/>
                <w:color w:val="auto"/>
                <w:sz w:val="18"/>
                <w:szCs w:val="18"/>
                <w:highlight w:val="none"/>
                <w:lang w:val="en-US" w:eastAsia="zh-CN"/>
              </w:rPr>
            </w:pPr>
          </w:p>
        </w:tc>
        <w:tc>
          <w:tcPr>
            <w:tcW w:w="1179" w:type="dxa"/>
            <w:vMerge w:val="continue"/>
            <w:vAlign w:val="center"/>
          </w:tcPr>
          <w:p w14:paraId="189302EE">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6205C4BB">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10&lt;f≤20</m:t>
                </m:r>
              </m:oMath>
            </m:oMathPara>
          </w:p>
        </w:tc>
        <w:tc>
          <w:tcPr>
            <w:tcW w:w="4252" w:type="dxa"/>
            <w:vAlign w:val="center"/>
          </w:tcPr>
          <w:p w14:paraId="0406449B">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50−20×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5E2F4C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restart"/>
            <w:vAlign w:val="center"/>
          </w:tcPr>
          <w:p w14:paraId="4BF72DC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10BASE-T1S</w:t>
            </w:r>
          </w:p>
        </w:tc>
        <w:tc>
          <w:tcPr>
            <w:tcW w:w="1179" w:type="dxa"/>
            <w:vMerge w:val="restart"/>
            <w:vAlign w:val="center"/>
          </w:tcPr>
          <w:p w14:paraId="36ECB470">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61CE11E1">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0.3≤f&lt;20</m:t>
                </m:r>
              </m:oMath>
            </m:oMathPara>
          </w:p>
        </w:tc>
        <w:tc>
          <w:tcPr>
            <w:tcW w:w="4252" w:type="dxa"/>
            <w:vAlign w:val="center"/>
          </w:tcPr>
          <w:p w14:paraId="73590AE2">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43</m:t>
                </m:r>
              </m:oMath>
            </m:oMathPara>
          </w:p>
        </w:tc>
      </w:tr>
      <w:tr w14:paraId="62CB52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continue"/>
            <w:vAlign w:val="center"/>
          </w:tcPr>
          <w:p w14:paraId="66A8D06B">
            <w:pPr>
              <w:jc w:val="center"/>
              <w:rPr>
                <w:rFonts w:hint="eastAsia" w:ascii="Times New Roman" w:hAnsi="Times New Roman" w:cs="Times New Roman"/>
                <w:color w:val="auto"/>
                <w:sz w:val="18"/>
                <w:szCs w:val="18"/>
                <w:highlight w:val="none"/>
                <w:lang w:val="en-US" w:eastAsia="zh-CN"/>
              </w:rPr>
            </w:pPr>
          </w:p>
        </w:tc>
        <w:tc>
          <w:tcPr>
            <w:tcW w:w="1179" w:type="dxa"/>
            <w:vMerge w:val="continue"/>
            <w:vAlign w:val="center"/>
          </w:tcPr>
          <w:p w14:paraId="2037BBAF">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759EDCDA">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20≤f≤200</m:t>
                </m:r>
              </m:oMath>
            </m:oMathPara>
          </w:p>
        </w:tc>
        <w:tc>
          <w:tcPr>
            <w:tcW w:w="4252" w:type="dxa"/>
            <w:vAlign w:val="center"/>
          </w:tcPr>
          <w:p w14:paraId="2892818C">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43−20×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20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794818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restart"/>
            <w:vAlign w:val="center"/>
          </w:tcPr>
          <w:p w14:paraId="7EA3D71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100BASE-T1</w:t>
            </w:r>
          </w:p>
        </w:tc>
        <w:tc>
          <w:tcPr>
            <w:tcW w:w="1179" w:type="dxa"/>
            <w:vMerge w:val="restart"/>
            <w:vAlign w:val="center"/>
          </w:tcPr>
          <w:p w14:paraId="7A887D98">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6DDCA542">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1≤f&lt;33</m:t>
                </m:r>
              </m:oMath>
            </m:oMathPara>
          </w:p>
        </w:tc>
        <w:tc>
          <w:tcPr>
            <w:tcW w:w="4252" w:type="dxa"/>
            <w:vAlign w:val="center"/>
          </w:tcPr>
          <w:p w14:paraId="631443B3">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43</m:t>
                </m:r>
              </m:oMath>
            </m:oMathPara>
          </w:p>
        </w:tc>
      </w:tr>
      <w:tr w14:paraId="7A0E26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continue"/>
            <w:vAlign w:val="center"/>
          </w:tcPr>
          <w:p w14:paraId="69EFBF7F">
            <w:pPr>
              <w:jc w:val="center"/>
              <w:rPr>
                <w:rFonts w:hint="eastAsia" w:ascii="Times New Roman" w:hAnsi="Times New Roman" w:cs="Times New Roman"/>
                <w:color w:val="auto"/>
                <w:sz w:val="18"/>
                <w:szCs w:val="18"/>
                <w:highlight w:val="none"/>
                <w:lang w:val="en-US" w:eastAsia="zh-CN"/>
              </w:rPr>
            </w:pPr>
          </w:p>
        </w:tc>
        <w:tc>
          <w:tcPr>
            <w:tcW w:w="1179" w:type="dxa"/>
            <w:vMerge w:val="continue"/>
            <w:vAlign w:val="center"/>
          </w:tcPr>
          <w:p w14:paraId="2BE38B87">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179FA49F">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33≤f≤200</m:t>
                </m:r>
              </m:oMath>
            </m:oMathPara>
          </w:p>
        </w:tc>
        <w:tc>
          <w:tcPr>
            <w:tcW w:w="4252" w:type="dxa"/>
            <w:vAlign w:val="center"/>
          </w:tcPr>
          <w:p w14:paraId="523BCCAB">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43−20×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33</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67D3B6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restart"/>
            <w:vAlign w:val="center"/>
          </w:tcPr>
          <w:p w14:paraId="5975705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1000BASE-T1</w:t>
            </w:r>
          </w:p>
        </w:tc>
        <w:tc>
          <w:tcPr>
            <w:tcW w:w="1179" w:type="dxa"/>
            <w:vMerge w:val="restart"/>
            <w:vAlign w:val="center"/>
          </w:tcPr>
          <w:p w14:paraId="29E9B66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Type A</w:t>
            </w:r>
          </w:p>
        </w:tc>
        <w:tc>
          <w:tcPr>
            <w:tcW w:w="1587" w:type="dxa"/>
            <w:vAlign w:val="center"/>
          </w:tcPr>
          <w:p w14:paraId="211F4CB8">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10≤f≤80</m:t>
                </m:r>
              </m:oMath>
            </m:oMathPara>
          </w:p>
        </w:tc>
        <w:tc>
          <w:tcPr>
            <w:tcW w:w="4252" w:type="dxa"/>
            <w:vAlign w:val="center"/>
          </w:tcPr>
          <w:p w14:paraId="2D6EA4E2">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50</m:t>
                </m:r>
              </m:oMath>
            </m:oMathPara>
          </w:p>
        </w:tc>
      </w:tr>
      <w:tr w14:paraId="00DB13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continue"/>
            <w:vAlign w:val="center"/>
          </w:tcPr>
          <w:p w14:paraId="6C7FB74F">
            <w:pPr>
              <w:jc w:val="center"/>
              <w:rPr>
                <w:rFonts w:hint="eastAsia" w:ascii="Times New Roman" w:hAnsi="Times New Roman" w:cs="Times New Roman"/>
                <w:color w:val="auto"/>
                <w:sz w:val="18"/>
                <w:szCs w:val="18"/>
                <w:highlight w:val="none"/>
                <w:lang w:val="en-US" w:eastAsia="zh-CN"/>
              </w:rPr>
            </w:pPr>
          </w:p>
        </w:tc>
        <w:tc>
          <w:tcPr>
            <w:tcW w:w="1179" w:type="dxa"/>
            <w:vMerge w:val="continue"/>
            <w:vAlign w:val="center"/>
          </w:tcPr>
          <w:p w14:paraId="66028328">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3E86DDCF">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80&lt;f≤600</m:t>
                </m:r>
              </m:oMath>
            </m:oMathPara>
          </w:p>
        </w:tc>
        <w:tc>
          <w:tcPr>
            <w:tcW w:w="4252" w:type="dxa"/>
            <w:vAlign w:val="center"/>
          </w:tcPr>
          <w:p w14:paraId="39B4AA3C">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72−11.51×</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bl>
    <w:p w14:paraId="3B0114AF">
      <w:pPr>
        <w:spacing w:before="156" w:beforeLines="50" w:after="156" w:afterLines="50"/>
        <w:ind w:firstLine="0" w:firstLineChars="0"/>
        <w:rPr>
          <w:rFonts w:ascii="Times New Roman" w:hAnsi="Times New Roman" w:cs="Times New Roman"/>
          <w:color w:val="auto"/>
        </w:rPr>
      </w:pPr>
    </w:p>
    <w:p w14:paraId="0004F14D">
      <w:pPr>
        <w:spacing w:before="156" w:beforeLines="50" w:after="156" w:afterLines="50"/>
        <w:ind w:firstLine="0" w:firstLineChars="0"/>
        <w:jc w:val="center"/>
        <w:rPr>
          <w:rFonts w:ascii="Times New Roman" w:hAnsi="Times New Roman" w:cs="Times New Roman"/>
          <w:i/>
          <w:iCs/>
          <w:color w:val="auto"/>
        </w:rPr>
      </w:pPr>
      <w:r>
        <w:rPr>
          <w:rFonts w:ascii="Times New Roman" w:hAnsi="Times New Roman" w:cs="Times New Roman"/>
          <w:i/>
          <w:iCs/>
          <w:color w:val="auto"/>
        </w:rPr>
        <w:drawing>
          <wp:inline distT="0" distB="0" distL="0" distR="0">
            <wp:extent cx="5126355" cy="3347720"/>
            <wp:effectExtent l="0" t="0" r="9525" b="5080"/>
            <wp:docPr id="29" name="图片 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图表, 折线图&#10;&#10;描述已自动生成"/>
                    <pic:cNvPicPr>
                      <a:picLocks noChangeAspect="1" noChangeArrowheads="1"/>
                    </pic:cNvPicPr>
                  </pic:nvPicPr>
                  <pic:blipFill>
                    <a:blip r:embed="rId15"/>
                    <a:srcRect/>
                    <a:stretch>
                      <a:fillRect/>
                    </a:stretch>
                  </pic:blipFill>
                  <pic:spPr>
                    <a:xfrm>
                      <a:off x="0" y="0"/>
                      <a:ext cx="5126355" cy="3348000"/>
                    </a:xfrm>
                    <a:prstGeom prst="rect">
                      <a:avLst/>
                    </a:prstGeom>
                    <a:noFill/>
                  </pic:spPr>
                </pic:pic>
              </a:graphicData>
            </a:graphic>
          </wp:inline>
        </w:drawing>
      </w:r>
    </w:p>
    <w:p w14:paraId="2B69914D">
      <w:pPr>
        <w:pStyle w:val="140"/>
        <w:numPr>
          <w:ilvl w:val="0"/>
          <w:numId w:val="0"/>
        </w:numPr>
        <w:bidi w:val="0"/>
        <w:ind w:leftChars="0"/>
        <w:jc w:val="center"/>
        <w:rPr>
          <w:rFonts w:hint="eastAsia" w:ascii="Times New Roman" w:hAnsi="Times New Roman" w:cs="Times New Roman"/>
          <w:color w:val="auto"/>
          <w:lang w:val="en-US" w:eastAsia="zh-CN"/>
        </w:rPr>
      </w:pPr>
      <w:r>
        <w:rPr>
          <w:rFonts w:hint="eastAsia" w:hAnsi="黑体" w:cs="黑体"/>
          <w:color w:val="auto"/>
          <w:lang w:val="en-US" w:eastAsia="zh-CN"/>
        </w:rPr>
        <w:t>图A.</w:t>
      </w:r>
      <w:r>
        <w:rPr>
          <w:rFonts w:hint="eastAsia" w:ascii="黑体" w:hAnsi="黑体" w:eastAsia="黑体" w:cs="黑体"/>
          <w:color w:val="auto"/>
          <w:lang w:val="en-US" w:eastAsia="zh-CN"/>
        </w:rPr>
        <w:t>6</w:t>
      </w:r>
      <w:r>
        <w:rPr>
          <w:rFonts w:hint="eastAsia" w:ascii="黑体" w:hAnsi="黑体" w:eastAsia="黑体" w:cs="黑体"/>
          <w:color w:val="auto"/>
          <w:highlight w:val="none"/>
          <w:lang w:val="en-US" w:eastAsia="zh-CN"/>
        </w:rPr>
        <w:t xml:space="preserve">  </w:t>
      </w:r>
      <w:r>
        <w:rPr>
          <w:rFonts w:hint="default" w:ascii="Times New Roman" w:hAnsi="Times New Roman" w:cs="Times New Roman"/>
          <w:color w:val="auto"/>
          <w:lang w:val="en-US" w:eastAsia="zh-CN"/>
        </w:rPr>
        <w:t>单对以太网</w:t>
      </w:r>
      <w:r>
        <w:rPr>
          <w:rFonts w:hint="eastAsia" w:ascii="Times New Roman" w:hAnsi="Times New Roman" w:cs="Times New Roman"/>
          <w:color w:val="auto"/>
          <w:lang w:val="en-US" w:eastAsia="zh-CN"/>
        </w:rPr>
        <w:t>非屏蔽信道最小横向转换损耗1</w:t>
      </w:r>
    </w:p>
    <w:p w14:paraId="1119EF70">
      <w:pPr>
        <w:pStyle w:val="26"/>
        <w:rPr>
          <w:rFonts w:hint="default"/>
          <w:color w:val="auto"/>
          <w:lang w:val="en-US" w:eastAsia="zh-CN"/>
        </w:rPr>
      </w:pPr>
    </w:p>
    <w:p w14:paraId="709FC0A2">
      <w:pPr>
        <w:spacing w:before="156" w:beforeLines="50" w:after="156" w:afterLines="50"/>
        <w:ind w:firstLine="0" w:firstLineChars="0"/>
        <w:jc w:val="center"/>
        <w:rPr>
          <w:rFonts w:ascii="Times New Roman" w:hAnsi="Times New Roman" w:cs="Times New Roman"/>
          <w:color w:val="auto"/>
        </w:rPr>
      </w:pPr>
      <w:r>
        <w:rPr>
          <w:rFonts w:ascii="Times New Roman" w:hAnsi="Times New Roman" w:cs="Times New Roman"/>
          <w:color w:val="auto"/>
        </w:rPr>
        <w:drawing>
          <wp:inline distT="0" distB="0" distL="0" distR="0">
            <wp:extent cx="5118735" cy="3329940"/>
            <wp:effectExtent l="0" t="0" r="1905" b="762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16"/>
                    <a:srcRect/>
                    <a:stretch>
                      <a:fillRect/>
                    </a:stretch>
                  </pic:blipFill>
                  <pic:spPr>
                    <a:xfrm>
                      <a:off x="0" y="0"/>
                      <a:ext cx="5118735" cy="3329940"/>
                    </a:xfrm>
                    <a:prstGeom prst="rect">
                      <a:avLst/>
                    </a:prstGeom>
                    <a:noFill/>
                  </pic:spPr>
                </pic:pic>
              </a:graphicData>
            </a:graphic>
          </wp:inline>
        </w:drawing>
      </w:r>
    </w:p>
    <w:p w14:paraId="41B53797">
      <w:pPr>
        <w:pStyle w:val="140"/>
        <w:numPr>
          <w:ilvl w:val="0"/>
          <w:numId w:val="0"/>
        </w:numPr>
        <w:bidi w:val="0"/>
        <w:ind w:leftChars="0"/>
        <w:jc w:val="center"/>
        <w:rPr>
          <w:rFonts w:hint="eastAsia" w:ascii="Times New Roman" w:hAnsi="Times New Roman" w:cs="Times New Roman"/>
          <w:color w:val="auto"/>
          <w:lang w:val="en-US" w:eastAsia="zh-CN"/>
        </w:rPr>
      </w:pPr>
      <w:r>
        <w:rPr>
          <w:rFonts w:hint="eastAsia" w:hAnsi="黑体" w:cs="黑体"/>
          <w:color w:val="auto"/>
          <w:lang w:val="en-US" w:eastAsia="zh-CN"/>
        </w:rPr>
        <w:t>图A.7</w:t>
      </w:r>
      <w:r>
        <w:rPr>
          <w:rFonts w:hint="eastAsia" w:ascii="黑体" w:hAnsi="黑体" w:eastAsia="黑体" w:cs="黑体"/>
          <w:color w:val="auto"/>
          <w:highlight w:val="none"/>
          <w:lang w:val="en-US" w:eastAsia="zh-CN"/>
        </w:rPr>
        <w:t xml:space="preserve">  </w:t>
      </w:r>
      <w:r>
        <w:rPr>
          <w:rFonts w:hint="default" w:ascii="Times New Roman" w:hAnsi="Times New Roman" w:cs="Times New Roman"/>
          <w:color w:val="auto"/>
          <w:lang w:val="en-US" w:eastAsia="zh-CN"/>
        </w:rPr>
        <w:t>单对以太网</w:t>
      </w:r>
      <w:r>
        <w:rPr>
          <w:rFonts w:hint="eastAsia" w:ascii="Times New Roman" w:hAnsi="Times New Roman" w:cs="Times New Roman"/>
          <w:color w:val="auto"/>
          <w:lang w:val="en-US" w:eastAsia="zh-CN"/>
        </w:rPr>
        <w:t>非屏蔽信道最小横向转换损耗2</w:t>
      </w:r>
    </w:p>
    <w:p w14:paraId="517DFD23">
      <w:pPr>
        <w:pStyle w:val="26"/>
        <w:rPr>
          <w:rFonts w:hint="default"/>
          <w:color w:val="auto"/>
          <w:lang w:val="en-US" w:eastAsia="zh-CN"/>
        </w:rPr>
      </w:pPr>
    </w:p>
    <w:p w14:paraId="2B98B51D">
      <w:pPr>
        <w:pStyle w:val="26"/>
        <w:rPr>
          <w:rFonts w:hint="default"/>
          <w:color w:val="auto"/>
          <w:lang w:val="en-US" w:eastAsia="zh-CN"/>
        </w:rPr>
      </w:pPr>
    </w:p>
    <w:p w14:paraId="11BBB269">
      <w:pPr>
        <w:pStyle w:val="26"/>
        <w:rPr>
          <w:rFonts w:hint="default"/>
          <w:color w:val="auto"/>
          <w:lang w:val="en-US" w:eastAsia="zh-CN"/>
        </w:rPr>
      </w:pPr>
    </w:p>
    <w:p w14:paraId="5AB6BA76">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表</w:t>
      </w:r>
      <w:r>
        <w:rPr>
          <w:rFonts w:hint="default" w:hAnsi="Times New Roman" w:cs="Times New Roman"/>
          <w:color w:val="auto"/>
          <w:highlight w:val="none"/>
          <w:lang w:val="en-US" w:eastAsia="zh-CN"/>
        </w:rPr>
        <w:t>A.</w:t>
      </w:r>
      <w:r>
        <w:rPr>
          <w:rFonts w:hint="eastAsia" w:cs="Times New Roman"/>
          <w:color w:val="auto"/>
          <w:highlight w:val="none"/>
          <w:lang w:val="en-US" w:eastAsia="zh-CN"/>
        </w:rPr>
        <w:t>9</w:t>
      </w:r>
      <w:r>
        <w:rPr>
          <w:rFonts w:hint="eastAsia"/>
          <w:color w:val="auto"/>
          <w:highlight w:val="none"/>
          <w:lang w:val="en-US" w:eastAsia="zh-CN"/>
        </w:rPr>
        <w:t xml:space="preserve">  </w:t>
      </w:r>
      <w:r>
        <w:rPr>
          <w:rFonts w:hint="eastAsia" w:hAnsi="Times New Roman" w:cs="Times New Roman"/>
          <w:color w:val="auto"/>
          <w:highlight w:val="none"/>
          <w:lang w:val="en-US" w:eastAsia="zh-CN"/>
        </w:rPr>
        <w:t>单对以太网典型频率点最小横向转换损耗</w:t>
      </w:r>
    </w:p>
    <w:tbl>
      <w:tblPr>
        <w:tblStyle w:val="36"/>
        <w:tblW w:w="85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6"/>
        <w:gridCol w:w="1701"/>
        <w:gridCol w:w="1701"/>
        <w:gridCol w:w="1701"/>
        <w:gridCol w:w="1701"/>
      </w:tblGrid>
      <w:tr w14:paraId="74F33B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tblHeader/>
          <w:jc w:val="center"/>
        </w:trPr>
        <w:tc>
          <w:tcPr>
            <w:tcW w:w="1746" w:type="dxa"/>
            <w:vMerge w:val="restart"/>
            <w:shd w:val="clear" w:color="auto" w:fill="auto"/>
            <w:noWrap/>
            <w:vAlign w:val="center"/>
          </w:tcPr>
          <w:p w14:paraId="380D5210">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频率</w:t>
            </w:r>
            <w:r>
              <w:rPr>
                <w:rFonts w:hint="eastAsia" w:ascii="Times New Roman" w:hAnsi="Times New Roman" w:cs="Times New Roman"/>
                <w:b/>
                <w:bCs/>
                <w:color w:val="auto"/>
                <w:sz w:val="18"/>
                <w:szCs w:val="18"/>
                <w:highlight w:val="none"/>
                <w:lang w:val="en-US" w:eastAsia="zh-CN"/>
              </w:rPr>
              <w:br w:type="textWrapping"/>
            </w:r>
            <w:r>
              <w:rPr>
                <w:rFonts w:hint="eastAsia" w:ascii="Times New Roman" w:hAnsi="Times New Roman" w:cs="Times New Roman"/>
                <w:b/>
                <w:bCs/>
                <w:color w:val="auto"/>
                <w:sz w:val="18"/>
                <w:szCs w:val="18"/>
                <w:highlight w:val="none"/>
                <w:lang w:val="en-US" w:eastAsia="zh-CN"/>
              </w:rPr>
              <w:t>（MHz）</w:t>
            </w:r>
          </w:p>
        </w:tc>
        <w:tc>
          <w:tcPr>
            <w:tcW w:w="6804" w:type="dxa"/>
            <w:gridSpan w:val="4"/>
            <w:shd w:val="clear" w:color="auto" w:fill="auto"/>
            <w:vAlign w:val="center"/>
          </w:tcPr>
          <w:p w14:paraId="297225EA">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最小横向转换损耗（dB）</w:t>
            </w:r>
          </w:p>
        </w:tc>
      </w:tr>
      <w:tr w14:paraId="0D91BA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tblHeader/>
          <w:jc w:val="center"/>
        </w:trPr>
        <w:tc>
          <w:tcPr>
            <w:tcW w:w="1746" w:type="dxa"/>
            <w:vMerge w:val="continue"/>
            <w:tcBorders>
              <w:bottom w:val="single" w:color="auto" w:sz="8" w:space="0"/>
            </w:tcBorders>
            <w:shd w:val="clear" w:color="auto" w:fill="auto"/>
            <w:noWrap/>
            <w:vAlign w:val="center"/>
          </w:tcPr>
          <w:p w14:paraId="282B706A">
            <w:pPr>
              <w:jc w:val="center"/>
              <w:rPr>
                <w:rFonts w:hint="eastAsia" w:ascii="Times New Roman" w:hAnsi="Times New Roman" w:cs="Times New Roman"/>
                <w:b/>
                <w:bCs/>
                <w:color w:val="auto"/>
                <w:sz w:val="18"/>
                <w:szCs w:val="18"/>
                <w:highlight w:val="none"/>
                <w:lang w:val="en-US" w:eastAsia="zh-CN"/>
              </w:rPr>
            </w:pPr>
          </w:p>
        </w:tc>
        <w:tc>
          <w:tcPr>
            <w:tcW w:w="1701" w:type="dxa"/>
            <w:tcBorders>
              <w:bottom w:val="single" w:color="auto" w:sz="8" w:space="0"/>
            </w:tcBorders>
            <w:shd w:val="clear" w:color="auto" w:fill="auto"/>
            <w:vAlign w:val="center"/>
          </w:tcPr>
          <w:p w14:paraId="04FF4E83">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10BASE-T1L</w:t>
            </w:r>
          </w:p>
        </w:tc>
        <w:tc>
          <w:tcPr>
            <w:tcW w:w="1701" w:type="dxa"/>
            <w:tcBorders>
              <w:bottom w:val="single" w:color="auto" w:sz="8" w:space="0"/>
            </w:tcBorders>
            <w:shd w:val="clear" w:color="auto" w:fill="auto"/>
            <w:vAlign w:val="center"/>
          </w:tcPr>
          <w:p w14:paraId="201869A6">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10BASE-T1S</w:t>
            </w:r>
          </w:p>
        </w:tc>
        <w:tc>
          <w:tcPr>
            <w:tcW w:w="1701" w:type="dxa"/>
            <w:tcBorders>
              <w:bottom w:val="single" w:color="auto" w:sz="8" w:space="0"/>
            </w:tcBorders>
            <w:shd w:val="clear" w:color="auto" w:fill="auto"/>
            <w:vAlign w:val="center"/>
          </w:tcPr>
          <w:p w14:paraId="2CBF4A85">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100BASE-T1</w:t>
            </w:r>
          </w:p>
        </w:tc>
        <w:tc>
          <w:tcPr>
            <w:tcW w:w="1701" w:type="dxa"/>
            <w:tcBorders>
              <w:bottom w:val="single" w:color="auto" w:sz="8" w:space="0"/>
            </w:tcBorders>
            <w:shd w:val="clear" w:color="auto" w:fill="auto"/>
            <w:vAlign w:val="center"/>
          </w:tcPr>
          <w:p w14:paraId="00B568C9">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1000BASE-T1</w:t>
            </w:r>
          </w:p>
          <w:p w14:paraId="6C6684AF">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Type A</w:t>
            </w:r>
          </w:p>
        </w:tc>
      </w:tr>
      <w:tr w14:paraId="7A2EA5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tcBorders>
              <w:top w:val="single" w:color="auto" w:sz="8" w:space="0"/>
            </w:tcBorders>
            <w:shd w:val="clear" w:color="auto" w:fill="auto"/>
            <w:noWrap/>
            <w:vAlign w:val="center"/>
          </w:tcPr>
          <w:p w14:paraId="4E460D9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w:t>
            </w:r>
          </w:p>
        </w:tc>
        <w:tc>
          <w:tcPr>
            <w:tcW w:w="1701" w:type="dxa"/>
            <w:tcBorders>
              <w:top w:val="single" w:color="auto" w:sz="8" w:space="0"/>
            </w:tcBorders>
            <w:shd w:val="clear" w:color="auto" w:fill="auto"/>
            <w:noWrap/>
            <w:vAlign w:val="center"/>
          </w:tcPr>
          <w:p w14:paraId="2513EFF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50.0 </w:t>
            </w:r>
          </w:p>
        </w:tc>
        <w:tc>
          <w:tcPr>
            <w:tcW w:w="1701" w:type="dxa"/>
            <w:tcBorders>
              <w:top w:val="single" w:color="auto" w:sz="8" w:space="0"/>
            </w:tcBorders>
            <w:shd w:val="clear" w:color="auto" w:fill="auto"/>
            <w:noWrap/>
            <w:vAlign w:val="center"/>
          </w:tcPr>
          <w:p w14:paraId="2F12BC78">
            <w:pPr>
              <w:jc w:val="center"/>
              <w:rPr>
                <w:rFonts w:hint="eastAsia" w:ascii="Times New Roman" w:hAnsi="Times New Roman" w:cs="Times New Roman"/>
                <w:color w:val="auto"/>
                <w:sz w:val="18"/>
                <w:szCs w:val="18"/>
                <w:highlight w:val="none"/>
                <w:lang w:val="en-US" w:eastAsia="zh-CN"/>
              </w:rPr>
            </w:pPr>
          </w:p>
        </w:tc>
        <w:tc>
          <w:tcPr>
            <w:tcW w:w="1701" w:type="dxa"/>
            <w:tcBorders>
              <w:top w:val="single" w:color="auto" w:sz="8" w:space="0"/>
            </w:tcBorders>
            <w:shd w:val="clear" w:color="auto" w:fill="auto"/>
            <w:noWrap/>
            <w:vAlign w:val="center"/>
          </w:tcPr>
          <w:p w14:paraId="15DFEE22">
            <w:pPr>
              <w:jc w:val="center"/>
              <w:rPr>
                <w:rFonts w:hint="eastAsia" w:ascii="Times New Roman" w:hAnsi="Times New Roman" w:cs="Times New Roman"/>
                <w:color w:val="auto"/>
                <w:sz w:val="18"/>
                <w:szCs w:val="18"/>
                <w:highlight w:val="none"/>
                <w:lang w:val="en-US" w:eastAsia="zh-CN"/>
              </w:rPr>
            </w:pPr>
          </w:p>
        </w:tc>
        <w:tc>
          <w:tcPr>
            <w:tcW w:w="1701" w:type="dxa"/>
            <w:tcBorders>
              <w:top w:val="single" w:color="auto" w:sz="8" w:space="0"/>
            </w:tcBorders>
            <w:shd w:val="clear" w:color="auto" w:fill="auto"/>
            <w:noWrap/>
            <w:vAlign w:val="center"/>
          </w:tcPr>
          <w:p w14:paraId="354C2695">
            <w:pPr>
              <w:jc w:val="center"/>
              <w:rPr>
                <w:rFonts w:hint="eastAsia" w:ascii="Times New Roman" w:hAnsi="Times New Roman" w:cs="Times New Roman"/>
                <w:color w:val="auto"/>
                <w:sz w:val="18"/>
                <w:szCs w:val="18"/>
                <w:highlight w:val="none"/>
                <w:lang w:val="en-US" w:eastAsia="zh-CN"/>
              </w:rPr>
            </w:pPr>
          </w:p>
        </w:tc>
      </w:tr>
      <w:tr w14:paraId="562C0A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215445D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0.3</w:t>
            </w:r>
          </w:p>
        </w:tc>
        <w:tc>
          <w:tcPr>
            <w:tcW w:w="1701" w:type="dxa"/>
            <w:shd w:val="clear" w:color="auto" w:fill="auto"/>
            <w:noWrap/>
            <w:vAlign w:val="center"/>
          </w:tcPr>
          <w:p w14:paraId="763A5BC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50.0 </w:t>
            </w:r>
          </w:p>
        </w:tc>
        <w:tc>
          <w:tcPr>
            <w:tcW w:w="1701" w:type="dxa"/>
            <w:shd w:val="clear" w:color="auto" w:fill="auto"/>
            <w:noWrap/>
            <w:vAlign w:val="center"/>
          </w:tcPr>
          <w:p w14:paraId="60D98E1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43.0 </w:t>
            </w:r>
          </w:p>
        </w:tc>
        <w:tc>
          <w:tcPr>
            <w:tcW w:w="1701" w:type="dxa"/>
            <w:shd w:val="clear" w:color="auto" w:fill="auto"/>
            <w:noWrap/>
            <w:vAlign w:val="center"/>
          </w:tcPr>
          <w:p w14:paraId="0E7049A1">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6508204B">
            <w:pPr>
              <w:jc w:val="center"/>
              <w:rPr>
                <w:rFonts w:hint="eastAsia" w:ascii="Times New Roman" w:hAnsi="Times New Roman" w:cs="Times New Roman"/>
                <w:color w:val="auto"/>
                <w:sz w:val="18"/>
                <w:szCs w:val="18"/>
                <w:highlight w:val="none"/>
                <w:lang w:val="en-US" w:eastAsia="zh-CN"/>
              </w:rPr>
            </w:pPr>
          </w:p>
        </w:tc>
      </w:tr>
      <w:tr w14:paraId="2D9F63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6CDE2DD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w:t>
            </w:r>
          </w:p>
        </w:tc>
        <w:tc>
          <w:tcPr>
            <w:tcW w:w="1701" w:type="dxa"/>
            <w:shd w:val="clear" w:color="auto" w:fill="auto"/>
            <w:noWrap/>
            <w:vAlign w:val="center"/>
          </w:tcPr>
          <w:p w14:paraId="35E597C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50.0 </w:t>
            </w:r>
          </w:p>
        </w:tc>
        <w:tc>
          <w:tcPr>
            <w:tcW w:w="1701" w:type="dxa"/>
            <w:shd w:val="clear" w:color="auto" w:fill="auto"/>
            <w:noWrap/>
            <w:vAlign w:val="center"/>
          </w:tcPr>
          <w:p w14:paraId="7A4118B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43.0 </w:t>
            </w:r>
          </w:p>
        </w:tc>
        <w:tc>
          <w:tcPr>
            <w:tcW w:w="1701" w:type="dxa"/>
            <w:shd w:val="clear" w:color="auto" w:fill="auto"/>
            <w:noWrap/>
            <w:vAlign w:val="center"/>
          </w:tcPr>
          <w:p w14:paraId="64E8EFE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43.0 </w:t>
            </w:r>
          </w:p>
        </w:tc>
        <w:tc>
          <w:tcPr>
            <w:tcW w:w="1701" w:type="dxa"/>
            <w:shd w:val="clear" w:color="auto" w:fill="auto"/>
            <w:noWrap/>
            <w:vAlign w:val="center"/>
          </w:tcPr>
          <w:p w14:paraId="23055A90">
            <w:pPr>
              <w:jc w:val="center"/>
              <w:rPr>
                <w:rFonts w:hint="eastAsia" w:ascii="Times New Roman" w:hAnsi="Times New Roman" w:cs="Times New Roman"/>
                <w:color w:val="auto"/>
                <w:sz w:val="18"/>
                <w:szCs w:val="18"/>
                <w:highlight w:val="none"/>
                <w:lang w:val="en-US" w:eastAsia="zh-CN"/>
              </w:rPr>
            </w:pPr>
          </w:p>
        </w:tc>
      </w:tr>
      <w:tr w14:paraId="2E89D3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64F6D91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1701" w:type="dxa"/>
            <w:shd w:val="clear" w:color="auto" w:fill="auto"/>
            <w:noWrap/>
            <w:vAlign w:val="center"/>
          </w:tcPr>
          <w:p w14:paraId="57C7B47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50.0 </w:t>
            </w:r>
          </w:p>
        </w:tc>
        <w:tc>
          <w:tcPr>
            <w:tcW w:w="1701" w:type="dxa"/>
            <w:shd w:val="clear" w:color="auto" w:fill="auto"/>
            <w:noWrap/>
            <w:vAlign w:val="center"/>
          </w:tcPr>
          <w:p w14:paraId="5899E22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43.0 </w:t>
            </w:r>
          </w:p>
        </w:tc>
        <w:tc>
          <w:tcPr>
            <w:tcW w:w="1701" w:type="dxa"/>
            <w:shd w:val="clear" w:color="auto" w:fill="auto"/>
            <w:noWrap/>
            <w:vAlign w:val="center"/>
          </w:tcPr>
          <w:p w14:paraId="671F1ED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43.0 </w:t>
            </w:r>
          </w:p>
        </w:tc>
        <w:tc>
          <w:tcPr>
            <w:tcW w:w="1701" w:type="dxa"/>
            <w:shd w:val="clear" w:color="auto" w:fill="auto"/>
            <w:noWrap/>
            <w:vAlign w:val="center"/>
          </w:tcPr>
          <w:p w14:paraId="2111DB8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50.0 </w:t>
            </w:r>
          </w:p>
        </w:tc>
      </w:tr>
      <w:tr w14:paraId="10E3AB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1458A71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16</w:t>
            </w:r>
          </w:p>
        </w:tc>
        <w:tc>
          <w:tcPr>
            <w:tcW w:w="1701" w:type="dxa"/>
            <w:shd w:val="clear" w:color="auto" w:fill="auto"/>
            <w:noWrap/>
            <w:vAlign w:val="center"/>
          </w:tcPr>
          <w:p w14:paraId="7E4E84C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45.9 </w:t>
            </w:r>
          </w:p>
        </w:tc>
        <w:tc>
          <w:tcPr>
            <w:tcW w:w="1701" w:type="dxa"/>
            <w:shd w:val="clear" w:color="auto" w:fill="auto"/>
            <w:noWrap/>
            <w:vAlign w:val="center"/>
          </w:tcPr>
          <w:p w14:paraId="4662005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43.0 </w:t>
            </w:r>
          </w:p>
        </w:tc>
        <w:tc>
          <w:tcPr>
            <w:tcW w:w="1701" w:type="dxa"/>
            <w:shd w:val="clear" w:color="auto" w:fill="auto"/>
            <w:noWrap/>
            <w:vAlign w:val="center"/>
          </w:tcPr>
          <w:p w14:paraId="50D56AF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43.0 </w:t>
            </w:r>
          </w:p>
        </w:tc>
        <w:tc>
          <w:tcPr>
            <w:tcW w:w="1701" w:type="dxa"/>
            <w:shd w:val="clear" w:color="auto" w:fill="auto"/>
            <w:noWrap/>
            <w:vAlign w:val="center"/>
          </w:tcPr>
          <w:p w14:paraId="26D49CA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50.0 </w:t>
            </w:r>
          </w:p>
        </w:tc>
      </w:tr>
      <w:tr w14:paraId="57F03B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50B0570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1701" w:type="dxa"/>
            <w:shd w:val="clear" w:color="auto" w:fill="auto"/>
            <w:noWrap/>
            <w:vAlign w:val="center"/>
          </w:tcPr>
          <w:p w14:paraId="7CA2D52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44.0 </w:t>
            </w:r>
          </w:p>
        </w:tc>
        <w:tc>
          <w:tcPr>
            <w:tcW w:w="1701" w:type="dxa"/>
            <w:shd w:val="clear" w:color="auto" w:fill="auto"/>
            <w:noWrap/>
            <w:vAlign w:val="center"/>
          </w:tcPr>
          <w:p w14:paraId="271E548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43.0 </w:t>
            </w:r>
          </w:p>
        </w:tc>
        <w:tc>
          <w:tcPr>
            <w:tcW w:w="1701" w:type="dxa"/>
            <w:shd w:val="clear" w:color="auto" w:fill="auto"/>
            <w:noWrap/>
            <w:vAlign w:val="center"/>
          </w:tcPr>
          <w:p w14:paraId="7F74320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43.0 </w:t>
            </w:r>
          </w:p>
        </w:tc>
        <w:tc>
          <w:tcPr>
            <w:tcW w:w="1701" w:type="dxa"/>
            <w:shd w:val="clear" w:color="auto" w:fill="auto"/>
            <w:noWrap/>
            <w:vAlign w:val="center"/>
          </w:tcPr>
          <w:p w14:paraId="261C6C0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50.0 </w:t>
            </w:r>
          </w:p>
        </w:tc>
      </w:tr>
      <w:tr w14:paraId="08B5C1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6A725BD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w:t>
            </w:r>
          </w:p>
        </w:tc>
        <w:tc>
          <w:tcPr>
            <w:tcW w:w="1701" w:type="dxa"/>
            <w:shd w:val="clear" w:color="auto" w:fill="auto"/>
            <w:noWrap/>
            <w:vAlign w:val="center"/>
          </w:tcPr>
          <w:p w14:paraId="28BC35F2">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790A251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39.5 </w:t>
            </w:r>
          </w:p>
        </w:tc>
        <w:tc>
          <w:tcPr>
            <w:tcW w:w="1701" w:type="dxa"/>
            <w:shd w:val="clear" w:color="auto" w:fill="auto"/>
            <w:noWrap/>
            <w:vAlign w:val="center"/>
          </w:tcPr>
          <w:p w14:paraId="2C4E40B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43.0 </w:t>
            </w:r>
          </w:p>
        </w:tc>
        <w:tc>
          <w:tcPr>
            <w:tcW w:w="1701" w:type="dxa"/>
            <w:shd w:val="clear" w:color="auto" w:fill="auto"/>
            <w:noWrap/>
            <w:vAlign w:val="center"/>
          </w:tcPr>
          <w:p w14:paraId="588E2AF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50.0 </w:t>
            </w:r>
          </w:p>
        </w:tc>
      </w:tr>
      <w:tr w14:paraId="31FC69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5330346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w:t>
            </w:r>
          </w:p>
        </w:tc>
        <w:tc>
          <w:tcPr>
            <w:tcW w:w="1701" w:type="dxa"/>
            <w:shd w:val="clear" w:color="auto" w:fill="auto"/>
            <w:noWrap/>
            <w:vAlign w:val="center"/>
          </w:tcPr>
          <w:p w14:paraId="3354D9A7">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4BBE582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37.0 </w:t>
            </w:r>
          </w:p>
        </w:tc>
        <w:tc>
          <w:tcPr>
            <w:tcW w:w="1701" w:type="dxa"/>
            <w:shd w:val="clear" w:color="auto" w:fill="auto"/>
            <w:noWrap/>
            <w:vAlign w:val="center"/>
          </w:tcPr>
          <w:p w14:paraId="0D18A32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41.3 </w:t>
            </w:r>
          </w:p>
        </w:tc>
        <w:tc>
          <w:tcPr>
            <w:tcW w:w="1701" w:type="dxa"/>
            <w:shd w:val="clear" w:color="auto" w:fill="auto"/>
            <w:noWrap/>
            <w:vAlign w:val="center"/>
          </w:tcPr>
          <w:p w14:paraId="37CAAF3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50.0 </w:t>
            </w:r>
          </w:p>
        </w:tc>
      </w:tr>
      <w:tr w14:paraId="470307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68BD747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w:t>
            </w:r>
          </w:p>
        </w:tc>
        <w:tc>
          <w:tcPr>
            <w:tcW w:w="1701" w:type="dxa"/>
            <w:shd w:val="clear" w:color="auto" w:fill="auto"/>
            <w:noWrap/>
            <w:vAlign w:val="center"/>
          </w:tcPr>
          <w:p w14:paraId="7979B7B4">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10EB0E5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35.0 </w:t>
            </w:r>
          </w:p>
        </w:tc>
        <w:tc>
          <w:tcPr>
            <w:tcW w:w="1701" w:type="dxa"/>
            <w:shd w:val="clear" w:color="auto" w:fill="auto"/>
            <w:noWrap/>
            <w:vAlign w:val="center"/>
          </w:tcPr>
          <w:p w14:paraId="29B038E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39.4 </w:t>
            </w:r>
          </w:p>
        </w:tc>
        <w:tc>
          <w:tcPr>
            <w:tcW w:w="1701" w:type="dxa"/>
            <w:shd w:val="clear" w:color="auto" w:fill="auto"/>
            <w:noWrap/>
            <w:vAlign w:val="center"/>
          </w:tcPr>
          <w:p w14:paraId="5A9EC0D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50.0 </w:t>
            </w:r>
          </w:p>
        </w:tc>
      </w:tr>
      <w:tr w14:paraId="46F0C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0E48FD0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w:t>
            </w:r>
          </w:p>
        </w:tc>
        <w:tc>
          <w:tcPr>
            <w:tcW w:w="1701" w:type="dxa"/>
            <w:shd w:val="clear" w:color="auto" w:fill="auto"/>
            <w:noWrap/>
            <w:vAlign w:val="center"/>
          </w:tcPr>
          <w:p w14:paraId="3A1BCF4D">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4EA0F43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29.0 </w:t>
            </w:r>
          </w:p>
        </w:tc>
        <w:tc>
          <w:tcPr>
            <w:tcW w:w="1701" w:type="dxa"/>
            <w:shd w:val="clear" w:color="auto" w:fill="auto"/>
            <w:noWrap/>
            <w:vAlign w:val="center"/>
          </w:tcPr>
          <w:p w14:paraId="4D16854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33.4 </w:t>
            </w:r>
          </w:p>
        </w:tc>
        <w:tc>
          <w:tcPr>
            <w:tcW w:w="1701" w:type="dxa"/>
            <w:shd w:val="clear" w:color="auto" w:fill="auto"/>
            <w:noWrap/>
            <w:vAlign w:val="center"/>
          </w:tcPr>
          <w:p w14:paraId="5FAE770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49.0 </w:t>
            </w:r>
          </w:p>
        </w:tc>
      </w:tr>
      <w:tr w14:paraId="7DD472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750728C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200</w:t>
            </w:r>
          </w:p>
        </w:tc>
        <w:tc>
          <w:tcPr>
            <w:tcW w:w="1701" w:type="dxa"/>
            <w:shd w:val="clear" w:color="auto" w:fill="auto"/>
            <w:noWrap/>
            <w:vAlign w:val="center"/>
          </w:tcPr>
          <w:p w14:paraId="205F7186">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7ADBF29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23.0 </w:t>
            </w:r>
          </w:p>
        </w:tc>
        <w:tc>
          <w:tcPr>
            <w:tcW w:w="1701" w:type="dxa"/>
            <w:shd w:val="clear" w:color="auto" w:fill="auto"/>
            <w:noWrap/>
            <w:vAlign w:val="center"/>
          </w:tcPr>
          <w:p w14:paraId="0AF1006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27.3 </w:t>
            </w:r>
          </w:p>
        </w:tc>
        <w:tc>
          <w:tcPr>
            <w:tcW w:w="1701" w:type="dxa"/>
            <w:shd w:val="clear" w:color="auto" w:fill="auto"/>
            <w:noWrap/>
            <w:vAlign w:val="center"/>
          </w:tcPr>
          <w:p w14:paraId="0BFE96C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45.5 </w:t>
            </w:r>
          </w:p>
        </w:tc>
      </w:tr>
      <w:tr w14:paraId="08857F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402FA04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400</w:t>
            </w:r>
          </w:p>
        </w:tc>
        <w:tc>
          <w:tcPr>
            <w:tcW w:w="1701" w:type="dxa"/>
            <w:shd w:val="clear" w:color="auto" w:fill="auto"/>
            <w:noWrap/>
            <w:vAlign w:val="center"/>
          </w:tcPr>
          <w:p w14:paraId="6DAE5E8F">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38316835">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4A366B7F">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0CDBDF1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42.1 </w:t>
            </w:r>
          </w:p>
        </w:tc>
      </w:tr>
      <w:tr w14:paraId="3919B3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4FE1465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600</w:t>
            </w:r>
          </w:p>
        </w:tc>
        <w:tc>
          <w:tcPr>
            <w:tcW w:w="1701" w:type="dxa"/>
            <w:shd w:val="clear" w:color="auto" w:fill="auto"/>
            <w:noWrap/>
            <w:vAlign w:val="center"/>
          </w:tcPr>
          <w:p w14:paraId="12959E48">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55B973BB">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1001584B">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411891F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40.0 </w:t>
            </w:r>
          </w:p>
        </w:tc>
      </w:tr>
    </w:tbl>
    <w:p w14:paraId="4D893536">
      <w:pPr>
        <w:rPr>
          <w:rFonts w:hint="eastAsia"/>
          <w:color w:val="auto"/>
          <w:lang w:val="en-US" w:eastAsia="zh-CN"/>
        </w:rPr>
      </w:pPr>
    </w:p>
    <w:p w14:paraId="3F734264">
      <w:pPr>
        <w:pStyle w:val="75"/>
        <w:numPr>
          <w:ilvl w:val="2"/>
          <w:numId w:val="0"/>
        </w:numPr>
        <w:spacing w:before="156" w:after="156"/>
        <w:ind w:leftChars="0"/>
        <w:rPr>
          <w:rFonts w:hint="default" w:ascii="Times New Roman" w:hAnsi="Times New Roman" w:eastAsia="宋体" w:cs="Times New Roman"/>
          <w:color w:val="auto"/>
          <w:highlight w:val="none"/>
          <w:lang w:val="en-US" w:eastAsia="zh-CN"/>
        </w:rPr>
      </w:pPr>
      <w:r>
        <w:rPr>
          <w:rFonts w:hint="eastAsia" w:ascii="黑体" w:hAnsi="黑体" w:eastAsia="黑体" w:cs="黑体"/>
          <w:color w:val="auto"/>
          <w:highlight w:val="none"/>
          <w:lang w:val="en-US" w:eastAsia="zh-CN"/>
        </w:rPr>
        <w:t>A.2.</w:t>
      </w:r>
      <w:r>
        <w:rPr>
          <w:rFonts w:hint="eastAsia" w:hAnsi="黑体" w:cs="黑体"/>
          <w:color w:val="auto"/>
          <w:highlight w:val="none"/>
          <w:lang w:val="en-US" w:eastAsia="zh-CN"/>
        </w:rPr>
        <w:t xml:space="preserve">4  </w:t>
      </w:r>
      <w:r>
        <w:rPr>
          <w:rFonts w:hint="default" w:ascii="Times New Roman" w:hAnsi="Times New Roman" w:eastAsia="宋体" w:cs="Times New Roman"/>
          <w:color w:val="auto"/>
          <w:highlight w:val="none"/>
          <w:lang w:val="en-US" w:eastAsia="zh-CN"/>
        </w:rPr>
        <w:t>单对以太网</w:t>
      </w:r>
      <w:r>
        <w:rPr>
          <w:rFonts w:hint="eastAsia" w:ascii="Times New Roman" w:hAnsi="Times New Roman" w:eastAsia="宋体" w:cs="Times New Roman"/>
          <w:color w:val="auto"/>
          <w:highlight w:val="none"/>
          <w:lang w:val="en-US" w:eastAsia="zh-CN"/>
        </w:rPr>
        <w:t>非屏蔽</w:t>
      </w:r>
      <w:r>
        <w:rPr>
          <w:rFonts w:hint="default" w:ascii="Times New Roman" w:hAnsi="Times New Roman" w:eastAsia="宋体" w:cs="Times New Roman"/>
          <w:color w:val="auto"/>
          <w:highlight w:val="none"/>
          <w:lang w:val="en-US" w:eastAsia="zh-CN"/>
        </w:rPr>
        <w:t>信道的</w:t>
      </w:r>
      <w:r>
        <w:rPr>
          <w:rFonts w:hint="eastAsia" w:ascii="Times New Roman" w:hAnsi="Times New Roman" w:eastAsia="宋体" w:cs="Times New Roman"/>
          <w:color w:val="auto"/>
          <w:highlight w:val="none"/>
          <w:lang w:val="en-US" w:eastAsia="zh-CN"/>
        </w:rPr>
        <w:t>最小横向转换传送损耗</w:t>
      </w:r>
      <w:r>
        <w:rPr>
          <w:rFonts w:hint="default" w:ascii="Times New Roman" w:hAnsi="Times New Roman" w:eastAsia="宋体" w:cs="Times New Roman"/>
          <w:color w:val="auto"/>
          <w:highlight w:val="none"/>
          <w:lang w:val="en-US" w:eastAsia="zh-CN"/>
        </w:rPr>
        <w:t>应满足表A.</w:t>
      </w:r>
      <w:r>
        <w:rPr>
          <w:rFonts w:hint="eastAsia" w:ascii="Times New Roman" w:eastAsia="宋体" w:cs="Times New Roman"/>
          <w:color w:val="auto"/>
          <w:highlight w:val="none"/>
          <w:lang w:val="en-US" w:eastAsia="zh-CN"/>
        </w:rPr>
        <w:t>10</w:t>
      </w:r>
      <w:r>
        <w:rPr>
          <w:rFonts w:hint="eastAsia" w:ascii="Times New Roman" w:hAnsi="Times New Roman" w:eastAsia="宋体" w:cs="Times New Roman"/>
          <w:color w:val="auto"/>
          <w:highlight w:val="none"/>
          <w:lang w:val="en-US" w:eastAsia="zh-CN"/>
        </w:rPr>
        <w:t>及表</w:t>
      </w:r>
      <w:r>
        <w:rPr>
          <w:rFonts w:hint="default" w:ascii="Times New Roman" w:hAnsi="Times New Roman" w:eastAsia="宋体" w:cs="Times New Roman"/>
          <w:color w:val="auto"/>
          <w:highlight w:val="none"/>
          <w:lang w:val="en-US" w:eastAsia="zh-CN"/>
        </w:rPr>
        <w:t>A.</w:t>
      </w:r>
      <w:r>
        <w:rPr>
          <w:rFonts w:hint="eastAsia" w:ascii="Times New Roman" w:eastAsia="宋体" w:cs="Times New Roman"/>
          <w:color w:val="auto"/>
          <w:highlight w:val="none"/>
          <w:lang w:val="en-US" w:eastAsia="zh-CN"/>
        </w:rPr>
        <w:t>11</w:t>
      </w:r>
      <w:r>
        <w:rPr>
          <w:rFonts w:hint="default" w:ascii="Times New Roman" w:hAnsi="Times New Roman" w:eastAsia="宋体" w:cs="Times New Roman"/>
          <w:color w:val="auto"/>
          <w:highlight w:val="none"/>
          <w:lang w:val="en-US" w:eastAsia="zh-CN"/>
        </w:rPr>
        <w:t>的相关要求。</w:t>
      </w:r>
    </w:p>
    <w:p w14:paraId="005BBB2C">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表</w:t>
      </w:r>
      <w:r>
        <w:rPr>
          <w:rFonts w:hint="default" w:hAnsi="Times New Roman" w:cs="Times New Roman"/>
          <w:color w:val="auto"/>
          <w:highlight w:val="none"/>
          <w:lang w:val="en-US" w:eastAsia="zh-CN"/>
        </w:rPr>
        <w:t>A.</w:t>
      </w:r>
      <w:r>
        <w:rPr>
          <w:rFonts w:hint="eastAsia" w:cs="Times New Roman"/>
          <w:color w:val="auto"/>
          <w:highlight w:val="none"/>
          <w:lang w:val="en-US" w:eastAsia="zh-CN"/>
        </w:rPr>
        <w:t>10</w:t>
      </w:r>
      <w:r>
        <w:rPr>
          <w:rFonts w:hint="eastAsia"/>
          <w:color w:val="auto"/>
          <w:highlight w:val="none"/>
          <w:lang w:val="en-US" w:eastAsia="zh-CN"/>
        </w:rPr>
        <w:t xml:space="preserve">  </w:t>
      </w:r>
      <w:r>
        <w:rPr>
          <w:rFonts w:hint="default" w:hAnsi="Times New Roman" w:cs="Times New Roman"/>
          <w:color w:val="auto"/>
          <w:highlight w:val="none"/>
          <w:lang w:val="en-US" w:eastAsia="zh-CN"/>
        </w:rPr>
        <w:t>单对以太网</w:t>
      </w:r>
      <w:r>
        <w:rPr>
          <w:rFonts w:hint="eastAsia" w:hAnsi="Times New Roman" w:cs="Times New Roman"/>
          <w:color w:val="auto"/>
          <w:highlight w:val="none"/>
          <w:lang w:val="en-US" w:eastAsia="zh-CN"/>
        </w:rPr>
        <w:t>非屏蔽信道最小横向转换传送损耗</w:t>
      </w:r>
    </w:p>
    <w:tbl>
      <w:tblPr>
        <w:tblStyle w:val="37"/>
        <w:tblW w:w="85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1179"/>
        <w:gridCol w:w="1587"/>
        <w:gridCol w:w="4252"/>
      </w:tblGrid>
      <w:tr w14:paraId="436831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31" w:type="dxa"/>
            <w:tcBorders>
              <w:bottom w:val="single" w:color="auto" w:sz="8" w:space="0"/>
            </w:tcBorders>
            <w:vAlign w:val="center"/>
          </w:tcPr>
          <w:p w14:paraId="65A46865">
            <w:pPr>
              <w:jc w:val="center"/>
              <w:rPr>
                <w:rFonts w:hint="eastAsia" w:ascii="Times New Roman" w:hAnsi="Times New Roman"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SPE类型</w:t>
            </w:r>
          </w:p>
        </w:tc>
        <w:tc>
          <w:tcPr>
            <w:tcW w:w="1179" w:type="dxa"/>
            <w:tcBorders>
              <w:bottom w:val="single" w:color="auto" w:sz="8" w:space="0"/>
            </w:tcBorders>
            <w:vAlign w:val="center"/>
          </w:tcPr>
          <w:p w14:paraId="4192EE53">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信道类别</w:t>
            </w:r>
          </w:p>
        </w:tc>
        <w:tc>
          <w:tcPr>
            <w:tcW w:w="1587" w:type="dxa"/>
            <w:tcBorders>
              <w:bottom w:val="single" w:color="auto" w:sz="8" w:space="0"/>
            </w:tcBorders>
            <w:vAlign w:val="center"/>
          </w:tcPr>
          <w:p w14:paraId="60DBF3B9">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频率</w:t>
            </w:r>
            <w:r>
              <w:rPr>
                <w:rFonts w:hint="eastAsia" w:ascii="Times New Roman" w:hAnsi="Times New Roman" w:cs="Times New Roman"/>
                <w:b/>
                <w:bCs/>
                <w:color w:val="auto"/>
                <w:sz w:val="18"/>
                <w:szCs w:val="18"/>
                <w:highlight w:val="none"/>
                <w:lang w:val="en-US" w:eastAsia="zh-CN"/>
              </w:rPr>
              <w:br w:type="textWrapping"/>
            </w:r>
            <w:r>
              <w:rPr>
                <w:rFonts w:hint="eastAsia" w:ascii="Times New Roman" w:hAnsi="Times New Roman" w:cs="Times New Roman"/>
                <w:b/>
                <w:bCs/>
                <w:color w:val="auto"/>
                <w:sz w:val="18"/>
                <w:szCs w:val="18"/>
                <w:highlight w:val="none"/>
                <w:lang w:val="en-US" w:eastAsia="zh-CN"/>
              </w:rPr>
              <w:t>（MHz）</w:t>
            </w:r>
          </w:p>
        </w:tc>
        <w:tc>
          <w:tcPr>
            <w:tcW w:w="4252" w:type="dxa"/>
            <w:tcBorders>
              <w:bottom w:val="single" w:color="auto" w:sz="8" w:space="0"/>
            </w:tcBorders>
            <w:vAlign w:val="center"/>
          </w:tcPr>
          <w:p w14:paraId="4A770EC7">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最小等电平横向转换传送损耗</w:t>
            </w:r>
          </w:p>
          <w:p w14:paraId="1CDEF0D3">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（dB）</w:t>
            </w:r>
          </w:p>
        </w:tc>
      </w:tr>
      <w:tr w14:paraId="08AF9C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restart"/>
            <w:tcBorders>
              <w:top w:val="single" w:color="auto" w:sz="8" w:space="0"/>
            </w:tcBorders>
            <w:vAlign w:val="center"/>
          </w:tcPr>
          <w:p w14:paraId="58F7FFF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10BASE-T1S</w:t>
            </w:r>
          </w:p>
        </w:tc>
        <w:tc>
          <w:tcPr>
            <w:tcW w:w="1179" w:type="dxa"/>
            <w:vMerge w:val="restart"/>
            <w:tcBorders>
              <w:top w:val="single" w:color="auto" w:sz="8" w:space="0"/>
            </w:tcBorders>
            <w:vAlign w:val="center"/>
          </w:tcPr>
          <w:p w14:paraId="796E6014">
            <w:pPr>
              <w:jc w:val="center"/>
              <w:rPr>
                <w:rFonts w:hint="eastAsia" w:ascii="Times New Roman" w:hAnsi="Times New Roman" w:cs="Times New Roman"/>
                <w:color w:val="auto"/>
                <w:sz w:val="18"/>
                <w:szCs w:val="18"/>
                <w:highlight w:val="none"/>
                <w:lang w:val="en-US" w:eastAsia="zh-CN"/>
              </w:rPr>
            </w:pPr>
          </w:p>
        </w:tc>
        <w:tc>
          <w:tcPr>
            <w:tcW w:w="1587" w:type="dxa"/>
            <w:tcBorders>
              <w:top w:val="single" w:color="auto" w:sz="8" w:space="0"/>
            </w:tcBorders>
            <w:vAlign w:val="center"/>
          </w:tcPr>
          <w:p w14:paraId="5FAB922D">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0.3≤f&lt;20</m:t>
                </m:r>
              </m:oMath>
            </m:oMathPara>
          </w:p>
        </w:tc>
        <w:tc>
          <w:tcPr>
            <w:tcW w:w="4252" w:type="dxa"/>
            <w:tcBorders>
              <w:top w:val="single" w:color="auto" w:sz="8" w:space="0"/>
            </w:tcBorders>
            <w:vAlign w:val="center"/>
          </w:tcPr>
          <w:p w14:paraId="6BE36A38">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43</m:t>
                </m:r>
              </m:oMath>
            </m:oMathPara>
          </w:p>
        </w:tc>
      </w:tr>
      <w:tr w14:paraId="013798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continue"/>
            <w:vAlign w:val="center"/>
          </w:tcPr>
          <w:p w14:paraId="7B632450">
            <w:pPr>
              <w:jc w:val="center"/>
              <w:rPr>
                <w:rFonts w:hint="eastAsia" w:ascii="Times New Roman" w:hAnsi="Times New Roman" w:cs="Times New Roman"/>
                <w:color w:val="auto"/>
                <w:sz w:val="18"/>
                <w:szCs w:val="18"/>
                <w:highlight w:val="none"/>
                <w:lang w:val="en-US" w:eastAsia="zh-CN"/>
              </w:rPr>
            </w:pPr>
          </w:p>
        </w:tc>
        <w:tc>
          <w:tcPr>
            <w:tcW w:w="1179" w:type="dxa"/>
            <w:vMerge w:val="continue"/>
            <w:vAlign w:val="center"/>
          </w:tcPr>
          <w:p w14:paraId="62AB6F3E">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0597E0FA">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20≤f≤200</m:t>
                </m:r>
              </m:oMath>
            </m:oMathPara>
          </w:p>
        </w:tc>
        <w:tc>
          <w:tcPr>
            <w:tcW w:w="4252" w:type="dxa"/>
            <w:vAlign w:val="center"/>
          </w:tcPr>
          <w:p w14:paraId="44276193">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43−20×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20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368099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restart"/>
            <w:vAlign w:val="center"/>
          </w:tcPr>
          <w:p w14:paraId="29667A2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100BASE-T1</w:t>
            </w:r>
          </w:p>
        </w:tc>
        <w:tc>
          <w:tcPr>
            <w:tcW w:w="1179" w:type="dxa"/>
            <w:vMerge w:val="restart"/>
            <w:vAlign w:val="center"/>
          </w:tcPr>
          <w:p w14:paraId="24564FF5">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35EC3131">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1≤f&lt;33</m:t>
                </m:r>
              </m:oMath>
            </m:oMathPara>
          </w:p>
        </w:tc>
        <w:tc>
          <w:tcPr>
            <w:tcW w:w="4252" w:type="dxa"/>
            <w:vAlign w:val="center"/>
          </w:tcPr>
          <w:p w14:paraId="37322E4C">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43</m:t>
                </m:r>
              </m:oMath>
            </m:oMathPara>
          </w:p>
        </w:tc>
      </w:tr>
      <w:tr w14:paraId="257E4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continue"/>
            <w:vAlign w:val="center"/>
          </w:tcPr>
          <w:p w14:paraId="36AC0B9A">
            <w:pPr>
              <w:jc w:val="center"/>
              <w:rPr>
                <w:rFonts w:hint="eastAsia" w:ascii="Times New Roman" w:hAnsi="Times New Roman" w:cs="Times New Roman"/>
                <w:color w:val="auto"/>
                <w:sz w:val="18"/>
                <w:szCs w:val="18"/>
                <w:highlight w:val="none"/>
                <w:lang w:val="en-US" w:eastAsia="zh-CN"/>
              </w:rPr>
            </w:pPr>
          </w:p>
        </w:tc>
        <w:tc>
          <w:tcPr>
            <w:tcW w:w="1179" w:type="dxa"/>
            <w:vMerge w:val="continue"/>
            <w:vAlign w:val="center"/>
          </w:tcPr>
          <w:p w14:paraId="5DABC14C">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38E67C0D">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33≤f≤200</m:t>
                </m:r>
              </m:oMath>
            </m:oMathPara>
          </w:p>
        </w:tc>
        <w:tc>
          <w:tcPr>
            <w:tcW w:w="4252" w:type="dxa"/>
            <w:vAlign w:val="center"/>
          </w:tcPr>
          <w:p w14:paraId="742653AD">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43−20×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33</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60CE26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restart"/>
            <w:vAlign w:val="center"/>
          </w:tcPr>
          <w:p w14:paraId="73C7021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1000BASE-T1</w:t>
            </w:r>
          </w:p>
        </w:tc>
        <w:tc>
          <w:tcPr>
            <w:tcW w:w="1179" w:type="dxa"/>
            <w:vMerge w:val="restart"/>
            <w:vAlign w:val="center"/>
          </w:tcPr>
          <w:p w14:paraId="0A9EF9D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Type A</w:t>
            </w:r>
          </w:p>
        </w:tc>
        <w:tc>
          <w:tcPr>
            <w:tcW w:w="1587" w:type="dxa"/>
            <w:vAlign w:val="center"/>
          </w:tcPr>
          <w:p w14:paraId="6557D736">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10≤f≤80</m:t>
                </m:r>
              </m:oMath>
            </m:oMathPara>
          </w:p>
        </w:tc>
        <w:tc>
          <w:tcPr>
            <w:tcW w:w="4252" w:type="dxa"/>
            <w:vAlign w:val="center"/>
          </w:tcPr>
          <w:p w14:paraId="0AB7A3F6">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50</m:t>
                </m:r>
              </m:oMath>
            </m:oMathPara>
          </w:p>
        </w:tc>
      </w:tr>
      <w:tr w14:paraId="7C3641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continue"/>
            <w:vAlign w:val="center"/>
          </w:tcPr>
          <w:p w14:paraId="7C74032D">
            <w:pPr>
              <w:jc w:val="center"/>
              <w:rPr>
                <w:rFonts w:hint="eastAsia" w:ascii="Times New Roman" w:hAnsi="Times New Roman" w:cs="Times New Roman"/>
                <w:color w:val="auto"/>
                <w:sz w:val="18"/>
                <w:szCs w:val="18"/>
                <w:highlight w:val="none"/>
                <w:lang w:val="en-US" w:eastAsia="zh-CN"/>
              </w:rPr>
            </w:pPr>
          </w:p>
        </w:tc>
        <w:tc>
          <w:tcPr>
            <w:tcW w:w="1179" w:type="dxa"/>
            <w:vMerge w:val="continue"/>
            <w:vAlign w:val="center"/>
          </w:tcPr>
          <w:p w14:paraId="488282AC">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7C3DCE32">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80&lt;f≤600</m:t>
                </m:r>
              </m:oMath>
            </m:oMathPara>
          </w:p>
        </w:tc>
        <w:tc>
          <w:tcPr>
            <w:tcW w:w="4252" w:type="dxa"/>
            <w:vAlign w:val="center"/>
          </w:tcPr>
          <w:p w14:paraId="5C33DCF3">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72−11.51×</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bl>
    <w:p w14:paraId="4808189F">
      <w:pPr>
        <w:pStyle w:val="102"/>
        <w:numPr>
          <w:ilvl w:val="1"/>
          <w:numId w:val="0"/>
        </w:numPr>
        <w:spacing w:before="156" w:after="156"/>
        <w:ind w:leftChars="0"/>
        <w:jc w:val="center"/>
        <w:rPr>
          <w:rFonts w:hint="eastAsia" w:hAnsi="Times New Roman" w:cs="Times New Roman"/>
          <w:color w:val="auto"/>
          <w:highlight w:val="none"/>
          <w:lang w:val="en-US" w:eastAsia="zh-CN"/>
        </w:rPr>
      </w:pPr>
    </w:p>
    <w:p w14:paraId="4476830F">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表</w:t>
      </w:r>
      <w:r>
        <w:rPr>
          <w:rFonts w:hint="default" w:hAnsi="Times New Roman" w:cs="Times New Roman"/>
          <w:color w:val="auto"/>
          <w:highlight w:val="none"/>
          <w:lang w:val="en-US" w:eastAsia="zh-CN"/>
        </w:rPr>
        <w:t>A.</w:t>
      </w:r>
      <w:r>
        <w:rPr>
          <w:rFonts w:hint="eastAsia" w:cs="Times New Roman"/>
          <w:color w:val="auto"/>
          <w:highlight w:val="none"/>
          <w:lang w:val="en-US" w:eastAsia="zh-CN"/>
        </w:rPr>
        <w:t>11</w:t>
      </w:r>
      <w:r>
        <w:rPr>
          <w:rFonts w:hint="eastAsia"/>
          <w:color w:val="auto"/>
          <w:highlight w:val="none"/>
          <w:lang w:val="en-US" w:eastAsia="zh-CN"/>
        </w:rPr>
        <w:t xml:space="preserve">  </w:t>
      </w:r>
      <w:r>
        <w:rPr>
          <w:rFonts w:hint="default" w:hAnsi="Times New Roman" w:cs="Times New Roman"/>
          <w:color w:val="auto"/>
          <w:highlight w:val="none"/>
          <w:lang w:val="en-US" w:eastAsia="zh-CN"/>
        </w:rPr>
        <w:t>单对以太网</w:t>
      </w:r>
      <w:r>
        <w:rPr>
          <w:rFonts w:hint="eastAsia" w:hAnsi="Times New Roman" w:cs="Times New Roman"/>
          <w:color w:val="auto"/>
          <w:highlight w:val="none"/>
          <w:lang w:val="en-US" w:eastAsia="zh-CN"/>
        </w:rPr>
        <w:t>非屏蔽信道典型频率点最小横向转换传送损耗</w:t>
      </w:r>
    </w:p>
    <w:tbl>
      <w:tblPr>
        <w:tblStyle w:val="36"/>
        <w:tblW w:w="85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6"/>
        <w:gridCol w:w="2268"/>
        <w:gridCol w:w="2268"/>
        <w:gridCol w:w="2268"/>
      </w:tblGrid>
      <w:tr w14:paraId="40200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 w:hRule="atLeast"/>
          <w:tblHeader/>
          <w:jc w:val="center"/>
        </w:trPr>
        <w:tc>
          <w:tcPr>
            <w:tcW w:w="1746" w:type="dxa"/>
            <w:vMerge w:val="restart"/>
            <w:shd w:val="clear" w:color="auto" w:fill="auto"/>
            <w:noWrap/>
            <w:vAlign w:val="center"/>
          </w:tcPr>
          <w:p w14:paraId="174AE343">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频率</w:t>
            </w:r>
            <w:r>
              <w:rPr>
                <w:rFonts w:hint="eastAsia" w:ascii="Times New Roman" w:hAnsi="Times New Roman" w:cs="Times New Roman"/>
                <w:b/>
                <w:bCs/>
                <w:color w:val="auto"/>
                <w:sz w:val="18"/>
                <w:szCs w:val="18"/>
                <w:highlight w:val="none"/>
                <w:lang w:val="en-US" w:eastAsia="zh-CN"/>
              </w:rPr>
              <w:br w:type="textWrapping"/>
            </w:r>
            <w:r>
              <w:rPr>
                <w:rFonts w:hint="eastAsia" w:ascii="Times New Roman" w:hAnsi="Times New Roman" w:cs="Times New Roman"/>
                <w:b/>
                <w:bCs/>
                <w:color w:val="auto"/>
                <w:sz w:val="18"/>
                <w:szCs w:val="18"/>
                <w:highlight w:val="none"/>
                <w:lang w:val="en-US" w:eastAsia="zh-CN"/>
              </w:rPr>
              <w:t>（MHz）</w:t>
            </w:r>
          </w:p>
        </w:tc>
        <w:tc>
          <w:tcPr>
            <w:tcW w:w="6804" w:type="dxa"/>
            <w:gridSpan w:val="3"/>
            <w:shd w:val="clear" w:color="auto" w:fill="auto"/>
            <w:vAlign w:val="center"/>
          </w:tcPr>
          <w:p w14:paraId="6291821A">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最小横向转换传送损耗（dB）</w:t>
            </w:r>
          </w:p>
        </w:tc>
      </w:tr>
      <w:tr w14:paraId="6C39AA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1746" w:type="dxa"/>
            <w:vMerge w:val="continue"/>
            <w:tcBorders>
              <w:bottom w:val="single" w:color="auto" w:sz="8" w:space="0"/>
            </w:tcBorders>
            <w:shd w:val="clear" w:color="auto" w:fill="auto"/>
            <w:noWrap/>
            <w:vAlign w:val="center"/>
          </w:tcPr>
          <w:p w14:paraId="11F7A5D8">
            <w:pPr>
              <w:jc w:val="center"/>
              <w:rPr>
                <w:rFonts w:hint="eastAsia" w:ascii="Times New Roman" w:hAnsi="Times New Roman" w:cs="Times New Roman"/>
                <w:b/>
                <w:bCs/>
                <w:color w:val="auto"/>
                <w:sz w:val="18"/>
                <w:szCs w:val="18"/>
                <w:highlight w:val="none"/>
                <w:lang w:val="en-US" w:eastAsia="zh-CN"/>
              </w:rPr>
            </w:pPr>
          </w:p>
        </w:tc>
        <w:tc>
          <w:tcPr>
            <w:tcW w:w="2268" w:type="dxa"/>
            <w:tcBorders>
              <w:bottom w:val="single" w:color="auto" w:sz="8" w:space="0"/>
            </w:tcBorders>
            <w:shd w:val="clear" w:color="auto" w:fill="auto"/>
            <w:vAlign w:val="center"/>
          </w:tcPr>
          <w:p w14:paraId="4F1FEA8B">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10BASE-T1S</w:t>
            </w:r>
          </w:p>
        </w:tc>
        <w:tc>
          <w:tcPr>
            <w:tcW w:w="2268" w:type="dxa"/>
            <w:tcBorders>
              <w:bottom w:val="single" w:color="auto" w:sz="8" w:space="0"/>
            </w:tcBorders>
            <w:shd w:val="clear" w:color="auto" w:fill="auto"/>
            <w:vAlign w:val="center"/>
          </w:tcPr>
          <w:p w14:paraId="75DF4B8F">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100BASE-T1</w:t>
            </w:r>
          </w:p>
        </w:tc>
        <w:tc>
          <w:tcPr>
            <w:tcW w:w="2268" w:type="dxa"/>
            <w:tcBorders>
              <w:bottom w:val="single" w:color="auto" w:sz="8" w:space="0"/>
            </w:tcBorders>
            <w:shd w:val="clear" w:color="auto" w:fill="auto"/>
            <w:vAlign w:val="center"/>
          </w:tcPr>
          <w:p w14:paraId="368761CF">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1000BASE-T1</w:t>
            </w:r>
          </w:p>
          <w:p w14:paraId="2426AC1F">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Type A</w:t>
            </w:r>
          </w:p>
        </w:tc>
      </w:tr>
      <w:tr w14:paraId="7C9120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tcBorders>
              <w:top w:val="single" w:color="auto" w:sz="8" w:space="0"/>
            </w:tcBorders>
            <w:shd w:val="clear" w:color="auto" w:fill="auto"/>
            <w:noWrap/>
            <w:vAlign w:val="center"/>
          </w:tcPr>
          <w:p w14:paraId="761F4A5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0.3</w:t>
            </w:r>
          </w:p>
        </w:tc>
        <w:tc>
          <w:tcPr>
            <w:tcW w:w="2268" w:type="dxa"/>
            <w:tcBorders>
              <w:top w:val="single" w:color="auto" w:sz="8" w:space="0"/>
            </w:tcBorders>
            <w:shd w:val="clear" w:color="auto" w:fill="auto"/>
            <w:noWrap/>
            <w:vAlign w:val="center"/>
          </w:tcPr>
          <w:p w14:paraId="3C8EB04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43.0 </w:t>
            </w:r>
          </w:p>
        </w:tc>
        <w:tc>
          <w:tcPr>
            <w:tcW w:w="2268" w:type="dxa"/>
            <w:tcBorders>
              <w:top w:val="single" w:color="auto" w:sz="8" w:space="0"/>
            </w:tcBorders>
            <w:shd w:val="clear" w:color="auto" w:fill="auto"/>
            <w:noWrap/>
            <w:vAlign w:val="center"/>
          </w:tcPr>
          <w:p w14:paraId="33332355">
            <w:pPr>
              <w:jc w:val="center"/>
              <w:rPr>
                <w:rFonts w:hint="eastAsia" w:ascii="Times New Roman" w:hAnsi="Times New Roman" w:cs="Times New Roman"/>
                <w:color w:val="auto"/>
                <w:sz w:val="18"/>
                <w:szCs w:val="18"/>
                <w:highlight w:val="none"/>
                <w:lang w:val="en-US" w:eastAsia="zh-CN"/>
              </w:rPr>
            </w:pPr>
          </w:p>
        </w:tc>
        <w:tc>
          <w:tcPr>
            <w:tcW w:w="2268" w:type="dxa"/>
            <w:tcBorders>
              <w:top w:val="single" w:color="auto" w:sz="8" w:space="0"/>
            </w:tcBorders>
            <w:shd w:val="clear" w:color="auto" w:fill="auto"/>
            <w:noWrap/>
            <w:vAlign w:val="center"/>
          </w:tcPr>
          <w:p w14:paraId="6F4CB8C6">
            <w:pPr>
              <w:jc w:val="center"/>
              <w:rPr>
                <w:rFonts w:hint="eastAsia" w:ascii="Times New Roman" w:hAnsi="Times New Roman" w:cs="Times New Roman"/>
                <w:color w:val="auto"/>
                <w:sz w:val="18"/>
                <w:szCs w:val="18"/>
                <w:highlight w:val="none"/>
                <w:lang w:val="en-US" w:eastAsia="zh-CN"/>
              </w:rPr>
            </w:pPr>
          </w:p>
        </w:tc>
      </w:tr>
      <w:tr w14:paraId="20781F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799221A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w:t>
            </w:r>
          </w:p>
        </w:tc>
        <w:tc>
          <w:tcPr>
            <w:tcW w:w="2268" w:type="dxa"/>
            <w:shd w:val="clear" w:color="auto" w:fill="auto"/>
            <w:noWrap/>
            <w:vAlign w:val="center"/>
          </w:tcPr>
          <w:p w14:paraId="5F28336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43.0 </w:t>
            </w:r>
          </w:p>
        </w:tc>
        <w:tc>
          <w:tcPr>
            <w:tcW w:w="2268" w:type="dxa"/>
            <w:shd w:val="clear" w:color="auto" w:fill="auto"/>
            <w:noWrap/>
            <w:vAlign w:val="center"/>
          </w:tcPr>
          <w:p w14:paraId="06AF8F7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43.0 </w:t>
            </w:r>
          </w:p>
        </w:tc>
        <w:tc>
          <w:tcPr>
            <w:tcW w:w="2268" w:type="dxa"/>
            <w:shd w:val="clear" w:color="auto" w:fill="auto"/>
            <w:noWrap/>
            <w:vAlign w:val="center"/>
          </w:tcPr>
          <w:p w14:paraId="4CD5B8D2">
            <w:pPr>
              <w:jc w:val="center"/>
              <w:rPr>
                <w:rFonts w:hint="eastAsia" w:ascii="Times New Roman" w:hAnsi="Times New Roman" w:cs="Times New Roman"/>
                <w:color w:val="auto"/>
                <w:sz w:val="18"/>
                <w:szCs w:val="18"/>
                <w:highlight w:val="none"/>
                <w:lang w:val="en-US" w:eastAsia="zh-CN"/>
              </w:rPr>
            </w:pPr>
          </w:p>
        </w:tc>
      </w:tr>
      <w:tr w14:paraId="1F406B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70C9A40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2268" w:type="dxa"/>
            <w:shd w:val="clear" w:color="auto" w:fill="auto"/>
            <w:noWrap/>
            <w:vAlign w:val="center"/>
          </w:tcPr>
          <w:p w14:paraId="5784B30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43.0 </w:t>
            </w:r>
          </w:p>
        </w:tc>
        <w:tc>
          <w:tcPr>
            <w:tcW w:w="2268" w:type="dxa"/>
            <w:shd w:val="clear" w:color="auto" w:fill="auto"/>
            <w:noWrap/>
            <w:vAlign w:val="center"/>
          </w:tcPr>
          <w:p w14:paraId="473265A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43.0 </w:t>
            </w:r>
          </w:p>
        </w:tc>
        <w:tc>
          <w:tcPr>
            <w:tcW w:w="2268" w:type="dxa"/>
            <w:shd w:val="clear" w:color="auto" w:fill="auto"/>
            <w:noWrap/>
            <w:vAlign w:val="center"/>
          </w:tcPr>
          <w:p w14:paraId="7DCD41C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50.0 </w:t>
            </w:r>
          </w:p>
        </w:tc>
      </w:tr>
      <w:tr w14:paraId="168994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1A77D61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w:t>
            </w:r>
          </w:p>
        </w:tc>
        <w:tc>
          <w:tcPr>
            <w:tcW w:w="2268" w:type="dxa"/>
            <w:shd w:val="clear" w:color="auto" w:fill="auto"/>
            <w:noWrap/>
            <w:vAlign w:val="center"/>
          </w:tcPr>
          <w:p w14:paraId="4AF44C3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39.5 </w:t>
            </w:r>
          </w:p>
        </w:tc>
        <w:tc>
          <w:tcPr>
            <w:tcW w:w="2268" w:type="dxa"/>
            <w:shd w:val="clear" w:color="auto" w:fill="auto"/>
            <w:noWrap/>
            <w:vAlign w:val="center"/>
          </w:tcPr>
          <w:p w14:paraId="70FBB18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43.0 </w:t>
            </w:r>
          </w:p>
        </w:tc>
        <w:tc>
          <w:tcPr>
            <w:tcW w:w="2268" w:type="dxa"/>
            <w:shd w:val="clear" w:color="auto" w:fill="auto"/>
            <w:noWrap/>
            <w:vAlign w:val="center"/>
          </w:tcPr>
          <w:p w14:paraId="043EE54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50.0 </w:t>
            </w:r>
          </w:p>
        </w:tc>
      </w:tr>
      <w:tr w14:paraId="19888A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41E5ED0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w:t>
            </w:r>
          </w:p>
        </w:tc>
        <w:tc>
          <w:tcPr>
            <w:tcW w:w="2268" w:type="dxa"/>
            <w:shd w:val="clear" w:color="auto" w:fill="auto"/>
            <w:noWrap/>
            <w:vAlign w:val="center"/>
          </w:tcPr>
          <w:p w14:paraId="133E30E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37.0 </w:t>
            </w:r>
          </w:p>
        </w:tc>
        <w:tc>
          <w:tcPr>
            <w:tcW w:w="2268" w:type="dxa"/>
            <w:shd w:val="clear" w:color="auto" w:fill="auto"/>
            <w:noWrap/>
            <w:vAlign w:val="center"/>
          </w:tcPr>
          <w:p w14:paraId="14C1699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41.3 </w:t>
            </w:r>
          </w:p>
        </w:tc>
        <w:tc>
          <w:tcPr>
            <w:tcW w:w="2268" w:type="dxa"/>
            <w:shd w:val="clear" w:color="auto" w:fill="auto"/>
            <w:noWrap/>
            <w:vAlign w:val="center"/>
          </w:tcPr>
          <w:p w14:paraId="1BDD2D0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50.0 </w:t>
            </w:r>
          </w:p>
        </w:tc>
      </w:tr>
      <w:tr w14:paraId="001468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145A3A1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w:t>
            </w:r>
          </w:p>
        </w:tc>
        <w:tc>
          <w:tcPr>
            <w:tcW w:w="2268" w:type="dxa"/>
            <w:shd w:val="clear" w:color="auto" w:fill="auto"/>
            <w:noWrap/>
            <w:vAlign w:val="center"/>
          </w:tcPr>
          <w:p w14:paraId="4112872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35.0 </w:t>
            </w:r>
          </w:p>
        </w:tc>
        <w:tc>
          <w:tcPr>
            <w:tcW w:w="2268" w:type="dxa"/>
            <w:shd w:val="clear" w:color="auto" w:fill="auto"/>
            <w:noWrap/>
            <w:vAlign w:val="center"/>
          </w:tcPr>
          <w:p w14:paraId="71BAD4D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39.4 </w:t>
            </w:r>
          </w:p>
        </w:tc>
        <w:tc>
          <w:tcPr>
            <w:tcW w:w="2268" w:type="dxa"/>
            <w:shd w:val="clear" w:color="auto" w:fill="auto"/>
            <w:noWrap/>
            <w:vAlign w:val="center"/>
          </w:tcPr>
          <w:p w14:paraId="4A0760F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50.0 </w:t>
            </w:r>
          </w:p>
        </w:tc>
      </w:tr>
      <w:tr w14:paraId="2503F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3FB502F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66</w:t>
            </w:r>
          </w:p>
        </w:tc>
        <w:tc>
          <w:tcPr>
            <w:tcW w:w="2268" w:type="dxa"/>
            <w:shd w:val="clear" w:color="auto" w:fill="auto"/>
            <w:noWrap/>
            <w:vAlign w:val="center"/>
          </w:tcPr>
          <w:p w14:paraId="68C8A90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32.6 </w:t>
            </w:r>
          </w:p>
        </w:tc>
        <w:tc>
          <w:tcPr>
            <w:tcW w:w="2268" w:type="dxa"/>
            <w:shd w:val="clear" w:color="auto" w:fill="auto"/>
            <w:noWrap/>
            <w:vAlign w:val="center"/>
          </w:tcPr>
          <w:p w14:paraId="43D2A0A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37.0 </w:t>
            </w:r>
          </w:p>
        </w:tc>
        <w:tc>
          <w:tcPr>
            <w:tcW w:w="2268" w:type="dxa"/>
            <w:shd w:val="clear" w:color="auto" w:fill="auto"/>
            <w:noWrap/>
            <w:vAlign w:val="center"/>
          </w:tcPr>
          <w:p w14:paraId="75698C2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50.0 </w:t>
            </w:r>
          </w:p>
        </w:tc>
      </w:tr>
      <w:tr w14:paraId="5EC21E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52C0E5C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w:t>
            </w:r>
          </w:p>
        </w:tc>
        <w:tc>
          <w:tcPr>
            <w:tcW w:w="2268" w:type="dxa"/>
            <w:shd w:val="clear" w:color="auto" w:fill="auto"/>
            <w:noWrap/>
            <w:vAlign w:val="center"/>
          </w:tcPr>
          <w:p w14:paraId="4B60552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29.0 </w:t>
            </w:r>
          </w:p>
        </w:tc>
        <w:tc>
          <w:tcPr>
            <w:tcW w:w="2268" w:type="dxa"/>
            <w:shd w:val="clear" w:color="auto" w:fill="auto"/>
            <w:noWrap/>
            <w:vAlign w:val="center"/>
          </w:tcPr>
          <w:p w14:paraId="7F2EBF4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33.4 </w:t>
            </w:r>
          </w:p>
        </w:tc>
        <w:tc>
          <w:tcPr>
            <w:tcW w:w="2268" w:type="dxa"/>
            <w:shd w:val="clear" w:color="auto" w:fill="auto"/>
            <w:noWrap/>
            <w:vAlign w:val="center"/>
          </w:tcPr>
          <w:p w14:paraId="182A11B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49.0 </w:t>
            </w:r>
          </w:p>
        </w:tc>
      </w:tr>
      <w:tr w14:paraId="68FD48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3A99100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200</w:t>
            </w:r>
          </w:p>
        </w:tc>
        <w:tc>
          <w:tcPr>
            <w:tcW w:w="2268" w:type="dxa"/>
            <w:shd w:val="clear" w:color="auto" w:fill="auto"/>
            <w:noWrap/>
            <w:vAlign w:val="center"/>
          </w:tcPr>
          <w:p w14:paraId="45E6288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23.0 </w:t>
            </w:r>
          </w:p>
        </w:tc>
        <w:tc>
          <w:tcPr>
            <w:tcW w:w="2268" w:type="dxa"/>
            <w:shd w:val="clear" w:color="auto" w:fill="auto"/>
            <w:noWrap/>
            <w:vAlign w:val="center"/>
          </w:tcPr>
          <w:p w14:paraId="7C869B7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27.3 </w:t>
            </w:r>
          </w:p>
        </w:tc>
        <w:tc>
          <w:tcPr>
            <w:tcW w:w="2268" w:type="dxa"/>
            <w:shd w:val="clear" w:color="auto" w:fill="auto"/>
            <w:noWrap/>
            <w:vAlign w:val="center"/>
          </w:tcPr>
          <w:p w14:paraId="01699C9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45.5 </w:t>
            </w:r>
          </w:p>
        </w:tc>
      </w:tr>
      <w:tr w14:paraId="7E109D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69E4A91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400</w:t>
            </w:r>
          </w:p>
        </w:tc>
        <w:tc>
          <w:tcPr>
            <w:tcW w:w="2268" w:type="dxa"/>
            <w:shd w:val="clear" w:color="auto" w:fill="auto"/>
            <w:noWrap/>
            <w:vAlign w:val="center"/>
          </w:tcPr>
          <w:p w14:paraId="27B05014">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32807EF0">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6659AC8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42.1 </w:t>
            </w:r>
          </w:p>
        </w:tc>
      </w:tr>
      <w:tr w14:paraId="0C53A3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65B3EFB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600</w:t>
            </w:r>
          </w:p>
        </w:tc>
        <w:tc>
          <w:tcPr>
            <w:tcW w:w="2268" w:type="dxa"/>
            <w:shd w:val="clear" w:color="auto" w:fill="auto"/>
            <w:noWrap/>
            <w:vAlign w:val="center"/>
          </w:tcPr>
          <w:p w14:paraId="49F216DC">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78B79F8C">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2C26B40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40.0 </w:t>
            </w:r>
          </w:p>
        </w:tc>
      </w:tr>
    </w:tbl>
    <w:p w14:paraId="6E378192">
      <w:pPr>
        <w:rPr>
          <w:rFonts w:hint="eastAsia"/>
          <w:color w:val="auto"/>
          <w:lang w:val="en-US" w:eastAsia="zh-CN"/>
        </w:rPr>
      </w:pPr>
    </w:p>
    <w:p w14:paraId="67DD0901">
      <w:pPr>
        <w:pStyle w:val="75"/>
        <w:numPr>
          <w:ilvl w:val="2"/>
          <w:numId w:val="0"/>
        </w:numPr>
        <w:spacing w:before="156" w:after="156"/>
        <w:ind w:leftChars="0"/>
        <w:rPr>
          <w:rFonts w:hint="eastAsia" w:ascii="Times New Roman" w:hAnsi="Times New Roman" w:eastAsia="宋体" w:cs="Times New Roman"/>
          <w:color w:val="auto"/>
          <w:highlight w:val="none"/>
          <w:lang w:val="en-US" w:eastAsia="zh-CN"/>
        </w:rPr>
      </w:pPr>
      <w:r>
        <w:rPr>
          <w:rFonts w:hint="eastAsia" w:ascii="黑体" w:hAnsi="黑体" w:eastAsia="黑体" w:cs="黑体"/>
          <w:color w:val="auto"/>
          <w:highlight w:val="none"/>
          <w:lang w:val="en-US" w:eastAsia="zh-CN"/>
        </w:rPr>
        <w:t>A.2.</w:t>
      </w:r>
      <w:r>
        <w:rPr>
          <w:rFonts w:hint="eastAsia" w:hAnsi="黑体" w:cs="黑体"/>
          <w:color w:val="auto"/>
          <w:highlight w:val="none"/>
          <w:lang w:val="en-US" w:eastAsia="zh-CN"/>
        </w:rPr>
        <w:t xml:space="preserve">5  </w:t>
      </w:r>
      <w:r>
        <w:rPr>
          <w:rFonts w:hint="default" w:ascii="Times New Roman" w:hAnsi="Times New Roman" w:eastAsia="宋体" w:cs="Times New Roman"/>
          <w:color w:val="auto"/>
          <w:highlight w:val="none"/>
          <w:lang w:val="en-US" w:eastAsia="zh-CN"/>
        </w:rPr>
        <w:t>单对以太网</w:t>
      </w:r>
      <w:r>
        <w:rPr>
          <w:rFonts w:hint="eastAsia" w:ascii="Times New Roman" w:hAnsi="Times New Roman" w:eastAsia="宋体" w:cs="Times New Roman"/>
          <w:color w:val="auto"/>
          <w:highlight w:val="none"/>
          <w:lang w:val="en-US" w:eastAsia="zh-CN"/>
        </w:rPr>
        <w:t>非屏蔽</w:t>
      </w:r>
      <w:r>
        <w:rPr>
          <w:rFonts w:hint="default" w:ascii="Times New Roman" w:hAnsi="Times New Roman" w:eastAsia="宋体" w:cs="Times New Roman"/>
          <w:color w:val="auto"/>
          <w:highlight w:val="none"/>
          <w:lang w:val="en-US" w:eastAsia="zh-CN"/>
        </w:rPr>
        <w:t>信道的</w:t>
      </w:r>
      <w:r>
        <w:rPr>
          <w:rFonts w:hint="eastAsia" w:ascii="Times New Roman" w:hAnsi="Times New Roman" w:eastAsia="宋体" w:cs="Times New Roman"/>
          <w:color w:val="auto"/>
          <w:highlight w:val="none"/>
          <w:lang w:val="en-US" w:eastAsia="zh-CN"/>
        </w:rPr>
        <w:t>最小等电平横向转换传送损耗</w:t>
      </w:r>
      <w:r>
        <w:rPr>
          <w:rFonts w:hint="default" w:ascii="Times New Roman" w:hAnsi="Times New Roman" w:eastAsia="宋体" w:cs="Times New Roman"/>
          <w:color w:val="auto"/>
          <w:highlight w:val="none"/>
          <w:lang w:val="en-US" w:eastAsia="zh-CN"/>
        </w:rPr>
        <w:t>应满足表A.</w:t>
      </w:r>
      <w:r>
        <w:rPr>
          <w:rFonts w:hint="eastAsia" w:ascii="Times New Roman" w:eastAsia="宋体" w:cs="Times New Roman"/>
          <w:color w:val="auto"/>
          <w:highlight w:val="none"/>
          <w:lang w:val="en-US" w:eastAsia="zh-CN"/>
        </w:rPr>
        <w:t>12</w:t>
      </w:r>
      <w:r>
        <w:rPr>
          <w:rFonts w:hint="eastAsia" w:ascii="Times New Roman" w:hAnsi="Times New Roman" w:eastAsia="宋体" w:cs="Times New Roman"/>
          <w:color w:val="auto"/>
          <w:highlight w:val="none"/>
          <w:lang w:val="en-US" w:eastAsia="zh-CN"/>
        </w:rPr>
        <w:t>、表</w:t>
      </w:r>
      <w:r>
        <w:rPr>
          <w:rFonts w:hint="default" w:ascii="Times New Roman" w:hAnsi="Times New Roman" w:eastAsia="宋体" w:cs="Times New Roman"/>
          <w:color w:val="auto"/>
          <w:highlight w:val="none"/>
          <w:lang w:val="en-US" w:eastAsia="zh-CN"/>
        </w:rPr>
        <w:t>A.</w:t>
      </w:r>
      <w:r>
        <w:rPr>
          <w:rFonts w:hint="eastAsia" w:ascii="Times New Roman" w:eastAsia="宋体" w:cs="Times New Roman"/>
          <w:color w:val="auto"/>
          <w:highlight w:val="none"/>
          <w:lang w:val="en-US" w:eastAsia="zh-CN"/>
        </w:rPr>
        <w:t>13</w:t>
      </w:r>
      <w:r>
        <w:rPr>
          <w:rFonts w:hint="eastAsia" w:ascii="Times New Roman" w:hAnsi="Times New Roman" w:eastAsia="宋体" w:cs="Times New Roman"/>
          <w:color w:val="auto"/>
          <w:highlight w:val="none"/>
          <w:lang w:val="en-US" w:eastAsia="zh-CN"/>
        </w:rPr>
        <w:t>、</w:t>
      </w:r>
      <w:r>
        <w:rPr>
          <w:rFonts w:hint="eastAsia" w:ascii="Times New Roman" w:eastAsia="宋体" w:cs="Times New Roman"/>
          <w:color w:val="auto"/>
          <w:highlight w:val="none"/>
          <w:lang w:val="en-US" w:eastAsia="zh-CN"/>
        </w:rPr>
        <w:t>图A.</w:t>
      </w:r>
      <w:r>
        <w:rPr>
          <w:rFonts w:hint="eastAsia" w:ascii="Times New Roman" w:hAnsi="Times New Roman" w:eastAsia="宋体" w:cs="Times New Roman"/>
          <w:color w:val="auto"/>
          <w:highlight w:val="none"/>
          <w:lang w:val="en-US" w:eastAsia="zh-CN"/>
        </w:rPr>
        <w:t>8及</w:t>
      </w:r>
      <w:r>
        <w:rPr>
          <w:rFonts w:hint="eastAsia" w:ascii="Times New Roman" w:eastAsia="宋体" w:cs="Times New Roman"/>
          <w:color w:val="auto"/>
          <w:highlight w:val="none"/>
          <w:lang w:val="en-US" w:eastAsia="zh-CN"/>
        </w:rPr>
        <w:t>图A.</w:t>
      </w:r>
      <w:r>
        <w:rPr>
          <w:rFonts w:hint="eastAsia"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lang w:val="en-US" w:eastAsia="zh-CN"/>
        </w:rPr>
        <w:t>的相关要求。</w:t>
      </w:r>
    </w:p>
    <w:p w14:paraId="6FA7BB3B">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表</w:t>
      </w:r>
      <w:r>
        <w:rPr>
          <w:rFonts w:hint="default" w:hAnsi="Times New Roman" w:cs="Times New Roman"/>
          <w:color w:val="auto"/>
          <w:highlight w:val="none"/>
          <w:lang w:val="en-US" w:eastAsia="zh-CN"/>
        </w:rPr>
        <w:t>A.</w:t>
      </w:r>
      <w:r>
        <w:rPr>
          <w:rFonts w:hint="eastAsia" w:cs="Times New Roman"/>
          <w:color w:val="auto"/>
          <w:highlight w:val="none"/>
          <w:lang w:val="en-US" w:eastAsia="zh-CN"/>
        </w:rPr>
        <w:t>12</w:t>
      </w:r>
      <w:r>
        <w:rPr>
          <w:rFonts w:hint="eastAsia"/>
          <w:color w:val="auto"/>
          <w:highlight w:val="none"/>
          <w:lang w:val="en-US" w:eastAsia="zh-CN"/>
        </w:rPr>
        <w:t xml:space="preserve">  </w:t>
      </w:r>
      <w:r>
        <w:rPr>
          <w:rFonts w:hint="default" w:hAnsi="Times New Roman" w:cs="Times New Roman"/>
          <w:color w:val="auto"/>
          <w:highlight w:val="none"/>
          <w:lang w:val="en-US" w:eastAsia="zh-CN"/>
        </w:rPr>
        <w:t>单对以太网</w:t>
      </w:r>
      <w:r>
        <w:rPr>
          <w:rFonts w:hint="eastAsia" w:hAnsi="Times New Roman" w:cs="Times New Roman"/>
          <w:color w:val="auto"/>
          <w:highlight w:val="none"/>
          <w:lang w:val="en-US" w:eastAsia="zh-CN"/>
        </w:rPr>
        <w:t>非屏蔽信道最小等电平横向转换传送损耗</w:t>
      </w:r>
    </w:p>
    <w:tbl>
      <w:tblPr>
        <w:tblStyle w:val="37"/>
        <w:tblW w:w="85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1179"/>
        <w:gridCol w:w="1587"/>
        <w:gridCol w:w="4252"/>
      </w:tblGrid>
      <w:tr w14:paraId="2BFF8F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31" w:type="dxa"/>
            <w:tcBorders>
              <w:bottom w:val="single" w:color="auto" w:sz="8" w:space="0"/>
            </w:tcBorders>
            <w:vAlign w:val="center"/>
          </w:tcPr>
          <w:p w14:paraId="73E88CBA">
            <w:pPr>
              <w:jc w:val="center"/>
              <w:rPr>
                <w:rFonts w:hint="eastAsia" w:ascii="Times New Roman" w:hAnsi="Times New Roman"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SPE类型</w:t>
            </w:r>
          </w:p>
        </w:tc>
        <w:tc>
          <w:tcPr>
            <w:tcW w:w="1179" w:type="dxa"/>
            <w:tcBorders>
              <w:bottom w:val="single" w:color="auto" w:sz="8" w:space="0"/>
            </w:tcBorders>
            <w:vAlign w:val="center"/>
          </w:tcPr>
          <w:p w14:paraId="11ED65F1">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信道类别</w:t>
            </w:r>
          </w:p>
        </w:tc>
        <w:tc>
          <w:tcPr>
            <w:tcW w:w="1587" w:type="dxa"/>
            <w:tcBorders>
              <w:bottom w:val="single" w:color="auto" w:sz="8" w:space="0"/>
            </w:tcBorders>
            <w:vAlign w:val="center"/>
          </w:tcPr>
          <w:p w14:paraId="6D0CF728">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频率</w:t>
            </w:r>
            <w:r>
              <w:rPr>
                <w:rFonts w:hint="eastAsia" w:ascii="Times New Roman" w:hAnsi="Times New Roman" w:cs="Times New Roman"/>
                <w:b/>
                <w:bCs/>
                <w:color w:val="auto"/>
                <w:sz w:val="18"/>
                <w:szCs w:val="18"/>
                <w:highlight w:val="none"/>
                <w:lang w:val="en-US" w:eastAsia="zh-CN"/>
              </w:rPr>
              <w:br w:type="textWrapping"/>
            </w:r>
            <w:r>
              <w:rPr>
                <w:rFonts w:hint="eastAsia" w:ascii="Times New Roman" w:hAnsi="Times New Roman" w:cs="Times New Roman"/>
                <w:b/>
                <w:bCs/>
                <w:color w:val="auto"/>
                <w:sz w:val="18"/>
                <w:szCs w:val="18"/>
                <w:highlight w:val="none"/>
                <w:lang w:val="en-US" w:eastAsia="zh-CN"/>
              </w:rPr>
              <w:t>（MHz）</w:t>
            </w:r>
          </w:p>
        </w:tc>
        <w:tc>
          <w:tcPr>
            <w:tcW w:w="4252" w:type="dxa"/>
            <w:tcBorders>
              <w:bottom w:val="single" w:color="auto" w:sz="8" w:space="0"/>
            </w:tcBorders>
            <w:vAlign w:val="center"/>
          </w:tcPr>
          <w:p w14:paraId="779592CF">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最小等电平横向转换传送损耗</w:t>
            </w:r>
          </w:p>
          <w:p w14:paraId="380055A6">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（dB）</w:t>
            </w:r>
          </w:p>
        </w:tc>
      </w:tr>
      <w:tr w14:paraId="4D56AA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tcBorders>
              <w:top w:val="single" w:color="auto" w:sz="8" w:space="0"/>
            </w:tcBorders>
            <w:vAlign w:val="center"/>
          </w:tcPr>
          <w:p w14:paraId="7A04BF5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10BASE-T1L</w:t>
            </w:r>
          </w:p>
        </w:tc>
        <w:tc>
          <w:tcPr>
            <w:tcW w:w="1179" w:type="dxa"/>
            <w:tcBorders>
              <w:top w:val="single" w:color="auto" w:sz="8" w:space="0"/>
            </w:tcBorders>
            <w:vAlign w:val="center"/>
          </w:tcPr>
          <w:p w14:paraId="7C4E93B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SP1</w:t>
            </w:r>
          </w:p>
        </w:tc>
        <w:tc>
          <w:tcPr>
            <w:tcW w:w="1587" w:type="dxa"/>
            <w:tcBorders>
              <w:top w:val="single" w:color="auto" w:sz="8" w:space="0"/>
            </w:tcBorders>
            <w:vAlign w:val="center"/>
          </w:tcPr>
          <w:p w14:paraId="01C40264">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0.1≤f≤20</m:t>
                </m:r>
              </m:oMath>
            </m:oMathPara>
          </w:p>
        </w:tc>
        <w:tc>
          <w:tcPr>
            <w:tcW w:w="4252" w:type="dxa"/>
            <w:tcBorders>
              <w:top w:val="single" w:color="auto" w:sz="8" w:space="0"/>
            </w:tcBorders>
            <w:vAlign w:val="center"/>
          </w:tcPr>
          <w:p w14:paraId="3D00A68B">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53−20×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bl>
    <w:p w14:paraId="50FB3923">
      <w:pPr>
        <w:spacing w:before="156" w:beforeLines="50" w:after="156" w:afterLines="50"/>
        <w:ind w:firstLine="420" w:firstLineChars="200"/>
        <w:rPr>
          <w:rFonts w:ascii="Times New Roman" w:hAnsi="Times New Roman" w:cs="Times New Roman"/>
          <w:i/>
          <w:iCs/>
          <w:color w:val="auto"/>
        </w:rPr>
      </w:pPr>
    </w:p>
    <w:p w14:paraId="759FA2CC">
      <w:pPr>
        <w:spacing w:before="156" w:beforeLines="50" w:after="156" w:afterLines="50"/>
        <w:ind w:firstLine="0" w:firstLineChars="0"/>
        <w:jc w:val="center"/>
        <w:rPr>
          <w:rFonts w:ascii="Times New Roman" w:hAnsi="Times New Roman" w:cs="Times New Roman"/>
          <w:i/>
          <w:iCs/>
          <w:color w:val="auto"/>
        </w:rPr>
      </w:pPr>
      <w:r>
        <w:rPr>
          <w:rFonts w:ascii="Times New Roman" w:hAnsi="Times New Roman" w:cs="Times New Roman"/>
          <w:i/>
          <w:iCs/>
          <w:color w:val="auto"/>
        </w:rPr>
        <w:drawing>
          <wp:inline distT="0" distB="0" distL="0" distR="0">
            <wp:extent cx="5126355" cy="3347720"/>
            <wp:effectExtent l="0" t="0" r="9525" b="508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noChangeArrowheads="1"/>
                    </pic:cNvPicPr>
                  </pic:nvPicPr>
                  <pic:blipFill>
                    <a:blip r:embed="rId17"/>
                    <a:srcRect/>
                    <a:stretch>
                      <a:fillRect/>
                    </a:stretch>
                  </pic:blipFill>
                  <pic:spPr>
                    <a:xfrm>
                      <a:off x="0" y="0"/>
                      <a:ext cx="5126355" cy="3348000"/>
                    </a:xfrm>
                    <a:prstGeom prst="rect">
                      <a:avLst/>
                    </a:prstGeom>
                    <a:noFill/>
                  </pic:spPr>
                </pic:pic>
              </a:graphicData>
            </a:graphic>
          </wp:inline>
        </w:drawing>
      </w:r>
    </w:p>
    <w:p w14:paraId="21DE0DB2">
      <w:pPr>
        <w:pStyle w:val="140"/>
        <w:numPr>
          <w:ilvl w:val="0"/>
          <w:numId w:val="0"/>
        </w:numPr>
        <w:bidi w:val="0"/>
        <w:ind w:leftChars="0"/>
        <w:jc w:val="center"/>
        <w:rPr>
          <w:rFonts w:hint="default" w:ascii="Times New Roman" w:hAnsi="Times New Roman" w:cs="Times New Roman"/>
          <w:color w:val="auto"/>
          <w:lang w:val="en-US" w:eastAsia="zh-CN"/>
        </w:rPr>
      </w:pPr>
      <w:r>
        <w:rPr>
          <w:rFonts w:hint="eastAsia" w:hAnsi="黑体" w:cs="黑体"/>
          <w:color w:val="auto"/>
          <w:lang w:val="en-US" w:eastAsia="zh-CN"/>
        </w:rPr>
        <w:t>图A.8</w:t>
      </w:r>
      <w:r>
        <w:rPr>
          <w:rFonts w:hint="eastAsia"/>
          <w:color w:val="auto"/>
          <w:highlight w:val="none"/>
          <w:lang w:val="en-US" w:eastAsia="zh-CN"/>
        </w:rPr>
        <w:t xml:space="preserve">  </w:t>
      </w:r>
      <w:r>
        <w:rPr>
          <w:rFonts w:hint="default" w:ascii="Times New Roman" w:hAnsi="Times New Roman" w:cs="Times New Roman"/>
          <w:color w:val="auto"/>
          <w:lang w:val="en-US" w:eastAsia="zh-CN"/>
        </w:rPr>
        <w:t>单对以太网</w:t>
      </w:r>
      <w:r>
        <w:rPr>
          <w:rFonts w:hint="eastAsia" w:ascii="Times New Roman" w:hAnsi="Times New Roman" w:cs="Times New Roman"/>
          <w:color w:val="auto"/>
          <w:lang w:val="en-US" w:eastAsia="zh-CN"/>
        </w:rPr>
        <w:t>非屏蔽信道最小等电平横向转换传送损耗1</w:t>
      </w:r>
    </w:p>
    <w:p w14:paraId="60B85E0F">
      <w:pPr>
        <w:pStyle w:val="47"/>
        <w:rPr>
          <w:color w:val="auto"/>
        </w:rPr>
      </w:pPr>
    </w:p>
    <w:p w14:paraId="48917BC7">
      <w:pPr>
        <w:spacing w:before="156" w:beforeLines="50" w:after="156" w:afterLines="50"/>
        <w:ind w:firstLine="0" w:firstLineChars="0"/>
        <w:jc w:val="center"/>
        <w:rPr>
          <w:rFonts w:ascii="Times New Roman" w:hAnsi="Times New Roman" w:cs="Times New Roman"/>
          <w:i/>
          <w:iCs/>
          <w:color w:val="auto"/>
        </w:rPr>
      </w:pPr>
      <w:r>
        <w:rPr>
          <w:rFonts w:ascii="Times New Roman" w:hAnsi="Times New Roman" w:cs="Times New Roman"/>
          <w:i/>
          <w:iCs/>
          <w:color w:val="auto"/>
        </w:rPr>
        <w:drawing>
          <wp:inline distT="0" distB="0" distL="0" distR="0">
            <wp:extent cx="5126355" cy="3351530"/>
            <wp:effectExtent l="0" t="0" r="9525" b="127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noChangeArrowheads="1"/>
                    </pic:cNvPicPr>
                  </pic:nvPicPr>
                  <pic:blipFill>
                    <a:blip r:embed="rId18"/>
                    <a:srcRect/>
                    <a:stretch>
                      <a:fillRect/>
                    </a:stretch>
                  </pic:blipFill>
                  <pic:spPr>
                    <a:xfrm>
                      <a:off x="0" y="0"/>
                      <a:ext cx="5126355" cy="3351600"/>
                    </a:xfrm>
                    <a:prstGeom prst="rect">
                      <a:avLst/>
                    </a:prstGeom>
                    <a:noFill/>
                  </pic:spPr>
                </pic:pic>
              </a:graphicData>
            </a:graphic>
          </wp:inline>
        </w:drawing>
      </w:r>
    </w:p>
    <w:p w14:paraId="7FBE46E8">
      <w:pPr>
        <w:pStyle w:val="140"/>
        <w:numPr>
          <w:ilvl w:val="0"/>
          <w:numId w:val="0"/>
        </w:numPr>
        <w:bidi w:val="0"/>
        <w:ind w:leftChars="0"/>
        <w:jc w:val="center"/>
        <w:rPr>
          <w:rFonts w:hint="eastAsia" w:ascii="Times New Roman" w:hAnsi="Times New Roman" w:cs="Times New Roman"/>
          <w:color w:val="auto"/>
          <w:lang w:val="en-US" w:eastAsia="zh-CN"/>
        </w:rPr>
      </w:pPr>
      <w:r>
        <w:rPr>
          <w:rFonts w:hint="eastAsia" w:hAnsi="黑体" w:cs="黑体"/>
          <w:color w:val="auto"/>
          <w:lang w:val="en-US" w:eastAsia="zh-CN"/>
        </w:rPr>
        <w:t>图A.9</w:t>
      </w:r>
      <w:r>
        <w:rPr>
          <w:rFonts w:hint="eastAsia"/>
          <w:color w:val="auto"/>
          <w:highlight w:val="none"/>
          <w:lang w:val="en-US" w:eastAsia="zh-CN"/>
        </w:rPr>
        <w:t xml:space="preserve">  </w:t>
      </w:r>
      <w:r>
        <w:rPr>
          <w:rFonts w:hint="default" w:ascii="Times New Roman" w:hAnsi="Times New Roman" w:cs="Times New Roman"/>
          <w:color w:val="auto"/>
          <w:lang w:val="en-US" w:eastAsia="zh-CN"/>
        </w:rPr>
        <w:t>单对以太网</w:t>
      </w:r>
      <w:r>
        <w:rPr>
          <w:rFonts w:hint="eastAsia" w:ascii="Times New Roman" w:hAnsi="Times New Roman" w:cs="Times New Roman"/>
          <w:color w:val="auto"/>
          <w:lang w:val="en-US" w:eastAsia="zh-CN"/>
        </w:rPr>
        <w:t>非屏蔽信道最小等电平横向转换传送损耗2</w:t>
      </w:r>
    </w:p>
    <w:p w14:paraId="291663E9">
      <w:pPr>
        <w:pStyle w:val="26"/>
        <w:rPr>
          <w:rFonts w:hint="eastAsia" w:ascii="Times New Roman" w:hAnsi="Times New Roman" w:cs="Times New Roman"/>
          <w:color w:val="auto"/>
          <w:lang w:val="en-US" w:eastAsia="zh-CN"/>
        </w:rPr>
      </w:pPr>
    </w:p>
    <w:p w14:paraId="41B1C9BB">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表</w:t>
      </w:r>
      <w:r>
        <w:rPr>
          <w:rFonts w:hint="default" w:hAnsi="Times New Roman" w:cs="Times New Roman"/>
          <w:color w:val="auto"/>
          <w:highlight w:val="none"/>
          <w:lang w:val="en-US" w:eastAsia="zh-CN"/>
        </w:rPr>
        <w:t>A.</w:t>
      </w:r>
      <w:r>
        <w:rPr>
          <w:rFonts w:hint="eastAsia" w:cs="Times New Roman"/>
          <w:color w:val="auto"/>
          <w:highlight w:val="none"/>
          <w:lang w:val="en-US" w:eastAsia="zh-CN"/>
        </w:rPr>
        <w:t>13</w:t>
      </w:r>
      <w:r>
        <w:rPr>
          <w:rFonts w:hint="eastAsia"/>
          <w:color w:val="auto"/>
          <w:highlight w:val="none"/>
          <w:lang w:val="en-US" w:eastAsia="zh-CN"/>
        </w:rPr>
        <w:t xml:space="preserve">  </w:t>
      </w:r>
      <w:r>
        <w:rPr>
          <w:rFonts w:hint="default" w:hAnsi="Times New Roman" w:cs="Times New Roman"/>
          <w:color w:val="auto"/>
          <w:highlight w:val="none"/>
          <w:lang w:val="en-US" w:eastAsia="zh-CN"/>
        </w:rPr>
        <w:t>单对以太网</w:t>
      </w:r>
      <w:r>
        <w:rPr>
          <w:rFonts w:hint="eastAsia" w:hAnsi="Times New Roman" w:cs="Times New Roman"/>
          <w:color w:val="auto"/>
          <w:highlight w:val="none"/>
          <w:lang w:val="en-US" w:eastAsia="zh-CN"/>
        </w:rPr>
        <w:t>非屏蔽信道典型频率点最小等电平横向转换传输损耗</w:t>
      </w:r>
    </w:p>
    <w:tbl>
      <w:tblPr>
        <w:tblStyle w:val="37"/>
        <w:tblW w:w="85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80"/>
        <w:gridCol w:w="5669"/>
      </w:tblGrid>
      <w:tr w14:paraId="2D54CB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880" w:type="dxa"/>
            <w:tcBorders>
              <w:bottom w:val="single" w:color="auto" w:sz="8" w:space="0"/>
            </w:tcBorders>
            <w:vAlign w:val="center"/>
          </w:tcPr>
          <w:p w14:paraId="62B6F444">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频率</w:t>
            </w:r>
          </w:p>
          <w:p w14:paraId="7D6608A1">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（MHz）</w:t>
            </w:r>
          </w:p>
        </w:tc>
        <w:tc>
          <w:tcPr>
            <w:tcW w:w="5669" w:type="dxa"/>
            <w:tcBorders>
              <w:bottom w:val="single" w:color="auto" w:sz="8" w:space="0"/>
            </w:tcBorders>
            <w:vAlign w:val="center"/>
          </w:tcPr>
          <w:p w14:paraId="446DF014">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最小等电平横向转换传输损耗</w:t>
            </w:r>
          </w:p>
          <w:p w14:paraId="4DDCB75A">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（dB）</w:t>
            </w:r>
          </w:p>
        </w:tc>
      </w:tr>
      <w:tr w14:paraId="05CDB5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tcBorders>
              <w:top w:val="single" w:color="auto" w:sz="8" w:space="0"/>
            </w:tcBorders>
            <w:vAlign w:val="center"/>
          </w:tcPr>
          <w:p w14:paraId="40D6BD6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w:t>
            </w:r>
          </w:p>
        </w:tc>
        <w:tc>
          <w:tcPr>
            <w:tcW w:w="5669" w:type="dxa"/>
            <w:tcBorders>
              <w:top w:val="single" w:color="auto" w:sz="8" w:space="0"/>
            </w:tcBorders>
            <w:vAlign w:val="center"/>
          </w:tcPr>
          <w:p w14:paraId="3462E3A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46.0 </w:t>
            </w:r>
          </w:p>
        </w:tc>
      </w:tr>
      <w:tr w14:paraId="244EB2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vAlign w:val="center"/>
          </w:tcPr>
          <w:p w14:paraId="23B8403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0.5</w:t>
            </w:r>
          </w:p>
        </w:tc>
        <w:tc>
          <w:tcPr>
            <w:tcW w:w="5669" w:type="dxa"/>
            <w:vAlign w:val="center"/>
          </w:tcPr>
          <w:p w14:paraId="350A711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46.0 </w:t>
            </w:r>
          </w:p>
        </w:tc>
      </w:tr>
      <w:tr w14:paraId="27DA0E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vAlign w:val="center"/>
          </w:tcPr>
          <w:p w14:paraId="66A3983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0.772</w:t>
            </w:r>
          </w:p>
        </w:tc>
        <w:tc>
          <w:tcPr>
            <w:tcW w:w="5669" w:type="dxa"/>
            <w:vAlign w:val="center"/>
          </w:tcPr>
          <w:p w14:paraId="06A917A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46.0 </w:t>
            </w:r>
          </w:p>
        </w:tc>
      </w:tr>
      <w:tr w14:paraId="52621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vAlign w:val="center"/>
          </w:tcPr>
          <w:p w14:paraId="3AD7336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w:t>
            </w:r>
          </w:p>
        </w:tc>
        <w:tc>
          <w:tcPr>
            <w:tcW w:w="5669" w:type="dxa"/>
            <w:vAlign w:val="center"/>
          </w:tcPr>
          <w:p w14:paraId="5B71C63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46.0 </w:t>
            </w:r>
          </w:p>
        </w:tc>
      </w:tr>
      <w:tr w14:paraId="79EC80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vAlign w:val="center"/>
          </w:tcPr>
          <w:p w14:paraId="768E434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2.00</w:t>
            </w:r>
          </w:p>
        </w:tc>
        <w:tc>
          <w:tcPr>
            <w:tcW w:w="5669" w:type="dxa"/>
            <w:vAlign w:val="center"/>
          </w:tcPr>
          <w:p w14:paraId="6CBBF3D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46.0 </w:t>
            </w:r>
          </w:p>
        </w:tc>
      </w:tr>
      <w:tr w14:paraId="085307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vAlign w:val="center"/>
          </w:tcPr>
          <w:p w14:paraId="65384E6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4.00</w:t>
            </w:r>
          </w:p>
        </w:tc>
        <w:tc>
          <w:tcPr>
            <w:tcW w:w="5669" w:type="dxa"/>
            <w:vAlign w:val="center"/>
          </w:tcPr>
          <w:p w14:paraId="02E939F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41.0 </w:t>
            </w:r>
          </w:p>
        </w:tc>
      </w:tr>
      <w:tr w14:paraId="56010A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vAlign w:val="center"/>
          </w:tcPr>
          <w:p w14:paraId="6634C25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8.00</w:t>
            </w:r>
          </w:p>
        </w:tc>
        <w:tc>
          <w:tcPr>
            <w:tcW w:w="5669" w:type="dxa"/>
            <w:vAlign w:val="center"/>
          </w:tcPr>
          <w:p w14:paraId="5FF06B1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34.9 </w:t>
            </w:r>
          </w:p>
        </w:tc>
      </w:tr>
      <w:tr w14:paraId="4A60F0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vAlign w:val="center"/>
          </w:tcPr>
          <w:p w14:paraId="7E685B1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10.00</w:t>
            </w:r>
          </w:p>
        </w:tc>
        <w:tc>
          <w:tcPr>
            <w:tcW w:w="5669" w:type="dxa"/>
            <w:vAlign w:val="center"/>
          </w:tcPr>
          <w:p w14:paraId="658F1DF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33.0 </w:t>
            </w:r>
          </w:p>
        </w:tc>
      </w:tr>
      <w:tr w14:paraId="6DC7E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vAlign w:val="center"/>
          </w:tcPr>
          <w:p w14:paraId="538268C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16.00</w:t>
            </w:r>
          </w:p>
        </w:tc>
        <w:tc>
          <w:tcPr>
            <w:tcW w:w="5669" w:type="dxa"/>
            <w:vAlign w:val="center"/>
          </w:tcPr>
          <w:p w14:paraId="2DD88F8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28.9 </w:t>
            </w:r>
          </w:p>
        </w:tc>
      </w:tr>
      <w:tr w14:paraId="28872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vAlign w:val="center"/>
          </w:tcPr>
          <w:p w14:paraId="13FBE33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20.00</w:t>
            </w:r>
          </w:p>
        </w:tc>
        <w:tc>
          <w:tcPr>
            <w:tcW w:w="5669" w:type="dxa"/>
            <w:vAlign w:val="center"/>
          </w:tcPr>
          <w:p w14:paraId="65313ED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27.0 </w:t>
            </w:r>
          </w:p>
        </w:tc>
      </w:tr>
    </w:tbl>
    <w:p w14:paraId="79F8B8DE">
      <w:pPr>
        <w:rPr>
          <w:rFonts w:hint="eastAsia"/>
          <w:color w:val="auto"/>
          <w:lang w:val="en-US" w:eastAsia="zh-CN"/>
        </w:rPr>
      </w:pPr>
    </w:p>
    <w:p w14:paraId="780F6358">
      <w:pPr>
        <w:pStyle w:val="75"/>
        <w:numPr>
          <w:ilvl w:val="2"/>
          <w:numId w:val="0"/>
        </w:numPr>
        <w:spacing w:before="156" w:after="156"/>
        <w:ind w:leftChars="0"/>
        <w:rPr>
          <w:rFonts w:hint="eastAsia" w:ascii="Times New Roman" w:hAnsi="Times New Roman" w:eastAsia="宋体" w:cs="Times New Roman"/>
          <w:color w:val="auto"/>
          <w:highlight w:val="none"/>
          <w:lang w:val="en-US" w:eastAsia="zh-CN"/>
        </w:rPr>
      </w:pPr>
      <w:r>
        <w:rPr>
          <w:rFonts w:hint="eastAsia" w:ascii="黑体" w:hAnsi="黑体" w:eastAsia="黑体" w:cs="黑体"/>
          <w:color w:val="auto"/>
          <w:highlight w:val="none"/>
          <w:lang w:val="en-US" w:eastAsia="zh-CN"/>
        </w:rPr>
        <w:t>A.2.</w:t>
      </w:r>
      <w:r>
        <w:rPr>
          <w:rFonts w:hint="eastAsia" w:hAnsi="黑体" w:cs="黑体"/>
          <w:color w:val="auto"/>
          <w:highlight w:val="none"/>
          <w:lang w:val="en-US" w:eastAsia="zh-CN"/>
        </w:rPr>
        <w:t xml:space="preserve">6  </w:t>
      </w:r>
      <w:r>
        <w:rPr>
          <w:rFonts w:hint="default" w:ascii="Times New Roman" w:hAnsi="Times New Roman" w:eastAsia="宋体" w:cs="Times New Roman"/>
          <w:color w:val="auto"/>
          <w:highlight w:val="none"/>
          <w:lang w:val="en-US" w:eastAsia="zh-CN"/>
        </w:rPr>
        <w:t>单对以太网</w:t>
      </w:r>
      <w:r>
        <w:rPr>
          <w:rFonts w:hint="eastAsia" w:ascii="Times New Roman" w:hAnsi="Times New Roman" w:eastAsia="宋体" w:cs="Times New Roman"/>
          <w:color w:val="auto"/>
          <w:highlight w:val="none"/>
          <w:lang w:val="en-US" w:eastAsia="zh-CN"/>
        </w:rPr>
        <w:t>屏蔽</w:t>
      </w:r>
      <w:r>
        <w:rPr>
          <w:rFonts w:hint="default" w:ascii="Times New Roman" w:hAnsi="Times New Roman" w:eastAsia="宋体" w:cs="Times New Roman"/>
          <w:color w:val="auto"/>
          <w:highlight w:val="none"/>
          <w:lang w:val="en-US" w:eastAsia="zh-CN"/>
        </w:rPr>
        <w:t>信道的</w:t>
      </w:r>
      <w:r>
        <w:rPr>
          <w:rFonts w:hint="eastAsia" w:ascii="Times New Roman" w:hAnsi="Times New Roman" w:eastAsia="宋体" w:cs="Times New Roman"/>
          <w:color w:val="auto"/>
          <w:highlight w:val="none"/>
          <w:lang w:val="en-US" w:eastAsia="zh-CN"/>
        </w:rPr>
        <w:t>最小耦合衰减</w:t>
      </w:r>
      <w:r>
        <w:rPr>
          <w:rFonts w:hint="default" w:ascii="Times New Roman" w:hAnsi="Times New Roman" w:eastAsia="宋体" w:cs="Times New Roman"/>
          <w:color w:val="auto"/>
          <w:highlight w:val="none"/>
          <w:lang w:val="en-US" w:eastAsia="zh-CN"/>
        </w:rPr>
        <w:t>应满足表A.</w:t>
      </w:r>
      <w:r>
        <w:rPr>
          <w:rFonts w:hint="eastAsia" w:ascii="Times New Roman" w:eastAsia="宋体" w:cs="Times New Roman"/>
          <w:color w:val="auto"/>
          <w:highlight w:val="none"/>
          <w:lang w:val="en-US" w:eastAsia="zh-CN"/>
        </w:rPr>
        <w:t>14</w:t>
      </w:r>
      <w:r>
        <w:rPr>
          <w:rFonts w:hint="eastAsia" w:ascii="Times New Roman" w:hAnsi="Times New Roman" w:eastAsia="宋体" w:cs="Times New Roman"/>
          <w:color w:val="auto"/>
          <w:highlight w:val="none"/>
          <w:lang w:val="en-US" w:eastAsia="zh-CN"/>
        </w:rPr>
        <w:t>、表</w:t>
      </w:r>
      <w:r>
        <w:rPr>
          <w:rFonts w:hint="default" w:ascii="Times New Roman" w:hAnsi="Times New Roman" w:eastAsia="宋体" w:cs="Times New Roman"/>
          <w:color w:val="auto"/>
          <w:highlight w:val="none"/>
          <w:lang w:val="en-US" w:eastAsia="zh-CN"/>
        </w:rPr>
        <w:t>A.</w:t>
      </w:r>
      <w:r>
        <w:rPr>
          <w:rFonts w:hint="eastAsia" w:ascii="Times New Roman" w:eastAsia="宋体" w:cs="Times New Roman"/>
          <w:color w:val="auto"/>
          <w:highlight w:val="none"/>
          <w:lang w:val="en-US" w:eastAsia="zh-CN"/>
        </w:rPr>
        <w:t>15</w:t>
      </w:r>
      <w:r>
        <w:rPr>
          <w:rFonts w:hint="eastAsia" w:ascii="Times New Roman" w:hAnsi="Times New Roman" w:eastAsia="宋体" w:cs="Times New Roman"/>
          <w:color w:val="auto"/>
          <w:highlight w:val="none"/>
          <w:lang w:val="en-US" w:eastAsia="zh-CN"/>
        </w:rPr>
        <w:t>、</w:t>
      </w:r>
      <w:r>
        <w:rPr>
          <w:rFonts w:hint="eastAsia" w:ascii="Times New Roman" w:eastAsia="宋体" w:cs="Times New Roman"/>
          <w:color w:val="auto"/>
          <w:highlight w:val="none"/>
          <w:lang w:val="en-US" w:eastAsia="zh-CN"/>
        </w:rPr>
        <w:t>图A.</w:t>
      </w:r>
      <w:r>
        <w:rPr>
          <w:rFonts w:hint="eastAsia" w:ascii="Times New Roman" w:hAnsi="Times New Roman" w:eastAsia="宋体" w:cs="Times New Roman"/>
          <w:color w:val="auto"/>
          <w:highlight w:val="none"/>
          <w:lang w:val="en-US" w:eastAsia="zh-CN"/>
        </w:rPr>
        <w:t>10及</w:t>
      </w:r>
      <w:r>
        <w:rPr>
          <w:rFonts w:hint="eastAsia" w:ascii="Times New Roman" w:eastAsia="宋体" w:cs="Times New Roman"/>
          <w:color w:val="auto"/>
          <w:highlight w:val="none"/>
          <w:lang w:val="en-US" w:eastAsia="zh-CN"/>
        </w:rPr>
        <w:t>图A.</w:t>
      </w:r>
      <w:r>
        <w:rPr>
          <w:rFonts w:hint="eastAsia" w:ascii="Times New Roman" w:hAnsi="Times New Roman" w:eastAsia="宋体" w:cs="Times New Roman"/>
          <w:color w:val="auto"/>
          <w:highlight w:val="none"/>
          <w:lang w:val="en-US" w:eastAsia="zh-CN"/>
        </w:rPr>
        <w:t>11</w:t>
      </w:r>
      <w:r>
        <w:rPr>
          <w:rFonts w:hint="default" w:ascii="Times New Roman" w:hAnsi="Times New Roman" w:eastAsia="宋体" w:cs="Times New Roman"/>
          <w:color w:val="auto"/>
          <w:highlight w:val="none"/>
          <w:lang w:val="en-US" w:eastAsia="zh-CN"/>
        </w:rPr>
        <w:t>的相关要求。</w:t>
      </w:r>
    </w:p>
    <w:p w14:paraId="0E6E3F7F">
      <w:pP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br w:type="page"/>
      </w:r>
    </w:p>
    <w:p w14:paraId="4AB547DF">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表</w:t>
      </w:r>
      <w:r>
        <w:rPr>
          <w:rFonts w:hint="default" w:hAnsi="Times New Roman" w:cs="Times New Roman"/>
          <w:color w:val="auto"/>
          <w:highlight w:val="none"/>
          <w:lang w:val="en-US" w:eastAsia="zh-CN"/>
        </w:rPr>
        <w:t>A.</w:t>
      </w:r>
      <w:r>
        <w:rPr>
          <w:rFonts w:hint="eastAsia" w:cs="Times New Roman"/>
          <w:color w:val="auto"/>
          <w:highlight w:val="none"/>
          <w:lang w:val="en-US" w:eastAsia="zh-CN"/>
        </w:rPr>
        <w:t>14</w:t>
      </w:r>
      <w:r>
        <w:rPr>
          <w:rFonts w:hint="eastAsia"/>
          <w:color w:val="auto"/>
          <w:highlight w:val="none"/>
          <w:lang w:val="en-US" w:eastAsia="zh-CN"/>
        </w:rPr>
        <w:t xml:space="preserve">  </w:t>
      </w:r>
      <w:r>
        <w:rPr>
          <w:rFonts w:hint="default" w:hAnsi="Times New Roman" w:cs="Times New Roman"/>
          <w:color w:val="auto"/>
          <w:highlight w:val="none"/>
          <w:lang w:val="en-US" w:eastAsia="zh-CN"/>
        </w:rPr>
        <w:t>单对以太网</w:t>
      </w:r>
      <w:r>
        <w:rPr>
          <w:rFonts w:hint="eastAsia" w:hAnsi="Times New Roman" w:cs="Times New Roman"/>
          <w:color w:val="auto"/>
          <w:highlight w:val="none"/>
          <w:lang w:val="en-US" w:eastAsia="zh-CN"/>
        </w:rPr>
        <w:t>屏蔽</w:t>
      </w:r>
      <w:r>
        <w:rPr>
          <w:rFonts w:hint="default" w:hAnsi="Times New Roman" w:cs="Times New Roman"/>
          <w:color w:val="auto"/>
          <w:highlight w:val="none"/>
          <w:lang w:val="en-US" w:eastAsia="zh-CN"/>
        </w:rPr>
        <w:t>信道</w:t>
      </w:r>
      <w:r>
        <w:rPr>
          <w:rFonts w:hint="eastAsia" w:hAnsi="Times New Roman" w:cs="Times New Roman"/>
          <w:color w:val="auto"/>
          <w:highlight w:val="none"/>
          <w:lang w:val="en-US" w:eastAsia="zh-CN"/>
        </w:rPr>
        <w:t>最小耦合衰减</w:t>
      </w:r>
    </w:p>
    <w:tbl>
      <w:tblPr>
        <w:tblStyle w:val="37"/>
        <w:tblW w:w="85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020"/>
        <w:gridCol w:w="1746"/>
        <w:gridCol w:w="1474"/>
        <w:gridCol w:w="1474"/>
        <w:gridCol w:w="1474"/>
      </w:tblGrid>
      <w:tr w14:paraId="4A3639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vMerge w:val="restart"/>
            <w:vAlign w:val="center"/>
          </w:tcPr>
          <w:p w14:paraId="303B2834">
            <w:pPr>
              <w:jc w:val="center"/>
              <w:rPr>
                <w:rFonts w:hint="default" w:ascii="Times New Roman" w:hAnsi="Times New Roman"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SPE类型</w:t>
            </w:r>
          </w:p>
        </w:tc>
        <w:tc>
          <w:tcPr>
            <w:tcW w:w="1020" w:type="dxa"/>
            <w:vMerge w:val="restart"/>
            <w:vAlign w:val="center"/>
          </w:tcPr>
          <w:p w14:paraId="28B0131A">
            <w:pPr>
              <w:jc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信道类别</w:t>
            </w:r>
          </w:p>
        </w:tc>
        <w:tc>
          <w:tcPr>
            <w:tcW w:w="1746" w:type="dxa"/>
            <w:vMerge w:val="restart"/>
            <w:vAlign w:val="center"/>
          </w:tcPr>
          <w:p w14:paraId="3D6B5324">
            <w:pPr>
              <w:jc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频率</w:t>
            </w:r>
            <w:r>
              <w:rPr>
                <w:rFonts w:hint="default" w:ascii="Times New Roman" w:hAnsi="Times New Roman" w:cs="Times New Roman"/>
                <w:b/>
                <w:bCs/>
                <w:color w:val="auto"/>
                <w:sz w:val="18"/>
                <w:szCs w:val="18"/>
                <w:highlight w:val="none"/>
                <w:lang w:val="en-US" w:eastAsia="zh-CN"/>
              </w:rPr>
              <w:br w:type="textWrapping"/>
            </w:r>
            <w:r>
              <w:rPr>
                <w:rFonts w:hint="default" w:ascii="Times New Roman" w:hAnsi="Times New Roman" w:cs="Times New Roman"/>
                <w:b/>
                <w:bCs/>
                <w:color w:val="auto"/>
                <w:sz w:val="18"/>
                <w:szCs w:val="18"/>
                <w:highlight w:val="none"/>
                <w:lang w:val="en-US" w:eastAsia="zh-CN"/>
              </w:rPr>
              <w:t>（MHz）</w:t>
            </w:r>
          </w:p>
        </w:tc>
        <w:tc>
          <w:tcPr>
            <w:tcW w:w="4422" w:type="dxa"/>
            <w:gridSpan w:val="3"/>
            <w:vAlign w:val="center"/>
          </w:tcPr>
          <w:p w14:paraId="3555A74D">
            <w:pPr>
              <w:jc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最小横向转换损耗（dB）</w:t>
            </w:r>
          </w:p>
        </w:tc>
      </w:tr>
      <w:tr w14:paraId="7C9A1A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358" w:type="dxa"/>
            <w:vMerge w:val="continue"/>
            <w:tcBorders>
              <w:bottom w:val="single" w:color="auto" w:sz="8" w:space="0"/>
            </w:tcBorders>
            <w:vAlign w:val="center"/>
          </w:tcPr>
          <w:p w14:paraId="48D010DA">
            <w:pPr>
              <w:jc w:val="center"/>
              <w:rPr>
                <w:rFonts w:hint="default" w:ascii="Times New Roman" w:hAnsi="Times New Roman" w:cs="Times New Roman"/>
                <w:b/>
                <w:bCs/>
                <w:color w:val="auto"/>
                <w:sz w:val="18"/>
                <w:szCs w:val="18"/>
                <w:highlight w:val="none"/>
                <w:lang w:val="en-US" w:eastAsia="zh-CN"/>
              </w:rPr>
            </w:pPr>
          </w:p>
        </w:tc>
        <w:tc>
          <w:tcPr>
            <w:tcW w:w="1020" w:type="dxa"/>
            <w:vMerge w:val="continue"/>
            <w:tcBorders>
              <w:bottom w:val="single" w:color="auto" w:sz="8" w:space="0"/>
            </w:tcBorders>
            <w:vAlign w:val="center"/>
          </w:tcPr>
          <w:p w14:paraId="2F489BAC">
            <w:pPr>
              <w:jc w:val="center"/>
              <w:rPr>
                <w:rFonts w:hint="default" w:ascii="Times New Roman" w:hAnsi="Times New Roman" w:cs="Times New Roman"/>
                <w:b/>
                <w:bCs/>
                <w:color w:val="auto"/>
                <w:sz w:val="18"/>
                <w:szCs w:val="18"/>
                <w:highlight w:val="none"/>
                <w:lang w:val="en-US" w:eastAsia="zh-CN"/>
              </w:rPr>
            </w:pPr>
          </w:p>
        </w:tc>
        <w:tc>
          <w:tcPr>
            <w:tcW w:w="1746" w:type="dxa"/>
            <w:vMerge w:val="continue"/>
            <w:tcBorders>
              <w:bottom w:val="single" w:color="auto" w:sz="8" w:space="0"/>
            </w:tcBorders>
            <w:vAlign w:val="center"/>
          </w:tcPr>
          <w:p w14:paraId="39ED1B1A">
            <w:pPr>
              <w:jc w:val="center"/>
              <w:rPr>
                <w:rFonts w:hint="default" w:ascii="Times New Roman" w:hAnsi="Times New Roman" w:cs="Times New Roman"/>
                <w:b/>
                <w:bCs/>
                <w:color w:val="auto"/>
                <w:sz w:val="18"/>
                <w:szCs w:val="18"/>
                <w:highlight w:val="none"/>
                <w:lang w:val="en-US" w:eastAsia="zh-CN"/>
              </w:rPr>
            </w:pPr>
          </w:p>
        </w:tc>
        <w:tc>
          <w:tcPr>
            <w:tcW w:w="1474" w:type="dxa"/>
            <w:tcBorders>
              <w:bottom w:val="single" w:color="auto" w:sz="8" w:space="0"/>
            </w:tcBorders>
            <w:vAlign w:val="center"/>
          </w:tcPr>
          <w:p w14:paraId="53C47B6C">
            <w:pPr>
              <w:jc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E</w:t>
            </w:r>
            <w:r>
              <w:rPr>
                <w:rFonts w:hint="default" w:ascii="Times New Roman" w:hAnsi="Times New Roman" w:cs="Times New Roman"/>
                <w:b/>
                <w:bCs/>
                <w:color w:val="auto"/>
                <w:sz w:val="18"/>
                <w:szCs w:val="18"/>
                <w:highlight w:val="none"/>
                <w:vertAlign w:val="subscript"/>
                <w:lang w:val="en-US" w:eastAsia="zh-CN"/>
              </w:rPr>
              <w:t>1</w:t>
            </w:r>
          </w:p>
        </w:tc>
        <w:tc>
          <w:tcPr>
            <w:tcW w:w="1474" w:type="dxa"/>
            <w:tcBorders>
              <w:bottom w:val="single" w:color="auto" w:sz="8" w:space="0"/>
            </w:tcBorders>
            <w:vAlign w:val="center"/>
          </w:tcPr>
          <w:p w14:paraId="72220745">
            <w:pPr>
              <w:jc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E</w:t>
            </w:r>
            <w:r>
              <w:rPr>
                <w:rFonts w:hint="default" w:ascii="Times New Roman" w:hAnsi="Times New Roman" w:cs="Times New Roman"/>
                <w:b/>
                <w:bCs/>
                <w:color w:val="auto"/>
                <w:sz w:val="18"/>
                <w:szCs w:val="18"/>
                <w:highlight w:val="none"/>
                <w:vertAlign w:val="subscript"/>
                <w:lang w:val="en-US" w:eastAsia="zh-CN"/>
              </w:rPr>
              <w:t>2</w:t>
            </w:r>
          </w:p>
        </w:tc>
        <w:tc>
          <w:tcPr>
            <w:tcW w:w="1474" w:type="dxa"/>
            <w:tcBorders>
              <w:bottom w:val="single" w:color="auto" w:sz="8" w:space="0"/>
            </w:tcBorders>
            <w:vAlign w:val="center"/>
          </w:tcPr>
          <w:p w14:paraId="07C77F52">
            <w:pPr>
              <w:jc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E</w:t>
            </w:r>
            <w:r>
              <w:rPr>
                <w:rFonts w:hint="default" w:ascii="Times New Roman" w:hAnsi="Times New Roman" w:cs="Times New Roman"/>
                <w:b/>
                <w:bCs/>
                <w:color w:val="auto"/>
                <w:sz w:val="18"/>
                <w:szCs w:val="18"/>
                <w:highlight w:val="none"/>
                <w:vertAlign w:val="subscript"/>
                <w:lang w:val="en-US" w:eastAsia="zh-CN"/>
              </w:rPr>
              <w:t>3</w:t>
            </w:r>
          </w:p>
        </w:tc>
      </w:tr>
      <w:tr w14:paraId="3FF985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1358" w:type="dxa"/>
            <w:tcBorders>
              <w:top w:val="single" w:color="auto" w:sz="8" w:space="0"/>
            </w:tcBorders>
            <w:vAlign w:val="center"/>
          </w:tcPr>
          <w:p w14:paraId="6BDE1D57">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10BASE-T1L</w:t>
            </w:r>
          </w:p>
        </w:tc>
        <w:tc>
          <w:tcPr>
            <w:tcW w:w="1020" w:type="dxa"/>
            <w:tcBorders>
              <w:top w:val="single" w:color="auto" w:sz="8" w:space="0"/>
            </w:tcBorders>
            <w:vAlign w:val="center"/>
          </w:tcPr>
          <w:p w14:paraId="6EA815A8">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SP1</w:t>
            </w:r>
          </w:p>
        </w:tc>
        <w:tc>
          <w:tcPr>
            <w:tcW w:w="1746" w:type="dxa"/>
            <w:tcBorders>
              <w:top w:val="single" w:color="auto" w:sz="8" w:space="0"/>
            </w:tcBorders>
            <w:vAlign w:val="center"/>
          </w:tcPr>
          <w:p w14:paraId="1BA5C1C4">
            <w:pPr>
              <w:jc w:val="center"/>
              <w:rPr>
                <w:rFonts w:hint="default" w:ascii="Times New Roman" w:hAnsi="Times New Roman" w:cs="Times New Roman"/>
                <w:color w:val="auto"/>
                <w:sz w:val="18"/>
                <w:szCs w:val="18"/>
                <w:highlight w:val="none"/>
                <w:lang w:val="en-US" w:eastAsia="zh-CN"/>
              </w:rPr>
            </w:pPr>
            <m:oMathPara>
              <m:oMath>
                <m:r>
                  <m:rPr>
                    <m:sty m:val="p"/>
                  </m:rPr>
                  <w:rPr>
                    <w:rFonts w:hint="default" w:ascii="Cambria Math" w:hAnsi="Cambria Math" w:cs="Times New Roman"/>
                    <w:color w:val="auto"/>
                    <w:sz w:val="18"/>
                    <w:szCs w:val="18"/>
                    <w:highlight w:val="none"/>
                    <w:lang w:val="en-US" w:eastAsia="zh-CN"/>
                  </w:rPr>
                  <m:t>0.1≤f≤20</m:t>
                </m:r>
              </m:oMath>
            </m:oMathPara>
          </w:p>
        </w:tc>
        <w:tc>
          <w:tcPr>
            <w:tcW w:w="1474" w:type="dxa"/>
            <w:tcBorders>
              <w:top w:val="single" w:color="auto" w:sz="8" w:space="0"/>
            </w:tcBorders>
            <w:vAlign w:val="center"/>
          </w:tcPr>
          <w:p w14:paraId="39F24517">
            <w:pPr>
              <w:jc w:val="center"/>
              <w:rPr>
                <w:rFonts w:hint="default" w:ascii="Times New Roman" w:hAnsi="Times New Roman" w:cs="Times New Roman"/>
                <w:color w:val="auto"/>
                <w:sz w:val="18"/>
                <w:szCs w:val="18"/>
                <w:highlight w:val="none"/>
                <w:lang w:val="en-US" w:eastAsia="zh-CN"/>
              </w:rPr>
            </w:pPr>
            <m:oMathPara>
              <m:oMath>
                <m:r>
                  <m:rPr>
                    <m:sty m:val="p"/>
                  </m:rPr>
                  <w:rPr>
                    <w:rFonts w:hint="default" w:ascii="Cambria Math" w:hAnsi="Cambria Math" w:cs="Times New Roman"/>
                    <w:color w:val="auto"/>
                    <w:sz w:val="18"/>
                    <w:szCs w:val="18"/>
                    <w:highlight w:val="none"/>
                    <w:lang w:val="en-US" w:eastAsia="zh-CN"/>
                  </w:rPr>
                  <m:t>50</m:t>
                </m:r>
              </m:oMath>
            </m:oMathPara>
          </w:p>
        </w:tc>
        <w:tc>
          <w:tcPr>
            <w:tcW w:w="1474" w:type="dxa"/>
            <w:tcBorders>
              <w:top w:val="single" w:color="auto" w:sz="8" w:space="0"/>
            </w:tcBorders>
            <w:vAlign w:val="center"/>
          </w:tcPr>
          <w:p w14:paraId="72C4CE97">
            <w:pPr>
              <w:jc w:val="center"/>
              <w:rPr>
                <w:rFonts w:hint="default" w:ascii="Times New Roman" w:hAnsi="Times New Roman" w:cs="Times New Roman"/>
                <w:color w:val="auto"/>
                <w:sz w:val="18"/>
                <w:szCs w:val="18"/>
                <w:highlight w:val="none"/>
                <w:lang w:val="en-US" w:eastAsia="zh-CN"/>
              </w:rPr>
            </w:pPr>
            <m:oMathPara>
              <m:oMath>
                <m:r>
                  <m:rPr>
                    <m:sty m:val="p"/>
                  </m:rPr>
                  <w:rPr>
                    <w:rFonts w:hint="default" w:ascii="Cambria Math" w:hAnsi="Cambria Math" w:cs="Times New Roman"/>
                    <w:color w:val="auto"/>
                    <w:sz w:val="18"/>
                    <w:szCs w:val="18"/>
                    <w:highlight w:val="none"/>
                    <w:lang w:val="en-US" w:eastAsia="zh-CN"/>
                  </w:rPr>
                  <m:t>50</m:t>
                </m:r>
              </m:oMath>
            </m:oMathPara>
          </w:p>
        </w:tc>
        <w:tc>
          <w:tcPr>
            <w:tcW w:w="1474" w:type="dxa"/>
            <w:tcBorders>
              <w:top w:val="single" w:color="auto" w:sz="8" w:space="0"/>
            </w:tcBorders>
            <w:vAlign w:val="center"/>
          </w:tcPr>
          <w:p w14:paraId="4F494C98">
            <w:pPr>
              <w:jc w:val="center"/>
              <w:rPr>
                <w:rFonts w:hint="default" w:ascii="Times New Roman" w:hAnsi="Times New Roman" w:cs="Times New Roman"/>
                <w:color w:val="auto"/>
                <w:sz w:val="18"/>
                <w:szCs w:val="18"/>
                <w:highlight w:val="none"/>
                <w:lang w:val="en-US" w:eastAsia="zh-CN"/>
              </w:rPr>
            </w:pPr>
            <m:oMathPara>
              <m:oMath>
                <m:r>
                  <m:rPr>
                    <m:sty m:val="p"/>
                  </m:rPr>
                  <w:rPr>
                    <w:rFonts w:hint="default" w:ascii="Cambria Math" w:hAnsi="Cambria Math" w:cs="Times New Roman"/>
                    <w:color w:val="auto"/>
                    <w:sz w:val="18"/>
                    <w:szCs w:val="18"/>
                    <w:highlight w:val="none"/>
                    <w:lang w:val="en-US" w:eastAsia="zh-CN"/>
                  </w:rPr>
                  <m:t>60</m:t>
                </m:r>
              </m:oMath>
            </m:oMathPara>
          </w:p>
        </w:tc>
      </w:tr>
      <w:tr w14:paraId="21F9B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1358" w:type="dxa"/>
            <w:vAlign w:val="center"/>
          </w:tcPr>
          <w:p w14:paraId="788C55F6">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1000BASE-T1</w:t>
            </w:r>
          </w:p>
        </w:tc>
        <w:tc>
          <w:tcPr>
            <w:tcW w:w="1020" w:type="dxa"/>
            <w:vAlign w:val="center"/>
          </w:tcPr>
          <w:p w14:paraId="0147B74B">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Type B</w:t>
            </w:r>
          </w:p>
        </w:tc>
        <w:tc>
          <w:tcPr>
            <w:tcW w:w="1746" w:type="dxa"/>
            <w:vAlign w:val="center"/>
          </w:tcPr>
          <w:p w14:paraId="6E686C89">
            <w:pPr>
              <w:jc w:val="center"/>
              <w:rPr>
                <w:rFonts w:hint="default" w:ascii="Times New Roman" w:hAnsi="Times New Roman" w:cs="Times New Roman"/>
                <w:color w:val="auto"/>
                <w:sz w:val="18"/>
                <w:szCs w:val="18"/>
                <w:highlight w:val="none"/>
                <w:lang w:val="en-US" w:eastAsia="zh-CN"/>
              </w:rPr>
            </w:pPr>
            <m:oMathPara>
              <m:oMath>
                <m:r>
                  <m:rPr>
                    <m:sty m:val="p"/>
                  </m:rPr>
                  <w:rPr>
                    <w:rFonts w:hint="default" w:ascii="Cambria Math" w:hAnsi="Cambria Math" w:cs="Times New Roman"/>
                    <w:color w:val="auto"/>
                    <w:sz w:val="18"/>
                    <w:szCs w:val="18"/>
                    <w:highlight w:val="none"/>
                    <w:lang w:val="en-US" w:eastAsia="zh-CN"/>
                  </w:rPr>
                  <m:t>30≤f≤600</m:t>
                </m:r>
              </m:oMath>
            </m:oMathPara>
          </w:p>
        </w:tc>
        <w:tc>
          <w:tcPr>
            <w:tcW w:w="1474" w:type="dxa"/>
            <w:vAlign w:val="center"/>
          </w:tcPr>
          <w:p w14:paraId="63C39C27">
            <w:pPr>
              <w:jc w:val="center"/>
              <w:rPr>
                <w:rFonts w:hint="default" w:ascii="Times New Roman" w:hAnsi="Times New Roman" w:cs="Times New Roman"/>
                <w:color w:val="auto"/>
                <w:sz w:val="18"/>
                <w:szCs w:val="18"/>
                <w:highlight w:val="none"/>
                <w:lang w:val="en-US" w:eastAsia="zh-CN"/>
              </w:rPr>
            </w:pPr>
            <m:oMathPara>
              <m:oMath>
                <m:r>
                  <m:rPr>
                    <m:sty m:val="p"/>
                  </m:rPr>
                  <w:rPr>
                    <w:rFonts w:hint="default" w:ascii="Cambria Math" w:hAnsi="Cambria Math" w:cs="Times New Roman"/>
                    <w:color w:val="auto"/>
                    <w:sz w:val="18"/>
                    <w:szCs w:val="18"/>
                    <w:highlight w:val="none"/>
                    <w:lang w:val="en-US" w:eastAsia="zh-CN"/>
                  </w:rPr>
                  <m:t>80−20×</m:t>
                </m:r>
                <m:func>
                  <m:funcPr>
                    <m:ctrlPr>
                      <w:rPr>
                        <w:rFonts w:hint="default" w:ascii="Cambria Math" w:hAnsi="Cambria Math" w:cs="Times New Roman"/>
                        <w:color w:val="auto"/>
                        <w:sz w:val="18"/>
                        <w:szCs w:val="18"/>
                        <w:highlight w:val="none"/>
                        <w:lang w:val="en-US" w:eastAsia="zh-CN"/>
                      </w:rPr>
                    </m:ctrlPr>
                  </m:funcPr>
                  <m:fName>
                    <m:sSub>
                      <m:sSubPr>
                        <m:ctrlPr>
                          <w:rPr>
                            <w:rFonts w:hint="default" w:ascii="Cambria Math" w:hAnsi="Cambria Math" w:cs="Times New Roman"/>
                            <w:color w:val="auto"/>
                            <w:sz w:val="18"/>
                            <w:szCs w:val="18"/>
                            <w:highlight w:val="none"/>
                            <w:lang w:val="en-US" w:eastAsia="zh-CN"/>
                          </w:rPr>
                        </m:ctrlPr>
                      </m:sSubPr>
                      <m:e>
                        <m:r>
                          <m:rPr>
                            <m:sty m:val="p"/>
                          </m:rPr>
                          <w:rPr>
                            <w:rFonts w:hint="default" w:ascii="Cambria Math" w:hAnsi="Cambria Math" w:cs="Times New Roman"/>
                            <w:color w:val="auto"/>
                            <w:sz w:val="18"/>
                            <w:szCs w:val="18"/>
                            <w:highlight w:val="none"/>
                            <w:lang w:val="en-US" w:eastAsia="zh-CN"/>
                          </w:rPr>
                          <m:t>log</m:t>
                        </m:r>
                        <m:ctrlPr>
                          <w:rPr>
                            <w:rFonts w:hint="default" w:ascii="Cambria Math" w:hAnsi="Cambria Math" w:cs="Times New Roman"/>
                            <w:color w:val="auto"/>
                            <w:sz w:val="18"/>
                            <w:szCs w:val="18"/>
                            <w:highlight w:val="none"/>
                            <w:lang w:val="en-US" w:eastAsia="zh-CN"/>
                          </w:rPr>
                        </m:ctrlPr>
                      </m:e>
                      <m:sub>
                        <m:r>
                          <m:rPr>
                            <m:sty m:val="p"/>
                          </m:rPr>
                          <w:rPr>
                            <w:rFonts w:hint="default" w:ascii="Cambria Math" w:hAnsi="Cambria Math" w:cs="Times New Roman"/>
                            <w:color w:val="auto"/>
                            <w:sz w:val="18"/>
                            <w:szCs w:val="18"/>
                            <w:highlight w:val="none"/>
                            <w:lang w:val="en-US" w:eastAsia="zh-CN"/>
                          </w:rPr>
                          <m:t>10</m:t>
                        </m:r>
                        <m:ctrlPr>
                          <w:rPr>
                            <w:rFonts w:hint="default" w:ascii="Cambria Math" w:hAnsi="Cambria Math" w:cs="Times New Roman"/>
                            <w:color w:val="auto"/>
                            <w:sz w:val="18"/>
                            <w:szCs w:val="18"/>
                            <w:highlight w:val="none"/>
                            <w:lang w:val="en-US" w:eastAsia="zh-CN"/>
                          </w:rPr>
                        </m:ctrlPr>
                      </m:sub>
                    </m:sSub>
                    <m:ctrlPr>
                      <w:rPr>
                        <w:rFonts w:hint="default" w:ascii="Cambria Math" w:hAnsi="Cambria Math" w:cs="Times New Roman"/>
                        <w:color w:val="auto"/>
                        <w:sz w:val="18"/>
                        <w:szCs w:val="18"/>
                        <w:highlight w:val="none"/>
                        <w:lang w:val="en-US" w:eastAsia="zh-CN"/>
                      </w:rPr>
                    </m:ctrlPr>
                  </m:fName>
                  <m:e>
                    <m:d>
                      <m:dPr>
                        <m:ctrlPr>
                          <w:rPr>
                            <w:rFonts w:hint="default" w:ascii="Cambria Math" w:hAnsi="Cambria Math" w:cs="Times New Roman"/>
                            <w:color w:val="auto"/>
                            <w:sz w:val="18"/>
                            <w:szCs w:val="18"/>
                            <w:highlight w:val="none"/>
                            <w:lang w:val="en-US" w:eastAsia="zh-CN"/>
                          </w:rPr>
                        </m:ctrlPr>
                      </m:dPr>
                      <m:e>
                        <m:r>
                          <m:rPr>
                            <m:sty m:val="p"/>
                          </m:rPr>
                          <w:rPr>
                            <w:rFonts w:hint="default" w:ascii="Cambria Math" w:hAnsi="Cambria Math" w:cs="Times New Roman"/>
                            <w:color w:val="auto"/>
                            <w:sz w:val="18"/>
                            <w:szCs w:val="18"/>
                            <w:highlight w:val="none"/>
                            <w:lang w:val="en-US" w:eastAsia="zh-CN"/>
                          </w:rPr>
                          <m:t>f</m:t>
                        </m:r>
                        <m:ctrlPr>
                          <w:rPr>
                            <w:rFonts w:hint="default" w:ascii="Cambria Math" w:hAnsi="Cambria Math" w:cs="Times New Roman"/>
                            <w:color w:val="auto"/>
                            <w:sz w:val="18"/>
                            <w:szCs w:val="18"/>
                            <w:highlight w:val="none"/>
                            <w:lang w:val="en-US" w:eastAsia="zh-CN"/>
                          </w:rPr>
                        </m:ctrlPr>
                      </m:e>
                    </m:d>
                    <m:ctrlPr>
                      <w:rPr>
                        <w:rFonts w:hint="default" w:ascii="Cambria Math" w:hAnsi="Cambria Math" w:cs="Times New Roman"/>
                        <w:color w:val="auto"/>
                        <w:sz w:val="18"/>
                        <w:szCs w:val="18"/>
                        <w:highlight w:val="none"/>
                        <w:lang w:val="en-US" w:eastAsia="zh-CN"/>
                      </w:rPr>
                    </m:ctrlPr>
                  </m:e>
                </m:func>
              </m:oMath>
            </m:oMathPara>
          </w:p>
          <w:p w14:paraId="6569A94C">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最大40 dB</w:t>
            </w:r>
          </w:p>
        </w:tc>
        <w:tc>
          <w:tcPr>
            <w:tcW w:w="1474" w:type="dxa"/>
            <w:vAlign w:val="center"/>
          </w:tcPr>
          <w:p w14:paraId="3C5FF2D6">
            <w:pPr>
              <w:jc w:val="center"/>
              <w:rPr>
                <w:rFonts w:hint="default" w:ascii="Times New Roman" w:hAnsi="Times New Roman" w:cs="Times New Roman"/>
                <w:color w:val="auto"/>
                <w:sz w:val="18"/>
                <w:szCs w:val="18"/>
                <w:highlight w:val="none"/>
                <w:lang w:val="en-US" w:eastAsia="zh-CN"/>
              </w:rPr>
            </w:pPr>
            <m:oMathPara>
              <m:oMath>
                <m:r>
                  <m:rPr>
                    <m:sty m:val="p"/>
                  </m:rPr>
                  <w:rPr>
                    <w:rFonts w:hint="default" w:ascii="Cambria Math" w:hAnsi="Cambria Math" w:cs="Times New Roman"/>
                    <w:color w:val="auto"/>
                    <w:sz w:val="18"/>
                    <w:szCs w:val="18"/>
                    <w:highlight w:val="none"/>
                    <w:lang w:val="en-US" w:eastAsia="zh-CN"/>
                  </w:rPr>
                  <m:t>90−20×</m:t>
                </m:r>
                <m:func>
                  <m:funcPr>
                    <m:ctrlPr>
                      <w:rPr>
                        <w:rFonts w:hint="default" w:ascii="Cambria Math" w:hAnsi="Cambria Math" w:cs="Times New Roman"/>
                        <w:color w:val="auto"/>
                        <w:sz w:val="18"/>
                        <w:szCs w:val="18"/>
                        <w:highlight w:val="none"/>
                        <w:lang w:val="en-US" w:eastAsia="zh-CN"/>
                      </w:rPr>
                    </m:ctrlPr>
                  </m:funcPr>
                  <m:fName>
                    <m:sSub>
                      <m:sSubPr>
                        <m:ctrlPr>
                          <w:rPr>
                            <w:rFonts w:hint="default" w:ascii="Cambria Math" w:hAnsi="Cambria Math" w:cs="Times New Roman"/>
                            <w:color w:val="auto"/>
                            <w:sz w:val="18"/>
                            <w:szCs w:val="18"/>
                            <w:highlight w:val="none"/>
                            <w:lang w:val="en-US" w:eastAsia="zh-CN"/>
                          </w:rPr>
                        </m:ctrlPr>
                      </m:sSubPr>
                      <m:e>
                        <m:r>
                          <m:rPr>
                            <m:sty m:val="p"/>
                          </m:rPr>
                          <w:rPr>
                            <w:rFonts w:hint="default" w:ascii="Cambria Math" w:hAnsi="Cambria Math" w:cs="Times New Roman"/>
                            <w:color w:val="auto"/>
                            <w:sz w:val="18"/>
                            <w:szCs w:val="18"/>
                            <w:highlight w:val="none"/>
                            <w:lang w:val="en-US" w:eastAsia="zh-CN"/>
                          </w:rPr>
                          <m:t>log</m:t>
                        </m:r>
                        <m:ctrlPr>
                          <w:rPr>
                            <w:rFonts w:hint="default" w:ascii="Cambria Math" w:hAnsi="Cambria Math" w:cs="Times New Roman"/>
                            <w:color w:val="auto"/>
                            <w:sz w:val="18"/>
                            <w:szCs w:val="18"/>
                            <w:highlight w:val="none"/>
                            <w:lang w:val="en-US" w:eastAsia="zh-CN"/>
                          </w:rPr>
                        </m:ctrlPr>
                      </m:e>
                      <m:sub>
                        <m:r>
                          <m:rPr>
                            <m:sty m:val="p"/>
                          </m:rPr>
                          <w:rPr>
                            <w:rFonts w:hint="default" w:ascii="Cambria Math" w:hAnsi="Cambria Math" w:cs="Times New Roman"/>
                            <w:color w:val="auto"/>
                            <w:sz w:val="18"/>
                            <w:szCs w:val="18"/>
                            <w:highlight w:val="none"/>
                            <w:lang w:val="en-US" w:eastAsia="zh-CN"/>
                          </w:rPr>
                          <m:t>10</m:t>
                        </m:r>
                        <m:ctrlPr>
                          <w:rPr>
                            <w:rFonts w:hint="default" w:ascii="Cambria Math" w:hAnsi="Cambria Math" w:cs="Times New Roman"/>
                            <w:color w:val="auto"/>
                            <w:sz w:val="18"/>
                            <w:szCs w:val="18"/>
                            <w:highlight w:val="none"/>
                            <w:lang w:val="en-US" w:eastAsia="zh-CN"/>
                          </w:rPr>
                        </m:ctrlPr>
                      </m:sub>
                    </m:sSub>
                    <m:ctrlPr>
                      <w:rPr>
                        <w:rFonts w:hint="default" w:ascii="Cambria Math" w:hAnsi="Cambria Math" w:cs="Times New Roman"/>
                        <w:color w:val="auto"/>
                        <w:sz w:val="18"/>
                        <w:szCs w:val="18"/>
                        <w:highlight w:val="none"/>
                        <w:lang w:val="en-US" w:eastAsia="zh-CN"/>
                      </w:rPr>
                    </m:ctrlPr>
                  </m:fName>
                  <m:e>
                    <m:d>
                      <m:dPr>
                        <m:ctrlPr>
                          <w:rPr>
                            <w:rFonts w:hint="default" w:ascii="Cambria Math" w:hAnsi="Cambria Math" w:cs="Times New Roman"/>
                            <w:color w:val="auto"/>
                            <w:sz w:val="18"/>
                            <w:szCs w:val="18"/>
                            <w:highlight w:val="none"/>
                            <w:lang w:val="en-US" w:eastAsia="zh-CN"/>
                          </w:rPr>
                        </m:ctrlPr>
                      </m:dPr>
                      <m:e>
                        <m:r>
                          <m:rPr>
                            <m:sty m:val="p"/>
                          </m:rPr>
                          <w:rPr>
                            <w:rFonts w:hint="default" w:ascii="Cambria Math" w:hAnsi="Cambria Math" w:cs="Times New Roman"/>
                            <w:color w:val="auto"/>
                            <w:sz w:val="18"/>
                            <w:szCs w:val="18"/>
                            <w:highlight w:val="none"/>
                            <w:lang w:val="en-US" w:eastAsia="zh-CN"/>
                          </w:rPr>
                          <m:t>f</m:t>
                        </m:r>
                        <m:ctrlPr>
                          <w:rPr>
                            <w:rFonts w:hint="default" w:ascii="Cambria Math" w:hAnsi="Cambria Math" w:cs="Times New Roman"/>
                            <w:color w:val="auto"/>
                            <w:sz w:val="18"/>
                            <w:szCs w:val="18"/>
                            <w:highlight w:val="none"/>
                            <w:lang w:val="en-US" w:eastAsia="zh-CN"/>
                          </w:rPr>
                        </m:ctrlPr>
                      </m:e>
                    </m:d>
                    <m:ctrlPr>
                      <w:rPr>
                        <w:rFonts w:hint="default" w:ascii="Cambria Math" w:hAnsi="Cambria Math" w:cs="Times New Roman"/>
                        <w:color w:val="auto"/>
                        <w:sz w:val="18"/>
                        <w:szCs w:val="18"/>
                        <w:highlight w:val="none"/>
                        <w:lang w:val="en-US" w:eastAsia="zh-CN"/>
                      </w:rPr>
                    </m:ctrlPr>
                  </m:e>
                </m:func>
              </m:oMath>
            </m:oMathPara>
          </w:p>
          <w:p w14:paraId="0F7197E4">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最大50 dB</w:t>
            </w:r>
          </w:p>
        </w:tc>
        <w:tc>
          <w:tcPr>
            <w:tcW w:w="1474" w:type="dxa"/>
            <w:vAlign w:val="center"/>
          </w:tcPr>
          <w:p w14:paraId="4EFBC4DC">
            <w:pPr>
              <w:jc w:val="center"/>
              <w:rPr>
                <w:rFonts w:hint="default" w:ascii="Times New Roman" w:hAnsi="Times New Roman" w:cs="Times New Roman"/>
                <w:color w:val="auto"/>
                <w:sz w:val="18"/>
                <w:szCs w:val="18"/>
                <w:highlight w:val="none"/>
                <w:lang w:val="en-US" w:eastAsia="zh-CN"/>
              </w:rPr>
            </w:pPr>
            <m:oMathPara>
              <m:oMath>
                <m:r>
                  <m:rPr>
                    <m:sty m:val="p"/>
                  </m:rPr>
                  <w:rPr>
                    <w:rFonts w:hint="default" w:ascii="Cambria Math" w:hAnsi="Cambria Math" w:cs="Times New Roman"/>
                    <w:color w:val="auto"/>
                    <w:sz w:val="18"/>
                    <w:szCs w:val="18"/>
                    <w:highlight w:val="none"/>
                    <w:lang w:val="en-US" w:eastAsia="zh-CN"/>
                  </w:rPr>
                  <m:t>100−20×</m:t>
                </m:r>
                <m:func>
                  <m:funcPr>
                    <m:ctrlPr>
                      <w:rPr>
                        <w:rFonts w:hint="default" w:ascii="Cambria Math" w:hAnsi="Cambria Math" w:cs="Times New Roman"/>
                        <w:color w:val="auto"/>
                        <w:sz w:val="18"/>
                        <w:szCs w:val="18"/>
                        <w:highlight w:val="none"/>
                        <w:lang w:val="en-US" w:eastAsia="zh-CN"/>
                      </w:rPr>
                    </m:ctrlPr>
                  </m:funcPr>
                  <m:fName>
                    <m:sSub>
                      <m:sSubPr>
                        <m:ctrlPr>
                          <w:rPr>
                            <w:rFonts w:hint="default" w:ascii="Cambria Math" w:hAnsi="Cambria Math" w:cs="Times New Roman"/>
                            <w:color w:val="auto"/>
                            <w:sz w:val="18"/>
                            <w:szCs w:val="18"/>
                            <w:highlight w:val="none"/>
                            <w:lang w:val="en-US" w:eastAsia="zh-CN"/>
                          </w:rPr>
                        </m:ctrlPr>
                      </m:sSubPr>
                      <m:e>
                        <m:r>
                          <m:rPr>
                            <m:sty m:val="p"/>
                          </m:rPr>
                          <w:rPr>
                            <w:rFonts w:hint="default" w:ascii="Cambria Math" w:hAnsi="Cambria Math" w:cs="Times New Roman"/>
                            <w:color w:val="auto"/>
                            <w:sz w:val="18"/>
                            <w:szCs w:val="18"/>
                            <w:highlight w:val="none"/>
                            <w:lang w:val="en-US" w:eastAsia="zh-CN"/>
                          </w:rPr>
                          <m:t>log</m:t>
                        </m:r>
                        <m:ctrlPr>
                          <w:rPr>
                            <w:rFonts w:hint="default" w:ascii="Cambria Math" w:hAnsi="Cambria Math" w:cs="Times New Roman"/>
                            <w:color w:val="auto"/>
                            <w:sz w:val="18"/>
                            <w:szCs w:val="18"/>
                            <w:highlight w:val="none"/>
                            <w:lang w:val="en-US" w:eastAsia="zh-CN"/>
                          </w:rPr>
                        </m:ctrlPr>
                      </m:e>
                      <m:sub>
                        <m:r>
                          <m:rPr>
                            <m:sty m:val="p"/>
                          </m:rPr>
                          <w:rPr>
                            <w:rFonts w:hint="default" w:ascii="Cambria Math" w:hAnsi="Cambria Math" w:cs="Times New Roman"/>
                            <w:color w:val="auto"/>
                            <w:sz w:val="18"/>
                            <w:szCs w:val="18"/>
                            <w:highlight w:val="none"/>
                            <w:lang w:val="en-US" w:eastAsia="zh-CN"/>
                          </w:rPr>
                          <m:t>10</m:t>
                        </m:r>
                        <m:ctrlPr>
                          <w:rPr>
                            <w:rFonts w:hint="default" w:ascii="Cambria Math" w:hAnsi="Cambria Math" w:cs="Times New Roman"/>
                            <w:color w:val="auto"/>
                            <w:sz w:val="18"/>
                            <w:szCs w:val="18"/>
                            <w:highlight w:val="none"/>
                            <w:lang w:val="en-US" w:eastAsia="zh-CN"/>
                          </w:rPr>
                        </m:ctrlPr>
                      </m:sub>
                    </m:sSub>
                    <m:ctrlPr>
                      <w:rPr>
                        <w:rFonts w:hint="default" w:ascii="Cambria Math" w:hAnsi="Cambria Math" w:cs="Times New Roman"/>
                        <w:color w:val="auto"/>
                        <w:sz w:val="18"/>
                        <w:szCs w:val="18"/>
                        <w:highlight w:val="none"/>
                        <w:lang w:val="en-US" w:eastAsia="zh-CN"/>
                      </w:rPr>
                    </m:ctrlPr>
                  </m:fName>
                  <m:e>
                    <m:d>
                      <m:dPr>
                        <m:ctrlPr>
                          <w:rPr>
                            <w:rFonts w:hint="default" w:ascii="Cambria Math" w:hAnsi="Cambria Math" w:cs="Times New Roman"/>
                            <w:color w:val="auto"/>
                            <w:sz w:val="18"/>
                            <w:szCs w:val="18"/>
                            <w:highlight w:val="none"/>
                            <w:lang w:val="en-US" w:eastAsia="zh-CN"/>
                          </w:rPr>
                        </m:ctrlPr>
                      </m:dPr>
                      <m:e>
                        <m:r>
                          <m:rPr>
                            <m:sty m:val="p"/>
                          </m:rPr>
                          <w:rPr>
                            <w:rFonts w:hint="default" w:ascii="Cambria Math" w:hAnsi="Cambria Math" w:cs="Times New Roman"/>
                            <w:color w:val="auto"/>
                            <w:sz w:val="18"/>
                            <w:szCs w:val="18"/>
                            <w:highlight w:val="none"/>
                            <w:lang w:val="en-US" w:eastAsia="zh-CN"/>
                          </w:rPr>
                          <m:t>f</m:t>
                        </m:r>
                        <m:ctrlPr>
                          <w:rPr>
                            <w:rFonts w:hint="default" w:ascii="Cambria Math" w:hAnsi="Cambria Math" w:cs="Times New Roman"/>
                            <w:color w:val="auto"/>
                            <w:sz w:val="18"/>
                            <w:szCs w:val="18"/>
                            <w:highlight w:val="none"/>
                            <w:lang w:val="en-US" w:eastAsia="zh-CN"/>
                          </w:rPr>
                        </m:ctrlPr>
                      </m:e>
                    </m:d>
                    <m:ctrlPr>
                      <w:rPr>
                        <w:rFonts w:hint="default" w:ascii="Cambria Math" w:hAnsi="Cambria Math" w:cs="Times New Roman"/>
                        <w:color w:val="auto"/>
                        <w:sz w:val="18"/>
                        <w:szCs w:val="18"/>
                        <w:highlight w:val="none"/>
                        <w:lang w:val="en-US" w:eastAsia="zh-CN"/>
                      </w:rPr>
                    </m:ctrlPr>
                  </m:e>
                </m:func>
              </m:oMath>
            </m:oMathPara>
          </w:p>
          <w:p w14:paraId="4F285B8E">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最大60 dB</w:t>
            </w:r>
          </w:p>
        </w:tc>
      </w:tr>
      <w:tr w14:paraId="6E53FD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1358" w:type="dxa"/>
            <w:vMerge w:val="restart"/>
            <w:vAlign w:val="center"/>
          </w:tcPr>
          <w:p w14:paraId="60DA315E">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2.5GBASE-T1</w:t>
            </w:r>
          </w:p>
          <w:p w14:paraId="69C2AD1E">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5GBASE-T1</w:t>
            </w:r>
          </w:p>
          <w:p w14:paraId="2858F483">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10GBASE-T1</w:t>
            </w:r>
          </w:p>
        </w:tc>
        <w:tc>
          <w:tcPr>
            <w:tcW w:w="1020" w:type="dxa"/>
            <w:vMerge w:val="restart"/>
            <w:vAlign w:val="center"/>
          </w:tcPr>
          <w:p w14:paraId="26603FEB">
            <w:pPr>
              <w:jc w:val="center"/>
              <w:rPr>
                <w:rFonts w:hint="default" w:ascii="Times New Roman" w:hAnsi="Times New Roman" w:cs="Times New Roman"/>
                <w:color w:val="auto"/>
                <w:sz w:val="18"/>
                <w:szCs w:val="18"/>
                <w:highlight w:val="none"/>
                <w:lang w:val="en-US" w:eastAsia="zh-CN"/>
              </w:rPr>
            </w:pPr>
          </w:p>
        </w:tc>
        <w:tc>
          <w:tcPr>
            <w:tcW w:w="1746" w:type="dxa"/>
            <w:vAlign w:val="center"/>
          </w:tcPr>
          <w:p w14:paraId="1DFE4B8A">
            <w:pPr>
              <w:jc w:val="center"/>
              <w:rPr>
                <w:rFonts w:hint="default" w:ascii="Times New Roman" w:hAnsi="Times New Roman" w:cs="Times New Roman"/>
                <w:color w:val="auto"/>
                <w:sz w:val="18"/>
                <w:szCs w:val="18"/>
                <w:highlight w:val="none"/>
                <w:lang w:val="en-US" w:eastAsia="zh-CN"/>
              </w:rPr>
            </w:pPr>
            <m:oMathPara>
              <m:oMath>
                <m:r>
                  <m:rPr>
                    <m:sty m:val="p"/>
                  </m:rPr>
                  <w:rPr>
                    <w:rFonts w:hint="default" w:ascii="Cambria Math" w:hAnsi="Cambria Math" w:cs="Times New Roman"/>
                    <w:color w:val="auto"/>
                    <w:sz w:val="18"/>
                    <w:szCs w:val="18"/>
                    <w:highlight w:val="none"/>
                    <w:lang w:val="en-US" w:eastAsia="zh-CN"/>
                  </w:rPr>
                  <m:t>30≤f&lt;750</m:t>
                </m:r>
              </m:oMath>
            </m:oMathPara>
          </w:p>
        </w:tc>
        <w:tc>
          <w:tcPr>
            <w:tcW w:w="4422" w:type="dxa"/>
            <w:gridSpan w:val="3"/>
            <w:vAlign w:val="center"/>
          </w:tcPr>
          <w:p w14:paraId="530D0CCA">
            <w:pPr>
              <w:jc w:val="center"/>
              <w:rPr>
                <w:rFonts w:hint="default" w:ascii="Times New Roman" w:hAnsi="Times New Roman" w:cs="Times New Roman"/>
                <w:color w:val="auto"/>
                <w:sz w:val="18"/>
                <w:szCs w:val="18"/>
                <w:highlight w:val="none"/>
                <w:lang w:val="en-US" w:eastAsia="zh-CN"/>
              </w:rPr>
            </w:pPr>
            <m:oMathPara>
              <m:oMath>
                <m:r>
                  <m:rPr>
                    <m:sty m:val="p"/>
                  </m:rPr>
                  <w:rPr>
                    <w:rFonts w:hint="default" w:ascii="Cambria Math" w:hAnsi="Cambria Math" w:cs="Times New Roman"/>
                    <w:color w:val="auto"/>
                    <w:sz w:val="18"/>
                    <w:szCs w:val="18"/>
                    <w:highlight w:val="none"/>
                    <w:lang w:val="en-US" w:eastAsia="zh-CN"/>
                  </w:rPr>
                  <m:t>70</m:t>
                </m:r>
              </m:oMath>
            </m:oMathPara>
          </w:p>
        </w:tc>
      </w:tr>
      <w:tr w14:paraId="06A63D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1358" w:type="dxa"/>
            <w:vMerge w:val="continue"/>
            <w:vAlign w:val="center"/>
          </w:tcPr>
          <w:p w14:paraId="004F8ADF">
            <w:pPr>
              <w:jc w:val="center"/>
              <w:rPr>
                <w:rFonts w:hint="default" w:ascii="Times New Roman" w:hAnsi="Times New Roman" w:cs="Times New Roman"/>
                <w:color w:val="auto"/>
                <w:sz w:val="18"/>
                <w:szCs w:val="18"/>
                <w:highlight w:val="none"/>
                <w:lang w:val="en-US" w:eastAsia="zh-CN"/>
              </w:rPr>
            </w:pPr>
          </w:p>
        </w:tc>
        <w:tc>
          <w:tcPr>
            <w:tcW w:w="1020" w:type="dxa"/>
            <w:vMerge w:val="continue"/>
            <w:vAlign w:val="center"/>
          </w:tcPr>
          <w:p w14:paraId="09CDF82A">
            <w:pPr>
              <w:jc w:val="center"/>
              <w:rPr>
                <w:rFonts w:hint="default" w:ascii="Times New Roman" w:hAnsi="Times New Roman" w:cs="Times New Roman"/>
                <w:color w:val="auto"/>
                <w:sz w:val="18"/>
                <w:szCs w:val="18"/>
                <w:highlight w:val="none"/>
                <w:lang w:val="en-US" w:eastAsia="zh-CN"/>
              </w:rPr>
            </w:pPr>
          </w:p>
        </w:tc>
        <w:tc>
          <w:tcPr>
            <w:tcW w:w="1746" w:type="dxa"/>
            <w:vAlign w:val="center"/>
          </w:tcPr>
          <w:p w14:paraId="25C1B367">
            <w:pPr>
              <w:jc w:val="center"/>
              <w:rPr>
                <w:rFonts w:hint="default" w:ascii="Times New Roman" w:hAnsi="Times New Roman" w:cs="Times New Roman"/>
                <w:color w:val="auto"/>
                <w:sz w:val="18"/>
                <w:szCs w:val="18"/>
                <w:highlight w:val="none"/>
                <w:lang w:val="en-US" w:eastAsia="zh-CN"/>
              </w:rPr>
            </w:pPr>
            <m:oMathPara>
              <m:oMath>
                <m:r>
                  <m:rPr>
                    <m:sty m:val="p"/>
                  </m:rPr>
                  <w:rPr>
                    <w:rFonts w:hint="default" w:ascii="Cambria Math" w:hAnsi="Cambria Math" w:cs="Times New Roman"/>
                    <w:color w:val="auto"/>
                    <w:sz w:val="18"/>
                    <w:szCs w:val="18"/>
                    <w:highlight w:val="none"/>
                    <w:lang w:val="en-US" w:eastAsia="zh-CN"/>
                  </w:rPr>
                  <m:t>750≤f≤4000</m:t>
                </m:r>
              </m:oMath>
            </m:oMathPara>
          </w:p>
        </w:tc>
        <w:tc>
          <w:tcPr>
            <w:tcW w:w="4422" w:type="dxa"/>
            <w:gridSpan w:val="3"/>
            <w:vAlign w:val="center"/>
          </w:tcPr>
          <w:p w14:paraId="4E4D0CD2">
            <w:pPr>
              <w:jc w:val="center"/>
              <w:rPr>
                <w:rFonts w:hint="default" w:ascii="Times New Roman" w:hAnsi="Times New Roman" w:cs="Times New Roman"/>
                <w:color w:val="auto"/>
                <w:sz w:val="18"/>
                <w:szCs w:val="18"/>
                <w:highlight w:val="none"/>
                <w:lang w:val="en-US" w:eastAsia="zh-CN"/>
              </w:rPr>
            </w:pPr>
            <m:oMathPara>
              <m:oMath>
                <m:r>
                  <m:rPr>
                    <m:sty m:val="p"/>
                  </m:rPr>
                  <w:rPr>
                    <w:rFonts w:hint="default" w:ascii="Cambria Math" w:hAnsi="Cambria Math" w:cs="Times New Roman"/>
                    <w:color w:val="auto"/>
                    <w:sz w:val="18"/>
                    <w:szCs w:val="18"/>
                    <w:highlight w:val="none"/>
                    <w:lang w:val="en-US" w:eastAsia="zh-CN"/>
                  </w:rPr>
                  <m:t>50−20×</m:t>
                </m:r>
                <m:func>
                  <m:funcPr>
                    <m:ctrlPr>
                      <w:rPr>
                        <w:rFonts w:hint="default" w:ascii="Cambria Math" w:hAnsi="Cambria Math" w:cs="Times New Roman"/>
                        <w:color w:val="auto"/>
                        <w:sz w:val="18"/>
                        <w:szCs w:val="18"/>
                        <w:highlight w:val="none"/>
                        <w:lang w:val="en-US" w:eastAsia="zh-CN"/>
                      </w:rPr>
                    </m:ctrlPr>
                  </m:funcPr>
                  <m:fName>
                    <m:sSub>
                      <m:sSubPr>
                        <m:ctrlPr>
                          <w:rPr>
                            <w:rFonts w:hint="default" w:ascii="Cambria Math" w:hAnsi="Cambria Math" w:cs="Times New Roman"/>
                            <w:color w:val="auto"/>
                            <w:sz w:val="18"/>
                            <w:szCs w:val="18"/>
                            <w:highlight w:val="none"/>
                            <w:lang w:val="en-US" w:eastAsia="zh-CN"/>
                          </w:rPr>
                        </m:ctrlPr>
                      </m:sSubPr>
                      <m:e>
                        <m:r>
                          <m:rPr>
                            <m:sty m:val="p"/>
                          </m:rPr>
                          <w:rPr>
                            <w:rFonts w:hint="default" w:ascii="Cambria Math" w:hAnsi="Cambria Math" w:cs="Times New Roman"/>
                            <w:color w:val="auto"/>
                            <w:sz w:val="18"/>
                            <w:szCs w:val="18"/>
                            <w:highlight w:val="none"/>
                            <w:lang w:val="en-US" w:eastAsia="zh-CN"/>
                          </w:rPr>
                          <m:t>log</m:t>
                        </m:r>
                        <m:ctrlPr>
                          <w:rPr>
                            <w:rFonts w:hint="default" w:ascii="Cambria Math" w:hAnsi="Cambria Math" w:cs="Times New Roman"/>
                            <w:color w:val="auto"/>
                            <w:sz w:val="18"/>
                            <w:szCs w:val="18"/>
                            <w:highlight w:val="none"/>
                            <w:lang w:val="en-US" w:eastAsia="zh-CN"/>
                          </w:rPr>
                        </m:ctrlPr>
                      </m:e>
                      <m:sub>
                        <m:r>
                          <m:rPr>
                            <m:sty m:val="p"/>
                          </m:rPr>
                          <w:rPr>
                            <w:rFonts w:hint="default" w:ascii="Cambria Math" w:hAnsi="Cambria Math" w:cs="Times New Roman"/>
                            <w:color w:val="auto"/>
                            <w:sz w:val="18"/>
                            <w:szCs w:val="18"/>
                            <w:highlight w:val="none"/>
                            <w:lang w:val="en-US" w:eastAsia="zh-CN"/>
                          </w:rPr>
                          <m:t>10</m:t>
                        </m:r>
                        <m:ctrlPr>
                          <w:rPr>
                            <w:rFonts w:hint="default" w:ascii="Cambria Math" w:hAnsi="Cambria Math" w:cs="Times New Roman"/>
                            <w:color w:val="auto"/>
                            <w:sz w:val="18"/>
                            <w:szCs w:val="18"/>
                            <w:highlight w:val="none"/>
                            <w:lang w:val="en-US" w:eastAsia="zh-CN"/>
                          </w:rPr>
                        </m:ctrlPr>
                      </m:sub>
                    </m:sSub>
                    <m:ctrlPr>
                      <w:rPr>
                        <w:rFonts w:hint="default" w:ascii="Cambria Math" w:hAnsi="Cambria Math" w:cs="Times New Roman"/>
                        <w:color w:val="auto"/>
                        <w:sz w:val="18"/>
                        <w:szCs w:val="18"/>
                        <w:highlight w:val="none"/>
                        <w:lang w:val="en-US" w:eastAsia="zh-CN"/>
                      </w:rPr>
                    </m:ctrlPr>
                  </m:fName>
                  <m:e>
                    <m:d>
                      <m:dPr>
                        <m:ctrlPr>
                          <w:rPr>
                            <w:rFonts w:hint="default" w:ascii="Cambria Math" w:hAnsi="Cambria Math" w:cs="Times New Roman"/>
                            <w:color w:val="auto"/>
                            <w:sz w:val="18"/>
                            <w:szCs w:val="18"/>
                            <w:highlight w:val="none"/>
                            <w:lang w:val="en-US" w:eastAsia="zh-CN"/>
                          </w:rPr>
                        </m:ctrlPr>
                      </m:dPr>
                      <m:e>
                        <m:f>
                          <m:fPr>
                            <m:type m:val="lin"/>
                            <m:ctrlPr>
                              <w:rPr>
                                <w:rFonts w:hint="default" w:ascii="Cambria Math" w:hAnsi="Cambria Math" w:cs="Times New Roman"/>
                                <w:color w:val="auto"/>
                                <w:sz w:val="18"/>
                                <w:szCs w:val="18"/>
                                <w:highlight w:val="none"/>
                                <w:lang w:val="en-US" w:eastAsia="zh-CN"/>
                              </w:rPr>
                            </m:ctrlPr>
                          </m:fPr>
                          <m:num>
                            <m:r>
                              <m:rPr>
                                <m:sty m:val="p"/>
                              </m:rPr>
                              <w:rPr>
                                <w:rFonts w:hint="default" w:ascii="Cambria Math" w:hAnsi="Cambria Math" w:cs="Times New Roman"/>
                                <w:color w:val="auto"/>
                                <w:sz w:val="18"/>
                                <w:szCs w:val="18"/>
                                <w:highlight w:val="none"/>
                                <w:lang w:val="en-US" w:eastAsia="zh-CN"/>
                              </w:rPr>
                              <m:t>f</m:t>
                            </m:r>
                            <m:ctrlPr>
                              <w:rPr>
                                <w:rFonts w:hint="default" w:ascii="Cambria Math" w:hAnsi="Cambria Math" w:cs="Times New Roman"/>
                                <w:color w:val="auto"/>
                                <w:sz w:val="18"/>
                                <w:szCs w:val="18"/>
                                <w:highlight w:val="none"/>
                                <w:lang w:val="en-US" w:eastAsia="zh-CN"/>
                              </w:rPr>
                            </m:ctrlPr>
                          </m:num>
                          <m:den>
                            <m:r>
                              <m:rPr>
                                <m:sty m:val="p"/>
                              </m:rPr>
                              <w:rPr>
                                <w:rFonts w:hint="default" w:ascii="Cambria Math" w:hAnsi="Cambria Math" w:cs="Times New Roman"/>
                                <w:color w:val="auto"/>
                                <w:sz w:val="18"/>
                                <w:szCs w:val="18"/>
                                <w:highlight w:val="none"/>
                                <w:lang w:val="en-US" w:eastAsia="zh-CN"/>
                              </w:rPr>
                              <m:t>7500</m:t>
                            </m:r>
                            <m:ctrlPr>
                              <w:rPr>
                                <w:rFonts w:hint="default" w:ascii="Cambria Math" w:hAnsi="Cambria Math" w:cs="Times New Roman"/>
                                <w:color w:val="auto"/>
                                <w:sz w:val="18"/>
                                <w:szCs w:val="18"/>
                                <w:highlight w:val="none"/>
                                <w:lang w:val="en-US" w:eastAsia="zh-CN"/>
                              </w:rPr>
                            </m:ctrlPr>
                          </m:den>
                        </m:f>
                        <m:ctrlPr>
                          <w:rPr>
                            <w:rFonts w:hint="default" w:ascii="Cambria Math" w:hAnsi="Cambria Math" w:cs="Times New Roman"/>
                            <w:color w:val="auto"/>
                            <w:sz w:val="18"/>
                            <w:szCs w:val="18"/>
                            <w:highlight w:val="none"/>
                            <w:lang w:val="en-US" w:eastAsia="zh-CN"/>
                          </w:rPr>
                        </m:ctrlPr>
                      </m:e>
                    </m:d>
                    <m:ctrlPr>
                      <w:rPr>
                        <w:rFonts w:hint="default" w:ascii="Cambria Math" w:hAnsi="Cambria Math" w:cs="Times New Roman"/>
                        <w:color w:val="auto"/>
                        <w:sz w:val="18"/>
                        <w:szCs w:val="18"/>
                        <w:highlight w:val="none"/>
                        <w:lang w:val="en-US" w:eastAsia="zh-CN"/>
                      </w:rPr>
                    </m:ctrlPr>
                  </m:e>
                </m:func>
              </m:oMath>
            </m:oMathPara>
          </w:p>
        </w:tc>
      </w:tr>
      <w:tr w14:paraId="5F490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1358" w:type="dxa"/>
            <w:vMerge w:val="restart"/>
            <w:vAlign w:val="center"/>
          </w:tcPr>
          <w:p w14:paraId="5177C176">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25GBASE-T1</w:t>
            </w:r>
          </w:p>
        </w:tc>
        <w:tc>
          <w:tcPr>
            <w:tcW w:w="1020" w:type="dxa"/>
            <w:vMerge w:val="restart"/>
            <w:vAlign w:val="center"/>
          </w:tcPr>
          <w:p w14:paraId="3602DDFA">
            <w:pPr>
              <w:jc w:val="center"/>
              <w:rPr>
                <w:rFonts w:hint="default" w:ascii="Times New Roman" w:hAnsi="Times New Roman" w:cs="Times New Roman"/>
                <w:color w:val="auto"/>
                <w:sz w:val="18"/>
                <w:szCs w:val="18"/>
                <w:highlight w:val="none"/>
                <w:lang w:val="en-US" w:eastAsia="zh-CN"/>
              </w:rPr>
            </w:pPr>
          </w:p>
        </w:tc>
        <w:tc>
          <w:tcPr>
            <w:tcW w:w="1746" w:type="dxa"/>
            <w:vAlign w:val="center"/>
          </w:tcPr>
          <w:p w14:paraId="288460B0">
            <w:pPr>
              <w:jc w:val="center"/>
              <w:rPr>
                <w:rFonts w:hint="default" w:ascii="Times New Roman" w:hAnsi="Times New Roman" w:cs="Times New Roman"/>
                <w:color w:val="auto"/>
                <w:sz w:val="18"/>
                <w:szCs w:val="18"/>
                <w:highlight w:val="none"/>
                <w:lang w:val="en-US" w:eastAsia="zh-CN"/>
              </w:rPr>
            </w:pPr>
            <m:oMathPara>
              <m:oMath>
                <m:r>
                  <m:rPr>
                    <m:sty m:val="p"/>
                  </m:rPr>
                  <w:rPr>
                    <w:rFonts w:hint="default" w:ascii="Cambria Math" w:hAnsi="Cambria Math" w:cs="Times New Roman"/>
                    <w:color w:val="auto"/>
                    <w:sz w:val="18"/>
                    <w:szCs w:val="18"/>
                    <w:highlight w:val="none"/>
                    <w:lang w:val="en-US" w:eastAsia="zh-CN"/>
                  </w:rPr>
                  <m:t>30≤f&lt;750</m:t>
                </m:r>
              </m:oMath>
            </m:oMathPara>
          </w:p>
        </w:tc>
        <w:tc>
          <w:tcPr>
            <w:tcW w:w="4422" w:type="dxa"/>
            <w:gridSpan w:val="3"/>
            <w:vAlign w:val="center"/>
          </w:tcPr>
          <w:p w14:paraId="5F953395">
            <w:pPr>
              <w:jc w:val="center"/>
              <w:rPr>
                <w:rFonts w:hint="default" w:ascii="Times New Roman" w:hAnsi="Times New Roman" w:cs="Times New Roman"/>
                <w:color w:val="auto"/>
                <w:sz w:val="18"/>
                <w:szCs w:val="18"/>
                <w:highlight w:val="none"/>
                <w:lang w:val="en-US" w:eastAsia="zh-CN"/>
              </w:rPr>
            </w:pPr>
            <m:oMathPara>
              <m:oMath>
                <m:r>
                  <m:rPr>
                    <m:sty m:val="p"/>
                  </m:rPr>
                  <w:rPr>
                    <w:rFonts w:hint="default" w:ascii="Cambria Math" w:hAnsi="Cambria Math" w:cs="Times New Roman"/>
                    <w:color w:val="auto"/>
                    <w:sz w:val="18"/>
                    <w:szCs w:val="18"/>
                    <w:highlight w:val="none"/>
                    <w:lang w:val="en-US" w:eastAsia="zh-CN"/>
                  </w:rPr>
                  <m:t>70</m:t>
                </m:r>
              </m:oMath>
            </m:oMathPara>
          </w:p>
        </w:tc>
      </w:tr>
      <w:tr w14:paraId="342A0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1358" w:type="dxa"/>
            <w:vMerge w:val="continue"/>
            <w:vAlign w:val="center"/>
          </w:tcPr>
          <w:p w14:paraId="3852FB41">
            <w:pPr>
              <w:jc w:val="center"/>
              <w:rPr>
                <w:rFonts w:hint="default" w:ascii="Times New Roman" w:hAnsi="Times New Roman" w:cs="Times New Roman"/>
                <w:color w:val="auto"/>
                <w:sz w:val="18"/>
                <w:szCs w:val="18"/>
                <w:highlight w:val="none"/>
                <w:lang w:val="en-US" w:eastAsia="zh-CN"/>
              </w:rPr>
            </w:pPr>
          </w:p>
        </w:tc>
        <w:tc>
          <w:tcPr>
            <w:tcW w:w="1020" w:type="dxa"/>
            <w:vMerge w:val="continue"/>
            <w:vAlign w:val="center"/>
          </w:tcPr>
          <w:p w14:paraId="7D75C9C8">
            <w:pPr>
              <w:jc w:val="center"/>
              <w:rPr>
                <w:rFonts w:hint="default" w:ascii="Times New Roman" w:hAnsi="Times New Roman" w:cs="Times New Roman"/>
                <w:color w:val="auto"/>
                <w:sz w:val="18"/>
                <w:szCs w:val="18"/>
                <w:highlight w:val="none"/>
                <w:lang w:val="en-US" w:eastAsia="zh-CN"/>
              </w:rPr>
            </w:pPr>
          </w:p>
        </w:tc>
        <w:tc>
          <w:tcPr>
            <w:tcW w:w="1746" w:type="dxa"/>
            <w:vAlign w:val="center"/>
          </w:tcPr>
          <w:p w14:paraId="050A7658">
            <w:pPr>
              <w:jc w:val="center"/>
              <w:rPr>
                <w:rFonts w:hint="default" w:ascii="Times New Roman" w:hAnsi="Times New Roman" w:cs="Times New Roman"/>
                <w:color w:val="auto"/>
                <w:sz w:val="18"/>
                <w:szCs w:val="18"/>
                <w:highlight w:val="none"/>
                <w:lang w:val="en-US" w:eastAsia="zh-CN"/>
              </w:rPr>
            </w:pPr>
            <m:oMathPara>
              <m:oMath>
                <m:r>
                  <m:rPr>
                    <m:sty m:val="p"/>
                  </m:rPr>
                  <w:rPr>
                    <w:rFonts w:hint="default" w:ascii="Cambria Math" w:hAnsi="Cambria Math" w:cs="Times New Roman"/>
                    <w:color w:val="auto"/>
                    <w:sz w:val="18"/>
                    <w:szCs w:val="18"/>
                    <w:highlight w:val="none"/>
                    <w:lang w:val="en-US" w:eastAsia="zh-CN"/>
                  </w:rPr>
                  <m:t>750≤f≤9000</m:t>
                </m:r>
              </m:oMath>
            </m:oMathPara>
          </w:p>
        </w:tc>
        <w:tc>
          <w:tcPr>
            <w:tcW w:w="4422" w:type="dxa"/>
            <w:gridSpan w:val="3"/>
            <w:vAlign w:val="center"/>
          </w:tcPr>
          <w:p w14:paraId="428D34B3">
            <w:pPr>
              <w:jc w:val="center"/>
              <w:rPr>
                <w:rFonts w:hint="default" w:ascii="Times New Roman" w:hAnsi="Times New Roman" w:cs="Times New Roman"/>
                <w:color w:val="auto"/>
                <w:sz w:val="18"/>
                <w:szCs w:val="18"/>
                <w:highlight w:val="none"/>
                <w:lang w:val="en-US" w:eastAsia="zh-CN"/>
              </w:rPr>
            </w:pPr>
            <m:oMathPara>
              <m:oMath>
                <m:r>
                  <m:rPr>
                    <m:sty m:val="p"/>
                  </m:rPr>
                  <w:rPr>
                    <w:rFonts w:hint="default" w:ascii="Cambria Math" w:hAnsi="Cambria Math" w:cs="Times New Roman"/>
                    <w:color w:val="auto"/>
                    <w:sz w:val="18"/>
                    <w:szCs w:val="18"/>
                    <w:highlight w:val="none"/>
                    <w:lang w:val="en-US" w:eastAsia="zh-CN"/>
                  </w:rPr>
                  <m:t>50−20×</m:t>
                </m:r>
                <m:func>
                  <m:funcPr>
                    <m:ctrlPr>
                      <w:rPr>
                        <w:rFonts w:hint="default" w:ascii="Cambria Math" w:hAnsi="Cambria Math" w:cs="Times New Roman"/>
                        <w:color w:val="auto"/>
                        <w:sz w:val="18"/>
                        <w:szCs w:val="18"/>
                        <w:highlight w:val="none"/>
                        <w:lang w:val="en-US" w:eastAsia="zh-CN"/>
                      </w:rPr>
                    </m:ctrlPr>
                  </m:funcPr>
                  <m:fName>
                    <m:sSub>
                      <m:sSubPr>
                        <m:ctrlPr>
                          <w:rPr>
                            <w:rFonts w:hint="default" w:ascii="Cambria Math" w:hAnsi="Cambria Math" w:cs="Times New Roman"/>
                            <w:color w:val="auto"/>
                            <w:sz w:val="18"/>
                            <w:szCs w:val="18"/>
                            <w:highlight w:val="none"/>
                            <w:lang w:val="en-US" w:eastAsia="zh-CN"/>
                          </w:rPr>
                        </m:ctrlPr>
                      </m:sSubPr>
                      <m:e>
                        <m:r>
                          <m:rPr>
                            <m:sty m:val="p"/>
                          </m:rPr>
                          <w:rPr>
                            <w:rFonts w:hint="default" w:ascii="Cambria Math" w:hAnsi="Cambria Math" w:cs="Times New Roman"/>
                            <w:color w:val="auto"/>
                            <w:sz w:val="18"/>
                            <w:szCs w:val="18"/>
                            <w:highlight w:val="none"/>
                            <w:lang w:val="en-US" w:eastAsia="zh-CN"/>
                          </w:rPr>
                          <m:t>log</m:t>
                        </m:r>
                        <m:ctrlPr>
                          <w:rPr>
                            <w:rFonts w:hint="default" w:ascii="Cambria Math" w:hAnsi="Cambria Math" w:cs="Times New Roman"/>
                            <w:color w:val="auto"/>
                            <w:sz w:val="18"/>
                            <w:szCs w:val="18"/>
                            <w:highlight w:val="none"/>
                            <w:lang w:val="en-US" w:eastAsia="zh-CN"/>
                          </w:rPr>
                        </m:ctrlPr>
                      </m:e>
                      <m:sub>
                        <m:r>
                          <m:rPr>
                            <m:sty m:val="p"/>
                          </m:rPr>
                          <w:rPr>
                            <w:rFonts w:hint="default" w:ascii="Cambria Math" w:hAnsi="Cambria Math" w:cs="Times New Roman"/>
                            <w:color w:val="auto"/>
                            <w:sz w:val="18"/>
                            <w:szCs w:val="18"/>
                            <w:highlight w:val="none"/>
                            <w:lang w:val="en-US" w:eastAsia="zh-CN"/>
                          </w:rPr>
                          <m:t>10</m:t>
                        </m:r>
                        <m:ctrlPr>
                          <w:rPr>
                            <w:rFonts w:hint="default" w:ascii="Cambria Math" w:hAnsi="Cambria Math" w:cs="Times New Roman"/>
                            <w:color w:val="auto"/>
                            <w:sz w:val="18"/>
                            <w:szCs w:val="18"/>
                            <w:highlight w:val="none"/>
                            <w:lang w:val="en-US" w:eastAsia="zh-CN"/>
                          </w:rPr>
                        </m:ctrlPr>
                      </m:sub>
                    </m:sSub>
                    <m:ctrlPr>
                      <w:rPr>
                        <w:rFonts w:hint="default" w:ascii="Cambria Math" w:hAnsi="Cambria Math" w:cs="Times New Roman"/>
                        <w:color w:val="auto"/>
                        <w:sz w:val="18"/>
                        <w:szCs w:val="18"/>
                        <w:highlight w:val="none"/>
                        <w:lang w:val="en-US" w:eastAsia="zh-CN"/>
                      </w:rPr>
                    </m:ctrlPr>
                  </m:fName>
                  <m:e>
                    <m:d>
                      <m:dPr>
                        <m:ctrlPr>
                          <w:rPr>
                            <w:rFonts w:hint="default" w:ascii="Cambria Math" w:hAnsi="Cambria Math" w:cs="Times New Roman"/>
                            <w:color w:val="auto"/>
                            <w:sz w:val="18"/>
                            <w:szCs w:val="18"/>
                            <w:highlight w:val="none"/>
                            <w:lang w:val="en-US" w:eastAsia="zh-CN"/>
                          </w:rPr>
                        </m:ctrlPr>
                      </m:dPr>
                      <m:e>
                        <m:f>
                          <m:fPr>
                            <m:type m:val="lin"/>
                            <m:ctrlPr>
                              <w:rPr>
                                <w:rFonts w:hint="default" w:ascii="Cambria Math" w:hAnsi="Cambria Math" w:cs="Times New Roman"/>
                                <w:color w:val="auto"/>
                                <w:sz w:val="18"/>
                                <w:szCs w:val="18"/>
                                <w:highlight w:val="none"/>
                                <w:lang w:val="en-US" w:eastAsia="zh-CN"/>
                              </w:rPr>
                            </m:ctrlPr>
                          </m:fPr>
                          <m:num>
                            <m:r>
                              <m:rPr>
                                <m:sty m:val="p"/>
                              </m:rPr>
                              <w:rPr>
                                <w:rFonts w:hint="default" w:ascii="Cambria Math" w:hAnsi="Cambria Math" w:cs="Times New Roman"/>
                                <w:color w:val="auto"/>
                                <w:sz w:val="18"/>
                                <w:szCs w:val="18"/>
                                <w:highlight w:val="none"/>
                                <w:lang w:val="en-US" w:eastAsia="zh-CN"/>
                              </w:rPr>
                              <m:t>f</m:t>
                            </m:r>
                            <m:ctrlPr>
                              <w:rPr>
                                <w:rFonts w:hint="default" w:ascii="Cambria Math" w:hAnsi="Cambria Math" w:cs="Times New Roman"/>
                                <w:color w:val="auto"/>
                                <w:sz w:val="18"/>
                                <w:szCs w:val="18"/>
                                <w:highlight w:val="none"/>
                                <w:lang w:val="en-US" w:eastAsia="zh-CN"/>
                              </w:rPr>
                            </m:ctrlPr>
                          </m:num>
                          <m:den>
                            <m:r>
                              <m:rPr>
                                <m:sty m:val="p"/>
                              </m:rPr>
                              <w:rPr>
                                <w:rFonts w:hint="default" w:ascii="Cambria Math" w:hAnsi="Cambria Math" w:cs="Times New Roman"/>
                                <w:color w:val="auto"/>
                                <w:sz w:val="18"/>
                                <w:szCs w:val="18"/>
                                <w:highlight w:val="none"/>
                                <w:lang w:val="en-US" w:eastAsia="zh-CN"/>
                              </w:rPr>
                              <m:t>7500</m:t>
                            </m:r>
                            <m:ctrlPr>
                              <w:rPr>
                                <w:rFonts w:hint="default" w:ascii="Cambria Math" w:hAnsi="Cambria Math" w:cs="Times New Roman"/>
                                <w:color w:val="auto"/>
                                <w:sz w:val="18"/>
                                <w:szCs w:val="18"/>
                                <w:highlight w:val="none"/>
                                <w:lang w:val="en-US" w:eastAsia="zh-CN"/>
                              </w:rPr>
                            </m:ctrlPr>
                          </m:den>
                        </m:f>
                        <m:ctrlPr>
                          <w:rPr>
                            <w:rFonts w:hint="default" w:ascii="Cambria Math" w:hAnsi="Cambria Math" w:cs="Times New Roman"/>
                            <w:color w:val="auto"/>
                            <w:sz w:val="18"/>
                            <w:szCs w:val="18"/>
                            <w:highlight w:val="none"/>
                            <w:lang w:val="en-US" w:eastAsia="zh-CN"/>
                          </w:rPr>
                        </m:ctrlPr>
                      </m:e>
                    </m:d>
                    <m:ctrlPr>
                      <w:rPr>
                        <w:rFonts w:hint="default" w:ascii="Cambria Math" w:hAnsi="Cambria Math" w:cs="Times New Roman"/>
                        <w:color w:val="auto"/>
                        <w:sz w:val="18"/>
                        <w:szCs w:val="18"/>
                        <w:highlight w:val="none"/>
                        <w:lang w:val="en-US" w:eastAsia="zh-CN"/>
                      </w:rPr>
                    </m:ctrlPr>
                  </m:e>
                </m:func>
              </m:oMath>
            </m:oMathPara>
          </w:p>
        </w:tc>
      </w:tr>
    </w:tbl>
    <w:p w14:paraId="3A4058A5">
      <w:pPr>
        <w:spacing w:before="156" w:beforeLines="50" w:after="156" w:afterLines="50"/>
        <w:ind w:firstLine="0" w:firstLineChars="0"/>
        <w:jc w:val="center"/>
        <w:rPr>
          <w:rFonts w:ascii="Times New Roman" w:hAnsi="Times New Roman" w:cs="Times New Roman"/>
          <w:color w:val="auto"/>
        </w:rPr>
      </w:pPr>
    </w:p>
    <w:p w14:paraId="23DA046C">
      <w:pPr>
        <w:spacing w:before="156" w:beforeLines="50" w:after="156" w:afterLines="50"/>
        <w:ind w:firstLine="0" w:firstLineChars="0"/>
        <w:jc w:val="center"/>
        <w:rPr>
          <w:rFonts w:ascii="Times New Roman" w:hAnsi="Times New Roman" w:cs="Times New Roman"/>
          <w:color w:val="auto"/>
        </w:rPr>
      </w:pPr>
      <w:r>
        <w:rPr>
          <w:rFonts w:ascii="Times New Roman" w:hAnsi="Times New Roman" w:cs="Times New Roman"/>
          <w:color w:val="auto"/>
        </w:rPr>
        <w:drawing>
          <wp:inline distT="0" distB="0" distL="0" distR="0">
            <wp:extent cx="5122545" cy="3347720"/>
            <wp:effectExtent l="0" t="0" r="13335" b="508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noChangeArrowheads="1"/>
                    </pic:cNvPicPr>
                  </pic:nvPicPr>
                  <pic:blipFill>
                    <a:blip r:embed="rId19"/>
                    <a:srcRect/>
                    <a:stretch>
                      <a:fillRect/>
                    </a:stretch>
                  </pic:blipFill>
                  <pic:spPr>
                    <a:xfrm>
                      <a:off x="0" y="0"/>
                      <a:ext cx="5122545" cy="3348000"/>
                    </a:xfrm>
                    <a:prstGeom prst="rect">
                      <a:avLst/>
                    </a:prstGeom>
                    <a:noFill/>
                  </pic:spPr>
                </pic:pic>
              </a:graphicData>
            </a:graphic>
          </wp:inline>
        </w:drawing>
      </w:r>
    </w:p>
    <w:p w14:paraId="2AE1B715">
      <w:pPr>
        <w:pStyle w:val="140"/>
        <w:numPr>
          <w:ilvl w:val="0"/>
          <w:numId w:val="0"/>
        </w:numPr>
        <w:bidi w:val="0"/>
        <w:ind w:leftChars="0"/>
        <w:jc w:val="center"/>
        <w:rPr>
          <w:rFonts w:hint="default" w:ascii="Times New Roman" w:hAnsi="Times New Roman" w:cs="Times New Roman"/>
          <w:color w:val="auto"/>
          <w:lang w:val="en-US" w:eastAsia="zh-CN"/>
        </w:rPr>
      </w:pPr>
      <w:r>
        <w:rPr>
          <w:rFonts w:hint="eastAsia" w:hAnsi="黑体" w:cs="黑体"/>
          <w:color w:val="auto"/>
          <w:lang w:val="en-US" w:eastAsia="zh-CN"/>
        </w:rPr>
        <w:t>图A.10</w:t>
      </w:r>
      <w:r>
        <w:rPr>
          <w:rFonts w:hint="eastAsia"/>
          <w:color w:val="auto"/>
          <w:highlight w:val="none"/>
          <w:lang w:val="en-US" w:eastAsia="zh-CN"/>
        </w:rPr>
        <w:t xml:space="preserve">  </w:t>
      </w:r>
      <w:r>
        <w:rPr>
          <w:rFonts w:hint="default" w:ascii="Times New Roman" w:hAnsi="Times New Roman" w:cs="Times New Roman"/>
          <w:color w:val="auto"/>
          <w:lang w:val="en-US" w:eastAsia="zh-CN"/>
        </w:rPr>
        <w:t>单对以太网</w:t>
      </w:r>
      <w:r>
        <w:rPr>
          <w:rFonts w:hint="eastAsia" w:ascii="Times New Roman" w:hAnsi="Times New Roman" w:cs="Times New Roman"/>
          <w:color w:val="auto"/>
          <w:lang w:val="en-US" w:eastAsia="zh-CN"/>
        </w:rPr>
        <w:t>屏蔽</w:t>
      </w:r>
      <w:r>
        <w:rPr>
          <w:rFonts w:hint="default" w:ascii="Times New Roman" w:hAnsi="Times New Roman" w:cs="Times New Roman"/>
          <w:color w:val="auto"/>
          <w:lang w:val="en-US" w:eastAsia="zh-CN"/>
        </w:rPr>
        <w:t>信道</w:t>
      </w:r>
      <w:r>
        <w:rPr>
          <w:rFonts w:hint="eastAsia" w:ascii="Times New Roman" w:hAnsi="Times New Roman" w:cs="Times New Roman"/>
          <w:color w:val="auto"/>
          <w:lang w:val="en-US" w:eastAsia="zh-CN"/>
        </w:rPr>
        <w:t>最小耦合衰减1</w:t>
      </w:r>
    </w:p>
    <w:p w14:paraId="369077F7">
      <w:pPr>
        <w:widowControl w:val="0"/>
        <w:autoSpaceDE w:val="0"/>
        <w:autoSpaceDN w:val="0"/>
        <w:adjustRightInd w:val="0"/>
        <w:jc w:val="center"/>
        <w:rPr>
          <w:rFonts w:ascii="宋体_x000B_....." w:hAnsi="Times New Roman" w:eastAsia="宋体_x000B_....." w:cs="宋体_x000B_....."/>
          <w:color w:val="auto"/>
          <w:sz w:val="24"/>
          <w:szCs w:val="24"/>
          <w:lang w:val="en-US" w:eastAsia="zh-CN" w:bidi="ar-SA"/>
        </w:rPr>
      </w:pPr>
    </w:p>
    <w:p w14:paraId="43FC1364">
      <w:pPr>
        <w:spacing w:before="156" w:beforeLines="50" w:after="156" w:afterLines="50"/>
        <w:ind w:firstLine="0" w:firstLineChars="0"/>
        <w:jc w:val="center"/>
        <w:rPr>
          <w:rFonts w:ascii="Times New Roman" w:hAnsi="Times New Roman" w:cs="Times New Roman"/>
          <w:i/>
          <w:iCs/>
          <w:color w:val="auto"/>
        </w:rPr>
      </w:pPr>
      <w:r>
        <w:rPr>
          <w:rFonts w:ascii="Times New Roman" w:hAnsi="Times New Roman" w:cs="Times New Roman"/>
          <w:i/>
          <w:iCs/>
          <w:color w:val="auto"/>
        </w:rPr>
        <w:drawing>
          <wp:inline distT="0" distB="0" distL="0" distR="0">
            <wp:extent cx="5126355" cy="3347720"/>
            <wp:effectExtent l="0" t="0" r="9525" b="508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20"/>
                    <a:srcRect/>
                    <a:stretch>
                      <a:fillRect/>
                    </a:stretch>
                  </pic:blipFill>
                  <pic:spPr>
                    <a:xfrm>
                      <a:off x="0" y="0"/>
                      <a:ext cx="5126355" cy="3348000"/>
                    </a:xfrm>
                    <a:prstGeom prst="rect">
                      <a:avLst/>
                    </a:prstGeom>
                    <a:noFill/>
                  </pic:spPr>
                </pic:pic>
              </a:graphicData>
            </a:graphic>
          </wp:inline>
        </w:drawing>
      </w:r>
    </w:p>
    <w:p w14:paraId="084E1B1E">
      <w:pPr>
        <w:pStyle w:val="140"/>
        <w:numPr>
          <w:ilvl w:val="0"/>
          <w:numId w:val="0"/>
        </w:numPr>
        <w:bidi w:val="0"/>
        <w:ind w:leftChars="0"/>
        <w:jc w:val="center"/>
        <w:rPr>
          <w:rFonts w:hint="eastAsia" w:ascii="Times New Roman" w:hAnsi="Times New Roman" w:cs="Times New Roman"/>
          <w:color w:val="auto"/>
          <w:lang w:val="en-US" w:eastAsia="zh-CN"/>
        </w:rPr>
      </w:pPr>
      <w:r>
        <w:rPr>
          <w:rFonts w:hint="eastAsia" w:hAnsi="黑体" w:cs="黑体"/>
          <w:color w:val="auto"/>
          <w:lang w:val="en-US" w:eastAsia="zh-CN"/>
        </w:rPr>
        <w:t>图A.</w:t>
      </w:r>
      <w:r>
        <w:rPr>
          <w:rFonts w:hint="eastAsia" w:ascii="黑体" w:hAnsi="黑体" w:eastAsia="黑体" w:cs="黑体"/>
          <w:color w:val="auto"/>
          <w:lang w:val="en-US" w:eastAsia="zh-CN"/>
        </w:rPr>
        <w:t>1</w:t>
      </w:r>
      <w:r>
        <w:rPr>
          <w:rFonts w:hint="eastAsia" w:hAnsi="黑体" w:cs="黑体"/>
          <w:color w:val="auto"/>
          <w:lang w:val="en-US" w:eastAsia="zh-CN"/>
        </w:rPr>
        <w:t>1</w:t>
      </w:r>
      <w:r>
        <w:rPr>
          <w:rFonts w:hint="eastAsia"/>
          <w:color w:val="auto"/>
          <w:highlight w:val="none"/>
          <w:lang w:val="en-US" w:eastAsia="zh-CN"/>
        </w:rPr>
        <w:t xml:space="preserve">  </w:t>
      </w:r>
      <w:r>
        <w:rPr>
          <w:rFonts w:hint="default" w:ascii="Times New Roman" w:hAnsi="Times New Roman" w:cs="Times New Roman"/>
          <w:color w:val="auto"/>
          <w:lang w:val="en-US" w:eastAsia="zh-CN"/>
        </w:rPr>
        <w:t>单对以太网</w:t>
      </w:r>
      <w:r>
        <w:rPr>
          <w:rFonts w:hint="eastAsia" w:ascii="Times New Roman" w:hAnsi="Times New Roman" w:cs="Times New Roman"/>
          <w:color w:val="auto"/>
          <w:lang w:val="en-US" w:eastAsia="zh-CN"/>
        </w:rPr>
        <w:t>屏蔽</w:t>
      </w:r>
      <w:r>
        <w:rPr>
          <w:rFonts w:hint="default" w:ascii="Times New Roman" w:hAnsi="Times New Roman" w:cs="Times New Roman"/>
          <w:color w:val="auto"/>
          <w:lang w:val="en-US" w:eastAsia="zh-CN"/>
        </w:rPr>
        <w:t>信道</w:t>
      </w:r>
      <w:r>
        <w:rPr>
          <w:rFonts w:hint="eastAsia" w:ascii="Times New Roman" w:hAnsi="Times New Roman" w:cs="Times New Roman"/>
          <w:color w:val="auto"/>
          <w:lang w:val="en-US" w:eastAsia="zh-CN"/>
        </w:rPr>
        <w:t>最小耦合衰减2</w:t>
      </w:r>
    </w:p>
    <w:p w14:paraId="242CF69C">
      <w:pPr>
        <w:pStyle w:val="26"/>
        <w:rPr>
          <w:rFonts w:hint="default" w:ascii="Times New Roman" w:hAnsi="Times New Roman" w:cs="Times New Roman"/>
          <w:color w:val="auto"/>
          <w:lang w:val="en-US" w:eastAsia="zh-CN"/>
        </w:rPr>
      </w:pPr>
    </w:p>
    <w:p w14:paraId="4A328AD2">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表</w:t>
      </w:r>
      <w:r>
        <w:rPr>
          <w:rFonts w:hint="default" w:hAnsi="Times New Roman" w:cs="Times New Roman"/>
          <w:color w:val="auto"/>
          <w:highlight w:val="none"/>
          <w:lang w:val="en-US" w:eastAsia="zh-CN"/>
        </w:rPr>
        <w:t>A.</w:t>
      </w:r>
      <w:r>
        <w:rPr>
          <w:rFonts w:hint="eastAsia" w:cs="Times New Roman"/>
          <w:color w:val="auto"/>
          <w:highlight w:val="none"/>
          <w:lang w:val="en-US" w:eastAsia="zh-CN"/>
        </w:rPr>
        <w:t>15</w:t>
      </w:r>
      <w:r>
        <w:rPr>
          <w:rFonts w:hint="eastAsia"/>
          <w:color w:val="auto"/>
          <w:highlight w:val="none"/>
          <w:lang w:val="en-US" w:eastAsia="zh-CN"/>
        </w:rPr>
        <w:t xml:space="preserve">  </w:t>
      </w:r>
      <w:r>
        <w:rPr>
          <w:rFonts w:hint="default" w:hAnsi="Times New Roman" w:cs="Times New Roman"/>
          <w:color w:val="auto"/>
          <w:highlight w:val="none"/>
          <w:lang w:val="en-US" w:eastAsia="zh-CN"/>
        </w:rPr>
        <w:t>单对以太网</w:t>
      </w:r>
      <w:r>
        <w:rPr>
          <w:rFonts w:hint="eastAsia" w:hAnsi="Times New Roman" w:cs="Times New Roman"/>
          <w:color w:val="auto"/>
          <w:highlight w:val="none"/>
          <w:lang w:val="en-US" w:eastAsia="zh-CN"/>
        </w:rPr>
        <w:t>屏蔽</w:t>
      </w:r>
      <w:r>
        <w:rPr>
          <w:rFonts w:hint="default" w:hAnsi="Times New Roman" w:cs="Times New Roman"/>
          <w:color w:val="auto"/>
          <w:highlight w:val="none"/>
          <w:lang w:val="en-US" w:eastAsia="zh-CN"/>
        </w:rPr>
        <w:t>信道</w:t>
      </w:r>
      <w:r>
        <w:rPr>
          <w:rFonts w:hint="eastAsia" w:hAnsi="Times New Roman" w:cs="Times New Roman"/>
          <w:color w:val="auto"/>
          <w:highlight w:val="none"/>
          <w:lang w:val="en-US" w:eastAsia="zh-CN"/>
        </w:rPr>
        <w:t>典型频率点的最小耦合衰减</w:t>
      </w:r>
    </w:p>
    <w:tbl>
      <w:tblPr>
        <w:tblStyle w:val="36"/>
        <w:tblW w:w="85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6"/>
        <w:gridCol w:w="1134"/>
        <w:gridCol w:w="1134"/>
        <w:gridCol w:w="1134"/>
        <w:gridCol w:w="1701"/>
        <w:gridCol w:w="1701"/>
      </w:tblGrid>
      <w:tr w14:paraId="191F75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1746" w:type="dxa"/>
            <w:vMerge w:val="restart"/>
            <w:shd w:val="clear" w:color="auto" w:fill="auto"/>
            <w:noWrap/>
            <w:vAlign w:val="center"/>
          </w:tcPr>
          <w:p w14:paraId="6578278B">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频率</w:t>
            </w:r>
          </w:p>
          <w:p w14:paraId="6B193B42">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（MHz）</w:t>
            </w:r>
          </w:p>
        </w:tc>
        <w:tc>
          <w:tcPr>
            <w:tcW w:w="6804" w:type="dxa"/>
            <w:gridSpan w:val="5"/>
            <w:shd w:val="clear" w:color="auto" w:fill="auto"/>
            <w:vAlign w:val="center"/>
          </w:tcPr>
          <w:p w14:paraId="519AC02A">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最小耦合衰减（dB）</w:t>
            </w:r>
          </w:p>
        </w:tc>
      </w:tr>
      <w:tr w14:paraId="1B0CDD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746" w:type="dxa"/>
            <w:vMerge w:val="continue"/>
            <w:shd w:val="clear" w:color="auto" w:fill="auto"/>
            <w:noWrap/>
            <w:vAlign w:val="center"/>
          </w:tcPr>
          <w:p w14:paraId="1C28D22F">
            <w:pPr>
              <w:jc w:val="center"/>
              <w:rPr>
                <w:rFonts w:hint="eastAsia" w:ascii="Times New Roman" w:hAnsi="Times New Roman" w:cs="Times New Roman"/>
                <w:b/>
                <w:bCs/>
                <w:color w:val="auto"/>
                <w:sz w:val="18"/>
                <w:szCs w:val="18"/>
                <w:highlight w:val="none"/>
                <w:lang w:val="en-US" w:eastAsia="zh-CN"/>
              </w:rPr>
            </w:pPr>
          </w:p>
        </w:tc>
        <w:tc>
          <w:tcPr>
            <w:tcW w:w="3402" w:type="dxa"/>
            <w:gridSpan w:val="3"/>
            <w:shd w:val="clear" w:color="auto" w:fill="auto"/>
            <w:vAlign w:val="center"/>
          </w:tcPr>
          <w:p w14:paraId="30CD075F">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 xml:space="preserve">1000BASE-T1 Type B  </w:t>
            </w:r>
          </w:p>
        </w:tc>
        <w:tc>
          <w:tcPr>
            <w:tcW w:w="1701" w:type="dxa"/>
            <w:vMerge w:val="restart"/>
            <w:shd w:val="clear" w:color="auto" w:fill="auto"/>
            <w:vAlign w:val="center"/>
          </w:tcPr>
          <w:p w14:paraId="0E4933E8">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10GBASE-T1</w:t>
            </w:r>
          </w:p>
        </w:tc>
        <w:tc>
          <w:tcPr>
            <w:tcW w:w="1701" w:type="dxa"/>
            <w:vMerge w:val="restart"/>
            <w:shd w:val="clear" w:color="auto" w:fill="auto"/>
            <w:vAlign w:val="center"/>
          </w:tcPr>
          <w:p w14:paraId="1842343C">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25GBASE-T1</w:t>
            </w:r>
          </w:p>
        </w:tc>
      </w:tr>
      <w:tr w14:paraId="0F4175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1746" w:type="dxa"/>
            <w:vMerge w:val="continue"/>
            <w:shd w:val="clear" w:color="auto" w:fill="auto"/>
            <w:noWrap/>
            <w:vAlign w:val="center"/>
          </w:tcPr>
          <w:p w14:paraId="5F97F357">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vAlign w:val="center"/>
          </w:tcPr>
          <w:p w14:paraId="78C1938D">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E1</w:t>
            </w:r>
          </w:p>
        </w:tc>
        <w:tc>
          <w:tcPr>
            <w:tcW w:w="1134" w:type="dxa"/>
            <w:shd w:val="clear" w:color="auto" w:fill="auto"/>
            <w:vAlign w:val="center"/>
          </w:tcPr>
          <w:p w14:paraId="550280B6">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E2</w:t>
            </w:r>
          </w:p>
        </w:tc>
        <w:tc>
          <w:tcPr>
            <w:tcW w:w="1134" w:type="dxa"/>
            <w:shd w:val="clear" w:color="auto" w:fill="auto"/>
            <w:vAlign w:val="center"/>
          </w:tcPr>
          <w:p w14:paraId="37170545">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E3</w:t>
            </w:r>
          </w:p>
        </w:tc>
        <w:tc>
          <w:tcPr>
            <w:tcW w:w="1701" w:type="dxa"/>
            <w:vMerge w:val="continue"/>
            <w:shd w:val="clear" w:color="auto" w:fill="auto"/>
            <w:vAlign w:val="center"/>
          </w:tcPr>
          <w:p w14:paraId="63FB8A37">
            <w:pPr>
              <w:jc w:val="center"/>
              <w:rPr>
                <w:rFonts w:hint="eastAsia" w:ascii="Times New Roman" w:hAnsi="Times New Roman" w:cs="Times New Roman"/>
                <w:color w:val="auto"/>
                <w:sz w:val="18"/>
                <w:szCs w:val="18"/>
                <w:highlight w:val="none"/>
                <w:lang w:val="en-US" w:eastAsia="zh-CN"/>
              </w:rPr>
            </w:pPr>
          </w:p>
        </w:tc>
        <w:tc>
          <w:tcPr>
            <w:tcW w:w="1701" w:type="dxa"/>
            <w:vMerge w:val="continue"/>
            <w:shd w:val="clear" w:color="auto" w:fill="auto"/>
            <w:vAlign w:val="center"/>
          </w:tcPr>
          <w:p w14:paraId="15CD6341">
            <w:pPr>
              <w:jc w:val="center"/>
              <w:rPr>
                <w:rFonts w:hint="eastAsia" w:ascii="Times New Roman" w:hAnsi="Times New Roman" w:cs="Times New Roman"/>
                <w:color w:val="auto"/>
                <w:sz w:val="18"/>
                <w:szCs w:val="18"/>
                <w:highlight w:val="none"/>
                <w:lang w:val="en-US" w:eastAsia="zh-CN"/>
              </w:rPr>
            </w:pPr>
          </w:p>
        </w:tc>
      </w:tr>
      <w:tr w14:paraId="1F4841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tcBorders>
              <w:top w:val="single" w:color="auto" w:sz="8" w:space="0"/>
            </w:tcBorders>
            <w:shd w:val="clear" w:color="auto" w:fill="auto"/>
            <w:noWrap/>
            <w:vAlign w:val="center"/>
          </w:tcPr>
          <w:p w14:paraId="50725FC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w:t>
            </w:r>
          </w:p>
        </w:tc>
        <w:tc>
          <w:tcPr>
            <w:tcW w:w="1134" w:type="dxa"/>
            <w:tcBorders>
              <w:top w:val="single" w:color="auto" w:sz="8" w:space="0"/>
            </w:tcBorders>
            <w:shd w:val="clear" w:color="auto" w:fill="auto"/>
            <w:noWrap/>
            <w:vAlign w:val="center"/>
          </w:tcPr>
          <w:p w14:paraId="226366F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40.0 </w:t>
            </w:r>
          </w:p>
        </w:tc>
        <w:tc>
          <w:tcPr>
            <w:tcW w:w="1134" w:type="dxa"/>
            <w:tcBorders>
              <w:top w:val="single" w:color="auto" w:sz="8" w:space="0"/>
            </w:tcBorders>
            <w:shd w:val="clear" w:color="auto" w:fill="auto"/>
            <w:noWrap/>
            <w:vAlign w:val="center"/>
          </w:tcPr>
          <w:p w14:paraId="537E49F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50.0 </w:t>
            </w:r>
          </w:p>
        </w:tc>
        <w:tc>
          <w:tcPr>
            <w:tcW w:w="1134" w:type="dxa"/>
            <w:tcBorders>
              <w:top w:val="single" w:color="auto" w:sz="8" w:space="0"/>
            </w:tcBorders>
            <w:shd w:val="clear" w:color="auto" w:fill="auto"/>
            <w:noWrap/>
            <w:vAlign w:val="center"/>
          </w:tcPr>
          <w:p w14:paraId="6E1BEA8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60.0 </w:t>
            </w:r>
          </w:p>
        </w:tc>
        <w:tc>
          <w:tcPr>
            <w:tcW w:w="1701" w:type="dxa"/>
            <w:tcBorders>
              <w:top w:val="single" w:color="auto" w:sz="8" w:space="0"/>
            </w:tcBorders>
            <w:shd w:val="clear" w:color="auto" w:fill="auto"/>
            <w:noWrap/>
            <w:vAlign w:val="center"/>
          </w:tcPr>
          <w:p w14:paraId="277F735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70.0 </w:t>
            </w:r>
          </w:p>
        </w:tc>
        <w:tc>
          <w:tcPr>
            <w:tcW w:w="1701" w:type="dxa"/>
            <w:tcBorders>
              <w:top w:val="single" w:color="auto" w:sz="8" w:space="0"/>
            </w:tcBorders>
            <w:shd w:val="clear" w:color="auto" w:fill="auto"/>
            <w:noWrap/>
            <w:vAlign w:val="center"/>
          </w:tcPr>
          <w:p w14:paraId="76D7B2C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70.0 </w:t>
            </w:r>
          </w:p>
        </w:tc>
      </w:tr>
      <w:tr w14:paraId="54BE77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5BFCAB8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w:t>
            </w:r>
          </w:p>
        </w:tc>
        <w:tc>
          <w:tcPr>
            <w:tcW w:w="1134" w:type="dxa"/>
            <w:shd w:val="clear" w:color="auto" w:fill="auto"/>
            <w:noWrap/>
            <w:vAlign w:val="center"/>
          </w:tcPr>
          <w:p w14:paraId="527DD18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40.0 </w:t>
            </w:r>
          </w:p>
        </w:tc>
        <w:tc>
          <w:tcPr>
            <w:tcW w:w="1134" w:type="dxa"/>
            <w:shd w:val="clear" w:color="auto" w:fill="auto"/>
            <w:noWrap/>
            <w:vAlign w:val="center"/>
          </w:tcPr>
          <w:p w14:paraId="09D7FA3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50.0 </w:t>
            </w:r>
          </w:p>
        </w:tc>
        <w:tc>
          <w:tcPr>
            <w:tcW w:w="1134" w:type="dxa"/>
            <w:shd w:val="clear" w:color="auto" w:fill="auto"/>
            <w:noWrap/>
            <w:vAlign w:val="center"/>
          </w:tcPr>
          <w:p w14:paraId="5735855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60.0 </w:t>
            </w:r>
          </w:p>
        </w:tc>
        <w:tc>
          <w:tcPr>
            <w:tcW w:w="1701" w:type="dxa"/>
            <w:shd w:val="clear" w:color="auto" w:fill="auto"/>
            <w:noWrap/>
            <w:vAlign w:val="center"/>
          </w:tcPr>
          <w:p w14:paraId="2301EEF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70.0 </w:t>
            </w:r>
          </w:p>
        </w:tc>
        <w:tc>
          <w:tcPr>
            <w:tcW w:w="1701" w:type="dxa"/>
            <w:shd w:val="clear" w:color="auto" w:fill="auto"/>
            <w:noWrap/>
            <w:vAlign w:val="center"/>
          </w:tcPr>
          <w:p w14:paraId="6A5E56B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70.0 </w:t>
            </w:r>
          </w:p>
        </w:tc>
      </w:tr>
      <w:tr w14:paraId="1F5155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75903F3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200</w:t>
            </w:r>
          </w:p>
        </w:tc>
        <w:tc>
          <w:tcPr>
            <w:tcW w:w="1134" w:type="dxa"/>
            <w:shd w:val="clear" w:color="auto" w:fill="auto"/>
            <w:noWrap/>
            <w:vAlign w:val="center"/>
          </w:tcPr>
          <w:p w14:paraId="63B486E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34.0 </w:t>
            </w:r>
          </w:p>
        </w:tc>
        <w:tc>
          <w:tcPr>
            <w:tcW w:w="1134" w:type="dxa"/>
            <w:shd w:val="clear" w:color="auto" w:fill="auto"/>
            <w:noWrap/>
            <w:vAlign w:val="center"/>
          </w:tcPr>
          <w:p w14:paraId="46DA684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44.0 </w:t>
            </w:r>
          </w:p>
        </w:tc>
        <w:tc>
          <w:tcPr>
            <w:tcW w:w="1134" w:type="dxa"/>
            <w:shd w:val="clear" w:color="auto" w:fill="auto"/>
            <w:noWrap/>
            <w:vAlign w:val="center"/>
          </w:tcPr>
          <w:p w14:paraId="55F7907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54.0 </w:t>
            </w:r>
          </w:p>
        </w:tc>
        <w:tc>
          <w:tcPr>
            <w:tcW w:w="1701" w:type="dxa"/>
            <w:shd w:val="clear" w:color="auto" w:fill="auto"/>
            <w:noWrap/>
            <w:vAlign w:val="center"/>
          </w:tcPr>
          <w:p w14:paraId="72F1A54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70.0 </w:t>
            </w:r>
          </w:p>
        </w:tc>
        <w:tc>
          <w:tcPr>
            <w:tcW w:w="1701" w:type="dxa"/>
            <w:shd w:val="clear" w:color="auto" w:fill="auto"/>
            <w:noWrap/>
            <w:vAlign w:val="center"/>
          </w:tcPr>
          <w:p w14:paraId="59705A7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70.0 </w:t>
            </w:r>
          </w:p>
        </w:tc>
      </w:tr>
      <w:tr w14:paraId="14F11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4219960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400</w:t>
            </w:r>
          </w:p>
        </w:tc>
        <w:tc>
          <w:tcPr>
            <w:tcW w:w="1134" w:type="dxa"/>
            <w:shd w:val="clear" w:color="auto" w:fill="auto"/>
            <w:noWrap/>
            <w:vAlign w:val="center"/>
          </w:tcPr>
          <w:p w14:paraId="3A22DE1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28.0 </w:t>
            </w:r>
          </w:p>
        </w:tc>
        <w:tc>
          <w:tcPr>
            <w:tcW w:w="1134" w:type="dxa"/>
            <w:shd w:val="clear" w:color="auto" w:fill="auto"/>
            <w:noWrap/>
            <w:vAlign w:val="center"/>
          </w:tcPr>
          <w:p w14:paraId="2088357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38.0 </w:t>
            </w:r>
          </w:p>
        </w:tc>
        <w:tc>
          <w:tcPr>
            <w:tcW w:w="1134" w:type="dxa"/>
            <w:shd w:val="clear" w:color="auto" w:fill="auto"/>
            <w:noWrap/>
            <w:vAlign w:val="center"/>
          </w:tcPr>
          <w:p w14:paraId="1B59C90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48.0 </w:t>
            </w:r>
          </w:p>
        </w:tc>
        <w:tc>
          <w:tcPr>
            <w:tcW w:w="1701" w:type="dxa"/>
            <w:shd w:val="clear" w:color="auto" w:fill="auto"/>
            <w:noWrap/>
            <w:vAlign w:val="center"/>
          </w:tcPr>
          <w:p w14:paraId="3ADE2B9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70.0 </w:t>
            </w:r>
          </w:p>
        </w:tc>
        <w:tc>
          <w:tcPr>
            <w:tcW w:w="1701" w:type="dxa"/>
            <w:shd w:val="clear" w:color="auto" w:fill="auto"/>
            <w:noWrap/>
            <w:vAlign w:val="center"/>
          </w:tcPr>
          <w:p w14:paraId="020BBD5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70.0 </w:t>
            </w:r>
          </w:p>
        </w:tc>
      </w:tr>
      <w:tr w14:paraId="5E851A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6302896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600</w:t>
            </w:r>
          </w:p>
        </w:tc>
        <w:tc>
          <w:tcPr>
            <w:tcW w:w="1134" w:type="dxa"/>
            <w:shd w:val="clear" w:color="auto" w:fill="auto"/>
            <w:noWrap/>
            <w:vAlign w:val="center"/>
          </w:tcPr>
          <w:p w14:paraId="0219389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24.4 </w:t>
            </w:r>
          </w:p>
        </w:tc>
        <w:tc>
          <w:tcPr>
            <w:tcW w:w="1134" w:type="dxa"/>
            <w:shd w:val="clear" w:color="auto" w:fill="auto"/>
            <w:noWrap/>
            <w:vAlign w:val="center"/>
          </w:tcPr>
          <w:p w14:paraId="0E7781A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34.4 </w:t>
            </w:r>
          </w:p>
        </w:tc>
        <w:tc>
          <w:tcPr>
            <w:tcW w:w="1134" w:type="dxa"/>
            <w:shd w:val="clear" w:color="auto" w:fill="auto"/>
            <w:noWrap/>
            <w:vAlign w:val="center"/>
          </w:tcPr>
          <w:p w14:paraId="4BB17AF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44.4 </w:t>
            </w:r>
          </w:p>
        </w:tc>
        <w:tc>
          <w:tcPr>
            <w:tcW w:w="1701" w:type="dxa"/>
            <w:shd w:val="clear" w:color="auto" w:fill="auto"/>
            <w:noWrap/>
            <w:vAlign w:val="center"/>
          </w:tcPr>
          <w:p w14:paraId="4CCFE07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70.0 </w:t>
            </w:r>
          </w:p>
        </w:tc>
        <w:tc>
          <w:tcPr>
            <w:tcW w:w="1701" w:type="dxa"/>
            <w:shd w:val="clear" w:color="auto" w:fill="auto"/>
            <w:noWrap/>
            <w:vAlign w:val="center"/>
          </w:tcPr>
          <w:p w14:paraId="01CC232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70.0 </w:t>
            </w:r>
          </w:p>
        </w:tc>
      </w:tr>
      <w:tr w14:paraId="0CF9F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4B133C3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1000</w:t>
            </w:r>
          </w:p>
        </w:tc>
        <w:tc>
          <w:tcPr>
            <w:tcW w:w="1134" w:type="dxa"/>
            <w:shd w:val="clear" w:color="auto" w:fill="auto"/>
            <w:noWrap/>
            <w:vAlign w:val="center"/>
          </w:tcPr>
          <w:p w14:paraId="40A057A6">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455F5B21">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3A22A448">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4B3D1FD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67.5 </w:t>
            </w:r>
          </w:p>
        </w:tc>
        <w:tc>
          <w:tcPr>
            <w:tcW w:w="1701" w:type="dxa"/>
            <w:shd w:val="clear" w:color="auto" w:fill="auto"/>
            <w:noWrap/>
            <w:vAlign w:val="center"/>
          </w:tcPr>
          <w:p w14:paraId="5E972F3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67.5 </w:t>
            </w:r>
          </w:p>
        </w:tc>
      </w:tr>
      <w:tr w14:paraId="44CF13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46D5E65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2000</w:t>
            </w:r>
          </w:p>
        </w:tc>
        <w:tc>
          <w:tcPr>
            <w:tcW w:w="1134" w:type="dxa"/>
            <w:shd w:val="clear" w:color="auto" w:fill="auto"/>
            <w:noWrap/>
            <w:vAlign w:val="center"/>
          </w:tcPr>
          <w:p w14:paraId="4E73B8D4">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4BF7091F">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4FD3D8F6">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3AFDC88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61.5 </w:t>
            </w:r>
          </w:p>
        </w:tc>
        <w:tc>
          <w:tcPr>
            <w:tcW w:w="1701" w:type="dxa"/>
            <w:shd w:val="clear" w:color="auto" w:fill="auto"/>
            <w:noWrap/>
            <w:vAlign w:val="center"/>
          </w:tcPr>
          <w:p w14:paraId="31801BC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61.5 </w:t>
            </w:r>
          </w:p>
        </w:tc>
      </w:tr>
      <w:tr w14:paraId="1A55E5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29760FC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3000</w:t>
            </w:r>
          </w:p>
        </w:tc>
        <w:tc>
          <w:tcPr>
            <w:tcW w:w="1134" w:type="dxa"/>
            <w:shd w:val="clear" w:color="auto" w:fill="auto"/>
            <w:noWrap/>
            <w:vAlign w:val="center"/>
          </w:tcPr>
          <w:p w14:paraId="3001E665">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261F8DFE">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2C799438">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1400866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58.0 </w:t>
            </w:r>
          </w:p>
        </w:tc>
        <w:tc>
          <w:tcPr>
            <w:tcW w:w="1701" w:type="dxa"/>
            <w:shd w:val="clear" w:color="auto" w:fill="auto"/>
            <w:noWrap/>
            <w:vAlign w:val="center"/>
          </w:tcPr>
          <w:p w14:paraId="58FDB1D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58.0 </w:t>
            </w:r>
          </w:p>
        </w:tc>
      </w:tr>
      <w:tr w14:paraId="62AE0C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34E0E6B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4000</w:t>
            </w:r>
          </w:p>
        </w:tc>
        <w:tc>
          <w:tcPr>
            <w:tcW w:w="1134" w:type="dxa"/>
            <w:shd w:val="clear" w:color="auto" w:fill="auto"/>
            <w:noWrap/>
            <w:vAlign w:val="center"/>
          </w:tcPr>
          <w:p w14:paraId="4B538012">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5ED454BE">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4BBA62F5">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5B9AC12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55.5 </w:t>
            </w:r>
          </w:p>
        </w:tc>
        <w:tc>
          <w:tcPr>
            <w:tcW w:w="1701" w:type="dxa"/>
            <w:shd w:val="clear" w:color="auto" w:fill="auto"/>
            <w:noWrap/>
            <w:vAlign w:val="center"/>
          </w:tcPr>
          <w:p w14:paraId="0840404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55.5 </w:t>
            </w:r>
          </w:p>
        </w:tc>
      </w:tr>
      <w:tr w14:paraId="6681A8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226F6F9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9000</w:t>
            </w:r>
          </w:p>
        </w:tc>
        <w:tc>
          <w:tcPr>
            <w:tcW w:w="1134" w:type="dxa"/>
            <w:shd w:val="clear" w:color="auto" w:fill="auto"/>
            <w:noWrap/>
            <w:vAlign w:val="center"/>
          </w:tcPr>
          <w:p w14:paraId="286A1C96">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2E4406CA">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1C984ACB">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78E0E32B">
            <w:pPr>
              <w:jc w:val="center"/>
              <w:rPr>
                <w:rFonts w:hint="eastAsia" w:ascii="Times New Roman" w:hAnsi="Times New Roman" w:cs="Times New Roman"/>
                <w:color w:val="auto"/>
                <w:sz w:val="18"/>
                <w:szCs w:val="18"/>
                <w:highlight w:val="none"/>
                <w:lang w:val="en-US" w:eastAsia="zh-CN"/>
              </w:rPr>
            </w:pPr>
          </w:p>
        </w:tc>
        <w:tc>
          <w:tcPr>
            <w:tcW w:w="1701" w:type="dxa"/>
            <w:shd w:val="clear" w:color="auto" w:fill="auto"/>
            <w:noWrap/>
            <w:vAlign w:val="center"/>
          </w:tcPr>
          <w:p w14:paraId="0902276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48.4 </w:t>
            </w:r>
          </w:p>
        </w:tc>
      </w:tr>
    </w:tbl>
    <w:p w14:paraId="650BCE2C">
      <w:pPr>
        <w:rPr>
          <w:rFonts w:hint="eastAsia"/>
          <w:color w:val="auto"/>
          <w:lang w:val="en-US" w:eastAsia="zh-CN"/>
        </w:rPr>
      </w:pPr>
    </w:p>
    <w:p w14:paraId="50694103">
      <w:pPr>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br w:type="page"/>
      </w:r>
    </w:p>
    <w:p w14:paraId="4A21A0B7">
      <w:pPr>
        <w:pStyle w:val="75"/>
        <w:numPr>
          <w:ilvl w:val="2"/>
          <w:numId w:val="0"/>
        </w:numPr>
        <w:spacing w:before="156" w:after="156"/>
        <w:ind w:leftChars="0"/>
        <w:rPr>
          <w:rFonts w:hint="eastAsia" w:ascii="Times New Roman" w:hAnsi="Times New Roman" w:eastAsia="宋体" w:cs="Times New Roman"/>
          <w:color w:val="auto"/>
          <w:highlight w:val="none"/>
          <w:lang w:val="en-US" w:eastAsia="zh-CN"/>
        </w:rPr>
      </w:pPr>
      <w:r>
        <w:rPr>
          <w:rFonts w:hint="eastAsia" w:ascii="黑体" w:hAnsi="黑体" w:eastAsia="黑体" w:cs="黑体"/>
          <w:color w:val="auto"/>
          <w:highlight w:val="none"/>
          <w:lang w:val="en-US" w:eastAsia="zh-CN"/>
        </w:rPr>
        <w:t>A.2.</w:t>
      </w:r>
      <w:r>
        <w:rPr>
          <w:rFonts w:hint="eastAsia" w:hAnsi="黑体" w:cs="黑体"/>
          <w:color w:val="auto"/>
          <w:highlight w:val="none"/>
          <w:lang w:val="en-US" w:eastAsia="zh-CN"/>
        </w:rPr>
        <w:t xml:space="preserve">7  </w:t>
      </w:r>
      <w:r>
        <w:rPr>
          <w:rFonts w:hint="default" w:ascii="Times New Roman" w:hAnsi="Times New Roman" w:eastAsia="宋体" w:cs="Times New Roman"/>
          <w:color w:val="auto"/>
          <w:highlight w:val="none"/>
          <w:lang w:val="en-US" w:eastAsia="zh-CN"/>
        </w:rPr>
        <w:t>单对以太网信道的</w:t>
      </w:r>
      <w:r>
        <w:rPr>
          <w:rFonts w:hint="eastAsia" w:ascii="Times New Roman" w:hAnsi="Times New Roman" w:eastAsia="宋体" w:cs="Times New Roman"/>
          <w:color w:val="auto"/>
          <w:highlight w:val="none"/>
          <w:lang w:val="en-US" w:eastAsia="zh-CN"/>
        </w:rPr>
        <w:t>传输时延</w:t>
      </w:r>
      <w:r>
        <w:rPr>
          <w:rFonts w:hint="default" w:ascii="Times New Roman" w:hAnsi="Times New Roman" w:eastAsia="宋体" w:cs="Times New Roman"/>
          <w:color w:val="auto"/>
          <w:highlight w:val="none"/>
          <w:lang w:val="en-US" w:eastAsia="zh-CN"/>
        </w:rPr>
        <w:t>应满足表A.</w:t>
      </w:r>
      <w:r>
        <w:rPr>
          <w:rFonts w:hint="eastAsia" w:ascii="Times New Roman" w:eastAsia="宋体" w:cs="Times New Roman"/>
          <w:color w:val="auto"/>
          <w:highlight w:val="none"/>
          <w:lang w:val="en-US" w:eastAsia="zh-CN"/>
        </w:rPr>
        <w:t>16</w:t>
      </w:r>
      <w:r>
        <w:rPr>
          <w:rFonts w:hint="default" w:ascii="Times New Roman" w:hAnsi="Times New Roman" w:eastAsia="宋体" w:cs="Times New Roman"/>
          <w:color w:val="auto"/>
          <w:highlight w:val="none"/>
          <w:lang w:val="en-US" w:eastAsia="zh-CN"/>
        </w:rPr>
        <w:t>的相关要求。</w:t>
      </w:r>
    </w:p>
    <w:p w14:paraId="2E9482A2">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default" w:hAnsi="Times New Roman" w:cs="Times New Roman"/>
          <w:color w:val="auto"/>
          <w:highlight w:val="none"/>
          <w:lang w:val="en-US" w:eastAsia="zh-CN"/>
        </w:rPr>
        <w:t>表A.</w:t>
      </w:r>
      <w:r>
        <w:rPr>
          <w:rFonts w:hint="eastAsia" w:cs="Times New Roman"/>
          <w:color w:val="auto"/>
          <w:highlight w:val="none"/>
          <w:lang w:val="en-US" w:eastAsia="zh-CN"/>
        </w:rPr>
        <w:t>16</w:t>
      </w:r>
      <w:r>
        <w:rPr>
          <w:rFonts w:hint="eastAsia"/>
          <w:color w:val="auto"/>
          <w:highlight w:val="none"/>
          <w:lang w:val="en-US" w:eastAsia="zh-CN"/>
        </w:rPr>
        <w:t xml:space="preserve">  </w:t>
      </w:r>
      <w:r>
        <w:rPr>
          <w:rFonts w:hint="default" w:hAnsi="Times New Roman" w:cs="Times New Roman"/>
          <w:color w:val="auto"/>
          <w:highlight w:val="none"/>
          <w:lang w:val="en-US" w:eastAsia="zh-CN"/>
        </w:rPr>
        <w:t>单对以太网</w:t>
      </w:r>
      <w:r>
        <w:rPr>
          <w:rFonts w:hint="eastAsia" w:hAnsi="Times New Roman" w:cs="Times New Roman"/>
          <w:color w:val="auto"/>
          <w:highlight w:val="none"/>
          <w:lang w:val="en-US" w:eastAsia="zh-CN"/>
        </w:rPr>
        <w:t>信道最大传输时延</w:t>
      </w:r>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80"/>
        <w:gridCol w:w="1134"/>
        <w:gridCol w:w="2268"/>
        <w:gridCol w:w="2268"/>
      </w:tblGrid>
      <w:tr w14:paraId="0BCDB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tcBorders>
              <w:bottom w:val="single" w:color="auto" w:sz="8" w:space="0"/>
            </w:tcBorders>
            <w:vAlign w:val="center"/>
          </w:tcPr>
          <w:p w14:paraId="1A765761">
            <w:pPr>
              <w:jc w:val="center"/>
              <w:rPr>
                <w:rFonts w:hint="eastAsia" w:ascii="Times New Roman" w:hAnsi="Times New Roman"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SPE类型</w:t>
            </w:r>
          </w:p>
        </w:tc>
        <w:tc>
          <w:tcPr>
            <w:tcW w:w="1134" w:type="dxa"/>
            <w:tcBorders>
              <w:bottom w:val="single" w:color="auto" w:sz="8" w:space="0"/>
            </w:tcBorders>
            <w:vAlign w:val="center"/>
          </w:tcPr>
          <w:p w14:paraId="6EFA1937">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信道类别</w:t>
            </w:r>
          </w:p>
        </w:tc>
        <w:tc>
          <w:tcPr>
            <w:tcW w:w="2268" w:type="dxa"/>
            <w:tcBorders>
              <w:bottom w:val="single" w:color="auto" w:sz="8" w:space="0"/>
            </w:tcBorders>
            <w:vAlign w:val="center"/>
          </w:tcPr>
          <w:p w14:paraId="55D2B08F">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频率（MHz）</w:t>
            </w:r>
          </w:p>
        </w:tc>
        <w:tc>
          <w:tcPr>
            <w:tcW w:w="2268" w:type="dxa"/>
            <w:tcBorders>
              <w:bottom w:val="single" w:color="auto" w:sz="8" w:space="0"/>
            </w:tcBorders>
            <w:vAlign w:val="center"/>
          </w:tcPr>
          <w:p w14:paraId="5D79161E">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最大传输时延（ns）</w:t>
            </w:r>
          </w:p>
        </w:tc>
      </w:tr>
      <w:tr w14:paraId="05621C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tcBorders>
              <w:top w:val="single" w:color="auto" w:sz="8" w:space="0"/>
            </w:tcBorders>
            <w:vAlign w:val="center"/>
          </w:tcPr>
          <w:p w14:paraId="410D46B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10BASE-T1L</w:t>
            </w:r>
          </w:p>
        </w:tc>
        <w:tc>
          <w:tcPr>
            <w:tcW w:w="1134" w:type="dxa"/>
            <w:tcBorders>
              <w:top w:val="single" w:color="auto" w:sz="8" w:space="0"/>
            </w:tcBorders>
            <w:vAlign w:val="center"/>
          </w:tcPr>
          <w:p w14:paraId="0A678F9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SP1</w:t>
            </w:r>
          </w:p>
        </w:tc>
        <w:tc>
          <w:tcPr>
            <w:tcW w:w="2268" w:type="dxa"/>
            <w:tcBorders>
              <w:top w:val="single" w:color="auto" w:sz="8" w:space="0"/>
            </w:tcBorders>
            <w:vAlign w:val="center"/>
          </w:tcPr>
          <w:p w14:paraId="2CD33AFC">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0.1≤f≤20</m:t>
                </m:r>
              </m:oMath>
            </m:oMathPara>
          </w:p>
        </w:tc>
        <w:tc>
          <w:tcPr>
            <w:tcW w:w="2268" w:type="dxa"/>
            <w:tcBorders>
              <w:top w:val="single" w:color="auto" w:sz="8" w:space="0"/>
            </w:tcBorders>
            <w:vAlign w:val="center"/>
          </w:tcPr>
          <w:p w14:paraId="31CA714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5559</w:t>
            </w:r>
          </w:p>
        </w:tc>
      </w:tr>
      <w:tr w14:paraId="0F448F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vMerge w:val="restart"/>
            <w:vAlign w:val="center"/>
          </w:tcPr>
          <w:p w14:paraId="74583B8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1000BASE-T1</w:t>
            </w:r>
          </w:p>
        </w:tc>
        <w:tc>
          <w:tcPr>
            <w:tcW w:w="1134" w:type="dxa"/>
            <w:vAlign w:val="center"/>
          </w:tcPr>
          <w:p w14:paraId="4183C8E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Type A</w:t>
            </w:r>
          </w:p>
        </w:tc>
        <w:tc>
          <w:tcPr>
            <w:tcW w:w="2268" w:type="dxa"/>
            <w:vAlign w:val="center"/>
          </w:tcPr>
          <w:p w14:paraId="62A3536B">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2≤f≤600</m:t>
                </m:r>
              </m:oMath>
            </m:oMathPara>
          </w:p>
        </w:tc>
        <w:tc>
          <w:tcPr>
            <w:tcW w:w="2268" w:type="dxa"/>
            <w:vAlign w:val="center"/>
          </w:tcPr>
          <w:p w14:paraId="4850F1D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94</w:t>
            </w:r>
          </w:p>
        </w:tc>
      </w:tr>
      <w:tr w14:paraId="3F782D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vMerge w:val="continue"/>
            <w:vAlign w:val="center"/>
          </w:tcPr>
          <w:p w14:paraId="4FC475CD">
            <w:pPr>
              <w:jc w:val="center"/>
              <w:rPr>
                <w:rFonts w:hint="eastAsia" w:ascii="Times New Roman" w:hAnsi="Times New Roman" w:cs="Times New Roman"/>
                <w:color w:val="auto"/>
                <w:sz w:val="18"/>
                <w:szCs w:val="18"/>
                <w:highlight w:val="none"/>
                <w:lang w:val="en-US" w:eastAsia="zh-CN"/>
              </w:rPr>
            </w:pPr>
          </w:p>
        </w:tc>
        <w:tc>
          <w:tcPr>
            <w:tcW w:w="1134" w:type="dxa"/>
            <w:vAlign w:val="center"/>
          </w:tcPr>
          <w:p w14:paraId="18B59B5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Type B</w:t>
            </w:r>
          </w:p>
        </w:tc>
        <w:tc>
          <w:tcPr>
            <w:tcW w:w="2268" w:type="dxa"/>
            <w:vAlign w:val="center"/>
          </w:tcPr>
          <w:p w14:paraId="379D558F">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2≤f≤600</m:t>
                </m:r>
              </m:oMath>
            </m:oMathPara>
          </w:p>
        </w:tc>
        <w:tc>
          <w:tcPr>
            <w:tcW w:w="2268" w:type="dxa"/>
            <w:vAlign w:val="center"/>
          </w:tcPr>
          <w:p w14:paraId="7DDA368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234</w:t>
            </w:r>
          </w:p>
        </w:tc>
      </w:tr>
      <w:tr w14:paraId="1E5D7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vAlign w:val="center"/>
          </w:tcPr>
          <w:p w14:paraId="13A1606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2.5GBASE-T1</w:t>
            </w:r>
          </w:p>
        </w:tc>
        <w:tc>
          <w:tcPr>
            <w:tcW w:w="1134" w:type="dxa"/>
            <w:vAlign w:val="center"/>
          </w:tcPr>
          <w:p w14:paraId="34C34F32">
            <w:pPr>
              <w:jc w:val="center"/>
              <w:rPr>
                <w:rFonts w:hint="eastAsia" w:ascii="Times New Roman" w:hAnsi="Times New Roman" w:cs="Times New Roman"/>
                <w:color w:val="auto"/>
                <w:sz w:val="18"/>
                <w:szCs w:val="18"/>
                <w:highlight w:val="none"/>
                <w:lang w:val="en-US" w:eastAsia="zh-CN"/>
              </w:rPr>
            </w:pPr>
          </w:p>
        </w:tc>
        <w:tc>
          <w:tcPr>
            <w:tcW w:w="2268" w:type="dxa"/>
            <w:vAlign w:val="center"/>
          </w:tcPr>
          <w:p w14:paraId="4E4FD818">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2≤f≤1000</m:t>
                </m:r>
              </m:oMath>
            </m:oMathPara>
          </w:p>
        </w:tc>
        <w:tc>
          <w:tcPr>
            <w:tcW w:w="2268" w:type="dxa"/>
            <w:vAlign w:val="center"/>
          </w:tcPr>
          <w:p w14:paraId="2F939A2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94</w:t>
            </w:r>
          </w:p>
        </w:tc>
      </w:tr>
      <w:tr w14:paraId="4B54D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vAlign w:val="center"/>
          </w:tcPr>
          <w:p w14:paraId="2B35961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5GBASE-T1</w:t>
            </w:r>
          </w:p>
        </w:tc>
        <w:tc>
          <w:tcPr>
            <w:tcW w:w="1134" w:type="dxa"/>
            <w:vAlign w:val="center"/>
          </w:tcPr>
          <w:p w14:paraId="360629B4">
            <w:pPr>
              <w:jc w:val="center"/>
              <w:rPr>
                <w:rFonts w:hint="eastAsia" w:ascii="Times New Roman" w:hAnsi="Times New Roman" w:cs="Times New Roman"/>
                <w:color w:val="auto"/>
                <w:sz w:val="18"/>
                <w:szCs w:val="18"/>
                <w:highlight w:val="none"/>
                <w:lang w:val="en-US" w:eastAsia="zh-CN"/>
              </w:rPr>
            </w:pPr>
          </w:p>
        </w:tc>
        <w:tc>
          <w:tcPr>
            <w:tcW w:w="2268" w:type="dxa"/>
            <w:vAlign w:val="center"/>
          </w:tcPr>
          <w:p w14:paraId="2BBB004C">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2≤f≤2000</m:t>
                </m:r>
              </m:oMath>
            </m:oMathPara>
          </w:p>
        </w:tc>
        <w:tc>
          <w:tcPr>
            <w:tcW w:w="2268" w:type="dxa"/>
            <w:vAlign w:val="center"/>
          </w:tcPr>
          <w:p w14:paraId="024C1E6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94</w:t>
            </w:r>
          </w:p>
        </w:tc>
      </w:tr>
      <w:tr w14:paraId="74598F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vAlign w:val="center"/>
          </w:tcPr>
          <w:p w14:paraId="43D8E5D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10GBASE-T1</w:t>
            </w:r>
          </w:p>
        </w:tc>
        <w:tc>
          <w:tcPr>
            <w:tcW w:w="1134" w:type="dxa"/>
            <w:vAlign w:val="center"/>
          </w:tcPr>
          <w:p w14:paraId="3FEEDA4F">
            <w:pPr>
              <w:jc w:val="center"/>
              <w:rPr>
                <w:rFonts w:hint="eastAsia" w:ascii="Times New Roman" w:hAnsi="Times New Roman" w:cs="Times New Roman"/>
                <w:color w:val="auto"/>
                <w:sz w:val="18"/>
                <w:szCs w:val="18"/>
                <w:highlight w:val="none"/>
                <w:lang w:val="en-US" w:eastAsia="zh-CN"/>
              </w:rPr>
            </w:pPr>
          </w:p>
        </w:tc>
        <w:tc>
          <w:tcPr>
            <w:tcW w:w="2268" w:type="dxa"/>
            <w:vAlign w:val="center"/>
          </w:tcPr>
          <w:p w14:paraId="72851A81">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2≤f≤4000</m:t>
                </m:r>
              </m:oMath>
            </m:oMathPara>
          </w:p>
        </w:tc>
        <w:tc>
          <w:tcPr>
            <w:tcW w:w="2268" w:type="dxa"/>
            <w:vAlign w:val="center"/>
          </w:tcPr>
          <w:p w14:paraId="52ABA2A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94</w:t>
            </w:r>
          </w:p>
        </w:tc>
      </w:tr>
      <w:tr w14:paraId="7BD58C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vAlign w:val="center"/>
          </w:tcPr>
          <w:p w14:paraId="0E58FAF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25GBASE-T1</w:t>
            </w:r>
          </w:p>
        </w:tc>
        <w:tc>
          <w:tcPr>
            <w:tcW w:w="1134" w:type="dxa"/>
            <w:vAlign w:val="center"/>
          </w:tcPr>
          <w:p w14:paraId="5CB61D4A">
            <w:pPr>
              <w:jc w:val="center"/>
              <w:rPr>
                <w:rFonts w:hint="eastAsia" w:ascii="Times New Roman" w:hAnsi="Times New Roman" w:cs="Times New Roman"/>
                <w:color w:val="auto"/>
                <w:sz w:val="18"/>
                <w:szCs w:val="18"/>
                <w:highlight w:val="none"/>
                <w:lang w:val="en-US" w:eastAsia="zh-CN"/>
              </w:rPr>
            </w:pPr>
          </w:p>
        </w:tc>
        <w:tc>
          <w:tcPr>
            <w:tcW w:w="2268" w:type="dxa"/>
            <w:vAlign w:val="center"/>
          </w:tcPr>
          <w:p w14:paraId="7E14A804">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2≤f≤9000</m:t>
                </m:r>
              </m:oMath>
            </m:oMathPara>
          </w:p>
        </w:tc>
        <w:tc>
          <w:tcPr>
            <w:tcW w:w="2268" w:type="dxa"/>
            <w:vAlign w:val="center"/>
          </w:tcPr>
          <w:p w14:paraId="3CA5654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60</w:t>
            </w:r>
          </w:p>
        </w:tc>
      </w:tr>
    </w:tbl>
    <w:p w14:paraId="450F9EB6">
      <w:pPr>
        <w:rPr>
          <w:rFonts w:hint="eastAsia"/>
          <w:color w:val="auto"/>
          <w:lang w:val="en-US" w:eastAsia="zh-CN"/>
        </w:rPr>
      </w:pPr>
    </w:p>
    <w:p w14:paraId="2BBD0AC6">
      <w:pPr>
        <w:pStyle w:val="75"/>
        <w:numPr>
          <w:ilvl w:val="2"/>
          <w:numId w:val="0"/>
        </w:numPr>
        <w:spacing w:before="156" w:after="156"/>
        <w:ind w:leftChars="0"/>
        <w:rPr>
          <w:rFonts w:hint="eastAsia" w:ascii="Times New Roman" w:hAnsi="Times New Roman" w:eastAsia="宋体" w:cs="Times New Roman"/>
          <w:color w:val="auto"/>
          <w:highlight w:val="none"/>
          <w:lang w:val="en-US" w:eastAsia="zh-CN"/>
        </w:rPr>
      </w:pPr>
      <w:r>
        <w:rPr>
          <w:rFonts w:hint="eastAsia" w:ascii="黑体" w:hAnsi="黑体" w:eastAsia="黑体" w:cs="黑体"/>
          <w:color w:val="auto"/>
          <w:highlight w:val="none"/>
          <w:lang w:val="en-US" w:eastAsia="zh-CN"/>
        </w:rPr>
        <w:t>A.2.</w:t>
      </w:r>
      <w:r>
        <w:rPr>
          <w:rFonts w:hint="eastAsia" w:hAnsi="黑体" w:cs="黑体"/>
          <w:color w:val="auto"/>
          <w:highlight w:val="none"/>
          <w:lang w:val="en-US" w:eastAsia="zh-CN"/>
        </w:rPr>
        <w:t xml:space="preserve">8  </w:t>
      </w:r>
      <w:r>
        <w:rPr>
          <w:rFonts w:hint="default" w:ascii="Times New Roman" w:hAnsi="Times New Roman" w:eastAsia="宋体" w:cs="Times New Roman"/>
          <w:color w:val="auto"/>
          <w:highlight w:val="none"/>
          <w:lang w:val="en-US" w:eastAsia="zh-CN"/>
        </w:rPr>
        <w:t>单对以太网信道的</w:t>
      </w:r>
      <w:r>
        <w:rPr>
          <w:rFonts w:hint="eastAsia" w:ascii="Times New Roman" w:hAnsi="Times New Roman" w:eastAsia="宋体" w:cs="Times New Roman"/>
          <w:color w:val="auto"/>
          <w:highlight w:val="none"/>
          <w:lang w:val="en-US" w:eastAsia="zh-CN"/>
        </w:rPr>
        <w:t>外部近端串扰功率和最小值应满足</w:t>
      </w:r>
      <w:r>
        <w:rPr>
          <w:rFonts w:hint="default" w:ascii="Times New Roman" w:hAnsi="Times New Roman" w:eastAsia="宋体" w:cs="Times New Roman"/>
          <w:color w:val="auto"/>
          <w:highlight w:val="none"/>
          <w:lang w:val="en-US" w:eastAsia="zh-CN"/>
        </w:rPr>
        <w:t>表A.</w:t>
      </w:r>
      <w:r>
        <w:rPr>
          <w:rFonts w:hint="eastAsia" w:ascii="Times New Roman" w:eastAsia="宋体" w:cs="Times New Roman"/>
          <w:color w:val="auto"/>
          <w:highlight w:val="none"/>
          <w:lang w:val="en-US" w:eastAsia="zh-CN"/>
        </w:rPr>
        <w:t>17</w:t>
      </w:r>
      <w:r>
        <w:rPr>
          <w:rFonts w:hint="eastAsia" w:ascii="Times New Roman" w:hAnsi="Times New Roman" w:eastAsia="宋体" w:cs="Times New Roman"/>
          <w:color w:val="auto"/>
          <w:highlight w:val="none"/>
          <w:lang w:val="en-US" w:eastAsia="zh-CN"/>
        </w:rPr>
        <w:t>、表</w:t>
      </w:r>
      <w:r>
        <w:rPr>
          <w:rFonts w:hint="default" w:ascii="Times New Roman" w:hAnsi="Times New Roman" w:eastAsia="宋体" w:cs="Times New Roman"/>
          <w:color w:val="auto"/>
          <w:highlight w:val="none"/>
          <w:lang w:val="en-US" w:eastAsia="zh-CN"/>
        </w:rPr>
        <w:t>A.</w:t>
      </w:r>
      <w:r>
        <w:rPr>
          <w:rFonts w:hint="eastAsia" w:ascii="Times New Roman" w:eastAsia="宋体" w:cs="Times New Roman"/>
          <w:color w:val="auto"/>
          <w:highlight w:val="none"/>
          <w:lang w:val="en-US" w:eastAsia="zh-CN"/>
        </w:rPr>
        <w:t>18</w:t>
      </w:r>
      <w:r>
        <w:rPr>
          <w:rFonts w:hint="eastAsia" w:ascii="Times New Roman" w:hAnsi="Times New Roman" w:eastAsia="宋体" w:cs="Times New Roman"/>
          <w:color w:val="auto"/>
          <w:highlight w:val="none"/>
          <w:lang w:val="en-US" w:eastAsia="zh-CN"/>
        </w:rPr>
        <w:t>、表</w:t>
      </w:r>
      <w:r>
        <w:rPr>
          <w:rFonts w:hint="default" w:ascii="Times New Roman" w:hAnsi="Times New Roman" w:eastAsia="宋体" w:cs="Times New Roman"/>
          <w:color w:val="auto"/>
          <w:highlight w:val="none"/>
          <w:lang w:val="en-US" w:eastAsia="zh-CN"/>
        </w:rPr>
        <w:t>A.</w:t>
      </w:r>
      <w:r>
        <w:rPr>
          <w:rFonts w:hint="eastAsia" w:ascii="Times New Roman" w:eastAsia="宋体" w:cs="Times New Roman"/>
          <w:color w:val="auto"/>
          <w:highlight w:val="none"/>
          <w:lang w:val="en-US" w:eastAsia="zh-CN"/>
        </w:rPr>
        <w:t>19</w:t>
      </w:r>
      <w:r>
        <w:rPr>
          <w:rFonts w:hint="eastAsia" w:ascii="Times New Roman" w:hAnsi="Times New Roman" w:eastAsia="宋体" w:cs="Times New Roman"/>
          <w:color w:val="auto"/>
          <w:highlight w:val="none"/>
          <w:lang w:val="en-US" w:eastAsia="zh-CN"/>
        </w:rPr>
        <w:t>、</w:t>
      </w:r>
      <w:r>
        <w:rPr>
          <w:rFonts w:hint="eastAsia" w:ascii="Times New Roman" w:eastAsia="宋体" w:cs="Times New Roman"/>
          <w:color w:val="auto"/>
          <w:highlight w:val="none"/>
          <w:lang w:val="en-US" w:eastAsia="zh-CN"/>
        </w:rPr>
        <w:t>图A.</w:t>
      </w:r>
      <w:r>
        <w:rPr>
          <w:rFonts w:hint="eastAsia" w:ascii="Times New Roman" w:hAnsi="Times New Roman" w:eastAsia="宋体" w:cs="Times New Roman"/>
          <w:color w:val="auto"/>
          <w:highlight w:val="none"/>
          <w:lang w:val="en-US" w:eastAsia="zh-CN"/>
        </w:rPr>
        <w:t>12及</w:t>
      </w:r>
      <w:r>
        <w:rPr>
          <w:rFonts w:hint="eastAsia" w:ascii="Times New Roman" w:eastAsia="宋体" w:cs="Times New Roman"/>
          <w:color w:val="auto"/>
          <w:highlight w:val="none"/>
          <w:lang w:val="en-US" w:eastAsia="zh-CN"/>
        </w:rPr>
        <w:t>图A.</w:t>
      </w:r>
      <w:r>
        <w:rPr>
          <w:rFonts w:hint="eastAsia" w:ascii="Times New Roman" w:hAnsi="Times New Roman" w:eastAsia="宋体" w:cs="Times New Roman"/>
          <w:color w:val="auto"/>
          <w:highlight w:val="none"/>
          <w:lang w:val="en-US" w:eastAsia="zh-CN"/>
        </w:rPr>
        <w:t>13</w:t>
      </w:r>
      <w:r>
        <w:rPr>
          <w:rFonts w:hint="default" w:ascii="Times New Roman" w:hAnsi="Times New Roman" w:eastAsia="宋体" w:cs="Times New Roman"/>
          <w:color w:val="auto"/>
          <w:highlight w:val="none"/>
          <w:lang w:val="en-US" w:eastAsia="zh-CN"/>
        </w:rPr>
        <w:t>的相关要求</w:t>
      </w:r>
      <w:r>
        <w:rPr>
          <w:rFonts w:hint="eastAsia" w:ascii="Times New Roman" w:hAnsi="Times New Roman" w:eastAsia="宋体" w:cs="Times New Roman"/>
          <w:color w:val="auto"/>
          <w:highlight w:val="none"/>
          <w:lang w:val="en-US" w:eastAsia="zh-CN"/>
        </w:rPr>
        <w:t>，同时10BASE-T1L信道外部近端串扰功率和不应小67dB，10GBASE-T1及25GBASE-T1信道外部近端串扰功率和不应小75dB。</w:t>
      </w:r>
    </w:p>
    <w:p w14:paraId="0EFF8189">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表</w:t>
      </w:r>
      <w:r>
        <w:rPr>
          <w:rFonts w:hint="default" w:hAnsi="Times New Roman" w:cs="Times New Roman"/>
          <w:color w:val="auto"/>
          <w:highlight w:val="none"/>
          <w:lang w:val="en-US" w:eastAsia="zh-CN"/>
        </w:rPr>
        <w:t>A.</w:t>
      </w:r>
      <w:r>
        <w:rPr>
          <w:rFonts w:hint="eastAsia" w:cs="Times New Roman"/>
          <w:color w:val="auto"/>
          <w:highlight w:val="none"/>
          <w:lang w:val="en-US" w:eastAsia="zh-CN"/>
        </w:rPr>
        <w:t>17</w:t>
      </w:r>
      <w:r>
        <w:rPr>
          <w:rFonts w:hint="eastAsia"/>
          <w:color w:val="auto"/>
          <w:highlight w:val="none"/>
          <w:lang w:val="en-US" w:eastAsia="zh-CN"/>
        </w:rPr>
        <w:t xml:space="preserve">  </w:t>
      </w:r>
      <w:r>
        <w:rPr>
          <w:rFonts w:hint="default" w:hAnsi="Times New Roman" w:cs="Times New Roman"/>
          <w:color w:val="auto"/>
          <w:highlight w:val="none"/>
          <w:lang w:val="en-US" w:eastAsia="zh-CN"/>
        </w:rPr>
        <w:t>单对以太网</w:t>
      </w:r>
      <w:r>
        <w:rPr>
          <w:rFonts w:hint="eastAsia" w:hAnsi="Times New Roman" w:cs="Times New Roman"/>
          <w:color w:val="auto"/>
          <w:highlight w:val="none"/>
          <w:lang w:val="en-US" w:eastAsia="zh-CN"/>
        </w:rPr>
        <w:t>信道最小外部近端串扰功率和</w:t>
      </w:r>
    </w:p>
    <w:tbl>
      <w:tblPr>
        <w:tblStyle w:val="37"/>
        <w:tblW w:w="85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1179"/>
        <w:gridCol w:w="1587"/>
        <w:gridCol w:w="4252"/>
      </w:tblGrid>
      <w:tr w14:paraId="021459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tcBorders>
              <w:bottom w:val="single" w:color="auto" w:sz="8" w:space="0"/>
            </w:tcBorders>
            <w:vAlign w:val="center"/>
          </w:tcPr>
          <w:p w14:paraId="65CB4162">
            <w:pPr>
              <w:jc w:val="center"/>
              <w:rPr>
                <w:rFonts w:hint="eastAsia" w:ascii="Times New Roman" w:hAnsi="Times New Roman"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SPE类型</w:t>
            </w:r>
          </w:p>
        </w:tc>
        <w:tc>
          <w:tcPr>
            <w:tcW w:w="1179" w:type="dxa"/>
            <w:tcBorders>
              <w:bottom w:val="single" w:color="auto" w:sz="8" w:space="0"/>
            </w:tcBorders>
            <w:vAlign w:val="center"/>
          </w:tcPr>
          <w:p w14:paraId="32EEB53A">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信道类别</w:t>
            </w:r>
          </w:p>
        </w:tc>
        <w:tc>
          <w:tcPr>
            <w:tcW w:w="1587" w:type="dxa"/>
            <w:tcBorders>
              <w:bottom w:val="single" w:color="auto" w:sz="8" w:space="0"/>
            </w:tcBorders>
            <w:vAlign w:val="center"/>
          </w:tcPr>
          <w:p w14:paraId="5E13939D">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频率（MHz）</w:t>
            </w:r>
          </w:p>
        </w:tc>
        <w:tc>
          <w:tcPr>
            <w:tcW w:w="4252" w:type="dxa"/>
            <w:tcBorders>
              <w:bottom w:val="single" w:color="auto" w:sz="8" w:space="0"/>
            </w:tcBorders>
            <w:vAlign w:val="center"/>
          </w:tcPr>
          <w:p w14:paraId="0EEC2353">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最小外部近端串扰功率和（dB）</w:t>
            </w:r>
          </w:p>
        </w:tc>
      </w:tr>
      <w:tr w14:paraId="689005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tcBorders>
              <w:top w:val="single" w:color="auto" w:sz="8" w:space="0"/>
            </w:tcBorders>
            <w:vAlign w:val="center"/>
          </w:tcPr>
          <w:p w14:paraId="40B2476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10BASE-T1L</w:t>
            </w:r>
          </w:p>
        </w:tc>
        <w:tc>
          <w:tcPr>
            <w:tcW w:w="1179" w:type="dxa"/>
            <w:tcBorders>
              <w:top w:val="single" w:color="auto" w:sz="8" w:space="0"/>
            </w:tcBorders>
            <w:vAlign w:val="center"/>
          </w:tcPr>
          <w:p w14:paraId="1900587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SP1</w:t>
            </w:r>
          </w:p>
        </w:tc>
        <w:tc>
          <w:tcPr>
            <w:tcW w:w="1587" w:type="dxa"/>
            <w:tcBorders>
              <w:top w:val="single" w:color="auto" w:sz="8" w:space="0"/>
            </w:tcBorders>
            <w:vAlign w:val="center"/>
          </w:tcPr>
          <w:p w14:paraId="4072D603">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0.1≤f≤20</m:t>
                </m:r>
              </m:oMath>
            </m:oMathPara>
          </w:p>
        </w:tc>
        <w:tc>
          <w:tcPr>
            <w:tcW w:w="4252" w:type="dxa"/>
            <w:tcBorders>
              <w:top w:val="single" w:color="auto" w:sz="8" w:space="0"/>
            </w:tcBorders>
            <w:vAlign w:val="center"/>
          </w:tcPr>
          <w:p w14:paraId="6DAE8CC6">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37.5−17×</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20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41320A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2AEA8E0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10BASE-T1S</w:t>
            </w:r>
          </w:p>
        </w:tc>
        <w:tc>
          <w:tcPr>
            <w:tcW w:w="1179" w:type="dxa"/>
            <w:vAlign w:val="center"/>
          </w:tcPr>
          <w:p w14:paraId="7E7AFB62">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5E1594E3">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1≤f≤40</m:t>
                </m:r>
              </m:oMath>
            </m:oMathPara>
          </w:p>
        </w:tc>
        <w:tc>
          <w:tcPr>
            <w:tcW w:w="4252" w:type="dxa"/>
            <w:vAlign w:val="center"/>
          </w:tcPr>
          <w:p w14:paraId="57BADBE4">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31.5−10×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100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4EDF9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40BA5AA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100BASE-T1</w:t>
            </w:r>
          </w:p>
        </w:tc>
        <w:tc>
          <w:tcPr>
            <w:tcW w:w="1179" w:type="dxa"/>
            <w:vAlign w:val="center"/>
          </w:tcPr>
          <w:p w14:paraId="176EE462">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1825EBF4">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1≤f≤100</m:t>
                </m:r>
              </m:oMath>
            </m:oMathPara>
          </w:p>
        </w:tc>
        <w:tc>
          <w:tcPr>
            <w:tcW w:w="4252" w:type="dxa"/>
            <w:vAlign w:val="center"/>
          </w:tcPr>
          <w:p w14:paraId="7952DC13">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31.5−10×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100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45A31F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restart"/>
            <w:vAlign w:val="center"/>
          </w:tcPr>
          <w:p w14:paraId="4F9A3B8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1000BASE-T1</w:t>
            </w:r>
          </w:p>
        </w:tc>
        <w:tc>
          <w:tcPr>
            <w:tcW w:w="1179" w:type="dxa"/>
            <w:vMerge w:val="restart"/>
            <w:vAlign w:val="center"/>
          </w:tcPr>
          <w:p w14:paraId="3F26C3E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Type A</w:t>
            </w:r>
          </w:p>
        </w:tc>
        <w:tc>
          <w:tcPr>
            <w:tcW w:w="1587" w:type="dxa"/>
            <w:vAlign w:val="center"/>
          </w:tcPr>
          <w:p w14:paraId="0D8C0E2A">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1≤f≤100</m:t>
                </m:r>
              </m:oMath>
            </m:oMathPara>
          </w:p>
        </w:tc>
        <w:tc>
          <w:tcPr>
            <w:tcW w:w="4252" w:type="dxa"/>
            <w:vAlign w:val="center"/>
          </w:tcPr>
          <w:p w14:paraId="3778F5AB">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54−10×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100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6A481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continue"/>
            <w:vAlign w:val="center"/>
          </w:tcPr>
          <w:p w14:paraId="4E6ACF05">
            <w:pPr>
              <w:jc w:val="center"/>
              <w:rPr>
                <w:rFonts w:hint="eastAsia" w:ascii="Times New Roman" w:hAnsi="Times New Roman" w:cs="Times New Roman"/>
                <w:color w:val="auto"/>
                <w:sz w:val="18"/>
                <w:szCs w:val="18"/>
                <w:highlight w:val="none"/>
                <w:lang w:val="en-US" w:eastAsia="zh-CN"/>
              </w:rPr>
            </w:pPr>
          </w:p>
        </w:tc>
        <w:tc>
          <w:tcPr>
            <w:tcW w:w="1179" w:type="dxa"/>
            <w:vMerge w:val="continue"/>
            <w:vAlign w:val="center"/>
          </w:tcPr>
          <w:p w14:paraId="2D188482">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06943F20">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100&lt;f≤600</m:t>
                </m:r>
              </m:oMath>
            </m:oMathPara>
          </w:p>
        </w:tc>
        <w:tc>
          <w:tcPr>
            <w:tcW w:w="4252" w:type="dxa"/>
            <w:vAlign w:val="center"/>
          </w:tcPr>
          <w:p w14:paraId="2CB4B3CD">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54−15×</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100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r>
                  <m:rPr>
                    <m:sty m:val="p"/>
                  </m:rPr>
                  <w:rPr>
                    <w:rFonts w:hint="eastAsia" w:ascii="Cambria Math" w:hAnsi="Cambria Math" w:cs="Times New Roman"/>
                    <w:color w:val="auto"/>
                    <w:sz w:val="18"/>
                    <w:szCs w:val="18"/>
                    <w:highlight w:val="none"/>
                    <w:lang w:val="en-US" w:eastAsia="zh-CN"/>
                  </w:rPr>
                  <m:t>−6</m:t>
                </m:r>
                <m:d>
                  <m:dPr>
                    <m:ctrlPr>
                      <w:rPr>
                        <w:rFonts w:hint="eastAsia" w:ascii="Cambria Math" w:hAnsi="Cambria Math" w:cs="Times New Roman"/>
                        <w:color w:val="auto"/>
                        <w:sz w:val="18"/>
                        <w:szCs w:val="18"/>
                        <w:highlight w:val="none"/>
                        <w:lang w:val="en-US" w:eastAsia="zh-CN"/>
                      </w:rPr>
                    </m:ctrlPr>
                  </m:dPr>
                  <m:e>
                    <m:f>
                      <m:fPr>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f−100</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400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oMath>
            </m:oMathPara>
          </w:p>
        </w:tc>
      </w:tr>
      <w:tr w14:paraId="03ECC3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continue"/>
            <w:vAlign w:val="center"/>
          </w:tcPr>
          <w:p w14:paraId="627F1E3D">
            <w:pPr>
              <w:jc w:val="center"/>
              <w:rPr>
                <w:rFonts w:hint="eastAsia" w:ascii="Times New Roman" w:hAnsi="Times New Roman" w:cs="Times New Roman"/>
                <w:color w:val="auto"/>
                <w:sz w:val="18"/>
                <w:szCs w:val="18"/>
                <w:highlight w:val="none"/>
                <w:lang w:val="en-US" w:eastAsia="zh-CN"/>
              </w:rPr>
            </w:pPr>
          </w:p>
        </w:tc>
        <w:tc>
          <w:tcPr>
            <w:tcW w:w="1179" w:type="dxa"/>
            <w:vAlign w:val="center"/>
          </w:tcPr>
          <w:p w14:paraId="6EE4ABF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Type B</w:t>
            </w:r>
          </w:p>
        </w:tc>
        <w:tc>
          <w:tcPr>
            <w:tcW w:w="1587" w:type="dxa"/>
            <w:vAlign w:val="center"/>
          </w:tcPr>
          <w:p w14:paraId="714EE39D">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1≤f≤600</m:t>
                </m:r>
              </m:oMath>
            </m:oMathPara>
          </w:p>
        </w:tc>
        <w:tc>
          <w:tcPr>
            <w:tcW w:w="4252" w:type="dxa"/>
            <w:vAlign w:val="center"/>
          </w:tcPr>
          <w:p w14:paraId="6D51D7E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65</w:t>
            </w:r>
          </w:p>
        </w:tc>
      </w:tr>
      <w:tr w14:paraId="793C97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65C9CAE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10GBASE-T1</w:t>
            </w:r>
          </w:p>
        </w:tc>
        <w:tc>
          <w:tcPr>
            <w:tcW w:w="1179" w:type="dxa"/>
            <w:vAlign w:val="center"/>
          </w:tcPr>
          <w:p w14:paraId="71179569">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3704C664">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1≤f≤4000</m:t>
                </m:r>
              </m:oMath>
            </m:oMathPara>
          </w:p>
        </w:tc>
        <w:tc>
          <w:tcPr>
            <w:tcW w:w="4252" w:type="dxa"/>
            <w:vAlign w:val="center"/>
          </w:tcPr>
          <w:p w14:paraId="687F1B63">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80−15×</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100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443E56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1A9D64B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25GBASE-T1</w:t>
            </w:r>
          </w:p>
        </w:tc>
        <w:tc>
          <w:tcPr>
            <w:tcW w:w="1179" w:type="dxa"/>
            <w:vAlign w:val="center"/>
          </w:tcPr>
          <w:p w14:paraId="5909D534">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73712625">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10≤f≤9000</m:t>
                </m:r>
              </m:oMath>
            </m:oMathPara>
          </w:p>
        </w:tc>
        <w:tc>
          <w:tcPr>
            <w:tcW w:w="4252" w:type="dxa"/>
            <w:vAlign w:val="center"/>
          </w:tcPr>
          <w:p w14:paraId="269EED8A">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80−15×</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100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bl>
    <w:p w14:paraId="0E60047C">
      <w:pPr>
        <w:spacing w:before="156" w:beforeLines="50" w:after="156" w:afterLines="50"/>
        <w:ind w:firstLine="0" w:firstLineChars="0"/>
        <w:jc w:val="center"/>
        <w:rPr>
          <w:rFonts w:ascii="Times New Roman" w:hAnsi="Times New Roman" w:cs="Times New Roman"/>
          <w:color w:val="auto"/>
        </w:rPr>
      </w:pPr>
      <w:r>
        <w:rPr>
          <w:rFonts w:ascii="Times New Roman" w:hAnsi="Times New Roman" w:cs="Times New Roman"/>
          <w:color w:val="auto"/>
        </w:rPr>
        <w:drawing>
          <wp:inline distT="0" distB="0" distL="0" distR="0">
            <wp:extent cx="5122545" cy="3351530"/>
            <wp:effectExtent l="0" t="0" r="13335" b="127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noChangeArrowheads="1"/>
                    </pic:cNvPicPr>
                  </pic:nvPicPr>
                  <pic:blipFill>
                    <a:blip r:embed="rId21"/>
                    <a:srcRect/>
                    <a:stretch>
                      <a:fillRect/>
                    </a:stretch>
                  </pic:blipFill>
                  <pic:spPr>
                    <a:xfrm>
                      <a:off x="0" y="0"/>
                      <a:ext cx="5122545" cy="3351530"/>
                    </a:xfrm>
                    <a:prstGeom prst="rect">
                      <a:avLst/>
                    </a:prstGeom>
                    <a:noFill/>
                  </pic:spPr>
                </pic:pic>
              </a:graphicData>
            </a:graphic>
          </wp:inline>
        </w:drawing>
      </w:r>
    </w:p>
    <w:p w14:paraId="719270C8">
      <w:pPr>
        <w:pStyle w:val="140"/>
        <w:numPr>
          <w:ilvl w:val="0"/>
          <w:numId w:val="0"/>
        </w:numPr>
        <w:bidi w:val="0"/>
        <w:ind w:leftChars="0"/>
        <w:jc w:val="center"/>
        <w:rPr>
          <w:rFonts w:hint="eastAsia" w:ascii="Times New Roman" w:hAnsi="Times New Roman" w:cs="Times New Roman"/>
          <w:color w:val="auto"/>
          <w:lang w:val="en-US" w:eastAsia="zh-CN"/>
        </w:rPr>
      </w:pPr>
      <w:r>
        <w:rPr>
          <w:rFonts w:hint="eastAsia" w:hAnsi="黑体" w:cs="黑体"/>
          <w:color w:val="auto"/>
          <w:lang w:val="en-US" w:eastAsia="zh-CN"/>
        </w:rPr>
        <w:t>图A.</w:t>
      </w:r>
      <w:r>
        <w:rPr>
          <w:rFonts w:hint="eastAsia" w:ascii="黑体" w:hAnsi="黑体" w:eastAsia="黑体" w:cs="黑体"/>
          <w:color w:val="auto"/>
          <w:lang w:val="en-US" w:eastAsia="zh-CN"/>
        </w:rPr>
        <w:t>1</w:t>
      </w:r>
      <w:r>
        <w:rPr>
          <w:rFonts w:hint="eastAsia" w:hAnsi="黑体" w:cs="黑体"/>
          <w:color w:val="auto"/>
          <w:lang w:val="en-US" w:eastAsia="zh-CN"/>
        </w:rPr>
        <w:t>2</w:t>
      </w:r>
      <w:r>
        <w:rPr>
          <w:rFonts w:hint="eastAsia"/>
          <w:color w:val="auto"/>
          <w:highlight w:val="none"/>
          <w:lang w:val="en-US" w:eastAsia="zh-CN"/>
        </w:rPr>
        <w:t xml:space="preserve">  </w:t>
      </w:r>
      <w:r>
        <w:rPr>
          <w:rFonts w:hint="default" w:ascii="Times New Roman" w:hAnsi="Times New Roman" w:cs="Times New Roman"/>
          <w:color w:val="auto"/>
          <w:lang w:val="en-US" w:eastAsia="zh-CN"/>
        </w:rPr>
        <w:t>单对以太网</w:t>
      </w:r>
      <w:r>
        <w:rPr>
          <w:rFonts w:hint="eastAsia" w:ascii="Times New Roman" w:hAnsi="Times New Roman" w:cs="Times New Roman"/>
          <w:color w:val="auto"/>
          <w:lang w:val="en-US" w:eastAsia="zh-CN"/>
        </w:rPr>
        <w:t>信道最小外部近端串扰功率和1</w:t>
      </w:r>
    </w:p>
    <w:p w14:paraId="67A4DC2F">
      <w:pPr>
        <w:pStyle w:val="26"/>
        <w:rPr>
          <w:rFonts w:hint="default"/>
          <w:color w:val="auto"/>
          <w:lang w:val="en-US" w:eastAsia="zh-CN"/>
        </w:rPr>
      </w:pPr>
    </w:p>
    <w:p w14:paraId="4D9E446D">
      <w:pPr>
        <w:spacing w:before="156" w:beforeLines="50" w:after="156" w:afterLines="50"/>
        <w:ind w:firstLine="0" w:firstLineChars="0"/>
        <w:jc w:val="center"/>
        <w:rPr>
          <w:rFonts w:ascii="Times New Roman" w:hAnsi="Times New Roman" w:cs="Times New Roman"/>
          <w:color w:val="auto"/>
        </w:rPr>
      </w:pPr>
      <w:r>
        <w:rPr>
          <w:rFonts w:ascii="Times New Roman" w:hAnsi="Times New Roman" w:cs="Times New Roman"/>
          <w:color w:val="auto"/>
        </w:rPr>
        <w:drawing>
          <wp:inline distT="0" distB="0" distL="0" distR="0">
            <wp:extent cx="5122545" cy="3351530"/>
            <wp:effectExtent l="0" t="0" r="13335" b="127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noChangeArrowheads="1"/>
                    </pic:cNvPicPr>
                  </pic:nvPicPr>
                  <pic:blipFill>
                    <a:blip r:embed="rId22"/>
                    <a:srcRect/>
                    <a:stretch>
                      <a:fillRect/>
                    </a:stretch>
                  </pic:blipFill>
                  <pic:spPr>
                    <a:xfrm>
                      <a:off x="0" y="0"/>
                      <a:ext cx="5122545" cy="3351530"/>
                    </a:xfrm>
                    <a:prstGeom prst="rect">
                      <a:avLst/>
                    </a:prstGeom>
                    <a:noFill/>
                  </pic:spPr>
                </pic:pic>
              </a:graphicData>
            </a:graphic>
          </wp:inline>
        </w:drawing>
      </w:r>
    </w:p>
    <w:p w14:paraId="663806C2">
      <w:pPr>
        <w:pStyle w:val="140"/>
        <w:numPr>
          <w:ilvl w:val="0"/>
          <w:numId w:val="0"/>
        </w:numPr>
        <w:bidi w:val="0"/>
        <w:ind w:leftChars="0"/>
        <w:jc w:val="center"/>
        <w:rPr>
          <w:rFonts w:hint="default" w:ascii="Times New Roman" w:hAnsi="Times New Roman" w:cs="Times New Roman"/>
          <w:color w:val="auto"/>
          <w:lang w:val="en-US" w:eastAsia="zh-CN"/>
        </w:rPr>
      </w:pPr>
      <w:r>
        <w:rPr>
          <w:rFonts w:hint="eastAsia" w:hAnsi="黑体" w:cs="黑体"/>
          <w:color w:val="auto"/>
          <w:lang w:val="en-US" w:eastAsia="zh-CN"/>
        </w:rPr>
        <w:t>图A.</w:t>
      </w:r>
      <w:r>
        <w:rPr>
          <w:rFonts w:hint="eastAsia" w:ascii="黑体" w:hAnsi="黑体" w:eastAsia="黑体" w:cs="黑体"/>
          <w:color w:val="auto"/>
          <w:lang w:val="en-US" w:eastAsia="zh-CN"/>
        </w:rPr>
        <w:t>1</w:t>
      </w:r>
      <w:r>
        <w:rPr>
          <w:rFonts w:hint="eastAsia" w:hAnsi="黑体" w:cs="黑体"/>
          <w:color w:val="auto"/>
          <w:lang w:val="en-US" w:eastAsia="zh-CN"/>
        </w:rPr>
        <w:t>3</w:t>
      </w:r>
      <w:r>
        <w:rPr>
          <w:rFonts w:hint="eastAsia"/>
          <w:color w:val="auto"/>
          <w:highlight w:val="none"/>
          <w:lang w:val="en-US" w:eastAsia="zh-CN"/>
        </w:rPr>
        <w:t xml:space="preserve">  </w:t>
      </w:r>
      <w:r>
        <w:rPr>
          <w:rFonts w:hint="default" w:ascii="Times New Roman" w:hAnsi="Times New Roman" w:cs="Times New Roman"/>
          <w:color w:val="auto"/>
          <w:lang w:val="en-US" w:eastAsia="zh-CN"/>
        </w:rPr>
        <w:t>单对以太网信道最小外部近端串扰功率和2</w:t>
      </w:r>
    </w:p>
    <w:p w14:paraId="7658FE1D">
      <w:pPr>
        <w:pStyle w:val="26"/>
        <w:rPr>
          <w:rFonts w:hint="default" w:ascii="Times New Roman" w:hAnsi="Times New Roman" w:cs="Times New Roman"/>
          <w:color w:val="auto"/>
          <w:lang w:val="en-US" w:eastAsia="zh-CN"/>
        </w:rPr>
      </w:pPr>
    </w:p>
    <w:p w14:paraId="2A42E704">
      <w:pPr>
        <w:pStyle w:val="26"/>
        <w:rPr>
          <w:rFonts w:hint="default" w:ascii="Times New Roman" w:hAnsi="Times New Roman" w:cs="Times New Roman"/>
          <w:color w:val="auto"/>
          <w:lang w:val="en-US" w:eastAsia="zh-CN"/>
        </w:rPr>
      </w:pPr>
    </w:p>
    <w:p w14:paraId="5DCFEAD6">
      <w:pPr>
        <w:pStyle w:val="26"/>
        <w:rPr>
          <w:rFonts w:hint="default" w:ascii="Times New Roman" w:hAnsi="Times New Roman" w:cs="Times New Roman"/>
          <w:color w:val="auto"/>
          <w:lang w:val="en-US" w:eastAsia="zh-CN"/>
        </w:rPr>
      </w:pPr>
    </w:p>
    <w:p w14:paraId="2EFE54E9">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表</w:t>
      </w:r>
      <w:r>
        <w:rPr>
          <w:rFonts w:hint="default" w:hAnsi="Times New Roman" w:cs="Times New Roman"/>
          <w:color w:val="auto"/>
          <w:highlight w:val="none"/>
          <w:lang w:val="en-US" w:eastAsia="zh-CN"/>
        </w:rPr>
        <w:t>A.</w:t>
      </w:r>
      <w:r>
        <w:rPr>
          <w:rFonts w:hint="eastAsia" w:cs="Times New Roman"/>
          <w:color w:val="auto"/>
          <w:highlight w:val="none"/>
          <w:lang w:val="en-US" w:eastAsia="zh-CN"/>
        </w:rPr>
        <w:t>18</w:t>
      </w:r>
      <w:r>
        <w:rPr>
          <w:rFonts w:hint="eastAsia"/>
          <w:color w:val="auto"/>
          <w:highlight w:val="none"/>
          <w:lang w:val="en-US" w:eastAsia="zh-CN"/>
        </w:rPr>
        <w:t xml:space="preserve">  </w:t>
      </w:r>
      <w:r>
        <w:rPr>
          <w:rFonts w:hint="default" w:hAnsi="Times New Roman" w:cs="Times New Roman"/>
          <w:color w:val="auto"/>
          <w:highlight w:val="none"/>
          <w:lang w:val="en-US" w:eastAsia="zh-CN"/>
        </w:rPr>
        <w:t>单对以太网</w:t>
      </w:r>
      <w:r>
        <w:rPr>
          <w:rFonts w:hint="eastAsia" w:hAnsi="Times New Roman" w:cs="Times New Roman"/>
          <w:color w:val="auto"/>
          <w:highlight w:val="none"/>
          <w:lang w:val="en-US" w:eastAsia="zh-CN"/>
        </w:rPr>
        <w:t>信道典型频率点最小外部近端串扰功率和</w:t>
      </w:r>
    </w:p>
    <w:tbl>
      <w:tblPr>
        <w:tblStyle w:val="36"/>
        <w:tblW w:w="85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2268"/>
        <w:gridCol w:w="2268"/>
        <w:gridCol w:w="2268"/>
      </w:tblGrid>
      <w:tr w14:paraId="729792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1746" w:type="dxa"/>
            <w:vMerge w:val="restart"/>
            <w:shd w:val="clear" w:color="auto" w:fill="auto"/>
            <w:noWrap/>
            <w:vAlign w:val="center"/>
          </w:tcPr>
          <w:p w14:paraId="58524CC2">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频率</w:t>
            </w:r>
          </w:p>
          <w:p w14:paraId="53EE65FC">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（MHz）</w:t>
            </w:r>
          </w:p>
        </w:tc>
        <w:tc>
          <w:tcPr>
            <w:tcW w:w="6804" w:type="dxa"/>
            <w:gridSpan w:val="3"/>
            <w:shd w:val="clear" w:color="auto" w:fill="auto"/>
            <w:noWrap/>
            <w:vAlign w:val="center"/>
          </w:tcPr>
          <w:p w14:paraId="41383F0B">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最小外部近端串扰功率和（dB）</w:t>
            </w:r>
          </w:p>
        </w:tc>
      </w:tr>
      <w:tr w14:paraId="0C29A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1746" w:type="dxa"/>
            <w:vMerge w:val="continue"/>
            <w:tcBorders>
              <w:bottom w:val="single" w:color="auto" w:sz="8" w:space="0"/>
            </w:tcBorders>
            <w:shd w:val="clear" w:color="auto" w:fill="auto"/>
            <w:noWrap/>
            <w:vAlign w:val="center"/>
          </w:tcPr>
          <w:p w14:paraId="267A7CE2">
            <w:pPr>
              <w:jc w:val="center"/>
              <w:rPr>
                <w:rFonts w:hint="eastAsia" w:ascii="Times New Roman" w:hAnsi="Times New Roman" w:cs="Times New Roman"/>
                <w:b/>
                <w:bCs/>
                <w:color w:val="auto"/>
                <w:sz w:val="18"/>
                <w:szCs w:val="18"/>
                <w:highlight w:val="none"/>
                <w:lang w:val="en-US" w:eastAsia="zh-CN"/>
              </w:rPr>
            </w:pPr>
          </w:p>
        </w:tc>
        <w:tc>
          <w:tcPr>
            <w:tcW w:w="2268" w:type="dxa"/>
            <w:tcBorders>
              <w:bottom w:val="single" w:color="auto" w:sz="8" w:space="0"/>
            </w:tcBorders>
            <w:shd w:val="clear" w:color="auto" w:fill="auto"/>
            <w:noWrap/>
            <w:vAlign w:val="center"/>
          </w:tcPr>
          <w:p w14:paraId="6FFABDC8">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10BASE-T1L</w:t>
            </w:r>
          </w:p>
        </w:tc>
        <w:tc>
          <w:tcPr>
            <w:tcW w:w="2268" w:type="dxa"/>
            <w:tcBorders>
              <w:bottom w:val="single" w:color="auto" w:sz="8" w:space="0"/>
            </w:tcBorders>
            <w:shd w:val="clear" w:color="auto" w:fill="auto"/>
            <w:noWrap/>
            <w:vAlign w:val="center"/>
          </w:tcPr>
          <w:p w14:paraId="43EDA368">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10BASE-T1S</w:t>
            </w:r>
          </w:p>
        </w:tc>
        <w:tc>
          <w:tcPr>
            <w:tcW w:w="2268" w:type="dxa"/>
            <w:tcBorders>
              <w:bottom w:val="single" w:color="auto" w:sz="8" w:space="0"/>
            </w:tcBorders>
            <w:shd w:val="clear" w:color="auto" w:fill="auto"/>
            <w:noWrap/>
            <w:vAlign w:val="center"/>
          </w:tcPr>
          <w:p w14:paraId="10D8FEB9">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100BASE-T1</w:t>
            </w:r>
          </w:p>
        </w:tc>
      </w:tr>
      <w:tr w14:paraId="789F9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tcBorders>
              <w:top w:val="single" w:color="auto" w:sz="8" w:space="0"/>
            </w:tcBorders>
            <w:shd w:val="clear" w:color="auto" w:fill="auto"/>
            <w:noWrap/>
            <w:vAlign w:val="center"/>
          </w:tcPr>
          <w:p w14:paraId="752D269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w:t>
            </w:r>
          </w:p>
        </w:tc>
        <w:tc>
          <w:tcPr>
            <w:tcW w:w="2268" w:type="dxa"/>
            <w:tcBorders>
              <w:top w:val="single" w:color="auto" w:sz="8" w:space="0"/>
            </w:tcBorders>
            <w:shd w:val="clear" w:color="auto" w:fill="auto"/>
            <w:noWrap/>
            <w:vAlign w:val="center"/>
          </w:tcPr>
          <w:p w14:paraId="3C403C8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67.0</w:t>
            </w:r>
          </w:p>
        </w:tc>
        <w:tc>
          <w:tcPr>
            <w:tcW w:w="2268" w:type="dxa"/>
            <w:tcBorders>
              <w:top w:val="single" w:color="auto" w:sz="8" w:space="0"/>
            </w:tcBorders>
            <w:shd w:val="clear" w:color="auto" w:fill="auto"/>
            <w:noWrap/>
            <w:vAlign w:val="center"/>
          </w:tcPr>
          <w:p w14:paraId="3F90A07C">
            <w:pPr>
              <w:jc w:val="center"/>
              <w:rPr>
                <w:rFonts w:hint="eastAsia" w:ascii="Times New Roman" w:hAnsi="Times New Roman" w:cs="Times New Roman"/>
                <w:color w:val="auto"/>
                <w:sz w:val="18"/>
                <w:szCs w:val="18"/>
                <w:highlight w:val="none"/>
                <w:lang w:val="en-US" w:eastAsia="zh-CN"/>
              </w:rPr>
            </w:pPr>
          </w:p>
        </w:tc>
        <w:tc>
          <w:tcPr>
            <w:tcW w:w="2268" w:type="dxa"/>
            <w:tcBorders>
              <w:top w:val="single" w:color="auto" w:sz="8" w:space="0"/>
            </w:tcBorders>
            <w:shd w:val="clear" w:color="auto" w:fill="auto"/>
            <w:noWrap/>
            <w:vAlign w:val="center"/>
          </w:tcPr>
          <w:p w14:paraId="1349DC1A">
            <w:pPr>
              <w:jc w:val="center"/>
              <w:rPr>
                <w:rFonts w:hint="eastAsia" w:ascii="Times New Roman" w:hAnsi="Times New Roman" w:cs="Times New Roman"/>
                <w:color w:val="auto"/>
                <w:sz w:val="18"/>
                <w:szCs w:val="18"/>
                <w:highlight w:val="none"/>
                <w:lang w:val="en-US" w:eastAsia="zh-CN"/>
              </w:rPr>
            </w:pPr>
          </w:p>
        </w:tc>
      </w:tr>
      <w:tr w14:paraId="1B0E5C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4998EA5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0.5</w:t>
            </w:r>
          </w:p>
        </w:tc>
        <w:tc>
          <w:tcPr>
            <w:tcW w:w="2268" w:type="dxa"/>
            <w:shd w:val="clear" w:color="auto" w:fill="auto"/>
            <w:noWrap/>
            <w:vAlign w:val="center"/>
          </w:tcPr>
          <w:p w14:paraId="413F89D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64.7</w:t>
            </w:r>
          </w:p>
        </w:tc>
        <w:tc>
          <w:tcPr>
            <w:tcW w:w="2268" w:type="dxa"/>
            <w:shd w:val="clear" w:color="auto" w:fill="auto"/>
            <w:noWrap/>
            <w:vAlign w:val="center"/>
          </w:tcPr>
          <w:p w14:paraId="3744C21A">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7F3DFA73">
            <w:pPr>
              <w:jc w:val="center"/>
              <w:rPr>
                <w:rFonts w:hint="eastAsia" w:ascii="Times New Roman" w:hAnsi="Times New Roman" w:cs="Times New Roman"/>
                <w:color w:val="auto"/>
                <w:sz w:val="18"/>
                <w:szCs w:val="18"/>
                <w:highlight w:val="none"/>
                <w:lang w:val="en-US" w:eastAsia="zh-CN"/>
              </w:rPr>
            </w:pPr>
          </w:p>
        </w:tc>
      </w:tr>
      <w:tr w14:paraId="3CEF1F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76A4141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w:t>
            </w:r>
          </w:p>
        </w:tc>
        <w:tc>
          <w:tcPr>
            <w:tcW w:w="2268" w:type="dxa"/>
            <w:shd w:val="clear" w:color="auto" w:fill="auto"/>
            <w:noWrap/>
            <w:vAlign w:val="center"/>
          </w:tcPr>
          <w:p w14:paraId="43417EB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59.6</w:t>
            </w:r>
          </w:p>
        </w:tc>
        <w:tc>
          <w:tcPr>
            <w:tcW w:w="2268" w:type="dxa"/>
            <w:shd w:val="clear" w:color="auto" w:fill="auto"/>
            <w:noWrap/>
            <w:vAlign w:val="center"/>
          </w:tcPr>
          <w:p w14:paraId="03CEDC4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51.5</w:t>
            </w:r>
          </w:p>
        </w:tc>
        <w:tc>
          <w:tcPr>
            <w:tcW w:w="2268" w:type="dxa"/>
            <w:shd w:val="clear" w:color="auto" w:fill="auto"/>
            <w:noWrap/>
            <w:vAlign w:val="center"/>
          </w:tcPr>
          <w:p w14:paraId="7177F20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51.5</w:t>
            </w:r>
          </w:p>
        </w:tc>
      </w:tr>
      <w:tr w14:paraId="20194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2D21D1F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w:t>
            </w:r>
          </w:p>
        </w:tc>
        <w:tc>
          <w:tcPr>
            <w:tcW w:w="2268" w:type="dxa"/>
            <w:shd w:val="clear" w:color="auto" w:fill="auto"/>
            <w:noWrap/>
            <w:vAlign w:val="center"/>
          </w:tcPr>
          <w:p w14:paraId="4C99EC0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54.5</w:t>
            </w:r>
          </w:p>
        </w:tc>
        <w:tc>
          <w:tcPr>
            <w:tcW w:w="2268" w:type="dxa"/>
            <w:shd w:val="clear" w:color="auto" w:fill="auto"/>
            <w:noWrap/>
            <w:vAlign w:val="center"/>
          </w:tcPr>
          <w:p w14:paraId="491D8E5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48.5</w:t>
            </w:r>
          </w:p>
        </w:tc>
        <w:tc>
          <w:tcPr>
            <w:tcW w:w="2268" w:type="dxa"/>
            <w:shd w:val="clear" w:color="auto" w:fill="auto"/>
            <w:noWrap/>
            <w:vAlign w:val="center"/>
          </w:tcPr>
          <w:p w14:paraId="6F4DE24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48.5</w:t>
            </w:r>
          </w:p>
        </w:tc>
      </w:tr>
      <w:tr w14:paraId="64D55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3784ADD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w:t>
            </w:r>
          </w:p>
        </w:tc>
        <w:tc>
          <w:tcPr>
            <w:tcW w:w="2268" w:type="dxa"/>
            <w:shd w:val="clear" w:color="auto" w:fill="auto"/>
            <w:noWrap/>
            <w:vAlign w:val="center"/>
          </w:tcPr>
          <w:p w14:paraId="5FD2025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49.4</w:t>
            </w:r>
          </w:p>
        </w:tc>
        <w:tc>
          <w:tcPr>
            <w:tcW w:w="2268" w:type="dxa"/>
            <w:shd w:val="clear" w:color="auto" w:fill="auto"/>
            <w:noWrap/>
            <w:vAlign w:val="center"/>
          </w:tcPr>
          <w:p w14:paraId="42A583E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45.5</w:t>
            </w:r>
          </w:p>
        </w:tc>
        <w:tc>
          <w:tcPr>
            <w:tcW w:w="2268" w:type="dxa"/>
            <w:shd w:val="clear" w:color="auto" w:fill="auto"/>
            <w:noWrap/>
            <w:vAlign w:val="center"/>
          </w:tcPr>
          <w:p w14:paraId="6AD6649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45.5</w:t>
            </w:r>
          </w:p>
        </w:tc>
      </w:tr>
      <w:tr w14:paraId="292DAA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3B4E687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8</w:t>
            </w:r>
          </w:p>
        </w:tc>
        <w:tc>
          <w:tcPr>
            <w:tcW w:w="2268" w:type="dxa"/>
            <w:shd w:val="clear" w:color="auto" w:fill="auto"/>
            <w:noWrap/>
            <w:vAlign w:val="center"/>
          </w:tcPr>
          <w:p w14:paraId="3F94B76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44.3</w:t>
            </w:r>
          </w:p>
        </w:tc>
        <w:tc>
          <w:tcPr>
            <w:tcW w:w="2268" w:type="dxa"/>
            <w:shd w:val="clear" w:color="auto" w:fill="auto"/>
            <w:noWrap/>
            <w:vAlign w:val="center"/>
          </w:tcPr>
          <w:p w14:paraId="0B0D80A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42.5</w:t>
            </w:r>
          </w:p>
        </w:tc>
        <w:tc>
          <w:tcPr>
            <w:tcW w:w="2268" w:type="dxa"/>
            <w:shd w:val="clear" w:color="auto" w:fill="auto"/>
            <w:noWrap/>
            <w:vAlign w:val="center"/>
          </w:tcPr>
          <w:p w14:paraId="0BB335E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42.5</w:t>
            </w:r>
          </w:p>
        </w:tc>
      </w:tr>
      <w:tr w14:paraId="207C38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5C9BB8B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2268" w:type="dxa"/>
            <w:shd w:val="clear" w:color="auto" w:fill="auto"/>
            <w:noWrap/>
            <w:vAlign w:val="center"/>
          </w:tcPr>
          <w:p w14:paraId="1280D08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42.6</w:t>
            </w:r>
          </w:p>
        </w:tc>
        <w:tc>
          <w:tcPr>
            <w:tcW w:w="2268" w:type="dxa"/>
            <w:shd w:val="clear" w:color="auto" w:fill="auto"/>
            <w:noWrap/>
            <w:vAlign w:val="center"/>
          </w:tcPr>
          <w:p w14:paraId="58713A1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41.5</w:t>
            </w:r>
          </w:p>
        </w:tc>
        <w:tc>
          <w:tcPr>
            <w:tcW w:w="2268" w:type="dxa"/>
            <w:shd w:val="clear" w:color="auto" w:fill="auto"/>
            <w:noWrap/>
            <w:vAlign w:val="center"/>
          </w:tcPr>
          <w:p w14:paraId="5C2B322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41.5</w:t>
            </w:r>
          </w:p>
        </w:tc>
      </w:tr>
      <w:tr w14:paraId="1D70F9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587CF4B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2268" w:type="dxa"/>
            <w:shd w:val="clear" w:color="auto" w:fill="auto"/>
            <w:noWrap/>
            <w:vAlign w:val="center"/>
          </w:tcPr>
          <w:p w14:paraId="30B8625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37.5</w:t>
            </w:r>
          </w:p>
        </w:tc>
        <w:tc>
          <w:tcPr>
            <w:tcW w:w="2268" w:type="dxa"/>
            <w:shd w:val="clear" w:color="auto" w:fill="auto"/>
            <w:noWrap/>
            <w:vAlign w:val="center"/>
          </w:tcPr>
          <w:p w14:paraId="3DCAD15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38.5</w:t>
            </w:r>
          </w:p>
        </w:tc>
        <w:tc>
          <w:tcPr>
            <w:tcW w:w="2268" w:type="dxa"/>
            <w:shd w:val="clear" w:color="auto" w:fill="auto"/>
            <w:noWrap/>
            <w:vAlign w:val="center"/>
          </w:tcPr>
          <w:p w14:paraId="7454541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38.5</w:t>
            </w:r>
          </w:p>
        </w:tc>
      </w:tr>
      <w:tr w14:paraId="02D0A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3167E98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w:t>
            </w:r>
          </w:p>
        </w:tc>
        <w:tc>
          <w:tcPr>
            <w:tcW w:w="2268" w:type="dxa"/>
            <w:shd w:val="clear" w:color="auto" w:fill="auto"/>
            <w:noWrap/>
            <w:vAlign w:val="center"/>
          </w:tcPr>
          <w:p w14:paraId="394F1280">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1BF919D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36.7</w:t>
            </w:r>
          </w:p>
        </w:tc>
        <w:tc>
          <w:tcPr>
            <w:tcW w:w="2268" w:type="dxa"/>
            <w:shd w:val="clear" w:color="auto" w:fill="auto"/>
            <w:noWrap/>
            <w:vAlign w:val="center"/>
          </w:tcPr>
          <w:p w14:paraId="216F4A9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36.7</w:t>
            </w:r>
          </w:p>
        </w:tc>
      </w:tr>
      <w:tr w14:paraId="32C783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08C17A2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w:t>
            </w:r>
          </w:p>
        </w:tc>
        <w:tc>
          <w:tcPr>
            <w:tcW w:w="2268" w:type="dxa"/>
            <w:shd w:val="clear" w:color="auto" w:fill="auto"/>
            <w:noWrap/>
            <w:vAlign w:val="center"/>
          </w:tcPr>
          <w:p w14:paraId="1B2E57A6">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74346A1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35.5</w:t>
            </w:r>
          </w:p>
        </w:tc>
        <w:tc>
          <w:tcPr>
            <w:tcW w:w="2268" w:type="dxa"/>
            <w:shd w:val="clear" w:color="auto" w:fill="auto"/>
            <w:noWrap/>
            <w:vAlign w:val="center"/>
          </w:tcPr>
          <w:p w14:paraId="492AA7C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35.5</w:t>
            </w:r>
          </w:p>
        </w:tc>
      </w:tr>
      <w:tr w14:paraId="12D9FE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300AEEF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w:t>
            </w:r>
          </w:p>
        </w:tc>
        <w:tc>
          <w:tcPr>
            <w:tcW w:w="2268" w:type="dxa"/>
            <w:shd w:val="clear" w:color="auto" w:fill="auto"/>
            <w:noWrap/>
            <w:vAlign w:val="center"/>
          </w:tcPr>
          <w:p w14:paraId="22A4E6F8">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2C99CF55">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1A5746D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34.5</w:t>
            </w:r>
          </w:p>
        </w:tc>
      </w:tr>
      <w:tr w14:paraId="051D27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5194209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w:t>
            </w:r>
          </w:p>
        </w:tc>
        <w:tc>
          <w:tcPr>
            <w:tcW w:w="2268" w:type="dxa"/>
            <w:shd w:val="clear" w:color="auto" w:fill="auto"/>
            <w:noWrap/>
            <w:vAlign w:val="center"/>
          </w:tcPr>
          <w:p w14:paraId="1B8A3507">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5689AF85">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4C4FB77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31.5</w:t>
            </w:r>
          </w:p>
        </w:tc>
      </w:tr>
    </w:tbl>
    <w:p w14:paraId="71A0D1BE">
      <w:pPr>
        <w:rPr>
          <w:rFonts w:hint="eastAsia"/>
          <w:color w:val="auto"/>
          <w:lang w:val="en-US" w:eastAsia="zh-CN"/>
        </w:rPr>
      </w:pPr>
    </w:p>
    <w:p w14:paraId="2F59824F">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表</w:t>
      </w:r>
      <w:r>
        <w:rPr>
          <w:rFonts w:hint="default" w:hAnsi="Times New Roman" w:cs="Times New Roman"/>
          <w:color w:val="auto"/>
          <w:highlight w:val="none"/>
          <w:lang w:val="en-US" w:eastAsia="zh-CN"/>
        </w:rPr>
        <w:t>A.</w:t>
      </w:r>
      <w:r>
        <w:rPr>
          <w:rFonts w:hint="eastAsia" w:cs="Times New Roman"/>
          <w:color w:val="auto"/>
          <w:highlight w:val="none"/>
          <w:lang w:val="en-US" w:eastAsia="zh-CN"/>
        </w:rPr>
        <w:t>19</w:t>
      </w:r>
      <w:r>
        <w:rPr>
          <w:rFonts w:hint="eastAsia"/>
          <w:color w:val="auto"/>
          <w:highlight w:val="none"/>
          <w:lang w:val="en-US" w:eastAsia="zh-CN"/>
        </w:rPr>
        <w:t xml:space="preserve">  </w:t>
      </w:r>
      <w:r>
        <w:rPr>
          <w:rFonts w:hint="eastAsia" w:hAnsi="Times New Roman" w:cs="Times New Roman"/>
          <w:color w:val="auto"/>
          <w:highlight w:val="none"/>
          <w:lang w:val="en-US" w:eastAsia="zh-CN"/>
        </w:rPr>
        <w:t>1000BASE-T1至25GBASE-T1信道典型频率点最小外部近端串扰功率和</w:t>
      </w:r>
    </w:p>
    <w:tbl>
      <w:tblPr>
        <w:tblStyle w:val="36"/>
        <w:tblW w:w="85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1134"/>
        <w:gridCol w:w="1134"/>
        <w:gridCol w:w="2268"/>
        <w:gridCol w:w="2268"/>
      </w:tblGrid>
      <w:tr w14:paraId="622705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7" w:hRule="atLeast"/>
          <w:jc w:val="center"/>
        </w:trPr>
        <w:tc>
          <w:tcPr>
            <w:tcW w:w="1746" w:type="dxa"/>
            <w:vMerge w:val="restart"/>
            <w:shd w:val="clear" w:color="auto" w:fill="auto"/>
            <w:noWrap/>
            <w:vAlign w:val="center"/>
          </w:tcPr>
          <w:p w14:paraId="095EB355">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频率</w:t>
            </w:r>
          </w:p>
          <w:p w14:paraId="6E4F3560">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（MHz）</w:t>
            </w:r>
          </w:p>
        </w:tc>
        <w:tc>
          <w:tcPr>
            <w:tcW w:w="6804" w:type="dxa"/>
            <w:gridSpan w:val="4"/>
            <w:shd w:val="clear" w:color="auto" w:fill="auto"/>
            <w:vAlign w:val="center"/>
          </w:tcPr>
          <w:p w14:paraId="4CC8CE74">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最小外部近端串扰功率和（dB）</w:t>
            </w:r>
          </w:p>
        </w:tc>
      </w:tr>
      <w:tr w14:paraId="70F46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1746" w:type="dxa"/>
            <w:vMerge w:val="continue"/>
            <w:shd w:val="clear" w:color="auto" w:fill="auto"/>
            <w:noWrap/>
            <w:vAlign w:val="center"/>
          </w:tcPr>
          <w:p w14:paraId="11856DEA">
            <w:pPr>
              <w:jc w:val="center"/>
              <w:rPr>
                <w:rFonts w:hint="eastAsia" w:ascii="Times New Roman" w:hAnsi="Times New Roman" w:cs="Times New Roman"/>
                <w:b/>
                <w:bCs/>
                <w:color w:val="auto"/>
                <w:sz w:val="18"/>
                <w:szCs w:val="18"/>
                <w:highlight w:val="none"/>
                <w:lang w:val="en-US" w:eastAsia="zh-CN"/>
              </w:rPr>
            </w:pPr>
          </w:p>
        </w:tc>
        <w:tc>
          <w:tcPr>
            <w:tcW w:w="2268" w:type="dxa"/>
            <w:gridSpan w:val="2"/>
            <w:shd w:val="clear" w:color="auto" w:fill="auto"/>
            <w:vAlign w:val="center"/>
          </w:tcPr>
          <w:p w14:paraId="2FBFE310">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 xml:space="preserve">1000BASE-T1 </w:t>
            </w:r>
          </w:p>
        </w:tc>
        <w:tc>
          <w:tcPr>
            <w:tcW w:w="2268" w:type="dxa"/>
            <w:vMerge w:val="restart"/>
            <w:shd w:val="clear" w:color="auto" w:fill="auto"/>
            <w:vAlign w:val="center"/>
          </w:tcPr>
          <w:p w14:paraId="50B82D3D">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10GBASE-T1</w:t>
            </w:r>
          </w:p>
        </w:tc>
        <w:tc>
          <w:tcPr>
            <w:tcW w:w="2268" w:type="dxa"/>
            <w:vMerge w:val="restart"/>
            <w:shd w:val="clear" w:color="auto" w:fill="auto"/>
            <w:vAlign w:val="center"/>
          </w:tcPr>
          <w:p w14:paraId="040FBAF9">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25GBASE-T1</w:t>
            </w:r>
          </w:p>
        </w:tc>
      </w:tr>
      <w:tr w14:paraId="4A2C70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1746" w:type="dxa"/>
            <w:vMerge w:val="continue"/>
            <w:shd w:val="clear" w:color="auto" w:fill="auto"/>
            <w:noWrap/>
            <w:vAlign w:val="center"/>
          </w:tcPr>
          <w:p w14:paraId="51C8A7F2">
            <w:pPr>
              <w:jc w:val="center"/>
              <w:rPr>
                <w:rFonts w:hint="eastAsia" w:ascii="Times New Roman" w:hAnsi="Times New Roman" w:cs="Times New Roman"/>
                <w:b/>
                <w:bCs/>
                <w:color w:val="auto"/>
                <w:sz w:val="18"/>
                <w:szCs w:val="18"/>
                <w:highlight w:val="none"/>
                <w:lang w:val="en-US" w:eastAsia="zh-CN"/>
              </w:rPr>
            </w:pPr>
          </w:p>
        </w:tc>
        <w:tc>
          <w:tcPr>
            <w:tcW w:w="1134" w:type="dxa"/>
            <w:shd w:val="clear" w:color="auto" w:fill="auto"/>
            <w:vAlign w:val="center"/>
          </w:tcPr>
          <w:p w14:paraId="01A42933">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Type A</w:t>
            </w:r>
          </w:p>
        </w:tc>
        <w:tc>
          <w:tcPr>
            <w:tcW w:w="1134" w:type="dxa"/>
            <w:shd w:val="clear" w:color="auto" w:fill="auto"/>
            <w:vAlign w:val="center"/>
          </w:tcPr>
          <w:p w14:paraId="71F5C83B">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Type B</w:t>
            </w:r>
          </w:p>
        </w:tc>
        <w:tc>
          <w:tcPr>
            <w:tcW w:w="2268" w:type="dxa"/>
            <w:vMerge w:val="continue"/>
            <w:shd w:val="clear" w:color="auto" w:fill="auto"/>
            <w:vAlign w:val="center"/>
          </w:tcPr>
          <w:p w14:paraId="39E52004">
            <w:pPr>
              <w:jc w:val="center"/>
              <w:rPr>
                <w:rFonts w:hint="eastAsia" w:ascii="Times New Roman" w:hAnsi="Times New Roman" w:cs="Times New Roman"/>
                <w:b/>
                <w:bCs/>
                <w:color w:val="auto"/>
                <w:sz w:val="18"/>
                <w:szCs w:val="18"/>
                <w:highlight w:val="none"/>
                <w:lang w:val="en-US" w:eastAsia="zh-CN"/>
              </w:rPr>
            </w:pPr>
          </w:p>
        </w:tc>
        <w:tc>
          <w:tcPr>
            <w:tcW w:w="2268" w:type="dxa"/>
            <w:vMerge w:val="continue"/>
            <w:shd w:val="clear" w:color="auto" w:fill="auto"/>
            <w:vAlign w:val="center"/>
          </w:tcPr>
          <w:p w14:paraId="7C857A47">
            <w:pPr>
              <w:jc w:val="center"/>
              <w:rPr>
                <w:rFonts w:hint="eastAsia" w:ascii="Times New Roman" w:hAnsi="Times New Roman" w:cs="Times New Roman"/>
                <w:b/>
                <w:bCs/>
                <w:color w:val="auto"/>
                <w:sz w:val="18"/>
                <w:szCs w:val="18"/>
                <w:highlight w:val="none"/>
                <w:lang w:val="en-US" w:eastAsia="zh-CN"/>
              </w:rPr>
            </w:pPr>
          </w:p>
        </w:tc>
      </w:tr>
      <w:tr w14:paraId="53B2F0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tcBorders>
              <w:top w:val="single" w:color="auto" w:sz="8" w:space="0"/>
            </w:tcBorders>
            <w:shd w:val="clear" w:color="auto" w:fill="auto"/>
            <w:noWrap/>
            <w:vAlign w:val="center"/>
          </w:tcPr>
          <w:p w14:paraId="5327D024">
            <w:pPr>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w:t>
            </w:r>
          </w:p>
        </w:tc>
        <w:tc>
          <w:tcPr>
            <w:tcW w:w="1134" w:type="dxa"/>
            <w:tcBorders>
              <w:top w:val="single" w:color="auto" w:sz="8" w:space="0"/>
            </w:tcBorders>
            <w:shd w:val="clear" w:color="auto" w:fill="auto"/>
            <w:noWrap/>
            <w:vAlign w:val="center"/>
          </w:tcPr>
          <w:p w14:paraId="68DC7E62">
            <w:pPr>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74.0</w:t>
            </w:r>
          </w:p>
        </w:tc>
        <w:tc>
          <w:tcPr>
            <w:tcW w:w="1134" w:type="dxa"/>
            <w:tcBorders>
              <w:top w:val="single" w:color="auto" w:sz="8" w:space="0"/>
            </w:tcBorders>
            <w:shd w:val="clear" w:color="auto" w:fill="auto"/>
            <w:noWrap/>
            <w:vAlign w:val="center"/>
          </w:tcPr>
          <w:p w14:paraId="19A92D50">
            <w:pPr>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65.0</w:t>
            </w:r>
          </w:p>
        </w:tc>
        <w:tc>
          <w:tcPr>
            <w:tcW w:w="2268" w:type="dxa"/>
            <w:tcBorders>
              <w:top w:val="single" w:color="auto" w:sz="8" w:space="0"/>
            </w:tcBorders>
            <w:shd w:val="clear" w:color="auto" w:fill="auto"/>
            <w:noWrap/>
            <w:vAlign w:val="center"/>
          </w:tcPr>
          <w:p w14:paraId="558D17AF">
            <w:pPr>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75.0</w:t>
            </w:r>
          </w:p>
        </w:tc>
        <w:tc>
          <w:tcPr>
            <w:tcW w:w="2268" w:type="dxa"/>
            <w:tcBorders>
              <w:top w:val="single" w:color="auto" w:sz="8" w:space="0"/>
            </w:tcBorders>
            <w:shd w:val="clear" w:color="auto" w:fill="auto"/>
            <w:noWrap/>
            <w:vAlign w:val="center"/>
          </w:tcPr>
          <w:p w14:paraId="617A0989">
            <w:pPr>
              <w:jc w:val="center"/>
              <w:rPr>
                <w:rFonts w:hint="eastAsia" w:ascii="Times New Roman" w:hAnsi="Times New Roman" w:cs="Times New Roman"/>
                <w:b w:val="0"/>
                <w:bCs w:val="0"/>
                <w:color w:val="auto"/>
                <w:sz w:val="18"/>
                <w:szCs w:val="18"/>
                <w:highlight w:val="none"/>
                <w:lang w:val="en-US" w:eastAsia="zh-CN"/>
              </w:rPr>
            </w:pPr>
          </w:p>
        </w:tc>
      </w:tr>
      <w:tr w14:paraId="3E1866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1928149B">
            <w:pPr>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10</w:t>
            </w:r>
          </w:p>
        </w:tc>
        <w:tc>
          <w:tcPr>
            <w:tcW w:w="1134" w:type="dxa"/>
            <w:shd w:val="clear" w:color="auto" w:fill="auto"/>
            <w:noWrap/>
            <w:vAlign w:val="center"/>
          </w:tcPr>
          <w:p w14:paraId="4C5F0A75">
            <w:pPr>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64.0</w:t>
            </w:r>
          </w:p>
        </w:tc>
        <w:tc>
          <w:tcPr>
            <w:tcW w:w="1134" w:type="dxa"/>
            <w:shd w:val="clear" w:color="auto" w:fill="auto"/>
            <w:noWrap/>
            <w:vAlign w:val="center"/>
          </w:tcPr>
          <w:p w14:paraId="46CC4B69">
            <w:pPr>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65.0</w:t>
            </w:r>
          </w:p>
        </w:tc>
        <w:tc>
          <w:tcPr>
            <w:tcW w:w="2268" w:type="dxa"/>
            <w:shd w:val="clear" w:color="auto" w:fill="auto"/>
            <w:noWrap/>
            <w:vAlign w:val="center"/>
          </w:tcPr>
          <w:p w14:paraId="78AC6458">
            <w:pPr>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75.0</w:t>
            </w:r>
          </w:p>
        </w:tc>
        <w:tc>
          <w:tcPr>
            <w:tcW w:w="2268" w:type="dxa"/>
            <w:shd w:val="clear" w:color="auto" w:fill="auto"/>
            <w:noWrap/>
            <w:vAlign w:val="center"/>
          </w:tcPr>
          <w:p w14:paraId="33545E07">
            <w:pPr>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75.0</w:t>
            </w:r>
          </w:p>
        </w:tc>
      </w:tr>
      <w:tr w14:paraId="3A1D49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2C6529F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1134" w:type="dxa"/>
            <w:shd w:val="clear" w:color="auto" w:fill="auto"/>
            <w:noWrap/>
            <w:vAlign w:val="center"/>
          </w:tcPr>
          <w:p w14:paraId="2E779CC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61.0</w:t>
            </w:r>
          </w:p>
        </w:tc>
        <w:tc>
          <w:tcPr>
            <w:tcW w:w="1134" w:type="dxa"/>
            <w:shd w:val="clear" w:color="auto" w:fill="auto"/>
            <w:noWrap/>
            <w:vAlign w:val="center"/>
          </w:tcPr>
          <w:p w14:paraId="3BE1D44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65.0</w:t>
            </w:r>
          </w:p>
        </w:tc>
        <w:tc>
          <w:tcPr>
            <w:tcW w:w="2268" w:type="dxa"/>
            <w:shd w:val="clear" w:color="auto" w:fill="auto"/>
            <w:noWrap/>
            <w:vAlign w:val="center"/>
          </w:tcPr>
          <w:p w14:paraId="13466E5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c>
          <w:tcPr>
            <w:tcW w:w="2268" w:type="dxa"/>
            <w:shd w:val="clear" w:color="auto" w:fill="auto"/>
            <w:noWrap/>
            <w:vAlign w:val="center"/>
          </w:tcPr>
          <w:p w14:paraId="25F4A09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r>
      <w:tr w14:paraId="00FE43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641E339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w:t>
            </w:r>
          </w:p>
        </w:tc>
        <w:tc>
          <w:tcPr>
            <w:tcW w:w="1134" w:type="dxa"/>
            <w:shd w:val="clear" w:color="auto" w:fill="auto"/>
            <w:noWrap/>
            <w:vAlign w:val="center"/>
          </w:tcPr>
          <w:p w14:paraId="5241418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59.2</w:t>
            </w:r>
          </w:p>
        </w:tc>
        <w:tc>
          <w:tcPr>
            <w:tcW w:w="1134" w:type="dxa"/>
            <w:shd w:val="clear" w:color="auto" w:fill="auto"/>
            <w:noWrap/>
            <w:vAlign w:val="center"/>
          </w:tcPr>
          <w:p w14:paraId="741DD8C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65.0</w:t>
            </w:r>
          </w:p>
        </w:tc>
        <w:tc>
          <w:tcPr>
            <w:tcW w:w="2268" w:type="dxa"/>
            <w:shd w:val="clear" w:color="auto" w:fill="auto"/>
            <w:noWrap/>
            <w:vAlign w:val="center"/>
          </w:tcPr>
          <w:p w14:paraId="5CBFA4E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c>
          <w:tcPr>
            <w:tcW w:w="2268" w:type="dxa"/>
            <w:shd w:val="clear" w:color="auto" w:fill="auto"/>
            <w:noWrap/>
            <w:vAlign w:val="center"/>
          </w:tcPr>
          <w:p w14:paraId="1AF4D08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r>
      <w:tr w14:paraId="43312E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081BAF9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w:t>
            </w:r>
          </w:p>
        </w:tc>
        <w:tc>
          <w:tcPr>
            <w:tcW w:w="1134" w:type="dxa"/>
            <w:shd w:val="clear" w:color="auto" w:fill="auto"/>
            <w:noWrap/>
            <w:vAlign w:val="center"/>
          </w:tcPr>
          <w:p w14:paraId="58DF04E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58.0</w:t>
            </w:r>
          </w:p>
        </w:tc>
        <w:tc>
          <w:tcPr>
            <w:tcW w:w="1134" w:type="dxa"/>
            <w:shd w:val="clear" w:color="auto" w:fill="auto"/>
            <w:noWrap/>
            <w:vAlign w:val="center"/>
          </w:tcPr>
          <w:p w14:paraId="389FB53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65.0</w:t>
            </w:r>
          </w:p>
        </w:tc>
        <w:tc>
          <w:tcPr>
            <w:tcW w:w="2268" w:type="dxa"/>
            <w:shd w:val="clear" w:color="auto" w:fill="auto"/>
            <w:noWrap/>
            <w:vAlign w:val="center"/>
          </w:tcPr>
          <w:p w14:paraId="6C21745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c>
          <w:tcPr>
            <w:tcW w:w="2268" w:type="dxa"/>
            <w:shd w:val="clear" w:color="auto" w:fill="auto"/>
            <w:noWrap/>
            <w:vAlign w:val="center"/>
          </w:tcPr>
          <w:p w14:paraId="508B569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r>
      <w:tr w14:paraId="3BF1F6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5A9DC96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w:t>
            </w:r>
          </w:p>
        </w:tc>
        <w:tc>
          <w:tcPr>
            <w:tcW w:w="1134" w:type="dxa"/>
            <w:shd w:val="clear" w:color="auto" w:fill="auto"/>
            <w:noWrap/>
            <w:vAlign w:val="center"/>
          </w:tcPr>
          <w:p w14:paraId="47CA095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57.0</w:t>
            </w:r>
          </w:p>
        </w:tc>
        <w:tc>
          <w:tcPr>
            <w:tcW w:w="1134" w:type="dxa"/>
            <w:shd w:val="clear" w:color="auto" w:fill="auto"/>
            <w:noWrap/>
            <w:vAlign w:val="center"/>
          </w:tcPr>
          <w:p w14:paraId="784CACC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65.0</w:t>
            </w:r>
          </w:p>
        </w:tc>
        <w:tc>
          <w:tcPr>
            <w:tcW w:w="2268" w:type="dxa"/>
            <w:shd w:val="clear" w:color="auto" w:fill="auto"/>
            <w:noWrap/>
            <w:vAlign w:val="center"/>
          </w:tcPr>
          <w:p w14:paraId="2D2B4B1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c>
          <w:tcPr>
            <w:tcW w:w="2268" w:type="dxa"/>
            <w:shd w:val="clear" w:color="auto" w:fill="auto"/>
            <w:noWrap/>
            <w:vAlign w:val="center"/>
          </w:tcPr>
          <w:p w14:paraId="2A53A72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r>
      <w:tr w14:paraId="08A3A2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6BF850E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w:t>
            </w:r>
          </w:p>
        </w:tc>
        <w:tc>
          <w:tcPr>
            <w:tcW w:w="1134" w:type="dxa"/>
            <w:shd w:val="clear" w:color="auto" w:fill="auto"/>
            <w:noWrap/>
            <w:vAlign w:val="center"/>
          </w:tcPr>
          <w:p w14:paraId="737853C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54.0</w:t>
            </w:r>
          </w:p>
        </w:tc>
        <w:tc>
          <w:tcPr>
            <w:tcW w:w="1134" w:type="dxa"/>
            <w:shd w:val="clear" w:color="auto" w:fill="auto"/>
            <w:noWrap/>
            <w:vAlign w:val="center"/>
          </w:tcPr>
          <w:p w14:paraId="5E4F196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65.0</w:t>
            </w:r>
          </w:p>
        </w:tc>
        <w:tc>
          <w:tcPr>
            <w:tcW w:w="2268" w:type="dxa"/>
            <w:shd w:val="clear" w:color="auto" w:fill="auto"/>
            <w:noWrap/>
            <w:vAlign w:val="center"/>
          </w:tcPr>
          <w:p w14:paraId="421313D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c>
          <w:tcPr>
            <w:tcW w:w="2268" w:type="dxa"/>
            <w:shd w:val="clear" w:color="auto" w:fill="auto"/>
            <w:noWrap/>
            <w:vAlign w:val="center"/>
          </w:tcPr>
          <w:p w14:paraId="04260D1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r>
      <w:tr w14:paraId="013E4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6DFE1BF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200</w:t>
            </w:r>
          </w:p>
        </w:tc>
        <w:tc>
          <w:tcPr>
            <w:tcW w:w="1134" w:type="dxa"/>
            <w:shd w:val="clear" w:color="auto" w:fill="auto"/>
            <w:noWrap/>
            <w:vAlign w:val="center"/>
          </w:tcPr>
          <w:p w14:paraId="03CFF47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48.0</w:t>
            </w:r>
          </w:p>
        </w:tc>
        <w:tc>
          <w:tcPr>
            <w:tcW w:w="1134" w:type="dxa"/>
            <w:shd w:val="clear" w:color="auto" w:fill="auto"/>
            <w:noWrap/>
            <w:vAlign w:val="center"/>
          </w:tcPr>
          <w:p w14:paraId="1876BB8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65.0</w:t>
            </w:r>
          </w:p>
        </w:tc>
        <w:tc>
          <w:tcPr>
            <w:tcW w:w="2268" w:type="dxa"/>
            <w:shd w:val="clear" w:color="auto" w:fill="auto"/>
            <w:noWrap/>
            <w:vAlign w:val="center"/>
          </w:tcPr>
          <w:p w14:paraId="00BB4DE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c>
          <w:tcPr>
            <w:tcW w:w="2268" w:type="dxa"/>
            <w:shd w:val="clear" w:color="auto" w:fill="auto"/>
            <w:noWrap/>
            <w:vAlign w:val="center"/>
          </w:tcPr>
          <w:p w14:paraId="03D14AA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r>
      <w:tr w14:paraId="55F43F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398F5A4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400</w:t>
            </w:r>
          </w:p>
        </w:tc>
        <w:tc>
          <w:tcPr>
            <w:tcW w:w="1134" w:type="dxa"/>
            <w:shd w:val="clear" w:color="auto" w:fill="auto"/>
            <w:noWrap/>
            <w:vAlign w:val="center"/>
          </w:tcPr>
          <w:p w14:paraId="0B52F4C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40.5</w:t>
            </w:r>
          </w:p>
        </w:tc>
        <w:tc>
          <w:tcPr>
            <w:tcW w:w="1134" w:type="dxa"/>
            <w:shd w:val="clear" w:color="auto" w:fill="auto"/>
            <w:noWrap/>
            <w:vAlign w:val="center"/>
          </w:tcPr>
          <w:p w14:paraId="45E42A0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65.0</w:t>
            </w:r>
          </w:p>
        </w:tc>
        <w:tc>
          <w:tcPr>
            <w:tcW w:w="2268" w:type="dxa"/>
            <w:shd w:val="clear" w:color="auto" w:fill="auto"/>
            <w:noWrap/>
            <w:vAlign w:val="center"/>
          </w:tcPr>
          <w:p w14:paraId="400ADD1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71.0</w:t>
            </w:r>
          </w:p>
        </w:tc>
        <w:tc>
          <w:tcPr>
            <w:tcW w:w="2268" w:type="dxa"/>
            <w:shd w:val="clear" w:color="auto" w:fill="auto"/>
            <w:noWrap/>
            <w:vAlign w:val="center"/>
          </w:tcPr>
          <w:p w14:paraId="2758D59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71.0</w:t>
            </w:r>
          </w:p>
        </w:tc>
      </w:tr>
      <w:tr w14:paraId="36161E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15C9EE0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600</w:t>
            </w:r>
          </w:p>
        </w:tc>
        <w:tc>
          <w:tcPr>
            <w:tcW w:w="1134" w:type="dxa"/>
            <w:shd w:val="clear" w:color="auto" w:fill="auto"/>
            <w:noWrap/>
            <w:vAlign w:val="center"/>
          </w:tcPr>
          <w:p w14:paraId="4C58222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34.8</w:t>
            </w:r>
          </w:p>
        </w:tc>
        <w:tc>
          <w:tcPr>
            <w:tcW w:w="1134" w:type="dxa"/>
            <w:shd w:val="clear" w:color="auto" w:fill="auto"/>
            <w:noWrap/>
            <w:vAlign w:val="center"/>
          </w:tcPr>
          <w:p w14:paraId="0A0DCFE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65.0</w:t>
            </w:r>
          </w:p>
        </w:tc>
        <w:tc>
          <w:tcPr>
            <w:tcW w:w="2268" w:type="dxa"/>
            <w:shd w:val="clear" w:color="auto" w:fill="auto"/>
            <w:noWrap/>
            <w:vAlign w:val="center"/>
          </w:tcPr>
          <w:p w14:paraId="0292B84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68.3</w:t>
            </w:r>
          </w:p>
        </w:tc>
        <w:tc>
          <w:tcPr>
            <w:tcW w:w="2268" w:type="dxa"/>
            <w:shd w:val="clear" w:color="auto" w:fill="auto"/>
            <w:noWrap/>
            <w:vAlign w:val="center"/>
          </w:tcPr>
          <w:p w14:paraId="10F2146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68.3</w:t>
            </w:r>
          </w:p>
        </w:tc>
      </w:tr>
      <w:tr w14:paraId="7933FA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3E4F44D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1000</w:t>
            </w:r>
          </w:p>
        </w:tc>
        <w:tc>
          <w:tcPr>
            <w:tcW w:w="1134" w:type="dxa"/>
            <w:shd w:val="clear" w:color="auto" w:fill="auto"/>
            <w:noWrap/>
            <w:vAlign w:val="center"/>
          </w:tcPr>
          <w:p w14:paraId="0CD92E80">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62708EBA">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0ACD1EA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65.0</w:t>
            </w:r>
          </w:p>
        </w:tc>
        <w:tc>
          <w:tcPr>
            <w:tcW w:w="2268" w:type="dxa"/>
            <w:shd w:val="clear" w:color="auto" w:fill="auto"/>
            <w:noWrap/>
            <w:vAlign w:val="center"/>
          </w:tcPr>
          <w:p w14:paraId="1221A25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65.0</w:t>
            </w:r>
          </w:p>
        </w:tc>
      </w:tr>
      <w:tr w14:paraId="501AD7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750373A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2000</w:t>
            </w:r>
          </w:p>
        </w:tc>
        <w:tc>
          <w:tcPr>
            <w:tcW w:w="1134" w:type="dxa"/>
            <w:shd w:val="clear" w:color="auto" w:fill="auto"/>
            <w:noWrap/>
            <w:vAlign w:val="center"/>
          </w:tcPr>
          <w:p w14:paraId="314B4DCC">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2A8ED174">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6D5141C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60.5</w:t>
            </w:r>
          </w:p>
        </w:tc>
        <w:tc>
          <w:tcPr>
            <w:tcW w:w="2268" w:type="dxa"/>
            <w:shd w:val="clear" w:color="auto" w:fill="auto"/>
            <w:noWrap/>
            <w:vAlign w:val="center"/>
          </w:tcPr>
          <w:p w14:paraId="19B45F6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60.5</w:t>
            </w:r>
          </w:p>
        </w:tc>
      </w:tr>
      <w:tr w14:paraId="7D48A6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4B64448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3000</w:t>
            </w:r>
          </w:p>
        </w:tc>
        <w:tc>
          <w:tcPr>
            <w:tcW w:w="1134" w:type="dxa"/>
            <w:shd w:val="clear" w:color="auto" w:fill="auto"/>
            <w:noWrap/>
            <w:vAlign w:val="center"/>
          </w:tcPr>
          <w:p w14:paraId="46AA2803">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56157809">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6A4727B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57.8</w:t>
            </w:r>
          </w:p>
        </w:tc>
        <w:tc>
          <w:tcPr>
            <w:tcW w:w="2268" w:type="dxa"/>
            <w:shd w:val="clear" w:color="auto" w:fill="auto"/>
            <w:noWrap/>
            <w:vAlign w:val="center"/>
          </w:tcPr>
          <w:p w14:paraId="32E8E48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57.8</w:t>
            </w:r>
          </w:p>
        </w:tc>
      </w:tr>
      <w:tr w14:paraId="74560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0FB2117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4000</w:t>
            </w:r>
          </w:p>
        </w:tc>
        <w:tc>
          <w:tcPr>
            <w:tcW w:w="1134" w:type="dxa"/>
            <w:shd w:val="clear" w:color="auto" w:fill="auto"/>
            <w:noWrap/>
            <w:vAlign w:val="center"/>
          </w:tcPr>
          <w:p w14:paraId="36EEC7B9">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430D9971">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7A2DAD3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56.0</w:t>
            </w:r>
          </w:p>
        </w:tc>
        <w:tc>
          <w:tcPr>
            <w:tcW w:w="2268" w:type="dxa"/>
            <w:shd w:val="clear" w:color="auto" w:fill="auto"/>
            <w:noWrap/>
            <w:vAlign w:val="center"/>
          </w:tcPr>
          <w:p w14:paraId="0BE8A7E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56.0</w:t>
            </w:r>
          </w:p>
        </w:tc>
      </w:tr>
      <w:tr w14:paraId="3EC5E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68BC624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9000</w:t>
            </w:r>
          </w:p>
        </w:tc>
        <w:tc>
          <w:tcPr>
            <w:tcW w:w="1134" w:type="dxa"/>
            <w:shd w:val="clear" w:color="auto" w:fill="auto"/>
            <w:noWrap/>
            <w:vAlign w:val="center"/>
          </w:tcPr>
          <w:p w14:paraId="77B880B1">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4AE7DDC0">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5FADADCB">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711E137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50.7</w:t>
            </w:r>
          </w:p>
        </w:tc>
      </w:tr>
    </w:tbl>
    <w:p w14:paraId="187773E9">
      <w:pPr>
        <w:rPr>
          <w:rFonts w:hint="eastAsia"/>
          <w:color w:val="auto"/>
          <w:lang w:val="en-US" w:eastAsia="zh-CN"/>
        </w:rPr>
      </w:pPr>
    </w:p>
    <w:p w14:paraId="594C7BB0">
      <w:pPr>
        <w:pStyle w:val="75"/>
        <w:numPr>
          <w:ilvl w:val="2"/>
          <w:numId w:val="0"/>
        </w:numPr>
        <w:spacing w:before="156" w:after="156"/>
        <w:ind w:leftChars="0"/>
        <w:rPr>
          <w:rFonts w:hint="eastAsia" w:ascii="Times New Roman" w:hAnsi="Times New Roman" w:eastAsia="宋体" w:cs="Times New Roman"/>
          <w:color w:val="auto"/>
          <w:highlight w:val="none"/>
          <w:lang w:val="en-US" w:eastAsia="zh-CN"/>
        </w:rPr>
      </w:pPr>
      <w:r>
        <w:rPr>
          <w:rFonts w:hint="eastAsia" w:ascii="黑体" w:hAnsi="黑体" w:eastAsia="黑体" w:cs="黑体"/>
          <w:color w:val="auto"/>
          <w:highlight w:val="none"/>
          <w:lang w:val="en-US" w:eastAsia="zh-CN"/>
        </w:rPr>
        <w:t>A.2.</w:t>
      </w:r>
      <w:r>
        <w:rPr>
          <w:rFonts w:hint="eastAsia" w:hAnsi="黑体" w:cs="黑体"/>
          <w:color w:val="auto"/>
          <w:highlight w:val="none"/>
          <w:lang w:val="en-US" w:eastAsia="zh-CN"/>
        </w:rPr>
        <w:t xml:space="preserve">9  </w:t>
      </w:r>
      <w:r>
        <w:rPr>
          <w:rFonts w:hint="default" w:ascii="Times New Roman" w:hAnsi="Times New Roman" w:eastAsia="宋体" w:cs="Times New Roman"/>
          <w:color w:val="auto"/>
          <w:highlight w:val="none"/>
          <w:lang w:val="en-US" w:eastAsia="zh-CN"/>
        </w:rPr>
        <w:t>单对以太网</w:t>
      </w:r>
      <w:r>
        <w:rPr>
          <w:rFonts w:hint="eastAsia" w:ascii="Times New Roman" w:hAnsi="Times New Roman" w:eastAsia="宋体" w:cs="Times New Roman"/>
          <w:color w:val="auto"/>
          <w:highlight w:val="none"/>
          <w:lang w:val="en-US" w:eastAsia="zh-CN"/>
        </w:rPr>
        <w:t>信道的衰减外部远端串扰比功率和最小值应满足</w:t>
      </w:r>
      <w:r>
        <w:rPr>
          <w:rFonts w:hint="default" w:ascii="Times New Roman" w:hAnsi="Times New Roman" w:eastAsia="宋体" w:cs="Times New Roman"/>
          <w:color w:val="auto"/>
          <w:highlight w:val="none"/>
          <w:lang w:val="en-US" w:eastAsia="zh-CN"/>
        </w:rPr>
        <w:t>表A.</w:t>
      </w:r>
      <w:r>
        <w:rPr>
          <w:rFonts w:hint="eastAsia" w:ascii="Times New Roman" w:eastAsia="宋体" w:cs="Times New Roman"/>
          <w:color w:val="auto"/>
          <w:highlight w:val="none"/>
          <w:lang w:val="en-US" w:eastAsia="zh-CN"/>
        </w:rPr>
        <w:t>20</w:t>
      </w:r>
      <w:r>
        <w:rPr>
          <w:rFonts w:hint="eastAsia" w:ascii="Times New Roman" w:hAnsi="Times New Roman" w:eastAsia="宋体" w:cs="Times New Roman"/>
          <w:color w:val="auto"/>
          <w:highlight w:val="none"/>
          <w:lang w:val="en-US" w:eastAsia="zh-CN"/>
        </w:rPr>
        <w:t>、表</w:t>
      </w:r>
      <w:r>
        <w:rPr>
          <w:rFonts w:hint="default" w:ascii="Times New Roman" w:hAnsi="Times New Roman" w:eastAsia="宋体" w:cs="Times New Roman"/>
          <w:color w:val="auto"/>
          <w:highlight w:val="none"/>
          <w:lang w:val="en-US" w:eastAsia="zh-CN"/>
        </w:rPr>
        <w:t>A.</w:t>
      </w:r>
      <w:r>
        <w:rPr>
          <w:rFonts w:hint="eastAsia" w:ascii="Times New Roman" w:eastAsia="宋体" w:cs="Times New Roman"/>
          <w:color w:val="auto"/>
          <w:highlight w:val="none"/>
          <w:lang w:val="en-US" w:eastAsia="zh-CN"/>
        </w:rPr>
        <w:t>21</w:t>
      </w:r>
      <w:r>
        <w:rPr>
          <w:rFonts w:hint="eastAsia" w:ascii="Times New Roman" w:hAnsi="Times New Roman" w:eastAsia="宋体" w:cs="Times New Roman"/>
          <w:color w:val="auto"/>
          <w:highlight w:val="none"/>
          <w:lang w:val="en-US" w:eastAsia="zh-CN"/>
        </w:rPr>
        <w:t>、表</w:t>
      </w:r>
      <w:r>
        <w:rPr>
          <w:rFonts w:hint="default" w:ascii="Times New Roman" w:hAnsi="Times New Roman" w:eastAsia="宋体" w:cs="Times New Roman"/>
          <w:color w:val="auto"/>
          <w:highlight w:val="none"/>
          <w:lang w:val="en-US" w:eastAsia="zh-CN"/>
        </w:rPr>
        <w:t>A.</w:t>
      </w:r>
      <w:r>
        <w:rPr>
          <w:rFonts w:hint="eastAsia" w:ascii="Times New Roman" w:eastAsia="宋体" w:cs="Times New Roman"/>
          <w:color w:val="auto"/>
          <w:highlight w:val="none"/>
          <w:lang w:val="en-US" w:eastAsia="zh-CN"/>
        </w:rPr>
        <w:t>22</w:t>
      </w:r>
      <w:r>
        <w:rPr>
          <w:rFonts w:hint="eastAsia" w:ascii="Times New Roman" w:hAnsi="Times New Roman" w:eastAsia="宋体" w:cs="Times New Roman"/>
          <w:color w:val="auto"/>
          <w:highlight w:val="none"/>
          <w:lang w:val="en-US" w:eastAsia="zh-CN"/>
        </w:rPr>
        <w:t>、</w:t>
      </w:r>
      <w:r>
        <w:rPr>
          <w:rFonts w:hint="eastAsia" w:ascii="Times New Roman" w:eastAsia="宋体" w:cs="Times New Roman"/>
          <w:color w:val="auto"/>
          <w:highlight w:val="none"/>
          <w:lang w:val="en-US" w:eastAsia="zh-CN"/>
        </w:rPr>
        <w:t>图A.</w:t>
      </w:r>
      <w:r>
        <w:rPr>
          <w:rFonts w:hint="eastAsia" w:ascii="Times New Roman" w:hAnsi="Times New Roman" w:eastAsia="宋体" w:cs="Times New Roman"/>
          <w:color w:val="auto"/>
          <w:highlight w:val="none"/>
          <w:lang w:val="en-US" w:eastAsia="zh-CN"/>
        </w:rPr>
        <w:t>14及</w:t>
      </w:r>
      <w:r>
        <w:rPr>
          <w:rFonts w:hint="eastAsia" w:ascii="Times New Roman" w:eastAsia="宋体" w:cs="Times New Roman"/>
          <w:color w:val="auto"/>
          <w:highlight w:val="none"/>
          <w:lang w:val="en-US" w:eastAsia="zh-CN"/>
        </w:rPr>
        <w:t>图A.</w:t>
      </w:r>
      <w:r>
        <w:rPr>
          <w:rFonts w:hint="eastAsia" w:ascii="Times New Roman" w:hAnsi="Times New Roman" w:eastAsia="宋体" w:cs="Times New Roman"/>
          <w:color w:val="auto"/>
          <w:highlight w:val="none"/>
          <w:lang w:val="en-US" w:eastAsia="zh-CN"/>
        </w:rPr>
        <w:t>15</w:t>
      </w:r>
      <w:r>
        <w:rPr>
          <w:rFonts w:hint="default" w:ascii="Times New Roman" w:hAnsi="Times New Roman" w:eastAsia="宋体" w:cs="Times New Roman"/>
          <w:color w:val="auto"/>
          <w:highlight w:val="none"/>
          <w:lang w:val="en-US" w:eastAsia="zh-CN"/>
        </w:rPr>
        <w:t>的相关要求</w:t>
      </w:r>
      <w:r>
        <w:rPr>
          <w:rFonts w:hint="eastAsia" w:ascii="Times New Roman" w:hAnsi="Times New Roman" w:eastAsia="宋体" w:cs="Times New Roman"/>
          <w:color w:val="auto"/>
          <w:highlight w:val="none"/>
          <w:lang w:val="en-US" w:eastAsia="zh-CN"/>
        </w:rPr>
        <w:t>，同时不应小67dB。</w:t>
      </w:r>
    </w:p>
    <w:p w14:paraId="53056F76">
      <w:pPr>
        <w:pStyle w:val="102"/>
        <w:numPr>
          <w:ilvl w:val="1"/>
          <w:numId w:val="0"/>
        </w:numPr>
        <w:spacing w:before="156" w:after="156"/>
        <w:ind w:leftChars="0"/>
        <w:jc w:val="center"/>
        <w:rPr>
          <w:rFonts w:hint="default" w:hAnsi="Times New Roman" w:cs="Times New Roman"/>
          <w:color w:val="auto"/>
          <w:highlight w:val="none"/>
          <w:lang w:val="en-US" w:eastAsia="zh-CN"/>
        </w:rPr>
      </w:pPr>
    </w:p>
    <w:p w14:paraId="62068C6E">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default" w:hAnsi="Times New Roman" w:cs="Times New Roman"/>
          <w:color w:val="auto"/>
          <w:highlight w:val="none"/>
          <w:lang w:val="en-US" w:eastAsia="zh-CN"/>
        </w:rPr>
        <w:t>表A.</w:t>
      </w:r>
      <w:r>
        <w:rPr>
          <w:rFonts w:hint="eastAsia" w:cs="Times New Roman"/>
          <w:color w:val="auto"/>
          <w:highlight w:val="none"/>
          <w:lang w:val="en-US" w:eastAsia="zh-CN"/>
        </w:rPr>
        <w:t>20</w:t>
      </w:r>
      <w:r>
        <w:rPr>
          <w:rFonts w:hint="eastAsia"/>
          <w:color w:val="auto"/>
          <w:highlight w:val="none"/>
          <w:lang w:val="en-US" w:eastAsia="zh-CN"/>
        </w:rPr>
        <w:t xml:space="preserve">  </w:t>
      </w:r>
      <w:r>
        <w:rPr>
          <w:rFonts w:hint="default" w:hAnsi="Times New Roman" w:cs="Times New Roman"/>
          <w:color w:val="auto"/>
          <w:highlight w:val="none"/>
          <w:lang w:val="en-US" w:eastAsia="zh-CN"/>
        </w:rPr>
        <w:t>单对以太网</w:t>
      </w:r>
      <w:r>
        <w:rPr>
          <w:rFonts w:hint="eastAsia" w:hAnsi="Times New Roman" w:cs="Times New Roman"/>
          <w:color w:val="auto"/>
          <w:highlight w:val="none"/>
          <w:lang w:val="en-US" w:eastAsia="zh-CN"/>
        </w:rPr>
        <w:t>信道最小衰减外部远端串扰比功率和</w:t>
      </w:r>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1179"/>
        <w:gridCol w:w="1587"/>
        <w:gridCol w:w="4252"/>
      </w:tblGrid>
      <w:tr w14:paraId="110879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tcBorders>
              <w:bottom w:val="single" w:color="auto" w:sz="8" w:space="0"/>
            </w:tcBorders>
            <w:vAlign w:val="center"/>
          </w:tcPr>
          <w:p w14:paraId="592B9D4F">
            <w:pPr>
              <w:jc w:val="center"/>
              <w:rPr>
                <w:rFonts w:hint="eastAsia" w:ascii="Times New Roman" w:hAnsi="Times New Roman"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SPE类型</w:t>
            </w:r>
          </w:p>
        </w:tc>
        <w:tc>
          <w:tcPr>
            <w:tcW w:w="1179" w:type="dxa"/>
            <w:tcBorders>
              <w:bottom w:val="single" w:color="auto" w:sz="8" w:space="0"/>
            </w:tcBorders>
            <w:vAlign w:val="center"/>
          </w:tcPr>
          <w:p w14:paraId="40156CF2">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信道类别</w:t>
            </w:r>
          </w:p>
        </w:tc>
        <w:tc>
          <w:tcPr>
            <w:tcW w:w="1587" w:type="dxa"/>
            <w:tcBorders>
              <w:bottom w:val="single" w:color="auto" w:sz="8" w:space="0"/>
            </w:tcBorders>
            <w:vAlign w:val="center"/>
          </w:tcPr>
          <w:p w14:paraId="5F2E552F">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频率</w:t>
            </w:r>
          </w:p>
          <w:p w14:paraId="3F813F26">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（MHz）</w:t>
            </w:r>
          </w:p>
        </w:tc>
        <w:tc>
          <w:tcPr>
            <w:tcW w:w="4252" w:type="dxa"/>
            <w:tcBorders>
              <w:bottom w:val="single" w:color="auto" w:sz="8" w:space="0"/>
            </w:tcBorders>
            <w:vAlign w:val="center"/>
          </w:tcPr>
          <w:p w14:paraId="3D4BF37D">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最小衰减外部远端串扰比功率和</w:t>
            </w:r>
          </w:p>
          <w:p w14:paraId="3EBF5DAB">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（dB）</w:t>
            </w:r>
          </w:p>
        </w:tc>
      </w:tr>
      <w:tr w14:paraId="71DB8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tcBorders>
              <w:top w:val="single" w:color="auto" w:sz="8" w:space="0"/>
            </w:tcBorders>
            <w:vAlign w:val="center"/>
          </w:tcPr>
          <w:p w14:paraId="72B3A2C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10BASE-T1L</w:t>
            </w:r>
          </w:p>
        </w:tc>
        <w:tc>
          <w:tcPr>
            <w:tcW w:w="1179" w:type="dxa"/>
            <w:tcBorders>
              <w:top w:val="single" w:color="auto" w:sz="8" w:space="0"/>
            </w:tcBorders>
            <w:vAlign w:val="center"/>
          </w:tcPr>
          <w:p w14:paraId="62AFADA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SP1</w:t>
            </w:r>
          </w:p>
        </w:tc>
        <w:tc>
          <w:tcPr>
            <w:tcW w:w="1587" w:type="dxa"/>
            <w:tcBorders>
              <w:top w:val="single" w:color="auto" w:sz="8" w:space="0"/>
            </w:tcBorders>
            <w:vAlign w:val="center"/>
          </w:tcPr>
          <w:p w14:paraId="5C1D5D66">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0.1≤f≤20</m:t>
                </m:r>
              </m:oMath>
            </m:oMathPara>
          </w:p>
        </w:tc>
        <w:tc>
          <w:tcPr>
            <w:tcW w:w="4252" w:type="dxa"/>
            <w:tcBorders>
              <w:top w:val="single" w:color="auto" w:sz="8" w:space="0"/>
            </w:tcBorders>
            <w:vAlign w:val="center"/>
          </w:tcPr>
          <w:p w14:paraId="22E3E739">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38−18×</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20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362C35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42C138A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10BASE-T1S</w:t>
            </w:r>
          </w:p>
        </w:tc>
        <w:tc>
          <w:tcPr>
            <w:tcW w:w="1179" w:type="dxa"/>
            <w:vAlign w:val="center"/>
          </w:tcPr>
          <w:p w14:paraId="3C09CACF">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2012C319">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1≤f≤40</m:t>
                </m:r>
              </m:oMath>
            </m:oMathPara>
          </w:p>
        </w:tc>
        <w:tc>
          <w:tcPr>
            <w:tcW w:w="4252" w:type="dxa"/>
            <w:vAlign w:val="center"/>
          </w:tcPr>
          <w:p w14:paraId="01AB04CD">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16.5−20×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100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1D3931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40CD540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100BASE-T1</w:t>
            </w:r>
          </w:p>
        </w:tc>
        <w:tc>
          <w:tcPr>
            <w:tcW w:w="1179" w:type="dxa"/>
            <w:vAlign w:val="center"/>
          </w:tcPr>
          <w:p w14:paraId="78695130">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08567C56">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1≤f≤100</m:t>
                </m:r>
              </m:oMath>
            </m:oMathPara>
          </w:p>
        </w:tc>
        <w:tc>
          <w:tcPr>
            <w:tcW w:w="4252" w:type="dxa"/>
            <w:vAlign w:val="center"/>
          </w:tcPr>
          <w:p w14:paraId="699C0132">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16.5−20×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100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7A4609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restart"/>
            <w:vAlign w:val="center"/>
          </w:tcPr>
          <w:p w14:paraId="51585CF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1000BASE-T1</w:t>
            </w:r>
          </w:p>
        </w:tc>
        <w:tc>
          <w:tcPr>
            <w:tcW w:w="1179" w:type="dxa"/>
            <w:vAlign w:val="center"/>
          </w:tcPr>
          <w:p w14:paraId="480931A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Type A</w:t>
            </w:r>
          </w:p>
        </w:tc>
        <w:tc>
          <w:tcPr>
            <w:tcW w:w="1587" w:type="dxa"/>
            <w:vAlign w:val="center"/>
          </w:tcPr>
          <w:p w14:paraId="67EBCC01">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1≤f≤600</m:t>
                </m:r>
              </m:oMath>
            </m:oMathPara>
          </w:p>
        </w:tc>
        <w:tc>
          <w:tcPr>
            <w:tcW w:w="4252" w:type="dxa"/>
            <w:vAlign w:val="center"/>
          </w:tcPr>
          <w:p w14:paraId="3F0F6CF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见注1</w:t>
            </w:r>
          </w:p>
        </w:tc>
      </w:tr>
      <w:tr w14:paraId="16ABD3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continue"/>
            <w:vAlign w:val="center"/>
          </w:tcPr>
          <w:p w14:paraId="12D4DD67">
            <w:pPr>
              <w:jc w:val="center"/>
              <w:rPr>
                <w:rFonts w:hint="eastAsia" w:ascii="Times New Roman" w:hAnsi="Times New Roman" w:cs="Times New Roman"/>
                <w:color w:val="auto"/>
                <w:sz w:val="18"/>
                <w:szCs w:val="18"/>
                <w:highlight w:val="none"/>
                <w:lang w:val="en-US" w:eastAsia="zh-CN"/>
              </w:rPr>
            </w:pPr>
          </w:p>
        </w:tc>
        <w:tc>
          <w:tcPr>
            <w:tcW w:w="1179" w:type="dxa"/>
            <w:vAlign w:val="center"/>
          </w:tcPr>
          <w:p w14:paraId="2F0F849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Type B</w:t>
            </w:r>
          </w:p>
        </w:tc>
        <w:tc>
          <w:tcPr>
            <w:tcW w:w="1587" w:type="dxa"/>
            <w:vAlign w:val="center"/>
          </w:tcPr>
          <w:p w14:paraId="3C16AD12">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1≤f≤600</m:t>
                </m:r>
              </m:oMath>
            </m:oMathPara>
          </w:p>
        </w:tc>
        <w:tc>
          <w:tcPr>
            <w:tcW w:w="4252" w:type="dxa"/>
            <w:vAlign w:val="center"/>
          </w:tcPr>
          <w:p w14:paraId="6FFF7A64">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61−20×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100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795ECF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3876968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10GBASE-T1</w:t>
            </w:r>
          </w:p>
        </w:tc>
        <w:tc>
          <w:tcPr>
            <w:tcW w:w="1179" w:type="dxa"/>
            <w:vAlign w:val="center"/>
          </w:tcPr>
          <w:p w14:paraId="3BACD59B">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41C6A409">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1≤f≤4000</m:t>
                </m:r>
              </m:oMath>
            </m:oMathPara>
          </w:p>
        </w:tc>
        <w:tc>
          <w:tcPr>
            <w:tcW w:w="4252" w:type="dxa"/>
            <w:vAlign w:val="center"/>
          </w:tcPr>
          <w:p w14:paraId="1D2C91E0">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86−20×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100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5436CE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43229DE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25GBASE-T1</w:t>
            </w:r>
          </w:p>
        </w:tc>
        <w:tc>
          <w:tcPr>
            <w:tcW w:w="1179" w:type="dxa"/>
            <w:vAlign w:val="center"/>
          </w:tcPr>
          <w:p w14:paraId="3C3A543B">
            <w:pPr>
              <w:jc w:val="center"/>
              <w:rPr>
                <w:rFonts w:hint="eastAsia" w:ascii="Times New Roman" w:hAnsi="Times New Roman" w:cs="Times New Roman"/>
                <w:color w:val="auto"/>
                <w:sz w:val="18"/>
                <w:szCs w:val="18"/>
                <w:highlight w:val="none"/>
                <w:lang w:val="en-US" w:eastAsia="zh-CN"/>
              </w:rPr>
            </w:pPr>
          </w:p>
        </w:tc>
        <w:tc>
          <w:tcPr>
            <w:tcW w:w="1587" w:type="dxa"/>
            <w:vAlign w:val="center"/>
          </w:tcPr>
          <w:p w14:paraId="5D6FA33D">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10≤f≤9000</m:t>
                </m:r>
              </m:oMath>
            </m:oMathPara>
          </w:p>
        </w:tc>
        <w:tc>
          <w:tcPr>
            <w:tcW w:w="4252" w:type="dxa"/>
            <w:vAlign w:val="center"/>
          </w:tcPr>
          <w:p w14:paraId="58EFA9EA">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86−20×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type m:val="lin"/>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100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r w14:paraId="4CBDD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9" w:type="dxa"/>
            <w:gridSpan w:val="4"/>
            <w:vAlign w:val="center"/>
          </w:tcPr>
          <w:p w14:paraId="5E64B86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注1：</w:t>
            </w:r>
          </w:p>
          <w:p w14:paraId="5232D424">
            <w:pPr>
              <w:jc w:val="center"/>
              <w:rPr>
                <w:rFonts w:hint="eastAsia" w:ascii="Times New Roman" w:hAnsi="Times New Roman" w:cs="Times New Roman"/>
                <w:color w:val="auto"/>
                <w:sz w:val="18"/>
                <w:szCs w:val="18"/>
                <w:highlight w:val="none"/>
                <w:lang w:val="en-US" w:eastAsia="zh-CN"/>
              </w:rPr>
            </w:pPr>
            <m:oMathPara>
              <m:oMath>
                <m:r>
                  <m:rPr>
                    <m:sty m:val="p"/>
                  </m:rPr>
                  <w:rPr>
                    <w:rFonts w:hint="eastAsia" w:ascii="Cambria Math" w:hAnsi="Cambria Math" w:cs="Times New Roman"/>
                    <w:color w:val="auto"/>
                    <w:sz w:val="18"/>
                    <w:szCs w:val="18"/>
                    <w:highlight w:val="none"/>
                    <w:lang w:val="en-US" w:eastAsia="zh-CN"/>
                  </w:rPr>
                  <m:t>−20×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sSup>
                          <m:sSupPr>
                            <m:ctrlPr>
                              <w:rPr>
                                <w:rFonts w:hint="eastAsia" w:ascii="Cambria Math" w:hAnsi="Cambria Math" w:cs="Times New Roman"/>
                                <w:color w:val="auto"/>
                                <w:sz w:val="18"/>
                                <w:szCs w:val="18"/>
                                <w:highlight w:val="none"/>
                                <w:lang w:val="en-US" w:eastAsia="zh-CN"/>
                              </w:rPr>
                            </m:ctrlPr>
                          </m:sSupPr>
                          <m:e>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e>
                          <m:sup>
                            <m:f>
                              <m:fPr>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−10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r>
                                          <m:rPr>
                                            <m:sty m:val="p"/>
                                          </m:rPr>
                                          <w:rPr>
                                            <w:rFonts w:hint="eastAsia" w:ascii="Cambria Math" w:hAnsi="Cambria Math" w:cs="Times New Roman"/>
                                            <w:color w:val="auto"/>
                                            <w:sz w:val="18"/>
                                            <w:szCs w:val="18"/>
                                            <w:highlight w:val="none"/>
                                            <w:lang w:val="en-US" w:eastAsia="zh-CN"/>
                                          </w:rPr>
                                          <m:t>0.15</m:t>
                                        </m:r>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r>
                                  <m:rPr>
                                    <m:sty m:val="p"/>
                                  </m:rPr>
                                  <w:rPr>
                                    <w:rFonts w:hint="eastAsia" w:ascii="Cambria Math" w:hAnsi="Cambria Math" w:cs="Times New Roman"/>
                                    <w:color w:val="auto"/>
                                    <w:sz w:val="18"/>
                                    <w:szCs w:val="18"/>
                                    <w:highlight w:val="none"/>
                                    <w:lang w:val="en-US" w:eastAsia="zh-CN"/>
                                  </w:rPr>
                                  <m:t>+38.2−20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100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−20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sup>
                        </m:sSup>
                        <m:r>
                          <m:rPr>
                            <m:sty m:val="p"/>
                          </m:rPr>
                          <w:rPr>
                            <w:rFonts w:hint="eastAsia" w:ascii="Cambria Math" w:hAnsi="Cambria Math" w:cs="Times New Roman"/>
                            <w:color w:val="auto"/>
                            <w:sz w:val="18"/>
                            <w:szCs w:val="18"/>
                            <w:highlight w:val="none"/>
                            <w:lang w:val="en-US" w:eastAsia="zh-CN"/>
                          </w:rPr>
                          <m:t>+4×</m:t>
                        </m:r>
                        <m:sSup>
                          <m:sSupPr>
                            <m:ctrlPr>
                              <w:rPr>
                                <w:rFonts w:hint="eastAsia" w:ascii="Cambria Math" w:hAnsi="Cambria Math" w:cs="Times New Roman"/>
                                <w:color w:val="auto"/>
                                <w:sz w:val="18"/>
                                <w:szCs w:val="18"/>
                                <w:highlight w:val="none"/>
                                <w:lang w:val="en-US" w:eastAsia="zh-CN"/>
                              </w:rPr>
                            </m:ctrlPr>
                          </m:sSupPr>
                          <m:e>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e>
                          <m:sup>
                            <m:f>
                              <m:fPr>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67−20×</m:t>
                                </m:r>
                                <m:func>
                                  <m:funcPr>
                                    <m:ctrlPr>
                                      <w:rPr>
                                        <w:rFonts w:hint="eastAsia" w:ascii="Cambria Math" w:hAnsi="Cambria Math" w:cs="Times New Roman"/>
                                        <w:color w:val="auto"/>
                                        <w:sz w:val="18"/>
                                        <w:szCs w:val="18"/>
                                        <w:highlight w:val="none"/>
                                        <w:lang w:val="en-US" w:eastAsia="zh-CN"/>
                                      </w:rPr>
                                    </m:ctrlPr>
                                  </m:funcPr>
                                  <m:fName>
                                    <m:sSub>
                                      <m:sSubPr>
                                        <m:ctrlPr>
                                          <w:rPr>
                                            <w:rFonts w:hint="eastAsia" w:ascii="Cambria Math" w:hAnsi="Cambria Math" w:cs="Times New Roman"/>
                                            <w:color w:val="auto"/>
                                            <w:sz w:val="18"/>
                                            <w:szCs w:val="18"/>
                                            <w:highlight w:val="none"/>
                                            <w:lang w:val="en-US" w:eastAsia="zh-CN"/>
                                          </w:rPr>
                                        </m:ctrlPr>
                                      </m:sSubPr>
                                      <m:e>
                                        <m:r>
                                          <m:rPr>
                                            <m:sty m:val="p"/>
                                          </m:rPr>
                                          <w:rPr>
                                            <w:rFonts w:hint="eastAsia" w:ascii="Cambria Math" w:hAnsi="Cambria Math" w:cs="Times New Roman"/>
                                            <w:color w:val="auto"/>
                                            <w:sz w:val="18"/>
                                            <w:szCs w:val="18"/>
                                            <w:highlight w:val="none"/>
                                            <w:lang w:val="en-US" w:eastAsia="zh-CN"/>
                                          </w:rPr>
                                          <m:t>log</m:t>
                                        </m:r>
                                        <m:ctrlPr>
                                          <w:rPr>
                                            <w:rFonts w:hint="eastAsia" w:ascii="Cambria Math" w:hAnsi="Cambria Math" w:cs="Times New Roman"/>
                                            <w:color w:val="auto"/>
                                            <w:sz w:val="18"/>
                                            <w:szCs w:val="18"/>
                                            <w:highlight w:val="none"/>
                                            <w:lang w:val="en-US" w:eastAsia="zh-CN"/>
                                          </w:rPr>
                                        </m:ctrlPr>
                                      </m:e>
                                      <m:sub>
                                        <m:r>
                                          <m:rPr>
                                            <m:sty m:val="p"/>
                                          </m:rPr>
                                          <w:rPr>
                                            <w:rFonts w:hint="eastAsia" w:ascii="Cambria Math" w:hAnsi="Cambria Math" w:cs="Times New Roman"/>
                                            <w:color w:val="auto"/>
                                            <w:sz w:val="18"/>
                                            <w:szCs w:val="18"/>
                                            <w:highlight w:val="none"/>
                                            <w:lang w:val="en-US" w:eastAsia="zh-CN"/>
                                          </w:rPr>
                                          <m:t>10</m:t>
                                        </m:r>
                                        <m:ctrlPr>
                                          <w:rPr>
                                            <w:rFonts w:hint="eastAsia" w:ascii="Cambria Math" w:hAnsi="Cambria Math" w:cs="Times New Roman"/>
                                            <w:color w:val="auto"/>
                                            <w:sz w:val="18"/>
                                            <w:szCs w:val="18"/>
                                            <w:highlight w:val="none"/>
                                            <w:lang w:val="en-US" w:eastAsia="zh-CN"/>
                                          </w:rPr>
                                        </m:ctrlPr>
                                      </m:sub>
                                    </m:sSub>
                                    <m:ctrlPr>
                                      <w:rPr>
                                        <w:rFonts w:hint="eastAsia" w:ascii="Cambria Math" w:hAnsi="Cambria Math" w:cs="Times New Roman"/>
                                        <w:color w:val="auto"/>
                                        <w:sz w:val="18"/>
                                        <w:szCs w:val="18"/>
                                        <w:highlight w:val="none"/>
                                        <w:lang w:val="en-US" w:eastAsia="zh-CN"/>
                                      </w:rPr>
                                    </m:ctrlPr>
                                  </m:fName>
                                  <m:e>
                                    <m:d>
                                      <m:dPr>
                                        <m:ctrlPr>
                                          <w:rPr>
                                            <w:rFonts w:hint="eastAsia" w:ascii="Cambria Math" w:hAnsi="Cambria Math" w:cs="Times New Roman"/>
                                            <w:color w:val="auto"/>
                                            <w:sz w:val="18"/>
                                            <w:szCs w:val="18"/>
                                            <w:highlight w:val="none"/>
                                            <w:lang w:val="en-US" w:eastAsia="zh-CN"/>
                                          </w:rPr>
                                        </m:ctrlPr>
                                      </m:dPr>
                                      <m:e>
                                        <m:f>
                                          <m:fPr>
                                            <m:ctrlPr>
                                              <w:rPr>
                                                <w:rFonts w:hint="eastAsia" w:ascii="Cambria Math" w:hAnsi="Cambria Math" w:cs="Times New Roman"/>
                                                <w:color w:val="auto"/>
                                                <w:sz w:val="18"/>
                                                <w:szCs w:val="18"/>
                                                <w:highlight w:val="none"/>
                                                <w:lang w:val="en-US" w:eastAsia="zh-CN"/>
                                              </w:rPr>
                                            </m:ctrlPr>
                                          </m:fPr>
                                          <m:num>
                                            <m:r>
                                              <m:rPr>
                                                <m:sty m:val="p"/>
                                              </m:rPr>
                                              <w:rPr>
                                                <w:rFonts w:hint="eastAsia" w:ascii="Cambria Math" w:hAnsi="Cambria Math" w:cs="Times New Roman"/>
                                                <w:color w:val="auto"/>
                                                <w:sz w:val="18"/>
                                                <w:szCs w:val="18"/>
                                                <w:highlight w:val="none"/>
                                                <w:lang w:val="en-US" w:eastAsia="zh-CN"/>
                                              </w:rPr>
                                              <m:t>f</m:t>
                                            </m:r>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100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ctrlPr>
                                  <w:rPr>
                                    <w:rFonts w:hint="eastAsia" w:ascii="Cambria Math" w:hAnsi="Cambria Math" w:cs="Times New Roman"/>
                                    <w:color w:val="auto"/>
                                    <w:sz w:val="18"/>
                                    <w:szCs w:val="18"/>
                                    <w:highlight w:val="none"/>
                                    <w:lang w:val="en-US" w:eastAsia="zh-CN"/>
                                  </w:rPr>
                                </m:ctrlPr>
                              </m:num>
                              <m:den>
                                <m:r>
                                  <m:rPr>
                                    <m:sty m:val="p"/>
                                  </m:rPr>
                                  <w:rPr>
                                    <w:rFonts w:hint="eastAsia" w:ascii="Cambria Math" w:hAnsi="Cambria Math" w:cs="Times New Roman"/>
                                    <w:color w:val="auto"/>
                                    <w:sz w:val="18"/>
                                    <w:szCs w:val="18"/>
                                    <w:highlight w:val="none"/>
                                    <w:lang w:val="en-US" w:eastAsia="zh-CN"/>
                                  </w:rPr>
                                  <m:t>−20</m:t>
                                </m:r>
                                <m:ctrlPr>
                                  <w:rPr>
                                    <w:rFonts w:hint="eastAsia" w:ascii="Cambria Math" w:hAnsi="Cambria Math" w:cs="Times New Roman"/>
                                    <w:color w:val="auto"/>
                                    <w:sz w:val="18"/>
                                    <w:szCs w:val="18"/>
                                    <w:highlight w:val="none"/>
                                    <w:lang w:val="en-US" w:eastAsia="zh-CN"/>
                                  </w:rPr>
                                </m:ctrlPr>
                              </m:den>
                            </m:f>
                            <m:ctrlPr>
                              <w:rPr>
                                <w:rFonts w:hint="eastAsia" w:ascii="Cambria Math" w:hAnsi="Cambria Math" w:cs="Times New Roman"/>
                                <w:color w:val="auto"/>
                                <w:sz w:val="18"/>
                                <w:szCs w:val="18"/>
                                <w:highlight w:val="none"/>
                                <w:lang w:val="en-US" w:eastAsia="zh-CN"/>
                              </w:rPr>
                            </m:ctrlPr>
                          </m:sup>
                        </m:sSup>
                        <m:ctrlPr>
                          <w:rPr>
                            <w:rFonts w:hint="eastAsia" w:ascii="Cambria Math" w:hAnsi="Cambria Math" w:cs="Times New Roman"/>
                            <w:color w:val="auto"/>
                            <w:sz w:val="18"/>
                            <w:szCs w:val="18"/>
                            <w:highlight w:val="none"/>
                            <w:lang w:val="en-US" w:eastAsia="zh-CN"/>
                          </w:rPr>
                        </m:ctrlPr>
                      </m:e>
                    </m:d>
                    <m:ctrlPr>
                      <w:rPr>
                        <w:rFonts w:hint="eastAsia" w:ascii="Cambria Math" w:hAnsi="Cambria Math" w:cs="Times New Roman"/>
                        <w:color w:val="auto"/>
                        <w:sz w:val="18"/>
                        <w:szCs w:val="18"/>
                        <w:highlight w:val="none"/>
                        <w:lang w:val="en-US" w:eastAsia="zh-CN"/>
                      </w:rPr>
                    </m:ctrlPr>
                  </m:e>
                </m:func>
              </m:oMath>
            </m:oMathPara>
          </w:p>
        </w:tc>
      </w:tr>
    </w:tbl>
    <w:p w14:paraId="5C9537A8">
      <w:pPr>
        <w:spacing w:before="156" w:beforeLines="50" w:after="156" w:afterLines="50"/>
        <w:ind w:firstLine="0" w:firstLineChars="0"/>
        <w:jc w:val="center"/>
        <w:rPr>
          <w:rFonts w:ascii="Times New Roman" w:hAnsi="Times New Roman" w:cs="Times New Roman"/>
          <w:color w:val="auto"/>
        </w:rPr>
      </w:pPr>
    </w:p>
    <w:p w14:paraId="0B353368">
      <w:pPr>
        <w:spacing w:before="156" w:beforeLines="50" w:after="156" w:afterLines="50"/>
        <w:ind w:firstLine="0" w:firstLineChars="0"/>
        <w:jc w:val="center"/>
        <w:rPr>
          <w:rFonts w:ascii="Times New Roman" w:hAnsi="Times New Roman" w:cs="Times New Roman"/>
          <w:color w:val="auto"/>
        </w:rPr>
      </w:pPr>
      <w:r>
        <w:rPr>
          <w:rFonts w:ascii="Times New Roman" w:hAnsi="Times New Roman" w:cs="Times New Roman"/>
          <w:color w:val="auto"/>
        </w:rPr>
        <w:drawing>
          <wp:inline distT="0" distB="0" distL="0" distR="0">
            <wp:extent cx="5122545" cy="3351530"/>
            <wp:effectExtent l="0" t="0" r="13335" b="127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noChangeArrowheads="1"/>
                    </pic:cNvPicPr>
                  </pic:nvPicPr>
                  <pic:blipFill>
                    <a:blip r:embed="rId23"/>
                    <a:srcRect/>
                    <a:stretch>
                      <a:fillRect/>
                    </a:stretch>
                  </pic:blipFill>
                  <pic:spPr>
                    <a:xfrm>
                      <a:off x="0" y="0"/>
                      <a:ext cx="5122545" cy="3351530"/>
                    </a:xfrm>
                    <a:prstGeom prst="rect">
                      <a:avLst/>
                    </a:prstGeom>
                    <a:noFill/>
                  </pic:spPr>
                </pic:pic>
              </a:graphicData>
            </a:graphic>
          </wp:inline>
        </w:drawing>
      </w:r>
    </w:p>
    <w:p w14:paraId="4FB7F024">
      <w:pPr>
        <w:pStyle w:val="140"/>
        <w:numPr>
          <w:ilvl w:val="0"/>
          <w:numId w:val="0"/>
        </w:numPr>
        <w:bidi w:val="0"/>
        <w:ind w:leftChars="0"/>
        <w:jc w:val="center"/>
        <w:rPr>
          <w:rFonts w:hint="default" w:ascii="Times New Roman" w:hAnsi="Times New Roman" w:cs="Times New Roman"/>
          <w:color w:val="auto"/>
        </w:rPr>
      </w:pPr>
      <w:r>
        <w:rPr>
          <w:rFonts w:hint="eastAsia" w:hAnsi="黑体" w:cs="黑体"/>
          <w:color w:val="auto"/>
          <w:lang w:val="en-US" w:eastAsia="zh-CN"/>
        </w:rPr>
        <w:t>图A.</w:t>
      </w:r>
      <w:r>
        <w:rPr>
          <w:rFonts w:hint="eastAsia" w:ascii="黑体" w:hAnsi="黑体" w:eastAsia="黑体" w:cs="黑体"/>
          <w:color w:val="auto"/>
          <w:lang w:val="en-US" w:eastAsia="zh-CN"/>
        </w:rPr>
        <w:t>1</w:t>
      </w:r>
      <w:r>
        <w:rPr>
          <w:rFonts w:hint="eastAsia" w:hAnsi="黑体" w:cs="黑体"/>
          <w:color w:val="auto"/>
          <w:lang w:val="en-US" w:eastAsia="zh-CN"/>
        </w:rPr>
        <w:t>4</w:t>
      </w:r>
      <w:r>
        <w:rPr>
          <w:rFonts w:hint="eastAsia"/>
          <w:color w:val="auto"/>
          <w:highlight w:val="none"/>
          <w:lang w:val="en-US" w:eastAsia="zh-CN"/>
        </w:rPr>
        <w:t xml:space="preserve">  </w:t>
      </w:r>
      <w:r>
        <w:rPr>
          <w:rFonts w:hint="default" w:ascii="Times New Roman" w:hAnsi="Times New Roman" w:cs="Times New Roman"/>
          <w:color w:val="auto"/>
          <w:lang w:val="en-US" w:eastAsia="zh-CN"/>
        </w:rPr>
        <w:t>单对以太网</w:t>
      </w:r>
      <w:r>
        <w:rPr>
          <w:rFonts w:hint="eastAsia" w:ascii="Times New Roman" w:hAnsi="Times New Roman" w:cs="Times New Roman"/>
          <w:color w:val="auto"/>
          <w:lang w:val="en-US" w:eastAsia="zh-CN"/>
        </w:rPr>
        <w:t>信道最小衰减外部远端串扰比功率和1</w:t>
      </w:r>
    </w:p>
    <w:p w14:paraId="736AE2F5">
      <w:pPr>
        <w:spacing w:before="156" w:beforeLines="50" w:after="156" w:afterLines="50"/>
        <w:ind w:firstLine="0" w:firstLineChars="0"/>
        <w:jc w:val="center"/>
        <w:rPr>
          <w:rFonts w:ascii="Times New Roman" w:hAnsi="Times New Roman" w:cs="Times New Roman"/>
          <w:color w:val="auto"/>
        </w:rPr>
      </w:pPr>
      <w:r>
        <w:rPr>
          <w:rFonts w:ascii="Times New Roman" w:hAnsi="Times New Roman" w:cs="Times New Roman"/>
          <w:color w:val="auto"/>
        </w:rPr>
        <w:drawing>
          <wp:inline distT="0" distB="0" distL="0" distR="0">
            <wp:extent cx="5122545" cy="3351530"/>
            <wp:effectExtent l="0" t="0" r="13335" b="127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noChangeArrowheads="1"/>
                    </pic:cNvPicPr>
                  </pic:nvPicPr>
                  <pic:blipFill>
                    <a:blip r:embed="rId24"/>
                    <a:srcRect/>
                    <a:stretch>
                      <a:fillRect/>
                    </a:stretch>
                  </pic:blipFill>
                  <pic:spPr>
                    <a:xfrm>
                      <a:off x="0" y="0"/>
                      <a:ext cx="5122545" cy="3351530"/>
                    </a:xfrm>
                    <a:prstGeom prst="rect">
                      <a:avLst/>
                    </a:prstGeom>
                    <a:noFill/>
                  </pic:spPr>
                </pic:pic>
              </a:graphicData>
            </a:graphic>
          </wp:inline>
        </w:drawing>
      </w:r>
    </w:p>
    <w:p w14:paraId="13788438">
      <w:pPr>
        <w:pStyle w:val="140"/>
        <w:numPr>
          <w:ilvl w:val="0"/>
          <w:numId w:val="0"/>
        </w:numPr>
        <w:bidi w:val="0"/>
        <w:ind w:leftChars="0"/>
        <w:jc w:val="center"/>
        <w:rPr>
          <w:rFonts w:hint="eastAsia" w:ascii="Times New Roman" w:hAnsi="Times New Roman" w:cs="Times New Roman"/>
          <w:color w:val="auto"/>
          <w:lang w:val="en-US" w:eastAsia="zh-CN"/>
        </w:rPr>
      </w:pPr>
      <w:r>
        <w:rPr>
          <w:rFonts w:hint="eastAsia" w:hAnsi="黑体" w:cs="黑体"/>
          <w:color w:val="auto"/>
          <w:lang w:val="en-US" w:eastAsia="zh-CN"/>
        </w:rPr>
        <w:t>图A.</w:t>
      </w:r>
      <w:r>
        <w:rPr>
          <w:rFonts w:hint="eastAsia" w:ascii="黑体" w:hAnsi="黑体" w:eastAsia="黑体" w:cs="黑体"/>
          <w:color w:val="auto"/>
          <w:lang w:val="en-US" w:eastAsia="zh-CN"/>
        </w:rPr>
        <w:t>1</w:t>
      </w:r>
      <w:r>
        <w:rPr>
          <w:rFonts w:hint="eastAsia" w:hAnsi="黑体" w:cs="黑体"/>
          <w:color w:val="auto"/>
          <w:lang w:val="en-US" w:eastAsia="zh-CN"/>
        </w:rPr>
        <w:t>5</w:t>
      </w:r>
      <w:r>
        <w:rPr>
          <w:rFonts w:hint="eastAsia"/>
          <w:color w:val="auto"/>
          <w:highlight w:val="none"/>
          <w:lang w:val="en-US" w:eastAsia="zh-CN"/>
        </w:rPr>
        <w:t xml:space="preserve">  </w:t>
      </w:r>
      <w:r>
        <w:rPr>
          <w:rFonts w:hint="default" w:ascii="Times New Roman" w:hAnsi="Times New Roman" w:cs="Times New Roman"/>
          <w:color w:val="auto"/>
          <w:lang w:val="en-US" w:eastAsia="zh-CN"/>
        </w:rPr>
        <w:t>单对以太网</w:t>
      </w:r>
      <w:r>
        <w:rPr>
          <w:rFonts w:hint="eastAsia" w:ascii="Times New Roman" w:hAnsi="Times New Roman" w:cs="Times New Roman"/>
          <w:color w:val="auto"/>
          <w:lang w:val="en-US" w:eastAsia="zh-CN"/>
        </w:rPr>
        <w:t>信道最小衰减外部远端串扰比功率和2</w:t>
      </w:r>
    </w:p>
    <w:p w14:paraId="5B8115DE">
      <w:pPr>
        <w:pStyle w:val="26"/>
        <w:rPr>
          <w:rFonts w:hint="eastAsia"/>
          <w:color w:val="auto"/>
          <w:lang w:val="en-US" w:eastAsia="zh-CN"/>
        </w:rPr>
      </w:pPr>
    </w:p>
    <w:p w14:paraId="71525897">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default" w:hAnsi="Times New Roman" w:cs="Times New Roman"/>
          <w:color w:val="auto"/>
          <w:highlight w:val="none"/>
          <w:lang w:val="en-US" w:eastAsia="zh-CN"/>
        </w:rPr>
        <w:t>表A.</w:t>
      </w:r>
      <w:r>
        <w:rPr>
          <w:rFonts w:hint="eastAsia" w:cs="Times New Roman"/>
          <w:color w:val="auto"/>
          <w:highlight w:val="none"/>
          <w:lang w:val="en-US" w:eastAsia="zh-CN"/>
        </w:rPr>
        <w:t>21</w:t>
      </w:r>
      <w:r>
        <w:rPr>
          <w:rFonts w:hint="eastAsia"/>
          <w:color w:val="auto"/>
          <w:highlight w:val="none"/>
          <w:lang w:val="en-US" w:eastAsia="zh-CN"/>
        </w:rPr>
        <w:t xml:space="preserve">  </w:t>
      </w:r>
      <w:r>
        <w:rPr>
          <w:rFonts w:hint="eastAsia" w:hAnsi="Times New Roman" w:cs="Times New Roman"/>
          <w:color w:val="auto"/>
          <w:highlight w:val="none"/>
          <w:lang w:val="en-US" w:eastAsia="zh-CN"/>
        </w:rPr>
        <w:t>10BASE-T1L至100BASE-T1信道典型频率点最小衰减外部远端串扰比功率和</w:t>
      </w:r>
    </w:p>
    <w:tbl>
      <w:tblPr>
        <w:tblStyle w:val="36"/>
        <w:tblW w:w="85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2268"/>
        <w:gridCol w:w="2268"/>
        <w:gridCol w:w="2268"/>
      </w:tblGrid>
      <w:tr w14:paraId="27207D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1746" w:type="dxa"/>
            <w:vMerge w:val="restart"/>
            <w:shd w:val="clear" w:color="auto" w:fill="auto"/>
            <w:noWrap/>
            <w:vAlign w:val="center"/>
          </w:tcPr>
          <w:p w14:paraId="74427396">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频率</w:t>
            </w:r>
          </w:p>
          <w:p w14:paraId="7CB85982">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（MHz）</w:t>
            </w:r>
          </w:p>
        </w:tc>
        <w:tc>
          <w:tcPr>
            <w:tcW w:w="6804" w:type="dxa"/>
            <w:gridSpan w:val="3"/>
            <w:shd w:val="clear" w:color="auto" w:fill="auto"/>
            <w:noWrap/>
            <w:vAlign w:val="center"/>
          </w:tcPr>
          <w:p w14:paraId="09543BE0">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最小衰减外部远端串扰比功率和（dB）</w:t>
            </w:r>
          </w:p>
        </w:tc>
      </w:tr>
      <w:tr w14:paraId="17BDF3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1746" w:type="dxa"/>
            <w:vMerge w:val="continue"/>
            <w:tcBorders>
              <w:bottom w:val="single" w:color="auto" w:sz="8" w:space="0"/>
            </w:tcBorders>
            <w:shd w:val="clear" w:color="auto" w:fill="auto"/>
            <w:noWrap/>
            <w:vAlign w:val="center"/>
          </w:tcPr>
          <w:p w14:paraId="31B5922F">
            <w:pPr>
              <w:jc w:val="center"/>
              <w:rPr>
                <w:rFonts w:hint="eastAsia" w:ascii="Times New Roman" w:hAnsi="Times New Roman" w:cs="Times New Roman"/>
                <w:b/>
                <w:bCs/>
                <w:color w:val="auto"/>
                <w:sz w:val="18"/>
                <w:szCs w:val="18"/>
                <w:highlight w:val="none"/>
                <w:lang w:val="en-US" w:eastAsia="zh-CN"/>
              </w:rPr>
            </w:pPr>
          </w:p>
        </w:tc>
        <w:tc>
          <w:tcPr>
            <w:tcW w:w="2268" w:type="dxa"/>
            <w:tcBorders>
              <w:bottom w:val="single" w:color="auto" w:sz="8" w:space="0"/>
            </w:tcBorders>
            <w:shd w:val="clear" w:color="auto" w:fill="auto"/>
            <w:noWrap/>
            <w:vAlign w:val="center"/>
          </w:tcPr>
          <w:p w14:paraId="2B7F548E">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10BASE-T1L</w:t>
            </w:r>
          </w:p>
        </w:tc>
        <w:tc>
          <w:tcPr>
            <w:tcW w:w="2268" w:type="dxa"/>
            <w:shd w:val="clear" w:color="auto" w:fill="auto"/>
            <w:noWrap/>
            <w:vAlign w:val="center"/>
          </w:tcPr>
          <w:p w14:paraId="33174411">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10BASE-T1S</w:t>
            </w:r>
          </w:p>
        </w:tc>
        <w:tc>
          <w:tcPr>
            <w:tcW w:w="2268" w:type="dxa"/>
            <w:shd w:val="clear" w:color="auto" w:fill="auto"/>
            <w:noWrap/>
            <w:vAlign w:val="center"/>
          </w:tcPr>
          <w:p w14:paraId="48E72016">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100BASE-T1</w:t>
            </w:r>
          </w:p>
        </w:tc>
      </w:tr>
      <w:tr w14:paraId="3093A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tcBorders>
              <w:top w:val="single" w:color="auto" w:sz="8" w:space="0"/>
            </w:tcBorders>
            <w:shd w:val="clear" w:color="auto" w:fill="auto"/>
            <w:noWrap/>
            <w:vAlign w:val="center"/>
          </w:tcPr>
          <w:p w14:paraId="56C0A16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w:t>
            </w:r>
          </w:p>
        </w:tc>
        <w:tc>
          <w:tcPr>
            <w:tcW w:w="2268" w:type="dxa"/>
            <w:tcBorders>
              <w:top w:val="single" w:color="auto" w:sz="8" w:space="0"/>
            </w:tcBorders>
            <w:shd w:val="clear" w:color="auto" w:fill="auto"/>
            <w:noWrap/>
            <w:vAlign w:val="center"/>
          </w:tcPr>
          <w:p w14:paraId="197FCF3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67.0</w:t>
            </w:r>
          </w:p>
        </w:tc>
        <w:tc>
          <w:tcPr>
            <w:tcW w:w="2268" w:type="dxa"/>
            <w:shd w:val="clear" w:color="auto" w:fill="auto"/>
            <w:noWrap/>
            <w:vAlign w:val="center"/>
          </w:tcPr>
          <w:p w14:paraId="28161F8F">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64DC948B">
            <w:pPr>
              <w:jc w:val="center"/>
              <w:rPr>
                <w:rFonts w:hint="eastAsia" w:ascii="Times New Roman" w:hAnsi="Times New Roman" w:cs="Times New Roman"/>
                <w:color w:val="auto"/>
                <w:sz w:val="18"/>
                <w:szCs w:val="18"/>
                <w:highlight w:val="none"/>
                <w:lang w:val="en-US" w:eastAsia="zh-CN"/>
              </w:rPr>
            </w:pPr>
          </w:p>
        </w:tc>
      </w:tr>
      <w:tr w14:paraId="50C0AC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7D5D7B6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0.5</w:t>
            </w:r>
          </w:p>
        </w:tc>
        <w:tc>
          <w:tcPr>
            <w:tcW w:w="2268" w:type="dxa"/>
            <w:shd w:val="clear" w:color="auto" w:fill="auto"/>
            <w:noWrap/>
            <w:vAlign w:val="center"/>
          </w:tcPr>
          <w:p w14:paraId="6805654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66.8</w:t>
            </w:r>
          </w:p>
        </w:tc>
        <w:tc>
          <w:tcPr>
            <w:tcW w:w="2268" w:type="dxa"/>
            <w:shd w:val="clear" w:color="auto" w:fill="auto"/>
            <w:noWrap/>
            <w:vAlign w:val="center"/>
          </w:tcPr>
          <w:p w14:paraId="3D51384D">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2D49A73D">
            <w:pPr>
              <w:jc w:val="center"/>
              <w:rPr>
                <w:rFonts w:hint="eastAsia" w:ascii="Times New Roman" w:hAnsi="Times New Roman" w:cs="Times New Roman"/>
                <w:color w:val="auto"/>
                <w:sz w:val="18"/>
                <w:szCs w:val="18"/>
                <w:highlight w:val="none"/>
                <w:lang w:val="en-US" w:eastAsia="zh-CN"/>
              </w:rPr>
            </w:pPr>
          </w:p>
        </w:tc>
      </w:tr>
      <w:tr w14:paraId="3F05F6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2BB3A9E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w:t>
            </w:r>
          </w:p>
        </w:tc>
        <w:tc>
          <w:tcPr>
            <w:tcW w:w="2268" w:type="dxa"/>
            <w:shd w:val="clear" w:color="auto" w:fill="auto"/>
            <w:noWrap/>
            <w:vAlign w:val="center"/>
          </w:tcPr>
          <w:p w14:paraId="0048BB5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61.4</w:t>
            </w:r>
          </w:p>
        </w:tc>
        <w:tc>
          <w:tcPr>
            <w:tcW w:w="2268" w:type="dxa"/>
            <w:shd w:val="clear" w:color="auto" w:fill="auto"/>
            <w:noWrap/>
            <w:vAlign w:val="center"/>
          </w:tcPr>
          <w:p w14:paraId="076993B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56.5</w:t>
            </w:r>
          </w:p>
        </w:tc>
        <w:tc>
          <w:tcPr>
            <w:tcW w:w="2268" w:type="dxa"/>
            <w:shd w:val="clear" w:color="auto" w:fill="auto"/>
            <w:noWrap/>
            <w:vAlign w:val="center"/>
          </w:tcPr>
          <w:p w14:paraId="05CC5FE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56.5</w:t>
            </w:r>
          </w:p>
        </w:tc>
      </w:tr>
      <w:tr w14:paraId="71D83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4F8E699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w:t>
            </w:r>
          </w:p>
        </w:tc>
        <w:tc>
          <w:tcPr>
            <w:tcW w:w="2268" w:type="dxa"/>
            <w:shd w:val="clear" w:color="auto" w:fill="auto"/>
            <w:noWrap/>
            <w:vAlign w:val="center"/>
          </w:tcPr>
          <w:p w14:paraId="5DCF209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56.0</w:t>
            </w:r>
          </w:p>
        </w:tc>
        <w:tc>
          <w:tcPr>
            <w:tcW w:w="2268" w:type="dxa"/>
            <w:shd w:val="clear" w:color="auto" w:fill="auto"/>
            <w:noWrap/>
            <w:vAlign w:val="center"/>
          </w:tcPr>
          <w:p w14:paraId="4D410BD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50.5</w:t>
            </w:r>
          </w:p>
        </w:tc>
        <w:tc>
          <w:tcPr>
            <w:tcW w:w="2268" w:type="dxa"/>
            <w:shd w:val="clear" w:color="auto" w:fill="auto"/>
            <w:noWrap/>
            <w:vAlign w:val="center"/>
          </w:tcPr>
          <w:p w14:paraId="480D0F4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50.5</w:t>
            </w:r>
          </w:p>
        </w:tc>
      </w:tr>
      <w:tr w14:paraId="586B96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69697AC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w:t>
            </w:r>
          </w:p>
        </w:tc>
        <w:tc>
          <w:tcPr>
            <w:tcW w:w="2268" w:type="dxa"/>
            <w:shd w:val="clear" w:color="auto" w:fill="auto"/>
            <w:noWrap/>
            <w:vAlign w:val="center"/>
          </w:tcPr>
          <w:p w14:paraId="7C22127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50.6</w:t>
            </w:r>
          </w:p>
        </w:tc>
        <w:tc>
          <w:tcPr>
            <w:tcW w:w="2268" w:type="dxa"/>
            <w:shd w:val="clear" w:color="auto" w:fill="auto"/>
            <w:noWrap/>
            <w:vAlign w:val="center"/>
          </w:tcPr>
          <w:p w14:paraId="34D7E0D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44.5</w:t>
            </w:r>
          </w:p>
        </w:tc>
        <w:tc>
          <w:tcPr>
            <w:tcW w:w="2268" w:type="dxa"/>
            <w:shd w:val="clear" w:color="auto" w:fill="auto"/>
            <w:noWrap/>
            <w:vAlign w:val="center"/>
          </w:tcPr>
          <w:p w14:paraId="0113B3B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44.5</w:t>
            </w:r>
          </w:p>
        </w:tc>
      </w:tr>
      <w:tr w14:paraId="05840D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5746CFA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8</w:t>
            </w:r>
          </w:p>
        </w:tc>
        <w:tc>
          <w:tcPr>
            <w:tcW w:w="2268" w:type="dxa"/>
            <w:shd w:val="clear" w:color="auto" w:fill="auto"/>
            <w:noWrap/>
            <w:vAlign w:val="center"/>
          </w:tcPr>
          <w:p w14:paraId="613F812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45.2</w:t>
            </w:r>
          </w:p>
        </w:tc>
        <w:tc>
          <w:tcPr>
            <w:tcW w:w="2268" w:type="dxa"/>
            <w:shd w:val="clear" w:color="auto" w:fill="auto"/>
            <w:noWrap/>
            <w:vAlign w:val="center"/>
          </w:tcPr>
          <w:p w14:paraId="669003E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38.4</w:t>
            </w:r>
          </w:p>
        </w:tc>
        <w:tc>
          <w:tcPr>
            <w:tcW w:w="2268" w:type="dxa"/>
            <w:shd w:val="clear" w:color="auto" w:fill="auto"/>
            <w:noWrap/>
            <w:vAlign w:val="center"/>
          </w:tcPr>
          <w:p w14:paraId="09EE4B3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38.4</w:t>
            </w:r>
          </w:p>
        </w:tc>
      </w:tr>
      <w:tr w14:paraId="14F741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2E8B0DA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2268" w:type="dxa"/>
            <w:shd w:val="clear" w:color="auto" w:fill="auto"/>
            <w:noWrap/>
            <w:vAlign w:val="center"/>
          </w:tcPr>
          <w:p w14:paraId="2D711C6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43.4</w:t>
            </w:r>
          </w:p>
        </w:tc>
        <w:tc>
          <w:tcPr>
            <w:tcW w:w="2268" w:type="dxa"/>
            <w:shd w:val="clear" w:color="auto" w:fill="auto"/>
            <w:noWrap/>
            <w:vAlign w:val="center"/>
          </w:tcPr>
          <w:p w14:paraId="6B2AB22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36.5</w:t>
            </w:r>
          </w:p>
        </w:tc>
        <w:tc>
          <w:tcPr>
            <w:tcW w:w="2268" w:type="dxa"/>
            <w:shd w:val="clear" w:color="auto" w:fill="auto"/>
            <w:noWrap/>
            <w:vAlign w:val="center"/>
          </w:tcPr>
          <w:p w14:paraId="48F56EB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36.5</w:t>
            </w:r>
          </w:p>
        </w:tc>
      </w:tr>
      <w:tr w14:paraId="379A00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342FCE5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2268" w:type="dxa"/>
            <w:shd w:val="clear" w:color="auto" w:fill="auto"/>
            <w:noWrap/>
            <w:vAlign w:val="center"/>
          </w:tcPr>
          <w:p w14:paraId="09801EA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38.0</w:t>
            </w:r>
          </w:p>
        </w:tc>
        <w:tc>
          <w:tcPr>
            <w:tcW w:w="2268" w:type="dxa"/>
            <w:shd w:val="clear" w:color="auto" w:fill="auto"/>
            <w:noWrap/>
            <w:vAlign w:val="center"/>
          </w:tcPr>
          <w:p w14:paraId="0859847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30.5</w:t>
            </w:r>
          </w:p>
        </w:tc>
        <w:tc>
          <w:tcPr>
            <w:tcW w:w="2268" w:type="dxa"/>
            <w:shd w:val="clear" w:color="auto" w:fill="auto"/>
            <w:noWrap/>
            <w:vAlign w:val="center"/>
          </w:tcPr>
          <w:p w14:paraId="6FD28C4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30.5</w:t>
            </w:r>
          </w:p>
        </w:tc>
      </w:tr>
      <w:tr w14:paraId="290C4C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1186B95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w:t>
            </w:r>
          </w:p>
        </w:tc>
        <w:tc>
          <w:tcPr>
            <w:tcW w:w="2268" w:type="dxa"/>
            <w:shd w:val="clear" w:color="auto" w:fill="auto"/>
            <w:noWrap/>
            <w:vAlign w:val="center"/>
          </w:tcPr>
          <w:p w14:paraId="7D969768">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24FB1CE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27.0</w:t>
            </w:r>
          </w:p>
        </w:tc>
        <w:tc>
          <w:tcPr>
            <w:tcW w:w="2268" w:type="dxa"/>
            <w:shd w:val="clear" w:color="auto" w:fill="auto"/>
            <w:noWrap/>
            <w:vAlign w:val="center"/>
          </w:tcPr>
          <w:p w14:paraId="191068E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27.0</w:t>
            </w:r>
          </w:p>
        </w:tc>
      </w:tr>
      <w:tr w14:paraId="3191C3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146974D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w:t>
            </w:r>
          </w:p>
        </w:tc>
        <w:tc>
          <w:tcPr>
            <w:tcW w:w="2268" w:type="dxa"/>
            <w:shd w:val="clear" w:color="auto" w:fill="auto"/>
            <w:noWrap/>
            <w:vAlign w:val="center"/>
          </w:tcPr>
          <w:p w14:paraId="6153E145">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3A8764C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24.5</w:t>
            </w:r>
          </w:p>
        </w:tc>
        <w:tc>
          <w:tcPr>
            <w:tcW w:w="2268" w:type="dxa"/>
            <w:shd w:val="clear" w:color="auto" w:fill="auto"/>
            <w:noWrap/>
            <w:vAlign w:val="center"/>
          </w:tcPr>
          <w:p w14:paraId="4E2911B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24.5</w:t>
            </w:r>
          </w:p>
        </w:tc>
      </w:tr>
      <w:tr w14:paraId="4B7659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56AB1CD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w:t>
            </w:r>
          </w:p>
        </w:tc>
        <w:tc>
          <w:tcPr>
            <w:tcW w:w="2268" w:type="dxa"/>
            <w:shd w:val="clear" w:color="auto" w:fill="auto"/>
            <w:noWrap/>
            <w:vAlign w:val="center"/>
          </w:tcPr>
          <w:p w14:paraId="2C943ED0">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76BC0096">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36E7B92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22.5</w:t>
            </w:r>
          </w:p>
        </w:tc>
      </w:tr>
      <w:tr w14:paraId="6D46FC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38A99F5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w:t>
            </w:r>
          </w:p>
        </w:tc>
        <w:tc>
          <w:tcPr>
            <w:tcW w:w="2268" w:type="dxa"/>
            <w:shd w:val="clear" w:color="auto" w:fill="auto"/>
            <w:noWrap/>
            <w:vAlign w:val="center"/>
          </w:tcPr>
          <w:p w14:paraId="3B8F086C">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770DAFA0">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1818107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16.5</w:t>
            </w:r>
          </w:p>
        </w:tc>
      </w:tr>
    </w:tbl>
    <w:p w14:paraId="17D4209D">
      <w:pPr>
        <w:pStyle w:val="102"/>
        <w:numPr>
          <w:ilvl w:val="1"/>
          <w:numId w:val="0"/>
        </w:numPr>
        <w:spacing w:before="156" w:after="156"/>
        <w:ind w:leftChars="0"/>
        <w:jc w:val="center"/>
        <w:rPr>
          <w:rFonts w:hint="default" w:hAnsi="Times New Roman" w:cs="Times New Roman"/>
          <w:color w:val="auto"/>
          <w:highlight w:val="none"/>
          <w:lang w:val="en-US" w:eastAsia="zh-CN"/>
        </w:rPr>
      </w:pPr>
    </w:p>
    <w:p w14:paraId="4418832A">
      <w:pPr>
        <w:pStyle w:val="102"/>
        <w:numPr>
          <w:ilvl w:val="1"/>
          <w:numId w:val="0"/>
        </w:numPr>
        <w:spacing w:before="156" w:after="156"/>
        <w:ind w:leftChars="0"/>
        <w:jc w:val="center"/>
        <w:rPr>
          <w:rFonts w:hint="default" w:hAnsi="Times New Roman" w:cs="Times New Roman"/>
          <w:color w:val="auto"/>
          <w:highlight w:val="none"/>
          <w:lang w:val="en-US" w:eastAsia="zh-CN"/>
        </w:rPr>
      </w:pPr>
    </w:p>
    <w:p w14:paraId="60AD1467">
      <w:pPr>
        <w:pStyle w:val="102"/>
        <w:numPr>
          <w:ilvl w:val="1"/>
          <w:numId w:val="0"/>
        </w:numPr>
        <w:spacing w:before="156" w:after="156"/>
        <w:ind w:leftChars="0"/>
        <w:jc w:val="center"/>
        <w:rPr>
          <w:rFonts w:hint="default" w:hAnsi="Times New Roman" w:cs="Times New Roman"/>
          <w:color w:val="auto"/>
          <w:highlight w:val="none"/>
          <w:lang w:val="en-US" w:eastAsia="zh-CN"/>
        </w:rPr>
      </w:pPr>
    </w:p>
    <w:p w14:paraId="17A84AAF">
      <w:pPr>
        <w:pStyle w:val="102"/>
        <w:numPr>
          <w:ilvl w:val="1"/>
          <w:numId w:val="0"/>
        </w:numPr>
        <w:spacing w:before="156" w:after="156"/>
        <w:ind w:leftChars="0"/>
        <w:jc w:val="center"/>
        <w:rPr>
          <w:rFonts w:hint="default" w:hAnsi="Times New Roman" w:cs="Times New Roman"/>
          <w:color w:val="auto"/>
          <w:highlight w:val="none"/>
          <w:lang w:val="en-US" w:eastAsia="zh-CN"/>
        </w:rPr>
      </w:pPr>
    </w:p>
    <w:p w14:paraId="1CA87B91">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default" w:hAnsi="Times New Roman" w:cs="Times New Roman"/>
          <w:color w:val="auto"/>
          <w:highlight w:val="none"/>
          <w:lang w:val="en-US" w:eastAsia="zh-CN"/>
        </w:rPr>
        <w:t>表A.</w:t>
      </w:r>
      <w:r>
        <w:rPr>
          <w:rFonts w:hint="eastAsia" w:cs="Times New Roman"/>
          <w:color w:val="auto"/>
          <w:highlight w:val="none"/>
          <w:lang w:val="en-US" w:eastAsia="zh-CN"/>
        </w:rPr>
        <w:t>22</w:t>
      </w:r>
      <w:r>
        <w:rPr>
          <w:rFonts w:hint="eastAsia"/>
          <w:color w:val="auto"/>
          <w:highlight w:val="none"/>
          <w:lang w:val="en-US" w:eastAsia="zh-CN"/>
        </w:rPr>
        <w:t xml:space="preserve">  </w:t>
      </w:r>
      <w:r>
        <w:rPr>
          <w:rFonts w:hint="eastAsia" w:hAnsi="Times New Roman" w:cs="Times New Roman"/>
          <w:color w:val="auto"/>
          <w:highlight w:val="none"/>
          <w:lang w:val="en-US" w:eastAsia="zh-CN"/>
        </w:rPr>
        <w:t>1000BASE-T1至25GBASE-T1信道典型频率点最小衰减外部远端串扰比功率和</w:t>
      </w:r>
    </w:p>
    <w:tbl>
      <w:tblPr>
        <w:tblStyle w:val="36"/>
        <w:tblW w:w="85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1134"/>
        <w:gridCol w:w="1134"/>
        <w:gridCol w:w="2268"/>
        <w:gridCol w:w="2268"/>
      </w:tblGrid>
      <w:tr w14:paraId="74644F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1746" w:type="dxa"/>
            <w:vMerge w:val="restart"/>
            <w:shd w:val="clear" w:color="auto" w:fill="auto"/>
            <w:noWrap/>
            <w:vAlign w:val="center"/>
          </w:tcPr>
          <w:p w14:paraId="5B53E0B7">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频率</w:t>
            </w:r>
          </w:p>
          <w:p w14:paraId="07BC5D0B">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（MHz）</w:t>
            </w:r>
          </w:p>
        </w:tc>
        <w:tc>
          <w:tcPr>
            <w:tcW w:w="6804" w:type="dxa"/>
            <w:gridSpan w:val="4"/>
            <w:shd w:val="clear" w:color="auto" w:fill="auto"/>
            <w:vAlign w:val="center"/>
          </w:tcPr>
          <w:p w14:paraId="480A10AC">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最小衰减外部远端串扰比功率和（dB）</w:t>
            </w:r>
          </w:p>
        </w:tc>
      </w:tr>
      <w:tr w14:paraId="2BEDE5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1746" w:type="dxa"/>
            <w:vMerge w:val="continue"/>
            <w:shd w:val="clear" w:color="auto" w:fill="auto"/>
            <w:noWrap/>
            <w:vAlign w:val="center"/>
          </w:tcPr>
          <w:p w14:paraId="1592CE3E">
            <w:pPr>
              <w:jc w:val="center"/>
              <w:rPr>
                <w:rFonts w:hint="eastAsia" w:ascii="Times New Roman" w:hAnsi="Times New Roman" w:cs="Times New Roman"/>
                <w:b/>
                <w:bCs/>
                <w:color w:val="auto"/>
                <w:sz w:val="18"/>
                <w:szCs w:val="18"/>
                <w:highlight w:val="none"/>
                <w:lang w:val="en-US" w:eastAsia="zh-CN"/>
              </w:rPr>
            </w:pPr>
          </w:p>
        </w:tc>
        <w:tc>
          <w:tcPr>
            <w:tcW w:w="2268" w:type="dxa"/>
            <w:gridSpan w:val="2"/>
            <w:shd w:val="clear" w:color="auto" w:fill="auto"/>
            <w:vAlign w:val="center"/>
          </w:tcPr>
          <w:p w14:paraId="73AE4319">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 xml:space="preserve">1000BASE-T1 </w:t>
            </w:r>
          </w:p>
        </w:tc>
        <w:tc>
          <w:tcPr>
            <w:tcW w:w="2268" w:type="dxa"/>
            <w:vMerge w:val="restart"/>
            <w:shd w:val="clear" w:color="auto" w:fill="auto"/>
            <w:vAlign w:val="center"/>
          </w:tcPr>
          <w:p w14:paraId="368AB858">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10GBASE-T1</w:t>
            </w:r>
          </w:p>
        </w:tc>
        <w:tc>
          <w:tcPr>
            <w:tcW w:w="2268" w:type="dxa"/>
            <w:vMerge w:val="restart"/>
            <w:shd w:val="clear" w:color="auto" w:fill="auto"/>
            <w:vAlign w:val="center"/>
          </w:tcPr>
          <w:p w14:paraId="56172F37">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25GBASE-T1</w:t>
            </w:r>
          </w:p>
        </w:tc>
      </w:tr>
      <w:tr w14:paraId="10C4EC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1746" w:type="dxa"/>
            <w:vMerge w:val="continue"/>
            <w:shd w:val="clear" w:color="auto" w:fill="auto"/>
            <w:noWrap/>
            <w:vAlign w:val="center"/>
          </w:tcPr>
          <w:p w14:paraId="7D0DC62A">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vAlign w:val="center"/>
          </w:tcPr>
          <w:p w14:paraId="143ACF87">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Type A</w:t>
            </w:r>
          </w:p>
        </w:tc>
        <w:tc>
          <w:tcPr>
            <w:tcW w:w="1134" w:type="dxa"/>
            <w:shd w:val="clear" w:color="auto" w:fill="auto"/>
            <w:vAlign w:val="center"/>
          </w:tcPr>
          <w:p w14:paraId="7C32FB5E">
            <w:pPr>
              <w:jc w:val="center"/>
              <w:rPr>
                <w:rFonts w:hint="eastAsia"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Type B</w:t>
            </w:r>
          </w:p>
        </w:tc>
        <w:tc>
          <w:tcPr>
            <w:tcW w:w="2268" w:type="dxa"/>
            <w:vMerge w:val="continue"/>
            <w:shd w:val="clear" w:color="auto" w:fill="auto"/>
            <w:vAlign w:val="center"/>
          </w:tcPr>
          <w:p w14:paraId="64AFC8F5">
            <w:pPr>
              <w:jc w:val="center"/>
              <w:rPr>
                <w:rFonts w:hint="eastAsia" w:ascii="Times New Roman" w:hAnsi="Times New Roman" w:cs="Times New Roman"/>
                <w:color w:val="auto"/>
                <w:sz w:val="18"/>
                <w:szCs w:val="18"/>
                <w:highlight w:val="none"/>
                <w:lang w:val="en-US" w:eastAsia="zh-CN"/>
              </w:rPr>
            </w:pPr>
          </w:p>
        </w:tc>
        <w:tc>
          <w:tcPr>
            <w:tcW w:w="2268" w:type="dxa"/>
            <w:vMerge w:val="continue"/>
            <w:shd w:val="clear" w:color="auto" w:fill="auto"/>
            <w:vAlign w:val="center"/>
          </w:tcPr>
          <w:p w14:paraId="24C18F89">
            <w:pPr>
              <w:jc w:val="center"/>
              <w:rPr>
                <w:rFonts w:hint="eastAsia" w:ascii="Times New Roman" w:hAnsi="Times New Roman" w:cs="Times New Roman"/>
                <w:color w:val="auto"/>
                <w:sz w:val="18"/>
                <w:szCs w:val="18"/>
                <w:highlight w:val="none"/>
                <w:lang w:val="en-US" w:eastAsia="zh-CN"/>
              </w:rPr>
            </w:pPr>
          </w:p>
        </w:tc>
      </w:tr>
      <w:tr w14:paraId="5A9F94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tcBorders>
              <w:top w:val="single" w:color="auto" w:sz="8" w:space="0"/>
            </w:tcBorders>
            <w:shd w:val="clear" w:color="auto" w:fill="auto"/>
            <w:noWrap/>
            <w:vAlign w:val="center"/>
          </w:tcPr>
          <w:p w14:paraId="0716512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w:t>
            </w:r>
          </w:p>
        </w:tc>
        <w:tc>
          <w:tcPr>
            <w:tcW w:w="1134" w:type="dxa"/>
            <w:tcBorders>
              <w:top w:val="single" w:color="auto" w:sz="8" w:space="0"/>
            </w:tcBorders>
            <w:shd w:val="clear" w:color="auto" w:fill="auto"/>
            <w:noWrap/>
            <w:vAlign w:val="center"/>
          </w:tcPr>
          <w:p w14:paraId="05A54B7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83.7</w:t>
            </w:r>
          </w:p>
        </w:tc>
        <w:tc>
          <w:tcPr>
            <w:tcW w:w="1134" w:type="dxa"/>
            <w:tcBorders>
              <w:top w:val="single" w:color="auto" w:sz="8" w:space="0"/>
            </w:tcBorders>
            <w:shd w:val="clear" w:color="auto" w:fill="auto"/>
            <w:noWrap/>
            <w:vAlign w:val="center"/>
          </w:tcPr>
          <w:p w14:paraId="5953391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70.0</w:t>
            </w:r>
          </w:p>
        </w:tc>
        <w:tc>
          <w:tcPr>
            <w:tcW w:w="2268" w:type="dxa"/>
            <w:tcBorders>
              <w:top w:val="single" w:color="auto" w:sz="8" w:space="0"/>
            </w:tcBorders>
            <w:shd w:val="clear" w:color="auto" w:fill="auto"/>
            <w:noWrap/>
            <w:vAlign w:val="center"/>
          </w:tcPr>
          <w:p w14:paraId="344BE8D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c>
          <w:tcPr>
            <w:tcW w:w="2268" w:type="dxa"/>
            <w:tcBorders>
              <w:top w:val="single" w:color="auto" w:sz="8" w:space="0"/>
            </w:tcBorders>
            <w:shd w:val="clear" w:color="auto" w:fill="auto"/>
            <w:noWrap/>
            <w:vAlign w:val="center"/>
          </w:tcPr>
          <w:p w14:paraId="7EBF3A35">
            <w:pPr>
              <w:jc w:val="center"/>
              <w:rPr>
                <w:rFonts w:hint="eastAsia" w:ascii="Times New Roman" w:hAnsi="Times New Roman" w:cs="Times New Roman"/>
                <w:color w:val="auto"/>
                <w:sz w:val="18"/>
                <w:szCs w:val="18"/>
                <w:highlight w:val="none"/>
                <w:lang w:val="en-US" w:eastAsia="zh-CN"/>
              </w:rPr>
            </w:pPr>
          </w:p>
        </w:tc>
      </w:tr>
      <w:tr w14:paraId="4DE10E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73A5609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1134" w:type="dxa"/>
            <w:shd w:val="clear" w:color="auto" w:fill="auto"/>
            <w:noWrap/>
            <w:vAlign w:val="center"/>
          </w:tcPr>
          <w:p w14:paraId="7FBCE51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63.7</w:t>
            </w:r>
          </w:p>
        </w:tc>
        <w:tc>
          <w:tcPr>
            <w:tcW w:w="1134" w:type="dxa"/>
            <w:shd w:val="clear" w:color="auto" w:fill="auto"/>
            <w:noWrap/>
            <w:vAlign w:val="center"/>
          </w:tcPr>
          <w:p w14:paraId="02BCC61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70.0</w:t>
            </w:r>
          </w:p>
        </w:tc>
        <w:tc>
          <w:tcPr>
            <w:tcW w:w="2268" w:type="dxa"/>
            <w:shd w:val="clear" w:color="auto" w:fill="auto"/>
            <w:noWrap/>
            <w:vAlign w:val="center"/>
          </w:tcPr>
          <w:p w14:paraId="2CF8E86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c>
          <w:tcPr>
            <w:tcW w:w="2268" w:type="dxa"/>
            <w:shd w:val="clear" w:color="auto" w:fill="auto"/>
            <w:noWrap/>
            <w:vAlign w:val="center"/>
          </w:tcPr>
          <w:p w14:paraId="0D56555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r>
      <w:tr w14:paraId="393BF9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2A965DA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1134" w:type="dxa"/>
            <w:shd w:val="clear" w:color="auto" w:fill="auto"/>
            <w:noWrap/>
            <w:vAlign w:val="center"/>
          </w:tcPr>
          <w:p w14:paraId="3AF33C3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57.7</w:t>
            </w:r>
          </w:p>
        </w:tc>
        <w:tc>
          <w:tcPr>
            <w:tcW w:w="1134" w:type="dxa"/>
            <w:shd w:val="clear" w:color="auto" w:fill="auto"/>
            <w:noWrap/>
            <w:vAlign w:val="center"/>
          </w:tcPr>
          <w:p w14:paraId="43C3650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70.0</w:t>
            </w:r>
          </w:p>
        </w:tc>
        <w:tc>
          <w:tcPr>
            <w:tcW w:w="2268" w:type="dxa"/>
            <w:shd w:val="clear" w:color="auto" w:fill="auto"/>
            <w:noWrap/>
            <w:vAlign w:val="center"/>
          </w:tcPr>
          <w:p w14:paraId="5539902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c>
          <w:tcPr>
            <w:tcW w:w="2268" w:type="dxa"/>
            <w:shd w:val="clear" w:color="auto" w:fill="auto"/>
            <w:noWrap/>
            <w:vAlign w:val="center"/>
          </w:tcPr>
          <w:p w14:paraId="3C3B10B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r>
      <w:tr w14:paraId="2341B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1ABF82C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w:t>
            </w:r>
          </w:p>
        </w:tc>
        <w:tc>
          <w:tcPr>
            <w:tcW w:w="1134" w:type="dxa"/>
            <w:shd w:val="clear" w:color="auto" w:fill="auto"/>
            <w:noWrap/>
            <w:vAlign w:val="center"/>
          </w:tcPr>
          <w:p w14:paraId="0DB95624">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54.1</w:t>
            </w:r>
          </w:p>
        </w:tc>
        <w:tc>
          <w:tcPr>
            <w:tcW w:w="1134" w:type="dxa"/>
            <w:shd w:val="clear" w:color="auto" w:fill="auto"/>
            <w:noWrap/>
            <w:vAlign w:val="center"/>
          </w:tcPr>
          <w:p w14:paraId="6B8B08E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70.0</w:t>
            </w:r>
          </w:p>
        </w:tc>
        <w:tc>
          <w:tcPr>
            <w:tcW w:w="2268" w:type="dxa"/>
            <w:shd w:val="clear" w:color="auto" w:fill="auto"/>
            <w:noWrap/>
            <w:vAlign w:val="center"/>
          </w:tcPr>
          <w:p w14:paraId="7C9A1CB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c>
          <w:tcPr>
            <w:tcW w:w="2268" w:type="dxa"/>
            <w:shd w:val="clear" w:color="auto" w:fill="auto"/>
            <w:noWrap/>
            <w:vAlign w:val="center"/>
          </w:tcPr>
          <w:p w14:paraId="3939A8B3">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r>
      <w:tr w14:paraId="405E51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7FC5032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w:t>
            </w:r>
          </w:p>
        </w:tc>
        <w:tc>
          <w:tcPr>
            <w:tcW w:w="1134" w:type="dxa"/>
            <w:shd w:val="clear" w:color="auto" w:fill="auto"/>
            <w:noWrap/>
            <w:vAlign w:val="center"/>
          </w:tcPr>
          <w:p w14:paraId="4AE4259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51.6</w:t>
            </w:r>
          </w:p>
        </w:tc>
        <w:tc>
          <w:tcPr>
            <w:tcW w:w="1134" w:type="dxa"/>
            <w:shd w:val="clear" w:color="auto" w:fill="auto"/>
            <w:noWrap/>
            <w:vAlign w:val="center"/>
          </w:tcPr>
          <w:p w14:paraId="5260D1A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69.0</w:t>
            </w:r>
          </w:p>
        </w:tc>
        <w:tc>
          <w:tcPr>
            <w:tcW w:w="2268" w:type="dxa"/>
            <w:shd w:val="clear" w:color="auto" w:fill="auto"/>
            <w:noWrap/>
            <w:vAlign w:val="center"/>
          </w:tcPr>
          <w:p w14:paraId="01D2B90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c>
          <w:tcPr>
            <w:tcW w:w="2268" w:type="dxa"/>
            <w:shd w:val="clear" w:color="auto" w:fill="auto"/>
            <w:noWrap/>
            <w:vAlign w:val="center"/>
          </w:tcPr>
          <w:p w14:paraId="1D30559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r>
      <w:tr w14:paraId="3E0CD5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536D925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w:t>
            </w:r>
          </w:p>
        </w:tc>
        <w:tc>
          <w:tcPr>
            <w:tcW w:w="1134" w:type="dxa"/>
            <w:shd w:val="clear" w:color="auto" w:fill="auto"/>
            <w:noWrap/>
            <w:vAlign w:val="center"/>
          </w:tcPr>
          <w:p w14:paraId="1240541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49.7</w:t>
            </w:r>
          </w:p>
        </w:tc>
        <w:tc>
          <w:tcPr>
            <w:tcW w:w="1134" w:type="dxa"/>
            <w:shd w:val="clear" w:color="auto" w:fill="auto"/>
            <w:noWrap/>
            <w:vAlign w:val="center"/>
          </w:tcPr>
          <w:p w14:paraId="7C014CE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67.0</w:t>
            </w:r>
          </w:p>
        </w:tc>
        <w:tc>
          <w:tcPr>
            <w:tcW w:w="2268" w:type="dxa"/>
            <w:shd w:val="clear" w:color="auto" w:fill="auto"/>
            <w:noWrap/>
            <w:vAlign w:val="center"/>
          </w:tcPr>
          <w:p w14:paraId="24BB0B0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c>
          <w:tcPr>
            <w:tcW w:w="2268" w:type="dxa"/>
            <w:shd w:val="clear" w:color="auto" w:fill="auto"/>
            <w:noWrap/>
            <w:vAlign w:val="center"/>
          </w:tcPr>
          <w:p w14:paraId="29EC46A1">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r>
      <w:tr w14:paraId="7D61A6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3E59E9F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w:t>
            </w:r>
          </w:p>
        </w:tc>
        <w:tc>
          <w:tcPr>
            <w:tcW w:w="1134" w:type="dxa"/>
            <w:shd w:val="clear" w:color="auto" w:fill="auto"/>
            <w:noWrap/>
            <w:vAlign w:val="center"/>
          </w:tcPr>
          <w:p w14:paraId="178FEF7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43.7</w:t>
            </w:r>
          </w:p>
        </w:tc>
        <w:tc>
          <w:tcPr>
            <w:tcW w:w="1134" w:type="dxa"/>
            <w:shd w:val="clear" w:color="auto" w:fill="auto"/>
            <w:noWrap/>
            <w:vAlign w:val="center"/>
          </w:tcPr>
          <w:p w14:paraId="260D952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61.0</w:t>
            </w:r>
          </w:p>
        </w:tc>
        <w:tc>
          <w:tcPr>
            <w:tcW w:w="2268" w:type="dxa"/>
            <w:shd w:val="clear" w:color="auto" w:fill="auto"/>
            <w:noWrap/>
            <w:vAlign w:val="center"/>
          </w:tcPr>
          <w:p w14:paraId="1B6A432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c>
          <w:tcPr>
            <w:tcW w:w="2268" w:type="dxa"/>
            <w:shd w:val="clear" w:color="auto" w:fill="auto"/>
            <w:noWrap/>
            <w:vAlign w:val="center"/>
          </w:tcPr>
          <w:p w14:paraId="08A48A3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r>
      <w:tr w14:paraId="15C3CE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7992268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200</w:t>
            </w:r>
          </w:p>
        </w:tc>
        <w:tc>
          <w:tcPr>
            <w:tcW w:w="1134" w:type="dxa"/>
            <w:shd w:val="clear" w:color="auto" w:fill="auto"/>
            <w:noWrap/>
            <w:vAlign w:val="center"/>
          </w:tcPr>
          <w:p w14:paraId="67D2BDF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37.7</w:t>
            </w:r>
          </w:p>
        </w:tc>
        <w:tc>
          <w:tcPr>
            <w:tcW w:w="1134" w:type="dxa"/>
            <w:shd w:val="clear" w:color="auto" w:fill="auto"/>
            <w:noWrap/>
            <w:vAlign w:val="center"/>
          </w:tcPr>
          <w:p w14:paraId="01868419">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55.0</w:t>
            </w:r>
          </w:p>
        </w:tc>
        <w:tc>
          <w:tcPr>
            <w:tcW w:w="2268" w:type="dxa"/>
            <w:shd w:val="clear" w:color="auto" w:fill="auto"/>
            <w:noWrap/>
            <w:vAlign w:val="center"/>
          </w:tcPr>
          <w:p w14:paraId="1A33FC1A">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c>
          <w:tcPr>
            <w:tcW w:w="2268" w:type="dxa"/>
            <w:shd w:val="clear" w:color="auto" w:fill="auto"/>
            <w:noWrap/>
            <w:vAlign w:val="center"/>
          </w:tcPr>
          <w:p w14:paraId="58064D46">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75.0</w:t>
            </w:r>
          </w:p>
        </w:tc>
      </w:tr>
      <w:tr w14:paraId="7CA4F8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236E192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400</w:t>
            </w:r>
          </w:p>
        </w:tc>
        <w:tc>
          <w:tcPr>
            <w:tcW w:w="1134" w:type="dxa"/>
            <w:shd w:val="clear" w:color="auto" w:fill="auto"/>
            <w:noWrap/>
            <w:vAlign w:val="center"/>
          </w:tcPr>
          <w:p w14:paraId="342C139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31.6</w:t>
            </w:r>
          </w:p>
        </w:tc>
        <w:tc>
          <w:tcPr>
            <w:tcW w:w="1134" w:type="dxa"/>
            <w:shd w:val="clear" w:color="auto" w:fill="auto"/>
            <w:noWrap/>
            <w:vAlign w:val="center"/>
          </w:tcPr>
          <w:p w14:paraId="160BD04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49.0</w:t>
            </w:r>
          </w:p>
        </w:tc>
        <w:tc>
          <w:tcPr>
            <w:tcW w:w="2268" w:type="dxa"/>
            <w:shd w:val="clear" w:color="auto" w:fill="auto"/>
            <w:noWrap/>
            <w:vAlign w:val="center"/>
          </w:tcPr>
          <w:p w14:paraId="4D2C96B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74.0</w:t>
            </w:r>
          </w:p>
        </w:tc>
        <w:tc>
          <w:tcPr>
            <w:tcW w:w="2268" w:type="dxa"/>
            <w:shd w:val="clear" w:color="auto" w:fill="auto"/>
            <w:noWrap/>
            <w:vAlign w:val="center"/>
          </w:tcPr>
          <w:p w14:paraId="4BEF98DB">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74.0</w:t>
            </w:r>
          </w:p>
        </w:tc>
      </w:tr>
      <w:tr w14:paraId="17F9FC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54DC238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600</w:t>
            </w:r>
          </w:p>
        </w:tc>
        <w:tc>
          <w:tcPr>
            <w:tcW w:w="1134" w:type="dxa"/>
            <w:shd w:val="clear" w:color="auto" w:fill="auto"/>
            <w:noWrap/>
            <w:vAlign w:val="center"/>
          </w:tcPr>
          <w:p w14:paraId="01E60D4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28.1</w:t>
            </w:r>
          </w:p>
        </w:tc>
        <w:tc>
          <w:tcPr>
            <w:tcW w:w="1134" w:type="dxa"/>
            <w:shd w:val="clear" w:color="auto" w:fill="auto"/>
            <w:noWrap/>
            <w:vAlign w:val="center"/>
          </w:tcPr>
          <w:p w14:paraId="501CC4F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45.4</w:t>
            </w:r>
          </w:p>
        </w:tc>
        <w:tc>
          <w:tcPr>
            <w:tcW w:w="2268" w:type="dxa"/>
            <w:shd w:val="clear" w:color="auto" w:fill="auto"/>
            <w:noWrap/>
            <w:vAlign w:val="center"/>
          </w:tcPr>
          <w:p w14:paraId="511B968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70.4</w:t>
            </w:r>
          </w:p>
        </w:tc>
        <w:tc>
          <w:tcPr>
            <w:tcW w:w="2268" w:type="dxa"/>
            <w:shd w:val="clear" w:color="auto" w:fill="auto"/>
            <w:noWrap/>
            <w:vAlign w:val="center"/>
          </w:tcPr>
          <w:p w14:paraId="59120532">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70.4</w:t>
            </w:r>
          </w:p>
        </w:tc>
      </w:tr>
      <w:tr w14:paraId="6E9121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7BCE73D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1000</w:t>
            </w:r>
          </w:p>
        </w:tc>
        <w:tc>
          <w:tcPr>
            <w:tcW w:w="1134" w:type="dxa"/>
            <w:shd w:val="clear" w:color="auto" w:fill="auto"/>
            <w:noWrap/>
            <w:vAlign w:val="center"/>
          </w:tcPr>
          <w:p w14:paraId="33A2D6F3">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6A394FA1">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4815E4CC">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66.0</w:t>
            </w:r>
          </w:p>
        </w:tc>
        <w:tc>
          <w:tcPr>
            <w:tcW w:w="2268" w:type="dxa"/>
            <w:shd w:val="clear" w:color="auto" w:fill="auto"/>
            <w:noWrap/>
            <w:vAlign w:val="center"/>
          </w:tcPr>
          <w:p w14:paraId="1A50F600">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66.0</w:t>
            </w:r>
          </w:p>
        </w:tc>
      </w:tr>
      <w:tr w14:paraId="4C0C0A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6D575E3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2000</w:t>
            </w:r>
          </w:p>
        </w:tc>
        <w:tc>
          <w:tcPr>
            <w:tcW w:w="1134" w:type="dxa"/>
            <w:shd w:val="clear" w:color="auto" w:fill="auto"/>
            <w:noWrap/>
            <w:vAlign w:val="center"/>
          </w:tcPr>
          <w:p w14:paraId="132B2AB5">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451FB088">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75D4B9D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60.0</w:t>
            </w:r>
          </w:p>
        </w:tc>
        <w:tc>
          <w:tcPr>
            <w:tcW w:w="2268" w:type="dxa"/>
            <w:shd w:val="clear" w:color="auto" w:fill="auto"/>
            <w:noWrap/>
            <w:vAlign w:val="center"/>
          </w:tcPr>
          <w:p w14:paraId="6CA2DAD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60.0</w:t>
            </w:r>
          </w:p>
        </w:tc>
      </w:tr>
      <w:tr w14:paraId="7C550C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5F433BF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3000</w:t>
            </w:r>
          </w:p>
        </w:tc>
        <w:tc>
          <w:tcPr>
            <w:tcW w:w="1134" w:type="dxa"/>
            <w:shd w:val="clear" w:color="auto" w:fill="auto"/>
            <w:noWrap/>
            <w:vAlign w:val="center"/>
          </w:tcPr>
          <w:p w14:paraId="7EABE2E4">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5FFCFDC3">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3538604F">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56.5</w:t>
            </w:r>
          </w:p>
        </w:tc>
        <w:tc>
          <w:tcPr>
            <w:tcW w:w="2268" w:type="dxa"/>
            <w:shd w:val="clear" w:color="auto" w:fill="auto"/>
            <w:noWrap/>
            <w:vAlign w:val="center"/>
          </w:tcPr>
          <w:p w14:paraId="3D835E1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56.5</w:t>
            </w:r>
          </w:p>
        </w:tc>
      </w:tr>
      <w:tr w14:paraId="58F97C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4ECCF32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4000</w:t>
            </w:r>
          </w:p>
        </w:tc>
        <w:tc>
          <w:tcPr>
            <w:tcW w:w="1134" w:type="dxa"/>
            <w:shd w:val="clear" w:color="auto" w:fill="auto"/>
            <w:noWrap/>
            <w:vAlign w:val="center"/>
          </w:tcPr>
          <w:p w14:paraId="7BFA502B">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2A3D173D">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0A6909AD">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54.0</w:t>
            </w:r>
          </w:p>
        </w:tc>
        <w:tc>
          <w:tcPr>
            <w:tcW w:w="2268" w:type="dxa"/>
            <w:shd w:val="clear" w:color="auto" w:fill="auto"/>
            <w:noWrap/>
            <w:vAlign w:val="center"/>
          </w:tcPr>
          <w:p w14:paraId="4198423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54.0</w:t>
            </w:r>
          </w:p>
        </w:tc>
      </w:tr>
      <w:tr w14:paraId="44BEAD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46" w:type="dxa"/>
            <w:shd w:val="clear" w:color="auto" w:fill="auto"/>
            <w:noWrap/>
            <w:vAlign w:val="center"/>
          </w:tcPr>
          <w:p w14:paraId="1A64A9E7">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9000</w:t>
            </w:r>
          </w:p>
        </w:tc>
        <w:tc>
          <w:tcPr>
            <w:tcW w:w="1134" w:type="dxa"/>
            <w:shd w:val="clear" w:color="auto" w:fill="auto"/>
            <w:noWrap/>
            <w:vAlign w:val="center"/>
          </w:tcPr>
          <w:p w14:paraId="7D1E627E">
            <w:pPr>
              <w:jc w:val="center"/>
              <w:rPr>
                <w:rFonts w:hint="eastAsia" w:ascii="Times New Roman" w:hAnsi="Times New Roman" w:cs="Times New Roman"/>
                <w:color w:val="auto"/>
                <w:sz w:val="18"/>
                <w:szCs w:val="18"/>
                <w:highlight w:val="none"/>
                <w:lang w:val="en-US" w:eastAsia="zh-CN"/>
              </w:rPr>
            </w:pPr>
          </w:p>
        </w:tc>
        <w:tc>
          <w:tcPr>
            <w:tcW w:w="1134" w:type="dxa"/>
            <w:shd w:val="clear" w:color="auto" w:fill="auto"/>
            <w:noWrap/>
            <w:vAlign w:val="center"/>
          </w:tcPr>
          <w:p w14:paraId="4ED23866">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6671287A">
            <w:pPr>
              <w:jc w:val="center"/>
              <w:rPr>
                <w:rFonts w:hint="eastAsia" w:ascii="Times New Roman" w:hAnsi="Times New Roman" w:cs="Times New Roman"/>
                <w:color w:val="auto"/>
                <w:sz w:val="18"/>
                <w:szCs w:val="18"/>
                <w:highlight w:val="none"/>
                <w:lang w:val="en-US" w:eastAsia="zh-CN"/>
              </w:rPr>
            </w:pPr>
          </w:p>
        </w:tc>
        <w:tc>
          <w:tcPr>
            <w:tcW w:w="2268" w:type="dxa"/>
            <w:shd w:val="clear" w:color="auto" w:fill="auto"/>
            <w:noWrap/>
            <w:vAlign w:val="center"/>
          </w:tcPr>
          <w:p w14:paraId="74527BA5">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46.9</w:t>
            </w:r>
          </w:p>
        </w:tc>
      </w:tr>
    </w:tbl>
    <w:p w14:paraId="5887EED4">
      <w:pPr>
        <w:jc w:val="center"/>
        <w:rPr>
          <w:rFonts w:hint="eastAsia" w:ascii="黑体" w:hAnsi="黑体" w:eastAsia="黑体" w:cs="黑体"/>
          <w:b/>
          <w:bCs/>
          <w:color w:val="auto"/>
          <w:sz w:val="24"/>
          <w:szCs w:val="24"/>
          <w:lang w:val="en-US" w:eastAsia="zh-CN"/>
        </w:rPr>
      </w:pPr>
    </w:p>
    <w:p w14:paraId="61FFCE4C">
      <w:pPr>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br w:type="page"/>
      </w:r>
    </w:p>
    <w:p w14:paraId="20D090F4">
      <w:pPr>
        <w:pStyle w:val="127"/>
        <w:shd w:val="clear" w:color="FFFFFF" w:fill="FFFFFF"/>
        <w:rPr>
          <w:rFonts w:hint="eastAsia" w:hAnsi="Times New Roman" w:cs="Times New Roman"/>
          <w:color w:val="auto"/>
          <w:lang w:val="en-US" w:eastAsia="zh-CN"/>
        </w:rPr>
      </w:pPr>
      <w:bookmarkStart w:id="367" w:name="_Toc18275"/>
      <w:bookmarkEnd w:id="367"/>
    </w:p>
    <w:p w14:paraId="4E46DA3C">
      <w:pPr>
        <w:pStyle w:val="145"/>
        <w:rPr>
          <w:rFonts w:hint="eastAsia" w:hAnsi="Times New Roman" w:cs="Times New Roman"/>
          <w:color w:val="auto"/>
          <w:lang w:val="en-US" w:eastAsia="zh-CN"/>
        </w:rPr>
      </w:pPr>
      <w:r>
        <w:rPr>
          <w:rFonts w:hint="default" w:hAnsi="Times New Roman" w:cs="Times New Roman"/>
          <w:color w:val="auto"/>
          <w:lang w:val="en-US" w:eastAsia="zh-CN"/>
        </w:rPr>
        <w:t>（资料性）</w:t>
      </w:r>
    </w:p>
    <w:p w14:paraId="09021880">
      <w:pPr>
        <w:pStyle w:val="145"/>
        <w:spacing w:before="156" w:beforeLines="50" w:after="156" w:afterLines="50"/>
        <w:ind w:left="105" w:leftChars="50" w:right="105" w:rightChars="50"/>
        <w:jc w:val="cente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PoDL系统典型供电流程</w:t>
      </w:r>
    </w:p>
    <w:p w14:paraId="5CF74ADA">
      <w:pPr>
        <w:pStyle w:val="106"/>
        <w:rPr>
          <w:rFonts w:hint="default" w:ascii="Times New Roman" w:hAnsi="Times New Roman" w:eastAsia="宋体" w:cs="Times New Roman"/>
          <w:color w:val="auto"/>
          <w:lang w:val="en-US" w:eastAsia="zh-CN"/>
        </w:rPr>
      </w:pPr>
      <w:bookmarkStart w:id="368" w:name="_Toc13024"/>
      <w:r>
        <w:rPr>
          <w:rFonts w:hint="default" w:ascii="Times New Roman" w:hAnsi="Times New Roman" w:eastAsia="宋体" w:cs="Times New Roman"/>
          <w:color w:val="auto"/>
          <w:lang w:val="en-US" w:eastAsia="zh-CN"/>
        </w:rPr>
        <w:t>PoDL系统典型供电流程宜按表B.1进行。</w:t>
      </w:r>
      <w:bookmarkEnd w:id="368"/>
    </w:p>
    <w:p w14:paraId="04EA6F95">
      <w:pPr>
        <w:pStyle w:val="102"/>
        <w:numPr>
          <w:ilvl w:val="1"/>
          <w:numId w:val="0"/>
        </w:numPr>
        <w:spacing w:before="156" w:after="156"/>
        <w:ind w:leftChars="0"/>
        <w:jc w:val="center"/>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表 B</w:t>
      </w:r>
      <w:r>
        <w:rPr>
          <w:rFonts w:hint="eastAsia" w:cs="Times New Roman"/>
          <w:color w:val="auto"/>
          <w:highlight w:val="none"/>
          <w:lang w:val="en-US" w:eastAsia="zh-CN"/>
        </w:rPr>
        <w:t>.</w:t>
      </w:r>
      <w:r>
        <w:rPr>
          <w:rFonts w:hint="eastAsia" w:hAnsi="Times New Roman" w:cs="Times New Roman"/>
          <w:color w:val="auto"/>
          <w:highlight w:val="none"/>
          <w:lang w:val="en-US" w:eastAsia="zh-CN"/>
        </w:rPr>
        <w:t>1  PoDL系统典型供电流程</w:t>
      </w:r>
    </w:p>
    <w:tbl>
      <w:tblPr>
        <w:tblStyle w:val="37"/>
        <w:tblW w:w="8549" w:type="dxa"/>
        <w:jc w:val="center"/>
        <w:tblBorders>
          <w:top w:val="single" w:color="auto" w:sz="8" w:space="0"/>
          <w:left w:val="single" w:color="auto" w:sz="8" w:space="0"/>
          <w:bottom w:val="single" w:color="auto" w:sz="8" w:space="0"/>
          <w:right w:val="single" w:color="auto" w:sz="8"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87"/>
        <w:gridCol w:w="6962"/>
      </w:tblGrid>
      <w:tr w14:paraId="303AE2E7">
        <w:tblPrEx>
          <w:tblBorders>
            <w:top w:val="single" w:color="auto" w:sz="8" w:space="0"/>
            <w:left w:val="single" w:color="auto" w:sz="8" w:space="0"/>
            <w:bottom w:val="single" w:color="auto" w:sz="8" w:space="0"/>
            <w:right w:val="single" w:color="auto" w:sz="8" w:space="0"/>
            <w:insideH w:val="single" w:color="000000" w:themeColor="text1" w:sz="4" w:space="0"/>
            <w:insideV w:val="single" w:color="000000" w:themeColor="text1" w:sz="4" w:space="0"/>
          </w:tblBorders>
        </w:tblPrEx>
        <w:trPr>
          <w:trHeight w:val="567" w:hRule="atLeast"/>
          <w:jc w:val="center"/>
        </w:trPr>
        <w:tc>
          <w:tcPr>
            <w:tcW w:w="1587" w:type="dxa"/>
            <w:vAlign w:val="center"/>
          </w:tcPr>
          <w:p w14:paraId="62F3F77A">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检测（Detection）</w:t>
            </w:r>
          </w:p>
        </w:tc>
        <w:tc>
          <w:tcPr>
            <w:tcW w:w="6962" w:type="dxa"/>
            <w:vAlign w:val="center"/>
          </w:tcPr>
          <w:p w14:paraId="47A4D6B6">
            <w:pPr>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PSE在单对以太网的供电接口上施加全部工作电压之前，会对链路进行检测，以验证是否存在有效的PD。监测方式基于一定范围内的电流和电压（9-16mA，4.7V，持续1ms以上），如果电流和电压等数值在规定范围内，则认为检测到有效PD，否则是无效PD。如果没有检测到有效PD，则重新进行检测；如果检测到有效PD，则进入下一环节。</w:t>
            </w:r>
          </w:p>
        </w:tc>
      </w:tr>
      <w:tr w14:paraId="36BB3DF9">
        <w:tblPrEx>
          <w:tblBorders>
            <w:top w:val="single" w:color="auto" w:sz="8" w:space="0"/>
            <w:left w:val="single" w:color="auto" w:sz="8" w:space="0"/>
            <w:bottom w:val="single" w:color="auto" w:sz="8" w:space="0"/>
            <w:right w:val="single" w:color="auto" w:sz="8"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1587" w:type="dxa"/>
            <w:vAlign w:val="center"/>
          </w:tcPr>
          <w:p w14:paraId="440C7F6D">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分类（Classification）</w:t>
            </w:r>
          </w:p>
        </w:tc>
        <w:tc>
          <w:tcPr>
            <w:tcW w:w="6962" w:type="dxa"/>
            <w:vAlign w:val="center"/>
          </w:tcPr>
          <w:p w14:paraId="57BE5874">
            <w:pPr>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在PoDL中，PSE使用串行通信分类协议SCCP（Serial Communication Classification Protocol） 对PD进行分类，如果分类成功，则PSE可以对PD施加完整的工作电压。如果分类不成功，则返回初始流程，重新进行PD监测。注意在PoDL中，分类过程是可选的。如果PSE事先已经知道PD的类型信息，则可以采用快速启动模式，跳过分类过程，直接进行供电。</w:t>
            </w:r>
          </w:p>
        </w:tc>
      </w:tr>
      <w:tr w14:paraId="61E537F6">
        <w:tblPrEx>
          <w:tblBorders>
            <w:top w:val="single" w:color="auto" w:sz="8" w:space="0"/>
            <w:left w:val="single" w:color="auto" w:sz="8" w:space="0"/>
            <w:bottom w:val="single" w:color="auto" w:sz="8" w:space="0"/>
            <w:right w:val="single" w:color="auto" w:sz="8"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1587" w:type="dxa"/>
            <w:vAlign w:val="center"/>
          </w:tcPr>
          <w:p w14:paraId="20639317">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供电（Power On）</w:t>
            </w:r>
          </w:p>
        </w:tc>
        <w:tc>
          <w:tcPr>
            <w:tcW w:w="6962" w:type="dxa"/>
            <w:vAlign w:val="center"/>
          </w:tcPr>
          <w:p w14:paraId="1DC9A442">
            <w:pPr>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PSE在施加全工作电压，对PD进行供电时，会通过单对以太网的供电接口对PD的状态进行检测，以获取来自PD的保持全电压信号 (MFVS，Maintain Full Voltage Signature)。有效的MFVS要求供电电流处在一定的范围内。如果电流过小（小于10mA超过300ms以上），PSE即认为不存在有效的MFVS信号，会降低供电电压，进入休眠状态。此外，在施加电压时，PSE会监控消耗的电流，并在检测到过载、短路或其他故障时切断电源。</w:t>
            </w:r>
          </w:p>
        </w:tc>
      </w:tr>
      <w:tr w14:paraId="0AB58627">
        <w:tblPrEx>
          <w:tblBorders>
            <w:top w:val="single" w:color="auto" w:sz="8" w:space="0"/>
            <w:left w:val="single" w:color="auto" w:sz="8" w:space="0"/>
            <w:bottom w:val="single" w:color="auto" w:sz="8" w:space="0"/>
            <w:right w:val="single" w:color="auto" w:sz="8"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1587" w:type="dxa"/>
            <w:vAlign w:val="center"/>
          </w:tcPr>
          <w:p w14:paraId="54BDDBB7">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休眠（Sleep）</w:t>
            </w:r>
          </w:p>
        </w:tc>
        <w:tc>
          <w:tcPr>
            <w:tcW w:w="6962" w:type="dxa"/>
            <w:vAlign w:val="center"/>
          </w:tcPr>
          <w:p w14:paraId="144A3AD3">
            <w:pPr>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在休眠状态时，PSE只向PD输送微小电流（3.3V，小于1mA）。如果PSE接收到外部唤醒请求或检测到有效的唤醒电流特征，则重新进入检测过程，执行检测来确认是否存在有效的PD。如果存在有效PD，则重新进入分类或供电过程。休眠机制使PoDL系统工作在低能耗状态下，可以节约电力的消耗，适合由电池供电的系统，如电动汽车等。</w:t>
            </w:r>
          </w:p>
        </w:tc>
      </w:tr>
    </w:tbl>
    <w:p w14:paraId="30F34B2E">
      <w:pPr>
        <w:widowControl/>
        <w:spacing w:line="240" w:lineRule="auto"/>
        <w:jc w:val="left"/>
        <w:rPr>
          <w:rStyle w:val="169"/>
          <w:rFonts w:ascii="宋体" w:hAnsi="宋体" w:eastAsia="宋体" w:cstheme="minorBidi"/>
          <w:bCs w:val="0"/>
          <w:color w:val="auto"/>
          <w:kern w:val="2"/>
          <w:sz w:val="21"/>
          <w:szCs w:val="24"/>
          <w:lang w:val="en-US" w:eastAsia="zh-CN" w:bidi="ar-SA"/>
        </w:rPr>
      </w:pPr>
    </w:p>
    <w:p w14:paraId="002681F5">
      <w:pPr>
        <w:pStyle w:val="106"/>
        <w:rPr>
          <w:rFonts w:hint="default" w:ascii="Times New Roman" w:hAnsi="Times New Roman" w:eastAsia="宋体" w:cs="Times New Roman"/>
          <w:color w:val="auto"/>
          <w:lang w:val="en-US" w:eastAsia="zh-CN"/>
        </w:rPr>
      </w:pPr>
      <w:bookmarkStart w:id="369" w:name="_Toc10146"/>
      <w:r>
        <w:rPr>
          <w:rFonts w:hint="default" w:ascii="Times New Roman" w:hAnsi="Times New Roman" w:eastAsia="宋体" w:cs="Times New Roman"/>
          <w:color w:val="auto"/>
          <w:lang w:val="en-US" w:eastAsia="zh-CN"/>
        </w:rPr>
        <w:t>PoDL系统典型工作流程宜按如图B</w:t>
      </w:r>
      <w:r>
        <w:rPr>
          <w:rFonts w:hint="default" w:ascii="Times New Roman" w:eastAsia="宋体" w:cs="Times New Roman"/>
          <w:color w:val="auto"/>
          <w:lang w:val="en-US" w:eastAsia="zh-CN"/>
        </w:rPr>
        <w:t>.</w:t>
      </w:r>
      <w:r>
        <w:rPr>
          <w:rFonts w:hint="default" w:ascii="Times New Roman" w:hAnsi="Times New Roman" w:eastAsia="宋体" w:cs="Times New Roman"/>
          <w:color w:val="auto"/>
          <w:lang w:val="en-US" w:eastAsia="zh-CN"/>
        </w:rPr>
        <w:t>1进行。</w:t>
      </w:r>
      <w:bookmarkEnd w:id="369"/>
    </w:p>
    <w:p w14:paraId="05A0F522">
      <w:pPr>
        <w:widowControl w:val="0"/>
        <w:spacing w:line="380" w:lineRule="atLeast"/>
        <w:jc w:val="center"/>
        <w:rPr>
          <w:rFonts w:hint="eastAsia" w:ascii="宋体" w:hAnsi="宋体" w:eastAsia="宋体" w:cs="宋体"/>
          <w:color w:val="auto"/>
          <w:kern w:val="2"/>
          <w:sz w:val="24"/>
          <w:szCs w:val="24"/>
          <w:lang w:val="en-US" w:eastAsia="zh-CN" w:bidi="ar-SA"/>
        </w:rPr>
      </w:pPr>
    </w:p>
    <w:p w14:paraId="1312ABD9">
      <w:pPr>
        <w:widowControl w:val="0"/>
        <w:spacing w:line="380" w:lineRule="atLeas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drawing>
          <wp:inline distT="0" distB="0" distL="114300" distR="114300">
            <wp:extent cx="2117725" cy="4422775"/>
            <wp:effectExtent l="0" t="0" r="3175" b="9525"/>
            <wp:docPr id="3" name="F360BE8B-6686-4F3D-AEAF-501FE73E4058-1" descr="C:/Users/Administrator/AppData/Local/Temp/绘图1.png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60BE8B-6686-4F3D-AEAF-501FE73E4058-1" descr="C:/Users/Administrator/AppData/Local/Temp/绘图1.png绘图1"/>
                    <pic:cNvPicPr>
                      <a:picLocks noChangeAspect="1"/>
                    </pic:cNvPicPr>
                  </pic:nvPicPr>
                  <pic:blipFill>
                    <a:blip r:embed="rId25"/>
                    <a:stretch>
                      <a:fillRect/>
                    </a:stretch>
                  </pic:blipFill>
                  <pic:spPr>
                    <a:xfrm>
                      <a:off x="0" y="0"/>
                      <a:ext cx="2117725" cy="4422775"/>
                    </a:xfrm>
                    <a:prstGeom prst="rect">
                      <a:avLst/>
                    </a:prstGeom>
                  </pic:spPr>
                </pic:pic>
              </a:graphicData>
            </a:graphic>
          </wp:inline>
        </w:drawing>
      </w:r>
    </w:p>
    <w:p w14:paraId="640C6E56">
      <w:pPr>
        <w:pStyle w:val="140"/>
        <w:numPr>
          <w:ilvl w:val="0"/>
          <w:numId w:val="0"/>
        </w:numPr>
        <w:bidi w:val="0"/>
        <w:ind w:leftChars="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图B</w:t>
      </w:r>
      <w:r>
        <w:rPr>
          <w:rFonts w:hint="eastAsia" w:hAnsi="黑体" w:cs="黑体"/>
          <w:color w:val="auto"/>
          <w:lang w:val="en-US" w:eastAsia="zh-CN"/>
        </w:rPr>
        <w:t>.</w:t>
      </w:r>
      <w:r>
        <w:rPr>
          <w:rFonts w:hint="eastAsia" w:ascii="黑体" w:hAnsi="黑体" w:eastAsia="黑体" w:cs="黑体"/>
          <w:color w:val="auto"/>
          <w:lang w:val="en-US" w:eastAsia="zh-CN"/>
        </w:rPr>
        <w:t>1  PoDL系统工作流程图</w:t>
      </w:r>
    </w:p>
    <w:p w14:paraId="5519CCBA">
      <w:pPr>
        <w:jc w:val="center"/>
        <w:rPr>
          <w:rFonts w:hint="default" w:ascii="黑体" w:hAnsi="黑体" w:eastAsia="黑体" w:cs="黑体"/>
          <w:b/>
          <w:bCs/>
          <w:color w:val="auto"/>
          <w:sz w:val="24"/>
          <w:szCs w:val="24"/>
          <w:lang w:val="en-US" w:eastAsia="zh-CN"/>
        </w:rPr>
      </w:pPr>
    </w:p>
    <w:p w14:paraId="0AFB48CB">
      <w:pPr>
        <w:numPr>
          <w:ilvl w:val="0"/>
          <w:numId w:val="34"/>
        </w:numPr>
        <w:spacing w:line="360" w:lineRule="auto"/>
        <w:ind w:firstLine="425"/>
        <w:rPr>
          <w:rFonts w:ascii="宋体" w:hAnsi="宋体" w:cs="宋体"/>
          <w:color w:val="auto"/>
          <w:sz w:val="21"/>
          <w:szCs w:val="21"/>
        </w:rPr>
      </w:pPr>
      <w:r>
        <w:rPr>
          <w:rFonts w:hint="eastAsia" w:ascii="宋体" w:hAnsi="宋体" w:eastAsia="宋体" w:cs="Times New Roman"/>
          <w:b/>
          <w:bCs/>
          <w:color w:val="auto"/>
          <w:kern w:val="36"/>
          <w:sz w:val="28"/>
          <w:szCs w:val="48"/>
          <w:lang w:val="en-US" w:eastAsia="zh-CN" w:bidi="ar-SA"/>
        </w:rPr>
        <w:br w:type="page"/>
      </w:r>
      <w:bookmarkStart w:id="370" w:name="_Toc30458"/>
      <w:bookmarkStart w:id="371" w:name="_Toc23151"/>
      <w:bookmarkStart w:id="372" w:name="_Toc30247"/>
      <w:bookmarkStart w:id="373" w:name="_Toc15304"/>
      <w:bookmarkStart w:id="374" w:name="_Toc12305"/>
      <w:bookmarkStart w:id="375" w:name="_Toc7837"/>
      <w:bookmarkStart w:id="376" w:name="_Toc25672"/>
      <w:bookmarkStart w:id="377" w:name="_Toc3261"/>
      <w:bookmarkStart w:id="378" w:name="_Toc17580"/>
    </w:p>
    <w:bookmarkEnd w:id="348"/>
    <w:bookmarkEnd w:id="349"/>
    <w:bookmarkEnd w:id="350"/>
    <w:bookmarkEnd w:id="351"/>
    <w:bookmarkEnd w:id="370"/>
    <w:bookmarkEnd w:id="371"/>
    <w:bookmarkEnd w:id="372"/>
    <w:bookmarkEnd w:id="373"/>
    <w:bookmarkEnd w:id="374"/>
    <w:bookmarkEnd w:id="375"/>
    <w:bookmarkEnd w:id="376"/>
    <w:bookmarkEnd w:id="377"/>
    <w:bookmarkEnd w:id="378"/>
    <w:p w14:paraId="79B77CDF">
      <w:pPr>
        <w:jc w:val="center"/>
        <w:outlineLvl w:val="9"/>
        <w:rPr>
          <w:rFonts w:eastAsia="黑体"/>
          <w:color w:val="auto"/>
          <w:sz w:val="32"/>
          <w:szCs w:val="40"/>
        </w:rPr>
      </w:pPr>
    </w:p>
    <w:p w14:paraId="7D9A4228">
      <w:pPr>
        <w:jc w:val="center"/>
        <w:outlineLvl w:val="9"/>
        <w:rPr>
          <w:rFonts w:eastAsia="黑体"/>
          <w:color w:val="auto"/>
          <w:sz w:val="32"/>
          <w:szCs w:val="40"/>
        </w:rPr>
      </w:pPr>
    </w:p>
    <w:p w14:paraId="53D1F812">
      <w:pPr>
        <w:jc w:val="center"/>
        <w:outlineLvl w:val="9"/>
        <w:rPr>
          <w:rFonts w:eastAsia="黑体"/>
          <w:color w:val="auto"/>
          <w:sz w:val="32"/>
          <w:szCs w:val="40"/>
        </w:rPr>
      </w:pPr>
      <w:bookmarkStart w:id="379" w:name="_Toc14978"/>
      <w:bookmarkStart w:id="380" w:name="_Toc28890"/>
      <w:bookmarkStart w:id="381" w:name="_Toc27726"/>
      <w:bookmarkStart w:id="382" w:name="_Toc31004"/>
      <w:bookmarkStart w:id="383" w:name="_Toc25941"/>
      <w:bookmarkStart w:id="384" w:name="_Toc29860"/>
      <w:bookmarkStart w:id="385" w:name="_Toc981"/>
      <w:bookmarkStart w:id="386" w:name="_Toc21701"/>
      <w:bookmarkStart w:id="387" w:name="_Toc22132"/>
      <w:bookmarkStart w:id="388" w:name="_Toc9669"/>
      <w:r>
        <w:rPr>
          <w:rFonts w:eastAsia="黑体"/>
          <w:color w:val="auto"/>
          <w:sz w:val="32"/>
          <w:szCs w:val="40"/>
        </w:rPr>
        <w:t>中国电子节能技术协会团体标准</w:t>
      </w:r>
      <w:bookmarkEnd w:id="379"/>
      <w:bookmarkEnd w:id="380"/>
      <w:bookmarkEnd w:id="381"/>
      <w:bookmarkEnd w:id="382"/>
      <w:bookmarkEnd w:id="383"/>
      <w:bookmarkEnd w:id="384"/>
      <w:bookmarkEnd w:id="385"/>
      <w:bookmarkEnd w:id="386"/>
      <w:bookmarkEnd w:id="387"/>
      <w:bookmarkEnd w:id="388"/>
    </w:p>
    <w:p w14:paraId="72455985">
      <w:pPr>
        <w:pStyle w:val="58"/>
        <w:framePr w:hSpace="0" w:vSpace="0" w:wrap="auto" w:vAnchor="margin" w:hAnchor="text" w:xAlign="left" w:yAlign="inline"/>
        <w:jc w:val="center"/>
        <w:outlineLvl w:val="9"/>
        <w:rPr>
          <w:color w:val="auto"/>
        </w:rPr>
      </w:pPr>
    </w:p>
    <w:p w14:paraId="2DA41413">
      <w:pPr>
        <w:pStyle w:val="58"/>
        <w:framePr w:hSpace="0" w:vSpace="0" w:wrap="auto" w:vAnchor="margin" w:hAnchor="text" w:xAlign="left" w:yAlign="inline"/>
        <w:jc w:val="center"/>
        <w:outlineLvl w:val="9"/>
        <w:rPr>
          <w:rStyle w:val="159"/>
          <w:rFonts w:ascii="Times New Roman"/>
          <w:color w:val="auto"/>
          <w:sz w:val="40"/>
          <w:szCs w:val="36"/>
        </w:rPr>
      </w:pPr>
    </w:p>
    <w:p w14:paraId="2BF836BB">
      <w:pPr>
        <w:jc w:val="center"/>
        <w:outlineLvl w:val="9"/>
        <w:rPr>
          <w:rFonts w:hint="eastAsia" w:eastAsia="黑体"/>
          <w:color w:val="auto"/>
          <w:sz w:val="52"/>
          <w:szCs w:val="72"/>
          <w:lang w:eastAsia="zh-CN"/>
        </w:rPr>
      </w:pPr>
      <w:bookmarkStart w:id="389" w:name="_Toc7869"/>
      <w:bookmarkStart w:id="390" w:name="_Toc25342"/>
      <w:bookmarkStart w:id="391" w:name="_Toc15756"/>
      <w:bookmarkStart w:id="392" w:name="_Toc7553"/>
      <w:bookmarkStart w:id="393" w:name="_Toc17638"/>
      <w:bookmarkStart w:id="394" w:name="_Toc18519"/>
      <w:bookmarkStart w:id="395" w:name="_Toc16105"/>
      <w:bookmarkStart w:id="396" w:name="_Toc13760"/>
      <w:r>
        <w:rPr>
          <w:rFonts w:hint="eastAsia" w:eastAsia="黑体"/>
          <w:color w:val="auto"/>
          <w:sz w:val="52"/>
          <w:szCs w:val="72"/>
          <w:lang w:eastAsia="zh-CN"/>
        </w:rPr>
        <w:t>单对以太网系统工程技术标准</w:t>
      </w:r>
      <w:bookmarkEnd w:id="389"/>
    </w:p>
    <w:p w14:paraId="334E9BE9">
      <w:pPr>
        <w:jc w:val="center"/>
        <w:rPr>
          <w:rFonts w:hint="eastAsia" w:eastAsia="黑体"/>
          <w:color w:val="auto"/>
          <w:sz w:val="28"/>
          <w:szCs w:val="36"/>
          <w:lang w:eastAsia="zh-CN"/>
        </w:rPr>
      </w:pPr>
      <w:r>
        <w:rPr>
          <w:rFonts w:hint="eastAsia" w:eastAsia="黑体"/>
          <w:color w:val="auto"/>
          <w:sz w:val="28"/>
          <w:szCs w:val="36"/>
          <w:lang w:eastAsia="zh-CN"/>
        </w:rPr>
        <w:t>Single-Pair Ethernet Engineering Technical Standard</w:t>
      </w:r>
    </w:p>
    <w:bookmarkEnd w:id="390"/>
    <w:bookmarkEnd w:id="391"/>
    <w:bookmarkEnd w:id="392"/>
    <w:bookmarkEnd w:id="393"/>
    <w:bookmarkEnd w:id="394"/>
    <w:bookmarkEnd w:id="395"/>
    <w:bookmarkEnd w:id="396"/>
    <w:p w14:paraId="4DA292A5">
      <w:pPr>
        <w:pStyle w:val="58"/>
        <w:framePr w:hSpace="0" w:vSpace="0" w:wrap="auto" w:vAnchor="margin" w:hAnchor="text" w:xAlign="left" w:yAlign="inline"/>
        <w:jc w:val="center"/>
        <w:rPr>
          <w:rStyle w:val="159"/>
          <w:rFonts w:ascii="Times New Roman"/>
          <w:color w:val="auto"/>
          <w:sz w:val="28"/>
          <w:szCs w:val="24"/>
        </w:rPr>
      </w:pPr>
      <w:bookmarkStart w:id="397" w:name="_Toc30008"/>
      <w:bookmarkStart w:id="398" w:name="_Toc10352"/>
      <w:bookmarkStart w:id="399" w:name="_Toc3142"/>
      <w:bookmarkStart w:id="400" w:name="_Toc18683"/>
      <w:bookmarkStart w:id="401" w:name="_Toc12734"/>
    </w:p>
    <w:p w14:paraId="23E91D68">
      <w:pPr>
        <w:jc w:val="center"/>
        <w:rPr>
          <w:rFonts w:hint="eastAsia" w:ascii="黑体" w:hAnsi="黑体" w:eastAsia="黑体" w:cs="黑体"/>
          <w:color w:val="auto"/>
          <w:sz w:val="28"/>
          <w:szCs w:val="36"/>
          <w:highlight w:val="none"/>
          <w:lang w:val="en-US"/>
        </w:rPr>
      </w:pPr>
      <w:r>
        <w:rPr>
          <w:rFonts w:hint="eastAsia" w:ascii="黑体" w:hAnsi="黑体" w:eastAsia="黑体" w:cs="黑体"/>
          <w:color w:val="auto"/>
          <w:sz w:val="28"/>
          <w:szCs w:val="36"/>
          <w:highlight w:val="none"/>
        </w:rPr>
        <w:t xml:space="preserve">T/DZJN </w:t>
      </w:r>
      <w:r>
        <w:rPr>
          <w:rFonts w:hint="eastAsia" w:ascii="黑体" w:hAnsi="黑体" w:eastAsia="黑体" w:cs="黑体"/>
          <w:color w:val="auto"/>
          <w:sz w:val="28"/>
          <w:szCs w:val="36"/>
          <w:highlight w:val="none"/>
          <w:lang w:val="en-US" w:eastAsia="zh-CN"/>
        </w:rPr>
        <w:t>xxx</w:t>
      </w:r>
      <w:r>
        <w:rPr>
          <w:rFonts w:hint="eastAsia" w:ascii="黑体" w:hAnsi="黑体" w:eastAsia="黑体" w:cs="黑体"/>
          <w:color w:val="auto"/>
          <w:sz w:val="28"/>
          <w:szCs w:val="36"/>
          <w:highlight w:val="none"/>
        </w:rPr>
        <w:t>-20</w:t>
      </w:r>
      <w:r>
        <w:rPr>
          <w:rFonts w:hint="eastAsia" w:ascii="黑体" w:hAnsi="黑体" w:eastAsia="黑体" w:cs="黑体"/>
          <w:color w:val="auto"/>
          <w:sz w:val="28"/>
          <w:szCs w:val="36"/>
          <w:highlight w:val="none"/>
          <w:lang w:val="en-US" w:eastAsia="zh-CN"/>
        </w:rPr>
        <w:t>25</w:t>
      </w:r>
    </w:p>
    <w:p w14:paraId="17AE1946">
      <w:pPr>
        <w:pStyle w:val="58"/>
        <w:framePr w:hSpace="0" w:vSpace="0" w:wrap="auto" w:vAnchor="margin" w:hAnchor="text" w:xAlign="left" w:yAlign="inline"/>
        <w:jc w:val="center"/>
        <w:rPr>
          <w:rStyle w:val="159"/>
          <w:rFonts w:ascii="Times New Roman"/>
          <w:color w:val="auto"/>
          <w:sz w:val="32"/>
          <w:szCs w:val="32"/>
        </w:rPr>
      </w:pPr>
    </w:p>
    <w:p w14:paraId="54C3259C">
      <w:pPr>
        <w:pStyle w:val="58"/>
        <w:framePr w:hSpace="0" w:vSpace="0" w:wrap="auto" w:vAnchor="margin" w:hAnchor="text" w:xAlign="left" w:yAlign="inline"/>
        <w:jc w:val="center"/>
        <w:outlineLvl w:val="0"/>
        <w:rPr>
          <w:color w:val="auto"/>
          <w:spacing w:val="57"/>
          <w:kern w:val="44"/>
          <w:sz w:val="32"/>
          <w:szCs w:val="32"/>
        </w:rPr>
      </w:pPr>
      <w:bookmarkStart w:id="402" w:name="_Toc8685"/>
      <w:bookmarkStart w:id="403" w:name="_Toc12991"/>
      <w:bookmarkStart w:id="404" w:name="_Toc14974"/>
      <w:bookmarkStart w:id="405" w:name="_Toc23711"/>
      <w:bookmarkStart w:id="406" w:name="_Toc13527"/>
      <w:bookmarkStart w:id="407" w:name="_Toc30884"/>
      <w:bookmarkStart w:id="408" w:name="_Toc5505"/>
      <w:bookmarkStart w:id="409" w:name="_Toc22101"/>
      <w:bookmarkStart w:id="410" w:name="_Toc15497"/>
      <w:bookmarkStart w:id="411" w:name="_Toc23474"/>
      <w:bookmarkStart w:id="412" w:name="_Toc30456"/>
      <w:bookmarkStart w:id="413" w:name="_Toc31118"/>
      <w:bookmarkStart w:id="414" w:name="_Toc11888"/>
      <w:bookmarkStart w:id="415" w:name="_Toc16146"/>
      <w:bookmarkStart w:id="416" w:name="_Toc26196"/>
      <w:r>
        <w:rPr>
          <w:rStyle w:val="159"/>
          <w:rFonts w:ascii="Times New Roman"/>
          <w:color w:val="auto"/>
          <w:spacing w:val="57"/>
          <w:kern w:val="44"/>
          <w:sz w:val="32"/>
          <w:szCs w:val="32"/>
        </w:rPr>
        <w:t>条文说明</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6F58685C">
      <w:pPr>
        <w:pStyle w:val="58"/>
        <w:framePr w:hSpace="0" w:vSpace="0" w:wrap="auto" w:vAnchor="margin" w:hAnchor="text" w:xAlign="left" w:yAlign="inline"/>
        <w:rPr>
          <w:color w:val="auto"/>
        </w:rPr>
      </w:pPr>
    </w:p>
    <w:p w14:paraId="0F4594A5">
      <w:pPr>
        <w:pStyle w:val="58"/>
        <w:framePr w:hSpace="0" w:vSpace="0" w:wrap="auto" w:vAnchor="margin" w:hAnchor="text" w:xAlign="left" w:yAlign="inline"/>
        <w:rPr>
          <w:color w:val="auto"/>
        </w:rPr>
      </w:pPr>
    </w:p>
    <w:p w14:paraId="27F491EE">
      <w:pPr>
        <w:pStyle w:val="58"/>
        <w:framePr w:hSpace="0" w:vSpace="0" w:wrap="auto" w:vAnchor="margin" w:hAnchor="text" w:xAlign="left" w:yAlign="inline"/>
        <w:rPr>
          <w:color w:val="auto"/>
        </w:rPr>
      </w:pPr>
    </w:p>
    <w:p w14:paraId="290AA2DA">
      <w:pPr>
        <w:pStyle w:val="58"/>
        <w:framePr w:hSpace="0" w:vSpace="0" w:wrap="auto" w:vAnchor="margin" w:hAnchor="text" w:xAlign="left" w:yAlign="inline"/>
        <w:rPr>
          <w:color w:val="auto"/>
        </w:rPr>
      </w:pPr>
    </w:p>
    <w:p w14:paraId="479C7BA0">
      <w:pPr>
        <w:pStyle w:val="58"/>
        <w:framePr w:hSpace="0" w:vSpace="0" w:wrap="auto" w:vAnchor="margin" w:hAnchor="text" w:xAlign="left" w:yAlign="inline"/>
        <w:rPr>
          <w:color w:val="auto"/>
        </w:rPr>
      </w:pPr>
    </w:p>
    <w:p w14:paraId="76226134">
      <w:pPr>
        <w:pStyle w:val="58"/>
        <w:framePr w:hSpace="0" w:vSpace="0" w:wrap="auto" w:vAnchor="margin" w:hAnchor="text" w:xAlign="left" w:yAlign="inline"/>
        <w:rPr>
          <w:color w:val="auto"/>
        </w:rPr>
      </w:pPr>
    </w:p>
    <w:p w14:paraId="4C93B5F0">
      <w:pPr>
        <w:pStyle w:val="58"/>
        <w:framePr w:hSpace="0" w:vSpace="0" w:wrap="auto" w:vAnchor="margin" w:hAnchor="text" w:xAlign="left" w:yAlign="inline"/>
        <w:rPr>
          <w:color w:val="auto"/>
        </w:rPr>
      </w:pPr>
    </w:p>
    <w:p w14:paraId="7CACA864">
      <w:pPr>
        <w:pStyle w:val="58"/>
        <w:framePr w:hSpace="0" w:vSpace="0" w:wrap="auto" w:vAnchor="margin" w:hAnchor="text" w:xAlign="left" w:yAlign="inline"/>
        <w:rPr>
          <w:color w:val="auto"/>
        </w:rPr>
      </w:pPr>
    </w:p>
    <w:p w14:paraId="5E51B6BD">
      <w:pPr>
        <w:pStyle w:val="58"/>
        <w:framePr w:hSpace="0" w:vSpace="0" w:wrap="auto" w:vAnchor="margin" w:hAnchor="text" w:xAlign="left" w:yAlign="inline"/>
        <w:rPr>
          <w:color w:val="auto"/>
        </w:rPr>
      </w:pPr>
    </w:p>
    <w:p w14:paraId="0BFF3C1D">
      <w:pPr>
        <w:pStyle w:val="58"/>
        <w:framePr w:hSpace="0" w:vSpace="0" w:wrap="auto" w:vAnchor="margin" w:hAnchor="text" w:xAlign="left" w:yAlign="inline"/>
        <w:rPr>
          <w:color w:val="auto"/>
        </w:rPr>
      </w:pPr>
    </w:p>
    <w:p w14:paraId="131EB3C4">
      <w:pPr>
        <w:pStyle w:val="58"/>
        <w:framePr w:hSpace="0" w:vSpace="0" w:wrap="auto" w:vAnchor="margin" w:hAnchor="text" w:xAlign="left" w:yAlign="inline"/>
        <w:rPr>
          <w:color w:val="auto"/>
        </w:rPr>
      </w:pPr>
    </w:p>
    <w:p w14:paraId="41B5D162">
      <w:pPr>
        <w:pStyle w:val="58"/>
        <w:framePr w:hSpace="0" w:vSpace="0" w:wrap="auto" w:vAnchor="margin" w:hAnchor="text" w:xAlign="left" w:yAlign="inline"/>
        <w:rPr>
          <w:color w:val="auto"/>
        </w:rPr>
      </w:pPr>
    </w:p>
    <w:p w14:paraId="51378F17">
      <w:pPr>
        <w:pStyle w:val="58"/>
        <w:framePr w:hSpace="0" w:vSpace="0" w:wrap="auto" w:vAnchor="margin" w:hAnchor="text" w:xAlign="left" w:yAlign="inline"/>
        <w:rPr>
          <w:color w:val="auto"/>
        </w:rPr>
      </w:pPr>
    </w:p>
    <w:p w14:paraId="3B6F9CC5">
      <w:pPr>
        <w:pStyle w:val="58"/>
        <w:framePr w:hSpace="0" w:vSpace="0" w:wrap="auto" w:vAnchor="margin" w:hAnchor="text" w:xAlign="left" w:yAlign="inline"/>
        <w:rPr>
          <w:color w:val="auto"/>
        </w:rPr>
      </w:pPr>
    </w:p>
    <w:p w14:paraId="0875394E">
      <w:pPr>
        <w:pStyle w:val="58"/>
        <w:framePr w:hSpace="0" w:vSpace="0" w:wrap="auto" w:vAnchor="margin" w:hAnchor="text" w:xAlign="left" w:yAlign="inline"/>
        <w:rPr>
          <w:color w:val="auto"/>
        </w:rPr>
      </w:pPr>
    </w:p>
    <w:p w14:paraId="4845D319">
      <w:pPr>
        <w:pStyle w:val="58"/>
        <w:framePr w:hSpace="0" w:vSpace="0" w:wrap="auto" w:vAnchor="margin" w:hAnchor="text" w:xAlign="left" w:yAlign="inline"/>
        <w:rPr>
          <w:color w:val="auto"/>
        </w:rPr>
      </w:pPr>
    </w:p>
    <w:p w14:paraId="103A554E">
      <w:pPr>
        <w:pStyle w:val="58"/>
        <w:framePr w:hSpace="0" w:vSpace="0" w:wrap="auto" w:vAnchor="margin" w:hAnchor="text" w:xAlign="left" w:yAlign="inline"/>
        <w:rPr>
          <w:color w:val="auto"/>
        </w:rPr>
      </w:pPr>
    </w:p>
    <w:p w14:paraId="32324D64">
      <w:pPr>
        <w:pStyle w:val="58"/>
        <w:framePr w:hSpace="0" w:vSpace="0" w:wrap="auto" w:vAnchor="margin" w:hAnchor="text" w:xAlign="left" w:yAlign="inline"/>
        <w:rPr>
          <w:color w:val="auto"/>
        </w:rPr>
      </w:pPr>
    </w:p>
    <w:p w14:paraId="70925050">
      <w:pPr>
        <w:pStyle w:val="75"/>
        <w:numPr>
          <w:ilvl w:val="2"/>
          <w:numId w:val="0"/>
        </w:numPr>
        <w:bidi w:val="0"/>
        <w:ind w:leftChars="0"/>
        <w:rPr>
          <w:rFonts w:hint="default" w:ascii="Times New Roman" w:hAnsi="Times New Roman" w:eastAsia="宋体" w:cs="Times New Roman"/>
          <w:color w:val="auto"/>
          <w:lang w:val="en-US" w:eastAsia="zh-CN"/>
        </w:rPr>
      </w:pPr>
      <w:r>
        <w:rPr>
          <w:rFonts w:hint="eastAsia"/>
          <w:color w:val="auto"/>
          <w:lang w:val="en-US" w:eastAsia="zh-CN"/>
        </w:rPr>
        <w:br w:type="page"/>
      </w:r>
    </w:p>
    <w:p w14:paraId="20BF5BA5">
      <w:pPr>
        <w:pStyle w:val="26"/>
        <w:spacing w:line="360" w:lineRule="auto"/>
        <w:ind w:left="0" w:leftChars="0" w:firstLine="0" w:firstLineChars="0"/>
        <w:rPr>
          <w:rFonts w:hint="default" w:ascii="Times New Roman" w:hAnsi="Times New Roman" w:cs="Times New Roman" w:eastAsiaTheme="minorEastAsia"/>
          <w:color w:val="auto"/>
          <w:szCs w:val="21"/>
          <w:lang w:val="en-US" w:eastAsia="zh-CN"/>
        </w:rPr>
      </w:pPr>
      <w:r>
        <w:rPr>
          <w:rFonts w:hint="default" w:ascii="Times New Roman" w:cs="Times New Roman" w:eastAsiaTheme="minorEastAsia"/>
          <w:color w:val="auto"/>
          <w:szCs w:val="21"/>
          <w:lang w:val="en-US" w:eastAsia="zh-CN"/>
        </w:rPr>
        <w:t>4.1.2  从当前的SPE的使用场景来看，目前还并没有看到如表1中的两级或更多级的单对以太网组网案例，从SPE技术来看，SPE两级或多级组网是可行的，但具体工程应用时，两端的SPE交换机一端做为PSE，另一端需同时做为PSE及PD，需对设备的功能及性能进行确认，同时明确PoDL的供电等级。</w:t>
      </w:r>
    </w:p>
    <w:p w14:paraId="2A06E22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outlineLvl w:val="9"/>
        <w:rPr>
          <w:rFonts w:hint="default" w:cs="Times New Roman" w:eastAsiaTheme="minorEastAsia"/>
          <w:b w:val="0"/>
          <w:bCs w:val="0"/>
          <w:color w:val="auto"/>
          <w:kern w:val="0"/>
          <w:sz w:val="21"/>
          <w:szCs w:val="21"/>
          <w:lang w:val="en-US" w:eastAsia="zh-CN" w:bidi="ar-SA"/>
        </w:rPr>
      </w:pPr>
      <w:r>
        <w:rPr>
          <w:rFonts w:hint="default" w:cs="Times New Roman" w:eastAsiaTheme="minorEastAsia"/>
          <w:b w:val="0"/>
          <w:bCs w:val="0"/>
          <w:color w:val="auto"/>
          <w:kern w:val="0"/>
          <w:sz w:val="21"/>
          <w:szCs w:val="21"/>
          <w:lang w:val="en-US" w:eastAsia="zh-CN" w:bidi="ar-SA"/>
        </w:rPr>
        <w:t>4.2.1 不同的标准中，对于SPE</w:t>
      </w:r>
      <w:r>
        <w:rPr>
          <w:rFonts w:hint="eastAsia" w:ascii="Times New Roman" w:hAnsi="Times New Roman" w:cs="Times New Roman" w:eastAsiaTheme="minorEastAsia"/>
          <w:b w:val="0"/>
          <w:bCs w:val="0"/>
          <w:color w:val="auto"/>
          <w:kern w:val="0"/>
          <w:sz w:val="21"/>
          <w:szCs w:val="21"/>
          <w:lang w:val="en-US" w:eastAsia="zh-CN" w:bidi="ar-SA"/>
        </w:rPr>
        <w:t>类型</w:t>
      </w:r>
      <w:r>
        <w:rPr>
          <w:rFonts w:hint="default" w:cs="Times New Roman" w:eastAsiaTheme="minorEastAsia"/>
          <w:b w:val="0"/>
          <w:bCs w:val="0"/>
          <w:color w:val="auto"/>
          <w:kern w:val="0"/>
          <w:sz w:val="21"/>
          <w:szCs w:val="21"/>
          <w:lang w:val="en-US" w:eastAsia="zh-CN" w:bidi="ar-SA"/>
        </w:rPr>
        <w:t>的技术细节要求有所不同，如IEEE 802.3标准中，100BASE-T1的单对以太网信道的起始频率为1 MHz，在ISO/IEC TR 11801-9906中，66 MHz单对以太网信道的起始频率为0.3 MHz，这个与表1中是有所不同的，应加以注意。</w:t>
      </w:r>
    </w:p>
    <w:p w14:paraId="160D6A3A">
      <w:pPr>
        <w:pStyle w:val="47"/>
        <w:spacing w:line="360" w:lineRule="auto"/>
        <w:ind w:firstLine="420" w:firstLineChars="200"/>
        <w:rPr>
          <w:rFonts w:hint="default" w:ascii="Times New Roman" w:hAnsi="Times New Roman" w:cs="Times New Roman" w:eastAsiaTheme="minorEastAsia"/>
          <w:b w:val="0"/>
          <w:bCs w:val="0"/>
          <w:color w:val="auto"/>
          <w:sz w:val="21"/>
          <w:szCs w:val="21"/>
          <w:lang w:val="en-US" w:eastAsia="zh-CN" w:bidi="ar-SA"/>
        </w:rPr>
      </w:pPr>
      <w:r>
        <w:rPr>
          <w:rFonts w:hint="default" w:ascii="Times New Roman" w:cs="Times New Roman" w:eastAsiaTheme="minorEastAsia"/>
          <w:b w:val="0"/>
          <w:bCs w:val="0"/>
          <w:color w:val="auto"/>
          <w:sz w:val="21"/>
          <w:szCs w:val="21"/>
          <w:lang w:val="en-US" w:eastAsia="zh-CN" w:bidi="ar-SA"/>
        </w:rPr>
        <w:t>另外10BASE-T1S 的1</w:t>
      </w:r>
      <w:r>
        <w:rPr>
          <w:rFonts w:hint="default" w:ascii="Times New Roman" w:hAnsi="Times New Roman" w:cs="Times New Roman" w:eastAsiaTheme="minorEastAsia"/>
          <w:b w:val="0"/>
          <w:bCs w:val="0"/>
          <w:color w:val="auto"/>
          <w:sz w:val="21"/>
          <w:szCs w:val="21"/>
          <w:lang w:val="en-US" w:eastAsia="zh-CN" w:bidi="ar-SA"/>
        </w:rPr>
        <w:t>5米、4个连接</w:t>
      </w:r>
      <w:r>
        <w:rPr>
          <w:rFonts w:hint="default" w:ascii="Times New Roman" w:cs="Times New Roman" w:eastAsiaTheme="minorEastAsia"/>
          <w:b w:val="0"/>
          <w:bCs w:val="0"/>
          <w:color w:val="auto"/>
          <w:sz w:val="21"/>
          <w:szCs w:val="21"/>
          <w:lang w:val="en-US" w:eastAsia="zh-CN" w:bidi="ar-SA"/>
        </w:rPr>
        <w:t>点及25米、8个连接点两种</w:t>
      </w:r>
      <w:r>
        <w:rPr>
          <w:rFonts w:hint="eastAsia" w:ascii="Times New Roman" w:hAnsi="Times New Roman" w:cs="Times New Roman" w:eastAsiaTheme="minorEastAsia"/>
          <w:b w:val="0"/>
          <w:bCs w:val="0"/>
          <w:color w:val="auto"/>
          <w:sz w:val="21"/>
          <w:szCs w:val="21"/>
          <w:lang w:val="en-US" w:eastAsia="zh-CN" w:bidi="ar-SA"/>
        </w:rPr>
        <w:t>分类</w:t>
      </w:r>
      <w:r>
        <w:rPr>
          <w:rFonts w:hint="default" w:ascii="Times New Roman" w:cs="Times New Roman" w:eastAsiaTheme="minorEastAsia"/>
          <w:b w:val="0"/>
          <w:bCs w:val="0"/>
          <w:color w:val="auto"/>
          <w:sz w:val="21"/>
          <w:szCs w:val="21"/>
          <w:lang w:val="en-US" w:eastAsia="zh-CN" w:bidi="ar-SA"/>
        </w:rPr>
        <w:t>分别对应了不同的链路类型，前者是SPE设备之间的点对点的链路，后者是混合链路，即链路中不仅有连接点，还有SPE</w:t>
      </w:r>
      <w:r>
        <w:rPr>
          <w:rFonts w:hint="eastAsia" w:ascii="Times New Roman" w:hAnsi="Times New Roman" w:cs="Times New Roman" w:eastAsiaTheme="minorEastAsia"/>
          <w:b w:val="0"/>
          <w:bCs w:val="0"/>
          <w:color w:val="auto"/>
          <w:sz w:val="21"/>
          <w:szCs w:val="21"/>
          <w:lang w:val="en-US" w:eastAsia="zh-CN" w:bidi="ar-SA"/>
        </w:rPr>
        <w:t>设备。</w:t>
      </w:r>
    </w:p>
    <w:p w14:paraId="0923307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outlineLvl w:val="9"/>
        <w:rPr>
          <w:rFonts w:hint="eastAsia" w:ascii="Times New Roman" w:hAnsi="Times New Roman" w:cs="Times New Roman" w:eastAsiaTheme="minorEastAsia"/>
          <w:b w:val="0"/>
          <w:bCs w:val="0"/>
          <w:color w:val="auto"/>
          <w:kern w:val="0"/>
          <w:sz w:val="21"/>
          <w:szCs w:val="21"/>
          <w:lang w:val="en-US" w:eastAsia="zh-CN" w:bidi="ar-SA"/>
        </w:rPr>
      </w:pPr>
      <w:r>
        <w:rPr>
          <w:rFonts w:hint="default" w:ascii="Times New Roman" w:hAnsi="Times New Roman" w:cs="Times New Roman" w:eastAsiaTheme="minorEastAsia"/>
          <w:b w:val="0"/>
          <w:bCs w:val="0"/>
          <w:color w:val="auto"/>
          <w:kern w:val="0"/>
          <w:sz w:val="21"/>
          <w:szCs w:val="21"/>
          <w:lang w:val="en-US" w:eastAsia="zh-CN" w:bidi="ar-SA"/>
        </w:rPr>
        <w:t xml:space="preserve">4.2.2 </w:t>
      </w:r>
      <w:r>
        <w:rPr>
          <w:rFonts w:hint="eastAsia" w:ascii="Times New Roman" w:hAnsi="Times New Roman" w:cs="Times New Roman" w:eastAsiaTheme="minorEastAsia"/>
          <w:b w:val="0"/>
          <w:bCs w:val="0"/>
          <w:color w:val="auto"/>
          <w:kern w:val="0"/>
          <w:sz w:val="21"/>
          <w:szCs w:val="21"/>
          <w:lang w:val="en-US" w:eastAsia="zh-CN" w:bidi="ar-SA"/>
        </w:rPr>
        <w:t xml:space="preserve"> 需说明的是，目前相关标准中对于SPE信道的规定尚待完善，并未完全覆盖所有信道类型，表2 及表3仅包括了目前已经明确的信道类型。</w:t>
      </w:r>
    </w:p>
    <w:p w14:paraId="2365B51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textAlignment w:val="auto"/>
        <w:outlineLvl w:val="9"/>
        <w:rPr>
          <w:rFonts w:hint="eastAsia" w:cs="Times New Roman" w:eastAsiaTheme="minorEastAsia"/>
          <w:b w:val="0"/>
          <w:bCs w:val="0"/>
          <w:color w:val="auto"/>
          <w:kern w:val="0"/>
          <w:sz w:val="21"/>
          <w:szCs w:val="21"/>
          <w:lang w:val="en-US" w:eastAsia="zh-CN" w:bidi="ar-SA"/>
        </w:rPr>
      </w:pPr>
      <w:r>
        <w:rPr>
          <w:rFonts w:hint="default" w:ascii="Times New Roman" w:hAnsi="Times New Roman" w:cs="Times New Roman" w:eastAsiaTheme="minorEastAsia"/>
          <w:b w:val="0"/>
          <w:bCs w:val="0"/>
          <w:color w:val="auto"/>
          <w:kern w:val="0"/>
          <w:sz w:val="21"/>
          <w:szCs w:val="21"/>
          <w:lang w:val="en-US" w:eastAsia="zh-CN" w:bidi="ar-SA"/>
        </w:rPr>
        <w:t>另外IEEE 802.3的SPE分类IEEE 802.3</w:t>
      </w:r>
      <w:r>
        <w:rPr>
          <w:rFonts w:hint="default" w:cs="Times New Roman" w:eastAsiaTheme="minorEastAsia"/>
          <w:b w:val="0"/>
          <w:bCs w:val="0"/>
          <w:color w:val="auto"/>
          <w:kern w:val="0"/>
          <w:sz w:val="21"/>
          <w:szCs w:val="21"/>
          <w:lang w:val="en-US" w:eastAsia="zh-CN" w:bidi="ar-SA"/>
        </w:rPr>
        <w:t>、</w:t>
      </w:r>
      <w:r>
        <w:rPr>
          <w:rFonts w:hint="default" w:ascii="Times New Roman" w:hAnsi="Times New Roman" w:cs="Times New Roman" w:eastAsiaTheme="minorEastAsia"/>
          <w:b w:val="0"/>
          <w:bCs w:val="0"/>
          <w:color w:val="auto"/>
          <w:kern w:val="0"/>
          <w:sz w:val="21"/>
          <w:szCs w:val="21"/>
          <w:lang w:val="en-US" w:eastAsia="zh-CN" w:bidi="ar-SA"/>
        </w:rPr>
        <w:t>ISO/IEC TR 11801</w:t>
      </w:r>
      <w:r>
        <w:rPr>
          <w:rFonts w:hint="default" w:cs="Times New Roman" w:eastAsiaTheme="minorEastAsia"/>
          <w:b w:val="0"/>
          <w:bCs w:val="0"/>
          <w:color w:val="auto"/>
          <w:kern w:val="0"/>
          <w:sz w:val="21"/>
          <w:szCs w:val="21"/>
          <w:lang w:val="en-US" w:eastAsia="zh-CN" w:bidi="ar-SA"/>
        </w:rPr>
        <w:t>及</w:t>
      </w:r>
      <w:r>
        <w:rPr>
          <w:rFonts w:hint="default" w:ascii="Times New Roman" w:hAnsi="Times New Roman" w:cs="Times New Roman" w:eastAsiaTheme="minorEastAsia"/>
          <w:b w:val="0"/>
          <w:bCs w:val="0"/>
          <w:color w:val="auto"/>
          <w:kern w:val="0"/>
          <w:sz w:val="21"/>
          <w:szCs w:val="21"/>
          <w:lang w:val="en-US" w:eastAsia="zh-CN" w:bidi="ar-SA"/>
        </w:rPr>
        <w:t>TIA-568.5</w:t>
      </w:r>
      <w:r>
        <w:rPr>
          <w:rFonts w:hint="eastAsia" w:cs="Times New Roman" w:eastAsiaTheme="minorEastAsia"/>
          <w:b w:val="0"/>
          <w:bCs w:val="0"/>
          <w:color w:val="auto"/>
          <w:kern w:val="0"/>
          <w:sz w:val="21"/>
          <w:szCs w:val="21"/>
          <w:lang w:val="en-US" w:eastAsia="zh-CN" w:bidi="ar-SA"/>
        </w:rPr>
        <w:t>由于出发点不同，</w:t>
      </w:r>
      <w:r>
        <w:rPr>
          <w:rFonts w:hint="default" w:ascii="Times New Roman" w:hAnsi="Times New Roman" w:cs="Times New Roman" w:eastAsiaTheme="minorEastAsia"/>
          <w:b w:val="0"/>
          <w:bCs w:val="0"/>
          <w:color w:val="auto"/>
          <w:kern w:val="0"/>
          <w:sz w:val="21"/>
          <w:szCs w:val="21"/>
          <w:lang w:val="en-US" w:eastAsia="zh-CN" w:bidi="ar-SA"/>
        </w:rPr>
        <w:t>对于</w:t>
      </w:r>
      <w:r>
        <w:rPr>
          <w:rFonts w:hint="default" w:cs="Times New Roman" w:eastAsiaTheme="minorEastAsia"/>
          <w:b w:val="0"/>
          <w:bCs w:val="0"/>
          <w:color w:val="auto"/>
          <w:kern w:val="0"/>
          <w:sz w:val="21"/>
          <w:szCs w:val="21"/>
          <w:lang w:val="en-US" w:eastAsia="zh-CN" w:bidi="ar-SA"/>
        </w:rPr>
        <w:t>SPE</w:t>
      </w:r>
      <w:r>
        <w:rPr>
          <w:rFonts w:hint="default" w:ascii="Times New Roman" w:hAnsi="Times New Roman" w:cs="Times New Roman" w:eastAsiaTheme="minorEastAsia"/>
          <w:b w:val="0"/>
          <w:bCs w:val="0"/>
          <w:color w:val="auto"/>
          <w:kern w:val="0"/>
          <w:sz w:val="21"/>
          <w:szCs w:val="21"/>
          <w:lang w:val="en-US" w:eastAsia="zh-CN" w:bidi="ar-SA"/>
        </w:rPr>
        <w:t>信道的规定</w:t>
      </w:r>
      <w:r>
        <w:rPr>
          <w:rFonts w:hint="eastAsia" w:cs="Times New Roman" w:eastAsiaTheme="minorEastAsia"/>
          <w:b w:val="0"/>
          <w:bCs w:val="0"/>
          <w:color w:val="auto"/>
          <w:kern w:val="0"/>
          <w:sz w:val="21"/>
          <w:szCs w:val="21"/>
          <w:lang w:val="en-US" w:eastAsia="zh-CN" w:bidi="ar-SA"/>
        </w:rPr>
        <w:t>在细节上</w:t>
      </w:r>
      <w:r>
        <w:rPr>
          <w:rFonts w:hint="default" w:ascii="Times New Roman" w:hAnsi="Times New Roman" w:cs="Times New Roman" w:eastAsiaTheme="minorEastAsia"/>
          <w:b w:val="0"/>
          <w:bCs w:val="0"/>
          <w:color w:val="auto"/>
          <w:kern w:val="0"/>
          <w:sz w:val="21"/>
          <w:szCs w:val="21"/>
          <w:lang w:val="en-US" w:eastAsia="zh-CN" w:bidi="ar-SA"/>
        </w:rPr>
        <w:t>有所区别，</w:t>
      </w:r>
      <w:r>
        <w:rPr>
          <w:rFonts w:hint="eastAsia" w:cs="Times New Roman" w:eastAsiaTheme="minorEastAsia"/>
          <w:b w:val="0"/>
          <w:bCs w:val="0"/>
          <w:color w:val="auto"/>
          <w:kern w:val="0"/>
          <w:sz w:val="21"/>
          <w:szCs w:val="21"/>
          <w:lang w:val="en-US" w:eastAsia="zh-CN" w:bidi="ar-SA"/>
        </w:rPr>
        <w:t>如：</w:t>
      </w:r>
    </w:p>
    <w:p w14:paraId="7EDDBAA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textAlignment w:val="auto"/>
        <w:outlineLvl w:val="9"/>
        <w:rPr>
          <w:rFonts w:hint="default" w:ascii="Times New Roman" w:hAnsi="Times New Roman" w:cs="Times New Roman" w:eastAsiaTheme="minorEastAsia"/>
          <w:b w:val="0"/>
          <w:bCs w:val="0"/>
          <w:color w:val="auto"/>
          <w:kern w:val="0"/>
          <w:sz w:val="21"/>
          <w:szCs w:val="21"/>
          <w:lang w:val="en-US" w:eastAsia="zh-CN" w:bidi="ar-SA"/>
        </w:rPr>
      </w:pPr>
      <w:r>
        <w:rPr>
          <w:rFonts w:hint="default" w:ascii="Times New Roman" w:hAnsi="Times New Roman" w:cs="Times New Roman" w:eastAsiaTheme="minorEastAsia"/>
          <w:b w:val="0"/>
          <w:bCs w:val="0"/>
          <w:color w:val="auto"/>
          <w:kern w:val="0"/>
          <w:sz w:val="21"/>
          <w:szCs w:val="21"/>
          <w:lang w:val="en-US" w:eastAsia="zh-CN" w:bidi="ar-SA"/>
        </w:rPr>
        <w:t>IEEE 802.3 10BASE-T1L和ISO/IEC TR 11801-9906只规定了最长1000米最多10个连接器的信道，TIA-568.5中规定了1000米10个连接点和400米5个连接点两个类别的信道。</w:t>
      </w:r>
    </w:p>
    <w:p w14:paraId="0D9BBB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textAlignment w:val="auto"/>
        <w:outlineLvl w:val="9"/>
        <w:rPr>
          <w:rFonts w:hint="eastAsia" w:cs="Times New Roman" w:eastAsiaTheme="minorEastAsia"/>
          <w:b w:val="0"/>
          <w:bCs w:val="0"/>
          <w:color w:val="auto"/>
          <w:kern w:val="0"/>
          <w:sz w:val="21"/>
          <w:szCs w:val="21"/>
          <w:lang w:val="en-US" w:eastAsia="zh-CN" w:bidi="ar-SA"/>
        </w:rPr>
      </w:pPr>
      <w:r>
        <w:rPr>
          <w:rFonts w:hint="eastAsia" w:cs="Times New Roman" w:eastAsiaTheme="minorEastAsia"/>
          <w:b w:val="0"/>
          <w:bCs w:val="0"/>
          <w:color w:val="auto"/>
          <w:kern w:val="0"/>
          <w:sz w:val="21"/>
          <w:szCs w:val="21"/>
          <w:lang w:val="en-US" w:eastAsia="zh-CN" w:bidi="ar-SA"/>
        </w:rPr>
        <w:t>表3中的typeA和typeB规定了最长15米及40米的信道，但在ISO/IEC TR 11801中规定相应等级的信道最长支持100米。</w:t>
      </w:r>
    </w:p>
    <w:p w14:paraId="7F7FD95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outlineLvl w:val="9"/>
        <w:rPr>
          <w:rFonts w:hint="eastAsia" w:cs="Times New Roman" w:eastAsiaTheme="minorEastAsia"/>
          <w:b w:val="0"/>
          <w:bCs w:val="0"/>
          <w:color w:val="auto"/>
          <w:kern w:val="0"/>
          <w:sz w:val="21"/>
          <w:szCs w:val="21"/>
          <w:lang w:val="en-US" w:eastAsia="zh-CN" w:bidi="ar-SA"/>
        </w:rPr>
      </w:pPr>
      <w:r>
        <w:rPr>
          <w:rFonts w:hint="default" w:cs="Times New Roman" w:eastAsiaTheme="minorEastAsia"/>
          <w:b w:val="0"/>
          <w:bCs w:val="0"/>
          <w:color w:val="auto"/>
          <w:kern w:val="0"/>
          <w:sz w:val="21"/>
          <w:szCs w:val="21"/>
          <w:lang w:val="en-US" w:eastAsia="zh-CN" w:bidi="ar-SA"/>
        </w:rPr>
        <w:t>4.2.3</w:t>
      </w:r>
      <w:r>
        <w:rPr>
          <w:rFonts w:hint="eastAsia" w:cs="Times New Roman" w:eastAsiaTheme="minorEastAsia"/>
          <w:b w:val="0"/>
          <w:bCs w:val="0"/>
          <w:color w:val="auto"/>
          <w:kern w:val="0"/>
          <w:sz w:val="21"/>
          <w:szCs w:val="21"/>
          <w:lang w:val="en-US" w:eastAsia="zh-CN" w:bidi="ar-SA"/>
        </w:rPr>
        <w:t xml:space="preserve"> 单对以太网系统的环境等级应参照《信息技术用户建筑群通用布缆 第1部分：通用要求》GB/T 18233.1中规定的环境等级要求确定，其中信道环境等级按表1进行区分：</w:t>
      </w:r>
    </w:p>
    <w:p w14:paraId="16C5FB9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center"/>
        <w:textAlignment w:val="auto"/>
        <w:outlineLvl w:val="9"/>
        <w:rPr>
          <w:rFonts w:hint="eastAsia" w:ascii="黑体" w:hAnsi="黑体" w:eastAsia="黑体" w:cs="黑体"/>
          <w:b w:val="0"/>
          <w:bCs w:val="0"/>
          <w:color w:val="auto"/>
          <w:kern w:val="0"/>
          <w:sz w:val="21"/>
          <w:szCs w:val="21"/>
          <w:lang w:val="en-US" w:eastAsia="zh-CN" w:bidi="ar-SA"/>
        </w:rPr>
      </w:pPr>
      <w:r>
        <w:rPr>
          <w:rFonts w:hint="eastAsia" w:ascii="黑体" w:hAnsi="黑体" w:eastAsia="黑体" w:cs="黑体"/>
          <w:b w:val="0"/>
          <w:bCs w:val="0"/>
          <w:color w:val="auto"/>
          <w:kern w:val="0"/>
          <w:sz w:val="21"/>
          <w:szCs w:val="21"/>
          <w:lang w:val="en-US" w:eastAsia="zh-CN" w:bidi="ar-SA"/>
        </w:rPr>
        <w:t>表1 信道环境</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2268"/>
        <w:gridCol w:w="2268"/>
        <w:gridCol w:w="2268"/>
      </w:tblGrid>
      <w:tr w14:paraId="4FAD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top"/>
          </w:tcPr>
          <w:p w14:paraId="37F1259A">
            <w:pPr>
              <w:keepNext w:val="0"/>
              <w:keepLines w:val="0"/>
              <w:widowControl/>
              <w:suppressLineNumbers w:val="0"/>
              <w:jc w:val="center"/>
              <w:textAlignment w:val="top"/>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类型</w:t>
            </w:r>
          </w:p>
        </w:tc>
        <w:tc>
          <w:tcPr>
            <w:tcW w:w="2268" w:type="dxa"/>
            <w:vAlign w:val="top"/>
          </w:tcPr>
          <w:p w14:paraId="30BC004B">
            <w:pPr>
              <w:keepNext w:val="0"/>
              <w:keepLines w:val="0"/>
              <w:widowControl/>
              <w:suppressLineNumbers w:val="0"/>
              <w:jc w:val="center"/>
              <w:textAlignment w:val="top"/>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 xml:space="preserve"> 等级1</w:t>
            </w:r>
          </w:p>
        </w:tc>
        <w:tc>
          <w:tcPr>
            <w:tcW w:w="2268" w:type="dxa"/>
            <w:vAlign w:val="top"/>
          </w:tcPr>
          <w:p w14:paraId="0B384322">
            <w:pPr>
              <w:keepNext w:val="0"/>
              <w:keepLines w:val="0"/>
              <w:widowControl/>
              <w:suppressLineNumbers w:val="0"/>
              <w:jc w:val="center"/>
              <w:textAlignment w:val="top"/>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 xml:space="preserve"> 等级2</w:t>
            </w:r>
          </w:p>
        </w:tc>
        <w:tc>
          <w:tcPr>
            <w:tcW w:w="2268" w:type="dxa"/>
            <w:vAlign w:val="top"/>
          </w:tcPr>
          <w:p w14:paraId="2B94E53C">
            <w:pPr>
              <w:keepNext w:val="0"/>
              <w:keepLines w:val="0"/>
              <w:widowControl/>
              <w:suppressLineNumbers w:val="0"/>
              <w:jc w:val="center"/>
              <w:textAlignment w:val="top"/>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 xml:space="preserve"> 等级3</w:t>
            </w:r>
          </w:p>
        </w:tc>
      </w:tr>
      <w:tr w14:paraId="72B4B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4B989B9C">
            <w:pPr>
              <w:keepNext w:val="0"/>
              <w:keepLines w:val="0"/>
              <w:widowControl/>
              <w:suppressLineNumbers w:val="0"/>
              <w:jc w:val="center"/>
              <w:textAlignment w:val="center"/>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机械等级</w:t>
            </w:r>
          </w:p>
        </w:tc>
        <w:tc>
          <w:tcPr>
            <w:tcW w:w="2268" w:type="dxa"/>
            <w:vAlign w:val="center"/>
          </w:tcPr>
          <w:p w14:paraId="68785EF3">
            <w:pPr>
              <w:keepNext w:val="0"/>
              <w:keepLines w:val="0"/>
              <w:widowControl/>
              <w:suppressLineNumbers w:val="0"/>
              <w:jc w:val="center"/>
              <w:textAlignment w:val="center"/>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M</w:t>
            </w:r>
            <w:r>
              <w:rPr>
                <w:rFonts w:hint="eastAsia" w:ascii="宋体" w:hAnsi="宋体" w:eastAsia="宋体" w:cs="宋体"/>
                <w:i w:val="0"/>
                <w:iCs w:val="0"/>
                <w:color w:val="auto"/>
                <w:kern w:val="0"/>
                <w:sz w:val="18"/>
                <w:szCs w:val="18"/>
                <w:u w:val="none"/>
                <w:vertAlign w:val="subscript"/>
                <w:lang w:val="en-US" w:eastAsia="zh-CN" w:bidi="ar"/>
              </w:rPr>
              <w:t>1</w:t>
            </w:r>
          </w:p>
        </w:tc>
        <w:tc>
          <w:tcPr>
            <w:tcW w:w="2268" w:type="dxa"/>
            <w:vAlign w:val="center"/>
          </w:tcPr>
          <w:p w14:paraId="531D35BF">
            <w:pPr>
              <w:keepNext w:val="0"/>
              <w:keepLines w:val="0"/>
              <w:widowControl/>
              <w:suppressLineNumbers w:val="0"/>
              <w:jc w:val="center"/>
              <w:textAlignment w:val="center"/>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M</w:t>
            </w:r>
            <w:r>
              <w:rPr>
                <w:rFonts w:hint="eastAsia" w:ascii="宋体" w:hAnsi="宋体" w:eastAsia="宋体" w:cs="宋体"/>
                <w:i w:val="0"/>
                <w:iCs w:val="0"/>
                <w:color w:val="auto"/>
                <w:kern w:val="0"/>
                <w:sz w:val="18"/>
                <w:szCs w:val="18"/>
                <w:u w:val="none"/>
                <w:vertAlign w:val="subscript"/>
                <w:lang w:val="en-US" w:eastAsia="zh-CN" w:bidi="ar"/>
              </w:rPr>
              <w:t>2</w:t>
            </w:r>
          </w:p>
        </w:tc>
        <w:tc>
          <w:tcPr>
            <w:tcW w:w="2268" w:type="dxa"/>
            <w:vAlign w:val="center"/>
          </w:tcPr>
          <w:p w14:paraId="05D57CFD">
            <w:pPr>
              <w:keepNext w:val="0"/>
              <w:keepLines w:val="0"/>
              <w:widowControl/>
              <w:suppressLineNumbers w:val="0"/>
              <w:jc w:val="center"/>
              <w:textAlignment w:val="center"/>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M</w:t>
            </w:r>
            <w:r>
              <w:rPr>
                <w:rFonts w:hint="eastAsia" w:ascii="宋体" w:hAnsi="宋体" w:eastAsia="宋体" w:cs="宋体"/>
                <w:i w:val="0"/>
                <w:iCs w:val="0"/>
                <w:color w:val="auto"/>
                <w:kern w:val="0"/>
                <w:sz w:val="18"/>
                <w:szCs w:val="18"/>
                <w:u w:val="none"/>
                <w:vertAlign w:val="subscript"/>
                <w:lang w:val="en-US" w:eastAsia="zh-CN" w:bidi="ar"/>
              </w:rPr>
              <w:t>3</w:t>
            </w:r>
          </w:p>
        </w:tc>
      </w:tr>
      <w:tr w14:paraId="0614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69DA1A6A">
            <w:pPr>
              <w:keepNext w:val="0"/>
              <w:keepLines w:val="0"/>
              <w:widowControl/>
              <w:suppressLineNumbers w:val="0"/>
              <w:jc w:val="center"/>
              <w:textAlignment w:val="center"/>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侵入等级</w:t>
            </w:r>
          </w:p>
        </w:tc>
        <w:tc>
          <w:tcPr>
            <w:tcW w:w="2268" w:type="dxa"/>
            <w:vAlign w:val="center"/>
          </w:tcPr>
          <w:p w14:paraId="586B4075">
            <w:pPr>
              <w:keepNext w:val="0"/>
              <w:keepLines w:val="0"/>
              <w:widowControl/>
              <w:suppressLineNumbers w:val="0"/>
              <w:jc w:val="center"/>
              <w:textAlignment w:val="center"/>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I</w:t>
            </w:r>
            <w:r>
              <w:rPr>
                <w:rFonts w:hint="eastAsia" w:ascii="宋体" w:hAnsi="宋体" w:eastAsia="宋体" w:cs="宋体"/>
                <w:i w:val="0"/>
                <w:iCs w:val="0"/>
                <w:color w:val="auto"/>
                <w:kern w:val="0"/>
                <w:sz w:val="18"/>
                <w:szCs w:val="18"/>
                <w:u w:val="none"/>
                <w:vertAlign w:val="subscript"/>
                <w:lang w:val="en-US" w:eastAsia="zh-CN" w:bidi="ar"/>
              </w:rPr>
              <w:t>1</w:t>
            </w:r>
          </w:p>
        </w:tc>
        <w:tc>
          <w:tcPr>
            <w:tcW w:w="2268" w:type="dxa"/>
            <w:vAlign w:val="center"/>
          </w:tcPr>
          <w:p w14:paraId="2B90E051">
            <w:pPr>
              <w:keepNext w:val="0"/>
              <w:keepLines w:val="0"/>
              <w:widowControl/>
              <w:suppressLineNumbers w:val="0"/>
              <w:jc w:val="center"/>
              <w:textAlignment w:val="center"/>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I</w:t>
            </w:r>
            <w:r>
              <w:rPr>
                <w:rFonts w:hint="eastAsia" w:ascii="宋体" w:hAnsi="宋体" w:eastAsia="宋体" w:cs="宋体"/>
                <w:i w:val="0"/>
                <w:iCs w:val="0"/>
                <w:color w:val="auto"/>
                <w:kern w:val="0"/>
                <w:sz w:val="18"/>
                <w:szCs w:val="18"/>
                <w:u w:val="none"/>
                <w:vertAlign w:val="subscript"/>
                <w:lang w:val="en-US" w:eastAsia="zh-CN" w:bidi="ar"/>
              </w:rPr>
              <w:t>2</w:t>
            </w:r>
          </w:p>
        </w:tc>
        <w:tc>
          <w:tcPr>
            <w:tcW w:w="2268" w:type="dxa"/>
            <w:vAlign w:val="center"/>
          </w:tcPr>
          <w:p w14:paraId="3D4B49CF">
            <w:pPr>
              <w:keepNext w:val="0"/>
              <w:keepLines w:val="0"/>
              <w:widowControl/>
              <w:suppressLineNumbers w:val="0"/>
              <w:jc w:val="center"/>
              <w:textAlignment w:val="center"/>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I</w:t>
            </w:r>
            <w:r>
              <w:rPr>
                <w:rFonts w:hint="eastAsia" w:ascii="宋体" w:hAnsi="宋体" w:eastAsia="宋体" w:cs="宋体"/>
                <w:i w:val="0"/>
                <w:iCs w:val="0"/>
                <w:color w:val="auto"/>
                <w:kern w:val="0"/>
                <w:sz w:val="18"/>
                <w:szCs w:val="18"/>
                <w:u w:val="none"/>
                <w:vertAlign w:val="subscript"/>
                <w:lang w:val="en-US" w:eastAsia="zh-CN" w:bidi="ar"/>
              </w:rPr>
              <w:t>3</w:t>
            </w:r>
          </w:p>
        </w:tc>
      </w:tr>
      <w:tr w14:paraId="4D6B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617CA65D">
            <w:pPr>
              <w:keepNext w:val="0"/>
              <w:keepLines w:val="0"/>
              <w:widowControl/>
              <w:suppressLineNumbers w:val="0"/>
              <w:jc w:val="center"/>
              <w:textAlignment w:val="center"/>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气候等级</w:t>
            </w:r>
          </w:p>
        </w:tc>
        <w:tc>
          <w:tcPr>
            <w:tcW w:w="2268" w:type="dxa"/>
            <w:vAlign w:val="center"/>
          </w:tcPr>
          <w:p w14:paraId="596B5A09">
            <w:pPr>
              <w:keepNext w:val="0"/>
              <w:keepLines w:val="0"/>
              <w:widowControl/>
              <w:suppressLineNumbers w:val="0"/>
              <w:jc w:val="center"/>
              <w:textAlignment w:val="center"/>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C</w:t>
            </w:r>
            <w:r>
              <w:rPr>
                <w:rFonts w:hint="eastAsia" w:ascii="宋体" w:hAnsi="宋体" w:eastAsia="宋体" w:cs="宋体"/>
                <w:i w:val="0"/>
                <w:iCs w:val="0"/>
                <w:color w:val="auto"/>
                <w:kern w:val="0"/>
                <w:sz w:val="18"/>
                <w:szCs w:val="18"/>
                <w:u w:val="none"/>
                <w:vertAlign w:val="subscript"/>
                <w:lang w:val="en-US" w:eastAsia="zh-CN" w:bidi="ar"/>
              </w:rPr>
              <w:t>1</w:t>
            </w:r>
          </w:p>
        </w:tc>
        <w:tc>
          <w:tcPr>
            <w:tcW w:w="2268" w:type="dxa"/>
            <w:vAlign w:val="center"/>
          </w:tcPr>
          <w:p w14:paraId="563BA6C1">
            <w:pPr>
              <w:keepNext w:val="0"/>
              <w:keepLines w:val="0"/>
              <w:widowControl/>
              <w:suppressLineNumbers w:val="0"/>
              <w:jc w:val="center"/>
              <w:textAlignment w:val="center"/>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C</w:t>
            </w:r>
            <w:r>
              <w:rPr>
                <w:rFonts w:hint="eastAsia" w:ascii="宋体" w:hAnsi="宋体" w:eastAsia="宋体" w:cs="宋体"/>
                <w:i w:val="0"/>
                <w:iCs w:val="0"/>
                <w:color w:val="auto"/>
                <w:kern w:val="0"/>
                <w:sz w:val="18"/>
                <w:szCs w:val="18"/>
                <w:u w:val="none"/>
                <w:vertAlign w:val="subscript"/>
                <w:lang w:val="en-US" w:eastAsia="zh-CN" w:bidi="ar"/>
              </w:rPr>
              <w:t>2</w:t>
            </w:r>
          </w:p>
        </w:tc>
        <w:tc>
          <w:tcPr>
            <w:tcW w:w="2268" w:type="dxa"/>
            <w:vAlign w:val="center"/>
          </w:tcPr>
          <w:p w14:paraId="26B5E955">
            <w:pPr>
              <w:keepNext w:val="0"/>
              <w:keepLines w:val="0"/>
              <w:widowControl/>
              <w:suppressLineNumbers w:val="0"/>
              <w:jc w:val="center"/>
              <w:textAlignment w:val="center"/>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C</w:t>
            </w:r>
            <w:r>
              <w:rPr>
                <w:rFonts w:hint="eastAsia" w:ascii="宋体" w:hAnsi="宋体" w:eastAsia="宋体" w:cs="宋体"/>
                <w:i w:val="0"/>
                <w:iCs w:val="0"/>
                <w:color w:val="auto"/>
                <w:kern w:val="0"/>
                <w:sz w:val="18"/>
                <w:szCs w:val="18"/>
                <w:u w:val="none"/>
                <w:vertAlign w:val="subscript"/>
                <w:lang w:val="en-US" w:eastAsia="zh-CN" w:bidi="ar"/>
              </w:rPr>
              <w:t>3</w:t>
            </w:r>
          </w:p>
        </w:tc>
      </w:tr>
      <w:tr w14:paraId="4BFB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6" w:type="dxa"/>
            <w:vAlign w:val="center"/>
          </w:tcPr>
          <w:p w14:paraId="00BFAD2B">
            <w:pPr>
              <w:keepNext w:val="0"/>
              <w:keepLines w:val="0"/>
              <w:widowControl/>
              <w:suppressLineNumbers w:val="0"/>
              <w:jc w:val="center"/>
              <w:textAlignment w:val="center"/>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电磁等级</w:t>
            </w:r>
          </w:p>
        </w:tc>
        <w:tc>
          <w:tcPr>
            <w:tcW w:w="2268" w:type="dxa"/>
            <w:vAlign w:val="center"/>
          </w:tcPr>
          <w:p w14:paraId="5F094494">
            <w:pPr>
              <w:keepNext w:val="0"/>
              <w:keepLines w:val="0"/>
              <w:widowControl/>
              <w:suppressLineNumbers w:val="0"/>
              <w:jc w:val="center"/>
              <w:textAlignment w:val="center"/>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E</w:t>
            </w:r>
            <w:r>
              <w:rPr>
                <w:rFonts w:hint="eastAsia" w:ascii="宋体" w:hAnsi="宋体" w:eastAsia="宋体" w:cs="宋体"/>
                <w:i w:val="0"/>
                <w:iCs w:val="0"/>
                <w:color w:val="auto"/>
                <w:kern w:val="0"/>
                <w:sz w:val="18"/>
                <w:szCs w:val="18"/>
                <w:u w:val="none"/>
                <w:vertAlign w:val="subscript"/>
                <w:lang w:val="en-US" w:eastAsia="zh-CN" w:bidi="ar"/>
              </w:rPr>
              <w:t>1</w:t>
            </w:r>
          </w:p>
        </w:tc>
        <w:tc>
          <w:tcPr>
            <w:tcW w:w="2268" w:type="dxa"/>
            <w:vAlign w:val="center"/>
          </w:tcPr>
          <w:p w14:paraId="5E5638E0">
            <w:pPr>
              <w:keepNext w:val="0"/>
              <w:keepLines w:val="0"/>
              <w:widowControl/>
              <w:suppressLineNumbers w:val="0"/>
              <w:jc w:val="center"/>
              <w:textAlignment w:val="center"/>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E</w:t>
            </w:r>
            <w:r>
              <w:rPr>
                <w:rFonts w:hint="eastAsia" w:ascii="宋体" w:hAnsi="宋体" w:eastAsia="宋体" w:cs="宋体"/>
                <w:i w:val="0"/>
                <w:iCs w:val="0"/>
                <w:color w:val="auto"/>
                <w:kern w:val="0"/>
                <w:sz w:val="18"/>
                <w:szCs w:val="18"/>
                <w:u w:val="none"/>
                <w:vertAlign w:val="subscript"/>
                <w:lang w:val="en-US" w:eastAsia="zh-CN" w:bidi="ar"/>
              </w:rPr>
              <w:t>2</w:t>
            </w:r>
          </w:p>
        </w:tc>
        <w:tc>
          <w:tcPr>
            <w:tcW w:w="2268" w:type="dxa"/>
            <w:vAlign w:val="center"/>
          </w:tcPr>
          <w:p w14:paraId="054CDB0D">
            <w:pPr>
              <w:keepNext w:val="0"/>
              <w:keepLines w:val="0"/>
              <w:widowControl/>
              <w:suppressLineNumbers w:val="0"/>
              <w:jc w:val="center"/>
              <w:textAlignment w:val="center"/>
              <w:rPr>
                <w:rFonts w:hint="eastAsia" w:cs="Times New Roman" w:eastAsiaTheme="minorEastAsia"/>
                <w:b w:val="0"/>
                <w:bCs w:val="0"/>
                <w:color w:val="auto"/>
                <w:kern w:val="0"/>
                <w:sz w:val="18"/>
                <w:szCs w:val="18"/>
                <w:vertAlign w:val="baseline"/>
                <w:lang w:val="en-US" w:eastAsia="zh-CN" w:bidi="ar-SA"/>
              </w:rPr>
            </w:pPr>
            <w:r>
              <w:rPr>
                <w:rFonts w:hint="eastAsia" w:ascii="宋体" w:hAnsi="宋体" w:eastAsia="宋体" w:cs="宋体"/>
                <w:i w:val="0"/>
                <w:iCs w:val="0"/>
                <w:color w:val="auto"/>
                <w:kern w:val="0"/>
                <w:sz w:val="18"/>
                <w:szCs w:val="18"/>
                <w:u w:val="none"/>
                <w:lang w:val="en-US" w:eastAsia="zh-CN" w:bidi="ar"/>
              </w:rPr>
              <w:t>E</w:t>
            </w:r>
            <w:r>
              <w:rPr>
                <w:rFonts w:hint="eastAsia" w:ascii="宋体" w:hAnsi="宋体" w:eastAsia="宋体" w:cs="宋体"/>
                <w:i w:val="0"/>
                <w:iCs w:val="0"/>
                <w:color w:val="auto"/>
                <w:kern w:val="0"/>
                <w:sz w:val="18"/>
                <w:szCs w:val="18"/>
                <w:u w:val="none"/>
                <w:vertAlign w:val="subscript"/>
                <w:lang w:val="en-US" w:eastAsia="zh-CN" w:bidi="ar"/>
              </w:rPr>
              <w:t>3</w:t>
            </w:r>
          </w:p>
        </w:tc>
      </w:tr>
    </w:tbl>
    <w:p w14:paraId="260F8A8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outlineLvl w:val="9"/>
        <w:rPr>
          <w:rFonts w:hint="eastAsia" w:cs="Times New Roman" w:eastAsiaTheme="minorEastAsia"/>
          <w:b w:val="0"/>
          <w:bCs w:val="0"/>
          <w:color w:val="auto"/>
          <w:kern w:val="0"/>
          <w:sz w:val="21"/>
          <w:szCs w:val="21"/>
          <w:lang w:val="en-US" w:eastAsia="zh-CN" w:bidi="ar-SA"/>
        </w:rPr>
      </w:pPr>
    </w:p>
    <w:p w14:paraId="38020C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textAlignment w:val="auto"/>
        <w:outlineLvl w:val="9"/>
        <w:rPr>
          <w:rFonts w:hint="eastAsia" w:cs="Times New Roman" w:eastAsiaTheme="minorEastAsia"/>
          <w:b w:val="0"/>
          <w:bCs w:val="0"/>
          <w:color w:val="auto"/>
          <w:kern w:val="0"/>
          <w:sz w:val="21"/>
          <w:szCs w:val="21"/>
          <w:vertAlign w:val="baseline"/>
          <w:lang w:val="en-US" w:eastAsia="zh-CN" w:bidi="ar-SA"/>
        </w:rPr>
      </w:pPr>
      <w:r>
        <w:rPr>
          <w:rFonts w:hint="eastAsia" w:cs="Times New Roman" w:eastAsiaTheme="minorEastAsia"/>
          <w:b w:val="0"/>
          <w:bCs w:val="0"/>
          <w:color w:val="auto"/>
          <w:kern w:val="0"/>
          <w:sz w:val="21"/>
          <w:szCs w:val="21"/>
          <w:lang w:val="en-US" w:eastAsia="zh-CN" w:bidi="ar-SA"/>
        </w:rPr>
        <w:t>在附录A中已经明确办公场景最低环境等级为M</w:t>
      </w:r>
      <w:r>
        <w:rPr>
          <w:rFonts w:hint="eastAsia" w:cs="Times New Roman" w:eastAsiaTheme="minorEastAsia"/>
          <w:b w:val="0"/>
          <w:bCs w:val="0"/>
          <w:color w:val="auto"/>
          <w:kern w:val="0"/>
          <w:sz w:val="21"/>
          <w:szCs w:val="21"/>
          <w:vertAlign w:val="subscript"/>
          <w:lang w:val="en-US" w:eastAsia="zh-CN" w:bidi="ar-SA"/>
        </w:rPr>
        <w:t>1</w:t>
      </w:r>
      <w:r>
        <w:rPr>
          <w:rFonts w:hint="eastAsia" w:cs="Times New Roman" w:eastAsiaTheme="minorEastAsia"/>
          <w:b w:val="0"/>
          <w:bCs w:val="0"/>
          <w:color w:val="auto"/>
          <w:kern w:val="0"/>
          <w:sz w:val="21"/>
          <w:szCs w:val="21"/>
          <w:lang w:val="en-US" w:eastAsia="zh-CN" w:bidi="ar-SA"/>
        </w:rPr>
        <w:t>I</w:t>
      </w:r>
      <w:r>
        <w:rPr>
          <w:rFonts w:hint="eastAsia" w:cs="Times New Roman" w:eastAsiaTheme="minorEastAsia"/>
          <w:b w:val="0"/>
          <w:bCs w:val="0"/>
          <w:color w:val="auto"/>
          <w:kern w:val="0"/>
          <w:sz w:val="21"/>
          <w:szCs w:val="21"/>
          <w:vertAlign w:val="subscript"/>
          <w:lang w:val="en-US" w:eastAsia="zh-CN" w:bidi="ar-SA"/>
        </w:rPr>
        <w:t>1</w:t>
      </w:r>
      <w:r>
        <w:rPr>
          <w:rFonts w:hint="eastAsia" w:cs="Times New Roman" w:eastAsiaTheme="minorEastAsia"/>
          <w:b w:val="0"/>
          <w:bCs w:val="0"/>
          <w:color w:val="auto"/>
          <w:kern w:val="0"/>
          <w:sz w:val="21"/>
          <w:szCs w:val="21"/>
          <w:lang w:val="en-US" w:eastAsia="zh-CN" w:bidi="ar-SA"/>
        </w:rPr>
        <w:t>C</w:t>
      </w:r>
      <w:r>
        <w:rPr>
          <w:rFonts w:hint="eastAsia" w:cs="Times New Roman" w:eastAsiaTheme="minorEastAsia"/>
          <w:b w:val="0"/>
          <w:bCs w:val="0"/>
          <w:color w:val="auto"/>
          <w:kern w:val="0"/>
          <w:sz w:val="21"/>
          <w:szCs w:val="21"/>
          <w:vertAlign w:val="subscript"/>
          <w:lang w:val="en-US" w:eastAsia="zh-CN" w:bidi="ar-SA"/>
        </w:rPr>
        <w:t>1</w:t>
      </w:r>
      <w:r>
        <w:rPr>
          <w:rFonts w:hint="eastAsia" w:cs="Times New Roman" w:eastAsiaTheme="minorEastAsia"/>
          <w:b w:val="0"/>
          <w:bCs w:val="0"/>
          <w:color w:val="auto"/>
          <w:kern w:val="0"/>
          <w:sz w:val="21"/>
          <w:szCs w:val="21"/>
          <w:lang w:val="en-US" w:eastAsia="zh-CN" w:bidi="ar-SA"/>
        </w:rPr>
        <w:t>E</w:t>
      </w:r>
      <w:r>
        <w:rPr>
          <w:rFonts w:hint="eastAsia" w:cs="Times New Roman" w:eastAsiaTheme="minorEastAsia"/>
          <w:b w:val="0"/>
          <w:bCs w:val="0"/>
          <w:color w:val="auto"/>
          <w:kern w:val="0"/>
          <w:sz w:val="21"/>
          <w:szCs w:val="21"/>
          <w:vertAlign w:val="subscript"/>
          <w:lang w:val="en-US" w:eastAsia="zh-CN" w:bidi="ar-SA"/>
        </w:rPr>
        <w:t>1</w:t>
      </w:r>
      <w:r>
        <w:rPr>
          <w:rFonts w:hint="eastAsia" w:cs="Times New Roman" w:eastAsiaTheme="minorEastAsia"/>
          <w:b w:val="0"/>
          <w:bCs w:val="0"/>
          <w:color w:val="auto"/>
          <w:kern w:val="0"/>
          <w:sz w:val="21"/>
          <w:szCs w:val="21"/>
          <w:vertAlign w:val="baseline"/>
          <w:lang w:val="en-US" w:eastAsia="zh-CN" w:bidi="ar-SA"/>
        </w:rPr>
        <w:t>，同时明确了电磁环境的3个等级所对应的参数要求，对于机械、侵入、气候等环境条件不同等级对应的参数可按 《信息技术用户建筑群通用布缆 第1部分：通用要求》GB/T 18233.1中的规定确定。</w:t>
      </w:r>
    </w:p>
    <w:p w14:paraId="67CA8A5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textAlignment w:val="auto"/>
        <w:outlineLvl w:val="9"/>
        <w:rPr>
          <w:rFonts w:hint="default" w:cs="Times New Roman" w:eastAsiaTheme="minorEastAsia"/>
          <w:b w:val="0"/>
          <w:bCs w:val="0"/>
          <w:color w:val="auto"/>
          <w:kern w:val="0"/>
          <w:sz w:val="21"/>
          <w:szCs w:val="21"/>
          <w:vertAlign w:val="baseline"/>
          <w:lang w:val="en-US" w:eastAsia="zh-CN" w:bidi="ar-SA"/>
        </w:rPr>
      </w:pPr>
      <w:r>
        <w:rPr>
          <w:rFonts w:hint="default" w:cs="Times New Roman" w:eastAsiaTheme="minorEastAsia"/>
          <w:b w:val="0"/>
          <w:bCs w:val="0"/>
          <w:color w:val="auto"/>
          <w:kern w:val="0"/>
          <w:sz w:val="21"/>
          <w:szCs w:val="21"/>
          <w:vertAlign w:val="baseline"/>
          <w:lang w:val="en-US" w:eastAsia="zh-CN" w:bidi="ar-SA"/>
        </w:rPr>
        <w:t>4.3.3</w:t>
      </w:r>
      <w:r>
        <w:rPr>
          <w:rFonts w:hint="eastAsia" w:cs="Times New Roman" w:eastAsiaTheme="minorEastAsia"/>
          <w:b w:val="0"/>
          <w:bCs w:val="0"/>
          <w:color w:val="auto"/>
          <w:kern w:val="0"/>
          <w:sz w:val="21"/>
          <w:szCs w:val="21"/>
          <w:vertAlign w:val="baseline"/>
          <w:lang w:val="en-US" w:eastAsia="zh-CN" w:bidi="ar-SA"/>
        </w:rPr>
        <w:t xml:space="preserve"> PoDL系统的五类（A/B/C/D/E）分类是在IEEE 802.3bu-2016《IEEE Standard for Ethernet - Amendment 11: Physical Layer and Management Parameters for DC Power Delivery Over a Single Twisted Pair Ethernet Cable》中定义的，主要用来针对不同场景采用不同的PoDL类型</w:t>
      </w:r>
    </w:p>
    <w:p w14:paraId="2274873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textAlignment w:val="auto"/>
        <w:outlineLvl w:val="9"/>
        <w:rPr>
          <w:rFonts w:hint="default" w:cs="Times New Roman" w:eastAsiaTheme="minorEastAsia"/>
          <w:b w:val="0"/>
          <w:bCs w:val="0"/>
          <w:color w:val="auto"/>
          <w:kern w:val="0"/>
          <w:sz w:val="21"/>
          <w:szCs w:val="21"/>
          <w:vertAlign w:val="baseline"/>
          <w:lang w:val="en-US" w:eastAsia="zh-CN" w:bidi="ar-SA"/>
        </w:rPr>
      </w:pPr>
      <w:r>
        <w:rPr>
          <w:rFonts w:hint="default" w:cs="Times New Roman" w:eastAsiaTheme="minorEastAsia"/>
          <w:b w:val="0"/>
          <w:bCs w:val="0"/>
          <w:color w:val="auto"/>
          <w:kern w:val="0"/>
          <w:sz w:val="21"/>
          <w:szCs w:val="21"/>
          <w:vertAlign w:val="baseline"/>
          <w:lang w:val="en-US" w:eastAsia="zh-CN" w:bidi="ar-SA"/>
        </w:rPr>
        <w:t>表四PoDL分类及兼容性中的“无数据或不兼容”类型指的是单线对对绞电缆仅传送电力而不传送数据信息的场景，即仅将单线对对绞电缆当做电力电缆使用。</w:t>
      </w:r>
    </w:p>
    <w:p w14:paraId="35113AF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textAlignment w:val="auto"/>
        <w:outlineLvl w:val="9"/>
        <w:rPr>
          <w:rFonts w:hint="eastAsia" w:cs="Times New Roman" w:eastAsiaTheme="minorEastAsia"/>
          <w:b w:val="0"/>
          <w:bCs w:val="0"/>
          <w:color w:val="auto"/>
          <w:kern w:val="0"/>
          <w:sz w:val="21"/>
          <w:szCs w:val="21"/>
          <w:vertAlign w:val="baseline"/>
          <w:lang w:val="en-US" w:eastAsia="zh-CN" w:bidi="ar-SA"/>
        </w:rPr>
      </w:pPr>
      <w:r>
        <w:rPr>
          <w:rFonts w:hint="eastAsia" w:cs="Times New Roman" w:eastAsiaTheme="minorEastAsia"/>
          <w:b w:val="0"/>
          <w:bCs w:val="0"/>
          <w:color w:val="auto"/>
          <w:kern w:val="0"/>
          <w:sz w:val="21"/>
          <w:szCs w:val="21"/>
          <w:vertAlign w:val="baseline"/>
          <w:lang w:val="en-US" w:eastAsia="zh-CN" w:bidi="ar-SA"/>
        </w:rPr>
        <w:t>4.3.6 表7 PoDL链路直流电阻要求规定了对于不同PoDL等级的链路的直流电阻要求，这一要求仅针对电力传送要求，对于单对以太网系统，由于还需考虑数据信息传送要求，信道对于直流电阻也有相应要求，如《数字通信用单线对对绞电缆》YD/T 4304-2023行业标准中对于单线对对绞电缆直流电阻提出如下要求：</w:t>
      </w:r>
    </w:p>
    <w:p w14:paraId="60C16A3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jc w:val="center"/>
        <w:textAlignment w:val="auto"/>
        <w:outlineLvl w:val="9"/>
        <w:rPr>
          <w:rFonts w:hint="eastAsia" w:ascii="黑体" w:hAnsi="黑体" w:eastAsia="黑体" w:cs="黑体"/>
          <w:b w:val="0"/>
          <w:bCs w:val="0"/>
          <w:color w:val="auto"/>
          <w:kern w:val="0"/>
          <w:sz w:val="21"/>
          <w:szCs w:val="21"/>
          <w:vertAlign w:val="baseline"/>
          <w:lang w:val="en-US" w:eastAsia="zh-CN" w:bidi="ar-SA"/>
        </w:rPr>
      </w:pPr>
      <w:r>
        <w:rPr>
          <w:rFonts w:hint="eastAsia" w:ascii="黑体" w:hAnsi="黑体" w:eastAsia="黑体" w:cs="黑体"/>
          <w:b w:val="0"/>
          <w:bCs w:val="0"/>
          <w:color w:val="auto"/>
          <w:kern w:val="0"/>
          <w:sz w:val="21"/>
          <w:szCs w:val="21"/>
          <w:vertAlign w:val="baseline"/>
          <w:lang w:val="en-US" w:eastAsia="zh-CN" w:bidi="ar-SA"/>
        </w:rPr>
        <w:t>表2 《数字通信用单线对对绞电缆》中单线对对绞电缆直流电阻要求</w:t>
      </w:r>
    </w:p>
    <w:tbl>
      <w:tblPr>
        <w:tblStyle w:val="3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68"/>
        <w:gridCol w:w="2268"/>
        <w:gridCol w:w="1746"/>
        <w:gridCol w:w="2268"/>
      </w:tblGrid>
      <w:tr w14:paraId="69F38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268" w:type="dxa"/>
            <w:tcBorders>
              <w:top w:val="single" w:color="auto" w:sz="6" w:space="0"/>
              <w:left w:val="single" w:color="auto" w:sz="6" w:space="0"/>
              <w:bottom w:val="single" w:color="auto" w:sz="6" w:space="0"/>
              <w:right w:val="single" w:color="auto" w:sz="6" w:space="0"/>
              <w:tl2br w:val="nil"/>
              <w:tr2bl w:val="nil"/>
            </w:tcBorders>
            <w:noWrap w:val="0"/>
            <w:vAlign w:val="top"/>
          </w:tcPr>
          <w:p w14:paraId="172B5AC6">
            <w:pPr>
              <w:spacing w:beforeLines="0" w:afterLines="0"/>
              <w:jc w:val="center"/>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项目名称</w:t>
            </w:r>
          </w:p>
        </w:tc>
        <w:tc>
          <w:tcPr>
            <w:tcW w:w="2268" w:type="dxa"/>
            <w:tcBorders>
              <w:top w:val="single" w:color="auto" w:sz="6" w:space="0"/>
              <w:left w:val="single" w:color="auto" w:sz="6" w:space="0"/>
              <w:bottom w:val="single" w:color="auto" w:sz="6" w:space="0"/>
              <w:right w:val="single" w:color="auto" w:sz="6" w:space="0"/>
              <w:tl2br w:val="nil"/>
              <w:tr2bl w:val="nil"/>
            </w:tcBorders>
            <w:noWrap w:val="0"/>
            <w:vAlign w:val="top"/>
          </w:tcPr>
          <w:p w14:paraId="6F2C1D9F">
            <w:pPr>
              <w:spacing w:beforeLines="0" w:afterLines="0"/>
              <w:jc w:val="center"/>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lang w:val="en-US" w:eastAsia="zh-CN"/>
              </w:rPr>
              <w:t>单位</w:t>
            </w:r>
          </w:p>
        </w:tc>
        <w:tc>
          <w:tcPr>
            <w:tcW w:w="174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3640BF6">
            <w:pPr>
              <w:spacing w:beforeLines="0" w:afterLines="0"/>
              <w:jc w:val="center"/>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单位</w:t>
            </w:r>
          </w:p>
        </w:tc>
        <w:tc>
          <w:tcPr>
            <w:tcW w:w="2268" w:type="dxa"/>
            <w:tcBorders>
              <w:top w:val="single" w:color="auto" w:sz="6" w:space="0"/>
              <w:left w:val="single" w:color="auto" w:sz="6" w:space="0"/>
              <w:bottom w:val="single" w:color="auto" w:sz="6" w:space="0"/>
              <w:right w:val="single" w:color="auto" w:sz="6" w:space="0"/>
              <w:tl2br w:val="nil"/>
              <w:tr2bl w:val="nil"/>
            </w:tcBorders>
            <w:noWrap w:val="0"/>
            <w:vAlign w:val="top"/>
          </w:tcPr>
          <w:p w14:paraId="771E0FD2">
            <w:pPr>
              <w:spacing w:beforeLines="0" w:afterLines="0"/>
              <w:jc w:val="center"/>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指标</w:t>
            </w:r>
          </w:p>
        </w:tc>
      </w:tr>
      <w:tr w14:paraId="32249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268" w:type="dxa"/>
            <w:vMerge w:val="restart"/>
            <w:tcBorders>
              <w:top w:val="single" w:color="auto" w:sz="6" w:space="0"/>
              <w:left w:val="single" w:color="auto" w:sz="6" w:space="0"/>
              <w:right w:val="single" w:color="auto" w:sz="6" w:space="0"/>
              <w:tl2br w:val="nil"/>
              <w:tr2bl w:val="nil"/>
            </w:tcBorders>
            <w:noWrap w:val="0"/>
            <w:vAlign w:val="center"/>
          </w:tcPr>
          <w:p w14:paraId="23F85BEF">
            <w:pPr>
              <w:spacing w:beforeLines="0" w:afterLines="0"/>
              <w:jc w:val="center"/>
              <w:rPr>
                <w:rFonts w:hint="default" w:ascii="Times New Roman" w:hAnsi="Times New Roman" w:eastAsiaTheme="minorEastAsia"/>
                <w:color w:val="auto"/>
                <w:sz w:val="18"/>
                <w:szCs w:val="18"/>
              </w:rPr>
            </w:pPr>
            <w:r>
              <w:rPr>
                <w:rFonts w:hint="default" w:ascii="Times New Roman" w:hAnsi="Times New Roman" w:eastAsiaTheme="minorEastAsia"/>
                <w:color w:val="auto"/>
                <w:sz w:val="18"/>
                <w:szCs w:val="18"/>
              </w:rPr>
              <w:t>20℃时单根导体直流电阻,最大值</w:t>
            </w:r>
          </w:p>
        </w:tc>
        <w:tc>
          <w:tcPr>
            <w:tcW w:w="226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14DC991">
            <w:pPr>
              <w:spacing w:beforeLines="0" w:afterLines="0"/>
              <w:jc w:val="center"/>
              <w:rPr>
                <w:rFonts w:hint="default" w:ascii="Times New Roman" w:hAnsi="Times New Roman" w:eastAsiaTheme="minorEastAsia"/>
                <w:color w:val="auto"/>
                <w:sz w:val="18"/>
                <w:szCs w:val="18"/>
              </w:rPr>
            </w:pPr>
            <w:r>
              <w:rPr>
                <w:rFonts w:hint="default" w:ascii="Times New Roman" w:hAnsi="Times New Roman" w:eastAsiaTheme="minorEastAsia"/>
                <w:color w:val="auto"/>
                <w:sz w:val="18"/>
                <w:szCs w:val="18"/>
              </w:rPr>
              <w:t>HS-600</w:t>
            </w:r>
          </w:p>
        </w:tc>
        <w:tc>
          <w:tcPr>
            <w:tcW w:w="1746" w:type="dxa"/>
            <w:vMerge w:val="restart"/>
            <w:tcBorders>
              <w:top w:val="single" w:color="auto" w:sz="6" w:space="0"/>
              <w:left w:val="single" w:color="auto" w:sz="6" w:space="0"/>
              <w:right w:val="single" w:color="auto" w:sz="6" w:space="0"/>
              <w:tl2br w:val="nil"/>
              <w:tr2bl w:val="nil"/>
            </w:tcBorders>
            <w:noWrap w:val="0"/>
            <w:vAlign w:val="center"/>
          </w:tcPr>
          <w:p w14:paraId="565F7BF4">
            <w:pPr>
              <w:spacing w:beforeLines="0" w:afterLines="0"/>
              <w:jc w:val="center"/>
              <w:rPr>
                <w:rFonts w:hint="default" w:ascii="Times New Roman" w:hAnsi="Times New Roman" w:eastAsiaTheme="minorEastAsia"/>
                <w:color w:val="auto"/>
                <w:sz w:val="18"/>
                <w:szCs w:val="18"/>
              </w:rPr>
            </w:pPr>
            <w:r>
              <w:rPr>
                <w:rFonts w:hint="default" w:ascii="Times New Roman" w:hAnsi="Times New Roman" w:eastAsiaTheme="minorEastAsia"/>
                <w:color w:val="auto"/>
                <w:sz w:val="18"/>
                <w:szCs w:val="18"/>
              </w:rPr>
              <w:t>Ω/km</w:t>
            </w:r>
          </w:p>
        </w:tc>
        <w:tc>
          <w:tcPr>
            <w:tcW w:w="226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FD80728">
            <w:pPr>
              <w:spacing w:beforeLines="0" w:afterLines="0"/>
              <w:jc w:val="center"/>
              <w:rPr>
                <w:rFonts w:hint="default" w:ascii="Times New Roman" w:hAnsi="Times New Roman" w:eastAsiaTheme="minorEastAsia"/>
                <w:color w:val="auto"/>
                <w:sz w:val="18"/>
                <w:szCs w:val="18"/>
              </w:rPr>
            </w:pPr>
            <w:r>
              <w:rPr>
                <w:rFonts w:hint="default" w:ascii="Times New Roman" w:hAnsi="Times New Roman" w:eastAsiaTheme="minorEastAsia"/>
                <w:color w:val="auto"/>
                <w:sz w:val="18"/>
                <w:szCs w:val="18"/>
              </w:rPr>
              <w:t>≤145</w:t>
            </w:r>
          </w:p>
        </w:tc>
      </w:tr>
      <w:tr w14:paraId="05FC6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268" w:type="dxa"/>
            <w:vMerge w:val="continue"/>
            <w:tcBorders>
              <w:left w:val="single" w:color="auto" w:sz="6" w:space="0"/>
              <w:right w:val="single" w:color="auto" w:sz="6" w:space="0"/>
              <w:tl2br w:val="nil"/>
              <w:tr2bl w:val="nil"/>
            </w:tcBorders>
            <w:noWrap w:val="0"/>
            <w:vAlign w:val="top"/>
          </w:tcPr>
          <w:p w14:paraId="15E3EB30">
            <w:pPr>
              <w:spacing w:beforeLines="0" w:afterLines="0"/>
              <w:jc w:val="center"/>
              <w:rPr>
                <w:rFonts w:hint="default" w:ascii="Times New Roman" w:hAnsi="Times New Roman" w:eastAsiaTheme="minorEastAsia"/>
                <w:color w:val="auto"/>
                <w:sz w:val="18"/>
                <w:szCs w:val="18"/>
              </w:rPr>
            </w:pPr>
          </w:p>
        </w:tc>
        <w:tc>
          <w:tcPr>
            <w:tcW w:w="2268" w:type="dxa"/>
            <w:tcBorders>
              <w:top w:val="single" w:color="auto" w:sz="6" w:space="0"/>
              <w:left w:val="single" w:color="auto" w:sz="6" w:space="0"/>
              <w:bottom w:val="single" w:color="auto" w:sz="6" w:space="0"/>
              <w:right w:val="single" w:color="auto" w:sz="6" w:space="0"/>
              <w:tl2br w:val="nil"/>
              <w:tr2bl w:val="nil"/>
            </w:tcBorders>
            <w:noWrap w:val="0"/>
            <w:vAlign w:val="top"/>
          </w:tcPr>
          <w:p w14:paraId="24A70D7E">
            <w:pPr>
              <w:spacing w:beforeLines="0" w:afterLines="0"/>
              <w:jc w:val="center"/>
              <w:rPr>
                <w:rFonts w:hint="default" w:ascii="Times New Roman" w:hAnsi="Times New Roman" w:eastAsiaTheme="minorEastAsia"/>
                <w:color w:val="auto"/>
                <w:sz w:val="18"/>
                <w:szCs w:val="18"/>
              </w:rPr>
            </w:pPr>
            <w:r>
              <w:rPr>
                <w:rFonts w:hint="default" w:ascii="Times New Roman" w:hAnsi="Times New Roman" w:eastAsiaTheme="minorEastAsia"/>
                <w:color w:val="auto"/>
                <w:sz w:val="18"/>
                <w:szCs w:val="18"/>
              </w:rPr>
              <w:t>HSQ-600</w:t>
            </w:r>
          </w:p>
        </w:tc>
        <w:tc>
          <w:tcPr>
            <w:tcW w:w="1746" w:type="dxa"/>
            <w:vMerge w:val="continue"/>
            <w:tcBorders>
              <w:left w:val="single" w:color="auto" w:sz="6" w:space="0"/>
              <w:right w:val="single" w:color="auto" w:sz="6" w:space="0"/>
              <w:tl2br w:val="nil"/>
              <w:tr2bl w:val="nil"/>
            </w:tcBorders>
            <w:noWrap w:val="0"/>
            <w:vAlign w:val="center"/>
          </w:tcPr>
          <w:p w14:paraId="10EF591D">
            <w:pPr>
              <w:spacing w:beforeLines="0" w:afterLines="0"/>
              <w:jc w:val="center"/>
              <w:rPr>
                <w:rFonts w:hint="default" w:ascii="Times New Roman" w:hAnsi="Times New Roman" w:eastAsiaTheme="minorEastAsia"/>
                <w:color w:val="auto"/>
                <w:sz w:val="18"/>
                <w:szCs w:val="18"/>
              </w:rPr>
            </w:pPr>
          </w:p>
        </w:tc>
        <w:tc>
          <w:tcPr>
            <w:tcW w:w="2268" w:type="dxa"/>
            <w:tcBorders>
              <w:top w:val="single" w:color="auto" w:sz="6" w:space="0"/>
              <w:left w:val="single" w:color="auto" w:sz="6" w:space="0"/>
              <w:bottom w:val="single" w:color="auto" w:sz="6" w:space="0"/>
              <w:right w:val="single" w:color="auto" w:sz="6" w:space="0"/>
              <w:tl2br w:val="nil"/>
              <w:tr2bl w:val="nil"/>
            </w:tcBorders>
            <w:noWrap w:val="0"/>
            <w:vAlign w:val="top"/>
          </w:tcPr>
          <w:p w14:paraId="19A02BCA">
            <w:pPr>
              <w:spacing w:beforeLines="0" w:afterLines="0"/>
              <w:jc w:val="center"/>
              <w:rPr>
                <w:rFonts w:hint="default" w:ascii="Times New Roman" w:hAnsi="Times New Roman" w:eastAsiaTheme="minorEastAsia"/>
                <w:color w:val="auto"/>
                <w:sz w:val="18"/>
                <w:szCs w:val="18"/>
              </w:rPr>
            </w:pPr>
            <w:r>
              <w:rPr>
                <w:rFonts w:hint="default" w:ascii="Times New Roman" w:hAnsi="Times New Roman" w:eastAsiaTheme="minorEastAsia"/>
                <w:color w:val="auto"/>
                <w:sz w:val="18"/>
                <w:szCs w:val="18"/>
              </w:rPr>
              <w:t>≤145</w:t>
            </w:r>
          </w:p>
        </w:tc>
      </w:tr>
      <w:tr w14:paraId="1CCB9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268" w:type="dxa"/>
            <w:vMerge w:val="continue"/>
            <w:tcBorders>
              <w:left w:val="single" w:color="auto" w:sz="6" w:space="0"/>
              <w:right w:val="single" w:color="auto" w:sz="6" w:space="0"/>
              <w:tl2br w:val="nil"/>
              <w:tr2bl w:val="nil"/>
            </w:tcBorders>
            <w:noWrap w:val="0"/>
            <w:vAlign w:val="top"/>
          </w:tcPr>
          <w:p w14:paraId="1CB4DDA3">
            <w:pPr>
              <w:spacing w:beforeLines="0" w:afterLines="0"/>
              <w:jc w:val="center"/>
              <w:rPr>
                <w:rFonts w:hint="default" w:ascii="Times New Roman" w:hAnsi="Times New Roman" w:eastAsiaTheme="minorEastAsia"/>
                <w:color w:val="auto"/>
                <w:sz w:val="18"/>
                <w:szCs w:val="18"/>
              </w:rPr>
            </w:pPr>
          </w:p>
        </w:tc>
        <w:tc>
          <w:tcPr>
            <w:tcW w:w="2268" w:type="dxa"/>
            <w:tcBorders>
              <w:top w:val="single" w:color="auto" w:sz="6" w:space="0"/>
              <w:left w:val="single" w:color="auto" w:sz="6" w:space="0"/>
              <w:bottom w:val="single" w:color="auto" w:sz="6" w:space="0"/>
              <w:right w:val="single" w:color="auto" w:sz="6" w:space="0"/>
              <w:tl2br w:val="nil"/>
              <w:tr2bl w:val="nil"/>
            </w:tcBorders>
            <w:noWrap w:val="0"/>
            <w:vAlign w:val="top"/>
          </w:tcPr>
          <w:p w14:paraId="4D79317B">
            <w:pPr>
              <w:spacing w:beforeLines="0" w:afterLines="0"/>
              <w:jc w:val="center"/>
              <w:rPr>
                <w:rFonts w:hint="default" w:ascii="Times New Roman" w:hAnsi="Times New Roman" w:eastAsiaTheme="minorEastAsia"/>
                <w:color w:val="auto"/>
                <w:sz w:val="18"/>
                <w:szCs w:val="18"/>
              </w:rPr>
            </w:pPr>
            <w:r>
              <w:rPr>
                <w:rFonts w:hint="default" w:ascii="Times New Roman" w:hAnsi="Times New Roman" w:eastAsiaTheme="minorEastAsia"/>
                <w:color w:val="auto"/>
                <w:sz w:val="18"/>
                <w:szCs w:val="18"/>
              </w:rPr>
              <w:t>HS-20-A1000</w:t>
            </w:r>
          </w:p>
        </w:tc>
        <w:tc>
          <w:tcPr>
            <w:tcW w:w="1746" w:type="dxa"/>
            <w:vMerge w:val="continue"/>
            <w:tcBorders>
              <w:left w:val="single" w:color="auto" w:sz="6" w:space="0"/>
              <w:right w:val="single" w:color="auto" w:sz="6" w:space="0"/>
              <w:tl2br w:val="nil"/>
              <w:tr2bl w:val="nil"/>
            </w:tcBorders>
            <w:noWrap w:val="0"/>
            <w:vAlign w:val="top"/>
          </w:tcPr>
          <w:p w14:paraId="5289C6AF">
            <w:pPr>
              <w:spacing w:beforeLines="0" w:afterLines="0"/>
              <w:jc w:val="center"/>
              <w:rPr>
                <w:rFonts w:hint="default" w:ascii="Times New Roman" w:hAnsi="Times New Roman" w:eastAsiaTheme="minorEastAsia"/>
                <w:color w:val="auto"/>
                <w:sz w:val="18"/>
                <w:szCs w:val="18"/>
              </w:rPr>
            </w:pPr>
          </w:p>
        </w:tc>
        <w:tc>
          <w:tcPr>
            <w:tcW w:w="2268" w:type="dxa"/>
            <w:tcBorders>
              <w:top w:val="single" w:color="auto" w:sz="6" w:space="0"/>
              <w:left w:val="single" w:color="auto" w:sz="6" w:space="0"/>
              <w:bottom w:val="single" w:color="auto" w:sz="6" w:space="0"/>
              <w:right w:val="single" w:color="auto" w:sz="6" w:space="0"/>
              <w:tl2br w:val="nil"/>
              <w:tr2bl w:val="nil"/>
            </w:tcBorders>
            <w:noWrap w:val="0"/>
            <w:vAlign w:val="top"/>
          </w:tcPr>
          <w:p w14:paraId="4018675F">
            <w:pPr>
              <w:spacing w:beforeLines="0" w:afterLines="0"/>
              <w:jc w:val="center"/>
              <w:rPr>
                <w:rFonts w:hint="default" w:ascii="Times New Roman" w:hAnsi="Times New Roman" w:eastAsiaTheme="minorEastAsia"/>
                <w:color w:val="auto"/>
                <w:sz w:val="18"/>
                <w:szCs w:val="18"/>
              </w:rPr>
            </w:pPr>
            <w:r>
              <w:rPr>
                <w:rFonts w:hint="default" w:ascii="Times New Roman" w:hAnsi="Times New Roman" w:eastAsiaTheme="minorEastAsia"/>
                <w:color w:val="auto"/>
                <w:sz w:val="18"/>
                <w:szCs w:val="18"/>
              </w:rPr>
              <w:t>≤23</w:t>
            </w:r>
          </w:p>
        </w:tc>
      </w:tr>
      <w:tr w14:paraId="153AC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268" w:type="dxa"/>
            <w:vMerge w:val="continue"/>
            <w:tcBorders>
              <w:left w:val="single" w:color="auto" w:sz="6" w:space="0"/>
              <w:bottom w:val="single" w:color="auto" w:sz="6" w:space="0"/>
              <w:right w:val="single" w:color="auto" w:sz="6" w:space="0"/>
              <w:tl2br w:val="nil"/>
              <w:tr2bl w:val="nil"/>
            </w:tcBorders>
            <w:noWrap w:val="0"/>
            <w:vAlign w:val="top"/>
          </w:tcPr>
          <w:p w14:paraId="09C3974B">
            <w:pPr>
              <w:spacing w:beforeLines="0" w:afterLines="0"/>
              <w:jc w:val="center"/>
              <w:rPr>
                <w:rFonts w:hint="default" w:ascii="Times New Roman" w:hAnsi="Times New Roman" w:eastAsiaTheme="minorEastAsia"/>
                <w:color w:val="auto"/>
                <w:sz w:val="18"/>
                <w:szCs w:val="18"/>
              </w:rPr>
            </w:pPr>
          </w:p>
        </w:tc>
        <w:tc>
          <w:tcPr>
            <w:tcW w:w="2268" w:type="dxa"/>
            <w:tcBorders>
              <w:top w:val="single" w:color="auto" w:sz="6" w:space="0"/>
              <w:left w:val="single" w:color="auto" w:sz="6" w:space="0"/>
              <w:bottom w:val="single" w:color="auto" w:sz="6" w:space="0"/>
              <w:right w:val="single" w:color="auto" w:sz="6" w:space="0"/>
              <w:tl2br w:val="nil"/>
              <w:tr2bl w:val="nil"/>
            </w:tcBorders>
            <w:noWrap w:val="0"/>
            <w:vAlign w:val="top"/>
          </w:tcPr>
          <w:p w14:paraId="4B3E4132">
            <w:pPr>
              <w:spacing w:beforeLines="0" w:afterLines="0"/>
              <w:jc w:val="center"/>
              <w:rPr>
                <w:rFonts w:hint="default" w:ascii="Times New Roman" w:hAnsi="Times New Roman" w:eastAsiaTheme="minorEastAsia"/>
                <w:color w:val="auto"/>
                <w:sz w:val="18"/>
                <w:szCs w:val="18"/>
              </w:rPr>
            </w:pPr>
            <w:r>
              <w:rPr>
                <w:rFonts w:hint="default" w:ascii="Times New Roman" w:hAnsi="Times New Roman" w:eastAsiaTheme="minorEastAsia"/>
                <w:color w:val="auto"/>
                <w:sz w:val="18"/>
                <w:szCs w:val="18"/>
              </w:rPr>
              <w:t>HS-20-A400</w:t>
            </w:r>
          </w:p>
        </w:tc>
        <w:tc>
          <w:tcPr>
            <w:tcW w:w="1746" w:type="dxa"/>
            <w:vMerge w:val="continue"/>
            <w:tcBorders>
              <w:left w:val="single" w:color="auto" w:sz="6" w:space="0"/>
              <w:bottom w:val="single" w:color="auto" w:sz="6" w:space="0"/>
              <w:right w:val="single" w:color="auto" w:sz="6" w:space="0"/>
              <w:tl2br w:val="nil"/>
              <w:tr2bl w:val="nil"/>
            </w:tcBorders>
            <w:noWrap w:val="0"/>
            <w:vAlign w:val="top"/>
          </w:tcPr>
          <w:p w14:paraId="18569AF5">
            <w:pPr>
              <w:spacing w:beforeLines="0" w:afterLines="0"/>
              <w:jc w:val="center"/>
              <w:rPr>
                <w:rFonts w:hint="default" w:ascii="Times New Roman" w:hAnsi="Times New Roman" w:eastAsiaTheme="minorEastAsia"/>
                <w:color w:val="auto"/>
                <w:sz w:val="18"/>
                <w:szCs w:val="18"/>
              </w:rPr>
            </w:pPr>
          </w:p>
        </w:tc>
        <w:tc>
          <w:tcPr>
            <w:tcW w:w="2268" w:type="dxa"/>
            <w:tcBorders>
              <w:top w:val="single" w:color="auto" w:sz="6" w:space="0"/>
              <w:left w:val="single" w:color="auto" w:sz="6" w:space="0"/>
              <w:bottom w:val="single" w:color="auto" w:sz="6" w:space="0"/>
              <w:right w:val="single" w:color="auto" w:sz="6" w:space="0"/>
              <w:tl2br w:val="nil"/>
              <w:tr2bl w:val="nil"/>
            </w:tcBorders>
            <w:noWrap w:val="0"/>
            <w:vAlign w:val="top"/>
          </w:tcPr>
          <w:p w14:paraId="2761D46B">
            <w:pPr>
              <w:spacing w:beforeLines="0" w:afterLines="0"/>
              <w:jc w:val="center"/>
              <w:rPr>
                <w:rFonts w:hint="default" w:ascii="Times New Roman" w:hAnsi="Times New Roman" w:eastAsiaTheme="minorEastAsia"/>
                <w:color w:val="auto"/>
                <w:sz w:val="18"/>
                <w:szCs w:val="18"/>
              </w:rPr>
            </w:pPr>
            <w:r>
              <w:rPr>
                <w:rFonts w:hint="default" w:ascii="Times New Roman" w:hAnsi="Times New Roman" w:eastAsiaTheme="minorEastAsia"/>
                <w:color w:val="auto"/>
                <w:sz w:val="18"/>
                <w:szCs w:val="18"/>
              </w:rPr>
              <w:t>≤72.5</w:t>
            </w:r>
          </w:p>
        </w:tc>
      </w:tr>
    </w:tbl>
    <w:p w14:paraId="6E0F6B8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textAlignment w:val="auto"/>
        <w:outlineLvl w:val="9"/>
        <w:rPr>
          <w:rFonts w:hint="eastAsia" w:asciiTheme="minorEastAsia" w:hAnsiTheme="minorEastAsia" w:eastAsiaTheme="minorEastAsia" w:cstheme="minorEastAsia"/>
          <w:b w:val="0"/>
          <w:bCs w:val="0"/>
          <w:color w:val="auto"/>
          <w:kern w:val="0"/>
          <w:sz w:val="21"/>
          <w:szCs w:val="21"/>
          <w:vertAlign w:val="baseline"/>
          <w:lang w:val="en-US" w:eastAsia="zh-CN" w:bidi="ar-SA"/>
        </w:rPr>
      </w:pPr>
    </w:p>
    <w:p w14:paraId="6411C32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textAlignment w:val="auto"/>
        <w:outlineLvl w:val="9"/>
        <w:rPr>
          <w:rFonts w:hint="default" w:asciiTheme="minorEastAsia" w:hAnsiTheme="minorEastAsia" w:eastAsiaTheme="minorEastAsia" w:cstheme="minorEastAsia"/>
          <w:b w:val="0"/>
          <w:bCs w:val="0"/>
          <w:color w:val="auto"/>
          <w:kern w:val="0"/>
          <w:sz w:val="21"/>
          <w:szCs w:val="21"/>
          <w:vertAlign w:val="baseline"/>
          <w:lang w:val="en-US" w:eastAsia="zh-CN" w:bidi="ar-SA"/>
        </w:rPr>
      </w:pPr>
      <w:r>
        <w:rPr>
          <w:rFonts w:hint="eastAsia" w:asciiTheme="minorEastAsia" w:hAnsiTheme="minorEastAsia" w:eastAsiaTheme="minorEastAsia" w:cstheme="minorEastAsia"/>
          <w:b w:val="0"/>
          <w:bCs w:val="0"/>
          <w:color w:val="auto"/>
          <w:kern w:val="0"/>
          <w:sz w:val="21"/>
          <w:szCs w:val="21"/>
          <w:vertAlign w:val="baseline"/>
          <w:lang w:val="en-US" w:eastAsia="zh-CN" w:bidi="ar-SA"/>
        </w:rPr>
        <w:t>在《信息通信用单对平衡电缆及信道技术要求》T/CECA 59-2021团体标准中对于单对平衡电最缆最大直流电阻有如下要求：</w:t>
      </w:r>
    </w:p>
    <w:p w14:paraId="072FA77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jc w:val="center"/>
        <w:textAlignment w:val="auto"/>
        <w:outlineLvl w:val="9"/>
        <w:rPr>
          <w:rFonts w:hint="eastAsia" w:ascii="黑体" w:hAnsi="黑体" w:eastAsia="黑体" w:cs="黑体"/>
          <w:b w:val="0"/>
          <w:bCs w:val="0"/>
          <w:color w:val="auto"/>
          <w:kern w:val="0"/>
          <w:sz w:val="21"/>
          <w:szCs w:val="21"/>
          <w:vertAlign w:val="baseline"/>
          <w:lang w:val="en-US" w:eastAsia="zh-CN" w:bidi="ar-SA"/>
        </w:rPr>
      </w:pPr>
      <w:r>
        <w:rPr>
          <w:rFonts w:hint="eastAsia" w:ascii="黑体" w:hAnsi="黑体" w:eastAsia="黑体" w:cs="黑体"/>
          <w:b w:val="0"/>
          <w:bCs w:val="0"/>
          <w:color w:val="auto"/>
          <w:kern w:val="0"/>
          <w:sz w:val="21"/>
          <w:szCs w:val="21"/>
          <w:vertAlign w:val="baseline"/>
          <w:lang w:val="en-US" w:eastAsia="zh-CN" w:bidi="ar-SA"/>
        </w:rPr>
        <w:t>表3 《信息通信用单对平衡电缆及信道技术要求》中20℃下单对平衡电缆的最大直流电阻</w:t>
      </w:r>
    </w:p>
    <w:tbl>
      <w:tblPr>
        <w:tblStyle w:val="36"/>
        <w:tblW w:w="8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701"/>
        <w:gridCol w:w="1134"/>
        <w:gridCol w:w="1746"/>
        <w:gridCol w:w="1701"/>
        <w:gridCol w:w="2268"/>
      </w:tblGrid>
      <w:tr w14:paraId="2F83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701" w:type="dxa"/>
            <w:vMerge w:val="restart"/>
            <w:shd w:val="clear" w:color="auto" w:fill="auto"/>
            <w:vAlign w:val="center"/>
          </w:tcPr>
          <w:p w14:paraId="482172E1">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线缆类型</w:t>
            </w:r>
          </w:p>
        </w:tc>
        <w:tc>
          <w:tcPr>
            <w:tcW w:w="1134" w:type="dxa"/>
            <w:shd w:val="clear" w:color="auto" w:fill="auto"/>
            <w:vAlign w:val="center"/>
          </w:tcPr>
          <w:p w14:paraId="230E20B7">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最高频率</w:t>
            </w:r>
          </w:p>
        </w:tc>
        <w:tc>
          <w:tcPr>
            <w:tcW w:w="1746" w:type="dxa"/>
            <w:shd w:val="clear" w:color="auto" w:fill="auto"/>
            <w:vAlign w:val="center"/>
          </w:tcPr>
          <w:p w14:paraId="029FA32C">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频率范围</w:t>
            </w:r>
          </w:p>
        </w:tc>
        <w:tc>
          <w:tcPr>
            <w:tcW w:w="1701" w:type="dxa"/>
            <w:shd w:val="clear" w:color="auto" w:fill="auto"/>
            <w:vAlign w:val="center"/>
          </w:tcPr>
          <w:p w14:paraId="46CFB6D3">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直流电阻</w:t>
            </w:r>
          </w:p>
        </w:tc>
        <w:tc>
          <w:tcPr>
            <w:tcW w:w="2268" w:type="dxa"/>
            <w:vMerge w:val="restart"/>
            <w:shd w:val="clear" w:color="auto" w:fill="auto"/>
            <w:vAlign w:val="center"/>
          </w:tcPr>
          <w:p w14:paraId="54FE5B2E">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导体类型</w:t>
            </w:r>
          </w:p>
        </w:tc>
      </w:tr>
      <w:tr w14:paraId="425A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701" w:type="dxa"/>
            <w:vMerge w:val="continue"/>
            <w:shd w:val="clear" w:color="auto" w:fill="auto"/>
            <w:vAlign w:val="center"/>
          </w:tcPr>
          <w:p w14:paraId="4395EF69">
            <w:pPr>
              <w:spacing w:beforeLines="0" w:afterLines="0"/>
              <w:jc w:val="center"/>
              <w:rPr>
                <w:rFonts w:hint="default" w:ascii="Times New Roman" w:hAnsi="Times New Roman" w:cs="Times New Roman" w:eastAsiaTheme="minorEastAsia"/>
                <w:i w:val="0"/>
                <w:iCs w:val="0"/>
                <w:color w:val="auto"/>
                <w:sz w:val="18"/>
                <w:szCs w:val="18"/>
                <w:u w:val="none"/>
              </w:rPr>
            </w:pPr>
          </w:p>
        </w:tc>
        <w:tc>
          <w:tcPr>
            <w:tcW w:w="1134" w:type="dxa"/>
            <w:shd w:val="clear" w:color="auto" w:fill="auto"/>
            <w:vAlign w:val="center"/>
          </w:tcPr>
          <w:p w14:paraId="13BA1798">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MHz</w:t>
            </w:r>
          </w:p>
        </w:tc>
        <w:tc>
          <w:tcPr>
            <w:tcW w:w="1746" w:type="dxa"/>
            <w:shd w:val="clear" w:color="auto" w:fill="auto"/>
            <w:vAlign w:val="center"/>
          </w:tcPr>
          <w:p w14:paraId="7F799F20">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MHz</w:t>
            </w:r>
          </w:p>
        </w:tc>
        <w:tc>
          <w:tcPr>
            <w:tcW w:w="1701" w:type="dxa"/>
            <w:shd w:val="clear" w:color="auto" w:fill="auto"/>
            <w:vAlign w:val="center"/>
          </w:tcPr>
          <w:p w14:paraId="74D9040E">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Ω/km</w:t>
            </w:r>
          </w:p>
        </w:tc>
        <w:tc>
          <w:tcPr>
            <w:tcW w:w="2268" w:type="dxa"/>
            <w:vMerge w:val="continue"/>
            <w:shd w:val="clear" w:color="auto" w:fill="auto"/>
            <w:vAlign w:val="center"/>
          </w:tcPr>
          <w:p w14:paraId="09E7DE1D">
            <w:pPr>
              <w:spacing w:beforeLines="0" w:afterLines="0"/>
              <w:jc w:val="center"/>
              <w:rPr>
                <w:rFonts w:hint="default" w:ascii="Times New Roman" w:hAnsi="Times New Roman" w:cs="Times New Roman" w:eastAsiaTheme="minorEastAsia"/>
                <w:i w:val="0"/>
                <w:iCs w:val="0"/>
                <w:color w:val="auto"/>
                <w:sz w:val="18"/>
                <w:szCs w:val="18"/>
                <w:u w:val="none"/>
              </w:rPr>
            </w:pPr>
          </w:p>
        </w:tc>
      </w:tr>
      <w:tr w14:paraId="483F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701" w:type="dxa"/>
            <w:shd w:val="clear" w:color="auto" w:fill="auto"/>
            <w:vAlign w:val="center"/>
          </w:tcPr>
          <w:p w14:paraId="453BA55F">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水平线缆</w:t>
            </w:r>
          </w:p>
        </w:tc>
        <w:tc>
          <w:tcPr>
            <w:tcW w:w="1134" w:type="dxa"/>
            <w:shd w:val="clear" w:color="auto" w:fill="auto"/>
            <w:vAlign w:val="center"/>
          </w:tcPr>
          <w:p w14:paraId="582B30B1">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600</w:t>
            </w:r>
          </w:p>
        </w:tc>
        <w:tc>
          <w:tcPr>
            <w:tcW w:w="1746" w:type="dxa"/>
            <w:shd w:val="clear" w:color="auto" w:fill="auto"/>
            <w:vAlign w:val="center"/>
          </w:tcPr>
          <w:p w14:paraId="064742DE">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1≤</w:t>
            </w:r>
            <w:r>
              <w:rPr>
                <w:rStyle w:val="38"/>
                <w:rFonts w:hint="default" w:ascii="Times New Roman" w:hAnsi="Times New Roman" w:cs="Times New Roman" w:eastAsiaTheme="minorEastAsia"/>
                <w:color w:val="auto"/>
                <w:sz w:val="18"/>
                <w:szCs w:val="18"/>
                <w:lang w:val="en-US" w:eastAsia="zh-CN" w:bidi="ar"/>
              </w:rPr>
              <w:t>f</w:t>
            </w:r>
            <w:r>
              <w:rPr>
                <w:rFonts w:hint="default" w:ascii="Times New Roman" w:hAnsi="Times New Roman" w:cs="Times New Roman" w:eastAsiaTheme="minorEastAsia"/>
                <w:i w:val="0"/>
                <w:iCs w:val="0"/>
                <w:color w:val="auto"/>
                <w:kern w:val="2"/>
                <w:sz w:val="18"/>
                <w:szCs w:val="18"/>
                <w:u w:val="none"/>
                <w:lang w:val="en-US" w:eastAsia="zh-CN" w:bidi="ar"/>
              </w:rPr>
              <w:t>≤600</w:t>
            </w:r>
          </w:p>
        </w:tc>
        <w:tc>
          <w:tcPr>
            <w:tcW w:w="1701" w:type="dxa"/>
            <w:shd w:val="clear" w:color="auto" w:fill="auto"/>
            <w:vAlign w:val="center"/>
          </w:tcPr>
          <w:p w14:paraId="02E475DD">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145</w:t>
            </w:r>
          </w:p>
        </w:tc>
        <w:tc>
          <w:tcPr>
            <w:tcW w:w="2268" w:type="dxa"/>
            <w:shd w:val="clear" w:color="auto" w:fill="auto"/>
            <w:vAlign w:val="center"/>
          </w:tcPr>
          <w:p w14:paraId="40807454">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单股实芯</w:t>
            </w:r>
          </w:p>
        </w:tc>
      </w:tr>
      <w:tr w14:paraId="47E0B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9" w:hRule="atLeast"/>
          <w:jc w:val="center"/>
        </w:trPr>
        <w:tc>
          <w:tcPr>
            <w:tcW w:w="1701" w:type="dxa"/>
            <w:shd w:val="clear" w:color="auto" w:fill="auto"/>
            <w:vAlign w:val="center"/>
          </w:tcPr>
          <w:p w14:paraId="71D4EE05">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工作区线缆</w:t>
            </w:r>
          </w:p>
        </w:tc>
        <w:tc>
          <w:tcPr>
            <w:tcW w:w="1134" w:type="dxa"/>
            <w:shd w:val="clear" w:color="auto" w:fill="auto"/>
            <w:vAlign w:val="center"/>
          </w:tcPr>
          <w:p w14:paraId="66A23C4C">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600</w:t>
            </w:r>
          </w:p>
        </w:tc>
        <w:tc>
          <w:tcPr>
            <w:tcW w:w="1746" w:type="dxa"/>
            <w:shd w:val="clear" w:color="auto" w:fill="auto"/>
            <w:vAlign w:val="center"/>
          </w:tcPr>
          <w:p w14:paraId="75D81658">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1≤</w:t>
            </w:r>
            <w:r>
              <w:rPr>
                <w:rStyle w:val="38"/>
                <w:rFonts w:hint="default" w:ascii="Times New Roman" w:hAnsi="Times New Roman" w:cs="Times New Roman" w:eastAsiaTheme="minorEastAsia"/>
                <w:color w:val="auto"/>
                <w:sz w:val="18"/>
                <w:szCs w:val="18"/>
                <w:lang w:val="en-US" w:eastAsia="zh-CN" w:bidi="ar"/>
              </w:rPr>
              <w:t>f</w:t>
            </w:r>
            <w:r>
              <w:rPr>
                <w:rFonts w:hint="default" w:ascii="Times New Roman" w:hAnsi="Times New Roman" w:cs="Times New Roman" w:eastAsiaTheme="minorEastAsia"/>
                <w:i w:val="0"/>
                <w:iCs w:val="0"/>
                <w:color w:val="auto"/>
                <w:kern w:val="2"/>
                <w:sz w:val="18"/>
                <w:szCs w:val="18"/>
                <w:u w:val="none"/>
                <w:lang w:val="en-US" w:eastAsia="zh-CN" w:bidi="ar"/>
              </w:rPr>
              <w:t>≤600</w:t>
            </w:r>
          </w:p>
        </w:tc>
        <w:tc>
          <w:tcPr>
            <w:tcW w:w="1701" w:type="dxa"/>
            <w:shd w:val="clear" w:color="auto" w:fill="auto"/>
            <w:vAlign w:val="center"/>
          </w:tcPr>
          <w:p w14:paraId="5B587347">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145</w:t>
            </w:r>
          </w:p>
        </w:tc>
        <w:tc>
          <w:tcPr>
            <w:tcW w:w="2268" w:type="dxa"/>
            <w:shd w:val="clear" w:color="auto" w:fill="auto"/>
            <w:vAlign w:val="center"/>
          </w:tcPr>
          <w:p w14:paraId="11E133A5">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单股实芯或多股</w:t>
            </w:r>
          </w:p>
        </w:tc>
      </w:tr>
      <w:tr w14:paraId="75A43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701" w:type="dxa"/>
            <w:shd w:val="clear" w:color="auto" w:fill="auto"/>
            <w:vAlign w:val="center"/>
          </w:tcPr>
          <w:p w14:paraId="131D25B8">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水平线缆</w:t>
            </w:r>
          </w:p>
        </w:tc>
        <w:tc>
          <w:tcPr>
            <w:tcW w:w="1134" w:type="dxa"/>
            <w:shd w:val="clear" w:color="auto" w:fill="auto"/>
            <w:vAlign w:val="center"/>
          </w:tcPr>
          <w:p w14:paraId="3ABA9016">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20</w:t>
            </w:r>
          </w:p>
        </w:tc>
        <w:tc>
          <w:tcPr>
            <w:tcW w:w="1746" w:type="dxa"/>
            <w:shd w:val="clear" w:color="auto" w:fill="auto"/>
            <w:vAlign w:val="center"/>
          </w:tcPr>
          <w:p w14:paraId="33BDBF29">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0.1≤</w:t>
            </w:r>
            <w:r>
              <w:rPr>
                <w:rStyle w:val="38"/>
                <w:rFonts w:hint="default" w:ascii="Times New Roman" w:hAnsi="Times New Roman" w:cs="Times New Roman" w:eastAsiaTheme="minorEastAsia"/>
                <w:color w:val="auto"/>
                <w:sz w:val="18"/>
                <w:szCs w:val="18"/>
                <w:lang w:val="en-US" w:eastAsia="zh-CN" w:bidi="ar"/>
              </w:rPr>
              <w:t>f</w:t>
            </w:r>
            <w:r>
              <w:rPr>
                <w:rFonts w:hint="default" w:ascii="Times New Roman" w:hAnsi="Times New Roman" w:cs="Times New Roman" w:eastAsiaTheme="minorEastAsia"/>
                <w:i w:val="0"/>
                <w:iCs w:val="0"/>
                <w:color w:val="auto"/>
                <w:kern w:val="2"/>
                <w:sz w:val="18"/>
                <w:szCs w:val="18"/>
                <w:u w:val="none"/>
                <w:lang w:val="en-US" w:eastAsia="zh-CN" w:bidi="ar"/>
              </w:rPr>
              <w:t>≤20</w:t>
            </w:r>
          </w:p>
        </w:tc>
        <w:tc>
          <w:tcPr>
            <w:tcW w:w="1701" w:type="dxa"/>
            <w:shd w:val="clear" w:color="auto" w:fill="auto"/>
            <w:vAlign w:val="center"/>
          </w:tcPr>
          <w:p w14:paraId="0A1202AE">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60.3</w:t>
            </w:r>
          </w:p>
        </w:tc>
        <w:tc>
          <w:tcPr>
            <w:tcW w:w="2268" w:type="dxa"/>
            <w:shd w:val="clear" w:color="auto" w:fill="auto"/>
            <w:vAlign w:val="center"/>
          </w:tcPr>
          <w:p w14:paraId="463EA0C5">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单股实芯</w:t>
            </w:r>
          </w:p>
        </w:tc>
      </w:tr>
      <w:tr w14:paraId="4F99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701" w:type="dxa"/>
            <w:shd w:val="clear" w:color="auto" w:fill="auto"/>
            <w:vAlign w:val="center"/>
          </w:tcPr>
          <w:p w14:paraId="2196BE3E">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工作区线缆</w:t>
            </w:r>
          </w:p>
        </w:tc>
        <w:tc>
          <w:tcPr>
            <w:tcW w:w="1134" w:type="dxa"/>
            <w:shd w:val="clear" w:color="auto" w:fill="auto"/>
            <w:vAlign w:val="center"/>
          </w:tcPr>
          <w:p w14:paraId="69C94815">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20</w:t>
            </w:r>
          </w:p>
        </w:tc>
        <w:tc>
          <w:tcPr>
            <w:tcW w:w="1746" w:type="dxa"/>
            <w:shd w:val="clear" w:color="auto" w:fill="auto"/>
            <w:vAlign w:val="center"/>
          </w:tcPr>
          <w:p w14:paraId="3E52174E">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0.1≤</w:t>
            </w:r>
            <w:r>
              <w:rPr>
                <w:rStyle w:val="38"/>
                <w:rFonts w:hint="default" w:ascii="Times New Roman" w:hAnsi="Times New Roman" w:cs="Times New Roman" w:eastAsiaTheme="minorEastAsia"/>
                <w:color w:val="auto"/>
                <w:sz w:val="18"/>
                <w:szCs w:val="18"/>
                <w:lang w:val="en-US" w:eastAsia="zh-CN" w:bidi="ar"/>
              </w:rPr>
              <w:t>f</w:t>
            </w:r>
            <w:r>
              <w:rPr>
                <w:rFonts w:hint="default" w:ascii="Times New Roman" w:hAnsi="Times New Roman" w:cs="Times New Roman" w:eastAsiaTheme="minorEastAsia"/>
                <w:i w:val="0"/>
                <w:iCs w:val="0"/>
                <w:color w:val="auto"/>
                <w:kern w:val="2"/>
                <w:sz w:val="18"/>
                <w:szCs w:val="18"/>
                <w:u w:val="none"/>
                <w:lang w:val="en-US" w:eastAsia="zh-CN" w:bidi="ar"/>
              </w:rPr>
              <w:t>≤20</w:t>
            </w:r>
          </w:p>
        </w:tc>
        <w:tc>
          <w:tcPr>
            <w:tcW w:w="1701" w:type="dxa"/>
            <w:shd w:val="clear" w:color="auto" w:fill="auto"/>
            <w:vAlign w:val="center"/>
          </w:tcPr>
          <w:p w14:paraId="4E8CB26A">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60.3</w:t>
            </w:r>
          </w:p>
        </w:tc>
        <w:tc>
          <w:tcPr>
            <w:tcW w:w="2268" w:type="dxa"/>
            <w:shd w:val="clear" w:color="auto" w:fill="auto"/>
            <w:vAlign w:val="center"/>
          </w:tcPr>
          <w:p w14:paraId="584C044D">
            <w:pPr>
              <w:keepNext w:val="0"/>
              <w:keepLines w:val="0"/>
              <w:widowControl/>
              <w:suppressLineNumbers w:val="0"/>
              <w:spacing w:beforeLines="0" w:afterLines="0"/>
              <w:jc w:val="center"/>
              <w:textAlignment w:val="auto"/>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2"/>
                <w:sz w:val="18"/>
                <w:szCs w:val="18"/>
                <w:u w:val="none"/>
                <w:lang w:val="en-US" w:eastAsia="zh-CN" w:bidi="ar"/>
              </w:rPr>
              <w:t>单股实芯或多股</w:t>
            </w:r>
          </w:p>
        </w:tc>
      </w:tr>
    </w:tbl>
    <w:p w14:paraId="5255A9C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outlineLvl w:val="9"/>
        <w:rPr>
          <w:rFonts w:hint="eastAsia" w:cs="Times New Roman" w:eastAsiaTheme="minorEastAsia"/>
          <w:b w:val="0"/>
          <w:bCs w:val="0"/>
          <w:color w:val="auto"/>
          <w:kern w:val="0"/>
          <w:sz w:val="21"/>
          <w:szCs w:val="21"/>
          <w:vertAlign w:val="baseline"/>
          <w:lang w:val="en-US" w:eastAsia="zh-CN" w:bidi="ar-SA"/>
        </w:rPr>
      </w:pPr>
    </w:p>
    <w:p w14:paraId="0BBDA65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outlineLvl w:val="9"/>
        <w:rPr>
          <w:rFonts w:hint="eastAsia" w:cs="Times New Roman" w:eastAsiaTheme="minorEastAsia"/>
          <w:b w:val="0"/>
          <w:bCs w:val="0"/>
          <w:color w:val="auto"/>
          <w:kern w:val="0"/>
          <w:sz w:val="21"/>
          <w:szCs w:val="21"/>
          <w:vertAlign w:val="baseline"/>
          <w:lang w:val="en-US" w:eastAsia="zh-CN" w:bidi="ar-SA"/>
        </w:rPr>
      </w:pPr>
      <w:r>
        <w:rPr>
          <w:rFonts w:hint="eastAsia" w:cs="Times New Roman" w:eastAsiaTheme="minorEastAsia"/>
          <w:b w:val="0"/>
          <w:bCs w:val="0"/>
          <w:color w:val="auto"/>
          <w:kern w:val="0"/>
          <w:sz w:val="21"/>
          <w:szCs w:val="21"/>
          <w:vertAlign w:val="baseline"/>
          <w:lang w:val="en-US" w:eastAsia="zh-CN" w:bidi="ar-SA"/>
        </w:rPr>
        <w:t>在实际工程建议根据实际PoDL等级、信道类型以及链路长度取定电力传送及信道对于直流电阻要求中的小值做为工程直流电阻要求。</w:t>
      </w:r>
    </w:p>
    <w:p w14:paraId="19335EE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jc w:val="left"/>
        <w:textAlignment w:val="auto"/>
        <w:outlineLvl w:val="9"/>
        <w:rPr>
          <w:rFonts w:hint="eastAsia" w:cs="Times New Roman" w:eastAsiaTheme="minorEastAsia"/>
          <w:b w:val="0"/>
          <w:bCs w:val="0"/>
          <w:color w:val="auto"/>
          <w:kern w:val="0"/>
          <w:sz w:val="21"/>
          <w:szCs w:val="21"/>
          <w:vertAlign w:val="baseline"/>
          <w:lang w:val="en-US" w:eastAsia="zh-CN" w:bidi="ar-SA"/>
        </w:rPr>
      </w:pPr>
      <w:r>
        <w:rPr>
          <w:rFonts w:hint="eastAsia" w:cs="Times New Roman" w:eastAsiaTheme="minorEastAsia"/>
          <w:b w:val="0"/>
          <w:bCs w:val="0"/>
          <w:color w:val="auto"/>
          <w:kern w:val="0"/>
          <w:sz w:val="21"/>
          <w:szCs w:val="21"/>
          <w:vertAlign w:val="baseline"/>
          <w:lang w:val="en-US" w:eastAsia="zh-CN" w:bidi="ar-SA"/>
        </w:rPr>
        <w:t>4.4.4  在汽车、火车、机器人等领域出于对高带宽、低重量、低空间占用等的考虑，会在产品内部采用单对以太网技术，这个也是目前单对以太网系统应用最多的一个领域，从严格意义上来说，这并不属于工程领域，但做为单对以太网系统应用不可或缺的一部分，应予提及。</w:t>
      </w:r>
    </w:p>
    <w:p w14:paraId="5F8B800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jc w:val="left"/>
        <w:textAlignment w:val="auto"/>
        <w:outlineLvl w:val="9"/>
        <w:rPr>
          <w:rFonts w:hint="eastAsia" w:cs="Times New Roman" w:eastAsiaTheme="minorEastAsia"/>
          <w:b w:val="0"/>
          <w:bCs w:val="0"/>
          <w:color w:val="auto"/>
          <w:kern w:val="0"/>
          <w:sz w:val="21"/>
          <w:szCs w:val="21"/>
          <w:vertAlign w:val="baseline"/>
          <w:lang w:val="en-US" w:eastAsia="zh-CN" w:bidi="ar-SA"/>
        </w:rPr>
      </w:pPr>
      <w:r>
        <w:rPr>
          <w:rFonts w:hint="eastAsia" w:cs="Times New Roman" w:eastAsiaTheme="minorEastAsia"/>
          <w:b w:val="0"/>
          <w:bCs w:val="0"/>
          <w:color w:val="auto"/>
          <w:kern w:val="0"/>
          <w:sz w:val="21"/>
          <w:szCs w:val="21"/>
          <w:vertAlign w:val="baseline"/>
          <w:lang w:val="en-US" w:eastAsia="zh-CN" w:bidi="ar-SA"/>
        </w:rPr>
        <w:t xml:space="preserve">5.1.2 </w:t>
      </w:r>
    </w:p>
    <w:p w14:paraId="45A3BD43">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leftChars="0" w:firstLine="420" w:firstLineChars="0"/>
        <w:jc w:val="left"/>
        <w:textAlignment w:val="auto"/>
        <w:outlineLvl w:val="9"/>
        <w:rPr>
          <w:rFonts w:hint="eastAsia" w:cs="Times New Roman" w:eastAsiaTheme="minorEastAsia"/>
          <w:b w:val="0"/>
          <w:bCs w:val="0"/>
          <w:color w:val="auto"/>
          <w:kern w:val="0"/>
          <w:sz w:val="21"/>
          <w:szCs w:val="21"/>
          <w:vertAlign w:val="baseline"/>
          <w:lang w:val="en-US" w:eastAsia="zh-CN" w:bidi="ar-SA"/>
        </w:rPr>
      </w:pPr>
      <w:r>
        <w:rPr>
          <w:rFonts w:hint="default" w:ascii="Times New Roman" w:hAnsi="Times New Roman" w:cs="Times New Roman" w:eastAsiaTheme="minorEastAsia"/>
          <w:b w:val="0"/>
          <w:bCs w:val="0"/>
          <w:color w:val="auto"/>
          <w:kern w:val="0"/>
          <w:sz w:val="21"/>
          <w:szCs w:val="21"/>
          <w:vertAlign w:val="baseline"/>
          <w:lang w:val="en-US" w:eastAsia="zh-CN" w:bidi="ar-SA"/>
        </w:rPr>
        <w:t>e)</w:t>
      </w:r>
      <w:r>
        <w:rPr>
          <w:rFonts w:hint="eastAsia" w:cs="Times New Roman" w:eastAsiaTheme="minorEastAsia"/>
          <w:b w:val="0"/>
          <w:bCs w:val="0"/>
          <w:color w:val="auto"/>
          <w:kern w:val="0"/>
          <w:sz w:val="21"/>
          <w:szCs w:val="21"/>
          <w:vertAlign w:val="baseline"/>
          <w:lang w:val="en-US" w:eastAsia="zh-CN" w:bidi="ar-SA"/>
        </w:rPr>
        <w:t>直流电在传输时，由于电缆的电阻会产生一定的压降，在特定的长度时，压降与电缆导体的截面积密切相关，导体截面积越大，则压降越小，因此为保证压降不超限，则须保证导体截面积不低于一定值，下表为最劣情况下对导体截面积的要求，供参考。</w:t>
      </w:r>
    </w:p>
    <w:p w14:paraId="116D4665">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420" w:leftChars="0" w:firstLine="0" w:firstLineChars="0"/>
        <w:jc w:val="left"/>
        <w:textAlignment w:val="auto"/>
        <w:outlineLvl w:val="9"/>
        <w:rPr>
          <w:rFonts w:hint="default" w:ascii="Times New Roman" w:hAnsi="Times New Roman" w:cs="Times New Roman" w:eastAsiaTheme="minorEastAsia"/>
          <w:b w:val="0"/>
          <w:bCs w:val="0"/>
          <w:color w:val="auto"/>
          <w:kern w:val="0"/>
          <w:sz w:val="21"/>
          <w:szCs w:val="21"/>
          <w:vertAlign w:val="baseline"/>
          <w:lang w:val="en-US" w:eastAsia="zh-CN" w:bidi="ar-SA"/>
        </w:rPr>
        <w:sectPr>
          <w:pgSz w:w="11906" w:h="16838"/>
          <w:pgMar w:top="567" w:right="1134" w:bottom="1134" w:left="1418" w:header="1418" w:footer="1134" w:gutter="0"/>
          <w:pgBorders>
            <w:top w:val="none" w:sz="0" w:space="0"/>
            <w:left w:val="none" w:sz="0" w:space="0"/>
            <w:bottom w:val="none" w:sz="0" w:space="0"/>
            <w:right w:val="none" w:sz="0" w:space="0"/>
          </w:pgBorders>
          <w:cols w:space="720" w:num="1"/>
          <w:formProt w:val="0"/>
          <w:docGrid w:type="lines" w:linePitch="312" w:charSpace="0"/>
        </w:sectPr>
      </w:pPr>
    </w:p>
    <w:p w14:paraId="4F82909C">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420" w:leftChars="0"/>
        <w:jc w:val="center"/>
        <w:textAlignment w:val="auto"/>
        <w:outlineLvl w:val="9"/>
        <w:rPr>
          <w:rFonts w:hint="eastAsia" w:ascii="黑体" w:hAnsi="黑体" w:eastAsia="黑体" w:cs="黑体"/>
          <w:b w:val="0"/>
          <w:bCs w:val="0"/>
          <w:color w:val="auto"/>
          <w:kern w:val="0"/>
          <w:sz w:val="21"/>
          <w:szCs w:val="21"/>
          <w:vertAlign w:val="baseline"/>
          <w:lang w:val="en-US" w:eastAsia="zh-CN" w:bidi="ar-SA"/>
        </w:rPr>
      </w:pPr>
      <w:r>
        <w:rPr>
          <w:rFonts w:hint="eastAsia" w:ascii="黑体" w:hAnsi="黑体" w:eastAsia="黑体" w:cs="黑体"/>
          <w:b w:val="0"/>
          <w:bCs w:val="0"/>
          <w:color w:val="auto"/>
          <w:kern w:val="0"/>
          <w:sz w:val="21"/>
          <w:szCs w:val="21"/>
          <w:vertAlign w:val="baseline"/>
          <w:lang w:val="en-US" w:eastAsia="zh-CN" w:bidi="ar-SA"/>
        </w:rPr>
        <w:t>表4  PoDL电源等级及单线对对绞线导体截面积要求</w:t>
      </w:r>
    </w:p>
    <w:tbl>
      <w:tblPr>
        <w:tblStyle w:val="36"/>
        <w:tblpPr w:leftFromText="180" w:rightFromText="180" w:vertAnchor="text" w:horzAnchor="page" w:tblpX="1241" w:tblpY="398"/>
        <w:tblOverlap w:val="never"/>
        <w:tblW w:w="149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26"/>
        <w:gridCol w:w="972"/>
        <w:gridCol w:w="768"/>
        <w:gridCol w:w="816"/>
        <w:gridCol w:w="948"/>
        <w:gridCol w:w="828"/>
        <w:gridCol w:w="720"/>
        <w:gridCol w:w="720"/>
        <w:gridCol w:w="720"/>
        <w:gridCol w:w="720"/>
        <w:gridCol w:w="720"/>
        <w:gridCol w:w="828"/>
        <w:gridCol w:w="720"/>
        <w:gridCol w:w="720"/>
        <w:gridCol w:w="720"/>
        <w:gridCol w:w="720"/>
        <w:gridCol w:w="720"/>
      </w:tblGrid>
      <w:tr w14:paraId="0F5DE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E9732">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PoDL电源等级</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4E6A1">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0</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A8FFC">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2C32D">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2</w:t>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F4057">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3</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64430">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182A3">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5</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5BD46">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6</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655CD">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7</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CB128">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8</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C8BFF">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9</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5C64F">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656AE">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A56E4">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12</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9C2F2">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13</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ACAFF">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14</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19A18">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15</w:t>
            </w:r>
          </w:p>
        </w:tc>
      </w:tr>
      <w:tr w14:paraId="22FE7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626" w:type="dxa"/>
            <w:tcBorders>
              <w:top w:val="single" w:color="000000" w:sz="4" w:space="0"/>
              <w:left w:val="single" w:color="000000" w:sz="4" w:space="0"/>
              <w:bottom w:val="single" w:color="000000" w:sz="4" w:space="0"/>
              <w:right w:val="single" w:color="000000" w:sz="4" w:space="0"/>
            </w:tcBorders>
            <w:shd w:val="clear" w:color="auto" w:fill="auto"/>
            <w:vAlign w:val="top"/>
          </w:tcPr>
          <w:p w14:paraId="5EFB7BC4">
            <w:pPr>
              <w:keepNext w:val="0"/>
              <w:keepLines w:val="0"/>
              <w:widowControl/>
              <w:suppressLineNumbers w:val="0"/>
              <w:jc w:val="center"/>
              <w:textAlignment w:val="top"/>
              <w:rPr>
                <w:rFonts w:hint="default" w:ascii="Times New Roman" w:hAnsi="Times New Roman" w:cs="Times New Roman" w:eastAsiaTheme="minorEastAsia"/>
                <w:i w:val="0"/>
                <w:iCs w:val="0"/>
                <w:color w:val="auto"/>
                <w:sz w:val="18"/>
                <w:szCs w:val="18"/>
                <w:u w:val="none"/>
              </w:rPr>
            </w:pPr>
            <w:r>
              <w:rPr>
                <w:rStyle w:val="172"/>
                <w:rFonts w:eastAsiaTheme="minorEastAsia"/>
                <w:color w:val="auto"/>
                <w:sz w:val="18"/>
                <w:szCs w:val="18"/>
                <w:lang w:val="en-US" w:eastAsia="zh-CN" w:bidi="ar"/>
              </w:rPr>
              <w:t>PSE</w:t>
            </w:r>
            <w:r>
              <w:rPr>
                <w:rStyle w:val="173"/>
                <w:rFonts w:hint="default" w:ascii="Times New Roman" w:hAnsi="Times New Roman" w:cs="Times New Roman" w:eastAsiaTheme="minorEastAsia"/>
                <w:color w:val="auto"/>
                <w:sz w:val="18"/>
                <w:szCs w:val="18"/>
                <w:lang w:val="en-US" w:eastAsia="zh-CN" w:bidi="ar"/>
              </w:rPr>
              <w:t>端最大电压（</w:t>
            </w:r>
            <w:r>
              <w:rPr>
                <w:rStyle w:val="172"/>
                <w:rFonts w:eastAsiaTheme="minorEastAsia"/>
                <w:color w:val="auto"/>
                <w:sz w:val="18"/>
                <w:szCs w:val="18"/>
                <w:lang w:val="en-US" w:eastAsia="zh-CN" w:bidi="ar"/>
              </w:rPr>
              <w:t>V</w:t>
            </w:r>
            <w:r>
              <w:rPr>
                <w:rStyle w:val="173"/>
                <w:rFonts w:hint="default" w:ascii="Times New Roman" w:hAnsi="Times New Roman" w:cs="Times New Roman" w:eastAsiaTheme="minorEastAsia"/>
                <w:color w:val="auto"/>
                <w:sz w:val="18"/>
                <w:szCs w:val="18"/>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A2D0">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18</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97B09">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2BD27">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18</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A127B">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18</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7CE4">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2C5E1">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7C127">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7CE4">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F4DBD">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60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78EC1">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60</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E11EB">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ACD2">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7CA7C">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B2CFC">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58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D73F9">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58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A1472">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58</w:t>
            </w:r>
          </w:p>
        </w:tc>
      </w:tr>
      <w:tr w14:paraId="6F16F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626" w:type="dxa"/>
            <w:tcBorders>
              <w:top w:val="single" w:color="000000" w:sz="4" w:space="0"/>
              <w:left w:val="single" w:color="000000" w:sz="4" w:space="0"/>
              <w:bottom w:val="single" w:color="000000" w:sz="4" w:space="0"/>
              <w:right w:val="single" w:color="000000" w:sz="4" w:space="0"/>
            </w:tcBorders>
            <w:shd w:val="clear" w:color="auto" w:fill="auto"/>
            <w:vAlign w:val="top"/>
          </w:tcPr>
          <w:p w14:paraId="0C2B6C7E">
            <w:pPr>
              <w:keepNext w:val="0"/>
              <w:keepLines w:val="0"/>
              <w:widowControl/>
              <w:suppressLineNumbers w:val="0"/>
              <w:jc w:val="center"/>
              <w:textAlignment w:val="top"/>
              <w:rPr>
                <w:rFonts w:hint="default" w:ascii="Times New Roman" w:hAnsi="Times New Roman" w:cs="Times New Roman" w:eastAsiaTheme="minorEastAsia"/>
                <w:i w:val="0"/>
                <w:iCs w:val="0"/>
                <w:color w:val="auto"/>
                <w:sz w:val="18"/>
                <w:szCs w:val="18"/>
                <w:u w:val="none"/>
              </w:rPr>
            </w:pPr>
            <w:r>
              <w:rPr>
                <w:rStyle w:val="172"/>
                <w:rFonts w:eastAsiaTheme="minorEastAsia"/>
                <w:color w:val="auto"/>
                <w:sz w:val="18"/>
                <w:szCs w:val="18"/>
                <w:lang w:val="en-US" w:eastAsia="zh-CN" w:bidi="ar"/>
              </w:rPr>
              <w:t>PSE</w:t>
            </w:r>
            <w:r>
              <w:rPr>
                <w:rStyle w:val="173"/>
                <w:rFonts w:hint="default" w:ascii="Times New Roman" w:hAnsi="Times New Roman" w:cs="Times New Roman" w:eastAsiaTheme="minorEastAsia"/>
                <w:color w:val="auto"/>
                <w:sz w:val="18"/>
                <w:szCs w:val="18"/>
                <w:lang w:val="en-US" w:eastAsia="zh-CN" w:bidi="ar"/>
              </w:rPr>
              <w:t>端最小电压（</w:t>
            </w:r>
            <w:r>
              <w:rPr>
                <w:rStyle w:val="172"/>
                <w:rFonts w:eastAsiaTheme="minorEastAsia"/>
                <w:color w:val="auto"/>
                <w:sz w:val="18"/>
                <w:szCs w:val="18"/>
                <w:lang w:val="en-US" w:eastAsia="zh-CN" w:bidi="ar"/>
              </w:rPr>
              <w:t>V</w:t>
            </w:r>
            <w:r>
              <w:rPr>
                <w:rStyle w:val="173"/>
                <w:rFonts w:hint="default" w:ascii="Times New Roman" w:hAnsi="Times New Roman" w:cs="Times New Roman" w:eastAsiaTheme="minorEastAsia"/>
                <w:color w:val="auto"/>
                <w:sz w:val="18"/>
                <w:szCs w:val="18"/>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2D148">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5.6</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1EF3E">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5.77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8298">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14.4</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AA24B">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14.4</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9AC9C">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04EC">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0FAA6">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61DE5">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D1D93">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48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70E5">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48</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C453D">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4AFF">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A96E9">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B46F">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5CC0">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1CA60">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50</w:t>
            </w:r>
          </w:p>
        </w:tc>
      </w:tr>
      <w:tr w14:paraId="5D63D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26" w:type="dxa"/>
            <w:tcBorders>
              <w:top w:val="single" w:color="000000" w:sz="4" w:space="0"/>
              <w:left w:val="single" w:color="000000" w:sz="4" w:space="0"/>
              <w:bottom w:val="single" w:color="000000" w:sz="4" w:space="0"/>
              <w:right w:val="single" w:color="000000" w:sz="4" w:space="0"/>
            </w:tcBorders>
            <w:shd w:val="clear" w:color="auto" w:fill="auto"/>
            <w:vAlign w:val="top"/>
          </w:tcPr>
          <w:p w14:paraId="5504BAC6">
            <w:pPr>
              <w:keepNext w:val="0"/>
              <w:keepLines w:val="0"/>
              <w:widowControl/>
              <w:suppressLineNumbers w:val="0"/>
              <w:jc w:val="center"/>
              <w:textAlignment w:val="top"/>
              <w:rPr>
                <w:rFonts w:hint="default" w:ascii="Times New Roman" w:hAnsi="Times New Roman" w:cs="Times New Roman" w:eastAsiaTheme="minorEastAsia"/>
                <w:i w:val="0"/>
                <w:iCs w:val="0"/>
                <w:color w:val="auto"/>
                <w:sz w:val="18"/>
                <w:szCs w:val="18"/>
                <w:u w:val="none"/>
              </w:rPr>
            </w:pPr>
            <w:r>
              <w:rPr>
                <w:rStyle w:val="172"/>
                <w:rFonts w:eastAsiaTheme="minorEastAsia"/>
                <w:color w:val="auto"/>
                <w:sz w:val="18"/>
                <w:szCs w:val="18"/>
                <w:lang w:val="en-US" w:eastAsia="zh-CN" w:bidi="ar"/>
              </w:rPr>
              <w:t>PD</w:t>
            </w:r>
            <w:r>
              <w:rPr>
                <w:rStyle w:val="173"/>
                <w:rFonts w:hint="default" w:ascii="Times New Roman" w:hAnsi="Times New Roman" w:cs="Times New Roman" w:eastAsiaTheme="minorEastAsia"/>
                <w:color w:val="auto"/>
                <w:sz w:val="18"/>
                <w:szCs w:val="18"/>
                <w:lang w:val="en-US" w:eastAsia="zh-CN" w:bidi="ar"/>
              </w:rPr>
              <w:t>端最小电压（</w:t>
            </w:r>
            <w:r>
              <w:rPr>
                <w:rStyle w:val="172"/>
                <w:rFonts w:eastAsiaTheme="minorEastAsia"/>
                <w:color w:val="auto"/>
                <w:sz w:val="18"/>
                <w:szCs w:val="18"/>
                <w:lang w:val="en-US" w:eastAsia="zh-CN" w:bidi="ar"/>
              </w:rPr>
              <w:t>V</w:t>
            </w:r>
            <w:r>
              <w:rPr>
                <w:rStyle w:val="173"/>
                <w:rFonts w:hint="default" w:ascii="Times New Roman" w:hAnsi="Times New Roman" w:cs="Times New Roman" w:eastAsiaTheme="minorEastAsia"/>
                <w:color w:val="auto"/>
                <w:sz w:val="18"/>
                <w:szCs w:val="18"/>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FA45">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4.94</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13A6">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4.41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3B207">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2739">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10.6</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A8371">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3894">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8.86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1434F">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23.3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CF1E">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21.7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58831">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40.8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58DBD">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36.7</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8290">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152C">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BDDA7">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4C453">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10FE4">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0463C">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35</w:t>
            </w:r>
          </w:p>
        </w:tc>
      </w:tr>
      <w:tr w14:paraId="05426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626" w:type="dxa"/>
            <w:tcBorders>
              <w:top w:val="single" w:color="000000" w:sz="4" w:space="0"/>
              <w:left w:val="single" w:color="000000" w:sz="4" w:space="0"/>
              <w:bottom w:val="single" w:color="000000" w:sz="4" w:space="0"/>
              <w:right w:val="single" w:color="000000" w:sz="4" w:space="0"/>
            </w:tcBorders>
            <w:shd w:val="clear" w:color="auto" w:fill="auto"/>
            <w:vAlign w:val="top"/>
          </w:tcPr>
          <w:p w14:paraId="7E8BDFB8">
            <w:pPr>
              <w:keepNext w:val="0"/>
              <w:keepLines w:val="0"/>
              <w:widowControl/>
              <w:suppressLineNumbers w:val="0"/>
              <w:jc w:val="center"/>
              <w:textAlignment w:val="top"/>
              <w:rPr>
                <w:rFonts w:hint="default" w:ascii="Times New Roman" w:hAnsi="Times New Roman" w:cs="Times New Roman" w:eastAsiaTheme="minorEastAsia"/>
                <w:i w:val="0"/>
                <w:iCs w:val="0"/>
                <w:color w:val="auto"/>
                <w:sz w:val="18"/>
                <w:szCs w:val="18"/>
                <w:u w:val="none"/>
              </w:rPr>
            </w:pPr>
            <w:r>
              <w:rPr>
                <w:rStyle w:val="172"/>
                <w:rFonts w:eastAsiaTheme="minorEastAsia"/>
                <w:color w:val="auto"/>
                <w:sz w:val="18"/>
                <w:szCs w:val="18"/>
                <w:lang w:val="en-US" w:eastAsia="zh-CN" w:bidi="ar"/>
              </w:rPr>
              <w:t>PSE</w:t>
            </w:r>
            <w:r>
              <w:rPr>
                <w:rStyle w:val="173"/>
                <w:rFonts w:hint="default" w:ascii="Times New Roman" w:hAnsi="Times New Roman" w:cs="Times New Roman" w:eastAsiaTheme="minorEastAsia"/>
                <w:color w:val="auto"/>
                <w:sz w:val="18"/>
                <w:szCs w:val="18"/>
                <w:lang w:val="en-US" w:eastAsia="zh-CN" w:bidi="ar"/>
              </w:rPr>
              <w:t>端最大电压计算压降</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4DF36">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13.06</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DCEE9">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13.59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0E69A">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6</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C9C2">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7.4</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4F585">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25.7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23D48">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27.14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4659E">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1B0DC">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14.3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DF4AB">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19.2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EB744">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23.3</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C935">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D756">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07E81">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C1F1D">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8E2C">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DB65">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23</w:t>
            </w:r>
          </w:p>
        </w:tc>
      </w:tr>
      <w:tr w14:paraId="6705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626" w:type="dxa"/>
            <w:tcBorders>
              <w:top w:val="single" w:color="000000" w:sz="4" w:space="0"/>
              <w:left w:val="single" w:color="000000" w:sz="4" w:space="0"/>
              <w:bottom w:val="single" w:color="000000" w:sz="4" w:space="0"/>
              <w:right w:val="single" w:color="000000" w:sz="4" w:space="0"/>
            </w:tcBorders>
            <w:shd w:val="clear" w:color="auto" w:fill="auto"/>
            <w:vAlign w:val="top"/>
          </w:tcPr>
          <w:p w14:paraId="7B335A19">
            <w:pPr>
              <w:keepNext w:val="0"/>
              <w:keepLines w:val="0"/>
              <w:widowControl/>
              <w:suppressLineNumbers w:val="0"/>
              <w:jc w:val="center"/>
              <w:textAlignment w:val="top"/>
              <w:rPr>
                <w:rFonts w:hint="default" w:ascii="Times New Roman" w:hAnsi="Times New Roman" w:cs="Times New Roman" w:eastAsiaTheme="minorEastAsia"/>
                <w:i w:val="0"/>
                <w:iCs w:val="0"/>
                <w:color w:val="auto"/>
                <w:sz w:val="18"/>
                <w:szCs w:val="18"/>
                <w:u w:val="none"/>
              </w:rPr>
            </w:pPr>
            <w:r>
              <w:rPr>
                <w:rStyle w:val="172"/>
                <w:rFonts w:eastAsiaTheme="minorEastAsia"/>
                <w:color w:val="auto"/>
                <w:sz w:val="18"/>
                <w:szCs w:val="18"/>
                <w:lang w:val="en-US" w:eastAsia="zh-CN" w:bidi="ar"/>
              </w:rPr>
              <w:t>PSE</w:t>
            </w:r>
            <w:r>
              <w:rPr>
                <w:rStyle w:val="173"/>
                <w:rFonts w:hint="default" w:ascii="Times New Roman" w:hAnsi="Times New Roman" w:cs="Times New Roman" w:eastAsiaTheme="minorEastAsia"/>
                <w:color w:val="auto"/>
                <w:sz w:val="18"/>
                <w:szCs w:val="18"/>
                <w:lang w:val="en-US" w:eastAsia="zh-CN" w:bidi="ar"/>
              </w:rPr>
              <w:t>端最小电压线路电流（</w:t>
            </w:r>
            <w:r>
              <w:rPr>
                <w:rStyle w:val="172"/>
                <w:rFonts w:eastAsiaTheme="minorEastAsia"/>
                <w:color w:val="auto"/>
                <w:sz w:val="18"/>
                <w:szCs w:val="18"/>
                <w:lang w:val="en-US" w:eastAsia="zh-CN" w:bidi="ar"/>
              </w:rPr>
              <w:t>mA</w:t>
            </w:r>
            <w:r>
              <w:rPr>
                <w:rStyle w:val="173"/>
                <w:rFonts w:hint="default" w:ascii="Times New Roman" w:hAnsi="Times New Roman" w:cs="Times New Roman" w:eastAsiaTheme="minorEastAsia"/>
                <w:color w:val="auto"/>
                <w:sz w:val="18"/>
                <w:szCs w:val="18"/>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3CFC2">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101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0FD8">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227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0E5A">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249</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2264">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471</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827A1">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97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B6941">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339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88E27">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215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1448">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461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E7E2">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735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13823">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1360</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66122">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92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3D215">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249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3017">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632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5CAC6">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231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D55FD">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600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4971">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1579</w:t>
            </w:r>
          </w:p>
        </w:tc>
      </w:tr>
      <w:tr w14:paraId="01839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D0596">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Style w:val="174"/>
                <w:rFonts w:hint="default" w:ascii="Times New Roman" w:hAnsi="Times New Roman" w:cs="Times New Roman" w:eastAsiaTheme="minorEastAsia"/>
                <w:color w:val="auto"/>
                <w:sz w:val="18"/>
                <w:szCs w:val="18"/>
                <w:lang w:val="en-US" w:eastAsia="zh-CN" w:bidi="ar"/>
              </w:rPr>
              <w:t>最大线阻</w:t>
            </w:r>
            <w:r>
              <w:rPr>
                <w:rFonts w:hint="default" w:ascii="Times New Roman" w:hAnsi="Times New Roman" w:cs="Times New Roman" w:eastAsiaTheme="minorEastAsia"/>
                <w:i w:val="0"/>
                <w:iCs w:val="0"/>
                <w:color w:val="auto"/>
                <w:kern w:val="0"/>
                <w:sz w:val="18"/>
                <w:szCs w:val="18"/>
                <w:u w:val="none"/>
                <w:lang w:val="en-US" w:eastAsia="zh-CN" w:bidi="ar"/>
              </w:rPr>
              <w:t>R</w:t>
            </w:r>
            <w:r>
              <w:rPr>
                <w:rStyle w:val="174"/>
                <w:rFonts w:hint="default" w:ascii="Times New Roman" w:hAnsi="Times New Roman" w:cs="Times New Roman" w:eastAsiaTheme="minorEastAsia"/>
                <w:color w:val="auto"/>
                <w:sz w:val="18"/>
                <w:szCs w:val="18"/>
                <w:lang w:val="en-US" w:eastAsia="zh-CN" w:bidi="ar"/>
              </w:rPr>
              <w:t>（</w:t>
            </w:r>
            <w:r>
              <w:rPr>
                <w:rFonts w:hint="default" w:ascii="Times New Roman" w:hAnsi="Times New Roman" w:cs="Times New Roman" w:eastAsiaTheme="minorEastAsia"/>
                <w:i w:val="0"/>
                <w:iCs w:val="0"/>
                <w:color w:val="auto"/>
                <w:kern w:val="0"/>
                <w:sz w:val="18"/>
                <w:szCs w:val="18"/>
                <w:u w:val="none"/>
                <w:lang w:val="en-US" w:eastAsia="zh-CN" w:bidi="ar"/>
              </w:rPr>
              <w:t>Ω</w:t>
            </w:r>
            <w:r>
              <w:rPr>
                <w:rStyle w:val="174"/>
                <w:rFonts w:hint="default" w:ascii="Times New Roman" w:hAnsi="Times New Roman" w:cs="Times New Roman" w:eastAsiaTheme="minorEastAsia"/>
                <w:color w:val="auto"/>
                <w:sz w:val="18"/>
                <w:szCs w:val="18"/>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E9158">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129.3 </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E0F91">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59.9 </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750BB">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24.1 </w:t>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4A93F">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15.7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332B6">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264.9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8A5F5">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80.1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FADFD">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59.1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09011">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31.0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64BC2">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26.1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3E52F">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17.1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821BF">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173.9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278E9">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64.3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A92A8">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25.3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CF3FF">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99.6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373DE">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38.3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9AAD0">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14.6 </w:t>
            </w:r>
          </w:p>
        </w:tc>
      </w:tr>
      <w:tr w14:paraId="5886F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106AA">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PD</w:t>
            </w:r>
            <w:r>
              <w:rPr>
                <w:rStyle w:val="173"/>
                <w:rFonts w:hint="default" w:ascii="Times New Roman" w:hAnsi="Times New Roman" w:cs="Times New Roman" w:eastAsiaTheme="minorEastAsia"/>
                <w:color w:val="auto"/>
                <w:sz w:val="18"/>
                <w:szCs w:val="18"/>
                <w:lang w:val="en-US" w:eastAsia="zh-CN" w:bidi="ar"/>
              </w:rPr>
              <w:t>端最大接收功率（</w:t>
            </w:r>
            <w:r>
              <w:rPr>
                <w:rStyle w:val="172"/>
                <w:rFonts w:eastAsiaTheme="minorEastAsia"/>
                <w:color w:val="auto"/>
                <w:sz w:val="18"/>
                <w:szCs w:val="18"/>
                <w:lang w:val="en-US" w:eastAsia="zh-CN" w:bidi="ar"/>
              </w:rPr>
              <w:t>W</w:t>
            </w:r>
            <w:r>
              <w:rPr>
                <w:rStyle w:val="173"/>
                <w:rFonts w:hint="default" w:ascii="Times New Roman" w:hAnsi="Times New Roman" w:cs="Times New Roman" w:eastAsiaTheme="minorEastAsia"/>
                <w:color w:val="auto"/>
                <w:sz w:val="18"/>
                <w:szCs w:val="18"/>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289D3">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0.5 </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617B0">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1.0 </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88523">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3.0 </w:t>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5CD51">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5.0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DE71D">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2715D">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3.0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9DDEF">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5.0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CC29D">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10.0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AEA57">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30.0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E5B0C">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50.0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38C92">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1.2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C6869">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3.2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745AB">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8.4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E5BB4">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7.7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0CD8D">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20.0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47703">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52.0 </w:t>
            </w:r>
          </w:p>
        </w:tc>
      </w:tr>
      <w:tr w14:paraId="1E9A5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466F4">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Style w:val="174"/>
                <w:rFonts w:hint="default" w:ascii="Times New Roman" w:hAnsi="Times New Roman" w:cs="Times New Roman" w:eastAsiaTheme="minorEastAsia"/>
                <w:color w:val="auto"/>
                <w:sz w:val="18"/>
                <w:szCs w:val="18"/>
                <w:lang w:val="en-US" w:eastAsia="zh-CN" w:bidi="ar"/>
              </w:rPr>
              <w:t>按电流和电压</w:t>
            </w:r>
            <w:r>
              <w:rPr>
                <w:rStyle w:val="174"/>
                <w:rFonts w:hint="eastAsia" w:ascii="Times New Roman" w:hAnsi="Times New Roman" w:cs="Times New Roman" w:eastAsiaTheme="minorEastAsia"/>
                <w:color w:val="auto"/>
                <w:sz w:val="18"/>
                <w:szCs w:val="18"/>
                <w:lang w:val="en-US" w:eastAsia="zh-CN" w:bidi="ar"/>
              </w:rPr>
              <w:t>计算</w:t>
            </w:r>
            <w:r>
              <w:rPr>
                <w:rFonts w:hint="default" w:ascii="Times New Roman" w:hAnsi="Times New Roman" w:cs="Times New Roman" w:eastAsiaTheme="minorEastAsia"/>
                <w:i w:val="0"/>
                <w:iCs w:val="0"/>
                <w:color w:val="auto"/>
                <w:kern w:val="0"/>
                <w:sz w:val="18"/>
                <w:szCs w:val="18"/>
                <w:u w:val="none"/>
                <w:lang w:val="en-US" w:eastAsia="zh-CN" w:bidi="ar"/>
              </w:rPr>
              <w:t>PD</w:t>
            </w:r>
            <w:r>
              <w:rPr>
                <w:rStyle w:val="174"/>
                <w:rFonts w:hint="default" w:ascii="Times New Roman" w:hAnsi="Times New Roman" w:cs="Times New Roman" w:eastAsiaTheme="minorEastAsia"/>
                <w:color w:val="auto"/>
                <w:sz w:val="18"/>
                <w:szCs w:val="18"/>
                <w:lang w:val="en-US" w:eastAsia="zh-CN" w:bidi="ar"/>
              </w:rPr>
              <w:t>端最大功率（</w:t>
            </w:r>
            <w:r>
              <w:rPr>
                <w:rFonts w:hint="default" w:ascii="Times New Roman" w:hAnsi="Times New Roman" w:cs="Times New Roman" w:eastAsiaTheme="minorEastAsia"/>
                <w:i w:val="0"/>
                <w:iCs w:val="0"/>
                <w:color w:val="auto"/>
                <w:kern w:val="0"/>
                <w:sz w:val="18"/>
                <w:szCs w:val="18"/>
                <w:u w:val="none"/>
                <w:lang w:val="en-US" w:eastAsia="zh-CN" w:bidi="ar"/>
              </w:rPr>
              <w:t>W</w:t>
            </w:r>
            <w:r>
              <w:rPr>
                <w:rStyle w:val="174"/>
                <w:rFonts w:hint="default" w:ascii="Times New Roman" w:hAnsi="Times New Roman" w:cs="Times New Roman" w:eastAsiaTheme="minorEastAsia"/>
                <w:color w:val="auto"/>
                <w:sz w:val="18"/>
                <w:szCs w:val="18"/>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BE6D9">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0.5 </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5EF69">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1.0 </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C2912">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3.0 </w:t>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A0767">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5.0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229E9">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FA444">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3.0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176F4">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5.0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2B03A">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10.0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E1BA9">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30.0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4BFA3">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49.9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07667">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1.3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A4B78">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3.5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BF212">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8.8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E4AE0">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8.1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3073A">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21.0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386C2">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55.3 </w:t>
            </w:r>
          </w:p>
        </w:tc>
      </w:tr>
      <w:tr w14:paraId="51D7E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661EC">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Style w:val="174"/>
                <w:rFonts w:hint="default" w:ascii="Times New Roman" w:hAnsi="Times New Roman" w:cs="Times New Roman" w:eastAsiaTheme="minorEastAsia"/>
                <w:color w:val="auto"/>
                <w:sz w:val="18"/>
                <w:szCs w:val="18"/>
                <w:lang w:val="en-US" w:eastAsia="zh-CN" w:bidi="ar"/>
              </w:rPr>
              <w:t>按</w:t>
            </w:r>
            <w:r>
              <w:rPr>
                <w:rFonts w:hint="default" w:ascii="Times New Roman" w:hAnsi="Times New Roman" w:cs="Times New Roman" w:eastAsiaTheme="minorEastAsia"/>
                <w:i w:val="0"/>
                <w:iCs w:val="0"/>
                <w:color w:val="auto"/>
                <w:kern w:val="0"/>
                <w:sz w:val="18"/>
                <w:szCs w:val="18"/>
                <w:u w:val="none"/>
                <w:lang w:val="en-US" w:eastAsia="zh-CN" w:bidi="ar"/>
              </w:rPr>
              <w:t>PSE</w:t>
            </w:r>
            <w:r>
              <w:rPr>
                <w:rStyle w:val="174"/>
                <w:rFonts w:hint="default" w:ascii="Times New Roman" w:hAnsi="Times New Roman" w:cs="Times New Roman" w:eastAsiaTheme="minorEastAsia"/>
                <w:color w:val="auto"/>
                <w:sz w:val="18"/>
                <w:szCs w:val="18"/>
                <w:lang w:val="en-US" w:eastAsia="zh-CN" w:bidi="ar"/>
              </w:rPr>
              <w:t>端最大电压</w:t>
            </w:r>
            <w:r>
              <w:rPr>
                <w:rStyle w:val="174"/>
                <w:rFonts w:hint="eastAsia" w:ascii="Times New Roman" w:hAnsi="Times New Roman" w:cs="Times New Roman" w:eastAsiaTheme="minorEastAsia"/>
                <w:color w:val="auto"/>
                <w:sz w:val="18"/>
                <w:szCs w:val="18"/>
                <w:lang w:val="en-US" w:eastAsia="zh-CN" w:bidi="ar"/>
              </w:rPr>
              <w:t>计算</w:t>
            </w:r>
            <w:r>
              <w:rPr>
                <w:rStyle w:val="174"/>
                <w:rFonts w:hint="default" w:ascii="Times New Roman" w:hAnsi="Times New Roman" w:cs="Times New Roman" w:eastAsiaTheme="minorEastAsia"/>
                <w:color w:val="auto"/>
                <w:sz w:val="18"/>
                <w:szCs w:val="18"/>
                <w:lang w:val="en-US" w:eastAsia="zh-CN" w:bidi="ar"/>
              </w:rPr>
              <w:t>最小截面积</w:t>
            </w:r>
            <w:r>
              <w:rPr>
                <w:rFonts w:hint="default" w:ascii="Times New Roman" w:hAnsi="Times New Roman" w:cs="Times New Roman" w:eastAsiaTheme="minorEastAsia"/>
                <w:i w:val="0"/>
                <w:iCs w:val="0"/>
                <w:color w:val="auto"/>
                <w:kern w:val="0"/>
                <w:sz w:val="18"/>
                <w:szCs w:val="18"/>
                <w:u w:val="none"/>
                <w:lang w:val="en-US" w:eastAsia="zh-CN" w:bidi="ar"/>
              </w:rPr>
              <w:t>S(mm</w:t>
            </w:r>
            <w:r>
              <w:rPr>
                <w:rFonts w:hint="default" w:ascii="Times New Roman" w:hAnsi="Times New Roman" w:cs="Times New Roman" w:eastAsiaTheme="minorEastAsia"/>
                <w:i w:val="0"/>
                <w:iCs w:val="0"/>
                <w:color w:val="auto"/>
                <w:kern w:val="0"/>
                <w:sz w:val="18"/>
                <w:szCs w:val="18"/>
                <w:u w:val="none"/>
                <w:vertAlign w:val="superscript"/>
                <w:lang w:val="en-US" w:eastAsia="zh-CN" w:bidi="ar"/>
              </w:rPr>
              <w:t>2</w:t>
            </w:r>
            <w:r>
              <w:rPr>
                <w:rFonts w:hint="default" w:ascii="Times New Roman" w:hAnsi="Times New Roman" w:cs="Times New Roman" w:eastAsiaTheme="minorEastAsia"/>
                <w:i w:val="0"/>
                <w:iCs w:val="0"/>
                <w:color w:val="auto"/>
                <w:kern w:val="0"/>
                <w:sz w:val="18"/>
                <w:szCs w:val="18"/>
                <w:u w:val="none"/>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780">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0.13 </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6F4AB">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0.29 </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0029B">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0.71 </w:t>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98ECC">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1.09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ADCA9">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0.06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7926F">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0.21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D952C">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0.29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233DA">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0.55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8A991">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0.66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BE54A">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D0316">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0.10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59E7C">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0.27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F22E1">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0.68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3B659">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0.17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6623F">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0.45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F7B5A">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1.18 </w:t>
            </w:r>
          </w:p>
        </w:tc>
      </w:tr>
      <w:tr w14:paraId="348C1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913F7">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Style w:val="175"/>
                <w:rFonts w:hint="default" w:ascii="Times New Roman" w:hAnsi="Times New Roman" w:cs="Times New Roman" w:eastAsiaTheme="minorEastAsia"/>
                <w:color w:val="auto"/>
                <w:sz w:val="18"/>
                <w:szCs w:val="18"/>
                <w:lang w:val="en-US" w:eastAsia="zh-CN" w:bidi="ar"/>
              </w:rPr>
              <w:t>按</w:t>
            </w:r>
            <w:r>
              <w:rPr>
                <w:rStyle w:val="176"/>
                <w:rFonts w:eastAsiaTheme="minorEastAsia"/>
                <w:color w:val="auto"/>
                <w:sz w:val="18"/>
                <w:szCs w:val="18"/>
                <w:lang w:val="en-US" w:eastAsia="zh-CN" w:bidi="ar"/>
              </w:rPr>
              <w:t>PSE</w:t>
            </w:r>
            <w:r>
              <w:rPr>
                <w:rStyle w:val="175"/>
                <w:rFonts w:hint="default" w:ascii="Times New Roman" w:hAnsi="Times New Roman" w:cs="Times New Roman" w:eastAsiaTheme="minorEastAsia"/>
                <w:color w:val="auto"/>
                <w:sz w:val="18"/>
                <w:szCs w:val="18"/>
                <w:lang w:val="en-US" w:eastAsia="zh-CN" w:bidi="ar"/>
              </w:rPr>
              <w:t>端最大电压</w:t>
            </w:r>
            <w:r>
              <w:rPr>
                <w:rStyle w:val="175"/>
                <w:rFonts w:hint="eastAsia" w:ascii="Times New Roman" w:hAnsi="Times New Roman" w:cs="Times New Roman" w:eastAsiaTheme="minorEastAsia"/>
                <w:color w:val="auto"/>
                <w:sz w:val="18"/>
                <w:szCs w:val="18"/>
                <w:lang w:val="en-US" w:eastAsia="zh-CN" w:bidi="ar"/>
              </w:rPr>
              <w:t>计算</w:t>
            </w:r>
            <w:r>
              <w:rPr>
                <w:rStyle w:val="175"/>
                <w:rFonts w:hint="default" w:ascii="Times New Roman" w:hAnsi="Times New Roman" w:cs="Times New Roman" w:eastAsiaTheme="minorEastAsia"/>
                <w:color w:val="auto"/>
                <w:sz w:val="18"/>
                <w:szCs w:val="18"/>
                <w:lang w:val="en-US" w:eastAsia="zh-CN" w:bidi="ar"/>
              </w:rPr>
              <w:t>最小截面积</w:t>
            </w:r>
            <w:r>
              <w:rPr>
                <w:rStyle w:val="176"/>
                <w:rFonts w:eastAsiaTheme="minorEastAsia"/>
                <w:color w:val="auto"/>
                <w:sz w:val="18"/>
                <w:szCs w:val="18"/>
                <w:lang w:val="en-US" w:eastAsia="zh-CN" w:bidi="ar"/>
              </w:rPr>
              <w:t>S(mm</w:t>
            </w:r>
            <w:r>
              <w:rPr>
                <w:rStyle w:val="176"/>
                <w:rFonts w:eastAsiaTheme="minorEastAsia"/>
                <w:color w:val="auto"/>
                <w:sz w:val="18"/>
                <w:szCs w:val="18"/>
                <w:vertAlign w:val="superscript"/>
                <w:lang w:val="en-US" w:eastAsia="zh-CN" w:bidi="ar"/>
              </w:rPr>
              <w:t>2</w:t>
            </w:r>
            <w:r>
              <w:rPr>
                <w:rStyle w:val="176"/>
                <w:rFonts w:eastAsiaTheme="minorEastAsia"/>
                <w:color w:val="auto"/>
                <w:sz w:val="18"/>
                <w:szCs w:val="18"/>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AA9F7">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2.63 </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BF24F">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2.87 </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BCAA9">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1.78 </w:t>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6D16A">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2.13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DB49A">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1.19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ECC05">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2.05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36F76">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1.37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CF715">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1.84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0AA82">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1.76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E116A">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2.07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922B9">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0.26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926AA">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0.71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367CF">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1.81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8BC08">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0.26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997C0">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0.69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465D1">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 xml:space="preserve">1.81 </w:t>
            </w:r>
          </w:p>
        </w:tc>
      </w:tr>
    </w:tbl>
    <w:p w14:paraId="58A7D6D4">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420" w:leftChars="0"/>
        <w:jc w:val="center"/>
        <w:textAlignment w:val="auto"/>
        <w:outlineLvl w:val="9"/>
        <w:rPr>
          <w:rFonts w:hint="default" w:cs="Times New Roman" w:eastAsiaTheme="minorEastAsia"/>
          <w:b w:val="0"/>
          <w:bCs w:val="0"/>
          <w:color w:val="auto"/>
          <w:kern w:val="0"/>
          <w:sz w:val="21"/>
          <w:szCs w:val="21"/>
          <w:vertAlign w:val="baseline"/>
          <w:lang w:val="en-US" w:eastAsia="zh-CN" w:bidi="ar-SA"/>
        </w:rPr>
      </w:pPr>
    </w:p>
    <w:p w14:paraId="24015A2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outlineLvl w:val="9"/>
        <w:rPr>
          <w:rFonts w:hint="default" w:ascii="Times New Roman" w:hAnsi="Times New Roman" w:cs="Times New Roman" w:eastAsiaTheme="minorEastAsia"/>
          <w:b w:val="0"/>
          <w:bCs w:val="0"/>
          <w:color w:val="auto"/>
          <w:sz w:val="21"/>
          <w:szCs w:val="21"/>
          <w:lang w:val="en-US" w:eastAsia="zh-CN" w:bidi="ar-SA"/>
        </w:rPr>
      </w:pPr>
    </w:p>
    <w:p w14:paraId="3CD32AE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outlineLvl w:val="9"/>
        <w:rPr>
          <w:rFonts w:hint="default" w:ascii="Times New Roman" w:hAnsi="Times New Roman" w:cs="Times New Roman" w:eastAsiaTheme="minorEastAsia"/>
          <w:b w:val="0"/>
          <w:bCs w:val="0"/>
          <w:color w:val="auto"/>
          <w:sz w:val="21"/>
          <w:szCs w:val="21"/>
          <w:lang w:val="en-US" w:eastAsia="zh-CN" w:bidi="ar-SA"/>
        </w:rPr>
        <w:sectPr>
          <w:pgSz w:w="16838" w:h="11906" w:orient="landscape"/>
          <w:pgMar w:top="1418" w:right="567" w:bottom="1134" w:left="1134" w:header="1418" w:footer="1134" w:gutter="0"/>
          <w:pgBorders>
            <w:top w:val="none" w:sz="0" w:space="0"/>
            <w:left w:val="none" w:sz="0" w:space="0"/>
            <w:bottom w:val="none" w:sz="0" w:space="0"/>
            <w:right w:val="none" w:sz="0" w:space="0"/>
          </w:pgBorders>
          <w:cols w:space="720" w:num="1"/>
          <w:formProt w:val="0"/>
          <w:docGrid w:type="lines" w:linePitch="312" w:charSpace="0"/>
        </w:sectPr>
      </w:pPr>
      <w:r>
        <w:rPr>
          <w:rFonts w:hint="eastAsia" w:cs="Times New Roman" w:eastAsiaTheme="minorEastAsia"/>
          <w:b w:val="0"/>
          <w:bCs w:val="0"/>
          <w:color w:val="auto"/>
          <w:sz w:val="21"/>
          <w:szCs w:val="21"/>
          <w:lang w:val="en-US" w:eastAsia="zh-CN" w:bidi="ar-SA"/>
        </w:rPr>
        <w:t>5.3.6  当采用单级SPE架构时，SPE接入交换机起到桥梁作用，对下接入SPE设备，对上提供标准以太网接口以实现与标准以太网的互联互通；当采用两级SPE架构时，则SPE汇聚交换机应提供标准以太网接口，由于这一场景尚待相关技术细节的细化，因此条文中暂不进行规定。</w:t>
      </w:r>
    </w:p>
    <w:p w14:paraId="03972B41">
      <w:pPr>
        <w:rPr>
          <w:color w:val="auto"/>
        </w:rPr>
      </w:pPr>
    </w:p>
    <w:sectPr>
      <w:pgSz w:w="11906" w:h="16838"/>
      <w:pgMar w:top="567" w:right="1134" w:bottom="1134" w:left="1418" w:header="1418" w:footer="1134" w:gutter="0"/>
      <w:pgBorders>
        <w:top w:val="none" w:sz="0" w:space="0"/>
        <w:left w:val="none" w:sz="0" w:space="0"/>
        <w:bottom w:val="none" w:sz="0" w:space="0"/>
        <w:right w:val="none" w:sz="0" w:space="0"/>
      </w:pgBorders>
      <w:cols w:space="720"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宋体_x000B_.....">
    <w:altName w:val="宋体"/>
    <w:panose1 w:val="00000000000000000000"/>
    <w:charset w:val="86"/>
    <w:family w:val="roman"/>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92215">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CB8A4">
    <w:pPr>
      <w:pStyle w:val="148"/>
    </w:pPr>
    <w:r>
      <w:fldChar w:fldCharType="begin"/>
    </w:r>
    <w:r>
      <w:instrText xml:space="preserve"> PAGE  \* MERGEFORMAT </w:instrText>
    </w:r>
    <w:r>
      <w:fldChar w:fldCharType="separate"/>
    </w:r>
    <w:r>
      <w:t>13</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17D87">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26E2F">
    <w:pPr>
      <w:pStyle w:val="87"/>
      <w:rPr>
        <w:rFonts w:hint="default" w:eastAsia="黑体"/>
        <w:lang w:val="en-US" w:eastAsia="zh-CN"/>
      </w:rPr>
    </w:pPr>
    <w:r>
      <w:rPr>
        <w:rFonts w:hint="eastAsia"/>
        <w:lang w:val="en-US" w:eastAsia="zh-CN"/>
      </w:rPr>
      <w:t>T</w:t>
    </w:r>
    <w:r>
      <w:t>/</w:t>
    </w:r>
    <w:r>
      <w:rPr>
        <w:rFonts w:hint="eastAsia"/>
        <w:lang w:val="en-US" w:eastAsia="zh-CN"/>
      </w:rPr>
      <w:t>DZJN</w:t>
    </w:r>
    <w:r>
      <w:rPr>
        <w:rFonts w:hint="eastAsia"/>
      </w:rPr>
      <w:t xml:space="preserve"> </w:t>
    </w:r>
    <w:r>
      <w:rPr>
        <w:rFonts w:hint="eastAsia"/>
        <w:color w:val="FF0000"/>
        <w:lang w:val="en-US" w:eastAsia="zh-CN"/>
      </w:rPr>
      <w:t>***</w:t>
    </w:r>
    <w:r>
      <w:rPr>
        <w:rFonts w:hint="eastAsia"/>
      </w:rPr>
      <w:t>—20</w:t>
    </w:r>
    <w:r>
      <w:rPr>
        <w:rFonts w:hint="eastAsia"/>
        <w:lang w:val="en-US" w:eastAsia="zh-CN"/>
      </w:rPr>
      <w:t>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8C64AE"/>
    <w:multiLevelType w:val="multilevel"/>
    <w:tmpl w:val="9C8C64AE"/>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
    <w:nsid w:val="BA50A843"/>
    <w:multiLevelType w:val="multilevel"/>
    <w:tmpl w:val="BA50A843"/>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
    <w:nsid w:val="C2229BA1"/>
    <w:multiLevelType w:val="singleLevel"/>
    <w:tmpl w:val="C2229BA1"/>
    <w:lvl w:ilvl="0" w:tentative="0">
      <w:start w:val="1"/>
      <w:numFmt w:val="decimal"/>
      <w:lvlText w:val="%1)"/>
      <w:lvlJc w:val="left"/>
      <w:pPr>
        <w:tabs>
          <w:tab w:val="left" w:pos="840"/>
        </w:tabs>
        <w:ind w:left="1265" w:hanging="425"/>
      </w:pPr>
      <w:rPr>
        <w:rFonts w:hint="default"/>
      </w:rPr>
    </w:lvl>
  </w:abstractNum>
  <w:abstractNum w:abstractNumId="3">
    <w:nsid w:val="DEB499ED"/>
    <w:multiLevelType w:val="multilevel"/>
    <w:tmpl w:val="DEB499ED"/>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4">
    <w:nsid w:val="EEAFEC2B"/>
    <w:multiLevelType w:val="multilevel"/>
    <w:tmpl w:val="EEAFEC2B"/>
    <w:lvl w:ilvl="0" w:tentative="0">
      <w:start w:val="1"/>
      <w:numFmt w:val="upperLetter"/>
      <w:pStyle w:val="127"/>
      <w:suff w:val="space"/>
      <w:lvlText w:val="附　录　%1"/>
      <w:lvlJc w:val="left"/>
      <w:pPr>
        <w:ind w:left="0" w:leftChars="0" w:firstLine="0" w:firstLineChars="0"/>
      </w:pPr>
      <w:rPr>
        <w:rFonts w:hint="eastAsia" w:ascii="黑体" w:hAnsi="Times New Roman" w:eastAsia="黑体"/>
        <w:b w:val="0"/>
        <w:i w:val="0"/>
        <w:spacing w:val="0"/>
        <w:w w:val="100"/>
        <w:sz w:val="21"/>
      </w:rPr>
    </w:lvl>
    <w:lvl w:ilvl="1" w:tentative="0">
      <w:start w:val="1"/>
      <w:numFmt w:val="decimal"/>
      <w:pStyle w:val="106"/>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05"/>
      <w:suff w:val="nothing"/>
      <w:lvlText w:val="%1.%2.%3　"/>
      <w:lvlJc w:val="left"/>
      <w:pPr>
        <w:ind w:left="0" w:firstLine="0"/>
      </w:pPr>
      <w:rPr>
        <w:rFonts w:hint="eastAsia" w:ascii="黑体" w:hAnsi="Times New Roman" w:eastAsia="黑体"/>
        <w:b w:val="0"/>
        <w:i w:val="0"/>
        <w:sz w:val="21"/>
      </w:rPr>
    </w:lvl>
    <w:lvl w:ilvl="3" w:tentative="0">
      <w:start w:val="1"/>
      <w:numFmt w:val="decimal"/>
      <w:pStyle w:val="73"/>
      <w:suff w:val="nothing"/>
      <w:lvlText w:val="%1.%2.%3.%4　"/>
      <w:lvlJc w:val="left"/>
      <w:pPr>
        <w:ind w:left="0" w:firstLine="0"/>
      </w:pPr>
      <w:rPr>
        <w:rFonts w:hint="eastAsia" w:ascii="黑体" w:hAnsi="Times New Roman" w:eastAsia="黑体"/>
        <w:b w:val="0"/>
        <w:i w:val="0"/>
        <w:sz w:val="21"/>
      </w:rPr>
    </w:lvl>
    <w:lvl w:ilvl="4" w:tentative="0">
      <w:start w:val="1"/>
      <w:numFmt w:val="decimal"/>
      <w:pStyle w:val="72"/>
      <w:suff w:val="nothing"/>
      <w:lvlText w:val="%1.%2.%3.%4.%5　"/>
      <w:lvlJc w:val="left"/>
      <w:pPr>
        <w:ind w:left="0" w:firstLine="0"/>
      </w:pPr>
      <w:rPr>
        <w:rFonts w:hint="eastAsia" w:ascii="黑体" w:hAnsi="Times New Roman" w:eastAsia="黑体"/>
        <w:b w:val="0"/>
        <w:i w:val="0"/>
        <w:sz w:val="21"/>
      </w:rPr>
    </w:lvl>
    <w:lvl w:ilvl="5" w:tentative="0">
      <w:start w:val="1"/>
      <w:numFmt w:val="decimal"/>
      <w:pStyle w:val="71"/>
      <w:suff w:val="nothing"/>
      <w:lvlText w:val="%1.%2.%3.%4.%5.%6　"/>
      <w:lvlJc w:val="left"/>
      <w:pPr>
        <w:ind w:left="0" w:firstLine="0"/>
      </w:pPr>
      <w:rPr>
        <w:rFonts w:hint="eastAsia" w:ascii="黑体" w:hAnsi="Times New Roman" w:eastAsia="黑体"/>
        <w:b w:val="0"/>
        <w:i w:val="0"/>
        <w:sz w:val="21"/>
      </w:rPr>
    </w:lvl>
    <w:lvl w:ilvl="6" w:tentative="0">
      <w:start w:val="1"/>
      <w:numFmt w:val="decimal"/>
      <w:pStyle w:val="70"/>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F4345078"/>
    <w:multiLevelType w:val="multilevel"/>
    <w:tmpl w:val="F4345078"/>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6">
    <w:nsid w:val="04AB8DE0"/>
    <w:multiLevelType w:val="multilevel"/>
    <w:tmpl w:val="04AB8DE0"/>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7">
    <w:nsid w:val="079102AD"/>
    <w:multiLevelType w:val="multilevel"/>
    <w:tmpl w:val="079102AD"/>
    <w:lvl w:ilvl="0" w:tentative="0">
      <w:start w:val="1"/>
      <w:numFmt w:val="decimal"/>
      <w:pStyle w:val="137"/>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8">
    <w:nsid w:val="093C6778"/>
    <w:multiLevelType w:val="multilevel"/>
    <w:tmpl w:val="093C6778"/>
    <w:lvl w:ilvl="0" w:tentative="0">
      <w:start w:val="1"/>
      <w:numFmt w:val="decimal"/>
      <w:pStyle w:val="53"/>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0AE367E9"/>
    <w:multiLevelType w:val="multilevel"/>
    <w:tmpl w:val="0AE367E9"/>
    <w:lvl w:ilvl="0" w:tentative="0">
      <w:start w:val="1"/>
      <w:numFmt w:val="none"/>
      <w:pStyle w:val="109"/>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0">
    <w:nsid w:val="0C916A94"/>
    <w:multiLevelType w:val="multilevel"/>
    <w:tmpl w:val="0C916A94"/>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1">
    <w:nsid w:val="0D983844"/>
    <w:multiLevelType w:val="multilevel"/>
    <w:tmpl w:val="0D983844"/>
    <w:lvl w:ilvl="0" w:tentative="0">
      <w:start w:val="1"/>
      <w:numFmt w:val="decimal"/>
      <w:pStyle w:val="140"/>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2">
    <w:nsid w:val="0DDE2B46"/>
    <w:multiLevelType w:val="multilevel"/>
    <w:tmpl w:val="0DDE2B46"/>
    <w:lvl w:ilvl="0" w:tentative="0">
      <w:start w:val="1"/>
      <w:numFmt w:val="lowerLetter"/>
      <w:pStyle w:val="80"/>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13">
    <w:nsid w:val="10184760"/>
    <w:multiLevelType w:val="singleLevel"/>
    <w:tmpl w:val="10184760"/>
    <w:lvl w:ilvl="0" w:tentative="0">
      <w:start w:val="1"/>
      <w:numFmt w:val="decimal"/>
      <w:suff w:val="nothing"/>
      <w:lvlText w:val="%1 "/>
      <w:lvlJc w:val="left"/>
      <w:pPr>
        <w:ind w:left="0" w:firstLine="403"/>
      </w:pPr>
      <w:rPr>
        <w:rFonts w:hint="default" w:ascii="宋体" w:hAnsi="宋体" w:eastAsia="宋体" w:cs="宋体"/>
        <w:b/>
        <w:bCs/>
        <w:sz w:val="21"/>
        <w:szCs w:val="21"/>
      </w:rPr>
    </w:lvl>
  </w:abstractNum>
  <w:abstractNum w:abstractNumId="14">
    <w:nsid w:val="1B6490DB"/>
    <w:multiLevelType w:val="multilevel"/>
    <w:tmpl w:val="1B6490DB"/>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5">
    <w:nsid w:val="1DBF583A"/>
    <w:multiLevelType w:val="multilevel"/>
    <w:tmpl w:val="1DBF583A"/>
    <w:lvl w:ilvl="0" w:tentative="0">
      <w:start w:val="1"/>
      <w:numFmt w:val="decimal"/>
      <w:pStyle w:val="104"/>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16">
    <w:nsid w:val="1FC91163"/>
    <w:multiLevelType w:val="multilevel"/>
    <w:tmpl w:val="1FC91163"/>
    <w:lvl w:ilvl="0" w:tentative="0">
      <w:start w:val="1"/>
      <w:numFmt w:val="decimal"/>
      <w:pStyle w:val="91"/>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76"/>
      <w:suff w:val="nothing"/>
      <w:lvlText w:val="%1.%2　"/>
      <w:lvlJc w:val="left"/>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75"/>
      <w:suff w:val="nothing"/>
      <w:lvlText w:val="%1.%2.%3　"/>
      <w:lvlJc w:val="left"/>
      <w:pPr>
        <w:ind w:left="0" w:firstLine="0"/>
      </w:pPr>
      <w:rPr>
        <w:rFonts w:hint="default" w:ascii="黑体" w:hAnsi="Times New Roman" w:eastAsia="黑体"/>
        <w:b w:val="0"/>
        <w:i w:val="0"/>
        <w:color w:val="auto"/>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81"/>
      <w:suff w:val="nothing"/>
      <w:lvlText w:val="%1.%2.%3.%4.%5　"/>
      <w:lvlJc w:val="left"/>
      <w:pPr>
        <w:ind w:left="0" w:firstLine="0"/>
      </w:pPr>
      <w:rPr>
        <w:rFonts w:hint="eastAsia" w:ascii="黑体" w:hAnsi="Times New Roman" w:eastAsia="黑体"/>
        <w:b w:val="0"/>
        <w:i w:val="0"/>
        <w:sz w:val="21"/>
      </w:rPr>
    </w:lvl>
    <w:lvl w:ilvl="5" w:tentative="0">
      <w:start w:val="1"/>
      <w:numFmt w:val="decimal"/>
      <w:pStyle w:val="85"/>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7">
    <w:nsid w:val="22827D5B"/>
    <w:multiLevelType w:val="multilevel"/>
    <w:tmpl w:val="22827D5B"/>
    <w:lvl w:ilvl="0" w:tentative="0">
      <w:start w:val="1"/>
      <w:numFmt w:val="none"/>
      <w:pStyle w:val="68"/>
      <w:suff w:val="nothing"/>
      <w:lvlText w:val="%1注："/>
      <w:lvlJc w:val="left"/>
      <w:pPr>
        <w:ind w:left="363" w:hanging="363"/>
      </w:pPr>
      <w:rPr>
        <w:rFonts w:hint="eastAsia" w:ascii="黑体" w:hAnsi="Times New Roman" w:eastAsia="黑体"/>
        <w:b w:val="0"/>
        <w:i w:val="0"/>
        <w:sz w:val="18"/>
      </w:rPr>
    </w:lvl>
    <w:lvl w:ilvl="1" w:tentative="0">
      <w:start w:val="1"/>
      <w:numFmt w:val="lowerLetter"/>
      <w:lvlText w:val="%2)"/>
      <w:lvlJc w:val="left"/>
      <w:pPr>
        <w:tabs>
          <w:tab w:val="left" w:pos="1140"/>
        </w:tabs>
        <w:ind w:left="363" w:hanging="363"/>
      </w:pPr>
      <w:rPr>
        <w:rFonts w:hint="eastAsia"/>
      </w:rPr>
    </w:lvl>
    <w:lvl w:ilvl="2" w:tentative="0">
      <w:start w:val="1"/>
      <w:numFmt w:val="lowerRoman"/>
      <w:lvlText w:val="%3."/>
      <w:lvlJc w:val="right"/>
      <w:pPr>
        <w:tabs>
          <w:tab w:val="left" w:pos="1140"/>
        </w:tabs>
        <w:ind w:left="363" w:hanging="363"/>
      </w:pPr>
      <w:rPr>
        <w:rFonts w:hint="eastAsia"/>
      </w:rPr>
    </w:lvl>
    <w:lvl w:ilvl="3" w:tentative="0">
      <w:start w:val="1"/>
      <w:numFmt w:val="decimal"/>
      <w:lvlText w:val="%4."/>
      <w:lvlJc w:val="left"/>
      <w:pPr>
        <w:tabs>
          <w:tab w:val="left" w:pos="1140"/>
        </w:tabs>
        <w:ind w:left="363" w:hanging="363"/>
      </w:pPr>
      <w:rPr>
        <w:rFonts w:hint="eastAsia"/>
      </w:rPr>
    </w:lvl>
    <w:lvl w:ilvl="4" w:tentative="0">
      <w:start w:val="1"/>
      <w:numFmt w:val="lowerLetter"/>
      <w:lvlText w:val="%5)"/>
      <w:lvlJc w:val="left"/>
      <w:pPr>
        <w:tabs>
          <w:tab w:val="left" w:pos="1140"/>
        </w:tabs>
        <w:ind w:left="363" w:hanging="363"/>
      </w:pPr>
      <w:rPr>
        <w:rFonts w:hint="eastAsia"/>
      </w:rPr>
    </w:lvl>
    <w:lvl w:ilvl="5" w:tentative="0">
      <w:start w:val="1"/>
      <w:numFmt w:val="lowerRoman"/>
      <w:lvlText w:val="%6."/>
      <w:lvlJc w:val="right"/>
      <w:pPr>
        <w:tabs>
          <w:tab w:val="left" w:pos="1140"/>
        </w:tabs>
        <w:ind w:left="363" w:hanging="363"/>
      </w:pPr>
      <w:rPr>
        <w:rFonts w:hint="eastAsia"/>
      </w:rPr>
    </w:lvl>
    <w:lvl w:ilvl="6" w:tentative="0">
      <w:start w:val="1"/>
      <w:numFmt w:val="decimal"/>
      <w:lvlText w:val="%7."/>
      <w:lvlJc w:val="left"/>
      <w:pPr>
        <w:tabs>
          <w:tab w:val="left" w:pos="1140"/>
        </w:tabs>
        <w:ind w:left="363" w:hanging="363"/>
      </w:pPr>
      <w:rPr>
        <w:rFonts w:hint="eastAsia"/>
      </w:rPr>
    </w:lvl>
    <w:lvl w:ilvl="7" w:tentative="0">
      <w:start w:val="1"/>
      <w:numFmt w:val="lowerLetter"/>
      <w:lvlText w:val="%8)"/>
      <w:lvlJc w:val="left"/>
      <w:pPr>
        <w:tabs>
          <w:tab w:val="left" w:pos="1140"/>
        </w:tabs>
        <w:ind w:left="363" w:hanging="363"/>
      </w:pPr>
      <w:rPr>
        <w:rFonts w:hint="eastAsia"/>
      </w:rPr>
    </w:lvl>
    <w:lvl w:ilvl="8" w:tentative="0">
      <w:start w:val="1"/>
      <w:numFmt w:val="lowerRoman"/>
      <w:lvlText w:val="%9."/>
      <w:lvlJc w:val="right"/>
      <w:pPr>
        <w:tabs>
          <w:tab w:val="left" w:pos="1140"/>
        </w:tabs>
        <w:ind w:left="363" w:hanging="363"/>
      </w:pPr>
      <w:rPr>
        <w:rFonts w:hint="eastAsia"/>
      </w:rPr>
    </w:lvl>
  </w:abstractNum>
  <w:abstractNum w:abstractNumId="18">
    <w:nsid w:val="2A8F7113"/>
    <w:multiLevelType w:val="multilevel"/>
    <w:tmpl w:val="2A8F7113"/>
    <w:lvl w:ilvl="0" w:tentative="0">
      <w:start w:val="1"/>
      <w:numFmt w:val="upperLetter"/>
      <w:pStyle w:val="135"/>
      <w:suff w:val="space"/>
      <w:lvlText w:val="%1"/>
      <w:lvlJc w:val="left"/>
      <w:pPr>
        <w:ind w:left="623" w:hanging="425"/>
      </w:pPr>
      <w:rPr>
        <w:rFonts w:hint="eastAsia"/>
      </w:rPr>
    </w:lvl>
    <w:lvl w:ilvl="1" w:tentative="0">
      <w:start w:val="1"/>
      <w:numFmt w:val="decimal"/>
      <w:pStyle w:val="61"/>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19">
    <w:nsid w:val="2C5917C3"/>
    <w:multiLevelType w:val="multilevel"/>
    <w:tmpl w:val="2C5917C3"/>
    <w:lvl w:ilvl="0" w:tentative="0">
      <w:start w:val="1"/>
      <w:numFmt w:val="none"/>
      <w:pStyle w:val="79"/>
      <w:suff w:val="nothing"/>
      <w:lvlText w:val="%1——"/>
      <w:lvlJc w:val="left"/>
      <w:pPr>
        <w:ind w:left="833" w:hanging="408"/>
      </w:pPr>
      <w:rPr>
        <w:rFonts w:hint="eastAsia"/>
      </w:rPr>
    </w:lvl>
    <w:lvl w:ilvl="1" w:tentative="0">
      <w:start w:val="1"/>
      <w:numFmt w:val="bullet"/>
      <w:pStyle w:val="130"/>
      <w:lvlText w:val=""/>
      <w:lvlJc w:val="left"/>
      <w:pPr>
        <w:tabs>
          <w:tab w:val="left" w:pos="760"/>
        </w:tabs>
        <w:ind w:left="1264" w:hanging="413"/>
      </w:pPr>
      <w:rPr>
        <w:rFonts w:hint="default" w:ascii="Symbol" w:hAnsi="Symbol"/>
        <w:color w:val="auto"/>
      </w:rPr>
    </w:lvl>
    <w:lvl w:ilvl="2" w:tentative="0">
      <w:start w:val="1"/>
      <w:numFmt w:val="bullet"/>
      <w:pStyle w:val="123"/>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0">
    <w:nsid w:val="3BCA7A8C"/>
    <w:multiLevelType w:val="multilevel"/>
    <w:tmpl w:val="3BCA7A8C"/>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1">
    <w:nsid w:val="3D733618"/>
    <w:multiLevelType w:val="multilevel"/>
    <w:tmpl w:val="3D733618"/>
    <w:lvl w:ilvl="0" w:tentative="0">
      <w:start w:val="1"/>
      <w:numFmt w:val="decimal"/>
      <w:pStyle w:val="27"/>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22">
    <w:nsid w:val="44C50F90"/>
    <w:multiLevelType w:val="multilevel"/>
    <w:tmpl w:val="44C50F90"/>
    <w:lvl w:ilvl="0" w:tentative="0">
      <w:start w:val="1"/>
      <w:numFmt w:val="lowerLetter"/>
      <w:pStyle w:val="66"/>
      <w:lvlText w:val="%1)"/>
      <w:lvlJc w:val="left"/>
      <w:pPr>
        <w:tabs>
          <w:tab w:val="left" w:pos="840"/>
        </w:tabs>
        <w:ind w:left="839" w:hanging="419"/>
      </w:pPr>
      <w:rPr>
        <w:rFonts w:hint="eastAsia" w:ascii="宋体" w:eastAsia="宋体"/>
        <w:b w:val="0"/>
        <w:i w:val="0"/>
        <w:sz w:val="21"/>
        <w:szCs w:val="21"/>
      </w:rPr>
    </w:lvl>
    <w:lvl w:ilvl="1" w:tentative="0">
      <w:start w:val="1"/>
      <w:numFmt w:val="decimal"/>
      <w:pStyle w:val="129"/>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3">
    <w:nsid w:val="4B733A5F"/>
    <w:multiLevelType w:val="multilevel"/>
    <w:tmpl w:val="4B733A5F"/>
    <w:lvl w:ilvl="0" w:tentative="0">
      <w:start w:val="1"/>
      <w:numFmt w:val="decimal"/>
      <w:pStyle w:val="94"/>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24">
    <w:nsid w:val="4E59C632"/>
    <w:multiLevelType w:val="multilevel"/>
    <w:tmpl w:val="4E59C632"/>
    <w:lvl w:ilvl="0" w:tentative="0">
      <w:start w:val="1"/>
      <w:numFmt w:val="decimal"/>
      <w:pStyle w:val="132"/>
      <w:suff w:val="nothing"/>
      <w:lvlText w:val="表%1　"/>
      <w:lvlJc w:val="left"/>
      <w:pPr>
        <w:tabs>
          <w:tab w:val="left" w:pos="0"/>
        </w:tabs>
        <w:ind w:left="0" w:leftChars="0" w:firstLine="0" w:firstLineChars="0"/>
      </w:pPr>
      <w:rPr>
        <w:rFonts w:hint="default"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5870DD7C"/>
    <w:multiLevelType w:val="multilevel"/>
    <w:tmpl w:val="5870DD7C"/>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6">
    <w:nsid w:val="5D513489"/>
    <w:multiLevelType w:val="multilevel"/>
    <w:tmpl w:val="5D513489"/>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7">
    <w:nsid w:val="5D8B78D4"/>
    <w:multiLevelType w:val="multilevel"/>
    <w:tmpl w:val="5D8B78D4"/>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8">
    <w:nsid w:val="60B55DC2"/>
    <w:multiLevelType w:val="multilevel"/>
    <w:tmpl w:val="60B55DC2"/>
    <w:lvl w:ilvl="0" w:tentative="0">
      <w:start w:val="1"/>
      <w:numFmt w:val="upperLetter"/>
      <w:pStyle w:val="86"/>
      <w:lvlText w:val="%1"/>
      <w:lvlJc w:val="left"/>
      <w:pPr>
        <w:tabs>
          <w:tab w:val="left" w:pos="0"/>
        </w:tabs>
        <w:ind w:left="0" w:hanging="425"/>
      </w:pPr>
      <w:rPr>
        <w:rFonts w:hint="eastAsia"/>
      </w:rPr>
    </w:lvl>
    <w:lvl w:ilvl="1" w:tentative="0">
      <w:start w:val="1"/>
      <w:numFmt w:val="decimal"/>
      <w:pStyle w:val="102"/>
      <w:suff w:val="nothing"/>
      <w:lvlText w:val="表%1.%2　"/>
      <w:lvlJc w:val="left"/>
      <w:pPr>
        <w:ind w:left="3686"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29">
    <w:nsid w:val="653E57F9"/>
    <w:multiLevelType w:val="multilevel"/>
    <w:tmpl w:val="653E57F9"/>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0">
    <w:nsid w:val="6B39BF8C"/>
    <w:multiLevelType w:val="multilevel"/>
    <w:tmpl w:val="6B39BF8C"/>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1">
    <w:nsid w:val="6D6C07CD"/>
    <w:multiLevelType w:val="multilevel"/>
    <w:tmpl w:val="6D6C07CD"/>
    <w:lvl w:ilvl="0" w:tentative="0">
      <w:start w:val="1"/>
      <w:numFmt w:val="lowerLetter"/>
      <w:pStyle w:val="139"/>
      <w:lvlText w:val="%1)"/>
      <w:lvlJc w:val="left"/>
      <w:pPr>
        <w:tabs>
          <w:tab w:val="left" w:pos="839"/>
        </w:tabs>
        <w:ind w:left="839" w:hanging="419"/>
      </w:pPr>
      <w:rPr>
        <w:rFonts w:hint="eastAsia" w:ascii="宋体" w:eastAsia="宋体"/>
        <w:b w:val="0"/>
        <w:i w:val="0"/>
        <w:sz w:val="21"/>
      </w:rPr>
    </w:lvl>
    <w:lvl w:ilvl="1" w:tentative="0">
      <w:start w:val="1"/>
      <w:numFmt w:val="decimal"/>
      <w:pStyle w:val="141"/>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32">
    <w:nsid w:val="6DBF04F4"/>
    <w:multiLevelType w:val="multilevel"/>
    <w:tmpl w:val="6DBF04F4"/>
    <w:lvl w:ilvl="0" w:tentative="0">
      <w:start w:val="1"/>
      <w:numFmt w:val="none"/>
      <w:pStyle w:val="69"/>
      <w:suff w:val="nothing"/>
      <w:lvlText w:val="%1注："/>
      <w:lvlJc w:val="left"/>
      <w:pPr>
        <w:ind w:left="363"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3">
    <w:nsid w:val="6DF0D5BA"/>
    <w:multiLevelType w:val="multilevel"/>
    <w:tmpl w:val="6DF0D5BA"/>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num w:numId="1">
    <w:abstractNumId w:val="21"/>
  </w:num>
  <w:num w:numId="2">
    <w:abstractNumId w:val="8"/>
  </w:num>
  <w:num w:numId="3">
    <w:abstractNumId w:val="18"/>
  </w:num>
  <w:num w:numId="4">
    <w:abstractNumId w:val="22"/>
  </w:num>
  <w:num w:numId="5">
    <w:abstractNumId w:val="17"/>
  </w:num>
  <w:num w:numId="6">
    <w:abstractNumId w:val="32"/>
  </w:num>
  <w:num w:numId="7">
    <w:abstractNumId w:val="4"/>
  </w:num>
  <w:num w:numId="8">
    <w:abstractNumId w:val="16"/>
  </w:num>
  <w:num w:numId="9">
    <w:abstractNumId w:val="19"/>
  </w:num>
  <w:num w:numId="10">
    <w:abstractNumId w:val="12"/>
  </w:num>
  <w:num w:numId="11">
    <w:abstractNumId w:val="28"/>
  </w:num>
  <w:num w:numId="12">
    <w:abstractNumId w:val="23"/>
  </w:num>
  <w:num w:numId="13">
    <w:abstractNumId w:val="15"/>
  </w:num>
  <w:num w:numId="14">
    <w:abstractNumId w:val="9"/>
  </w:num>
  <w:num w:numId="15">
    <w:abstractNumId w:val="24"/>
  </w:num>
  <w:num w:numId="16">
    <w:abstractNumId w:val="7"/>
  </w:num>
  <w:num w:numId="17">
    <w:abstractNumId w:val="31"/>
  </w:num>
  <w:num w:numId="18">
    <w:abstractNumId w:val="11"/>
  </w:num>
  <w:num w:numId="19">
    <w:abstractNumId w:val="10"/>
  </w:num>
  <w:num w:numId="20">
    <w:abstractNumId w:val="20"/>
  </w:num>
  <w:num w:numId="21">
    <w:abstractNumId w:val="1"/>
  </w:num>
  <w:num w:numId="22">
    <w:abstractNumId w:val="27"/>
  </w:num>
  <w:num w:numId="23">
    <w:abstractNumId w:val="3"/>
  </w:num>
  <w:num w:numId="24">
    <w:abstractNumId w:val="14"/>
  </w:num>
  <w:num w:numId="25">
    <w:abstractNumId w:val="30"/>
  </w:num>
  <w:num w:numId="26">
    <w:abstractNumId w:val="29"/>
  </w:num>
  <w:num w:numId="27">
    <w:abstractNumId w:val="2"/>
  </w:num>
  <w:num w:numId="28">
    <w:abstractNumId w:val="0"/>
  </w:num>
  <w:num w:numId="29">
    <w:abstractNumId w:val="25"/>
  </w:num>
  <w:num w:numId="30">
    <w:abstractNumId w:val="26"/>
  </w:num>
  <w:num w:numId="31">
    <w:abstractNumId w:val="5"/>
  </w:num>
  <w:num w:numId="32">
    <w:abstractNumId w:val="33"/>
  </w:num>
  <w:num w:numId="33">
    <w:abstractNumId w:val="6"/>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FiMmI4ZWEyOTJjNzllODZhMjIzYjAyOGQ5YmZkMjUifQ=="/>
    <w:docVar w:name="KSO_WPS_MARK_KEY" w:val="1c6b9a41-a01a-47cd-a748-bb94438ff61c"/>
  </w:docVars>
  <w:rsids>
    <w:rsidRoot w:val="00172A27"/>
    <w:rsid w:val="00000244"/>
    <w:rsid w:val="00000CCF"/>
    <w:rsid w:val="0000185F"/>
    <w:rsid w:val="00002488"/>
    <w:rsid w:val="00004F47"/>
    <w:rsid w:val="0000586F"/>
    <w:rsid w:val="00010F05"/>
    <w:rsid w:val="00013101"/>
    <w:rsid w:val="0001334C"/>
    <w:rsid w:val="0001365B"/>
    <w:rsid w:val="00013D86"/>
    <w:rsid w:val="00013E02"/>
    <w:rsid w:val="00013E2A"/>
    <w:rsid w:val="0001448A"/>
    <w:rsid w:val="00015005"/>
    <w:rsid w:val="000208A0"/>
    <w:rsid w:val="0002143C"/>
    <w:rsid w:val="000246A2"/>
    <w:rsid w:val="00025A65"/>
    <w:rsid w:val="00025D7E"/>
    <w:rsid w:val="00026C31"/>
    <w:rsid w:val="00027280"/>
    <w:rsid w:val="000320A7"/>
    <w:rsid w:val="00035925"/>
    <w:rsid w:val="00041187"/>
    <w:rsid w:val="00052027"/>
    <w:rsid w:val="00052ABA"/>
    <w:rsid w:val="0005362E"/>
    <w:rsid w:val="00053670"/>
    <w:rsid w:val="00055E95"/>
    <w:rsid w:val="00066027"/>
    <w:rsid w:val="000677F1"/>
    <w:rsid w:val="00067CDF"/>
    <w:rsid w:val="0007207B"/>
    <w:rsid w:val="00072F28"/>
    <w:rsid w:val="00074FBE"/>
    <w:rsid w:val="000750AF"/>
    <w:rsid w:val="0007740F"/>
    <w:rsid w:val="000778C1"/>
    <w:rsid w:val="00083A09"/>
    <w:rsid w:val="0009005E"/>
    <w:rsid w:val="00092857"/>
    <w:rsid w:val="00093E44"/>
    <w:rsid w:val="0009421B"/>
    <w:rsid w:val="00094BB2"/>
    <w:rsid w:val="000A0110"/>
    <w:rsid w:val="000A1539"/>
    <w:rsid w:val="000A20A9"/>
    <w:rsid w:val="000A40E7"/>
    <w:rsid w:val="000A48B1"/>
    <w:rsid w:val="000A653A"/>
    <w:rsid w:val="000B1DFD"/>
    <w:rsid w:val="000B3143"/>
    <w:rsid w:val="000C6B05"/>
    <w:rsid w:val="000C6DD6"/>
    <w:rsid w:val="000C73D4"/>
    <w:rsid w:val="000D137D"/>
    <w:rsid w:val="000D21A5"/>
    <w:rsid w:val="000D2CF3"/>
    <w:rsid w:val="000D3D4C"/>
    <w:rsid w:val="000D4DB4"/>
    <w:rsid w:val="000D4F51"/>
    <w:rsid w:val="000D5204"/>
    <w:rsid w:val="000D718B"/>
    <w:rsid w:val="000E0C46"/>
    <w:rsid w:val="000E1F29"/>
    <w:rsid w:val="000E7009"/>
    <w:rsid w:val="000F030C"/>
    <w:rsid w:val="000F129C"/>
    <w:rsid w:val="000F6C7B"/>
    <w:rsid w:val="00100CB0"/>
    <w:rsid w:val="001056DE"/>
    <w:rsid w:val="001124C0"/>
    <w:rsid w:val="001133DA"/>
    <w:rsid w:val="001136C6"/>
    <w:rsid w:val="00113955"/>
    <w:rsid w:val="001139CD"/>
    <w:rsid w:val="00113E27"/>
    <w:rsid w:val="00121D36"/>
    <w:rsid w:val="00123040"/>
    <w:rsid w:val="0013175F"/>
    <w:rsid w:val="00136FCA"/>
    <w:rsid w:val="00141FC4"/>
    <w:rsid w:val="001422DE"/>
    <w:rsid w:val="00144184"/>
    <w:rsid w:val="0014722E"/>
    <w:rsid w:val="0014776C"/>
    <w:rsid w:val="001512B4"/>
    <w:rsid w:val="00155144"/>
    <w:rsid w:val="001620A5"/>
    <w:rsid w:val="00164E53"/>
    <w:rsid w:val="00165297"/>
    <w:rsid w:val="0016699D"/>
    <w:rsid w:val="00175159"/>
    <w:rsid w:val="001756DB"/>
    <w:rsid w:val="00176208"/>
    <w:rsid w:val="00177425"/>
    <w:rsid w:val="0018034E"/>
    <w:rsid w:val="001803A9"/>
    <w:rsid w:val="0018211B"/>
    <w:rsid w:val="001840D3"/>
    <w:rsid w:val="00186466"/>
    <w:rsid w:val="00186CC1"/>
    <w:rsid w:val="00187F4D"/>
    <w:rsid w:val="001900F8"/>
    <w:rsid w:val="00190F8B"/>
    <w:rsid w:val="00191258"/>
    <w:rsid w:val="00192680"/>
    <w:rsid w:val="0019287F"/>
    <w:rsid w:val="00193037"/>
    <w:rsid w:val="00193A2C"/>
    <w:rsid w:val="001968A9"/>
    <w:rsid w:val="00196FE5"/>
    <w:rsid w:val="001A1FCE"/>
    <w:rsid w:val="001A288E"/>
    <w:rsid w:val="001A2968"/>
    <w:rsid w:val="001A2FED"/>
    <w:rsid w:val="001A5508"/>
    <w:rsid w:val="001B3537"/>
    <w:rsid w:val="001B6DC2"/>
    <w:rsid w:val="001B71A0"/>
    <w:rsid w:val="001C149C"/>
    <w:rsid w:val="001C1A0E"/>
    <w:rsid w:val="001C21AC"/>
    <w:rsid w:val="001C2298"/>
    <w:rsid w:val="001C47BA"/>
    <w:rsid w:val="001C59EA"/>
    <w:rsid w:val="001C70F0"/>
    <w:rsid w:val="001D406C"/>
    <w:rsid w:val="001D41EE"/>
    <w:rsid w:val="001E0380"/>
    <w:rsid w:val="001E13B1"/>
    <w:rsid w:val="001E2177"/>
    <w:rsid w:val="001E66E9"/>
    <w:rsid w:val="001E69EB"/>
    <w:rsid w:val="001E6C47"/>
    <w:rsid w:val="001F3A19"/>
    <w:rsid w:val="002056AD"/>
    <w:rsid w:val="0021081D"/>
    <w:rsid w:val="00210C54"/>
    <w:rsid w:val="00212DA6"/>
    <w:rsid w:val="002135B0"/>
    <w:rsid w:val="00214AA3"/>
    <w:rsid w:val="00215BAD"/>
    <w:rsid w:val="00220D45"/>
    <w:rsid w:val="002310C5"/>
    <w:rsid w:val="00234467"/>
    <w:rsid w:val="002349A6"/>
    <w:rsid w:val="00234D2D"/>
    <w:rsid w:val="00237D8D"/>
    <w:rsid w:val="00241DA2"/>
    <w:rsid w:val="00247245"/>
    <w:rsid w:val="002473C7"/>
    <w:rsid w:val="00247511"/>
    <w:rsid w:val="002478EB"/>
    <w:rsid w:val="00247FEE"/>
    <w:rsid w:val="00250E7D"/>
    <w:rsid w:val="002565D5"/>
    <w:rsid w:val="00260E41"/>
    <w:rsid w:val="002622C0"/>
    <w:rsid w:val="00262D9B"/>
    <w:rsid w:val="00266A9A"/>
    <w:rsid w:val="0027656E"/>
    <w:rsid w:val="002778AE"/>
    <w:rsid w:val="0028269A"/>
    <w:rsid w:val="0028269F"/>
    <w:rsid w:val="00283590"/>
    <w:rsid w:val="00286973"/>
    <w:rsid w:val="00294E70"/>
    <w:rsid w:val="00295920"/>
    <w:rsid w:val="002A0E16"/>
    <w:rsid w:val="002A1924"/>
    <w:rsid w:val="002A3B50"/>
    <w:rsid w:val="002A5620"/>
    <w:rsid w:val="002A5836"/>
    <w:rsid w:val="002A6DDC"/>
    <w:rsid w:val="002A7420"/>
    <w:rsid w:val="002B0F12"/>
    <w:rsid w:val="002B11C8"/>
    <w:rsid w:val="002B1308"/>
    <w:rsid w:val="002B1CB2"/>
    <w:rsid w:val="002B4554"/>
    <w:rsid w:val="002B53E9"/>
    <w:rsid w:val="002B7E0A"/>
    <w:rsid w:val="002C249B"/>
    <w:rsid w:val="002C44E4"/>
    <w:rsid w:val="002C72D8"/>
    <w:rsid w:val="002D0640"/>
    <w:rsid w:val="002D11FA"/>
    <w:rsid w:val="002D7BDB"/>
    <w:rsid w:val="002E0DDF"/>
    <w:rsid w:val="002E1E8F"/>
    <w:rsid w:val="002E2906"/>
    <w:rsid w:val="002E330F"/>
    <w:rsid w:val="002E33FD"/>
    <w:rsid w:val="002E363B"/>
    <w:rsid w:val="002E4396"/>
    <w:rsid w:val="002E5635"/>
    <w:rsid w:val="002E5BF1"/>
    <w:rsid w:val="002E64C3"/>
    <w:rsid w:val="002E6A2C"/>
    <w:rsid w:val="002F1D8C"/>
    <w:rsid w:val="002F21DA"/>
    <w:rsid w:val="002F2A80"/>
    <w:rsid w:val="002F4F5D"/>
    <w:rsid w:val="002F653E"/>
    <w:rsid w:val="003012BA"/>
    <w:rsid w:val="00301F39"/>
    <w:rsid w:val="003021F1"/>
    <w:rsid w:val="00302694"/>
    <w:rsid w:val="00306559"/>
    <w:rsid w:val="003069C5"/>
    <w:rsid w:val="00313A78"/>
    <w:rsid w:val="00317382"/>
    <w:rsid w:val="00317CCD"/>
    <w:rsid w:val="00325926"/>
    <w:rsid w:val="00326F73"/>
    <w:rsid w:val="00327A8A"/>
    <w:rsid w:val="0033050E"/>
    <w:rsid w:val="00335B0F"/>
    <w:rsid w:val="00336610"/>
    <w:rsid w:val="003417F7"/>
    <w:rsid w:val="00341D63"/>
    <w:rsid w:val="00342F5E"/>
    <w:rsid w:val="00343F73"/>
    <w:rsid w:val="00345060"/>
    <w:rsid w:val="00345F3C"/>
    <w:rsid w:val="00347395"/>
    <w:rsid w:val="0035323B"/>
    <w:rsid w:val="003609D2"/>
    <w:rsid w:val="00362EC1"/>
    <w:rsid w:val="00363F22"/>
    <w:rsid w:val="00366311"/>
    <w:rsid w:val="00366502"/>
    <w:rsid w:val="00371217"/>
    <w:rsid w:val="00375564"/>
    <w:rsid w:val="00376266"/>
    <w:rsid w:val="003766CC"/>
    <w:rsid w:val="003821E7"/>
    <w:rsid w:val="00382234"/>
    <w:rsid w:val="00382757"/>
    <w:rsid w:val="00383191"/>
    <w:rsid w:val="00386D69"/>
    <w:rsid w:val="00386DED"/>
    <w:rsid w:val="003912E7"/>
    <w:rsid w:val="00392EA1"/>
    <w:rsid w:val="00393947"/>
    <w:rsid w:val="003A2275"/>
    <w:rsid w:val="003A6A4F"/>
    <w:rsid w:val="003A7088"/>
    <w:rsid w:val="003A72C9"/>
    <w:rsid w:val="003B00DF"/>
    <w:rsid w:val="003B0E8D"/>
    <w:rsid w:val="003B125E"/>
    <w:rsid w:val="003B1275"/>
    <w:rsid w:val="003B1778"/>
    <w:rsid w:val="003B2E00"/>
    <w:rsid w:val="003B3F71"/>
    <w:rsid w:val="003C0B57"/>
    <w:rsid w:val="003C11CB"/>
    <w:rsid w:val="003C6C8F"/>
    <w:rsid w:val="003C75F3"/>
    <w:rsid w:val="003C78A3"/>
    <w:rsid w:val="003D25F4"/>
    <w:rsid w:val="003D5235"/>
    <w:rsid w:val="003E1867"/>
    <w:rsid w:val="003E1B70"/>
    <w:rsid w:val="003E3754"/>
    <w:rsid w:val="003E488E"/>
    <w:rsid w:val="003E5729"/>
    <w:rsid w:val="003F1112"/>
    <w:rsid w:val="003F3F82"/>
    <w:rsid w:val="003F4B11"/>
    <w:rsid w:val="003F4EE0"/>
    <w:rsid w:val="00402153"/>
    <w:rsid w:val="00402FC1"/>
    <w:rsid w:val="00405072"/>
    <w:rsid w:val="004059BF"/>
    <w:rsid w:val="00415C49"/>
    <w:rsid w:val="00420B8E"/>
    <w:rsid w:val="00425082"/>
    <w:rsid w:val="00430294"/>
    <w:rsid w:val="00430E78"/>
    <w:rsid w:val="00431DEB"/>
    <w:rsid w:val="004464DD"/>
    <w:rsid w:val="00446B29"/>
    <w:rsid w:val="004533F8"/>
    <w:rsid w:val="00453B26"/>
    <w:rsid w:val="00453F9A"/>
    <w:rsid w:val="00454B3D"/>
    <w:rsid w:val="0045579B"/>
    <w:rsid w:val="00464370"/>
    <w:rsid w:val="00464560"/>
    <w:rsid w:val="00466C3F"/>
    <w:rsid w:val="00471E91"/>
    <w:rsid w:val="00472159"/>
    <w:rsid w:val="00474675"/>
    <w:rsid w:val="0047470C"/>
    <w:rsid w:val="004762ED"/>
    <w:rsid w:val="00485F49"/>
    <w:rsid w:val="00486BAD"/>
    <w:rsid w:val="00486D4F"/>
    <w:rsid w:val="00494072"/>
    <w:rsid w:val="00496A1C"/>
    <w:rsid w:val="004A2A13"/>
    <w:rsid w:val="004A35F9"/>
    <w:rsid w:val="004B092E"/>
    <w:rsid w:val="004B21A6"/>
    <w:rsid w:val="004B24C1"/>
    <w:rsid w:val="004C191C"/>
    <w:rsid w:val="004C1E72"/>
    <w:rsid w:val="004C292F"/>
    <w:rsid w:val="004C2975"/>
    <w:rsid w:val="004C2E81"/>
    <w:rsid w:val="004C46EB"/>
    <w:rsid w:val="004C5863"/>
    <w:rsid w:val="004D01C5"/>
    <w:rsid w:val="004D6C0F"/>
    <w:rsid w:val="004E0620"/>
    <w:rsid w:val="004E0D40"/>
    <w:rsid w:val="004E3EC6"/>
    <w:rsid w:val="004F03E0"/>
    <w:rsid w:val="004F1148"/>
    <w:rsid w:val="004F1E30"/>
    <w:rsid w:val="004F3561"/>
    <w:rsid w:val="004F4AEB"/>
    <w:rsid w:val="004F6A69"/>
    <w:rsid w:val="004F777F"/>
    <w:rsid w:val="005000C3"/>
    <w:rsid w:val="00502198"/>
    <w:rsid w:val="005034FD"/>
    <w:rsid w:val="00510280"/>
    <w:rsid w:val="0051369F"/>
    <w:rsid w:val="00513D73"/>
    <w:rsid w:val="00514A43"/>
    <w:rsid w:val="005153E4"/>
    <w:rsid w:val="005174E5"/>
    <w:rsid w:val="00522393"/>
    <w:rsid w:val="00522620"/>
    <w:rsid w:val="00524A60"/>
    <w:rsid w:val="00525656"/>
    <w:rsid w:val="00532D99"/>
    <w:rsid w:val="00534337"/>
    <w:rsid w:val="00534C02"/>
    <w:rsid w:val="0054084A"/>
    <w:rsid w:val="0054264B"/>
    <w:rsid w:val="0054338E"/>
    <w:rsid w:val="005434EE"/>
    <w:rsid w:val="00543786"/>
    <w:rsid w:val="005533D7"/>
    <w:rsid w:val="00560C01"/>
    <w:rsid w:val="00562991"/>
    <w:rsid w:val="00562F55"/>
    <w:rsid w:val="005703DE"/>
    <w:rsid w:val="00571D1B"/>
    <w:rsid w:val="005745F2"/>
    <w:rsid w:val="00574E61"/>
    <w:rsid w:val="005775F7"/>
    <w:rsid w:val="005816F3"/>
    <w:rsid w:val="00581DA5"/>
    <w:rsid w:val="00582101"/>
    <w:rsid w:val="0058464E"/>
    <w:rsid w:val="00586AED"/>
    <w:rsid w:val="00587124"/>
    <w:rsid w:val="005878F4"/>
    <w:rsid w:val="00590B2E"/>
    <w:rsid w:val="00593B48"/>
    <w:rsid w:val="00597145"/>
    <w:rsid w:val="005A01CB"/>
    <w:rsid w:val="005A4AC3"/>
    <w:rsid w:val="005A58FF"/>
    <w:rsid w:val="005A5EAF"/>
    <w:rsid w:val="005A64C0"/>
    <w:rsid w:val="005B0410"/>
    <w:rsid w:val="005B1684"/>
    <w:rsid w:val="005B1728"/>
    <w:rsid w:val="005B3A6D"/>
    <w:rsid w:val="005B3C11"/>
    <w:rsid w:val="005B7331"/>
    <w:rsid w:val="005C00D6"/>
    <w:rsid w:val="005C1456"/>
    <w:rsid w:val="005C1C28"/>
    <w:rsid w:val="005C3510"/>
    <w:rsid w:val="005C64CB"/>
    <w:rsid w:val="005C6DB5"/>
    <w:rsid w:val="005D10B4"/>
    <w:rsid w:val="005D2ED6"/>
    <w:rsid w:val="005D38B2"/>
    <w:rsid w:val="005D5221"/>
    <w:rsid w:val="005E0688"/>
    <w:rsid w:val="005E19E7"/>
    <w:rsid w:val="005E5A3C"/>
    <w:rsid w:val="005F0D35"/>
    <w:rsid w:val="005F14CA"/>
    <w:rsid w:val="005F4164"/>
    <w:rsid w:val="00611BC7"/>
    <w:rsid w:val="00611BE5"/>
    <w:rsid w:val="00613D57"/>
    <w:rsid w:val="00616301"/>
    <w:rsid w:val="0061716C"/>
    <w:rsid w:val="006243A1"/>
    <w:rsid w:val="00630839"/>
    <w:rsid w:val="00632175"/>
    <w:rsid w:val="00632E56"/>
    <w:rsid w:val="00633C18"/>
    <w:rsid w:val="006357DA"/>
    <w:rsid w:val="00635CBA"/>
    <w:rsid w:val="0063786C"/>
    <w:rsid w:val="0063795E"/>
    <w:rsid w:val="00637A37"/>
    <w:rsid w:val="006426BB"/>
    <w:rsid w:val="0064338B"/>
    <w:rsid w:val="006444F5"/>
    <w:rsid w:val="00646090"/>
    <w:rsid w:val="00646542"/>
    <w:rsid w:val="0064762A"/>
    <w:rsid w:val="006501F7"/>
    <w:rsid w:val="006504F4"/>
    <w:rsid w:val="00654BC9"/>
    <w:rsid w:val="00654D38"/>
    <w:rsid w:val="006552FD"/>
    <w:rsid w:val="00657E13"/>
    <w:rsid w:val="00663AF3"/>
    <w:rsid w:val="00664299"/>
    <w:rsid w:val="00665827"/>
    <w:rsid w:val="00666B6C"/>
    <w:rsid w:val="006677C0"/>
    <w:rsid w:val="006707AC"/>
    <w:rsid w:val="0068018C"/>
    <w:rsid w:val="00682682"/>
    <w:rsid w:val="00682702"/>
    <w:rsid w:val="00682CAE"/>
    <w:rsid w:val="00685801"/>
    <w:rsid w:val="006864D3"/>
    <w:rsid w:val="00687BD3"/>
    <w:rsid w:val="00692368"/>
    <w:rsid w:val="0069282A"/>
    <w:rsid w:val="00693D3A"/>
    <w:rsid w:val="0069776E"/>
    <w:rsid w:val="00697F20"/>
    <w:rsid w:val="006A2AD5"/>
    <w:rsid w:val="006A2EBC"/>
    <w:rsid w:val="006A455F"/>
    <w:rsid w:val="006A5EA0"/>
    <w:rsid w:val="006A6CFB"/>
    <w:rsid w:val="006A783B"/>
    <w:rsid w:val="006A7B33"/>
    <w:rsid w:val="006B3D9F"/>
    <w:rsid w:val="006B4E13"/>
    <w:rsid w:val="006B5C2F"/>
    <w:rsid w:val="006B64B7"/>
    <w:rsid w:val="006B6AFC"/>
    <w:rsid w:val="006B71A2"/>
    <w:rsid w:val="006B75DD"/>
    <w:rsid w:val="006C3235"/>
    <w:rsid w:val="006C34AA"/>
    <w:rsid w:val="006C67E0"/>
    <w:rsid w:val="006C730E"/>
    <w:rsid w:val="006C7ABA"/>
    <w:rsid w:val="006D0D60"/>
    <w:rsid w:val="006D1122"/>
    <w:rsid w:val="006D2DFE"/>
    <w:rsid w:val="006D3C00"/>
    <w:rsid w:val="006D6CF4"/>
    <w:rsid w:val="006E169F"/>
    <w:rsid w:val="006E3675"/>
    <w:rsid w:val="006E4A7F"/>
    <w:rsid w:val="006E5113"/>
    <w:rsid w:val="006F15A8"/>
    <w:rsid w:val="006F4706"/>
    <w:rsid w:val="006F520D"/>
    <w:rsid w:val="006F538B"/>
    <w:rsid w:val="006F61CD"/>
    <w:rsid w:val="006F7398"/>
    <w:rsid w:val="007015B8"/>
    <w:rsid w:val="00704DF6"/>
    <w:rsid w:val="0070651C"/>
    <w:rsid w:val="007132A3"/>
    <w:rsid w:val="00716421"/>
    <w:rsid w:val="00717F53"/>
    <w:rsid w:val="00722989"/>
    <w:rsid w:val="00724EFB"/>
    <w:rsid w:val="00733006"/>
    <w:rsid w:val="007419C3"/>
    <w:rsid w:val="007447DA"/>
    <w:rsid w:val="00744F22"/>
    <w:rsid w:val="00745FEC"/>
    <w:rsid w:val="007467A7"/>
    <w:rsid w:val="007469DD"/>
    <w:rsid w:val="007470AB"/>
    <w:rsid w:val="0074741B"/>
    <w:rsid w:val="0074759E"/>
    <w:rsid w:val="007478EA"/>
    <w:rsid w:val="00747FDC"/>
    <w:rsid w:val="0075415C"/>
    <w:rsid w:val="007555E5"/>
    <w:rsid w:val="00756458"/>
    <w:rsid w:val="00756472"/>
    <w:rsid w:val="00756F21"/>
    <w:rsid w:val="00756FA0"/>
    <w:rsid w:val="00760AB5"/>
    <w:rsid w:val="0076172F"/>
    <w:rsid w:val="00763502"/>
    <w:rsid w:val="00763776"/>
    <w:rsid w:val="007637E3"/>
    <w:rsid w:val="007652DB"/>
    <w:rsid w:val="00773B4C"/>
    <w:rsid w:val="0077721B"/>
    <w:rsid w:val="00781BFA"/>
    <w:rsid w:val="00782E6B"/>
    <w:rsid w:val="00785786"/>
    <w:rsid w:val="00785930"/>
    <w:rsid w:val="0078735C"/>
    <w:rsid w:val="00791268"/>
    <w:rsid w:val="007913AB"/>
    <w:rsid w:val="007914F7"/>
    <w:rsid w:val="00791A60"/>
    <w:rsid w:val="007943C3"/>
    <w:rsid w:val="007945C1"/>
    <w:rsid w:val="00794E8D"/>
    <w:rsid w:val="00796235"/>
    <w:rsid w:val="00796798"/>
    <w:rsid w:val="007A1B82"/>
    <w:rsid w:val="007A3083"/>
    <w:rsid w:val="007A5991"/>
    <w:rsid w:val="007A666C"/>
    <w:rsid w:val="007B1625"/>
    <w:rsid w:val="007B706E"/>
    <w:rsid w:val="007B71EB"/>
    <w:rsid w:val="007C3072"/>
    <w:rsid w:val="007C6205"/>
    <w:rsid w:val="007C686A"/>
    <w:rsid w:val="007C7245"/>
    <w:rsid w:val="007C728E"/>
    <w:rsid w:val="007D2C53"/>
    <w:rsid w:val="007D31B0"/>
    <w:rsid w:val="007D3D60"/>
    <w:rsid w:val="007D4E39"/>
    <w:rsid w:val="007D7E30"/>
    <w:rsid w:val="007E00C8"/>
    <w:rsid w:val="007E1980"/>
    <w:rsid w:val="007E4B76"/>
    <w:rsid w:val="007E4CF7"/>
    <w:rsid w:val="007E57B1"/>
    <w:rsid w:val="007E5EA8"/>
    <w:rsid w:val="007E79FF"/>
    <w:rsid w:val="007F02F9"/>
    <w:rsid w:val="007F0CF1"/>
    <w:rsid w:val="007F12A5"/>
    <w:rsid w:val="007F4059"/>
    <w:rsid w:val="007F44C9"/>
    <w:rsid w:val="007F4CF1"/>
    <w:rsid w:val="007F6155"/>
    <w:rsid w:val="007F758D"/>
    <w:rsid w:val="007F7D52"/>
    <w:rsid w:val="00801291"/>
    <w:rsid w:val="0080654C"/>
    <w:rsid w:val="008071C6"/>
    <w:rsid w:val="00816543"/>
    <w:rsid w:val="00817A00"/>
    <w:rsid w:val="00822172"/>
    <w:rsid w:val="00833824"/>
    <w:rsid w:val="00835DB3"/>
    <w:rsid w:val="0083617B"/>
    <w:rsid w:val="008371BD"/>
    <w:rsid w:val="0084388C"/>
    <w:rsid w:val="00844B0F"/>
    <w:rsid w:val="00845497"/>
    <w:rsid w:val="008504A8"/>
    <w:rsid w:val="0085282E"/>
    <w:rsid w:val="008543B7"/>
    <w:rsid w:val="00856BCE"/>
    <w:rsid w:val="00861007"/>
    <w:rsid w:val="00866910"/>
    <w:rsid w:val="0087198C"/>
    <w:rsid w:val="00872C1F"/>
    <w:rsid w:val="00873B42"/>
    <w:rsid w:val="008769D8"/>
    <w:rsid w:val="00880272"/>
    <w:rsid w:val="00880C6A"/>
    <w:rsid w:val="008856D8"/>
    <w:rsid w:val="00886E6B"/>
    <w:rsid w:val="00892E82"/>
    <w:rsid w:val="008A010A"/>
    <w:rsid w:val="008A19FC"/>
    <w:rsid w:val="008A642D"/>
    <w:rsid w:val="008B3177"/>
    <w:rsid w:val="008B62B3"/>
    <w:rsid w:val="008B66E3"/>
    <w:rsid w:val="008C0A00"/>
    <w:rsid w:val="008C15FC"/>
    <w:rsid w:val="008C1B58"/>
    <w:rsid w:val="008C237E"/>
    <w:rsid w:val="008C39AE"/>
    <w:rsid w:val="008C590D"/>
    <w:rsid w:val="008C6A9D"/>
    <w:rsid w:val="008D1018"/>
    <w:rsid w:val="008E031B"/>
    <w:rsid w:val="008E2A22"/>
    <w:rsid w:val="008E7029"/>
    <w:rsid w:val="008E7EF6"/>
    <w:rsid w:val="008F1F98"/>
    <w:rsid w:val="008F28D1"/>
    <w:rsid w:val="008F55C1"/>
    <w:rsid w:val="008F560E"/>
    <w:rsid w:val="008F6490"/>
    <w:rsid w:val="008F6758"/>
    <w:rsid w:val="008F7919"/>
    <w:rsid w:val="009040DD"/>
    <w:rsid w:val="009040F8"/>
    <w:rsid w:val="009055DE"/>
    <w:rsid w:val="009059F0"/>
    <w:rsid w:val="00905B47"/>
    <w:rsid w:val="00906BD7"/>
    <w:rsid w:val="00910B62"/>
    <w:rsid w:val="0091331C"/>
    <w:rsid w:val="00916096"/>
    <w:rsid w:val="009167E4"/>
    <w:rsid w:val="00925D4A"/>
    <w:rsid w:val="009263B5"/>
    <w:rsid w:val="009279DE"/>
    <w:rsid w:val="00930116"/>
    <w:rsid w:val="009305DB"/>
    <w:rsid w:val="00932ADE"/>
    <w:rsid w:val="0093420B"/>
    <w:rsid w:val="00936BF4"/>
    <w:rsid w:val="00940FCB"/>
    <w:rsid w:val="0094212C"/>
    <w:rsid w:val="009441CC"/>
    <w:rsid w:val="00944DA0"/>
    <w:rsid w:val="009478A4"/>
    <w:rsid w:val="009505F9"/>
    <w:rsid w:val="00954689"/>
    <w:rsid w:val="00961475"/>
    <w:rsid w:val="009617C9"/>
    <w:rsid w:val="00961C93"/>
    <w:rsid w:val="0096234C"/>
    <w:rsid w:val="00963251"/>
    <w:rsid w:val="00965324"/>
    <w:rsid w:val="00965F4D"/>
    <w:rsid w:val="0097091E"/>
    <w:rsid w:val="00972777"/>
    <w:rsid w:val="00973BC9"/>
    <w:rsid w:val="009760D3"/>
    <w:rsid w:val="00977132"/>
    <w:rsid w:val="00981A4B"/>
    <w:rsid w:val="00982501"/>
    <w:rsid w:val="009877D3"/>
    <w:rsid w:val="00994DAB"/>
    <w:rsid w:val="00994E8F"/>
    <w:rsid w:val="009951DC"/>
    <w:rsid w:val="009959BB"/>
    <w:rsid w:val="00997158"/>
    <w:rsid w:val="009A13B7"/>
    <w:rsid w:val="009A22FF"/>
    <w:rsid w:val="009A3A7C"/>
    <w:rsid w:val="009A7446"/>
    <w:rsid w:val="009B018F"/>
    <w:rsid w:val="009B17F9"/>
    <w:rsid w:val="009B1E7F"/>
    <w:rsid w:val="009B1FCD"/>
    <w:rsid w:val="009B2261"/>
    <w:rsid w:val="009B2ADB"/>
    <w:rsid w:val="009B450F"/>
    <w:rsid w:val="009B5AD2"/>
    <w:rsid w:val="009B603A"/>
    <w:rsid w:val="009C14FF"/>
    <w:rsid w:val="009C2B47"/>
    <w:rsid w:val="009C2D0E"/>
    <w:rsid w:val="009C3DAC"/>
    <w:rsid w:val="009C42E0"/>
    <w:rsid w:val="009C63F8"/>
    <w:rsid w:val="009D071D"/>
    <w:rsid w:val="009D093E"/>
    <w:rsid w:val="009D0F01"/>
    <w:rsid w:val="009D1FF1"/>
    <w:rsid w:val="009D2183"/>
    <w:rsid w:val="009D314E"/>
    <w:rsid w:val="009D5362"/>
    <w:rsid w:val="009D57B7"/>
    <w:rsid w:val="009E1415"/>
    <w:rsid w:val="009E5DDE"/>
    <w:rsid w:val="009E5EC5"/>
    <w:rsid w:val="009E6116"/>
    <w:rsid w:val="009F0E46"/>
    <w:rsid w:val="009F32A9"/>
    <w:rsid w:val="00A02E43"/>
    <w:rsid w:val="00A065F9"/>
    <w:rsid w:val="00A070DE"/>
    <w:rsid w:val="00A07F34"/>
    <w:rsid w:val="00A14C95"/>
    <w:rsid w:val="00A16F09"/>
    <w:rsid w:val="00A20C8C"/>
    <w:rsid w:val="00A22154"/>
    <w:rsid w:val="00A25C38"/>
    <w:rsid w:val="00A36BBE"/>
    <w:rsid w:val="00A37FB7"/>
    <w:rsid w:val="00A4307A"/>
    <w:rsid w:val="00A4375F"/>
    <w:rsid w:val="00A46D22"/>
    <w:rsid w:val="00A47EBB"/>
    <w:rsid w:val="00A51CDD"/>
    <w:rsid w:val="00A5551C"/>
    <w:rsid w:val="00A57548"/>
    <w:rsid w:val="00A61D85"/>
    <w:rsid w:val="00A66818"/>
    <w:rsid w:val="00A6730D"/>
    <w:rsid w:val="00A70E32"/>
    <w:rsid w:val="00A71625"/>
    <w:rsid w:val="00A71B53"/>
    <w:rsid w:val="00A71B9B"/>
    <w:rsid w:val="00A751C7"/>
    <w:rsid w:val="00A75C75"/>
    <w:rsid w:val="00A76989"/>
    <w:rsid w:val="00A8471A"/>
    <w:rsid w:val="00A85BB9"/>
    <w:rsid w:val="00A87844"/>
    <w:rsid w:val="00A87A2E"/>
    <w:rsid w:val="00A94E4D"/>
    <w:rsid w:val="00A95AA4"/>
    <w:rsid w:val="00AA038C"/>
    <w:rsid w:val="00AA7A09"/>
    <w:rsid w:val="00AB034E"/>
    <w:rsid w:val="00AB3B50"/>
    <w:rsid w:val="00AB671C"/>
    <w:rsid w:val="00AC05B1"/>
    <w:rsid w:val="00AC0BBD"/>
    <w:rsid w:val="00AC27B2"/>
    <w:rsid w:val="00AC5490"/>
    <w:rsid w:val="00AC714B"/>
    <w:rsid w:val="00AD081D"/>
    <w:rsid w:val="00AD356C"/>
    <w:rsid w:val="00AE21D4"/>
    <w:rsid w:val="00AE2914"/>
    <w:rsid w:val="00AE5B98"/>
    <w:rsid w:val="00AE6D15"/>
    <w:rsid w:val="00AF02BD"/>
    <w:rsid w:val="00AF1D7B"/>
    <w:rsid w:val="00AF3E48"/>
    <w:rsid w:val="00AF78BE"/>
    <w:rsid w:val="00B04182"/>
    <w:rsid w:val="00B07AE3"/>
    <w:rsid w:val="00B11430"/>
    <w:rsid w:val="00B11F7B"/>
    <w:rsid w:val="00B125D9"/>
    <w:rsid w:val="00B13BBF"/>
    <w:rsid w:val="00B205A2"/>
    <w:rsid w:val="00B21253"/>
    <w:rsid w:val="00B22AA2"/>
    <w:rsid w:val="00B24CC5"/>
    <w:rsid w:val="00B3159C"/>
    <w:rsid w:val="00B322D2"/>
    <w:rsid w:val="00B353EB"/>
    <w:rsid w:val="00B35695"/>
    <w:rsid w:val="00B368E4"/>
    <w:rsid w:val="00B4148D"/>
    <w:rsid w:val="00B41686"/>
    <w:rsid w:val="00B42611"/>
    <w:rsid w:val="00B439C4"/>
    <w:rsid w:val="00B4535E"/>
    <w:rsid w:val="00B5163D"/>
    <w:rsid w:val="00B52A8C"/>
    <w:rsid w:val="00B53288"/>
    <w:rsid w:val="00B5435E"/>
    <w:rsid w:val="00B60F7E"/>
    <w:rsid w:val="00B636A8"/>
    <w:rsid w:val="00B64508"/>
    <w:rsid w:val="00B64C2D"/>
    <w:rsid w:val="00B665C6"/>
    <w:rsid w:val="00B70BE5"/>
    <w:rsid w:val="00B712B2"/>
    <w:rsid w:val="00B71BCB"/>
    <w:rsid w:val="00B73D5A"/>
    <w:rsid w:val="00B74FD3"/>
    <w:rsid w:val="00B805AF"/>
    <w:rsid w:val="00B812DC"/>
    <w:rsid w:val="00B82701"/>
    <w:rsid w:val="00B85217"/>
    <w:rsid w:val="00B869EC"/>
    <w:rsid w:val="00B86ABF"/>
    <w:rsid w:val="00B9397A"/>
    <w:rsid w:val="00B93FB7"/>
    <w:rsid w:val="00B9633D"/>
    <w:rsid w:val="00B972BC"/>
    <w:rsid w:val="00B9782A"/>
    <w:rsid w:val="00BA0B75"/>
    <w:rsid w:val="00BA2EBE"/>
    <w:rsid w:val="00BB0231"/>
    <w:rsid w:val="00BB0F28"/>
    <w:rsid w:val="00BB458A"/>
    <w:rsid w:val="00BB60AE"/>
    <w:rsid w:val="00BC109C"/>
    <w:rsid w:val="00BC2DC1"/>
    <w:rsid w:val="00BC7970"/>
    <w:rsid w:val="00BD00D3"/>
    <w:rsid w:val="00BD1659"/>
    <w:rsid w:val="00BD3AA9"/>
    <w:rsid w:val="00BD4A18"/>
    <w:rsid w:val="00BD6DB2"/>
    <w:rsid w:val="00BD7197"/>
    <w:rsid w:val="00BE11CF"/>
    <w:rsid w:val="00BE21AB"/>
    <w:rsid w:val="00BE2FEC"/>
    <w:rsid w:val="00BE4653"/>
    <w:rsid w:val="00BE55CB"/>
    <w:rsid w:val="00BF4E4A"/>
    <w:rsid w:val="00BF5206"/>
    <w:rsid w:val="00BF6061"/>
    <w:rsid w:val="00BF617A"/>
    <w:rsid w:val="00BF6FCE"/>
    <w:rsid w:val="00BF7FF0"/>
    <w:rsid w:val="00C0379D"/>
    <w:rsid w:val="00C03931"/>
    <w:rsid w:val="00C05FE3"/>
    <w:rsid w:val="00C17F46"/>
    <w:rsid w:val="00C20FA9"/>
    <w:rsid w:val="00C2136D"/>
    <w:rsid w:val="00C214EE"/>
    <w:rsid w:val="00C2314B"/>
    <w:rsid w:val="00C233F5"/>
    <w:rsid w:val="00C24596"/>
    <w:rsid w:val="00C24971"/>
    <w:rsid w:val="00C26BE5"/>
    <w:rsid w:val="00C26E4D"/>
    <w:rsid w:val="00C27909"/>
    <w:rsid w:val="00C27B03"/>
    <w:rsid w:val="00C314E1"/>
    <w:rsid w:val="00C335C9"/>
    <w:rsid w:val="00C33699"/>
    <w:rsid w:val="00C34397"/>
    <w:rsid w:val="00C34433"/>
    <w:rsid w:val="00C3788B"/>
    <w:rsid w:val="00C4095D"/>
    <w:rsid w:val="00C51068"/>
    <w:rsid w:val="00C5306A"/>
    <w:rsid w:val="00C56CCB"/>
    <w:rsid w:val="00C57044"/>
    <w:rsid w:val="00C57293"/>
    <w:rsid w:val="00C601D2"/>
    <w:rsid w:val="00C606C2"/>
    <w:rsid w:val="00C60FA3"/>
    <w:rsid w:val="00C65BCC"/>
    <w:rsid w:val="00C66970"/>
    <w:rsid w:val="00C71231"/>
    <w:rsid w:val="00C73CEC"/>
    <w:rsid w:val="00C749AF"/>
    <w:rsid w:val="00C768C7"/>
    <w:rsid w:val="00C80199"/>
    <w:rsid w:val="00C82776"/>
    <w:rsid w:val="00C83536"/>
    <w:rsid w:val="00C8691C"/>
    <w:rsid w:val="00C86AF4"/>
    <w:rsid w:val="00C877CD"/>
    <w:rsid w:val="00C92698"/>
    <w:rsid w:val="00CA0C9E"/>
    <w:rsid w:val="00CA168A"/>
    <w:rsid w:val="00CA29E8"/>
    <w:rsid w:val="00CA357E"/>
    <w:rsid w:val="00CA44F9"/>
    <w:rsid w:val="00CA46D7"/>
    <w:rsid w:val="00CA4A69"/>
    <w:rsid w:val="00CB17A8"/>
    <w:rsid w:val="00CB25C4"/>
    <w:rsid w:val="00CB2658"/>
    <w:rsid w:val="00CB3EB8"/>
    <w:rsid w:val="00CB4E31"/>
    <w:rsid w:val="00CB7615"/>
    <w:rsid w:val="00CB7A5F"/>
    <w:rsid w:val="00CC0FA6"/>
    <w:rsid w:val="00CC3836"/>
    <w:rsid w:val="00CC3E0C"/>
    <w:rsid w:val="00CC4025"/>
    <w:rsid w:val="00CC4511"/>
    <w:rsid w:val="00CC4E12"/>
    <w:rsid w:val="00CC58D3"/>
    <w:rsid w:val="00CC77D2"/>
    <w:rsid w:val="00CC784D"/>
    <w:rsid w:val="00CD509D"/>
    <w:rsid w:val="00CE5774"/>
    <w:rsid w:val="00CF4D75"/>
    <w:rsid w:val="00CF5ED5"/>
    <w:rsid w:val="00CF6EDD"/>
    <w:rsid w:val="00D0064B"/>
    <w:rsid w:val="00D0337B"/>
    <w:rsid w:val="00D040B8"/>
    <w:rsid w:val="00D07672"/>
    <w:rsid w:val="00D079B2"/>
    <w:rsid w:val="00D114E9"/>
    <w:rsid w:val="00D231F3"/>
    <w:rsid w:val="00D2383A"/>
    <w:rsid w:val="00D2422A"/>
    <w:rsid w:val="00D270FE"/>
    <w:rsid w:val="00D344B1"/>
    <w:rsid w:val="00D37353"/>
    <w:rsid w:val="00D41413"/>
    <w:rsid w:val="00D429C6"/>
    <w:rsid w:val="00D47748"/>
    <w:rsid w:val="00D51A86"/>
    <w:rsid w:val="00D53928"/>
    <w:rsid w:val="00D54CC3"/>
    <w:rsid w:val="00D6041A"/>
    <w:rsid w:val="00D6315A"/>
    <w:rsid w:val="00D633EB"/>
    <w:rsid w:val="00D64700"/>
    <w:rsid w:val="00D67686"/>
    <w:rsid w:val="00D72E2C"/>
    <w:rsid w:val="00D80389"/>
    <w:rsid w:val="00D82FF7"/>
    <w:rsid w:val="00D847FE"/>
    <w:rsid w:val="00D84F90"/>
    <w:rsid w:val="00D91D2F"/>
    <w:rsid w:val="00D9310E"/>
    <w:rsid w:val="00D9437D"/>
    <w:rsid w:val="00D964EA"/>
    <w:rsid w:val="00D966D0"/>
    <w:rsid w:val="00DA0C59"/>
    <w:rsid w:val="00DA3991"/>
    <w:rsid w:val="00DA6438"/>
    <w:rsid w:val="00DB0990"/>
    <w:rsid w:val="00DB0B8D"/>
    <w:rsid w:val="00DB0C50"/>
    <w:rsid w:val="00DB5706"/>
    <w:rsid w:val="00DB751E"/>
    <w:rsid w:val="00DB7E6C"/>
    <w:rsid w:val="00DC2BD9"/>
    <w:rsid w:val="00DC70E3"/>
    <w:rsid w:val="00DD04B2"/>
    <w:rsid w:val="00DD362B"/>
    <w:rsid w:val="00DD4CC3"/>
    <w:rsid w:val="00DD4DF5"/>
    <w:rsid w:val="00DD5A29"/>
    <w:rsid w:val="00DD5D9D"/>
    <w:rsid w:val="00DD6326"/>
    <w:rsid w:val="00DD6845"/>
    <w:rsid w:val="00DD7BAA"/>
    <w:rsid w:val="00DE1464"/>
    <w:rsid w:val="00DE35CB"/>
    <w:rsid w:val="00DE446D"/>
    <w:rsid w:val="00DE4F91"/>
    <w:rsid w:val="00DE73E0"/>
    <w:rsid w:val="00DE7E29"/>
    <w:rsid w:val="00DF013E"/>
    <w:rsid w:val="00DF14A0"/>
    <w:rsid w:val="00DF21E9"/>
    <w:rsid w:val="00DF3D65"/>
    <w:rsid w:val="00E00F14"/>
    <w:rsid w:val="00E020CD"/>
    <w:rsid w:val="00E044B1"/>
    <w:rsid w:val="00E06386"/>
    <w:rsid w:val="00E07EE2"/>
    <w:rsid w:val="00E12028"/>
    <w:rsid w:val="00E14393"/>
    <w:rsid w:val="00E24EB4"/>
    <w:rsid w:val="00E253B1"/>
    <w:rsid w:val="00E2630B"/>
    <w:rsid w:val="00E26EC1"/>
    <w:rsid w:val="00E320ED"/>
    <w:rsid w:val="00E32853"/>
    <w:rsid w:val="00E33AFB"/>
    <w:rsid w:val="00E33B44"/>
    <w:rsid w:val="00E34218"/>
    <w:rsid w:val="00E46282"/>
    <w:rsid w:val="00E507EE"/>
    <w:rsid w:val="00E5119D"/>
    <w:rsid w:val="00E5216E"/>
    <w:rsid w:val="00E530B2"/>
    <w:rsid w:val="00E54043"/>
    <w:rsid w:val="00E63774"/>
    <w:rsid w:val="00E6445C"/>
    <w:rsid w:val="00E64A53"/>
    <w:rsid w:val="00E75893"/>
    <w:rsid w:val="00E75941"/>
    <w:rsid w:val="00E7695D"/>
    <w:rsid w:val="00E804E7"/>
    <w:rsid w:val="00E80A92"/>
    <w:rsid w:val="00E82344"/>
    <w:rsid w:val="00E8294A"/>
    <w:rsid w:val="00E84C82"/>
    <w:rsid w:val="00E84D64"/>
    <w:rsid w:val="00E87408"/>
    <w:rsid w:val="00E87589"/>
    <w:rsid w:val="00E907C9"/>
    <w:rsid w:val="00E914C4"/>
    <w:rsid w:val="00E924C4"/>
    <w:rsid w:val="00E934F5"/>
    <w:rsid w:val="00E93939"/>
    <w:rsid w:val="00E96961"/>
    <w:rsid w:val="00E97FBC"/>
    <w:rsid w:val="00EA2ECC"/>
    <w:rsid w:val="00EA4FE4"/>
    <w:rsid w:val="00EA5B44"/>
    <w:rsid w:val="00EA72EC"/>
    <w:rsid w:val="00EA7B43"/>
    <w:rsid w:val="00EB11CB"/>
    <w:rsid w:val="00EB275A"/>
    <w:rsid w:val="00EB44C1"/>
    <w:rsid w:val="00EB5B83"/>
    <w:rsid w:val="00EB786A"/>
    <w:rsid w:val="00EC1578"/>
    <w:rsid w:val="00EC1C72"/>
    <w:rsid w:val="00EC3CC9"/>
    <w:rsid w:val="00EC680A"/>
    <w:rsid w:val="00ED2169"/>
    <w:rsid w:val="00ED3275"/>
    <w:rsid w:val="00ED3B72"/>
    <w:rsid w:val="00ED736A"/>
    <w:rsid w:val="00EE1724"/>
    <w:rsid w:val="00EE2BED"/>
    <w:rsid w:val="00EE374B"/>
    <w:rsid w:val="00EE4D06"/>
    <w:rsid w:val="00EF246C"/>
    <w:rsid w:val="00EF67B5"/>
    <w:rsid w:val="00F00FDE"/>
    <w:rsid w:val="00F0452A"/>
    <w:rsid w:val="00F11BB5"/>
    <w:rsid w:val="00F13597"/>
    <w:rsid w:val="00F1417B"/>
    <w:rsid w:val="00F14D7B"/>
    <w:rsid w:val="00F16C02"/>
    <w:rsid w:val="00F17417"/>
    <w:rsid w:val="00F20873"/>
    <w:rsid w:val="00F21345"/>
    <w:rsid w:val="00F2369C"/>
    <w:rsid w:val="00F26ACE"/>
    <w:rsid w:val="00F31237"/>
    <w:rsid w:val="00F348F1"/>
    <w:rsid w:val="00F34B99"/>
    <w:rsid w:val="00F36201"/>
    <w:rsid w:val="00F41044"/>
    <w:rsid w:val="00F4454D"/>
    <w:rsid w:val="00F5178E"/>
    <w:rsid w:val="00F52DAB"/>
    <w:rsid w:val="00F543F0"/>
    <w:rsid w:val="00F552C6"/>
    <w:rsid w:val="00F55C16"/>
    <w:rsid w:val="00F5620E"/>
    <w:rsid w:val="00F60DFC"/>
    <w:rsid w:val="00F60F98"/>
    <w:rsid w:val="00F6112C"/>
    <w:rsid w:val="00F641D6"/>
    <w:rsid w:val="00F66553"/>
    <w:rsid w:val="00F7288D"/>
    <w:rsid w:val="00F81D29"/>
    <w:rsid w:val="00F8348A"/>
    <w:rsid w:val="00F8560F"/>
    <w:rsid w:val="00F86331"/>
    <w:rsid w:val="00F87588"/>
    <w:rsid w:val="00F87CD0"/>
    <w:rsid w:val="00F90E75"/>
    <w:rsid w:val="00F91C4D"/>
    <w:rsid w:val="00F92526"/>
    <w:rsid w:val="00F92FD9"/>
    <w:rsid w:val="00F947C9"/>
    <w:rsid w:val="00F974C5"/>
    <w:rsid w:val="00FA054D"/>
    <w:rsid w:val="00FA6684"/>
    <w:rsid w:val="00FA731E"/>
    <w:rsid w:val="00FB2071"/>
    <w:rsid w:val="00FB2B38"/>
    <w:rsid w:val="00FB5546"/>
    <w:rsid w:val="00FC4D2E"/>
    <w:rsid w:val="00FC6358"/>
    <w:rsid w:val="00FD01CF"/>
    <w:rsid w:val="00FD320D"/>
    <w:rsid w:val="00FE1A86"/>
    <w:rsid w:val="00FE23DE"/>
    <w:rsid w:val="00FE4E3E"/>
    <w:rsid w:val="00FF025E"/>
    <w:rsid w:val="00FF2719"/>
    <w:rsid w:val="010E5865"/>
    <w:rsid w:val="012D661A"/>
    <w:rsid w:val="013D6D0A"/>
    <w:rsid w:val="014D2875"/>
    <w:rsid w:val="01583748"/>
    <w:rsid w:val="016514FC"/>
    <w:rsid w:val="0170418B"/>
    <w:rsid w:val="0187458C"/>
    <w:rsid w:val="018C519F"/>
    <w:rsid w:val="019B53E2"/>
    <w:rsid w:val="01A17D20"/>
    <w:rsid w:val="01B666C0"/>
    <w:rsid w:val="01DC07BC"/>
    <w:rsid w:val="01E41B2A"/>
    <w:rsid w:val="01EA49B0"/>
    <w:rsid w:val="01FF360A"/>
    <w:rsid w:val="02105CDF"/>
    <w:rsid w:val="0228232C"/>
    <w:rsid w:val="02476448"/>
    <w:rsid w:val="024C29D4"/>
    <w:rsid w:val="02674946"/>
    <w:rsid w:val="027D1874"/>
    <w:rsid w:val="02803643"/>
    <w:rsid w:val="02AF2B4A"/>
    <w:rsid w:val="02B004E2"/>
    <w:rsid w:val="02B372DC"/>
    <w:rsid w:val="02B378D6"/>
    <w:rsid w:val="02BE598D"/>
    <w:rsid w:val="02DA018C"/>
    <w:rsid w:val="02DD6B12"/>
    <w:rsid w:val="02E0233B"/>
    <w:rsid w:val="02EC4217"/>
    <w:rsid w:val="03052A5C"/>
    <w:rsid w:val="03070FE3"/>
    <w:rsid w:val="03113930"/>
    <w:rsid w:val="03166D06"/>
    <w:rsid w:val="032B2B75"/>
    <w:rsid w:val="032C4E8C"/>
    <w:rsid w:val="032F6E99"/>
    <w:rsid w:val="033501E0"/>
    <w:rsid w:val="0347032F"/>
    <w:rsid w:val="034D6639"/>
    <w:rsid w:val="034E04B8"/>
    <w:rsid w:val="035657A2"/>
    <w:rsid w:val="035F3136"/>
    <w:rsid w:val="0385459C"/>
    <w:rsid w:val="038B060A"/>
    <w:rsid w:val="039061DC"/>
    <w:rsid w:val="039850A5"/>
    <w:rsid w:val="039B3DC0"/>
    <w:rsid w:val="039D38D8"/>
    <w:rsid w:val="03A76322"/>
    <w:rsid w:val="03AD3AF7"/>
    <w:rsid w:val="03C52BEB"/>
    <w:rsid w:val="03D8719E"/>
    <w:rsid w:val="03F21F90"/>
    <w:rsid w:val="0412172D"/>
    <w:rsid w:val="04581CB1"/>
    <w:rsid w:val="0459134B"/>
    <w:rsid w:val="045E1ED2"/>
    <w:rsid w:val="045F036B"/>
    <w:rsid w:val="046754CD"/>
    <w:rsid w:val="04705B7E"/>
    <w:rsid w:val="047C6C34"/>
    <w:rsid w:val="0486788C"/>
    <w:rsid w:val="04906540"/>
    <w:rsid w:val="049812A6"/>
    <w:rsid w:val="04A37706"/>
    <w:rsid w:val="04B8029B"/>
    <w:rsid w:val="04CA0905"/>
    <w:rsid w:val="04E02662"/>
    <w:rsid w:val="04EE7F1F"/>
    <w:rsid w:val="04F036BF"/>
    <w:rsid w:val="04F74332"/>
    <w:rsid w:val="04F85278"/>
    <w:rsid w:val="05050E93"/>
    <w:rsid w:val="050737F7"/>
    <w:rsid w:val="05453980"/>
    <w:rsid w:val="05487D74"/>
    <w:rsid w:val="056152F2"/>
    <w:rsid w:val="0594065D"/>
    <w:rsid w:val="05BF0786"/>
    <w:rsid w:val="05DB47A1"/>
    <w:rsid w:val="05E926F7"/>
    <w:rsid w:val="06085010"/>
    <w:rsid w:val="063D115E"/>
    <w:rsid w:val="06426774"/>
    <w:rsid w:val="06450013"/>
    <w:rsid w:val="064F36C4"/>
    <w:rsid w:val="066813D8"/>
    <w:rsid w:val="067A137F"/>
    <w:rsid w:val="067F02A3"/>
    <w:rsid w:val="068B4CE8"/>
    <w:rsid w:val="068C5C42"/>
    <w:rsid w:val="0695617E"/>
    <w:rsid w:val="06B1755F"/>
    <w:rsid w:val="06B64A6C"/>
    <w:rsid w:val="06B729C1"/>
    <w:rsid w:val="06BA455D"/>
    <w:rsid w:val="06BB35F6"/>
    <w:rsid w:val="06CA6B1F"/>
    <w:rsid w:val="06DF5D71"/>
    <w:rsid w:val="07191980"/>
    <w:rsid w:val="074172B9"/>
    <w:rsid w:val="0758487A"/>
    <w:rsid w:val="07627EB4"/>
    <w:rsid w:val="077B3F3D"/>
    <w:rsid w:val="077E589E"/>
    <w:rsid w:val="07962232"/>
    <w:rsid w:val="079C10D7"/>
    <w:rsid w:val="07A40EC2"/>
    <w:rsid w:val="07A80859"/>
    <w:rsid w:val="07AE0BA2"/>
    <w:rsid w:val="07C13B42"/>
    <w:rsid w:val="07DD413C"/>
    <w:rsid w:val="082759DE"/>
    <w:rsid w:val="082A3964"/>
    <w:rsid w:val="082F72DC"/>
    <w:rsid w:val="08313D6A"/>
    <w:rsid w:val="084E5982"/>
    <w:rsid w:val="086A0924"/>
    <w:rsid w:val="0874780D"/>
    <w:rsid w:val="08756E5A"/>
    <w:rsid w:val="087B75A2"/>
    <w:rsid w:val="0882554E"/>
    <w:rsid w:val="08850B9A"/>
    <w:rsid w:val="08CA7840"/>
    <w:rsid w:val="08D35DAA"/>
    <w:rsid w:val="08F77BCB"/>
    <w:rsid w:val="08FF44B8"/>
    <w:rsid w:val="09115CC8"/>
    <w:rsid w:val="091247D8"/>
    <w:rsid w:val="09180B1E"/>
    <w:rsid w:val="09425E0D"/>
    <w:rsid w:val="095835E2"/>
    <w:rsid w:val="09676075"/>
    <w:rsid w:val="097332C3"/>
    <w:rsid w:val="097B18C9"/>
    <w:rsid w:val="098349D9"/>
    <w:rsid w:val="0995305F"/>
    <w:rsid w:val="09955FDC"/>
    <w:rsid w:val="09963682"/>
    <w:rsid w:val="09B157D2"/>
    <w:rsid w:val="09B80096"/>
    <w:rsid w:val="09C4536A"/>
    <w:rsid w:val="09CE3763"/>
    <w:rsid w:val="09E3679D"/>
    <w:rsid w:val="09EE61B5"/>
    <w:rsid w:val="09FE6B62"/>
    <w:rsid w:val="0A184B56"/>
    <w:rsid w:val="0A2C751F"/>
    <w:rsid w:val="0A327EEB"/>
    <w:rsid w:val="0A342878"/>
    <w:rsid w:val="0A485674"/>
    <w:rsid w:val="0A60368D"/>
    <w:rsid w:val="0A755813"/>
    <w:rsid w:val="0A785592"/>
    <w:rsid w:val="0A811D32"/>
    <w:rsid w:val="0A945A62"/>
    <w:rsid w:val="0AB2659B"/>
    <w:rsid w:val="0AB459D7"/>
    <w:rsid w:val="0AD0421D"/>
    <w:rsid w:val="0ADD2836"/>
    <w:rsid w:val="0AEC7439"/>
    <w:rsid w:val="0B0D4E07"/>
    <w:rsid w:val="0B2F421D"/>
    <w:rsid w:val="0B657B36"/>
    <w:rsid w:val="0B6E3B68"/>
    <w:rsid w:val="0B757ECF"/>
    <w:rsid w:val="0B850BF3"/>
    <w:rsid w:val="0B9B354F"/>
    <w:rsid w:val="0BC94E90"/>
    <w:rsid w:val="0BCB01A5"/>
    <w:rsid w:val="0BCE4B84"/>
    <w:rsid w:val="0C080E45"/>
    <w:rsid w:val="0C117E6A"/>
    <w:rsid w:val="0C1C1CDD"/>
    <w:rsid w:val="0C1F6009"/>
    <w:rsid w:val="0C330DEF"/>
    <w:rsid w:val="0C3E4CD4"/>
    <w:rsid w:val="0C427361"/>
    <w:rsid w:val="0C4E7965"/>
    <w:rsid w:val="0C5063CE"/>
    <w:rsid w:val="0C557875"/>
    <w:rsid w:val="0C583120"/>
    <w:rsid w:val="0C5C1C12"/>
    <w:rsid w:val="0C6531BD"/>
    <w:rsid w:val="0C8430C0"/>
    <w:rsid w:val="0CCF5FEC"/>
    <w:rsid w:val="0CEF268E"/>
    <w:rsid w:val="0D112137"/>
    <w:rsid w:val="0D2C25C8"/>
    <w:rsid w:val="0D305579"/>
    <w:rsid w:val="0D8446B7"/>
    <w:rsid w:val="0DAF36F6"/>
    <w:rsid w:val="0DCC0AEC"/>
    <w:rsid w:val="0DD01C16"/>
    <w:rsid w:val="0DDD5760"/>
    <w:rsid w:val="0DEB76F2"/>
    <w:rsid w:val="0E134AED"/>
    <w:rsid w:val="0E184CB8"/>
    <w:rsid w:val="0E2B2970"/>
    <w:rsid w:val="0E312A0C"/>
    <w:rsid w:val="0E3E3974"/>
    <w:rsid w:val="0E512CE8"/>
    <w:rsid w:val="0E636CB1"/>
    <w:rsid w:val="0E673951"/>
    <w:rsid w:val="0E7D1E33"/>
    <w:rsid w:val="0E8B67DF"/>
    <w:rsid w:val="0E977410"/>
    <w:rsid w:val="0E9B73DD"/>
    <w:rsid w:val="0EA617E5"/>
    <w:rsid w:val="0EB708B8"/>
    <w:rsid w:val="0ECA57CC"/>
    <w:rsid w:val="0ED653F8"/>
    <w:rsid w:val="0ED8543F"/>
    <w:rsid w:val="0EDB0132"/>
    <w:rsid w:val="0EDF4CBB"/>
    <w:rsid w:val="0EE53156"/>
    <w:rsid w:val="0F062838"/>
    <w:rsid w:val="0F0A5C76"/>
    <w:rsid w:val="0F16446A"/>
    <w:rsid w:val="0F3434CD"/>
    <w:rsid w:val="0F3712E7"/>
    <w:rsid w:val="0F3D21CF"/>
    <w:rsid w:val="0F470958"/>
    <w:rsid w:val="0F4D054E"/>
    <w:rsid w:val="0F5923AC"/>
    <w:rsid w:val="0F6809DE"/>
    <w:rsid w:val="0F6C5CBD"/>
    <w:rsid w:val="0F8F396E"/>
    <w:rsid w:val="0F925DF3"/>
    <w:rsid w:val="0F9F0794"/>
    <w:rsid w:val="0FA22032"/>
    <w:rsid w:val="0FAC2EB1"/>
    <w:rsid w:val="0FC8768C"/>
    <w:rsid w:val="0FDC42A7"/>
    <w:rsid w:val="0FF51AB6"/>
    <w:rsid w:val="100000B4"/>
    <w:rsid w:val="10024AC8"/>
    <w:rsid w:val="10201C47"/>
    <w:rsid w:val="102D10B9"/>
    <w:rsid w:val="10445171"/>
    <w:rsid w:val="104C2AFC"/>
    <w:rsid w:val="105C40DB"/>
    <w:rsid w:val="10654E21"/>
    <w:rsid w:val="107240FA"/>
    <w:rsid w:val="107A6169"/>
    <w:rsid w:val="10807E1E"/>
    <w:rsid w:val="108F26D7"/>
    <w:rsid w:val="10D30478"/>
    <w:rsid w:val="10DE753C"/>
    <w:rsid w:val="10E77992"/>
    <w:rsid w:val="10EA2115"/>
    <w:rsid w:val="10FB683B"/>
    <w:rsid w:val="10FC47CB"/>
    <w:rsid w:val="111207D7"/>
    <w:rsid w:val="11132229"/>
    <w:rsid w:val="111A086F"/>
    <w:rsid w:val="111A5070"/>
    <w:rsid w:val="11252F1A"/>
    <w:rsid w:val="11563E73"/>
    <w:rsid w:val="11691FA4"/>
    <w:rsid w:val="11991213"/>
    <w:rsid w:val="11BA458F"/>
    <w:rsid w:val="11C5420F"/>
    <w:rsid w:val="11DB26F2"/>
    <w:rsid w:val="122C5363"/>
    <w:rsid w:val="12500FC8"/>
    <w:rsid w:val="12516416"/>
    <w:rsid w:val="126857B5"/>
    <w:rsid w:val="127D7E9C"/>
    <w:rsid w:val="12810AD5"/>
    <w:rsid w:val="128A4F18"/>
    <w:rsid w:val="12B54BFC"/>
    <w:rsid w:val="12B63D5D"/>
    <w:rsid w:val="12C4244C"/>
    <w:rsid w:val="12D71F40"/>
    <w:rsid w:val="12EC70F9"/>
    <w:rsid w:val="12F2794D"/>
    <w:rsid w:val="12F87AB6"/>
    <w:rsid w:val="12F94423"/>
    <w:rsid w:val="130D7EE7"/>
    <w:rsid w:val="1312608F"/>
    <w:rsid w:val="131A4961"/>
    <w:rsid w:val="131D19AD"/>
    <w:rsid w:val="132D0263"/>
    <w:rsid w:val="133803C8"/>
    <w:rsid w:val="133F4EEB"/>
    <w:rsid w:val="13436940"/>
    <w:rsid w:val="134E23F2"/>
    <w:rsid w:val="136703B4"/>
    <w:rsid w:val="1376180B"/>
    <w:rsid w:val="13936C77"/>
    <w:rsid w:val="13AD7165"/>
    <w:rsid w:val="13D36AB2"/>
    <w:rsid w:val="14096B23"/>
    <w:rsid w:val="14300BF0"/>
    <w:rsid w:val="143322B2"/>
    <w:rsid w:val="14345C40"/>
    <w:rsid w:val="14A61A4A"/>
    <w:rsid w:val="14AD39A8"/>
    <w:rsid w:val="14EB2E50"/>
    <w:rsid w:val="150D2DAA"/>
    <w:rsid w:val="15131AAE"/>
    <w:rsid w:val="15385783"/>
    <w:rsid w:val="153951E6"/>
    <w:rsid w:val="15451DDD"/>
    <w:rsid w:val="154C47DA"/>
    <w:rsid w:val="1556061F"/>
    <w:rsid w:val="155B2872"/>
    <w:rsid w:val="155B62FD"/>
    <w:rsid w:val="157944DF"/>
    <w:rsid w:val="158B02EE"/>
    <w:rsid w:val="158D3DDA"/>
    <w:rsid w:val="158F2153"/>
    <w:rsid w:val="159229CC"/>
    <w:rsid w:val="159E5049"/>
    <w:rsid w:val="15A80472"/>
    <w:rsid w:val="15B23910"/>
    <w:rsid w:val="15CA5E3E"/>
    <w:rsid w:val="15D370F0"/>
    <w:rsid w:val="15E51829"/>
    <w:rsid w:val="16022F04"/>
    <w:rsid w:val="161D2A4D"/>
    <w:rsid w:val="1629299B"/>
    <w:rsid w:val="1634178D"/>
    <w:rsid w:val="16355EA8"/>
    <w:rsid w:val="16607176"/>
    <w:rsid w:val="168563FE"/>
    <w:rsid w:val="1686110B"/>
    <w:rsid w:val="168B68D8"/>
    <w:rsid w:val="168D6505"/>
    <w:rsid w:val="168E6B0D"/>
    <w:rsid w:val="1690428B"/>
    <w:rsid w:val="16B7298B"/>
    <w:rsid w:val="16D85BA6"/>
    <w:rsid w:val="16E32561"/>
    <w:rsid w:val="171820CC"/>
    <w:rsid w:val="173C3DFA"/>
    <w:rsid w:val="173F5578"/>
    <w:rsid w:val="17576D31"/>
    <w:rsid w:val="175A4AF4"/>
    <w:rsid w:val="17842189"/>
    <w:rsid w:val="179428BC"/>
    <w:rsid w:val="17972C7F"/>
    <w:rsid w:val="17A76437"/>
    <w:rsid w:val="17BB2298"/>
    <w:rsid w:val="17C07F02"/>
    <w:rsid w:val="17D432E7"/>
    <w:rsid w:val="17DC3F56"/>
    <w:rsid w:val="17F4083E"/>
    <w:rsid w:val="181025F1"/>
    <w:rsid w:val="18172169"/>
    <w:rsid w:val="18172B92"/>
    <w:rsid w:val="182002C0"/>
    <w:rsid w:val="18241B63"/>
    <w:rsid w:val="1852319C"/>
    <w:rsid w:val="18912407"/>
    <w:rsid w:val="18C51A99"/>
    <w:rsid w:val="18CD7BCB"/>
    <w:rsid w:val="18D00BBF"/>
    <w:rsid w:val="18D06322"/>
    <w:rsid w:val="18E52586"/>
    <w:rsid w:val="18E766A1"/>
    <w:rsid w:val="18EB1C0F"/>
    <w:rsid w:val="18F305AC"/>
    <w:rsid w:val="18FD7B50"/>
    <w:rsid w:val="19171778"/>
    <w:rsid w:val="19210762"/>
    <w:rsid w:val="19334148"/>
    <w:rsid w:val="19377C14"/>
    <w:rsid w:val="193D4FCE"/>
    <w:rsid w:val="196842EC"/>
    <w:rsid w:val="19840377"/>
    <w:rsid w:val="19887013"/>
    <w:rsid w:val="19903D7F"/>
    <w:rsid w:val="19926F4C"/>
    <w:rsid w:val="19942259"/>
    <w:rsid w:val="19B3232F"/>
    <w:rsid w:val="19C853DC"/>
    <w:rsid w:val="19CE00B6"/>
    <w:rsid w:val="19CF6119"/>
    <w:rsid w:val="19D52436"/>
    <w:rsid w:val="19DC38F9"/>
    <w:rsid w:val="19DC39B4"/>
    <w:rsid w:val="19ED1EDE"/>
    <w:rsid w:val="19EE29CE"/>
    <w:rsid w:val="19F158CC"/>
    <w:rsid w:val="1A12569E"/>
    <w:rsid w:val="1A133624"/>
    <w:rsid w:val="1A2B11B8"/>
    <w:rsid w:val="1A472154"/>
    <w:rsid w:val="1A787533"/>
    <w:rsid w:val="1A7D4E05"/>
    <w:rsid w:val="1A90516A"/>
    <w:rsid w:val="1AB60EA8"/>
    <w:rsid w:val="1ABD41C4"/>
    <w:rsid w:val="1AE07107"/>
    <w:rsid w:val="1AEB7777"/>
    <w:rsid w:val="1AF57189"/>
    <w:rsid w:val="1AF8593E"/>
    <w:rsid w:val="1AFF10D8"/>
    <w:rsid w:val="1B210BF7"/>
    <w:rsid w:val="1B22491F"/>
    <w:rsid w:val="1B32070E"/>
    <w:rsid w:val="1B4C2515"/>
    <w:rsid w:val="1B5066C1"/>
    <w:rsid w:val="1B666609"/>
    <w:rsid w:val="1B842251"/>
    <w:rsid w:val="1BA333BA"/>
    <w:rsid w:val="1BBA1F11"/>
    <w:rsid w:val="1BEB5778"/>
    <w:rsid w:val="1BEE7A9F"/>
    <w:rsid w:val="1C313A29"/>
    <w:rsid w:val="1C460344"/>
    <w:rsid w:val="1C4B29BE"/>
    <w:rsid w:val="1C5D10D9"/>
    <w:rsid w:val="1C782A98"/>
    <w:rsid w:val="1CA23671"/>
    <w:rsid w:val="1CB939CB"/>
    <w:rsid w:val="1CD16F79"/>
    <w:rsid w:val="1CDA72AF"/>
    <w:rsid w:val="1CE65C54"/>
    <w:rsid w:val="1CE71894"/>
    <w:rsid w:val="1D1D24FC"/>
    <w:rsid w:val="1D223E53"/>
    <w:rsid w:val="1D280791"/>
    <w:rsid w:val="1D34030D"/>
    <w:rsid w:val="1D436539"/>
    <w:rsid w:val="1D677C12"/>
    <w:rsid w:val="1D723DE8"/>
    <w:rsid w:val="1D7747B3"/>
    <w:rsid w:val="1D816E86"/>
    <w:rsid w:val="1D905BC0"/>
    <w:rsid w:val="1D935068"/>
    <w:rsid w:val="1DAD6BF9"/>
    <w:rsid w:val="1DC06094"/>
    <w:rsid w:val="1DF44D60"/>
    <w:rsid w:val="1DF83E91"/>
    <w:rsid w:val="1DFF5291"/>
    <w:rsid w:val="1E022DAA"/>
    <w:rsid w:val="1E02775A"/>
    <w:rsid w:val="1E037CA2"/>
    <w:rsid w:val="1E6062F6"/>
    <w:rsid w:val="1E8275B4"/>
    <w:rsid w:val="1E845CBC"/>
    <w:rsid w:val="1E8A260F"/>
    <w:rsid w:val="1E8F373F"/>
    <w:rsid w:val="1E993402"/>
    <w:rsid w:val="1EB06D7D"/>
    <w:rsid w:val="1EBB4E22"/>
    <w:rsid w:val="1EC878A6"/>
    <w:rsid w:val="1EE35E87"/>
    <w:rsid w:val="1EEF6F95"/>
    <w:rsid w:val="1EF17348"/>
    <w:rsid w:val="1F33465E"/>
    <w:rsid w:val="1F3F5145"/>
    <w:rsid w:val="1F485F70"/>
    <w:rsid w:val="1F597085"/>
    <w:rsid w:val="1F5B5F6D"/>
    <w:rsid w:val="1F5C5293"/>
    <w:rsid w:val="1F692238"/>
    <w:rsid w:val="1FB042F7"/>
    <w:rsid w:val="1FB9037F"/>
    <w:rsid w:val="1FC40AFE"/>
    <w:rsid w:val="1FEF3CE8"/>
    <w:rsid w:val="200308CB"/>
    <w:rsid w:val="202E7A71"/>
    <w:rsid w:val="205F63E6"/>
    <w:rsid w:val="206277FF"/>
    <w:rsid w:val="206550E2"/>
    <w:rsid w:val="20711A15"/>
    <w:rsid w:val="208957DD"/>
    <w:rsid w:val="208F71B6"/>
    <w:rsid w:val="20930A66"/>
    <w:rsid w:val="20967991"/>
    <w:rsid w:val="20A42C63"/>
    <w:rsid w:val="20BD3340"/>
    <w:rsid w:val="20CF6321"/>
    <w:rsid w:val="20D517C4"/>
    <w:rsid w:val="20ED5350"/>
    <w:rsid w:val="210466A8"/>
    <w:rsid w:val="210473CC"/>
    <w:rsid w:val="211F0252"/>
    <w:rsid w:val="212342A6"/>
    <w:rsid w:val="212A27A3"/>
    <w:rsid w:val="214E5B76"/>
    <w:rsid w:val="21597D75"/>
    <w:rsid w:val="21653D64"/>
    <w:rsid w:val="2168773E"/>
    <w:rsid w:val="2178240C"/>
    <w:rsid w:val="218C25F0"/>
    <w:rsid w:val="218D04E7"/>
    <w:rsid w:val="21A91077"/>
    <w:rsid w:val="21BA6CA2"/>
    <w:rsid w:val="21F02221"/>
    <w:rsid w:val="21FA1297"/>
    <w:rsid w:val="21FA7AAB"/>
    <w:rsid w:val="22031FD3"/>
    <w:rsid w:val="22081F7E"/>
    <w:rsid w:val="2217240B"/>
    <w:rsid w:val="224B1E6A"/>
    <w:rsid w:val="22784C35"/>
    <w:rsid w:val="227C2C95"/>
    <w:rsid w:val="229F3354"/>
    <w:rsid w:val="22B67E76"/>
    <w:rsid w:val="22CD7324"/>
    <w:rsid w:val="22DD0859"/>
    <w:rsid w:val="230C6455"/>
    <w:rsid w:val="2335523F"/>
    <w:rsid w:val="233C481F"/>
    <w:rsid w:val="234001D1"/>
    <w:rsid w:val="234311C0"/>
    <w:rsid w:val="23611848"/>
    <w:rsid w:val="23755870"/>
    <w:rsid w:val="239C1416"/>
    <w:rsid w:val="23A24A3D"/>
    <w:rsid w:val="23AF065E"/>
    <w:rsid w:val="23D2321C"/>
    <w:rsid w:val="23E206D1"/>
    <w:rsid w:val="24030E99"/>
    <w:rsid w:val="240A2587"/>
    <w:rsid w:val="240A5A19"/>
    <w:rsid w:val="242C3839"/>
    <w:rsid w:val="244A4EDC"/>
    <w:rsid w:val="24616531"/>
    <w:rsid w:val="24627014"/>
    <w:rsid w:val="246A1680"/>
    <w:rsid w:val="24751431"/>
    <w:rsid w:val="24B76F65"/>
    <w:rsid w:val="24C37A40"/>
    <w:rsid w:val="24D97E4C"/>
    <w:rsid w:val="24E567F1"/>
    <w:rsid w:val="24ED4317"/>
    <w:rsid w:val="24EE7339"/>
    <w:rsid w:val="24F320C9"/>
    <w:rsid w:val="250E25AF"/>
    <w:rsid w:val="250F709B"/>
    <w:rsid w:val="252A200E"/>
    <w:rsid w:val="25335068"/>
    <w:rsid w:val="2547125A"/>
    <w:rsid w:val="257C7513"/>
    <w:rsid w:val="258343C3"/>
    <w:rsid w:val="25A6712E"/>
    <w:rsid w:val="25BC0E0D"/>
    <w:rsid w:val="25BD5029"/>
    <w:rsid w:val="25CD0A42"/>
    <w:rsid w:val="25D3691C"/>
    <w:rsid w:val="25E10737"/>
    <w:rsid w:val="25E94923"/>
    <w:rsid w:val="25FB3F60"/>
    <w:rsid w:val="26240B56"/>
    <w:rsid w:val="26505E9E"/>
    <w:rsid w:val="265A0AC0"/>
    <w:rsid w:val="265B4A8D"/>
    <w:rsid w:val="2696563A"/>
    <w:rsid w:val="26A3273B"/>
    <w:rsid w:val="26B54C88"/>
    <w:rsid w:val="26C8461C"/>
    <w:rsid w:val="26E03714"/>
    <w:rsid w:val="26F779E7"/>
    <w:rsid w:val="27136A92"/>
    <w:rsid w:val="27217DFB"/>
    <w:rsid w:val="273076C8"/>
    <w:rsid w:val="273F707E"/>
    <w:rsid w:val="2765645B"/>
    <w:rsid w:val="27695419"/>
    <w:rsid w:val="276A1332"/>
    <w:rsid w:val="277513F9"/>
    <w:rsid w:val="27846795"/>
    <w:rsid w:val="2790267D"/>
    <w:rsid w:val="279F296C"/>
    <w:rsid w:val="27A87E8D"/>
    <w:rsid w:val="27AE1337"/>
    <w:rsid w:val="27D14942"/>
    <w:rsid w:val="27D307D1"/>
    <w:rsid w:val="27DA5F20"/>
    <w:rsid w:val="27E140DB"/>
    <w:rsid w:val="28107DEF"/>
    <w:rsid w:val="28121957"/>
    <w:rsid w:val="28153D4F"/>
    <w:rsid w:val="28213756"/>
    <w:rsid w:val="28292247"/>
    <w:rsid w:val="28335AC5"/>
    <w:rsid w:val="283A7275"/>
    <w:rsid w:val="283F49C5"/>
    <w:rsid w:val="285D213A"/>
    <w:rsid w:val="28685B0B"/>
    <w:rsid w:val="286C7257"/>
    <w:rsid w:val="28761C94"/>
    <w:rsid w:val="287700A8"/>
    <w:rsid w:val="28793E20"/>
    <w:rsid w:val="289737A0"/>
    <w:rsid w:val="28A0585D"/>
    <w:rsid w:val="28B3285B"/>
    <w:rsid w:val="28B47677"/>
    <w:rsid w:val="28C3205C"/>
    <w:rsid w:val="28C97C44"/>
    <w:rsid w:val="28F148F4"/>
    <w:rsid w:val="28F93114"/>
    <w:rsid w:val="29112095"/>
    <w:rsid w:val="292B2510"/>
    <w:rsid w:val="293340C2"/>
    <w:rsid w:val="299530F3"/>
    <w:rsid w:val="29A0098C"/>
    <w:rsid w:val="29A70519"/>
    <w:rsid w:val="29DC6E5F"/>
    <w:rsid w:val="29EE5C28"/>
    <w:rsid w:val="29F03421"/>
    <w:rsid w:val="2A092487"/>
    <w:rsid w:val="2A0F0E6E"/>
    <w:rsid w:val="2A1402CE"/>
    <w:rsid w:val="2A3269C6"/>
    <w:rsid w:val="2A4038AB"/>
    <w:rsid w:val="2A950CB9"/>
    <w:rsid w:val="2A9A4DE6"/>
    <w:rsid w:val="2AA62D50"/>
    <w:rsid w:val="2ABA051F"/>
    <w:rsid w:val="2ABA41F8"/>
    <w:rsid w:val="2AC60679"/>
    <w:rsid w:val="2AD47DDD"/>
    <w:rsid w:val="2ADD3A1E"/>
    <w:rsid w:val="2AE02AF2"/>
    <w:rsid w:val="2AE83AAC"/>
    <w:rsid w:val="2AFB77CF"/>
    <w:rsid w:val="2AFC7A42"/>
    <w:rsid w:val="2B0424D2"/>
    <w:rsid w:val="2B275DB5"/>
    <w:rsid w:val="2B3B716B"/>
    <w:rsid w:val="2B6D5A2F"/>
    <w:rsid w:val="2B7C3F96"/>
    <w:rsid w:val="2B8A2917"/>
    <w:rsid w:val="2B8F1003"/>
    <w:rsid w:val="2B913510"/>
    <w:rsid w:val="2B9D5310"/>
    <w:rsid w:val="2BB80008"/>
    <w:rsid w:val="2BC85C1B"/>
    <w:rsid w:val="2BEA7069"/>
    <w:rsid w:val="2C0512E7"/>
    <w:rsid w:val="2C1300E8"/>
    <w:rsid w:val="2C157E00"/>
    <w:rsid w:val="2C162E0A"/>
    <w:rsid w:val="2C17245D"/>
    <w:rsid w:val="2C1E1781"/>
    <w:rsid w:val="2C23287E"/>
    <w:rsid w:val="2C300CD1"/>
    <w:rsid w:val="2C304644"/>
    <w:rsid w:val="2C3D7D43"/>
    <w:rsid w:val="2C487DCC"/>
    <w:rsid w:val="2C5A7FBA"/>
    <w:rsid w:val="2C771DFC"/>
    <w:rsid w:val="2CC5210D"/>
    <w:rsid w:val="2CC73CCD"/>
    <w:rsid w:val="2CDD37B2"/>
    <w:rsid w:val="2CF73565"/>
    <w:rsid w:val="2D053A3D"/>
    <w:rsid w:val="2D066C55"/>
    <w:rsid w:val="2D0B2274"/>
    <w:rsid w:val="2D165B5E"/>
    <w:rsid w:val="2D19459A"/>
    <w:rsid w:val="2D1B7B91"/>
    <w:rsid w:val="2D1C7923"/>
    <w:rsid w:val="2D2540FC"/>
    <w:rsid w:val="2D793BD6"/>
    <w:rsid w:val="2DBF063F"/>
    <w:rsid w:val="2DC121C5"/>
    <w:rsid w:val="2DCB7987"/>
    <w:rsid w:val="2DCF59F3"/>
    <w:rsid w:val="2DDC2868"/>
    <w:rsid w:val="2DF1151E"/>
    <w:rsid w:val="2E0E5B4F"/>
    <w:rsid w:val="2E4B0BAD"/>
    <w:rsid w:val="2E552C39"/>
    <w:rsid w:val="2E6F21BC"/>
    <w:rsid w:val="2E7F5678"/>
    <w:rsid w:val="2E897E9E"/>
    <w:rsid w:val="2EA00666"/>
    <w:rsid w:val="2EA91E2C"/>
    <w:rsid w:val="2EB63F3F"/>
    <w:rsid w:val="2EEE55E6"/>
    <w:rsid w:val="2EFC18AB"/>
    <w:rsid w:val="2F05477D"/>
    <w:rsid w:val="2F266384"/>
    <w:rsid w:val="2F283EAA"/>
    <w:rsid w:val="2F390815"/>
    <w:rsid w:val="2F6255C2"/>
    <w:rsid w:val="2F866B6B"/>
    <w:rsid w:val="2F8A246F"/>
    <w:rsid w:val="2F906131"/>
    <w:rsid w:val="2F955F2E"/>
    <w:rsid w:val="2F9B0B20"/>
    <w:rsid w:val="2FB97FD1"/>
    <w:rsid w:val="2FD621A0"/>
    <w:rsid w:val="2FF12780"/>
    <w:rsid w:val="2FF45186"/>
    <w:rsid w:val="30011615"/>
    <w:rsid w:val="300271DA"/>
    <w:rsid w:val="300D6FE5"/>
    <w:rsid w:val="30115D37"/>
    <w:rsid w:val="302B0F66"/>
    <w:rsid w:val="30395B1E"/>
    <w:rsid w:val="303F6DE1"/>
    <w:rsid w:val="304B4ADE"/>
    <w:rsid w:val="3052591B"/>
    <w:rsid w:val="30577010"/>
    <w:rsid w:val="30995E2E"/>
    <w:rsid w:val="309C567B"/>
    <w:rsid w:val="30A67ECD"/>
    <w:rsid w:val="30B642B6"/>
    <w:rsid w:val="30BA7F35"/>
    <w:rsid w:val="30C86566"/>
    <w:rsid w:val="30D30C33"/>
    <w:rsid w:val="30ED71AA"/>
    <w:rsid w:val="30F73579"/>
    <w:rsid w:val="313C6FD5"/>
    <w:rsid w:val="315C280A"/>
    <w:rsid w:val="317253F2"/>
    <w:rsid w:val="31794DCD"/>
    <w:rsid w:val="319E269F"/>
    <w:rsid w:val="31A6555A"/>
    <w:rsid w:val="31AB54EF"/>
    <w:rsid w:val="31EB14DC"/>
    <w:rsid w:val="32027779"/>
    <w:rsid w:val="32162974"/>
    <w:rsid w:val="321F072C"/>
    <w:rsid w:val="32482720"/>
    <w:rsid w:val="324A61E5"/>
    <w:rsid w:val="327B06C1"/>
    <w:rsid w:val="328F2653"/>
    <w:rsid w:val="32904F4F"/>
    <w:rsid w:val="32957AA8"/>
    <w:rsid w:val="32AB682A"/>
    <w:rsid w:val="32B15B91"/>
    <w:rsid w:val="32B555C0"/>
    <w:rsid w:val="32C27203"/>
    <w:rsid w:val="32C74994"/>
    <w:rsid w:val="32D06D32"/>
    <w:rsid w:val="32E15127"/>
    <w:rsid w:val="32E26A66"/>
    <w:rsid w:val="33063524"/>
    <w:rsid w:val="33107E3A"/>
    <w:rsid w:val="331108DD"/>
    <w:rsid w:val="33115F49"/>
    <w:rsid w:val="331C3D26"/>
    <w:rsid w:val="3330157F"/>
    <w:rsid w:val="334E2D53"/>
    <w:rsid w:val="33567737"/>
    <w:rsid w:val="335A65FC"/>
    <w:rsid w:val="33844BDF"/>
    <w:rsid w:val="338739DF"/>
    <w:rsid w:val="33990F9B"/>
    <w:rsid w:val="33A3452A"/>
    <w:rsid w:val="33AC27DE"/>
    <w:rsid w:val="33BB6656"/>
    <w:rsid w:val="33C57070"/>
    <w:rsid w:val="33E622CB"/>
    <w:rsid w:val="341B5D8B"/>
    <w:rsid w:val="34392AF0"/>
    <w:rsid w:val="344B6308"/>
    <w:rsid w:val="34683DAB"/>
    <w:rsid w:val="347511DE"/>
    <w:rsid w:val="3479281D"/>
    <w:rsid w:val="34A22009"/>
    <w:rsid w:val="34A50FB8"/>
    <w:rsid w:val="34A75871"/>
    <w:rsid w:val="34B7002E"/>
    <w:rsid w:val="34EE524E"/>
    <w:rsid w:val="34F744EC"/>
    <w:rsid w:val="35001E38"/>
    <w:rsid w:val="3507069D"/>
    <w:rsid w:val="35082391"/>
    <w:rsid w:val="3511719A"/>
    <w:rsid w:val="35393710"/>
    <w:rsid w:val="35411937"/>
    <w:rsid w:val="354A4FAC"/>
    <w:rsid w:val="355133A1"/>
    <w:rsid w:val="35791460"/>
    <w:rsid w:val="357F234A"/>
    <w:rsid w:val="35C136DC"/>
    <w:rsid w:val="35CB1EB0"/>
    <w:rsid w:val="35E87EEF"/>
    <w:rsid w:val="35F97F88"/>
    <w:rsid w:val="360A12B2"/>
    <w:rsid w:val="3610150F"/>
    <w:rsid w:val="36156805"/>
    <w:rsid w:val="3619454C"/>
    <w:rsid w:val="36203E3A"/>
    <w:rsid w:val="362966B5"/>
    <w:rsid w:val="363F160E"/>
    <w:rsid w:val="36511F38"/>
    <w:rsid w:val="36730F2B"/>
    <w:rsid w:val="36740820"/>
    <w:rsid w:val="36B50719"/>
    <w:rsid w:val="36DA133E"/>
    <w:rsid w:val="36E032BC"/>
    <w:rsid w:val="36F040DA"/>
    <w:rsid w:val="37014A62"/>
    <w:rsid w:val="371B0F65"/>
    <w:rsid w:val="37262729"/>
    <w:rsid w:val="373553B6"/>
    <w:rsid w:val="375E2906"/>
    <w:rsid w:val="376D2DA2"/>
    <w:rsid w:val="37783B33"/>
    <w:rsid w:val="378C5032"/>
    <w:rsid w:val="37926CB3"/>
    <w:rsid w:val="37951029"/>
    <w:rsid w:val="37995459"/>
    <w:rsid w:val="37B35C73"/>
    <w:rsid w:val="37D3530D"/>
    <w:rsid w:val="37D466FF"/>
    <w:rsid w:val="37F13FC9"/>
    <w:rsid w:val="38042FDA"/>
    <w:rsid w:val="38304F46"/>
    <w:rsid w:val="38354219"/>
    <w:rsid w:val="38381752"/>
    <w:rsid w:val="383D0944"/>
    <w:rsid w:val="386121DB"/>
    <w:rsid w:val="38662666"/>
    <w:rsid w:val="387D17CA"/>
    <w:rsid w:val="38996F39"/>
    <w:rsid w:val="38AE1E49"/>
    <w:rsid w:val="38AF1198"/>
    <w:rsid w:val="38CD157C"/>
    <w:rsid w:val="38D85680"/>
    <w:rsid w:val="38D950A8"/>
    <w:rsid w:val="38EE21E0"/>
    <w:rsid w:val="39005C4C"/>
    <w:rsid w:val="3929719C"/>
    <w:rsid w:val="392D0DB8"/>
    <w:rsid w:val="392E425F"/>
    <w:rsid w:val="393F4076"/>
    <w:rsid w:val="39412413"/>
    <w:rsid w:val="3950274A"/>
    <w:rsid w:val="3952031E"/>
    <w:rsid w:val="39683705"/>
    <w:rsid w:val="397C3FDE"/>
    <w:rsid w:val="39B56B40"/>
    <w:rsid w:val="39D150AB"/>
    <w:rsid w:val="39E60453"/>
    <w:rsid w:val="39EB7C37"/>
    <w:rsid w:val="39F71049"/>
    <w:rsid w:val="3A06128C"/>
    <w:rsid w:val="3A2C6F82"/>
    <w:rsid w:val="3A331FFF"/>
    <w:rsid w:val="3A702894"/>
    <w:rsid w:val="3A7953CB"/>
    <w:rsid w:val="3A8046A0"/>
    <w:rsid w:val="3AA81E21"/>
    <w:rsid w:val="3AAD0E73"/>
    <w:rsid w:val="3AD47BA9"/>
    <w:rsid w:val="3AEE53C8"/>
    <w:rsid w:val="3AF70BD4"/>
    <w:rsid w:val="3AFA2581"/>
    <w:rsid w:val="3B1122C2"/>
    <w:rsid w:val="3B514788"/>
    <w:rsid w:val="3B6051AA"/>
    <w:rsid w:val="3B6320DF"/>
    <w:rsid w:val="3B8A355E"/>
    <w:rsid w:val="3B9A16F6"/>
    <w:rsid w:val="3BA31AD2"/>
    <w:rsid w:val="3BC57027"/>
    <w:rsid w:val="3BD46616"/>
    <w:rsid w:val="3BE5574E"/>
    <w:rsid w:val="3BE95B7A"/>
    <w:rsid w:val="3BEE3987"/>
    <w:rsid w:val="3BFB7A78"/>
    <w:rsid w:val="3C185900"/>
    <w:rsid w:val="3C252F04"/>
    <w:rsid w:val="3C395948"/>
    <w:rsid w:val="3C5336BD"/>
    <w:rsid w:val="3C70457E"/>
    <w:rsid w:val="3C794B45"/>
    <w:rsid w:val="3CA31014"/>
    <w:rsid w:val="3CBB051C"/>
    <w:rsid w:val="3CCB40C7"/>
    <w:rsid w:val="3CDF53FA"/>
    <w:rsid w:val="3CED6AB8"/>
    <w:rsid w:val="3CF80873"/>
    <w:rsid w:val="3D073351"/>
    <w:rsid w:val="3D220AD8"/>
    <w:rsid w:val="3D276C35"/>
    <w:rsid w:val="3D29447E"/>
    <w:rsid w:val="3D2A1517"/>
    <w:rsid w:val="3D2E7CEA"/>
    <w:rsid w:val="3D3843F4"/>
    <w:rsid w:val="3D48569D"/>
    <w:rsid w:val="3D4A3070"/>
    <w:rsid w:val="3D724C4C"/>
    <w:rsid w:val="3D74475E"/>
    <w:rsid w:val="3D7C3140"/>
    <w:rsid w:val="3D7C6DBC"/>
    <w:rsid w:val="3D845042"/>
    <w:rsid w:val="3D84715A"/>
    <w:rsid w:val="3DA51D4F"/>
    <w:rsid w:val="3DC60F2A"/>
    <w:rsid w:val="3DC91C5E"/>
    <w:rsid w:val="3DCA4A8C"/>
    <w:rsid w:val="3DF21312"/>
    <w:rsid w:val="3E001F09"/>
    <w:rsid w:val="3E031DFE"/>
    <w:rsid w:val="3E122F4E"/>
    <w:rsid w:val="3E15442A"/>
    <w:rsid w:val="3E263AA4"/>
    <w:rsid w:val="3E41473A"/>
    <w:rsid w:val="3E452B60"/>
    <w:rsid w:val="3E55571D"/>
    <w:rsid w:val="3E595E2E"/>
    <w:rsid w:val="3E7206E7"/>
    <w:rsid w:val="3E760F41"/>
    <w:rsid w:val="3E8801F5"/>
    <w:rsid w:val="3E8D1475"/>
    <w:rsid w:val="3E910D8C"/>
    <w:rsid w:val="3E95277C"/>
    <w:rsid w:val="3EAA6689"/>
    <w:rsid w:val="3ED340BE"/>
    <w:rsid w:val="3EF1250A"/>
    <w:rsid w:val="3EFA6EDE"/>
    <w:rsid w:val="3F0E7C60"/>
    <w:rsid w:val="3F424C0B"/>
    <w:rsid w:val="3F5405C2"/>
    <w:rsid w:val="3F7E267B"/>
    <w:rsid w:val="3FA94B93"/>
    <w:rsid w:val="3FB1357E"/>
    <w:rsid w:val="3FCE3C7C"/>
    <w:rsid w:val="3FDC5033"/>
    <w:rsid w:val="3FE53408"/>
    <w:rsid w:val="3FE57A91"/>
    <w:rsid w:val="3FEC47B3"/>
    <w:rsid w:val="400D6006"/>
    <w:rsid w:val="402828F4"/>
    <w:rsid w:val="40334A40"/>
    <w:rsid w:val="40441D79"/>
    <w:rsid w:val="406001CD"/>
    <w:rsid w:val="40710D28"/>
    <w:rsid w:val="40A31BA2"/>
    <w:rsid w:val="40C70298"/>
    <w:rsid w:val="40C76CBC"/>
    <w:rsid w:val="40CE7658"/>
    <w:rsid w:val="40D62EFF"/>
    <w:rsid w:val="40E340D5"/>
    <w:rsid w:val="40E94843"/>
    <w:rsid w:val="40EA0F4D"/>
    <w:rsid w:val="412202F0"/>
    <w:rsid w:val="412A4DC4"/>
    <w:rsid w:val="4154442F"/>
    <w:rsid w:val="415831B9"/>
    <w:rsid w:val="415907BD"/>
    <w:rsid w:val="41847C0C"/>
    <w:rsid w:val="419D4ED4"/>
    <w:rsid w:val="41B320B0"/>
    <w:rsid w:val="41CF1D2F"/>
    <w:rsid w:val="41E225DE"/>
    <w:rsid w:val="41FB10AE"/>
    <w:rsid w:val="42040AAA"/>
    <w:rsid w:val="42057133"/>
    <w:rsid w:val="42061AEF"/>
    <w:rsid w:val="420770A0"/>
    <w:rsid w:val="420D7B17"/>
    <w:rsid w:val="420E517A"/>
    <w:rsid w:val="422862FB"/>
    <w:rsid w:val="4230334A"/>
    <w:rsid w:val="42352F17"/>
    <w:rsid w:val="42400348"/>
    <w:rsid w:val="425D3A13"/>
    <w:rsid w:val="4267663F"/>
    <w:rsid w:val="4269685C"/>
    <w:rsid w:val="426C37D6"/>
    <w:rsid w:val="42823887"/>
    <w:rsid w:val="42A45AE7"/>
    <w:rsid w:val="42B4141D"/>
    <w:rsid w:val="42B86523"/>
    <w:rsid w:val="42CB1809"/>
    <w:rsid w:val="42E30E5C"/>
    <w:rsid w:val="42F13780"/>
    <w:rsid w:val="42F412B3"/>
    <w:rsid w:val="42F86A40"/>
    <w:rsid w:val="42FB486F"/>
    <w:rsid w:val="43340CA8"/>
    <w:rsid w:val="434846C3"/>
    <w:rsid w:val="436F3E1B"/>
    <w:rsid w:val="43716EA5"/>
    <w:rsid w:val="438434BC"/>
    <w:rsid w:val="43A27A17"/>
    <w:rsid w:val="43CB110C"/>
    <w:rsid w:val="44092199"/>
    <w:rsid w:val="442231A0"/>
    <w:rsid w:val="4428278A"/>
    <w:rsid w:val="444429AF"/>
    <w:rsid w:val="44561411"/>
    <w:rsid w:val="44731D58"/>
    <w:rsid w:val="447C3B8A"/>
    <w:rsid w:val="4487057F"/>
    <w:rsid w:val="449D218D"/>
    <w:rsid w:val="44A16979"/>
    <w:rsid w:val="44A45E3B"/>
    <w:rsid w:val="44D0671E"/>
    <w:rsid w:val="44F122B6"/>
    <w:rsid w:val="44FF34A7"/>
    <w:rsid w:val="45113CDB"/>
    <w:rsid w:val="451E239B"/>
    <w:rsid w:val="452B7F66"/>
    <w:rsid w:val="4550028C"/>
    <w:rsid w:val="45980DE0"/>
    <w:rsid w:val="459C6DF2"/>
    <w:rsid w:val="459E4FD5"/>
    <w:rsid w:val="45A260C2"/>
    <w:rsid w:val="45AC6E7B"/>
    <w:rsid w:val="45B03187"/>
    <w:rsid w:val="45BA092E"/>
    <w:rsid w:val="45C41966"/>
    <w:rsid w:val="45EE5F20"/>
    <w:rsid w:val="45EF4831"/>
    <w:rsid w:val="45F404D3"/>
    <w:rsid w:val="45F62842"/>
    <w:rsid w:val="461705DB"/>
    <w:rsid w:val="461A3CF5"/>
    <w:rsid w:val="46306E44"/>
    <w:rsid w:val="463D0C8F"/>
    <w:rsid w:val="467022BE"/>
    <w:rsid w:val="468619ED"/>
    <w:rsid w:val="46912BF4"/>
    <w:rsid w:val="46B502C1"/>
    <w:rsid w:val="46F56910"/>
    <w:rsid w:val="470D370E"/>
    <w:rsid w:val="47155336"/>
    <w:rsid w:val="47204EDE"/>
    <w:rsid w:val="47542D26"/>
    <w:rsid w:val="475B29C9"/>
    <w:rsid w:val="476E7270"/>
    <w:rsid w:val="4773615D"/>
    <w:rsid w:val="477F71EE"/>
    <w:rsid w:val="47804212"/>
    <w:rsid w:val="47947ED7"/>
    <w:rsid w:val="47D5280B"/>
    <w:rsid w:val="47E05ECA"/>
    <w:rsid w:val="47E709AA"/>
    <w:rsid w:val="47F60421"/>
    <w:rsid w:val="483B2925"/>
    <w:rsid w:val="483D1647"/>
    <w:rsid w:val="484044B1"/>
    <w:rsid w:val="484D103A"/>
    <w:rsid w:val="485B6ED0"/>
    <w:rsid w:val="48623B31"/>
    <w:rsid w:val="486B4059"/>
    <w:rsid w:val="48704C0B"/>
    <w:rsid w:val="487B1207"/>
    <w:rsid w:val="487F04A4"/>
    <w:rsid w:val="48802209"/>
    <w:rsid w:val="48873D38"/>
    <w:rsid w:val="489047ED"/>
    <w:rsid w:val="48937361"/>
    <w:rsid w:val="48B04E22"/>
    <w:rsid w:val="48B21E38"/>
    <w:rsid w:val="48B3665E"/>
    <w:rsid w:val="48B804F5"/>
    <w:rsid w:val="48B872A7"/>
    <w:rsid w:val="48C4659A"/>
    <w:rsid w:val="48D917B1"/>
    <w:rsid w:val="48DC0220"/>
    <w:rsid w:val="48DF6239"/>
    <w:rsid w:val="48E30C6B"/>
    <w:rsid w:val="48E4166A"/>
    <w:rsid w:val="48F76994"/>
    <w:rsid w:val="48FF12D0"/>
    <w:rsid w:val="491F4F0D"/>
    <w:rsid w:val="493B0D58"/>
    <w:rsid w:val="493C431F"/>
    <w:rsid w:val="493E4C3B"/>
    <w:rsid w:val="493F0D6F"/>
    <w:rsid w:val="493F298C"/>
    <w:rsid w:val="494753DB"/>
    <w:rsid w:val="495C04BF"/>
    <w:rsid w:val="4968339F"/>
    <w:rsid w:val="49731DCD"/>
    <w:rsid w:val="498D4320"/>
    <w:rsid w:val="49A06118"/>
    <w:rsid w:val="49A125CB"/>
    <w:rsid w:val="49AD085E"/>
    <w:rsid w:val="49EF378A"/>
    <w:rsid w:val="4A0672FA"/>
    <w:rsid w:val="4A214052"/>
    <w:rsid w:val="4A2C64BB"/>
    <w:rsid w:val="4A32697A"/>
    <w:rsid w:val="4A554D2C"/>
    <w:rsid w:val="4A5F6011"/>
    <w:rsid w:val="4A655B06"/>
    <w:rsid w:val="4A884F16"/>
    <w:rsid w:val="4A8B4AE4"/>
    <w:rsid w:val="4A954B30"/>
    <w:rsid w:val="4A9B0DD3"/>
    <w:rsid w:val="4ABD56AB"/>
    <w:rsid w:val="4AC81B75"/>
    <w:rsid w:val="4AE41175"/>
    <w:rsid w:val="4AFE56AA"/>
    <w:rsid w:val="4B0A0788"/>
    <w:rsid w:val="4B0C247A"/>
    <w:rsid w:val="4B104BED"/>
    <w:rsid w:val="4B15709E"/>
    <w:rsid w:val="4B1E197A"/>
    <w:rsid w:val="4B211F3F"/>
    <w:rsid w:val="4B372D0F"/>
    <w:rsid w:val="4B4D052F"/>
    <w:rsid w:val="4B6D2F19"/>
    <w:rsid w:val="4B707BE9"/>
    <w:rsid w:val="4B7D226C"/>
    <w:rsid w:val="4B7D71BF"/>
    <w:rsid w:val="4B8D18B6"/>
    <w:rsid w:val="4B9B25BC"/>
    <w:rsid w:val="4B9D4D51"/>
    <w:rsid w:val="4BA01E3E"/>
    <w:rsid w:val="4BA17FBA"/>
    <w:rsid w:val="4BC845F3"/>
    <w:rsid w:val="4BE00D92"/>
    <w:rsid w:val="4C071607"/>
    <w:rsid w:val="4C0C6885"/>
    <w:rsid w:val="4C0F2222"/>
    <w:rsid w:val="4C1718C3"/>
    <w:rsid w:val="4C1868A5"/>
    <w:rsid w:val="4C3A6B73"/>
    <w:rsid w:val="4C40062D"/>
    <w:rsid w:val="4C4D68A6"/>
    <w:rsid w:val="4C5916EF"/>
    <w:rsid w:val="4C5E0AB3"/>
    <w:rsid w:val="4C7710D2"/>
    <w:rsid w:val="4CD85E58"/>
    <w:rsid w:val="4CDA65D4"/>
    <w:rsid w:val="4CDD3240"/>
    <w:rsid w:val="4CDF5950"/>
    <w:rsid w:val="4CEF62EF"/>
    <w:rsid w:val="4CFD2CD2"/>
    <w:rsid w:val="4D222CD4"/>
    <w:rsid w:val="4D2F7564"/>
    <w:rsid w:val="4D761262"/>
    <w:rsid w:val="4D86354F"/>
    <w:rsid w:val="4D9718EB"/>
    <w:rsid w:val="4DB7036E"/>
    <w:rsid w:val="4DB76516"/>
    <w:rsid w:val="4DCC3455"/>
    <w:rsid w:val="4E0D1433"/>
    <w:rsid w:val="4E10472E"/>
    <w:rsid w:val="4E200716"/>
    <w:rsid w:val="4E2B5D5F"/>
    <w:rsid w:val="4E4603AB"/>
    <w:rsid w:val="4E584DB1"/>
    <w:rsid w:val="4E597784"/>
    <w:rsid w:val="4E5E1987"/>
    <w:rsid w:val="4E6D517F"/>
    <w:rsid w:val="4E6E0D65"/>
    <w:rsid w:val="4E853A60"/>
    <w:rsid w:val="4E864C2C"/>
    <w:rsid w:val="4E8B1E7B"/>
    <w:rsid w:val="4EB6624B"/>
    <w:rsid w:val="4EC86742"/>
    <w:rsid w:val="4F067B5D"/>
    <w:rsid w:val="4F0973FC"/>
    <w:rsid w:val="4F0F3471"/>
    <w:rsid w:val="4F176640"/>
    <w:rsid w:val="4F285325"/>
    <w:rsid w:val="4F43271B"/>
    <w:rsid w:val="4F4E39E3"/>
    <w:rsid w:val="4F4F03E8"/>
    <w:rsid w:val="4F666E3E"/>
    <w:rsid w:val="4F6C5B45"/>
    <w:rsid w:val="4FA33D6F"/>
    <w:rsid w:val="4FB21842"/>
    <w:rsid w:val="4FBA24A4"/>
    <w:rsid w:val="4FC155E1"/>
    <w:rsid w:val="4FDD0455"/>
    <w:rsid w:val="4FF25485"/>
    <w:rsid w:val="50040851"/>
    <w:rsid w:val="50066B27"/>
    <w:rsid w:val="500857F5"/>
    <w:rsid w:val="5013146B"/>
    <w:rsid w:val="501B0010"/>
    <w:rsid w:val="501C5635"/>
    <w:rsid w:val="502201B4"/>
    <w:rsid w:val="50286CD9"/>
    <w:rsid w:val="50287250"/>
    <w:rsid w:val="503A4755"/>
    <w:rsid w:val="504425E3"/>
    <w:rsid w:val="505D052D"/>
    <w:rsid w:val="506F100E"/>
    <w:rsid w:val="50760862"/>
    <w:rsid w:val="50760AC1"/>
    <w:rsid w:val="509876FE"/>
    <w:rsid w:val="509B1DB2"/>
    <w:rsid w:val="50A91271"/>
    <w:rsid w:val="50AC527F"/>
    <w:rsid w:val="50B3546A"/>
    <w:rsid w:val="50D57288"/>
    <w:rsid w:val="50D65906"/>
    <w:rsid w:val="50DB6B6D"/>
    <w:rsid w:val="50DD469C"/>
    <w:rsid w:val="50E5083A"/>
    <w:rsid w:val="50EA3DB6"/>
    <w:rsid w:val="50F44512"/>
    <w:rsid w:val="51061CFE"/>
    <w:rsid w:val="5109633A"/>
    <w:rsid w:val="512223B6"/>
    <w:rsid w:val="51381FCA"/>
    <w:rsid w:val="51464F3F"/>
    <w:rsid w:val="514B1DFF"/>
    <w:rsid w:val="514F1402"/>
    <w:rsid w:val="515B4A83"/>
    <w:rsid w:val="51866363"/>
    <w:rsid w:val="519B37EA"/>
    <w:rsid w:val="51CF0EA8"/>
    <w:rsid w:val="52262073"/>
    <w:rsid w:val="522B6ECD"/>
    <w:rsid w:val="52326C6A"/>
    <w:rsid w:val="524322DE"/>
    <w:rsid w:val="524644C3"/>
    <w:rsid w:val="525C4F6A"/>
    <w:rsid w:val="52642B9B"/>
    <w:rsid w:val="526649B9"/>
    <w:rsid w:val="527C4E6A"/>
    <w:rsid w:val="52991622"/>
    <w:rsid w:val="52AD009F"/>
    <w:rsid w:val="52E15F9A"/>
    <w:rsid w:val="52E252A0"/>
    <w:rsid w:val="52F431FA"/>
    <w:rsid w:val="530249DB"/>
    <w:rsid w:val="53127408"/>
    <w:rsid w:val="53461A8A"/>
    <w:rsid w:val="53547C35"/>
    <w:rsid w:val="536467A4"/>
    <w:rsid w:val="537F2710"/>
    <w:rsid w:val="53825937"/>
    <w:rsid w:val="53825CD2"/>
    <w:rsid w:val="5384300A"/>
    <w:rsid w:val="53894BD9"/>
    <w:rsid w:val="539631CF"/>
    <w:rsid w:val="53AA72DD"/>
    <w:rsid w:val="53B86CFB"/>
    <w:rsid w:val="53C32916"/>
    <w:rsid w:val="53C83914"/>
    <w:rsid w:val="53C953AC"/>
    <w:rsid w:val="53EA29B2"/>
    <w:rsid w:val="53F50D2C"/>
    <w:rsid w:val="541303D5"/>
    <w:rsid w:val="54190B87"/>
    <w:rsid w:val="54214CFE"/>
    <w:rsid w:val="542645AC"/>
    <w:rsid w:val="54387E6A"/>
    <w:rsid w:val="543D17CB"/>
    <w:rsid w:val="54467068"/>
    <w:rsid w:val="5468157E"/>
    <w:rsid w:val="546D6CA7"/>
    <w:rsid w:val="549260AB"/>
    <w:rsid w:val="549A6816"/>
    <w:rsid w:val="54A5392F"/>
    <w:rsid w:val="54A53A60"/>
    <w:rsid w:val="54A63C56"/>
    <w:rsid w:val="54C519F5"/>
    <w:rsid w:val="54E7455C"/>
    <w:rsid w:val="55047955"/>
    <w:rsid w:val="550B187C"/>
    <w:rsid w:val="55303E71"/>
    <w:rsid w:val="553D353E"/>
    <w:rsid w:val="554545FD"/>
    <w:rsid w:val="554C57F3"/>
    <w:rsid w:val="555A7E3B"/>
    <w:rsid w:val="555C0F26"/>
    <w:rsid w:val="55775F51"/>
    <w:rsid w:val="5579165E"/>
    <w:rsid w:val="55876866"/>
    <w:rsid w:val="55BA5CF6"/>
    <w:rsid w:val="55C67DF5"/>
    <w:rsid w:val="55D17B51"/>
    <w:rsid w:val="55DC0D81"/>
    <w:rsid w:val="5604091D"/>
    <w:rsid w:val="56294545"/>
    <w:rsid w:val="563131C1"/>
    <w:rsid w:val="56357AA1"/>
    <w:rsid w:val="563A4479"/>
    <w:rsid w:val="5654231B"/>
    <w:rsid w:val="565939DD"/>
    <w:rsid w:val="56615716"/>
    <w:rsid w:val="56727BD5"/>
    <w:rsid w:val="567A179C"/>
    <w:rsid w:val="568460AE"/>
    <w:rsid w:val="56993585"/>
    <w:rsid w:val="56BF0CE3"/>
    <w:rsid w:val="56CE229F"/>
    <w:rsid w:val="56DF2C57"/>
    <w:rsid w:val="56E96D2B"/>
    <w:rsid w:val="56FD7716"/>
    <w:rsid w:val="57091572"/>
    <w:rsid w:val="57095E3B"/>
    <w:rsid w:val="570A288F"/>
    <w:rsid w:val="5722758C"/>
    <w:rsid w:val="57356382"/>
    <w:rsid w:val="573B02BA"/>
    <w:rsid w:val="57430FD1"/>
    <w:rsid w:val="57456A99"/>
    <w:rsid w:val="5750290A"/>
    <w:rsid w:val="575C73C4"/>
    <w:rsid w:val="576230F5"/>
    <w:rsid w:val="57843737"/>
    <w:rsid w:val="578529DD"/>
    <w:rsid w:val="5785335E"/>
    <w:rsid w:val="5789449A"/>
    <w:rsid w:val="57C013DA"/>
    <w:rsid w:val="57C43B4D"/>
    <w:rsid w:val="57CC50C0"/>
    <w:rsid w:val="57F34633"/>
    <w:rsid w:val="57FA7BCB"/>
    <w:rsid w:val="581E621C"/>
    <w:rsid w:val="58244331"/>
    <w:rsid w:val="583B5B75"/>
    <w:rsid w:val="584C2A62"/>
    <w:rsid w:val="58504B4B"/>
    <w:rsid w:val="58535244"/>
    <w:rsid w:val="5857432A"/>
    <w:rsid w:val="586C27AA"/>
    <w:rsid w:val="58715106"/>
    <w:rsid w:val="58755FD1"/>
    <w:rsid w:val="588A7A8A"/>
    <w:rsid w:val="588C155F"/>
    <w:rsid w:val="588D7D0D"/>
    <w:rsid w:val="589C737C"/>
    <w:rsid w:val="58A351FB"/>
    <w:rsid w:val="58AD7929"/>
    <w:rsid w:val="58B31947"/>
    <w:rsid w:val="58B77EC9"/>
    <w:rsid w:val="58B97087"/>
    <w:rsid w:val="58C5046B"/>
    <w:rsid w:val="58DE354B"/>
    <w:rsid w:val="59202FB2"/>
    <w:rsid w:val="593110DE"/>
    <w:rsid w:val="594C12E6"/>
    <w:rsid w:val="594C29CE"/>
    <w:rsid w:val="596F2552"/>
    <w:rsid w:val="59721009"/>
    <w:rsid w:val="59745DBA"/>
    <w:rsid w:val="59832B94"/>
    <w:rsid w:val="598513F7"/>
    <w:rsid w:val="599A66EB"/>
    <w:rsid w:val="599E6993"/>
    <w:rsid w:val="59B04E3F"/>
    <w:rsid w:val="59BF735E"/>
    <w:rsid w:val="59D45B48"/>
    <w:rsid w:val="59DB0847"/>
    <w:rsid w:val="59DB4E99"/>
    <w:rsid w:val="59EF4B7E"/>
    <w:rsid w:val="5A2F2395"/>
    <w:rsid w:val="5A3B2434"/>
    <w:rsid w:val="5A403EEE"/>
    <w:rsid w:val="5A5A0557"/>
    <w:rsid w:val="5A757055"/>
    <w:rsid w:val="5A903C12"/>
    <w:rsid w:val="5A9A283D"/>
    <w:rsid w:val="5AA71877"/>
    <w:rsid w:val="5AAE0838"/>
    <w:rsid w:val="5AAE546C"/>
    <w:rsid w:val="5AB346C0"/>
    <w:rsid w:val="5B024362"/>
    <w:rsid w:val="5B161CF3"/>
    <w:rsid w:val="5B275F0C"/>
    <w:rsid w:val="5B3417E9"/>
    <w:rsid w:val="5B383CD2"/>
    <w:rsid w:val="5B3A6B8F"/>
    <w:rsid w:val="5B3D6AFD"/>
    <w:rsid w:val="5B4916DB"/>
    <w:rsid w:val="5B4E07B4"/>
    <w:rsid w:val="5B601D6D"/>
    <w:rsid w:val="5B70610D"/>
    <w:rsid w:val="5B7333E6"/>
    <w:rsid w:val="5B745977"/>
    <w:rsid w:val="5B974260"/>
    <w:rsid w:val="5B975FFB"/>
    <w:rsid w:val="5B9D54C3"/>
    <w:rsid w:val="5BA81D4B"/>
    <w:rsid w:val="5BB150E8"/>
    <w:rsid w:val="5BBF1E0E"/>
    <w:rsid w:val="5BD73289"/>
    <w:rsid w:val="5BD7618C"/>
    <w:rsid w:val="5BE847BA"/>
    <w:rsid w:val="5C034B9D"/>
    <w:rsid w:val="5C1A3B8C"/>
    <w:rsid w:val="5C25482C"/>
    <w:rsid w:val="5C3744D8"/>
    <w:rsid w:val="5C4603F2"/>
    <w:rsid w:val="5C6C4B26"/>
    <w:rsid w:val="5C777694"/>
    <w:rsid w:val="5C7D06C4"/>
    <w:rsid w:val="5C7E6AB6"/>
    <w:rsid w:val="5CA054E0"/>
    <w:rsid w:val="5CB00745"/>
    <w:rsid w:val="5CD85714"/>
    <w:rsid w:val="5CE0068A"/>
    <w:rsid w:val="5CF475E4"/>
    <w:rsid w:val="5CFA1B75"/>
    <w:rsid w:val="5D041203"/>
    <w:rsid w:val="5D165016"/>
    <w:rsid w:val="5D281683"/>
    <w:rsid w:val="5D453C3C"/>
    <w:rsid w:val="5D475069"/>
    <w:rsid w:val="5D55380D"/>
    <w:rsid w:val="5D704AEA"/>
    <w:rsid w:val="5D7C348F"/>
    <w:rsid w:val="5D8014B4"/>
    <w:rsid w:val="5D81532E"/>
    <w:rsid w:val="5D8E3AE8"/>
    <w:rsid w:val="5D8F6ECE"/>
    <w:rsid w:val="5D9B49C6"/>
    <w:rsid w:val="5DA4554F"/>
    <w:rsid w:val="5DDD2F48"/>
    <w:rsid w:val="5DDD6AE5"/>
    <w:rsid w:val="5E127950"/>
    <w:rsid w:val="5E361A1F"/>
    <w:rsid w:val="5E3A627B"/>
    <w:rsid w:val="5E4F6E19"/>
    <w:rsid w:val="5E883D74"/>
    <w:rsid w:val="5E9D00C7"/>
    <w:rsid w:val="5EA12A38"/>
    <w:rsid w:val="5EA53003"/>
    <w:rsid w:val="5EB3604C"/>
    <w:rsid w:val="5EC0663E"/>
    <w:rsid w:val="5EC3262E"/>
    <w:rsid w:val="5ED3248C"/>
    <w:rsid w:val="5ED82187"/>
    <w:rsid w:val="5EEA5843"/>
    <w:rsid w:val="5EF043D7"/>
    <w:rsid w:val="5EF86B45"/>
    <w:rsid w:val="5F00049A"/>
    <w:rsid w:val="5F2818E7"/>
    <w:rsid w:val="5F335C1E"/>
    <w:rsid w:val="5F3A715E"/>
    <w:rsid w:val="5F4D2A95"/>
    <w:rsid w:val="5F536BE6"/>
    <w:rsid w:val="5F557CFE"/>
    <w:rsid w:val="5F8D1C17"/>
    <w:rsid w:val="5F944AC0"/>
    <w:rsid w:val="5F9820C6"/>
    <w:rsid w:val="5FA647F3"/>
    <w:rsid w:val="5FA9439A"/>
    <w:rsid w:val="5FB328A3"/>
    <w:rsid w:val="5FB64B2F"/>
    <w:rsid w:val="5FBB0CA4"/>
    <w:rsid w:val="5FED5F7E"/>
    <w:rsid w:val="5FFF6FD7"/>
    <w:rsid w:val="60221E7D"/>
    <w:rsid w:val="6036755E"/>
    <w:rsid w:val="604D04E6"/>
    <w:rsid w:val="606D5183"/>
    <w:rsid w:val="607754A3"/>
    <w:rsid w:val="607B3AD9"/>
    <w:rsid w:val="60860073"/>
    <w:rsid w:val="609B3C2C"/>
    <w:rsid w:val="60A326DF"/>
    <w:rsid w:val="60A9698F"/>
    <w:rsid w:val="60B11DC0"/>
    <w:rsid w:val="60CC028A"/>
    <w:rsid w:val="60CF6EEC"/>
    <w:rsid w:val="60E054ED"/>
    <w:rsid w:val="60E34F8A"/>
    <w:rsid w:val="60F2511B"/>
    <w:rsid w:val="613F417E"/>
    <w:rsid w:val="614610C6"/>
    <w:rsid w:val="61493517"/>
    <w:rsid w:val="615A3AE7"/>
    <w:rsid w:val="61627298"/>
    <w:rsid w:val="617B65D5"/>
    <w:rsid w:val="619918FB"/>
    <w:rsid w:val="619C7FA1"/>
    <w:rsid w:val="61C6117D"/>
    <w:rsid w:val="61DA61FB"/>
    <w:rsid w:val="61DB25D9"/>
    <w:rsid w:val="61E87892"/>
    <w:rsid w:val="61EC5AC2"/>
    <w:rsid w:val="622744AC"/>
    <w:rsid w:val="62364EDC"/>
    <w:rsid w:val="62383E3F"/>
    <w:rsid w:val="623C172A"/>
    <w:rsid w:val="625A4188"/>
    <w:rsid w:val="62602620"/>
    <w:rsid w:val="626473C1"/>
    <w:rsid w:val="628030DA"/>
    <w:rsid w:val="62F026FC"/>
    <w:rsid w:val="631A67FD"/>
    <w:rsid w:val="632730BD"/>
    <w:rsid w:val="633776CE"/>
    <w:rsid w:val="633B3D5B"/>
    <w:rsid w:val="63543041"/>
    <w:rsid w:val="636523AD"/>
    <w:rsid w:val="636B3D8A"/>
    <w:rsid w:val="637846F9"/>
    <w:rsid w:val="63923E64"/>
    <w:rsid w:val="63972DD1"/>
    <w:rsid w:val="63DA2D41"/>
    <w:rsid w:val="63EF4A32"/>
    <w:rsid w:val="63FB13DC"/>
    <w:rsid w:val="640818CC"/>
    <w:rsid w:val="643122E4"/>
    <w:rsid w:val="643342B1"/>
    <w:rsid w:val="644805D1"/>
    <w:rsid w:val="646D768E"/>
    <w:rsid w:val="64777E3F"/>
    <w:rsid w:val="648D3A7F"/>
    <w:rsid w:val="64957533"/>
    <w:rsid w:val="64A04CDC"/>
    <w:rsid w:val="64C111A6"/>
    <w:rsid w:val="65081AA2"/>
    <w:rsid w:val="650E6F4C"/>
    <w:rsid w:val="651538DE"/>
    <w:rsid w:val="6517590C"/>
    <w:rsid w:val="65197815"/>
    <w:rsid w:val="65316CCE"/>
    <w:rsid w:val="65471EA8"/>
    <w:rsid w:val="656277CC"/>
    <w:rsid w:val="656870FA"/>
    <w:rsid w:val="65B512EC"/>
    <w:rsid w:val="65CE2E50"/>
    <w:rsid w:val="65D35C16"/>
    <w:rsid w:val="65D93E2D"/>
    <w:rsid w:val="65F46B0F"/>
    <w:rsid w:val="65FE579B"/>
    <w:rsid w:val="66162AB9"/>
    <w:rsid w:val="661E15AF"/>
    <w:rsid w:val="662C541D"/>
    <w:rsid w:val="664D383A"/>
    <w:rsid w:val="6651487F"/>
    <w:rsid w:val="66807F3D"/>
    <w:rsid w:val="6684258F"/>
    <w:rsid w:val="66865139"/>
    <w:rsid w:val="66BF2A47"/>
    <w:rsid w:val="66C30D22"/>
    <w:rsid w:val="66CE7A21"/>
    <w:rsid w:val="66D24C53"/>
    <w:rsid w:val="66D713BD"/>
    <w:rsid w:val="66DE263A"/>
    <w:rsid w:val="66FA4FC1"/>
    <w:rsid w:val="670741EC"/>
    <w:rsid w:val="67280A3F"/>
    <w:rsid w:val="67386E86"/>
    <w:rsid w:val="67394967"/>
    <w:rsid w:val="673E0992"/>
    <w:rsid w:val="67444AD8"/>
    <w:rsid w:val="67551C1B"/>
    <w:rsid w:val="675760C6"/>
    <w:rsid w:val="676F49C8"/>
    <w:rsid w:val="676F7DF9"/>
    <w:rsid w:val="67743CBE"/>
    <w:rsid w:val="677C5DE0"/>
    <w:rsid w:val="677E4D4C"/>
    <w:rsid w:val="679D4A21"/>
    <w:rsid w:val="67A701A9"/>
    <w:rsid w:val="67AC200C"/>
    <w:rsid w:val="67BF5A18"/>
    <w:rsid w:val="67E964B2"/>
    <w:rsid w:val="680B78E9"/>
    <w:rsid w:val="683351DC"/>
    <w:rsid w:val="683B042A"/>
    <w:rsid w:val="684D5820"/>
    <w:rsid w:val="685D6500"/>
    <w:rsid w:val="686E436F"/>
    <w:rsid w:val="687C3D04"/>
    <w:rsid w:val="687F11C4"/>
    <w:rsid w:val="688A72AE"/>
    <w:rsid w:val="688D46A3"/>
    <w:rsid w:val="689E7188"/>
    <w:rsid w:val="68A02752"/>
    <w:rsid w:val="68B003E1"/>
    <w:rsid w:val="68D41F9D"/>
    <w:rsid w:val="68D85423"/>
    <w:rsid w:val="68EF17E9"/>
    <w:rsid w:val="69022A61"/>
    <w:rsid w:val="69233A58"/>
    <w:rsid w:val="69460F91"/>
    <w:rsid w:val="695B4E5A"/>
    <w:rsid w:val="69987E99"/>
    <w:rsid w:val="69996591"/>
    <w:rsid w:val="69B31C49"/>
    <w:rsid w:val="69DF3694"/>
    <w:rsid w:val="69E00902"/>
    <w:rsid w:val="6A1522B1"/>
    <w:rsid w:val="6A5413E0"/>
    <w:rsid w:val="6A8B1E38"/>
    <w:rsid w:val="6AA65152"/>
    <w:rsid w:val="6AB57FE0"/>
    <w:rsid w:val="6AE36647"/>
    <w:rsid w:val="6B0472CE"/>
    <w:rsid w:val="6B0843DA"/>
    <w:rsid w:val="6B1954EF"/>
    <w:rsid w:val="6B1D0665"/>
    <w:rsid w:val="6B1F4C52"/>
    <w:rsid w:val="6B3C78C0"/>
    <w:rsid w:val="6B3D6549"/>
    <w:rsid w:val="6B4F315C"/>
    <w:rsid w:val="6B5F45B0"/>
    <w:rsid w:val="6B6B24C6"/>
    <w:rsid w:val="6B766064"/>
    <w:rsid w:val="6B87702A"/>
    <w:rsid w:val="6B886C1E"/>
    <w:rsid w:val="6B923757"/>
    <w:rsid w:val="6B94329E"/>
    <w:rsid w:val="6BBE6C16"/>
    <w:rsid w:val="6BD76BEC"/>
    <w:rsid w:val="6BE251CB"/>
    <w:rsid w:val="6BF325F3"/>
    <w:rsid w:val="6C1851D0"/>
    <w:rsid w:val="6C291583"/>
    <w:rsid w:val="6C2947E2"/>
    <w:rsid w:val="6C2D6B19"/>
    <w:rsid w:val="6C383841"/>
    <w:rsid w:val="6C3F0FBE"/>
    <w:rsid w:val="6C4860C9"/>
    <w:rsid w:val="6C492A45"/>
    <w:rsid w:val="6C4B064F"/>
    <w:rsid w:val="6C5B7077"/>
    <w:rsid w:val="6C6677E4"/>
    <w:rsid w:val="6C6B0755"/>
    <w:rsid w:val="6C6F1474"/>
    <w:rsid w:val="6CAF7E38"/>
    <w:rsid w:val="6CB37B03"/>
    <w:rsid w:val="6D4A1B73"/>
    <w:rsid w:val="6D5611F0"/>
    <w:rsid w:val="6D641057"/>
    <w:rsid w:val="6D7C5B13"/>
    <w:rsid w:val="6D8D705B"/>
    <w:rsid w:val="6D961AE0"/>
    <w:rsid w:val="6DA221EE"/>
    <w:rsid w:val="6DA52F20"/>
    <w:rsid w:val="6DBA022C"/>
    <w:rsid w:val="6DCF5277"/>
    <w:rsid w:val="6DD947B6"/>
    <w:rsid w:val="6DF17581"/>
    <w:rsid w:val="6E136BEB"/>
    <w:rsid w:val="6E194C84"/>
    <w:rsid w:val="6E1E5C38"/>
    <w:rsid w:val="6E2A6DF9"/>
    <w:rsid w:val="6E3031EB"/>
    <w:rsid w:val="6E330121"/>
    <w:rsid w:val="6E355C91"/>
    <w:rsid w:val="6E5673E4"/>
    <w:rsid w:val="6E7A7577"/>
    <w:rsid w:val="6E9D25D1"/>
    <w:rsid w:val="6EA34C03"/>
    <w:rsid w:val="6EA559E4"/>
    <w:rsid w:val="6EAD455A"/>
    <w:rsid w:val="6EB8731C"/>
    <w:rsid w:val="6EE045E7"/>
    <w:rsid w:val="6EE25F83"/>
    <w:rsid w:val="6F0E41BB"/>
    <w:rsid w:val="6F2E7B74"/>
    <w:rsid w:val="6F307C36"/>
    <w:rsid w:val="6F564A33"/>
    <w:rsid w:val="6F6A7408"/>
    <w:rsid w:val="6F6D1D2A"/>
    <w:rsid w:val="6F753A7C"/>
    <w:rsid w:val="6F9217B3"/>
    <w:rsid w:val="6FB35396"/>
    <w:rsid w:val="6FC57F97"/>
    <w:rsid w:val="6FD22D21"/>
    <w:rsid w:val="6FEA49A6"/>
    <w:rsid w:val="6FFD5822"/>
    <w:rsid w:val="70207313"/>
    <w:rsid w:val="703C202A"/>
    <w:rsid w:val="70407376"/>
    <w:rsid w:val="70441BEA"/>
    <w:rsid w:val="7048349C"/>
    <w:rsid w:val="70567C5F"/>
    <w:rsid w:val="706A0494"/>
    <w:rsid w:val="70725556"/>
    <w:rsid w:val="70910BA8"/>
    <w:rsid w:val="709A2582"/>
    <w:rsid w:val="70B116FA"/>
    <w:rsid w:val="70B55E95"/>
    <w:rsid w:val="70B5687C"/>
    <w:rsid w:val="70B95540"/>
    <w:rsid w:val="70C6269D"/>
    <w:rsid w:val="71030F4E"/>
    <w:rsid w:val="71116926"/>
    <w:rsid w:val="711B6DD3"/>
    <w:rsid w:val="713061C5"/>
    <w:rsid w:val="7141612A"/>
    <w:rsid w:val="7149413B"/>
    <w:rsid w:val="71594D48"/>
    <w:rsid w:val="71616C80"/>
    <w:rsid w:val="716F1955"/>
    <w:rsid w:val="71854AC5"/>
    <w:rsid w:val="7192643C"/>
    <w:rsid w:val="719D2C1F"/>
    <w:rsid w:val="719E7141"/>
    <w:rsid w:val="71A22EB7"/>
    <w:rsid w:val="71A74D85"/>
    <w:rsid w:val="71B731AC"/>
    <w:rsid w:val="71BD716E"/>
    <w:rsid w:val="71C12BDF"/>
    <w:rsid w:val="71E75DD7"/>
    <w:rsid w:val="71EB618D"/>
    <w:rsid w:val="720B478A"/>
    <w:rsid w:val="721D05CA"/>
    <w:rsid w:val="72232DE7"/>
    <w:rsid w:val="722A5B3C"/>
    <w:rsid w:val="722D681E"/>
    <w:rsid w:val="725956F5"/>
    <w:rsid w:val="726E2F4F"/>
    <w:rsid w:val="72936D5E"/>
    <w:rsid w:val="729B1EA2"/>
    <w:rsid w:val="729B7ABC"/>
    <w:rsid w:val="729C1AB3"/>
    <w:rsid w:val="72B94E61"/>
    <w:rsid w:val="72C20630"/>
    <w:rsid w:val="72F004AD"/>
    <w:rsid w:val="72FF2D63"/>
    <w:rsid w:val="73053A28"/>
    <w:rsid w:val="731068D5"/>
    <w:rsid w:val="73304853"/>
    <w:rsid w:val="733C455B"/>
    <w:rsid w:val="733D1617"/>
    <w:rsid w:val="735851EC"/>
    <w:rsid w:val="736305DA"/>
    <w:rsid w:val="7369772F"/>
    <w:rsid w:val="737445CB"/>
    <w:rsid w:val="739F1C2B"/>
    <w:rsid w:val="73A02DF1"/>
    <w:rsid w:val="73B9632F"/>
    <w:rsid w:val="73D90F29"/>
    <w:rsid w:val="73E409C5"/>
    <w:rsid w:val="73ED1A43"/>
    <w:rsid w:val="73FD6512"/>
    <w:rsid w:val="74143FD5"/>
    <w:rsid w:val="742000AC"/>
    <w:rsid w:val="74365F42"/>
    <w:rsid w:val="744D43EA"/>
    <w:rsid w:val="744E1EE2"/>
    <w:rsid w:val="745F3497"/>
    <w:rsid w:val="7467728A"/>
    <w:rsid w:val="7470784B"/>
    <w:rsid w:val="748F3650"/>
    <w:rsid w:val="749058E7"/>
    <w:rsid w:val="74924456"/>
    <w:rsid w:val="74947427"/>
    <w:rsid w:val="74B556B7"/>
    <w:rsid w:val="74BD0F76"/>
    <w:rsid w:val="74C505FE"/>
    <w:rsid w:val="74CD62E7"/>
    <w:rsid w:val="74D57225"/>
    <w:rsid w:val="74E448A7"/>
    <w:rsid w:val="750C4B7A"/>
    <w:rsid w:val="75101A95"/>
    <w:rsid w:val="7523723A"/>
    <w:rsid w:val="75371D1E"/>
    <w:rsid w:val="753C1ED8"/>
    <w:rsid w:val="753F7603"/>
    <w:rsid w:val="754D7608"/>
    <w:rsid w:val="75662BA2"/>
    <w:rsid w:val="757F4665"/>
    <w:rsid w:val="75820447"/>
    <w:rsid w:val="759164D0"/>
    <w:rsid w:val="75957A39"/>
    <w:rsid w:val="75A95CE9"/>
    <w:rsid w:val="75B4336E"/>
    <w:rsid w:val="75D37BB2"/>
    <w:rsid w:val="75DC5608"/>
    <w:rsid w:val="75EB2444"/>
    <w:rsid w:val="75F272B3"/>
    <w:rsid w:val="760768A6"/>
    <w:rsid w:val="7608664D"/>
    <w:rsid w:val="76177B6A"/>
    <w:rsid w:val="762F197B"/>
    <w:rsid w:val="76670E73"/>
    <w:rsid w:val="766D0603"/>
    <w:rsid w:val="7685041C"/>
    <w:rsid w:val="768674E4"/>
    <w:rsid w:val="768A537A"/>
    <w:rsid w:val="768B7D9A"/>
    <w:rsid w:val="768D1768"/>
    <w:rsid w:val="769213E2"/>
    <w:rsid w:val="76971A95"/>
    <w:rsid w:val="76A55F3B"/>
    <w:rsid w:val="76D31A28"/>
    <w:rsid w:val="76FC6A08"/>
    <w:rsid w:val="770C2AAF"/>
    <w:rsid w:val="770E5492"/>
    <w:rsid w:val="774C62CD"/>
    <w:rsid w:val="775766A7"/>
    <w:rsid w:val="776534A2"/>
    <w:rsid w:val="7767045F"/>
    <w:rsid w:val="778A38E9"/>
    <w:rsid w:val="778D0189"/>
    <w:rsid w:val="7794747C"/>
    <w:rsid w:val="779F100E"/>
    <w:rsid w:val="77AA286F"/>
    <w:rsid w:val="77C17FC5"/>
    <w:rsid w:val="77DF044B"/>
    <w:rsid w:val="77E3160F"/>
    <w:rsid w:val="77F84F56"/>
    <w:rsid w:val="77FDCAE0"/>
    <w:rsid w:val="77FE61AE"/>
    <w:rsid w:val="78032035"/>
    <w:rsid w:val="78056103"/>
    <w:rsid w:val="78062D62"/>
    <w:rsid w:val="782822F5"/>
    <w:rsid w:val="7834241C"/>
    <w:rsid w:val="78357BE5"/>
    <w:rsid w:val="783679B9"/>
    <w:rsid w:val="783F48AB"/>
    <w:rsid w:val="784E582C"/>
    <w:rsid w:val="78542BE7"/>
    <w:rsid w:val="786170B2"/>
    <w:rsid w:val="786B3237"/>
    <w:rsid w:val="78786731"/>
    <w:rsid w:val="78970D25"/>
    <w:rsid w:val="78A84F32"/>
    <w:rsid w:val="78BE16CF"/>
    <w:rsid w:val="78BE4504"/>
    <w:rsid w:val="78C1187A"/>
    <w:rsid w:val="78F62113"/>
    <w:rsid w:val="79065879"/>
    <w:rsid w:val="7918401D"/>
    <w:rsid w:val="79397B2B"/>
    <w:rsid w:val="794030A7"/>
    <w:rsid w:val="79441329"/>
    <w:rsid w:val="795A554D"/>
    <w:rsid w:val="79702E68"/>
    <w:rsid w:val="79744CFD"/>
    <w:rsid w:val="797A3CEC"/>
    <w:rsid w:val="798F1E2E"/>
    <w:rsid w:val="79926337"/>
    <w:rsid w:val="799979ED"/>
    <w:rsid w:val="799D7180"/>
    <w:rsid w:val="799E680F"/>
    <w:rsid w:val="79B5767F"/>
    <w:rsid w:val="79B60F4D"/>
    <w:rsid w:val="79C227D5"/>
    <w:rsid w:val="79C30A5D"/>
    <w:rsid w:val="79CB19AB"/>
    <w:rsid w:val="79D47D6B"/>
    <w:rsid w:val="79DD5E71"/>
    <w:rsid w:val="79F30C61"/>
    <w:rsid w:val="79F857F4"/>
    <w:rsid w:val="79FD2E0A"/>
    <w:rsid w:val="7A083B13"/>
    <w:rsid w:val="7A092A02"/>
    <w:rsid w:val="7A0E6B5E"/>
    <w:rsid w:val="7A147E43"/>
    <w:rsid w:val="7A2346EC"/>
    <w:rsid w:val="7A2E0FCC"/>
    <w:rsid w:val="7A4E6D1D"/>
    <w:rsid w:val="7A550ECC"/>
    <w:rsid w:val="7A5B2D24"/>
    <w:rsid w:val="7A6115EB"/>
    <w:rsid w:val="7A680BCB"/>
    <w:rsid w:val="7A7D4D67"/>
    <w:rsid w:val="7A822707"/>
    <w:rsid w:val="7A8A5D6D"/>
    <w:rsid w:val="7AA000BE"/>
    <w:rsid w:val="7AA4746E"/>
    <w:rsid w:val="7AA75440"/>
    <w:rsid w:val="7AB49461"/>
    <w:rsid w:val="7ABD4320"/>
    <w:rsid w:val="7AC01F51"/>
    <w:rsid w:val="7AD60D91"/>
    <w:rsid w:val="7ADC439C"/>
    <w:rsid w:val="7AE97533"/>
    <w:rsid w:val="7AEA6E95"/>
    <w:rsid w:val="7AFD1730"/>
    <w:rsid w:val="7B0816C5"/>
    <w:rsid w:val="7B095F8D"/>
    <w:rsid w:val="7B0B24CA"/>
    <w:rsid w:val="7B1B7022"/>
    <w:rsid w:val="7B1C5B0F"/>
    <w:rsid w:val="7B1E5361"/>
    <w:rsid w:val="7B272834"/>
    <w:rsid w:val="7B2B1C9C"/>
    <w:rsid w:val="7B357115"/>
    <w:rsid w:val="7B95528C"/>
    <w:rsid w:val="7BC2430B"/>
    <w:rsid w:val="7BC3232F"/>
    <w:rsid w:val="7BC616BF"/>
    <w:rsid w:val="7BCC1F12"/>
    <w:rsid w:val="7BD01392"/>
    <w:rsid w:val="7BD77076"/>
    <w:rsid w:val="7BFE1148"/>
    <w:rsid w:val="7C02758F"/>
    <w:rsid w:val="7C0A330E"/>
    <w:rsid w:val="7C231ABC"/>
    <w:rsid w:val="7C234661"/>
    <w:rsid w:val="7C4030A5"/>
    <w:rsid w:val="7C510CBF"/>
    <w:rsid w:val="7C576253"/>
    <w:rsid w:val="7C7B4A73"/>
    <w:rsid w:val="7C9A0DE4"/>
    <w:rsid w:val="7C9F3284"/>
    <w:rsid w:val="7CB200BD"/>
    <w:rsid w:val="7CC64534"/>
    <w:rsid w:val="7CF13B8E"/>
    <w:rsid w:val="7CF44420"/>
    <w:rsid w:val="7CF4590B"/>
    <w:rsid w:val="7CF6969C"/>
    <w:rsid w:val="7CFB4E25"/>
    <w:rsid w:val="7D1E6578"/>
    <w:rsid w:val="7D1F5E35"/>
    <w:rsid w:val="7D231FBF"/>
    <w:rsid w:val="7D312C4F"/>
    <w:rsid w:val="7D3A4D76"/>
    <w:rsid w:val="7D3B14B0"/>
    <w:rsid w:val="7D6066E5"/>
    <w:rsid w:val="7D610FE3"/>
    <w:rsid w:val="7D7615F3"/>
    <w:rsid w:val="7D972197"/>
    <w:rsid w:val="7DA35FE5"/>
    <w:rsid w:val="7DA85D34"/>
    <w:rsid w:val="7DCB3587"/>
    <w:rsid w:val="7DF52E56"/>
    <w:rsid w:val="7DFBB829"/>
    <w:rsid w:val="7E012D80"/>
    <w:rsid w:val="7E0F57CE"/>
    <w:rsid w:val="7E1606A4"/>
    <w:rsid w:val="7E245C75"/>
    <w:rsid w:val="7E491E94"/>
    <w:rsid w:val="7E6E2F30"/>
    <w:rsid w:val="7E83616A"/>
    <w:rsid w:val="7EA05DC5"/>
    <w:rsid w:val="7EB74314"/>
    <w:rsid w:val="7EBF781F"/>
    <w:rsid w:val="7ECF6151"/>
    <w:rsid w:val="7EEF3F40"/>
    <w:rsid w:val="7F052634"/>
    <w:rsid w:val="7F20004B"/>
    <w:rsid w:val="7F213928"/>
    <w:rsid w:val="7F2E18C4"/>
    <w:rsid w:val="7F4F3858"/>
    <w:rsid w:val="7F594883"/>
    <w:rsid w:val="7F68256A"/>
    <w:rsid w:val="7F733103"/>
    <w:rsid w:val="7F733F00"/>
    <w:rsid w:val="7F8C7F66"/>
    <w:rsid w:val="7FA95426"/>
    <w:rsid w:val="7FBB2E67"/>
    <w:rsid w:val="7FBC1331"/>
    <w:rsid w:val="7FD642A9"/>
    <w:rsid w:val="7FD8234F"/>
    <w:rsid w:val="7FDF26DD"/>
    <w:rsid w:val="7FE04C69"/>
    <w:rsid w:val="9FDDD62A"/>
    <w:rsid w:val="DEFFC6C8"/>
    <w:rsid w:val="E2DDB5BA"/>
    <w:rsid w:val="FB37CCDE"/>
    <w:rsid w:val="FDFF3FB4"/>
    <w:rsid w:val="FEFBE0E3"/>
    <w:rsid w:val="FFEFD469"/>
    <w:rsid w:val="FFFF0DA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9"/>
    <w:pPr>
      <w:widowControl/>
      <w:spacing w:before="100" w:beforeAutospacing="1" w:after="100" w:afterAutospacing="1"/>
      <w:jc w:val="left"/>
      <w:outlineLvl w:val="0"/>
    </w:pPr>
    <w:rPr>
      <w:rFonts w:ascii="宋体" w:hAnsi="宋体"/>
      <w:b/>
      <w:bCs/>
      <w:kern w:val="36"/>
      <w:sz w:val="48"/>
      <w:szCs w:val="48"/>
    </w:rPr>
  </w:style>
  <w:style w:type="paragraph" w:styleId="3">
    <w:name w:val="heading 2"/>
    <w:basedOn w:val="1"/>
    <w:next w:val="1"/>
    <w:link w:val="48"/>
    <w:qFormat/>
    <w:uiPriority w:val="0"/>
    <w:pPr>
      <w:keepNext/>
      <w:keepLines/>
      <w:spacing w:before="260" w:after="260" w:line="416" w:lineRule="auto"/>
      <w:outlineLvl w:val="1"/>
    </w:pPr>
    <w:rPr>
      <w:rFonts w:ascii="Cambria" w:hAnsi="Cambria"/>
      <w:b/>
      <w:bCs/>
      <w:sz w:val="32"/>
      <w:szCs w:val="32"/>
    </w:rPr>
  </w:style>
  <w:style w:type="paragraph" w:styleId="4">
    <w:name w:val="heading 4"/>
    <w:basedOn w:val="1"/>
    <w:next w:val="1"/>
    <w:autoRedefine/>
    <w:semiHidden/>
    <w:unhideWhenUsed/>
    <w:qFormat/>
    <w:uiPriority w:val="0"/>
    <w:pPr>
      <w:spacing w:beforeAutospacing="1" w:afterAutospacing="1"/>
      <w:jc w:val="left"/>
      <w:outlineLvl w:val="3"/>
    </w:pPr>
    <w:rPr>
      <w:rFonts w:hint="eastAsia" w:ascii="宋体" w:hAnsi="宋体"/>
      <w:b/>
      <w:bCs/>
      <w:kern w:val="0"/>
      <w:sz w:val="24"/>
    </w:rPr>
  </w:style>
  <w:style w:type="character" w:default="1" w:styleId="38">
    <w:name w:val="Default Paragraph Font"/>
    <w:autoRedefine/>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autoRedefine/>
    <w:semiHidden/>
    <w:qFormat/>
    <w:uiPriority w:val="0"/>
    <w:pPr>
      <w:tabs>
        <w:tab w:val="right" w:leader="dot" w:pos="9241"/>
      </w:tabs>
      <w:ind w:firstLine="505" w:firstLineChars="500"/>
      <w:jc w:val="left"/>
    </w:pPr>
    <w:rPr>
      <w:rFonts w:ascii="宋体"/>
      <w:szCs w:val="21"/>
    </w:rPr>
  </w:style>
  <w:style w:type="paragraph" w:styleId="6">
    <w:name w:val="index 8"/>
    <w:basedOn w:val="1"/>
    <w:next w:val="1"/>
    <w:autoRedefine/>
    <w:qFormat/>
    <w:uiPriority w:val="0"/>
    <w:pPr>
      <w:ind w:left="1680" w:hanging="210"/>
      <w:jc w:val="left"/>
    </w:pPr>
    <w:rPr>
      <w:rFonts w:ascii="Calibri" w:hAnsi="Calibri"/>
      <w:sz w:val="20"/>
      <w:szCs w:val="20"/>
    </w:rPr>
  </w:style>
  <w:style w:type="paragraph" w:styleId="7">
    <w:name w:val="caption"/>
    <w:basedOn w:val="1"/>
    <w:next w:val="1"/>
    <w:autoRedefine/>
    <w:qFormat/>
    <w:uiPriority w:val="0"/>
    <w:pPr>
      <w:spacing w:before="152" w:after="160"/>
    </w:pPr>
    <w:rPr>
      <w:rFonts w:ascii="Arial" w:hAnsi="Arial" w:eastAsia="黑体" w:cs="Arial"/>
      <w:sz w:val="20"/>
      <w:szCs w:val="20"/>
    </w:rPr>
  </w:style>
  <w:style w:type="paragraph" w:styleId="8">
    <w:name w:val="index 5"/>
    <w:basedOn w:val="1"/>
    <w:next w:val="1"/>
    <w:autoRedefine/>
    <w:qFormat/>
    <w:uiPriority w:val="0"/>
    <w:pPr>
      <w:ind w:left="1050" w:hanging="210"/>
      <w:jc w:val="left"/>
    </w:pPr>
    <w:rPr>
      <w:rFonts w:ascii="Calibri" w:hAnsi="Calibri"/>
      <w:sz w:val="20"/>
      <w:szCs w:val="20"/>
    </w:rPr>
  </w:style>
  <w:style w:type="paragraph" w:styleId="9">
    <w:name w:val="Document Map"/>
    <w:basedOn w:val="1"/>
    <w:autoRedefine/>
    <w:semiHidden/>
    <w:qFormat/>
    <w:uiPriority w:val="0"/>
    <w:pPr>
      <w:shd w:val="clear" w:color="auto" w:fill="000080"/>
    </w:pPr>
  </w:style>
  <w:style w:type="paragraph" w:styleId="10">
    <w:name w:val="annotation text"/>
    <w:basedOn w:val="1"/>
    <w:autoRedefine/>
    <w:qFormat/>
    <w:uiPriority w:val="0"/>
    <w:pPr>
      <w:jc w:val="left"/>
    </w:pPr>
  </w:style>
  <w:style w:type="paragraph" w:styleId="11">
    <w:name w:val="index 6"/>
    <w:basedOn w:val="1"/>
    <w:next w:val="1"/>
    <w:autoRedefine/>
    <w:qFormat/>
    <w:uiPriority w:val="0"/>
    <w:pPr>
      <w:ind w:left="1260" w:hanging="210"/>
      <w:jc w:val="left"/>
    </w:pPr>
    <w:rPr>
      <w:rFonts w:ascii="Calibri" w:hAnsi="Calibri"/>
      <w:sz w:val="20"/>
      <w:szCs w:val="20"/>
    </w:rPr>
  </w:style>
  <w:style w:type="paragraph" w:styleId="12">
    <w:name w:val="Body Text"/>
    <w:basedOn w:val="1"/>
    <w:autoRedefine/>
    <w:unhideWhenUsed/>
    <w:qFormat/>
    <w:uiPriority w:val="1"/>
    <w:pPr>
      <w:spacing w:after="120"/>
    </w:pPr>
  </w:style>
  <w:style w:type="paragraph" w:styleId="13">
    <w:name w:val="index 4"/>
    <w:basedOn w:val="1"/>
    <w:next w:val="1"/>
    <w:autoRedefine/>
    <w:qFormat/>
    <w:uiPriority w:val="0"/>
    <w:pPr>
      <w:ind w:left="840" w:hanging="210"/>
      <w:jc w:val="left"/>
    </w:pPr>
    <w:rPr>
      <w:rFonts w:ascii="Calibri" w:hAnsi="Calibri"/>
      <w:sz w:val="20"/>
      <w:szCs w:val="20"/>
    </w:rPr>
  </w:style>
  <w:style w:type="paragraph" w:styleId="14">
    <w:name w:val="toc 5"/>
    <w:basedOn w:val="1"/>
    <w:next w:val="1"/>
    <w:autoRedefine/>
    <w:semiHidden/>
    <w:qFormat/>
    <w:uiPriority w:val="0"/>
    <w:pPr>
      <w:tabs>
        <w:tab w:val="right" w:leader="dot" w:pos="9241"/>
      </w:tabs>
      <w:ind w:firstLine="300" w:firstLineChars="300"/>
      <w:jc w:val="left"/>
    </w:pPr>
    <w:rPr>
      <w:rFonts w:ascii="宋体"/>
      <w:szCs w:val="21"/>
    </w:rPr>
  </w:style>
  <w:style w:type="paragraph" w:styleId="15">
    <w:name w:val="toc 3"/>
    <w:basedOn w:val="1"/>
    <w:next w:val="1"/>
    <w:autoRedefine/>
    <w:semiHidden/>
    <w:qFormat/>
    <w:uiPriority w:val="0"/>
    <w:pPr>
      <w:tabs>
        <w:tab w:val="right" w:leader="dot" w:pos="9241"/>
      </w:tabs>
      <w:ind w:firstLine="102" w:firstLineChars="100"/>
      <w:jc w:val="left"/>
    </w:pPr>
    <w:rPr>
      <w:rFonts w:ascii="宋体"/>
      <w:szCs w:val="21"/>
    </w:rPr>
  </w:style>
  <w:style w:type="paragraph" w:styleId="16">
    <w:name w:val="toc 8"/>
    <w:basedOn w:val="1"/>
    <w:next w:val="1"/>
    <w:autoRedefine/>
    <w:semiHidden/>
    <w:qFormat/>
    <w:uiPriority w:val="0"/>
    <w:pPr>
      <w:tabs>
        <w:tab w:val="right" w:leader="dot" w:pos="9241"/>
      </w:tabs>
      <w:ind w:firstLine="607" w:firstLineChars="600"/>
      <w:jc w:val="left"/>
    </w:pPr>
    <w:rPr>
      <w:rFonts w:ascii="宋体"/>
      <w:szCs w:val="21"/>
    </w:rPr>
  </w:style>
  <w:style w:type="paragraph" w:styleId="17">
    <w:name w:val="index 3"/>
    <w:basedOn w:val="1"/>
    <w:next w:val="1"/>
    <w:autoRedefine/>
    <w:qFormat/>
    <w:uiPriority w:val="0"/>
    <w:pPr>
      <w:ind w:left="630" w:hanging="210"/>
      <w:jc w:val="left"/>
    </w:pPr>
    <w:rPr>
      <w:rFonts w:ascii="Calibri" w:hAnsi="Calibri"/>
      <w:sz w:val="20"/>
      <w:szCs w:val="20"/>
    </w:rPr>
  </w:style>
  <w:style w:type="paragraph" w:styleId="18">
    <w:name w:val="Date"/>
    <w:basedOn w:val="1"/>
    <w:next w:val="1"/>
    <w:link w:val="50"/>
    <w:autoRedefine/>
    <w:qFormat/>
    <w:uiPriority w:val="0"/>
    <w:pPr>
      <w:ind w:left="100" w:leftChars="2500"/>
    </w:pPr>
  </w:style>
  <w:style w:type="paragraph" w:styleId="19">
    <w:name w:val="endnote text"/>
    <w:basedOn w:val="1"/>
    <w:autoRedefine/>
    <w:semiHidden/>
    <w:qFormat/>
    <w:uiPriority w:val="0"/>
    <w:pPr>
      <w:snapToGrid w:val="0"/>
      <w:jc w:val="left"/>
    </w:pPr>
  </w:style>
  <w:style w:type="paragraph" w:styleId="20">
    <w:name w:val="footer"/>
    <w:basedOn w:val="1"/>
    <w:autoRedefine/>
    <w:qFormat/>
    <w:uiPriority w:val="0"/>
    <w:pPr>
      <w:snapToGrid w:val="0"/>
      <w:ind w:right="210" w:rightChars="100"/>
      <w:jc w:val="right"/>
    </w:pPr>
    <w:rPr>
      <w:sz w:val="18"/>
      <w:szCs w:val="18"/>
    </w:rPr>
  </w:style>
  <w:style w:type="paragraph" w:styleId="21">
    <w:name w:val="header"/>
    <w:basedOn w:val="1"/>
    <w:autoRedefine/>
    <w:qFormat/>
    <w:uiPriority w:val="0"/>
    <w:pPr>
      <w:snapToGrid w:val="0"/>
      <w:jc w:val="left"/>
    </w:pPr>
    <w:rPr>
      <w:sz w:val="18"/>
      <w:szCs w:val="18"/>
    </w:rPr>
  </w:style>
  <w:style w:type="paragraph" w:styleId="22">
    <w:name w:val="toc 1"/>
    <w:basedOn w:val="1"/>
    <w:next w:val="1"/>
    <w:autoRedefine/>
    <w:qFormat/>
    <w:uiPriority w:val="39"/>
    <w:pPr>
      <w:tabs>
        <w:tab w:val="right" w:leader="dot" w:pos="9241"/>
      </w:tabs>
      <w:spacing w:before="25" w:beforeLines="25" w:after="25" w:afterLines="25"/>
      <w:jc w:val="left"/>
    </w:pPr>
    <w:rPr>
      <w:rFonts w:ascii="宋体"/>
      <w:szCs w:val="21"/>
    </w:rPr>
  </w:style>
  <w:style w:type="paragraph" w:styleId="23">
    <w:name w:val="toc 4"/>
    <w:basedOn w:val="1"/>
    <w:next w:val="1"/>
    <w:autoRedefine/>
    <w:semiHidden/>
    <w:qFormat/>
    <w:uiPriority w:val="0"/>
    <w:pPr>
      <w:tabs>
        <w:tab w:val="right" w:leader="dot" w:pos="9241"/>
      </w:tabs>
      <w:ind w:firstLine="198" w:firstLineChars="200"/>
      <w:jc w:val="left"/>
    </w:pPr>
    <w:rPr>
      <w:rFonts w:ascii="宋体"/>
      <w:szCs w:val="21"/>
    </w:rPr>
  </w:style>
  <w:style w:type="paragraph" w:styleId="24">
    <w:name w:val="index heading"/>
    <w:basedOn w:val="1"/>
    <w:next w:val="25"/>
    <w:autoRedefine/>
    <w:qFormat/>
    <w:uiPriority w:val="0"/>
    <w:pPr>
      <w:spacing w:before="120" w:after="120"/>
      <w:jc w:val="center"/>
    </w:pPr>
    <w:rPr>
      <w:rFonts w:ascii="Calibri" w:hAnsi="Calibri"/>
      <w:b/>
      <w:bCs/>
      <w:iCs/>
      <w:szCs w:val="20"/>
    </w:rPr>
  </w:style>
  <w:style w:type="paragraph" w:styleId="25">
    <w:name w:val="index 1"/>
    <w:basedOn w:val="1"/>
    <w:next w:val="26"/>
    <w:autoRedefine/>
    <w:qFormat/>
    <w:uiPriority w:val="0"/>
    <w:pPr>
      <w:tabs>
        <w:tab w:val="right" w:leader="dot" w:pos="9299"/>
      </w:tabs>
      <w:jc w:val="left"/>
    </w:pPr>
    <w:rPr>
      <w:rFonts w:ascii="宋体"/>
      <w:szCs w:val="21"/>
    </w:rPr>
  </w:style>
  <w:style w:type="paragraph" w:customStyle="1" w:styleId="26">
    <w:name w:val="段"/>
    <w:link w:val="51"/>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27">
    <w:name w:val="footnote text"/>
    <w:basedOn w:val="1"/>
    <w:autoRedefine/>
    <w:qFormat/>
    <w:uiPriority w:val="0"/>
    <w:pPr>
      <w:numPr>
        <w:ilvl w:val="0"/>
        <w:numId w:val="1"/>
      </w:numPr>
      <w:snapToGrid w:val="0"/>
      <w:jc w:val="left"/>
    </w:pPr>
    <w:rPr>
      <w:rFonts w:ascii="宋体"/>
      <w:sz w:val="18"/>
      <w:szCs w:val="18"/>
    </w:rPr>
  </w:style>
  <w:style w:type="paragraph" w:styleId="28">
    <w:name w:val="toc 6"/>
    <w:basedOn w:val="1"/>
    <w:next w:val="1"/>
    <w:autoRedefine/>
    <w:semiHidden/>
    <w:qFormat/>
    <w:uiPriority w:val="0"/>
    <w:pPr>
      <w:tabs>
        <w:tab w:val="right" w:leader="dot" w:pos="9241"/>
      </w:tabs>
      <w:ind w:firstLine="403" w:firstLineChars="400"/>
      <w:jc w:val="left"/>
    </w:pPr>
    <w:rPr>
      <w:rFonts w:ascii="宋体"/>
      <w:szCs w:val="21"/>
    </w:rPr>
  </w:style>
  <w:style w:type="paragraph" w:styleId="29">
    <w:name w:val="index 7"/>
    <w:basedOn w:val="1"/>
    <w:next w:val="1"/>
    <w:autoRedefine/>
    <w:qFormat/>
    <w:uiPriority w:val="0"/>
    <w:pPr>
      <w:ind w:left="1470" w:hanging="210"/>
      <w:jc w:val="left"/>
    </w:pPr>
    <w:rPr>
      <w:rFonts w:ascii="Calibri" w:hAnsi="Calibri"/>
      <w:sz w:val="20"/>
      <w:szCs w:val="20"/>
    </w:rPr>
  </w:style>
  <w:style w:type="paragraph" w:styleId="30">
    <w:name w:val="index 9"/>
    <w:basedOn w:val="1"/>
    <w:next w:val="1"/>
    <w:autoRedefine/>
    <w:qFormat/>
    <w:uiPriority w:val="0"/>
    <w:pPr>
      <w:ind w:left="1890" w:hanging="210"/>
      <w:jc w:val="left"/>
    </w:pPr>
    <w:rPr>
      <w:rFonts w:ascii="Calibri" w:hAnsi="Calibri"/>
      <w:sz w:val="20"/>
      <w:szCs w:val="20"/>
    </w:rPr>
  </w:style>
  <w:style w:type="paragraph" w:styleId="31">
    <w:name w:val="toc 2"/>
    <w:basedOn w:val="1"/>
    <w:next w:val="1"/>
    <w:autoRedefine/>
    <w:semiHidden/>
    <w:qFormat/>
    <w:uiPriority w:val="0"/>
    <w:pPr>
      <w:tabs>
        <w:tab w:val="right" w:leader="dot" w:pos="9241"/>
      </w:tabs>
    </w:pPr>
    <w:rPr>
      <w:rFonts w:ascii="宋体"/>
      <w:szCs w:val="21"/>
    </w:rPr>
  </w:style>
  <w:style w:type="paragraph" w:styleId="32">
    <w:name w:val="toc 9"/>
    <w:basedOn w:val="1"/>
    <w:next w:val="1"/>
    <w:autoRedefine/>
    <w:semiHidden/>
    <w:qFormat/>
    <w:uiPriority w:val="0"/>
    <w:pPr>
      <w:ind w:left="1470"/>
      <w:jc w:val="left"/>
    </w:pPr>
    <w:rPr>
      <w:sz w:val="20"/>
      <w:szCs w:val="20"/>
    </w:rPr>
  </w:style>
  <w:style w:type="paragraph" w:styleId="33">
    <w:name w:val="Normal (Web)"/>
    <w:basedOn w:val="1"/>
    <w:autoRedefine/>
    <w:qFormat/>
    <w:uiPriority w:val="0"/>
    <w:pPr>
      <w:spacing w:before="100" w:beforeAutospacing="1" w:after="100" w:afterAutospacing="1"/>
      <w:jc w:val="left"/>
    </w:pPr>
    <w:rPr>
      <w:kern w:val="0"/>
      <w:sz w:val="24"/>
    </w:rPr>
  </w:style>
  <w:style w:type="paragraph" w:styleId="34">
    <w:name w:val="index 2"/>
    <w:basedOn w:val="1"/>
    <w:next w:val="1"/>
    <w:autoRedefine/>
    <w:qFormat/>
    <w:uiPriority w:val="0"/>
    <w:pPr>
      <w:ind w:left="420" w:hanging="210"/>
      <w:jc w:val="left"/>
    </w:pPr>
    <w:rPr>
      <w:rFonts w:ascii="Calibri" w:hAnsi="Calibri"/>
      <w:sz w:val="20"/>
      <w:szCs w:val="20"/>
    </w:rPr>
  </w:style>
  <w:style w:type="paragraph" w:styleId="35">
    <w:name w:val="Body Text First Indent"/>
    <w:basedOn w:val="12"/>
    <w:autoRedefine/>
    <w:semiHidden/>
    <w:unhideWhenUsed/>
    <w:qFormat/>
    <w:uiPriority w:val="99"/>
    <w:pPr>
      <w:ind w:firstLine="420" w:firstLineChars="100"/>
    </w:pPr>
  </w:style>
  <w:style w:type="table" w:styleId="37">
    <w:name w:val="Table Grid"/>
    <w:basedOn w:val="36"/>
    <w:autoRedefine/>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9">
    <w:name w:val="Strong"/>
    <w:basedOn w:val="38"/>
    <w:autoRedefine/>
    <w:qFormat/>
    <w:uiPriority w:val="0"/>
    <w:rPr>
      <w:b/>
    </w:rPr>
  </w:style>
  <w:style w:type="character" w:styleId="40">
    <w:name w:val="endnote reference"/>
    <w:autoRedefine/>
    <w:semiHidden/>
    <w:qFormat/>
    <w:uiPriority w:val="0"/>
    <w:rPr>
      <w:vertAlign w:val="superscript"/>
    </w:rPr>
  </w:style>
  <w:style w:type="character" w:styleId="41">
    <w:name w:val="page number"/>
    <w:autoRedefine/>
    <w:qFormat/>
    <w:uiPriority w:val="0"/>
    <w:rPr>
      <w:rFonts w:ascii="Times New Roman" w:hAnsi="Times New Roman" w:eastAsia="宋体"/>
      <w:sz w:val="18"/>
    </w:rPr>
  </w:style>
  <w:style w:type="character" w:styleId="42">
    <w:name w:val="FollowedHyperlink"/>
    <w:autoRedefine/>
    <w:qFormat/>
    <w:uiPriority w:val="0"/>
    <w:rPr>
      <w:color w:val="800080"/>
      <w:u w:val="single"/>
    </w:rPr>
  </w:style>
  <w:style w:type="character" w:styleId="43">
    <w:name w:val="Emphasis"/>
    <w:autoRedefine/>
    <w:qFormat/>
    <w:uiPriority w:val="20"/>
    <w:rPr>
      <w:i/>
      <w:iCs/>
    </w:rPr>
  </w:style>
  <w:style w:type="character" w:styleId="44">
    <w:name w:val="Hyperlink"/>
    <w:autoRedefine/>
    <w:qFormat/>
    <w:uiPriority w:val="99"/>
    <w:rPr>
      <w:color w:val="0000FF"/>
      <w:spacing w:val="0"/>
      <w:w w:val="100"/>
      <w:szCs w:val="21"/>
      <w:u w:val="single"/>
    </w:rPr>
  </w:style>
  <w:style w:type="character" w:styleId="45">
    <w:name w:val="annotation reference"/>
    <w:basedOn w:val="38"/>
    <w:autoRedefine/>
    <w:qFormat/>
    <w:uiPriority w:val="0"/>
    <w:rPr>
      <w:sz w:val="21"/>
      <w:szCs w:val="21"/>
    </w:rPr>
  </w:style>
  <w:style w:type="character" w:styleId="46">
    <w:name w:val="footnote reference"/>
    <w:autoRedefine/>
    <w:semiHidden/>
    <w:qFormat/>
    <w:uiPriority w:val="0"/>
    <w:rPr>
      <w:vertAlign w:val="superscript"/>
    </w:rPr>
  </w:style>
  <w:style w:type="paragraph" w:customStyle="1" w:styleId="47">
    <w:name w:val="Default"/>
    <w:autoRedefine/>
    <w:qFormat/>
    <w:uiPriority w:val="0"/>
    <w:pPr>
      <w:widowControl w:val="0"/>
      <w:autoSpaceDE w:val="0"/>
      <w:autoSpaceDN w:val="0"/>
      <w:adjustRightInd w:val="0"/>
    </w:pPr>
    <w:rPr>
      <w:rFonts w:ascii="宋体_x000B_....." w:hAnsi="Times New Roman" w:eastAsia="宋体_x000B_....." w:cs="宋体_x000B_....."/>
      <w:color w:val="000000"/>
      <w:sz w:val="24"/>
      <w:szCs w:val="24"/>
      <w:lang w:val="en-US" w:eastAsia="zh-CN" w:bidi="ar-SA"/>
    </w:rPr>
  </w:style>
  <w:style w:type="character" w:customStyle="1" w:styleId="48">
    <w:name w:val="标题 2 字符"/>
    <w:basedOn w:val="38"/>
    <w:link w:val="3"/>
    <w:autoRedefine/>
    <w:semiHidden/>
    <w:qFormat/>
    <w:uiPriority w:val="0"/>
    <w:rPr>
      <w:rFonts w:ascii="Cambria" w:hAnsi="Cambria" w:eastAsia="宋体" w:cs="Times New Roman"/>
      <w:b/>
      <w:bCs/>
      <w:kern w:val="2"/>
      <w:sz w:val="32"/>
      <w:szCs w:val="32"/>
    </w:rPr>
  </w:style>
  <w:style w:type="character" w:customStyle="1" w:styleId="49">
    <w:name w:val="标题 1 字符"/>
    <w:link w:val="2"/>
    <w:autoRedefine/>
    <w:qFormat/>
    <w:uiPriority w:val="9"/>
    <w:rPr>
      <w:rFonts w:ascii="宋体" w:hAnsi="宋体" w:cs="宋体"/>
      <w:b/>
      <w:bCs/>
      <w:kern w:val="36"/>
      <w:sz w:val="48"/>
      <w:szCs w:val="48"/>
    </w:rPr>
  </w:style>
  <w:style w:type="character" w:customStyle="1" w:styleId="50">
    <w:name w:val="日期 字符"/>
    <w:basedOn w:val="38"/>
    <w:link w:val="18"/>
    <w:autoRedefine/>
    <w:qFormat/>
    <w:uiPriority w:val="0"/>
    <w:rPr>
      <w:kern w:val="2"/>
      <w:sz w:val="21"/>
      <w:szCs w:val="24"/>
    </w:rPr>
  </w:style>
  <w:style w:type="character" w:customStyle="1" w:styleId="51">
    <w:name w:val="段 Char"/>
    <w:link w:val="26"/>
    <w:autoRedefine/>
    <w:qFormat/>
    <w:uiPriority w:val="0"/>
    <w:rPr>
      <w:rFonts w:ascii="宋体"/>
      <w:sz w:val="21"/>
      <w:lang w:val="en-US" w:eastAsia="zh-CN" w:bidi="ar-SA"/>
    </w:rPr>
  </w:style>
  <w:style w:type="character" w:customStyle="1" w:styleId="52">
    <w:name w:val="首示例 Char"/>
    <w:link w:val="53"/>
    <w:autoRedefine/>
    <w:qFormat/>
    <w:uiPriority w:val="0"/>
    <w:rPr>
      <w:rFonts w:ascii="宋体" w:hAnsi="宋体"/>
      <w:kern w:val="2"/>
      <w:sz w:val="18"/>
      <w:szCs w:val="18"/>
      <w:lang w:val="en-US" w:eastAsia="zh-CN" w:bidi="ar-SA"/>
    </w:rPr>
  </w:style>
  <w:style w:type="paragraph" w:customStyle="1" w:styleId="53">
    <w:name w:val="首示例"/>
    <w:next w:val="26"/>
    <w:link w:val="52"/>
    <w:autoRedefine/>
    <w:qFormat/>
    <w:uiPriority w:val="0"/>
    <w:pPr>
      <w:numPr>
        <w:ilvl w:val="0"/>
        <w:numId w:val="2"/>
      </w:numPr>
      <w:tabs>
        <w:tab w:val="left" w:pos="360"/>
      </w:tabs>
      <w:ind w:firstLine="0"/>
    </w:pPr>
    <w:rPr>
      <w:rFonts w:ascii="宋体" w:hAnsi="宋体" w:eastAsia="宋体" w:cs="Times New Roman"/>
      <w:kern w:val="2"/>
      <w:sz w:val="18"/>
      <w:szCs w:val="18"/>
      <w:lang w:val="en-US" w:eastAsia="zh-CN" w:bidi="ar-SA"/>
    </w:rPr>
  </w:style>
  <w:style w:type="character" w:customStyle="1" w:styleId="54">
    <w:name w:val="发布"/>
    <w:autoRedefine/>
    <w:qFormat/>
    <w:uiPriority w:val="0"/>
    <w:rPr>
      <w:rFonts w:ascii="黑体" w:eastAsia="黑体"/>
      <w:spacing w:val="85"/>
      <w:w w:val="100"/>
      <w:position w:val="3"/>
      <w:sz w:val="28"/>
      <w:szCs w:val="28"/>
    </w:rPr>
  </w:style>
  <w:style w:type="character" w:customStyle="1" w:styleId="55">
    <w:name w:val="apple-converted-space"/>
    <w:basedOn w:val="38"/>
    <w:autoRedefine/>
    <w:qFormat/>
    <w:uiPriority w:val="0"/>
  </w:style>
  <w:style w:type="character" w:customStyle="1" w:styleId="56">
    <w:name w:val="附录公式 Char"/>
    <w:basedOn w:val="51"/>
    <w:link w:val="57"/>
    <w:autoRedefine/>
    <w:qFormat/>
    <w:uiPriority w:val="0"/>
    <w:rPr>
      <w:rFonts w:ascii="宋体"/>
      <w:sz w:val="21"/>
      <w:lang w:val="en-US" w:eastAsia="zh-CN" w:bidi="ar-SA"/>
    </w:rPr>
  </w:style>
  <w:style w:type="paragraph" w:customStyle="1" w:styleId="57">
    <w:name w:val="附录公式"/>
    <w:basedOn w:val="26"/>
    <w:next w:val="26"/>
    <w:link w:val="56"/>
    <w:autoRedefine/>
    <w:qFormat/>
    <w:uiPriority w:val="0"/>
  </w:style>
  <w:style w:type="paragraph" w:customStyle="1" w:styleId="58">
    <w:name w:val="终结线"/>
    <w:basedOn w:val="1"/>
    <w:autoRedefine/>
    <w:qFormat/>
    <w:uiPriority w:val="0"/>
    <w:pPr>
      <w:framePr w:hSpace="181" w:vSpace="181" w:wrap="around" w:vAnchor="text" w:hAnchor="margin" w:xAlign="center" w:y="285"/>
    </w:pPr>
  </w:style>
  <w:style w:type="paragraph" w:customStyle="1" w:styleId="59">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60">
    <w:name w:val="示例后文字"/>
    <w:basedOn w:val="26"/>
    <w:next w:val="26"/>
    <w:autoRedefine/>
    <w:qFormat/>
    <w:uiPriority w:val="0"/>
    <w:pPr>
      <w:ind w:firstLine="360"/>
    </w:pPr>
    <w:rPr>
      <w:sz w:val="18"/>
    </w:rPr>
  </w:style>
  <w:style w:type="paragraph" w:customStyle="1" w:styleId="61">
    <w:name w:val="附录图标题"/>
    <w:basedOn w:val="1"/>
    <w:next w:val="26"/>
    <w:autoRedefine/>
    <w:qFormat/>
    <w:uiPriority w:val="0"/>
    <w:pPr>
      <w:numPr>
        <w:ilvl w:val="1"/>
        <w:numId w:val="3"/>
      </w:numPr>
      <w:tabs>
        <w:tab w:val="left" w:pos="363"/>
      </w:tabs>
      <w:spacing w:before="50" w:beforeLines="50" w:after="50" w:afterLines="50"/>
      <w:ind w:left="0" w:firstLine="0"/>
      <w:jc w:val="center"/>
    </w:pPr>
    <w:rPr>
      <w:rFonts w:ascii="黑体" w:eastAsia="黑体"/>
      <w:szCs w:val="21"/>
    </w:rPr>
  </w:style>
  <w:style w:type="paragraph" w:customStyle="1" w:styleId="62">
    <w:name w:val="封面一致性程度标识"/>
    <w:basedOn w:val="63"/>
    <w:autoRedefine/>
    <w:qFormat/>
    <w:uiPriority w:val="0"/>
    <w:pPr>
      <w:framePr w:wrap="around"/>
      <w:spacing w:before="440"/>
    </w:pPr>
    <w:rPr>
      <w:rFonts w:ascii="宋体" w:eastAsia="宋体"/>
    </w:rPr>
  </w:style>
  <w:style w:type="paragraph" w:customStyle="1" w:styleId="63">
    <w:name w:val="封面标准英文名称"/>
    <w:basedOn w:val="64"/>
    <w:autoRedefine/>
    <w:qFormat/>
    <w:uiPriority w:val="0"/>
    <w:pPr>
      <w:framePr w:wrap="around"/>
      <w:spacing w:before="370" w:line="400" w:lineRule="exact"/>
    </w:pPr>
    <w:rPr>
      <w:rFonts w:ascii="Times New Roman"/>
      <w:sz w:val="28"/>
      <w:szCs w:val="28"/>
    </w:rPr>
  </w:style>
  <w:style w:type="paragraph" w:customStyle="1" w:styleId="64">
    <w:name w:val="封面标准名称"/>
    <w:autoRedefine/>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65">
    <w:name w:val="封面标准代替信息"/>
    <w:autoRedefine/>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66">
    <w:name w:val="字母编号列项（一级）"/>
    <w:autoRedefine/>
    <w:qFormat/>
    <w:uiPriority w:val="0"/>
    <w:pPr>
      <w:numPr>
        <w:ilvl w:val="0"/>
        <w:numId w:val="4"/>
      </w:numPr>
      <w:jc w:val="both"/>
    </w:pPr>
    <w:rPr>
      <w:rFonts w:ascii="宋体" w:hAnsi="Times New Roman" w:eastAsia="宋体" w:cs="Times New Roman"/>
      <w:sz w:val="21"/>
      <w:lang w:val="en-US" w:eastAsia="zh-CN" w:bidi="ar-SA"/>
    </w:rPr>
  </w:style>
  <w:style w:type="paragraph" w:customStyle="1" w:styleId="67">
    <w:name w:val="列项说明"/>
    <w:basedOn w:val="1"/>
    <w:autoRedefine/>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68">
    <w:name w:val="注：（正文）"/>
    <w:basedOn w:val="69"/>
    <w:next w:val="26"/>
    <w:autoRedefine/>
    <w:qFormat/>
    <w:uiPriority w:val="0"/>
    <w:pPr>
      <w:numPr>
        <w:ilvl w:val="0"/>
        <w:numId w:val="5"/>
      </w:numPr>
    </w:pPr>
  </w:style>
  <w:style w:type="paragraph" w:customStyle="1" w:styleId="69">
    <w:name w:val="注："/>
    <w:next w:val="26"/>
    <w:autoRedefine/>
    <w:qFormat/>
    <w:uiPriority w:val="0"/>
    <w:pPr>
      <w:widowControl w:val="0"/>
      <w:numPr>
        <w:ilvl w:val="0"/>
        <w:numId w:val="6"/>
      </w:numPr>
      <w:autoSpaceDE w:val="0"/>
      <w:autoSpaceDN w:val="0"/>
      <w:ind w:left="726"/>
      <w:jc w:val="both"/>
    </w:pPr>
    <w:rPr>
      <w:rFonts w:ascii="宋体" w:hAnsi="Times New Roman" w:eastAsia="宋体" w:cs="Times New Roman"/>
      <w:sz w:val="18"/>
      <w:szCs w:val="18"/>
      <w:lang w:val="en-US" w:eastAsia="zh-CN" w:bidi="ar-SA"/>
    </w:rPr>
  </w:style>
  <w:style w:type="paragraph" w:customStyle="1" w:styleId="70">
    <w:name w:val="附录五级条标题"/>
    <w:basedOn w:val="71"/>
    <w:next w:val="26"/>
    <w:autoRedefine/>
    <w:qFormat/>
    <w:uiPriority w:val="0"/>
    <w:pPr>
      <w:numPr>
        <w:ilvl w:val="6"/>
      </w:numPr>
      <w:tabs>
        <w:tab w:val="left" w:pos="360"/>
      </w:tabs>
      <w:outlineLvl w:val="6"/>
    </w:pPr>
  </w:style>
  <w:style w:type="paragraph" w:customStyle="1" w:styleId="71">
    <w:name w:val="附录四级条标题"/>
    <w:basedOn w:val="72"/>
    <w:next w:val="26"/>
    <w:autoRedefine/>
    <w:qFormat/>
    <w:uiPriority w:val="0"/>
    <w:pPr>
      <w:numPr>
        <w:ilvl w:val="5"/>
      </w:numPr>
      <w:tabs>
        <w:tab w:val="left" w:pos="360"/>
      </w:tabs>
      <w:outlineLvl w:val="5"/>
    </w:pPr>
  </w:style>
  <w:style w:type="paragraph" w:customStyle="1" w:styleId="72">
    <w:name w:val="附录三级条标题"/>
    <w:basedOn w:val="73"/>
    <w:next w:val="26"/>
    <w:autoRedefine/>
    <w:qFormat/>
    <w:uiPriority w:val="0"/>
    <w:pPr>
      <w:numPr>
        <w:ilvl w:val="4"/>
      </w:numPr>
      <w:tabs>
        <w:tab w:val="left" w:pos="360"/>
      </w:tabs>
      <w:outlineLvl w:val="4"/>
    </w:pPr>
  </w:style>
  <w:style w:type="paragraph" w:customStyle="1" w:styleId="73">
    <w:name w:val="附录二级条标题"/>
    <w:basedOn w:val="1"/>
    <w:next w:val="26"/>
    <w:autoRedefine/>
    <w:qFormat/>
    <w:uiPriority w:val="0"/>
    <w:pPr>
      <w:widowControl/>
      <w:numPr>
        <w:ilvl w:val="3"/>
        <w:numId w:val="7"/>
      </w:numPr>
      <w:tabs>
        <w:tab w:val="left" w:pos="360"/>
      </w:tabs>
      <w:wordWrap w:val="0"/>
      <w:overflowPunct w:val="0"/>
      <w:autoSpaceDE w:val="0"/>
      <w:autoSpaceDN w:val="0"/>
      <w:spacing w:before="50" w:beforeLines="50" w:after="50" w:afterLines="50"/>
      <w:textAlignment w:val="baseline"/>
      <w:outlineLvl w:val="3"/>
    </w:pPr>
    <w:rPr>
      <w:rFonts w:ascii="黑体" w:eastAsia="黑体"/>
      <w:kern w:val="21"/>
      <w:szCs w:val="20"/>
    </w:rPr>
  </w:style>
  <w:style w:type="paragraph" w:customStyle="1" w:styleId="74">
    <w:name w:val="二级无"/>
    <w:basedOn w:val="75"/>
    <w:autoRedefine/>
    <w:qFormat/>
    <w:uiPriority w:val="0"/>
    <w:pPr>
      <w:spacing w:before="0" w:beforeLines="0" w:after="0" w:afterLines="0"/>
    </w:pPr>
    <w:rPr>
      <w:rFonts w:ascii="宋体" w:eastAsia="宋体"/>
    </w:rPr>
  </w:style>
  <w:style w:type="paragraph" w:customStyle="1" w:styleId="75">
    <w:name w:val="二级条标题"/>
    <w:basedOn w:val="76"/>
    <w:next w:val="26"/>
    <w:autoRedefine/>
    <w:qFormat/>
    <w:uiPriority w:val="0"/>
    <w:pPr>
      <w:numPr>
        <w:ilvl w:val="2"/>
      </w:numPr>
      <w:spacing w:before="50" w:after="50"/>
      <w:outlineLvl w:val="3"/>
    </w:pPr>
  </w:style>
  <w:style w:type="paragraph" w:customStyle="1" w:styleId="76">
    <w:name w:val="一级条标题"/>
    <w:next w:val="26"/>
    <w:autoRedefine/>
    <w:qFormat/>
    <w:uiPriority w:val="0"/>
    <w:pPr>
      <w:numPr>
        <w:ilvl w:val="1"/>
        <w:numId w:val="8"/>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77">
    <w:name w:val="附录二级无"/>
    <w:basedOn w:val="73"/>
    <w:autoRedefine/>
    <w:qFormat/>
    <w:uiPriority w:val="0"/>
    <w:pPr>
      <w:tabs>
        <w:tab w:val="clear" w:pos="360"/>
      </w:tabs>
      <w:spacing w:before="0" w:beforeLines="0" w:after="0" w:afterLines="0"/>
    </w:pPr>
    <w:rPr>
      <w:rFonts w:ascii="宋体" w:eastAsia="宋体"/>
      <w:szCs w:val="21"/>
    </w:rPr>
  </w:style>
  <w:style w:type="paragraph" w:customStyle="1" w:styleId="78">
    <w:name w:val="参考文献"/>
    <w:basedOn w:val="1"/>
    <w:next w:val="26"/>
    <w:link w:val="155"/>
    <w:autoRedefine/>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79">
    <w:name w:val="列项——（一级）"/>
    <w:autoRedefine/>
    <w:qFormat/>
    <w:uiPriority w:val="0"/>
    <w:pPr>
      <w:widowControl w:val="0"/>
      <w:numPr>
        <w:ilvl w:val="0"/>
        <w:numId w:val="9"/>
      </w:numPr>
      <w:jc w:val="both"/>
    </w:pPr>
    <w:rPr>
      <w:rFonts w:ascii="宋体" w:hAnsi="Times New Roman" w:eastAsia="宋体" w:cs="Times New Roman"/>
      <w:sz w:val="21"/>
      <w:lang w:val="en-US" w:eastAsia="zh-CN" w:bidi="ar-SA"/>
    </w:rPr>
  </w:style>
  <w:style w:type="paragraph" w:customStyle="1" w:styleId="80">
    <w:name w:val="图表脚注说明"/>
    <w:basedOn w:val="1"/>
    <w:autoRedefine/>
    <w:qFormat/>
    <w:uiPriority w:val="0"/>
    <w:pPr>
      <w:numPr>
        <w:ilvl w:val="0"/>
        <w:numId w:val="10"/>
      </w:numPr>
    </w:pPr>
    <w:rPr>
      <w:rFonts w:ascii="宋体"/>
      <w:sz w:val="18"/>
      <w:szCs w:val="18"/>
    </w:rPr>
  </w:style>
  <w:style w:type="paragraph" w:customStyle="1" w:styleId="81">
    <w:name w:val="四级条标题"/>
    <w:basedOn w:val="82"/>
    <w:next w:val="26"/>
    <w:autoRedefine/>
    <w:qFormat/>
    <w:uiPriority w:val="0"/>
    <w:pPr>
      <w:numPr>
        <w:ilvl w:val="4"/>
        <w:numId w:val="8"/>
      </w:numPr>
      <w:outlineLvl w:val="5"/>
    </w:pPr>
  </w:style>
  <w:style w:type="paragraph" w:customStyle="1" w:styleId="82">
    <w:name w:val="三级条标题"/>
    <w:basedOn w:val="75"/>
    <w:next w:val="26"/>
    <w:autoRedefine/>
    <w:qFormat/>
    <w:uiPriority w:val="0"/>
    <w:pPr>
      <w:numPr>
        <w:ilvl w:val="0"/>
        <w:numId w:val="0"/>
      </w:numPr>
      <w:outlineLvl w:val="4"/>
    </w:pPr>
  </w:style>
  <w:style w:type="paragraph" w:customStyle="1" w:styleId="83">
    <w:name w:val="列项说明数字编号"/>
    <w:autoRedefine/>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84">
    <w:name w:val="五级无"/>
    <w:basedOn w:val="85"/>
    <w:autoRedefine/>
    <w:qFormat/>
    <w:uiPriority w:val="0"/>
    <w:pPr>
      <w:spacing w:before="0" w:beforeLines="0" w:after="0" w:afterLines="0"/>
    </w:pPr>
    <w:rPr>
      <w:rFonts w:ascii="宋体" w:eastAsia="宋体"/>
    </w:rPr>
  </w:style>
  <w:style w:type="paragraph" w:customStyle="1" w:styleId="85">
    <w:name w:val="五级条标题"/>
    <w:basedOn w:val="81"/>
    <w:next w:val="26"/>
    <w:autoRedefine/>
    <w:qFormat/>
    <w:uiPriority w:val="0"/>
    <w:pPr>
      <w:numPr>
        <w:ilvl w:val="5"/>
      </w:numPr>
      <w:outlineLvl w:val="6"/>
    </w:pPr>
  </w:style>
  <w:style w:type="paragraph" w:customStyle="1" w:styleId="86">
    <w:name w:val="附录表标号"/>
    <w:basedOn w:val="1"/>
    <w:next w:val="26"/>
    <w:autoRedefine/>
    <w:qFormat/>
    <w:uiPriority w:val="0"/>
    <w:pPr>
      <w:numPr>
        <w:ilvl w:val="0"/>
        <w:numId w:val="11"/>
      </w:numPr>
      <w:tabs>
        <w:tab w:val="clear" w:pos="0"/>
      </w:tabs>
      <w:spacing w:line="14" w:lineRule="exact"/>
      <w:ind w:left="811" w:hanging="448"/>
      <w:jc w:val="center"/>
      <w:outlineLvl w:val="0"/>
    </w:pPr>
    <w:rPr>
      <w:color w:val="FFFFFF"/>
    </w:rPr>
  </w:style>
  <w:style w:type="paragraph" w:customStyle="1" w:styleId="87">
    <w:name w:val="标准书眉_奇数页"/>
    <w:next w:val="1"/>
    <w:autoRedefine/>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88">
    <w:name w:val="其他实施日期"/>
    <w:basedOn w:val="89"/>
    <w:autoRedefine/>
    <w:qFormat/>
    <w:uiPriority w:val="0"/>
    <w:pPr>
      <w:framePr w:wrap="around"/>
    </w:pPr>
  </w:style>
  <w:style w:type="paragraph" w:customStyle="1" w:styleId="89">
    <w:name w:val="实施日期"/>
    <w:basedOn w:val="90"/>
    <w:autoRedefine/>
    <w:qFormat/>
    <w:uiPriority w:val="0"/>
    <w:pPr>
      <w:framePr w:wrap="around" w:vAnchor="page" w:hAnchor="text"/>
      <w:jc w:val="right"/>
    </w:pPr>
  </w:style>
  <w:style w:type="paragraph" w:customStyle="1" w:styleId="90">
    <w:name w:val="发布日期"/>
    <w:autoRedefine/>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91">
    <w:name w:val="章标题"/>
    <w:next w:val="26"/>
    <w:autoRedefine/>
    <w:qFormat/>
    <w:uiPriority w:val="0"/>
    <w:pPr>
      <w:numPr>
        <w:ilvl w:val="0"/>
        <w:numId w:val="8"/>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92">
    <w:name w:val="图的脚注"/>
    <w:next w:val="26"/>
    <w:autoRedefine/>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93">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94">
    <w:name w:val="示例×："/>
    <w:basedOn w:val="91"/>
    <w:autoRedefine/>
    <w:qFormat/>
    <w:uiPriority w:val="0"/>
    <w:pPr>
      <w:numPr>
        <w:numId w:val="12"/>
      </w:numPr>
      <w:spacing w:before="0" w:beforeLines="0" w:after="0" w:afterLines="0"/>
      <w:outlineLvl w:val="9"/>
    </w:pPr>
    <w:rPr>
      <w:rFonts w:ascii="宋体" w:eastAsia="宋体"/>
      <w:sz w:val="18"/>
      <w:szCs w:val="18"/>
    </w:rPr>
  </w:style>
  <w:style w:type="paragraph" w:customStyle="1" w:styleId="95">
    <w:name w:val="封面标准文稿类别2"/>
    <w:basedOn w:val="96"/>
    <w:autoRedefine/>
    <w:qFormat/>
    <w:uiPriority w:val="0"/>
    <w:pPr>
      <w:framePr w:wrap="around" w:y="4469"/>
    </w:pPr>
  </w:style>
  <w:style w:type="paragraph" w:customStyle="1" w:styleId="96">
    <w:name w:val="封面标准文稿类别"/>
    <w:basedOn w:val="62"/>
    <w:autoRedefine/>
    <w:qFormat/>
    <w:uiPriority w:val="0"/>
    <w:pPr>
      <w:framePr w:wrap="around"/>
      <w:spacing w:after="160" w:line="240" w:lineRule="auto"/>
    </w:pPr>
    <w:rPr>
      <w:sz w:val="24"/>
    </w:rPr>
  </w:style>
  <w:style w:type="paragraph" w:styleId="97">
    <w:name w:val="List Paragraph"/>
    <w:basedOn w:val="1"/>
    <w:autoRedefine/>
    <w:qFormat/>
    <w:uiPriority w:val="34"/>
    <w:pPr>
      <w:widowControl/>
      <w:ind w:firstLine="420"/>
    </w:pPr>
    <w:rPr>
      <w:rFonts w:ascii="Calibri" w:hAnsi="Calibri" w:cs="Calibri"/>
      <w:kern w:val="0"/>
      <w:szCs w:val="21"/>
    </w:rPr>
  </w:style>
  <w:style w:type="paragraph" w:customStyle="1" w:styleId="98">
    <w:name w:val="目次、标准名称标题"/>
    <w:basedOn w:val="1"/>
    <w:next w:val="26"/>
    <w:link w:val="160"/>
    <w:autoRedefine/>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99">
    <w:name w:val="封面标准号2"/>
    <w:autoRedefine/>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00">
    <w:name w:val="封面标准文稿编辑信息2"/>
    <w:basedOn w:val="101"/>
    <w:autoRedefine/>
    <w:qFormat/>
    <w:uiPriority w:val="0"/>
    <w:pPr>
      <w:framePr w:wrap="around" w:y="4469"/>
    </w:pPr>
  </w:style>
  <w:style w:type="paragraph" w:customStyle="1" w:styleId="101">
    <w:name w:val="封面标准文稿编辑信息"/>
    <w:basedOn w:val="96"/>
    <w:autoRedefine/>
    <w:qFormat/>
    <w:uiPriority w:val="0"/>
    <w:pPr>
      <w:framePr w:wrap="around"/>
      <w:spacing w:before="180" w:line="180" w:lineRule="exact"/>
    </w:pPr>
    <w:rPr>
      <w:sz w:val="21"/>
    </w:rPr>
  </w:style>
  <w:style w:type="paragraph" w:customStyle="1" w:styleId="102">
    <w:name w:val="附录表标题"/>
    <w:basedOn w:val="1"/>
    <w:next w:val="26"/>
    <w:autoRedefine/>
    <w:qFormat/>
    <w:uiPriority w:val="0"/>
    <w:pPr>
      <w:numPr>
        <w:ilvl w:val="1"/>
        <w:numId w:val="11"/>
      </w:numPr>
      <w:tabs>
        <w:tab w:val="left" w:pos="180"/>
      </w:tabs>
      <w:spacing w:before="50" w:beforeLines="50" w:after="50" w:afterLines="50"/>
      <w:ind w:left="0" w:firstLine="0"/>
      <w:jc w:val="center"/>
    </w:pPr>
    <w:rPr>
      <w:rFonts w:ascii="黑体" w:eastAsia="黑体"/>
      <w:szCs w:val="21"/>
    </w:rPr>
  </w:style>
  <w:style w:type="paragraph" w:customStyle="1" w:styleId="103">
    <w:name w:val="标准称谓"/>
    <w:next w:val="1"/>
    <w:autoRedefine/>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104">
    <w:name w:val="注×：（正文）"/>
    <w:autoRedefine/>
    <w:qFormat/>
    <w:uiPriority w:val="0"/>
    <w:pPr>
      <w:numPr>
        <w:ilvl w:val="0"/>
        <w:numId w:val="13"/>
      </w:numPr>
      <w:jc w:val="both"/>
    </w:pPr>
    <w:rPr>
      <w:rFonts w:ascii="宋体" w:hAnsi="Times New Roman" w:eastAsia="宋体" w:cs="Times New Roman"/>
      <w:sz w:val="18"/>
      <w:szCs w:val="18"/>
      <w:lang w:val="en-US" w:eastAsia="zh-CN" w:bidi="ar-SA"/>
    </w:rPr>
  </w:style>
  <w:style w:type="paragraph" w:customStyle="1" w:styleId="105">
    <w:name w:val="附录一级条标题"/>
    <w:basedOn w:val="106"/>
    <w:next w:val="26"/>
    <w:autoRedefine/>
    <w:qFormat/>
    <w:uiPriority w:val="0"/>
    <w:pPr>
      <w:numPr>
        <w:ilvl w:val="2"/>
      </w:numPr>
      <w:tabs>
        <w:tab w:val="left" w:pos="360"/>
      </w:tabs>
      <w:autoSpaceDN w:val="0"/>
      <w:spacing w:before="50" w:beforeLines="50" w:after="50" w:afterLines="50"/>
      <w:outlineLvl w:val="2"/>
    </w:pPr>
  </w:style>
  <w:style w:type="paragraph" w:customStyle="1" w:styleId="106">
    <w:name w:val="附录章标题"/>
    <w:next w:val="26"/>
    <w:autoRedefine/>
    <w:qFormat/>
    <w:uiPriority w:val="0"/>
    <w:pPr>
      <w:numPr>
        <w:ilvl w:val="1"/>
        <w:numId w:val="7"/>
      </w:numPr>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107">
    <w:name w:val="标准标志"/>
    <w:next w:val="1"/>
    <w:autoRedefine/>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108">
    <w:name w:val="封面一致性程度标识2"/>
    <w:basedOn w:val="62"/>
    <w:autoRedefine/>
    <w:qFormat/>
    <w:uiPriority w:val="0"/>
    <w:pPr>
      <w:framePr w:wrap="around" w:y="4469"/>
    </w:pPr>
  </w:style>
  <w:style w:type="paragraph" w:customStyle="1" w:styleId="109">
    <w:name w:val="示例"/>
    <w:next w:val="110"/>
    <w:autoRedefine/>
    <w:qFormat/>
    <w:uiPriority w:val="0"/>
    <w:pPr>
      <w:widowControl w:val="0"/>
      <w:numPr>
        <w:ilvl w:val="0"/>
        <w:numId w:val="14"/>
      </w:numPr>
      <w:jc w:val="both"/>
    </w:pPr>
    <w:rPr>
      <w:rFonts w:ascii="宋体" w:hAnsi="Times New Roman" w:eastAsia="宋体" w:cs="Times New Roman"/>
      <w:sz w:val="18"/>
      <w:szCs w:val="18"/>
      <w:lang w:val="en-US" w:eastAsia="zh-CN" w:bidi="ar-SA"/>
    </w:rPr>
  </w:style>
  <w:style w:type="paragraph" w:customStyle="1" w:styleId="110">
    <w:name w:val="示例内容"/>
    <w:autoRedefine/>
    <w:qFormat/>
    <w:uiPriority w:val="0"/>
    <w:pPr>
      <w:ind w:firstLine="200" w:firstLineChars="200"/>
    </w:pPr>
    <w:rPr>
      <w:rFonts w:ascii="宋体" w:hAnsi="Times New Roman" w:eastAsia="宋体" w:cs="Times New Roman"/>
      <w:sz w:val="18"/>
      <w:szCs w:val="18"/>
      <w:lang w:val="en-US" w:eastAsia="zh-CN" w:bidi="ar-SA"/>
    </w:rPr>
  </w:style>
  <w:style w:type="paragraph" w:customStyle="1" w:styleId="111">
    <w:name w:val="条文脚注"/>
    <w:basedOn w:val="27"/>
    <w:autoRedefine/>
    <w:qFormat/>
    <w:uiPriority w:val="0"/>
    <w:pPr>
      <w:numPr>
        <w:numId w:val="0"/>
      </w:numPr>
      <w:jc w:val="both"/>
    </w:pPr>
  </w:style>
  <w:style w:type="paragraph" w:customStyle="1" w:styleId="112">
    <w:name w:val="封面标准英文名称2"/>
    <w:basedOn w:val="63"/>
    <w:autoRedefine/>
    <w:qFormat/>
    <w:uiPriority w:val="0"/>
    <w:pPr>
      <w:framePr w:wrap="around" w:y="4469"/>
    </w:pPr>
  </w:style>
  <w:style w:type="paragraph" w:customStyle="1" w:styleId="113">
    <w:name w:val="附录公式编号制表符"/>
    <w:basedOn w:val="1"/>
    <w:next w:val="26"/>
    <w:autoRedefine/>
    <w:qFormat/>
    <w:uiPriority w:val="0"/>
    <w:pPr>
      <w:widowControl/>
      <w:tabs>
        <w:tab w:val="center" w:pos="4201"/>
        <w:tab w:val="right" w:leader="dot" w:pos="9298"/>
      </w:tabs>
      <w:autoSpaceDE w:val="0"/>
      <w:autoSpaceDN w:val="0"/>
    </w:pPr>
    <w:rPr>
      <w:rFonts w:ascii="宋体"/>
      <w:kern w:val="0"/>
      <w:szCs w:val="20"/>
    </w:rPr>
  </w:style>
  <w:style w:type="paragraph" w:customStyle="1" w:styleId="114">
    <w:name w:val="正文公式编号制表符"/>
    <w:basedOn w:val="26"/>
    <w:next w:val="26"/>
    <w:autoRedefine/>
    <w:qFormat/>
    <w:uiPriority w:val="0"/>
    <w:pPr>
      <w:ind w:firstLine="0" w:firstLineChars="0"/>
    </w:pPr>
  </w:style>
  <w:style w:type="paragraph" w:customStyle="1" w:styleId="115">
    <w:name w:val="标准书眉一"/>
    <w:autoRedefine/>
    <w:qFormat/>
    <w:uiPriority w:val="0"/>
    <w:pPr>
      <w:jc w:val="both"/>
    </w:pPr>
    <w:rPr>
      <w:rFonts w:ascii="Times New Roman" w:hAnsi="Times New Roman" w:eastAsia="宋体" w:cs="Times New Roman"/>
      <w:lang w:val="en-US" w:eastAsia="zh-CN" w:bidi="ar-SA"/>
    </w:rPr>
  </w:style>
  <w:style w:type="paragraph" w:customStyle="1" w:styleId="116">
    <w:name w:val="附录四级无"/>
    <w:basedOn w:val="71"/>
    <w:autoRedefine/>
    <w:qFormat/>
    <w:uiPriority w:val="0"/>
    <w:pPr>
      <w:tabs>
        <w:tab w:val="clear" w:pos="360"/>
      </w:tabs>
      <w:spacing w:before="0" w:beforeLines="0" w:after="0" w:afterLines="0"/>
    </w:pPr>
    <w:rPr>
      <w:rFonts w:ascii="宋体" w:eastAsia="宋体"/>
      <w:szCs w:val="21"/>
    </w:rPr>
  </w:style>
  <w:style w:type="paragraph" w:customStyle="1" w:styleId="117">
    <w:name w:val="附录一级无"/>
    <w:basedOn w:val="105"/>
    <w:autoRedefine/>
    <w:qFormat/>
    <w:uiPriority w:val="0"/>
    <w:pPr>
      <w:tabs>
        <w:tab w:val="clear" w:pos="360"/>
      </w:tabs>
      <w:spacing w:before="0" w:beforeLines="0" w:after="0" w:afterLines="0"/>
    </w:pPr>
    <w:rPr>
      <w:rFonts w:ascii="宋体" w:eastAsia="宋体"/>
      <w:szCs w:val="21"/>
    </w:rPr>
  </w:style>
  <w:style w:type="paragraph" w:customStyle="1" w:styleId="118">
    <w:name w:val="其他标准标志"/>
    <w:basedOn w:val="107"/>
    <w:autoRedefine/>
    <w:qFormat/>
    <w:uiPriority w:val="0"/>
    <w:pPr>
      <w:framePr w:w="6101" w:wrap="around" w:vAnchor="page" w:hAnchor="page" w:x="4673" w:y="942"/>
    </w:pPr>
    <w:rPr>
      <w:w w:val="130"/>
    </w:rPr>
  </w:style>
  <w:style w:type="paragraph" w:customStyle="1" w:styleId="119">
    <w:name w:val="编号列项（三级）"/>
    <w:autoRedefine/>
    <w:qFormat/>
    <w:uiPriority w:val="0"/>
    <w:rPr>
      <w:rFonts w:ascii="宋体" w:hAnsi="Times New Roman" w:eastAsia="宋体" w:cs="Times New Roman"/>
      <w:sz w:val="21"/>
      <w:lang w:val="en-US" w:eastAsia="zh-CN" w:bidi="ar-SA"/>
    </w:rPr>
  </w:style>
  <w:style w:type="paragraph" w:customStyle="1" w:styleId="120">
    <w:name w:val="其他发布部门"/>
    <w:basedOn w:val="121"/>
    <w:autoRedefine/>
    <w:qFormat/>
    <w:uiPriority w:val="0"/>
    <w:pPr>
      <w:framePr w:wrap="around" w:y="15310"/>
      <w:spacing w:line="0" w:lineRule="atLeast"/>
    </w:pPr>
    <w:rPr>
      <w:rFonts w:ascii="黑体" w:eastAsia="黑体"/>
      <w:b w:val="0"/>
    </w:rPr>
  </w:style>
  <w:style w:type="paragraph" w:customStyle="1" w:styleId="121">
    <w:name w:val="发布部门"/>
    <w:next w:val="26"/>
    <w:autoRedefine/>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122">
    <w:name w:val="附录三级无"/>
    <w:basedOn w:val="72"/>
    <w:autoRedefine/>
    <w:qFormat/>
    <w:uiPriority w:val="0"/>
    <w:pPr>
      <w:tabs>
        <w:tab w:val="clear" w:pos="360"/>
      </w:tabs>
      <w:spacing w:before="0" w:beforeLines="0" w:after="0" w:afterLines="0"/>
    </w:pPr>
    <w:rPr>
      <w:rFonts w:ascii="宋体" w:eastAsia="宋体"/>
      <w:szCs w:val="21"/>
    </w:rPr>
  </w:style>
  <w:style w:type="paragraph" w:customStyle="1" w:styleId="123">
    <w:name w:val="列项◆（三级）"/>
    <w:basedOn w:val="1"/>
    <w:autoRedefine/>
    <w:qFormat/>
    <w:uiPriority w:val="0"/>
    <w:pPr>
      <w:numPr>
        <w:ilvl w:val="2"/>
        <w:numId w:val="9"/>
      </w:numPr>
    </w:pPr>
    <w:rPr>
      <w:rFonts w:ascii="宋体"/>
      <w:szCs w:val="21"/>
    </w:rPr>
  </w:style>
  <w:style w:type="paragraph" w:customStyle="1" w:styleId="124">
    <w:name w:val="封面正文"/>
    <w:autoRedefine/>
    <w:qFormat/>
    <w:uiPriority w:val="0"/>
    <w:pPr>
      <w:jc w:val="both"/>
    </w:pPr>
    <w:rPr>
      <w:rFonts w:ascii="Times New Roman" w:hAnsi="Times New Roman" w:eastAsia="宋体" w:cs="Times New Roman"/>
      <w:lang w:val="en-US" w:eastAsia="zh-CN" w:bidi="ar-SA"/>
    </w:rPr>
  </w:style>
  <w:style w:type="paragraph" w:customStyle="1" w:styleId="125">
    <w:name w:val="前言、引言标题"/>
    <w:next w:val="26"/>
    <w:autoRedefine/>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26">
    <w:name w:val="封面标准名称2"/>
    <w:basedOn w:val="64"/>
    <w:autoRedefine/>
    <w:qFormat/>
    <w:uiPriority w:val="0"/>
    <w:pPr>
      <w:framePr w:wrap="around" w:y="4469"/>
      <w:spacing w:before="630" w:beforeLines="630"/>
    </w:pPr>
  </w:style>
  <w:style w:type="paragraph" w:customStyle="1" w:styleId="127">
    <w:name w:val="附录标识"/>
    <w:basedOn w:val="1"/>
    <w:next w:val="26"/>
    <w:autoRedefine/>
    <w:qFormat/>
    <w:uiPriority w:val="0"/>
    <w:pPr>
      <w:keepNext/>
      <w:widowControl/>
      <w:numPr>
        <w:ilvl w:val="0"/>
        <w:numId w:val="7"/>
      </w:numPr>
      <w:shd w:val="clear" w:color="FFFFFF" w:fill="FFFFFF"/>
      <w:tabs>
        <w:tab w:val="left" w:pos="360"/>
        <w:tab w:val="left" w:pos="6405"/>
      </w:tabs>
      <w:spacing w:before="640" w:after="280"/>
      <w:ind w:left="0"/>
      <w:jc w:val="center"/>
      <w:outlineLvl w:val="0"/>
    </w:pPr>
    <w:rPr>
      <w:rFonts w:ascii="黑体" w:eastAsia="黑体"/>
      <w:kern w:val="0"/>
      <w:szCs w:val="20"/>
    </w:rPr>
  </w:style>
  <w:style w:type="paragraph" w:customStyle="1" w:styleId="128">
    <w:name w:val="图标脚注说明"/>
    <w:basedOn w:val="26"/>
    <w:autoRedefine/>
    <w:qFormat/>
    <w:uiPriority w:val="0"/>
    <w:pPr>
      <w:ind w:left="840" w:hanging="420" w:firstLineChars="0"/>
    </w:pPr>
    <w:rPr>
      <w:sz w:val="18"/>
      <w:szCs w:val="18"/>
    </w:rPr>
  </w:style>
  <w:style w:type="paragraph" w:customStyle="1" w:styleId="129">
    <w:name w:val="数字编号列项（二级）"/>
    <w:autoRedefine/>
    <w:qFormat/>
    <w:uiPriority w:val="0"/>
    <w:pPr>
      <w:numPr>
        <w:ilvl w:val="1"/>
        <w:numId w:val="4"/>
      </w:numPr>
      <w:jc w:val="both"/>
    </w:pPr>
    <w:rPr>
      <w:rFonts w:ascii="宋体" w:hAnsi="Times New Roman" w:eastAsia="宋体" w:cs="Times New Roman"/>
      <w:sz w:val="21"/>
      <w:lang w:val="en-US" w:eastAsia="zh-CN" w:bidi="ar-SA"/>
    </w:rPr>
  </w:style>
  <w:style w:type="paragraph" w:customStyle="1" w:styleId="130">
    <w:name w:val="列项●（二级）"/>
    <w:autoRedefine/>
    <w:qFormat/>
    <w:uiPriority w:val="0"/>
    <w:pPr>
      <w:numPr>
        <w:ilvl w:val="1"/>
        <w:numId w:val="9"/>
      </w:numPr>
      <w:tabs>
        <w:tab w:val="left" w:pos="840"/>
      </w:tabs>
      <w:jc w:val="both"/>
    </w:pPr>
    <w:rPr>
      <w:rFonts w:ascii="宋体" w:hAnsi="Times New Roman" w:eastAsia="宋体" w:cs="Times New Roman"/>
      <w:sz w:val="21"/>
      <w:lang w:val="en-US" w:eastAsia="zh-CN" w:bidi="ar-SA"/>
    </w:rPr>
  </w:style>
  <w:style w:type="paragraph" w:customStyle="1" w:styleId="131">
    <w:name w:val="三级无"/>
    <w:basedOn w:val="82"/>
    <w:autoRedefine/>
    <w:qFormat/>
    <w:uiPriority w:val="0"/>
    <w:pPr>
      <w:spacing w:before="0" w:beforeLines="0" w:after="0" w:afterLines="0"/>
    </w:pPr>
    <w:rPr>
      <w:rFonts w:ascii="宋体" w:eastAsia="宋体"/>
    </w:rPr>
  </w:style>
  <w:style w:type="paragraph" w:customStyle="1" w:styleId="132">
    <w:name w:val="正文表标题"/>
    <w:next w:val="26"/>
    <w:autoRedefine/>
    <w:qFormat/>
    <w:uiPriority w:val="0"/>
    <w:pPr>
      <w:numPr>
        <w:ilvl w:val="0"/>
        <w:numId w:val="15"/>
      </w:numPr>
      <w:tabs>
        <w:tab w:val="left" w:pos="360"/>
        <w:tab w:val="clear" w:pos="0"/>
      </w:tabs>
      <w:spacing w:before="156" w:beforeLines="50" w:after="156" w:afterLines="50"/>
      <w:ind w:left="0"/>
      <w:jc w:val="center"/>
    </w:pPr>
    <w:rPr>
      <w:rFonts w:ascii="黑体" w:hAnsi="Times New Roman" w:eastAsia="黑体" w:cs="Times New Roman"/>
      <w:sz w:val="21"/>
      <w:lang w:val="en-US" w:eastAsia="zh-CN" w:bidi="ar-SA"/>
    </w:rPr>
  </w:style>
  <w:style w:type="paragraph" w:customStyle="1" w:styleId="133">
    <w:name w:val="四级无"/>
    <w:basedOn w:val="81"/>
    <w:autoRedefine/>
    <w:qFormat/>
    <w:uiPriority w:val="0"/>
    <w:pPr>
      <w:spacing w:before="0" w:beforeLines="0" w:after="0" w:afterLines="0"/>
    </w:pPr>
    <w:rPr>
      <w:rFonts w:ascii="宋体" w:eastAsia="宋体"/>
    </w:rPr>
  </w:style>
  <w:style w:type="paragraph" w:customStyle="1" w:styleId="134">
    <w:name w:val="其他标准称谓"/>
    <w:next w:val="1"/>
    <w:autoRedefine/>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35">
    <w:name w:val="附录图标号"/>
    <w:basedOn w:val="1"/>
    <w:autoRedefine/>
    <w:qFormat/>
    <w:uiPriority w:val="0"/>
    <w:pPr>
      <w:keepNext/>
      <w:pageBreakBefore/>
      <w:widowControl/>
      <w:numPr>
        <w:ilvl w:val="0"/>
        <w:numId w:val="3"/>
      </w:numPr>
      <w:spacing w:line="14" w:lineRule="exact"/>
      <w:ind w:left="0" w:firstLine="363"/>
      <w:jc w:val="center"/>
      <w:outlineLvl w:val="0"/>
    </w:pPr>
    <w:rPr>
      <w:color w:val="FFFFFF"/>
    </w:rPr>
  </w:style>
  <w:style w:type="paragraph" w:customStyle="1" w:styleId="136">
    <w:name w:val="文献分类号"/>
    <w:autoRedefine/>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37">
    <w:name w:val="注×："/>
    <w:autoRedefine/>
    <w:qFormat/>
    <w:uiPriority w:val="0"/>
    <w:pPr>
      <w:widowControl w:val="0"/>
      <w:numPr>
        <w:ilvl w:val="0"/>
        <w:numId w:val="16"/>
      </w:numPr>
      <w:autoSpaceDE w:val="0"/>
      <w:autoSpaceDN w:val="0"/>
      <w:jc w:val="both"/>
    </w:pPr>
    <w:rPr>
      <w:rFonts w:ascii="宋体" w:hAnsi="Times New Roman" w:eastAsia="宋体" w:cs="Times New Roman"/>
      <w:sz w:val="18"/>
      <w:szCs w:val="18"/>
      <w:lang w:val="en-US" w:eastAsia="zh-CN" w:bidi="ar-SA"/>
    </w:rPr>
  </w:style>
  <w:style w:type="paragraph" w:customStyle="1" w:styleId="138">
    <w:name w:val="其他发布日期"/>
    <w:basedOn w:val="90"/>
    <w:autoRedefine/>
    <w:qFormat/>
    <w:uiPriority w:val="0"/>
    <w:pPr>
      <w:framePr w:wrap="around" w:vAnchor="page" w:hAnchor="text" w:x="1419"/>
    </w:pPr>
  </w:style>
  <w:style w:type="paragraph" w:customStyle="1" w:styleId="139">
    <w:name w:val="附录字母编号列项（一级）"/>
    <w:autoRedefine/>
    <w:qFormat/>
    <w:uiPriority w:val="0"/>
    <w:pPr>
      <w:numPr>
        <w:ilvl w:val="0"/>
        <w:numId w:val="17"/>
      </w:numPr>
    </w:pPr>
    <w:rPr>
      <w:rFonts w:ascii="宋体" w:hAnsi="Times New Roman" w:eastAsia="宋体" w:cs="Times New Roman"/>
      <w:sz w:val="21"/>
      <w:lang w:val="en-US" w:eastAsia="zh-CN" w:bidi="ar-SA"/>
    </w:rPr>
  </w:style>
  <w:style w:type="paragraph" w:customStyle="1" w:styleId="140">
    <w:name w:val="正文图标题"/>
    <w:next w:val="26"/>
    <w:autoRedefine/>
    <w:qFormat/>
    <w:uiPriority w:val="0"/>
    <w:pPr>
      <w:numPr>
        <w:ilvl w:val="0"/>
        <w:numId w:val="18"/>
      </w:numPr>
      <w:spacing w:before="156" w:beforeLines="50" w:after="156" w:afterLines="50"/>
      <w:jc w:val="center"/>
    </w:pPr>
    <w:rPr>
      <w:rFonts w:ascii="黑体" w:hAnsi="Times New Roman" w:eastAsia="黑体" w:cs="Times New Roman"/>
      <w:sz w:val="21"/>
      <w:lang w:val="en-US" w:eastAsia="zh-CN" w:bidi="ar-SA"/>
    </w:rPr>
  </w:style>
  <w:style w:type="paragraph" w:customStyle="1" w:styleId="141">
    <w:name w:val="附录数字编号列项（二级）"/>
    <w:autoRedefine/>
    <w:qFormat/>
    <w:uiPriority w:val="0"/>
    <w:pPr>
      <w:numPr>
        <w:ilvl w:val="1"/>
        <w:numId w:val="17"/>
      </w:numPr>
    </w:pPr>
    <w:rPr>
      <w:rFonts w:ascii="宋体" w:hAnsi="Times New Roman" w:eastAsia="宋体" w:cs="Times New Roman"/>
      <w:sz w:val="21"/>
      <w:lang w:val="en-US" w:eastAsia="zh-CN" w:bidi="ar-SA"/>
    </w:rPr>
  </w:style>
  <w:style w:type="paragraph" w:customStyle="1" w:styleId="142">
    <w:name w:val="参考文献、索引标题"/>
    <w:basedOn w:val="1"/>
    <w:next w:val="26"/>
    <w:link w:val="159"/>
    <w:autoRedefine/>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43">
    <w:name w:val="一级无"/>
    <w:basedOn w:val="76"/>
    <w:autoRedefine/>
    <w:qFormat/>
    <w:uiPriority w:val="0"/>
    <w:pPr>
      <w:spacing w:before="0" w:beforeLines="0" w:after="0" w:afterLines="0"/>
    </w:pPr>
    <w:rPr>
      <w:rFonts w:ascii="宋体" w:eastAsia="宋体"/>
    </w:rPr>
  </w:style>
  <w:style w:type="paragraph" w:customStyle="1" w:styleId="144">
    <w:name w:val="标准书脚_偶数页"/>
    <w:autoRedefine/>
    <w:qFormat/>
    <w:uiPriority w:val="0"/>
    <w:pPr>
      <w:spacing w:before="120"/>
      <w:ind w:left="221"/>
    </w:pPr>
    <w:rPr>
      <w:rFonts w:ascii="宋体" w:hAnsi="Times New Roman" w:eastAsia="宋体" w:cs="Times New Roman"/>
      <w:sz w:val="18"/>
      <w:szCs w:val="18"/>
      <w:lang w:val="en-US" w:eastAsia="zh-CN" w:bidi="ar-SA"/>
    </w:rPr>
  </w:style>
  <w:style w:type="paragraph" w:customStyle="1" w:styleId="145">
    <w:name w:val="附录标题"/>
    <w:basedOn w:val="26"/>
    <w:next w:val="26"/>
    <w:autoRedefine/>
    <w:qFormat/>
    <w:uiPriority w:val="0"/>
    <w:pPr>
      <w:ind w:firstLine="0" w:firstLineChars="0"/>
      <w:jc w:val="center"/>
    </w:pPr>
    <w:rPr>
      <w:rFonts w:ascii="黑体" w:eastAsia="黑体"/>
    </w:rPr>
  </w:style>
  <w:style w:type="paragraph" w:customStyle="1" w:styleId="146">
    <w:name w:val="标准书眉_偶数页"/>
    <w:basedOn w:val="87"/>
    <w:next w:val="1"/>
    <w:autoRedefine/>
    <w:qFormat/>
    <w:uiPriority w:val="0"/>
    <w:pPr>
      <w:jc w:val="left"/>
    </w:pPr>
  </w:style>
  <w:style w:type="paragraph" w:customStyle="1" w:styleId="147">
    <w:name w:val="附录五级无"/>
    <w:basedOn w:val="70"/>
    <w:autoRedefine/>
    <w:qFormat/>
    <w:uiPriority w:val="0"/>
    <w:pPr>
      <w:tabs>
        <w:tab w:val="clear" w:pos="360"/>
      </w:tabs>
      <w:spacing w:before="0" w:beforeLines="0" w:after="0" w:afterLines="0"/>
    </w:pPr>
    <w:rPr>
      <w:rFonts w:ascii="宋体" w:eastAsia="宋体"/>
      <w:szCs w:val="21"/>
    </w:rPr>
  </w:style>
  <w:style w:type="paragraph" w:customStyle="1" w:styleId="148">
    <w:name w:val="标准书脚_奇数页"/>
    <w:autoRedefine/>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149">
    <w:name w:val="WPSOffice手动目录 1"/>
    <w:autoRedefine/>
    <w:qFormat/>
    <w:uiPriority w:val="0"/>
    <w:rPr>
      <w:rFonts w:ascii="Times New Roman" w:hAnsi="Times New Roman" w:eastAsia="宋体" w:cs="Times New Roman"/>
      <w:lang w:val="en-US" w:eastAsia="zh-CN" w:bidi="ar-SA"/>
    </w:rPr>
  </w:style>
  <w:style w:type="paragraph" w:customStyle="1" w:styleId="150">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51">
    <w:name w:val="Other|1"/>
    <w:basedOn w:val="1"/>
    <w:autoRedefine/>
    <w:qFormat/>
    <w:uiPriority w:val="0"/>
    <w:pPr>
      <w:spacing w:after="80" w:line="329" w:lineRule="auto"/>
      <w:ind w:firstLine="210"/>
    </w:pPr>
    <w:rPr>
      <w:rFonts w:ascii="宋体" w:hAnsi="宋体" w:cs="宋体"/>
      <w:color w:val="282828"/>
      <w:sz w:val="19"/>
      <w:szCs w:val="19"/>
      <w:lang w:val="zh-TW" w:eastAsia="zh-TW" w:bidi="zh-TW"/>
    </w:rPr>
  </w:style>
  <w:style w:type="paragraph" w:customStyle="1" w:styleId="152">
    <w:name w:val="Body text|1"/>
    <w:basedOn w:val="1"/>
    <w:autoRedefine/>
    <w:qFormat/>
    <w:uiPriority w:val="0"/>
    <w:pPr>
      <w:spacing w:after="260" w:line="326" w:lineRule="auto"/>
      <w:ind w:firstLine="400"/>
    </w:pPr>
    <w:rPr>
      <w:rFonts w:ascii="宋体" w:hAnsi="宋体" w:cs="宋体"/>
      <w:sz w:val="30"/>
      <w:szCs w:val="30"/>
      <w:lang w:val="zh-TW" w:eastAsia="zh-TW" w:bidi="zh-TW"/>
    </w:rPr>
  </w:style>
  <w:style w:type="paragraph" w:customStyle="1" w:styleId="153">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154">
    <w:name w:val="修订2"/>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155">
    <w:name w:val="参考文献 Char"/>
    <w:link w:val="78"/>
    <w:autoRedefine/>
    <w:qFormat/>
    <w:uiPriority w:val="0"/>
    <w:rPr>
      <w:rFonts w:ascii="黑体" w:eastAsia="黑体"/>
      <w:kern w:val="0"/>
      <w:szCs w:val="20"/>
    </w:rPr>
  </w:style>
  <w:style w:type="paragraph" w:customStyle="1" w:styleId="156">
    <w:name w:val="修订3"/>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157">
    <w:name w:val="Revision"/>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158">
    <w:name w:val="font11"/>
    <w:basedOn w:val="38"/>
    <w:autoRedefine/>
    <w:qFormat/>
    <w:uiPriority w:val="0"/>
    <w:rPr>
      <w:rFonts w:hint="eastAsia" w:ascii="宋体" w:hAnsi="宋体" w:eastAsia="宋体" w:cs="宋体"/>
      <w:color w:val="000000"/>
      <w:sz w:val="18"/>
      <w:szCs w:val="18"/>
      <w:u w:val="none"/>
    </w:rPr>
  </w:style>
  <w:style w:type="character" w:customStyle="1" w:styleId="159">
    <w:name w:val="参考文献、索引标题 Char"/>
    <w:link w:val="142"/>
    <w:autoRedefine/>
    <w:qFormat/>
    <w:uiPriority w:val="0"/>
    <w:rPr>
      <w:rFonts w:ascii="黑体" w:eastAsia="黑体"/>
      <w:kern w:val="0"/>
      <w:szCs w:val="20"/>
    </w:rPr>
  </w:style>
  <w:style w:type="character" w:customStyle="1" w:styleId="160">
    <w:name w:val="目次、标准名称标题 Char"/>
    <w:link w:val="98"/>
    <w:autoRedefine/>
    <w:qFormat/>
    <w:uiPriority w:val="0"/>
    <w:rPr>
      <w:rFonts w:ascii="黑体" w:eastAsia="黑体"/>
      <w:kern w:val="0"/>
      <w:sz w:val="32"/>
      <w:szCs w:val="20"/>
    </w:rPr>
  </w:style>
  <w:style w:type="paragraph" w:customStyle="1" w:styleId="161">
    <w:name w:val="表格"/>
    <w:basedOn w:val="1"/>
    <w:qFormat/>
    <w:uiPriority w:val="0"/>
    <w:pPr>
      <w:spacing w:before="0" w:beforeLines="0" w:after="0" w:afterLines="0"/>
      <w:ind w:firstLine="0" w:firstLineChars="0"/>
      <w:contextualSpacing/>
      <w:jc w:val="center"/>
    </w:pPr>
    <w:rPr>
      <w:bCs/>
      <w:szCs w:val="15"/>
    </w:rPr>
  </w:style>
  <w:style w:type="paragraph" w:customStyle="1" w:styleId="162">
    <w:name w:val="标准的行"/>
    <w:basedOn w:val="26"/>
    <w:qFormat/>
    <w:uiPriority w:val="0"/>
    <w:pPr>
      <w:widowControl w:val="0"/>
      <w:spacing w:before="62" w:beforeLines="20" w:after="62" w:afterLines="20"/>
      <w:ind w:firstLine="0" w:firstLineChars="0"/>
      <w:jc w:val="center"/>
      <w:outlineLvl w:val="3"/>
    </w:pPr>
    <w:rPr>
      <w:rFonts w:hAnsi="宋体" w:cs="宋体"/>
      <w:sz w:val="18"/>
      <w:szCs w:val="18"/>
    </w:rPr>
  </w:style>
  <w:style w:type="paragraph" w:customStyle="1" w:styleId="163">
    <w:name w:val="标准正文样式"/>
    <w:basedOn w:val="164"/>
    <w:qFormat/>
    <w:uiPriority w:val="0"/>
    <w:pPr>
      <w:spacing w:before="156" w:beforeLines="50" w:after="156" w:afterLines="50" w:line="240" w:lineRule="auto"/>
      <w:ind w:firstLine="420" w:firstLineChars="200"/>
    </w:pPr>
    <w:rPr>
      <w:color w:val="000000" w:themeColor="text1"/>
      <w:sz w:val="21"/>
      <w:szCs w:val="21"/>
      <w14:textFill>
        <w14:solidFill>
          <w14:schemeClr w14:val="tx1"/>
        </w14:solidFill>
      </w14:textFill>
    </w:rPr>
  </w:style>
  <w:style w:type="paragraph" w:customStyle="1" w:styleId="164">
    <w:name w:val="条文内容"/>
    <w:basedOn w:val="1"/>
    <w:qFormat/>
    <w:uiPriority w:val="0"/>
    <w:pPr>
      <w:widowControl w:val="0"/>
      <w:spacing w:line="380" w:lineRule="atLeast"/>
      <w:jc w:val="both"/>
    </w:pPr>
    <w:rPr>
      <w:rFonts w:cstheme="minorBidi"/>
      <w:kern w:val="2"/>
    </w:rPr>
  </w:style>
  <w:style w:type="paragraph" w:customStyle="1" w:styleId="165">
    <w:name w:val="小层级样式"/>
    <w:basedOn w:val="166"/>
    <w:qFormat/>
    <w:uiPriority w:val="0"/>
    <w:pPr>
      <w:spacing w:before="156" w:after="156"/>
      <w:ind w:left="849" w:leftChars="178" w:hanging="422" w:hangingChars="201"/>
    </w:pPr>
    <w:rPr>
      <w:rFonts w:ascii="宋体" w:hAnsi="宋体" w:eastAsia="宋体"/>
    </w:rPr>
  </w:style>
  <w:style w:type="paragraph" w:customStyle="1" w:styleId="166">
    <w:name w:val="0"/>
    <w:basedOn w:val="167"/>
    <w:qFormat/>
    <w:uiPriority w:val="0"/>
    <w:pPr>
      <w:spacing w:beforeLines="50" w:afterLines="50"/>
      <w:jc w:val="left"/>
    </w:pPr>
    <w:rPr>
      <w:rFonts w:cs="宋体" w:asciiTheme="minorEastAsia" w:hAnsiTheme="minorEastAsia" w:eastAsiaTheme="minorEastAsia"/>
      <w:szCs w:val="21"/>
    </w:rPr>
  </w:style>
  <w:style w:type="paragraph" w:customStyle="1" w:styleId="167">
    <w:name w:val="标准图表"/>
    <w:basedOn w:val="164"/>
    <w:qFormat/>
    <w:uiPriority w:val="0"/>
    <w:pPr>
      <w:spacing w:before="78" w:beforeLines="25" w:after="78" w:afterLines="25" w:line="240" w:lineRule="auto"/>
      <w:jc w:val="center"/>
    </w:pPr>
    <w:rPr>
      <w:rFonts w:ascii="黑体" w:hAnsi="黑体" w:eastAsia="黑体"/>
      <w:sz w:val="21"/>
      <w:szCs w:val="18"/>
    </w:rPr>
  </w:style>
  <w:style w:type="paragraph" w:customStyle="1" w:styleId="168">
    <w:name w:val="图表脚注"/>
    <w:next w:val="26"/>
    <w:qFormat/>
    <w:uiPriority w:val="0"/>
    <w:pPr>
      <w:ind w:left="300" w:leftChars="200" w:hanging="100" w:hangingChars="100"/>
      <w:jc w:val="both"/>
    </w:pPr>
    <w:rPr>
      <w:rFonts w:ascii="宋体" w:hAnsi="Times New Roman" w:eastAsia="宋体" w:cs="Times New Roman"/>
      <w:sz w:val="18"/>
      <w:lang w:val="en-US" w:eastAsia="zh-CN" w:bidi="ar-SA"/>
    </w:rPr>
  </w:style>
  <w:style w:type="character" w:customStyle="1" w:styleId="169">
    <w:name w:val="1.0.1 Char"/>
    <w:link w:val="170"/>
    <w:qFormat/>
    <w:uiPriority w:val="0"/>
    <w:rPr>
      <w:rFonts w:ascii="黑体" w:hAnsi="黑体" w:eastAsia="黑体" w:cstheme="majorEastAsia"/>
      <w:bCs/>
      <w:color w:val="000000" w:themeColor="text1"/>
      <w:kern w:val="2"/>
      <w:sz w:val="21"/>
      <w:szCs w:val="21"/>
      <w:lang w:val="en-US" w:eastAsia="zh-CN" w:bidi="ar-SA"/>
      <w14:textFill>
        <w14:solidFill>
          <w14:schemeClr w14:val="tx1"/>
        </w14:solidFill>
      </w14:textFill>
    </w:rPr>
  </w:style>
  <w:style w:type="paragraph" w:customStyle="1" w:styleId="170">
    <w:name w:val="1.0.1"/>
    <w:link w:val="169"/>
    <w:qFormat/>
    <w:uiPriority w:val="0"/>
    <w:pPr>
      <w:widowControl w:val="0"/>
      <w:spacing w:line="380" w:lineRule="atLeast"/>
      <w:jc w:val="both"/>
    </w:pPr>
    <w:rPr>
      <w:rFonts w:ascii="黑体" w:hAnsi="黑体" w:eastAsia="黑体" w:cstheme="majorEastAsia"/>
      <w:bCs/>
      <w:color w:val="000000" w:themeColor="text1"/>
      <w:kern w:val="2"/>
      <w:sz w:val="21"/>
      <w:szCs w:val="21"/>
      <w:lang w:val="en-US" w:eastAsia="zh-CN" w:bidi="ar-SA"/>
      <w14:textFill>
        <w14:solidFill>
          <w14:schemeClr w14:val="tx1"/>
        </w14:solidFill>
      </w14:textFill>
    </w:rPr>
  </w:style>
  <w:style w:type="character" w:customStyle="1" w:styleId="171">
    <w:name w:val="font31"/>
    <w:basedOn w:val="38"/>
    <w:qFormat/>
    <w:uiPriority w:val="0"/>
    <w:rPr>
      <w:rFonts w:hint="default" w:ascii="Times New Roman" w:hAnsi="Times New Roman" w:cs="Times New Roman"/>
      <w:i/>
      <w:iCs/>
      <w:color w:val="000000"/>
      <w:sz w:val="18"/>
      <w:szCs w:val="18"/>
      <w:u w:val="none"/>
    </w:rPr>
  </w:style>
  <w:style w:type="character" w:customStyle="1" w:styleId="172">
    <w:name w:val="font21"/>
    <w:basedOn w:val="38"/>
    <w:qFormat/>
    <w:uiPriority w:val="0"/>
    <w:rPr>
      <w:rFonts w:hint="default" w:ascii="Times New Roman" w:hAnsi="Times New Roman" w:cs="Times New Roman"/>
      <w:color w:val="000000"/>
      <w:sz w:val="24"/>
      <w:szCs w:val="24"/>
      <w:u w:val="none"/>
    </w:rPr>
  </w:style>
  <w:style w:type="character" w:customStyle="1" w:styleId="173">
    <w:name w:val="font71"/>
    <w:basedOn w:val="38"/>
    <w:qFormat/>
    <w:uiPriority w:val="0"/>
    <w:rPr>
      <w:rFonts w:hint="eastAsia" w:ascii="宋体" w:hAnsi="宋体" w:eastAsia="宋体" w:cs="宋体"/>
      <w:color w:val="000000"/>
      <w:sz w:val="24"/>
      <w:szCs w:val="24"/>
      <w:u w:val="none"/>
    </w:rPr>
  </w:style>
  <w:style w:type="character" w:customStyle="1" w:styleId="174">
    <w:name w:val="font81"/>
    <w:basedOn w:val="38"/>
    <w:qFormat/>
    <w:uiPriority w:val="0"/>
    <w:rPr>
      <w:rFonts w:hint="eastAsia" w:ascii="宋体" w:hAnsi="宋体" w:eastAsia="宋体" w:cs="宋体"/>
      <w:color w:val="000000"/>
      <w:sz w:val="24"/>
      <w:szCs w:val="24"/>
      <w:u w:val="none"/>
    </w:rPr>
  </w:style>
  <w:style w:type="character" w:customStyle="1" w:styleId="175">
    <w:name w:val="font01"/>
    <w:basedOn w:val="38"/>
    <w:qFormat/>
    <w:uiPriority w:val="0"/>
    <w:rPr>
      <w:rFonts w:hint="eastAsia" w:ascii="宋体" w:hAnsi="宋体" w:eastAsia="宋体" w:cs="宋体"/>
      <w:color w:val="000000"/>
      <w:sz w:val="22"/>
      <w:szCs w:val="22"/>
      <w:u w:val="none"/>
    </w:rPr>
  </w:style>
  <w:style w:type="character" w:customStyle="1" w:styleId="176">
    <w:name w:val="font51"/>
    <w:basedOn w:val="38"/>
    <w:qFormat/>
    <w:uiPriority w:val="0"/>
    <w:rPr>
      <w:rFonts w:hint="default" w:ascii="Times New Roman" w:hAnsi="Times New Roman" w:cs="Times New Roman"/>
      <w:color w:val="000000"/>
      <w:sz w:val="22"/>
      <w:szCs w:val="22"/>
      <w:u w:val="none"/>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microsoft.com/office/2006/relationships/keyMapCustomizations" Target="customizations.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zle</Company>
  <Pages>43</Pages>
  <Words>1980</Words>
  <Characters>2883</Characters>
  <Lines>1</Lines>
  <Paragraphs>1</Paragraphs>
  <TotalTime>157</TotalTime>
  <ScaleCrop>false</ScaleCrop>
  <LinksUpToDate>false</LinksUpToDate>
  <CharactersWithSpaces>3029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2023-07-12T02:25:00Z</dcterms:created>
  <dc:creator>CNIS</dc:creator>
  <cp:lastModifiedBy>秋  香</cp:lastModifiedBy>
  <cp:lastPrinted>2024-03-25T01:40:00Z</cp:lastPrinted>
  <dcterms:modified xsi:type="dcterms:W3CDTF">2025-07-04T03:18:14Z</dcterms:modified>
  <dc:title>标准名称</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9302AC9FBDC142A5BAFDB9A177B974DA_13</vt:lpwstr>
  </property>
  <property fmtid="{D5CDD505-2E9C-101B-9397-08002B2CF9AE}" pid="4" name="KSOTemplateDocerSaveRecord">
    <vt:lpwstr>eyJoZGlkIjoiODFiMmI4ZWEyOTJjNzllODZhMjIzYjAyOGQ5YmZkMjUiLCJ1c2VySWQiOiI2MjAxMDg2MjUifQ==</vt:lpwstr>
  </property>
</Properties>
</file>