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43B" w:rsidRDefault="004F420B">
      <w:pPr>
        <w:widowControl w:val="0"/>
        <w:jc w:val="both"/>
        <w:rPr>
          <w:rFonts w:ascii="Calibri" w:hAnsi="Calibri" w:cs="宋体"/>
          <w:kern w:val="2"/>
          <w:sz w:val="21"/>
          <w:szCs w:val="21"/>
        </w:rPr>
      </w:pPr>
      <w:r w:rsidRPr="004F420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59.3pt;margin-top:-1.15pt;width:186.15pt;height:65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3A6AD8" w:rsidRDefault="003A6AD8">
                  <w:r>
                    <w:rPr>
                      <w:rFonts w:ascii="MingLiU_HKSCS-ExtB" w:eastAsia="MingLiU_HKSCS-ExtB" w:hAnsi="MingLiU_HKSCS-ExtB" w:hint="eastAsia"/>
                      <w:b/>
                      <w:sz w:val="96"/>
                      <w:szCs w:val="96"/>
                    </w:rPr>
                    <w:t>T/ZTIA</w:t>
                  </w:r>
                </w:p>
              </w:txbxContent>
            </v:textbox>
          </v:shape>
        </w:pict>
      </w:r>
      <w:r w:rsidR="00066BD3">
        <w:rPr>
          <w:rFonts w:ascii="Calibri" w:hAnsi="Calibri" w:cs="Calibri"/>
          <w:kern w:val="2"/>
          <w:sz w:val="21"/>
          <w:szCs w:val="21"/>
        </w:rPr>
        <w:t xml:space="preserve">ICS  67.140.10                             </w:t>
      </w:r>
    </w:p>
    <w:p w:rsidR="0098243B" w:rsidRDefault="00066BD3">
      <w:pPr>
        <w:widowControl w:val="0"/>
        <w:jc w:val="both"/>
        <w:rPr>
          <w:rFonts w:ascii="Calibri" w:hAnsi="Calibri" w:cs="宋体"/>
          <w:kern w:val="2"/>
          <w:sz w:val="21"/>
          <w:szCs w:val="21"/>
        </w:rPr>
      </w:pPr>
      <w:r>
        <w:rPr>
          <w:rFonts w:ascii="Calibri" w:hAnsi="Calibri" w:cs="Calibri"/>
          <w:kern w:val="2"/>
          <w:sz w:val="21"/>
          <w:szCs w:val="21"/>
        </w:rPr>
        <w:t>CCS  X  55</w:t>
      </w:r>
    </w:p>
    <w:p w:rsidR="0098243B" w:rsidRDefault="003A6AD8">
      <w:r>
        <w:rPr>
          <w:rFonts w:hint="eastAsia"/>
        </w:rPr>
        <w:t xml:space="preserve">                                                   </w:t>
      </w:r>
    </w:p>
    <w:p w:rsidR="0098243B" w:rsidRDefault="0098243B"/>
    <w:p w:rsidR="003A6AD8" w:rsidRDefault="003A6AD8"/>
    <w:p w:rsidR="0098243B" w:rsidRDefault="0098243B"/>
    <w:p w:rsidR="0098243B" w:rsidRDefault="00066BD3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浙江省茶叶产业协会团体标准</w:t>
      </w:r>
    </w:p>
    <w:p w:rsidR="0098243B" w:rsidRDefault="004F420B">
      <w:pPr>
        <w:jc w:val="right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/>
          <w:sz w:val="52"/>
          <w:szCs w:val="52"/>
        </w:rPr>
        <w:pict>
          <v:rect id="1027" o:spid="_x0000_s1031" style="position:absolute;left:0;text-align:left;margin-left:241.75pt;margin-top:5.05pt;width:151.3pt;height:24pt;z-index:3;visibility:visible;mso-wrap-distance-left:0;mso-wrap-distance-right:0" stroked="f">
            <v:textbox>
              <w:txbxContent>
                <w:p w:rsidR="0098243B" w:rsidRDefault="00066BD3">
                  <w:pPr>
                    <w:jc w:val="right"/>
                    <w:rPr>
                      <w:rFonts w:ascii="黑体" w:eastAsia="黑体" w:hAnsi="黑体" w:cs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  <w:t>T/ZTIA0003-2025</w:t>
                  </w:r>
                </w:p>
              </w:txbxContent>
            </v:textbox>
          </v:rect>
        </w:pict>
      </w:r>
      <w:r>
        <w:rPr>
          <w:rFonts w:ascii="黑体" w:eastAsia="黑体" w:hAnsi="黑体"/>
          <w:sz w:val="52"/>
          <w:szCs w:val="52"/>
        </w:rPr>
        <w:pict>
          <v:rect id="1028" o:spid="_x0000_s1030" style="position:absolute;left:0;text-align:left;margin-left:1.95pt;margin-top:20.1pt;width:409.9pt;height:40.5pt;z-index:2;visibility:visible;mso-wrap-distance-left:0;mso-wrap-distance-right:0" stroked="f">
            <v:textbox>
              <w:txbxContent>
                <w:p w:rsidR="0098243B" w:rsidRDefault="00066BD3">
                  <w:pPr>
                    <w:rPr>
                      <w:rFonts w:ascii="华文中宋" w:eastAsia="华文中宋" w:hAnsi="华文中宋"/>
                      <w:sz w:val="32"/>
                      <w:szCs w:val="32"/>
                    </w:rPr>
                  </w:pPr>
                  <w:r>
                    <w:rPr>
                      <w:rFonts w:ascii="华文中宋" w:eastAsia="华文中宋" w:hAnsi="华文中宋" w:hint="eastAsia"/>
                      <w:sz w:val="32"/>
                      <w:szCs w:val="32"/>
                    </w:rPr>
                    <w:t xml:space="preserve">————————————————————————— </w:t>
                  </w:r>
                </w:p>
                <w:p w:rsidR="0098243B" w:rsidRDefault="0098243B"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</w:p>
    <w:p w:rsidR="0098243B" w:rsidRDefault="0098243B">
      <w:pPr>
        <w:jc w:val="center"/>
        <w:rPr>
          <w:rFonts w:ascii="黑体" w:eastAsia="黑体" w:hAnsi="黑体"/>
          <w:sz w:val="52"/>
          <w:szCs w:val="52"/>
        </w:rPr>
      </w:pPr>
    </w:p>
    <w:p w:rsidR="0098243B" w:rsidRDefault="0098243B">
      <w:pPr>
        <w:jc w:val="center"/>
        <w:rPr>
          <w:rFonts w:ascii="黑体" w:eastAsia="黑体" w:hAnsi="黑体"/>
          <w:sz w:val="52"/>
          <w:szCs w:val="52"/>
        </w:rPr>
      </w:pPr>
    </w:p>
    <w:p w:rsidR="0098243B" w:rsidRDefault="00066BD3">
      <w:pPr>
        <w:numPr>
          <w:ilvl w:val="255"/>
          <w:numId w:val="0"/>
        </w:numPr>
        <w:jc w:val="center"/>
        <w:rPr>
          <w:rFonts w:ascii="黑体" w:eastAsia="黑体" w:hAnsi="黑体" w:cs="黑体"/>
          <w:spacing w:val="4"/>
          <w:sz w:val="52"/>
          <w:szCs w:val="52"/>
          <w:shd w:val="clear" w:color="auto" w:fill="FFFFFF"/>
        </w:rPr>
      </w:pPr>
      <w:r>
        <w:rPr>
          <w:rFonts w:ascii="黑体" w:eastAsia="黑体" w:hAnsi="黑体" w:cs="黑体" w:hint="eastAsia"/>
          <w:spacing w:val="4"/>
          <w:sz w:val="52"/>
          <w:szCs w:val="52"/>
          <w:shd w:val="clear" w:color="auto" w:fill="FFFFFF"/>
        </w:rPr>
        <w:t>微纳米EGCG沙拉酱</w:t>
      </w:r>
    </w:p>
    <w:p w:rsidR="0098243B" w:rsidRDefault="0098243B">
      <w:pPr>
        <w:jc w:val="center"/>
        <w:rPr>
          <w:rFonts w:ascii="黑体" w:eastAsia="黑体" w:hAnsi="黑体"/>
          <w:sz w:val="52"/>
          <w:szCs w:val="52"/>
        </w:rPr>
      </w:pPr>
    </w:p>
    <w:p w:rsidR="0098243B" w:rsidRDefault="0098243B">
      <w:pPr>
        <w:jc w:val="both"/>
        <w:rPr>
          <w:rFonts w:ascii="黑体" w:eastAsia="黑体" w:hAnsi="黑体"/>
          <w:sz w:val="52"/>
          <w:szCs w:val="52"/>
        </w:rPr>
      </w:pPr>
    </w:p>
    <w:p w:rsidR="0098243B" w:rsidRDefault="0098243B">
      <w:pPr>
        <w:jc w:val="both"/>
        <w:rPr>
          <w:rFonts w:ascii="黑体" w:eastAsia="黑体" w:hAnsi="黑体"/>
          <w:sz w:val="52"/>
          <w:szCs w:val="52"/>
        </w:rPr>
      </w:pPr>
    </w:p>
    <w:p w:rsidR="0098243B" w:rsidRDefault="0098243B">
      <w:pPr>
        <w:jc w:val="both"/>
        <w:rPr>
          <w:rFonts w:ascii="黑体" w:eastAsia="黑体" w:hAnsi="黑体"/>
          <w:sz w:val="52"/>
          <w:szCs w:val="52"/>
        </w:rPr>
      </w:pPr>
    </w:p>
    <w:p w:rsidR="0098243B" w:rsidRDefault="0098243B">
      <w:pPr>
        <w:jc w:val="both"/>
        <w:rPr>
          <w:rFonts w:ascii="黑体" w:eastAsia="黑体" w:hAnsi="黑体"/>
          <w:sz w:val="52"/>
          <w:szCs w:val="52"/>
        </w:rPr>
      </w:pPr>
    </w:p>
    <w:p w:rsidR="0098243B" w:rsidRDefault="0098243B">
      <w:pPr>
        <w:jc w:val="both"/>
        <w:rPr>
          <w:rFonts w:ascii="黑体" w:eastAsia="黑体" w:hAnsi="黑体"/>
          <w:sz w:val="52"/>
          <w:szCs w:val="52"/>
        </w:rPr>
      </w:pPr>
    </w:p>
    <w:p w:rsidR="0098243B" w:rsidRDefault="0098243B">
      <w:pPr>
        <w:jc w:val="both"/>
        <w:rPr>
          <w:rFonts w:ascii="黑体" w:eastAsia="黑体" w:hAnsi="黑体"/>
          <w:sz w:val="52"/>
          <w:szCs w:val="52"/>
        </w:rPr>
      </w:pPr>
    </w:p>
    <w:p w:rsidR="0098243B" w:rsidRDefault="004F420B">
      <w:pPr>
        <w:jc w:val="both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/>
          <w:sz w:val="52"/>
          <w:szCs w:val="52"/>
        </w:rPr>
        <w:pict>
          <v:rect id="1029" o:spid="_x0000_s1029" style="position:absolute;left:0;text-align:left;margin-left:234.9pt;margin-top:42.65pt;width:166.05pt;height:42.9pt;z-index:5;visibility:visible;mso-width-percent:400;mso-wrap-distance-left:0;mso-wrap-distance-right:0;mso-width-percent:400;mso-width-relative:margin" stroked="f">
            <v:textbox>
              <w:txbxContent>
                <w:p w:rsidR="0098243B" w:rsidRDefault="00066BD3">
                  <w:pPr>
                    <w:ind w:firstLineChars="250" w:firstLine="700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/>
                      <w:sz w:val="28"/>
                      <w:szCs w:val="28"/>
                    </w:rPr>
                    <w:t>2025</w:t>
                  </w: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-</w:t>
                  </w:r>
                  <w:r>
                    <w:rPr>
                      <w:rFonts w:ascii="黑体" w:eastAsia="黑体" w:hAnsi="黑体"/>
                      <w:sz w:val="28"/>
                      <w:szCs w:val="28"/>
                    </w:rPr>
                    <w:t>07</w:t>
                  </w: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-</w:t>
                  </w:r>
                  <w:r>
                    <w:rPr>
                      <w:rFonts w:ascii="黑体" w:eastAsia="黑体" w:hAnsi="黑体"/>
                      <w:sz w:val="28"/>
                      <w:szCs w:val="28"/>
                    </w:rPr>
                    <w:t xml:space="preserve">01 </w:t>
                  </w: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实施</w:t>
                  </w:r>
                </w:p>
              </w:txbxContent>
            </v:textbox>
          </v:rect>
        </w:pict>
      </w:r>
      <w:r>
        <w:rPr>
          <w:rFonts w:ascii="黑体" w:eastAsia="黑体" w:hAnsi="黑体"/>
          <w:sz w:val="52"/>
          <w:szCs w:val="52"/>
        </w:rPr>
        <w:pict>
          <v:rect id="1030" o:spid="_x0000_s1028" style="position:absolute;left:0;text-align:left;margin-left:1.95pt;margin-top:42.65pt;width:166.05pt;height:38.4pt;z-index:4;visibility:visible;mso-width-percent:400;mso-height-percent:200;mso-wrap-distance-left:0;mso-wrap-distance-right:0;mso-width-percent:400;mso-height-percent:200;mso-width-relative:margin;mso-height-relative:margin" stroked="f">
            <v:textbox style="mso-fit-shape-to-text:t">
              <w:txbxContent>
                <w:p w:rsidR="0098243B" w:rsidRDefault="00066BD3">
                  <w:pPr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/>
                      <w:sz w:val="28"/>
                      <w:szCs w:val="28"/>
                    </w:rPr>
                    <w:t>2025</w:t>
                  </w: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-</w:t>
                  </w:r>
                  <w:r>
                    <w:rPr>
                      <w:rFonts w:ascii="黑体" w:eastAsia="黑体" w:hAnsi="黑体"/>
                      <w:sz w:val="28"/>
                      <w:szCs w:val="28"/>
                    </w:rPr>
                    <w:t>06</w:t>
                  </w: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-</w:t>
                  </w:r>
                  <w:r>
                    <w:rPr>
                      <w:rFonts w:ascii="黑体" w:eastAsia="黑体" w:hAnsi="黑体"/>
                      <w:sz w:val="28"/>
                      <w:szCs w:val="28"/>
                    </w:rPr>
                    <w:t>27</w:t>
                  </w: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 xml:space="preserve"> 发布</w:t>
                  </w:r>
                </w:p>
              </w:txbxContent>
            </v:textbox>
          </v:rect>
        </w:pict>
      </w:r>
    </w:p>
    <w:p w:rsidR="0098243B" w:rsidRDefault="004F420B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/>
          <w:sz w:val="52"/>
          <w:szCs w:val="52"/>
        </w:rPr>
        <w:pict>
          <v:rect id="1031" o:spid="_x0000_s1027" style="position:absolute;left:0;text-align:left;margin-left:-9.75pt;margin-top:29.95pt;width:445.15pt;height:84.75pt;z-index:6;visibility:visible;mso-wrap-distance-left:0;mso-wrap-distance-right:0" stroked="f">
            <v:textbox>
              <w:txbxContent>
                <w:p w:rsidR="0098243B" w:rsidRDefault="00066BD3">
                  <w:pPr>
                    <w:rPr>
                      <w:rFonts w:ascii="华文中宋" w:eastAsia="华文中宋" w:hAnsi="华文中宋"/>
                      <w:sz w:val="32"/>
                      <w:szCs w:val="32"/>
                    </w:rPr>
                  </w:pPr>
                  <w:r>
                    <w:rPr>
                      <w:rFonts w:ascii="华文中宋" w:eastAsia="华文中宋" w:hAnsi="华文中宋" w:hint="eastAsia"/>
                      <w:sz w:val="32"/>
                      <w:szCs w:val="32"/>
                    </w:rPr>
                    <w:t>—————————————————————————</w:t>
                  </w:r>
                </w:p>
                <w:p w:rsidR="0098243B" w:rsidRDefault="00066BD3">
                  <w:pPr>
                    <w:jc w:val="center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/>
                      <w:sz w:val="28"/>
                      <w:szCs w:val="28"/>
                    </w:rPr>
                    <w:t>浙江省茶叶产业协会发布</w:t>
                  </w:r>
                </w:p>
              </w:txbxContent>
            </v:textbox>
          </v:rect>
        </w:pict>
      </w:r>
    </w:p>
    <w:p w:rsidR="0098243B" w:rsidRDefault="0098243B">
      <w:pPr>
        <w:spacing w:line="360" w:lineRule="auto"/>
      </w:pPr>
      <w:bookmarkStart w:id="0" w:name="page2"/>
      <w:bookmarkEnd w:id="0"/>
    </w:p>
    <w:p w:rsidR="0098243B" w:rsidRDefault="0098243B">
      <w:pPr>
        <w:spacing w:line="360" w:lineRule="auto"/>
        <w:jc w:val="center"/>
        <w:rPr>
          <w:rFonts w:ascii="宋体" w:hAnsi="宋体" w:cs="宋体"/>
          <w:sz w:val="21"/>
          <w:szCs w:val="21"/>
        </w:rPr>
        <w:sectPr w:rsidR="0098243B">
          <w:headerReference w:type="even" r:id="rId8"/>
          <w:headerReference w:type="default" r:id="rId9"/>
          <w:headerReference w:type="first" r:id="rId10"/>
          <w:pgSz w:w="11900" w:h="16838"/>
          <w:pgMar w:top="1417" w:right="1134" w:bottom="1134" w:left="1417" w:header="0" w:footer="0" w:gutter="0"/>
          <w:cols w:space="720" w:equalWidth="0">
            <w:col w:w="9026"/>
          </w:cols>
        </w:sectPr>
      </w:pPr>
    </w:p>
    <w:p w:rsidR="0098243B" w:rsidRDefault="00066BD3">
      <w:pPr>
        <w:pStyle w:val="ac"/>
        <w:tabs>
          <w:tab w:val="center" w:pos="4677"/>
          <w:tab w:val="right" w:pos="9355"/>
        </w:tabs>
        <w:spacing w:before="360" w:after="360" w:line="400" w:lineRule="exact"/>
        <w:rPr>
          <w:rFonts w:ascii="Times New Roman"/>
        </w:rPr>
      </w:pPr>
      <w:bookmarkStart w:id="1" w:name="_Toc18624"/>
      <w:r>
        <w:rPr>
          <w:rFonts w:ascii="Times New Roman"/>
          <w:spacing w:val="160"/>
          <w:fitText w:val="960" w:id="1521357110"/>
        </w:rPr>
        <w:lastRenderedPageBreak/>
        <w:t>前</w:t>
      </w:r>
      <w:r>
        <w:rPr>
          <w:rFonts w:ascii="Times New Roman"/>
          <w:fitText w:val="960" w:id="1521357110"/>
        </w:rPr>
        <w:t>言</w:t>
      </w:r>
      <w:bookmarkEnd w:id="1"/>
    </w:p>
    <w:p w:rsidR="0098243B" w:rsidRDefault="00066BD3">
      <w:pPr>
        <w:widowControl w:val="0"/>
        <w:spacing w:line="400" w:lineRule="exact"/>
        <w:ind w:firstLineChars="200" w:firstLine="420"/>
        <w:jc w:val="both"/>
        <w:rPr>
          <w:kern w:val="2"/>
          <w:sz w:val="21"/>
        </w:rPr>
      </w:pPr>
      <w:r>
        <w:rPr>
          <w:kern w:val="2"/>
          <w:sz w:val="21"/>
        </w:rPr>
        <w:t>本文件按照</w:t>
      </w:r>
      <w:r>
        <w:rPr>
          <w:kern w:val="2"/>
          <w:sz w:val="21"/>
        </w:rPr>
        <w:t>GB/T 1.1—2020</w:t>
      </w:r>
      <w:r>
        <w:rPr>
          <w:kern w:val="2"/>
          <w:sz w:val="21"/>
        </w:rPr>
        <w:t>《标准化工作导则</w:t>
      </w:r>
      <w:r>
        <w:rPr>
          <w:kern w:val="2"/>
          <w:sz w:val="21"/>
        </w:rPr>
        <w:t xml:space="preserve"> </w:t>
      </w:r>
      <w:r>
        <w:rPr>
          <w:kern w:val="2"/>
          <w:sz w:val="21"/>
        </w:rPr>
        <w:t>第</w:t>
      </w:r>
      <w:r>
        <w:rPr>
          <w:kern w:val="2"/>
          <w:sz w:val="21"/>
        </w:rPr>
        <w:t>1</w:t>
      </w:r>
      <w:r>
        <w:rPr>
          <w:kern w:val="2"/>
          <w:sz w:val="21"/>
        </w:rPr>
        <w:t>部分：标准化文件的结构和起草规则》的规定起草。</w:t>
      </w:r>
    </w:p>
    <w:p w:rsidR="0098243B" w:rsidRDefault="00066BD3">
      <w:pPr>
        <w:widowControl w:val="0"/>
        <w:spacing w:line="400" w:lineRule="exact"/>
        <w:ind w:firstLineChars="200" w:firstLine="420"/>
        <w:jc w:val="both"/>
        <w:rPr>
          <w:kern w:val="2"/>
          <w:sz w:val="21"/>
        </w:rPr>
      </w:pPr>
      <w:r>
        <w:rPr>
          <w:kern w:val="2"/>
          <w:sz w:val="21"/>
        </w:rPr>
        <w:t>请注意本文件的某些内容可能涉及专利。本文件的发布机构不承担识别专利的责任。</w:t>
      </w:r>
    </w:p>
    <w:p w:rsidR="0098243B" w:rsidRDefault="00066BD3">
      <w:pPr>
        <w:widowControl w:val="0"/>
        <w:spacing w:line="400" w:lineRule="exact"/>
        <w:ind w:firstLineChars="200" w:firstLine="420"/>
        <w:jc w:val="both"/>
        <w:rPr>
          <w:kern w:val="2"/>
          <w:sz w:val="21"/>
        </w:rPr>
      </w:pPr>
      <w:r>
        <w:rPr>
          <w:kern w:val="2"/>
          <w:sz w:val="21"/>
        </w:rPr>
        <w:t>本文件由浙江省茶叶集团股份有限公司提出。</w:t>
      </w:r>
    </w:p>
    <w:p w:rsidR="0098243B" w:rsidRDefault="00066BD3">
      <w:pPr>
        <w:widowControl w:val="0"/>
        <w:spacing w:line="400" w:lineRule="exact"/>
        <w:ind w:firstLineChars="200" w:firstLine="420"/>
        <w:jc w:val="both"/>
        <w:rPr>
          <w:kern w:val="2"/>
          <w:sz w:val="21"/>
        </w:rPr>
      </w:pPr>
      <w:r>
        <w:rPr>
          <w:kern w:val="2"/>
          <w:sz w:val="21"/>
        </w:rPr>
        <w:t>本文件由浙江省茶叶产业协会归口。</w:t>
      </w:r>
    </w:p>
    <w:p w:rsidR="0098243B" w:rsidRDefault="00066BD3">
      <w:pPr>
        <w:widowControl w:val="0"/>
        <w:spacing w:line="400" w:lineRule="exact"/>
        <w:ind w:firstLineChars="200" w:firstLine="420"/>
        <w:jc w:val="both"/>
        <w:rPr>
          <w:kern w:val="2"/>
          <w:sz w:val="21"/>
        </w:rPr>
      </w:pPr>
      <w:r>
        <w:rPr>
          <w:kern w:val="2"/>
          <w:sz w:val="21"/>
        </w:rPr>
        <w:t>本文件起草单位：浙江省茶叶集团股份有限公司、浙江农林⼤学、浙江⼤学、浙江兴合茶业科技有限公司、浙江经贸职业技术学院、浙江省茶叶加工技术研究院。</w:t>
      </w:r>
    </w:p>
    <w:p w:rsidR="0098243B" w:rsidRDefault="00066BD3">
      <w:pPr>
        <w:widowControl w:val="0"/>
        <w:spacing w:line="400" w:lineRule="exact"/>
        <w:ind w:firstLineChars="200" w:firstLine="420"/>
        <w:jc w:val="both"/>
        <w:rPr>
          <w:kern w:val="2"/>
          <w:sz w:val="21"/>
        </w:rPr>
      </w:pPr>
      <w:r>
        <w:rPr>
          <w:kern w:val="2"/>
          <w:sz w:val="21"/>
        </w:rPr>
        <w:t>本文件主要起草人：夏兵、金鹏、解东超、王阳、何晨蕾、孙达、刘松柏、王玉春、夏强、章乐。</w:t>
      </w:r>
    </w:p>
    <w:p w:rsidR="0098243B" w:rsidRDefault="0098243B">
      <w:pPr>
        <w:spacing w:line="360" w:lineRule="auto"/>
      </w:pPr>
    </w:p>
    <w:p w:rsidR="0098243B" w:rsidRDefault="0098243B">
      <w:pPr>
        <w:spacing w:line="360" w:lineRule="auto"/>
      </w:pPr>
    </w:p>
    <w:p w:rsidR="0098243B" w:rsidRDefault="0098243B">
      <w:pPr>
        <w:spacing w:line="360" w:lineRule="auto"/>
      </w:pPr>
    </w:p>
    <w:p w:rsidR="0098243B" w:rsidRDefault="0098243B">
      <w:pPr>
        <w:spacing w:line="360" w:lineRule="auto"/>
      </w:pPr>
    </w:p>
    <w:p w:rsidR="0098243B" w:rsidRDefault="0098243B">
      <w:pPr>
        <w:spacing w:line="360" w:lineRule="auto"/>
      </w:pPr>
    </w:p>
    <w:p w:rsidR="0098243B" w:rsidRDefault="0098243B">
      <w:pPr>
        <w:spacing w:line="360" w:lineRule="auto"/>
      </w:pPr>
    </w:p>
    <w:p w:rsidR="0098243B" w:rsidRDefault="0098243B">
      <w:pPr>
        <w:spacing w:line="360" w:lineRule="auto"/>
      </w:pPr>
    </w:p>
    <w:p w:rsidR="0098243B" w:rsidRDefault="0098243B">
      <w:pPr>
        <w:spacing w:line="360" w:lineRule="auto"/>
      </w:pPr>
    </w:p>
    <w:p w:rsidR="0098243B" w:rsidRDefault="0098243B">
      <w:pPr>
        <w:spacing w:line="360" w:lineRule="auto"/>
      </w:pPr>
    </w:p>
    <w:p w:rsidR="0098243B" w:rsidRDefault="0098243B">
      <w:pPr>
        <w:spacing w:line="360" w:lineRule="auto"/>
      </w:pPr>
    </w:p>
    <w:p w:rsidR="0098243B" w:rsidRDefault="0098243B">
      <w:pPr>
        <w:spacing w:line="360" w:lineRule="auto"/>
      </w:pPr>
    </w:p>
    <w:p w:rsidR="0098243B" w:rsidRDefault="0098243B">
      <w:pPr>
        <w:spacing w:line="360" w:lineRule="auto"/>
      </w:pPr>
    </w:p>
    <w:p w:rsidR="0098243B" w:rsidRDefault="0098243B">
      <w:pPr>
        <w:spacing w:line="360" w:lineRule="auto"/>
      </w:pPr>
    </w:p>
    <w:p w:rsidR="0098243B" w:rsidRDefault="0098243B">
      <w:pPr>
        <w:spacing w:line="360" w:lineRule="auto"/>
      </w:pPr>
    </w:p>
    <w:p w:rsidR="0098243B" w:rsidRDefault="0098243B">
      <w:pPr>
        <w:spacing w:line="360" w:lineRule="auto"/>
      </w:pPr>
    </w:p>
    <w:p w:rsidR="0098243B" w:rsidRDefault="0098243B">
      <w:pPr>
        <w:spacing w:line="360" w:lineRule="auto"/>
      </w:pPr>
    </w:p>
    <w:p w:rsidR="0098243B" w:rsidRDefault="0098243B">
      <w:pPr>
        <w:spacing w:line="360" w:lineRule="auto"/>
      </w:pPr>
    </w:p>
    <w:p w:rsidR="0098243B" w:rsidRDefault="0098243B">
      <w:pPr>
        <w:spacing w:line="360" w:lineRule="auto"/>
      </w:pPr>
    </w:p>
    <w:p w:rsidR="0098243B" w:rsidRDefault="0098243B">
      <w:pPr>
        <w:spacing w:line="360" w:lineRule="auto"/>
      </w:pPr>
    </w:p>
    <w:p w:rsidR="0098243B" w:rsidRDefault="0098243B">
      <w:pPr>
        <w:spacing w:line="360" w:lineRule="auto"/>
      </w:pPr>
    </w:p>
    <w:p w:rsidR="0098243B" w:rsidRDefault="0098243B">
      <w:pPr>
        <w:spacing w:line="360" w:lineRule="auto"/>
        <w:sectPr w:rsidR="0098243B">
          <w:headerReference w:type="default" r:id="rId11"/>
          <w:footerReference w:type="default" r:id="rId12"/>
          <w:pgSz w:w="11900" w:h="16838"/>
          <w:pgMar w:top="1417" w:right="1134" w:bottom="1134" w:left="1417" w:header="1417" w:footer="1134" w:gutter="0"/>
          <w:pgNumType w:fmt="upperRoman" w:start="1"/>
          <w:cols w:space="720" w:equalWidth="0">
            <w:col w:w="9026"/>
          </w:cols>
        </w:sectPr>
      </w:pPr>
    </w:p>
    <w:p w:rsidR="0098243B" w:rsidRDefault="00066BD3">
      <w:pPr>
        <w:numPr>
          <w:ilvl w:val="255"/>
          <w:numId w:val="0"/>
        </w:numPr>
        <w:spacing w:line="440" w:lineRule="exact"/>
        <w:jc w:val="center"/>
        <w:rPr>
          <w:rFonts w:eastAsia="黑体"/>
          <w:sz w:val="21"/>
          <w:szCs w:val="21"/>
        </w:rPr>
      </w:pPr>
      <w:bookmarkStart w:id="2" w:name="page3"/>
      <w:bookmarkEnd w:id="2"/>
      <w:r>
        <w:rPr>
          <w:rFonts w:eastAsia="黑体"/>
          <w:sz w:val="32"/>
          <w:szCs w:val="32"/>
        </w:rPr>
        <w:lastRenderedPageBreak/>
        <w:t>微纳米</w:t>
      </w:r>
      <w:r>
        <w:rPr>
          <w:rFonts w:eastAsia="黑体"/>
          <w:sz w:val="32"/>
          <w:szCs w:val="32"/>
        </w:rPr>
        <w:t>EGCG</w:t>
      </w:r>
      <w:r>
        <w:rPr>
          <w:rFonts w:eastAsia="黑体"/>
          <w:sz w:val="32"/>
          <w:szCs w:val="32"/>
        </w:rPr>
        <w:t>沙拉酱</w:t>
      </w:r>
    </w:p>
    <w:p w:rsidR="0098243B" w:rsidRDefault="00066BD3" w:rsidP="00FB73E4">
      <w:pPr>
        <w:pStyle w:val="1"/>
        <w:numPr>
          <w:ilvl w:val="0"/>
          <w:numId w:val="0"/>
        </w:numPr>
        <w:spacing w:before="240" w:after="240"/>
        <w:rPr>
          <w:sz w:val="21"/>
        </w:rPr>
      </w:pPr>
      <w:r>
        <w:rPr>
          <w:sz w:val="21"/>
        </w:rPr>
        <w:t xml:space="preserve">1 </w:t>
      </w:r>
      <w:r>
        <w:rPr>
          <w:sz w:val="21"/>
        </w:rPr>
        <w:t>范围</w:t>
      </w:r>
    </w:p>
    <w:p w:rsidR="0098243B" w:rsidRDefault="00066BD3">
      <w:pPr>
        <w:numPr>
          <w:ilvl w:val="255"/>
          <w:numId w:val="0"/>
        </w:numPr>
        <w:spacing w:line="440" w:lineRule="exact"/>
        <w:ind w:firstLineChars="200" w:firstLine="420"/>
        <w:jc w:val="both"/>
        <w:rPr>
          <w:sz w:val="21"/>
          <w:szCs w:val="21"/>
        </w:rPr>
      </w:pPr>
      <w:r>
        <w:rPr>
          <w:sz w:val="21"/>
          <w:szCs w:val="21"/>
        </w:rPr>
        <w:t>本文件规定了应用微纳米表没食子儿茶素没食子酸酯（</w:t>
      </w:r>
      <w:r>
        <w:rPr>
          <w:sz w:val="21"/>
          <w:szCs w:val="21"/>
        </w:rPr>
        <w:t>EGCG</w:t>
      </w:r>
      <w:r>
        <w:rPr>
          <w:sz w:val="21"/>
          <w:szCs w:val="21"/>
        </w:rPr>
        <w:t>）沙拉酱的术语和定义、原辅料、生产加工过程、技术要求、检验规则、标志和标签、包装、运输、贮存。</w:t>
      </w:r>
    </w:p>
    <w:p w:rsidR="0098243B" w:rsidRDefault="00066BD3">
      <w:pPr>
        <w:numPr>
          <w:ilvl w:val="255"/>
          <w:numId w:val="0"/>
        </w:numPr>
        <w:spacing w:line="440" w:lineRule="exact"/>
        <w:ind w:firstLineChars="200" w:firstLine="420"/>
        <w:jc w:val="both"/>
        <w:rPr>
          <w:sz w:val="21"/>
          <w:szCs w:val="21"/>
        </w:rPr>
      </w:pPr>
      <w:r>
        <w:rPr>
          <w:sz w:val="21"/>
          <w:szCs w:val="21"/>
        </w:rPr>
        <w:t>本文件适用于沙拉酱生产、检验和销售。</w:t>
      </w:r>
    </w:p>
    <w:p w:rsidR="0098243B" w:rsidRDefault="00066BD3" w:rsidP="00FB73E4">
      <w:pPr>
        <w:pStyle w:val="1"/>
        <w:numPr>
          <w:ilvl w:val="0"/>
          <w:numId w:val="0"/>
        </w:numPr>
        <w:spacing w:before="240" w:after="240"/>
        <w:rPr>
          <w:sz w:val="21"/>
        </w:rPr>
      </w:pPr>
      <w:r>
        <w:rPr>
          <w:sz w:val="21"/>
        </w:rPr>
        <w:t xml:space="preserve">2 </w:t>
      </w:r>
      <w:r>
        <w:rPr>
          <w:sz w:val="21"/>
        </w:rPr>
        <w:t>规范性引用文件</w:t>
      </w:r>
    </w:p>
    <w:p w:rsidR="0098243B" w:rsidRDefault="00066BD3">
      <w:pPr>
        <w:spacing w:line="44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下列文件对于本文件的应用是必不可少的。注日期的引用文件，仅该日期的版本适用；未注日期的引用文件，其最新版本（包括所有的修改单）适用。</w:t>
      </w:r>
    </w:p>
    <w:p w:rsidR="0098243B" w:rsidRDefault="00066BD3">
      <w:pPr>
        <w:spacing w:line="44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 xml:space="preserve">GB/T 191 </w:t>
      </w:r>
      <w:r>
        <w:rPr>
          <w:sz w:val="21"/>
          <w:szCs w:val="21"/>
        </w:rPr>
        <w:t>包装储运图示标志</w:t>
      </w:r>
    </w:p>
    <w:p w:rsidR="0098243B" w:rsidRDefault="00066BD3">
      <w:pPr>
        <w:spacing w:line="44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 xml:space="preserve">GB/T 317 </w:t>
      </w:r>
      <w:r>
        <w:rPr>
          <w:sz w:val="21"/>
          <w:szCs w:val="21"/>
        </w:rPr>
        <w:t>白砂糖</w:t>
      </w:r>
    </w:p>
    <w:p w:rsidR="0098243B" w:rsidRDefault="00066BD3">
      <w:pPr>
        <w:spacing w:line="44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 xml:space="preserve">GB 2716 </w:t>
      </w:r>
      <w:r>
        <w:rPr>
          <w:sz w:val="21"/>
          <w:szCs w:val="21"/>
        </w:rPr>
        <w:t>食品安全国家标准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植物油</w:t>
      </w:r>
    </w:p>
    <w:p w:rsidR="0098243B" w:rsidRDefault="00066BD3">
      <w:pPr>
        <w:spacing w:line="44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 xml:space="preserve">GB 2719 </w:t>
      </w:r>
      <w:r>
        <w:rPr>
          <w:sz w:val="21"/>
          <w:szCs w:val="21"/>
        </w:rPr>
        <w:t>食品安全国家标准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食醋</w:t>
      </w:r>
    </w:p>
    <w:p w:rsidR="0098243B" w:rsidRDefault="00066BD3">
      <w:pPr>
        <w:spacing w:line="44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 xml:space="preserve">GB 2721 </w:t>
      </w:r>
      <w:r>
        <w:rPr>
          <w:sz w:val="21"/>
          <w:szCs w:val="21"/>
        </w:rPr>
        <w:t>食品安全国家标准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食用盐</w:t>
      </w:r>
    </w:p>
    <w:p w:rsidR="0098243B" w:rsidRDefault="00066BD3">
      <w:pPr>
        <w:spacing w:line="44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 xml:space="preserve">GB 2749 </w:t>
      </w:r>
      <w:r>
        <w:rPr>
          <w:sz w:val="21"/>
          <w:szCs w:val="21"/>
        </w:rPr>
        <w:t>食品安全国家标准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蛋与蛋制品</w:t>
      </w:r>
    </w:p>
    <w:p w:rsidR="0098243B" w:rsidRDefault="00066BD3">
      <w:pPr>
        <w:spacing w:line="44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 xml:space="preserve">GB 2760 </w:t>
      </w:r>
      <w:r>
        <w:rPr>
          <w:sz w:val="21"/>
          <w:szCs w:val="21"/>
        </w:rPr>
        <w:t>食品安全国家标准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食品添加剂使用标准</w:t>
      </w:r>
    </w:p>
    <w:p w:rsidR="0098243B" w:rsidRDefault="00066BD3">
      <w:pPr>
        <w:spacing w:line="44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 xml:space="preserve">GB 2762 </w:t>
      </w:r>
      <w:r>
        <w:rPr>
          <w:sz w:val="21"/>
          <w:szCs w:val="21"/>
        </w:rPr>
        <w:t>食品安全国家标准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食品中污染物限量</w:t>
      </w:r>
    </w:p>
    <w:p w:rsidR="0098243B" w:rsidRDefault="00066BD3">
      <w:pPr>
        <w:spacing w:line="44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 xml:space="preserve">GB 4806.5 </w:t>
      </w:r>
      <w:r>
        <w:rPr>
          <w:sz w:val="21"/>
          <w:szCs w:val="21"/>
        </w:rPr>
        <w:t>食品安全国家标准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玻璃制品</w:t>
      </w:r>
    </w:p>
    <w:p w:rsidR="0098243B" w:rsidRDefault="00066BD3">
      <w:pPr>
        <w:spacing w:line="44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 xml:space="preserve">GB 4806.7 </w:t>
      </w:r>
      <w:r>
        <w:rPr>
          <w:sz w:val="21"/>
          <w:szCs w:val="21"/>
        </w:rPr>
        <w:t>食品安全国家标准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食品接触用塑料材料及制品</w:t>
      </w:r>
    </w:p>
    <w:p w:rsidR="0098243B" w:rsidRDefault="00066BD3">
      <w:pPr>
        <w:spacing w:line="44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 xml:space="preserve">GB 4806.13 </w:t>
      </w:r>
      <w:r>
        <w:rPr>
          <w:sz w:val="21"/>
          <w:szCs w:val="21"/>
        </w:rPr>
        <w:t>食品安全国家标准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食品接触用复合材料及制品</w:t>
      </w:r>
    </w:p>
    <w:p w:rsidR="0098243B" w:rsidRDefault="00066BD3">
      <w:pPr>
        <w:spacing w:line="44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 xml:space="preserve">GB 5009.6 </w:t>
      </w:r>
      <w:r>
        <w:rPr>
          <w:sz w:val="21"/>
          <w:szCs w:val="21"/>
        </w:rPr>
        <w:t>食品安全国家标准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食品中脂肪的测定</w:t>
      </w:r>
    </w:p>
    <w:p w:rsidR="0098243B" w:rsidRDefault="00066BD3">
      <w:pPr>
        <w:spacing w:line="44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 xml:space="preserve">GB 5009.237 </w:t>
      </w:r>
      <w:r>
        <w:rPr>
          <w:sz w:val="21"/>
          <w:szCs w:val="21"/>
        </w:rPr>
        <w:t>食品安全国家标准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食品</w:t>
      </w:r>
      <w:r>
        <w:rPr>
          <w:sz w:val="21"/>
          <w:szCs w:val="21"/>
        </w:rPr>
        <w:t>pH</w:t>
      </w:r>
      <w:r>
        <w:rPr>
          <w:sz w:val="21"/>
          <w:szCs w:val="21"/>
        </w:rPr>
        <w:t>值的测定</w:t>
      </w:r>
    </w:p>
    <w:p w:rsidR="0098243B" w:rsidRDefault="00066BD3">
      <w:pPr>
        <w:spacing w:line="44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 xml:space="preserve">GB 5749 </w:t>
      </w:r>
      <w:r>
        <w:rPr>
          <w:sz w:val="21"/>
          <w:szCs w:val="21"/>
        </w:rPr>
        <w:t>生活饮用水卫生标准</w:t>
      </w:r>
    </w:p>
    <w:p w:rsidR="0098243B" w:rsidRDefault="00066BD3">
      <w:pPr>
        <w:spacing w:line="44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 xml:space="preserve">GB 7718 </w:t>
      </w:r>
      <w:r>
        <w:rPr>
          <w:sz w:val="21"/>
          <w:szCs w:val="21"/>
        </w:rPr>
        <w:t>食品安全国家标准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预包装食品标签通则</w:t>
      </w:r>
    </w:p>
    <w:p w:rsidR="0098243B" w:rsidRDefault="00066BD3">
      <w:pPr>
        <w:spacing w:line="44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 xml:space="preserve">GB 12456 </w:t>
      </w:r>
      <w:r>
        <w:rPr>
          <w:sz w:val="21"/>
          <w:szCs w:val="21"/>
        </w:rPr>
        <w:t>食品安全国家标准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食品中总酸的测定</w:t>
      </w:r>
    </w:p>
    <w:p w:rsidR="0098243B" w:rsidRDefault="00066BD3">
      <w:pPr>
        <w:spacing w:line="44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 xml:space="preserve">GB 14881 </w:t>
      </w:r>
      <w:r>
        <w:rPr>
          <w:sz w:val="21"/>
          <w:szCs w:val="21"/>
        </w:rPr>
        <w:t>食品生产通用卫生规范</w:t>
      </w:r>
    </w:p>
    <w:p w:rsidR="0098243B" w:rsidRDefault="00066BD3">
      <w:pPr>
        <w:spacing w:line="44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 xml:space="preserve">GB/T 20903 </w:t>
      </w:r>
      <w:r>
        <w:rPr>
          <w:sz w:val="21"/>
          <w:szCs w:val="21"/>
        </w:rPr>
        <w:t>调味品分类</w:t>
      </w:r>
    </w:p>
    <w:p w:rsidR="0098243B" w:rsidRDefault="00066BD3">
      <w:pPr>
        <w:numPr>
          <w:ilvl w:val="255"/>
          <w:numId w:val="0"/>
        </w:numPr>
        <w:spacing w:line="44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 xml:space="preserve">GB 23350 </w:t>
      </w:r>
      <w:r>
        <w:rPr>
          <w:sz w:val="21"/>
          <w:szCs w:val="21"/>
        </w:rPr>
        <w:t>限制商品过度包装要求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食品和化妆品</w:t>
      </w:r>
    </w:p>
    <w:p w:rsidR="0098243B" w:rsidRDefault="00066BD3">
      <w:pPr>
        <w:spacing w:line="44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 xml:space="preserve">GB 28050 </w:t>
      </w:r>
      <w:r>
        <w:rPr>
          <w:sz w:val="21"/>
          <w:szCs w:val="21"/>
        </w:rPr>
        <w:t>食品安全国家标准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预包装食品营养标签通则</w:t>
      </w:r>
    </w:p>
    <w:p w:rsidR="0098243B" w:rsidRDefault="00066BD3">
      <w:pPr>
        <w:spacing w:line="44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 xml:space="preserve">GB 29921 </w:t>
      </w:r>
      <w:r>
        <w:rPr>
          <w:sz w:val="21"/>
          <w:szCs w:val="21"/>
        </w:rPr>
        <w:t>食品安全国家标准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预包装食品中致病菌限量</w:t>
      </w:r>
    </w:p>
    <w:p w:rsidR="0098243B" w:rsidRDefault="00066BD3">
      <w:pPr>
        <w:spacing w:line="44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lastRenderedPageBreak/>
        <w:t>SB/T 10753</w:t>
      </w:r>
      <w:r>
        <w:rPr>
          <w:sz w:val="21"/>
          <w:szCs w:val="21"/>
        </w:rPr>
        <w:t>沙拉酱</w:t>
      </w:r>
    </w:p>
    <w:p w:rsidR="0098243B" w:rsidRDefault="00066BD3">
      <w:pPr>
        <w:spacing w:line="44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 xml:space="preserve">JJF 1070 </w:t>
      </w:r>
      <w:r>
        <w:rPr>
          <w:sz w:val="21"/>
          <w:szCs w:val="21"/>
        </w:rPr>
        <w:t>定量包装商品净含量计量检验规则</w:t>
      </w:r>
    </w:p>
    <w:p w:rsidR="0098243B" w:rsidRDefault="00066BD3" w:rsidP="00FB73E4">
      <w:pPr>
        <w:pStyle w:val="1"/>
        <w:numPr>
          <w:ilvl w:val="0"/>
          <w:numId w:val="0"/>
        </w:numPr>
        <w:spacing w:before="240" w:after="240"/>
        <w:rPr>
          <w:sz w:val="21"/>
        </w:rPr>
      </w:pPr>
      <w:r>
        <w:rPr>
          <w:sz w:val="21"/>
        </w:rPr>
        <w:t xml:space="preserve">3 </w:t>
      </w:r>
      <w:r>
        <w:rPr>
          <w:sz w:val="21"/>
        </w:rPr>
        <w:t>术语和定义</w:t>
      </w:r>
    </w:p>
    <w:p w:rsidR="0098243B" w:rsidRDefault="00066BD3">
      <w:pPr>
        <w:spacing w:line="44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GB/T 20903</w:t>
      </w:r>
      <w:r>
        <w:rPr>
          <w:sz w:val="21"/>
          <w:szCs w:val="21"/>
        </w:rPr>
        <w:t>界定的以及下列术语和定义适用于本文件。</w:t>
      </w:r>
    </w:p>
    <w:p w:rsidR="0098243B" w:rsidRDefault="00066BD3" w:rsidP="00DF4C10">
      <w:pPr>
        <w:widowControl w:val="0"/>
        <w:spacing w:beforeLines="50" w:afterLines="50" w:line="400" w:lineRule="exact"/>
        <w:jc w:val="both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 xml:space="preserve">3.1 </w:t>
      </w:r>
      <w:r>
        <w:rPr>
          <w:rFonts w:eastAsia="黑体"/>
          <w:sz w:val="21"/>
          <w:szCs w:val="21"/>
        </w:rPr>
        <w:t>微纳米</w:t>
      </w:r>
      <w:r>
        <w:rPr>
          <w:rFonts w:eastAsia="黑体"/>
          <w:sz w:val="21"/>
          <w:szCs w:val="21"/>
        </w:rPr>
        <w:t>EGCG micro-nano EGCG</w:t>
      </w:r>
    </w:p>
    <w:p w:rsidR="0098243B" w:rsidRDefault="00066BD3">
      <w:pPr>
        <w:spacing w:line="44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应用微纳米技术，对</w:t>
      </w:r>
      <w:r>
        <w:rPr>
          <w:sz w:val="21"/>
          <w:szCs w:val="21"/>
        </w:rPr>
        <w:t>EGCG</w:t>
      </w:r>
      <w:r>
        <w:rPr>
          <w:sz w:val="21"/>
          <w:szCs w:val="21"/>
        </w:rPr>
        <w:t>（见附录</w:t>
      </w:r>
      <w:r>
        <w:rPr>
          <w:sz w:val="21"/>
          <w:szCs w:val="21"/>
        </w:rPr>
        <w:t>A</w:t>
      </w:r>
      <w:r>
        <w:rPr>
          <w:sz w:val="21"/>
          <w:szCs w:val="21"/>
        </w:rPr>
        <w:t>）进行处理，使其成为外部维度、内部或表面结构处于</w:t>
      </w:r>
      <w:r>
        <w:rPr>
          <w:sz w:val="21"/>
          <w:szCs w:val="21"/>
        </w:rPr>
        <w:t>50nm~20μm</w:t>
      </w:r>
      <w:r>
        <w:rPr>
          <w:sz w:val="21"/>
          <w:szCs w:val="21"/>
        </w:rPr>
        <w:t>尺度范围的微纳米材料。</w:t>
      </w:r>
    </w:p>
    <w:p w:rsidR="0098243B" w:rsidRDefault="00066BD3" w:rsidP="00DF4C10">
      <w:pPr>
        <w:widowControl w:val="0"/>
        <w:spacing w:beforeLines="50" w:afterLines="50" w:line="400" w:lineRule="exact"/>
        <w:jc w:val="both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 xml:space="preserve">3.2 </w:t>
      </w:r>
      <w:r>
        <w:rPr>
          <w:rFonts w:eastAsia="黑体"/>
          <w:sz w:val="21"/>
          <w:szCs w:val="21"/>
        </w:rPr>
        <w:t>微纳米</w:t>
      </w:r>
      <w:r>
        <w:rPr>
          <w:rFonts w:eastAsia="黑体"/>
          <w:sz w:val="21"/>
          <w:szCs w:val="21"/>
        </w:rPr>
        <w:t>EGCG</w:t>
      </w:r>
      <w:r>
        <w:rPr>
          <w:rFonts w:eastAsia="黑体"/>
          <w:sz w:val="21"/>
          <w:szCs w:val="21"/>
        </w:rPr>
        <w:t>沙拉酱</w:t>
      </w:r>
      <w:r>
        <w:rPr>
          <w:rFonts w:eastAsia="黑体"/>
          <w:sz w:val="21"/>
          <w:szCs w:val="21"/>
        </w:rPr>
        <w:t>micro-nano EGCG salad dressing</w:t>
      </w:r>
    </w:p>
    <w:p w:rsidR="0098243B" w:rsidRDefault="00066BD3">
      <w:pPr>
        <w:spacing w:line="44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添加了微纳米</w:t>
      </w:r>
      <w:r>
        <w:rPr>
          <w:sz w:val="21"/>
          <w:szCs w:val="21"/>
        </w:rPr>
        <w:t>EGCG</w:t>
      </w:r>
      <w:r>
        <w:rPr>
          <w:sz w:val="21"/>
          <w:szCs w:val="21"/>
        </w:rPr>
        <w:t>的沙拉酱。</w:t>
      </w:r>
    </w:p>
    <w:p w:rsidR="0098243B" w:rsidRDefault="00066BD3" w:rsidP="00FB73E4">
      <w:pPr>
        <w:pStyle w:val="1"/>
        <w:numPr>
          <w:ilvl w:val="0"/>
          <w:numId w:val="0"/>
        </w:numPr>
        <w:spacing w:before="240" w:after="240"/>
        <w:rPr>
          <w:color w:val="auto"/>
          <w:sz w:val="21"/>
        </w:rPr>
      </w:pPr>
      <w:r>
        <w:rPr>
          <w:sz w:val="21"/>
        </w:rPr>
        <w:t xml:space="preserve">4 </w:t>
      </w:r>
      <w:r>
        <w:rPr>
          <w:sz w:val="21"/>
        </w:rPr>
        <w:t>原辅料</w:t>
      </w:r>
    </w:p>
    <w:p w:rsidR="0098243B" w:rsidRDefault="00066BD3" w:rsidP="00DF4C10">
      <w:pPr>
        <w:widowControl w:val="0"/>
        <w:spacing w:beforeLines="50" w:afterLines="50" w:line="400" w:lineRule="exact"/>
        <w:jc w:val="both"/>
        <w:rPr>
          <w:sz w:val="21"/>
          <w:szCs w:val="21"/>
        </w:rPr>
      </w:pPr>
      <w:r>
        <w:rPr>
          <w:rFonts w:eastAsia="黑体"/>
          <w:sz w:val="21"/>
          <w:szCs w:val="21"/>
        </w:rPr>
        <w:t xml:space="preserve">4.1 </w:t>
      </w:r>
      <w:r>
        <w:rPr>
          <w:rFonts w:eastAsia="黑体"/>
          <w:sz w:val="21"/>
          <w:szCs w:val="21"/>
        </w:rPr>
        <w:t>食用植物油</w:t>
      </w:r>
    </w:p>
    <w:p w:rsidR="0098243B" w:rsidRDefault="00066BD3">
      <w:pPr>
        <w:spacing w:line="44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应符合</w:t>
      </w:r>
      <w:r>
        <w:rPr>
          <w:sz w:val="21"/>
          <w:szCs w:val="21"/>
        </w:rPr>
        <w:t>GB 2716</w:t>
      </w:r>
      <w:r>
        <w:rPr>
          <w:sz w:val="21"/>
          <w:szCs w:val="21"/>
        </w:rPr>
        <w:t>的要求。</w:t>
      </w:r>
    </w:p>
    <w:p w:rsidR="0098243B" w:rsidRDefault="00066BD3" w:rsidP="00DF4C10">
      <w:pPr>
        <w:widowControl w:val="0"/>
        <w:spacing w:beforeLines="50" w:afterLines="50" w:line="400" w:lineRule="exact"/>
        <w:jc w:val="both"/>
        <w:rPr>
          <w:sz w:val="21"/>
          <w:szCs w:val="21"/>
        </w:rPr>
      </w:pPr>
      <w:r>
        <w:rPr>
          <w:rFonts w:eastAsia="黑体"/>
          <w:sz w:val="21"/>
          <w:szCs w:val="21"/>
        </w:rPr>
        <w:t xml:space="preserve">4.2 </w:t>
      </w:r>
      <w:r>
        <w:rPr>
          <w:rFonts w:eastAsia="黑体"/>
          <w:sz w:val="21"/>
          <w:szCs w:val="21"/>
        </w:rPr>
        <w:t>含蛋黄配料</w:t>
      </w:r>
    </w:p>
    <w:p w:rsidR="0098243B" w:rsidRDefault="00066BD3">
      <w:pPr>
        <w:spacing w:line="44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应符合</w:t>
      </w:r>
      <w:r>
        <w:rPr>
          <w:sz w:val="21"/>
          <w:szCs w:val="21"/>
        </w:rPr>
        <w:t>GB 2749</w:t>
      </w:r>
      <w:r>
        <w:rPr>
          <w:sz w:val="21"/>
          <w:szCs w:val="21"/>
        </w:rPr>
        <w:t>的要求。</w:t>
      </w:r>
    </w:p>
    <w:p w:rsidR="0098243B" w:rsidRDefault="00066BD3" w:rsidP="00DF4C10">
      <w:pPr>
        <w:widowControl w:val="0"/>
        <w:spacing w:beforeLines="50" w:afterLines="50" w:line="400" w:lineRule="exact"/>
        <w:jc w:val="both"/>
        <w:rPr>
          <w:sz w:val="21"/>
          <w:szCs w:val="21"/>
        </w:rPr>
      </w:pPr>
      <w:r>
        <w:rPr>
          <w:rFonts w:eastAsia="黑体"/>
          <w:sz w:val="21"/>
          <w:szCs w:val="21"/>
        </w:rPr>
        <w:t xml:space="preserve">4.3 </w:t>
      </w:r>
      <w:r>
        <w:rPr>
          <w:rFonts w:eastAsia="黑体"/>
          <w:sz w:val="21"/>
          <w:szCs w:val="21"/>
        </w:rPr>
        <w:t>食醋</w:t>
      </w:r>
    </w:p>
    <w:p w:rsidR="0098243B" w:rsidRDefault="00066BD3">
      <w:pPr>
        <w:spacing w:line="44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应符合</w:t>
      </w:r>
      <w:r>
        <w:rPr>
          <w:sz w:val="21"/>
          <w:szCs w:val="21"/>
        </w:rPr>
        <w:t>GB 2719</w:t>
      </w:r>
      <w:r>
        <w:rPr>
          <w:sz w:val="21"/>
          <w:szCs w:val="21"/>
        </w:rPr>
        <w:t>的要求。</w:t>
      </w:r>
    </w:p>
    <w:p w:rsidR="0098243B" w:rsidRDefault="00066BD3" w:rsidP="00DF4C10">
      <w:pPr>
        <w:widowControl w:val="0"/>
        <w:spacing w:beforeLines="50" w:afterLines="50" w:line="400" w:lineRule="exact"/>
        <w:jc w:val="both"/>
        <w:rPr>
          <w:sz w:val="21"/>
          <w:szCs w:val="21"/>
        </w:rPr>
      </w:pPr>
      <w:r>
        <w:rPr>
          <w:rFonts w:eastAsia="黑体"/>
          <w:sz w:val="21"/>
          <w:szCs w:val="21"/>
        </w:rPr>
        <w:t xml:space="preserve">4.4 </w:t>
      </w:r>
      <w:r>
        <w:rPr>
          <w:rFonts w:eastAsia="黑体"/>
          <w:sz w:val="21"/>
          <w:szCs w:val="21"/>
        </w:rPr>
        <w:t>食用盐</w:t>
      </w:r>
    </w:p>
    <w:p w:rsidR="0098243B" w:rsidRDefault="00066BD3">
      <w:pPr>
        <w:spacing w:line="44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应符合</w:t>
      </w:r>
      <w:r>
        <w:rPr>
          <w:sz w:val="21"/>
          <w:szCs w:val="21"/>
        </w:rPr>
        <w:t>GB 2721</w:t>
      </w:r>
      <w:r>
        <w:rPr>
          <w:sz w:val="21"/>
          <w:szCs w:val="21"/>
        </w:rPr>
        <w:t>的要求。</w:t>
      </w:r>
    </w:p>
    <w:p w:rsidR="0098243B" w:rsidRDefault="00066BD3" w:rsidP="00DF4C10">
      <w:pPr>
        <w:widowControl w:val="0"/>
        <w:spacing w:beforeLines="50" w:afterLines="50" w:line="400" w:lineRule="exact"/>
        <w:jc w:val="both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 xml:space="preserve">4.5 </w:t>
      </w:r>
      <w:r>
        <w:rPr>
          <w:rFonts w:eastAsia="黑体"/>
          <w:sz w:val="21"/>
          <w:szCs w:val="21"/>
        </w:rPr>
        <w:t>生产用水</w:t>
      </w:r>
    </w:p>
    <w:p w:rsidR="0098243B" w:rsidRDefault="00066BD3">
      <w:pPr>
        <w:spacing w:line="44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应符合</w:t>
      </w:r>
      <w:r>
        <w:rPr>
          <w:sz w:val="21"/>
          <w:szCs w:val="21"/>
        </w:rPr>
        <w:t>GB 5749</w:t>
      </w:r>
      <w:r>
        <w:rPr>
          <w:sz w:val="21"/>
          <w:szCs w:val="21"/>
        </w:rPr>
        <w:t>的要求。</w:t>
      </w:r>
    </w:p>
    <w:p w:rsidR="0098243B" w:rsidRDefault="00066BD3" w:rsidP="00DF4C10">
      <w:pPr>
        <w:widowControl w:val="0"/>
        <w:spacing w:beforeLines="50" w:afterLines="50" w:line="400" w:lineRule="exact"/>
        <w:jc w:val="both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 xml:space="preserve">4.6 </w:t>
      </w:r>
      <w:r>
        <w:rPr>
          <w:rFonts w:eastAsia="黑体"/>
          <w:sz w:val="21"/>
          <w:szCs w:val="21"/>
        </w:rPr>
        <w:t>其他辅料</w:t>
      </w:r>
    </w:p>
    <w:p w:rsidR="0098243B" w:rsidRDefault="00066BD3">
      <w:pPr>
        <w:spacing w:line="44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白砂糖应符合</w:t>
      </w:r>
      <w:r>
        <w:rPr>
          <w:sz w:val="21"/>
          <w:szCs w:val="21"/>
        </w:rPr>
        <w:t>GB/T 317</w:t>
      </w:r>
      <w:r>
        <w:rPr>
          <w:sz w:val="21"/>
          <w:szCs w:val="21"/>
        </w:rPr>
        <w:t>的要求，</w:t>
      </w:r>
      <w:r>
        <w:rPr>
          <w:sz w:val="21"/>
          <w:szCs w:val="21"/>
        </w:rPr>
        <w:t>EGCG(</w:t>
      </w:r>
      <w:r>
        <w:rPr>
          <w:sz w:val="21"/>
          <w:szCs w:val="21"/>
        </w:rPr>
        <w:t>纯度</w:t>
      </w:r>
      <w:r>
        <w:rPr>
          <w:sz w:val="21"/>
          <w:szCs w:val="21"/>
        </w:rPr>
        <w:t>≥94%</w:t>
      </w:r>
      <w:r>
        <w:rPr>
          <w:sz w:val="21"/>
          <w:szCs w:val="21"/>
        </w:rPr>
        <w:t>，以干基计</w:t>
      </w:r>
      <w:r>
        <w:rPr>
          <w:sz w:val="21"/>
          <w:szCs w:val="21"/>
        </w:rPr>
        <w:t>)</w:t>
      </w:r>
      <w:r>
        <w:rPr>
          <w:sz w:val="21"/>
          <w:szCs w:val="21"/>
        </w:rPr>
        <w:t>必须符合中华人民共和国卫生部公告</w:t>
      </w:r>
      <w:r>
        <w:rPr>
          <w:sz w:val="21"/>
          <w:szCs w:val="21"/>
        </w:rPr>
        <w:t>2010</w:t>
      </w:r>
      <w:r>
        <w:rPr>
          <w:sz w:val="21"/>
          <w:szCs w:val="21"/>
        </w:rPr>
        <w:t>年第</w:t>
      </w:r>
      <w:r>
        <w:rPr>
          <w:sz w:val="21"/>
          <w:szCs w:val="21"/>
        </w:rPr>
        <w:t>17</w:t>
      </w:r>
      <w:r>
        <w:rPr>
          <w:sz w:val="21"/>
          <w:szCs w:val="21"/>
        </w:rPr>
        <w:t>号《关于批准雨生红球藻等新资源食品的公告》。</w:t>
      </w:r>
    </w:p>
    <w:p w:rsidR="0098243B" w:rsidRDefault="00066BD3" w:rsidP="00DF4C10">
      <w:pPr>
        <w:widowControl w:val="0"/>
        <w:spacing w:beforeLines="50" w:afterLines="50" w:line="400" w:lineRule="exact"/>
        <w:jc w:val="both"/>
        <w:rPr>
          <w:sz w:val="21"/>
          <w:szCs w:val="21"/>
        </w:rPr>
      </w:pPr>
      <w:r>
        <w:rPr>
          <w:rFonts w:eastAsia="黑体"/>
          <w:sz w:val="21"/>
          <w:szCs w:val="21"/>
        </w:rPr>
        <w:t xml:space="preserve">4.7 </w:t>
      </w:r>
      <w:r>
        <w:rPr>
          <w:rFonts w:eastAsia="黑体"/>
          <w:sz w:val="21"/>
          <w:szCs w:val="21"/>
        </w:rPr>
        <w:t>食品添加剂</w:t>
      </w:r>
    </w:p>
    <w:p w:rsidR="0098243B" w:rsidRDefault="00066BD3">
      <w:pPr>
        <w:spacing w:line="44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不添加防腐剂。其他食品添加剂应符合</w:t>
      </w:r>
      <w:r>
        <w:rPr>
          <w:sz w:val="21"/>
          <w:szCs w:val="21"/>
        </w:rPr>
        <w:t>GB 2760</w:t>
      </w:r>
      <w:r>
        <w:rPr>
          <w:sz w:val="21"/>
          <w:szCs w:val="21"/>
        </w:rPr>
        <w:t>的规定。</w:t>
      </w:r>
    </w:p>
    <w:p w:rsidR="0098243B" w:rsidRDefault="00066BD3" w:rsidP="00FB73E4">
      <w:pPr>
        <w:pStyle w:val="1"/>
        <w:numPr>
          <w:ilvl w:val="0"/>
          <w:numId w:val="0"/>
        </w:numPr>
        <w:spacing w:before="240" w:after="240"/>
        <w:rPr>
          <w:sz w:val="21"/>
        </w:rPr>
      </w:pPr>
      <w:r>
        <w:rPr>
          <w:sz w:val="21"/>
        </w:rPr>
        <w:lastRenderedPageBreak/>
        <w:t xml:space="preserve">5 </w:t>
      </w:r>
      <w:r>
        <w:rPr>
          <w:sz w:val="21"/>
        </w:rPr>
        <w:t>生产加工过程</w:t>
      </w:r>
    </w:p>
    <w:p w:rsidR="0098243B" w:rsidRDefault="00066BD3" w:rsidP="00DF4C10">
      <w:pPr>
        <w:widowControl w:val="0"/>
        <w:spacing w:beforeLines="50" w:afterLines="50" w:line="400" w:lineRule="exact"/>
        <w:jc w:val="both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 xml:space="preserve">5.1 </w:t>
      </w:r>
      <w:r>
        <w:rPr>
          <w:rFonts w:eastAsia="黑体"/>
          <w:sz w:val="21"/>
          <w:szCs w:val="21"/>
        </w:rPr>
        <w:t>生产要求</w:t>
      </w:r>
    </w:p>
    <w:p w:rsidR="0098243B" w:rsidRDefault="00066BD3">
      <w:pPr>
        <w:spacing w:line="44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应符合</w:t>
      </w:r>
      <w:r>
        <w:rPr>
          <w:sz w:val="21"/>
          <w:szCs w:val="21"/>
        </w:rPr>
        <w:t>GB 14881</w:t>
      </w:r>
      <w:r>
        <w:rPr>
          <w:sz w:val="21"/>
          <w:szCs w:val="21"/>
        </w:rPr>
        <w:t>的规定。</w:t>
      </w:r>
    </w:p>
    <w:p w:rsidR="0098243B" w:rsidRDefault="00066BD3" w:rsidP="00DF4C10">
      <w:pPr>
        <w:widowControl w:val="0"/>
        <w:spacing w:beforeLines="50" w:afterLines="50" w:line="400" w:lineRule="exact"/>
        <w:jc w:val="both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 xml:space="preserve">5.2 </w:t>
      </w:r>
      <w:r>
        <w:rPr>
          <w:rFonts w:eastAsia="黑体"/>
          <w:sz w:val="21"/>
          <w:szCs w:val="21"/>
        </w:rPr>
        <w:t>微纳米</w:t>
      </w:r>
      <w:r>
        <w:rPr>
          <w:rFonts w:eastAsia="黑体"/>
          <w:sz w:val="21"/>
          <w:szCs w:val="21"/>
        </w:rPr>
        <w:t>EGCG</w:t>
      </w:r>
      <w:r>
        <w:rPr>
          <w:rFonts w:eastAsia="黑体"/>
          <w:sz w:val="21"/>
          <w:szCs w:val="21"/>
        </w:rPr>
        <w:t>的制备</w:t>
      </w:r>
    </w:p>
    <w:p w:rsidR="0098243B" w:rsidRDefault="00066BD3">
      <w:pPr>
        <w:spacing w:line="44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制备流程包括水相制备（将酸度调节剂、稳定剂、抗氧化剂和乳化剂用水分散，加入</w:t>
      </w:r>
      <w:r>
        <w:rPr>
          <w:sz w:val="21"/>
          <w:szCs w:val="21"/>
        </w:rPr>
        <w:t>EGCG</w:t>
      </w:r>
      <w:r>
        <w:rPr>
          <w:sz w:val="21"/>
          <w:szCs w:val="21"/>
        </w:rPr>
        <w:t>超声搅拌）和微纳米</w:t>
      </w:r>
      <w:r>
        <w:rPr>
          <w:sz w:val="21"/>
          <w:szCs w:val="21"/>
        </w:rPr>
        <w:t>EGCG</w:t>
      </w:r>
      <w:r>
        <w:rPr>
          <w:sz w:val="21"/>
          <w:szCs w:val="21"/>
        </w:rPr>
        <w:t>制备（将水相与植物油按比例混合超声），应符合附录</w:t>
      </w:r>
      <w:r>
        <w:rPr>
          <w:sz w:val="21"/>
          <w:szCs w:val="21"/>
        </w:rPr>
        <w:t xml:space="preserve"> B</w:t>
      </w:r>
      <w:r>
        <w:rPr>
          <w:sz w:val="21"/>
          <w:szCs w:val="21"/>
        </w:rPr>
        <w:t>的规定。</w:t>
      </w:r>
    </w:p>
    <w:p w:rsidR="0098243B" w:rsidRDefault="00066BD3" w:rsidP="00DF4C10">
      <w:pPr>
        <w:widowControl w:val="0"/>
        <w:spacing w:beforeLines="50" w:afterLines="50" w:line="400" w:lineRule="exact"/>
        <w:jc w:val="both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 xml:space="preserve">5.3 </w:t>
      </w:r>
      <w:r>
        <w:rPr>
          <w:rFonts w:eastAsia="黑体"/>
          <w:sz w:val="21"/>
          <w:szCs w:val="21"/>
        </w:rPr>
        <w:t>微纳米</w:t>
      </w:r>
      <w:r>
        <w:rPr>
          <w:rFonts w:eastAsia="黑体"/>
          <w:sz w:val="21"/>
          <w:szCs w:val="21"/>
        </w:rPr>
        <w:t>EGCG</w:t>
      </w:r>
      <w:r>
        <w:rPr>
          <w:rFonts w:eastAsia="黑体"/>
          <w:sz w:val="21"/>
          <w:szCs w:val="21"/>
        </w:rPr>
        <w:t>沙拉酱的加工</w:t>
      </w:r>
    </w:p>
    <w:p w:rsidR="0098243B" w:rsidRDefault="00066BD3">
      <w:pPr>
        <w:spacing w:line="44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加工流程主要包括原辅料混合</w:t>
      </w:r>
      <w:r>
        <w:rPr>
          <w:sz w:val="21"/>
          <w:szCs w:val="21"/>
        </w:rPr>
        <w:t>→</w:t>
      </w:r>
      <w:r>
        <w:rPr>
          <w:sz w:val="21"/>
          <w:szCs w:val="21"/>
        </w:rPr>
        <w:t>加植物油搅打</w:t>
      </w:r>
      <w:r>
        <w:rPr>
          <w:sz w:val="21"/>
          <w:szCs w:val="21"/>
        </w:rPr>
        <w:t>→</w:t>
      </w:r>
      <w:r>
        <w:rPr>
          <w:sz w:val="21"/>
          <w:szCs w:val="21"/>
        </w:rPr>
        <w:t>加食醋调稠</w:t>
      </w:r>
      <w:r>
        <w:rPr>
          <w:sz w:val="21"/>
          <w:szCs w:val="21"/>
        </w:rPr>
        <w:t>→</w:t>
      </w:r>
      <w:r>
        <w:rPr>
          <w:sz w:val="21"/>
          <w:szCs w:val="21"/>
        </w:rPr>
        <w:t>续加植物油搅打</w:t>
      </w:r>
      <w:r>
        <w:rPr>
          <w:sz w:val="21"/>
          <w:szCs w:val="21"/>
        </w:rPr>
        <w:t>→</w:t>
      </w:r>
      <w:r>
        <w:rPr>
          <w:sz w:val="21"/>
          <w:szCs w:val="21"/>
        </w:rPr>
        <w:t>添加微纳米</w:t>
      </w:r>
      <w:r>
        <w:rPr>
          <w:sz w:val="21"/>
          <w:szCs w:val="21"/>
        </w:rPr>
        <w:t>EGCG</w:t>
      </w:r>
      <w:r>
        <w:rPr>
          <w:sz w:val="21"/>
          <w:szCs w:val="21"/>
        </w:rPr>
        <w:t>与甜味剂</w:t>
      </w:r>
      <w:r>
        <w:rPr>
          <w:sz w:val="21"/>
          <w:szCs w:val="21"/>
        </w:rPr>
        <w:t>→</w:t>
      </w:r>
      <w:r>
        <w:rPr>
          <w:sz w:val="21"/>
          <w:szCs w:val="21"/>
        </w:rPr>
        <w:t>微纳米</w:t>
      </w:r>
      <w:r>
        <w:rPr>
          <w:sz w:val="21"/>
          <w:szCs w:val="21"/>
        </w:rPr>
        <w:t>EGCG</w:t>
      </w:r>
      <w:r>
        <w:rPr>
          <w:sz w:val="21"/>
          <w:szCs w:val="21"/>
        </w:rPr>
        <w:t>沙拉酱，应符合附录</w:t>
      </w:r>
      <w:r>
        <w:rPr>
          <w:sz w:val="21"/>
          <w:szCs w:val="21"/>
        </w:rPr>
        <w:t xml:space="preserve"> C</w:t>
      </w:r>
      <w:r>
        <w:rPr>
          <w:sz w:val="21"/>
          <w:szCs w:val="21"/>
        </w:rPr>
        <w:t>的规定。</w:t>
      </w:r>
    </w:p>
    <w:p w:rsidR="0098243B" w:rsidRDefault="00066BD3" w:rsidP="00FB73E4">
      <w:pPr>
        <w:pStyle w:val="1"/>
        <w:numPr>
          <w:ilvl w:val="0"/>
          <w:numId w:val="0"/>
        </w:numPr>
        <w:spacing w:before="240" w:after="240"/>
        <w:rPr>
          <w:sz w:val="21"/>
        </w:rPr>
      </w:pPr>
      <w:r>
        <w:rPr>
          <w:sz w:val="21"/>
        </w:rPr>
        <w:t xml:space="preserve">6 </w:t>
      </w:r>
      <w:r>
        <w:rPr>
          <w:sz w:val="21"/>
        </w:rPr>
        <w:t>技术要求</w:t>
      </w:r>
    </w:p>
    <w:p w:rsidR="0098243B" w:rsidRDefault="00066BD3" w:rsidP="00DF4C10">
      <w:pPr>
        <w:widowControl w:val="0"/>
        <w:spacing w:beforeLines="50" w:afterLines="50" w:line="400" w:lineRule="exact"/>
        <w:jc w:val="both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 xml:space="preserve">6.1 </w:t>
      </w:r>
      <w:r>
        <w:rPr>
          <w:rFonts w:eastAsia="黑体"/>
          <w:sz w:val="21"/>
          <w:szCs w:val="21"/>
        </w:rPr>
        <w:t>感官要求</w:t>
      </w:r>
    </w:p>
    <w:p w:rsidR="0098243B" w:rsidRDefault="00066BD3">
      <w:pPr>
        <w:spacing w:line="44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应符合</w:t>
      </w:r>
      <w:r>
        <w:rPr>
          <w:sz w:val="21"/>
          <w:szCs w:val="21"/>
        </w:rPr>
        <w:t>SB/T 10753</w:t>
      </w:r>
      <w:r>
        <w:rPr>
          <w:sz w:val="21"/>
          <w:szCs w:val="21"/>
        </w:rPr>
        <w:t>的规定。</w:t>
      </w:r>
    </w:p>
    <w:p w:rsidR="0098243B" w:rsidRDefault="00066BD3" w:rsidP="00DF4C10">
      <w:pPr>
        <w:widowControl w:val="0"/>
        <w:spacing w:beforeLines="50" w:afterLines="50" w:line="400" w:lineRule="exact"/>
        <w:jc w:val="both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 xml:space="preserve">6.2 </w:t>
      </w:r>
      <w:r>
        <w:rPr>
          <w:rFonts w:eastAsia="黑体"/>
          <w:sz w:val="21"/>
          <w:szCs w:val="21"/>
        </w:rPr>
        <w:t>理化要求</w:t>
      </w:r>
    </w:p>
    <w:p w:rsidR="0098243B" w:rsidRDefault="00066BD3">
      <w:pPr>
        <w:spacing w:line="44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应符合表</w:t>
      </w:r>
      <w:r>
        <w:rPr>
          <w:sz w:val="21"/>
          <w:szCs w:val="21"/>
        </w:rPr>
        <w:t>1</w:t>
      </w:r>
      <w:r>
        <w:rPr>
          <w:sz w:val="21"/>
          <w:szCs w:val="21"/>
        </w:rPr>
        <w:t>的规定。</w:t>
      </w:r>
    </w:p>
    <w:p w:rsidR="0098243B" w:rsidRDefault="00066BD3">
      <w:pPr>
        <w:spacing w:line="440" w:lineRule="exact"/>
        <w:jc w:val="center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>表</w:t>
      </w:r>
      <w:r>
        <w:rPr>
          <w:rFonts w:eastAsia="黑体"/>
          <w:sz w:val="21"/>
          <w:szCs w:val="21"/>
        </w:rPr>
        <w:t xml:space="preserve">1 </w:t>
      </w:r>
      <w:r>
        <w:rPr>
          <w:rFonts w:eastAsia="黑体"/>
          <w:sz w:val="21"/>
          <w:szCs w:val="21"/>
        </w:rPr>
        <w:t>理化要求</w:t>
      </w:r>
    </w:p>
    <w:tbl>
      <w:tblPr>
        <w:tblW w:w="7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3"/>
        <w:gridCol w:w="2168"/>
        <w:gridCol w:w="2223"/>
      </w:tblGrid>
      <w:tr w:rsidR="0098243B">
        <w:trPr>
          <w:trHeight w:val="403"/>
          <w:jc w:val="center"/>
        </w:trPr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243B" w:rsidRDefault="00066BD3">
            <w:pPr>
              <w:spacing w:line="440" w:lineRule="exact"/>
              <w:ind w:firstLineChars="600" w:firstLine="12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</w:t>
            </w:r>
          </w:p>
        </w:tc>
        <w:tc>
          <w:tcPr>
            <w:tcW w:w="216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3B" w:rsidRDefault="00066BD3">
            <w:pPr>
              <w:spacing w:line="440" w:lineRule="exact"/>
              <w:ind w:leftChars="100" w:left="220" w:firstLineChars="200" w:firstLine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指标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8243B" w:rsidRDefault="00066BD3">
            <w:pPr>
              <w:spacing w:line="440" w:lineRule="exact"/>
              <w:ind w:leftChars="100" w:left="220" w:firstLineChars="200" w:firstLine="4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检验方法</w:t>
            </w:r>
          </w:p>
        </w:tc>
      </w:tr>
      <w:tr w:rsidR="0098243B">
        <w:trPr>
          <w:trHeight w:val="223"/>
          <w:jc w:val="center"/>
        </w:trPr>
        <w:tc>
          <w:tcPr>
            <w:tcW w:w="301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243B" w:rsidRDefault="00066BD3">
            <w:pPr>
              <w:spacing w:line="440" w:lineRule="exact"/>
              <w:ind w:leftChars="100" w:left="220" w:firstLineChars="500" w:firstLine="10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pH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3B" w:rsidRDefault="00066BD3">
            <w:pPr>
              <w:spacing w:line="440" w:lineRule="exact"/>
              <w:ind w:leftChars="100" w:left="220" w:firstLineChars="200" w:firstLine="360"/>
              <w:jc w:val="both"/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≤</w:t>
            </w:r>
            <w:r>
              <w:rPr>
                <w:sz w:val="21"/>
                <w:szCs w:val="21"/>
              </w:rPr>
              <w:t>4.3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8243B" w:rsidRDefault="00066BD3">
            <w:pPr>
              <w:spacing w:line="440" w:lineRule="exact"/>
              <w:ind w:leftChars="100" w:left="220" w:firstLineChars="200" w:firstLine="4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GB 5009.237</w:t>
            </w:r>
          </w:p>
        </w:tc>
      </w:tr>
      <w:tr w:rsidR="0098243B">
        <w:trPr>
          <w:trHeight w:val="308"/>
          <w:jc w:val="center"/>
        </w:trPr>
        <w:tc>
          <w:tcPr>
            <w:tcW w:w="301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243B" w:rsidRDefault="00066BD3">
            <w:pPr>
              <w:spacing w:line="440" w:lineRule="exact"/>
              <w:ind w:leftChars="100" w:left="220" w:firstLineChars="400" w:firstLine="8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油脂含量</w:t>
            </w:r>
            <w:r>
              <w:rPr>
                <w:sz w:val="21"/>
                <w:szCs w:val="21"/>
              </w:rPr>
              <w:t>/%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43B" w:rsidRDefault="00066BD3">
            <w:pPr>
              <w:spacing w:line="440" w:lineRule="exact"/>
              <w:ind w:leftChars="100" w:left="220" w:firstLineChars="200" w:firstLine="360"/>
              <w:jc w:val="both"/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≥</w:t>
            </w:r>
            <w:r>
              <w:rPr>
                <w:sz w:val="21"/>
                <w:szCs w:val="21"/>
              </w:rPr>
              <w:t>10.0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8243B" w:rsidRDefault="00066BD3">
            <w:pPr>
              <w:spacing w:line="440" w:lineRule="exact"/>
              <w:ind w:leftChars="100" w:left="220" w:firstLineChars="200" w:firstLine="4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GB 5009.6</w:t>
            </w:r>
          </w:p>
        </w:tc>
      </w:tr>
      <w:tr w:rsidR="0098243B">
        <w:trPr>
          <w:trHeight w:val="260"/>
          <w:jc w:val="center"/>
        </w:trPr>
        <w:tc>
          <w:tcPr>
            <w:tcW w:w="301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bottom"/>
          </w:tcPr>
          <w:p w:rsidR="0098243B" w:rsidRDefault="00066BD3">
            <w:pPr>
              <w:spacing w:line="440" w:lineRule="exact"/>
              <w:ind w:leftChars="100" w:left="2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总酸（以乙酸计）</w:t>
            </w:r>
            <w:r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g/kg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bottom"/>
          </w:tcPr>
          <w:p w:rsidR="0098243B" w:rsidRDefault="00066BD3">
            <w:pPr>
              <w:spacing w:line="440" w:lineRule="exact"/>
              <w:ind w:leftChars="100" w:left="220" w:firstLineChars="200" w:firstLine="360"/>
              <w:jc w:val="both"/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≤</w:t>
            </w:r>
            <w:r>
              <w:rPr>
                <w:sz w:val="21"/>
                <w:szCs w:val="21"/>
              </w:rPr>
              <w:t>35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bottom"/>
          </w:tcPr>
          <w:p w:rsidR="0098243B" w:rsidRDefault="00066BD3">
            <w:pPr>
              <w:spacing w:line="440" w:lineRule="exact"/>
              <w:ind w:leftChars="100" w:left="220" w:firstLineChars="200" w:firstLine="4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GB 12456</w:t>
            </w:r>
          </w:p>
        </w:tc>
      </w:tr>
    </w:tbl>
    <w:p w:rsidR="0098243B" w:rsidRDefault="00066BD3" w:rsidP="00DF4C10">
      <w:pPr>
        <w:widowControl w:val="0"/>
        <w:spacing w:beforeLines="50" w:afterLines="50" w:line="400" w:lineRule="exact"/>
        <w:jc w:val="both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 xml:space="preserve">6.3 </w:t>
      </w:r>
      <w:r>
        <w:rPr>
          <w:rFonts w:eastAsia="黑体"/>
          <w:sz w:val="21"/>
          <w:szCs w:val="21"/>
        </w:rPr>
        <w:t>污染物限量</w:t>
      </w:r>
    </w:p>
    <w:p w:rsidR="0098243B" w:rsidRDefault="00066BD3">
      <w:pPr>
        <w:spacing w:line="44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应符合</w:t>
      </w:r>
      <w:r>
        <w:rPr>
          <w:sz w:val="21"/>
          <w:szCs w:val="21"/>
        </w:rPr>
        <w:t>GB 2762</w:t>
      </w:r>
      <w:r>
        <w:rPr>
          <w:sz w:val="21"/>
          <w:szCs w:val="21"/>
        </w:rPr>
        <w:t>的规定。</w:t>
      </w:r>
    </w:p>
    <w:p w:rsidR="0098243B" w:rsidRDefault="00066BD3" w:rsidP="00DF4C10">
      <w:pPr>
        <w:widowControl w:val="0"/>
        <w:spacing w:beforeLines="50" w:afterLines="50" w:line="400" w:lineRule="exact"/>
        <w:jc w:val="both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 xml:space="preserve">6.4 </w:t>
      </w:r>
      <w:r>
        <w:rPr>
          <w:rFonts w:eastAsia="黑体"/>
          <w:sz w:val="21"/>
          <w:szCs w:val="21"/>
        </w:rPr>
        <w:t>微生物要求</w:t>
      </w:r>
    </w:p>
    <w:p w:rsidR="0098243B" w:rsidRDefault="00066BD3">
      <w:pPr>
        <w:spacing w:line="44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应符合</w:t>
      </w:r>
      <w:r>
        <w:rPr>
          <w:sz w:val="21"/>
          <w:szCs w:val="21"/>
        </w:rPr>
        <w:t>GB 29921</w:t>
      </w:r>
      <w:r>
        <w:rPr>
          <w:sz w:val="21"/>
          <w:szCs w:val="21"/>
        </w:rPr>
        <w:t>的规定。</w:t>
      </w:r>
    </w:p>
    <w:p w:rsidR="0098243B" w:rsidRDefault="00066BD3" w:rsidP="00DF4C10">
      <w:pPr>
        <w:widowControl w:val="0"/>
        <w:spacing w:beforeLines="50" w:afterLines="50" w:line="400" w:lineRule="exact"/>
        <w:jc w:val="both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 xml:space="preserve">6.5 </w:t>
      </w:r>
      <w:r>
        <w:rPr>
          <w:rFonts w:eastAsia="黑体"/>
          <w:sz w:val="21"/>
          <w:szCs w:val="21"/>
        </w:rPr>
        <w:t>净含量</w:t>
      </w:r>
    </w:p>
    <w:p w:rsidR="0098243B" w:rsidRDefault="00066BD3">
      <w:pPr>
        <w:spacing w:line="44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必须符合国家市场监督管理总局令第</w:t>
      </w:r>
      <w:r>
        <w:rPr>
          <w:sz w:val="21"/>
          <w:szCs w:val="21"/>
        </w:rPr>
        <w:t>70</w:t>
      </w:r>
      <w:r>
        <w:rPr>
          <w:sz w:val="21"/>
          <w:szCs w:val="21"/>
        </w:rPr>
        <w:t>号《定量包装商品计量监督管理办法》要求。净含量检测按</w:t>
      </w:r>
      <w:r>
        <w:rPr>
          <w:sz w:val="21"/>
          <w:szCs w:val="21"/>
        </w:rPr>
        <w:t>JJF 1070</w:t>
      </w:r>
      <w:r>
        <w:rPr>
          <w:sz w:val="21"/>
          <w:szCs w:val="21"/>
        </w:rPr>
        <w:t>的规定进行。</w:t>
      </w:r>
    </w:p>
    <w:p w:rsidR="0098243B" w:rsidRDefault="00066BD3" w:rsidP="00FB73E4">
      <w:pPr>
        <w:pStyle w:val="1"/>
        <w:numPr>
          <w:ilvl w:val="0"/>
          <w:numId w:val="0"/>
        </w:numPr>
        <w:spacing w:before="240" w:after="240"/>
        <w:rPr>
          <w:sz w:val="21"/>
        </w:rPr>
      </w:pPr>
      <w:r>
        <w:rPr>
          <w:sz w:val="21"/>
        </w:rPr>
        <w:lastRenderedPageBreak/>
        <w:t xml:space="preserve">7 </w:t>
      </w:r>
      <w:r>
        <w:rPr>
          <w:sz w:val="21"/>
        </w:rPr>
        <w:t>检验规则</w:t>
      </w:r>
    </w:p>
    <w:p w:rsidR="0098243B" w:rsidRDefault="00066BD3" w:rsidP="00DF4C10">
      <w:pPr>
        <w:widowControl w:val="0"/>
        <w:spacing w:beforeLines="50" w:afterLines="50" w:line="400" w:lineRule="exact"/>
        <w:jc w:val="both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 xml:space="preserve">7.1 </w:t>
      </w:r>
      <w:r>
        <w:rPr>
          <w:rFonts w:eastAsia="黑体"/>
          <w:sz w:val="21"/>
          <w:szCs w:val="21"/>
        </w:rPr>
        <w:t>总则</w:t>
      </w:r>
    </w:p>
    <w:p w:rsidR="0098243B" w:rsidRDefault="00066BD3">
      <w:pPr>
        <w:spacing w:line="44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产品由企业质检部门按本标准规定检验，合格产品方可出厂。</w:t>
      </w:r>
    </w:p>
    <w:p w:rsidR="0098243B" w:rsidRDefault="00066BD3" w:rsidP="00DF4C10">
      <w:pPr>
        <w:widowControl w:val="0"/>
        <w:spacing w:beforeLines="50" w:afterLines="50" w:line="400" w:lineRule="exact"/>
        <w:jc w:val="both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 xml:space="preserve">7.2 </w:t>
      </w:r>
      <w:r>
        <w:rPr>
          <w:rFonts w:eastAsia="黑体"/>
          <w:sz w:val="21"/>
          <w:szCs w:val="21"/>
        </w:rPr>
        <w:t>检验形式</w:t>
      </w:r>
    </w:p>
    <w:p w:rsidR="0098243B" w:rsidRDefault="00066BD3">
      <w:pPr>
        <w:spacing w:line="44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检验分为出厂检验和型式检验。</w:t>
      </w:r>
    </w:p>
    <w:p w:rsidR="0098243B" w:rsidRDefault="00066BD3" w:rsidP="00DF4C10">
      <w:pPr>
        <w:widowControl w:val="0"/>
        <w:spacing w:beforeLines="50" w:afterLines="50" w:line="400" w:lineRule="exact"/>
        <w:jc w:val="both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 xml:space="preserve">7.2.1 </w:t>
      </w:r>
      <w:r>
        <w:rPr>
          <w:rFonts w:eastAsia="黑体"/>
          <w:sz w:val="21"/>
          <w:szCs w:val="21"/>
        </w:rPr>
        <w:t>出厂检验</w:t>
      </w:r>
    </w:p>
    <w:p w:rsidR="0098243B" w:rsidRDefault="00066BD3" w:rsidP="00DF4C10">
      <w:pPr>
        <w:widowControl w:val="0"/>
        <w:spacing w:beforeLines="50" w:afterLines="50" w:line="400" w:lineRule="exact"/>
        <w:jc w:val="both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 xml:space="preserve">7.2.1.1 </w:t>
      </w:r>
      <w:r>
        <w:rPr>
          <w:rFonts w:eastAsia="黑体"/>
          <w:sz w:val="21"/>
          <w:szCs w:val="21"/>
        </w:rPr>
        <w:t>每批产品应进行出厂检验。</w:t>
      </w:r>
    </w:p>
    <w:p w:rsidR="0098243B" w:rsidRDefault="00066BD3" w:rsidP="00DF4C10">
      <w:pPr>
        <w:widowControl w:val="0"/>
        <w:spacing w:beforeLines="50" w:afterLines="50" w:line="400" w:lineRule="exact"/>
        <w:jc w:val="both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 xml:space="preserve">7.2.1.2 </w:t>
      </w:r>
      <w:r>
        <w:rPr>
          <w:rFonts w:eastAsia="黑体"/>
          <w:sz w:val="21"/>
          <w:szCs w:val="21"/>
        </w:rPr>
        <w:t>出厂检验项目为感官和净含量，</w:t>
      </w:r>
      <w:r>
        <w:rPr>
          <w:rFonts w:eastAsia="黑体"/>
          <w:sz w:val="21"/>
          <w:szCs w:val="21"/>
        </w:rPr>
        <w:t>pH</w:t>
      </w:r>
      <w:r>
        <w:rPr>
          <w:rFonts w:eastAsia="黑体"/>
          <w:sz w:val="21"/>
          <w:szCs w:val="21"/>
        </w:rPr>
        <w:t>。</w:t>
      </w:r>
    </w:p>
    <w:p w:rsidR="0098243B" w:rsidRDefault="00066BD3" w:rsidP="00DF4C10">
      <w:pPr>
        <w:widowControl w:val="0"/>
        <w:spacing w:beforeLines="50" w:afterLines="50" w:line="400" w:lineRule="exact"/>
        <w:jc w:val="both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 xml:space="preserve">7.2.2 </w:t>
      </w:r>
      <w:r>
        <w:rPr>
          <w:rFonts w:eastAsia="黑体"/>
          <w:sz w:val="21"/>
          <w:szCs w:val="21"/>
        </w:rPr>
        <w:t>型式检验</w:t>
      </w:r>
    </w:p>
    <w:p w:rsidR="0098243B" w:rsidRDefault="00066BD3">
      <w:pPr>
        <w:spacing w:line="44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型式检验项目包括本标准中规定的全部项目。型式检验每半年一次，有下列情况之一，亦应进行型式检验。</w:t>
      </w:r>
    </w:p>
    <w:p w:rsidR="0098243B" w:rsidRDefault="00066BD3">
      <w:pPr>
        <w:spacing w:line="44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A</w:t>
      </w:r>
      <w:r>
        <w:rPr>
          <w:sz w:val="21"/>
          <w:szCs w:val="21"/>
        </w:rPr>
        <w:t>）新产品试制鉴定时；</w:t>
      </w:r>
    </w:p>
    <w:p w:rsidR="0098243B" w:rsidRDefault="00066BD3">
      <w:pPr>
        <w:spacing w:line="44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b</w:t>
      </w:r>
      <w:r>
        <w:rPr>
          <w:sz w:val="21"/>
          <w:szCs w:val="21"/>
        </w:rPr>
        <w:t>）正式生产后，如原料、工艺有较大改变可能影响到产品的质量；</w:t>
      </w:r>
    </w:p>
    <w:p w:rsidR="0098243B" w:rsidRDefault="00066BD3">
      <w:pPr>
        <w:spacing w:line="44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c</w:t>
      </w:r>
      <w:r>
        <w:rPr>
          <w:sz w:val="21"/>
          <w:szCs w:val="21"/>
        </w:rPr>
        <w:t>）出厂检验的结果与上次型式检验有较大差异时；</w:t>
      </w:r>
    </w:p>
    <w:p w:rsidR="0098243B" w:rsidRDefault="00066BD3">
      <w:pPr>
        <w:spacing w:line="44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d</w:t>
      </w:r>
      <w:r>
        <w:rPr>
          <w:sz w:val="21"/>
          <w:szCs w:val="21"/>
        </w:rPr>
        <w:t>）产品停产超过</w:t>
      </w:r>
      <w:r>
        <w:rPr>
          <w:sz w:val="21"/>
          <w:szCs w:val="21"/>
        </w:rPr>
        <w:t>6</w:t>
      </w:r>
      <w:r>
        <w:rPr>
          <w:sz w:val="21"/>
          <w:szCs w:val="21"/>
        </w:rPr>
        <w:t>个月，恢复生产时；</w:t>
      </w:r>
    </w:p>
    <w:p w:rsidR="0098243B" w:rsidRDefault="00066BD3">
      <w:pPr>
        <w:spacing w:line="44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e</w:t>
      </w:r>
      <w:r>
        <w:rPr>
          <w:sz w:val="21"/>
          <w:szCs w:val="21"/>
        </w:rPr>
        <w:t>）国家有关监督机构提出要求时；</w:t>
      </w:r>
    </w:p>
    <w:p w:rsidR="0098243B" w:rsidRDefault="00066BD3">
      <w:pPr>
        <w:spacing w:line="44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f</w:t>
      </w:r>
      <w:r>
        <w:rPr>
          <w:sz w:val="21"/>
          <w:szCs w:val="21"/>
        </w:rPr>
        <w:t>）对质量有争议，需要仲裁时。</w:t>
      </w:r>
    </w:p>
    <w:p w:rsidR="0098243B" w:rsidRDefault="00066BD3" w:rsidP="00DF4C10">
      <w:pPr>
        <w:widowControl w:val="0"/>
        <w:spacing w:beforeLines="50" w:afterLines="50" w:line="400" w:lineRule="exact"/>
        <w:jc w:val="both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 xml:space="preserve">7.3 </w:t>
      </w:r>
      <w:r>
        <w:rPr>
          <w:rFonts w:eastAsia="黑体"/>
          <w:sz w:val="21"/>
          <w:szCs w:val="21"/>
        </w:rPr>
        <w:t>组批</w:t>
      </w:r>
    </w:p>
    <w:p w:rsidR="0098243B" w:rsidRDefault="00066BD3">
      <w:pPr>
        <w:spacing w:line="44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同一天生产的同一品种的产品为一批。</w:t>
      </w:r>
    </w:p>
    <w:p w:rsidR="0098243B" w:rsidRDefault="00066BD3" w:rsidP="00DF4C10">
      <w:pPr>
        <w:widowControl w:val="0"/>
        <w:spacing w:beforeLines="50" w:afterLines="50" w:line="400" w:lineRule="exact"/>
        <w:jc w:val="both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 xml:space="preserve">7.4 </w:t>
      </w:r>
      <w:r>
        <w:rPr>
          <w:rFonts w:eastAsia="黑体"/>
          <w:sz w:val="21"/>
          <w:szCs w:val="21"/>
        </w:rPr>
        <w:t>抽样</w:t>
      </w:r>
    </w:p>
    <w:p w:rsidR="0098243B" w:rsidRDefault="00066BD3">
      <w:pPr>
        <w:spacing w:line="44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从每批产品的不同部位随机抽样，按照检验项目所需样品量的三倍进行抽样，</w:t>
      </w:r>
      <w:r>
        <w:rPr>
          <w:sz w:val="21"/>
          <w:szCs w:val="21"/>
        </w:rPr>
        <w:t>1</w:t>
      </w:r>
      <w:r>
        <w:rPr>
          <w:sz w:val="21"/>
          <w:szCs w:val="21"/>
        </w:rPr>
        <w:t>份用于检验，</w:t>
      </w:r>
      <w:r>
        <w:rPr>
          <w:sz w:val="21"/>
          <w:szCs w:val="21"/>
        </w:rPr>
        <w:t>1</w:t>
      </w:r>
      <w:r>
        <w:rPr>
          <w:sz w:val="21"/>
          <w:szCs w:val="21"/>
        </w:rPr>
        <w:t>份用于复检，</w:t>
      </w:r>
      <w:r>
        <w:rPr>
          <w:sz w:val="21"/>
          <w:szCs w:val="21"/>
        </w:rPr>
        <w:t>1</w:t>
      </w:r>
      <w:r>
        <w:rPr>
          <w:sz w:val="21"/>
          <w:szCs w:val="21"/>
        </w:rPr>
        <w:t>份用于备查。</w:t>
      </w:r>
    </w:p>
    <w:p w:rsidR="0098243B" w:rsidRDefault="00066BD3" w:rsidP="00DF4C10">
      <w:pPr>
        <w:widowControl w:val="0"/>
        <w:spacing w:beforeLines="50" w:afterLines="50" w:line="400" w:lineRule="exact"/>
        <w:jc w:val="both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 xml:space="preserve">7.5 </w:t>
      </w:r>
      <w:r>
        <w:rPr>
          <w:rFonts w:eastAsia="黑体"/>
          <w:sz w:val="21"/>
          <w:szCs w:val="21"/>
        </w:rPr>
        <w:t>判定规则</w:t>
      </w:r>
    </w:p>
    <w:p w:rsidR="0098243B" w:rsidRDefault="00066BD3" w:rsidP="00DF4C10">
      <w:pPr>
        <w:widowControl w:val="0"/>
        <w:spacing w:beforeLines="50" w:afterLines="50" w:line="400" w:lineRule="exact"/>
        <w:jc w:val="both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 xml:space="preserve">7.5.1 </w:t>
      </w:r>
      <w:r>
        <w:rPr>
          <w:rFonts w:eastAsia="黑体"/>
          <w:sz w:val="21"/>
          <w:szCs w:val="21"/>
        </w:rPr>
        <w:t>出厂检验判定</w:t>
      </w:r>
    </w:p>
    <w:p w:rsidR="0098243B" w:rsidRDefault="00066BD3">
      <w:pPr>
        <w:spacing w:line="44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出厂检验项目全部符合本文件要求时，判该批次产品合格。若检验中出现任何一项不符合，可取备样复检。复检后仍不符合本标准，判为不合格品。</w:t>
      </w:r>
    </w:p>
    <w:p w:rsidR="0098243B" w:rsidRDefault="00066BD3" w:rsidP="00DF4C10">
      <w:pPr>
        <w:widowControl w:val="0"/>
        <w:spacing w:beforeLines="50" w:afterLines="50" w:line="400" w:lineRule="exact"/>
        <w:jc w:val="both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 xml:space="preserve">7.5.2 </w:t>
      </w:r>
      <w:r>
        <w:rPr>
          <w:rFonts w:eastAsia="黑体"/>
          <w:sz w:val="21"/>
          <w:szCs w:val="21"/>
        </w:rPr>
        <w:t>型式检验判定</w:t>
      </w:r>
    </w:p>
    <w:p w:rsidR="0098243B" w:rsidRDefault="00066BD3">
      <w:pPr>
        <w:spacing w:line="44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lastRenderedPageBreak/>
        <w:t>型式检验项目全部符合本文件要求，判定该批次产品合格。型式检验如有不合格项目，可在原批次产品中双倍复验，除微生物要求外，复验仍不合格的，判定该批次产品不合格。</w:t>
      </w:r>
    </w:p>
    <w:p w:rsidR="0098243B" w:rsidRDefault="00066BD3" w:rsidP="00FB73E4">
      <w:pPr>
        <w:pStyle w:val="1"/>
        <w:numPr>
          <w:ilvl w:val="0"/>
          <w:numId w:val="0"/>
        </w:numPr>
        <w:spacing w:before="240" w:after="240"/>
        <w:rPr>
          <w:sz w:val="21"/>
        </w:rPr>
      </w:pPr>
      <w:r>
        <w:rPr>
          <w:sz w:val="21"/>
        </w:rPr>
        <w:t xml:space="preserve">8 </w:t>
      </w:r>
      <w:r>
        <w:rPr>
          <w:sz w:val="21"/>
        </w:rPr>
        <w:t>标签和标志</w:t>
      </w:r>
    </w:p>
    <w:p w:rsidR="0098243B" w:rsidRDefault="00066BD3" w:rsidP="00DF4C10">
      <w:pPr>
        <w:widowControl w:val="0"/>
        <w:spacing w:beforeLines="50" w:afterLines="50" w:line="400" w:lineRule="exact"/>
        <w:jc w:val="both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 xml:space="preserve">8.1 </w:t>
      </w:r>
      <w:r>
        <w:rPr>
          <w:rFonts w:eastAsia="黑体"/>
          <w:sz w:val="21"/>
          <w:szCs w:val="21"/>
        </w:rPr>
        <w:t>标签</w:t>
      </w:r>
    </w:p>
    <w:p w:rsidR="0098243B" w:rsidRDefault="00066BD3">
      <w:pPr>
        <w:spacing w:line="44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应符合</w:t>
      </w:r>
      <w:r>
        <w:rPr>
          <w:sz w:val="21"/>
          <w:szCs w:val="21"/>
        </w:rPr>
        <w:t>GB 7718</w:t>
      </w:r>
      <w:r>
        <w:rPr>
          <w:sz w:val="21"/>
          <w:szCs w:val="21"/>
        </w:rPr>
        <w:t>和</w:t>
      </w:r>
      <w:r>
        <w:rPr>
          <w:sz w:val="21"/>
          <w:szCs w:val="21"/>
        </w:rPr>
        <w:t>GB 28050</w:t>
      </w:r>
      <w:r>
        <w:rPr>
          <w:sz w:val="21"/>
          <w:szCs w:val="21"/>
        </w:rPr>
        <w:t>的规定。还应标示出</w:t>
      </w:r>
      <w:r>
        <w:rPr>
          <w:sz w:val="21"/>
          <w:szCs w:val="21"/>
        </w:rPr>
        <w:t>EGCG</w:t>
      </w:r>
      <w:r>
        <w:rPr>
          <w:sz w:val="21"/>
          <w:szCs w:val="21"/>
        </w:rPr>
        <w:t>在产品对应配料中的质量百分比添加量，以及标示出食用量限量，为不超过</w:t>
      </w:r>
      <w:r>
        <w:rPr>
          <w:sz w:val="21"/>
          <w:szCs w:val="21"/>
        </w:rPr>
        <w:t>300</w:t>
      </w:r>
      <w:r>
        <w:rPr>
          <w:sz w:val="21"/>
          <w:szCs w:val="21"/>
        </w:rPr>
        <w:t>毫克每天（以</w:t>
      </w:r>
      <w:r>
        <w:rPr>
          <w:sz w:val="21"/>
          <w:szCs w:val="21"/>
        </w:rPr>
        <w:t>EGCG</w:t>
      </w:r>
      <w:r>
        <w:rPr>
          <w:sz w:val="21"/>
          <w:szCs w:val="21"/>
        </w:rPr>
        <w:t>计）。</w:t>
      </w:r>
    </w:p>
    <w:p w:rsidR="0098243B" w:rsidRDefault="00066BD3" w:rsidP="00DF4C10">
      <w:pPr>
        <w:widowControl w:val="0"/>
        <w:spacing w:beforeLines="50" w:afterLines="50" w:line="400" w:lineRule="exact"/>
        <w:jc w:val="both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 xml:space="preserve">8.2 </w:t>
      </w:r>
      <w:r>
        <w:rPr>
          <w:rFonts w:eastAsia="黑体"/>
          <w:sz w:val="21"/>
          <w:szCs w:val="21"/>
        </w:rPr>
        <w:t>标志</w:t>
      </w:r>
    </w:p>
    <w:p w:rsidR="0098243B" w:rsidRDefault="00066BD3">
      <w:pPr>
        <w:spacing w:line="44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储运图示标志应符合</w:t>
      </w:r>
      <w:r>
        <w:rPr>
          <w:sz w:val="21"/>
          <w:szCs w:val="21"/>
        </w:rPr>
        <w:t>GB/T 191</w:t>
      </w:r>
      <w:r>
        <w:rPr>
          <w:sz w:val="21"/>
          <w:szCs w:val="21"/>
        </w:rPr>
        <w:t>的相关规定。</w:t>
      </w:r>
    </w:p>
    <w:p w:rsidR="0098243B" w:rsidRDefault="00066BD3" w:rsidP="00FB73E4">
      <w:pPr>
        <w:pStyle w:val="1"/>
        <w:numPr>
          <w:ilvl w:val="0"/>
          <w:numId w:val="0"/>
        </w:numPr>
        <w:spacing w:before="240" w:after="240"/>
        <w:rPr>
          <w:sz w:val="21"/>
        </w:rPr>
      </w:pPr>
      <w:r>
        <w:rPr>
          <w:sz w:val="21"/>
        </w:rPr>
        <w:t xml:space="preserve">9 </w:t>
      </w:r>
      <w:r>
        <w:rPr>
          <w:sz w:val="21"/>
        </w:rPr>
        <w:t>包装</w:t>
      </w:r>
    </w:p>
    <w:p w:rsidR="0098243B" w:rsidRDefault="00066BD3">
      <w:pPr>
        <w:spacing w:line="44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产品采用塑料制品、玻璃制品或复合食品包装袋包装，应分别符合</w:t>
      </w:r>
      <w:r>
        <w:rPr>
          <w:sz w:val="21"/>
          <w:szCs w:val="21"/>
        </w:rPr>
        <w:t>GB 4806.5</w:t>
      </w:r>
      <w:r>
        <w:rPr>
          <w:sz w:val="21"/>
          <w:szCs w:val="21"/>
        </w:rPr>
        <w:t>、</w:t>
      </w:r>
      <w:r>
        <w:rPr>
          <w:sz w:val="21"/>
          <w:szCs w:val="21"/>
        </w:rPr>
        <w:t>GB 4806.7</w:t>
      </w:r>
      <w:r>
        <w:rPr>
          <w:sz w:val="21"/>
          <w:szCs w:val="21"/>
        </w:rPr>
        <w:t>和</w:t>
      </w:r>
      <w:r>
        <w:rPr>
          <w:sz w:val="21"/>
          <w:szCs w:val="21"/>
        </w:rPr>
        <w:t>GB 4806.13</w:t>
      </w:r>
      <w:r>
        <w:rPr>
          <w:sz w:val="21"/>
          <w:szCs w:val="21"/>
        </w:rPr>
        <w:t>的规定。</w:t>
      </w:r>
    </w:p>
    <w:p w:rsidR="0098243B" w:rsidRDefault="00066BD3" w:rsidP="00FB73E4">
      <w:pPr>
        <w:pStyle w:val="1"/>
        <w:numPr>
          <w:ilvl w:val="0"/>
          <w:numId w:val="0"/>
        </w:numPr>
        <w:spacing w:before="240" w:after="240"/>
        <w:rPr>
          <w:sz w:val="21"/>
        </w:rPr>
      </w:pPr>
      <w:r>
        <w:rPr>
          <w:sz w:val="21"/>
        </w:rPr>
        <w:t xml:space="preserve">10 </w:t>
      </w:r>
      <w:r>
        <w:rPr>
          <w:sz w:val="21"/>
        </w:rPr>
        <w:t>运输</w:t>
      </w:r>
    </w:p>
    <w:p w:rsidR="0098243B" w:rsidRDefault="00066BD3">
      <w:pPr>
        <w:spacing w:line="44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产品在运输过程中应轻拿轻放，防止日晒、雨淋，运输工具应清洁卫生，不得与有毒、有害、有污染的物品混运。</w:t>
      </w:r>
    </w:p>
    <w:p w:rsidR="0098243B" w:rsidRDefault="00066BD3" w:rsidP="00FB73E4">
      <w:pPr>
        <w:pStyle w:val="1"/>
        <w:numPr>
          <w:ilvl w:val="0"/>
          <w:numId w:val="0"/>
        </w:numPr>
        <w:spacing w:before="240" w:after="240"/>
        <w:rPr>
          <w:rFonts w:eastAsia="宋体"/>
          <w:color w:val="auto"/>
          <w:sz w:val="21"/>
        </w:rPr>
      </w:pPr>
      <w:r>
        <w:rPr>
          <w:sz w:val="21"/>
        </w:rPr>
        <w:t xml:space="preserve">11 </w:t>
      </w:r>
      <w:r>
        <w:rPr>
          <w:sz w:val="21"/>
        </w:rPr>
        <w:t>贮存</w:t>
      </w:r>
    </w:p>
    <w:p w:rsidR="0098243B" w:rsidRDefault="00066BD3" w:rsidP="00DF4C10">
      <w:pPr>
        <w:widowControl w:val="0"/>
        <w:spacing w:beforeLines="50" w:afterLines="50" w:line="400" w:lineRule="exact"/>
        <w:jc w:val="both"/>
        <w:rPr>
          <w:sz w:val="21"/>
          <w:szCs w:val="21"/>
        </w:rPr>
      </w:pPr>
      <w:r>
        <w:rPr>
          <w:rFonts w:eastAsia="黑体"/>
          <w:sz w:val="21"/>
          <w:szCs w:val="21"/>
        </w:rPr>
        <w:t xml:space="preserve">11.1 </w:t>
      </w:r>
      <w:r>
        <w:rPr>
          <w:rFonts w:eastAsia="黑体"/>
          <w:sz w:val="21"/>
          <w:szCs w:val="21"/>
        </w:rPr>
        <w:t>产品应贮存在清洁卫生、常温、干燥的仓库中。仓库内有防尘、防蝇、防鼠等设施。勿使产品受热受冻或温度骤然升降。</w:t>
      </w:r>
    </w:p>
    <w:p w:rsidR="0098243B" w:rsidRDefault="00066BD3" w:rsidP="00DF4C10">
      <w:pPr>
        <w:widowControl w:val="0"/>
        <w:spacing w:beforeLines="50" w:afterLines="50" w:line="400" w:lineRule="exact"/>
        <w:jc w:val="both"/>
        <w:rPr>
          <w:sz w:val="21"/>
          <w:szCs w:val="21"/>
        </w:rPr>
      </w:pPr>
      <w:r>
        <w:rPr>
          <w:rFonts w:eastAsia="黑体"/>
          <w:sz w:val="21"/>
          <w:szCs w:val="21"/>
        </w:rPr>
        <w:t xml:space="preserve">11.2 </w:t>
      </w:r>
      <w:r>
        <w:rPr>
          <w:rFonts w:eastAsia="黑体"/>
          <w:sz w:val="21"/>
          <w:szCs w:val="21"/>
        </w:rPr>
        <w:t>产品应与墙壁、地面保持适当的距离，以利于空气流通及物品搬运。</w:t>
      </w:r>
    </w:p>
    <w:p w:rsidR="0098243B" w:rsidRDefault="00066BD3" w:rsidP="00DF4C10">
      <w:pPr>
        <w:widowControl w:val="0"/>
        <w:spacing w:beforeLines="50" w:afterLines="50" w:line="400" w:lineRule="exact"/>
        <w:jc w:val="both"/>
        <w:rPr>
          <w:rFonts w:eastAsia="黑体"/>
          <w:sz w:val="21"/>
          <w:szCs w:val="21"/>
        </w:rPr>
        <w:sectPr w:rsidR="0098243B">
          <w:footerReference w:type="even" r:id="rId13"/>
          <w:footerReference w:type="default" r:id="rId14"/>
          <w:footerReference w:type="first" r:id="rId15"/>
          <w:pgSz w:w="11900" w:h="16838"/>
          <w:pgMar w:top="1417" w:right="1134" w:bottom="1134" w:left="1417" w:header="1417" w:footer="1134" w:gutter="0"/>
          <w:pgNumType w:start="1"/>
          <w:cols w:space="720" w:equalWidth="0">
            <w:col w:w="9026"/>
          </w:cols>
          <w:titlePg/>
        </w:sectPr>
      </w:pPr>
      <w:r>
        <w:rPr>
          <w:rFonts w:eastAsia="黑体"/>
          <w:sz w:val="21"/>
          <w:szCs w:val="21"/>
        </w:rPr>
        <w:t xml:space="preserve">11.3 </w:t>
      </w:r>
      <w:r>
        <w:rPr>
          <w:rFonts w:eastAsia="黑体"/>
          <w:sz w:val="21"/>
          <w:szCs w:val="21"/>
        </w:rPr>
        <w:t>符合上述规定的贮运条件下，产品保质期不超过</w:t>
      </w:r>
      <w:r>
        <w:rPr>
          <w:rFonts w:eastAsia="黑体"/>
          <w:sz w:val="21"/>
          <w:szCs w:val="21"/>
        </w:rPr>
        <w:t>15</w:t>
      </w:r>
      <w:r>
        <w:rPr>
          <w:rFonts w:eastAsia="黑体"/>
          <w:sz w:val="21"/>
          <w:szCs w:val="21"/>
        </w:rPr>
        <w:t>个月，以标签标注为准。</w:t>
      </w:r>
    </w:p>
    <w:p w:rsidR="0098243B" w:rsidRDefault="00066BD3">
      <w:pPr>
        <w:numPr>
          <w:ilvl w:val="255"/>
          <w:numId w:val="0"/>
        </w:numPr>
        <w:spacing w:line="440" w:lineRule="exact"/>
        <w:jc w:val="center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lastRenderedPageBreak/>
        <w:t>附</w:t>
      </w:r>
      <w:r>
        <w:rPr>
          <w:rFonts w:eastAsia="黑体"/>
          <w:sz w:val="21"/>
          <w:szCs w:val="21"/>
        </w:rPr>
        <w:t xml:space="preserve">  </w:t>
      </w:r>
      <w:r>
        <w:rPr>
          <w:rFonts w:eastAsia="黑体"/>
          <w:sz w:val="21"/>
          <w:szCs w:val="21"/>
        </w:rPr>
        <w:t>录</w:t>
      </w:r>
      <w:r>
        <w:rPr>
          <w:rFonts w:eastAsia="黑体"/>
          <w:sz w:val="21"/>
          <w:szCs w:val="21"/>
        </w:rPr>
        <w:t xml:space="preserve">  A </w:t>
      </w:r>
    </w:p>
    <w:p w:rsidR="0098243B" w:rsidRDefault="00066BD3">
      <w:pPr>
        <w:numPr>
          <w:ilvl w:val="255"/>
          <w:numId w:val="0"/>
        </w:numPr>
        <w:spacing w:line="440" w:lineRule="exact"/>
        <w:jc w:val="center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>（资料性）</w:t>
      </w:r>
    </w:p>
    <w:p w:rsidR="0098243B" w:rsidRDefault="00066BD3">
      <w:pPr>
        <w:numPr>
          <w:ilvl w:val="255"/>
          <w:numId w:val="0"/>
        </w:numPr>
        <w:spacing w:line="440" w:lineRule="exact"/>
        <w:jc w:val="center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>EGCG</w:t>
      </w:r>
    </w:p>
    <w:p w:rsidR="0098243B" w:rsidRDefault="00066BD3">
      <w:pPr>
        <w:spacing w:line="44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EGCG</w:t>
      </w:r>
      <w:r>
        <w:rPr>
          <w:sz w:val="21"/>
          <w:szCs w:val="21"/>
        </w:rPr>
        <w:t>是绿茶中的一种主要多酚，属于儿茶素类化合物，来源于绿茶叶，经提取、层析分离、蒸发浓缩、真空蒸馏、冷却、结晶、干燥等工艺而制成，分子式为</w:t>
      </w:r>
      <w:r>
        <w:rPr>
          <w:sz w:val="21"/>
          <w:szCs w:val="21"/>
        </w:rPr>
        <w:t>C</w:t>
      </w:r>
      <w:r>
        <w:rPr>
          <w:sz w:val="21"/>
          <w:szCs w:val="21"/>
          <w:vertAlign w:val="subscript"/>
        </w:rPr>
        <w:t>22</w:t>
      </w:r>
      <w:r>
        <w:rPr>
          <w:sz w:val="21"/>
          <w:szCs w:val="21"/>
        </w:rPr>
        <w:t>H</w:t>
      </w:r>
      <w:r>
        <w:rPr>
          <w:sz w:val="21"/>
          <w:szCs w:val="21"/>
          <w:vertAlign w:val="subscript"/>
        </w:rPr>
        <w:t>18</w:t>
      </w:r>
      <w:r>
        <w:rPr>
          <w:sz w:val="21"/>
          <w:szCs w:val="21"/>
        </w:rPr>
        <w:t>O</w:t>
      </w:r>
      <w:r>
        <w:rPr>
          <w:sz w:val="21"/>
          <w:szCs w:val="21"/>
          <w:vertAlign w:val="subscript"/>
        </w:rPr>
        <w:t>11</w:t>
      </w:r>
      <w:r>
        <w:rPr>
          <w:sz w:val="21"/>
          <w:szCs w:val="21"/>
        </w:rPr>
        <w:t>，分子量为</w:t>
      </w:r>
      <w:r>
        <w:rPr>
          <w:sz w:val="21"/>
          <w:szCs w:val="21"/>
        </w:rPr>
        <w:t>458.4</w:t>
      </w:r>
      <w:r>
        <w:rPr>
          <w:sz w:val="21"/>
          <w:szCs w:val="21"/>
        </w:rPr>
        <w:t>。建议每日推荐食用量为不超过</w:t>
      </w:r>
      <w:r>
        <w:rPr>
          <w:sz w:val="21"/>
          <w:szCs w:val="21"/>
        </w:rPr>
        <w:t>300</w:t>
      </w:r>
      <w:r>
        <w:rPr>
          <w:sz w:val="21"/>
          <w:szCs w:val="21"/>
        </w:rPr>
        <w:t>毫克每天（以</w:t>
      </w:r>
      <w:r>
        <w:rPr>
          <w:sz w:val="21"/>
          <w:szCs w:val="21"/>
        </w:rPr>
        <w:t>EGCG</w:t>
      </w:r>
      <w:r>
        <w:rPr>
          <w:sz w:val="21"/>
          <w:szCs w:val="21"/>
        </w:rPr>
        <w:t>计）。使用范围不包括婴幼儿食品。食品的标签、说明书中应当标注食用限量。</w:t>
      </w:r>
      <w:bookmarkStart w:id="3" w:name="_GoBack"/>
      <w:bookmarkEnd w:id="3"/>
    </w:p>
    <w:p w:rsidR="0098243B" w:rsidRDefault="0098243B">
      <w:pPr>
        <w:spacing w:line="440" w:lineRule="exact"/>
        <w:rPr>
          <w:sz w:val="21"/>
          <w:szCs w:val="21"/>
        </w:rPr>
      </w:pPr>
    </w:p>
    <w:p w:rsidR="0098243B" w:rsidRDefault="0098243B">
      <w:pPr>
        <w:spacing w:line="440" w:lineRule="exact"/>
        <w:rPr>
          <w:sz w:val="21"/>
          <w:szCs w:val="21"/>
        </w:rPr>
      </w:pPr>
    </w:p>
    <w:p w:rsidR="0098243B" w:rsidRDefault="0098243B">
      <w:pPr>
        <w:numPr>
          <w:ilvl w:val="255"/>
          <w:numId w:val="0"/>
        </w:numPr>
        <w:spacing w:line="440" w:lineRule="exact"/>
        <w:jc w:val="center"/>
        <w:rPr>
          <w:rFonts w:eastAsia="黑体"/>
          <w:sz w:val="21"/>
          <w:szCs w:val="21"/>
        </w:rPr>
        <w:sectPr w:rsidR="0098243B">
          <w:pgSz w:w="11900" w:h="16838"/>
          <w:pgMar w:top="1417" w:right="1134" w:bottom="1134" w:left="1417" w:header="1417" w:footer="1134" w:gutter="0"/>
          <w:cols w:space="720" w:equalWidth="0">
            <w:col w:w="9026"/>
          </w:cols>
        </w:sectPr>
      </w:pPr>
    </w:p>
    <w:p w:rsidR="0098243B" w:rsidRDefault="00066BD3">
      <w:pPr>
        <w:numPr>
          <w:ilvl w:val="255"/>
          <w:numId w:val="0"/>
        </w:numPr>
        <w:spacing w:line="440" w:lineRule="exact"/>
        <w:jc w:val="center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lastRenderedPageBreak/>
        <w:t>附</w:t>
      </w:r>
      <w:r>
        <w:rPr>
          <w:rFonts w:eastAsia="黑体"/>
          <w:sz w:val="21"/>
          <w:szCs w:val="21"/>
        </w:rPr>
        <w:t xml:space="preserve">  </w:t>
      </w:r>
      <w:r>
        <w:rPr>
          <w:rFonts w:eastAsia="黑体"/>
          <w:sz w:val="21"/>
          <w:szCs w:val="21"/>
        </w:rPr>
        <w:t>录</w:t>
      </w:r>
      <w:r>
        <w:rPr>
          <w:rFonts w:eastAsia="黑体"/>
          <w:sz w:val="21"/>
          <w:szCs w:val="21"/>
        </w:rPr>
        <w:t xml:space="preserve">  B</w:t>
      </w:r>
    </w:p>
    <w:p w:rsidR="0098243B" w:rsidRDefault="00066BD3">
      <w:pPr>
        <w:numPr>
          <w:ilvl w:val="255"/>
          <w:numId w:val="0"/>
        </w:numPr>
        <w:spacing w:line="440" w:lineRule="exact"/>
        <w:jc w:val="center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>（规范性）</w:t>
      </w:r>
    </w:p>
    <w:p w:rsidR="0098243B" w:rsidRDefault="00066BD3">
      <w:pPr>
        <w:numPr>
          <w:ilvl w:val="255"/>
          <w:numId w:val="0"/>
        </w:numPr>
        <w:spacing w:line="440" w:lineRule="exact"/>
        <w:jc w:val="center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>微纳米</w:t>
      </w:r>
      <w:r>
        <w:rPr>
          <w:rFonts w:eastAsia="黑体"/>
          <w:sz w:val="21"/>
          <w:szCs w:val="21"/>
        </w:rPr>
        <w:t>EGCG</w:t>
      </w:r>
      <w:r>
        <w:rPr>
          <w:rFonts w:eastAsia="黑体"/>
          <w:sz w:val="21"/>
          <w:szCs w:val="21"/>
        </w:rPr>
        <w:t>制备</w:t>
      </w:r>
    </w:p>
    <w:p w:rsidR="0098243B" w:rsidRDefault="0098243B">
      <w:pPr>
        <w:numPr>
          <w:ilvl w:val="255"/>
          <w:numId w:val="0"/>
        </w:numPr>
        <w:spacing w:line="440" w:lineRule="exact"/>
        <w:jc w:val="center"/>
        <w:rPr>
          <w:sz w:val="21"/>
          <w:szCs w:val="21"/>
        </w:rPr>
      </w:pPr>
    </w:p>
    <w:p w:rsidR="0098243B" w:rsidRDefault="00066BD3">
      <w:pPr>
        <w:numPr>
          <w:ilvl w:val="255"/>
          <w:numId w:val="0"/>
        </w:numPr>
        <w:spacing w:line="440" w:lineRule="exac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B.1 </w:t>
      </w:r>
      <w:r>
        <w:rPr>
          <w:sz w:val="21"/>
          <w:szCs w:val="21"/>
        </w:rPr>
        <w:t>水相制备</w:t>
      </w:r>
    </w:p>
    <w:p w:rsidR="0098243B" w:rsidRDefault="00066BD3">
      <w:pPr>
        <w:spacing w:line="440" w:lineRule="exac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B.1.1 </w:t>
      </w:r>
      <w:r>
        <w:rPr>
          <w:sz w:val="21"/>
          <w:szCs w:val="21"/>
        </w:rPr>
        <w:t>将酸度调节剂、稳定剂、抗氧化剂和乳化剂用水分散。</w:t>
      </w:r>
    </w:p>
    <w:p w:rsidR="0098243B" w:rsidRDefault="00066BD3">
      <w:pPr>
        <w:spacing w:line="440" w:lineRule="exac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B.1.2 </w:t>
      </w:r>
      <w:r>
        <w:rPr>
          <w:sz w:val="21"/>
          <w:szCs w:val="21"/>
        </w:rPr>
        <w:t>加入</w:t>
      </w:r>
      <w:r>
        <w:rPr>
          <w:sz w:val="21"/>
          <w:szCs w:val="21"/>
        </w:rPr>
        <w:t>EGCG</w:t>
      </w:r>
      <w:r>
        <w:rPr>
          <w:sz w:val="21"/>
          <w:szCs w:val="21"/>
        </w:rPr>
        <w:t>，用磁力搅拌器搅拌。</w:t>
      </w:r>
    </w:p>
    <w:p w:rsidR="0098243B" w:rsidRDefault="00066BD3">
      <w:pPr>
        <w:spacing w:line="440" w:lineRule="exac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B.1.3 </w:t>
      </w:r>
      <w:r>
        <w:rPr>
          <w:sz w:val="21"/>
          <w:szCs w:val="21"/>
        </w:rPr>
        <w:t>超声至分散均匀，得到水相。</w:t>
      </w:r>
    </w:p>
    <w:p w:rsidR="0098243B" w:rsidRDefault="00066BD3">
      <w:pPr>
        <w:numPr>
          <w:ilvl w:val="255"/>
          <w:numId w:val="0"/>
        </w:numPr>
        <w:spacing w:line="440" w:lineRule="exac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B.2 </w:t>
      </w:r>
      <w:r>
        <w:rPr>
          <w:sz w:val="21"/>
          <w:szCs w:val="21"/>
        </w:rPr>
        <w:t>微纳米</w:t>
      </w:r>
      <w:r>
        <w:rPr>
          <w:sz w:val="21"/>
          <w:szCs w:val="21"/>
        </w:rPr>
        <w:t>EGCG</w:t>
      </w:r>
      <w:r>
        <w:rPr>
          <w:sz w:val="21"/>
          <w:szCs w:val="21"/>
        </w:rPr>
        <w:t>制备</w:t>
      </w:r>
    </w:p>
    <w:p w:rsidR="0098243B" w:rsidRDefault="00066BD3">
      <w:pPr>
        <w:spacing w:line="440" w:lineRule="exact"/>
        <w:jc w:val="both"/>
        <w:rPr>
          <w:sz w:val="21"/>
          <w:szCs w:val="21"/>
        </w:rPr>
      </w:pPr>
      <w:r>
        <w:rPr>
          <w:sz w:val="21"/>
          <w:szCs w:val="21"/>
        </w:rPr>
        <w:t>B.2.1</w:t>
      </w:r>
      <w:r>
        <w:rPr>
          <w:sz w:val="21"/>
          <w:szCs w:val="21"/>
        </w:rPr>
        <w:t>将水相和植物油按一定比例混合。</w:t>
      </w:r>
    </w:p>
    <w:p w:rsidR="0098243B" w:rsidRDefault="00066BD3">
      <w:pPr>
        <w:spacing w:line="440" w:lineRule="exac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B.2.2 </w:t>
      </w:r>
      <w:r>
        <w:rPr>
          <w:sz w:val="21"/>
          <w:szCs w:val="21"/>
        </w:rPr>
        <w:t>在冰浴条件下超声，间隔更新冰浴条件。</w:t>
      </w:r>
    </w:p>
    <w:p w:rsidR="0098243B" w:rsidRDefault="00066BD3">
      <w:pPr>
        <w:spacing w:line="440" w:lineRule="exac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B.2.3 </w:t>
      </w:r>
      <w:r>
        <w:rPr>
          <w:sz w:val="21"/>
          <w:szCs w:val="21"/>
        </w:rPr>
        <w:t>超声完毕后待恢复至室温即得到微纳米</w:t>
      </w:r>
      <w:r>
        <w:rPr>
          <w:sz w:val="21"/>
          <w:szCs w:val="21"/>
        </w:rPr>
        <w:t>EGCG</w:t>
      </w:r>
      <w:r>
        <w:rPr>
          <w:sz w:val="21"/>
          <w:szCs w:val="21"/>
        </w:rPr>
        <w:t>。</w:t>
      </w:r>
    </w:p>
    <w:p w:rsidR="0098243B" w:rsidRDefault="0098243B">
      <w:pPr>
        <w:numPr>
          <w:ilvl w:val="255"/>
          <w:numId w:val="0"/>
        </w:numPr>
        <w:spacing w:line="440" w:lineRule="exact"/>
        <w:jc w:val="both"/>
        <w:rPr>
          <w:sz w:val="21"/>
          <w:szCs w:val="21"/>
        </w:rPr>
        <w:sectPr w:rsidR="0098243B">
          <w:pgSz w:w="11900" w:h="16838"/>
          <w:pgMar w:top="1417" w:right="1134" w:bottom="1134" w:left="1417" w:header="1417" w:footer="1134" w:gutter="0"/>
          <w:cols w:space="720" w:equalWidth="0">
            <w:col w:w="9026"/>
          </w:cols>
        </w:sectPr>
      </w:pPr>
    </w:p>
    <w:p w:rsidR="0098243B" w:rsidRDefault="00066BD3">
      <w:pPr>
        <w:numPr>
          <w:ilvl w:val="255"/>
          <w:numId w:val="0"/>
        </w:numPr>
        <w:spacing w:line="440" w:lineRule="exact"/>
        <w:jc w:val="center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lastRenderedPageBreak/>
        <w:t>附</w:t>
      </w:r>
      <w:r>
        <w:rPr>
          <w:rFonts w:eastAsia="黑体"/>
          <w:sz w:val="21"/>
          <w:szCs w:val="21"/>
        </w:rPr>
        <w:t xml:space="preserve">  </w:t>
      </w:r>
      <w:r>
        <w:rPr>
          <w:rFonts w:eastAsia="黑体"/>
          <w:sz w:val="21"/>
          <w:szCs w:val="21"/>
        </w:rPr>
        <w:t>录</w:t>
      </w:r>
      <w:r>
        <w:rPr>
          <w:rFonts w:eastAsia="黑体"/>
          <w:sz w:val="21"/>
          <w:szCs w:val="21"/>
        </w:rPr>
        <w:t xml:space="preserve">  C</w:t>
      </w:r>
    </w:p>
    <w:p w:rsidR="0098243B" w:rsidRDefault="00066BD3">
      <w:pPr>
        <w:numPr>
          <w:ilvl w:val="255"/>
          <w:numId w:val="0"/>
        </w:numPr>
        <w:spacing w:line="440" w:lineRule="exact"/>
        <w:jc w:val="center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>（规范性）</w:t>
      </w:r>
    </w:p>
    <w:p w:rsidR="0098243B" w:rsidRDefault="00066BD3">
      <w:pPr>
        <w:numPr>
          <w:ilvl w:val="255"/>
          <w:numId w:val="0"/>
        </w:numPr>
        <w:spacing w:line="440" w:lineRule="exact"/>
        <w:jc w:val="center"/>
        <w:rPr>
          <w:sz w:val="21"/>
          <w:szCs w:val="21"/>
        </w:rPr>
      </w:pPr>
      <w:r>
        <w:rPr>
          <w:rFonts w:eastAsia="黑体"/>
          <w:sz w:val="21"/>
          <w:szCs w:val="21"/>
        </w:rPr>
        <w:t>微纳米</w:t>
      </w:r>
      <w:r>
        <w:rPr>
          <w:rFonts w:eastAsia="黑体"/>
          <w:sz w:val="21"/>
          <w:szCs w:val="21"/>
        </w:rPr>
        <w:t>EGCG</w:t>
      </w:r>
      <w:r>
        <w:rPr>
          <w:rFonts w:eastAsia="黑体"/>
          <w:sz w:val="21"/>
          <w:szCs w:val="21"/>
        </w:rPr>
        <w:t>沙拉酱加工</w:t>
      </w:r>
    </w:p>
    <w:p w:rsidR="0098243B" w:rsidRDefault="00066BD3">
      <w:pPr>
        <w:spacing w:line="440" w:lineRule="exac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C.1 </w:t>
      </w:r>
      <w:r>
        <w:rPr>
          <w:sz w:val="21"/>
          <w:szCs w:val="21"/>
        </w:rPr>
        <w:t>取蛋黄、白砂糖、食用盐搅拌混合，加入植物油继续搅打至浓稠状，加入食醋搅拌降低浓稠度，重复操作后加入植物油继续搅打制得基础沙拉酱。</w:t>
      </w:r>
    </w:p>
    <w:p w:rsidR="0098243B" w:rsidRDefault="00066BD3">
      <w:pPr>
        <w:spacing w:line="440" w:lineRule="exac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C.2 </w:t>
      </w:r>
      <w:r>
        <w:rPr>
          <w:sz w:val="21"/>
          <w:szCs w:val="21"/>
        </w:rPr>
        <w:t>向基础沙拉酱中添加微纳米</w:t>
      </w:r>
      <w:r>
        <w:rPr>
          <w:sz w:val="21"/>
          <w:szCs w:val="21"/>
        </w:rPr>
        <w:t>EGCG</w:t>
      </w:r>
      <w:r>
        <w:rPr>
          <w:sz w:val="21"/>
          <w:szCs w:val="21"/>
        </w:rPr>
        <w:t>，再加入甜味剂以缓和</w:t>
      </w:r>
      <w:r>
        <w:rPr>
          <w:sz w:val="21"/>
          <w:szCs w:val="21"/>
        </w:rPr>
        <w:t>EGCG</w:t>
      </w:r>
      <w:r>
        <w:rPr>
          <w:sz w:val="21"/>
          <w:szCs w:val="21"/>
        </w:rPr>
        <w:t>的苦涩味，混合均匀制作复合沙拉酱。</w:t>
      </w:r>
      <w:r>
        <w:rPr>
          <w:sz w:val="21"/>
          <w:szCs w:val="21"/>
        </w:rPr>
        <w:br/>
      </w:r>
    </w:p>
    <w:p w:rsidR="0098243B" w:rsidRDefault="0098243B">
      <w:pPr>
        <w:numPr>
          <w:ilvl w:val="255"/>
          <w:numId w:val="0"/>
        </w:numPr>
        <w:spacing w:line="440" w:lineRule="exact"/>
        <w:jc w:val="center"/>
        <w:rPr>
          <w:rFonts w:eastAsia="黑体"/>
          <w:sz w:val="21"/>
          <w:szCs w:val="21"/>
        </w:rPr>
        <w:sectPr w:rsidR="0098243B">
          <w:pgSz w:w="11900" w:h="16838"/>
          <w:pgMar w:top="1417" w:right="1134" w:bottom="1134" w:left="1417" w:header="1417" w:footer="1134" w:gutter="0"/>
          <w:cols w:space="720" w:equalWidth="0">
            <w:col w:w="9026"/>
          </w:cols>
        </w:sectPr>
      </w:pPr>
    </w:p>
    <w:p w:rsidR="0098243B" w:rsidRDefault="00066BD3">
      <w:pPr>
        <w:numPr>
          <w:ilvl w:val="255"/>
          <w:numId w:val="0"/>
        </w:numPr>
        <w:spacing w:line="440" w:lineRule="exact"/>
        <w:jc w:val="center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lastRenderedPageBreak/>
        <w:t>参</w:t>
      </w:r>
      <w:r>
        <w:rPr>
          <w:rFonts w:eastAsia="黑体"/>
          <w:sz w:val="21"/>
          <w:szCs w:val="21"/>
        </w:rPr>
        <w:t xml:space="preserve"> </w:t>
      </w:r>
      <w:r>
        <w:rPr>
          <w:rFonts w:eastAsia="黑体"/>
          <w:sz w:val="21"/>
          <w:szCs w:val="21"/>
        </w:rPr>
        <w:t>考</w:t>
      </w:r>
      <w:r>
        <w:rPr>
          <w:rFonts w:eastAsia="黑体"/>
          <w:sz w:val="21"/>
          <w:szCs w:val="21"/>
        </w:rPr>
        <w:t xml:space="preserve"> </w:t>
      </w:r>
      <w:r>
        <w:rPr>
          <w:rFonts w:eastAsia="黑体"/>
          <w:sz w:val="21"/>
          <w:szCs w:val="21"/>
        </w:rPr>
        <w:t>文</w:t>
      </w:r>
      <w:r>
        <w:rPr>
          <w:rFonts w:eastAsia="黑体"/>
          <w:sz w:val="21"/>
          <w:szCs w:val="21"/>
        </w:rPr>
        <w:t xml:space="preserve"> </w:t>
      </w:r>
      <w:r>
        <w:rPr>
          <w:rFonts w:eastAsia="黑体"/>
          <w:sz w:val="21"/>
          <w:szCs w:val="21"/>
        </w:rPr>
        <w:t>献</w:t>
      </w:r>
    </w:p>
    <w:p w:rsidR="0098243B" w:rsidRDefault="00066BD3">
      <w:pPr>
        <w:spacing w:line="44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 xml:space="preserve">[1] </w:t>
      </w:r>
      <w:r>
        <w:rPr>
          <w:sz w:val="21"/>
          <w:szCs w:val="21"/>
        </w:rPr>
        <w:t>中华人民共和国卫生部公告</w:t>
      </w:r>
      <w:r>
        <w:rPr>
          <w:sz w:val="21"/>
          <w:szCs w:val="21"/>
        </w:rPr>
        <w:t xml:space="preserve"> 2010</w:t>
      </w:r>
      <w:r>
        <w:rPr>
          <w:sz w:val="21"/>
          <w:szCs w:val="21"/>
        </w:rPr>
        <w:t>年第</w:t>
      </w:r>
      <w:r>
        <w:rPr>
          <w:sz w:val="21"/>
          <w:szCs w:val="21"/>
        </w:rPr>
        <w:t>17</w:t>
      </w:r>
      <w:r>
        <w:rPr>
          <w:sz w:val="21"/>
          <w:szCs w:val="21"/>
        </w:rPr>
        <w:t>号《关于批准雨生红球藻等新资源食品的公告》</w:t>
      </w:r>
    </w:p>
    <w:p w:rsidR="0098243B" w:rsidRDefault="00066BD3">
      <w:pPr>
        <w:spacing w:line="44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 xml:space="preserve">[2] </w:t>
      </w:r>
      <w:r>
        <w:rPr>
          <w:sz w:val="21"/>
          <w:szCs w:val="21"/>
        </w:rPr>
        <w:t>国家市场监督管理总局令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第</w:t>
      </w:r>
      <w:r>
        <w:rPr>
          <w:sz w:val="21"/>
          <w:szCs w:val="21"/>
        </w:rPr>
        <w:t>70</w:t>
      </w:r>
      <w:r>
        <w:rPr>
          <w:sz w:val="21"/>
          <w:szCs w:val="21"/>
        </w:rPr>
        <w:t>号（</w:t>
      </w:r>
      <w:r>
        <w:rPr>
          <w:sz w:val="21"/>
          <w:szCs w:val="21"/>
        </w:rPr>
        <w:t>2023</w:t>
      </w:r>
      <w:r>
        <w:rPr>
          <w:sz w:val="21"/>
          <w:szCs w:val="21"/>
        </w:rPr>
        <w:t>年）《定量包装商品计量监督管理办法》</w:t>
      </w:r>
    </w:p>
    <w:p w:rsidR="0098243B" w:rsidRDefault="00066BD3">
      <w:pPr>
        <w:spacing w:line="44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 xml:space="preserve">[3] </w:t>
      </w:r>
      <w:r>
        <w:rPr>
          <w:sz w:val="21"/>
          <w:szCs w:val="21"/>
        </w:rPr>
        <w:t>王宇安</w:t>
      </w:r>
      <w:r>
        <w:rPr>
          <w:sz w:val="21"/>
          <w:szCs w:val="21"/>
        </w:rPr>
        <w:t>,</w:t>
      </w:r>
      <w:r>
        <w:rPr>
          <w:sz w:val="21"/>
          <w:szCs w:val="21"/>
        </w:rPr>
        <w:t>杜文凯</w:t>
      </w:r>
      <w:r>
        <w:rPr>
          <w:sz w:val="21"/>
          <w:szCs w:val="21"/>
        </w:rPr>
        <w:t>,</w:t>
      </w:r>
      <w:r>
        <w:rPr>
          <w:sz w:val="21"/>
          <w:szCs w:val="21"/>
        </w:rPr>
        <w:t>万景红</w:t>
      </w:r>
      <w:r>
        <w:rPr>
          <w:sz w:val="21"/>
          <w:szCs w:val="21"/>
        </w:rPr>
        <w:t>,</w:t>
      </w:r>
      <w:r>
        <w:rPr>
          <w:sz w:val="21"/>
          <w:szCs w:val="21"/>
        </w:rPr>
        <w:t>等</w:t>
      </w:r>
      <w:r>
        <w:rPr>
          <w:sz w:val="21"/>
          <w:szCs w:val="21"/>
        </w:rPr>
        <w:t>.</w:t>
      </w:r>
      <w:r>
        <w:rPr>
          <w:sz w:val="21"/>
          <w:szCs w:val="21"/>
        </w:rPr>
        <w:t>香榧油复合</w:t>
      </w:r>
      <w:r>
        <w:rPr>
          <w:sz w:val="21"/>
          <w:szCs w:val="21"/>
        </w:rPr>
        <w:t>EGCG</w:t>
      </w:r>
      <w:r>
        <w:rPr>
          <w:sz w:val="21"/>
          <w:szCs w:val="21"/>
        </w:rPr>
        <w:t>纳米乳液制备及其对沙拉酱和月饼的品质影响</w:t>
      </w:r>
      <w:r>
        <w:rPr>
          <w:sz w:val="21"/>
          <w:szCs w:val="21"/>
        </w:rPr>
        <w:t>[J].</w:t>
      </w:r>
      <w:r>
        <w:rPr>
          <w:sz w:val="21"/>
          <w:szCs w:val="21"/>
        </w:rPr>
        <w:t>茶叶科学</w:t>
      </w:r>
      <w:r>
        <w:rPr>
          <w:sz w:val="21"/>
          <w:szCs w:val="21"/>
        </w:rPr>
        <w:t>,2024,44(02):269-282.</w:t>
      </w:r>
    </w:p>
    <w:p w:rsidR="0098243B" w:rsidRDefault="00066BD3">
      <w:pPr>
        <w:spacing w:line="440" w:lineRule="exact"/>
        <w:ind w:firstLineChars="200" w:firstLine="420"/>
        <w:rPr>
          <w:sz w:val="21"/>
        </w:rPr>
      </w:pPr>
      <w:r>
        <w:rPr>
          <w:sz w:val="21"/>
          <w:szCs w:val="21"/>
        </w:rPr>
        <w:t>[4] Xie D, Wang Y, Zhou Y, et al. Preparation and application of oil-in-water structure linseed oil-EGCG nanoemulsion[J]. LWT, 2024, 203: 116318.</w:t>
      </w:r>
    </w:p>
    <w:p w:rsidR="0098243B" w:rsidRDefault="0098243B"/>
    <w:p w:rsidR="0098243B" w:rsidRDefault="0098243B"/>
    <w:p w:rsidR="0098243B" w:rsidRDefault="0098243B">
      <w:pPr>
        <w:jc w:val="both"/>
      </w:pPr>
    </w:p>
    <w:p w:rsidR="0098243B" w:rsidRDefault="0098243B">
      <w:pPr>
        <w:jc w:val="both"/>
      </w:pPr>
    </w:p>
    <w:p w:rsidR="0098243B" w:rsidRDefault="0098243B">
      <w:pPr>
        <w:jc w:val="both"/>
      </w:pPr>
    </w:p>
    <w:p w:rsidR="0098243B" w:rsidRDefault="0098243B">
      <w:pPr>
        <w:jc w:val="both"/>
      </w:pPr>
    </w:p>
    <w:p w:rsidR="0098243B" w:rsidRDefault="0098243B">
      <w:pPr>
        <w:jc w:val="both"/>
      </w:pPr>
    </w:p>
    <w:p w:rsidR="0098243B" w:rsidRDefault="0098243B">
      <w:pPr>
        <w:jc w:val="both"/>
      </w:pPr>
    </w:p>
    <w:p w:rsidR="0098243B" w:rsidRDefault="004F420B">
      <w:pPr>
        <w:jc w:val="both"/>
      </w:pPr>
      <w:r w:rsidRPr="004F420B">
        <w:rPr>
          <w:sz w:val="21"/>
        </w:rPr>
        <w:pict>
          <v:line id="1032" o:spid="_x0000_s1026" style="position:absolute;left:0;text-align:left;z-index:7;visibility:visible;mso-wrap-distance-left:0;mso-wrap-distance-right:0" from="137.05pt,6pt" to="316.2pt,6pt" strokeweight="1.25pt"/>
        </w:pict>
      </w:r>
    </w:p>
    <w:p w:rsidR="0098243B" w:rsidRDefault="0098243B">
      <w:pPr>
        <w:jc w:val="both"/>
      </w:pPr>
    </w:p>
    <w:p w:rsidR="0098243B" w:rsidRDefault="0098243B">
      <w:pPr>
        <w:jc w:val="both"/>
      </w:pPr>
    </w:p>
    <w:sectPr w:rsidR="0098243B" w:rsidSect="0098243B">
      <w:pgSz w:w="11900" w:h="16838"/>
      <w:pgMar w:top="1417" w:right="1134" w:bottom="1134" w:left="1417" w:header="1417" w:footer="1134" w:gutter="0"/>
      <w:cols w:space="720" w:equalWidth="0">
        <w:col w:w="902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4A2" w:rsidRDefault="00B724A2" w:rsidP="0098243B">
      <w:r>
        <w:separator/>
      </w:r>
    </w:p>
  </w:endnote>
  <w:endnote w:type="continuationSeparator" w:id="1">
    <w:p w:rsidR="00B724A2" w:rsidRDefault="00B724A2" w:rsidP="00982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_HKSCS-ExtB">
    <w:altName w:val="MingLiU_HKSCS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43B" w:rsidRDefault="004F420B">
    <w:pPr>
      <w:pStyle w:val="a5"/>
      <w:tabs>
        <w:tab w:val="clear" w:pos="4153"/>
      </w:tabs>
    </w:pPr>
    <w:r>
      <w:pict>
        <v:rect id="4097" o:spid="_x0000_s2052" style="position:absolute;margin-left:0;margin-top:0;width:8.25pt;height:9.5pt;z-index:2;visibility:visible;mso-wrap-distance-left:0;mso-wrap-distance-right:0;mso-position-horizontal:center;mso-position-horizontal-relative:margin" filled="f" stroked="f" strokeweight=".5pt">
          <v:textbox inset="0,0,0,0">
            <w:txbxContent>
              <w:p w:rsidR="0098243B" w:rsidRDefault="004F420B">
                <w:pPr>
                  <w:pStyle w:val="a5"/>
                </w:pPr>
                <w:r>
                  <w:fldChar w:fldCharType="begin"/>
                </w:r>
                <w:r w:rsidR="00066BD3">
                  <w:instrText xml:space="preserve"> PAGE  \* MERGEFORMAT </w:instrText>
                </w:r>
                <w:r>
                  <w:fldChar w:fldCharType="separate"/>
                </w:r>
                <w:r w:rsidR="00DF4C10">
                  <w:rPr>
                    <w:noProof/>
                  </w:rPr>
                  <w:t>I</w:t>
                </w:r>
                <w: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43B" w:rsidRDefault="004F420B">
    <w:pPr>
      <w:pStyle w:val="a5"/>
    </w:pPr>
    <w:r>
      <w:pict>
        <v:rect id="4098" o:spid="_x0000_s2051" style="position:absolute;margin-left:0;margin-top:0;width:2in;height:2in;z-index:4;visibility:visible;mso-wrap-style:none;mso-wrap-distance-left:0;mso-wrap-distance-right:0;mso-position-horizontal:center;mso-position-horizontal-relative:margin" filled="f" stroked="f" strokeweight=".5pt">
          <v:textbox style="mso-fit-shape-to-text:t" inset="0,0,0,0">
            <w:txbxContent>
              <w:p w:rsidR="0098243B" w:rsidRDefault="004F420B">
                <w:pPr>
                  <w:pStyle w:val="a5"/>
                </w:pPr>
                <w:r>
                  <w:fldChar w:fldCharType="begin"/>
                </w:r>
                <w:r w:rsidR="00066BD3">
                  <w:instrText xml:space="preserve"> PAGE  \* MERGEFORMAT </w:instrText>
                </w:r>
                <w:r>
                  <w:fldChar w:fldCharType="separate"/>
                </w:r>
                <w:r w:rsidR="00DF4C10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43B" w:rsidRDefault="004F420B">
    <w:pPr>
      <w:pStyle w:val="a5"/>
      <w:tabs>
        <w:tab w:val="clear" w:pos="4153"/>
      </w:tabs>
    </w:pPr>
    <w:r>
      <w:pict>
        <v:rect id="4099" o:spid="_x0000_s2050" style="position:absolute;margin-left:0;margin-top:0;width:8.25pt;height:9.5pt;z-index:3;visibility:visible;mso-wrap-distance-left:0;mso-wrap-distance-right:0;mso-position-horizontal:center;mso-position-horizontal-relative:margin" filled="f" stroked="f" strokeweight=".5pt">
          <v:textbox inset="0,0,0,0">
            <w:txbxContent>
              <w:p w:rsidR="0098243B" w:rsidRDefault="004F420B">
                <w:pPr>
                  <w:pStyle w:val="a5"/>
                </w:pPr>
                <w:r>
                  <w:fldChar w:fldCharType="begin"/>
                </w:r>
                <w:r w:rsidR="00066BD3">
                  <w:instrText xml:space="preserve"> PAGE  \* MERGEFORMAT </w:instrText>
                </w:r>
                <w:r>
                  <w:fldChar w:fldCharType="separate"/>
                </w:r>
                <w:r w:rsidR="00DF4C10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43B" w:rsidRDefault="004F420B">
    <w:pPr>
      <w:pStyle w:val="a5"/>
    </w:pPr>
    <w:r>
      <w:pict>
        <v:rect id="4100" o:spid="_x0000_s2049" style="position:absolute;margin-left:0;margin-top:0;width:2in;height:2in;z-index:5;visibility:visible;mso-wrap-style:none;mso-wrap-distance-left:0;mso-wrap-distance-right:0;mso-position-horizontal:center;mso-position-horizontal-relative:margin" filled="f" stroked="f" strokeweight=".5pt">
          <v:textbox style="mso-fit-shape-to-text:t" inset="0,0,0,0">
            <w:txbxContent>
              <w:p w:rsidR="0098243B" w:rsidRDefault="004F420B">
                <w:pPr>
                  <w:pStyle w:val="a5"/>
                </w:pPr>
                <w:r>
                  <w:fldChar w:fldCharType="begin"/>
                </w:r>
                <w:r w:rsidR="00066BD3">
                  <w:instrText xml:space="preserve"> PAGE  \* MERGEFORMAT </w:instrText>
                </w:r>
                <w:r>
                  <w:fldChar w:fldCharType="separate"/>
                </w:r>
                <w:r w:rsidR="00DF4C1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4A2" w:rsidRDefault="00B724A2" w:rsidP="0098243B">
      <w:r>
        <w:separator/>
      </w:r>
    </w:p>
  </w:footnote>
  <w:footnote w:type="continuationSeparator" w:id="1">
    <w:p w:rsidR="00B724A2" w:rsidRDefault="00B724A2" w:rsidP="009824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43B" w:rsidRDefault="00066BD3">
    <w:pPr>
      <w:pStyle w:val="a6"/>
      <w:ind w:firstLineChars="3700" w:firstLine="7770"/>
    </w:pPr>
    <w:r>
      <w:rPr>
        <w:rFonts w:ascii="黑体" w:eastAsia="黑体" w:hAnsi="黑体" w:cs="黑体" w:hint="eastAsia"/>
        <w:sz w:val="21"/>
        <w:szCs w:val="21"/>
      </w:rPr>
      <w:t>T/ZTIA0003-2025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43B" w:rsidRDefault="0098243B">
    <w:pPr>
      <w:pStyle w:val="a6"/>
      <w:jc w:val="right"/>
    </w:pPr>
  </w:p>
  <w:p w:rsidR="0098243B" w:rsidRDefault="0098243B">
    <w:pPr>
      <w:pStyle w:val="a6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43B" w:rsidRDefault="00066BD3">
    <w:pPr>
      <w:pStyle w:val="a6"/>
    </w:pPr>
    <w:r>
      <w:rPr>
        <w:rFonts w:ascii="黑体" w:eastAsia="黑体" w:hAnsi="黑体" w:cs="黑体" w:hint="eastAsia"/>
        <w:sz w:val="21"/>
        <w:szCs w:val="21"/>
      </w:rPr>
      <w:t>T/ZTIA0003-2025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43B" w:rsidRDefault="00066BD3">
    <w:pPr>
      <w:pStyle w:val="a6"/>
    </w:pPr>
    <w:r>
      <w:rPr>
        <w:rFonts w:ascii="黑体" w:eastAsia="黑体" w:hAnsi="黑体" w:cs="黑体" w:hint="eastAsia"/>
        <w:sz w:val="21"/>
        <w:szCs w:val="21"/>
      </w:rPr>
      <w:t>T/ZTIA0003-2025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CEA2025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19700414"/>
    <w:multiLevelType w:val="multilevel"/>
    <w:tmpl w:val="4FF8108C"/>
    <w:lvl w:ilvl="0">
      <w:start w:val="1"/>
      <w:numFmt w:val="decimal"/>
      <w:pStyle w:val="1"/>
      <w:lvlText w:val="%1"/>
      <w:lvlJc w:val="left"/>
      <w:pPr>
        <w:tabs>
          <w:tab w:val="left" w:pos="369"/>
        </w:tabs>
        <w:ind w:left="0" w:firstLine="0"/>
      </w:pPr>
      <w:rPr>
        <w:rFonts w:ascii="黑体" w:hAnsi="黑体" w:hint="eastAsia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0" w:firstLine="0"/>
      </w:pPr>
      <w:rPr>
        <w:rFonts w:ascii="黑体" w:eastAsia="黑体" w:hAnsi="黑体" w:hint="eastAsia"/>
      </w:rPr>
    </w:lvl>
    <w:lvl w:ilvl="2">
      <w:start w:val="1"/>
      <w:numFmt w:val="decimal"/>
      <w:lvlText w:val="%1.%2.%3"/>
      <w:lvlJc w:val="left"/>
      <w:pPr>
        <w:tabs>
          <w:tab w:val="left" w:pos="851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720"/>
  <w:evenAndOddHeaders/>
  <w:displayHorizontalDrawingGridEvery w:val="0"/>
  <w:displayVerticalDrawingGridEvery w:val="2"/>
  <w:characterSpacingControl w:val="doNotCompress"/>
  <w:hdrShapeDefaults>
    <o:shapedefaults v:ext="edit" spidmax="5122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doNotWrapTextWithPunct/>
    <w:doNotUseEastAsianBreakRules/>
    <w:useFELayout/>
    <w:doNotUseIndentAsNumberingTabStop/>
  </w:compat>
  <w:rsids>
    <w:rsidRoot w:val="0098243B"/>
    <w:rsid w:val="00066BD3"/>
    <w:rsid w:val="003A6AD8"/>
    <w:rsid w:val="004F420B"/>
    <w:rsid w:val="0098243B"/>
    <w:rsid w:val="00B724A2"/>
    <w:rsid w:val="00DF4C10"/>
    <w:rsid w:val="00FB7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8243B"/>
    <w:rPr>
      <w:sz w:val="22"/>
      <w:szCs w:val="22"/>
    </w:rPr>
  </w:style>
  <w:style w:type="paragraph" w:styleId="1">
    <w:name w:val="heading 1"/>
    <w:basedOn w:val="a0"/>
    <w:next w:val="a0"/>
    <w:qFormat/>
    <w:rsid w:val="0098243B"/>
    <w:pPr>
      <w:numPr>
        <w:numId w:val="1"/>
      </w:numPr>
      <w:spacing w:beforeLines="100" w:afterLines="100" w:line="400" w:lineRule="exact"/>
      <w:outlineLvl w:val="0"/>
    </w:pPr>
    <w:rPr>
      <w:rFonts w:eastAsia="黑体"/>
      <w:color w:val="000000"/>
      <w:szCs w:val="21"/>
    </w:rPr>
  </w:style>
  <w:style w:type="paragraph" w:styleId="2">
    <w:name w:val="heading 2"/>
    <w:basedOn w:val="a0"/>
    <w:next w:val="a0"/>
    <w:uiPriority w:val="9"/>
    <w:qFormat/>
    <w:rsid w:val="0098243B"/>
    <w:pPr>
      <w:spacing w:beforeAutospacing="1" w:afterAutospacing="1"/>
      <w:outlineLvl w:val="1"/>
    </w:pPr>
    <w:rPr>
      <w:rFonts w:ascii="宋体" w:hAnsi="宋体" w:hint="eastAsia"/>
      <w:b/>
      <w:bCs/>
      <w:sz w:val="36"/>
      <w:szCs w:val="36"/>
    </w:rPr>
  </w:style>
  <w:style w:type="paragraph" w:styleId="3">
    <w:name w:val="heading 3"/>
    <w:basedOn w:val="a0"/>
    <w:next w:val="a0"/>
    <w:uiPriority w:val="9"/>
    <w:qFormat/>
    <w:rsid w:val="0098243B"/>
    <w:pPr>
      <w:spacing w:beforeAutospacing="1" w:afterAutospacing="1"/>
      <w:outlineLvl w:val="2"/>
    </w:pPr>
    <w:rPr>
      <w:rFonts w:ascii="宋体" w:hAnsi="宋体" w:hint="eastAsia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uiPriority w:val="99"/>
    <w:qFormat/>
    <w:rsid w:val="0098243B"/>
  </w:style>
  <w:style w:type="paragraph" w:styleId="a5">
    <w:name w:val="footer"/>
    <w:basedOn w:val="a0"/>
    <w:uiPriority w:val="99"/>
    <w:qFormat/>
    <w:rsid w:val="0098243B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0"/>
    <w:uiPriority w:val="99"/>
    <w:qFormat/>
    <w:rsid w:val="0098243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7">
    <w:name w:val="Normal (Web)"/>
    <w:basedOn w:val="a0"/>
    <w:uiPriority w:val="99"/>
    <w:qFormat/>
    <w:rsid w:val="0098243B"/>
    <w:pPr>
      <w:spacing w:beforeAutospacing="1" w:afterAutospacing="1"/>
    </w:pPr>
    <w:rPr>
      <w:sz w:val="24"/>
    </w:rPr>
  </w:style>
  <w:style w:type="table" w:styleId="a8">
    <w:name w:val="Table Grid"/>
    <w:basedOn w:val="a2"/>
    <w:uiPriority w:val="59"/>
    <w:qFormat/>
    <w:rsid w:val="0098243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uiPriority w:val="22"/>
    <w:qFormat/>
    <w:rsid w:val="0098243B"/>
    <w:rPr>
      <w:b/>
    </w:rPr>
  </w:style>
  <w:style w:type="character" w:styleId="aa">
    <w:name w:val="Emphasis"/>
    <w:basedOn w:val="a1"/>
    <w:uiPriority w:val="20"/>
    <w:qFormat/>
    <w:rsid w:val="0098243B"/>
    <w:rPr>
      <w:i/>
    </w:rPr>
  </w:style>
  <w:style w:type="character" w:styleId="ab">
    <w:name w:val="Hyperlink"/>
    <w:basedOn w:val="a1"/>
    <w:uiPriority w:val="99"/>
    <w:qFormat/>
    <w:rsid w:val="0098243B"/>
    <w:rPr>
      <w:color w:val="0000FF"/>
      <w:u w:val="single"/>
    </w:rPr>
  </w:style>
  <w:style w:type="paragraph" w:customStyle="1" w:styleId="Default">
    <w:name w:val="Default"/>
    <w:uiPriority w:val="99"/>
    <w:qFormat/>
    <w:rsid w:val="0098243B"/>
    <w:pPr>
      <w:widowControl w:val="0"/>
      <w:autoSpaceDE w:val="0"/>
      <w:autoSpaceDN w:val="0"/>
      <w:adjustRightInd w:val="0"/>
    </w:pPr>
    <w:rPr>
      <w:rFonts w:ascii="黑体" w:eastAsia="黑体" w:hAnsi="黑体" w:hint="eastAsia"/>
      <w:color w:val="000000"/>
      <w:sz w:val="24"/>
      <w:szCs w:val="24"/>
    </w:rPr>
  </w:style>
  <w:style w:type="paragraph" w:customStyle="1" w:styleId="Revisiona4261f4d-42f4-402e-b502-e6442e956c98">
    <w:name w:val="Revision_a4261f4d-42f4-402e-b502-e6442e956c98"/>
    <w:uiPriority w:val="99"/>
    <w:qFormat/>
    <w:rsid w:val="0098243B"/>
    <w:rPr>
      <w:sz w:val="22"/>
      <w:szCs w:val="22"/>
    </w:rPr>
  </w:style>
  <w:style w:type="paragraph" w:customStyle="1" w:styleId="ac">
    <w:name w:val="目次、标准名称标题"/>
    <w:basedOn w:val="a"/>
    <w:next w:val="ad"/>
    <w:qFormat/>
    <w:rsid w:val="0098243B"/>
    <w:pPr>
      <w:numPr>
        <w:numId w:val="0"/>
      </w:numPr>
      <w:spacing w:line="460" w:lineRule="exact"/>
    </w:pPr>
  </w:style>
  <w:style w:type="paragraph" w:customStyle="1" w:styleId="a">
    <w:name w:val="前言、引言标题"/>
    <w:next w:val="a0"/>
    <w:qFormat/>
    <w:rsid w:val="0098243B"/>
    <w:pPr>
      <w:numPr>
        <w:numId w:val="2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d">
    <w:name w:val="段"/>
    <w:uiPriority w:val="99"/>
    <w:qFormat/>
    <w:rsid w:val="0098243B"/>
    <w:pPr>
      <w:framePr w:hSpace="180" w:wrap="around" w:vAnchor="text" w:hAnchor="page" w:x="2081" w:y="278"/>
      <w:autoSpaceDE w:val="0"/>
      <w:autoSpaceDN w:val="0"/>
      <w:spacing w:line="400" w:lineRule="exact"/>
      <w:suppressOverlap/>
      <w:jc w:val="center"/>
    </w:pPr>
    <w:rPr>
      <w:rFonts w:ascii="宋体" w:hAnsi="宋体"/>
      <w:color w:val="EE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cp:lastPrinted>2025-06-25T05:55:00Z</cp:lastPrinted>
  <dcterms:created xsi:type="dcterms:W3CDTF">2025-07-03T00:03:00Z</dcterms:created>
  <dcterms:modified xsi:type="dcterms:W3CDTF">2025-07-03T00:07:00Z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a16ae8964938404abc1c5a9b4ce6e9ff_23</vt:lpwstr>
  </property>
  <property fmtid="{D5CDD505-2E9C-101B-9397-08002B2CF9AE}" pid="4" name="KSOTemplateDocerSaveRecord">
    <vt:lpwstr>eyJoZGlkIjoiZjVhNGJiMWVmZTg4ZjFhYWZhYWFiMzBkODkwYWRkZmUiLCJ1c2VySWQiOiI1MTc2MzQ1OTAifQ==</vt:lpwstr>
  </property>
</Properties>
</file>