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2B79">
      <w:pPr>
        <w:ind w:firstLine="482"/>
        <w:jc w:val="center"/>
        <w:rPr>
          <w:rFonts w:cs="Times New Roman"/>
          <w:b/>
          <w:bCs/>
        </w:rPr>
      </w:pPr>
    </w:p>
    <w:p w14:paraId="28139B8C">
      <w:pPr>
        <w:ind w:firstLine="482"/>
        <w:jc w:val="center"/>
        <w:rPr>
          <w:rFonts w:cs="Times New Roman"/>
          <w:b/>
          <w:bCs/>
        </w:rPr>
      </w:pPr>
      <w:r>
        <mc:AlternateContent>
          <mc:Choice Requires="wps">
            <w:drawing>
              <wp:anchor distT="0" distB="0" distL="114300" distR="114300" simplePos="0" relativeHeight="251664384" behindDoc="0" locked="1" layoutInCell="1" allowOverlap="1">
                <wp:simplePos x="0" y="0"/>
                <wp:positionH relativeFrom="margin">
                  <wp:posOffset>-243205</wp:posOffset>
                </wp:positionH>
                <wp:positionV relativeFrom="margin">
                  <wp:posOffset>188595</wp:posOffset>
                </wp:positionV>
                <wp:extent cx="2238375" cy="790575"/>
                <wp:effectExtent l="0" t="0" r="9525" b="9525"/>
                <wp:wrapNone/>
                <wp:docPr id="5" name="fmFrame8"/>
                <wp:cNvGraphicFramePr/>
                <a:graphic xmlns:a="http://schemas.openxmlformats.org/drawingml/2006/main">
                  <a:graphicData uri="http://schemas.microsoft.com/office/word/2010/wordprocessingShape">
                    <wps:wsp>
                      <wps:cNvSpPr txBox="1"/>
                      <wps:spPr>
                        <a:xfrm>
                          <a:off x="0" y="0"/>
                          <a:ext cx="2238375" cy="790575"/>
                        </a:xfrm>
                        <a:prstGeom prst="rect">
                          <a:avLst/>
                        </a:prstGeom>
                        <a:noFill/>
                        <a:ln>
                          <a:noFill/>
                        </a:ln>
                      </wps:spPr>
                      <wps:txbx>
                        <w:txbxContent>
                          <w:p w14:paraId="2EFA4B74">
                            <w:pPr>
                              <w:pStyle w:val="40"/>
                              <w:keepNext w:val="0"/>
                              <w:keepLines w:val="0"/>
                              <w:pageBreakBefore w:val="0"/>
                              <w:widowControl/>
                              <w:kinsoku/>
                              <w:wordWrap/>
                              <w:overflowPunct/>
                              <w:topLinePunct w:val="0"/>
                              <w:bidi w:val="0"/>
                              <w:adjustRightInd/>
                              <w:snapToGrid w:val="0"/>
                              <w:spacing w:line="240" w:lineRule="auto"/>
                              <w:jc w:val="both"/>
                              <w:textAlignment w:val="auto"/>
                              <w:rPr>
                                <w:rFonts w:hint="default" w:ascii="Arial" w:hAnsi="Arial" w:eastAsia="方正仿宋_GB2312" w:cs="Arial"/>
                                <w:b w:val="0"/>
                                <w:bCs/>
                                <w:sz w:val="21"/>
                                <w:szCs w:val="4"/>
                                <w:lang w:val="en-US" w:eastAsia="zh-CN"/>
                              </w:rPr>
                            </w:pPr>
                            <w:r>
                              <w:rPr>
                                <w:rFonts w:hint="default" w:ascii="Times New Roman" w:hAnsi="Times New Roman" w:eastAsia="宋体" w:cs="Times New Roman"/>
                                <w:b w:val="0"/>
                                <w:color w:val="000000"/>
                                <w:w w:val="100"/>
                                <w:kern w:val="0"/>
                                <w:sz w:val="20"/>
                                <w:szCs w:val="20"/>
                                <w:lang w:val="en-US" w:eastAsia="zh-CN" w:bidi="ar"/>
                              </w:rPr>
                              <w:t>ICS</w:t>
                            </w:r>
                            <w:r>
                              <w:rPr>
                                <w:rFonts w:hint="eastAsia" w:ascii="Times New Roman" w:hAnsi="Times New Roman" w:eastAsia="宋体" w:cs="Times New Roman"/>
                                <w:b w:val="0"/>
                                <w:color w:val="000000"/>
                                <w:w w:val="100"/>
                                <w:kern w:val="0"/>
                                <w:sz w:val="20"/>
                                <w:szCs w:val="20"/>
                                <w:lang w:val="en-US" w:eastAsia="zh-CN" w:bidi="ar"/>
                              </w:rPr>
                              <w:t xml:space="preserve"> </w:t>
                            </w:r>
                            <w:r>
                              <w:rPr>
                                <w:rFonts w:hint="default" w:ascii="Times New Roman" w:hAnsi="Times New Roman" w:eastAsia="宋体" w:cs="Times New Roman"/>
                                <w:b w:val="0"/>
                                <w:w w:val="100"/>
                                <w:kern w:val="2"/>
                                <w:sz w:val="21"/>
                                <w:szCs w:val="24"/>
                                <w:lang w:val="en-US" w:eastAsia="zh-CN" w:bidi="ar-SA"/>
                              </w:rPr>
                              <w:t>×××</w:t>
                            </w:r>
                          </w:p>
                          <w:p w14:paraId="5AF653DE">
                            <w:pPr>
                              <w:keepNext w:val="0"/>
                              <w:keepLines w:val="0"/>
                              <w:pageBreakBefore w:val="0"/>
                              <w:widowControl/>
                              <w:suppressLineNumbers w:val="0"/>
                              <w:kinsoku/>
                              <w:wordWrap/>
                              <w:overflowPunct/>
                              <w:topLinePunct w:val="0"/>
                              <w:bidi w:val="0"/>
                              <w:adjustRightInd/>
                              <w:snapToGrid w:val="0"/>
                              <w:spacing w:line="240" w:lineRule="auto"/>
                              <w:ind w:left="0" w:leftChars="0" w:firstLine="0" w:firstLineChars="0"/>
                              <w:jc w:val="left"/>
                              <w:textAlignment w:val="auto"/>
                            </w:pPr>
                            <w:r>
                              <w:rPr>
                                <w:rFonts w:hint="default" w:ascii="Times New Roman" w:hAnsi="Times New Roman" w:eastAsia="宋体" w:cs="Times New Roman"/>
                                <w:color w:val="000000"/>
                                <w:kern w:val="0"/>
                                <w:sz w:val="20"/>
                                <w:szCs w:val="20"/>
                                <w:lang w:val="en-US" w:eastAsia="zh-CN" w:bidi="ar"/>
                              </w:rPr>
                              <w:t>CCS</w:t>
                            </w:r>
                            <w:r>
                              <w:rPr>
                                <w:rFonts w:hint="default" w:ascii="Times New Roman" w:hAnsi="Times New Roman" w:eastAsia="宋体" w:cs="Times New Roman"/>
                                <w:color w:val="000000"/>
                                <w:kern w:val="0"/>
                                <w:sz w:val="28"/>
                                <w:szCs w:val="28"/>
                                <w:lang w:val="en-US" w:eastAsia="zh-CN" w:bidi="ar"/>
                              </w:rPr>
                              <w:t>×××</w:t>
                            </w:r>
                          </w:p>
                          <w:p w14:paraId="15AE5D66">
                            <w:pPr>
                              <w:rPr>
                                <w:rFonts w:hint="default"/>
                                <w:lang w:val="en-US" w:eastAsia="zh-CN"/>
                              </w:rPr>
                            </w:pPr>
                          </w:p>
                        </w:txbxContent>
                      </wps:txbx>
                      <wps:bodyPr wrap="square" lIns="0" tIns="0" rIns="0" bIns="0" upright="1"/>
                    </wps:wsp>
                  </a:graphicData>
                </a:graphic>
              </wp:anchor>
            </w:drawing>
          </mc:Choice>
          <mc:Fallback>
            <w:pict>
              <v:shape id="fmFrame8" o:spid="_x0000_s1026" o:spt="202" type="#_x0000_t202" style="position:absolute;left:0pt;margin-left:-19.15pt;margin-top:14.85pt;height:62.25pt;width:176.25pt;mso-position-horizontal-relative:margin;mso-position-vertical-relative:margin;z-index:251664384;mso-width-relative:page;mso-height-relative:page;" filled="f" stroked="f" coordsize="21600,21600" o:gfxdata="UEsDBAoAAAAAAIdO4kAAAAAAAAAAAAAAAAAEAAAAZHJzL1BLAwQUAAAACACHTuJA7PuUwdoAAAAK&#10;AQAADwAAAGRycy9kb3ducmV2LnhtbE2Py07DMBBF90j8gzWV2LV2EihtGqdCCFZIqGlYsHRiN7Ea&#10;j0PsPvh7hhXsZjRHd84ttlc3sLOZgvUoIVkIYAZbry12Ej7q1/kKWIgKtRo8GgnfJsC2vL0pVK79&#10;BStz3seOUQiGXEnoYxxzzkPbG6fCwo8G6Xbwk1OR1qnjelIXCncDT4VYcqcs0odejea5N+1xf3IS&#10;nj6xerFf782uOlS2rtcC35ZHKe9midgAi+Ya/2D41Sd1KMmp8SfUgQ0S5tkqI1RCun4ERkCW3KfA&#10;GiIfaOBlwf9XKH8AUEsDBBQAAAAIAIdO4kB7BZvqswEAAH0DAAAOAAAAZHJzL2Uyb0RvYy54bWyt&#10;U01v2zAMvQ/ofxB0b+ym6JoZcQoMQYYBwzag2w9QZCkWoK+RSuz8+1FynG7dpYdd5GeSfuR7lNdP&#10;o7PspABN8C2/W9ScKS9DZ/yh5T9/7G5XnGESvhM2eNXys0L+tLl5tx5io5ahD7ZTwIjEYzPElvcp&#10;xaaqUPbKCVyEqDwldQAnEr3CoepADMTubLWs6/fVEKCLEKRCpOh2SvILI7yFMGhtpNoGeXTKp4kV&#10;lBWJJGFvIvJNmVZrJdM3rVElZltOSlM5qQnhfT6rzVo0BxCxN/IygnjLCK80OWE8Nb1SbUUS7Ajm&#10;HypnJAQMOi1kcNUkpDhCKu7qV9489yKqooWsxng1Hf8frfx6+g7MdC1/4MwLRwvXbgcEVtmbIWJD&#10;Jc+RitL4MYx0Y+Y4UjBLHjW4/CQxjPLk7PnqrBoTkxRcLu9X94/UQlLu8UP9QJjoq5evI2D6pIJj&#10;GbQcaHPFUHH6gmkqnUtyMx92xtqyPev/ChBnjlR59GnEjNK4Hy969qE7k5yBlt5y/HUUoDiznz25&#10;mm/IDGAG+xkcI5hDT8MVC0oD2kpRcblBee1/vpcxXv6a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5TB2gAAAAoBAAAPAAAAAAAAAAEAIAAAACIAAABkcnMvZG93bnJldi54bWxQSwECFAAUAAAA&#10;CACHTuJAewWb6rMBAAB9AwAADgAAAAAAAAABACAAAAApAQAAZHJzL2Uyb0RvYy54bWxQSwUGAAAA&#10;AAYABgBZAQAATgUAAAAA&#10;">
                <v:fill on="f" focussize="0,0"/>
                <v:stroke on="f"/>
                <v:imagedata o:title=""/>
                <o:lock v:ext="edit" aspectratio="f"/>
                <v:textbox inset="0mm,0mm,0mm,0mm">
                  <w:txbxContent>
                    <w:p w14:paraId="2EFA4B74">
                      <w:pPr>
                        <w:pStyle w:val="40"/>
                        <w:keepNext w:val="0"/>
                        <w:keepLines w:val="0"/>
                        <w:pageBreakBefore w:val="0"/>
                        <w:widowControl/>
                        <w:kinsoku/>
                        <w:wordWrap/>
                        <w:overflowPunct/>
                        <w:topLinePunct w:val="0"/>
                        <w:bidi w:val="0"/>
                        <w:adjustRightInd/>
                        <w:snapToGrid w:val="0"/>
                        <w:spacing w:line="240" w:lineRule="auto"/>
                        <w:jc w:val="both"/>
                        <w:textAlignment w:val="auto"/>
                        <w:rPr>
                          <w:rFonts w:hint="default" w:ascii="Arial" w:hAnsi="Arial" w:eastAsia="方正仿宋_GB2312" w:cs="Arial"/>
                          <w:b w:val="0"/>
                          <w:bCs/>
                          <w:sz w:val="21"/>
                          <w:szCs w:val="4"/>
                          <w:lang w:val="en-US" w:eastAsia="zh-CN"/>
                        </w:rPr>
                      </w:pPr>
                      <w:r>
                        <w:rPr>
                          <w:rFonts w:hint="default" w:ascii="Times New Roman" w:hAnsi="Times New Roman" w:eastAsia="宋体" w:cs="Times New Roman"/>
                          <w:b w:val="0"/>
                          <w:color w:val="000000"/>
                          <w:w w:val="100"/>
                          <w:kern w:val="0"/>
                          <w:sz w:val="20"/>
                          <w:szCs w:val="20"/>
                          <w:lang w:val="en-US" w:eastAsia="zh-CN" w:bidi="ar"/>
                        </w:rPr>
                        <w:t>ICS</w:t>
                      </w:r>
                      <w:r>
                        <w:rPr>
                          <w:rFonts w:hint="eastAsia" w:ascii="Times New Roman" w:hAnsi="Times New Roman" w:eastAsia="宋体" w:cs="Times New Roman"/>
                          <w:b w:val="0"/>
                          <w:color w:val="000000"/>
                          <w:w w:val="100"/>
                          <w:kern w:val="0"/>
                          <w:sz w:val="20"/>
                          <w:szCs w:val="20"/>
                          <w:lang w:val="en-US" w:eastAsia="zh-CN" w:bidi="ar"/>
                        </w:rPr>
                        <w:t xml:space="preserve"> </w:t>
                      </w:r>
                      <w:r>
                        <w:rPr>
                          <w:rFonts w:hint="default" w:ascii="Times New Roman" w:hAnsi="Times New Roman" w:eastAsia="宋体" w:cs="Times New Roman"/>
                          <w:b w:val="0"/>
                          <w:w w:val="100"/>
                          <w:kern w:val="2"/>
                          <w:sz w:val="21"/>
                          <w:szCs w:val="24"/>
                          <w:lang w:val="en-US" w:eastAsia="zh-CN" w:bidi="ar-SA"/>
                        </w:rPr>
                        <w:t>×××</w:t>
                      </w:r>
                    </w:p>
                    <w:p w14:paraId="5AF653DE">
                      <w:pPr>
                        <w:keepNext w:val="0"/>
                        <w:keepLines w:val="0"/>
                        <w:pageBreakBefore w:val="0"/>
                        <w:widowControl/>
                        <w:suppressLineNumbers w:val="0"/>
                        <w:kinsoku/>
                        <w:wordWrap/>
                        <w:overflowPunct/>
                        <w:topLinePunct w:val="0"/>
                        <w:bidi w:val="0"/>
                        <w:adjustRightInd/>
                        <w:snapToGrid w:val="0"/>
                        <w:spacing w:line="240" w:lineRule="auto"/>
                        <w:ind w:left="0" w:leftChars="0" w:firstLine="0" w:firstLineChars="0"/>
                        <w:jc w:val="left"/>
                        <w:textAlignment w:val="auto"/>
                      </w:pPr>
                      <w:r>
                        <w:rPr>
                          <w:rFonts w:hint="default" w:ascii="Times New Roman" w:hAnsi="Times New Roman" w:eastAsia="宋体" w:cs="Times New Roman"/>
                          <w:color w:val="000000"/>
                          <w:kern w:val="0"/>
                          <w:sz w:val="20"/>
                          <w:szCs w:val="20"/>
                          <w:lang w:val="en-US" w:eastAsia="zh-CN" w:bidi="ar"/>
                        </w:rPr>
                        <w:t>CCS</w:t>
                      </w:r>
                      <w:r>
                        <w:rPr>
                          <w:rFonts w:hint="default" w:ascii="Times New Roman" w:hAnsi="Times New Roman" w:eastAsia="宋体" w:cs="Times New Roman"/>
                          <w:color w:val="000000"/>
                          <w:kern w:val="0"/>
                          <w:sz w:val="28"/>
                          <w:szCs w:val="28"/>
                          <w:lang w:val="en-US" w:eastAsia="zh-CN" w:bidi="ar"/>
                        </w:rPr>
                        <w:t>×××</w:t>
                      </w:r>
                    </w:p>
                    <w:p w14:paraId="15AE5D66">
                      <w:pPr>
                        <w:rPr>
                          <w:rFonts w:hint="default"/>
                          <w:lang w:val="en-US" w:eastAsia="zh-CN"/>
                        </w:rPr>
                      </w:pPr>
                    </w:p>
                  </w:txbxContent>
                </v:textbox>
                <w10:anchorlock/>
              </v:shape>
            </w:pict>
          </mc:Fallback>
        </mc:AlternateContent>
      </w:r>
    </w:p>
    <w:p w14:paraId="1343147E">
      <w:pPr>
        <w:ind w:firstLine="482"/>
        <w:jc w:val="center"/>
        <w:rPr>
          <w:rFonts w:cs="Times New Roman"/>
          <w:b/>
          <w:bCs/>
        </w:rPr>
      </w:pPr>
    </w:p>
    <w:p w14:paraId="10300A80">
      <w:pPr>
        <w:keepNext w:val="0"/>
        <w:keepLines w:val="0"/>
        <w:pageBreakBefore w:val="0"/>
        <w:widowControl/>
        <w:suppressLineNumbers w:val="0"/>
        <w:kinsoku/>
        <w:wordWrap/>
        <w:overflowPunct/>
        <w:topLinePunct w:val="0"/>
        <w:autoSpaceDE/>
        <w:autoSpaceDN/>
        <w:bidi w:val="0"/>
        <w:adjustRightInd/>
        <w:snapToGrid w:val="0"/>
        <w:spacing w:before="313" w:beforeLines="100"/>
        <w:ind w:firstLine="1440" w:firstLineChars="200"/>
        <w:jc w:val="left"/>
        <w:textAlignment w:val="auto"/>
      </w:pPr>
      <w:r>
        <w:rPr>
          <w:rFonts w:hint="eastAsia" w:ascii="黑体" w:hAnsi="宋体" w:eastAsia="黑体" w:cs="黑体"/>
          <w:color w:val="000000"/>
          <w:kern w:val="0"/>
          <w:sz w:val="72"/>
          <w:szCs w:val="72"/>
          <w:lang w:val="en-US" w:eastAsia="zh-CN" w:bidi="ar"/>
        </w:rPr>
        <w:t>团   体   标   准</w:t>
      </w:r>
    </w:p>
    <w:p w14:paraId="1F559186">
      <w:pPr>
        <w:ind w:firstLine="482"/>
        <w:jc w:val="center"/>
        <w:rPr>
          <w:rFonts w:cs="Times New Roman"/>
          <w:b/>
          <w:bCs/>
        </w:rPr>
      </w:pPr>
    </w:p>
    <w:p w14:paraId="369DC39D">
      <w:pPr>
        <w:ind w:firstLine="482"/>
        <w:jc w:val="right"/>
        <w:rPr>
          <w:rFonts w:hint="default" w:cs="Times New Roman"/>
          <w:b/>
          <w:bCs/>
          <w:lang w:val="en-US"/>
        </w:rPr>
      </w:pPr>
      <w:r>
        <w:rPr>
          <w:rFonts w:hint="default" w:ascii="Times New Roman" w:hAnsi="Times New Roman" w:eastAsia="宋体" w:cs="Times New Roman"/>
          <w:color w:val="000000"/>
          <w:kern w:val="0"/>
          <w:sz w:val="28"/>
          <w:szCs w:val="28"/>
          <w:lang w:val="en-US" w:eastAsia="zh-CN" w:bidi="ar"/>
        </w:rPr>
        <w:t>T/COSHA ×××—202</w:t>
      </w:r>
      <w:r>
        <w:rPr>
          <w:rFonts w:hint="eastAsia" w:ascii="Times New Roman" w:hAnsi="Times New Roman" w:eastAsia="宋体" w:cs="Times New Roman"/>
          <w:color w:val="000000"/>
          <w:kern w:val="0"/>
          <w:sz w:val="28"/>
          <w:szCs w:val="28"/>
          <w:lang w:val="en-US" w:eastAsia="zh-CN" w:bidi="ar"/>
        </w:rPr>
        <w:t>5</w:t>
      </w:r>
    </w:p>
    <w:p w14:paraId="5D662CEF">
      <w:pPr>
        <w:ind w:firstLine="482"/>
        <w:jc w:val="center"/>
        <w:rPr>
          <w:rFonts w:cs="Times New Roman"/>
          <w:b/>
          <w:bCs/>
        </w:rPr>
      </w:pPr>
    </w:p>
    <w:p w14:paraId="33D6B0EE">
      <w:pPr>
        <w:ind w:firstLine="482"/>
        <w:jc w:val="center"/>
        <w:rPr>
          <w:rFonts w:cs="Times New Roman"/>
          <w:b/>
          <w:bCs/>
        </w:rPr>
      </w:pPr>
    </w:p>
    <w:p w14:paraId="4E4E67B6">
      <w:pPr>
        <w:spacing w:line="360" w:lineRule="auto"/>
        <w:ind w:firstLine="482"/>
        <w:jc w:val="center"/>
        <w:rPr>
          <w:rFonts w:cs="Times New Roman"/>
          <w:b/>
          <w:bCs/>
        </w:rPr>
      </w:pPr>
      <w:r>
        <mc:AlternateContent>
          <mc:Choice Requires="wps">
            <w:drawing>
              <wp:anchor distT="0" distB="0" distL="114300" distR="114300" simplePos="0" relativeHeight="251665408" behindDoc="0" locked="0" layoutInCell="1" allowOverlap="1">
                <wp:simplePos x="0" y="0"/>
                <wp:positionH relativeFrom="column">
                  <wp:posOffset>-269875</wp:posOffset>
                </wp:positionH>
                <wp:positionV relativeFrom="paragraph">
                  <wp:posOffset>152400</wp:posOffset>
                </wp:positionV>
                <wp:extent cx="6121400" cy="0"/>
                <wp:effectExtent l="0" t="6350" r="0" b="6350"/>
                <wp:wrapSquare wrapText="bothSides"/>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10" o:spid="_x0000_s1026" o:spt="20" style="position:absolute;left:0pt;margin-left:-21.25pt;margin-top:12pt;height:0pt;width:482pt;mso-wrap-distance-bottom:0pt;mso-wrap-distance-left:9pt;mso-wrap-distance-right:9pt;mso-wrap-distance-top:0pt;z-index:251665408;mso-width-relative:page;mso-height-relative:page;" filled="f" stroked="t" coordsize="21600,21600" o:gfxdata="UEsDBAoAAAAAAIdO4kAAAAAAAAAAAAAAAAAEAAAAZHJzL1BLAwQUAAAACACHTuJAZkmzINcAAAAJ&#10;AQAADwAAAGRycy9kb3ducmV2LnhtbE2Py07DMBBF90j8gzVI7FonVoEQ4nQBqioQm7ZIbN14iAPx&#10;OI3dB3/PoC5gOXeO7qOan3wvDjjGLpCGfJqBQGqC7ajV8LZZTAoQMRmypg+EGr4xwry+vKhMacOR&#10;VnhYp1awCcXSaHApDaWUsXHoTZyGAYl/H2H0JvE5ttKO5sjmvpcqy26lNx1xgjMDPjpsvtZ7r8E8&#10;LVfpvVAvd92ze/3cLHZLV+y0vr7KswcQCU/pD4bf+lwdau60DXuyUfQaJjN1w6gGNeNNDNyrnIXt&#10;WZB1Jf8vqH8AUEsDBBQAAAAIAIdO4kASh/SH5gEAAN0DAAAOAAAAZHJzL2Uyb0RvYy54bWytU0tu&#10;2zAQ3RfoHQjuY0lGkBaC5SzippuiNdD2AGOSkgjwBw5t2WfpNbrqpsfJNTqkHTtNN15UC2rIGb6Z&#10;92a4uN9bw3Yqovau482s5kw54aV2Q8e/f3u8ec8ZJnASjHeq4weF/H759s1iCq2a+9EbqSIjEIft&#10;FDo+phTaqkIxKgs480E5cvY+Wki0jUMlI0yEbk01r+u7avJRhuiFQqTT1dHJT4jxGkDf91qolRdb&#10;q1w6okZlIBElHHVAvizV9r0S6Uvfo0rMdJyYprJSErI3ea2WC2iHCGHU4lQCXFPCK04WtKOkZ6gV&#10;JGDbqP+BslpEj75PM+FtdSRSFCEWTf1Km68jBFW4kNQYzqLj/4MVn3fryLTsOLXdgaWGP/34+fTr&#10;N2uKOFPAlmIe3DqSVHmHYR0z030fbf4TB7Yvgh7Ogqp9YoIO75p5c1uT1uLZV10uhojpo/KWZaPj&#10;RrvMFVrYfcJEySj0OSQfG8cmmtf5u4IHNHk9dZygbaDq0Q3lMnqj5aM2Jl/BOGweTGQ7yN0vX244&#10;Af8VlrOsAMdjXHEd52JUID84ydIhkC6OngPPNVglOTOKXk+2ygQl0OaaSEptHFVwETJbGy8P1IVt&#10;iHoYSYqmVJk91PVS72lC81i93Beky6tc/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SbMg1wAA&#10;AAkBAAAPAAAAAAAAAAEAIAAAACIAAABkcnMvZG93bnJldi54bWxQSwECFAAUAAAACACHTuJAEof0&#10;h+YBAADdAwAADgAAAAAAAAABACAAAAAmAQAAZHJzL2Uyb0RvYy54bWxQSwUGAAAAAAYABgBZAQAA&#10;fgUAAAAA&#10;">
                <v:fill on="f" focussize="0,0"/>
                <v:stroke weight="1pt" color="#000000 [3213]" joinstyle="round"/>
                <v:imagedata o:title=""/>
                <o:lock v:ext="edit" aspectratio="f"/>
                <w10:wrap type="square"/>
              </v:line>
            </w:pict>
          </mc:Fallback>
        </mc:AlternateContent>
      </w:r>
    </w:p>
    <w:p w14:paraId="119A2B47">
      <w:pPr>
        <w:spacing w:line="360" w:lineRule="auto"/>
        <w:ind w:firstLine="0" w:firstLineChars="0"/>
        <w:jc w:val="center"/>
        <w:rPr>
          <w:rFonts w:ascii="黑体" w:hAnsi="黑体" w:eastAsia="黑体" w:cs="黑体"/>
          <w:b w:val="0"/>
          <w:bCs w:val="0"/>
          <w:sz w:val="52"/>
          <w:szCs w:val="52"/>
        </w:rPr>
      </w:pPr>
      <w:bookmarkStart w:id="0" w:name="_Toc24513"/>
      <w:bookmarkStart w:id="1" w:name="_Toc12454"/>
      <w:bookmarkStart w:id="2" w:name="_Toc25767"/>
      <w:bookmarkStart w:id="3" w:name="_Toc29809"/>
      <w:bookmarkStart w:id="4" w:name="_Toc27118"/>
      <w:bookmarkStart w:id="5" w:name="_Toc29600"/>
      <w:bookmarkStart w:id="6" w:name="_Toc167347531"/>
      <w:bookmarkStart w:id="7" w:name="_Toc7917"/>
      <w:r>
        <w:rPr>
          <w:rFonts w:hint="eastAsia" w:ascii="黑体" w:hAnsi="黑体" w:eastAsia="黑体" w:cs="黑体"/>
          <w:b w:val="0"/>
          <w:bCs w:val="0"/>
          <w:sz w:val="52"/>
          <w:szCs w:val="52"/>
        </w:rPr>
        <w:t>高校实验室危险化学品全生命周期</w:t>
      </w:r>
      <w:bookmarkEnd w:id="0"/>
      <w:bookmarkEnd w:id="1"/>
      <w:bookmarkEnd w:id="2"/>
      <w:bookmarkEnd w:id="3"/>
      <w:bookmarkEnd w:id="4"/>
      <w:bookmarkEnd w:id="5"/>
      <w:bookmarkEnd w:id="6"/>
      <w:bookmarkEnd w:id="7"/>
      <w:r>
        <w:rPr>
          <w:rFonts w:hint="eastAsia" w:ascii="黑体" w:hAnsi="黑体" w:eastAsia="黑体" w:cs="黑体"/>
          <w:b w:val="0"/>
          <w:bCs w:val="0"/>
          <w:sz w:val="52"/>
          <w:szCs w:val="52"/>
        </w:rPr>
        <w:t>管理指南</w:t>
      </w:r>
    </w:p>
    <w:p w14:paraId="75F40709">
      <w:pPr>
        <w:spacing w:line="360" w:lineRule="auto"/>
        <w:ind w:firstLine="0" w:firstLineChars="0"/>
        <w:jc w:val="center"/>
        <w:rPr>
          <w:rFonts w:cs="Times New Roman"/>
          <w:sz w:val="28"/>
          <w:szCs w:val="28"/>
        </w:rPr>
      </w:pPr>
      <w:r>
        <w:rPr>
          <w:rFonts w:cs="Times New Roman"/>
          <w:sz w:val="28"/>
          <w:szCs w:val="28"/>
        </w:rPr>
        <w:t>Guidelines for the Life Cycle Management of Hazardous Chemicals in University Laboratories</w:t>
      </w:r>
    </w:p>
    <w:p w14:paraId="7D84875A">
      <w:pPr>
        <w:pStyle w:val="2"/>
        <w:rPr>
          <w:rFonts w:cs="Times New Roman"/>
          <w:sz w:val="36"/>
          <w:szCs w:val="36"/>
        </w:rPr>
      </w:pPr>
    </w:p>
    <w:p w14:paraId="714D99B8">
      <w:pPr>
        <w:pStyle w:val="2"/>
        <w:ind w:left="0" w:leftChars="0" w:firstLine="0" w:firstLineChars="0"/>
        <w:rPr>
          <w:rFonts w:cs="Times New Roman"/>
          <w:sz w:val="36"/>
          <w:szCs w:val="36"/>
        </w:rPr>
      </w:pPr>
    </w:p>
    <w:p w14:paraId="415C850C">
      <w:pPr>
        <w:pStyle w:val="41"/>
        <w:rPr>
          <w:rFonts w:hint="eastAsia"/>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669504" behindDoc="0" locked="1" layoutInCell="1" allowOverlap="1">
                <wp:simplePos x="0" y="0"/>
                <wp:positionH relativeFrom="margin">
                  <wp:posOffset>-207010</wp:posOffset>
                </wp:positionH>
                <wp:positionV relativeFrom="margin">
                  <wp:posOffset>9225280</wp:posOffset>
                </wp:positionV>
                <wp:extent cx="6120130" cy="495300"/>
                <wp:effectExtent l="0" t="0" r="1270" b="0"/>
                <wp:wrapNone/>
                <wp:docPr id="10" name="fmFrame7"/>
                <wp:cNvGraphicFramePr/>
                <a:graphic xmlns:a="http://schemas.openxmlformats.org/drawingml/2006/main">
                  <a:graphicData uri="http://schemas.microsoft.com/office/word/2010/wordprocessingShape">
                    <wps:wsp>
                      <wps:cNvSpPr txBox="1"/>
                      <wps:spPr>
                        <a:xfrm>
                          <a:off x="0" y="0"/>
                          <a:ext cx="6120130" cy="495300"/>
                        </a:xfrm>
                        <a:prstGeom prst="rect">
                          <a:avLst/>
                        </a:prstGeom>
                        <a:solidFill>
                          <a:srgbClr val="FFFFFF"/>
                        </a:solidFill>
                        <a:ln>
                          <a:noFill/>
                        </a:ln>
                      </wps:spPr>
                      <wps:txbx>
                        <w:txbxContent>
                          <w:p w14:paraId="5FF987A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lang w:val="en-US"/>
                              </w:rPr>
                            </w:pPr>
                            <w:r>
                              <w:rPr>
                                <w:rFonts w:ascii="黑体" w:hAnsi="宋体" w:eastAsia="黑体" w:cs="黑体"/>
                                <w:color w:val="000000"/>
                                <w:kern w:val="0"/>
                                <w:sz w:val="28"/>
                                <w:szCs w:val="28"/>
                                <w:lang w:val="en-US" w:eastAsia="zh-CN" w:bidi="ar"/>
                              </w:rPr>
                              <w:t>中国职业安全健康协会</w:t>
                            </w:r>
                            <w:r>
                              <w:rPr>
                                <w:rFonts w:hint="eastAsia" w:ascii="黑体" w:hAnsi="宋体" w:eastAsia="黑体" w:cs="黑体"/>
                                <w:color w:val="000000"/>
                                <w:kern w:val="0"/>
                                <w:sz w:val="28"/>
                                <w:szCs w:val="28"/>
                                <w:lang w:val="en-US" w:eastAsia="zh-CN" w:bidi="ar"/>
                              </w:rPr>
                              <w:t xml:space="preserve">  发布</w:t>
                            </w:r>
                          </w:p>
                          <w:p w14:paraId="737C67CA">
                            <w:pPr>
                              <w:pStyle w:val="44"/>
                              <w:jc w:val="both"/>
                              <w:rPr>
                                <w:rFonts w:hint="default"/>
                                <w:sz w:val="24"/>
                                <w:szCs w:val="24"/>
                                <w:lang w:val="en-US"/>
                              </w:rPr>
                            </w:pPr>
                          </w:p>
                        </w:txbxContent>
                      </wps:txbx>
                      <wps:bodyPr wrap="square" lIns="0" tIns="0" rIns="0" bIns="0" upright="1"/>
                    </wps:wsp>
                  </a:graphicData>
                </a:graphic>
              </wp:anchor>
            </w:drawing>
          </mc:Choice>
          <mc:Fallback>
            <w:pict>
              <v:shape id="fmFrame7" o:spid="_x0000_s1026" o:spt="202" type="#_x0000_t202" style="position:absolute;left:0pt;margin-left:-16.3pt;margin-top:726.4pt;height:39pt;width:481.9pt;mso-position-horizontal-relative:margin;mso-position-vertical-relative:margin;z-index:251669504;mso-width-relative:page;mso-height-relative:page;" fillcolor="#FFFFFF" filled="t" stroked="f" coordsize="21600,21600" o:gfxdata="UEsDBAoAAAAAAIdO4kAAAAAAAAAAAAAAAAAEAAAAZHJzL1BLAwQUAAAACACHTuJAQjhLrtsAAAAN&#10;AQAADwAAAGRycy9kb3ducmV2LnhtbE2PwU7DMBBE70j8g7VIXFBrx6FRSeNUooUbHFqqnt3YTSLi&#10;dRQ7Tfv3LCc47szT7EyxvrqOXewQWo8KkrkAZrHypsVaweHrfbYEFqJGozuPVsHNBliX93eFzo2f&#10;cGcv+1gzCsGQawVNjH3Oeaga63SY+94ieWc/OB3pHGpuBj1RuOu4FCLjTrdIHxrd201jq+/96BRk&#10;22Gcdrh52h7ePvRnX8vj6+2o1ONDIlbAor3GPxh+61N1KKnTyY9oAusUzFKZEUrG80LSCEJe0kQC&#10;O5G0SMUSeFnw/yvKH1BLAwQUAAAACACHTuJA7Hmd3cgBAACnAwAADgAAAGRycy9lMm9Eb2MueG1s&#10;rVNNj9MwEL0j8R8s32nSXVggaroSVEVICJAWfoDj2IklfzHjNum/Z+w2XVgueyCHZDwzfjPvzWRz&#10;PzvLjgrQBN/y9armTHkZeuOHlv/8sX/1jjNMwvfCBq9aflLI77cvX2ym2KibMAbbK2AE4rGZYsvH&#10;lGJTVShH5QSuQlSegjqAE4mOMFQ9iInQna1u6vqumgL0EYJUiOTdnYP8ggjPAQxaG6l2QR6c8umM&#10;CsqKRJRwNBH5tnSrtZLpm9aoErMtJ6apvKkI2V1+V9uNaAYQcTTy0oJ4TgtPODlhPBW9Qu1EEuwA&#10;5h8oZyQEDDqtZHDVmUhRhFis6yfaPIwiqsKFpMZ4FR3/H6z8evwOzPS0CSSJF44mrt0eyHibxZki&#10;NpTzECkrzR/CTImLH8mZOc8aXP4SG0ZxwjldpVVzYpKcd2vid0shSbHX79/c1kX76vF2BEyfVHAs&#10;Gy0HGl1RVBy/YKJOKHVJycUwWNPvjbXlAEP30QI7Chrzvjy5SbryV5r1OdmHfO0czp4qczxzyVaa&#10;u/lCvAv9iXhPtB4tx18HAYoz+9mT/sQkLQYsRrcYhwhmGIlF0aoUoPmVhi67lhfkz3Np4/H/2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jhLrtsAAAANAQAADwAAAAAAAAABACAAAAAiAAAAZHJz&#10;L2Rvd25yZXYueG1sUEsBAhQAFAAAAAgAh07iQOx5nd3IAQAApwMAAA4AAAAAAAAAAQAgAAAAKgEA&#10;AGRycy9lMm9Eb2MueG1sUEsFBgAAAAAGAAYAWQEAAGQFAAAAAA==&#10;">
                <v:fill on="t" focussize="0,0"/>
                <v:stroke on="f"/>
                <v:imagedata o:title=""/>
                <o:lock v:ext="edit" aspectratio="f"/>
                <v:textbox inset="0mm,0mm,0mm,0mm">
                  <w:txbxContent>
                    <w:p w14:paraId="5FF987A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lang w:val="en-US"/>
                        </w:rPr>
                      </w:pPr>
                      <w:r>
                        <w:rPr>
                          <w:rFonts w:ascii="黑体" w:hAnsi="宋体" w:eastAsia="黑体" w:cs="黑体"/>
                          <w:color w:val="000000"/>
                          <w:kern w:val="0"/>
                          <w:sz w:val="28"/>
                          <w:szCs w:val="28"/>
                          <w:lang w:val="en-US" w:eastAsia="zh-CN" w:bidi="ar"/>
                        </w:rPr>
                        <w:t>中国职业安全健康协会</w:t>
                      </w:r>
                      <w:r>
                        <w:rPr>
                          <w:rFonts w:hint="eastAsia" w:ascii="黑体" w:hAnsi="宋体" w:eastAsia="黑体" w:cs="黑体"/>
                          <w:color w:val="000000"/>
                          <w:kern w:val="0"/>
                          <w:sz w:val="28"/>
                          <w:szCs w:val="28"/>
                          <w:lang w:val="en-US" w:eastAsia="zh-CN" w:bidi="ar"/>
                        </w:rPr>
                        <w:t xml:space="preserve">  发布</w:t>
                      </w:r>
                    </w:p>
                    <w:p w14:paraId="737C67CA">
                      <w:pPr>
                        <w:pStyle w:val="44"/>
                        <w:jc w:val="both"/>
                        <w:rPr>
                          <w:rFonts w:hint="default"/>
                          <w:sz w:val="24"/>
                          <w:szCs w:val="24"/>
                          <w:lang w:val="en-US"/>
                        </w:rPr>
                      </w:pP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-207010</wp:posOffset>
                </wp:positionH>
                <wp:positionV relativeFrom="margin">
                  <wp:posOffset>8729345</wp:posOffset>
                </wp:positionV>
                <wp:extent cx="2019300" cy="312420"/>
                <wp:effectExtent l="0" t="0" r="0" b="508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9BB8260">
                            <w:pPr>
                              <w:pStyle w:val="42"/>
                              <w:rPr>
                                <w:rFonts w:hint="eastAsia" w:ascii="黑体" w:hAnsi="黑体" w:eastAsia="黑体" w:cs="黑体"/>
                                <w:b w:val="0"/>
                                <w:bCs w:val="0"/>
                              </w:rPr>
                            </w:pPr>
                            <w:r>
                              <w:rPr>
                                <w:rFonts w:hint="eastAsia" w:ascii="黑体" w:hAnsi="黑体" w:eastAsia="黑体" w:cs="黑体"/>
                                <w:b w:val="0"/>
                                <w:bCs w:val="0"/>
                              </w:rPr>
                              <w:t>202</w:t>
                            </w:r>
                            <w:r>
                              <w:rPr>
                                <w:rFonts w:hint="eastAsia" w:ascii="黑体" w:hAnsi="黑体" w:cs="黑体"/>
                                <w:b w:val="0"/>
                                <w:bCs w:val="0"/>
                                <w:lang w:val="en-US" w:eastAsia="zh-CN"/>
                              </w:rPr>
                              <w:t>5</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发布</w:t>
                            </w:r>
                          </w:p>
                        </w:txbxContent>
                      </wps:txbx>
                      <wps:bodyPr wrap="square" lIns="0" tIns="0" rIns="0" bIns="0" upright="1"/>
                    </wps:wsp>
                  </a:graphicData>
                </a:graphic>
              </wp:anchor>
            </w:drawing>
          </mc:Choice>
          <mc:Fallback>
            <w:pict>
              <v:shape id="fmFrame5" o:spid="_x0000_s1026" o:spt="202" type="#_x0000_t202" style="position:absolute;left:0pt;margin-left:-16.3pt;margin-top:687.35pt;height:24.6pt;width:159pt;mso-position-horizontal-relative:margin;mso-position-vertical-relative:margin;z-index:251666432;mso-width-relative:page;mso-height-relative:page;" fillcolor="#FFFFFF" filled="t" stroked="f" coordsize="21600,21600" o:gfxdata="UEsDBAoAAAAAAIdO4kAAAAAAAAAAAAAAAAAEAAAAZHJzL1BLAwQUAAAACACHTuJAQe5/3dwAAAAN&#10;AQAADwAAAGRycy9kb3ducmV2LnhtbE2PwU7DMAyG70i8Q2QkLmhLl5ZulKaT2OAGh41p56wJbUXj&#10;VEm6bm+POcHR/j/9/lyuL7ZnZ+ND51DCYp4AM1g73WEj4fD5NlsBC1GhVr1DI+FqAqyr25tSFdpN&#10;uDPnfWwYlWAolIQ2xqHgPNStsSrM3WCQsi/nrYo0+oZrryYqtz0XSZJzqzqkC60azKY19fd+tBLy&#10;rR+nHW4etofXd/UxNOL4cj1KeX+3SJ6BRXOJfzD86pM6VOR0ciPqwHoJs1TkhFKQLrMlMELE6jED&#10;dqJVJtIn4FXJ/39R/QBQSwMEFAAAAAgAh07iQOFh7ZjJAQAApgMAAA4AAABkcnMvZTJvRG9jLnht&#10;bK1TTW/bMAy9D9h/EHRf7KRbsRlxCnRBhgHDNqDdD5Bl2Ragr5FK7Pz7UXKcbt2lh/pgUyT1yPdI&#10;b+8ma9hJAWrvar5elZwpJ32rXV/zX4+Hdx85wyhcK4x3quZnhfxu9/bNdgyV2vjBm1YBIxCH1Rhq&#10;PsQYqqJAOSgrcOWDchTsPFgR6Qh90YIYCd2aYlOWt8XooQ3gpUIk734O8gsivATQd52Wau/l0SoX&#10;Z1RQRkSihIMOyHe5265TMv7oOlSRmZoT05jfVITsJr2L3VZUPYgwaHlpQbykhWecrNCOil6h9iIK&#10;dgT9H5TVEjz6Lq6kt8VMJCtCLNblM20eBhFU5kJSY7iKjq8HK7+ffgLTbc1vOXPC0sA7ewAyPiRt&#10;xoAVpTwESorTvZ9oYxY/kjNRnjqw6UtkGMVJ2fNVWTVFJslJ5D7dlBSSFLtZb95vsvTF0+0AGL8o&#10;b1kyag40uSyoOH3DSJ1Q6pKSiqE3uj1oY/IB+uazAXYSNOVDflKTdOWfNONSsvPp2hxOniJxnLkk&#10;K07NdCHe+PZMvEfajprj76MAxZn56kj+tEqLAYvRLMYxgO4HYpG1ygVofLmhy6ql/fj7nNt4+r1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7n/d3AAAAA0BAAAPAAAAAAAAAAEAIAAAACIAAABk&#10;cnMvZG93bnJldi54bWxQSwECFAAUAAAACACHTuJA4WHtmMkBAACmAwAADgAAAAAAAAABACAAAAAr&#10;AQAAZHJzL2Uyb0RvYy54bWxQSwUGAAAAAAYABgBZAQAAZgUAAAAA&#10;">
                <v:fill on="t" focussize="0,0"/>
                <v:stroke on="f"/>
                <v:imagedata o:title=""/>
                <o:lock v:ext="edit" aspectratio="f"/>
                <v:textbox inset="0mm,0mm,0mm,0mm">
                  <w:txbxContent>
                    <w:p w14:paraId="39BB8260">
                      <w:pPr>
                        <w:pStyle w:val="42"/>
                        <w:rPr>
                          <w:rFonts w:hint="eastAsia" w:ascii="黑体" w:hAnsi="黑体" w:eastAsia="黑体" w:cs="黑体"/>
                          <w:b w:val="0"/>
                          <w:bCs w:val="0"/>
                        </w:rPr>
                      </w:pPr>
                      <w:r>
                        <w:rPr>
                          <w:rFonts w:hint="eastAsia" w:ascii="黑体" w:hAnsi="黑体" w:eastAsia="黑体" w:cs="黑体"/>
                          <w:b w:val="0"/>
                          <w:bCs w:val="0"/>
                        </w:rPr>
                        <w:t>202</w:t>
                      </w:r>
                      <w:r>
                        <w:rPr>
                          <w:rFonts w:hint="eastAsia" w:ascii="黑体" w:hAnsi="黑体" w:cs="黑体"/>
                          <w:b w:val="0"/>
                          <w:bCs w:val="0"/>
                          <w:lang w:val="en-US" w:eastAsia="zh-CN"/>
                        </w:rPr>
                        <w:t>5</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发布</w:t>
                      </w:r>
                    </w:p>
                  </w:txbxContent>
                </v:textbox>
                <w10:anchorlock/>
              </v:shape>
            </w:pict>
          </mc:Fallback>
        </mc:AlternateContent>
      </w:r>
      <w:r>
        <w:rPr>
          <w:rFonts w:hint="eastAsia"/>
          <w:lang w:val="en-US" w:eastAsia="zh-CN"/>
        </w:rPr>
        <w:t>（征求意见稿）</w:t>
      </w:r>
      <w:r>
        <mc:AlternateContent>
          <mc:Choice Requires="wps">
            <w:drawing>
              <wp:anchor distT="0" distB="0" distL="114300" distR="114300" simplePos="0" relativeHeight="251668480" behindDoc="0" locked="0" layoutInCell="1" allowOverlap="1">
                <wp:simplePos x="0" y="0"/>
                <wp:positionH relativeFrom="column">
                  <wp:posOffset>-207010</wp:posOffset>
                </wp:positionH>
                <wp:positionV relativeFrom="paragraph">
                  <wp:posOffset>4133850</wp:posOffset>
                </wp:positionV>
                <wp:extent cx="6121400" cy="0"/>
                <wp:effectExtent l="0" t="6350" r="0" b="6350"/>
                <wp:wrapSquare wrapText="bothSides"/>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16.3pt;margin-top:325.5pt;height:0pt;width:482pt;mso-wrap-distance-bottom:0pt;mso-wrap-distance-left:9pt;mso-wrap-distance-right:9pt;mso-wrap-distance-top:0pt;z-index:251668480;mso-width-relative:page;mso-height-relative:page;" filled="f" stroked="t" coordsize="21600,21600" o:gfxdata="UEsDBAoAAAAAAIdO4kAAAAAAAAAAAAAAAAAEAAAAZHJzL1BLAwQUAAAACACHTuJAu+h/PdcAAAAL&#10;AQAADwAAAGRycy9kb3ducmV2LnhtbE2PTWvDMAyG74P+B6PBLqO104/QpnEKHQx2bVcYu7mxmoTF&#10;cojdpPv3U2GwHSU9vHrefHdzrRiwD40nDclMgUAqvW2o0nB6f52uQYRoyJrWE2r4xgC7YvKQm8z6&#10;kQ44HGMlOIRCZjTUMXaZlKGs0Zkw8x0S3y6+dyby2FfS9mbkcNfKuVKpdKYh/lCbDl9qLL+OV6dh&#10;/HiT5efmWbnVcIryopZ75bzWT4+J2oKIeIt/MNz1WR0Kdjr7K9kgWg3TxTxlVEO6SrgUE5tFsgRx&#10;/t3IIpf/OxQ/UEsDBBQAAAAIAIdO4kBilkDb6QEAAN0DAAAOAAAAZHJzL2Uyb0RvYy54bWytU82O&#10;0zAQviPxDpbvNE2FlhI13cOW5YKgEuwDTG0nseQ/edymfRZegxMXHmdfg7HT7cJy6YEcnLFn/M18&#10;34xXt0dr2EFF1N61vJ7NOVNOeKld3/KHb/dvlpxhAifBeKdaflLIb9evX63G0KiFH7yRKjICcdiM&#10;oeVDSqGpKhSDsoAzH5QjZ+ejhUTb2Fcywkjo1lSL+fymGn2UIXqhEOl0Mzn5GTFeA+i7Tgu18WJv&#10;lUsTalQGElHCQQfk61Jt1ymRvnQdqsRMy4lpKislIXuX12q9gqaPEAYtziXANSW84GRBO0p6gdpA&#10;AraP+h8oq0X06Ls0E95WE5GiCLGo5y+0+TpAUIULSY3hIjr+P1jx+bCNTMuWv+fMgaWGP37/8fjz&#10;F6vrLM4YsKGYO7eN5x2GbcxMj120+U8c2LEIeroIqo6JCTq8qRf12zlpLZ581fPFEDF9VN6ybLTc&#10;aJe5QgOHT5goGYU+heRj49hI87p4V/CAJq+jjhO0DVQ9ur5cRm+0vNfG5CsY+92diewA1P3lnL5l&#10;5kTAf4XlLBvAYYorrmkuBgXyg5MsnQLp4ug58FyDVZIzo+j1ZIsAoUmgzTWRlNo4qiDLOgmZrZ2X&#10;J+rCPkTdDyRFUb7EUNdLvecJzWP1574gPb/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6H89&#10;1wAAAAsBAAAPAAAAAAAAAAEAIAAAACIAAABkcnMvZG93bnJldi54bWxQSwECFAAUAAAACACHTuJA&#10;YpZA2+kBAADdAwAADgAAAAAAAAABACAAAAAmAQAAZHJzL2Uyb0RvYy54bWxQSwUGAAAAAAYABgBZ&#10;AQAAgQUAAAAA&#10;">
                <v:fill on="f" focussize="0,0"/>
                <v:stroke weight="1pt" color="#800008" joinstyle="round"/>
                <v:imagedata o:title=""/>
                <o:lock v:ext="edit" aspectratio="f"/>
                <w10:wrap type="square"/>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3893820</wp:posOffset>
                </wp:positionH>
                <wp:positionV relativeFrom="margin">
                  <wp:posOffset>8729345</wp:posOffset>
                </wp:positionV>
                <wp:extent cx="2019300" cy="312420"/>
                <wp:effectExtent l="0" t="0" r="0" b="508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84B78A8">
                            <w:pPr>
                              <w:pStyle w:val="43"/>
                            </w:pPr>
                            <w:r>
                              <w:rPr>
                                <w:rFonts w:hint="eastAsia" w:ascii="黑体" w:hAnsi="黑体" w:eastAsia="黑体" w:cs="黑体"/>
                                <w:b w:val="0"/>
                                <w:bCs w:val="0"/>
                              </w:rPr>
                              <w:t>202</w:t>
                            </w:r>
                            <w:r>
                              <w:rPr>
                                <w:rFonts w:hint="eastAsia" w:ascii="黑体" w:hAnsi="黑体" w:cs="黑体"/>
                                <w:b w:val="0"/>
                                <w:bCs w:val="0"/>
                                <w:lang w:val="en-US" w:eastAsia="zh-CN"/>
                              </w:rPr>
                              <w:t>5</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实施</w:t>
                            </w:r>
                          </w:p>
                        </w:txbxContent>
                      </wps:txbx>
                      <wps:bodyPr wrap="square" lIns="0" tIns="0" rIns="0" bIns="0" upright="1"/>
                    </wps:wsp>
                  </a:graphicData>
                </a:graphic>
              </wp:anchor>
            </w:drawing>
          </mc:Choice>
          <mc:Fallback>
            <w:pict>
              <v:shape id="fmFrame6" o:spid="_x0000_s1026" o:spt="202" type="#_x0000_t202" style="position:absolute;left:0pt;margin-left:306.6pt;margin-top:687.35pt;height:24.6pt;width:159pt;mso-position-horizontal-relative:margin;mso-position-vertical-relative:margin;z-index:251667456;mso-width-relative:page;mso-height-relative:page;" fillcolor="#FFFFFF" filled="t" stroked="f" coordsize="21600,21600" o:gfxdata="UEsDBAoAAAAAAIdO4kAAAAAAAAAAAAAAAAAEAAAAZHJzL1BLAwQUAAAACACHTuJA+siJLtoAAAAN&#10;AQAADwAAAGRycy9kb3ducmV2LnhtbE2PzU7DMBCE70i8g7VIXBB1fqqWhjiVaOEGh5aqZzdekoh4&#10;HdlO0749ywmOO/NpdqZcX2wvzuhD50hBOktAINXOdNQoOHy+PT6BCFGT0b0jVHDFAOvq9qbUhXET&#10;7fC8j43gEAqFVtDGOBRShrpFq8PMDUjsfTlvdeTTN9J4PXG47WWWJAtpdUf8odUDblqsv/ejVbDY&#10;+nHa0eZhe3h91x9Dkx1frkel7u/S5BlExEv8g+G3PleHijud3EgmiJ4z0jxjlI18OV+CYGSVpyyd&#10;WJpn+QpkVcr/K6o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iJLt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14:paraId="184B78A8">
                      <w:pPr>
                        <w:pStyle w:val="43"/>
                      </w:pPr>
                      <w:r>
                        <w:rPr>
                          <w:rFonts w:hint="eastAsia" w:ascii="黑体" w:hAnsi="黑体" w:eastAsia="黑体" w:cs="黑体"/>
                          <w:b w:val="0"/>
                          <w:bCs w:val="0"/>
                        </w:rPr>
                        <w:t>202</w:t>
                      </w:r>
                      <w:r>
                        <w:rPr>
                          <w:rFonts w:hint="eastAsia" w:ascii="黑体" w:hAnsi="黑体" w:cs="黑体"/>
                          <w:b w:val="0"/>
                          <w:bCs w:val="0"/>
                          <w:lang w:val="en-US" w:eastAsia="zh-CN"/>
                        </w:rPr>
                        <w:t>5</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实施</w:t>
                      </w:r>
                    </w:p>
                  </w:txbxContent>
                </v:textbox>
                <w10:anchorlock/>
              </v:shape>
            </w:pict>
          </mc:Fallback>
        </mc:AlternateContent>
      </w:r>
    </w:p>
    <w:p w14:paraId="2DBEE692">
      <w:pPr>
        <w:pStyle w:val="3"/>
        <w:numPr>
          <w:ilvl w:val="0"/>
          <w:numId w:val="0"/>
        </w:numPr>
      </w:pPr>
      <w:bookmarkStart w:id="8" w:name="_Toc167347532"/>
      <w:bookmarkStart w:id="9" w:name="_Toc14677"/>
      <w:bookmarkStart w:id="10" w:name="_Toc10097"/>
      <w:bookmarkStart w:id="11" w:name="_Toc198905488"/>
      <w:bookmarkStart w:id="12" w:name="_Toc8025"/>
      <w:r>
        <w:rPr>
          <w:rFonts w:hint="eastAsia"/>
        </w:rPr>
        <w:t xml:space="preserve">目   </w:t>
      </w:r>
      <w:bookmarkStart w:id="96" w:name="_GoBack"/>
      <w:bookmarkEnd w:id="96"/>
      <w:r>
        <w:rPr>
          <w:rFonts w:hint="eastAsia"/>
        </w:rPr>
        <w:t>次</w:t>
      </w:r>
      <w:bookmarkEnd w:id="8"/>
      <w:bookmarkEnd w:id="9"/>
      <w:bookmarkEnd w:id="10"/>
      <w:bookmarkEnd w:id="11"/>
      <w:bookmarkEnd w:id="12"/>
    </w:p>
    <w:sdt>
      <w:sdtPr>
        <w:rPr>
          <w:rFonts w:cs="Times New Roman"/>
        </w:rPr>
        <w:id w:val="147471471"/>
        <w15:color w:val="DBDBDB"/>
        <w:docPartObj>
          <w:docPartGallery w:val="Table of Contents"/>
          <w:docPartUnique/>
        </w:docPartObj>
      </w:sdtPr>
      <w:sdtEndPr>
        <w:rPr>
          <w:rFonts w:cs="Times New Roman"/>
        </w:rPr>
      </w:sdtEndPr>
      <w:sdtContent>
        <w:p w14:paraId="7970838E">
          <w:pPr>
            <w:pStyle w:val="17"/>
            <w:tabs>
              <w:tab w:val="right" w:leader="dot" w:pos="8296"/>
            </w:tabs>
            <w:ind w:firstLine="480"/>
            <w:rPr>
              <w:rFonts w:asciiTheme="minorHAnsi" w:hAnsiTheme="minorHAnsi" w:eastAsiaTheme="minorEastAsia"/>
              <w:sz w:val="21"/>
              <w:szCs w:val="22"/>
            </w:rPr>
          </w:pPr>
          <w:r>
            <w:fldChar w:fldCharType="begin"/>
          </w:r>
          <w:r>
            <w:instrText xml:space="preserve">TOC \o "1-1" \h \u </w:instrText>
          </w:r>
          <w:r>
            <w:fldChar w:fldCharType="separate"/>
          </w:r>
          <w:r>
            <w:fldChar w:fldCharType="begin"/>
          </w:r>
          <w:r>
            <w:instrText xml:space="preserve"> HYPERLINK \l "_Toc198905488" </w:instrText>
          </w:r>
          <w:r>
            <w:fldChar w:fldCharType="separate"/>
          </w:r>
          <w:r>
            <w:rPr>
              <w:rStyle w:val="24"/>
            </w:rPr>
            <w:t>目   次</w:t>
          </w:r>
          <w:r>
            <w:tab/>
          </w:r>
          <w:r>
            <w:fldChar w:fldCharType="begin"/>
          </w:r>
          <w:r>
            <w:instrText xml:space="preserve"> PAGEREF _Toc198905488 \h </w:instrText>
          </w:r>
          <w:r>
            <w:fldChar w:fldCharType="separate"/>
          </w:r>
          <w:r>
            <w:t>I</w:t>
          </w:r>
          <w:r>
            <w:fldChar w:fldCharType="end"/>
          </w:r>
          <w:r>
            <w:fldChar w:fldCharType="end"/>
          </w:r>
        </w:p>
        <w:p w14:paraId="6C73D738">
          <w:pPr>
            <w:pStyle w:val="17"/>
            <w:tabs>
              <w:tab w:val="right" w:leader="dot" w:pos="8296"/>
            </w:tabs>
            <w:ind w:firstLine="480"/>
            <w:rPr>
              <w:rFonts w:asciiTheme="minorHAnsi" w:hAnsiTheme="minorHAnsi" w:eastAsiaTheme="minorEastAsia"/>
              <w:sz w:val="21"/>
              <w:szCs w:val="22"/>
            </w:rPr>
          </w:pPr>
          <w:r>
            <w:fldChar w:fldCharType="begin"/>
          </w:r>
          <w:r>
            <w:instrText xml:space="preserve"> HYPERLINK \l "_Toc198905489" </w:instrText>
          </w:r>
          <w:r>
            <w:fldChar w:fldCharType="separate"/>
          </w:r>
          <w:r>
            <w:rPr>
              <w:rStyle w:val="24"/>
            </w:rPr>
            <w:t>前   言</w:t>
          </w:r>
          <w:r>
            <w:tab/>
          </w:r>
          <w:r>
            <w:fldChar w:fldCharType="begin"/>
          </w:r>
          <w:r>
            <w:instrText xml:space="preserve"> PAGEREF _Toc198905489 \h </w:instrText>
          </w:r>
          <w:r>
            <w:fldChar w:fldCharType="separate"/>
          </w:r>
          <w:r>
            <w:t>II</w:t>
          </w:r>
          <w:r>
            <w:fldChar w:fldCharType="end"/>
          </w:r>
          <w:r>
            <w:fldChar w:fldCharType="end"/>
          </w:r>
        </w:p>
        <w:p w14:paraId="33146A44">
          <w:pPr>
            <w:pStyle w:val="17"/>
            <w:tabs>
              <w:tab w:val="left" w:pos="1050"/>
              <w:tab w:val="right" w:leader="dot" w:pos="8296"/>
            </w:tabs>
            <w:ind w:firstLine="480"/>
            <w:rPr>
              <w:rFonts w:asciiTheme="minorHAnsi" w:hAnsiTheme="minorHAnsi" w:eastAsiaTheme="minorEastAsia"/>
              <w:sz w:val="21"/>
              <w:szCs w:val="22"/>
            </w:rPr>
          </w:pPr>
          <w:r>
            <w:fldChar w:fldCharType="begin"/>
          </w:r>
          <w:r>
            <w:instrText xml:space="preserve"> HYPERLINK \l "_Toc198905490" </w:instrText>
          </w:r>
          <w:r>
            <w:fldChar w:fldCharType="separate"/>
          </w:r>
          <w:r>
            <w:rPr>
              <w:rStyle w:val="24"/>
              <w:rFonts w:hAnsi="黑体" w:eastAsia="黑体" w:cs="Times New Roman"/>
              <w:snapToGrid w:val="0"/>
              <w:kern w:val="0"/>
            </w:rPr>
            <w:t>1</w:t>
          </w:r>
          <w:r>
            <w:rPr>
              <w:rFonts w:asciiTheme="minorHAnsi" w:hAnsiTheme="minorHAnsi" w:eastAsiaTheme="minorEastAsia"/>
              <w:sz w:val="21"/>
              <w:szCs w:val="22"/>
            </w:rPr>
            <w:tab/>
          </w:r>
          <w:r>
            <w:rPr>
              <w:rStyle w:val="24"/>
              <w:rFonts w:hAnsi="黑体" w:eastAsia="黑体" w:cs="Times New Roman"/>
              <w:snapToGrid w:val="0"/>
              <w:kern w:val="0"/>
            </w:rPr>
            <w:t>范围</w:t>
          </w:r>
          <w:r>
            <w:tab/>
          </w:r>
          <w:r>
            <w:fldChar w:fldCharType="begin"/>
          </w:r>
          <w:r>
            <w:instrText xml:space="preserve"> PAGEREF _Toc198905490 \h </w:instrText>
          </w:r>
          <w:r>
            <w:fldChar w:fldCharType="separate"/>
          </w:r>
          <w:r>
            <w:t>1</w:t>
          </w:r>
          <w:r>
            <w:fldChar w:fldCharType="end"/>
          </w:r>
          <w:r>
            <w:fldChar w:fldCharType="end"/>
          </w:r>
        </w:p>
        <w:p w14:paraId="313D9456">
          <w:pPr>
            <w:pStyle w:val="17"/>
            <w:tabs>
              <w:tab w:val="left" w:pos="1050"/>
              <w:tab w:val="right" w:leader="dot" w:pos="8296"/>
            </w:tabs>
            <w:ind w:firstLine="480"/>
            <w:rPr>
              <w:rFonts w:asciiTheme="minorHAnsi" w:hAnsiTheme="minorHAnsi" w:eastAsiaTheme="minorEastAsia"/>
              <w:sz w:val="21"/>
              <w:szCs w:val="22"/>
            </w:rPr>
          </w:pPr>
          <w:r>
            <w:fldChar w:fldCharType="begin"/>
          </w:r>
          <w:r>
            <w:instrText xml:space="preserve"> HYPERLINK \l "_Toc198905491" </w:instrText>
          </w:r>
          <w:r>
            <w:fldChar w:fldCharType="separate"/>
          </w:r>
          <w:r>
            <w:rPr>
              <w:rStyle w:val="24"/>
              <w:rFonts w:hAnsi="黑体" w:eastAsia="黑体" w:cs="Times New Roman"/>
              <w:snapToGrid w:val="0"/>
              <w:kern w:val="0"/>
            </w:rPr>
            <w:t>2</w:t>
          </w:r>
          <w:r>
            <w:rPr>
              <w:rFonts w:asciiTheme="minorHAnsi" w:hAnsiTheme="minorHAnsi" w:eastAsiaTheme="minorEastAsia"/>
              <w:sz w:val="21"/>
              <w:szCs w:val="22"/>
            </w:rPr>
            <w:tab/>
          </w:r>
          <w:r>
            <w:rPr>
              <w:rStyle w:val="24"/>
              <w:rFonts w:hAnsi="黑体" w:eastAsia="黑体" w:cs="Times New Roman"/>
              <w:snapToGrid w:val="0"/>
              <w:kern w:val="0"/>
            </w:rPr>
            <w:t>规范性引用文件</w:t>
          </w:r>
          <w:r>
            <w:tab/>
          </w:r>
          <w:r>
            <w:fldChar w:fldCharType="begin"/>
          </w:r>
          <w:r>
            <w:instrText xml:space="preserve"> PAGEREF _Toc198905491 \h </w:instrText>
          </w:r>
          <w:r>
            <w:fldChar w:fldCharType="separate"/>
          </w:r>
          <w:r>
            <w:t>1</w:t>
          </w:r>
          <w:r>
            <w:fldChar w:fldCharType="end"/>
          </w:r>
          <w:r>
            <w:fldChar w:fldCharType="end"/>
          </w:r>
        </w:p>
        <w:p w14:paraId="227074B8">
          <w:pPr>
            <w:pStyle w:val="17"/>
            <w:tabs>
              <w:tab w:val="left" w:pos="1050"/>
              <w:tab w:val="right" w:leader="dot" w:pos="8296"/>
            </w:tabs>
            <w:ind w:firstLine="480"/>
            <w:rPr>
              <w:rFonts w:asciiTheme="minorHAnsi" w:hAnsiTheme="minorHAnsi" w:eastAsiaTheme="minorEastAsia"/>
              <w:sz w:val="21"/>
              <w:szCs w:val="22"/>
            </w:rPr>
          </w:pPr>
          <w:r>
            <w:fldChar w:fldCharType="begin"/>
          </w:r>
          <w:r>
            <w:instrText xml:space="preserve"> HYPERLINK \l "_Toc198905492" </w:instrText>
          </w:r>
          <w:r>
            <w:fldChar w:fldCharType="separate"/>
          </w:r>
          <w:r>
            <w:rPr>
              <w:rStyle w:val="24"/>
              <w:rFonts w:hAnsi="黑体" w:eastAsia="黑体" w:cs="Times New Roman"/>
              <w:snapToGrid w:val="0"/>
              <w:kern w:val="0"/>
            </w:rPr>
            <w:t>3</w:t>
          </w:r>
          <w:r>
            <w:rPr>
              <w:rFonts w:asciiTheme="minorHAnsi" w:hAnsiTheme="minorHAnsi" w:eastAsiaTheme="minorEastAsia"/>
              <w:sz w:val="21"/>
              <w:szCs w:val="22"/>
            </w:rPr>
            <w:tab/>
          </w:r>
          <w:r>
            <w:rPr>
              <w:rStyle w:val="24"/>
              <w:rFonts w:hAnsi="黑体" w:eastAsia="黑体" w:cs="Times New Roman"/>
              <w:snapToGrid w:val="0"/>
              <w:kern w:val="0"/>
            </w:rPr>
            <w:t>术语和定义</w:t>
          </w:r>
          <w:r>
            <w:tab/>
          </w:r>
          <w:r>
            <w:fldChar w:fldCharType="begin"/>
          </w:r>
          <w:r>
            <w:instrText xml:space="preserve"> PAGEREF _Toc198905492 \h </w:instrText>
          </w:r>
          <w:r>
            <w:fldChar w:fldCharType="separate"/>
          </w:r>
          <w:r>
            <w:t>2</w:t>
          </w:r>
          <w:r>
            <w:fldChar w:fldCharType="end"/>
          </w:r>
          <w:r>
            <w:fldChar w:fldCharType="end"/>
          </w:r>
        </w:p>
        <w:p w14:paraId="4F3A89A4">
          <w:pPr>
            <w:pStyle w:val="17"/>
            <w:tabs>
              <w:tab w:val="left" w:pos="1050"/>
              <w:tab w:val="right" w:leader="dot" w:pos="8296"/>
            </w:tabs>
            <w:ind w:firstLine="480"/>
            <w:rPr>
              <w:rFonts w:asciiTheme="minorHAnsi" w:hAnsiTheme="minorHAnsi" w:eastAsiaTheme="minorEastAsia"/>
              <w:sz w:val="21"/>
              <w:szCs w:val="22"/>
            </w:rPr>
          </w:pPr>
          <w:r>
            <w:fldChar w:fldCharType="begin"/>
          </w:r>
          <w:r>
            <w:instrText xml:space="preserve"> HYPERLINK \l "_Toc198905493" </w:instrText>
          </w:r>
          <w:r>
            <w:fldChar w:fldCharType="separate"/>
          </w:r>
          <w:r>
            <w:rPr>
              <w:rStyle w:val="24"/>
              <w:rFonts w:hAnsi="黑体" w:eastAsia="黑体" w:cs="Times New Roman"/>
              <w:snapToGrid w:val="0"/>
              <w:kern w:val="0"/>
            </w:rPr>
            <w:t>4</w:t>
          </w:r>
          <w:r>
            <w:rPr>
              <w:rFonts w:asciiTheme="minorHAnsi" w:hAnsiTheme="minorHAnsi" w:eastAsiaTheme="minorEastAsia"/>
              <w:sz w:val="21"/>
              <w:szCs w:val="22"/>
            </w:rPr>
            <w:tab/>
          </w:r>
          <w:r>
            <w:rPr>
              <w:rStyle w:val="24"/>
              <w:rFonts w:hAnsi="黑体" w:eastAsia="黑体" w:cs="Times New Roman"/>
              <w:snapToGrid w:val="0"/>
              <w:kern w:val="0"/>
            </w:rPr>
            <w:t>组织与职责</w:t>
          </w:r>
          <w:r>
            <w:tab/>
          </w:r>
          <w:r>
            <w:fldChar w:fldCharType="begin"/>
          </w:r>
          <w:r>
            <w:instrText xml:space="preserve"> PAGEREF _Toc198905493 \h </w:instrText>
          </w:r>
          <w:r>
            <w:fldChar w:fldCharType="separate"/>
          </w:r>
          <w:r>
            <w:t>3</w:t>
          </w:r>
          <w:r>
            <w:fldChar w:fldCharType="end"/>
          </w:r>
          <w:r>
            <w:fldChar w:fldCharType="end"/>
          </w:r>
        </w:p>
        <w:p w14:paraId="13BF2768">
          <w:pPr>
            <w:pStyle w:val="17"/>
            <w:tabs>
              <w:tab w:val="left" w:pos="1050"/>
              <w:tab w:val="right" w:leader="dot" w:pos="8296"/>
            </w:tabs>
            <w:ind w:firstLine="480"/>
            <w:rPr>
              <w:rFonts w:asciiTheme="minorHAnsi" w:hAnsiTheme="minorHAnsi" w:eastAsiaTheme="minorEastAsia"/>
              <w:sz w:val="21"/>
              <w:szCs w:val="22"/>
            </w:rPr>
          </w:pPr>
          <w:r>
            <w:fldChar w:fldCharType="begin"/>
          </w:r>
          <w:r>
            <w:instrText xml:space="preserve"> HYPERLINK \l "_Toc198905494" </w:instrText>
          </w:r>
          <w:r>
            <w:fldChar w:fldCharType="separate"/>
          </w:r>
          <w:r>
            <w:rPr>
              <w:rStyle w:val="24"/>
              <w:rFonts w:hAnsi="黑体" w:eastAsia="黑体" w:cs="Times New Roman"/>
              <w:snapToGrid w:val="0"/>
              <w:kern w:val="0"/>
            </w:rPr>
            <w:t>5</w:t>
          </w:r>
          <w:r>
            <w:rPr>
              <w:rFonts w:asciiTheme="minorHAnsi" w:hAnsiTheme="minorHAnsi" w:eastAsiaTheme="minorEastAsia"/>
              <w:sz w:val="21"/>
              <w:szCs w:val="22"/>
            </w:rPr>
            <w:tab/>
          </w:r>
          <w:r>
            <w:rPr>
              <w:rStyle w:val="24"/>
              <w:rFonts w:hAnsi="黑体" w:eastAsia="黑体" w:cs="Times New Roman"/>
              <w:snapToGrid w:val="0"/>
              <w:kern w:val="0"/>
            </w:rPr>
            <w:t>基础安全管理</w:t>
          </w:r>
          <w:r>
            <w:tab/>
          </w:r>
          <w:r>
            <w:fldChar w:fldCharType="begin"/>
          </w:r>
          <w:r>
            <w:instrText xml:space="preserve"> PAGEREF _Toc198905494 \h </w:instrText>
          </w:r>
          <w:r>
            <w:fldChar w:fldCharType="separate"/>
          </w:r>
          <w:r>
            <w:t>4</w:t>
          </w:r>
          <w:r>
            <w:fldChar w:fldCharType="end"/>
          </w:r>
          <w:r>
            <w:fldChar w:fldCharType="end"/>
          </w:r>
        </w:p>
        <w:p w14:paraId="2757778E">
          <w:pPr>
            <w:pStyle w:val="17"/>
            <w:tabs>
              <w:tab w:val="left" w:pos="1050"/>
              <w:tab w:val="right" w:leader="dot" w:pos="8296"/>
            </w:tabs>
            <w:ind w:firstLine="480"/>
            <w:rPr>
              <w:rFonts w:asciiTheme="minorHAnsi" w:hAnsiTheme="minorHAnsi" w:eastAsiaTheme="minorEastAsia"/>
              <w:sz w:val="21"/>
              <w:szCs w:val="22"/>
            </w:rPr>
          </w:pPr>
          <w:r>
            <w:fldChar w:fldCharType="begin"/>
          </w:r>
          <w:r>
            <w:instrText xml:space="preserve"> HYPERLINK \l "_Toc198905495" </w:instrText>
          </w:r>
          <w:r>
            <w:fldChar w:fldCharType="separate"/>
          </w:r>
          <w:r>
            <w:rPr>
              <w:rStyle w:val="24"/>
              <w:rFonts w:hAnsi="黑体" w:eastAsia="黑体" w:cs="Times New Roman"/>
              <w:snapToGrid w:val="0"/>
              <w:kern w:val="0"/>
            </w:rPr>
            <w:t>6</w:t>
          </w:r>
          <w:r>
            <w:rPr>
              <w:rFonts w:asciiTheme="minorHAnsi" w:hAnsiTheme="minorHAnsi" w:eastAsiaTheme="minorEastAsia"/>
              <w:sz w:val="21"/>
              <w:szCs w:val="22"/>
            </w:rPr>
            <w:tab/>
          </w:r>
          <w:r>
            <w:rPr>
              <w:rStyle w:val="24"/>
              <w:rFonts w:hAnsi="黑体" w:eastAsia="黑体" w:cs="Times New Roman"/>
              <w:snapToGrid w:val="0"/>
              <w:kern w:val="0"/>
            </w:rPr>
            <w:t>全生命周期流程管理</w:t>
          </w:r>
          <w:r>
            <w:tab/>
          </w:r>
          <w:r>
            <w:fldChar w:fldCharType="begin"/>
          </w:r>
          <w:r>
            <w:instrText xml:space="preserve"> PAGEREF _Toc198905495 \h </w:instrText>
          </w:r>
          <w:r>
            <w:fldChar w:fldCharType="separate"/>
          </w:r>
          <w:r>
            <w:t>7</w:t>
          </w:r>
          <w:r>
            <w:fldChar w:fldCharType="end"/>
          </w:r>
          <w:r>
            <w:fldChar w:fldCharType="end"/>
          </w:r>
        </w:p>
        <w:p w14:paraId="619253F5">
          <w:pPr>
            <w:pStyle w:val="17"/>
            <w:tabs>
              <w:tab w:val="left" w:pos="1050"/>
              <w:tab w:val="right" w:leader="dot" w:pos="8296"/>
            </w:tabs>
            <w:ind w:firstLine="480"/>
            <w:rPr>
              <w:rFonts w:asciiTheme="minorHAnsi" w:hAnsiTheme="minorHAnsi" w:eastAsiaTheme="minorEastAsia"/>
              <w:sz w:val="21"/>
              <w:szCs w:val="22"/>
            </w:rPr>
          </w:pPr>
          <w:r>
            <w:fldChar w:fldCharType="begin"/>
          </w:r>
          <w:r>
            <w:instrText xml:space="preserve"> HYPERLINK \l "_Toc198905496" </w:instrText>
          </w:r>
          <w:r>
            <w:fldChar w:fldCharType="separate"/>
          </w:r>
          <w:r>
            <w:rPr>
              <w:rStyle w:val="24"/>
              <w:rFonts w:hAnsi="黑体" w:eastAsia="黑体" w:cs="Times New Roman"/>
              <w:snapToGrid w:val="0"/>
              <w:kern w:val="0"/>
            </w:rPr>
            <w:t>7</w:t>
          </w:r>
          <w:r>
            <w:rPr>
              <w:rFonts w:asciiTheme="minorHAnsi" w:hAnsiTheme="minorHAnsi" w:eastAsiaTheme="minorEastAsia"/>
              <w:sz w:val="21"/>
              <w:szCs w:val="22"/>
            </w:rPr>
            <w:tab/>
          </w:r>
          <w:r>
            <w:rPr>
              <w:rStyle w:val="24"/>
              <w:rFonts w:hAnsi="黑体" w:eastAsia="黑体" w:cs="Times New Roman"/>
              <w:snapToGrid w:val="0"/>
              <w:kern w:val="0"/>
            </w:rPr>
            <w:t>危险化学品废弃物全过程管理</w:t>
          </w:r>
          <w:r>
            <w:tab/>
          </w:r>
          <w:r>
            <w:fldChar w:fldCharType="begin"/>
          </w:r>
          <w:r>
            <w:instrText xml:space="preserve"> PAGEREF _Toc198905496 \h </w:instrText>
          </w:r>
          <w:r>
            <w:fldChar w:fldCharType="separate"/>
          </w:r>
          <w:r>
            <w:t>11</w:t>
          </w:r>
          <w:r>
            <w:fldChar w:fldCharType="end"/>
          </w:r>
          <w:r>
            <w:fldChar w:fldCharType="end"/>
          </w:r>
        </w:p>
        <w:p w14:paraId="45ABC1E2">
          <w:pPr>
            <w:pStyle w:val="17"/>
            <w:tabs>
              <w:tab w:val="right" w:leader="dot" w:pos="8296"/>
            </w:tabs>
            <w:ind w:firstLine="480"/>
            <w:rPr>
              <w:rFonts w:asciiTheme="minorHAnsi" w:hAnsiTheme="minorHAnsi" w:eastAsiaTheme="minorEastAsia"/>
              <w:sz w:val="21"/>
              <w:szCs w:val="22"/>
            </w:rPr>
          </w:pPr>
          <w:r>
            <w:fldChar w:fldCharType="begin"/>
          </w:r>
          <w:r>
            <w:instrText xml:space="preserve"> HYPERLINK \l "_Toc198905497" </w:instrText>
          </w:r>
          <w:r>
            <w:fldChar w:fldCharType="separate"/>
          </w:r>
          <w:r>
            <w:rPr>
              <w:rStyle w:val="24"/>
              <w:rFonts w:hAnsi="黑体" w:eastAsia="黑体" w:cs="Times New Roman"/>
              <w:snapToGrid w:val="0"/>
              <w:kern w:val="0"/>
            </w:rPr>
            <w:t>参考文献</w:t>
          </w:r>
          <w:r>
            <w:tab/>
          </w:r>
          <w:r>
            <w:fldChar w:fldCharType="begin"/>
          </w:r>
          <w:r>
            <w:instrText xml:space="preserve"> PAGEREF _Toc198905497 \h </w:instrText>
          </w:r>
          <w:r>
            <w:fldChar w:fldCharType="separate"/>
          </w:r>
          <w:r>
            <w:t>22</w:t>
          </w:r>
          <w:r>
            <w:fldChar w:fldCharType="end"/>
          </w:r>
          <w:r>
            <w:fldChar w:fldCharType="end"/>
          </w:r>
        </w:p>
        <w:p w14:paraId="3A5081E1">
          <w:pPr>
            <w:pStyle w:val="17"/>
            <w:tabs>
              <w:tab w:val="right" w:leader="dot" w:pos="8296"/>
            </w:tabs>
            <w:spacing w:line="240" w:lineRule="auto"/>
            <w:ind w:firstLine="480" w:firstLineChars="0"/>
            <w:jc w:val="center"/>
            <w:rPr>
              <w:rFonts w:cs="Times New Roman"/>
            </w:rPr>
          </w:pPr>
          <w:r>
            <w:fldChar w:fldCharType="end"/>
          </w:r>
        </w:p>
      </w:sdtContent>
    </w:sdt>
    <w:p w14:paraId="3D936A4F">
      <w:pPr>
        <w:ind w:firstLine="480"/>
        <w:rPr>
          <w:rFonts w:cs="Times New Roman"/>
        </w:rPr>
      </w:pPr>
      <w:r>
        <w:rPr>
          <w:rFonts w:cs="Times New Roman"/>
        </w:rPr>
        <w:br w:type="page"/>
      </w:r>
    </w:p>
    <w:p w14:paraId="5B621CCF">
      <w:pPr>
        <w:pStyle w:val="3"/>
        <w:numPr>
          <w:ilvl w:val="0"/>
          <w:numId w:val="0"/>
        </w:numPr>
      </w:pPr>
      <w:bookmarkStart w:id="13" w:name="_Toc18647"/>
      <w:bookmarkStart w:id="14" w:name="_Toc198905489"/>
      <w:bookmarkStart w:id="15" w:name="_Toc167347533"/>
      <w:bookmarkStart w:id="16" w:name="_Toc23518"/>
      <w:r>
        <w:rPr>
          <w:rFonts w:hint="eastAsia"/>
        </w:rPr>
        <w:t>前   言</w:t>
      </w:r>
      <w:bookmarkEnd w:id="13"/>
      <w:bookmarkEnd w:id="14"/>
      <w:bookmarkEnd w:id="15"/>
      <w:bookmarkEnd w:id="16"/>
    </w:p>
    <w:p w14:paraId="5DF80F4F">
      <w:pPr>
        <w:ind w:firstLine="480"/>
        <w:rPr>
          <w:rFonts w:cs="Times New Roman"/>
        </w:rPr>
      </w:pPr>
      <w:r>
        <w:rPr>
          <w:rFonts w:cs="Times New Roman"/>
        </w:rPr>
        <w:t>本文件按照 GB/T 1.1-2020《标准化工作导则 第1部分:标准化文件的结构和起草规则》的规定起草。</w:t>
      </w:r>
    </w:p>
    <w:p w14:paraId="107028F0">
      <w:pPr>
        <w:ind w:firstLine="480"/>
        <w:rPr>
          <w:rFonts w:cs="Times New Roman"/>
        </w:rPr>
      </w:pPr>
      <w:r>
        <w:rPr>
          <w:rFonts w:cs="Times New Roman"/>
        </w:rPr>
        <w:t>请注意本文件的某些内容可能涉及专利。本文件的发布机构不承担识别专利的责任。</w:t>
      </w:r>
    </w:p>
    <w:p w14:paraId="39DF2D7E">
      <w:pPr>
        <w:ind w:firstLine="480"/>
        <w:rPr>
          <w:rFonts w:cs="Times New Roman"/>
        </w:rPr>
      </w:pPr>
      <w:r>
        <w:rPr>
          <w:rFonts w:cs="Times New Roman"/>
        </w:rPr>
        <w:t>本文件由XXX提出。</w:t>
      </w:r>
    </w:p>
    <w:p w14:paraId="41E11E5A">
      <w:pPr>
        <w:ind w:firstLine="480"/>
        <w:rPr>
          <w:rFonts w:cs="Times New Roman"/>
        </w:rPr>
      </w:pPr>
      <w:r>
        <w:rPr>
          <w:rFonts w:cs="Times New Roman"/>
        </w:rPr>
        <w:t>本文件由XXX归口。</w:t>
      </w:r>
    </w:p>
    <w:p w14:paraId="74564BE4">
      <w:pPr>
        <w:ind w:firstLine="480"/>
        <w:rPr>
          <w:rFonts w:cs="Times New Roman"/>
        </w:rPr>
      </w:pPr>
      <w:r>
        <w:rPr>
          <w:rFonts w:cs="Times New Roman"/>
        </w:rPr>
        <w:t>本文件起草单位:XXX、XXX。</w:t>
      </w:r>
    </w:p>
    <w:p w14:paraId="2DAA6AEE">
      <w:pPr>
        <w:ind w:firstLine="480"/>
        <w:rPr>
          <w:rFonts w:cs="Times New Roman"/>
        </w:rPr>
      </w:pPr>
      <w:r>
        <w:rPr>
          <w:rFonts w:cs="Times New Roman"/>
        </w:rPr>
        <w:t>本文件主要起草人:XXX。</w:t>
      </w:r>
    </w:p>
    <w:p w14:paraId="7DD50519">
      <w:pPr>
        <w:ind w:firstLine="480"/>
        <w:rPr>
          <w:rFonts w:cs="Times New Roman"/>
        </w:rPr>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r>
        <w:rPr>
          <w:rFonts w:cs="Times New Roman"/>
        </w:rPr>
        <w:br w:type="page"/>
      </w:r>
    </w:p>
    <w:p w14:paraId="70318BB6">
      <w:pPr>
        <w:ind w:firstLine="0" w:firstLineChars="0"/>
        <w:jc w:val="center"/>
        <w:rPr>
          <w:rFonts w:ascii="黑体" w:hAnsi="黑体" w:eastAsia="黑体" w:cs="黑体"/>
          <w:b/>
          <w:bCs/>
          <w:sz w:val="36"/>
          <w:szCs w:val="36"/>
        </w:rPr>
      </w:pPr>
      <w:bookmarkStart w:id="17" w:name="_Toc167347534"/>
      <w:bookmarkStart w:id="18" w:name="_Toc13160"/>
      <w:bookmarkStart w:id="19" w:name="_Toc13736"/>
      <w:bookmarkStart w:id="20" w:name="_Toc5240"/>
      <w:bookmarkStart w:id="21" w:name="_Toc15586"/>
      <w:bookmarkStart w:id="22" w:name="_Toc22691"/>
      <w:bookmarkStart w:id="23" w:name="_Toc28667"/>
      <w:bookmarkStart w:id="24" w:name="_Toc27440"/>
      <w:r>
        <w:rPr>
          <w:rFonts w:hint="eastAsia" w:ascii="黑体" w:hAnsi="黑体" w:eastAsia="黑体" w:cs="黑体"/>
          <w:b/>
          <w:bCs/>
          <w:sz w:val="36"/>
          <w:szCs w:val="36"/>
        </w:rPr>
        <w:t>高校实验室危险化学品全生命周期</w:t>
      </w:r>
      <w:bookmarkEnd w:id="17"/>
      <w:bookmarkEnd w:id="18"/>
      <w:bookmarkEnd w:id="19"/>
      <w:bookmarkEnd w:id="20"/>
      <w:bookmarkEnd w:id="21"/>
      <w:bookmarkEnd w:id="22"/>
    </w:p>
    <w:p w14:paraId="37C9BA3B">
      <w:pPr>
        <w:ind w:firstLine="0" w:firstLineChars="0"/>
        <w:jc w:val="center"/>
        <w:rPr>
          <w:rFonts w:ascii="黑体" w:hAnsi="黑体" w:eastAsia="黑体" w:cs="黑体"/>
          <w:b/>
          <w:bCs/>
          <w:sz w:val="36"/>
          <w:szCs w:val="36"/>
        </w:rPr>
      </w:pPr>
      <w:bookmarkStart w:id="25" w:name="_Toc5773"/>
      <w:bookmarkStart w:id="26" w:name="_Toc4026"/>
      <w:bookmarkStart w:id="27" w:name="_Toc11918"/>
      <w:bookmarkStart w:id="28" w:name="_Toc25185"/>
      <w:bookmarkStart w:id="29" w:name="_Toc167347535"/>
      <w:bookmarkStart w:id="30" w:name="_Toc6478"/>
      <w:r>
        <w:rPr>
          <w:rFonts w:hint="eastAsia" w:ascii="黑体" w:hAnsi="黑体" w:eastAsia="黑体" w:cs="黑体"/>
          <w:b/>
          <w:bCs/>
          <w:sz w:val="36"/>
          <w:szCs w:val="36"/>
        </w:rPr>
        <w:t>安全管理指南</w:t>
      </w:r>
      <w:bookmarkEnd w:id="23"/>
      <w:bookmarkEnd w:id="24"/>
      <w:bookmarkEnd w:id="25"/>
      <w:bookmarkEnd w:id="26"/>
      <w:bookmarkEnd w:id="27"/>
      <w:bookmarkEnd w:id="28"/>
      <w:bookmarkEnd w:id="29"/>
      <w:bookmarkEnd w:id="30"/>
    </w:p>
    <w:p w14:paraId="50FA3FAD">
      <w:pPr>
        <w:pStyle w:val="30"/>
        <w:numPr>
          <w:ilvl w:val="0"/>
          <w:numId w:val="2"/>
        </w:numPr>
        <w:adjustRightInd w:val="0"/>
        <w:snapToGrid w:val="0"/>
        <w:spacing w:before="240" w:beforeLines="100" w:after="240" w:afterLines="100" w:line="360" w:lineRule="exact"/>
        <w:ind w:left="0" w:firstLine="0" w:firstLineChars="0"/>
        <w:jc w:val="left"/>
        <w:outlineLvl w:val="0"/>
        <w:rPr>
          <w:rFonts w:hAnsi="黑体" w:eastAsia="黑体" w:cs="Times New Roman"/>
          <w:snapToGrid w:val="0"/>
          <w:kern w:val="0"/>
          <w:szCs w:val="21"/>
        </w:rPr>
      </w:pPr>
      <w:bookmarkStart w:id="31" w:name="_Toc198905490"/>
      <w:bookmarkStart w:id="32" w:name="_Toc167347536"/>
      <w:bookmarkStart w:id="33" w:name="_Toc8906"/>
      <w:bookmarkStart w:id="34" w:name="_Toc17426"/>
      <w:r>
        <w:rPr>
          <w:rFonts w:hint="eastAsia" w:hAnsi="黑体" w:eastAsia="黑体" w:cs="Times New Roman"/>
          <w:snapToGrid w:val="0"/>
          <w:kern w:val="0"/>
          <w:szCs w:val="21"/>
        </w:rPr>
        <w:t>范围</w:t>
      </w:r>
      <w:bookmarkEnd w:id="31"/>
      <w:bookmarkEnd w:id="32"/>
      <w:bookmarkEnd w:id="33"/>
      <w:bookmarkEnd w:id="34"/>
    </w:p>
    <w:p w14:paraId="2B69AC50">
      <w:pPr>
        <w:ind w:firstLine="420"/>
        <w:rPr>
          <w:rFonts w:ascii="宋体" w:hAnsi="宋体" w:cs="Times New Roman"/>
          <w:kern w:val="0"/>
          <w:sz w:val="21"/>
          <w:szCs w:val="21"/>
        </w:rPr>
      </w:pPr>
      <w:r>
        <w:rPr>
          <w:rFonts w:hint="eastAsia" w:ascii="宋体" w:hAnsi="宋体" w:cs="Times New Roman"/>
          <w:kern w:val="0"/>
          <w:sz w:val="21"/>
          <w:szCs w:val="21"/>
        </w:rPr>
        <w:t>本文件给出了高校实验室危险化学品采购、验收、储存、使用、处置等生命周期管理过程中涉及的组织及职责、流程管理等内容，阐述了危险化学品废弃物全过程管理的详细要求。为高校实验室危险化学品体系化、规范化安全管理提供依据。</w:t>
      </w:r>
    </w:p>
    <w:p w14:paraId="10043216">
      <w:pPr>
        <w:ind w:firstLine="420"/>
        <w:rPr>
          <w:rFonts w:ascii="宋体" w:hAnsi="宋体" w:cs="Times New Roman"/>
          <w:kern w:val="0"/>
          <w:sz w:val="21"/>
          <w:szCs w:val="21"/>
        </w:rPr>
      </w:pPr>
      <w:r>
        <w:rPr>
          <w:rFonts w:hint="eastAsia" w:ascii="宋体" w:hAnsi="宋体" w:cs="Times New Roman"/>
          <w:kern w:val="0"/>
          <w:sz w:val="21"/>
          <w:szCs w:val="21"/>
        </w:rPr>
        <w:t>本文件适用于高等学校、独立学院及成人高等学校中涉及使用危险化学品的实验室安全管理工作。</w:t>
      </w:r>
    </w:p>
    <w:p w14:paraId="0C02323D">
      <w:pPr>
        <w:pStyle w:val="30"/>
        <w:numPr>
          <w:ilvl w:val="0"/>
          <w:numId w:val="2"/>
        </w:numPr>
        <w:adjustRightInd w:val="0"/>
        <w:snapToGrid w:val="0"/>
        <w:spacing w:before="240" w:beforeLines="100" w:after="240" w:afterLines="100" w:line="360" w:lineRule="exact"/>
        <w:ind w:left="0" w:firstLine="0" w:firstLineChars="0"/>
        <w:jc w:val="left"/>
        <w:outlineLvl w:val="0"/>
        <w:rPr>
          <w:rFonts w:hAnsi="黑体" w:eastAsia="黑体" w:cs="Times New Roman"/>
          <w:snapToGrid w:val="0"/>
          <w:kern w:val="0"/>
          <w:szCs w:val="21"/>
        </w:rPr>
      </w:pPr>
      <w:bookmarkStart w:id="35" w:name="_Toc28342"/>
      <w:bookmarkStart w:id="36" w:name="_Toc198905491"/>
      <w:bookmarkStart w:id="37" w:name="_Toc167347537"/>
      <w:bookmarkStart w:id="38" w:name="_Toc14371"/>
      <w:r>
        <w:rPr>
          <w:rFonts w:hint="eastAsia" w:hAnsi="黑体" w:eastAsia="黑体" w:cs="Times New Roman"/>
          <w:snapToGrid w:val="0"/>
          <w:kern w:val="0"/>
          <w:szCs w:val="21"/>
        </w:rPr>
        <w:t>规范性引用文件</w:t>
      </w:r>
      <w:bookmarkEnd w:id="35"/>
      <w:bookmarkEnd w:id="36"/>
      <w:bookmarkEnd w:id="37"/>
      <w:bookmarkEnd w:id="38"/>
    </w:p>
    <w:p w14:paraId="4B4E0322">
      <w:pPr>
        <w:ind w:firstLine="420"/>
        <w:rPr>
          <w:rFonts w:cs="Times New Roman"/>
          <w:sz w:val="21"/>
          <w:szCs w:val="21"/>
        </w:rPr>
      </w:pPr>
      <w:r>
        <w:rPr>
          <w:rFonts w:cs="Times New Roman"/>
          <w:sz w:val="21"/>
          <w:szCs w:val="21"/>
        </w:rPr>
        <w:t>下列文件中的内容通过文中的规范性引用而构成本文件必不可少的条款。其中</w:t>
      </w:r>
      <w:r>
        <w:rPr>
          <w:rFonts w:hint="eastAsia" w:cs="Times New Roman"/>
          <w:sz w:val="21"/>
          <w:szCs w:val="21"/>
        </w:rPr>
        <w:t>，</w:t>
      </w:r>
      <w:r>
        <w:rPr>
          <w:rFonts w:cs="Times New Roman"/>
          <w:sz w:val="21"/>
          <w:szCs w:val="21"/>
        </w:rPr>
        <w:t>注日期的引用文件仅该注日期对应的版本适用于本文件</w:t>
      </w:r>
      <w:r>
        <w:rPr>
          <w:rFonts w:hint="eastAsia" w:cs="Times New Roman"/>
          <w:sz w:val="21"/>
          <w:szCs w:val="21"/>
        </w:rPr>
        <w:t>；</w:t>
      </w:r>
      <w:r>
        <w:rPr>
          <w:rFonts w:cs="Times New Roman"/>
          <w:sz w:val="21"/>
          <w:szCs w:val="21"/>
        </w:rPr>
        <w:t>不注日期的引用文件，其最新版本</w:t>
      </w:r>
      <w:r>
        <w:rPr>
          <w:rFonts w:hint="eastAsia" w:cs="Times New Roman"/>
          <w:sz w:val="21"/>
          <w:szCs w:val="21"/>
        </w:rPr>
        <w:t>（</w:t>
      </w:r>
      <w:r>
        <w:rPr>
          <w:rFonts w:cs="Times New Roman"/>
          <w:sz w:val="21"/>
          <w:szCs w:val="21"/>
        </w:rPr>
        <w:t>包括所有的修改单</w:t>
      </w:r>
      <w:r>
        <w:rPr>
          <w:rFonts w:cs="Times New Roman" w:asciiTheme="majorEastAsia" w:hAnsiTheme="majorEastAsia" w:eastAsiaTheme="majorEastAsia"/>
          <w:sz w:val="21"/>
          <w:szCs w:val="21"/>
        </w:rPr>
        <w:t>)</w:t>
      </w:r>
      <w:r>
        <w:rPr>
          <w:rFonts w:cs="Times New Roman"/>
          <w:sz w:val="21"/>
          <w:szCs w:val="21"/>
        </w:rPr>
        <w:t>适用于本文件。</w:t>
      </w:r>
    </w:p>
    <w:p w14:paraId="0ADB194E">
      <w:pPr>
        <w:ind w:firstLine="420"/>
        <w:rPr>
          <w:rFonts w:cs="Times New Roman"/>
          <w:sz w:val="21"/>
          <w:szCs w:val="21"/>
        </w:rPr>
      </w:pPr>
      <w:r>
        <w:rPr>
          <w:rFonts w:cs="Times New Roman"/>
          <w:sz w:val="21"/>
          <w:szCs w:val="21"/>
        </w:rPr>
        <w:t>GB 2894-2008  安全标志及其使用导则</w:t>
      </w:r>
    </w:p>
    <w:p w14:paraId="126672AC">
      <w:pPr>
        <w:ind w:firstLine="420"/>
        <w:rPr>
          <w:rFonts w:cs="Times New Roman"/>
          <w:sz w:val="21"/>
          <w:szCs w:val="21"/>
        </w:rPr>
      </w:pPr>
      <w:r>
        <w:rPr>
          <w:rFonts w:cs="Times New Roman"/>
          <w:sz w:val="21"/>
          <w:szCs w:val="21"/>
        </w:rPr>
        <w:t>GB 30000-2013  化学品分类和标签规范</w:t>
      </w:r>
    </w:p>
    <w:p w14:paraId="7F49DFD6">
      <w:pPr>
        <w:ind w:firstLine="420"/>
        <w:rPr>
          <w:rFonts w:cs="Times New Roman"/>
          <w:sz w:val="21"/>
          <w:szCs w:val="21"/>
        </w:rPr>
      </w:pPr>
      <w:r>
        <w:rPr>
          <w:rFonts w:hint="eastAsia"/>
          <w:sz w:val="21"/>
          <w:szCs w:val="21"/>
        </w:rPr>
        <w:t>GB 15258  化学品安全标签编写规定</w:t>
      </w:r>
    </w:p>
    <w:p w14:paraId="501D0D27">
      <w:pPr>
        <w:ind w:firstLine="420"/>
        <w:rPr>
          <w:rFonts w:cs="Times New Roman"/>
          <w:sz w:val="21"/>
          <w:szCs w:val="21"/>
        </w:rPr>
      </w:pPr>
      <w:r>
        <w:rPr>
          <w:rFonts w:cs="Times New Roman"/>
          <w:sz w:val="21"/>
          <w:szCs w:val="21"/>
        </w:rPr>
        <w:t>GB 12268</w:t>
      </w:r>
      <w:r>
        <w:rPr>
          <w:rFonts w:hint="eastAsia" w:cs="Times New Roman"/>
          <w:sz w:val="21"/>
          <w:szCs w:val="21"/>
        </w:rPr>
        <w:t xml:space="preserve">  </w:t>
      </w:r>
      <w:r>
        <w:rPr>
          <w:rFonts w:cs="Times New Roman"/>
          <w:sz w:val="21"/>
          <w:szCs w:val="21"/>
        </w:rPr>
        <w:t>危险货物品名表</w:t>
      </w:r>
    </w:p>
    <w:p w14:paraId="058E671D">
      <w:pPr>
        <w:ind w:firstLine="420"/>
        <w:rPr>
          <w:rFonts w:cs="Times New Roman"/>
          <w:sz w:val="21"/>
          <w:szCs w:val="21"/>
        </w:rPr>
      </w:pPr>
      <w:r>
        <w:rPr>
          <w:rFonts w:cs="Times New Roman"/>
          <w:sz w:val="21"/>
          <w:szCs w:val="21"/>
        </w:rPr>
        <w:t>GB 18218-2018  危险化学品重大危险源辨识</w:t>
      </w:r>
    </w:p>
    <w:p w14:paraId="43168420">
      <w:pPr>
        <w:ind w:firstLine="420"/>
        <w:rPr>
          <w:rFonts w:cs="Times New Roman"/>
          <w:sz w:val="21"/>
          <w:szCs w:val="21"/>
        </w:rPr>
      </w:pPr>
      <w:r>
        <w:rPr>
          <w:rFonts w:cs="Times New Roman"/>
          <w:sz w:val="21"/>
          <w:szCs w:val="21"/>
        </w:rPr>
        <w:t>GB 15603-2022  危险化学品仓库储存通则</w:t>
      </w:r>
    </w:p>
    <w:p w14:paraId="51D78921">
      <w:pPr>
        <w:ind w:firstLine="420"/>
        <w:rPr>
          <w:sz w:val="21"/>
          <w:szCs w:val="21"/>
        </w:rPr>
      </w:pPr>
      <w:r>
        <w:rPr>
          <w:sz w:val="21"/>
          <w:szCs w:val="21"/>
        </w:rPr>
        <w:t>GB 17565</w:t>
      </w:r>
      <w:r>
        <w:rPr>
          <w:rFonts w:hint="eastAsia"/>
          <w:sz w:val="21"/>
          <w:szCs w:val="21"/>
        </w:rPr>
        <w:t xml:space="preserve">  </w:t>
      </w:r>
      <w:r>
        <w:rPr>
          <w:sz w:val="21"/>
          <w:szCs w:val="21"/>
        </w:rPr>
        <w:t>防盗门国家标准</w:t>
      </w:r>
    </w:p>
    <w:p w14:paraId="54B49818">
      <w:pPr>
        <w:ind w:firstLine="420"/>
        <w:rPr>
          <w:sz w:val="21"/>
          <w:szCs w:val="21"/>
        </w:rPr>
      </w:pPr>
      <w:r>
        <w:rPr>
          <w:sz w:val="21"/>
          <w:szCs w:val="21"/>
        </w:rPr>
        <w:t>GA/T73</w:t>
      </w:r>
      <w:r>
        <w:rPr>
          <w:rFonts w:hint="eastAsia"/>
          <w:sz w:val="21"/>
          <w:szCs w:val="21"/>
        </w:rPr>
        <w:t xml:space="preserve">  </w:t>
      </w:r>
      <w:r>
        <w:rPr>
          <w:sz w:val="21"/>
          <w:szCs w:val="21"/>
        </w:rPr>
        <w:t>机械防盗锁</w:t>
      </w:r>
    </w:p>
    <w:p w14:paraId="2F3BBA25">
      <w:pPr>
        <w:ind w:firstLine="420"/>
        <w:rPr>
          <w:rFonts w:cs="Times New Roman"/>
          <w:sz w:val="21"/>
          <w:szCs w:val="21"/>
        </w:rPr>
      </w:pPr>
      <w:r>
        <w:rPr>
          <w:sz w:val="21"/>
          <w:szCs w:val="21"/>
        </w:rPr>
        <w:t>GB 10409</w:t>
      </w:r>
      <w:r>
        <w:rPr>
          <w:rFonts w:hint="eastAsia"/>
          <w:sz w:val="21"/>
          <w:szCs w:val="21"/>
        </w:rPr>
        <w:t xml:space="preserve">  </w:t>
      </w:r>
      <w:r>
        <w:rPr>
          <w:sz w:val="21"/>
          <w:szCs w:val="21"/>
        </w:rPr>
        <w:t>防盗保险柜</w:t>
      </w:r>
    </w:p>
    <w:p w14:paraId="2160E6B9">
      <w:pPr>
        <w:ind w:firstLine="420"/>
        <w:rPr>
          <w:rFonts w:cs="Times New Roman"/>
          <w:sz w:val="21"/>
          <w:szCs w:val="21"/>
        </w:rPr>
      </w:pPr>
      <w:r>
        <w:rPr>
          <w:rFonts w:cs="Times New Roman"/>
          <w:sz w:val="21"/>
          <w:szCs w:val="21"/>
        </w:rPr>
        <w:t>GA 1002-2012 剧毒化学品、放射源存放场所治安防范要求</w:t>
      </w:r>
    </w:p>
    <w:p w14:paraId="1D801369">
      <w:pPr>
        <w:ind w:firstLine="420"/>
        <w:rPr>
          <w:rFonts w:cs="Times New Roman"/>
          <w:sz w:val="21"/>
          <w:szCs w:val="21"/>
        </w:rPr>
      </w:pPr>
      <w:r>
        <w:rPr>
          <w:rFonts w:cs="Times New Roman"/>
          <w:sz w:val="21"/>
          <w:szCs w:val="21"/>
        </w:rPr>
        <w:t>GA 1511-2018 易制爆危险化学品储存场所治安防范要求</w:t>
      </w:r>
    </w:p>
    <w:p w14:paraId="55757291">
      <w:pPr>
        <w:ind w:firstLine="420"/>
        <w:rPr>
          <w:rFonts w:cs="Times New Roman"/>
          <w:sz w:val="21"/>
          <w:szCs w:val="21"/>
        </w:rPr>
      </w:pPr>
      <w:r>
        <w:rPr>
          <w:rFonts w:cs="Times New Roman"/>
          <w:sz w:val="21"/>
          <w:szCs w:val="21"/>
        </w:rPr>
        <w:t>GB/T 34525-2017 气瓶搬运、装卸、储存和使用安全规定</w:t>
      </w:r>
    </w:p>
    <w:p w14:paraId="15B91333">
      <w:pPr>
        <w:ind w:firstLine="420"/>
        <w:rPr>
          <w:sz w:val="21"/>
          <w:szCs w:val="21"/>
        </w:rPr>
      </w:pPr>
      <w:r>
        <w:rPr>
          <w:rFonts w:hint="eastAsia"/>
          <w:sz w:val="21"/>
          <w:szCs w:val="21"/>
        </w:rPr>
        <w:t>GB 7144  气瓶颜色标志</w:t>
      </w:r>
    </w:p>
    <w:p w14:paraId="78223BEE">
      <w:pPr>
        <w:ind w:firstLine="420"/>
        <w:rPr>
          <w:rFonts w:cs="Times New Roman"/>
          <w:sz w:val="21"/>
          <w:szCs w:val="21"/>
        </w:rPr>
      </w:pPr>
      <w:r>
        <w:rPr>
          <w:rFonts w:hint="eastAsia"/>
          <w:sz w:val="21"/>
          <w:szCs w:val="21"/>
        </w:rPr>
        <w:t>GB/T 16163  瓶装气体分类</w:t>
      </w:r>
    </w:p>
    <w:p w14:paraId="54620056">
      <w:pPr>
        <w:ind w:firstLine="420"/>
        <w:rPr>
          <w:rFonts w:cs="Times New Roman"/>
          <w:sz w:val="21"/>
          <w:szCs w:val="21"/>
        </w:rPr>
      </w:pPr>
      <w:r>
        <w:rPr>
          <w:rFonts w:cs="Times New Roman"/>
          <w:sz w:val="21"/>
          <w:szCs w:val="21"/>
        </w:rPr>
        <w:t>GB 39800.1-2020 个体防护装备配备规范  第1部分：总则</w:t>
      </w:r>
    </w:p>
    <w:p w14:paraId="4EB3CC37">
      <w:pPr>
        <w:ind w:firstLine="420"/>
        <w:rPr>
          <w:rFonts w:cs="Times New Roman"/>
          <w:sz w:val="21"/>
          <w:szCs w:val="21"/>
        </w:rPr>
      </w:pPr>
      <w:r>
        <w:rPr>
          <w:rFonts w:cs="Times New Roman"/>
          <w:sz w:val="21"/>
          <w:szCs w:val="21"/>
        </w:rPr>
        <w:t>GB 50016-201</w:t>
      </w:r>
      <w:r>
        <w:rPr>
          <w:rFonts w:hint="eastAsia" w:cs="Times New Roman"/>
          <w:sz w:val="21"/>
          <w:szCs w:val="21"/>
        </w:rPr>
        <w:t>8</w:t>
      </w:r>
      <w:r>
        <w:rPr>
          <w:rFonts w:cs="Times New Roman"/>
          <w:sz w:val="21"/>
          <w:szCs w:val="21"/>
        </w:rPr>
        <w:t xml:space="preserve"> 建筑设计防火规范</w:t>
      </w:r>
    </w:p>
    <w:p w14:paraId="62AE462D">
      <w:pPr>
        <w:ind w:firstLine="420"/>
        <w:rPr>
          <w:rFonts w:cs="Times New Roman"/>
          <w:sz w:val="21"/>
          <w:szCs w:val="21"/>
        </w:rPr>
      </w:pPr>
      <w:r>
        <w:rPr>
          <w:rFonts w:hint="eastAsia"/>
          <w:sz w:val="21"/>
          <w:szCs w:val="21"/>
        </w:rPr>
        <w:t>GB 50057-2019  建筑物防雷设计规范</w:t>
      </w:r>
    </w:p>
    <w:p w14:paraId="52C71146">
      <w:pPr>
        <w:ind w:firstLine="420"/>
        <w:rPr>
          <w:sz w:val="21"/>
          <w:szCs w:val="21"/>
        </w:rPr>
      </w:pPr>
      <w:r>
        <w:rPr>
          <w:rFonts w:hint="eastAsia"/>
          <w:sz w:val="21"/>
          <w:szCs w:val="21"/>
        </w:rPr>
        <w:t>GB T16483  化学品安全技术说明书内容和项目顺序</w:t>
      </w:r>
    </w:p>
    <w:p w14:paraId="39EE9DF8">
      <w:pPr>
        <w:ind w:firstLine="420"/>
        <w:rPr>
          <w:sz w:val="21"/>
          <w:szCs w:val="21"/>
        </w:rPr>
      </w:pPr>
      <w:r>
        <w:rPr>
          <w:rFonts w:hint="eastAsia"/>
          <w:sz w:val="21"/>
          <w:szCs w:val="21"/>
        </w:rPr>
        <w:t>GB15603-2022  危险化学品仓库储存通则</w:t>
      </w:r>
    </w:p>
    <w:p w14:paraId="122F1062">
      <w:pPr>
        <w:ind w:firstLine="420"/>
        <w:rPr>
          <w:rFonts w:cs="Times New Roman"/>
          <w:sz w:val="21"/>
          <w:szCs w:val="21"/>
        </w:rPr>
      </w:pPr>
      <w:r>
        <w:rPr>
          <w:rFonts w:cs="Times New Roman"/>
          <w:sz w:val="21"/>
          <w:szCs w:val="21"/>
        </w:rPr>
        <w:t>GB18597-2023 危险废物贮存污染控制标准</w:t>
      </w:r>
    </w:p>
    <w:p w14:paraId="3294388C">
      <w:pPr>
        <w:ind w:firstLine="420"/>
        <w:rPr>
          <w:sz w:val="21"/>
          <w:szCs w:val="21"/>
        </w:rPr>
      </w:pPr>
      <w:r>
        <w:rPr>
          <w:rFonts w:hint="eastAsia"/>
          <w:sz w:val="21"/>
          <w:szCs w:val="21"/>
        </w:rPr>
        <w:t>GB 17914  易燃易爆性商品储存养护技术条件</w:t>
      </w:r>
    </w:p>
    <w:p w14:paraId="7B4A2E7E">
      <w:pPr>
        <w:ind w:firstLine="420"/>
        <w:rPr>
          <w:sz w:val="21"/>
          <w:szCs w:val="21"/>
        </w:rPr>
      </w:pPr>
      <w:r>
        <w:rPr>
          <w:rFonts w:hint="eastAsia"/>
          <w:sz w:val="21"/>
          <w:szCs w:val="21"/>
        </w:rPr>
        <w:t>GB 17915  腐蚀性商品储存养护技术条件</w:t>
      </w:r>
    </w:p>
    <w:p w14:paraId="67E69D98">
      <w:pPr>
        <w:ind w:firstLine="420"/>
        <w:rPr>
          <w:sz w:val="21"/>
          <w:szCs w:val="21"/>
        </w:rPr>
      </w:pPr>
      <w:r>
        <w:rPr>
          <w:rFonts w:hint="eastAsia"/>
          <w:sz w:val="21"/>
          <w:szCs w:val="21"/>
        </w:rPr>
        <w:t>GB 17916  毒害性商品储存养护技术条件</w:t>
      </w:r>
    </w:p>
    <w:p w14:paraId="1538B9F2">
      <w:pPr>
        <w:ind w:firstLine="420"/>
        <w:rPr>
          <w:rFonts w:cs="Times New Roman"/>
          <w:sz w:val="21"/>
          <w:szCs w:val="21"/>
        </w:rPr>
      </w:pPr>
      <w:r>
        <w:rPr>
          <w:sz w:val="21"/>
          <w:szCs w:val="21"/>
        </w:rPr>
        <w:t xml:space="preserve">GB/T 31190 </w:t>
      </w:r>
      <w:r>
        <w:rPr>
          <w:rFonts w:hint="eastAsia"/>
          <w:sz w:val="21"/>
          <w:szCs w:val="21"/>
        </w:rPr>
        <w:t xml:space="preserve"> </w:t>
      </w:r>
      <w:r>
        <w:rPr>
          <w:sz w:val="21"/>
          <w:szCs w:val="21"/>
        </w:rPr>
        <w:t>实验室废弃化学品收集技术规范</w:t>
      </w:r>
    </w:p>
    <w:p w14:paraId="3C4237B4">
      <w:pPr>
        <w:ind w:firstLine="420"/>
        <w:rPr>
          <w:sz w:val="21"/>
          <w:szCs w:val="21"/>
        </w:rPr>
      </w:pPr>
      <w:r>
        <w:rPr>
          <w:sz w:val="21"/>
          <w:szCs w:val="21"/>
        </w:rPr>
        <w:t>GB 5085</w:t>
      </w:r>
      <w:r>
        <w:rPr>
          <w:rFonts w:hint="eastAsia"/>
          <w:sz w:val="21"/>
          <w:szCs w:val="21"/>
        </w:rPr>
        <w:t xml:space="preserve">  危险废物鉴别标准</w:t>
      </w:r>
    </w:p>
    <w:p w14:paraId="535FD679">
      <w:pPr>
        <w:ind w:firstLine="420"/>
        <w:rPr>
          <w:rFonts w:cs="Times New Roman"/>
          <w:sz w:val="21"/>
          <w:szCs w:val="21"/>
        </w:rPr>
      </w:pPr>
      <w:r>
        <w:rPr>
          <w:rFonts w:cs="Times New Roman"/>
          <w:sz w:val="21"/>
          <w:szCs w:val="21"/>
        </w:rPr>
        <w:t>GB/T 34696-2017  废弃化学品收集技术指南</w:t>
      </w:r>
    </w:p>
    <w:p w14:paraId="1EB3B0E2">
      <w:pPr>
        <w:pStyle w:val="30"/>
        <w:numPr>
          <w:ilvl w:val="0"/>
          <w:numId w:val="2"/>
        </w:numPr>
        <w:adjustRightInd w:val="0"/>
        <w:snapToGrid w:val="0"/>
        <w:spacing w:before="240" w:beforeLines="100" w:after="240" w:afterLines="100" w:line="360" w:lineRule="exact"/>
        <w:ind w:left="0" w:firstLine="0" w:firstLineChars="0"/>
        <w:jc w:val="left"/>
        <w:outlineLvl w:val="0"/>
        <w:rPr>
          <w:rFonts w:hAnsi="黑体" w:eastAsia="黑体" w:cs="Times New Roman"/>
          <w:snapToGrid w:val="0"/>
          <w:kern w:val="0"/>
          <w:szCs w:val="21"/>
        </w:rPr>
      </w:pPr>
      <w:bookmarkStart w:id="39" w:name="_Toc24128"/>
      <w:bookmarkStart w:id="40" w:name="_Toc2167"/>
      <w:bookmarkStart w:id="41" w:name="_Toc167347538"/>
      <w:bookmarkStart w:id="42" w:name="_Toc198905492"/>
      <w:r>
        <w:rPr>
          <w:rFonts w:hint="eastAsia" w:hAnsi="黑体" w:eastAsia="黑体" w:cs="Times New Roman"/>
          <w:snapToGrid w:val="0"/>
          <w:kern w:val="0"/>
          <w:szCs w:val="21"/>
        </w:rPr>
        <w:t>术语和定义</w:t>
      </w:r>
      <w:bookmarkEnd w:id="39"/>
      <w:bookmarkEnd w:id="40"/>
      <w:bookmarkEnd w:id="41"/>
      <w:bookmarkEnd w:id="42"/>
    </w:p>
    <w:p w14:paraId="6E95882B">
      <w:pPr>
        <w:ind w:firstLine="420"/>
        <w:rPr>
          <w:rFonts w:cs="Times New Roman"/>
          <w:sz w:val="21"/>
          <w:szCs w:val="21"/>
        </w:rPr>
      </w:pPr>
      <w:r>
        <w:rPr>
          <w:rFonts w:cs="Times New Roman"/>
          <w:sz w:val="21"/>
          <w:szCs w:val="21"/>
        </w:rPr>
        <w:t>下列术语和定义适用于本文件。</w:t>
      </w:r>
    </w:p>
    <w:p w14:paraId="7995D10E">
      <w:pPr>
        <w:spacing w:line="360" w:lineRule="auto"/>
        <w:ind w:firstLine="422"/>
        <w:rPr>
          <w:rFonts w:cs="Times New Roman"/>
          <w:b/>
          <w:bCs/>
          <w:sz w:val="21"/>
          <w:szCs w:val="21"/>
        </w:rPr>
      </w:pPr>
      <w:r>
        <w:rPr>
          <w:rFonts w:cs="Times New Roman"/>
          <w:b/>
          <w:bCs/>
          <w:sz w:val="21"/>
          <w:szCs w:val="21"/>
        </w:rPr>
        <w:t>危险化学</w:t>
      </w:r>
      <w:r>
        <w:rPr>
          <w:rFonts w:hint="eastAsia" w:cs="Times New Roman"/>
          <w:b/>
          <w:bCs/>
          <w:sz w:val="21"/>
          <w:szCs w:val="21"/>
        </w:rPr>
        <w:t xml:space="preserve">品 </w:t>
      </w:r>
      <w:r>
        <w:rPr>
          <w:rFonts w:cs="Times New Roman"/>
          <w:b/>
          <w:bCs/>
          <w:sz w:val="21"/>
          <w:szCs w:val="21"/>
        </w:rPr>
        <w:t>hazardous chemicals</w:t>
      </w:r>
    </w:p>
    <w:p w14:paraId="0381F49C">
      <w:pPr>
        <w:ind w:firstLine="420"/>
        <w:rPr>
          <w:rFonts w:cs="Times New Roman"/>
          <w:sz w:val="21"/>
          <w:szCs w:val="21"/>
        </w:rPr>
      </w:pPr>
      <w:r>
        <w:rPr>
          <w:rFonts w:cs="Times New Roman"/>
          <w:sz w:val="21"/>
          <w:szCs w:val="21"/>
        </w:rPr>
        <w:t>具有毒害、腐蚀、爆炸、燃烧、助燃等性质</w:t>
      </w:r>
      <w:r>
        <w:rPr>
          <w:rFonts w:hint="eastAsia" w:cs="Times New Roman"/>
          <w:sz w:val="21"/>
          <w:szCs w:val="21"/>
        </w:rPr>
        <w:t>，</w:t>
      </w:r>
      <w:r>
        <w:rPr>
          <w:rFonts w:cs="Times New Roman"/>
          <w:sz w:val="21"/>
          <w:szCs w:val="21"/>
        </w:rPr>
        <w:t>对人体、设施</w:t>
      </w:r>
      <w:r>
        <w:rPr>
          <w:rFonts w:hint="eastAsia" w:cs="Times New Roman"/>
          <w:sz w:val="21"/>
          <w:szCs w:val="21"/>
        </w:rPr>
        <w:t>，</w:t>
      </w:r>
      <w:r>
        <w:rPr>
          <w:rFonts w:cs="Times New Roman"/>
          <w:sz w:val="21"/>
          <w:szCs w:val="21"/>
        </w:rPr>
        <w:t>环境具有危害的剧毒化学品和其他化学品</w:t>
      </w:r>
    </w:p>
    <w:p w14:paraId="2B91B527">
      <w:pPr>
        <w:ind w:firstLine="420"/>
        <w:rPr>
          <w:rFonts w:cs="Times New Roman"/>
          <w:sz w:val="21"/>
          <w:szCs w:val="21"/>
        </w:rPr>
      </w:pPr>
      <w:r>
        <w:rPr>
          <w:rFonts w:cs="Times New Roman"/>
          <w:sz w:val="21"/>
          <w:szCs w:val="21"/>
        </w:rPr>
        <w:t>[来源</w:t>
      </w:r>
      <w:r>
        <w:rPr>
          <w:rFonts w:hint="eastAsia" w:cs="Times New Roman"/>
          <w:sz w:val="21"/>
          <w:szCs w:val="21"/>
        </w:rPr>
        <w:t>：</w:t>
      </w:r>
      <w:r>
        <w:rPr>
          <w:rFonts w:cs="Times New Roman"/>
          <w:sz w:val="21"/>
          <w:szCs w:val="21"/>
        </w:rPr>
        <w:t>GB18218-2018,3.1]</w:t>
      </w:r>
    </w:p>
    <w:p w14:paraId="0FDF60A7">
      <w:pPr>
        <w:spacing w:line="360" w:lineRule="auto"/>
        <w:ind w:firstLine="422"/>
        <w:rPr>
          <w:rFonts w:cs="Times New Roman"/>
          <w:b/>
          <w:bCs/>
          <w:sz w:val="21"/>
          <w:szCs w:val="21"/>
        </w:rPr>
      </w:pPr>
      <w:r>
        <w:rPr>
          <w:rFonts w:cs="Times New Roman"/>
          <w:b/>
          <w:bCs/>
          <w:sz w:val="21"/>
          <w:szCs w:val="21"/>
        </w:rPr>
        <w:t>贮存</w:t>
      </w:r>
      <w:r>
        <w:rPr>
          <w:rFonts w:hint="eastAsia" w:cs="Times New Roman"/>
          <w:b/>
          <w:bCs/>
          <w:sz w:val="21"/>
          <w:szCs w:val="21"/>
        </w:rPr>
        <w:t xml:space="preserve"> </w:t>
      </w:r>
      <w:r>
        <w:rPr>
          <w:rFonts w:cs="Times New Roman"/>
          <w:b/>
          <w:bCs/>
          <w:sz w:val="21"/>
          <w:szCs w:val="21"/>
        </w:rPr>
        <w:t>storage</w:t>
      </w:r>
    </w:p>
    <w:p w14:paraId="078BA516">
      <w:pPr>
        <w:ind w:firstLine="420"/>
        <w:rPr>
          <w:rFonts w:cs="Times New Roman"/>
          <w:sz w:val="21"/>
          <w:szCs w:val="21"/>
        </w:rPr>
      </w:pPr>
      <w:r>
        <w:rPr>
          <w:rFonts w:cs="Times New Roman"/>
          <w:sz w:val="21"/>
          <w:szCs w:val="21"/>
        </w:rPr>
        <w:t>将危险废物临时置于特定设施或者场所中的活动。将危险化学品废弃物集中存放于单位内部符合国家相关标准要求和技术规范的专用场所或设施内的活动。</w:t>
      </w:r>
    </w:p>
    <w:p w14:paraId="1348FC3C">
      <w:pPr>
        <w:ind w:firstLine="420"/>
        <w:rPr>
          <w:rFonts w:cs="Times New Roman"/>
          <w:sz w:val="21"/>
          <w:szCs w:val="21"/>
        </w:rPr>
      </w:pPr>
      <w:r>
        <w:rPr>
          <w:rFonts w:hint="eastAsia" w:cs="Times New Roman"/>
          <w:sz w:val="21"/>
          <w:szCs w:val="21"/>
        </w:rPr>
        <w:t>[</w:t>
      </w:r>
      <w:r>
        <w:rPr>
          <w:rFonts w:cs="Times New Roman"/>
          <w:sz w:val="21"/>
          <w:szCs w:val="21"/>
        </w:rPr>
        <w:t>来源：GB 18597—2023</w:t>
      </w:r>
      <w:r>
        <w:rPr>
          <w:rFonts w:hint="eastAsia" w:cs="Times New Roman"/>
          <w:sz w:val="21"/>
          <w:szCs w:val="21"/>
        </w:rPr>
        <w:t>,5.23]</w:t>
      </w:r>
    </w:p>
    <w:p w14:paraId="720148F5">
      <w:pPr>
        <w:spacing w:line="360" w:lineRule="auto"/>
        <w:ind w:firstLine="422"/>
        <w:rPr>
          <w:rFonts w:cs="Times New Roman"/>
          <w:b/>
          <w:bCs/>
          <w:sz w:val="21"/>
          <w:szCs w:val="21"/>
        </w:rPr>
      </w:pPr>
      <w:r>
        <w:rPr>
          <w:rFonts w:cs="Times New Roman"/>
          <w:b/>
          <w:bCs/>
          <w:sz w:val="21"/>
          <w:szCs w:val="21"/>
        </w:rPr>
        <w:t>化学品安全技术说明书 safety data sheet for chemical products</w:t>
      </w:r>
    </w:p>
    <w:p w14:paraId="3658E3ED">
      <w:pPr>
        <w:ind w:firstLine="420"/>
        <w:rPr>
          <w:rFonts w:cs="Times New Roman"/>
          <w:sz w:val="21"/>
          <w:szCs w:val="21"/>
        </w:rPr>
      </w:pPr>
      <w:r>
        <w:rPr>
          <w:rFonts w:cs="Times New Roman"/>
          <w:sz w:val="21"/>
          <w:szCs w:val="21"/>
        </w:rPr>
        <w:t>由化学品生产企业提供的在安全、健康和环境保护等方面的信息，是化学品的供应商向下游用户传递化学品基本危害信息的一种载体。主要包括化学品及企业标识、危险性概述、成分/组成信息、急救措施、消防措施、泄漏应急处理、操作处置与储存、接触控制和个体防护、理化特性、稳定性和反应性、毒理学信息、生态学信息、废弃处置、运输信息、法规信息和其他信息等16部分内容。</w:t>
      </w:r>
    </w:p>
    <w:p w14:paraId="0B2CDDEE">
      <w:pPr>
        <w:ind w:firstLine="420"/>
        <w:rPr>
          <w:rFonts w:cs="Times New Roman"/>
          <w:sz w:val="21"/>
          <w:szCs w:val="21"/>
        </w:rPr>
      </w:pPr>
      <w:r>
        <w:rPr>
          <w:rFonts w:hint="eastAsia" w:cs="Times New Roman"/>
          <w:sz w:val="21"/>
          <w:szCs w:val="21"/>
        </w:rPr>
        <w:t>[来源：GB/T 17519-2013,9.6 ]</w:t>
      </w:r>
    </w:p>
    <w:p w14:paraId="534ABD57">
      <w:pPr>
        <w:spacing w:line="360" w:lineRule="auto"/>
        <w:ind w:firstLine="422"/>
        <w:rPr>
          <w:rFonts w:cs="Times New Roman"/>
          <w:b/>
          <w:bCs/>
          <w:sz w:val="21"/>
          <w:szCs w:val="21"/>
        </w:rPr>
      </w:pPr>
      <w:r>
        <w:rPr>
          <w:rFonts w:hint="eastAsia" w:cs="Times New Roman"/>
          <w:b/>
          <w:bCs/>
          <w:sz w:val="21"/>
          <w:szCs w:val="21"/>
        </w:rPr>
        <w:t>运输 transportation</w:t>
      </w:r>
    </w:p>
    <w:p w14:paraId="754E9030">
      <w:pPr>
        <w:ind w:firstLine="420"/>
        <w:rPr>
          <w:rFonts w:cs="Times New Roman"/>
          <w:sz w:val="21"/>
          <w:szCs w:val="21"/>
        </w:rPr>
      </w:pPr>
      <w:r>
        <w:rPr>
          <w:rFonts w:hint="eastAsia" w:cs="Times New Roman"/>
          <w:sz w:val="21"/>
          <w:szCs w:val="21"/>
        </w:rPr>
        <w:t>指使用专门的交通工具，通过、铁路或公路转移危险化学品的过程。</w:t>
      </w:r>
    </w:p>
    <w:p w14:paraId="61FE7C9E">
      <w:pPr>
        <w:ind w:firstLine="420"/>
        <w:rPr>
          <w:rFonts w:cs="Times New Roman"/>
          <w:sz w:val="21"/>
          <w:szCs w:val="21"/>
        </w:rPr>
      </w:pPr>
      <w:r>
        <w:rPr>
          <w:rFonts w:hint="eastAsia" w:cs="Times New Roman"/>
          <w:sz w:val="21"/>
          <w:szCs w:val="21"/>
        </w:rPr>
        <w:t>[来源：GB/T 39652.1-2021,4.30]</w:t>
      </w:r>
    </w:p>
    <w:p w14:paraId="7AFFAAE9">
      <w:pPr>
        <w:spacing w:line="360" w:lineRule="auto"/>
        <w:ind w:firstLine="422"/>
        <w:rPr>
          <w:rFonts w:cs="Times New Roman"/>
          <w:sz w:val="21"/>
          <w:szCs w:val="21"/>
        </w:rPr>
      </w:pPr>
      <w:r>
        <w:rPr>
          <w:rFonts w:cs="Times New Roman"/>
          <w:b/>
          <w:bCs/>
          <w:sz w:val="21"/>
          <w:szCs w:val="21"/>
        </w:rPr>
        <w:t>包装 packing</w:t>
      </w:r>
    </w:p>
    <w:p w14:paraId="3D4CB3F7">
      <w:pPr>
        <w:adjustRightInd w:val="0"/>
        <w:snapToGrid w:val="0"/>
        <w:ind w:firstLine="420"/>
        <w:rPr>
          <w:rFonts w:cs="Times New Roman"/>
          <w:sz w:val="21"/>
          <w:szCs w:val="21"/>
        </w:rPr>
      </w:pPr>
      <w:r>
        <w:rPr>
          <w:rFonts w:cs="Times New Roman"/>
          <w:sz w:val="21"/>
          <w:szCs w:val="21"/>
        </w:rPr>
        <w:t>一个或多个容器以及</w:t>
      </w:r>
      <w:r>
        <w:rPr>
          <w:rFonts w:hint="eastAsia" w:cs="Times New Roman"/>
          <w:snapToGrid w:val="0"/>
          <w:kern w:val="0"/>
          <w:sz w:val="21"/>
          <w:szCs w:val="21"/>
        </w:rPr>
        <w:t>容器</w:t>
      </w:r>
      <w:r>
        <w:rPr>
          <w:rFonts w:cs="Times New Roman"/>
          <w:sz w:val="21"/>
          <w:szCs w:val="21"/>
        </w:rPr>
        <w:t>中起到包容和其他安全功能所需的任何其他部件或材料。</w:t>
      </w:r>
    </w:p>
    <w:p w14:paraId="42A0E65E">
      <w:pPr>
        <w:ind w:firstLine="420"/>
        <w:rPr>
          <w:rFonts w:cs="Times New Roman"/>
          <w:sz w:val="21"/>
          <w:szCs w:val="21"/>
        </w:rPr>
      </w:pPr>
      <w:r>
        <w:rPr>
          <w:rFonts w:cs="Times New Roman"/>
          <w:sz w:val="21"/>
          <w:szCs w:val="21"/>
        </w:rPr>
        <w:t>[来源</w:t>
      </w:r>
      <w:r>
        <w:rPr>
          <w:rFonts w:hint="eastAsia" w:cs="Times New Roman"/>
          <w:sz w:val="21"/>
          <w:szCs w:val="21"/>
        </w:rPr>
        <w:t>：</w:t>
      </w:r>
      <w:r>
        <w:rPr>
          <w:rFonts w:cs="Times New Roman"/>
          <w:sz w:val="21"/>
          <w:szCs w:val="21"/>
        </w:rPr>
        <w:t>GB 11806-2019,3.19]</w:t>
      </w:r>
    </w:p>
    <w:p w14:paraId="31B2839C">
      <w:pPr>
        <w:spacing w:line="360" w:lineRule="auto"/>
        <w:ind w:firstLine="422"/>
        <w:rPr>
          <w:rFonts w:cs="Times New Roman"/>
          <w:b/>
          <w:bCs/>
          <w:sz w:val="21"/>
          <w:szCs w:val="21"/>
        </w:rPr>
      </w:pPr>
      <w:r>
        <w:rPr>
          <w:rFonts w:cs="Times New Roman"/>
          <w:b/>
          <w:bCs/>
          <w:sz w:val="21"/>
          <w:szCs w:val="21"/>
        </w:rPr>
        <w:t>危险废物 hazardous waste</w:t>
      </w:r>
    </w:p>
    <w:p w14:paraId="286FBAE2">
      <w:pPr>
        <w:adjustRightInd w:val="0"/>
        <w:snapToGrid w:val="0"/>
        <w:ind w:firstLine="420"/>
        <w:rPr>
          <w:rFonts w:cs="Times New Roman"/>
          <w:snapToGrid w:val="0"/>
          <w:kern w:val="0"/>
          <w:sz w:val="21"/>
          <w:szCs w:val="21"/>
        </w:rPr>
      </w:pPr>
      <w:r>
        <w:rPr>
          <w:rFonts w:hint="eastAsia" w:cs="Times New Roman"/>
          <w:snapToGrid w:val="0"/>
          <w:kern w:val="0"/>
          <w:sz w:val="21"/>
          <w:szCs w:val="21"/>
        </w:rPr>
        <w:t>列入国家危险废物名录或者根据国家规定的危险废物鉴别标准和鉴别方法认定的具有危险特性的固体废物。</w:t>
      </w:r>
    </w:p>
    <w:p w14:paraId="61614751">
      <w:pPr>
        <w:ind w:firstLine="420"/>
        <w:rPr>
          <w:rFonts w:cs="Times New Roman"/>
          <w:sz w:val="21"/>
          <w:szCs w:val="21"/>
        </w:rPr>
      </w:pPr>
      <w:r>
        <w:rPr>
          <w:rFonts w:cs="Times New Roman"/>
          <w:sz w:val="21"/>
          <w:szCs w:val="21"/>
        </w:rPr>
        <w:t>[来源</w:t>
      </w:r>
      <w:r>
        <w:rPr>
          <w:rFonts w:hint="eastAsia" w:cs="Times New Roman"/>
          <w:sz w:val="21"/>
          <w:szCs w:val="21"/>
        </w:rPr>
        <w:t>：</w:t>
      </w:r>
      <w:r>
        <w:rPr>
          <w:rFonts w:cs="Times New Roman"/>
          <w:sz w:val="21"/>
          <w:szCs w:val="21"/>
        </w:rPr>
        <w:t>GB 1</w:t>
      </w:r>
      <w:r>
        <w:rPr>
          <w:rFonts w:hint="eastAsia" w:cs="Times New Roman"/>
          <w:sz w:val="21"/>
          <w:szCs w:val="21"/>
        </w:rPr>
        <w:t>8597-2023</w:t>
      </w:r>
      <w:r>
        <w:rPr>
          <w:rFonts w:cs="Times New Roman"/>
          <w:sz w:val="21"/>
          <w:szCs w:val="21"/>
        </w:rPr>
        <w:t>]</w:t>
      </w:r>
    </w:p>
    <w:p w14:paraId="6BF9D8BF">
      <w:pPr>
        <w:spacing w:line="360" w:lineRule="auto"/>
        <w:ind w:firstLine="422"/>
        <w:rPr>
          <w:rFonts w:eastAsia="黑体" w:cs="Times New Roman"/>
          <w:b/>
          <w:bCs/>
          <w:kern w:val="0"/>
          <w:sz w:val="21"/>
          <w:szCs w:val="21"/>
        </w:rPr>
      </w:pPr>
      <w:r>
        <w:rPr>
          <w:rFonts w:hint="eastAsia" w:eastAsia="黑体" w:cs="Times New Roman"/>
          <w:b/>
          <w:bCs/>
          <w:kern w:val="0"/>
          <w:sz w:val="21"/>
          <w:szCs w:val="21"/>
        </w:rPr>
        <w:t>相容</w:t>
      </w:r>
      <w:r>
        <w:rPr>
          <w:rFonts w:eastAsia="黑体" w:cs="Times New Roman"/>
          <w:b/>
          <w:bCs/>
          <w:kern w:val="0"/>
          <w:sz w:val="21"/>
          <w:szCs w:val="21"/>
        </w:rPr>
        <w:t xml:space="preserve"> compatibility</w:t>
      </w:r>
    </w:p>
    <w:p w14:paraId="6AFD0DEC">
      <w:pPr>
        <w:adjustRightInd w:val="0"/>
        <w:snapToGrid w:val="0"/>
        <w:ind w:firstLine="420"/>
        <w:rPr>
          <w:rFonts w:cs="Times New Roman"/>
          <w:snapToGrid w:val="0"/>
          <w:kern w:val="0"/>
          <w:sz w:val="21"/>
          <w:szCs w:val="21"/>
        </w:rPr>
      </w:pPr>
      <w:r>
        <w:rPr>
          <w:rFonts w:hint="eastAsia" w:cs="Times New Roman"/>
          <w:snapToGrid w:val="0"/>
          <w:kern w:val="0"/>
          <w:sz w:val="21"/>
          <w:szCs w:val="21"/>
        </w:rPr>
        <w:t>某种危险废物同其他危险废物或其他物质、材料接触时不会产生有害物质，不发生其他可能对危险废物贮存产生不利影响的化学反应和物理变化。</w:t>
      </w:r>
    </w:p>
    <w:p w14:paraId="090BFE5D">
      <w:pPr>
        <w:ind w:firstLine="420"/>
        <w:rPr>
          <w:rFonts w:cs="Times New Roman"/>
          <w:sz w:val="21"/>
          <w:szCs w:val="21"/>
        </w:rPr>
      </w:pPr>
      <w:r>
        <w:rPr>
          <w:rFonts w:cs="Times New Roman"/>
          <w:sz w:val="21"/>
          <w:szCs w:val="21"/>
        </w:rPr>
        <w:t>[来源</w:t>
      </w:r>
      <w:r>
        <w:rPr>
          <w:rFonts w:hint="eastAsia" w:cs="Times New Roman"/>
          <w:sz w:val="21"/>
          <w:szCs w:val="21"/>
        </w:rPr>
        <w:t>：</w:t>
      </w:r>
      <w:r>
        <w:rPr>
          <w:rFonts w:cs="Times New Roman"/>
          <w:sz w:val="21"/>
          <w:szCs w:val="21"/>
        </w:rPr>
        <w:t xml:space="preserve">GB </w:t>
      </w:r>
      <w:r>
        <w:rPr>
          <w:rFonts w:hint="eastAsia" w:cs="Times New Roman"/>
          <w:sz w:val="21"/>
          <w:szCs w:val="21"/>
        </w:rPr>
        <w:t>18597-2023</w:t>
      </w:r>
      <w:r>
        <w:rPr>
          <w:rFonts w:cs="Times New Roman"/>
          <w:sz w:val="21"/>
          <w:szCs w:val="21"/>
        </w:rPr>
        <w:t>]</w:t>
      </w:r>
    </w:p>
    <w:p w14:paraId="2C29F15B">
      <w:pPr>
        <w:spacing w:line="360" w:lineRule="auto"/>
        <w:ind w:firstLine="422"/>
        <w:rPr>
          <w:rFonts w:cs="Times New Roman"/>
          <w:b/>
          <w:bCs/>
          <w:sz w:val="21"/>
          <w:szCs w:val="21"/>
        </w:rPr>
      </w:pPr>
      <w:r>
        <w:rPr>
          <w:rFonts w:hint="eastAsia" w:cs="Times New Roman"/>
          <w:b/>
          <w:bCs/>
          <w:sz w:val="21"/>
          <w:szCs w:val="21"/>
        </w:rPr>
        <w:t>贮存点</w:t>
      </w:r>
      <w:r>
        <w:rPr>
          <w:rFonts w:cs="Times New Roman"/>
          <w:b/>
          <w:bCs/>
          <w:sz w:val="21"/>
          <w:szCs w:val="21"/>
        </w:rPr>
        <w:t xml:space="preserve"> storage spot </w:t>
      </w:r>
    </w:p>
    <w:p w14:paraId="601CF30B">
      <w:pPr>
        <w:adjustRightInd w:val="0"/>
        <w:snapToGrid w:val="0"/>
        <w:ind w:firstLine="420"/>
        <w:rPr>
          <w:rFonts w:cs="Times New Roman"/>
          <w:snapToGrid w:val="0"/>
          <w:kern w:val="0"/>
          <w:sz w:val="21"/>
          <w:szCs w:val="21"/>
        </w:rPr>
      </w:pPr>
      <w:r>
        <w:rPr>
          <w:rFonts w:cs="Times New Roman"/>
          <w:snapToGrid w:val="0"/>
          <w:kern w:val="0"/>
          <w:sz w:val="21"/>
          <w:szCs w:val="21"/>
        </w:rPr>
        <w:t xml:space="preserve">HJ 1259 </w:t>
      </w:r>
      <w:r>
        <w:rPr>
          <w:rFonts w:hint="eastAsia" w:cs="Times New Roman"/>
          <w:snapToGrid w:val="0"/>
          <w:kern w:val="0"/>
          <w:sz w:val="21"/>
          <w:szCs w:val="21"/>
        </w:rPr>
        <w:t>规定的纳入危险废物登记管理单位的，用于同一生产经营场所专门贮存危险废物的场所；</w:t>
      </w:r>
      <w:r>
        <w:rPr>
          <w:rFonts w:cs="Times New Roman"/>
          <w:snapToGrid w:val="0"/>
          <w:kern w:val="0"/>
          <w:sz w:val="21"/>
          <w:szCs w:val="21"/>
        </w:rPr>
        <w:t xml:space="preserve"> </w:t>
      </w:r>
      <w:r>
        <w:rPr>
          <w:rFonts w:hint="eastAsia" w:cs="Times New Roman"/>
          <w:snapToGrid w:val="0"/>
          <w:kern w:val="0"/>
          <w:sz w:val="21"/>
          <w:szCs w:val="21"/>
        </w:rPr>
        <w:t>或产生危险废物的单位设置于生产线附近，用于暂时贮存以便于中转其产生的危险废物的场所。</w:t>
      </w:r>
    </w:p>
    <w:p w14:paraId="51A4D5AC">
      <w:pPr>
        <w:ind w:firstLine="420"/>
        <w:rPr>
          <w:rFonts w:cs="Times New Roman"/>
          <w:sz w:val="21"/>
          <w:szCs w:val="21"/>
        </w:rPr>
      </w:pPr>
      <w:r>
        <w:rPr>
          <w:rFonts w:cs="Times New Roman"/>
          <w:sz w:val="21"/>
          <w:szCs w:val="21"/>
        </w:rPr>
        <w:t>[来源</w:t>
      </w:r>
      <w:r>
        <w:rPr>
          <w:rFonts w:hint="eastAsia" w:cs="Times New Roman"/>
          <w:sz w:val="21"/>
          <w:szCs w:val="21"/>
        </w:rPr>
        <w:t>：</w:t>
      </w:r>
      <w:r>
        <w:rPr>
          <w:rFonts w:cs="Times New Roman"/>
          <w:sz w:val="21"/>
          <w:szCs w:val="21"/>
        </w:rPr>
        <w:t xml:space="preserve">GB </w:t>
      </w:r>
      <w:r>
        <w:rPr>
          <w:rFonts w:hint="eastAsia" w:cs="Times New Roman"/>
          <w:sz w:val="21"/>
          <w:szCs w:val="21"/>
        </w:rPr>
        <w:t>18597-2023</w:t>
      </w:r>
      <w:r>
        <w:rPr>
          <w:rFonts w:cs="Times New Roman"/>
          <w:sz w:val="21"/>
          <w:szCs w:val="21"/>
        </w:rPr>
        <w:t>]</w:t>
      </w:r>
    </w:p>
    <w:p w14:paraId="3BA5F7CF">
      <w:pPr>
        <w:spacing w:line="360" w:lineRule="auto"/>
        <w:ind w:firstLine="422"/>
        <w:rPr>
          <w:rFonts w:cs="Times New Roman"/>
          <w:b/>
          <w:bCs/>
          <w:sz w:val="21"/>
          <w:szCs w:val="21"/>
        </w:rPr>
      </w:pPr>
      <w:r>
        <w:rPr>
          <w:rFonts w:hint="eastAsia" w:cs="Times New Roman"/>
          <w:b/>
          <w:bCs/>
          <w:sz w:val="21"/>
          <w:szCs w:val="21"/>
        </w:rPr>
        <w:t>贮存库</w:t>
      </w:r>
      <w:r>
        <w:rPr>
          <w:rFonts w:cs="Times New Roman"/>
          <w:b/>
          <w:bCs/>
          <w:sz w:val="21"/>
          <w:szCs w:val="21"/>
        </w:rPr>
        <w:t xml:space="preserve"> storage warehouse </w:t>
      </w:r>
    </w:p>
    <w:p w14:paraId="69208F3F">
      <w:pPr>
        <w:adjustRightInd w:val="0"/>
        <w:snapToGrid w:val="0"/>
        <w:ind w:firstLine="420"/>
        <w:rPr>
          <w:rFonts w:cs="Times New Roman"/>
          <w:snapToGrid w:val="0"/>
          <w:kern w:val="0"/>
          <w:sz w:val="21"/>
          <w:szCs w:val="21"/>
        </w:rPr>
      </w:pPr>
      <w:r>
        <w:rPr>
          <w:rFonts w:hint="eastAsia" w:cs="Times New Roman"/>
          <w:snapToGrid w:val="0"/>
          <w:kern w:val="0"/>
          <w:sz w:val="21"/>
          <w:szCs w:val="21"/>
        </w:rPr>
        <w:t>用于贮存一种或多种类别、形态危险废物的仓库式贮存设施。</w:t>
      </w:r>
    </w:p>
    <w:p w14:paraId="212455EE">
      <w:pPr>
        <w:spacing w:line="240" w:lineRule="auto"/>
        <w:ind w:firstLine="420"/>
        <w:rPr>
          <w:rFonts w:cs="Times New Roman"/>
          <w:snapToGrid w:val="0"/>
          <w:kern w:val="0"/>
          <w:sz w:val="21"/>
          <w:szCs w:val="21"/>
        </w:rPr>
      </w:pPr>
      <w:r>
        <w:rPr>
          <w:rFonts w:cs="Times New Roman"/>
          <w:sz w:val="21"/>
          <w:szCs w:val="21"/>
        </w:rPr>
        <w:t>[来源</w:t>
      </w:r>
      <w:r>
        <w:rPr>
          <w:rFonts w:hint="eastAsia" w:cs="Times New Roman"/>
          <w:sz w:val="21"/>
          <w:szCs w:val="21"/>
        </w:rPr>
        <w:t>：</w:t>
      </w:r>
      <w:r>
        <w:rPr>
          <w:rFonts w:cs="Times New Roman"/>
          <w:sz w:val="21"/>
          <w:szCs w:val="21"/>
        </w:rPr>
        <w:t>GB 1</w:t>
      </w:r>
      <w:r>
        <w:rPr>
          <w:rFonts w:hint="eastAsia" w:cs="Times New Roman"/>
          <w:sz w:val="21"/>
          <w:szCs w:val="21"/>
        </w:rPr>
        <w:t>8597-2023</w:t>
      </w:r>
      <w:r>
        <w:rPr>
          <w:rFonts w:cs="Times New Roman"/>
          <w:sz w:val="21"/>
          <w:szCs w:val="21"/>
        </w:rPr>
        <w:t>]</w:t>
      </w:r>
    </w:p>
    <w:p w14:paraId="0A015079">
      <w:pPr>
        <w:pStyle w:val="30"/>
        <w:numPr>
          <w:ilvl w:val="0"/>
          <w:numId w:val="2"/>
        </w:numPr>
        <w:adjustRightInd w:val="0"/>
        <w:snapToGrid w:val="0"/>
        <w:spacing w:before="240" w:beforeLines="100" w:after="240" w:afterLines="100" w:line="360" w:lineRule="exact"/>
        <w:ind w:left="0" w:firstLine="0" w:firstLineChars="0"/>
        <w:jc w:val="left"/>
        <w:outlineLvl w:val="0"/>
        <w:rPr>
          <w:rFonts w:hAnsi="黑体" w:eastAsia="黑体" w:cs="Times New Roman"/>
          <w:snapToGrid w:val="0"/>
          <w:kern w:val="0"/>
          <w:szCs w:val="21"/>
        </w:rPr>
      </w:pPr>
      <w:bookmarkStart w:id="43" w:name="_Toc410"/>
      <w:bookmarkStart w:id="44" w:name="_Toc198905493"/>
      <w:bookmarkStart w:id="45" w:name="_Toc167347539"/>
      <w:bookmarkStart w:id="46" w:name="_Toc15468"/>
      <w:r>
        <w:rPr>
          <w:rFonts w:hint="eastAsia" w:hAnsi="黑体" w:eastAsia="黑体" w:cs="Times New Roman"/>
          <w:snapToGrid w:val="0"/>
          <w:kern w:val="0"/>
          <w:szCs w:val="21"/>
        </w:rPr>
        <w:t>组织</w:t>
      </w:r>
      <w:bookmarkEnd w:id="43"/>
      <w:r>
        <w:rPr>
          <w:rFonts w:hint="eastAsia" w:hAnsi="黑体" w:eastAsia="黑体" w:cs="Times New Roman"/>
          <w:snapToGrid w:val="0"/>
          <w:kern w:val="0"/>
          <w:szCs w:val="21"/>
        </w:rPr>
        <w:t>与职责</w:t>
      </w:r>
      <w:bookmarkEnd w:id="44"/>
      <w:bookmarkEnd w:id="45"/>
      <w:bookmarkEnd w:id="46"/>
    </w:p>
    <w:p w14:paraId="6F78F098">
      <w:pPr>
        <w:pStyle w:val="30"/>
        <w:numPr>
          <w:ilvl w:val="1"/>
          <w:numId w:val="2"/>
        </w:numPr>
        <w:adjustRightInd w:val="0"/>
        <w:snapToGrid w:val="0"/>
        <w:spacing w:before="120" w:beforeLines="50" w:after="120" w:afterLines="50" w:line="360" w:lineRule="exact"/>
        <w:ind w:firstLineChars="0"/>
        <w:jc w:val="left"/>
        <w:outlineLvl w:val="1"/>
        <w:rPr>
          <w:rFonts w:ascii="黑体" w:hAnsi="黑体" w:eastAsia="黑体" w:cs="Times New Roman"/>
          <w:kern w:val="0"/>
          <w:szCs w:val="21"/>
        </w:rPr>
      </w:pPr>
      <w:r>
        <w:rPr>
          <w:rFonts w:hint="eastAsia" w:ascii="黑体" w:hAnsi="黑体" w:eastAsia="黑体" w:cs="Times New Roman"/>
          <w:kern w:val="0"/>
          <w:szCs w:val="21"/>
        </w:rPr>
        <w:t>安全管理机构</w:t>
      </w:r>
    </w:p>
    <w:p w14:paraId="0DB2F1BB">
      <w:pPr>
        <w:ind w:firstLine="420"/>
        <w:rPr>
          <w:rFonts w:cs="Times New Roman"/>
          <w:sz w:val="21"/>
          <w:szCs w:val="21"/>
        </w:rPr>
      </w:pPr>
      <w:r>
        <w:rPr>
          <w:rFonts w:cs="Times New Roman"/>
          <w:sz w:val="21"/>
          <w:szCs w:val="21"/>
        </w:rPr>
        <w:t>高校应依法建立健全高校实验室安全工作领导机构、学校实验室安全主管职能部门、二级教学科研单位</w:t>
      </w:r>
      <w:r>
        <w:rPr>
          <w:rFonts w:hint="eastAsia" w:cs="Times New Roman"/>
          <w:sz w:val="21"/>
          <w:szCs w:val="21"/>
          <w:lang w:eastAsia="zh"/>
        </w:rPr>
        <w:t>以及</w:t>
      </w:r>
      <w:r>
        <w:rPr>
          <w:rFonts w:cs="Times New Roman"/>
          <w:sz w:val="21"/>
          <w:szCs w:val="21"/>
        </w:rPr>
        <w:t>实验室</w:t>
      </w:r>
      <w:r>
        <w:rPr>
          <w:rFonts w:hint="eastAsia" w:cs="Times New Roman"/>
          <w:sz w:val="21"/>
          <w:szCs w:val="21"/>
          <w:lang w:eastAsia="zh"/>
        </w:rPr>
        <w:t>四级</w:t>
      </w:r>
      <w:r>
        <w:rPr>
          <w:rFonts w:cs="Times New Roman"/>
          <w:sz w:val="21"/>
          <w:szCs w:val="21"/>
        </w:rPr>
        <w:t>联动的安全工作组织机构及管理体系，统筹负责实验室危险化学品安全管理工作。</w:t>
      </w:r>
      <w:r>
        <w:rPr>
          <w:rFonts w:hint="eastAsia" w:ascii="宋体" w:hAnsi="宋体" w:cs="宋体"/>
          <w:sz w:val="21"/>
          <w:szCs w:val="21"/>
        </w:rPr>
        <w:t>学校应统筹管理实验室安全工作，</w:t>
      </w:r>
      <w:r>
        <w:rPr>
          <w:rFonts w:ascii="宋体" w:hAnsi="宋体" w:cs="宋体"/>
          <w:sz w:val="21"/>
          <w:szCs w:val="21"/>
        </w:rPr>
        <w:t>坚持“党政同责，一岗双责，齐抓共管，失职追责”原则</w:t>
      </w:r>
      <w:r>
        <w:rPr>
          <w:rFonts w:hint="eastAsia" w:ascii="宋体" w:hAnsi="宋体" w:cs="宋体"/>
          <w:sz w:val="21"/>
          <w:szCs w:val="21"/>
        </w:rPr>
        <w:t>，把实验室安全工作纳入学校事业发展规划。</w:t>
      </w:r>
    </w:p>
    <w:p w14:paraId="24F045D0">
      <w:pPr>
        <w:pStyle w:val="30"/>
        <w:numPr>
          <w:ilvl w:val="1"/>
          <w:numId w:val="2"/>
        </w:numPr>
        <w:adjustRightInd w:val="0"/>
        <w:snapToGrid w:val="0"/>
        <w:spacing w:before="120" w:beforeLines="50" w:after="120" w:afterLines="50" w:line="360" w:lineRule="exact"/>
        <w:ind w:firstLineChars="0"/>
        <w:jc w:val="left"/>
        <w:outlineLvl w:val="1"/>
        <w:rPr>
          <w:rFonts w:ascii="黑体" w:hAnsi="黑体" w:eastAsia="黑体" w:cs="Times New Roman"/>
          <w:kern w:val="0"/>
          <w:szCs w:val="21"/>
        </w:rPr>
      </w:pPr>
      <w:r>
        <w:rPr>
          <w:rFonts w:hint="eastAsia" w:ascii="黑体" w:hAnsi="黑体" w:eastAsia="黑体" w:cs="Times New Roman"/>
          <w:kern w:val="0"/>
          <w:szCs w:val="21"/>
        </w:rPr>
        <w:t>安全管理职责</w:t>
      </w:r>
    </w:p>
    <w:p w14:paraId="30B2FCD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实验室安全工作领导机构：全面负责指导本校实验室开展危险化学品安全管理工作；高校党政主要负责人是第一责任人，对实验室危险化学品安全管理工作负总责；分管实验室工作的校领导是重要领导责任人，协助第一责任人负责实验室危险化学品安全管理工作；其他校领导在分管工作范围内对实验室危险化学品安全管理工作负有支持、监督和指导职责</w:t>
      </w:r>
      <w:r>
        <w:rPr>
          <w:rFonts w:cs="Times New Roman"/>
          <w:kern w:val="0"/>
          <w:sz w:val="21"/>
          <w:szCs w:val="21"/>
        </w:rPr>
        <w:t>。</w:t>
      </w:r>
    </w:p>
    <w:p w14:paraId="5D9B0B3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学校实验室安全主管职能部门：牵头制定本校实验室危险化学品安全管理办法；统筹开展全校实验室危险化学品的排查、评估等管理工作，涵盖采购、存储、使用、废弃处理等各环节；组织开展全校实验室危险化学品的相关工作，建立本校实验室危险化学品安全管理台账，并及时录入信息化管理系统或电子造册。</w:t>
      </w:r>
    </w:p>
    <w:p w14:paraId="20092208">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二级教学科研单位：作为实验室危险化学品安全管理的责任单位，负责组织本单位实验室落实危险化学品安全管理要求；审核本单位实验室危险化学品的采购申请，监督其规范存储与使用，定期组织安全检查；审核确认所属实验室危险化学品的类别和风险等级，建立本单位实验室危险化学品安全管理台账，提交学校实验室安全主管职能部门备案；二级单位党政负责人是本单位实验室危险化学品安全管理工作主要领导责任人。</w:t>
      </w:r>
    </w:p>
    <w:p w14:paraId="196B4E7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按照本校实验室危险化学品安全管理办法要求，判定本实验室危险化学品的类别和风险等级，并报所属二级单位审核确认；负责本实验室危险化学品的日常安全管理工作，包括日常使用登记、存储条件维护、安全防护措施落实等；实验室负责人是本实验室危险化学品安全管理工作的直接责任人，确保危险化学品的使用与管理符合安全规范。</w:t>
      </w:r>
    </w:p>
    <w:p w14:paraId="44AE28F6">
      <w:pPr>
        <w:pStyle w:val="30"/>
        <w:numPr>
          <w:ilvl w:val="1"/>
          <w:numId w:val="2"/>
        </w:numPr>
        <w:adjustRightInd w:val="0"/>
        <w:snapToGrid w:val="0"/>
        <w:spacing w:before="120" w:beforeLines="50" w:after="120" w:afterLines="50" w:line="360" w:lineRule="exact"/>
        <w:ind w:firstLineChars="0"/>
        <w:jc w:val="left"/>
        <w:outlineLvl w:val="1"/>
        <w:rPr>
          <w:rFonts w:ascii="黑体" w:hAnsi="黑体" w:eastAsia="黑体" w:cs="Times New Roman"/>
          <w:kern w:val="0"/>
          <w:szCs w:val="21"/>
        </w:rPr>
      </w:pPr>
      <w:r>
        <w:rPr>
          <w:rFonts w:hint="eastAsia" w:ascii="黑体" w:hAnsi="黑体" w:eastAsia="黑体" w:cs="Times New Roman"/>
          <w:kern w:val="0"/>
          <w:szCs w:val="21"/>
        </w:rPr>
        <w:t>安全</w:t>
      </w:r>
      <w:r>
        <w:rPr>
          <w:rFonts w:hint="eastAsia" w:ascii="黑体" w:hAnsi="黑体" w:eastAsia="黑体" w:cs="Times New Roman"/>
          <w:kern w:val="0"/>
          <w:szCs w:val="21"/>
          <w:lang w:eastAsia="zh"/>
        </w:rPr>
        <w:t>分级管理</w:t>
      </w:r>
    </w:p>
    <w:p w14:paraId="68663743">
      <w:pPr>
        <w:pStyle w:val="30"/>
        <w:numPr>
          <w:ilvl w:val="255"/>
          <w:numId w:val="0"/>
        </w:numPr>
        <w:adjustRightInd w:val="0"/>
        <w:snapToGrid w:val="0"/>
        <w:spacing w:line="360" w:lineRule="exact"/>
        <w:ind w:firstLine="420" w:firstLineChars="200"/>
        <w:outlineLvl w:val="2"/>
        <w:rPr>
          <w:rFonts w:eastAsia="宋体" w:cs="Times New Roman"/>
          <w:szCs w:val="21"/>
        </w:rPr>
      </w:pPr>
      <w:r>
        <w:rPr>
          <w:rFonts w:hint="eastAsia" w:eastAsia="宋体" w:cs="Times New Roman"/>
          <w:szCs w:val="21"/>
        </w:rPr>
        <w:t>实验室危险化学品安全分级是指根据实验室中存在的危险源及其存量进行风险评价，判定本实验室安全等级。实验室安全等级可分为Ⅰ、Ⅱ、Ⅲ、Ⅳ级（或红、橙、黄、蓝级），分别对应重大风险、高风险、中风险、低风险等级的实验室。等级划分可参考《高校实验室安全分级表》（</w:t>
      </w:r>
      <w:r>
        <w:rPr>
          <w:rFonts w:hint="eastAsia" w:eastAsia="宋体" w:cs="Times New Roman"/>
          <w:szCs w:val="21"/>
          <w:lang w:eastAsia="zh"/>
        </w:rPr>
        <w:t>附录A</w:t>
      </w:r>
      <w:r>
        <w:rPr>
          <w:rFonts w:hint="eastAsia" w:eastAsia="宋体" w:cs="Times New Roman"/>
          <w:szCs w:val="21"/>
        </w:rPr>
        <w:t>）</w:t>
      </w:r>
    </w:p>
    <w:p w14:paraId="3462F3A3">
      <w:pPr>
        <w:pStyle w:val="30"/>
        <w:numPr>
          <w:ilvl w:val="255"/>
          <w:numId w:val="0"/>
        </w:numPr>
        <w:adjustRightInd w:val="0"/>
        <w:snapToGrid w:val="0"/>
        <w:spacing w:line="360" w:lineRule="exact"/>
        <w:ind w:firstLine="420" w:firstLineChars="200"/>
        <w:jc w:val="left"/>
        <w:outlineLvl w:val="2"/>
        <w:rPr>
          <w:rFonts w:ascii="宋体" w:hAnsi="宋体" w:cs="宋体"/>
          <w:szCs w:val="21"/>
        </w:rPr>
      </w:pPr>
      <w:r>
        <w:rPr>
          <w:rFonts w:hint="eastAsia" w:eastAsia="宋体" w:cs="Times New Roman"/>
          <w:szCs w:val="21"/>
        </w:rPr>
        <w:t>各级实验室均应开展不同层级的检查与自查，安全管理人员和实验人员都要进行准入</w:t>
      </w:r>
      <w:r>
        <w:rPr>
          <w:rFonts w:hint="eastAsia" w:cs="Times New Roman"/>
          <w:kern w:val="0"/>
          <w:szCs w:val="21"/>
        </w:rPr>
        <w:t>安全培训</w:t>
      </w:r>
      <w:r>
        <w:rPr>
          <w:rFonts w:hint="eastAsia" w:eastAsia="宋体" w:cs="Times New Roman"/>
          <w:szCs w:val="21"/>
        </w:rPr>
        <w:t>及后续年度安全培训，每年开展应急演练；科研实验活动要进行安全风险评估，重要危险源实验活动在二级单位备案，实验才做人员配备必要个体防护设备设施。</w:t>
      </w:r>
    </w:p>
    <w:p w14:paraId="53297613">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安全检查：Ⅰ、Ⅱ级实验室由学校党政主要负责人牵头组织，Ⅲ、Ⅳ级由主管部门、二级单位牵头组织；检查频次随级别降低而减少，至少每半年检查一次</w:t>
      </w:r>
      <w:r>
        <w:rPr>
          <w:rFonts w:cs="Times New Roman"/>
          <w:kern w:val="0"/>
          <w:sz w:val="21"/>
          <w:szCs w:val="21"/>
        </w:rPr>
        <w:t>。</w:t>
      </w:r>
    </w:p>
    <w:p w14:paraId="78A3AA24">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安全培训：准入安全培训和后续年度安全培训学时要求随级别降低而减少，Ⅰ级每年2次，Ⅱ-Ⅳ级每年1次。</w:t>
      </w:r>
    </w:p>
    <w:p w14:paraId="39C30EDB">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安全评估：Ⅰ、Ⅱ级实验室由学校不定期抽查重要危险源实验活动，Ⅲ、Ⅳ 级实验室由二级单位抽查；Ⅰ、Ⅱ 级实验室针对重要危险源制定管理办法和应急措施且每年演练，Ⅲ、Ⅳ 级实验室必要时临时按更高等级管理。</w:t>
      </w:r>
    </w:p>
    <w:p w14:paraId="0B1DB111">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条件保障：Ⅰ、Ⅱ级实验室高风险点位安装监控和监测报警装置，危化品存储严格监管，配专职安全管理人员；Ⅲ 级实验室在重要风险点位安装相关装置，配兼职人员；Ⅳ级实验室仅配兼职人员。</w:t>
      </w:r>
    </w:p>
    <w:p w14:paraId="0D1E93EC">
      <w:pPr>
        <w:pStyle w:val="30"/>
        <w:numPr>
          <w:ilvl w:val="0"/>
          <w:numId w:val="2"/>
        </w:numPr>
        <w:adjustRightInd w:val="0"/>
        <w:snapToGrid w:val="0"/>
        <w:spacing w:before="240" w:beforeLines="100" w:after="240" w:afterLines="100" w:line="360" w:lineRule="exact"/>
        <w:ind w:left="0" w:firstLine="0" w:firstLineChars="0"/>
        <w:jc w:val="left"/>
        <w:outlineLvl w:val="0"/>
        <w:rPr>
          <w:rFonts w:hAnsi="黑体" w:eastAsia="黑体" w:cs="Times New Roman"/>
          <w:snapToGrid w:val="0"/>
          <w:kern w:val="0"/>
          <w:szCs w:val="21"/>
        </w:rPr>
      </w:pPr>
      <w:bookmarkStart w:id="47" w:name="_Toc27153"/>
      <w:bookmarkStart w:id="48" w:name="_Toc198905494"/>
      <w:bookmarkStart w:id="49" w:name="_Toc167347540"/>
      <w:r>
        <w:rPr>
          <w:rFonts w:hint="eastAsia" w:hAnsi="黑体" w:eastAsia="黑体" w:cs="Times New Roman"/>
          <w:snapToGrid w:val="0"/>
          <w:kern w:val="0"/>
          <w:szCs w:val="21"/>
        </w:rPr>
        <w:t>基础安全管理</w:t>
      </w:r>
      <w:bookmarkEnd w:id="47"/>
      <w:bookmarkEnd w:id="48"/>
      <w:bookmarkEnd w:id="49"/>
    </w:p>
    <w:p w14:paraId="691D87CB">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bCs/>
          <w:kern w:val="0"/>
          <w:szCs w:val="21"/>
        </w:rPr>
      </w:pPr>
      <w:bookmarkStart w:id="50" w:name="_Toc7065"/>
      <w:bookmarkStart w:id="51" w:name="_Toc8657"/>
      <w:r>
        <w:rPr>
          <w:rFonts w:eastAsia="黑体" w:cs="Times New Roman"/>
          <w:bCs/>
          <w:kern w:val="0"/>
          <w:szCs w:val="21"/>
        </w:rPr>
        <w:t>危险化学品分类</w:t>
      </w:r>
      <w:r>
        <w:rPr>
          <w:rFonts w:hint="eastAsia" w:eastAsia="黑体" w:cs="Times New Roman"/>
          <w:bCs/>
          <w:kern w:val="0"/>
          <w:szCs w:val="21"/>
        </w:rPr>
        <w:t>管理</w:t>
      </w:r>
      <w:bookmarkEnd w:id="50"/>
      <w:bookmarkEnd w:id="51"/>
    </w:p>
    <w:p w14:paraId="2CEF6664">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实验室应对涉及的所有化学品进行分类，并根据《危险化学品目录》（2015版）辨识危险化学品与剧毒化学品。</w:t>
      </w:r>
    </w:p>
    <w:p w14:paraId="7737D687">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根据《易制毒化学品管理条例》（国务院令第 445号）辨识易制毒化学品。</w:t>
      </w:r>
    </w:p>
    <w:p w14:paraId="342DEED5">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根据《易制爆危险化学品名录》（2017版）辨识易制爆危险化学品。</w:t>
      </w:r>
    </w:p>
    <w:p w14:paraId="61302988">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根据《民用爆炸物品安全管理条例》（国务院令第 466号）和《危险货物品名表》（GB 12268）辨识爆炸品。</w:t>
      </w:r>
      <w:bookmarkStart w:id="52" w:name="_Toc93847939"/>
      <w:bookmarkStart w:id="53" w:name="_Toc102072043"/>
      <w:bookmarkStart w:id="54" w:name="_Toc163828038"/>
    </w:p>
    <w:p w14:paraId="0FB6438A">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bCs/>
          <w:kern w:val="0"/>
          <w:szCs w:val="21"/>
        </w:rPr>
      </w:pPr>
      <w:r>
        <w:rPr>
          <w:rFonts w:eastAsia="黑体" w:cs="Times New Roman"/>
          <w:bCs/>
          <w:kern w:val="0"/>
          <w:szCs w:val="21"/>
        </w:rPr>
        <w:t>民用爆炸品安全管理</w:t>
      </w:r>
      <w:bookmarkEnd w:id="52"/>
      <w:bookmarkEnd w:id="53"/>
      <w:bookmarkEnd w:id="54"/>
    </w:p>
    <w:p w14:paraId="5E49C5A5">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高校必须严格依照国家《民用爆炸物品安全管理条例》（2014年版）执行民用爆炸品的相关管理工作。</w:t>
      </w:r>
    </w:p>
    <w:p w14:paraId="4F3033D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主要负责人对本校民用爆炸品安全管理全面负责；高校实验室民用爆炸品管理人员需接受专门培训，考核合格后方可上岗；高校领用民用爆炸品需两人或两人以上，领用的二级单位及人员要在本校保卫部门备案。</w:t>
      </w:r>
    </w:p>
    <w:p w14:paraId="0741A456">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高校应建立专门的安全管理制度、岗位安全责任制度，制订安全防范措施与事故应急预案，设置安全管理机构或配备专职安全管理人员。</w:t>
      </w:r>
    </w:p>
    <w:p w14:paraId="7C4A39ED">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申请购买民用爆炸品，需向所在地县级人民政府公安机关提出购买申请并申领许可证；民用爆炸品储存于高校专用暂存点，设置安全技术防范设施；高校建立出入库检查登记制度，控制储存数量，性质抵触的分库储存，指定专人管理看护，严禁在暂存点区域出现多种危险行为。</w:t>
      </w:r>
    </w:p>
    <w:p w14:paraId="469D2C43">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高校实验室要按实际需求精确计算民用爆炸品当日用量，严禁在实验室过夜存放；称重时需准确并有专人监护，保证账物相符，账目清晰；高校严禁出现转让、出借等违规处置民用爆炸品的行为。</w:t>
      </w:r>
    </w:p>
    <w:p w14:paraId="16B7E73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高校若发生爆炸品丢失、被盗、被抢情况，需立即报告当地公安机关；对变质和过期失效的民用爆炸品，高校应及时清理出库并按规定程序销毁。</w:t>
      </w:r>
      <w:bookmarkStart w:id="55" w:name="_Toc93847940"/>
      <w:bookmarkStart w:id="56" w:name="_Toc163828039"/>
      <w:bookmarkStart w:id="57" w:name="_Toc102072044"/>
    </w:p>
    <w:p w14:paraId="282E4A3A">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r>
        <w:rPr>
          <w:rFonts w:eastAsia="黑体" w:cs="Times New Roman"/>
          <w:kern w:val="0"/>
          <w:szCs w:val="21"/>
        </w:rPr>
        <w:t>易制毒化学品安全管理</w:t>
      </w:r>
      <w:bookmarkEnd w:id="55"/>
      <w:bookmarkEnd w:id="56"/>
      <w:bookmarkEnd w:id="57"/>
    </w:p>
    <w:p w14:paraId="12E268B7">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易制毒化学品的申购、使用、存储和管理必须严格按照国家《易制毒化学品管理条例》（2016年版）相关规定执行。</w:t>
      </w:r>
    </w:p>
    <w:p w14:paraId="12D7FF90">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高校应建立本单位易制毒化学品管理制度和突发事件应急预案。</w:t>
      </w:r>
    </w:p>
    <w:p w14:paraId="0373EAF1">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高校申请购买第一类易制毒化学品，应当提交登记证书（成立批准文件）和合法使用需要证明，经行政主管部门审批，取得购买许可证。</w:t>
      </w:r>
      <w:r>
        <w:rPr>
          <w:rFonts w:hint="eastAsia" w:cs="Times New Roman"/>
          <w:kern w:val="0"/>
          <w:sz w:val="21"/>
          <w:szCs w:val="21"/>
        </w:rPr>
        <w:t>个人禁购一、二类，购买二、三类需提前向县级公安机关备案；禁转借许可证，禁超许可品种和单次超量购买，禁现金或实物交易，采购包装和说明书有标识要求。</w:t>
      </w:r>
    </w:p>
    <w:p w14:paraId="1108D8CD">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高校应建立易制毒化学品使用台账，并保存2年备查</w:t>
      </w:r>
      <w:r>
        <w:rPr>
          <w:rFonts w:hint="eastAsia" w:cs="Times New Roman"/>
          <w:kern w:val="0"/>
          <w:sz w:val="21"/>
          <w:szCs w:val="21"/>
        </w:rPr>
        <w:t>。</w:t>
      </w:r>
    </w:p>
    <w:p w14:paraId="1B71DB42">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严禁生产、转让、出借、转借、赠送、私藏易制毒化学品，校内内部流转应做好记录并存档。</w:t>
      </w:r>
    </w:p>
    <w:p w14:paraId="79F541F3">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涉及易制毒化学品的实验人员和管理人员应具有易制毒化学品的有关知识，无毒品犯罪记录。</w:t>
      </w:r>
    </w:p>
    <w:p w14:paraId="50EFF25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易制毒化学品应设置专库或专柜储存；专库应当设有防盗设施，专柜应当使用保险柜；第一类易制毒化学品、药品类易制毒化学品应实行双人双锁管理。</w:t>
      </w:r>
    </w:p>
    <w:p w14:paraId="20312FE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领取时应按当日实验用量领取，如有剩余应在当日退回，并填写相关记录。</w:t>
      </w:r>
    </w:p>
    <w:p w14:paraId="1A077628">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易制毒化学品丢失、被盗、被抢的，学校应当立即向当地公安机关报告，并同时报告当地相关主管部门。</w:t>
      </w:r>
    </w:p>
    <w:p w14:paraId="2B4C89B7">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r>
        <w:rPr>
          <w:rFonts w:eastAsia="黑体" w:cs="Times New Roman"/>
          <w:kern w:val="0"/>
          <w:szCs w:val="21"/>
        </w:rPr>
        <w:t>易制爆危险化学品安全管理</w:t>
      </w:r>
    </w:p>
    <w:p w14:paraId="324BF943">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易制爆危险化学品的申购、使用、存储及管理必须严格按照国家《易制爆危险化学品治安管理办法》（2019年版）</w:t>
      </w:r>
      <w:r>
        <w:rPr>
          <w:rFonts w:hint="eastAsia" w:cs="Times New Roman"/>
          <w:kern w:val="0"/>
          <w:sz w:val="21"/>
          <w:szCs w:val="21"/>
        </w:rPr>
        <w:t>、《易制爆危险化学品储存场所治安防范要求》（GA 1511-2018）</w:t>
      </w:r>
      <w:r>
        <w:rPr>
          <w:rFonts w:cs="Times New Roman"/>
          <w:kern w:val="0"/>
          <w:sz w:val="21"/>
          <w:szCs w:val="21"/>
        </w:rPr>
        <w:t>相关规定执行。</w:t>
      </w:r>
    </w:p>
    <w:p w14:paraId="27A659A1">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高校购买易制爆危险化学品的，应当持本单位出具的合法用途说明。</w:t>
      </w:r>
    </w:p>
    <w:p w14:paraId="33C94A9C">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高校购买易制爆危险化学品应在购买后五日内，通过易制爆危险化学品信息系统，将所购买的易制爆危险化学品的品种、数量以及流向信息报所在地县级公安机关备案，并应实行电子追踪标识管理。</w:t>
      </w:r>
    </w:p>
    <w:p w14:paraId="4C400356">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购买易制爆危险化学品的高校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14:paraId="4ECCCAB7">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实验室可使用储存室或储存柜储存易制爆危险化学品，单个储存室或储存柜储存量应在50 kg以下。</w:t>
      </w:r>
    </w:p>
    <w:p w14:paraId="2189AB78">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实验室应建立易制爆危险化学品出入库检查和登记制度，定期核对易制爆危险化学品存放情况</w:t>
      </w:r>
      <w:r>
        <w:rPr>
          <w:rFonts w:hint="eastAsia" w:cs="Times New Roman"/>
          <w:kern w:val="0"/>
          <w:sz w:val="21"/>
          <w:szCs w:val="21"/>
        </w:rPr>
        <w:t>。</w:t>
      </w:r>
    </w:p>
    <w:p w14:paraId="3983DE08">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高校易制爆危险化学品丢失、被盗、被抢的，应立即报告公安机关。</w:t>
      </w:r>
    </w:p>
    <w:p w14:paraId="12E99EAB">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r>
        <w:rPr>
          <w:rFonts w:eastAsia="黑体" w:cs="Times New Roman"/>
          <w:kern w:val="0"/>
          <w:szCs w:val="21"/>
        </w:rPr>
        <w:t>剧毒化学品安全管理</w:t>
      </w:r>
    </w:p>
    <w:p w14:paraId="2778BDB8">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剧毒化学品的申购、使用、存储和管理必须严格按照国家《剧毒化学品购买和公路运输许可证件管理办法》（2005年版）相关规定执行。</w:t>
      </w:r>
    </w:p>
    <w:p w14:paraId="5E130D24">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高校购买剧毒化学品应按照规定取得《剧毒化学品购买凭证》或《剧毒化学品准购证》等许可证件，并按规定流程购买</w:t>
      </w:r>
      <w:r>
        <w:rPr>
          <w:rFonts w:hint="eastAsia" w:cs="Times New Roman"/>
          <w:kern w:val="0"/>
          <w:sz w:val="21"/>
          <w:szCs w:val="21"/>
        </w:rPr>
        <w:t>。</w:t>
      </w:r>
    </w:p>
    <w:p w14:paraId="1BEBFAF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剧毒化学品运达后，高校应在《剧毒化学品公路运输通行证》上签注接收情况，并在收到货物后的七日内将《剧毒化学品公路运输通行证》送目的地县级人民政府公安机关治安管理部门备案存查。</w:t>
      </w:r>
    </w:p>
    <w:p w14:paraId="47089EB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剧毒化学品应单独存放、不得与易燃、易爆、腐蚀性物品等混合存放；有专人管理并做好贮存、领取、发放情况登记。</w:t>
      </w:r>
    </w:p>
    <w:p w14:paraId="30BEA8E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防盗安全门应符合《防盗门国家标准》（GB 17565）的要求，防盗安全级别为乙级（含）以上。</w:t>
      </w:r>
    </w:p>
    <w:p w14:paraId="1D628381">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防盗锁应符合《机械防盗锁》（GA/T73）的要求；防盗保险柜应符合《防盗保险柜》（GB 10409）的要求；按公安机关要求执行监控、管控。</w:t>
      </w:r>
    </w:p>
    <w:p w14:paraId="675BC0A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领取和使用剧毒危险化学品，应有两人以上方可进行，一人操作，一人监护。领取时按当日实验用量领取，如有剩余应在当日退回，并填写相关记录。</w:t>
      </w:r>
    </w:p>
    <w:p w14:paraId="45FBC4B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剧毒化学品应严格实行“五双”管理制度，即“双人收发、双人保管、双人领取、双把锁、双本账”，并按期核对账目，登记资料至少保存1年。</w:t>
      </w:r>
    </w:p>
    <w:p w14:paraId="66B6F48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剧毒化学品储存量和流向应如实记录，发现被盗、丢失、误用等情况应立即报告当地公安部门。</w:t>
      </w:r>
    </w:p>
    <w:p w14:paraId="13CFBA8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剧毒废弃物应单独存放不可混存。</w:t>
      </w:r>
      <w:bookmarkStart w:id="58" w:name="_Toc102072045"/>
      <w:bookmarkStart w:id="59" w:name="_Toc93847941"/>
      <w:bookmarkStart w:id="60" w:name="_Toc163828040"/>
    </w:p>
    <w:p w14:paraId="2333C4EE">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r>
        <w:rPr>
          <w:rFonts w:eastAsia="黑体" w:cs="Times New Roman"/>
          <w:kern w:val="0"/>
          <w:szCs w:val="21"/>
        </w:rPr>
        <w:t>放射性物质安全管理</w:t>
      </w:r>
    </w:p>
    <w:bookmarkEnd w:id="58"/>
    <w:bookmarkEnd w:id="59"/>
    <w:bookmarkEnd w:id="60"/>
    <w:p w14:paraId="1416A9EB">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放射性物质的申购、使用、存储及管理必须严格按照《中华人民共和国放射性污染防治法》（2003年版）相关规定执行。</w:t>
      </w:r>
    </w:p>
    <w:p w14:paraId="44814C7A">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放射源和放射性物质的采购和转让转移有学校及生态环境部门的审批备案材料，采购和转让转移前必须先做环境影响评价工作。</w:t>
      </w:r>
    </w:p>
    <w:p w14:paraId="2F5FAF53">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涉及辐射安全的实验场所，应在获取相关部门颁发的辐射安全许可证后才能开展相关实验工作。涉及辐射的场所要按照国家相关规定设置安全标识，落实辐射装置和放射源的采购、保管、使用、备案等管理措施。</w:t>
      </w:r>
    </w:p>
    <w:p w14:paraId="04D5D62D">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放射性物质应单独存放，不得与易燃、易爆、腐蚀性物品等一起存放，其贮存场所应当采取有效的防火、防盗、防射线泄漏的安全防护措施，并指定专人负责保管。贮存、领取、使用、归还放射性物质时，应当进行登记、检查，做到账物相符。</w:t>
      </w:r>
    </w:p>
    <w:p w14:paraId="1A8639B7">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使用、贮存放射源的高校，应建立健全专门的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14:paraId="2A60F241">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辐射工作人员应具有《辐射安全与防护培训合格证书》，</w:t>
      </w:r>
      <w:bookmarkStart w:id="61" w:name="_Hlk67117721"/>
      <w:r>
        <w:rPr>
          <w:rFonts w:cs="Times New Roman"/>
          <w:kern w:val="0"/>
          <w:sz w:val="21"/>
          <w:szCs w:val="21"/>
        </w:rPr>
        <w:t>或者《生态环境部辐射安全与防护考核通过报告单</w:t>
      </w:r>
      <w:bookmarkEnd w:id="61"/>
      <w:r>
        <w:rPr>
          <w:rFonts w:cs="Times New Roman"/>
          <w:kern w:val="0"/>
          <w:sz w:val="21"/>
          <w:szCs w:val="21"/>
        </w:rPr>
        <w:t>》，辐射工作人员应按时参加放射性职业体检（2年1次），并建立健康档案；辐射工作人员进入实验场所应佩带个人剂量计；剂量计应委托有资质的单位按时进行剂量检测（3个月一次）。</w:t>
      </w:r>
    </w:p>
    <w:p w14:paraId="643A7A1C">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放射源储存库应设“双人双锁”，并有安全报警系统和视频监控系统，辐照设施设备和2类以上射线装置应具有能正常工作的安全连锁装置和报警装置，并设置明显的安全警示标识、警戒线及剂量报警仪。</w:t>
      </w:r>
    </w:p>
    <w:p w14:paraId="326B5D7D">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辐射实验场所每年应进行实验场所检测，检测合格方可继续使用。</w:t>
      </w:r>
    </w:p>
    <w:p w14:paraId="5BEE4BAA">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放射源、放射性物质以及3类以上射线装置储存和使用场所变更应重新开展环境影响评价。</w:t>
      </w:r>
    </w:p>
    <w:p w14:paraId="5FD9AEFE">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放射性物质的转移和运输有学校及公安部门的审批备案材料。</w:t>
      </w:r>
    </w:p>
    <w:p w14:paraId="3D1B383D">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放射性废物的处理、贮存和处置活动，应当遵守国家有关放射性污染防治标准和国务院环境保护主管部门的规定，不得将放射性物质随同实验室其他危险废物一同进行处置。</w:t>
      </w:r>
    </w:p>
    <w:p w14:paraId="58496090">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bookmarkStart w:id="62" w:name="_Toc93847942"/>
      <w:bookmarkStart w:id="63" w:name="_Toc163828041"/>
      <w:bookmarkStart w:id="64" w:name="_Toc102072046"/>
      <w:r>
        <w:rPr>
          <w:rFonts w:eastAsia="黑体" w:cs="Times New Roman"/>
          <w:kern w:val="0"/>
          <w:szCs w:val="21"/>
        </w:rPr>
        <w:t>气体安全管理</w:t>
      </w:r>
      <w:bookmarkEnd w:id="62"/>
      <w:bookmarkEnd w:id="63"/>
      <w:bookmarkEnd w:id="64"/>
    </w:p>
    <w:p w14:paraId="120A5D71">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实验室应从具有气瓶充装许可证的单位采购瓶装气体。气瓶应按照《气瓶颜色标志》（GB 7144）规定进行漆色、标注气体名称及涂刷横条。气瓶上应有符合安全技术规范和国家标准规定的警示标签和充装标签。</w:t>
      </w:r>
    </w:p>
    <w:p w14:paraId="32AF6575">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实验室气瓶的分类应符合《瓶装气体分类》（GB/T 16163）的规定。气瓶使用应符合《气瓶安全技术规程》（TSG 23-2021）的规定。</w:t>
      </w:r>
    </w:p>
    <w:p w14:paraId="0DD41632">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气瓶应有合格证，并应由有资质的气瓶检验机构进行定期检验，且应在检验有效期内。自有气瓶的合格证和检验报告由二级单位保留。</w:t>
      </w:r>
    </w:p>
    <w:p w14:paraId="1C6423BB">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气瓶使用过程中应使用台账记录使用前后气体压力值，若持续使用气瓶，可每天记录一次。</w:t>
      </w:r>
    </w:p>
    <w:p w14:paraId="48BB6CD0">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气瓶搬运、装卸、储存及使用应符合《气瓶搬运、装卸、储存和使用安全规定》（GB/T 34525）的相关规定。</w:t>
      </w:r>
    </w:p>
    <w:p w14:paraId="594A4406">
      <w:pPr>
        <w:numPr>
          <w:ilvl w:val="2"/>
          <w:numId w:val="2"/>
        </w:numPr>
        <w:adjustRightInd w:val="0"/>
        <w:snapToGrid w:val="0"/>
        <w:ind w:firstLineChars="0"/>
        <w:outlineLvl w:val="2"/>
        <w:rPr>
          <w:rFonts w:cs="Times New Roman"/>
          <w:kern w:val="0"/>
          <w:sz w:val="21"/>
          <w:szCs w:val="21"/>
        </w:rPr>
      </w:pPr>
      <w:r>
        <w:rPr>
          <w:rFonts w:cs="Times New Roman"/>
          <w:kern w:val="0"/>
          <w:sz w:val="21"/>
          <w:szCs w:val="21"/>
        </w:rPr>
        <w:t>气瓶的存放应控制在最小需求量；涉及有毒、可燃气体的场所，应配有通风设施和相应的气体监控和报警装置等，并张贴必要的安全警示标识。</w:t>
      </w:r>
    </w:p>
    <w:p w14:paraId="11207991">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实验室应配备足够的气瓶柜或气瓶专用支架，且应存放在阴凉、地面平整干燥、严禁明火、远离热源的房间，避免暴晒，并牢固固定。</w:t>
      </w:r>
    </w:p>
    <w:p w14:paraId="25E46BEC">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气瓶宜配有防震圈。使用氧气或其他强氧化性气体的气瓶，其瓶体、瓶阀不应沾染油脂或其他可燃物。实验人员的工作服、手套和装卸工具、机具上不应沾有油脂。</w:t>
      </w:r>
    </w:p>
    <w:p w14:paraId="470CF1B5">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严禁使用过期气瓶，未使用的气瓶应安装气瓶帽；使用完毕后应及时关闭气瓶总阀。</w:t>
      </w:r>
    </w:p>
    <w:p w14:paraId="56A196B4">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具备条件的实验室可采用集中供气系统，其气瓶房、供气管路和终端控制系统等应满足安全要求。</w:t>
      </w:r>
      <w:bookmarkStart w:id="65" w:name="_Toc102072048"/>
      <w:bookmarkStart w:id="66" w:name="_Toc93847944"/>
    </w:p>
    <w:p w14:paraId="101F4B17">
      <w:pPr>
        <w:pStyle w:val="30"/>
        <w:numPr>
          <w:ilvl w:val="0"/>
          <w:numId w:val="2"/>
        </w:numPr>
        <w:adjustRightInd w:val="0"/>
        <w:snapToGrid w:val="0"/>
        <w:spacing w:before="240" w:beforeLines="100" w:after="240" w:afterLines="100" w:line="360" w:lineRule="exact"/>
        <w:ind w:left="0" w:firstLine="0" w:firstLineChars="0"/>
        <w:jc w:val="left"/>
        <w:outlineLvl w:val="0"/>
        <w:rPr>
          <w:rFonts w:hAnsi="黑体" w:eastAsia="黑体" w:cs="Times New Roman"/>
          <w:snapToGrid w:val="0"/>
          <w:kern w:val="0"/>
          <w:szCs w:val="21"/>
        </w:rPr>
      </w:pPr>
      <w:bookmarkStart w:id="67" w:name="_Toc24264"/>
      <w:bookmarkStart w:id="68" w:name="_Toc198905495"/>
      <w:r>
        <w:rPr>
          <w:rFonts w:hint="eastAsia" w:hAnsi="黑体" w:eastAsia="黑体" w:cs="Times New Roman"/>
          <w:snapToGrid w:val="0"/>
          <w:kern w:val="0"/>
          <w:szCs w:val="21"/>
        </w:rPr>
        <w:t>全生命周期流程管理</w:t>
      </w:r>
      <w:bookmarkEnd w:id="67"/>
      <w:bookmarkEnd w:id="68"/>
    </w:p>
    <w:p w14:paraId="1B9060B6">
      <w:pPr>
        <w:pStyle w:val="30"/>
        <w:numPr>
          <w:ilvl w:val="1"/>
          <w:numId w:val="2"/>
        </w:numPr>
        <w:adjustRightInd w:val="0"/>
        <w:snapToGrid w:val="0"/>
        <w:spacing w:before="120" w:beforeLines="50" w:after="120" w:afterLines="50" w:line="360" w:lineRule="exact"/>
        <w:ind w:left="0" w:firstLine="0" w:firstLineChars="0"/>
        <w:jc w:val="left"/>
        <w:outlineLvl w:val="1"/>
        <w:rPr>
          <w:rFonts w:ascii="黑体" w:hAnsi="黑体" w:eastAsia="黑体" w:cs="Times New Roman"/>
          <w:kern w:val="0"/>
          <w:szCs w:val="21"/>
        </w:rPr>
      </w:pPr>
      <w:r>
        <w:rPr>
          <w:rFonts w:hint="eastAsia" w:ascii="黑体" w:hAnsi="黑体" w:eastAsia="黑体" w:cs="Times New Roman"/>
          <w:kern w:val="0"/>
          <w:szCs w:val="21"/>
          <w:lang w:eastAsia="zh"/>
        </w:rPr>
        <w:t>一般要求</w:t>
      </w:r>
    </w:p>
    <w:p w14:paraId="0CDAF82B">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高校应建立实验室危险化学品管理信息系统，实现危险化学品分类、采购、验收、储存、使用、废弃处置等全流程的信息化安全管理。</w:t>
      </w:r>
    </w:p>
    <w:p w14:paraId="476F392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为实现危险化学品的全生命周期管理，需建立一个层次分明的信息系统，涵盖校级、二级单位和实验室管理。</w:t>
      </w:r>
    </w:p>
    <w:p w14:paraId="10EF609D">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系统的总体架构应包括校级管理负责审批和合规检查，二级单位进行日常监督，实验室执行具体操作。</w:t>
      </w:r>
    </w:p>
    <w:p w14:paraId="4A5A0E4C">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信息系统功能模块设计分为三个层级：校级模块提供全景监控、审批管理、风险评估和合规检查；二级单位模块涵盖库存、采购和风险整改管理；实验室模块则负责采购验收、储存、使用及废弃管理。</w:t>
      </w:r>
    </w:p>
    <w:p w14:paraId="7BE35A5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系统要求包括数据实时同步、权限管理和移动端支持、用户培训反馈和系统优化，以确保全面覆盖管理需求。</w:t>
      </w:r>
    </w:p>
    <w:p w14:paraId="5C0DA88D">
      <w:pPr>
        <w:pStyle w:val="30"/>
        <w:numPr>
          <w:ilvl w:val="1"/>
          <w:numId w:val="2"/>
        </w:numPr>
        <w:adjustRightInd w:val="0"/>
        <w:snapToGrid w:val="0"/>
        <w:spacing w:before="120" w:beforeLines="50" w:after="120" w:afterLines="50" w:line="360" w:lineRule="exact"/>
        <w:ind w:firstLineChars="0"/>
        <w:jc w:val="left"/>
        <w:outlineLvl w:val="1"/>
        <w:rPr>
          <w:rFonts w:ascii="黑体" w:hAnsi="黑体" w:eastAsia="黑体" w:cs="Times New Roman"/>
          <w:kern w:val="0"/>
          <w:szCs w:val="21"/>
        </w:rPr>
      </w:pPr>
      <w:bookmarkStart w:id="69" w:name="_Toc163828043"/>
      <w:r>
        <w:rPr>
          <w:rFonts w:hint="eastAsia" w:ascii="黑体" w:hAnsi="黑体" w:eastAsia="黑体" w:cs="Times New Roman"/>
          <w:kern w:val="0"/>
          <w:szCs w:val="21"/>
        </w:rPr>
        <w:t>危险化学品采购及验收</w:t>
      </w:r>
      <w:bookmarkEnd w:id="69"/>
    </w:p>
    <w:p w14:paraId="13080743">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高校应加强危险化学品特别是管控类化学品的源头管理，把好采购审批关。</w:t>
      </w:r>
    </w:p>
    <w:p w14:paraId="360B473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一般危险化学品（非管制类）的采购，由使用单位自行联系具有危险化学品经营资质的供应商购买，并委托有资质的运输企业运输，禁止随身携带危险化学品乘坐公共交通工具。</w:t>
      </w:r>
    </w:p>
    <w:p w14:paraId="69B8EE5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学校、二级单位应建立实验室采购、验收、储存、使用危险化学品和危险废物处置的管理程序，实验室应建立并保留相关台账记录。</w:t>
      </w:r>
    </w:p>
    <w:p w14:paraId="769B5644">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学校宜建立危险化学品采购平台，所有危险化学品通过学校平台进行采购，平台内无此类危险化学品时须提前报备方可自购。学校未建立危险化学品采购平台的，应通过合格供应商渠道进行购买。</w:t>
      </w:r>
    </w:p>
    <w:p w14:paraId="40495B6D">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实验室应按要求从具有危险化学品安全生产许可证的生产厂家或危险化学品经营许可证的单位采购危险化学品。</w:t>
      </w:r>
    </w:p>
    <w:p w14:paraId="59452DA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实验室使用的危险化学品应有符合《化学品安全技术说明书内容和项目顺序》（</w:t>
      </w:r>
      <w:r>
        <w:rPr>
          <w:rFonts w:cs="Times New Roman"/>
          <w:kern w:val="0"/>
          <w:sz w:val="21"/>
          <w:szCs w:val="21"/>
        </w:rPr>
        <w:t>GB T16483</w:t>
      </w:r>
      <w:r>
        <w:rPr>
          <w:rFonts w:hint="eastAsia" w:cs="Times New Roman"/>
          <w:kern w:val="0"/>
          <w:sz w:val="21"/>
          <w:szCs w:val="21"/>
        </w:rPr>
        <w:t>）规定的化学品安全技术说明书并妥善保管，确保实验室人员能方便获得。进口危险化学品应有中文安全技术说明或其他说明。危险化学品包装物上应有符合《化学品安全标签编写规定》（</w:t>
      </w:r>
      <w:r>
        <w:rPr>
          <w:rFonts w:cs="Times New Roman"/>
          <w:kern w:val="0"/>
          <w:sz w:val="21"/>
          <w:szCs w:val="21"/>
        </w:rPr>
        <w:t>GB 15258</w:t>
      </w:r>
      <w:r>
        <w:rPr>
          <w:rFonts w:hint="eastAsia" w:cs="Times New Roman"/>
          <w:kern w:val="0"/>
          <w:sz w:val="21"/>
          <w:szCs w:val="21"/>
        </w:rPr>
        <w:t>）规定的化学品安全标签。</w:t>
      </w:r>
    </w:p>
    <w:p w14:paraId="4DF53D54">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严禁个人向不具备资质的单位或个人违规购买危险化学品。</w:t>
      </w:r>
    </w:p>
    <w:p w14:paraId="543E9B4D">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严禁购买、储存、使用国家明令禁止的危险化学品。</w:t>
      </w:r>
    </w:p>
    <w:p w14:paraId="00D8C65F">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严禁不具备危险品运输资质的运输车辆进入校园，危险品运输车辆进入校园应严格执行审批手续。</w:t>
      </w:r>
    </w:p>
    <w:p w14:paraId="173EE57C">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基于“最小化原则”，使用单位应尽可能减少单次危险化学品的采购量，对管制类化学品应按需购买，不得在实验室内大量囤积。</w:t>
      </w:r>
    </w:p>
    <w:p w14:paraId="62F677A6">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严禁将以学校名义购买的危险化学品私自带到校外其他单位使用。</w:t>
      </w:r>
    </w:p>
    <w:p w14:paraId="24590A1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实验室应严格检查危险化学品名称、数量、包装、“一书一签”，确认完好无误后方可登记入库，不符合要求的不得入库。</w:t>
      </w:r>
    </w:p>
    <w:p w14:paraId="06E4CA02">
      <w:pPr>
        <w:pStyle w:val="30"/>
        <w:numPr>
          <w:ilvl w:val="1"/>
          <w:numId w:val="2"/>
        </w:numPr>
        <w:adjustRightInd w:val="0"/>
        <w:snapToGrid w:val="0"/>
        <w:spacing w:before="120" w:beforeLines="50" w:after="120" w:afterLines="50" w:line="360" w:lineRule="exact"/>
        <w:ind w:firstLineChars="0"/>
        <w:jc w:val="left"/>
        <w:outlineLvl w:val="1"/>
        <w:rPr>
          <w:rFonts w:ascii="黑体" w:hAnsi="黑体" w:eastAsia="黑体" w:cs="Times New Roman"/>
          <w:kern w:val="0"/>
          <w:szCs w:val="21"/>
        </w:rPr>
      </w:pPr>
      <w:bookmarkStart w:id="70" w:name="_Toc163828044"/>
      <w:r>
        <w:rPr>
          <w:rFonts w:hint="eastAsia" w:ascii="黑体" w:hAnsi="黑体" w:eastAsia="黑体" w:cs="Times New Roman"/>
          <w:kern w:val="0"/>
          <w:szCs w:val="21"/>
        </w:rPr>
        <w:t>危险化学品储存</w:t>
      </w:r>
      <w:bookmarkEnd w:id="70"/>
    </w:p>
    <w:p w14:paraId="1226644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学校危险化学品储存应符合《建筑设计防火规范》（</w:t>
      </w:r>
      <w:r>
        <w:rPr>
          <w:rFonts w:cs="Times New Roman"/>
          <w:kern w:val="0"/>
          <w:sz w:val="21"/>
          <w:szCs w:val="21"/>
        </w:rPr>
        <w:t>GB 50016</w:t>
      </w:r>
      <w:r>
        <w:rPr>
          <w:rFonts w:hint="eastAsia" w:cs="Times New Roman"/>
          <w:kern w:val="0"/>
          <w:sz w:val="21"/>
          <w:szCs w:val="21"/>
        </w:rPr>
        <w:t>）、《危险化学品仓库储存通则》（</w:t>
      </w:r>
      <w:r>
        <w:rPr>
          <w:rFonts w:cs="Times New Roman"/>
          <w:kern w:val="0"/>
          <w:sz w:val="21"/>
          <w:szCs w:val="21"/>
        </w:rPr>
        <w:t>GB15603-2022</w:t>
      </w:r>
      <w:r>
        <w:rPr>
          <w:rFonts w:hint="eastAsia" w:cs="Times New Roman"/>
          <w:kern w:val="0"/>
          <w:sz w:val="21"/>
          <w:szCs w:val="21"/>
        </w:rPr>
        <w:t>）及《实验室危险化学品安全管理规范》（</w:t>
      </w:r>
      <w:r>
        <w:rPr>
          <w:rFonts w:cs="Times New Roman"/>
          <w:kern w:val="0"/>
          <w:sz w:val="21"/>
          <w:szCs w:val="21"/>
        </w:rPr>
        <w:t>DB11/T 1191-2015</w:t>
      </w:r>
      <w:r>
        <w:rPr>
          <w:rFonts w:hint="eastAsia" w:cs="Times New Roman"/>
          <w:kern w:val="0"/>
          <w:sz w:val="21"/>
          <w:szCs w:val="21"/>
        </w:rPr>
        <w:t>）规定，剧毒化学品应符合《剧毒化学品、放射存放场所治安防范要求》（</w:t>
      </w:r>
      <w:r>
        <w:rPr>
          <w:rFonts w:cs="Times New Roman"/>
          <w:kern w:val="0"/>
          <w:sz w:val="21"/>
          <w:szCs w:val="21"/>
        </w:rPr>
        <w:t>GA 1002-2012</w:t>
      </w:r>
      <w:r>
        <w:rPr>
          <w:rFonts w:hint="eastAsia" w:cs="Times New Roman"/>
          <w:kern w:val="0"/>
          <w:sz w:val="21"/>
          <w:szCs w:val="21"/>
        </w:rPr>
        <w:t>），易制爆化学品应符合《易制爆危险化学品储存场所治安防范要求》（</w:t>
      </w:r>
      <w:r>
        <w:rPr>
          <w:rFonts w:cs="Times New Roman"/>
          <w:kern w:val="0"/>
          <w:sz w:val="21"/>
          <w:szCs w:val="21"/>
        </w:rPr>
        <w:t>GA 1511-2018</w:t>
      </w:r>
      <w:r>
        <w:rPr>
          <w:rFonts w:hint="eastAsia" w:cs="Times New Roman"/>
          <w:kern w:val="0"/>
          <w:sz w:val="21"/>
          <w:szCs w:val="21"/>
        </w:rPr>
        <w:t>）。</w:t>
      </w:r>
    </w:p>
    <w:p w14:paraId="65E2B2F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实验室内危险化学品的总量控制：（</w:t>
      </w:r>
      <w:r>
        <w:rPr>
          <w:rFonts w:cs="Times New Roman"/>
          <w:kern w:val="0"/>
          <w:sz w:val="21"/>
          <w:szCs w:val="21"/>
        </w:rPr>
        <w:t>1</w:t>
      </w:r>
      <w:r>
        <w:rPr>
          <w:rFonts w:hint="eastAsia" w:cs="Times New Roman"/>
          <w:kern w:val="0"/>
          <w:sz w:val="21"/>
          <w:szCs w:val="21"/>
        </w:rPr>
        <w:t>）除压缩气体、剧毒化学品、爆炸品外，总量不应超过</w:t>
      </w:r>
      <w:r>
        <w:rPr>
          <w:rFonts w:cs="Times New Roman"/>
          <w:kern w:val="0"/>
          <w:sz w:val="21"/>
          <w:szCs w:val="21"/>
        </w:rPr>
        <w:t>1 L/m</w:t>
      </w:r>
      <w:r>
        <w:rPr>
          <w:rFonts w:cs="Times New Roman"/>
          <w:kern w:val="0"/>
          <w:sz w:val="21"/>
          <w:szCs w:val="21"/>
          <w:vertAlign w:val="superscript"/>
        </w:rPr>
        <w:t>2</w:t>
      </w:r>
      <w:r>
        <w:rPr>
          <w:rFonts w:hint="eastAsia" w:cs="Times New Roman"/>
          <w:kern w:val="0"/>
          <w:sz w:val="21"/>
          <w:szCs w:val="21"/>
        </w:rPr>
        <w:t>或</w:t>
      </w:r>
      <w:r>
        <w:rPr>
          <w:rFonts w:cs="Times New Roman"/>
          <w:kern w:val="0"/>
          <w:sz w:val="21"/>
          <w:szCs w:val="21"/>
        </w:rPr>
        <w:t>1 kg/m</w:t>
      </w:r>
      <w:r>
        <w:rPr>
          <w:rFonts w:cs="Times New Roman"/>
          <w:kern w:val="0"/>
          <w:sz w:val="21"/>
          <w:szCs w:val="21"/>
          <w:vertAlign w:val="superscript"/>
        </w:rPr>
        <w:t>2</w:t>
      </w:r>
      <w:r>
        <w:rPr>
          <w:rFonts w:hint="eastAsia" w:cs="Times New Roman"/>
          <w:kern w:val="0"/>
          <w:sz w:val="21"/>
          <w:szCs w:val="21"/>
        </w:rPr>
        <w:t>（按实验室面积计算）；（</w:t>
      </w:r>
      <w:r>
        <w:rPr>
          <w:rFonts w:cs="Times New Roman"/>
          <w:kern w:val="0"/>
          <w:sz w:val="21"/>
          <w:szCs w:val="21"/>
        </w:rPr>
        <w:t>2</w:t>
      </w:r>
      <w:r>
        <w:rPr>
          <w:rFonts w:hint="eastAsia" w:cs="Times New Roman"/>
          <w:kern w:val="0"/>
          <w:sz w:val="21"/>
          <w:szCs w:val="21"/>
        </w:rPr>
        <w:t>）易燃易爆化学品总量≤</w:t>
      </w:r>
      <w:r>
        <w:rPr>
          <w:rFonts w:cs="Times New Roman"/>
          <w:kern w:val="0"/>
          <w:sz w:val="21"/>
          <w:szCs w:val="21"/>
        </w:rPr>
        <w:t>50 L</w:t>
      </w:r>
      <w:r>
        <w:rPr>
          <w:rFonts w:hint="eastAsia" w:cs="Times New Roman"/>
          <w:kern w:val="0"/>
          <w:sz w:val="21"/>
          <w:szCs w:val="21"/>
        </w:rPr>
        <w:t>或</w:t>
      </w:r>
      <w:r>
        <w:rPr>
          <w:rFonts w:cs="Times New Roman"/>
          <w:kern w:val="0"/>
          <w:sz w:val="21"/>
          <w:szCs w:val="21"/>
        </w:rPr>
        <w:t>50 kg</w:t>
      </w:r>
      <w:r>
        <w:rPr>
          <w:rFonts w:hint="eastAsia" w:cs="Times New Roman"/>
          <w:kern w:val="0"/>
          <w:sz w:val="21"/>
          <w:szCs w:val="21"/>
        </w:rPr>
        <w:t>（单一包装≤</w:t>
      </w:r>
      <w:r>
        <w:rPr>
          <w:rFonts w:cs="Times New Roman"/>
          <w:kern w:val="0"/>
          <w:sz w:val="21"/>
          <w:szCs w:val="21"/>
        </w:rPr>
        <w:t>20 L</w:t>
      </w:r>
      <w:r>
        <w:rPr>
          <w:rFonts w:hint="eastAsia" w:cs="Times New Roman"/>
          <w:kern w:val="0"/>
          <w:sz w:val="21"/>
          <w:szCs w:val="21"/>
        </w:rPr>
        <w:t>或</w:t>
      </w:r>
      <w:r>
        <w:rPr>
          <w:rFonts w:cs="Times New Roman"/>
          <w:kern w:val="0"/>
          <w:sz w:val="21"/>
          <w:szCs w:val="21"/>
        </w:rPr>
        <w:t>20 kg</w:t>
      </w:r>
      <w:r>
        <w:rPr>
          <w:rFonts w:hint="eastAsia" w:cs="Times New Roman"/>
          <w:kern w:val="0"/>
          <w:sz w:val="21"/>
          <w:szCs w:val="21"/>
        </w:rPr>
        <w:t>）；（</w:t>
      </w:r>
      <w:r>
        <w:rPr>
          <w:rFonts w:cs="Times New Roman"/>
          <w:kern w:val="0"/>
          <w:sz w:val="21"/>
          <w:szCs w:val="21"/>
        </w:rPr>
        <w:t>3</w:t>
      </w:r>
      <w:r>
        <w:rPr>
          <w:rFonts w:hint="eastAsia" w:cs="Times New Roman"/>
          <w:kern w:val="0"/>
          <w:sz w:val="21"/>
          <w:szCs w:val="21"/>
        </w:rPr>
        <w:t>）安全柜外存放量：液体≤</w:t>
      </w:r>
      <w:r>
        <w:rPr>
          <w:rFonts w:cs="Times New Roman"/>
          <w:kern w:val="0"/>
          <w:sz w:val="21"/>
          <w:szCs w:val="21"/>
        </w:rPr>
        <w:t>0.2 L/m</w:t>
      </w:r>
      <w:r>
        <w:rPr>
          <w:rFonts w:hint="eastAsia" w:cs="Times New Roman"/>
          <w:kern w:val="0"/>
          <w:sz w:val="21"/>
          <w:szCs w:val="21"/>
        </w:rPr>
        <w:t>²、固体≤</w:t>
      </w:r>
      <w:r>
        <w:rPr>
          <w:rFonts w:cs="Times New Roman"/>
          <w:kern w:val="0"/>
          <w:sz w:val="21"/>
          <w:szCs w:val="21"/>
        </w:rPr>
        <w:t>0.2 kg/m</w:t>
      </w:r>
      <w:r>
        <w:rPr>
          <w:rFonts w:hint="eastAsia" w:cs="Times New Roman"/>
          <w:kern w:val="0"/>
          <w:sz w:val="21"/>
          <w:szCs w:val="21"/>
        </w:rPr>
        <w:t>²。</w:t>
      </w:r>
    </w:p>
    <w:p w14:paraId="44F7A0A4">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剧毒化学品管理：（</w:t>
      </w:r>
      <w:r>
        <w:rPr>
          <w:rFonts w:cs="Times New Roman"/>
          <w:kern w:val="0"/>
          <w:sz w:val="21"/>
          <w:szCs w:val="21"/>
        </w:rPr>
        <w:t>1</w:t>
      </w:r>
      <w:r>
        <w:rPr>
          <w:rFonts w:hint="eastAsia" w:cs="Times New Roman"/>
          <w:kern w:val="0"/>
          <w:sz w:val="21"/>
          <w:szCs w:val="21"/>
        </w:rPr>
        <w:t>）须严格执行“五双”制度（双人保管、双锁、收发、领退、使用）；（</w:t>
      </w:r>
      <w:r>
        <w:rPr>
          <w:rFonts w:cs="Times New Roman"/>
          <w:kern w:val="0"/>
          <w:sz w:val="21"/>
          <w:szCs w:val="21"/>
        </w:rPr>
        <w:t>2</w:t>
      </w:r>
      <w:r>
        <w:rPr>
          <w:rFonts w:hint="eastAsia" w:cs="Times New Roman"/>
          <w:kern w:val="0"/>
          <w:sz w:val="21"/>
          <w:szCs w:val="21"/>
        </w:rPr>
        <w:t>）当日未用完的剧毒化学品须存放于专用保险柜，严禁过夜；（</w:t>
      </w:r>
      <w:r>
        <w:rPr>
          <w:rFonts w:cs="Times New Roman"/>
          <w:kern w:val="0"/>
          <w:sz w:val="21"/>
          <w:szCs w:val="21"/>
        </w:rPr>
        <w:t>3</w:t>
      </w:r>
      <w:r>
        <w:rPr>
          <w:rFonts w:hint="eastAsia" w:cs="Times New Roman"/>
          <w:kern w:val="0"/>
          <w:sz w:val="21"/>
          <w:szCs w:val="21"/>
        </w:rPr>
        <w:t>）储存场所须配备防盗视频监控报警装置。</w:t>
      </w:r>
    </w:p>
    <w:p w14:paraId="6ADA8C4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申购与入库要求：（</w:t>
      </w:r>
      <w:r>
        <w:rPr>
          <w:rFonts w:cs="Times New Roman"/>
          <w:kern w:val="0"/>
          <w:sz w:val="21"/>
          <w:szCs w:val="21"/>
        </w:rPr>
        <w:t>1</w:t>
      </w:r>
      <w:r>
        <w:rPr>
          <w:rFonts w:hint="eastAsia" w:cs="Times New Roman"/>
          <w:kern w:val="0"/>
          <w:sz w:val="21"/>
          <w:szCs w:val="21"/>
        </w:rPr>
        <w:t>）危化品及易制毒化学品入库前由申购单位抽检化验，不合格品禁止入库；（</w:t>
      </w:r>
      <w:r>
        <w:rPr>
          <w:rFonts w:cs="Times New Roman"/>
          <w:kern w:val="0"/>
          <w:sz w:val="21"/>
          <w:szCs w:val="21"/>
        </w:rPr>
        <w:t>2</w:t>
      </w:r>
      <w:r>
        <w:rPr>
          <w:rFonts w:hint="eastAsia" w:cs="Times New Roman"/>
          <w:kern w:val="0"/>
          <w:sz w:val="21"/>
          <w:szCs w:val="21"/>
        </w:rPr>
        <w:t>）剧毒、易制毒、易制爆化学品须报备储存地点、数量及管理人员信息。</w:t>
      </w:r>
    </w:p>
    <w:p w14:paraId="5D44F57B">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储存设施要求：（</w:t>
      </w:r>
      <w:r>
        <w:rPr>
          <w:rFonts w:cs="Times New Roman"/>
          <w:kern w:val="0"/>
          <w:sz w:val="21"/>
          <w:szCs w:val="21"/>
        </w:rPr>
        <w:t>1</w:t>
      </w:r>
      <w:r>
        <w:rPr>
          <w:rFonts w:hint="eastAsia" w:cs="Times New Roman"/>
          <w:kern w:val="0"/>
          <w:sz w:val="21"/>
          <w:szCs w:val="21"/>
        </w:rPr>
        <w:t>）专用仓库</w:t>
      </w:r>
      <w:r>
        <w:rPr>
          <w:rFonts w:cs="Times New Roman"/>
          <w:kern w:val="0"/>
          <w:sz w:val="21"/>
          <w:szCs w:val="21"/>
        </w:rPr>
        <w:t>/</w:t>
      </w:r>
      <w:r>
        <w:rPr>
          <w:rFonts w:hint="eastAsia" w:cs="Times New Roman"/>
          <w:kern w:val="0"/>
          <w:sz w:val="21"/>
          <w:szCs w:val="21"/>
        </w:rPr>
        <w:t>储存室（柜）应配备通风、防爆、防火、防雷、泄压等安全设施；（</w:t>
      </w:r>
      <w:r>
        <w:rPr>
          <w:rFonts w:cs="Times New Roman"/>
          <w:kern w:val="0"/>
          <w:sz w:val="21"/>
          <w:szCs w:val="21"/>
        </w:rPr>
        <w:t>2</w:t>
      </w:r>
      <w:r>
        <w:rPr>
          <w:rFonts w:hint="eastAsia" w:cs="Times New Roman"/>
          <w:kern w:val="0"/>
          <w:sz w:val="21"/>
          <w:szCs w:val="21"/>
        </w:rPr>
        <w:t>）甲</w:t>
      </w:r>
      <w:r>
        <w:rPr>
          <w:rFonts w:cs="Times New Roman"/>
          <w:kern w:val="0"/>
          <w:sz w:val="21"/>
          <w:szCs w:val="21"/>
        </w:rPr>
        <w:t>/</w:t>
      </w:r>
      <w:r>
        <w:rPr>
          <w:rFonts w:hint="eastAsia" w:cs="Times New Roman"/>
          <w:kern w:val="0"/>
          <w:sz w:val="21"/>
          <w:szCs w:val="21"/>
        </w:rPr>
        <w:t>乙类化学品禁止存放于地下室或半地下室；（</w:t>
      </w:r>
      <w:r>
        <w:rPr>
          <w:rFonts w:cs="Times New Roman"/>
          <w:kern w:val="0"/>
          <w:sz w:val="21"/>
          <w:szCs w:val="21"/>
        </w:rPr>
        <w:t>3</w:t>
      </w:r>
      <w:r>
        <w:rPr>
          <w:rFonts w:hint="eastAsia" w:cs="Times New Roman"/>
          <w:kern w:val="0"/>
          <w:sz w:val="21"/>
          <w:szCs w:val="21"/>
        </w:rPr>
        <w:t>）腐蚀性物品须单独存放于耐腐蚀容器中。</w:t>
      </w:r>
    </w:p>
    <w:p w14:paraId="398A609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实验室特殊要求：（</w:t>
      </w:r>
      <w:r>
        <w:rPr>
          <w:rFonts w:cs="Times New Roman"/>
          <w:kern w:val="0"/>
          <w:sz w:val="21"/>
          <w:szCs w:val="21"/>
        </w:rPr>
        <w:t>1</w:t>
      </w:r>
      <w:r>
        <w:rPr>
          <w:rFonts w:hint="eastAsia" w:cs="Times New Roman"/>
          <w:kern w:val="0"/>
          <w:sz w:val="21"/>
          <w:szCs w:val="21"/>
        </w:rPr>
        <w:t>）人员密集场所易燃易爆品存量不应超过</w:t>
      </w:r>
      <w:r>
        <w:rPr>
          <w:rFonts w:cs="Times New Roman"/>
          <w:kern w:val="0"/>
          <w:sz w:val="21"/>
          <w:szCs w:val="21"/>
        </w:rPr>
        <w:t>1</w:t>
      </w:r>
      <w:r>
        <w:rPr>
          <w:rFonts w:hint="eastAsia" w:cs="Times New Roman"/>
          <w:kern w:val="0"/>
          <w:sz w:val="21"/>
          <w:szCs w:val="21"/>
        </w:rPr>
        <w:t>天用量，应由专人管理登记；实验装置储罐容量：甲类≥</w:t>
      </w:r>
      <w:r>
        <w:rPr>
          <w:rFonts w:cs="Times New Roman"/>
          <w:kern w:val="0"/>
          <w:sz w:val="21"/>
          <w:szCs w:val="21"/>
        </w:rPr>
        <w:t>10 L</w:t>
      </w:r>
      <w:r>
        <w:rPr>
          <w:rFonts w:hint="eastAsia" w:cs="Times New Roman"/>
          <w:kern w:val="0"/>
          <w:sz w:val="21"/>
          <w:szCs w:val="21"/>
        </w:rPr>
        <w:t>、乙类≥</w:t>
      </w:r>
      <w:r>
        <w:rPr>
          <w:rFonts w:cs="Times New Roman"/>
          <w:kern w:val="0"/>
          <w:sz w:val="21"/>
          <w:szCs w:val="21"/>
        </w:rPr>
        <w:t>20 L</w:t>
      </w:r>
      <w:r>
        <w:rPr>
          <w:rFonts w:hint="eastAsia" w:cs="Times New Roman"/>
          <w:kern w:val="0"/>
          <w:sz w:val="21"/>
          <w:szCs w:val="21"/>
        </w:rPr>
        <w:t>、丙类≥</w:t>
      </w:r>
      <w:r>
        <w:rPr>
          <w:rFonts w:cs="Times New Roman"/>
          <w:kern w:val="0"/>
          <w:sz w:val="21"/>
          <w:szCs w:val="21"/>
        </w:rPr>
        <w:t>50 L</w:t>
      </w:r>
      <w:r>
        <w:rPr>
          <w:rFonts w:hint="eastAsia" w:cs="Times New Roman"/>
          <w:kern w:val="0"/>
          <w:sz w:val="21"/>
          <w:szCs w:val="21"/>
        </w:rPr>
        <w:t>时，须加装泄漏报警及通风联动装置。</w:t>
      </w:r>
    </w:p>
    <w:p w14:paraId="0CA8C386">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安全标识与检查</w:t>
      </w:r>
      <w:r>
        <w:rPr>
          <w:rFonts w:cs="Times New Roman"/>
          <w:kern w:val="0"/>
          <w:sz w:val="21"/>
          <w:szCs w:val="21"/>
        </w:rPr>
        <w:t>:</w:t>
      </w:r>
      <w:r>
        <w:rPr>
          <w:rFonts w:hint="eastAsia" w:cs="Times New Roman"/>
          <w:kern w:val="0"/>
          <w:sz w:val="21"/>
          <w:szCs w:val="21"/>
        </w:rPr>
        <w:t>（</w:t>
      </w:r>
      <w:r>
        <w:rPr>
          <w:rFonts w:cs="Times New Roman"/>
          <w:kern w:val="0"/>
          <w:sz w:val="21"/>
          <w:szCs w:val="21"/>
        </w:rPr>
        <w:t>1</w:t>
      </w:r>
      <w:r>
        <w:rPr>
          <w:rFonts w:hint="eastAsia" w:cs="Times New Roman"/>
          <w:kern w:val="0"/>
          <w:sz w:val="21"/>
          <w:szCs w:val="21"/>
        </w:rPr>
        <w:t>）储存场所须设置明显安全警示标志及有效报警装置；（</w:t>
      </w:r>
      <w:r>
        <w:rPr>
          <w:rFonts w:cs="Times New Roman"/>
          <w:kern w:val="0"/>
          <w:sz w:val="21"/>
          <w:szCs w:val="21"/>
        </w:rPr>
        <w:t>2</w:t>
      </w:r>
      <w:r>
        <w:rPr>
          <w:rFonts w:hint="eastAsia" w:cs="Times New Roman"/>
          <w:kern w:val="0"/>
          <w:sz w:val="21"/>
          <w:szCs w:val="21"/>
        </w:rPr>
        <w:t>）危险化学品柜门张贴动态清单（名称、数量、位置），每月至少更新一次；（</w:t>
      </w:r>
      <w:r>
        <w:rPr>
          <w:rFonts w:cs="Times New Roman"/>
          <w:kern w:val="0"/>
          <w:sz w:val="21"/>
          <w:szCs w:val="21"/>
        </w:rPr>
        <w:t>3</w:t>
      </w:r>
      <w:r>
        <w:rPr>
          <w:rFonts w:hint="eastAsia" w:cs="Times New Roman"/>
          <w:kern w:val="0"/>
          <w:sz w:val="21"/>
          <w:szCs w:val="21"/>
        </w:rPr>
        <w:t>）定期安全检查，发现问题立即处理。</w:t>
      </w:r>
    </w:p>
    <w:p w14:paraId="41619B6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分类与储存规定：（</w:t>
      </w:r>
      <w:r>
        <w:rPr>
          <w:rFonts w:cs="Times New Roman"/>
          <w:kern w:val="0"/>
          <w:sz w:val="21"/>
          <w:szCs w:val="21"/>
        </w:rPr>
        <w:t>1</w:t>
      </w:r>
      <w:r>
        <w:rPr>
          <w:rFonts w:hint="eastAsia" w:cs="Times New Roman"/>
          <w:kern w:val="0"/>
          <w:sz w:val="21"/>
          <w:szCs w:val="21"/>
        </w:rPr>
        <w:t>）压缩气体与爆炸品、氧化剂隔离贮存；（</w:t>
      </w:r>
      <w:r>
        <w:rPr>
          <w:rFonts w:cs="Times New Roman"/>
          <w:kern w:val="0"/>
          <w:sz w:val="21"/>
          <w:szCs w:val="21"/>
        </w:rPr>
        <w:t>2</w:t>
      </w:r>
      <w:r>
        <w:rPr>
          <w:rFonts w:hint="eastAsia" w:cs="Times New Roman"/>
          <w:kern w:val="0"/>
          <w:sz w:val="21"/>
          <w:szCs w:val="21"/>
        </w:rPr>
        <w:t>）易燃气体与助燃气体、剧毒气体分室存放；（</w:t>
      </w:r>
      <w:r>
        <w:rPr>
          <w:rFonts w:cs="Times New Roman"/>
          <w:kern w:val="0"/>
          <w:sz w:val="21"/>
          <w:szCs w:val="21"/>
        </w:rPr>
        <w:t>3</w:t>
      </w:r>
      <w:r>
        <w:rPr>
          <w:rFonts w:hint="eastAsia" w:cs="Times New Roman"/>
          <w:kern w:val="0"/>
          <w:sz w:val="21"/>
          <w:szCs w:val="21"/>
        </w:rPr>
        <w:t>）氧气与油脂、氧化剂与易燃物严格分离；（</w:t>
      </w:r>
      <w:r>
        <w:rPr>
          <w:rFonts w:cs="Times New Roman"/>
          <w:kern w:val="0"/>
          <w:sz w:val="21"/>
          <w:szCs w:val="21"/>
        </w:rPr>
        <w:t>4</w:t>
      </w:r>
      <w:r>
        <w:rPr>
          <w:rFonts w:hint="eastAsia" w:cs="Times New Roman"/>
          <w:kern w:val="0"/>
          <w:sz w:val="21"/>
          <w:szCs w:val="21"/>
        </w:rPr>
        <w:t>）剧毒品、爆炸品、腐蚀性化学品分别单独存放于专用储存柜。</w:t>
      </w:r>
    </w:p>
    <w:p w14:paraId="3B125CBF">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气瓶管理：（</w:t>
      </w:r>
      <w:r>
        <w:rPr>
          <w:rFonts w:cs="Times New Roman"/>
          <w:kern w:val="0"/>
          <w:sz w:val="21"/>
          <w:szCs w:val="21"/>
        </w:rPr>
        <w:t>1</w:t>
      </w:r>
      <w:r>
        <w:rPr>
          <w:rFonts w:hint="eastAsia" w:cs="Times New Roman"/>
          <w:kern w:val="0"/>
          <w:sz w:val="21"/>
          <w:szCs w:val="21"/>
        </w:rPr>
        <w:t>）按</w:t>
      </w:r>
      <w:r>
        <w:rPr>
          <w:rFonts w:cs="Times New Roman"/>
          <w:kern w:val="0"/>
          <w:sz w:val="21"/>
          <w:szCs w:val="21"/>
        </w:rPr>
        <w:t>GB 16163</w:t>
      </w:r>
      <w:r>
        <w:rPr>
          <w:rFonts w:hint="eastAsia" w:cs="Times New Roman"/>
          <w:kern w:val="0"/>
          <w:sz w:val="21"/>
          <w:szCs w:val="21"/>
        </w:rPr>
        <w:t>分类分区存放，可燃性与氧化性气体分室储存；（</w:t>
      </w:r>
      <w:r>
        <w:rPr>
          <w:rFonts w:cs="Times New Roman"/>
          <w:kern w:val="0"/>
          <w:sz w:val="21"/>
          <w:szCs w:val="21"/>
        </w:rPr>
        <w:t>2</w:t>
      </w:r>
      <w:r>
        <w:rPr>
          <w:rFonts w:hint="eastAsia" w:cs="Times New Roman"/>
          <w:kern w:val="0"/>
          <w:sz w:val="21"/>
          <w:szCs w:val="21"/>
        </w:rPr>
        <w:t>）气瓶直立固定，戴瓶帽及防震圈，空瓶与重瓶分区标识。</w:t>
      </w:r>
    </w:p>
    <w:p w14:paraId="4A7CED3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建筑安全要求：（</w:t>
      </w:r>
      <w:r>
        <w:rPr>
          <w:rFonts w:cs="Times New Roman"/>
          <w:kern w:val="0"/>
          <w:sz w:val="21"/>
          <w:szCs w:val="21"/>
        </w:rPr>
        <w:t>1</w:t>
      </w:r>
      <w:r>
        <w:rPr>
          <w:rFonts w:hint="eastAsia" w:cs="Times New Roman"/>
          <w:kern w:val="0"/>
          <w:sz w:val="21"/>
          <w:szCs w:val="21"/>
        </w:rPr>
        <w:t>）易燃易爆建筑安装《建筑物防雷设计规范》（</w:t>
      </w:r>
      <w:r>
        <w:rPr>
          <w:rFonts w:cs="Times New Roman"/>
          <w:kern w:val="0"/>
          <w:sz w:val="21"/>
          <w:szCs w:val="21"/>
        </w:rPr>
        <w:t>GB 50057-2019</w:t>
      </w:r>
      <w:r>
        <w:rPr>
          <w:rFonts w:hint="eastAsia" w:cs="Times New Roman"/>
          <w:kern w:val="0"/>
          <w:sz w:val="21"/>
          <w:szCs w:val="21"/>
        </w:rPr>
        <w:t>）标准避雷设施；（</w:t>
      </w:r>
      <w:r>
        <w:rPr>
          <w:rFonts w:cs="Times New Roman"/>
          <w:kern w:val="0"/>
          <w:sz w:val="21"/>
          <w:szCs w:val="21"/>
        </w:rPr>
        <w:t>2</w:t>
      </w:r>
      <w:r>
        <w:rPr>
          <w:rFonts w:hint="eastAsia" w:cs="Times New Roman"/>
          <w:kern w:val="0"/>
          <w:sz w:val="21"/>
          <w:szCs w:val="21"/>
        </w:rPr>
        <w:t>）重大危险源实验室外部安全距离符合</w:t>
      </w:r>
      <w:r>
        <w:rPr>
          <w:rFonts w:cs="Times New Roman"/>
          <w:kern w:val="0"/>
          <w:sz w:val="21"/>
          <w:szCs w:val="21"/>
        </w:rPr>
        <w:t>GB 18265-2019</w:t>
      </w:r>
      <w:r>
        <w:rPr>
          <w:rFonts w:hint="eastAsia" w:cs="Times New Roman"/>
          <w:kern w:val="0"/>
          <w:sz w:val="21"/>
          <w:szCs w:val="21"/>
        </w:rPr>
        <w:t>；（</w:t>
      </w:r>
      <w:r>
        <w:rPr>
          <w:rFonts w:cs="Times New Roman"/>
          <w:kern w:val="0"/>
          <w:sz w:val="21"/>
          <w:szCs w:val="21"/>
        </w:rPr>
        <w:t>3</w:t>
      </w:r>
      <w:r>
        <w:rPr>
          <w:rFonts w:hint="eastAsia" w:cs="Times New Roman"/>
          <w:kern w:val="0"/>
          <w:sz w:val="21"/>
          <w:szCs w:val="21"/>
        </w:rPr>
        <w:t>）甲</w:t>
      </w:r>
      <w:r>
        <w:rPr>
          <w:rFonts w:cs="Times New Roman"/>
          <w:kern w:val="0"/>
          <w:sz w:val="21"/>
          <w:szCs w:val="21"/>
        </w:rPr>
        <w:t>/</w:t>
      </w:r>
      <w:r>
        <w:rPr>
          <w:rFonts w:hint="eastAsia" w:cs="Times New Roman"/>
          <w:kern w:val="0"/>
          <w:sz w:val="21"/>
          <w:szCs w:val="21"/>
        </w:rPr>
        <w:t>乙类液体场所设置防流散设施，遇湿易燃场所防水浸渍。</w:t>
      </w:r>
    </w:p>
    <w:p w14:paraId="35A645E8">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废弃危化品管理：（</w:t>
      </w:r>
      <w:r>
        <w:rPr>
          <w:rFonts w:cs="Times New Roman"/>
          <w:kern w:val="0"/>
          <w:sz w:val="21"/>
          <w:szCs w:val="21"/>
        </w:rPr>
        <w:t>1</w:t>
      </w:r>
      <w:r>
        <w:rPr>
          <w:rFonts w:hint="eastAsia" w:cs="Times New Roman"/>
          <w:kern w:val="0"/>
          <w:sz w:val="21"/>
          <w:szCs w:val="21"/>
        </w:rPr>
        <w:t>）按危废处置，临时储存需建立台账并明确标识名称；（</w:t>
      </w:r>
      <w:r>
        <w:rPr>
          <w:rFonts w:cs="Times New Roman"/>
          <w:kern w:val="0"/>
          <w:sz w:val="21"/>
          <w:szCs w:val="21"/>
        </w:rPr>
        <w:t>2</w:t>
      </w:r>
      <w:r>
        <w:rPr>
          <w:rFonts w:hint="eastAsia" w:cs="Times New Roman"/>
          <w:kern w:val="0"/>
          <w:sz w:val="21"/>
          <w:szCs w:val="21"/>
        </w:rPr>
        <w:t>）储存容器禁止使用代号标注。</w:t>
      </w:r>
    </w:p>
    <w:p w14:paraId="46D49BB7">
      <w:pPr>
        <w:pStyle w:val="30"/>
        <w:numPr>
          <w:ilvl w:val="1"/>
          <w:numId w:val="2"/>
        </w:numPr>
        <w:adjustRightInd w:val="0"/>
        <w:snapToGrid w:val="0"/>
        <w:spacing w:before="120" w:beforeLines="50" w:after="120" w:afterLines="50" w:line="360" w:lineRule="exact"/>
        <w:ind w:firstLineChars="0"/>
        <w:jc w:val="left"/>
        <w:outlineLvl w:val="1"/>
        <w:rPr>
          <w:rFonts w:ascii="黑体" w:hAnsi="黑体" w:eastAsia="黑体" w:cs="Times New Roman"/>
          <w:kern w:val="0"/>
          <w:szCs w:val="21"/>
        </w:rPr>
      </w:pPr>
      <w:bookmarkStart w:id="71" w:name="_Toc163828045"/>
      <w:r>
        <w:rPr>
          <w:rFonts w:hint="eastAsia" w:ascii="黑体" w:hAnsi="黑体" w:eastAsia="黑体" w:cs="Times New Roman"/>
          <w:kern w:val="0"/>
          <w:szCs w:val="21"/>
        </w:rPr>
        <w:t>危险化学品使用</w:t>
      </w:r>
      <w:bookmarkEnd w:id="71"/>
    </w:p>
    <w:p w14:paraId="02CF617F">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使用操作时应考虑危险化学品的特性并按照操作规程执行，应以安全技术说明书相关内容为指导做好个人防护。</w:t>
      </w:r>
    </w:p>
    <w:p w14:paraId="65668B6D">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使用人员须将安全标签贴在危险化学品的容器上，制定实验指导书或安全操作规程，进行风险评估，并制定规范、科学的应急预案。使用单位应对危险化学品的使用情况，包括安全技术说明书和安全标签的落实情况，进行监督管理。</w:t>
      </w:r>
    </w:p>
    <w:p w14:paraId="29FFCD8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危险化学品使用前要制订实验方案及其应急防范措施，尤其在使用易燃易爆品、剧毒品、致病性病原微生物以及有压力反应等危险性较大的实验时，严禁盲目操作。</w:t>
      </w:r>
    </w:p>
    <w:p w14:paraId="2D12DB7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人员要严格执行危险化学品安全管理各项规定，安全使用、安全操作，并及时做好实验记录。在实验中，对于剧毒化学品、民用爆炸物品、第一类易制毒化学品的使用须逐次逐条双人记录；第二、三类易制毒化学品、易制爆危险化学品、麻醉药品、精神药品和医疗用毒性药品的使用须逐次逐条记录，其他化学品允许按包装规格一次性登记。</w:t>
      </w:r>
    </w:p>
    <w:p w14:paraId="477927F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实验人员经培训考核合格后方能使用危险化学品，涉及危险化学品的实验应由通过培训考核的授权使用人进行操作。培训内容包括但不限于实验所涉及的试剂、设备、个人防护、应急处置等内容。</w:t>
      </w:r>
    </w:p>
    <w:p w14:paraId="0DFDEA46">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使用危险化学品的实验室须制定危险化学品的安全操作规程及应急措施，并张贴上墙或置于显眼位置。</w:t>
      </w:r>
    </w:p>
    <w:p w14:paraId="6A599148">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实验室危险化学品的使用应从小量试验开始，经过安全评估后才能进行大量试验，严禁未经允许进行危险化学品大规模试验。</w:t>
      </w:r>
    </w:p>
    <w:p w14:paraId="63A97AA8">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领用危险化学品应填写领用记录，易制毒、易制爆与剧毒化学品的领取，应由两人以当日实验的用量领取，如有剩余应在当日退回，并填写相关记录。</w:t>
      </w:r>
    </w:p>
    <w:p w14:paraId="0588EC35">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危险化学品的移取、称量、操作应根据其危害性在通风橱、平衡通风罩、手套箱内或特定的区域进行。</w:t>
      </w:r>
    </w:p>
    <w:p w14:paraId="70DA6ED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取用危险化学品时，应轻拿轻放，防止震动、撞击、倾倒及颠覆，用后应及时盖紧。取用时禁止用手直接接触危险化学品；禁止通过直接接近瓶口或入口方式鉴别危险化学品。</w:t>
      </w:r>
    </w:p>
    <w:p w14:paraId="06DA1F4C">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任何可能产生高浓度有害气体而导致个人曝露、或产生可燃、可爆炸气体或蒸汽而导致积聚的实验，都应在通风柜内进行；通风柜玻璃视窗材料应为钢化玻璃（电源开关、电源插头等须在通风橱外）。</w:t>
      </w:r>
    </w:p>
    <w:p w14:paraId="78EF524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实验人员在通风柜进行实验时，避免将头伸入调节门内；不可将一次性手套或较轻的塑料袋等留在通风柜内，以免堵塞排风口。</w:t>
      </w:r>
    </w:p>
    <w:p w14:paraId="1034DD1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当由原包装物转移或分装到其他包装物内时，转移或分装后的包装物应及时重新粘贴标识；化学品标签脱落、模糊、腐蚀后应及时补上，如不能确认，应以不明废弃化学品处置。</w:t>
      </w:r>
    </w:p>
    <w:p w14:paraId="226258B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学生使用危险化学品进行实验时，须在老师的指导下进行，防止丢失、污染、中毒和其他事故发生。</w:t>
      </w:r>
    </w:p>
    <w:p w14:paraId="31F10A11">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实验过程中应有人在岗值守，进行高危险性实验时至少</w:t>
      </w:r>
      <w:r>
        <w:rPr>
          <w:rFonts w:cs="Times New Roman"/>
          <w:kern w:val="0"/>
          <w:sz w:val="21"/>
          <w:szCs w:val="21"/>
        </w:rPr>
        <w:t>2</w:t>
      </w:r>
      <w:r>
        <w:rPr>
          <w:rFonts w:hint="eastAsia" w:cs="Times New Roman"/>
          <w:kern w:val="0"/>
          <w:sz w:val="21"/>
          <w:szCs w:val="21"/>
        </w:rPr>
        <w:t>人在场，并合理控制人员数量，实验结束后及时关闭水电气、门窗、仪器设备等。</w:t>
      </w:r>
    </w:p>
    <w:p w14:paraId="071BF583">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实验结束，废弃物按规定分类收集，记录相关信息。做好自身清洁，不带污染物离开。危险化学品不慎洒落地面或实验台面上，按照</w:t>
      </w:r>
      <w:r>
        <w:rPr>
          <w:rFonts w:cs="Times New Roman"/>
          <w:kern w:val="0"/>
          <w:sz w:val="21"/>
          <w:szCs w:val="21"/>
        </w:rPr>
        <w:t>安全技术说明书</w:t>
      </w:r>
      <w:r>
        <w:rPr>
          <w:rFonts w:hint="eastAsia" w:cs="Times New Roman"/>
          <w:kern w:val="0"/>
          <w:sz w:val="21"/>
          <w:szCs w:val="21"/>
        </w:rPr>
        <w:t>要求及时妥善处理。</w:t>
      </w:r>
    </w:p>
    <w:p w14:paraId="56A65311">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严禁在校园内开展化工中试项目，化工中试项目应参照《江苏省化工中试基地和中试项目管理办法（试行）》（苏工信规第</w:t>
      </w:r>
      <w:r>
        <w:rPr>
          <w:rFonts w:cs="Times New Roman"/>
          <w:kern w:val="0"/>
          <w:sz w:val="21"/>
          <w:szCs w:val="21"/>
        </w:rPr>
        <w:t>2</w:t>
      </w:r>
      <w:r>
        <w:rPr>
          <w:rFonts w:hint="eastAsia" w:cs="Times New Roman"/>
          <w:kern w:val="0"/>
          <w:sz w:val="21"/>
          <w:szCs w:val="21"/>
        </w:rPr>
        <w:t>号，2</w:t>
      </w:r>
      <w:r>
        <w:rPr>
          <w:rFonts w:cs="Times New Roman"/>
          <w:kern w:val="0"/>
          <w:sz w:val="21"/>
          <w:szCs w:val="21"/>
        </w:rPr>
        <w:t>021</w:t>
      </w:r>
      <w:r>
        <w:rPr>
          <w:rFonts w:hint="eastAsia" w:cs="Times New Roman"/>
          <w:kern w:val="0"/>
          <w:sz w:val="21"/>
          <w:szCs w:val="21"/>
        </w:rPr>
        <w:t>年）执行。</w:t>
      </w:r>
    </w:p>
    <w:p w14:paraId="45CDA105">
      <w:pPr>
        <w:pStyle w:val="30"/>
        <w:numPr>
          <w:ilvl w:val="1"/>
          <w:numId w:val="2"/>
        </w:numPr>
        <w:adjustRightInd w:val="0"/>
        <w:snapToGrid w:val="0"/>
        <w:spacing w:before="120" w:beforeLines="50" w:after="120" w:afterLines="50" w:line="360" w:lineRule="exact"/>
        <w:ind w:firstLineChars="0"/>
        <w:jc w:val="left"/>
        <w:outlineLvl w:val="1"/>
        <w:rPr>
          <w:rFonts w:ascii="黑体" w:hAnsi="黑体" w:eastAsia="黑体" w:cs="Times New Roman"/>
          <w:kern w:val="0"/>
          <w:szCs w:val="21"/>
        </w:rPr>
      </w:pPr>
      <w:bookmarkStart w:id="72" w:name="_Toc163828046"/>
      <w:r>
        <w:rPr>
          <w:rFonts w:hint="eastAsia" w:ascii="黑体" w:hAnsi="黑体" w:eastAsia="黑体" w:cs="Times New Roman"/>
          <w:kern w:val="0"/>
          <w:szCs w:val="21"/>
        </w:rPr>
        <w:t>危险化学品废弃</w:t>
      </w:r>
      <w:bookmarkEnd w:id="72"/>
    </w:p>
    <w:bookmarkEnd w:id="65"/>
    <w:bookmarkEnd w:id="66"/>
    <w:p w14:paraId="7CA7219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实验室及其设立单位是危险废物管理的责任主体，应建立并执行危险废物申报登记、管理台账、转移联单、应急预案备案等基本管理制度，定期开展危险废物管理培训。</w:t>
      </w:r>
    </w:p>
    <w:p w14:paraId="32C0A9D3">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实验室应至少指定1名危险废物管理人员，负责监督废物分类、暂存及处置工作。</w:t>
      </w:r>
    </w:p>
    <w:p w14:paraId="243FC2D2">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必须建立危险废物管理台账，记录废物种类、数量、流向、贮存及处置信息，台账记录保存时间不少于5年。</w:t>
      </w:r>
    </w:p>
    <w:p w14:paraId="3D21AA7C">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危险废物贮存设施应符合《危险废物贮存污染控制标准》（GB 18597-2023）要求，外部贮存点需配备专人管理。</w:t>
      </w:r>
    </w:p>
    <w:p w14:paraId="4F9639B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废弃危险化学品应按安全特性分类收集，存放于通风良好的暂存场所，容器外需标明名称、成分及危险性，剧毒、易燃易爆类废物必须单独收集。</w:t>
      </w:r>
    </w:p>
    <w:p w14:paraId="513176E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废弃危险化学品的盛装容器应密封完好，不得渗漏，容器材质需与废物特性兼容，外文标识须加注中文注释。</w:t>
      </w:r>
    </w:p>
    <w:p w14:paraId="71AA5533">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实验室必须委托有资质的单位处置危险废物，严禁将危险废物与生活垃圾、医疗废物等混装。</w:t>
      </w:r>
    </w:p>
    <w:p w14:paraId="2E937FF6">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危险废物贮存周期不得超过6个月，包装应符合《危险废物贮存污染控制标准》（GB 18597-2023）标准，废弃试剂原液须密封保存并明确标识。</w:t>
      </w:r>
    </w:p>
    <w:p w14:paraId="6BA0D2B6">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危险特性不明的废物需按《危险废物鉴别标准》（GB 5085）进行鉴别，经预处理稳定化后方可贮存。</w:t>
      </w:r>
    </w:p>
    <w:p w14:paraId="13C081DD">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实验废气、废水需经净化处理达标后排放，有害物质浓度不得超过国家排放限值。</w:t>
      </w:r>
    </w:p>
    <w:p w14:paraId="26B0521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危险化学品废弃物暂存场所应设置危险废物识别标志，包括暂存点标识、安全警示标识等。</w:t>
      </w:r>
    </w:p>
    <w:p w14:paraId="554A79D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严禁将未经无害化处理的化学废弃物直接排入下水道，严禁露天存放危险废物。</w:t>
      </w:r>
    </w:p>
    <w:p w14:paraId="728306B6">
      <w:pPr>
        <w:pStyle w:val="30"/>
        <w:numPr>
          <w:ilvl w:val="1"/>
          <w:numId w:val="2"/>
        </w:numPr>
        <w:adjustRightInd w:val="0"/>
        <w:snapToGrid w:val="0"/>
        <w:spacing w:before="120" w:beforeLines="50" w:after="120" w:afterLines="50" w:line="360" w:lineRule="exact"/>
        <w:ind w:firstLineChars="0"/>
        <w:jc w:val="left"/>
        <w:outlineLvl w:val="1"/>
        <w:rPr>
          <w:rFonts w:ascii="黑体" w:hAnsi="黑体" w:eastAsia="黑体" w:cs="Times New Roman"/>
          <w:kern w:val="0"/>
          <w:szCs w:val="21"/>
        </w:rPr>
      </w:pPr>
      <w:r>
        <w:rPr>
          <w:rFonts w:hint="eastAsia" w:ascii="黑体" w:hAnsi="黑体" w:eastAsia="黑体" w:cs="Times New Roman"/>
          <w:kern w:val="0"/>
          <w:szCs w:val="21"/>
        </w:rPr>
        <w:t>危险化学品流转</w:t>
      </w:r>
    </w:p>
    <w:p w14:paraId="27A56842">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危险废物贮存站必须采取防扩散、防渗漏措施，严禁交叉污染，实验室需制定安全应急预案并明确岗位职责。</w:t>
      </w:r>
    </w:p>
    <w:p w14:paraId="0F9D746F">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实验室应及时清理危险废物并向贮存站申请转运，转运前需核对包装完整性与标识信息，严禁接收标签缺失或填写不规范的废物。</w:t>
      </w:r>
    </w:p>
    <w:p w14:paraId="2688929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危险废物必须委托专业资质单位使用专用车辆运输，禁止混装性质相抵触物品。</w:t>
      </w:r>
    </w:p>
    <w:p w14:paraId="606CF456">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转运人员须掌握废物特性及应急处置方法，穿戴防护装备并携带必要工具，全程做好交接记录。</w:t>
      </w:r>
    </w:p>
    <w:p w14:paraId="48A59BF4">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分装或转移后的包装物须重新粘贴完整标识，标签模糊或损坏的按不明废物处置。</w:t>
      </w:r>
    </w:p>
    <w:p w14:paraId="79A277B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放射性物质转移需经学校及主管部门审批备案。</w:t>
      </w:r>
    </w:p>
    <w:p w14:paraId="68D7B132">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实验室应编制废物收集作业指导书，保留收集、转运及处置记录，记录保存期限不少于</w:t>
      </w:r>
      <w:r>
        <w:rPr>
          <w:rFonts w:cs="Times New Roman"/>
          <w:kern w:val="0"/>
          <w:sz w:val="21"/>
          <w:szCs w:val="21"/>
        </w:rPr>
        <w:t>5</w:t>
      </w:r>
      <w:r>
        <w:rPr>
          <w:rFonts w:hint="eastAsia" w:cs="Times New Roman"/>
          <w:kern w:val="0"/>
          <w:sz w:val="21"/>
          <w:szCs w:val="21"/>
        </w:rPr>
        <w:t>年。</w:t>
      </w:r>
    </w:p>
    <w:p w14:paraId="35B5C5F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易制毒化学品严禁私自转让、出借或赠送，校内流转须记录存档。</w:t>
      </w:r>
    </w:p>
    <w:p w14:paraId="4609D78D">
      <w:pPr>
        <w:pStyle w:val="30"/>
        <w:numPr>
          <w:ilvl w:val="0"/>
          <w:numId w:val="2"/>
        </w:numPr>
        <w:adjustRightInd w:val="0"/>
        <w:snapToGrid w:val="0"/>
        <w:spacing w:before="240" w:beforeLines="100" w:after="240" w:afterLines="100" w:line="360" w:lineRule="exact"/>
        <w:ind w:firstLineChars="0"/>
        <w:jc w:val="left"/>
        <w:outlineLvl w:val="0"/>
        <w:rPr>
          <w:rFonts w:hAnsi="黑体" w:eastAsia="黑体" w:cs="Times New Roman"/>
          <w:snapToGrid w:val="0"/>
          <w:kern w:val="0"/>
          <w:szCs w:val="21"/>
        </w:rPr>
      </w:pPr>
      <w:bookmarkStart w:id="73" w:name="_Toc14419"/>
      <w:bookmarkStart w:id="74" w:name="_Toc198905496"/>
      <w:bookmarkStart w:id="75" w:name="_Toc167347557"/>
      <w:r>
        <w:rPr>
          <w:rFonts w:hint="eastAsia" w:hAnsi="黑体" w:eastAsia="黑体" w:cs="Times New Roman"/>
          <w:snapToGrid w:val="0"/>
          <w:kern w:val="0"/>
          <w:szCs w:val="21"/>
        </w:rPr>
        <w:t>危险化学品废弃物全过程管理</w:t>
      </w:r>
      <w:bookmarkEnd w:id="73"/>
      <w:bookmarkEnd w:id="74"/>
      <w:bookmarkEnd w:id="75"/>
    </w:p>
    <w:p w14:paraId="01D42AA9">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bookmarkStart w:id="76" w:name="_Toc159572309"/>
      <w:bookmarkStart w:id="77" w:name="_Toc159571663"/>
      <w:bookmarkStart w:id="78" w:name="_Hlk79156964"/>
      <w:bookmarkStart w:id="79" w:name="_Hlk167350202"/>
      <w:r>
        <w:rPr>
          <w:rFonts w:hint="eastAsia" w:eastAsia="黑体" w:cs="Times New Roman"/>
          <w:kern w:val="0"/>
          <w:szCs w:val="21"/>
        </w:rPr>
        <w:t>危险化学品废弃物分类及包装</w:t>
      </w:r>
    </w:p>
    <w:p w14:paraId="437557DB">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危险化学品废弃后按照危险化学品废弃物进行管理，分为废弃危险化学品、液态废物、固态废物三类。</w:t>
      </w:r>
    </w:p>
    <w:p w14:paraId="07B84AD3">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废弃危险化学品是指危险化学品过期、失效或不再使用被直接废弃，按照危险特性及管制类别分为含汞类、剧毒类、爆炸类、易制毒易制爆类、一般类。</w:t>
      </w:r>
    </w:p>
    <w:p w14:paraId="441B381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液态废物是指危险化学品经使用后产生的混合废液，分为有机废液和无机废液。其中有机废液分为含卤素有机废液（卤素含量大于</w:t>
      </w:r>
      <w:r>
        <w:rPr>
          <w:rFonts w:cs="Times New Roman"/>
          <w:kern w:val="0"/>
          <w:sz w:val="21"/>
          <w:szCs w:val="21"/>
        </w:rPr>
        <w:t>5%</w:t>
      </w:r>
      <w:r>
        <w:rPr>
          <w:rFonts w:hint="eastAsia" w:cs="Times New Roman"/>
          <w:kern w:val="0"/>
          <w:sz w:val="21"/>
          <w:szCs w:val="21"/>
        </w:rPr>
        <w:t>）和其他有机废液。无机废液分为含氰废液、含汞废液、酸性废液（</w:t>
      </w:r>
      <w:r>
        <w:rPr>
          <w:rFonts w:cs="Times New Roman"/>
          <w:kern w:val="0"/>
          <w:sz w:val="21"/>
          <w:szCs w:val="21"/>
        </w:rPr>
        <w:t>pH</w:t>
      </w:r>
      <w:r>
        <w:rPr>
          <w:rFonts w:hint="eastAsia" w:cs="Times New Roman"/>
          <w:kern w:val="0"/>
          <w:sz w:val="21"/>
          <w:szCs w:val="21"/>
        </w:rPr>
        <w:t>&lt;</w:t>
      </w:r>
      <w:r>
        <w:rPr>
          <w:rFonts w:cs="Times New Roman"/>
          <w:kern w:val="0"/>
          <w:sz w:val="21"/>
          <w:szCs w:val="21"/>
        </w:rPr>
        <w:t>6</w:t>
      </w:r>
      <w:r>
        <w:rPr>
          <w:rFonts w:hint="eastAsia" w:cs="Times New Roman"/>
          <w:kern w:val="0"/>
          <w:sz w:val="21"/>
          <w:szCs w:val="21"/>
        </w:rPr>
        <w:t>）和其它无机废液。固态废物分为废弃包装物及包装容器和其他固态废物。</w:t>
      </w:r>
    </w:p>
    <w:p w14:paraId="634400C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废弃危险化学品分类具有唯一性，危险化学品废弃物分类应按照图B.1所列顺序自上而下确定。</w:t>
      </w:r>
    </w:p>
    <w:p w14:paraId="42DFC3FD">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用于盛放危险化学品废弃物的容器和包装物应满足</w:t>
      </w:r>
      <w:r>
        <w:rPr>
          <w:rFonts w:cs="Times New Roman"/>
          <w:kern w:val="0"/>
          <w:sz w:val="21"/>
          <w:szCs w:val="21"/>
        </w:rPr>
        <w:t xml:space="preserve"> GB 18597 </w:t>
      </w:r>
      <w:r>
        <w:rPr>
          <w:rFonts w:hint="eastAsia" w:cs="Times New Roman"/>
          <w:kern w:val="0"/>
          <w:sz w:val="21"/>
          <w:szCs w:val="21"/>
        </w:rPr>
        <w:t>规定要求，采用便于收集和运输的包装。</w:t>
      </w:r>
    </w:p>
    <w:p w14:paraId="1D6EA2F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具有反应性的危险废物应经预处理，消除反应性后方可投入容器或包装物内。不相容的危险废物不得投入同一容器或包装物内，常见物质相容性见附表A.2和表A.3。</w:t>
      </w:r>
    </w:p>
    <w:p w14:paraId="386FBB32">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液态废物应装入容器内贮存，盛装不宜过满，容器顶部与液面之间保留 10 cm 以上的空间</w:t>
      </w:r>
    </w:p>
    <w:p w14:paraId="316D4D99">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固态废物包装前应不含残留液体，包装物应具有一定强度且可封闭。破碎玻璃器皿、针头等应存放于锐器盒内，无法装入常用容器的危险废物可用防漏胶袋等存放。</w:t>
      </w:r>
    </w:p>
    <w:p w14:paraId="4946B7A7">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废弃化学品试剂瓶（含空瓶）应瓶口朝上码放于满足相应强度且可封闭的包装容器中，确保稳固，防止泄漏、磕碰，并在容器外部标注朝上的方向标识。</w:t>
      </w:r>
    </w:p>
    <w:p w14:paraId="3900700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废弃危险化学品应按照分类要求进行包装，不相容物质不能混合装箱，张贴装箱清单，废试剂瓶之间需填充软质间隔，采取防破碎措施。</w:t>
      </w:r>
    </w:p>
    <w:p w14:paraId="60D6F876">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包装容器或包装物外部应在醒目位置规范粘贴符合图B</w:t>
      </w:r>
      <w:r>
        <w:rPr>
          <w:rFonts w:cs="Times New Roman"/>
          <w:kern w:val="0"/>
          <w:sz w:val="21"/>
          <w:szCs w:val="21"/>
        </w:rPr>
        <w:t>.</w:t>
      </w:r>
      <w:r>
        <w:rPr>
          <w:rFonts w:hint="eastAsia" w:cs="Times New Roman"/>
          <w:kern w:val="0"/>
          <w:sz w:val="21"/>
          <w:szCs w:val="21"/>
        </w:rPr>
        <w:t>2要求的分类包装标签,用中文全称(不可简写或缩写)标示内含主要化学成分、收运量、联系人等重要信息，有条件的单位可以同时使用电子标签。</w:t>
      </w:r>
    </w:p>
    <w:bookmarkEnd w:id="76"/>
    <w:bookmarkEnd w:id="77"/>
    <w:bookmarkEnd w:id="78"/>
    <w:bookmarkEnd w:id="79"/>
    <w:p w14:paraId="3CCFA744">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r>
        <w:rPr>
          <w:rFonts w:hint="eastAsia" w:eastAsia="黑体" w:cs="Times New Roman"/>
          <w:kern w:val="0"/>
          <w:szCs w:val="21"/>
        </w:rPr>
        <w:t>危险化学品废弃物贮存管理</w:t>
      </w:r>
    </w:p>
    <w:p w14:paraId="0550A43D">
      <w:pPr>
        <w:numPr>
          <w:ilvl w:val="2"/>
          <w:numId w:val="2"/>
        </w:numPr>
        <w:adjustRightInd w:val="0"/>
        <w:snapToGrid w:val="0"/>
        <w:spacing w:before="120" w:beforeLines="50" w:after="120" w:afterLines="50"/>
        <w:ind w:firstLineChars="0"/>
        <w:jc w:val="left"/>
        <w:outlineLvl w:val="2"/>
        <w:rPr>
          <w:rFonts w:eastAsia="黑体" w:cs="Times New Roman"/>
          <w:kern w:val="0"/>
          <w:sz w:val="21"/>
          <w:szCs w:val="21"/>
        </w:rPr>
      </w:pPr>
      <w:r>
        <w:rPr>
          <w:rFonts w:hint="eastAsia" w:eastAsia="黑体" w:cs="Times New Roman"/>
          <w:kern w:val="0"/>
          <w:sz w:val="21"/>
          <w:szCs w:val="21"/>
        </w:rPr>
        <w:t>一般要求</w:t>
      </w:r>
    </w:p>
    <w:p w14:paraId="01B9650C">
      <w:pPr>
        <w:numPr>
          <w:ilvl w:val="3"/>
          <w:numId w:val="2"/>
        </w:numPr>
        <w:adjustRightInd w:val="0"/>
        <w:snapToGrid w:val="0"/>
        <w:ind w:left="735" w:hanging="735" w:hangingChars="350"/>
        <w:rPr>
          <w:rFonts w:cs="Times New Roman"/>
          <w:kern w:val="0"/>
          <w:sz w:val="21"/>
          <w:szCs w:val="21"/>
        </w:rPr>
      </w:pPr>
      <w:r>
        <w:rPr>
          <w:rFonts w:hint="eastAsia" w:cs="Times New Roman"/>
          <w:kern w:val="0"/>
          <w:sz w:val="21"/>
          <w:szCs w:val="21"/>
        </w:rPr>
        <w:t>产生危险化学品废弃物的单位应根据需要建设危险废物贮存库或设置贮存点，贮存库和贮存点应符合G</w:t>
      </w:r>
      <w:r>
        <w:rPr>
          <w:rFonts w:cs="Times New Roman"/>
          <w:kern w:val="0"/>
          <w:sz w:val="21"/>
          <w:szCs w:val="21"/>
        </w:rPr>
        <w:t>B18597</w:t>
      </w:r>
      <w:r>
        <w:rPr>
          <w:rFonts w:hint="eastAsia" w:cs="Times New Roman"/>
          <w:kern w:val="0"/>
          <w:sz w:val="21"/>
          <w:szCs w:val="21"/>
        </w:rPr>
        <w:t>、</w:t>
      </w:r>
      <w:r>
        <w:rPr>
          <w:rFonts w:cs="Times New Roman"/>
          <w:kern w:val="0"/>
          <w:sz w:val="21"/>
          <w:szCs w:val="21"/>
        </w:rPr>
        <w:t>HJ1276</w:t>
      </w:r>
      <w:r>
        <w:rPr>
          <w:rFonts w:hint="eastAsia" w:cs="Times New Roman"/>
          <w:kern w:val="0"/>
          <w:sz w:val="21"/>
          <w:szCs w:val="21"/>
        </w:rPr>
        <w:t>等相关标准要求，并设置危险废物贮存库或贮存点标识、危险废物贮存分区标志和危险废物标签等危险废物识别标志。</w:t>
      </w:r>
    </w:p>
    <w:p w14:paraId="40662945">
      <w:pPr>
        <w:numPr>
          <w:ilvl w:val="3"/>
          <w:numId w:val="2"/>
        </w:numPr>
        <w:adjustRightInd w:val="0"/>
        <w:snapToGrid w:val="0"/>
        <w:ind w:left="735" w:hanging="735" w:hangingChars="350"/>
        <w:rPr>
          <w:rFonts w:cs="Times New Roman"/>
          <w:kern w:val="0"/>
          <w:sz w:val="21"/>
          <w:szCs w:val="21"/>
        </w:rPr>
      </w:pPr>
      <w:r>
        <w:rPr>
          <w:rFonts w:hint="eastAsia" w:cs="Times New Roman"/>
          <w:kern w:val="0"/>
          <w:sz w:val="21"/>
          <w:szCs w:val="21"/>
        </w:rPr>
        <w:t>贮存危险化学品废弃物应根据危险化学品废弃物分类和污染防治要求进行分类贮存，且应避免危险废物与不相容的物质、材料接触。</w:t>
      </w:r>
    </w:p>
    <w:p w14:paraId="2A4A007B">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废弃的危险化学品</w:t>
      </w:r>
      <w:r>
        <w:rPr>
          <w:rFonts w:hint="eastAsia" w:cs="Times New Roman"/>
          <w:kern w:val="0"/>
          <w:sz w:val="21"/>
          <w:szCs w:val="21"/>
        </w:rPr>
        <w:t>应</w:t>
      </w:r>
      <w:r>
        <w:rPr>
          <w:rFonts w:cs="Times New Roman"/>
          <w:kern w:val="0"/>
          <w:sz w:val="21"/>
          <w:szCs w:val="21"/>
        </w:rPr>
        <w:t>存放于符合安全要求的原</w:t>
      </w:r>
      <w:r>
        <w:rPr>
          <w:rFonts w:hint="eastAsia" w:cs="Times New Roman"/>
          <w:kern w:val="0"/>
          <w:sz w:val="21"/>
          <w:szCs w:val="21"/>
        </w:rPr>
        <w:t>危化品</w:t>
      </w:r>
      <w:r>
        <w:rPr>
          <w:rFonts w:cs="Times New Roman"/>
          <w:kern w:val="0"/>
          <w:sz w:val="21"/>
          <w:szCs w:val="21"/>
        </w:rPr>
        <w:t>贮存设施</w:t>
      </w:r>
      <w:r>
        <w:rPr>
          <w:rFonts w:hint="eastAsia" w:cs="Times New Roman"/>
          <w:kern w:val="0"/>
          <w:sz w:val="21"/>
          <w:szCs w:val="21"/>
        </w:rPr>
        <w:t>内，或经预处理使之稳定后方可贮存于危险废物贮存设施。</w:t>
      </w:r>
    </w:p>
    <w:p w14:paraId="740132F1">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实验室产生的危险特性不明确的废弃危险化学品，应按照《危险化学品安全管理条例》和有关规定进行相关危险特性的判定或鉴别，明确其危险特性，并经预处理稳定化后方可在贮存设施或场所内贮存。</w:t>
      </w:r>
    </w:p>
    <w:p w14:paraId="6D0C3398">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贮存点、贮存库管理人员应</w:t>
      </w:r>
      <w:r>
        <w:rPr>
          <w:rFonts w:hint="eastAsia" w:cs="Times New Roman"/>
          <w:kern w:val="0"/>
          <w:sz w:val="21"/>
          <w:szCs w:val="21"/>
        </w:rPr>
        <w:t>每周</w:t>
      </w:r>
      <w:r>
        <w:rPr>
          <w:rFonts w:cs="Times New Roman"/>
          <w:kern w:val="0"/>
          <w:sz w:val="21"/>
          <w:szCs w:val="21"/>
        </w:rPr>
        <w:t>对包装容器、防渗漏措施、标签标识、存放期限及投放记录表</w:t>
      </w:r>
      <w:r>
        <w:rPr>
          <w:rFonts w:hint="eastAsia" w:cs="Times New Roman"/>
          <w:kern w:val="0"/>
          <w:sz w:val="21"/>
          <w:szCs w:val="21"/>
        </w:rPr>
        <w:t>（见附录表</w:t>
      </w:r>
      <w:r>
        <w:rPr>
          <w:rFonts w:cs="Times New Roman"/>
          <w:kern w:val="0"/>
          <w:sz w:val="21"/>
          <w:szCs w:val="21"/>
        </w:rPr>
        <w:t>A.4</w:t>
      </w:r>
      <w:r>
        <w:rPr>
          <w:rFonts w:hint="eastAsia" w:cs="Times New Roman"/>
          <w:kern w:val="0"/>
          <w:sz w:val="21"/>
          <w:szCs w:val="21"/>
        </w:rPr>
        <w:t>）</w:t>
      </w:r>
      <w:r>
        <w:rPr>
          <w:rFonts w:cs="Times New Roman"/>
          <w:kern w:val="0"/>
          <w:sz w:val="21"/>
          <w:szCs w:val="21"/>
        </w:rPr>
        <w:t>进行检查，并做好记录。</w:t>
      </w:r>
    </w:p>
    <w:p w14:paraId="08244BBA">
      <w:pPr>
        <w:numPr>
          <w:ilvl w:val="3"/>
          <w:numId w:val="2"/>
        </w:numPr>
        <w:adjustRightInd w:val="0"/>
        <w:snapToGrid w:val="0"/>
        <w:ind w:left="735" w:hanging="735" w:hangingChars="350"/>
        <w:rPr>
          <w:rFonts w:cs="Times New Roman"/>
          <w:kern w:val="0"/>
          <w:sz w:val="21"/>
          <w:szCs w:val="21"/>
        </w:rPr>
      </w:pPr>
      <w:r>
        <w:rPr>
          <w:rFonts w:hint="eastAsia" w:cs="Times New Roman"/>
          <w:kern w:val="0"/>
          <w:sz w:val="21"/>
          <w:szCs w:val="21"/>
        </w:rPr>
        <w:t>贮存库及多个实验室共用的贮存点需安装24h视频监控系统，配备环境应急物资。</w:t>
      </w:r>
    </w:p>
    <w:p w14:paraId="7379DBA2">
      <w:pPr>
        <w:numPr>
          <w:ilvl w:val="3"/>
          <w:numId w:val="2"/>
        </w:numPr>
        <w:adjustRightInd w:val="0"/>
        <w:snapToGrid w:val="0"/>
        <w:ind w:left="735" w:hanging="735" w:hangingChars="350"/>
        <w:rPr>
          <w:rFonts w:cs="Times New Roman"/>
          <w:kern w:val="0"/>
          <w:sz w:val="21"/>
          <w:szCs w:val="21"/>
        </w:rPr>
      </w:pPr>
      <w:r>
        <w:rPr>
          <w:rFonts w:hint="eastAsia" w:cs="Times New Roman"/>
          <w:kern w:val="0"/>
          <w:sz w:val="21"/>
          <w:szCs w:val="21"/>
        </w:rPr>
        <w:t>贮存库及</w:t>
      </w:r>
      <w:r>
        <w:rPr>
          <w:rFonts w:cs="Times New Roman"/>
          <w:kern w:val="0"/>
          <w:sz w:val="21"/>
          <w:szCs w:val="21"/>
        </w:rPr>
        <w:t>多个实验室共用的贮存点应配备专人管理，并以实验室为单位做好台账记录。</w:t>
      </w:r>
    </w:p>
    <w:p w14:paraId="24EBD77B">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危险化学品废弃物贮存除应满足环境保护相关要求外，还应依据国家安全生产、职业健康、交通运输、消防</w:t>
      </w:r>
      <w:r>
        <w:rPr>
          <w:rFonts w:hint="eastAsia" w:cs="Times New Roman"/>
          <w:kern w:val="0"/>
          <w:sz w:val="21"/>
          <w:szCs w:val="21"/>
        </w:rPr>
        <w:t>等法律法规开展相关工作。</w:t>
      </w:r>
    </w:p>
    <w:p w14:paraId="06B64674">
      <w:pPr>
        <w:numPr>
          <w:ilvl w:val="3"/>
          <w:numId w:val="2"/>
        </w:numPr>
        <w:adjustRightInd w:val="0"/>
        <w:snapToGrid w:val="0"/>
        <w:ind w:left="735" w:hanging="735" w:hangingChars="350"/>
        <w:rPr>
          <w:rFonts w:cs="Times New Roman"/>
          <w:kern w:val="0"/>
          <w:sz w:val="21"/>
          <w:szCs w:val="21"/>
        </w:rPr>
      </w:pPr>
      <w:r>
        <w:rPr>
          <w:rFonts w:hint="eastAsia" w:cs="Times New Roman"/>
          <w:kern w:val="0"/>
          <w:sz w:val="21"/>
          <w:szCs w:val="21"/>
        </w:rPr>
        <w:t>产生危险化学品废弃物的单位应做好危险废物信息公示，在贮存库或贮存点附近设置危险废物信息公示牌，信息公示牌样式见附录图B.3。</w:t>
      </w:r>
    </w:p>
    <w:p w14:paraId="19B98F88">
      <w:pPr>
        <w:numPr>
          <w:ilvl w:val="2"/>
          <w:numId w:val="2"/>
        </w:numPr>
        <w:adjustRightInd w:val="0"/>
        <w:snapToGrid w:val="0"/>
        <w:spacing w:before="120" w:beforeLines="50" w:after="120" w:afterLines="50"/>
        <w:ind w:firstLineChars="0"/>
        <w:jc w:val="left"/>
        <w:outlineLvl w:val="2"/>
        <w:rPr>
          <w:rFonts w:eastAsia="黑体" w:cs="Times New Roman"/>
          <w:kern w:val="0"/>
          <w:sz w:val="21"/>
          <w:szCs w:val="21"/>
        </w:rPr>
      </w:pPr>
      <w:r>
        <w:rPr>
          <w:rFonts w:hint="eastAsia" w:eastAsia="黑体" w:cs="Times New Roman"/>
          <w:kern w:val="0"/>
          <w:sz w:val="21"/>
          <w:szCs w:val="21"/>
        </w:rPr>
        <w:t>贮存点要求</w:t>
      </w:r>
    </w:p>
    <w:p w14:paraId="7EC42181">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产生危险化学品废弃物的单位建设的贮存点分为实验室内部贮存点和实验室外部贮存点，实验室外部贮存点</w:t>
      </w:r>
      <w:r>
        <w:rPr>
          <w:rFonts w:hint="eastAsia" w:cs="Times New Roman"/>
          <w:kern w:val="0"/>
          <w:sz w:val="21"/>
          <w:szCs w:val="21"/>
        </w:rPr>
        <w:t>分为建筑内部贮存点及建筑外部贮存点。</w:t>
      </w:r>
      <w:r>
        <w:rPr>
          <w:rFonts w:cs="Times New Roman"/>
          <w:kern w:val="0"/>
          <w:sz w:val="21"/>
          <w:szCs w:val="21"/>
        </w:rPr>
        <w:t>建筑内部贮存点不得设置于走廊、过道等公共区域，建筑外部贮存点不得设置于道路、广场、绿地等公共</w:t>
      </w:r>
      <w:r>
        <w:rPr>
          <w:rFonts w:hint="eastAsia" w:cs="Times New Roman"/>
          <w:kern w:val="0"/>
          <w:sz w:val="21"/>
          <w:szCs w:val="21"/>
        </w:rPr>
        <w:t>区域。</w:t>
      </w:r>
    </w:p>
    <w:p w14:paraId="45464E8B">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贮存点需在地面上涂覆或张贴黄色警戒线,明确贮存点的区域范围，并采取防风、防雨、防晒和防止危险废物流失、扬散等措施。</w:t>
      </w:r>
    </w:p>
    <w:p w14:paraId="35400DED">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贮存点贮存的危险废物应置于容器或包装物中，不应直接散堆。存放液态危险废物时，需采取防渗漏措施，将容器置于托盘中。存放两种及以上不相容液态危险废物时，应分类分区存放，且不得共用泄露液体收集装置</w:t>
      </w:r>
      <w:r>
        <w:rPr>
          <w:rFonts w:hint="eastAsia" w:cs="Times New Roman"/>
          <w:kern w:val="0"/>
          <w:sz w:val="21"/>
          <w:szCs w:val="21"/>
        </w:rPr>
        <w:t>。</w:t>
      </w:r>
    </w:p>
    <w:p w14:paraId="7563185B">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危险废物在实验室内部贮存点最大贮存量不得超过0.1t，在建筑内部单个贮存点最大贮存量不得超过0.5t，在建筑外部单个贮存点最大贮存量不得超过3t。</w:t>
      </w:r>
    </w:p>
    <w:p w14:paraId="75AA6466">
      <w:pPr>
        <w:numPr>
          <w:ilvl w:val="2"/>
          <w:numId w:val="2"/>
        </w:numPr>
        <w:adjustRightInd w:val="0"/>
        <w:snapToGrid w:val="0"/>
        <w:spacing w:before="120" w:beforeLines="50" w:after="120" w:afterLines="50"/>
        <w:ind w:firstLineChars="0"/>
        <w:jc w:val="left"/>
        <w:outlineLvl w:val="2"/>
        <w:rPr>
          <w:rFonts w:eastAsia="黑体" w:cs="Times New Roman"/>
          <w:kern w:val="0"/>
          <w:sz w:val="21"/>
          <w:szCs w:val="21"/>
        </w:rPr>
      </w:pPr>
      <w:r>
        <w:rPr>
          <w:rFonts w:hint="eastAsia" w:eastAsia="黑体" w:cs="Times New Roman"/>
          <w:kern w:val="0"/>
          <w:sz w:val="21"/>
          <w:szCs w:val="21"/>
        </w:rPr>
        <w:t>贮存库要求</w:t>
      </w:r>
    </w:p>
    <w:p w14:paraId="24DA9B50">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贮存库需具备规划、安全、住建、消防、环保等相关手续，否则</w:t>
      </w:r>
      <w:r>
        <w:rPr>
          <w:rFonts w:hint="eastAsia" w:cs="Times New Roman"/>
          <w:kern w:val="0"/>
          <w:sz w:val="21"/>
          <w:szCs w:val="21"/>
        </w:rPr>
        <w:t>其最大允许贮存量</w:t>
      </w:r>
      <w:r>
        <w:rPr>
          <w:rFonts w:cs="Times New Roman"/>
          <w:kern w:val="0"/>
          <w:sz w:val="21"/>
          <w:szCs w:val="21"/>
        </w:rPr>
        <w:t>按照贮存点</w:t>
      </w:r>
      <w:r>
        <w:rPr>
          <w:rFonts w:hint="eastAsia" w:cs="Times New Roman"/>
          <w:kern w:val="0"/>
          <w:sz w:val="21"/>
          <w:szCs w:val="21"/>
        </w:rPr>
        <w:t>要求</w:t>
      </w:r>
      <w:r>
        <w:rPr>
          <w:rFonts w:cs="Times New Roman"/>
          <w:kern w:val="0"/>
          <w:sz w:val="21"/>
          <w:szCs w:val="21"/>
        </w:rPr>
        <w:t>管理。</w:t>
      </w:r>
    </w:p>
    <w:p w14:paraId="71850215">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危险化学品废弃物</w:t>
      </w:r>
      <w:r>
        <w:rPr>
          <w:rFonts w:hint="eastAsia" w:cs="Times New Roman"/>
          <w:kern w:val="0"/>
          <w:sz w:val="21"/>
          <w:szCs w:val="21"/>
        </w:rPr>
        <w:t>应</w:t>
      </w:r>
      <w:r>
        <w:rPr>
          <w:rFonts w:cs="Times New Roman"/>
          <w:kern w:val="0"/>
          <w:sz w:val="21"/>
          <w:szCs w:val="21"/>
        </w:rPr>
        <w:t>分类分区贮存，</w:t>
      </w:r>
      <w:r>
        <w:rPr>
          <w:rFonts w:hint="eastAsia" w:cs="Times New Roman"/>
          <w:kern w:val="0"/>
          <w:sz w:val="21"/>
          <w:szCs w:val="21"/>
        </w:rPr>
        <w:t>不同贮存分区之间应根据危险废物特性采用过道、隔板、隔墙等物理隔离措施。</w:t>
      </w:r>
    </w:p>
    <w:p w14:paraId="16ADDE69">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在贮存库内贮存液态危险废物的，应具有液体泄漏堵截设施。堵截设施最小容积不应低于对应</w:t>
      </w:r>
      <w:r>
        <w:rPr>
          <w:rFonts w:hint="eastAsia" w:cs="Times New Roman"/>
          <w:kern w:val="0"/>
          <w:sz w:val="21"/>
          <w:szCs w:val="21"/>
        </w:rPr>
        <w:t>贮存区域最大液态废物容器容积或液态废物总储量</w:t>
      </w:r>
      <w:r>
        <w:rPr>
          <w:rFonts w:cs="Times New Roman"/>
          <w:kern w:val="0"/>
          <w:sz w:val="21"/>
          <w:szCs w:val="21"/>
        </w:rPr>
        <w:t xml:space="preserve"> 1/10（二者取较大者）。</w:t>
      </w:r>
      <w:r>
        <w:rPr>
          <w:rFonts w:hint="eastAsia" w:cs="Times New Roman"/>
          <w:kern w:val="0"/>
          <w:sz w:val="21"/>
          <w:szCs w:val="21"/>
        </w:rPr>
        <w:t>不相容危险废物不得共用泄露液体收集装置。</w:t>
      </w:r>
    </w:p>
    <w:p w14:paraId="273A2283">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在贮存库内贮存易产生挥发性有机物（VOCs）、酸雾、有毒有害大气污染物和刺激性气味气体</w:t>
      </w:r>
      <w:r>
        <w:rPr>
          <w:rFonts w:hint="eastAsia" w:cs="Times New Roman"/>
          <w:kern w:val="0"/>
          <w:sz w:val="21"/>
          <w:szCs w:val="21"/>
        </w:rPr>
        <w:t>的危险废物的，应设置气体收集装置和气体净化设施。废气（含无组织废气）排放应符合</w:t>
      </w:r>
      <w:r>
        <w:rPr>
          <w:rFonts w:cs="Times New Roman"/>
          <w:kern w:val="0"/>
          <w:sz w:val="21"/>
          <w:szCs w:val="21"/>
        </w:rPr>
        <w:t>DB 32/4041</w:t>
      </w:r>
      <w:r>
        <w:rPr>
          <w:rFonts w:hint="eastAsia" w:cs="Times New Roman"/>
          <w:kern w:val="0"/>
          <w:sz w:val="21"/>
          <w:szCs w:val="21"/>
        </w:rPr>
        <w:t>和</w:t>
      </w:r>
      <w:r>
        <w:rPr>
          <w:rFonts w:cs="Times New Roman"/>
          <w:kern w:val="0"/>
          <w:sz w:val="21"/>
          <w:szCs w:val="21"/>
        </w:rPr>
        <w:t>GB 37822规定要求。</w:t>
      </w:r>
    </w:p>
    <w:p w14:paraId="7C4AB030">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在</w:t>
      </w:r>
      <w:r>
        <w:rPr>
          <w:rFonts w:hint="eastAsia" w:cs="Times New Roman"/>
          <w:kern w:val="0"/>
          <w:sz w:val="21"/>
          <w:szCs w:val="21"/>
        </w:rPr>
        <w:t>贮存库</w:t>
      </w:r>
      <w:r>
        <w:rPr>
          <w:rFonts w:cs="Times New Roman"/>
          <w:kern w:val="0"/>
          <w:sz w:val="21"/>
          <w:szCs w:val="21"/>
        </w:rPr>
        <w:t>出入口、设施内部、危险废物运输车辆通道等关键位置按照危险废物贮存设施视频监控布设要求设置视频监控，并与中控室联网。</w:t>
      </w:r>
    </w:p>
    <w:p w14:paraId="58560EE8">
      <w:pPr>
        <w:numPr>
          <w:ilvl w:val="3"/>
          <w:numId w:val="2"/>
        </w:numPr>
        <w:adjustRightInd w:val="0"/>
        <w:snapToGrid w:val="0"/>
        <w:ind w:left="735" w:hanging="735" w:hangingChars="350"/>
        <w:rPr>
          <w:rFonts w:cs="Times New Roman"/>
          <w:kern w:val="0"/>
          <w:sz w:val="21"/>
          <w:szCs w:val="21"/>
        </w:rPr>
      </w:pPr>
      <w:r>
        <w:rPr>
          <w:rFonts w:cs="Times New Roman"/>
          <w:kern w:val="0"/>
          <w:sz w:val="21"/>
          <w:szCs w:val="21"/>
        </w:rPr>
        <w:t>在常温常压下易爆、易燃及排出有毒气体的危险废物进行预处理，稳定后贮存，否则按易爆、易燃危险品贮存。贮存废弃剧毒化学品的，应按照公安机关要求落实治安防范措施</w:t>
      </w:r>
      <w:r>
        <w:rPr>
          <w:rFonts w:hint="eastAsia" w:cs="Times New Roman"/>
          <w:kern w:val="0"/>
          <w:sz w:val="21"/>
          <w:szCs w:val="21"/>
        </w:rPr>
        <w:t>。</w:t>
      </w:r>
    </w:p>
    <w:p w14:paraId="7886C2A7">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r>
        <w:rPr>
          <w:rFonts w:hint="eastAsia" w:eastAsia="黑体" w:cs="Times New Roman"/>
          <w:kern w:val="0"/>
          <w:szCs w:val="21"/>
        </w:rPr>
        <w:t>危险化学品废弃物转运、运输和处置</w:t>
      </w:r>
    </w:p>
    <w:p w14:paraId="64E681D8">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危险化学品废弃物从实验室转运至贮存库，应至少</w:t>
      </w:r>
      <w:r>
        <w:rPr>
          <w:rFonts w:cs="Times New Roman"/>
          <w:kern w:val="0"/>
          <w:sz w:val="21"/>
          <w:szCs w:val="21"/>
        </w:rPr>
        <w:t>2</w:t>
      </w:r>
      <w:r>
        <w:rPr>
          <w:rFonts w:hint="eastAsia" w:cs="Times New Roman"/>
          <w:kern w:val="0"/>
          <w:sz w:val="21"/>
          <w:szCs w:val="21"/>
        </w:rPr>
        <w:t>人参与转运，内部转运应与提前确定运输路线，应避开人员聚集地。</w:t>
      </w:r>
    </w:p>
    <w:p w14:paraId="7A101B0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内部转运需使用符合安全环保要求的运输工具，车内设置泄漏液体收集装置并配备灭火器、吸附棉等应急物资。转运时，转运人员需携带必要的个人防护用具和应急物资。</w:t>
      </w:r>
    </w:p>
    <w:p w14:paraId="56E8BF8B">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不能将危废放在楼梯口、过道等位置，因搬运需临时放置时需设置危废收集交接区域，码放整齐并安排人员值守。</w:t>
      </w:r>
    </w:p>
    <w:p w14:paraId="3A090AB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运输至危险废物收集或处置利用单位时应符合HJ 2025中危险废物的运输要求，运输车辆应具有危险货物或危险废物营运资质。</w:t>
      </w:r>
    </w:p>
    <w:p w14:paraId="07EDED4C">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应委托有危险废物经营许可证的单位收集处置。</w:t>
      </w:r>
    </w:p>
    <w:p w14:paraId="4DB54105">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转移的废弃危险化学品涉及易制毒、易制爆、剧毒等管制试剂的，转移处置前及转移处置后7天内均应向属地公安管理部门报备，鼓励采用信息化系统进行报备。</w:t>
      </w:r>
    </w:p>
    <w:p w14:paraId="3D8C3070">
      <w:pPr>
        <w:pStyle w:val="30"/>
        <w:numPr>
          <w:ilvl w:val="1"/>
          <w:numId w:val="2"/>
        </w:numPr>
        <w:adjustRightInd w:val="0"/>
        <w:snapToGrid w:val="0"/>
        <w:spacing w:before="120" w:beforeLines="50" w:after="120" w:afterLines="50" w:line="360" w:lineRule="exact"/>
        <w:ind w:firstLineChars="0"/>
        <w:jc w:val="left"/>
        <w:outlineLvl w:val="1"/>
        <w:rPr>
          <w:rFonts w:eastAsia="黑体" w:cs="Times New Roman"/>
          <w:kern w:val="0"/>
          <w:szCs w:val="21"/>
        </w:rPr>
      </w:pPr>
      <w:r>
        <w:rPr>
          <w:rFonts w:hint="eastAsia" w:eastAsia="黑体" w:cs="Times New Roman"/>
          <w:kern w:val="0"/>
          <w:szCs w:val="21"/>
        </w:rPr>
        <w:t>危险化学品废弃物环境管理要求</w:t>
      </w:r>
    </w:p>
    <w:p w14:paraId="462B0770">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废弃物的产生单位应做好废弃物源头分类、投放、暂存、收运、贮存及委托处置等工作，建立并执行危险废物申报登记及管理计划备案、管理台账、转移联单、应急预案备案、信息公开、事故报告、污染防治责任等制度。</w:t>
      </w:r>
    </w:p>
    <w:p w14:paraId="7BC929DA">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危险化学品废弃物的产生单位应至少配备</w:t>
      </w:r>
      <w:r>
        <w:rPr>
          <w:rFonts w:cs="Times New Roman"/>
          <w:kern w:val="0"/>
          <w:sz w:val="21"/>
          <w:szCs w:val="21"/>
        </w:rPr>
        <w:t>1</w:t>
      </w:r>
      <w:r>
        <w:rPr>
          <w:rFonts w:hint="eastAsia" w:cs="Times New Roman"/>
          <w:kern w:val="0"/>
          <w:sz w:val="21"/>
          <w:szCs w:val="21"/>
        </w:rPr>
        <w:t>名管理人员，负责组织、协调各实验室的危险废物管理工作，监督、检查各危险化学品废弃物管理工作落实情况。</w:t>
      </w:r>
    </w:p>
    <w:p w14:paraId="6F578C0D">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危险化学品废弃物的产生单位应建立危险化学品废弃物管理台账，如实记录产生危险化学品废弃物的科类、数量、流向、贮存、处置等情况。宜采用信息化技术对危险化学品废弃物环境管理信息进行实时记录。</w:t>
      </w:r>
    </w:p>
    <w:p w14:paraId="0CA4B24E">
      <w:pPr>
        <w:numPr>
          <w:ilvl w:val="2"/>
          <w:numId w:val="2"/>
        </w:numPr>
        <w:adjustRightInd w:val="0"/>
        <w:snapToGrid w:val="0"/>
        <w:ind w:firstLineChars="0"/>
        <w:outlineLvl w:val="2"/>
        <w:rPr>
          <w:rFonts w:cs="Times New Roman"/>
          <w:kern w:val="0"/>
          <w:sz w:val="21"/>
          <w:szCs w:val="21"/>
        </w:rPr>
      </w:pPr>
      <w:r>
        <w:rPr>
          <w:rFonts w:hint="eastAsia" w:cs="Times New Roman"/>
          <w:kern w:val="0"/>
          <w:sz w:val="21"/>
          <w:szCs w:val="21"/>
        </w:rPr>
        <w:t>危险化学品废弃物的产生单位应开展固体废物污染环境防治的宣传教育和培训，定期对危险化学品废弃物管理人员和参与实验活动的学生、研究技术人员以及其他相关人员进行培训，并做好培训记录。</w:t>
      </w:r>
    </w:p>
    <w:p w14:paraId="6CAA6B87">
      <w:pPr>
        <w:adjustRightInd w:val="0"/>
        <w:snapToGrid w:val="0"/>
        <w:ind w:firstLine="480" w:firstLineChars="0"/>
        <w:rPr>
          <w:rFonts w:cs="Times New Roman"/>
          <w:kern w:val="0"/>
          <w:sz w:val="21"/>
          <w:szCs w:val="21"/>
        </w:rPr>
      </w:pPr>
      <w:r>
        <w:rPr>
          <w:rFonts w:hint="eastAsia" w:cs="Times New Roman" w:asciiTheme="minorEastAsia" w:hAnsiTheme="minorEastAsia" w:eastAsiaTheme="minorEastAsia"/>
          <w:snapToGrid w:val="0"/>
          <w:kern w:val="0"/>
          <w:sz w:val="21"/>
          <w:szCs w:val="21"/>
        </w:rPr>
        <w:br w:type="page"/>
      </w:r>
    </w:p>
    <w:p w14:paraId="60EC1081">
      <w:pPr>
        <w:adjustRightInd w:val="0"/>
        <w:snapToGrid w:val="0"/>
        <w:ind w:firstLine="420"/>
        <w:rPr>
          <w:rFonts w:cs="Times New Roman" w:asciiTheme="minorEastAsia" w:hAnsiTheme="minorEastAsia" w:eastAsiaTheme="minorEastAsia"/>
          <w:snapToGrid w:val="0"/>
          <w:kern w:val="0"/>
          <w:sz w:val="21"/>
          <w:szCs w:val="21"/>
        </w:rPr>
        <w:sectPr>
          <w:footerReference r:id="rId14" w:type="default"/>
          <w:headerReference r:id="rId13" w:type="even"/>
          <w:footerReference r:id="rId15" w:type="even"/>
          <w:type w:val="continuous"/>
          <w:pgSz w:w="11910" w:h="16840"/>
          <w:pgMar w:top="1418" w:right="1134" w:bottom="1134" w:left="1418" w:header="1418" w:footer="1134" w:gutter="284"/>
          <w:pgNumType w:start="1"/>
          <w:cols w:space="720" w:num="1"/>
          <w:docGrid w:linePitch="299" w:charSpace="0"/>
        </w:sectPr>
      </w:pPr>
    </w:p>
    <w:p w14:paraId="5B420572">
      <w:pPr>
        <w:kinsoku w:val="0"/>
        <w:overflowPunct w:val="0"/>
        <w:autoSpaceDE w:val="0"/>
        <w:autoSpaceDN w:val="0"/>
        <w:adjustRightInd w:val="0"/>
        <w:spacing w:before="127" w:line="360" w:lineRule="auto"/>
        <w:ind w:firstLine="0" w:firstLineChars="0"/>
        <w:jc w:val="center"/>
        <w:outlineLvl w:val="1"/>
        <w:rPr>
          <w:rFonts w:eastAsia="黑体" w:cs="Times New Roman"/>
          <w:kern w:val="0"/>
          <w:szCs w:val="21"/>
        </w:rPr>
      </w:pPr>
      <w:bookmarkStart w:id="80" w:name="_Toc793"/>
      <w:bookmarkStart w:id="81" w:name="_Toc32354"/>
      <w:r>
        <w:rPr>
          <w:rFonts w:hint="eastAsia" w:eastAsia="黑体" w:cs="Times New Roman"/>
          <w:kern w:val="0"/>
          <w:szCs w:val="21"/>
        </w:rPr>
        <w:t>附录 A</w:t>
      </w:r>
      <w:bookmarkEnd w:id="80"/>
      <w:bookmarkEnd w:id="81"/>
      <w:bookmarkStart w:id="82" w:name="_Toc15270"/>
      <w:bookmarkStart w:id="83" w:name="_Toc6786"/>
      <w:r>
        <w:rPr>
          <w:rFonts w:hint="eastAsia" w:eastAsia="黑体" w:cs="Times New Roman"/>
          <w:kern w:val="0"/>
          <w:szCs w:val="21"/>
        </w:rPr>
        <w:t>（资料性）</w:t>
      </w:r>
      <w:bookmarkEnd w:id="82"/>
      <w:bookmarkEnd w:id="83"/>
      <w:r>
        <w:rPr>
          <w:rFonts w:hint="eastAsia" w:eastAsia="黑体" w:cs="Times New Roman"/>
          <w:kern w:val="0"/>
          <w:szCs w:val="21"/>
        </w:rPr>
        <w:t xml:space="preserve"> </w:t>
      </w:r>
    </w:p>
    <w:p w14:paraId="0ED7C56D">
      <w:pPr>
        <w:adjustRightInd w:val="0"/>
        <w:snapToGrid w:val="0"/>
        <w:spacing w:before="156" w:beforeLines="50"/>
        <w:ind w:firstLine="480" w:firstLineChars="0"/>
        <w:jc w:val="left"/>
        <w:rPr>
          <w:rFonts w:cs="Times New Roman"/>
          <w:sz w:val="21"/>
          <w:szCs w:val="21"/>
          <w:lang w:bidi="ar"/>
        </w:rPr>
      </w:pPr>
      <w:r>
        <w:rPr>
          <w:rFonts w:cs="Times New Roman"/>
          <w:snapToGrid w:val="0"/>
          <w:kern w:val="0"/>
          <w:sz w:val="21"/>
          <w:szCs w:val="21"/>
        </w:rPr>
        <w:t>实验室危险化学品安全分级</w:t>
      </w:r>
      <w:r>
        <w:rPr>
          <w:rFonts w:hint="eastAsia" w:cs="Times New Roman"/>
          <w:snapToGrid w:val="0"/>
          <w:kern w:val="0"/>
          <w:sz w:val="21"/>
          <w:szCs w:val="21"/>
        </w:rPr>
        <w:t>表</w:t>
      </w:r>
      <w:r>
        <w:rPr>
          <w:rFonts w:cs="Times New Roman"/>
          <w:snapToGrid w:val="0"/>
          <w:kern w:val="0"/>
          <w:sz w:val="21"/>
          <w:szCs w:val="21"/>
        </w:rPr>
        <w:t>见表</w:t>
      </w:r>
      <w:r>
        <w:rPr>
          <w:rFonts w:hint="eastAsia" w:cs="Times New Roman"/>
          <w:snapToGrid w:val="0"/>
          <w:kern w:val="0"/>
          <w:sz w:val="21"/>
          <w:szCs w:val="21"/>
        </w:rPr>
        <w:t>A</w:t>
      </w:r>
      <w:r>
        <w:rPr>
          <w:rFonts w:cs="Times New Roman"/>
          <w:snapToGrid w:val="0"/>
          <w:kern w:val="0"/>
          <w:sz w:val="21"/>
          <w:szCs w:val="21"/>
        </w:rPr>
        <w:t>.1。</w:t>
      </w:r>
    </w:p>
    <w:p w14:paraId="06BDA65E">
      <w:pPr>
        <w:kinsoku w:val="0"/>
        <w:overflowPunct w:val="0"/>
        <w:autoSpaceDE w:val="0"/>
        <w:autoSpaceDN w:val="0"/>
        <w:adjustRightInd w:val="0"/>
        <w:spacing w:before="127" w:line="360" w:lineRule="auto"/>
        <w:ind w:firstLine="0" w:firstLineChars="0"/>
        <w:jc w:val="center"/>
        <w:outlineLvl w:val="1"/>
        <w:rPr>
          <w:rFonts w:eastAsia="黑体" w:cs="Times New Roman"/>
          <w:kern w:val="0"/>
          <w:szCs w:val="21"/>
        </w:rPr>
      </w:pPr>
      <w:r>
        <w:rPr>
          <w:rFonts w:hint="eastAsia" w:eastAsia="黑体" w:cs="Times New Roman"/>
          <w:kern w:val="0"/>
          <w:szCs w:val="21"/>
        </w:rPr>
        <w:t>表A.1高校实验室安全分级表</w:t>
      </w:r>
    </w:p>
    <w:tbl>
      <w:tblPr>
        <w:tblStyle w:val="21"/>
        <w:tblW w:w="880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253"/>
      </w:tblGrid>
      <w:tr w14:paraId="16CC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556" w:type="dxa"/>
            <w:tcBorders>
              <w:top w:val="single" w:color="auto" w:sz="4" w:space="0"/>
              <w:left w:val="single" w:color="auto" w:sz="4" w:space="0"/>
              <w:bottom w:val="single" w:color="auto" w:sz="4" w:space="0"/>
              <w:right w:val="single" w:color="auto" w:sz="4" w:space="0"/>
            </w:tcBorders>
            <w:shd w:val="clear" w:color="auto" w:fill="auto"/>
          </w:tcPr>
          <w:p w14:paraId="34A4075E">
            <w:pPr>
              <w:widowControl/>
              <w:adjustRightInd w:val="0"/>
              <w:snapToGrid w:val="0"/>
              <w:spacing w:line="240" w:lineRule="auto"/>
              <w:ind w:firstLine="0" w:firstLineChars="0"/>
              <w:jc w:val="center"/>
              <w:rPr>
                <w:rFonts w:cs="Times New Roman" w:eastAsiaTheme="minorEastAsia"/>
                <w:snapToGrid w:val="0"/>
                <w:kern w:val="0"/>
                <w:sz w:val="21"/>
                <w:szCs w:val="21"/>
              </w:rPr>
            </w:pPr>
            <w:r>
              <w:rPr>
                <w:rFonts w:hint="eastAsia" w:cs="Times New Roman" w:eastAsiaTheme="minorEastAsia"/>
                <w:snapToGrid w:val="0"/>
                <w:kern w:val="0"/>
                <w:sz w:val="21"/>
                <w:szCs w:val="21"/>
                <w:lang w:bidi="ar"/>
              </w:rPr>
              <w:t>安全级别</w:t>
            </w: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13BB62DD">
            <w:pPr>
              <w:widowControl/>
              <w:adjustRightInd w:val="0"/>
              <w:snapToGrid w:val="0"/>
              <w:spacing w:line="240" w:lineRule="auto"/>
              <w:ind w:firstLine="0" w:firstLineChars="0"/>
              <w:jc w:val="center"/>
              <w:rPr>
                <w:rFonts w:cs="Times New Roman" w:eastAsiaTheme="minorEastAsia"/>
                <w:snapToGrid w:val="0"/>
                <w:kern w:val="0"/>
                <w:sz w:val="21"/>
                <w:szCs w:val="21"/>
              </w:rPr>
            </w:pPr>
            <w:r>
              <w:rPr>
                <w:rFonts w:hint="eastAsia" w:cs="Times New Roman" w:eastAsiaTheme="minorEastAsia"/>
                <w:snapToGrid w:val="0"/>
                <w:kern w:val="0"/>
                <w:sz w:val="21"/>
                <w:szCs w:val="21"/>
                <w:lang w:bidi="ar"/>
              </w:rPr>
              <w:t>参考分级依据</w:t>
            </w:r>
          </w:p>
        </w:tc>
      </w:tr>
      <w:tr w14:paraId="4EF9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trPr>
        <w:tc>
          <w:tcPr>
            <w:tcW w:w="1556" w:type="dxa"/>
            <w:vMerge w:val="restart"/>
            <w:tcBorders>
              <w:top w:val="nil"/>
              <w:left w:val="single" w:color="auto" w:sz="4" w:space="0"/>
              <w:bottom w:val="single" w:color="auto" w:sz="4" w:space="0"/>
              <w:right w:val="single" w:color="auto" w:sz="4" w:space="0"/>
            </w:tcBorders>
            <w:shd w:val="clear" w:color="auto" w:fill="auto"/>
          </w:tcPr>
          <w:p w14:paraId="3D06B5BA">
            <w:pPr>
              <w:widowControl/>
              <w:adjustRightInd w:val="0"/>
              <w:snapToGrid w:val="0"/>
              <w:spacing w:line="240" w:lineRule="auto"/>
              <w:ind w:firstLine="0" w:firstLineChars="0"/>
              <w:jc w:val="center"/>
              <w:rPr>
                <w:rFonts w:cs="Times New Roman" w:eastAsiaTheme="minorEastAsia"/>
                <w:snapToGrid w:val="0"/>
                <w:kern w:val="0"/>
                <w:sz w:val="21"/>
                <w:szCs w:val="21"/>
              </w:rPr>
            </w:pPr>
            <w:r>
              <w:rPr>
                <w:rFonts w:hint="eastAsia" w:cs="Times New Roman" w:eastAsiaTheme="minorEastAsia"/>
                <w:snapToGrid w:val="0"/>
                <w:kern w:val="0"/>
                <w:sz w:val="21"/>
                <w:szCs w:val="21"/>
                <w:lang w:bidi="ar"/>
              </w:rPr>
              <w:t>Ⅰ级</w:t>
            </w:r>
            <w:r>
              <w:rPr>
                <w:rFonts w:cs="Times New Roman" w:eastAsiaTheme="minorEastAsia"/>
                <w:snapToGrid w:val="0"/>
                <w:kern w:val="0"/>
                <w:sz w:val="21"/>
                <w:szCs w:val="21"/>
                <w:lang w:bidi="ar"/>
              </w:rPr>
              <w:t>/</w:t>
            </w:r>
            <w:r>
              <w:rPr>
                <w:rFonts w:hint="eastAsia" w:cs="Times New Roman" w:eastAsiaTheme="minorEastAsia"/>
                <w:snapToGrid w:val="0"/>
                <w:kern w:val="0"/>
                <w:sz w:val="21"/>
                <w:szCs w:val="21"/>
                <w:lang w:bidi="ar"/>
              </w:rPr>
              <w:t>红色级实验室（重大风险实验室）</w:t>
            </w: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45766940">
            <w:pPr>
              <w:widowControl/>
              <w:adjustRightInd w:val="0"/>
              <w:snapToGrid w:val="0"/>
              <w:spacing w:line="240" w:lineRule="auto"/>
              <w:ind w:firstLine="0" w:firstLineChars="0"/>
              <w:jc w:val="left"/>
              <w:rPr>
                <w:rFonts w:cs="Times New Roman" w:eastAsiaTheme="minorEastAsia"/>
                <w:snapToGrid w:val="0"/>
                <w:kern w:val="0"/>
                <w:sz w:val="21"/>
                <w:szCs w:val="21"/>
              </w:rPr>
            </w:pPr>
            <w:r>
              <w:rPr>
                <w:rFonts w:hint="eastAsia" w:cs="Times New Roman" w:eastAsiaTheme="minorEastAsia"/>
                <w:snapToGrid w:val="0"/>
                <w:kern w:val="0"/>
                <w:sz w:val="21"/>
                <w:szCs w:val="21"/>
                <w:lang w:bidi="ar"/>
              </w:rPr>
              <w:t>实验室有以下情况之一的：</w:t>
            </w:r>
          </w:p>
          <w:p w14:paraId="6AB09D6E">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实验原料或产物含剧毒化学成分；</w:t>
            </w:r>
          </w:p>
          <w:p w14:paraId="1494755B">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使用剧毒化学品；</w:t>
            </w:r>
          </w:p>
          <w:p w14:paraId="1E66E938">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存储第一类易制毒品、第一类精神药品；</w:t>
            </w:r>
          </w:p>
          <w:p w14:paraId="6D0DD5EB">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存储易燃易爆化学品总量大于50kg或50L；</w:t>
            </w:r>
          </w:p>
          <w:p w14:paraId="46D48AA3">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存储有毒、易燃气体总量≥6瓶；</w:t>
            </w:r>
          </w:p>
          <w:p w14:paraId="62D76934">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生物安全BSL-3、ABSL-3、BSL-4、ABSL-4实验室；</w:t>
            </w:r>
          </w:p>
          <w:p w14:paraId="7CEBCF7F">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使用I、II类射线设备；</w:t>
            </w:r>
          </w:p>
          <w:p w14:paraId="7D8432A5">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使用放射性同位素、放射源、核材料；</w:t>
            </w:r>
          </w:p>
          <w:p w14:paraId="5397D95A">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使用机电类特种设备；</w:t>
            </w:r>
          </w:p>
          <w:p w14:paraId="037A43D1">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使用超高压等第三类压力容器；</w:t>
            </w:r>
          </w:p>
          <w:p w14:paraId="04884E8B">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使用强磁、强电设备；</w:t>
            </w:r>
          </w:p>
          <w:p w14:paraId="7C39E503">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使用4、3R、3B类激光设备；</w:t>
            </w:r>
          </w:p>
          <w:p w14:paraId="54139EF9">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使用富氧涉爆实验室自制设备；</w:t>
            </w:r>
          </w:p>
          <w:p w14:paraId="0FC68C1A">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高校自行规定的其他情况</w:t>
            </w:r>
            <w:r>
              <w:rPr>
                <w:rFonts w:hint="eastAsia" w:cs="Times New Roman" w:eastAsiaTheme="minorEastAsia"/>
                <w:snapToGrid w:val="0"/>
                <w:kern w:val="0"/>
                <w:sz w:val="21"/>
                <w:szCs w:val="21"/>
                <w:lang w:bidi="ar"/>
              </w:rPr>
              <w:t>。</w:t>
            </w:r>
          </w:p>
        </w:tc>
      </w:tr>
      <w:tr w14:paraId="41CF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556" w:type="dxa"/>
            <w:vMerge w:val="continue"/>
            <w:tcBorders>
              <w:top w:val="nil"/>
              <w:left w:val="single" w:color="auto" w:sz="4" w:space="0"/>
              <w:bottom w:val="single" w:color="auto" w:sz="4" w:space="0"/>
              <w:right w:val="single" w:color="auto" w:sz="4" w:space="0"/>
            </w:tcBorders>
            <w:shd w:val="clear" w:color="auto" w:fill="auto"/>
          </w:tcPr>
          <w:p w14:paraId="5690CAAB">
            <w:pPr>
              <w:adjustRightInd w:val="0"/>
              <w:snapToGrid w:val="0"/>
              <w:ind w:firstLine="420"/>
              <w:rPr>
                <w:rFonts w:cs="Times New Roman" w:eastAsiaTheme="minorEastAsia"/>
                <w:snapToGrid w:val="0"/>
                <w:kern w:val="0"/>
                <w:sz w:val="21"/>
                <w:szCs w:val="21"/>
              </w:rPr>
            </w:pP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0BBBE1BC">
            <w:pPr>
              <w:widowControl/>
              <w:adjustRightInd w:val="0"/>
              <w:snapToGrid w:val="0"/>
              <w:spacing w:line="240" w:lineRule="auto"/>
              <w:ind w:firstLine="0" w:firstLineChars="0"/>
              <w:jc w:val="left"/>
              <w:rPr>
                <w:rFonts w:cs="Times New Roman" w:eastAsiaTheme="minorEastAsia"/>
                <w:snapToGrid w:val="0"/>
                <w:kern w:val="0"/>
                <w:sz w:val="21"/>
                <w:szCs w:val="21"/>
              </w:rPr>
            </w:pPr>
            <w:r>
              <w:rPr>
                <w:rFonts w:hint="eastAsia" w:cs="Times New Roman" w:eastAsiaTheme="minorEastAsia"/>
                <w:snapToGrid w:val="0"/>
                <w:kern w:val="0"/>
                <w:sz w:val="21"/>
                <w:szCs w:val="21"/>
                <w:lang w:bidi="ar"/>
              </w:rPr>
              <w:t>按照《高校实验室安全风险评价表》评分达到</w:t>
            </w:r>
            <w:r>
              <w:rPr>
                <w:rFonts w:cs="Times New Roman" w:eastAsiaTheme="minorEastAsia"/>
                <w:snapToGrid w:val="0"/>
                <w:kern w:val="0"/>
                <w:sz w:val="21"/>
                <w:szCs w:val="21"/>
                <w:lang w:bidi="ar"/>
              </w:rPr>
              <w:t>100</w:t>
            </w:r>
            <w:r>
              <w:rPr>
                <w:rFonts w:hint="eastAsia" w:cs="Times New Roman" w:eastAsiaTheme="minorEastAsia"/>
                <w:snapToGrid w:val="0"/>
                <w:kern w:val="0"/>
                <w:sz w:val="21"/>
                <w:szCs w:val="21"/>
                <w:lang w:bidi="ar"/>
              </w:rPr>
              <w:t>分的实验室</w:t>
            </w:r>
          </w:p>
        </w:tc>
      </w:tr>
      <w:tr w14:paraId="4395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tcBorders>
              <w:top w:val="nil"/>
              <w:left w:val="single" w:color="auto" w:sz="4" w:space="0"/>
              <w:bottom w:val="single" w:color="auto" w:sz="4" w:space="0"/>
              <w:right w:val="single" w:color="auto" w:sz="4" w:space="0"/>
            </w:tcBorders>
            <w:shd w:val="clear" w:color="auto" w:fill="auto"/>
          </w:tcPr>
          <w:p w14:paraId="5370B89A">
            <w:pPr>
              <w:widowControl/>
              <w:adjustRightInd w:val="0"/>
              <w:snapToGrid w:val="0"/>
              <w:spacing w:line="240" w:lineRule="auto"/>
              <w:ind w:firstLine="0" w:firstLineChars="0"/>
              <w:jc w:val="center"/>
              <w:rPr>
                <w:rFonts w:cs="Times New Roman" w:eastAsiaTheme="minorEastAsia"/>
                <w:snapToGrid w:val="0"/>
                <w:kern w:val="0"/>
                <w:sz w:val="21"/>
                <w:szCs w:val="21"/>
              </w:rPr>
            </w:pPr>
            <w:r>
              <w:rPr>
                <w:rFonts w:hint="eastAsia" w:cs="Times New Roman" w:eastAsiaTheme="minorEastAsia"/>
                <w:snapToGrid w:val="0"/>
                <w:kern w:val="0"/>
                <w:sz w:val="21"/>
                <w:szCs w:val="21"/>
                <w:lang w:bidi="ar"/>
              </w:rPr>
              <w:t>Ⅱ级</w:t>
            </w:r>
            <w:r>
              <w:rPr>
                <w:rFonts w:cs="Times New Roman" w:eastAsiaTheme="minorEastAsia"/>
                <w:snapToGrid w:val="0"/>
                <w:kern w:val="0"/>
                <w:sz w:val="21"/>
                <w:szCs w:val="21"/>
                <w:lang w:bidi="ar"/>
              </w:rPr>
              <w:t>/</w:t>
            </w:r>
            <w:r>
              <w:rPr>
                <w:rFonts w:hint="eastAsia" w:cs="Times New Roman" w:eastAsiaTheme="minorEastAsia"/>
                <w:snapToGrid w:val="0"/>
                <w:kern w:val="0"/>
                <w:sz w:val="21"/>
                <w:szCs w:val="21"/>
                <w:lang w:bidi="ar"/>
              </w:rPr>
              <w:t>橙色级实验室（高风险实验室）</w:t>
            </w: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2666D705">
            <w:pPr>
              <w:widowControl/>
              <w:adjustRightInd w:val="0"/>
              <w:snapToGrid w:val="0"/>
              <w:spacing w:line="240" w:lineRule="auto"/>
              <w:ind w:firstLine="0" w:firstLineChars="0"/>
              <w:jc w:val="left"/>
              <w:rPr>
                <w:rFonts w:cs="Times New Roman" w:eastAsiaTheme="minorEastAsia"/>
                <w:snapToGrid w:val="0"/>
                <w:kern w:val="0"/>
                <w:sz w:val="21"/>
                <w:szCs w:val="21"/>
              </w:rPr>
            </w:pPr>
            <w:r>
              <w:rPr>
                <w:rFonts w:hint="eastAsia" w:cs="Times New Roman" w:eastAsiaTheme="minorEastAsia"/>
                <w:snapToGrid w:val="0"/>
                <w:kern w:val="0"/>
                <w:sz w:val="21"/>
                <w:szCs w:val="21"/>
                <w:lang w:bidi="ar"/>
              </w:rPr>
              <w:t>实验室有以下情况之一的：</w:t>
            </w:r>
          </w:p>
          <w:p w14:paraId="5253A3F2">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存储第二类精神药品；</w:t>
            </w:r>
          </w:p>
          <w:p w14:paraId="6DC55F8A">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存储易燃易爆化学品总量为20~50kg或20~50L；</w:t>
            </w:r>
          </w:p>
          <w:p w14:paraId="47EF2F29">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存储有毒、易燃气体总量为3~6（不含）瓶；</w:t>
            </w:r>
          </w:p>
          <w:p w14:paraId="3DF125D1">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生物安全BSL-2、ABSL-2实验室；</w:t>
            </w:r>
          </w:p>
          <w:p w14:paraId="6744884F">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使用第一类、第二类压力容器；</w:t>
            </w:r>
          </w:p>
          <w:p w14:paraId="4B2E202E">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高校自行规定的其他情况</w:t>
            </w:r>
            <w:r>
              <w:rPr>
                <w:rFonts w:hint="eastAsia" w:cs="Times New Roman" w:eastAsiaTheme="minorEastAsia"/>
                <w:snapToGrid w:val="0"/>
                <w:kern w:val="0"/>
                <w:sz w:val="21"/>
                <w:szCs w:val="21"/>
                <w:lang w:bidi="ar"/>
              </w:rPr>
              <w:t>。</w:t>
            </w:r>
          </w:p>
        </w:tc>
      </w:tr>
      <w:tr w14:paraId="772B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Borders>
              <w:top w:val="nil"/>
              <w:left w:val="single" w:color="auto" w:sz="4" w:space="0"/>
              <w:bottom w:val="single" w:color="auto" w:sz="4" w:space="0"/>
              <w:right w:val="single" w:color="auto" w:sz="4" w:space="0"/>
            </w:tcBorders>
            <w:shd w:val="clear" w:color="auto" w:fill="auto"/>
          </w:tcPr>
          <w:p w14:paraId="5627E412">
            <w:pPr>
              <w:adjustRightInd w:val="0"/>
              <w:snapToGrid w:val="0"/>
              <w:ind w:firstLine="420"/>
              <w:rPr>
                <w:rFonts w:cs="Times New Roman" w:eastAsiaTheme="minorEastAsia"/>
                <w:snapToGrid w:val="0"/>
                <w:kern w:val="0"/>
                <w:sz w:val="21"/>
                <w:szCs w:val="21"/>
              </w:rPr>
            </w:pP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53657AFA">
            <w:pPr>
              <w:widowControl/>
              <w:adjustRightInd w:val="0"/>
              <w:snapToGrid w:val="0"/>
              <w:spacing w:line="240" w:lineRule="auto"/>
              <w:ind w:firstLine="0" w:firstLineChars="0"/>
              <w:jc w:val="left"/>
              <w:rPr>
                <w:rFonts w:cs="Times New Roman" w:eastAsiaTheme="minorEastAsia"/>
                <w:snapToGrid w:val="0"/>
                <w:kern w:val="0"/>
                <w:sz w:val="21"/>
                <w:szCs w:val="21"/>
              </w:rPr>
            </w:pPr>
            <w:r>
              <w:rPr>
                <w:rFonts w:hint="eastAsia" w:cs="Times New Roman" w:eastAsiaTheme="minorEastAsia"/>
                <w:snapToGrid w:val="0"/>
                <w:kern w:val="0"/>
                <w:sz w:val="21"/>
                <w:szCs w:val="21"/>
                <w:lang w:bidi="ar"/>
              </w:rPr>
              <w:t>按照《高校实验室安全风险评价表》</w:t>
            </w:r>
            <w:r>
              <w:rPr>
                <w:rFonts w:hint="eastAsia" w:cs="Times New Roman" w:eastAsiaTheme="minorEastAsia"/>
                <w:snapToGrid w:val="0"/>
                <w:kern w:val="0"/>
                <w:sz w:val="21"/>
                <w:szCs w:val="21"/>
              </w:rPr>
              <w:t>评分</w:t>
            </w:r>
            <w:r>
              <w:rPr>
                <w:rFonts w:hint="eastAsia" w:cs="Times New Roman" w:eastAsiaTheme="minorEastAsia"/>
                <w:snapToGrid w:val="0"/>
                <w:kern w:val="0"/>
                <w:sz w:val="21"/>
                <w:szCs w:val="21"/>
                <w:lang w:bidi="ar"/>
              </w:rPr>
              <w:t>在</w:t>
            </w:r>
            <w:r>
              <w:rPr>
                <w:rFonts w:cs="Times New Roman" w:eastAsiaTheme="minorEastAsia"/>
                <w:snapToGrid w:val="0"/>
                <w:kern w:val="0"/>
                <w:sz w:val="21"/>
                <w:szCs w:val="21"/>
                <w:lang w:bidi="ar"/>
              </w:rPr>
              <w:t>[75, 100]</w:t>
            </w:r>
            <w:r>
              <w:rPr>
                <w:rFonts w:hint="eastAsia" w:cs="Times New Roman" w:eastAsiaTheme="minorEastAsia"/>
                <w:snapToGrid w:val="0"/>
                <w:kern w:val="0"/>
                <w:sz w:val="21"/>
                <w:szCs w:val="21"/>
                <w:lang w:bidi="ar"/>
              </w:rPr>
              <w:t>范围的实验室</w:t>
            </w:r>
          </w:p>
        </w:tc>
      </w:tr>
      <w:tr w14:paraId="73A9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56" w:type="dxa"/>
            <w:vMerge w:val="restart"/>
            <w:tcBorders>
              <w:top w:val="nil"/>
              <w:left w:val="single" w:color="auto" w:sz="4" w:space="0"/>
              <w:bottom w:val="single" w:color="auto" w:sz="4" w:space="0"/>
              <w:right w:val="single" w:color="auto" w:sz="4" w:space="0"/>
            </w:tcBorders>
            <w:shd w:val="clear" w:color="auto" w:fill="auto"/>
          </w:tcPr>
          <w:p w14:paraId="6198AD38">
            <w:pPr>
              <w:widowControl/>
              <w:adjustRightInd w:val="0"/>
              <w:snapToGrid w:val="0"/>
              <w:spacing w:line="240" w:lineRule="auto"/>
              <w:ind w:firstLine="0" w:firstLineChars="0"/>
              <w:jc w:val="center"/>
              <w:rPr>
                <w:rFonts w:cs="Times New Roman" w:eastAsiaTheme="minorEastAsia"/>
                <w:snapToGrid w:val="0"/>
                <w:kern w:val="0"/>
                <w:sz w:val="21"/>
                <w:szCs w:val="21"/>
              </w:rPr>
            </w:pPr>
            <w:r>
              <w:rPr>
                <w:rFonts w:hint="eastAsia" w:cs="Times New Roman" w:eastAsiaTheme="minorEastAsia"/>
                <w:snapToGrid w:val="0"/>
                <w:kern w:val="0"/>
                <w:sz w:val="21"/>
                <w:szCs w:val="21"/>
                <w:lang w:bidi="ar"/>
              </w:rPr>
              <w:t>Ⅲ级</w:t>
            </w:r>
            <w:r>
              <w:rPr>
                <w:rFonts w:cs="Times New Roman" w:eastAsiaTheme="minorEastAsia"/>
                <w:snapToGrid w:val="0"/>
                <w:kern w:val="0"/>
                <w:sz w:val="21"/>
                <w:szCs w:val="21"/>
                <w:lang w:bidi="ar"/>
              </w:rPr>
              <w:t>/</w:t>
            </w:r>
            <w:r>
              <w:rPr>
                <w:rFonts w:hint="eastAsia" w:cs="Times New Roman" w:eastAsiaTheme="minorEastAsia"/>
                <w:snapToGrid w:val="0"/>
                <w:kern w:val="0"/>
                <w:sz w:val="21"/>
                <w:szCs w:val="21"/>
                <w:lang w:bidi="ar"/>
              </w:rPr>
              <w:t>黄色级实验室（中风险实验室）</w:t>
            </w: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393A1D7A">
            <w:pPr>
              <w:widowControl/>
              <w:adjustRightInd w:val="0"/>
              <w:snapToGrid w:val="0"/>
              <w:spacing w:line="240" w:lineRule="auto"/>
              <w:ind w:firstLine="0" w:firstLineChars="0"/>
              <w:jc w:val="left"/>
              <w:rPr>
                <w:rFonts w:cs="Times New Roman" w:eastAsiaTheme="minorEastAsia"/>
                <w:snapToGrid w:val="0"/>
                <w:kern w:val="0"/>
                <w:sz w:val="21"/>
                <w:szCs w:val="21"/>
              </w:rPr>
            </w:pPr>
            <w:r>
              <w:rPr>
                <w:rFonts w:hint="eastAsia" w:cs="Times New Roman" w:eastAsiaTheme="minorEastAsia"/>
                <w:snapToGrid w:val="0"/>
                <w:kern w:val="0"/>
                <w:sz w:val="21"/>
                <w:szCs w:val="21"/>
                <w:lang w:bidi="ar"/>
              </w:rPr>
              <w:t>实验室有以下情况之一的：</w:t>
            </w:r>
          </w:p>
          <w:p w14:paraId="0589ACE3">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存储第二/三类易制毒品；</w:t>
            </w:r>
          </w:p>
          <w:p w14:paraId="0DBA3298">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生物安全BSL-1、ABSL-1实验室；</w:t>
            </w:r>
          </w:p>
          <w:p w14:paraId="3B33B88D">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基础设备老化；</w:t>
            </w:r>
          </w:p>
          <w:p w14:paraId="4A3BD010">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高校自行规定的其他情况</w:t>
            </w:r>
            <w:r>
              <w:rPr>
                <w:rFonts w:hint="eastAsia" w:cs="Times New Roman" w:eastAsiaTheme="minorEastAsia"/>
                <w:snapToGrid w:val="0"/>
                <w:kern w:val="0"/>
                <w:sz w:val="21"/>
                <w:szCs w:val="21"/>
                <w:lang w:bidi="ar"/>
              </w:rPr>
              <w:t>。</w:t>
            </w:r>
          </w:p>
        </w:tc>
      </w:tr>
      <w:tr w14:paraId="2DF8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Borders>
              <w:top w:val="nil"/>
              <w:left w:val="single" w:color="auto" w:sz="4" w:space="0"/>
              <w:bottom w:val="single" w:color="auto" w:sz="4" w:space="0"/>
              <w:right w:val="single" w:color="auto" w:sz="4" w:space="0"/>
            </w:tcBorders>
            <w:shd w:val="clear" w:color="auto" w:fill="auto"/>
          </w:tcPr>
          <w:p w14:paraId="578F88CF">
            <w:pPr>
              <w:adjustRightInd w:val="0"/>
              <w:snapToGrid w:val="0"/>
              <w:ind w:firstLine="420"/>
              <w:rPr>
                <w:rFonts w:cs="Times New Roman" w:eastAsiaTheme="minorEastAsia"/>
                <w:snapToGrid w:val="0"/>
                <w:kern w:val="0"/>
                <w:sz w:val="21"/>
                <w:szCs w:val="21"/>
              </w:rPr>
            </w:pP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388052E1">
            <w:pPr>
              <w:widowControl/>
              <w:adjustRightInd w:val="0"/>
              <w:snapToGrid w:val="0"/>
              <w:spacing w:line="240" w:lineRule="auto"/>
              <w:ind w:firstLine="0" w:firstLineChars="0"/>
              <w:jc w:val="left"/>
              <w:rPr>
                <w:rFonts w:cs="Times New Roman" w:eastAsiaTheme="minorEastAsia"/>
                <w:snapToGrid w:val="0"/>
                <w:kern w:val="0"/>
                <w:sz w:val="21"/>
                <w:szCs w:val="21"/>
              </w:rPr>
            </w:pPr>
            <w:r>
              <w:rPr>
                <w:rFonts w:hint="eastAsia" w:cs="Times New Roman" w:eastAsiaTheme="minorEastAsia"/>
                <w:snapToGrid w:val="0"/>
                <w:kern w:val="0"/>
                <w:sz w:val="21"/>
                <w:szCs w:val="21"/>
                <w:lang w:bidi="ar"/>
              </w:rPr>
              <w:t>按照</w:t>
            </w:r>
            <w:r>
              <w:rPr>
                <w:rFonts w:hint="eastAsia" w:cs="Times New Roman" w:eastAsiaTheme="minorEastAsia"/>
                <w:snapToGrid w:val="0"/>
                <w:kern w:val="0"/>
                <w:sz w:val="21"/>
                <w:szCs w:val="21"/>
              </w:rPr>
              <w:t>《高校实验室安全风险评价表》</w:t>
            </w:r>
            <w:r>
              <w:rPr>
                <w:rFonts w:hint="eastAsia" w:cs="Times New Roman" w:eastAsiaTheme="minorEastAsia"/>
                <w:snapToGrid w:val="0"/>
                <w:kern w:val="0"/>
                <w:sz w:val="21"/>
                <w:szCs w:val="21"/>
                <w:lang w:bidi="ar"/>
              </w:rPr>
              <w:t>评分在</w:t>
            </w:r>
            <w:r>
              <w:rPr>
                <w:rFonts w:cs="Times New Roman" w:eastAsiaTheme="minorEastAsia"/>
                <w:snapToGrid w:val="0"/>
                <w:kern w:val="0"/>
                <w:sz w:val="21"/>
                <w:szCs w:val="21"/>
                <w:lang w:bidi="ar"/>
              </w:rPr>
              <w:t>[25, 75]</w:t>
            </w:r>
            <w:r>
              <w:rPr>
                <w:rFonts w:hint="eastAsia" w:cs="Times New Roman" w:eastAsiaTheme="minorEastAsia"/>
                <w:snapToGrid w:val="0"/>
                <w:kern w:val="0"/>
                <w:sz w:val="21"/>
                <w:szCs w:val="21"/>
                <w:lang w:bidi="ar"/>
              </w:rPr>
              <w:t>范围的实验室</w:t>
            </w:r>
          </w:p>
        </w:tc>
      </w:tr>
      <w:tr w14:paraId="050E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tcBorders>
              <w:top w:val="nil"/>
              <w:left w:val="single" w:color="auto" w:sz="4" w:space="0"/>
              <w:bottom w:val="single" w:color="auto" w:sz="4" w:space="0"/>
              <w:right w:val="single" w:color="auto" w:sz="4" w:space="0"/>
            </w:tcBorders>
            <w:shd w:val="clear" w:color="auto" w:fill="auto"/>
          </w:tcPr>
          <w:p w14:paraId="28EA1074">
            <w:pPr>
              <w:widowControl/>
              <w:adjustRightInd w:val="0"/>
              <w:snapToGrid w:val="0"/>
              <w:spacing w:line="240" w:lineRule="auto"/>
              <w:ind w:firstLine="0" w:firstLineChars="0"/>
              <w:jc w:val="center"/>
              <w:rPr>
                <w:rFonts w:cs="Times New Roman" w:eastAsiaTheme="minorEastAsia"/>
                <w:snapToGrid w:val="0"/>
                <w:kern w:val="0"/>
                <w:sz w:val="21"/>
                <w:szCs w:val="21"/>
              </w:rPr>
            </w:pPr>
            <w:r>
              <w:rPr>
                <w:rFonts w:hint="eastAsia" w:cs="Times New Roman" w:eastAsiaTheme="minorEastAsia"/>
                <w:snapToGrid w:val="0"/>
                <w:kern w:val="0"/>
                <w:sz w:val="21"/>
                <w:szCs w:val="21"/>
                <w:lang w:bidi="ar"/>
              </w:rPr>
              <w:t>Ⅳ级</w:t>
            </w:r>
            <w:r>
              <w:rPr>
                <w:rFonts w:cs="Times New Roman" w:eastAsiaTheme="minorEastAsia"/>
                <w:snapToGrid w:val="0"/>
                <w:kern w:val="0"/>
                <w:sz w:val="21"/>
                <w:szCs w:val="21"/>
                <w:lang w:bidi="ar"/>
              </w:rPr>
              <w:t>/</w:t>
            </w:r>
            <w:r>
              <w:rPr>
                <w:rFonts w:hint="eastAsia" w:cs="Times New Roman" w:eastAsiaTheme="minorEastAsia"/>
                <w:snapToGrid w:val="0"/>
                <w:kern w:val="0"/>
                <w:sz w:val="21"/>
                <w:szCs w:val="21"/>
                <w:lang w:bidi="ar"/>
              </w:rPr>
              <w:t>蓝色级</w:t>
            </w:r>
            <w:r>
              <w:rPr>
                <w:rFonts w:hint="eastAsia" w:cs="Times New Roman" w:eastAsiaTheme="minorEastAsia"/>
                <w:snapToGrid w:val="0"/>
                <w:kern w:val="0"/>
                <w:sz w:val="21"/>
                <w:szCs w:val="21"/>
              </w:rPr>
              <w:t>实验室</w:t>
            </w:r>
            <w:r>
              <w:rPr>
                <w:rFonts w:hint="eastAsia" w:cs="Times New Roman" w:eastAsiaTheme="minorEastAsia"/>
                <w:snapToGrid w:val="0"/>
                <w:kern w:val="0"/>
                <w:sz w:val="21"/>
                <w:szCs w:val="21"/>
                <w:lang w:bidi="ar"/>
              </w:rPr>
              <w:t>（低风险实验室）</w:t>
            </w: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3685EED5">
            <w:pPr>
              <w:adjustRightInd w:val="0"/>
              <w:snapToGrid w:val="0"/>
              <w:spacing w:line="460" w:lineRule="exact"/>
              <w:ind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实验室有以下情况之一的：</w:t>
            </w:r>
          </w:p>
          <w:p w14:paraId="4B28402A">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不涉及重要危险源的实验室；</w:t>
            </w:r>
          </w:p>
          <w:p w14:paraId="62325C7A">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主要涉及一般性消防安全、用电安全的实验室；</w:t>
            </w:r>
          </w:p>
          <w:p w14:paraId="4112B0A0">
            <w:pPr>
              <w:adjustRightInd w:val="0"/>
              <w:snapToGrid w:val="0"/>
              <w:spacing w:line="460" w:lineRule="exact"/>
              <w:ind w:left="720" w:firstLine="0" w:firstLineChars="0"/>
              <w:rPr>
                <w:rFonts w:cs="Times New Roman" w:eastAsiaTheme="minorEastAsia"/>
                <w:snapToGrid w:val="0"/>
                <w:sz w:val="21"/>
                <w:szCs w:val="21"/>
              </w:rPr>
            </w:pPr>
            <w:r>
              <w:rPr>
                <w:rFonts w:cs="Times New Roman" w:eastAsiaTheme="minorEastAsia"/>
                <w:snapToGrid w:val="0"/>
                <w:kern w:val="0"/>
                <w:sz w:val="21"/>
                <w:szCs w:val="21"/>
                <w:lang w:bidi="ar"/>
              </w:rPr>
              <w:t>高校自行规定的其他情况</w:t>
            </w:r>
            <w:r>
              <w:rPr>
                <w:rFonts w:hint="eastAsia" w:cs="Times New Roman" w:eastAsiaTheme="minorEastAsia"/>
                <w:snapToGrid w:val="0"/>
                <w:kern w:val="0"/>
                <w:sz w:val="21"/>
                <w:szCs w:val="21"/>
                <w:lang w:bidi="ar"/>
              </w:rPr>
              <w:t>。</w:t>
            </w:r>
          </w:p>
        </w:tc>
      </w:tr>
      <w:tr w14:paraId="524F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Borders>
              <w:top w:val="nil"/>
              <w:left w:val="single" w:color="auto" w:sz="4" w:space="0"/>
              <w:bottom w:val="single" w:color="auto" w:sz="4" w:space="0"/>
              <w:right w:val="single" w:color="auto" w:sz="4" w:space="0"/>
            </w:tcBorders>
            <w:shd w:val="clear" w:color="auto" w:fill="auto"/>
          </w:tcPr>
          <w:p w14:paraId="2477B5C6">
            <w:pPr>
              <w:adjustRightInd w:val="0"/>
              <w:snapToGrid w:val="0"/>
              <w:ind w:firstLine="420"/>
              <w:rPr>
                <w:rFonts w:cs="Times New Roman" w:eastAsiaTheme="minorEastAsia"/>
                <w:snapToGrid w:val="0"/>
                <w:kern w:val="0"/>
                <w:sz w:val="21"/>
                <w:szCs w:val="21"/>
              </w:rPr>
            </w:pPr>
          </w:p>
        </w:tc>
        <w:tc>
          <w:tcPr>
            <w:tcW w:w="7253" w:type="dxa"/>
            <w:tcBorders>
              <w:top w:val="single" w:color="auto" w:sz="4" w:space="0"/>
              <w:left w:val="single" w:color="auto" w:sz="4" w:space="0"/>
              <w:bottom w:val="single" w:color="auto" w:sz="4" w:space="0"/>
              <w:right w:val="single" w:color="auto" w:sz="4" w:space="0"/>
            </w:tcBorders>
            <w:shd w:val="clear" w:color="auto" w:fill="auto"/>
          </w:tcPr>
          <w:p w14:paraId="1F8527AD">
            <w:pPr>
              <w:widowControl/>
              <w:adjustRightInd w:val="0"/>
              <w:snapToGrid w:val="0"/>
              <w:spacing w:line="240" w:lineRule="auto"/>
              <w:ind w:firstLine="0" w:firstLineChars="0"/>
              <w:jc w:val="left"/>
              <w:rPr>
                <w:rFonts w:cs="Times New Roman" w:eastAsiaTheme="minorEastAsia"/>
                <w:snapToGrid w:val="0"/>
                <w:kern w:val="0"/>
                <w:sz w:val="21"/>
                <w:szCs w:val="21"/>
              </w:rPr>
            </w:pPr>
            <w:r>
              <w:rPr>
                <w:rFonts w:hint="eastAsia" w:cs="Times New Roman" w:eastAsiaTheme="minorEastAsia"/>
                <w:snapToGrid w:val="0"/>
                <w:kern w:val="0"/>
                <w:sz w:val="21"/>
                <w:szCs w:val="21"/>
                <w:lang w:bidi="ar"/>
              </w:rPr>
              <w:t>按照《高校实验室安全风险评价表》评分在</w:t>
            </w:r>
            <w:r>
              <w:rPr>
                <w:rFonts w:cs="Times New Roman" w:eastAsiaTheme="minorEastAsia"/>
                <w:snapToGrid w:val="0"/>
                <w:kern w:val="0"/>
                <w:sz w:val="21"/>
                <w:szCs w:val="21"/>
                <w:lang w:bidi="ar"/>
              </w:rPr>
              <w:t>[0, 25]</w:t>
            </w:r>
            <w:r>
              <w:rPr>
                <w:rFonts w:hint="eastAsia" w:cs="Times New Roman" w:eastAsiaTheme="minorEastAsia"/>
                <w:snapToGrid w:val="0"/>
                <w:kern w:val="0"/>
                <w:sz w:val="21"/>
                <w:szCs w:val="21"/>
                <w:lang w:bidi="ar"/>
              </w:rPr>
              <w:t>范围的实验室</w:t>
            </w:r>
          </w:p>
        </w:tc>
      </w:tr>
    </w:tbl>
    <w:p w14:paraId="5C8DE5EC">
      <w:pPr>
        <w:ind w:firstLine="0" w:firstLineChars="0"/>
        <w:rPr>
          <w:rFonts w:cs="Times New Roman" w:asciiTheme="minorEastAsia" w:hAnsiTheme="minorEastAsia" w:eastAsiaTheme="minorEastAsia"/>
          <w:snapToGrid w:val="0"/>
          <w:kern w:val="0"/>
          <w:sz w:val="21"/>
          <w:szCs w:val="21"/>
        </w:rPr>
      </w:pPr>
    </w:p>
    <w:p w14:paraId="0705FABC">
      <w:pPr>
        <w:widowControl/>
        <w:spacing w:line="240" w:lineRule="auto"/>
        <w:ind w:firstLine="0" w:firstLineChars="0"/>
        <w:jc w:val="left"/>
        <w:rPr>
          <w:rFonts w:cs="Times New Roman" w:asciiTheme="minorEastAsia" w:hAnsiTheme="minorEastAsia" w:eastAsiaTheme="minorEastAsia"/>
          <w:snapToGrid w:val="0"/>
          <w:kern w:val="0"/>
          <w:sz w:val="21"/>
          <w:szCs w:val="21"/>
        </w:rPr>
      </w:pPr>
      <w:r>
        <w:rPr>
          <w:rFonts w:cs="Times New Roman" w:asciiTheme="minorEastAsia" w:hAnsiTheme="minorEastAsia" w:eastAsiaTheme="minorEastAsia"/>
          <w:snapToGrid w:val="0"/>
          <w:kern w:val="0"/>
          <w:sz w:val="21"/>
          <w:szCs w:val="21"/>
        </w:rPr>
        <w:br w:type="page"/>
      </w:r>
    </w:p>
    <w:p w14:paraId="225E39B3">
      <w:pPr>
        <w:adjustRightInd w:val="0"/>
        <w:snapToGrid w:val="0"/>
        <w:spacing w:before="156" w:beforeLines="50"/>
        <w:ind w:firstLine="0" w:firstLineChars="0"/>
        <w:jc w:val="left"/>
      </w:pPr>
      <w:bookmarkStart w:id="84" w:name="_Hlk198884628"/>
      <w:bookmarkStart w:id="85" w:name="_Toc167347558"/>
      <w:bookmarkStart w:id="86" w:name="_Toc763"/>
      <w:bookmarkStart w:id="87" w:name="_Toc163828047"/>
      <w:r>
        <w:rPr>
          <w:rFonts w:hint="eastAsia" w:cs="Times New Roman"/>
          <w:snapToGrid w:val="0"/>
          <w:kern w:val="0"/>
          <w:sz w:val="21"/>
          <w:szCs w:val="21"/>
        </w:rPr>
        <w:t>常见</w:t>
      </w:r>
      <w:r>
        <w:rPr>
          <w:rFonts w:cs="Times New Roman"/>
          <w:snapToGrid w:val="0"/>
          <w:kern w:val="0"/>
          <w:sz w:val="21"/>
          <w:szCs w:val="21"/>
        </w:rPr>
        <w:t>实验室废液相容性见图</w:t>
      </w:r>
      <w:r>
        <w:rPr>
          <w:rFonts w:hint="eastAsia" w:cs="Times New Roman"/>
          <w:snapToGrid w:val="0"/>
          <w:kern w:val="0"/>
          <w:sz w:val="21"/>
          <w:szCs w:val="21"/>
        </w:rPr>
        <w:t>表A</w:t>
      </w:r>
      <w:r>
        <w:rPr>
          <w:rFonts w:cs="Times New Roman"/>
          <w:snapToGrid w:val="0"/>
          <w:kern w:val="0"/>
          <w:sz w:val="21"/>
          <w:szCs w:val="21"/>
        </w:rPr>
        <w:t>.2。</w:t>
      </w:r>
    </w:p>
    <w:p w14:paraId="13D84C37">
      <w:pPr>
        <w:kinsoku w:val="0"/>
        <w:overflowPunct w:val="0"/>
        <w:autoSpaceDE w:val="0"/>
        <w:autoSpaceDN w:val="0"/>
        <w:adjustRightInd w:val="0"/>
        <w:spacing w:before="127" w:line="360" w:lineRule="auto"/>
        <w:ind w:firstLine="0" w:firstLineChars="0"/>
        <w:jc w:val="center"/>
        <w:outlineLvl w:val="1"/>
        <w:rPr>
          <w:rFonts w:eastAsia="黑体" w:cs="Times New Roman"/>
          <w:kern w:val="0"/>
          <w:szCs w:val="21"/>
        </w:rPr>
      </w:pPr>
      <w:r>
        <w:rPr>
          <w:rFonts w:eastAsia="黑体" w:cs="Times New Roman"/>
          <w:kern w:val="0"/>
          <w:szCs w:val="21"/>
        </w:rPr>
        <w:drawing>
          <wp:anchor distT="0" distB="0" distL="0" distR="0" simplePos="0" relativeHeight="251663360" behindDoc="0" locked="0" layoutInCell="1" allowOverlap="1">
            <wp:simplePos x="0" y="0"/>
            <wp:positionH relativeFrom="margin">
              <wp:posOffset>504190</wp:posOffset>
            </wp:positionH>
            <wp:positionV relativeFrom="paragraph">
              <wp:posOffset>160020</wp:posOffset>
            </wp:positionV>
            <wp:extent cx="4829175" cy="3461385"/>
            <wp:effectExtent l="0" t="0" r="9525" b="571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rcRect r="9151"/>
                    <a:stretch>
                      <a:fillRect/>
                    </a:stretch>
                  </pic:blipFill>
                  <pic:spPr>
                    <a:xfrm>
                      <a:off x="0" y="0"/>
                      <a:ext cx="4829175" cy="3461385"/>
                    </a:xfrm>
                    <a:prstGeom prst="rect">
                      <a:avLst/>
                    </a:prstGeom>
                    <a:noFill/>
                    <a:ln>
                      <a:noFill/>
                    </a:ln>
                  </pic:spPr>
                </pic:pic>
              </a:graphicData>
            </a:graphic>
          </wp:anchor>
        </w:drawing>
      </w:r>
      <w:r>
        <w:rPr>
          <w:rFonts w:eastAsia="黑体" w:cs="Times New Roman"/>
          <w:kern w:val="0"/>
          <w:szCs w:val="21"/>
        </w:rPr>
        <w:t>图</w:t>
      </w:r>
      <w:r>
        <w:rPr>
          <w:rFonts w:hint="eastAsia" w:eastAsia="黑体" w:cs="Times New Roman"/>
          <w:kern w:val="0"/>
          <w:szCs w:val="21"/>
        </w:rPr>
        <w:t>A</w:t>
      </w:r>
      <w:r>
        <w:rPr>
          <w:rFonts w:eastAsia="黑体" w:cs="Times New Roman"/>
          <w:kern w:val="0"/>
          <w:szCs w:val="21"/>
        </w:rPr>
        <w:t>.</w:t>
      </w:r>
      <w:r>
        <w:rPr>
          <w:rFonts w:hint="eastAsia" w:eastAsia="黑体" w:cs="Times New Roman"/>
          <w:kern w:val="0"/>
          <w:szCs w:val="21"/>
        </w:rPr>
        <w:t>2</w:t>
      </w:r>
      <w:r>
        <w:rPr>
          <w:rFonts w:eastAsia="黑体" w:cs="Times New Roman"/>
          <w:kern w:val="0"/>
          <w:szCs w:val="21"/>
        </w:rPr>
        <w:t xml:space="preserve">  废液相容性表</w:t>
      </w:r>
    </w:p>
    <w:bookmarkEnd w:id="84"/>
    <w:p w14:paraId="6BF098B1">
      <w:pPr>
        <w:adjustRightInd w:val="0"/>
        <w:snapToGrid w:val="0"/>
        <w:spacing w:before="156" w:beforeLines="50"/>
        <w:ind w:firstLine="480" w:firstLineChars="0"/>
        <w:jc w:val="left"/>
        <w:rPr>
          <w:rFonts w:cs="Times New Roman"/>
          <w:snapToGrid w:val="0"/>
          <w:kern w:val="0"/>
          <w:szCs w:val="21"/>
        </w:rPr>
      </w:pPr>
    </w:p>
    <w:p w14:paraId="066A9864">
      <w:pPr>
        <w:adjustRightInd w:val="0"/>
        <w:snapToGrid w:val="0"/>
        <w:spacing w:before="156" w:beforeLines="50"/>
        <w:ind w:firstLine="480" w:firstLineChars="0"/>
        <w:jc w:val="left"/>
        <w:rPr>
          <w:rFonts w:cs="Times New Roman"/>
          <w:snapToGrid w:val="0"/>
          <w:kern w:val="0"/>
          <w:szCs w:val="21"/>
        </w:rPr>
      </w:pPr>
    </w:p>
    <w:p w14:paraId="3303E82F">
      <w:pPr>
        <w:adjustRightInd w:val="0"/>
        <w:snapToGrid w:val="0"/>
        <w:spacing w:before="156" w:beforeLines="50"/>
        <w:ind w:firstLine="480" w:firstLineChars="0"/>
        <w:jc w:val="left"/>
        <w:rPr>
          <w:rFonts w:cs="Times New Roman"/>
          <w:snapToGrid w:val="0"/>
          <w:kern w:val="0"/>
          <w:szCs w:val="21"/>
        </w:rPr>
      </w:pPr>
    </w:p>
    <w:p w14:paraId="6AD1FEC0">
      <w:pPr>
        <w:widowControl/>
        <w:spacing w:line="240" w:lineRule="auto"/>
        <w:ind w:firstLine="0" w:firstLineChars="0"/>
        <w:jc w:val="left"/>
        <w:rPr>
          <w:rFonts w:cs="Times New Roman"/>
          <w:snapToGrid w:val="0"/>
          <w:kern w:val="0"/>
          <w:szCs w:val="21"/>
        </w:rPr>
      </w:pPr>
      <w:r>
        <w:rPr>
          <w:rFonts w:cs="Times New Roman"/>
          <w:snapToGrid w:val="0"/>
          <w:kern w:val="0"/>
          <w:szCs w:val="21"/>
        </w:rPr>
        <w:br w:type="page"/>
      </w:r>
    </w:p>
    <w:p w14:paraId="7DDC6509">
      <w:pPr>
        <w:adjustRightInd w:val="0"/>
        <w:snapToGrid w:val="0"/>
        <w:spacing w:before="156" w:beforeLines="50"/>
        <w:ind w:firstLine="480" w:firstLineChars="0"/>
        <w:jc w:val="left"/>
        <w:rPr>
          <w:rFonts w:cs="Times New Roman"/>
          <w:snapToGrid w:val="0"/>
          <w:kern w:val="0"/>
          <w:szCs w:val="21"/>
        </w:rPr>
      </w:pPr>
    </w:p>
    <w:p w14:paraId="081EBFC8">
      <w:pPr>
        <w:adjustRightInd w:val="0"/>
        <w:snapToGrid w:val="0"/>
        <w:spacing w:before="156" w:beforeLines="50"/>
        <w:ind w:firstLine="480" w:firstLineChars="0"/>
        <w:jc w:val="left"/>
        <w:rPr>
          <w:rFonts w:cs="Times New Roman"/>
          <w:snapToGrid w:val="0"/>
          <w:kern w:val="0"/>
          <w:sz w:val="21"/>
          <w:szCs w:val="21"/>
        </w:rPr>
      </w:pPr>
      <w:r>
        <w:rPr>
          <w:rFonts w:hint="eastAsia" w:cs="Times New Roman"/>
          <w:snapToGrid w:val="0"/>
          <w:kern w:val="0"/>
          <w:sz w:val="21"/>
          <w:szCs w:val="21"/>
        </w:rPr>
        <w:t>常见不相容化学品反应现象</w:t>
      </w:r>
      <w:r>
        <w:rPr>
          <w:rFonts w:cs="Times New Roman"/>
          <w:snapToGrid w:val="0"/>
          <w:kern w:val="0"/>
          <w:sz w:val="21"/>
          <w:szCs w:val="21"/>
        </w:rPr>
        <w:t>见表</w:t>
      </w:r>
      <w:r>
        <w:rPr>
          <w:rFonts w:hint="eastAsia" w:cs="Times New Roman"/>
          <w:snapToGrid w:val="0"/>
          <w:kern w:val="0"/>
          <w:sz w:val="21"/>
          <w:szCs w:val="21"/>
        </w:rPr>
        <w:t>A</w:t>
      </w:r>
      <w:r>
        <w:rPr>
          <w:rFonts w:cs="Times New Roman"/>
          <w:snapToGrid w:val="0"/>
          <w:kern w:val="0"/>
          <w:sz w:val="21"/>
          <w:szCs w:val="21"/>
        </w:rPr>
        <w:t>.</w:t>
      </w:r>
      <w:r>
        <w:rPr>
          <w:rFonts w:hint="eastAsia" w:cs="Times New Roman"/>
          <w:snapToGrid w:val="0"/>
          <w:kern w:val="0"/>
          <w:sz w:val="21"/>
          <w:szCs w:val="21"/>
        </w:rPr>
        <w:t>3</w:t>
      </w:r>
      <w:r>
        <w:rPr>
          <w:rFonts w:cs="Times New Roman"/>
          <w:snapToGrid w:val="0"/>
          <w:kern w:val="0"/>
          <w:sz w:val="21"/>
          <w:szCs w:val="21"/>
        </w:rPr>
        <w:t>。</w:t>
      </w:r>
    </w:p>
    <w:p w14:paraId="1EB00A57">
      <w:pPr>
        <w:kinsoku w:val="0"/>
        <w:overflowPunct w:val="0"/>
        <w:autoSpaceDE w:val="0"/>
        <w:autoSpaceDN w:val="0"/>
        <w:adjustRightInd w:val="0"/>
        <w:spacing w:before="127" w:line="360" w:lineRule="auto"/>
        <w:ind w:firstLine="0" w:firstLineChars="0"/>
        <w:jc w:val="center"/>
        <w:outlineLvl w:val="1"/>
        <w:rPr>
          <w:rFonts w:eastAsia="黑体" w:cs="Times New Roman"/>
          <w:kern w:val="0"/>
          <w:szCs w:val="21"/>
        </w:rPr>
      </w:pPr>
      <w:r>
        <w:rPr>
          <w:rFonts w:eastAsia="黑体" w:cs="Times New Roman"/>
          <w:kern w:val="0"/>
          <w:szCs w:val="21"/>
        </w:rPr>
        <w:t>表</w:t>
      </w:r>
      <w:r>
        <w:rPr>
          <w:rFonts w:hint="eastAsia" w:eastAsia="黑体" w:cs="Times New Roman"/>
          <w:kern w:val="0"/>
          <w:szCs w:val="21"/>
        </w:rPr>
        <w:t>A</w:t>
      </w:r>
      <w:r>
        <w:rPr>
          <w:rFonts w:eastAsia="黑体" w:cs="Times New Roman"/>
          <w:kern w:val="0"/>
          <w:szCs w:val="21"/>
        </w:rPr>
        <w:t>.</w:t>
      </w:r>
      <w:r>
        <w:rPr>
          <w:rFonts w:hint="eastAsia" w:eastAsia="黑体" w:cs="Times New Roman"/>
          <w:kern w:val="0"/>
          <w:szCs w:val="21"/>
        </w:rPr>
        <w:t>3</w:t>
      </w:r>
      <w:r>
        <w:rPr>
          <w:rFonts w:eastAsia="黑体" w:cs="Times New Roman"/>
          <w:kern w:val="0"/>
          <w:szCs w:val="21"/>
        </w:rPr>
        <w:t xml:space="preserve">  常见不相容化学品反应现象</w:t>
      </w:r>
    </w:p>
    <w:tbl>
      <w:tblPr>
        <w:tblStyle w:val="20"/>
        <w:tblW w:w="8090" w:type="dxa"/>
        <w:jc w:val="center"/>
        <w:tblLayout w:type="autofit"/>
        <w:tblCellMar>
          <w:top w:w="0" w:type="dxa"/>
          <w:left w:w="108" w:type="dxa"/>
          <w:bottom w:w="0" w:type="dxa"/>
          <w:right w:w="108" w:type="dxa"/>
        </w:tblCellMar>
      </w:tblPr>
      <w:tblGrid>
        <w:gridCol w:w="2032"/>
        <w:gridCol w:w="2041"/>
        <w:gridCol w:w="4017"/>
      </w:tblGrid>
      <w:tr w14:paraId="01317FD8">
        <w:tblPrEx>
          <w:tblCellMar>
            <w:top w:w="0" w:type="dxa"/>
            <w:left w:w="108" w:type="dxa"/>
            <w:bottom w:w="0" w:type="dxa"/>
            <w:right w:w="108" w:type="dxa"/>
          </w:tblCellMar>
        </w:tblPrEx>
        <w:trPr>
          <w:trHeight w:val="496" w:hRule="atLeast"/>
          <w:jc w:val="center"/>
        </w:trPr>
        <w:tc>
          <w:tcPr>
            <w:tcW w:w="20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9654C">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甲</w:t>
            </w:r>
          </w:p>
        </w:tc>
        <w:tc>
          <w:tcPr>
            <w:tcW w:w="2041" w:type="dxa"/>
            <w:tcBorders>
              <w:top w:val="single" w:color="auto" w:sz="4" w:space="0"/>
              <w:left w:val="nil"/>
              <w:bottom w:val="single" w:color="auto" w:sz="4" w:space="0"/>
              <w:right w:val="single" w:color="auto" w:sz="4" w:space="0"/>
            </w:tcBorders>
            <w:shd w:val="clear" w:color="auto" w:fill="auto"/>
            <w:noWrap/>
            <w:vAlign w:val="center"/>
          </w:tcPr>
          <w:p w14:paraId="4C000F91">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乙</w:t>
            </w:r>
          </w:p>
        </w:tc>
        <w:tc>
          <w:tcPr>
            <w:tcW w:w="4017" w:type="dxa"/>
            <w:tcBorders>
              <w:top w:val="single" w:color="auto" w:sz="4" w:space="0"/>
              <w:left w:val="nil"/>
              <w:bottom w:val="single" w:color="auto" w:sz="4" w:space="0"/>
              <w:right w:val="single" w:color="auto" w:sz="4" w:space="0"/>
            </w:tcBorders>
            <w:shd w:val="clear" w:color="auto" w:fill="auto"/>
            <w:noWrap/>
            <w:vAlign w:val="center"/>
          </w:tcPr>
          <w:p w14:paraId="39620A4A">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混合时会产生的危险</w:t>
            </w:r>
          </w:p>
        </w:tc>
      </w:tr>
      <w:tr w14:paraId="12D951F6">
        <w:tblPrEx>
          <w:tblCellMar>
            <w:top w:w="0" w:type="dxa"/>
            <w:left w:w="108" w:type="dxa"/>
            <w:bottom w:w="0" w:type="dxa"/>
            <w:right w:w="108" w:type="dxa"/>
          </w:tblCellMar>
        </w:tblPrEx>
        <w:trPr>
          <w:trHeight w:val="501" w:hRule="atLeast"/>
          <w:jc w:val="center"/>
        </w:trPr>
        <w:tc>
          <w:tcPr>
            <w:tcW w:w="2032" w:type="dxa"/>
            <w:tcBorders>
              <w:top w:val="nil"/>
              <w:left w:val="single" w:color="auto" w:sz="4" w:space="0"/>
              <w:bottom w:val="single" w:color="auto" w:sz="4" w:space="0"/>
              <w:right w:val="single" w:color="auto" w:sz="4" w:space="0"/>
            </w:tcBorders>
            <w:shd w:val="clear" w:color="auto" w:fill="auto"/>
            <w:noWrap/>
            <w:vAlign w:val="center"/>
          </w:tcPr>
          <w:p w14:paraId="63023578">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氰化物</w:t>
            </w:r>
          </w:p>
        </w:tc>
        <w:tc>
          <w:tcPr>
            <w:tcW w:w="2041" w:type="dxa"/>
            <w:tcBorders>
              <w:top w:val="nil"/>
              <w:left w:val="nil"/>
              <w:bottom w:val="single" w:color="auto" w:sz="4" w:space="0"/>
              <w:right w:val="single" w:color="auto" w:sz="4" w:space="0"/>
            </w:tcBorders>
            <w:shd w:val="clear" w:color="auto" w:fill="auto"/>
            <w:noWrap/>
            <w:vAlign w:val="center"/>
          </w:tcPr>
          <w:p w14:paraId="66CA18AE">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酸类、非氧化</w:t>
            </w:r>
          </w:p>
        </w:tc>
        <w:tc>
          <w:tcPr>
            <w:tcW w:w="4017" w:type="dxa"/>
            <w:tcBorders>
              <w:top w:val="nil"/>
              <w:left w:val="nil"/>
              <w:bottom w:val="single" w:color="auto" w:sz="4" w:space="0"/>
              <w:right w:val="single" w:color="auto" w:sz="4" w:space="0"/>
            </w:tcBorders>
            <w:shd w:val="clear" w:color="auto" w:fill="auto"/>
            <w:noWrap/>
            <w:vAlign w:val="center"/>
          </w:tcPr>
          <w:p w14:paraId="7221B994">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产生氰化氢气体，吸入少量可能致命</w:t>
            </w:r>
          </w:p>
        </w:tc>
      </w:tr>
      <w:tr w14:paraId="3500EA68">
        <w:tblPrEx>
          <w:tblCellMar>
            <w:top w:w="0" w:type="dxa"/>
            <w:left w:w="108" w:type="dxa"/>
            <w:bottom w:w="0" w:type="dxa"/>
            <w:right w:w="108" w:type="dxa"/>
          </w:tblCellMar>
        </w:tblPrEx>
        <w:trPr>
          <w:trHeight w:val="496" w:hRule="atLeast"/>
          <w:jc w:val="center"/>
        </w:trPr>
        <w:tc>
          <w:tcPr>
            <w:tcW w:w="2032" w:type="dxa"/>
            <w:tcBorders>
              <w:top w:val="nil"/>
              <w:left w:val="single" w:color="auto" w:sz="4" w:space="0"/>
              <w:bottom w:val="single" w:color="auto" w:sz="4" w:space="0"/>
              <w:right w:val="single" w:color="auto" w:sz="4" w:space="0"/>
            </w:tcBorders>
            <w:shd w:val="clear" w:color="auto" w:fill="auto"/>
            <w:noWrap/>
            <w:vAlign w:val="center"/>
          </w:tcPr>
          <w:p w14:paraId="362A1320">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次氯酸盐</w:t>
            </w:r>
          </w:p>
        </w:tc>
        <w:tc>
          <w:tcPr>
            <w:tcW w:w="2041" w:type="dxa"/>
            <w:tcBorders>
              <w:top w:val="nil"/>
              <w:left w:val="nil"/>
              <w:bottom w:val="single" w:color="auto" w:sz="4" w:space="0"/>
              <w:right w:val="single" w:color="auto" w:sz="4" w:space="0"/>
            </w:tcBorders>
            <w:shd w:val="clear" w:color="auto" w:fill="auto"/>
            <w:noWrap/>
            <w:vAlign w:val="center"/>
          </w:tcPr>
          <w:p w14:paraId="072C746A">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酸类、非氧化</w:t>
            </w:r>
          </w:p>
        </w:tc>
        <w:tc>
          <w:tcPr>
            <w:tcW w:w="4017" w:type="dxa"/>
            <w:tcBorders>
              <w:top w:val="nil"/>
              <w:left w:val="nil"/>
              <w:bottom w:val="single" w:color="auto" w:sz="4" w:space="0"/>
              <w:right w:val="single" w:color="auto" w:sz="4" w:space="0"/>
            </w:tcBorders>
            <w:shd w:val="clear" w:color="auto" w:fill="auto"/>
            <w:noWrap/>
            <w:vAlign w:val="center"/>
          </w:tcPr>
          <w:p w14:paraId="4F7ACC6A">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产生氯气，吸入可能致命</w:t>
            </w:r>
          </w:p>
        </w:tc>
      </w:tr>
      <w:tr w14:paraId="0A213E08">
        <w:tblPrEx>
          <w:tblCellMar>
            <w:top w:w="0" w:type="dxa"/>
            <w:left w:w="108" w:type="dxa"/>
            <w:bottom w:w="0" w:type="dxa"/>
            <w:right w:w="108" w:type="dxa"/>
          </w:tblCellMar>
        </w:tblPrEx>
        <w:trPr>
          <w:trHeight w:val="496" w:hRule="atLeast"/>
          <w:jc w:val="center"/>
        </w:trPr>
        <w:tc>
          <w:tcPr>
            <w:tcW w:w="2032" w:type="dxa"/>
            <w:tcBorders>
              <w:top w:val="nil"/>
              <w:left w:val="single" w:color="auto" w:sz="4" w:space="0"/>
              <w:bottom w:val="single" w:color="auto" w:sz="4" w:space="0"/>
              <w:right w:val="single" w:color="auto" w:sz="4" w:space="0"/>
            </w:tcBorders>
            <w:shd w:val="clear" w:color="auto" w:fill="auto"/>
            <w:noWrap/>
            <w:vAlign w:val="center"/>
          </w:tcPr>
          <w:p w14:paraId="7F2D60D5">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铜及多种重金属</w:t>
            </w:r>
          </w:p>
        </w:tc>
        <w:tc>
          <w:tcPr>
            <w:tcW w:w="2041" w:type="dxa"/>
            <w:tcBorders>
              <w:top w:val="nil"/>
              <w:left w:val="nil"/>
              <w:bottom w:val="single" w:color="auto" w:sz="4" w:space="0"/>
              <w:right w:val="single" w:color="auto" w:sz="4" w:space="0"/>
            </w:tcBorders>
            <w:shd w:val="clear" w:color="auto" w:fill="auto"/>
            <w:noWrap/>
            <w:vAlign w:val="center"/>
          </w:tcPr>
          <w:p w14:paraId="0AE8CF68">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酸类、氧化，如硝酸</w:t>
            </w:r>
          </w:p>
        </w:tc>
        <w:tc>
          <w:tcPr>
            <w:tcW w:w="4017" w:type="dxa"/>
            <w:tcBorders>
              <w:top w:val="nil"/>
              <w:left w:val="nil"/>
              <w:bottom w:val="single" w:color="auto" w:sz="4" w:space="0"/>
              <w:right w:val="single" w:color="auto" w:sz="4" w:space="0"/>
            </w:tcBorders>
            <w:shd w:val="clear" w:color="auto" w:fill="auto"/>
            <w:noWrap/>
            <w:vAlign w:val="center"/>
          </w:tcPr>
          <w:p w14:paraId="20697E5B">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产生二氧化氮、亚硝酸烟，引致刺激眼目</w:t>
            </w:r>
          </w:p>
        </w:tc>
      </w:tr>
      <w:tr w14:paraId="784FC77C">
        <w:tblPrEx>
          <w:tblCellMar>
            <w:top w:w="0" w:type="dxa"/>
            <w:left w:w="108" w:type="dxa"/>
            <w:bottom w:w="0" w:type="dxa"/>
            <w:right w:w="108" w:type="dxa"/>
          </w:tblCellMar>
        </w:tblPrEx>
        <w:trPr>
          <w:trHeight w:val="496" w:hRule="atLeast"/>
          <w:jc w:val="center"/>
        </w:trPr>
        <w:tc>
          <w:tcPr>
            <w:tcW w:w="2032" w:type="dxa"/>
            <w:tcBorders>
              <w:top w:val="nil"/>
              <w:left w:val="single" w:color="auto" w:sz="4" w:space="0"/>
              <w:bottom w:val="single" w:color="auto" w:sz="4" w:space="0"/>
              <w:right w:val="single" w:color="auto" w:sz="4" w:space="0"/>
            </w:tcBorders>
            <w:shd w:val="clear" w:color="auto" w:fill="auto"/>
            <w:noWrap/>
            <w:vAlign w:val="center"/>
          </w:tcPr>
          <w:p w14:paraId="38556BA2">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强酸</w:t>
            </w:r>
          </w:p>
        </w:tc>
        <w:tc>
          <w:tcPr>
            <w:tcW w:w="2041" w:type="dxa"/>
            <w:tcBorders>
              <w:top w:val="nil"/>
              <w:left w:val="nil"/>
              <w:bottom w:val="single" w:color="auto" w:sz="4" w:space="0"/>
              <w:right w:val="single" w:color="auto" w:sz="4" w:space="0"/>
            </w:tcBorders>
            <w:shd w:val="clear" w:color="auto" w:fill="auto"/>
            <w:noWrap/>
            <w:vAlign w:val="center"/>
          </w:tcPr>
          <w:p w14:paraId="400EFE91">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强碱</w:t>
            </w:r>
          </w:p>
        </w:tc>
        <w:tc>
          <w:tcPr>
            <w:tcW w:w="4017" w:type="dxa"/>
            <w:tcBorders>
              <w:top w:val="nil"/>
              <w:left w:val="nil"/>
              <w:bottom w:val="single" w:color="auto" w:sz="4" w:space="0"/>
              <w:right w:val="single" w:color="auto" w:sz="4" w:space="0"/>
            </w:tcBorders>
            <w:shd w:val="clear" w:color="auto" w:fill="auto"/>
            <w:noWrap/>
            <w:vAlign w:val="center"/>
          </w:tcPr>
          <w:p w14:paraId="1A48DCEA">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可能引起爆炸性的反应及产生热能</w:t>
            </w:r>
          </w:p>
        </w:tc>
      </w:tr>
      <w:tr w14:paraId="380DF81B">
        <w:tblPrEx>
          <w:tblCellMar>
            <w:top w:w="0" w:type="dxa"/>
            <w:left w:w="108" w:type="dxa"/>
            <w:bottom w:w="0" w:type="dxa"/>
            <w:right w:w="108" w:type="dxa"/>
          </w:tblCellMar>
        </w:tblPrEx>
        <w:trPr>
          <w:trHeight w:val="496" w:hRule="atLeast"/>
          <w:jc w:val="center"/>
        </w:trPr>
        <w:tc>
          <w:tcPr>
            <w:tcW w:w="2032" w:type="dxa"/>
            <w:tcBorders>
              <w:top w:val="nil"/>
              <w:left w:val="single" w:color="auto" w:sz="4" w:space="0"/>
              <w:bottom w:val="single" w:color="auto" w:sz="4" w:space="0"/>
              <w:right w:val="single" w:color="auto" w:sz="4" w:space="0"/>
            </w:tcBorders>
            <w:shd w:val="clear" w:color="auto" w:fill="auto"/>
            <w:noWrap/>
            <w:vAlign w:val="center"/>
          </w:tcPr>
          <w:p w14:paraId="27A4CF04">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氨盐</w:t>
            </w:r>
          </w:p>
        </w:tc>
        <w:tc>
          <w:tcPr>
            <w:tcW w:w="2041" w:type="dxa"/>
            <w:tcBorders>
              <w:top w:val="nil"/>
              <w:left w:val="nil"/>
              <w:bottom w:val="single" w:color="auto" w:sz="4" w:space="0"/>
              <w:right w:val="single" w:color="auto" w:sz="4" w:space="0"/>
            </w:tcBorders>
            <w:shd w:val="clear" w:color="auto" w:fill="auto"/>
            <w:noWrap/>
            <w:vAlign w:val="center"/>
          </w:tcPr>
          <w:p w14:paraId="78A6A6BD">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强碱</w:t>
            </w:r>
          </w:p>
        </w:tc>
        <w:tc>
          <w:tcPr>
            <w:tcW w:w="4017" w:type="dxa"/>
            <w:tcBorders>
              <w:top w:val="nil"/>
              <w:left w:val="nil"/>
              <w:bottom w:val="single" w:color="auto" w:sz="4" w:space="0"/>
              <w:right w:val="single" w:color="auto" w:sz="4" w:space="0"/>
            </w:tcBorders>
            <w:shd w:val="clear" w:color="auto" w:fill="auto"/>
            <w:noWrap/>
            <w:vAlign w:val="center"/>
          </w:tcPr>
          <w:p w14:paraId="2C579C25">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产生氨气，吸入会刺激眼目及呼吸道</w:t>
            </w:r>
          </w:p>
        </w:tc>
      </w:tr>
      <w:tr w14:paraId="66A9B67F">
        <w:tblPrEx>
          <w:tblCellMar>
            <w:top w:w="0" w:type="dxa"/>
            <w:left w:w="108" w:type="dxa"/>
            <w:bottom w:w="0" w:type="dxa"/>
            <w:right w:w="108" w:type="dxa"/>
          </w:tblCellMar>
        </w:tblPrEx>
        <w:trPr>
          <w:trHeight w:val="496" w:hRule="atLeast"/>
          <w:jc w:val="center"/>
        </w:trPr>
        <w:tc>
          <w:tcPr>
            <w:tcW w:w="2032" w:type="dxa"/>
            <w:tcBorders>
              <w:top w:val="nil"/>
              <w:left w:val="single" w:color="auto" w:sz="4" w:space="0"/>
              <w:bottom w:val="single" w:color="auto" w:sz="4" w:space="0"/>
              <w:right w:val="single" w:color="auto" w:sz="4" w:space="0"/>
            </w:tcBorders>
            <w:shd w:val="clear" w:color="auto" w:fill="auto"/>
            <w:noWrap/>
            <w:vAlign w:val="center"/>
          </w:tcPr>
          <w:p w14:paraId="0AF3F449">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氧化剂</w:t>
            </w:r>
          </w:p>
        </w:tc>
        <w:tc>
          <w:tcPr>
            <w:tcW w:w="2041" w:type="dxa"/>
            <w:tcBorders>
              <w:top w:val="nil"/>
              <w:left w:val="nil"/>
              <w:bottom w:val="single" w:color="auto" w:sz="4" w:space="0"/>
              <w:right w:val="single" w:color="auto" w:sz="4" w:space="0"/>
            </w:tcBorders>
            <w:shd w:val="clear" w:color="auto" w:fill="auto"/>
            <w:noWrap/>
            <w:vAlign w:val="center"/>
          </w:tcPr>
          <w:p w14:paraId="4BEF4B24">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还原剂</w:t>
            </w:r>
          </w:p>
        </w:tc>
        <w:tc>
          <w:tcPr>
            <w:tcW w:w="4017" w:type="dxa"/>
            <w:tcBorders>
              <w:top w:val="nil"/>
              <w:left w:val="nil"/>
              <w:bottom w:val="single" w:color="auto" w:sz="4" w:space="0"/>
              <w:right w:val="single" w:color="auto" w:sz="4" w:space="0"/>
            </w:tcBorders>
            <w:shd w:val="clear" w:color="auto" w:fill="auto"/>
            <w:noWrap/>
            <w:vAlign w:val="center"/>
          </w:tcPr>
          <w:p w14:paraId="36228DE1">
            <w:pPr>
              <w:widowControl/>
              <w:adjustRightInd w:val="0"/>
              <w:snapToGrid w:val="0"/>
              <w:spacing w:line="240" w:lineRule="auto"/>
              <w:ind w:firstLine="0" w:firstLineChars="0"/>
              <w:jc w:val="center"/>
              <w:rPr>
                <w:rFonts w:cs="Times New Roman" w:eastAsiaTheme="minorEastAsia"/>
                <w:snapToGrid w:val="0"/>
                <w:kern w:val="0"/>
                <w:sz w:val="21"/>
                <w:szCs w:val="21"/>
                <w:lang w:bidi="ar"/>
              </w:rPr>
            </w:pPr>
            <w:r>
              <w:rPr>
                <w:rFonts w:cs="Times New Roman" w:eastAsiaTheme="minorEastAsia"/>
                <w:snapToGrid w:val="0"/>
                <w:kern w:val="0"/>
                <w:sz w:val="21"/>
                <w:szCs w:val="21"/>
                <w:lang w:bidi="ar"/>
              </w:rPr>
              <w:t>可能引起强烈及爆炸性的反应及产生热能</w:t>
            </w:r>
          </w:p>
        </w:tc>
      </w:tr>
    </w:tbl>
    <w:p w14:paraId="71D9DA26">
      <w:pPr>
        <w:widowControl/>
        <w:spacing w:line="240" w:lineRule="auto"/>
        <w:ind w:firstLine="0" w:firstLineChars="0"/>
        <w:jc w:val="left"/>
        <w:rPr>
          <w:rFonts w:cs="Times New Roman"/>
        </w:rPr>
      </w:pPr>
    </w:p>
    <w:p w14:paraId="7AFF2E6F">
      <w:pPr>
        <w:widowControl/>
        <w:spacing w:line="240" w:lineRule="auto"/>
        <w:ind w:firstLine="0" w:firstLineChars="0"/>
        <w:jc w:val="left"/>
        <w:rPr>
          <w:rFonts w:cs="Times New Roman"/>
          <w:snapToGrid w:val="0"/>
          <w:kern w:val="0"/>
          <w:sz w:val="21"/>
          <w:szCs w:val="21"/>
        </w:rPr>
      </w:pPr>
      <w:r>
        <w:rPr>
          <w:rFonts w:cs="Times New Roman"/>
          <w:snapToGrid w:val="0"/>
          <w:kern w:val="0"/>
          <w:sz w:val="21"/>
          <w:szCs w:val="21"/>
        </w:rPr>
        <w:br w:type="page"/>
      </w:r>
    </w:p>
    <w:p w14:paraId="4D92C6A2">
      <w:pPr>
        <w:adjustRightInd w:val="0"/>
        <w:snapToGrid w:val="0"/>
        <w:spacing w:before="156" w:beforeLines="50"/>
        <w:ind w:firstLine="480" w:firstLineChars="0"/>
        <w:jc w:val="left"/>
        <w:rPr>
          <w:rFonts w:cs="Times New Roman"/>
          <w:snapToGrid w:val="0"/>
          <w:kern w:val="0"/>
          <w:sz w:val="21"/>
          <w:szCs w:val="21"/>
        </w:rPr>
      </w:pPr>
      <w:r>
        <w:rPr>
          <w:rFonts w:cs="Times New Roman"/>
          <w:snapToGrid w:val="0"/>
          <w:kern w:val="0"/>
          <w:sz w:val="21"/>
          <w:szCs w:val="21"/>
        </w:rPr>
        <w:t>危险废物与包装材质相容性参照表</w:t>
      </w:r>
      <w:r>
        <w:rPr>
          <w:rFonts w:hint="eastAsia" w:cs="Times New Roman"/>
          <w:snapToGrid w:val="0"/>
          <w:kern w:val="0"/>
          <w:sz w:val="21"/>
          <w:szCs w:val="21"/>
        </w:rPr>
        <w:t>A</w:t>
      </w:r>
      <w:r>
        <w:rPr>
          <w:rFonts w:cs="Times New Roman"/>
          <w:snapToGrid w:val="0"/>
          <w:kern w:val="0"/>
          <w:sz w:val="21"/>
          <w:szCs w:val="21"/>
        </w:rPr>
        <w:t>.</w:t>
      </w:r>
      <w:r>
        <w:rPr>
          <w:rFonts w:hint="eastAsia" w:cs="Times New Roman"/>
          <w:snapToGrid w:val="0"/>
          <w:kern w:val="0"/>
          <w:sz w:val="21"/>
          <w:szCs w:val="21"/>
        </w:rPr>
        <w:t>4</w:t>
      </w:r>
      <w:r>
        <w:rPr>
          <w:rFonts w:cs="Times New Roman"/>
          <w:snapToGrid w:val="0"/>
          <w:kern w:val="0"/>
          <w:sz w:val="21"/>
          <w:szCs w:val="21"/>
        </w:rPr>
        <w:t>。</w:t>
      </w:r>
    </w:p>
    <w:p w14:paraId="12DB252C">
      <w:pPr>
        <w:kinsoku w:val="0"/>
        <w:overflowPunct w:val="0"/>
        <w:autoSpaceDE w:val="0"/>
        <w:autoSpaceDN w:val="0"/>
        <w:adjustRightInd w:val="0"/>
        <w:spacing w:before="127" w:line="360" w:lineRule="auto"/>
        <w:ind w:firstLine="0" w:firstLineChars="0"/>
        <w:jc w:val="center"/>
        <w:outlineLvl w:val="1"/>
        <w:rPr>
          <w:rFonts w:eastAsia="黑体" w:cs="Times New Roman"/>
          <w:kern w:val="0"/>
          <w:szCs w:val="21"/>
        </w:rPr>
      </w:pPr>
      <w:r>
        <w:rPr>
          <w:rFonts w:eastAsia="黑体" w:cs="Times New Roman"/>
          <w:kern w:val="0"/>
          <w:szCs w:val="21"/>
        </w:rPr>
        <w:t>表</w:t>
      </w:r>
      <w:r>
        <w:rPr>
          <w:rFonts w:hint="eastAsia" w:eastAsia="黑体" w:cs="Times New Roman"/>
          <w:kern w:val="0"/>
          <w:szCs w:val="21"/>
        </w:rPr>
        <w:t>A</w:t>
      </w:r>
      <w:r>
        <w:rPr>
          <w:rFonts w:eastAsia="黑体" w:cs="Times New Roman"/>
          <w:kern w:val="0"/>
          <w:szCs w:val="21"/>
        </w:rPr>
        <w:t>.</w:t>
      </w:r>
      <w:r>
        <w:rPr>
          <w:rFonts w:hint="eastAsia" w:eastAsia="黑体" w:cs="Times New Roman"/>
          <w:kern w:val="0"/>
          <w:szCs w:val="21"/>
        </w:rPr>
        <w:t>4</w:t>
      </w:r>
      <w:r>
        <w:rPr>
          <w:rFonts w:eastAsia="黑体" w:cs="Times New Roman"/>
          <w:kern w:val="0"/>
          <w:szCs w:val="21"/>
        </w:rPr>
        <w:t xml:space="preserve">  危险化学品废弃物投放记录表</w:t>
      </w:r>
    </w:p>
    <w:p w14:paraId="7C2DC72C">
      <w:pPr>
        <w:spacing w:line="360" w:lineRule="auto"/>
        <w:ind w:firstLine="0" w:firstLineChars="0"/>
        <w:jc w:val="center"/>
        <w:rPr>
          <w:rFonts w:cs="Times New Roman"/>
        </w:rPr>
      </w:pPr>
      <w:r>
        <w:rPr>
          <w:rFonts w:cs="Times New Roman"/>
        </w:rPr>
        <w:drawing>
          <wp:inline distT="0" distB="0" distL="0" distR="0">
            <wp:extent cx="5761990" cy="2275840"/>
            <wp:effectExtent l="0" t="0" r="10160" b="10160"/>
            <wp:docPr id="14543208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20809" name="图片 1"/>
                    <pic:cNvPicPr>
                      <a:picLocks noChangeAspect="1"/>
                    </pic:cNvPicPr>
                  </pic:nvPicPr>
                  <pic:blipFill>
                    <a:blip r:embed="rId19"/>
                    <a:stretch>
                      <a:fillRect/>
                    </a:stretch>
                  </pic:blipFill>
                  <pic:spPr>
                    <a:xfrm>
                      <a:off x="0" y="0"/>
                      <a:ext cx="5761990" cy="2275840"/>
                    </a:xfrm>
                    <a:prstGeom prst="rect">
                      <a:avLst/>
                    </a:prstGeom>
                  </pic:spPr>
                </pic:pic>
              </a:graphicData>
            </a:graphic>
          </wp:inline>
        </w:drawing>
      </w:r>
      <w:r>
        <w:rPr>
          <w:rFonts w:cs="Times New Roman"/>
        </w:rPr>
        <w:br w:type="page"/>
      </w:r>
    </w:p>
    <w:p w14:paraId="033EDA0D">
      <w:pPr>
        <w:kinsoku w:val="0"/>
        <w:overflowPunct w:val="0"/>
        <w:autoSpaceDE w:val="0"/>
        <w:autoSpaceDN w:val="0"/>
        <w:adjustRightInd w:val="0"/>
        <w:spacing w:before="127" w:line="360" w:lineRule="auto"/>
        <w:ind w:firstLine="0" w:firstLineChars="0"/>
        <w:jc w:val="center"/>
        <w:outlineLvl w:val="1"/>
        <w:rPr>
          <w:rFonts w:eastAsia="黑体" w:cs="Times New Roman"/>
          <w:kern w:val="0"/>
          <w:szCs w:val="21"/>
        </w:rPr>
      </w:pPr>
      <w:r>
        <w:rPr>
          <w:rFonts w:hint="eastAsia" w:eastAsia="黑体" w:cs="Times New Roman"/>
          <w:kern w:val="0"/>
          <w:szCs w:val="21"/>
        </w:rPr>
        <w:t>附录B</w:t>
      </w:r>
      <w:bookmarkStart w:id="88" w:name="_Toc21564"/>
      <w:bookmarkStart w:id="89" w:name="_Toc14713"/>
      <w:bookmarkStart w:id="90" w:name="_Toc142497703"/>
      <w:bookmarkStart w:id="91" w:name="_Toc161817925"/>
      <w:bookmarkStart w:id="92" w:name="_Toc181105525"/>
      <w:r>
        <w:rPr>
          <w:rFonts w:hint="eastAsia" w:eastAsia="黑体" w:cs="Times New Roman"/>
          <w:kern w:val="0"/>
          <w:szCs w:val="21"/>
        </w:rPr>
        <w:t>（资料性）</w:t>
      </w:r>
      <w:bookmarkEnd w:id="88"/>
      <w:bookmarkEnd w:id="89"/>
      <w:bookmarkEnd w:id="90"/>
      <w:bookmarkEnd w:id="91"/>
      <w:bookmarkEnd w:id="92"/>
    </w:p>
    <w:p w14:paraId="1D3FC9F7">
      <w:pPr>
        <w:adjustRightInd w:val="0"/>
        <w:snapToGrid w:val="0"/>
        <w:spacing w:before="156" w:beforeLines="50"/>
        <w:ind w:firstLine="480" w:firstLineChars="0"/>
        <w:jc w:val="left"/>
        <w:rPr>
          <w:rFonts w:cs="Times New Roman"/>
          <w:snapToGrid w:val="0"/>
          <w:kern w:val="0"/>
          <w:sz w:val="21"/>
          <w:szCs w:val="21"/>
        </w:rPr>
      </w:pPr>
      <w:r>
        <w:rPr>
          <w:rFonts w:cs="Times New Roman"/>
          <w:snapToGrid w:val="0"/>
          <w:kern w:val="0"/>
          <w:sz w:val="21"/>
          <w:szCs w:val="21"/>
        </w:rPr>
        <w:t>危险化学品废弃物分类指引见图</w:t>
      </w:r>
      <w:r>
        <w:rPr>
          <w:rFonts w:hint="eastAsia" w:cs="Times New Roman"/>
          <w:snapToGrid w:val="0"/>
          <w:kern w:val="0"/>
          <w:sz w:val="21"/>
          <w:szCs w:val="21"/>
        </w:rPr>
        <w:t>B</w:t>
      </w:r>
      <w:r>
        <w:rPr>
          <w:rFonts w:cs="Times New Roman"/>
          <w:snapToGrid w:val="0"/>
          <w:kern w:val="0"/>
          <w:sz w:val="21"/>
          <w:szCs w:val="21"/>
        </w:rPr>
        <w:t>.</w:t>
      </w:r>
      <w:r>
        <w:rPr>
          <w:rFonts w:hint="eastAsia" w:cs="Times New Roman"/>
          <w:snapToGrid w:val="0"/>
          <w:kern w:val="0"/>
          <w:sz w:val="21"/>
          <w:szCs w:val="21"/>
        </w:rPr>
        <w:t>1</w:t>
      </w:r>
      <w:r>
        <w:rPr>
          <w:rFonts w:cs="Times New Roman"/>
          <w:snapToGrid w:val="0"/>
          <w:kern w:val="0"/>
          <w:sz w:val="21"/>
          <w:szCs w:val="21"/>
        </w:rPr>
        <w:t>。</w:t>
      </w:r>
    </w:p>
    <w:p w14:paraId="3333C6C6">
      <w:pPr>
        <w:spacing w:line="360" w:lineRule="auto"/>
        <w:ind w:firstLine="480"/>
        <w:rPr>
          <w:rFonts w:cs="Times New Roman"/>
          <w:kern w:val="0"/>
          <w:szCs w:val="21"/>
        </w:rPr>
      </w:pPr>
      <w:r>
        <w:rPr>
          <w:rFonts w:cs="Times New Roman"/>
        </w:rPr>
        <w:drawing>
          <wp:anchor distT="0" distB="0" distL="114300" distR="114300" simplePos="0" relativeHeight="251662336" behindDoc="0" locked="0" layoutInCell="1" allowOverlap="1">
            <wp:simplePos x="0" y="0"/>
            <wp:positionH relativeFrom="margin">
              <wp:posOffset>0</wp:posOffset>
            </wp:positionH>
            <wp:positionV relativeFrom="paragraph">
              <wp:posOffset>175260</wp:posOffset>
            </wp:positionV>
            <wp:extent cx="5274310" cy="3798570"/>
            <wp:effectExtent l="0" t="0" r="2540" b="11430"/>
            <wp:wrapTopAndBottom/>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274310" cy="3798570"/>
                    </a:xfrm>
                    <a:prstGeom prst="rect">
                      <a:avLst/>
                    </a:prstGeom>
                  </pic:spPr>
                </pic:pic>
              </a:graphicData>
            </a:graphic>
          </wp:anchor>
        </w:drawing>
      </w:r>
    </w:p>
    <w:p w14:paraId="645D73B1">
      <w:pPr>
        <w:kinsoku w:val="0"/>
        <w:overflowPunct w:val="0"/>
        <w:autoSpaceDE w:val="0"/>
        <w:autoSpaceDN w:val="0"/>
        <w:adjustRightInd w:val="0"/>
        <w:spacing w:before="127" w:line="360" w:lineRule="auto"/>
        <w:ind w:firstLine="0" w:firstLineChars="0"/>
        <w:jc w:val="center"/>
        <w:outlineLvl w:val="1"/>
        <w:rPr>
          <w:rFonts w:eastAsia="黑体" w:cs="Times New Roman"/>
          <w:kern w:val="0"/>
          <w:szCs w:val="21"/>
        </w:rPr>
      </w:pPr>
      <w:bookmarkStart w:id="93" w:name="_Toc159572320"/>
      <w:bookmarkStart w:id="94" w:name="_Toc159571674"/>
      <w:r>
        <w:rPr>
          <w:rFonts w:eastAsia="黑体" w:cs="Times New Roman"/>
          <w:kern w:val="0"/>
          <w:szCs w:val="21"/>
        </w:rPr>
        <w:t>图</w:t>
      </w:r>
      <w:r>
        <w:rPr>
          <w:rFonts w:hint="eastAsia" w:eastAsia="黑体" w:cs="Times New Roman"/>
          <w:kern w:val="0"/>
          <w:szCs w:val="21"/>
        </w:rPr>
        <w:t>B</w:t>
      </w:r>
      <w:r>
        <w:rPr>
          <w:rFonts w:eastAsia="黑体" w:cs="Times New Roman"/>
          <w:kern w:val="0"/>
          <w:szCs w:val="21"/>
        </w:rPr>
        <w:t>.</w:t>
      </w:r>
      <w:r>
        <w:rPr>
          <w:rFonts w:hint="eastAsia" w:eastAsia="黑体" w:cs="Times New Roman"/>
          <w:kern w:val="0"/>
          <w:szCs w:val="21"/>
        </w:rPr>
        <w:t>1</w:t>
      </w:r>
      <w:r>
        <w:rPr>
          <w:rFonts w:eastAsia="黑体" w:cs="Times New Roman"/>
          <w:kern w:val="0"/>
          <w:szCs w:val="21"/>
        </w:rPr>
        <w:t xml:space="preserve">  </w:t>
      </w:r>
      <w:r>
        <w:rPr>
          <w:rFonts w:hint="eastAsia" w:eastAsia="黑体" w:cs="Times New Roman"/>
          <w:kern w:val="0"/>
          <w:szCs w:val="21"/>
        </w:rPr>
        <w:t>危险化学品废弃物（</w:t>
      </w:r>
      <w:r>
        <w:rPr>
          <w:rFonts w:eastAsia="黑体" w:cs="Times New Roman"/>
          <w:kern w:val="0"/>
          <w:szCs w:val="21"/>
        </w:rPr>
        <w:t>实验室危险废物</w:t>
      </w:r>
      <w:r>
        <w:rPr>
          <w:rFonts w:hint="eastAsia" w:eastAsia="黑体" w:cs="Times New Roman"/>
          <w:kern w:val="0"/>
          <w:szCs w:val="21"/>
        </w:rPr>
        <w:t>）</w:t>
      </w:r>
      <w:r>
        <w:rPr>
          <w:rFonts w:eastAsia="黑体" w:cs="Times New Roman"/>
          <w:kern w:val="0"/>
          <w:szCs w:val="21"/>
        </w:rPr>
        <w:t>分类指引图</w:t>
      </w:r>
      <w:bookmarkEnd w:id="93"/>
      <w:bookmarkEnd w:id="94"/>
    </w:p>
    <w:p w14:paraId="702C3E5D">
      <w:pPr>
        <w:widowControl/>
        <w:spacing w:line="240" w:lineRule="auto"/>
        <w:ind w:firstLine="0" w:firstLineChars="0"/>
        <w:jc w:val="left"/>
        <w:rPr>
          <w:rFonts w:cs="Times New Roman"/>
        </w:rPr>
      </w:pPr>
      <w:r>
        <w:rPr>
          <w:rFonts w:cs="Times New Roman"/>
        </w:rPr>
        <w:br w:type="page"/>
      </w:r>
    </w:p>
    <w:p w14:paraId="6C6179A8">
      <w:pPr>
        <w:adjustRightInd w:val="0"/>
        <w:snapToGrid w:val="0"/>
        <w:spacing w:before="156" w:beforeLines="50"/>
        <w:ind w:firstLine="480" w:firstLineChars="0"/>
        <w:jc w:val="left"/>
        <w:rPr>
          <w:rFonts w:cs="Times New Roman"/>
          <w:snapToGrid w:val="0"/>
          <w:kern w:val="0"/>
          <w:sz w:val="21"/>
          <w:szCs w:val="21"/>
        </w:rPr>
      </w:pPr>
      <w:r>
        <w:rPr>
          <w:rFonts w:cs="Times New Roman"/>
          <w:snapToGrid w:val="0"/>
          <w:kern w:val="0"/>
          <w:sz w:val="21"/>
          <w:szCs w:val="21"/>
        </w:rPr>
        <w:t>图B.</w:t>
      </w:r>
      <w:r>
        <w:rPr>
          <w:rFonts w:hint="eastAsia" w:cs="Times New Roman"/>
          <w:snapToGrid w:val="0"/>
          <w:kern w:val="0"/>
          <w:sz w:val="21"/>
          <w:szCs w:val="21"/>
        </w:rPr>
        <w:t>2</w:t>
      </w:r>
      <w:r>
        <w:rPr>
          <w:rFonts w:cs="Times New Roman"/>
          <w:snapToGrid w:val="0"/>
          <w:kern w:val="0"/>
          <w:sz w:val="21"/>
          <w:szCs w:val="21"/>
        </w:rPr>
        <w:t>规定了危险化学品废弃物分类包装标签样式（尺寸：80mm×120mm），其中废弃危险化学品标签色值：C0 M96 Y95 K0，有机废液标签色值：C92 M75 Y0 K0，无机废液标签色值：C0 M63 Y91 K0，固态废物标签色值：C00 M0 Y00 K0。</w:t>
      </w:r>
    </w:p>
    <w:p w14:paraId="7285163E">
      <w:pPr>
        <w:spacing w:line="360" w:lineRule="auto"/>
        <w:ind w:firstLine="0" w:firstLineChars="0"/>
        <w:rPr>
          <w:rFonts w:cs="Times New Roman"/>
        </w:rPr>
      </w:pPr>
      <w:r>
        <w:rPr>
          <w:rFonts w:cs="Times New Roman"/>
        </w:rPr>
        <w:drawing>
          <wp:inline distT="0" distB="0" distL="0" distR="0">
            <wp:extent cx="5765165" cy="2121535"/>
            <wp:effectExtent l="0" t="0" r="6985" b="12065"/>
            <wp:docPr id="14416419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1970" name="图片 1"/>
                    <pic:cNvPicPr>
                      <a:picLocks noChangeAspect="1"/>
                    </pic:cNvPicPr>
                  </pic:nvPicPr>
                  <pic:blipFill>
                    <a:blip r:embed="rId21"/>
                    <a:stretch>
                      <a:fillRect/>
                    </a:stretch>
                  </pic:blipFill>
                  <pic:spPr>
                    <a:xfrm>
                      <a:off x="0" y="0"/>
                      <a:ext cx="5782916" cy="2128602"/>
                    </a:xfrm>
                    <a:prstGeom prst="rect">
                      <a:avLst/>
                    </a:prstGeom>
                  </pic:spPr>
                </pic:pic>
              </a:graphicData>
            </a:graphic>
          </wp:inline>
        </w:drawing>
      </w:r>
    </w:p>
    <w:p w14:paraId="76B33E3C">
      <w:pPr>
        <w:kinsoku w:val="0"/>
        <w:overflowPunct w:val="0"/>
        <w:autoSpaceDE w:val="0"/>
        <w:autoSpaceDN w:val="0"/>
        <w:adjustRightInd w:val="0"/>
        <w:spacing w:before="127" w:line="360" w:lineRule="auto"/>
        <w:ind w:firstLine="0" w:firstLineChars="0"/>
        <w:jc w:val="center"/>
        <w:outlineLvl w:val="1"/>
        <w:rPr>
          <w:rFonts w:eastAsia="黑体" w:cs="Times New Roman"/>
          <w:kern w:val="0"/>
          <w:szCs w:val="21"/>
        </w:rPr>
      </w:pPr>
      <w:r>
        <w:rPr>
          <w:rFonts w:eastAsia="黑体" w:cs="Times New Roman"/>
          <w:kern w:val="0"/>
          <w:szCs w:val="21"/>
        </w:rPr>
        <w:t>图B.</w:t>
      </w:r>
      <w:r>
        <w:rPr>
          <w:rFonts w:hint="eastAsia" w:eastAsia="黑体" w:cs="Times New Roman"/>
          <w:kern w:val="0"/>
          <w:szCs w:val="21"/>
        </w:rPr>
        <w:t>2</w:t>
      </w:r>
      <w:r>
        <w:rPr>
          <w:rFonts w:eastAsia="黑体" w:cs="Times New Roman"/>
          <w:kern w:val="0"/>
          <w:szCs w:val="21"/>
        </w:rPr>
        <w:t xml:space="preserve">  危险废物分类包装标签</w:t>
      </w:r>
    </w:p>
    <w:p w14:paraId="418CD145">
      <w:pPr>
        <w:widowControl/>
        <w:spacing w:line="240" w:lineRule="auto"/>
        <w:ind w:firstLine="0" w:firstLineChars="0"/>
        <w:jc w:val="left"/>
        <w:rPr>
          <w:rFonts w:ascii="黑体" w:hAnsi="黑体" w:eastAsia="黑体" w:cs="Times New Roman"/>
          <w:color w:val="000000" w:themeColor="text1"/>
          <w14:textFill>
            <w14:solidFill>
              <w14:schemeClr w14:val="tx1"/>
            </w14:solidFill>
          </w14:textFill>
        </w:rPr>
      </w:pPr>
      <w:r>
        <w:rPr>
          <w:rFonts w:ascii="黑体" w:hAnsi="黑体" w:eastAsia="黑体" w:cs="Times New Roman"/>
          <w:color w:val="000000" w:themeColor="text1"/>
          <w14:textFill>
            <w14:solidFill>
              <w14:schemeClr w14:val="tx1"/>
            </w14:solidFill>
          </w14:textFill>
        </w:rPr>
        <w:br w:type="page"/>
      </w:r>
    </w:p>
    <w:p w14:paraId="3082D0A4">
      <w:pPr>
        <w:pStyle w:val="30"/>
        <w:adjustRightInd w:val="0"/>
        <w:snapToGrid w:val="0"/>
        <w:spacing w:before="312" w:beforeLines="100" w:after="312" w:afterLines="100" w:line="360" w:lineRule="exact"/>
        <w:ind w:firstLine="0" w:firstLineChars="0"/>
        <w:jc w:val="center"/>
        <w:outlineLvl w:val="0"/>
        <w:rPr>
          <w:rFonts w:hAnsi="黑体" w:eastAsia="黑体" w:cs="Times New Roman"/>
          <w:snapToGrid w:val="0"/>
          <w:kern w:val="0"/>
          <w:szCs w:val="21"/>
        </w:rPr>
      </w:pPr>
      <w:bookmarkStart w:id="95" w:name="_Toc198905497"/>
      <w:r>
        <w:rPr>
          <w:rFonts w:hint="eastAsia" w:hAnsi="黑体" w:eastAsia="黑体" w:cs="Times New Roman"/>
          <w:snapToGrid w:val="0"/>
          <w:kern w:val="0"/>
          <w:szCs w:val="21"/>
        </w:rPr>
        <w:t>参考文献</w:t>
      </w:r>
      <w:bookmarkEnd w:id="85"/>
      <w:bookmarkEnd w:id="86"/>
      <w:bookmarkEnd w:id="95"/>
    </w:p>
    <w:p w14:paraId="258B012A">
      <w:pPr>
        <w:ind w:firstLine="420"/>
        <w:rPr>
          <w:rFonts w:ascii="宋体" w:hAnsi="宋体" w:cs="Times New Roman"/>
          <w:sz w:val="21"/>
          <w:szCs w:val="21"/>
        </w:rPr>
      </w:pPr>
      <w:r>
        <w:rPr>
          <w:rFonts w:hint="eastAsia" w:ascii="宋体" w:hAnsi="宋体" w:cs="Times New Roman"/>
          <w:sz w:val="21"/>
          <w:szCs w:val="21"/>
        </w:rPr>
        <w:t>国务院令第</w:t>
      </w:r>
      <w:r>
        <w:rPr>
          <w:rFonts w:ascii="宋体" w:hAnsi="宋体" w:cs="Times New Roman"/>
          <w:sz w:val="21"/>
          <w:szCs w:val="21"/>
        </w:rPr>
        <w:t>445</w:t>
      </w:r>
      <w:r>
        <w:rPr>
          <w:rFonts w:hint="eastAsia" w:ascii="宋体" w:hAnsi="宋体" w:cs="Times New Roman"/>
          <w:sz w:val="21"/>
          <w:szCs w:val="21"/>
        </w:rPr>
        <w:t>号</w:t>
      </w:r>
      <w:r>
        <w:rPr>
          <w:rFonts w:ascii="宋体" w:hAnsi="宋体" w:cs="Times New Roman"/>
          <w:sz w:val="21"/>
          <w:szCs w:val="21"/>
        </w:rPr>
        <w:t xml:space="preserve">-2016 </w:t>
      </w:r>
      <w:r>
        <w:rPr>
          <w:rFonts w:hint="eastAsia" w:ascii="宋体" w:hAnsi="宋体" w:cs="Times New Roman"/>
          <w:sz w:val="21"/>
          <w:szCs w:val="21"/>
        </w:rPr>
        <w:t>易制毒化学品管理条例</w:t>
      </w:r>
    </w:p>
    <w:p w14:paraId="60B87D13">
      <w:pPr>
        <w:ind w:firstLine="420"/>
        <w:rPr>
          <w:rFonts w:ascii="宋体" w:hAnsi="宋体" w:cs="Times New Roman"/>
          <w:sz w:val="21"/>
          <w:szCs w:val="21"/>
        </w:rPr>
      </w:pPr>
      <w:r>
        <w:rPr>
          <w:rFonts w:hint="eastAsia" w:ascii="宋体" w:hAnsi="宋体" w:cs="Times New Roman"/>
          <w:sz w:val="21"/>
          <w:szCs w:val="21"/>
        </w:rPr>
        <w:t>国务院令第</w:t>
      </w:r>
      <w:r>
        <w:rPr>
          <w:rFonts w:ascii="宋体" w:hAnsi="宋体" w:cs="Times New Roman"/>
          <w:sz w:val="21"/>
          <w:szCs w:val="21"/>
        </w:rPr>
        <w:t>466</w:t>
      </w:r>
      <w:r>
        <w:rPr>
          <w:rFonts w:hint="eastAsia" w:ascii="宋体" w:hAnsi="宋体" w:cs="Times New Roman"/>
          <w:sz w:val="21"/>
          <w:szCs w:val="21"/>
        </w:rPr>
        <w:t>号</w:t>
      </w:r>
      <w:r>
        <w:rPr>
          <w:rFonts w:ascii="宋体" w:hAnsi="宋体" w:cs="Times New Roman"/>
          <w:sz w:val="21"/>
          <w:szCs w:val="21"/>
        </w:rPr>
        <w:t xml:space="preserve">-2014 </w:t>
      </w:r>
      <w:r>
        <w:rPr>
          <w:rFonts w:hint="eastAsia" w:ascii="宋体" w:hAnsi="宋体" w:cs="Times New Roman"/>
          <w:sz w:val="21"/>
          <w:szCs w:val="21"/>
        </w:rPr>
        <w:t>民用爆炸物品安全管理条例</w:t>
      </w:r>
    </w:p>
    <w:p w14:paraId="20A3336C">
      <w:pPr>
        <w:ind w:firstLine="420"/>
        <w:rPr>
          <w:rFonts w:ascii="宋体" w:hAnsi="宋体" w:cs="Times New Roman"/>
          <w:sz w:val="21"/>
          <w:szCs w:val="21"/>
        </w:rPr>
      </w:pPr>
      <w:r>
        <w:rPr>
          <w:rFonts w:hint="eastAsia" w:ascii="宋体" w:hAnsi="宋体" w:cs="Times New Roman"/>
          <w:sz w:val="21"/>
          <w:szCs w:val="21"/>
        </w:rPr>
        <w:t>国务院令第</w:t>
      </w:r>
      <w:r>
        <w:rPr>
          <w:rFonts w:ascii="宋体" w:hAnsi="宋体" w:cs="Times New Roman"/>
          <w:sz w:val="21"/>
          <w:szCs w:val="21"/>
        </w:rPr>
        <w:t>591</w:t>
      </w:r>
      <w:r>
        <w:rPr>
          <w:rFonts w:hint="eastAsia" w:ascii="宋体" w:hAnsi="宋体" w:cs="Times New Roman"/>
          <w:sz w:val="21"/>
          <w:szCs w:val="21"/>
        </w:rPr>
        <w:t>号</w:t>
      </w:r>
      <w:r>
        <w:rPr>
          <w:rFonts w:ascii="宋体" w:hAnsi="宋体" w:cs="Times New Roman"/>
          <w:sz w:val="21"/>
          <w:szCs w:val="21"/>
        </w:rPr>
        <w:t xml:space="preserve">-2011 </w:t>
      </w:r>
      <w:r>
        <w:rPr>
          <w:rFonts w:hint="eastAsia" w:ascii="宋体" w:hAnsi="宋体" w:cs="Times New Roman"/>
          <w:sz w:val="21"/>
          <w:szCs w:val="21"/>
        </w:rPr>
        <w:t>危险化学品安全管理条例</w:t>
      </w:r>
    </w:p>
    <w:p w14:paraId="2FF870D4">
      <w:pPr>
        <w:ind w:firstLine="420"/>
        <w:rPr>
          <w:rFonts w:ascii="宋体" w:hAnsi="宋体" w:cs="Times New Roman"/>
          <w:sz w:val="21"/>
          <w:szCs w:val="21"/>
        </w:rPr>
      </w:pPr>
      <w:r>
        <w:rPr>
          <w:rFonts w:hint="eastAsia" w:ascii="宋体" w:hAnsi="宋体" w:cs="Times New Roman"/>
          <w:sz w:val="21"/>
          <w:szCs w:val="21"/>
        </w:rPr>
        <w:t>公安部令第</w:t>
      </w:r>
      <w:r>
        <w:rPr>
          <w:rFonts w:ascii="宋体" w:hAnsi="宋体" w:cs="Times New Roman"/>
          <w:sz w:val="21"/>
          <w:szCs w:val="21"/>
        </w:rPr>
        <w:t>77</w:t>
      </w:r>
      <w:r>
        <w:rPr>
          <w:rFonts w:hint="eastAsia" w:ascii="宋体" w:hAnsi="宋体" w:cs="Times New Roman"/>
          <w:sz w:val="21"/>
          <w:szCs w:val="21"/>
        </w:rPr>
        <w:t>号</w:t>
      </w:r>
      <w:r>
        <w:rPr>
          <w:rFonts w:ascii="宋体" w:hAnsi="宋体" w:cs="Times New Roman"/>
          <w:sz w:val="21"/>
          <w:szCs w:val="21"/>
        </w:rPr>
        <w:t xml:space="preserve">-2005 </w:t>
      </w:r>
      <w:r>
        <w:rPr>
          <w:rFonts w:hint="eastAsia" w:ascii="宋体" w:hAnsi="宋体" w:cs="Times New Roman"/>
          <w:sz w:val="21"/>
          <w:szCs w:val="21"/>
        </w:rPr>
        <w:t>剧毒化学品购买和公路运输许可证件管理办法</w:t>
      </w:r>
    </w:p>
    <w:p w14:paraId="690D5080">
      <w:pPr>
        <w:ind w:firstLine="420"/>
        <w:rPr>
          <w:rFonts w:ascii="宋体" w:hAnsi="宋体" w:cs="Times New Roman"/>
          <w:sz w:val="21"/>
          <w:szCs w:val="21"/>
        </w:rPr>
      </w:pPr>
      <w:r>
        <w:rPr>
          <w:rFonts w:hint="eastAsia" w:ascii="宋体" w:hAnsi="宋体" w:cs="Times New Roman"/>
          <w:sz w:val="21"/>
          <w:szCs w:val="21"/>
        </w:rPr>
        <w:t>公安部令第</w:t>
      </w:r>
      <w:r>
        <w:rPr>
          <w:rFonts w:ascii="宋体" w:hAnsi="宋体" w:cs="Times New Roman"/>
          <w:sz w:val="21"/>
          <w:szCs w:val="21"/>
        </w:rPr>
        <w:t>154</w:t>
      </w:r>
      <w:r>
        <w:rPr>
          <w:rFonts w:hint="eastAsia" w:ascii="宋体" w:hAnsi="宋体" w:cs="Times New Roman"/>
          <w:sz w:val="21"/>
          <w:szCs w:val="21"/>
        </w:rPr>
        <w:t>号</w:t>
      </w:r>
      <w:r>
        <w:rPr>
          <w:rFonts w:ascii="宋体" w:hAnsi="宋体" w:cs="Times New Roman"/>
          <w:sz w:val="21"/>
          <w:szCs w:val="21"/>
        </w:rPr>
        <w:t xml:space="preserve">-2019 </w:t>
      </w:r>
      <w:r>
        <w:rPr>
          <w:rFonts w:hint="eastAsia" w:ascii="宋体" w:hAnsi="宋体" w:cs="Times New Roman"/>
          <w:sz w:val="21"/>
          <w:szCs w:val="21"/>
        </w:rPr>
        <w:t>易制爆危险化学品治安管理办法</w:t>
      </w:r>
    </w:p>
    <w:p w14:paraId="3ED63663">
      <w:pPr>
        <w:ind w:firstLine="420"/>
        <w:rPr>
          <w:rFonts w:ascii="宋体" w:hAnsi="宋体" w:cs="Times New Roman"/>
          <w:sz w:val="21"/>
          <w:szCs w:val="21"/>
        </w:rPr>
      </w:pPr>
      <w:r>
        <w:rPr>
          <w:rFonts w:hint="eastAsia" w:ascii="宋体" w:hAnsi="宋体" w:cs="Times New Roman"/>
          <w:sz w:val="21"/>
          <w:szCs w:val="21"/>
        </w:rPr>
        <w:t>公安部公告</w:t>
      </w:r>
      <w:r>
        <w:rPr>
          <w:rFonts w:ascii="宋体" w:hAnsi="宋体" w:cs="Times New Roman"/>
          <w:sz w:val="21"/>
          <w:szCs w:val="21"/>
        </w:rPr>
        <w:t xml:space="preserve">-2017 </w:t>
      </w:r>
      <w:r>
        <w:rPr>
          <w:rFonts w:hint="eastAsia" w:ascii="宋体" w:hAnsi="宋体" w:cs="Times New Roman"/>
          <w:sz w:val="21"/>
          <w:szCs w:val="21"/>
        </w:rPr>
        <w:t>易制爆危险化学品名录</w:t>
      </w:r>
    </w:p>
    <w:p w14:paraId="3AF13F6B">
      <w:pPr>
        <w:ind w:firstLine="420"/>
        <w:rPr>
          <w:rFonts w:ascii="宋体" w:hAnsi="宋体" w:cs="Times New Roman"/>
          <w:sz w:val="21"/>
          <w:szCs w:val="21"/>
        </w:rPr>
      </w:pPr>
      <w:r>
        <w:rPr>
          <w:rFonts w:hint="eastAsia" w:ascii="宋体" w:hAnsi="宋体" w:cs="Times New Roman"/>
          <w:sz w:val="21"/>
          <w:szCs w:val="21"/>
        </w:rPr>
        <w:t>总局令第</w:t>
      </w:r>
      <w:r>
        <w:rPr>
          <w:rFonts w:ascii="宋体" w:hAnsi="宋体" w:cs="Times New Roman"/>
          <w:sz w:val="21"/>
          <w:szCs w:val="21"/>
        </w:rPr>
        <w:t>40</w:t>
      </w:r>
      <w:r>
        <w:rPr>
          <w:rFonts w:hint="eastAsia" w:ascii="宋体" w:hAnsi="宋体" w:cs="Times New Roman"/>
          <w:sz w:val="21"/>
          <w:szCs w:val="21"/>
        </w:rPr>
        <w:t>号</w:t>
      </w:r>
      <w:r>
        <w:rPr>
          <w:rFonts w:ascii="宋体" w:hAnsi="宋体" w:cs="Times New Roman"/>
          <w:sz w:val="21"/>
          <w:szCs w:val="21"/>
        </w:rPr>
        <w:t xml:space="preserve">-2015 </w:t>
      </w:r>
      <w:r>
        <w:rPr>
          <w:rFonts w:hint="eastAsia" w:ascii="宋体" w:hAnsi="宋体" w:cs="Times New Roman"/>
          <w:sz w:val="21"/>
          <w:szCs w:val="21"/>
        </w:rPr>
        <w:t>危险化学品重大危险源监督管理暂行规定</w:t>
      </w:r>
    </w:p>
    <w:p w14:paraId="541AC256">
      <w:pPr>
        <w:ind w:firstLine="420"/>
        <w:rPr>
          <w:rFonts w:ascii="宋体" w:hAnsi="宋体" w:cs="Times New Roman"/>
          <w:sz w:val="21"/>
          <w:szCs w:val="21"/>
        </w:rPr>
      </w:pPr>
      <w:r>
        <w:rPr>
          <w:rFonts w:hint="eastAsia" w:ascii="宋体" w:hAnsi="宋体" w:cs="Times New Roman"/>
          <w:sz w:val="21"/>
          <w:szCs w:val="21"/>
        </w:rPr>
        <w:t>安监总厅管三第</w:t>
      </w:r>
      <w:r>
        <w:rPr>
          <w:rFonts w:ascii="宋体" w:hAnsi="宋体" w:cs="Times New Roman"/>
          <w:sz w:val="21"/>
          <w:szCs w:val="21"/>
        </w:rPr>
        <w:t>80</w:t>
      </w:r>
      <w:r>
        <w:rPr>
          <w:rFonts w:hint="eastAsia" w:ascii="宋体" w:hAnsi="宋体" w:cs="Times New Roman"/>
          <w:sz w:val="21"/>
          <w:szCs w:val="21"/>
        </w:rPr>
        <w:t>号</w:t>
      </w:r>
      <w:r>
        <w:rPr>
          <w:rFonts w:ascii="宋体" w:hAnsi="宋体" w:cs="Times New Roman"/>
          <w:sz w:val="21"/>
          <w:szCs w:val="21"/>
        </w:rPr>
        <w:t xml:space="preserve">-2015 </w:t>
      </w:r>
      <w:r>
        <w:rPr>
          <w:rFonts w:hint="eastAsia" w:ascii="宋体" w:hAnsi="宋体" w:cs="Times New Roman"/>
          <w:sz w:val="21"/>
          <w:szCs w:val="21"/>
        </w:rPr>
        <w:t>危险化学品目录</w:t>
      </w:r>
    </w:p>
    <w:p w14:paraId="219E4E9C">
      <w:pPr>
        <w:ind w:firstLine="420"/>
        <w:rPr>
          <w:rFonts w:ascii="宋体" w:hAnsi="宋体" w:cs="Times New Roman"/>
          <w:sz w:val="21"/>
          <w:szCs w:val="21"/>
          <w:lang w:eastAsia="zh"/>
        </w:rPr>
      </w:pPr>
      <w:r>
        <w:rPr>
          <w:rFonts w:hint="eastAsia" w:ascii="宋体" w:hAnsi="宋体" w:cs="Times New Roman"/>
          <w:sz w:val="21"/>
          <w:szCs w:val="21"/>
        </w:rPr>
        <w:t>教科信</w:t>
      </w:r>
      <w:r>
        <w:rPr>
          <w:rFonts w:hint="eastAsia" w:ascii="宋体" w:hAnsi="宋体" w:cs="Times New Roman"/>
          <w:sz w:val="21"/>
          <w:szCs w:val="21"/>
          <w:lang w:eastAsia="zh"/>
        </w:rPr>
        <w:t xml:space="preserve">第 </w:t>
      </w:r>
      <w:r>
        <w:rPr>
          <w:rFonts w:hint="eastAsia" w:ascii="宋体" w:hAnsi="宋体" w:cs="Times New Roman"/>
          <w:sz w:val="21"/>
          <w:szCs w:val="21"/>
        </w:rPr>
        <w:t>4号</w:t>
      </w:r>
      <w:r>
        <w:rPr>
          <w:rFonts w:hint="eastAsia" w:ascii="宋体" w:hAnsi="宋体" w:cs="Times New Roman"/>
          <w:sz w:val="21"/>
          <w:szCs w:val="21"/>
          <w:lang w:eastAsia="zh"/>
        </w:rPr>
        <w:t xml:space="preserve">-2024 </w:t>
      </w:r>
      <w:r>
        <w:rPr>
          <w:rFonts w:hint="eastAsia" w:ascii="宋体" w:hAnsi="宋体" w:cs="Times New Roman"/>
          <w:sz w:val="21"/>
          <w:szCs w:val="21"/>
        </w:rPr>
        <w:t>教育部关于印发《高等学校实验室安全分级分类管理办法（试行）》的通知</w:t>
      </w:r>
    </w:p>
    <w:p w14:paraId="513A89B1">
      <w:pPr>
        <w:ind w:firstLine="420"/>
        <w:rPr>
          <w:rFonts w:ascii="宋体" w:hAnsi="宋体" w:cs="Times New Roman"/>
          <w:sz w:val="21"/>
          <w:szCs w:val="21"/>
        </w:rPr>
      </w:pPr>
      <w:r>
        <w:rPr>
          <w:rFonts w:hint="eastAsia" w:ascii="宋体" w:hAnsi="宋体" w:cs="Times New Roman"/>
          <w:sz w:val="21"/>
          <w:szCs w:val="21"/>
        </w:rPr>
        <w:t>教技函第</w:t>
      </w:r>
      <w:r>
        <w:rPr>
          <w:rFonts w:ascii="宋体" w:hAnsi="宋体" w:cs="Times New Roman"/>
          <w:sz w:val="21"/>
          <w:szCs w:val="21"/>
        </w:rPr>
        <w:t>36</w:t>
      </w:r>
      <w:r>
        <w:rPr>
          <w:rFonts w:hint="eastAsia" w:ascii="宋体" w:hAnsi="宋体" w:cs="Times New Roman"/>
          <w:sz w:val="21"/>
          <w:szCs w:val="21"/>
        </w:rPr>
        <w:t>号</w:t>
      </w:r>
      <w:r>
        <w:rPr>
          <w:rFonts w:ascii="宋体" w:hAnsi="宋体" w:cs="Times New Roman"/>
          <w:sz w:val="21"/>
          <w:szCs w:val="21"/>
        </w:rPr>
        <w:t xml:space="preserve">-2019 </w:t>
      </w:r>
      <w:r>
        <w:rPr>
          <w:rFonts w:hint="eastAsia" w:ascii="宋体" w:hAnsi="宋体" w:cs="Times New Roman"/>
          <w:sz w:val="21"/>
          <w:szCs w:val="21"/>
        </w:rPr>
        <w:t>教育部关于加强高校实验室安全工作的意见</w:t>
      </w:r>
    </w:p>
    <w:p w14:paraId="4DC12F08">
      <w:pPr>
        <w:ind w:firstLine="420"/>
        <w:rPr>
          <w:rFonts w:ascii="宋体" w:hAnsi="宋体" w:cs="Times New Roman"/>
          <w:sz w:val="21"/>
          <w:szCs w:val="21"/>
        </w:rPr>
      </w:pPr>
      <w:r>
        <w:rPr>
          <w:rFonts w:ascii="宋体" w:hAnsi="宋体" w:cs="Times New Roman"/>
          <w:sz w:val="21"/>
          <w:szCs w:val="21"/>
        </w:rPr>
        <w:t xml:space="preserve">T_CCSAS 005-2019 </w:t>
      </w:r>
      <w:r>
        <w:rPr>
          <w:rFonts w:hint="eastAsia" w:ascii="宋体" w:hAnsi="宋体" w:cs="Times New Roman"/>
          <w:sz w:val="21"/>
          <w:szCs w:val="21"/>
        </w:rPr>
        <w:t>化学化工实验室安全管理规范</w:t>
      </w:r>
    </w:p>
    <w:p w14:paraId="073616AF">
      <w:pPr>
        <w:ind w:firstLine="420"/>
        <w:rPr>
          <w:rFonts w:ascii="宋体" w:hAnsi="宋体" w:cs="Times New Roman"/>
          <w:sz w:val="21"/>
          <w:szCs w:val="21"/>
        </w:rPr>
      </w:pPr>
      <w:r>
        <w:rPr>
          <w:rFonts w:ascii="宋体" w:hAnsi="宋体" w:cs="Times New Roman"/>
          <w:sz w:val="21"/>
          <w:szCs w:val="21"/>
        </w:rPr>
        <w:t xml:space="preserve">TSG 23-2021 </w:t>
      </w:r>
      <w:r>
        <w:rPr>
          <w:rFonts w:hint="eastAsia" w:ascii="宋体" w:hAnsi="宋体" w:cs="Times New Roman"/>
          <w:sz w:val="21"/>
          <w:szCs w:val="21"/>
        </w:rPr>
        <w:t>气瓶安全技术规程</w:t>
      </w:r>
    </w:p>
    <w:p w14:paraId="4110E3B5">
      <w:pPr>
        <w:ind w:firstLine="420"/>
        <w:rPr>
          <w:rFonts w:ascii="宋体" w:hAnsi="宋体" w:cs="Times New Roman"/>
          <w:sz w:val="21"/>
          <w:szCs w:val="21"/>
        </w:rPr>
      </w:pPr>
      <w:r>
        <w:rPr>
          <w:rFonts w:ascii="宋体" w:hAnsi="宋体" w:cs="Times New Roman"/>
          <w:sz w:val="21"/>
          <w:szCs w:val="21"/>
        </w:rPr>
        <w:t xml:space="preserve">DB3201/T 1168-2023 </w:t>
      </w:r>
      <w:r>
        <w:rPr>
          <w:rFonts w:hint="eastAsia" w:ascii="宋体" w:hAnsi="宋体" w:cs="Times New Roman"/>
          <w:sz w:val="21"/>
          <w:szCs w:val="21"/>
        </w:rPr>
        <w:t>危险化学品废弃物污染防治技术规范</w:t>
      </w:r>
    </w:p>
    <w:p w14:paraId="3FFC7012">
      <w:pPr>
        <w:ind w:firstLine="420"/>
        <w:rPr>
          <w:rFonts w:ascii="宋体" w:hAnsi="宋体"/>
          <w:sz w:val="21"/>
          <w:szCs w:val="21"/>
        </w:rPr>
      </w:pPr>
      <w:r>
        <w:rPr>
          <w:rFonts w:ascii="宋体" w:hAnsi="宋体"/>
          <w:sz w:val="21"/>
          <w:szCs w:val="21"/>
        </w:rPr>
        <w:t xml:space="preserve">HJ 298-2019 </w:t>
      </w:r>
      <w:r>
        <w:rPr>
          <w:rFonts w:hint="eastAsia" w:ascii="宋体" w:hAnsi="宋体"/>
          <w:sz w:val="21"/>
          <w:szCs w:val="21"/>
        </w:rPr>
        <w:t>危险废物鉴别技术规范</w:t>
      </w:r>
    </w:p>
    <w:bookmarkEnd w:id="87"/>
    <w:p w14:paraId="526429CC">
      <w:pPr>
        <w:pStyle w:val="4"/>
        <w:numPr>
          <w:ilvl w:val="0"/>
          <w:numId w:val="0"/>
        </w:numPr>
        <w:rPr>
          <w:rFonts w:cs="Times New Roman"/>
        </w:rPr>
      </w:pPr>
    </w:p>
    <w:sectPr>
      <w:footerReference r:id="rId16" w:type="default"/>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113913-D881-452E-8182-06CBA40F2AB2}"/>
  </w:font>
  <w:font w:name="黑体">
    <w:panose1 w:val="02010609060101010101"/>
    <w:charset w:val="86"/>
    <w:family w:val="auto"/>
    <w:pitch w:val="default"/>
    <w:sig w:usb0="800002BF" w:usb1="38CF7CFA" w:usb2="00000016" w:usb3="00000000" w:csb0="00040001" w:csb1="00000000"/>
    <w:embedRegular r:id="rId2" w:fontKey="{8991B03D-0F0E-432C-8EF4-A4EFFC0E65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25F2E57-EE48-44D3-B933-591EB447BD91}"/>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embedRegular r:id="rId4" w:fontKey="{8E6587B5-3D8D-41AF-964E-F00A56C24C62}"/>
  </w:font>
  <w:font w:name="方正仿宋_GB2312">
    <w:panose1 w:val="02000000000000000000"/>
    <w:charset w:val="86"/>
    <w:family w:val="auto"/>
    <w:pitch w:val="default"/>
    <w:sig w:usb0="A00002BF" w:usb1="184F6CFA" w:usb2="00000012" w:usb3="00000000" w:csb0="00040001" w:csb1="00000000"/>
    <w:embedRegular r:id="rId5" w:fontKey="{17EA7B96-D2F4-498D-BFC9-0E1EF5C46C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2B230">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2A82">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C619">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5DF9">
    <w:pPr>
      <w:pStyle w:val="15"/>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5403385"/>
                          </w:sdtPr>
                          <w:sdtContent>
                            <w:p w14:paraId="25A25877">
                              <w:pPr>
                                <w:pStyle w:val="15"/>
                                <w:ind w:firstLine="360"/>
                                <w:jc w:val="center"/>
                              </w:pPr>
                              <w:r>
                                <w:fldChar w:fldCharType="begin"/>
                              </w:r>
                              <w:r>
                                <w:instrText xml:space="preserve">PAGE   \* MERGEFORMAT</w:instrText>
                              </w:r>
                              <w:r>
                                <w:fldChar w:fldCharType="separate"/>
                              </w:r>
                              <w:r>
                                <w:rPr>
                                  <w:lang w:val="zh-CN"/>
                                </w:rPr>
                                <w:t>14</w:t>
                              </w:r>
                              <w:r>
                                <w:fldChar w:fldCharType="end"/>
                              </w:r>
                            </w:p>
                          </w:sdtContent>
                        </w:sdt>
                        <w:p w14:paraId="60288127">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685403385"/>
                    </w:sdtPr>
                    <w:sdtContent>
                      <w:p w14:paraId="25A25877">
                        <w:pPr>
                          <w:pStyle w:val="15"/>
                          <w:ind w:firstLine="360"/>
                          <w:jc w:val="center"/>
                        </w:pPr>
                        <w:r>
                          <w:fldChar w:fldCharType="begin"/>
                        </w:r>
                        <w:r>
                          <w:instrText xml:space="preserve">PAGE   \* MERGEFORMAT</w:instrText>
                        </w:r>
                        <w:r>
                          <w:fldChar w:fldCharType="separate"/>
                        </w:r>
                        <w:r>
                          <w:rPr>
                            <w:lang w:val="zh-CN"/>
                          </w:rPr>
                          <w:t>14</w:t>
                        </w:r>
                        <w:r>
                          <w:fldChar w:fldCharType="end"/>
                        </w:r>
                      </w:p>
                    </w:sdtContent>
                  </w:sdt>
                  <w:p w14:paraId="60288127">
                    <w:pPr>
                      <w:ind w:firstLine="480"/>
                    </w:pPr>
                  </w:p>
                </w:txbxContent>
              </v:textbox>
            </v:shape>
          </w:pict>
        </mc:Fallback>
      </mc:AlternateContent>
    </w:r>
  </w:p>
  <w:p w14:paraId="6B5DF086">
    <w:pPr>
      <w:pStyle w:val="15"/>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0311">
    <w:pPr>
      <w:pStyle w:val="15"/>
      <w:tabs>
        <w:tab w:val="center" w:pos="4717"/>
      </w:tabs>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609"/>
                          </w:sdtPr>
                          <w:sdtContent>
                            <w:p w14:paraId="6258B754">
                              <w:pPr>
                                <w:pStyle w:val="15"/>
                                <w:ind w:firstLine="360"/>
                                <w:jc w:val="center"/>
                              </w:pPr>
                              <w:r>
                                <w:fldChar w:fldCharType="begin"/>
                              </w:r>
                              <w:r>
                                <w:instrText xml:space="preserve">PAGE   \* MERGEFORMAT</w:instrText>
                              </w:r>
                              <w:r>
                                <w:fldChar w:fldCharType="separate"/>
                              </w:r>
                              <w:r>
                                <w:rPr>
                                  <w:lang w:val="zh-CN"/>
                                </w:rPr>
                                <w:t>14</w:t>
                              </w:r>
                              <w:r>
                                <w:fldChar w:fldCharType="end"/>
                              </w:r>
                            </w:p>
                          </w:sdtContent>
                        </w:sdt>
                        <w:p w14:paraId="007E085B">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65609"/>
                    </w:sdtPr>
                    <w:sdtContent>
                      <w:p w14:paraId="6258B754">
                        <w:pPr>
                          <w:pStyle w:val="15"/>
                          <w:ind w:firstLine="360"/>
                          <w:jc w:val="center"/>
                        </w:pPr>
                        <w:r>
                          <w:fldChar w:fldCharType="begin"/>
                        </w:r>
                        <w:r>
                          <w:instrText xml:space="preserve">PAGE   \* MERGEFORMAT</w:instrText>
                        </w:r>
                        <w:r>
                          <w:fldChar w:fldCharType="separate"/>
                        </w:r>
                        <w:r>
                          <w:rPr>
                            <w:lang w:val="zh-CN"/>
                          </w:rPr>
                          <w:t>14</w:t>
                        </w:r>
                        <w:r>
                          <w:fldChar w:fldCharType="end"/>
                        </w:r>
                      </w:p>
                    </w:sdtContent>
                  </w:sdt>
                  <w:p w14:paraId="007E085B">
                    <w:pPr>
                      <w:ind w:firstLine="48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2DDF">
    <w:pPr>
      <w:pStyle w:val="15"/>
      <w:ind w:firstLine="360"/>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2</w:t>
    </w:r>
    <w:r>
      <w:rPr>
        <w:rFonts w:cs="Times New Roman"/>
      </w:rPr>
      <w:fldChar w:fldCharType="end"/>
    </w:r>
  </w:p>
  <w:p w14:paraId="7D7CCA5B">
    <w:pPr>
      <w:pStyle w:val="13"/>
      <w:kinsoku w:val="0"/>
      <w:overflowPunct w:val="0"/>
      <w:spacing w:line="14" w:lineRule="auto"/>
      <w:rPr>
        <w:rFonts w:ascii="Times New Roman" w:eastAsia="等线" w:cs="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9E3B">
    <w:pPr>
      <w:pStyle w:val="15"/>
      <w:tabs>
        <w:tab w:val="clear" w:pos="4153"/>
      </w:tabs>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B9A03">
                          <w:pPr>
                            <w:pStyle w:val="15"/>
                            <w:ind w:firstLine="36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pt;height:144pt;width:144pt;mso-position-horizontal:center;mso-position-horizontal-relative:margin;mso-wrap-style:none;z-index:251659264;mso-width-relative:page;mso-height-relative:page;" filled="f" stroked="f" coordsize="21600,21600" o:gfxdata="UEsDBAoAAAAAAIdO4kAAAAAAAAAAAAAAAAAEAAAAZHJzL1BLAwQUAAAACACHTuJAeY7FzdMAAAAI&#10;AQAADwAAAGRycy9kb3ducmV2LnhtbE2PwU7DMBBE70j8g7VI3FonBUEU4lSiIhyRaDhwdONtkmKv&#10;I9tNw9+znOD2VjOanam2i7NixhBHTwrydQYCqfNmpF7BR9usChAxaTLaekIF3xhhW19fVbo0/kLv&#10;OO9TLziEYqkVDClNpZSxG9DpuPYTEmtHH5xOfIZemqAvHO6s3GTZg3R6JP4w6Al3A3Zf+7NTsGva&#10;NswYg/3E1+bu9PZ8jy+LUrc3efYEIuGS/szwW5+rQ82dDv5MJgqrgIckBas8Y2B5UxQMB4ZHBllX&#10;8v+A+gd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mOxc3TAAAACA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43CB9A03">
                    <w:pPr>
                      <w:pStyle w:val="15"/>
                      <w:ind w:firstLine="36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0639">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719C">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DA28">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3372">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48D7">
    <w:pPr>
      <w:pStyle w:val="13"/>
      <w:kinsoku w:val="0"/>
      <w:overflowPunct w:val="0"/>
      <w:snapToGrid w:val="0"/>
      <w:spacing w:after="567" w:line="360" w:lineRule="exact"/>
      <w:rPr>
        <w:rFonts w:ascii="Times New Roman" w:eastAsia="等线" w:cs="Times New Roman"/>
        <w:sz w:val="20"/>
        <w:szCs w:val="20"/>
      </w:rPr>
    </w:pPr>
    <w:r>
      <w:rPr>
        <w:rFonts w:ascii="Times New Roman" w:eastAsia="等线" w:cs="Times New Roman"/>
      </w:rPr>
      <w:t>DB32  xxxx</w:t>
    </w:r>
    <w:r>
      <w:rPr>
        <w:rFonts w:hint="eastAsia"/>
        <w:sz w:val="18"/>
        <w:szCs w:val="18"/>
      </w:rPr>
      <w:t>―</w:t>
    </w:r>
    <w:r>
      <w:rPr>
        <w:rFonts w:ascii="Times New Roman" w:cs="Times New Roman"/>
      </w:rPr>
      <w:t>2021</w:t>
    </w:r>
  </w:p>
  <w:p w14:paraId="27850F76">
    <w:pPr>
      <w:pStyle w:val="13"/>
      <w:kinsoku w:val="0"/>
      <w:overflowPunct w:val="0"/>
      <w:spacing w:line="14" w:lineRule="auto"/>
      <w:rPr>
        <w:rFonts w:ascii="Times New Roman" w:eastAsia="等线"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9FF3E"/>
    <w:multiLevelType w:val="multilevel"/>
    <w:tmpl w:val="9999FF3E"/>
    <w:lvl w:ilvl="0" w:tentative="0">
      <w:start w:val="1"/>
      <w:numFmt w:val="decimal"/>
      <w:pStyle w:val="3"/>
      <w:lvlText w:val="%1 "/>
      <w:lvlJc w:val="left"/>
      <w:pPr>
        <w:ind w:left="432" w:hanging="432"/>
      </w:pPr>
      <w:rPr>
        <w:rFonts w:hint="default"/>
        <w:b/>
      </w:rPr>
    </w:lvl>
    <w:lvl w:ilvl="1" w:tentative="0">
      <w:start w:val="1"/>
      <w:numFmt w:val="decimal"/>
      <w:pStyle w:val="4"/>
      <w:lvlText w:val="%1.%2 "/>
      <w:lvlJc w:val="left"/>
      <w:pPr>
        <w:ind w:left="1001" w:hanging="575"/>
      </w:pPr>
      <w:rPr>
        <w:rFonts w:hint="default"/>
        <w:b/>
      </w:rPr>
    </w:lvl>
    <w:lvl w:ilvl="2" w:tentative="0">
      <w:start w:val="1"/>
      <w:numFmt w:val="decimal"/>
      <w:pStyle w:val="5"/>
      <w:lvlText w:val="%1.%2.%3 "/>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78202BDF"/>
    <w:multiLevelType w:val="multilevel"/>
    <w:tmpl w:val="78202BD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default" w:eastAsia="Times New Roman"/>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zMjO0sDCyMLG0MDZR0lEKTi0uzszPAykwrwUA2EnFFywAAAA="/>
    <w:docVar w:name="commondata" w:val="eyJoZGlkIjoiODVlMTVmYWUxYThmMGYyZmZhYzI0Mzc0ZDhmODI5NWIifQ=="/>
  </w:docVars>
  <w:rsids>
    <w:rsidRoot w:val="000D1B31"/>
    <w:rsid w:val="00007605"/>
    <w:rsid w:val="00037C58"/>
    <w:rsid w:val="00047D5A"/>
    <w:rsid w:val="00047DD1"/>
    <w:rsid w:val="00073AB2"/>
    <w:rsid w:val="000A689E"/>
    <w:rsid w:val="000D1B31"/>
    <w:rsid w:val="000D7112"/>
    <w:rsid w:val="000E700B"/>
    <w:rsid w:val="00103ECF"/>
    <w:rsid w:val="001113F5"/>
    <w:rsid w:val="001125E4"/>
    <w:rsid w:val="001323EF"/>
    <w:rsid w:val="00132BC4"/>
    <w:rsid w:val="00144405"/>
    <w:rsid w:val="00175FDD"/>
    <w:rsid w:val="00176AEF"/>
    <w:rsid w:val="00184C63"/>
    <w:rsid w:val="001B30FF"/>
    <w:rsid w:val="00212080"/>
    <w:rsid w:val="002243BD"/>
    <w:rsid w:val="002571B5"/>
    <w:rsid w:val="002C343C"/>
    <w:rsid w:val="002D5B03"/>
    <w:rsid w:val="002D7D53"/>
    <w:rsid w:val="002F1DB9"/>
    <w:rsid w:val="00312306"/>
    <w:rsid w:val="00365426"/>
    <w:rsid w:val="00377CF2"/>
    <w:rsid w:val="003B4F51"/>
    <w:rsid w:val="003D57D5"/>
    <w:rsid w:val="003D6698"/>
    <w:rsid w:val="003E00B7"/>
    <w:rsid w:val="003E5C0F"/>
    <w:rsid w:val="003F1D4C"/>
    <w:rsid w:val="00411FED"/>
    <w:rsid w:val="00414446"/>
    <w:rsid w:val="0041672D"/>
    <w:rsid w:val="004329ED"/>
    <w:rsid w:val="00494D7C"/>
    <w:rsid w:val="004B1D48"/>
    <w:rsid w:val="004E4499"/>
    <w:rsid w:val="00542C3B"/>
    <w:rsid w:val="0055027F"/>
    <w:rsid w:val="00564EC0"/>
    <w:rsid w:val="005657F3"/>
    <w:rsid w:val="005B2BA5"/>
    <w:rsid w:val="005F4029"/>
    <w:rsid w:val="00606D6A"/>
    <w:rsid w:val="00630B1B"/>
    <w:rsid w:val="006452AF"/>
    <w:rsid w:val="00655596"/>
    <w:rsid w:val="00671F60"/>
    <w:rsid w:val="006B2832"/>
    <w:rsid w:val="006C7202"/>
    <w:rsid w:val="006D2D67"/>
    <w:rsid w:val="006E1CE0"/>
    <w:rsid w:val="006F001A"/>
    <w:rsid w:val="006F75F0"/>
    <w:rsid w:val="007004BF"/>
    <w:rsid w:val="00717C0B"/>
    <w:rsid w:val="00717F83"/>
    <w:rsid w:val="007246C0"/>
    <w:rsid w:val="007336EA"/>
    <w:rsid w:val="00744DA5"/>
    <w:rsid w:val="007B4F8A"/>
    <w:rsid w:val="007C0318"/>
    <w:rsid w:val="007C3B86"/>
    <w:rsid w:val="007C572A"/>
    <w:rsid w:val="007F64DA"/>
    <w:rsid w:val="008045B4"/>
    <w:rsid w:val="00811222"/>
    <w:rsid w:val="00826716"/>
    <w:rsid w:val="00873E66"/>
    <w:rsid w:val="00875198"/>
    <w:rsid w:val="008841DD"/>
    <w:rsid w:val="008A7E0B"/>
    <w:rsid w:val="008B6D70"/>
    <w:rsid w:val="008D2209"/>
    <w:rsid w:val="00904F96"/>
    <w:rsid w:val="009427A7"/>
    <w:rsid w:val="00982B40"/>
    <w:rsid w:val="009853A1"/>
    <w:rsid w:val="009E7E28"/>
    <w:rsid w:val="009F20CC"/>
    <w:rsid w:val="00A033ED"/>
    <w:rsid w:val="00A14C49"/>
    <w:rsid w:val="00A30FE4"/>
    <w:rsid w:val="00A45785"/>
    <w:rsid w:val="00A4736E"/>
    <w:rsid w:val="00A651AB"/>
    <w:rsid w:val="00A854E6"/>
    <w:rsid w:val="00AA1CAB"/>
    <w:rsid w:val="00AB6619"/>
    <w:rsid w:val="00AE622B"/>
    <w:rsid w:val="00AF3BED"/>
    <w:rsid w:val="00AF5C9A"/>
    <w:rsid w:val="00B1325F"/>
    <w:rsid w:val="00B15D1F"/>
    <w:rsid w:val="00B2456C"/>
    <w:rsid w:val="00B32D8C"/>
    <w:rsid w:val="00B35D3A"/>
    <w:rsid w:val="00B373A7"/>
    <w:rsid w:val="00B40B50"/>
    <w:rsid w:val="00B8450F"/>
    <w:rsid w:val="00BB76C5"/>
    <w:rsid w:val="00BD0745"/>
    <w:rsid w:val="00BE0819"/>
    <w:rsid w:val="00BE10F1"/>
    <w:rsid w:val="00C00D19"/>
    <w:rsid w:val="00C060B2"/>
    <w:rsid w:val="00C17825"/>
    <w:rsid w:val="00C55A92"/>
    <w:rsid w:val="00C56DD9"/>
    <w:rsid w:val="00C636CC"/>
    <w:rsid w:val="00C77F9A"/>
    <w:rsid w:val="00C8083D"/>
    <w:rsid w:val="00C80B82"/>
    <w:rsid w:val="00C9272A"/>
    <w:rsid w:val="00CC306C"/>
    <w:rsid w:val="00CC4E60"/>
    <w:rsid w:val="00CD25E1"/>
    <w:rsid w:val="00D13875"/>
    <w:rsid w:val="00D364C7"/>
    <w:rsid w:val="00D43B64"/>
    <w:rsid w:val="00D440B7"/>
    <w:rsid w:val="00D544FF"/>
    <w:rsid w:val="00D77164"/>
    <w:rsid w:val="00D905CA"/>
    <w:rsid w:val="00DA6E15"/>
    <w:rsid w:val="00DE0CFA"/>
    <w:rsid w:val="00E1074D"/>
    <w:rsid w:val="00E2695F"/>
    <w:rsid w:val="00E40959"/>
    <w:rsid w:val="00E636EC"/>
    <w:rsid w:val="00E77D58"/>
    <w:rsid w:val="00E80728"/>
    <w:rsid w:val="00E84797"/>
    <w:rsid w:val="00E96FD8"/>
    <w:rsid w:val="00EA024B"/>
    <w:rsid w:val="00EA18E1"/>
    <w:rsid w:val="00EC6F7A"/>
    <w:rsid w:val="00ED0531"/>
    <w:rsid w:val="00F463C8"/>
    <w:rsid w:val="00F647AE"/>
    <w:rsid w:val="00F6786A"/>
    <w:rsid w:val="00F82203"/>
    <w:rsid w:val="00FC5C3F"/>
    <w:rsid w:val="00FE1D80"/>
    <w:rsid w:val="00FF2809"/>
    <w:rsid w:val="00FF584C"/>
    <w:rsid w:val="09422E5E"/>
    <w:rsid w:val="0E102722"/>
    <w:rsid w:val="0FAF4B96"/>
    <w:rsid w:val="0FB46B0C"/>
    <w:rsid w:val="1226604A"/>
    <w:rsid w:val="132E1533"/>
    <w:rsid w:val="17B648CC"/>
    <w:rsid w:val="1BFCE202"/>
    <w:rsid w:val="1C7F282F"/>
    <w:rsid w:val="1E9365F7"/>
    <w:rsid w:val="234A1867"/>
    <w:rsid w:val="244165C2"/>
    <w:rsid w:val="255E64A8"/>
    <w:rsid w:val="259D0756"/>
    <w:rsid w:val="2B12230A"/>
    <w:rsid w:val="2E875E0B"/>
    <w:rsid w:val="2FAF69EA"/>
    <w:rsid w:val="2FBD887C"/>
    <w:rsid w:val="2FEE5039"/>
    <w:rsid w:val="30C45E54"/>
    <w:rsid w:val="326571C3"/>
    <w:rsid w:val="33341FFB"/>
    <w:rsid w:val="33F3A45C"/>
    <w:rsid w:val="34B00BC9"/>
    <w:rsid w:val="37480A58"/>
    <w:rsid w:val="397F8629"/>
    <w:rsid w:val="39F94898"/>
    <w:rsid w:val="3A171816"/>
    <w:rsid w:val="3D951EF3"/>
    <w:rsid w:val="3EFF38EC"/>
    <w:rsid w:val="3F860287"/>
    <w:rsid w:val="408E2270"/>
    <w:rsid w:val="43F10BA6"/>
    <w:rsid w:val="46881226"/>
    <w:rsid w:val="4B756271"/>
    <w:rsid w:val="4C7FBC4A"/>
    <w:rsid w:val="4E72CD5E"/>
    <w:rsid w:val="4FEF6676"/>
    <w:rsid w:val="50194E04"/>
    <w:rsid w:val="5055041F"/>
    <w:rsid w:val="50881DDD"/>
    <w:rsid w:val="5B452D10"/>
    <w:rsid w:val="5B5F0868"/>
    <w:rsid w:val="5ED13E1C"/>
    <w:rsid w:val="5FD72F24"/>
    <w:rsid w:val="60EB6089"/>
    <w:rsid w:val="65BF660F"/>
    <w:rsid w:val="667C4500"/>
    <w:rsid w:val="694A7F23"/>
    <w:rsid w:val="6AE50E56"/>
    <w:rsid w:val="6C626CC1"/>
    <w:rsid w:val="6D7FA473"/>
    <w:rsid w:val="6DB5FA78"/>
    <w:rsid w:val="6FFEA5BE"/>
    <w:rsid w:val="707034FC"/>
    <w:rsid w:val="71720312"/>
    <w:rsid w:val="72241A11"/>
    <w:rsid w:val="757FD267"/>
    <w:rsid w:val="75F533E1"/>
    <w:rsid w:val="75FF189C"/>
    <w:rsid w:val="77936212"/>
    <w:rsid w:val="77BF9EF7"/>
    <w:rsid w:val="77FCC57A"/>
    <w:rsid w:val="77FE50B8"/>
    <w:rsid w:val="79FFF06B"/>
    <w:rsid w:val="7A8A0B42"/>
    <w:rsid w:val="7BEF259A"/>
    <w:rsid w:val="7DBF32A9"/>
    <w:rsid w:val="7DEE7FE0"/>
    <w:rsid w:val="7DF67E5D"/>
    <w:rsid w:val="7F3F99E0"/>
    <w:rsid w:val="7F5D6DD1"/>
    <w:rsid w:val="7F9EA52D"/>
    <w:rsid w:val="87C7BC20"/>
    <w:rsid w:val="AB30FB74"/>
    <w:rsid w:val="ABEE1E8D"/>
    <w:rsid w:val="BDDD1D0E"/>
    <w:rsid w:val="BEDB98C3"/>
    <w:rsid w:val="BEFFBF1A"/>
    <w:rsid w:val="BFEB8EFA"/>
    <w:rsid w:val="C61F80C6"/>
    <w:rsid w:val="C9E68B89"/>
    <w:rsid w:val="CD7EADCE"/>
    <w:rsid w:val="CFBF9BEE"/>
    <w:rsid w:val="D2779EB2"/>
    <w:rsid w:val="D5583044"/>
    <w:rsid w:val="DA7F92D1"/>
    <w:rsid w:val="DBA1FB1E"/>
    <w:rsid w:val="DEF81AFC"/>
    <w:rsid w:val="DEFB0E05"/>
    <w:rsid w:val="EE5E5D83"/>
    <w:rsid w:val="F0FF4A04"/>
    <w:rsid w:val="F55D3A3E"/>
    <w:rsid w:val="F5FBD9AE"/>
    <w:rsid w:val="F5FE079D"/>
    <w:rsid w:val="F7DB0698"/>
    <w:rsid w:val="FBFA60CF"/>
    <w:rsid w:val="FDB7A549"/>
    <w:rsid w:val="FDFF41CB"/>
    <w:rsid w:val="FF7E156D"/>
    <w:rsid w:val="FFBE69BA"/>
    <w:rsid w:val="FFBE6B88"/>
    <w:rsid w:val="FFDFB1EA"/>
    <w:rsid w:val="FFFD4A1C"/>
    <w:rsid w:val="FFFF1A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883"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ind w:firstLine="0" w:firstLineChars="0"/>
      <w:jc w:val="center"/>
      <w:outlineLvl w:val="0"/>
    </w:pPr>
    <w:rPr>
      <w:b/>
      <w:kern w:val="44"/>
      <w:sz w:val="28"/>
    </w:rPr>
  </w:style>
  <w:style w:type="paragraph" w:styleId="4">
    <w:name w:val="heading 2"/>
    <w:basedOn w:val="1"/>
    <w:next w:val="1"/>
    <w:unhideWhenUsed/>
    <w:qFormat/>
    <w:uiPriority w:val="0"/>
    <w:pPr>
      <w:keepNext/>
      <w:keepLines/>
      <w:numPr>
        <w:ilvl w:val="1"/>
        <w:numId w:val="1"/>
      </w:numPr>
      <w:spacing w:before="156" w:after="156" w:line="413" w:lineRule="auto"/>
      <w:ind w:left="575" w:firstLine="0" w:firstLineChars="0"/>
      <w:jc w:val="left"/>
      <w:outlineLvl w:val="1"/>
    </w:pPr>
    <w:rPr>
      <w:rFonts w:ascii="Arial" w:hAnsi="Arial"/>
      <w:b/>
    </w:rPr>
  </w:style>
  <w:style w:type="paragraph" w:styleId="5">
    <w:name w:val="heading 3"/>
    <w:basedOn w:val="1"/>
    <w:next w:val="1"/>
    <w:unhideWhenUsed/>
    <w:qFormat/>
    <w:uiPriority w:val="0"/>
    <w:pPr>
      <w:keepNext/>
      <w:keepLines/>
      <w:numPr>
        <w:ilvl w:val="2"/>
        <w:numId w:val="1"/>
      </w:numPr>
      <w:ind w:firstLine="0" w:firstLineChars="0"/>
      <w:jc w:val="left"/>
      <w:outlineLvl w:val="2"/>
    </w:pPr>
  </w:style>
  <w:style w:type="paragraph" w:styleId="6">
    <w:name w:val="heading 4"/>
    <w:basedOn w:val="1"/>
    <w:next w:val="1"/>
    <w:unhideWhenUsed/>
    <w:qFormat/>
    <w:uiPriority w:val="0"/>
    <w:pPr>
      <w:keepNext/>
      <w:keepLines/>
      <w:numPr>
        <w:ilvl w:val="3"/>
        <w:numId w:val="1"/>
      </w:numPr>
      <w:ind w:left="862" w:hanging="862" w:firstLineChars="0"/>
      <w:jc w:val="left"/>
      <w:outlineLvl w:val="3"/>
    </w:pPr>
    <w:rPr>
      <w:rFonts w:ascii="Arial" w:hAnsi="Arial"/>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12">
    <w:name w:val="annotation text"/>
    <w:basedOn w:val="1"/>
    <w:link w:val="35"/>
    <w:qFormat/>
    <w:uiPriority w:val="0"/>
    <w:pPr>
      <w:jc w:val="left"/>
    </w:pPr>
  </w:style>
  <w:style w:type="paragraph" w:styleId="13">
    <w:name w:val="Body Text"/>
    <w:basedOn w:val="1"/>
    <w:link w:val="33"/>
    <w:unhideWhenUsed/>
    <w:qFormat/>
    <w:uiPriority w:val="99"/>
    <w:pPr>
      <w:spacing w:after="120" w:line="240" w:lineRule="auto"/>
      <w:ind w:firstLine="0" w:firstLineChars="0"/>
    </w:pPr>
    <w:rPr>
      <w:rFonts w:asciiTheme="minorHAnsi" w:hAnsiTheme="minorHAnsi" w:eastAsiaTheme="minorEastAsia"/>
      <w:sz w:val="21"/>
      <w:szCs w:val="22"/>
    </w:rPr>
  </w:style>
  <w:style w:type="paragraph" w:styleId="14">
    <w:name w:val="Balloon Text"/>
    <w:basedOn w:val="1"/>
    <w:link w:val="34"/>
    <w:qFormat/>
    <w:uiPriority w:val="0"/>
    <w:pPr>
      <w:spacing w:line="240" w:lineRule="auto"/>
    </w:pPr>
    <w:rPr>
      <w:sz w:val="18"/>
      <w:szCs w:val="18"/>
    </w:rPr>
  </w:style>
  <w:style w:type="paragraph" w:styleId="15">
    <w:name w:val="footer"/>
    <w:basedOn w:val="1"/>
    <w:link w:val="32"/>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autoRedefine/>
    <w:qFormat/>
    <w:uiPriority w:val="39"/>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annotation subject"/>
    <w:basedOn w:val="12"/>
    <w:next w:val="12"/>
    <w:link w:val="36"/>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3">
    <w:name w:val="Strong"/>
    <w:basedOn w:val="22"/>
    <w:qFormat/>
    <w:uiPriority w:val="0"/>
    <w:rPr>
      <w:b/>
    </w:rPr>
  </w:style>
  <w:style w:type="character" w:styleId="24">
    <w:name w:val="Hyperlink"/>
    <w:basedOn w:val="22"/>
    <w:qFormat/>
    <w:uiPriority w:val="99"/>
    <w:rPr>
      <w:color w:val="0000FF"/>
      <w:u w:val="single"/>
    </w:rPr>
  </w:style>
  <w:style w:type="character" w:styleId="25">
    <w:name w:val="annotation reference"/>
    <w:basedOn w:val="22"/>
    <w:qFormat/>
    <w:uiPriority w:val="0"/>
    <w:rPr>
      <w:sz w:val="21"/>
      <w:szCs w:val="21"/>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列表段落1"/>
    <w:basedOn w:val="1"/>
    <w:autoRedefine/>
    <w:qFormat/>
    <w:uiPriority w:val="0"/>
    <w:pPr>
      <w:ind w:firstLine="420"/>
    </w:pPr>
    <w:rPr>
      <w:rFonts w:eastAsia="方正仿宋_GBK" w:cs="Times New Roman"/>
      <w:sz w:val="30"/>
      <w:szCs w:val="30"/>
    </w:rPr>
  </w:style>
  <w:style w:type="paragraph" w:customStyle="1" w:styleId="28">
    <w:name w:val="修订1"/>
    <w:hidden/>
    <w:unhideWhenUsed/>
    <w:qFormat/>
    <w:uiPriority w:val="99"/>
    <w:rPr>
      <w:rFonts w:ascii="Times New Roman" w:hAnsi="Times New Roman" w:eastAsia="宋体" w:cstheme="minorBidi"/>
      <w:kern w:val="2"/>
      <w:sz w:val="24"/>
      <w:szCs w:val="24"/>
      <w:lang w:val="en-US" w:eastAsia="zh-CN" w:bidi="ar-SA"/>
    </w:rPr>
  </w:style>
  <w:style w:type="paragraph" w:customStyle="1" w:styleId="29">
    <w:name w:val="修订2"/>
    <w:hidden/>
    <w:semiHidden/>
    <w:qFormat/>
    <w:uiPriority w:val="99"/>
    <w:rPr>
      <w:rFonts w:ascii="Times New Roman" w:hAnsi="Times New Roman" w:eastAsia="宋体" w:cstheme="minorBidi"/>
      <w:kern w:val="2"/>
      <w:sz w:val="24"/>
      <w:szCs w:val="24"/>
      <w:lang w:val="en-US" w:eastAsia="zh-CN" w:bidi="ar-SA"/>
    </w:rPr>
  </w:style>
  <w:style w:type="paragraph" w:styleId="30">
    <w:name w:val="List Paragraph"/>
    <w:basedOn w:val="1"/>
    <w:link w:val="31"/>
    <w:qFormat/>
    <w:uiPriority w:val="34"/>
    <w:pPr>
      <w:spacing w:line="240" w:lineRule="auto"/>
      <w:ind w:firstLine="420"/>
    </w:pPr>
    <w:rPr>
      <w:rFonts w:eastAsiaTheme="minorEastAsia"/>
      <w:sz w:val="21"/>
      <w:szCs w:val="22"/>
    </w:rPr>
  </w:style>
  <w:style w:type="character" w:customStyle="1" w:styleId="31">
    <w:name w:val="列表段落 字符"/>
    <w:link w:val="30"/>
    <w:qFormat/>
    <w:uiPriority w:val="34"/>
    <w:rPr>
      <w:rFonts w:ascii="Times New Roman" w:hAnsi="Times New Roman" w:eastAsiaTheme="minorEastAsia" w:cstheme="minorBidi"/>
      <w:kern w:val="2"/>
      <w:sz w:val="21"/>
      <w:szCs w:val="22"/>
    </w:rPr>
  </w:style>
  <w:style w:type="character" w:customStyle="1" w:styleId="32">
    <w:name w:val="页脚 字符"/>
    <w:basedOn w:val="22"/>
    <w:link w:val="15"/>
    <w:qFormat/>
    <w:uiPriority w:val="99"/>
    <w:rPr>
      <w:rFonts w:cstheme="minorBidi"/>
      <w:kern w:val="2"/>
      <w:sz w:val="18"/>
      <w:szCs w:val="24"/>
    </w:rPr>
  </w:style>
  <w:style w:type="character" w:customStyle="1" w:styleId="33">
    <w:name w:val="正文文本 字符"/>
    <w:basedOn w:val="22"/>
    <w:link w:val="13"/>
    <w:qFormat/>
    <w:uiPriority w:val="99"/>
    <w:rPr>
      <w:rFonts w:asciiTheme="minorHAnsi" w:hAnsiTheme="minorHAnsi" w:eastAsiaTheme="minorEastAsia" w:cstheme="minorBidi"/>
      <w:kern w:val="2"/>
      <w:sz w:val="21"/>
      <w:szCs w:val="22"/>
    </w:rPr>
  </w:style>
  <w:style w:type="character" w:customStyle="1" w:styleId="34">
    <w:name w:val="批注框文本 字符"/>
    <w:basedOn w:val="22"/>
    <w:link w:val="14"/>
    <w:qFormat/>
    <w:uiPriority w:val="0"/>
    <w:rPr>
      <w:rFonts w:cstheme="minorBidi"/>
      <w:kern w:val="2"/>
      <w:sz w:val="18"/>
      <w:szCs w:val="18"/>
    </w:rPr>
  </w:style>
  <w:style w:type="character" w:customStyle="1" w:styleId="35">
    <w:name w:val="批注文字 字符"/>
    <w:basedOn w:val="22"/>
    <w:link w:val="12"/>
    <w:qFormat/>
    <w:uiPriority w:val="0"/>
    <w:rPr>
      <w:rFonts w:cstheme="minorBidi"/>
      <w:kern w:val="2"/>
      <w:sz w:val="24"/>
      <w:szCs w:val="24"/>
    </w:rPr>
  </w:style>
  <w:style w:type="character" w:customStyle="1" w:styleId="36">
    <w:name w:val="批注主题 字符"/>
    <w:basedOn w:val="35"/>
    <w:link w:val="19"/>
    <w:qFormat/>
    <w:uiPriority w:val="0"/>
    <w:rPr>
      <w:rFonts w:cstheme="minorBidi"/>
      <w:b/>
      <w:bCs/>
      <w:kern w:val="2"/>
      <w:sz w:val="24"/>
      <w:szCs w:val="24"/>
    </w:rPr>
  </w:style>
  <w:style w:type="paragraph" w:customStyle="1" w:styleId="37">
    <w:name w:val="修订3"/>
    <w:hidden/>
    <w:unhideWhenUsed/>
    <w:qFormat/>
    <w:uiPriority w:val="99"/>
    <w:rPr>
      <w:rFonts w:ascii="Times New Roman" w:hAnsi="Times New Roman" w:eastAsia="宋体" w:cstheme="minorBidi"/>
      <w:kern w:val="2"/>
      <w:sz w:val="24"/>
      <w:szCs w:val="24"/>
      <w:lang w:val="en-US" w:eastAsia="zh-CN" w:bidi="ar-SA"/>
    </w:rPr>
  </w:style>
  <w:style w:type="paragraph" w:customStyle="1" w:styleId="38">
    <w:name w:val="修订4"/>
    <w:hidden/>
    <w:unhideWhenUsed/>
    <w:qFormat/>
    <w:uiPriority w:val="99"/>
    <w:rPr>
      <w:rFonts w:ascii="Times New Roman" w:hAnsi="Times New Roman" w:eastAsia="宋体" w:cstheme="minorBidi"/>
      <w:kern w:val="2"/>
      <w:sz w:val="24"/>
      <w:szCs w:val="24"/>
      <w:lang w:val="en-US" w:eastAsia="zh-CN" w:bidi="ar-SA"/>
    </w:rPr>
  </w:style>
  <w:style w:type="paragraph" w:customStyle="1" w:styleId="39">
    <w:name w:val="修订5"/>
    <w:hidden/>
    <w:unhideWhenUsed/>
    <w:qFormat/>
    <w:uiPriority w:val="99"/>
    <w:rPr>
      <w:rFonts w:ascii="Times New Roman" w:hAnsi="Times New Roman" w:eastAsia="宋体" w:cstheme="minorBidi"/>
      <w:kern w:val="2"/>
      <w:sz w:val="24"/>
      <w:szCs w:val="24"/>
      <w:lang w:val="en-US" w:eastAsia="zh-CN" w:bidi="ar-SA"/>
    </w:rPr>
  </w:style>
  <w:style w:type="paragraph" w:customStyle="1" w:styleId="4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3">
    <w:name w:val="实施日期"/>
    <w:basedOn w:val="42"/>
    <w:qFormat/>
    <w:uiPriority w:val="0"/>
    <w:pPr>
      <w:framePr w:hSpace="0" w:xAlign="right"/>
      <w:jc w:val="right"/>
    </w:pPr>
  </w:style>
  <w:style w:type="paragraph" w:customStyle="1" w:styleId="44">
    <w:name w:val="其他发布部门"/>
    <w:basedOn w:val="45"/>
    <w:qFormat/>
    <w:uiPriority w:val="0"/>
    <w:pPr>
      <w:spacing w:line="0" w:lineRule="atLeast"/>
    </w:pPr>
    <w:rPr>
      <w:rFonts w:ascii="黑体" w:eastAsia="黑体"/>
      <w:b w:val="0"/>
    </w:rPr>
  </w:style>
  <w:style w:type="paragraph" w:customStyle="1" w:styleId="45">
    <w:name w:val="发布部门"/>
    <w:next w:val="4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7DC5C-D061-477A-9664-5C2A7BD78790}">
  <ds:schemaRefs/>
</ds:datastoreItem>
</file>

<file path=docProps/app.xml><?xml version="1.0" encoding="utf-8"?>
<Properties xmlns="http://schemas.openxmlformats.org/officeDocument/2006/extended-properties" xmlns:vt="http://schemas.openxmlformats.org/officeDocument/2006/docPropsVTypes">
  <Template>Normal.dotm</Template>
  <Company>Nanjing Tech University</Company>
  <Pages>25</Pages>
  <Words>14554</Words>
  <Characters>15625</Characters>
  <Lines>120</Lines>
  <Paragraphs>33</Paragraphs>
  <TotalTime>0</TotalTime>
  <ScaleCrop>false</ScaleCrop>
  <LinksUpToDate>false</LinksUpToDate>
  <CharactersWithSpaces>16079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2025-04-01T07:48:00Z</dcterms:created>
  <dc:creator>Administrator</dc:creator>
  <cp:lastModifiedBy>葛世友</cp:lastModifiedBy>
  <cp:lastPrinted>2025-04-01T07:51:00Z</cp:lastPrinted>
  <dcterms:modified xsi:type="dcterms:W3CDTF">2025-07-01T10:39:44Z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835C1248E2AD4DBB954BB926DB2D9D3B_13</vt:lpwstr>
  </property>
  <property fmtid="{D5CDD505-2E9C-101B-9397-08002B2CF9AE}" pid="4" name="GrammarlyDocumentId">
    <vt:lpwstr>6ff89aa98b9e6321c1488fdda8003deb72116cb4ee79f1244e45f316097c7b93</vt:lpwstr>
  </property>
  <property fmtid="{D5CDD505-2E9C-101B-9397-08002B2CF9AE}" pid="5" name="KSOTemplateDocerSaveRecord">
    <vt:lpwstr>eyJoZGlkIjoiOTE0MTc2ZmI0OGJkYmIxYjg0ODRhOTMyMGI4ZDcxODEiLCJ1c2VySWQiOiI1ODE3ODEwMjQifQ==</vt:lpwstr>
  </property>
</Properties>
</file>