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9F" w:rsidRDefault="0007779F">
      <w:pPr>
        <w:kinsoku/>
        <w:overflowPunct w:val="0"/>
        <w:spacing w:line="336" w:lineRule="auto"/>
        <w:rPr>
          <w:rFonts w:eastAsia="宋体"/>
          <w:spacing w:val="-1"/>
          <w:sz w:val="20"/>
          <w:szCs w:val="20"/>
          <w:lang w:eastAsia="zh-CN"/>
        </w:rPr>
      </w:pPr>
      <w:r w:rsidRPr="0007779F">
        <w:rPr>
          <w:rFonts w:ascii="Times New Roman" w:eastAsia="黑体" w:hAnsi="Times New Roman"/>
        </w:rPr>
        <w:pict>
          <v:shapetype id="_x0000_t202" coordsize="21600,21600" o:spt="202" path="m,l,21600r21600,l21600,xe">
            <v:stroke joinstyle="miter"/>
            <v:path gradientshapeok="t" o:connecttype="rect"/>
          </v:shapetype>
          <v:shape id="文本框 2" o:spid="_x0000_s1026" type="#_x0000_t202" style="position:absolute;margin-left:.4pt;margin-top:-.2pt;width:185.95pt;height:39.1pt;z-index:251663360" o:gfxdata="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9reH1AAAAAUBAAAPAAAAAAAAAAEAIAAAACIAAABkcnMvZG93bnJldi54bWxQSwECFAAUAAAACACH&#10;TuJAgwyRSigCAAArBAAADgAAAAAAAAABACAAAAAjAQAAZHJzL2Uyb0RvYy54bWxQSwUGAAAAAAYA&#10;BgBZAQAAvQUAAAAA&#10;" filled="f" stroked="f">
            <v:textbox style="mso-fit-shape-to-text:t">
              <w:txbxContent>
                <w:sdt>
                  <w:sdtPr>
                    <w:rPr>
                      <w:rFonts w:ascii="黑体" w:eastAsia="黑体" w:hAnsi="Times New Roman"/>
                    </w:rPr>
                    <w:id w:val="402572823"/>
                    <w:lock w:val="sdtLocked"/>
                  </w:sdtPr>
                  <w:sdtContent>
                    <w:p w:rsidR="0007779F" w:rsidRDefault="005C7E73">
                      <w:pPr>
                        <w:outlineLvl w:val="0"/>
                        <w:rPr>
                          <w:rFonts w:ascii="黑体" w:eastAsia="黑体" w:hAnsi="Times New Roman"/>
                        </w:rPr>
                      </w:pPr>
                      <w:r>
                        <w:rPr>
                          <w:rFonts w:ascii="黑体" w:eastAsia="黑体" w:hAnsi="Times New Roman"/>
                        </w:rPr>
                        <w:t>ICS</w:t>
                      </w:r>
                      <w:r>
                        <w:rPr>
                          <w:rFonts w:ascii="黑体" w:eastAsia="黑体" w:hAnsi="Times New Roman" w:cs="Times New Roman"/>
                          <w:spacing w:val="10"/>
                        </w:rPr>
                        <w:t>XX</w:t>
                      </w:r>
                      <w:r>
                        <w:rPr>
                          <w:rFonts w:ascii="黑体" w:eastAsia="黑体" w:hAnsi="Times New Roman" w:cs="Times New Roman" w:hint="eastAsia"/>
                          <w:spacing w:val="10"/>
                        </w:rPr>
                        <w:t>.</w:t>
                      </w:r>
                      <w:r>
                        <w:rPr>
                          <w:rFonts w:ascii="黑体" w:eastAsia="黑体" w:hAnsi="Times New Roman" w:cs="Times New Roman"/>
                          <w:spacing w:val="10"/>
                        </w:rPr>
                        <w:t>XX</w:t>
                      </w:r>
                    </w:p>
                    <w:p w:rsidR="0007779F" w:rsidRDefault="005C7E73">
                      <w:pPr>
                        <w:rPr>
                          <w:rFonts w:ascii="黑体" w:eastAsia="黑体" w:hAnsi="Times New Roman"/>
                        </w:rPr>
                      </w:pPr>
                      <w:r>
                        <w:rPr>
                          <w:rFonts w:ascii="黑体" w:eastAsia="黑体" w:hAnsi="Times New Roman" w:cs="Times New Roman"/>
                        </w:rPr>
                        <w:t xml:space="preserve">CCS X </w:t>
                      </w:r>
                      <w:r>
                        <w:rPr>
                          <w:rFonts w:ascii="黑体" w:eastAsia="黑体" w:hAnsi="Times New Roman" w:cs="Times New Roman"/>
                          <w:spacing w:val="10"/>
                        </w:rPr>
                        <w:t>XX</w:t>
                      </w:r>
                    </w:p>
                  </w:sdtContent>
                </w:sdt>
              </w:txbxContent>
            </v:textbox>
          </v:shape>
        </w:pict>
      </w:r>
    </w:p>
    <w:p w:rsidR="0007779F" w:rsidRDefault="0007779F">
      <w:pPr>
        <w:kinsoku/>
        <w:overflowPunct w:val="0"/>
        <w:spacing w:line="336" w:lineRule="auto"/>
        <w:rPr>
          <w:rFonts w:eastAsia="宋体"/>
          <w:spacing w:val="-1"/>
          <w:sz w:val="20"/>
          <w:szCs w:val="20"/>
          <w:lang w:eastAsia="zh-CN"/>
        </w:rPr>
      </w:pPr>
    </w:p>
    <w:p w:rsidR="0007779F" w:rsidRDefault="0007779F">
      <w:pPr>
        <w:kinsoku/>
        <w:overflowPunct w:val="0"/>
        <w:spacing w:line="336" w:lineRule="auto"/>
        <w:rPr>
          <w:rFonts w:eastAsia="宋体"/>
          <w:spacing w:val="-1"/>
          <w:sz w:val="20"/>
          <w:szCs w:val="20"/>
          <w:lang w:eastAsia="zh-CN"/>
        </w:rPr>
      </w:pPr>
    </w:p>
    <w:p w:rsidR="0007779F" w:rsidRDefault="0007779F">
      <w:pPr>
        <w:kinsoku/>
        <w:overflowPunct w:val="0"/>
        <w:spacing w:line="336" w:lineRule="auto"/>
      </w:pPr>
    </w:p>
    <w:p w:rsidR="0007779F" w:rsidRDefault="005C7E73">
      <w:pPr>
        <w:pStyle w:val="a7"/>
        <w:kinsoku/>
        <w:overflowPunct w:val="0"/>
        <w:spacing w:before="270" w:line="226" w:lineRule="auto"/>
        <w:ind w:left="1814"/>
        <w:rPr>
          <w:sz w:val="83"/>
          <w:szCs w:val="83"/>
          <w:lang w:eastAsia="zh-CN"/>
        </w:rPr>
      </w:pPr>
      <w:r>
        <w:rPr>
          <w:spacing w:val="-20"/>
          <w:sz w:val="83"/>
          <w:szCs w:val="83"/>
          <w:lang w:eastAsia="zh-CN"/>
        </w:rPr>
        <w:t>团</w:t>
      </w:r>
      <w:r w:rsidR="00996A76">
        <w:rPr>
          <w:rFonts w:hint="eastAsia"/>
          <w:spacing w:val="-20"/>
          <w:sz w:val="83"/>
          <w:szCs w:val="83"/>
          <w:lang w:eastAsia="zh-CN"/>
        </w:rPr>
        <w:t xml:space="preserve">   </w:t>
      </w:r>
      <w:r>
        <w:rPr>
          <w:spacing w:val="-20"/>
          <w:sz w:val="83"/>
          <w:szCs w:val="83"/>
          <w:lang w:eastAsia="zh-CN"/>
        </w:rPr>
        <w:t>体</w:t>
      </w:r>
      <w:r w:rsidR="00996A76">
        <w:rPr>
          <w:rFonts w:hint="eastAsia"/>
          <w:spacing w:val="-20"/>
          <w:sz w:val="83"/>
          <w:szCs w:val="83"/>
          <w:lang w:eastAsia="zh-CN"/>
        </w:rPr>
        <w:t xml:space="preserve">  </w:t>
      </w:r>
      <w:r>
        <w:rPr>
          <w:spacing w:val="-20"/>
          <w:sz w:val="83"/>
          <w:szCs w:val="83"/>
          <w:lang w:eastAsia="zh-CN"/>
        </w:rPr>
        <w:t>标</w:t>
      </w:r>
      <w:r>
        <w:rPr>
          <w:spacing w:val="-20"/>
          <w:sz w:val="83"/>
          <w:szCs w:val="83"/>
          <w:lang w:eastAsia="zh-CN"/>
        </w:rPr>
        <w:t xml:space="preserve">   </w:t>
      </w:r>
      <w:r>
        <w:rPr>
          <w:spacing w:val="-20"/>
          <w:sz w:val="83"/>
          <w:szCs w:val="83"/>
          <w:lang w:eastAsia="zh-CN"/>
        </w:rPr>
        <w:t>准</w:t>
      </w:r>
    </w:p>
    <w:p w:rsidR="0007779F" w:rsidRDefault="005C7E73">
      <w:pPr>
        <w:pStyle w:val="a7"/>
        <w:kinsoku/>
        <w:overflowPunct w:val="0"/>
        <w:spacing w:before="68" w:line="236" w:lineRule="auto"/>
        <w:ind w:left="7530"/>
        <w:rPr>
          <w:lang w:eastAsia="zh-CN"/>
        </w:rPr>
      </w:pPr>
      <w:r>
        <w:rPr>
          <w:spacing w:val="-1"/>
          <w:lang w:eastAsia="zh-CN"/>
        </w:rPr>
        <w:t>T/</w:t>
      </w:r>
      <w:r>
        <w:rPr>
          <w:rFonts w:hint="eastAsia"/>
          <w:spacing w:val="-1"/>
          <w:lang w:eastAsia="zh-CN"/>
        </w:rPr>
        <w:t xml:space="preserve"> XXXX XXX</w:t>
      </w:r>
      <w:r>
        <w:rPr>
          <w:rFonts w:hint="eastAsia"/>
          <w:spacing w:val="-1"/>
          <w:lang w:eastAsia="zh-CN"/>
        </w:rPr>
        <w:t>—</w:t>
      </w:r>
      <w:r>
        <w:rPr>
          <w:rFonts w:hint="eastAsia"/>
          <w:spacing w:val="-1"/>
          <w:lang w:eastAsia="zh-CN"/>
        </w:rPr>
        <w:t>2025</w:t>
      </w:r>
    </w:p>
    <w:p w:rsidR="0007779F" w:rsidRDefault="0007779F">
      <w:pPr>
        <w:kinsoku/>
        <w:overflowPunct w:val="0"/>
        <w:spacing w:line="259" w:lineRule="auto"/>
        <w:rPr>
          <w:lang w:eastAsia="zh-CN"/>
        </w:rPr>
      </w:pPr>
    </w:p>
    <w:p w:rsidR="0007779F" w:rsidRDefault="005C7E73">
      <w:pPr>
        <w:kinsoku/>
        <w:overflowPunct w:val="0"/>
        <w:spacing w:line="259" w:lineRule="auto"/>
        <w:rPr>
          <w:lang w:eastAsia="zh-CN"/>
        </w:rPr>
      </w:pPr>
      <w:r>
        <w:rPr>
          <w:noProof/>
          <w:lang w:eastAsia="zh-CN"/>
        </w:rPr>
        <w:drawing>
          <wp:anchor distT="0" distB="0" distL="0" distR="0" simplePos="0" relativeHeight="251659264" behindDoc="1" locked="0" layoutInCell="1" allowOverlap="1">
            <wp:simplePos x="0" y="0"/>
            <wp:positionH relativeFrom="column">
              <wp:posOffset>181610</wp:posOffset>
            </wp:positionH>
            <wp:positionV relativeFrom="paragraph">
              <wp:posOffset>159385</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cstate="print"/>
                    <a:stretch>
                      <a:fillRect/>
                    </a:stretch>
                  </pic:blipFill>
                  <pic:spPr>
                    <a:xfrm>
                      <a:off x="0" y="0"/>
                      <a:ext cx="6120129" cy="9525"/>
                    </a:xfrm>
                    <a:prstGeom prst="rect">
                      <a:avLst/>
                    </a:prstGeom>
                  </pic:spPr>
                </pic:pic>
              </a:graphicData>
            </a:graphic>
          </wp:anchor>
        </w:drawing>
      </w:r>
    </w:p>
    <w:p w:rsidR="0007779F" w:rsidRDefault="0007779F">
      <w:pPr>
        <w:kinsoku/>
        <w:overflowPunct w:val="0"/>
        <w:spacing w:line="259" w:lineRule="auto"/>
        <w:rPr>
          <w:lang w:eastAsia="zh-CN"/>
        </w:rPr>
      </w:pPr>
    </w:p>
    <w:p w:rsidR="0007779F" w:rsidRDefault="0007779F">
      <w:pPr>
        <w:kinsoku/>
        <w:overflowPunct w:val="0"/>
        <w:spacing w:line="260" w:lineRule="auto"/>
        <w:rPr>
          <w:lang w:eastAsia="zh-CN"/>
        </w:rPr>
      </w:pPr>
    </w:p>
    <w:p w:rsidR="0007779F" w:rsidRDefault="0007779F">
      <w:pPr>
        <w:kinsoku/>
        <w:overflowPunct w:val="0"/>
        <w:spacing w:line="260" w:lineRule="auto"/>
        <w:rPr>
          <w:lang w:eastAsia="zh-CN"/>
        </w:rPr>
      </w:pPr>
    </w:p>
    <w:p w:rsidR="0007779F" w:rsidRDefault="0007779F">
      <w:pPr>
        <w:kinsoku/>
        <w:overflowPunct w:val="0"/>
        <w:spacing w:line="260" w:lineRule="auto"/>
        <w:rPr>
          <w:lang w:eastAsia="zh-CN"/>
        </w:rPr>
      </w:pPr>
    </w:p>
    <w:p w:rsidR="0007779F" w:rsidRDefault="0007779F">
      <w:pPr>
        <w:kinsoku/>
        <w:overflowPunct w:val="0"/>
        <w:spacing w:line="260" w:lineRule="auto"/>
        <w:rPr>
          <w:lang w:eastAsia="zh-CN"/>
        </w:rPr>
      </w:pPr>
    </w:p>
    <w:p w:rsidR="0007779F" w:rsidRDefault="0007779F">
      <w:pPr>
        <w:kinsoku/>
        <w:overflowPunct w:val="0"/>
        <w:spacing w:line="260" w:lineRule="auto"/>
        <w:rPr>
          <w:lang w:eastAsia="zh-CN"/>
        </w:rPr>
      </w:pPr>
    </w:p>
    <w:p w:rsidR="0007779F" w:rsidRDefault="0007779F">
      <w:pPr>
        <w:kinsoku/>
        <w:overflowPunct w:val="0"/>
        <w:spacing w:line="260" w:lineRule="auto"/>
        <w:rPr>
          <w:lang w:eastAsia="zh-CN"/>
        </w:rPr>
      </w:pPr>
    </w:p>
    <w:p w:rsidR="0007779F" w:rsidRDefault="005C7E73">
      <w:pPr>
        <w:pStyle w:val="a7"/>
        <w:kinsoku/>
        <w:overflowPunct w:val="0"/>
        <w:spacing w:before="169" w:line="221" w:lineRule="auto"/>
        <w:jc w:val="center"/>
        <w:rPr>
          <w:spacing w:val="-1"/>
          <w:sz w:val="52"/>
          <w:szCs w:val="52"/>
          <w:lang w:eastAsia="zh-CN"/>
        </w:rPr>
      </w:pPr>
      <w:r>
        <w:rPr>
          <w:rFonts w:hint="eastAsia"/>
          <w:spacing w:val="-1"/>
          <w:sz w:val="52"/>
          <w:szCs w:val="52"/>
          <w:lang w:eastAsia="zh-CN"/>
        </w:rPr>
        <w:t>温室气体</w:t>
      </w:r>
      <w:r>
        <w:rPr>
          <w:rFonts w:hint="eastAsia"/>
          <w:spacing w:val="-1"/>
          <w:sz w:val="52"/>
          <w:szCs w:val="52"/>
          <w:lang w:eastAsia="zh-CN"/>
        </w:rPr>
        <w:t xml:space="preserve"> </w:t>
      </w:r>
      <w:r>
        <w:rPr>
          <w:rFonts w:hint="eastAsia"/>
          <w:spacing w:val="-1"/>
          <w:sz w:val="52"/>
          <w:szCs w:val="52"/>
          <w:lang w:eastAsia="zh-CN"/>
        </w:rPr>
        <w:t>产品碳足迹量化方法与要求</w:t>
      </w:r>
    </w:p>
    <w:p w:rsidR="0007779F" w:rsidRDefault="005C7E73">
      <w:pPr>
        <w:pStyle w:val="a7"/>
        <w:kinsoku/>
        <w:overflowPunct w:val="0"/>
        <w:spacing w:before="169" w:line="221" w:lineRule="auto"/>
        <w:jc w:val="center"/>
        <w:rPr>
          <w:sz w:val="52"/>
          <w:szCs w:val="52"/>
          <w:lang w:eastAsia="zh-CN"/>
        </w:rPr>
      </w:pPr>
      <w:r>
        <w:rPr>
          <w:rFonts w:hint="eastAsia"/>
          <w:spacing w:val="-1"/>
          <w:sz w:val="52"/>
          <w:szCs w:val="52"/>
          <w:lang w:eastAsia="zh-CN"/>
        </w:rPr>
        <w:t>碳酸钾</w:t>
      </w:r>
    </w:p>
    <w:p w:rsidR="0007779F" w:rsidRDefault="0007779F">
      <w:pPr>
        <w:kinsoku/>
        <w:overflowPunct w:val="0"/>
        <w:spacing w:line="246" w:lineRule="auto"/>
        <w:rPr>
          <w:lang w:eastAsia="zh-CN"/>
        </w:rPr>
      </w:pPr>
    </w:p>
    <w:p w:rsidR="0007779F" w:rsidRDefault="0007779F">
      <w:pPr>
        <w:kinsoku/>
        <w:overflowPunct w:val="0"/>
        <w:spacing w:line="247" w:lineRule="auto"/>
        <w:rPr>
          <w:lang w:eastAsia="zh-CN"/>
        </w:rPr>
      </w:pPr>
    </w:p>
    <w:p w:rsidR="0007779F" w:rsidRDefault="005C7E73">
      <w:pPr>
        <w:pStyle w:val="a7"/>
        <w:kinsoku/>
        <w:overflowPunct w:val="0"/>
        <w:spacing w:before="91"/>
        <w:jc w:val="center"/>
        <w:rPr>
          <w:rFonts w:ascii="Times New Roman" w:hAnsi="Times New Roman" w:cs="Times New Roman"/>
          <w:spacing w:val="-3"/>
          <w:lang w:eastAsia="zh-CN"/>
        </w:rPr>
      </w:pPr>
      <w:r>
        <w:rPr>
          <w:rFonts w:ascii="Times New Roman" w:hAnsi="Times New Roman" w:cs="Times New Roman"/>
          <w:spacing w:val="-2"/>
        </w:rPr>
        <w:t>Greenhouse gases -Quantitative methods and requirements for carbon footprint of products–</w:t>
      </w:r>
      <w:r>
        <w:rPr>
          <w:rFonts w:ascii="Times New Roman" w:hAnsi="Times New Roman" w:cs="Times New Roman"/>
          <w:spacing w:val="-3"/>
          <w:lang w:eastAsia="zh-CN"/>
        </w:rPr>
        <w:t>Potassium carbonate</w:t>
      </w:r>
    </w:p>
    <w:p w:rsidR="0007779F" w:rsidRDefault="005C7E73">
      <w:pPr>
        <w:pStyle w:val="a7"/>
        <w:kinsoku/>
        <w:overflowPunct w:val="0"/>
        <w:spacing w:before="91"/>
        <w:jc w:val="center"/>
        <w:rPr>
          <w:rFonts w:ascii="Times New Roman" w:hAnsi="Times New Roman" w:cs="Times New Roman"/>
          <w:spacing w:val="-3"/>
        </w:rPr>
      </w:pPr>
      <w:r>
        <w:rPr>
          <w:rFonts w:ascii="Times New Roman" w:hAnsi="Times New Roman" w:cs="Times New Roman" w:hint="eastAsia"/>
          <w:spacing w:val="-3"/>
          <w:lang w:eastAsia="zh-CN"/>
        </w:rPr>
        <w:t>（征求意见稿）</w:t>
      </w:r>
    </w:p>
    <w:p w:rsidR="0007779F" w:rsidRDefault="0007779F">
      <w:pPr>
        <w:pStyle w:val="a7"/>
        <w:kinsoku/>
        <w:overflowPunct w:val="0"/>
        <w:spacing w:before="91"/>
        <w:jc w:val="center"/>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2" w:lineRule="auto"/>
      </w:pPr>
    </w:p>
    <w:p w:rsidR="0007779F" w:rsidRDefault="0007779F">
      <w:pPr>
        <w:kinsoku/>
        <w:overflowPunct w:val="0"/>
        <w:spacing w:line="243" w:lineRule="auto"/>
      </w:pPr>
    </w:p>
    <w:p w:rsidR="0007779F" w:rsidRDefault="0007779F">
      <w:pPr>
        <w:kinsoku/>
        <w:overflowPunct w:val="0"/>
        <w:spacing w:line="243" w:lineRule="auto"/>
      </w:pPr>
    </w:p>
    <w:p w:rsidR="0007779F" w:rsidRDefault="0007779F">
      <w:pPr>
        <w:kinsoku/>
        <w:overflowPunct w:val="0"/>
        <w:spacing w:line="243" w:lineRule="auto"/>
      </w:pPr>
    </w:p>
    <w:p w:rsidR="0007779F" w:rsidRDefault="0007779F">
      <w:pPr>
        <w:kinsoku/>
        <w:overflowPunct w:val="0"/>
        <w:spacing w:line="243" w:lineRule="auto"/>
      </w:pPr>
    </w:p>
    <w:p w:rsidR="0007779F" w:rsidRDefault="005C7E73">
      <w:pPr>
        <w:pStyle w:val="a7"/>
        <w:kinsoku/>
        <w:overflowPunct w:val="0"/>
        <w:spacing w:before="91" w:line="229" w:lineRule="auto"/>
        <w:ind w:left="317"/>
      </w:pPr>
      <w:r>
        <w:rPr>
          <w:noProof/>
          <w:lang w:eastAsia="zh-CN"/>
        </w:rPr>
        <w:drawing>
          <wp:anchor distT="0" distB="0" distL="0" distR="0" simplePos="0" relativeHeight="251660288" behindDoc="0" locked="0" layoutInCell="1" allowOverlap="1">
            <wp:simplePos x="0" y="0"/>
            <wp:positionH relativeFrom="column">
              <wp:posOffset>194945</wp:posOffset>
            </wp:positionH>
            <wp:positionV relativeFrom="paragraph">
              <wp:posOffset>252095</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cstate="print"/>
                    <a:stretch>
                      <a:fillRect/>
                    </a:stretch>
                  </pic:blipFill>
                  <pic:spPr>
                    <a:xfrm>
                      <a:off x="0" y="0"/>
                      <a:ext cx="6120129" cy="9525"/>
                    </a:xfrm>
                    <a:prstGeom prst="rect">
                      <a:avLst/>
                    </a:prstGeom>
                  </pic:spPr>
                </pic:pic>
              </a:graphicData>
            </a:graphic>
          </wp:anchor>
        </w:drawing>
      </w:r>
      <w:r>
        <w:rPr>
          <w:spacing w:val="-1"/>
        </w:rPr>
        <w:t>202</w:t>
      </w:r>
      <w:r>
        <w:rPr>
          <w:rFonts w:hint="eastAsia"/>
          <w:spacing w:val="-1"/>
          <w:lang w:eastAsia="zh-CN"/>
        </w:rPr>
        <w:t>5-XX-XX</w:t>
      </w:r>
      <w:r>
        <w:rPr>
          <w:spacing w:val="-1"/>
        </w:rPr>
        <w:t>发布</w:t>
      </w:r>
      <w:r>
        <w:rPr>
          <w:spacing w:val="-1"/>
        </w:rPr>
        <w:t xml:space="preserve">                    </w:t>
      </w:r>
      <w:r>
        <w:rPr>
          <w:spacing w:val="-1"/>
        </w:rPr>
        <w:t xml:space="preserve">                  202</w:t>
      </w:r>
      <w:r>
        <w:rPr>
          <w:rFonts w:hint="eastAsia"/>
          <w:spacing w:val="-1"/>
          <w:lang w:eastAsia="zh-CN"/>
        </w:rPr>
        <w:t>5-XX-XX</w:t>
      </w:r>
      <w:r>
        <w:rPr>
          <w:spacing w:val="-1"/>
        </w:rPr>
        <w:t>实施</w:t>
      </w:r>
    </w:p>
    <w:p w:rsidR="0007779F" w:rsidRDefault="0007779F">
      <w:pPr>
        <w:kinsoku/>
        <w:overflowPunct w:val="0"/>
        <w:spacing w:line="332" w:lineRule="auto"/>
      </w:pPr>
    </w:p>
    <w:p w:rsidR="0007779F" w:rsidRDefault="0007779F">
      <w:pPr>
        <w:kinsoku/>
        <w:overflowPunct w:val="0"/>
        <w:spacing w:line="333" w:lineRule="auto"/>
      </w:pPr>
    </w:p>
    <w:p w:rsidR="0007779F" w:rsidRDefault="005C7E73">
      <w:pPr>
        <w:pStyle w:val="a7"/>
        <w:kinsoku/>
        <w:overflowPunct w:val="0"/>
        <w:spacing w:before="91" w:line="222" w:lineRule="auto"/>
        <w:ind w:left="2593"/>
        <w:rPr>
          <w:lang w:eastAsia="zh-CN"/>
        </w:rPr>
      </w:pPr>
      <w:r>
        <w:rPr>
          <w:rFonts w:hint="eastAsia"/>
          <w:spacing w:val="39"/>
          <w:w w:val="125"/>
          <w:lang w:eastAsia="zh-CN"/>
        </w:rPr>
        <w:t>江苏省标准化</w:t>
      </w:r>
      <w:r>
        <w:rPr>
          <w:spacing w:val="39"/>
          <w:w w:val="125"/>
          <w:lang w:eastAsia="zh-CN"/>
        </w:rPr>
        <w:t>协会发布</w:t>
      </w:r>
    </w:p>
    <w:p w:rsidR="0007779F" w:rsidRDefault="0007779F">
      <w:pPr>
        <w:kinsoku/>
        <w:overflowPunct w:val="0"/>
        <w:spacing w:line="222" w:lineRule="auto"/>
        <w:rPr>
          <w:lang w:eastAsia="zh-CN"/>
        </w:rPr>
        <w:sectPr w:rsidR="0007779F">
          <w:headerReference w:type="default" r:id="rId9"/>
          <w:pgSz w:w="11906" w:h="16839"/>
          <w:pgMar w:top="400" w:right="852" w:bottom="0" w:left="1025" w:header="0" w:footer="0" w:gutter="0"/>
          <w:cols w:space="720"/>
        </w:sectPr>
      </w:pPr>
    </w:p>
    <w:p w:rsidR="0007779F" w:rsidRDefault="0007779F">
      <w:pPr>
        <w:kinsoku/>
        <w:overflowPunct w:val="0"/>
        <w:spacing w:line="264" w:lineRule="auto"/>
        <w:rPr>
          <w:lang w:eastAsia="zh-CN"/>
        </w:rPr>
      </w:pPr>
    </w:p>
    <w:p w:rsidR="0007779F" w:rsidRDefault="005C7E73">
      <w:pPr>
        <w:pStyle w:val="a7"/>
        <w:kinsoku/>
        <w:overflowPunct w:val="0"/>
        <w:spacing w:before="101" w:line="228" w:lineRule="auto"/>
        <w:jc w:val="center"/>
        <w:rPr>
          <w:sz w:val="31"/>
          <w:szCs w:val="31"/>
          <w:lang w:eastAsia="zh-CN"/>
        </w:rPr>
      </w:pPr>
      <w:r>
        <w:rPr>
          <w:spacing w:val="-22"/>
          <w:sz w:val="31"/>
          <w:szCs w:val="31"/>
          <w:lang w:eastAsia="zh-CN"/>
        </w:rPr>
        <w:t>目次</w:t>
      </w:r>
    </w:p>
    <w:p w:rsidR="0007779F" w:rsidRDefault="0007779F">
      <w:pPr>
        <w:kinsoku/>
        <w:overflowPunct w:val="0"/>
        <w:spacing w:line="316" w:lineRule="auto"/>
        <w:rPr>
          <w:lang w:eastAsia="zh-CN"/>
        </w:rPr>
      </w:pPr>
    </w:p>
    <w:p w:rsidR="0007779F" w:rsidRDefault="0007779F">
      <w:pPr>
        <w:kinsoku/>
        <w:overflowPunct w:val="0"/>
        <w:spacing w:line="316" w:lineRule="auto"/>
        <w:rPr>
          <w:lang w:eastAsia="zh-CN"/>
        </w:rPr>
      </w:pPr>
    </w:p>
    <w:sdt>
      <w:sdtPr>
        <w:rPr>
          <w:rFonts w:ascii="宋体" w:eastAsia="宋体" w:hAnsi="宋体"/>
        </w:rPr>
        <w:id w:val="147476254"/>
        <w:docPartObj>
          <w:docPartGallery w:val="Table of Contents"/>
          <w:docPartUnique/>
        </w:docPartObj>
      </w:sdtPr>
      <w:sdtEndPr>
        <w:rPr>
          <w:rFonts w:cs="宋体"/>
          <w:szCs w:val="20"/>
        </w:rPr>
      </w:sdtEndPr>
      <w:sdtContent>
        <w:p w:rsidR="0007779F" w:rsidRDefault="0007779F">
          <w:pPr>
            <w:kinsoku/>
            <w:overflowPunct w:val="0"/>
            <w:jc w:val="center"/>
          </w:pPr>
        </w:p>
        <w:p w:rsidR="0007779F" w:rsidRDefault="0007779F">
          <w:pPr>
            <w:pStyle w:val="1"/>
            <w:tabs>
              <w:tab w:val="right" w:leader="dot" w:pos="9073"/>
            </w:tabs>
            <w:rPr>
              <w:rFonts w:ascii="宋体" w:eastAsia="宋体" w:hAnsi="宋体" w:cs="宋体"/>
            </w:rPr>
          </w:pPr>
          <w:r w:rsidRPr="0007779F">
            <w:rPr>
              <w:rFonts w:ascii="宋体" w:eastAsia="宋体" w:hAnsi="宋体" w:cs="宋体"/>
              <w:sz w:val="20"/>
              <w:szCs w:val="20"/>
            </w:rPr>
            <w:fldChar w:fldCharType="begin"/>
          </w:r>
          <w:r w:rsidR="005C7E73">
            <w:rPr>
              <w:rFonts w:ascii="宋体" w:eastAsia="宋体" w:hAnsi="宋体" w:cs="宋体"/>
              <w:sz w:val="20"/>
              <w:szCs w:val="20"/>
            </w:rPr>
            <w:instrText xml:space="preserve">TOC \o "1-3" \h \u </w:instrText>
          </w:r>
          <w:r w:rsidRPr="0007779F">
            <w:rPr>
              <w:rFonts w:ascii="宋体" w:eastAsia="宋体" w:hAnsi="宋体" w:cs="宋体"/>
              <w:sz w:val="20"/>
              <w:szCs w:val="20"/>
            </w:rPr>
            <w:fldChar w:fldCharType="separate"/>
          </w:r>
          <w:hyperlink w:anchor="_Toc5588" w:history="1">
            <w:r w:rsidR="005C7E73">
              <w:rPr>
                <w:rFonts w:ascii="宋体" w:eastAsia="宋体" w:hAnsi="宋体" w:cs="宋体" w:hint="eastAsia"/>
                <w:spacing w:val="-2"/>
                <w:szCs w:val="31"/>
              </w:rPr>
              <w:t>前言</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_Toc5588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2</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20751" w:history="1">
            <w:r w:rsidR="005C7E73">
              <w:rPr>
                <w:rFonts w:ascii="宋体" w:eastAsia="宋体" w:hAnsi="宋体" w:cs="宋体" w:hint="eastAsia"/>
                <w:spacing w:val="-3"/>
                <w:szCs w:val="20"/>
              </w:rPr>
              <w:t>1</w:t>
            </w:r>
            <w:r w:rsidR="005C7E73">
              <w:rPr>
                <w:rFonts w:ascii="宋体" w:eastAsia="宋体" w:hAnsi="宋体" w:cs="宋体" w:hint="eastAsia"/>
                <w:spacing w:val="-3"/>
                <w:szCs w:val="20"/>
              </w:rPr>
              <w:t>范围</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_Toc20751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27237" w:history="1">
            <w:r w:rsidR="005C7E73">
              <w:rPr>
                <w:rFonts w:ascii="宋体" w:eastAsia="宋体" w:hAnsi="宋体" w:cs="宋体" w:hint="eastAsia"/>
                <w:spacing w:val="8"/>
                <w:szCs w:val="20"/>
              </w:rPr>
              <w:t xml:space="preserve">2 </w:t>
            </w:r>
            <w:r w:rsidR="005C7E73">
              <w:rPr>
                <w:rFonts w:ascii="宋体" w:eastAsia="宋体" w:hAnsi="宋体" w:cs="宋体" w:hint="eastAsia"/>
                <w:spacing w:val="8"/>
                <w:szCs w:val="20"/>
              </w:rPr>
              <w:t>规范性引用文件</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_Toc27237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3777" w:history="1">
            <w:r w:rsidR="005C7E73">
              <w:rPr>
                <w:rFonts w:ascii="宋体" w:eastAsia="宋体" w:hAnsi="宋体" w:cs="宋体" w:hint="eastAsia"/>
                <w:spacing w:val="7"/>
                <w:szCs w:val="20"/>
              </w:rPr>
              <w:t xml:space="preserve">3 </w:t>
            </w:r>
            <w:r w:rsidR="005C7E73">
              <w:rPr>
                <w:rFonts w:ascii="宋体" w:eastAsia="宋体" w:hAnsi="宋体" w:cs="宋体" w:hint="eastAsia"/>
                <w:spacing w:val="7"/>
                <w:szCs w:val="20"/>
              </w:rPr>
              <w:t>术语和定义</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_Toc3777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7231" w:history="1">
            <w:r w:rsidR="005C7E73">
              <w:rPr>
                <w:rFonts w:ascii="宋体" w:eastAsia="宋体" w:hAnsi="宋体" w:cs="宋体" w:hint="eastAsia"/>
                <w:lang w:eastAsia="zh-CN"/>
              </w:rPr>
              <w:t>3.1</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_Toc7231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4830" w:history="1">
            <w:r w:rsidR="005C7E73">
              <w:rPr>
                <w:rFonts w:ascii="宋体" w:eastAsia="宋体" w:hAnsi="宋体" w:cs="宋体" w:hint="eastAsia"/>
                <w:lang w:eastAsia="zh-CN"/>
              </w:rPr>
              <w:t>3.2</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_Toc24830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9769" w:history="1">
            <w:r w:rsidR="005C7E73">
              <w:rPr>
                <w:rFonts w:ascii="宋体" w:eastAsia="宋体" w:hAnsi="宋体" w:cs="宋体" w:hint="eastAsia"/>
                <w:lang w:eastAsia="zh-CN"/>
              </w:rPr>
              <w:t>3.3</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_Toc29769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3110" w:history="1">
            <w:r w:rsidR="005C7E73">
              <w:rPr>
                <w:rFonts w:ascii="宋体" w:eastAsia="宋体" w:hAnsi="宋体" w:cs="宋体" w:hint="eastAsia"/>
                <w:lang w:eastAsia="zh-CN"/>
              </w:rPr>
              <w:t>3.4</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_Toc23110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3</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15208" w:history="1">
            <w:r w:rsidR="005C7E73">
              <w:rPr>
                <w:rFonts w:ascii="宋体" w:eastAsia="宋体" w:hAnsi="宋体" w:cs="宋体" w:hint="eastAsia"/>
                <w:spacing w:val="6"/>
                <w:szCs w:val="20"/>
              </w:rPr>
              <w:t xml:space="preserve">4 </w:t>
            </w:r>
            <w:r w:rsidR="005C7E73">
              <w:rPr>
                <w:rFonts w:ascii="宋体" w:eastAsia="宋体" w:hAnsi="宋体" w:cs="宋体" w:hint="eastAsia"/>
                <w:spacing w:val="6"/>
                <w:szCs w:val="20"/>
                <w:lang w:eastAsia="zh-CN"/>
              </w:rPr>
              <w:t>量化目的</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_Toc15208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4</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18086" w:history="1">
            <w:r w:rsidR="005C7E73">
              <w:rPr>
                <w:rFonts w:ascii="宋体" w:eastAsia="宋体" w:hAnsi="宋体" w:cs="宋体" w:hint="eastAsia"/>
                <w:spacing w:val="6"/>
                <w:szCs w:val="20"/>
                <w:lang w:eastAsia="zh-CN"/>
              </w:rPr>
              <w:t xml:space="preserve">5 </w:t>
            </w:r>
            <w:r w:rsidR="005C7E73">
              <w:rPr>
                <w:rFonts w:ascii="宋体" w:eastAsia="宋体" w:hAnsi="宋体" w:cs="宋体" w:hint="eastAsia"/>
                <w:spacing w:val="6"/>
                <w:szCs w:val="20"/>
                <w:lang w:eastAsia="zh-CN"/>
              </w:rPr>
              <w:t>量化范围</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_Toc18086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4</w:t>
            </w:r>
            <w:r>
              <w:rPr>
                <w:rFonts w:ascii="宋体" w:eastAsia="宋体" w:hAnsi="宋体" w:cs="宋体" w:hint="eastAsia"/>
              </w:rPr>
              <w:fldChar w:fldCharType="end"/>
            </w:r>
          </w:hyperlink>
        </w:p>
        <w:p w:rsidR="0007779F" w:rsidRDefault="0007779F">
          <w:pPr>
            <w:pStyle w:val="3"/>
            <w:tabs>
              <w:tab w:val="right" w:leader="dot" w:pos="9073"/>
            </w:tabs>
            <w:rPr>
              <w:rFonts w:ascii="宋体" w:eastAsia="宋体" w:hAnsi="宋体" w:cs="宋体"/>
            </w:rPr>
          </w:pPr>
          <w:hyperlink w:anchor="_Toc8493" w:history="1">
            <w:r w:rsidR="005C7E73">
              <w:rPr>
                <w:rFonts w:ascii="宋体" w:eastAsia="宋体" w:hAnsi="宋体" w:cs="宋体" w:hint="eastAsia"/>
                <w:spacing w:val="6"/>
                <w:szCs w:val="20"/>
                <w:lang w:eastAsia="zh-CN"/>
              </w:rPr>
              <w:t xml:space="preserve">5.1 </w:t>
            </w:r>
            <w:r w:rsidR="005C7E73">
              <w:rPr>
                <w:rFonts w:ascii="宋体" w:eastAsia="宋体" w:hAnsi="宋体" w:cs="宋体" w:hint="eastAsia"/>
                <w:spacing w:val="6"/>
                <w:szCs w:val="20"/>
                <w:lang w:eastAsia="zh-CN"/>
              </w:rPr>
              <w:t>产品描述</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_Toc8493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4</w:t>
            </w:r>
            <w:r>
              <w:rPr>
                <w:rFonts w:ascii="宋体" w:eastAsia="宋体" w:hAnsi="宋体" w:cs="宋体" w:hint="eastAsia"/>
              </w:rPr>
              <w:fldChar w:fldCharType="end"/>
            </w:r>
          </w:hyperlink>
        </w:p>
        <w:p w:rsidR="0007779F" w:rsidRDefault="0007779F">
          <w:pPr>
            <w:pStyle w:val="3"/>
            <w:tabs>
              <w:tab w:val="right" w:leader="dot" w:pos="9073"/>
            </w:tabs>
            <w:rPr>
              <w:rFonts w:ascii="宋体" w:eastAsia="宋体" w:hAnsi="宋体" w:cs="宋体"/>
            </w:rPr>
          </w:pPr>
          <w:hyperlink w:anchor="_Toc17470" w:history="1">
            <w:r w:rsidR="005C7E73">
              <w:rPr>
                <w:rFonts w:ascii="宋体" w:eastAsia="宋体" w:hAnsi="宋体" w:cs="宋体" w:hint="eastAsia"/>
                <w:spacing w:val="6"/>
                <w:szCs w:val="20"/>
                <w:lang w:eastAsia="zh-CN"/>
              </w:rPr>
              <w:t>5.2</w:t>
            </w:r>
            <w:r w:rsidR="005C7E73">
              <w:rPr>
                <w:rFonts w:ascii="宋体" w:eastAsia="宋体" w:hAnsi="宋体" w:cs="宋体" w:hint="eastAsia"/>
                <w:spacing w:val="6"/>
                <w:szCs w:val="20"/>
                <w:lang w:eastAsia="zh-CN"/>
              </w:rPr>
              <w:t>声明</w:t>
            </w:r>
            <w:r w:rsidR="005C7E73">
              <w:rPr>
                <w:rFonts w:ascii="宋体" w:eastAsia="宋体" w:hAnsi="宋体" w:cs="宋体" w:hint="eastAsia"/>
                <w:spacing w:val="6"/>
                <w:szCs w:val="20"/>
              </w:rPr>
              <w:t>单位</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_Toc17470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4</w:t>
            </w:r>
            <w:r>
              <w:rPr>
                <w:rFonts w:ascii="宋体" w:eastAsia="宋体" w:hAnsi="宋体" w:cs="宋体" w:hint="eastAsia"/>
              </w:rPr>
              <w:fldChar w:fldCharType="end"/>
            </w:r>
          </w:hyperlink>
        </w:p>
        <w:p w:rsidR="0007779F" w:rsidRDefault="0007779F">
          <w:pPr>
            <w:pStyle w:val="3"/>
            <w:tabs>
              <w:tab w:val="right" w:leader="dot" w:pos="9073"/>
            </w:tabs>
            <w:rPr>
              <w:rFonts w:ascii="宋体" w:eastAsia="宋体" w:hAnsi="宋体" w:cs="宋体"/>
            </w:rPr>
          </w:pPr>
          <w:hyperlink w:anchor="_Toc3272" w:history="1">
            <w:r w:rsidR="005C7E73">
              <w:rPr>
                <w:rFonts w:ascii="宋体" w:eastAsia="宋体" w:hAnsi="宋体" w:cs="宋体" w:hint="eastAsia"/>
                <w:spacing w:val="5"/>
                <w:szCs w:val="20"/>
                <w:lang w:eastAsia="zh-CN"/>
              </w:rPr>
              <w:t>5.3</w:t>
            </w:r>
            <w:r w:rsidR="005C7E73">
              <w:rPr>
                <w:rFonts w:ascii="宋体" w:eastAsia="宋体" w:hAnsi="宋体" w:cs="宋体" w:hint="eastAsia"/>
                <w:spacing w:val="5"/>
                <w:szCs w:val="20"/>
              </w:rPr>
              <w:t>系统边界</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_Toc3272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4</w:t>
            </w:r>
            <w:r>
              <w:rPr>
                <w:rFonts w:ascii="宋体" w:eastAsia="宋体" w:hAnsi="宋体" w:cs="宋体" w:hint="eastAsia"/>
              </w:rPr>
              <w:fldChar w:fldCharType="end"/>
            </w:r>
          </w:hyperlink>
        </w:p>
        <w:p w:rsidR="0007779F" w:rsidRDefault="0007779F">
          <w:pPr>
            <w:pStyle w:val="3"/>
            <w:tabs>
              <w:tab w:val="right" w:leader="dot" w:pos="9073"/>
            </w:tabs>
            <w:rPr>
              <w:rFonts w:ascii="宋体" w:eastAsia="宋体" w:hAnsi="宋体" w:cs="宋体"/>
            </w:rPr>
          </w:pPr>
          <w:hyperlink w:anchor="_Toc232" w:history="1">
            <w:r w:rsidR="005C7E73">
              <w:rPr>
                <w:rFonts w:ascii="宋体" w:eastAsia="宋体" w:hAnsi="宋体" w:cs="宋体" w:hint="eastAsia"/>
                <w:spacing w:val="5"/>
                <w:szCs w:val="20"/>
                <w:lang w:eastAsia="zh-CN"/>
              </w:rPr>
              <w:t xml:space="preserve">5.3.3 </w:t>
            </w:r>
            <w:r w:rsidR="005C7E73">
              <w:rPr>
                <w:rFonts w:ascii="宋体" w:eastAsia="宋体" w:hAnsi="宋体" w:cs="宋体" w:hint="eastAsia"/>
                <w:spacing w:val="5"/>
                <w:szCs w:val="20"/>
              </w:rPr>
              <w:t>取舍准则</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_Toc232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5</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21123" w:history="1">
            <w:r w:rsidR="005C7E73">
              <w:rPr>
                <w:rFonts w:ascii="宋体" w:eastAsia="宋体" w:hAnsi="宋体" w:cs="宋体" w:hint="eastAsia"/>
                <w:spacing w:val="7"/>
                <w:szCs w:val="20"/>
                <w:lang w:eastAsia="zh-CN"/>
              </w:rPr>
              <w:t xml:space="preserve">6 </w:t>
            </w:r>
            <w:r w:rsidR="005C7E73">
              <w:rPr>
                <w:rFonts w:ascii="宋体" w:eastAsia="宋体" w:hAnsi="宋体" w:cs="宋体" w:hint="eastAsia"/>
                <w:spacing w:val="7"/>
                <w:szCs w:val="20"/>
                <w:lang w:eastAsia="zh-CN"/>
              </w:rPr>
              <w:t>数据和数据质量</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_Toc21123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5</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0014" w:history="1">
            <w:r w:rsidR="005C7E73">
              <w:rPr>
                <w:rFonts w:ascii="宋体" w:eastAsia="宋体" w:hAnsi="宋体" w:cs="宋体" w:hint="eastAsia"/>
                <w:spacing w:val="6"/>
                <w:szCs w:val="20"/>
                <w:lang w:eastAsia="zh-CN"/>
              </w:rPr>
              <w:t xml:space="preserve">6.1 </w:t>
            </w:r>
            <w:r w:rsidR="005C7E73">
              <w:rPr>
                <w:rFonts w:ascii="宋体" w:eastAsia="宋体" w:hAnsi="宋体" w:cs="宋体" w:hint="eastAsia"/>
                <w:spacing w:val="6"/>
                <w:szCs w:val="20"/>
                <w:lang w:eastAsia="zh-CN"/>
              </w:rPr>
              <w:t>数据描述</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_Toc20014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5</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3144" w:history="1">
            <w:r w:rsidR="005C7E73">
              <w:rPr>
                <w:rFonts w:ascii="宋体" w:eastAsia="宋体" w:hAnsi="宋体" w:cs="宋体" w:hint="eastAsia"/>
                <w:spacing w:val="11"/>
                <w:position w:val="1"/>
                <w:szCs w:val="19"/>
              </w:rPr>
              <w:t>6.2</w:t>
            </w:r>
            <w:r w:rsidR="005C7E73">
              <w:rPr>
                <w:rFonts w:ascii="宋体" w:eastAsia="宋体" w:hAnsi="宋体" w:cs="宋体" w:hint="eastAsia"/>
                <w:spacing w:val="11"/>
                <w:position w:val="1"/>
                <w:szCs w:val="19"/>
              </w:rPr>
              <w:t>数据质量要求</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_Toc23144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5</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1528" w:history="1">
            <w:r w:rsidR="005C7E73">
              <w:rPr>
                <w:rFonts w:ascii="宋体" w:eastAsia="宋体" w:hAnsi="宋体" w:cs="宋体" w:hint="eastAsia"/>
                <w:spacing w:val="11"/>
                <w:position w:val="1"/>
                <w:szCs w:val="19"/>
              </w:rPr>
              <w:t>6.3</w:t>
            </w:r>
            <w:r w:rsidR="005C7E73">
              <w:rPr>
                <w:rFonts w:ascii="宋体" w:eastAsia="宋体" w:hAnsi="宋体" w:cs="宋体" w:hint="eastAsia"/>
                <w:spacing w:val="11"/>
                <w:position w:val="1"/>
                <w:szCs w:val="19"/>
              </w:rPr>
              <w:t>数据质量评价</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_Toc1528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6</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26809" w:history="1">
            <w:r w:rsidR="005C7E73">
              <w:rPr>
                <w:rFonts w:ascii="宋体" w:eastAsia="宋体" w:hAnsi="宋体" w:cs="宋体" w:hint="eastAsia"/>
                <w:spacing w:val="7"/>
                <w:szCs w:val="20"/>
                <w:lang w:eastAsia="zh-CN"/>
              </w:rPr>
              <w:t>7</w:t>
            </w:r>
            <w:r w:rsidR="005C7E73">
              <w:rPr>
                <w:rFonts w:ascii="宋体" w:eastAsia="宋体" w:hAnsi="宋体" w:cs="宋体" w:hint="eastAsia"/>
                <w:spacing w:val="7"/>
                <w:szCs w:val="20"/>
                <w:lang w:eastAsia="zh-CN"/>
              </w:rPr>
              <w:t>清单分析</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_Toc26809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6</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19862" w:history="1">
            <w:r w:rsidR="005C7E73">
              <w:rPr>
                <w:rFonts w:ascii="宋体" w:eastAsia="宋体" w:hAnsi="宋体" w:cs="宋体" w:hint="eastAsia"/>
                <w:spacing w:val="9"/>
                <w:position w:val="1"/>
              </w:rPr>
              <w:t>7.1</w:t>
            </w:r>
            <w:r w:rsidR="005C7E73">
              <w:rPr>
                <w:rFonts w:ascii="宋体" w:eastAsia="宋体" w:hAnsi="宋体" w:cs="宋体" w:hint="eastAsia"/>
                <w:spacing w:val="9"/>
                <w:position w:val="1"/>
              </w:rPr>
              <w:t>数据收集</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_Toc19862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6</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32597" w:history="1">
            <w:r w:rsidR="005C7E73">
              <w:rPr>
                <w:rFonts w:ascii="宋体" w:eastAsia="宋体" w:hAnsi="宋体" w:cs="宋体" w:hint="eastAsia"/>
                <w:spacing w:val="9"/>
                <w:position w:val="1"/>
              </w:rPr>
              <w:t>7.2</w:t>
            </w:r>
            <w:r w:rsidR="005C7E73">
              <w:rPr>
                <w:rFonts w:ascii="宋体" w:eastAsia="宋体" w:hAnsi="宋体" w:cs="宋体" w:hint="eastAsia"/>
                <w:spacing w:val="9"/>
                <w:position w:val="1"/>
              </w:rPr>
              <w:t>数据审定</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_Toc32597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7</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9191" w:history="1">
            <w:r w:rsidR="005C7E73">
              <w:rPr>
                <w:rFonts w:ascii="宋体" w:eastAsia="宋体" w:hAnsi="宋体" w:cs="宋体" w:hint="eastAsia"/>
                <w:spacing w:val="8"/>
                <w:position w:val="1"/>
              </w:rPr>
              <w:t>7.3</w:t>
            </w:r>
            <w:r w:rsidR="005C7E73">
              <w:rPr>
                <w:rFonts w:ascii="宋体" w:eastAsia="宋体" w:hAnsi="宋体" w:cs="宋体" w:hint="eastAsia"/>
                <w:spacing w:val="8"/>
                <w:position w:val="1"/>
              </w:rPr>
              <w:t>数据分配</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_Toc29191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7</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18259" w:history="1">
            <w:r w:rsidR="005C7E73">
              <w:rPr>
                <w:rFonts w:ascii="宋体" w:eastAsia="宋体" w:hAnsi="宋体" w:cs="宋体" w:hint="eastAsia"/>
                <w:spacing w:val="11"/>
                <w:position w:val="1"/>
              </w:rPr>
              <w:t>7.4</w:t>
            </w:r>
            <w:r w:rsidR="005C7E73">
              <w:rPr>
                <w:rFonts w:ascii="宋体" w:eastAsia="宋体" w:hAnsi="宋体" w:cs="宋体" w:hint="eastAsia"/>
                <w:spacing w:val="11"/>
                <w:position w:val="1"/>
              </w:rPr>
              <w:t>数据取舍原则</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_Toc18259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12219" w:history="1">
            <w:r w:rsidR="005C7E73">
              <w:rPr>
                <w:rFonts w:ascii="宋体" w:eastAsia="宋体" w:hAnsi="宋体" w:cs="宋体" w:hint="eastAsia"/>
                <w:spacing w:val="9"/>
                <w:position w:val="1"/>
              </w:rPr>
              <w:t xml:space="preserve">7.5 </w:t>
            </w:r>
            <w:r w:rsidR="005C7E73">
              <w:rPr>
                <w:rFonts w:ascii="宋体" w:eastAsia="宋体" w:hAnsi="宋体" w:cs="宋体" w:hint="eastAsia"/>
                <w:spacing w:val="9"/>
                <w:position w:val="1"/>
              </w:rPr>
              <w:t>清单计算</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_Toc12219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11343" w:history="1">
            <w:r w:rsidR="005C7E73">
              <w:rPr>
                <w:rFonts w:ascii="宋体" w:eastAsia="宋体" w:hAnsi="宋体" w:cs="宋体" w:hint="eastAsia"/>
                <w:spacing w:val="5"/>
                <w:szCs w:val="20"/>
                <w:lang w:eastAsia="zh-CN"/>
              </w:rPr>
              <w:t>8</w:t>
            </w:r>
            <w:r w:rsidR="005C7E73">
              <w:rPr>
                <w:rFonts w:ascii="宋体" w:eastAsia="宋体" w:hAnsi="宋体" w:cs="宋体" w:hint="eastAsia"/>
                <w:spacing w:val="5"/>
                <w:szCs w:val="20"/>
                <w:lang w:eastAsia="zh-CN"/>
              </w:rPr>
              <w:t>产品碳足迹影响</w:t>
            </w:r>
            <w:r w:rsidR="005C7E73">
              <w:rPr>
                <w:rFonts w:ascii="宋体" w:eastAsia="宋体" w:hAnsi="宋体" w:cs="宋体" w:hint="eastAsia"/>
                <w:spacing w:val="5"/>
                <w:szCs w:val="20"/>
              </w:rPr>
              <w:t>评价</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_Toc11343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335" w:history="1">
            <w:r w:rsidR="005C7E73">
              <w:rPr>
                <w:rFonts w:ascii="宋体" w:eastAsia="宋体" w:hAnsi="宋体" w:cs="宋体" w:hint="eastAsia"/>
                <w:szCs w:val="18"/>
                <w:lang w:eastAsia="zh-CN"/>
              </w:rPr>
              <w:t>8.1</w:t>
            </w:r>
            <w:r w:rsidR="005C7E73">
              <w:rPr>
                <w:rFonts w:ascii="宋体" w:eastAsia="宋体" w:hAnsi="宋体" w:cs="宋体" w:hint="eastAsia"/>
                <w:szCs w:val="18"/>
                <w:lang w:eastAsia="zh-CN"/>
              </w:rPr>
              <w:t>通则</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_Toc2335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2"/>
            <w:tabs>
              <w:tab w:val="right" w:leader="dot" w:pos="9073"/>
            </w:tabs>
            <w:rPr>
              <w:rFonts w:ascii="宋体" w:eastAsia="宋体" w:hAnsi="宋体" w:cs="宋体"/>
            </w:rPr>
          </w:pPr>
          <w:hyperlink w:anchor="_Toc24380" w:history="1">
            <w:r w:rsidR="005C7E73">
              <w:rPr>
                <w:rFonts w:ascii="宋体" w:eastAsia="宋体" w:hAnsi="宋体" w:cs="宋体" w:hint="eastAsia"/>
                <w:spacing w:val="12"/>
                <w:position w:val="1"/>
              </w:rPr>
              <w:t xml:space="preserve">8.2 </w:t>
            </w:r>
            <w:r w:rsidR="005C7E73">
              <w:rPr>
                <w:rFonts w:ascii="宋体" w:eastAsia="宋体" w:hAnsi="宋体" w:cs="宋体" w:hint="eastAsia"/>
                <w:spacing w:val="12"/>
                <w:position w:val="1"/>
              </w:rPr>
              <w:t>产品碳足迹计算方法</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_Toc24380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10921" w:history="1">
            <w:r w:rsidR="005C7E73">
              <w:rPr>
                <w:rFonts w:ascii="宋体" w:eastAsia="宋体" w:hAnsi="宋体" w:cs="宋体" w:hint="eastAsia"/>
                <w:spacing w:val="13"/>
                <w:position w:val="1"/>
                <w:szCs w:val="19"/>
              </w:rPr>
              <w:t xml:space="preserve">9 </w:t>
            </w:r>
            <w:r w:rsidR="005C7E73">
              <w:rPr>
                <w:rFonts w:ascii="宋体" w:eastAsia="宋体" w:hAnsi="宋体" w:cs="宋体" w:hint="eastAsia"/>
                <w:spacing w:val="13"/>
                <w:position w:val="1"/>
                <w:szCs w:val="19"/>
              </w:rPr>
              <w:t>产品碳足迹结果解释</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_Toc10921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8</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25793" w:history="1">
            <w:r w:rsidR="005C7E73">
              <w:rPr>
                <w:rFonts w:ascii="宋体" w:eastAsia="宋体" w:hAnsi="宋体" w:cs="宋体" w:hint="eastAsia"/>
                <w:spacing w:val="12"/>
                <w:position w:val="1"/>
              </w:rPr>
              <w:t>10</w:t>
            </w:r>
            <w:r w:rsidR="005C7E73">
              <w:rPr>
                <w:rFonts w:ascii="宋体" w:eastAsia="宋体" w:hAnsi="宋体" w:cs="宋体" w:hint="eastAsia"/>
                <w:spacing w:val="12"/>
                <w:position w:val="1"/>
              </w:rPr>
              <w:t>产品碳足迹报告</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_Toc25793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9</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4174" w:history="1">
            <w:r w:rsidR="005C7E73">
              <w:rPr>
                <w:rFonts w:ascii="宋体" w:eastAsia="宋体" w:hAnsi="宋体" w:cs="宋体" w:hint="eastAsia"/>
                <w:szCs w:val="20"/>
              </w:rPr>
              <w:t xml:space="preserve">附　录　</w:t>
            </w:r>
            <w:r w:rsidR="005C7E73">
              <w:rPr>
                <w:rFonts w:ascii="宋体" w:eastAsia="宋体" w:hAnsi="宋体" w:cs="宋体" w:hint="eastAsia"/>
                <w:szCs w:val="20"/>
              </w:rPr>
              <w:t xml:space="preserve">A  </w:t>
            </w:r>
            <w:r w:rsidR="005C7E73">
              <w:rPr>
                <w:rFonts w:ascii="宋体" w:eastAsia="宋体" w:hAnsi="宋体" w:cs="宋体" w:hint="eastAsia"/>
                <w:szCs w:val="20"/>
              </w:rPr>
              <w:t>（资料性）</w:t>
            </w:r>
            <w:r w:rsidR="005C7E73">
              <w:rPr>
                <w:rFonts w:ascii="宋体" w:eastAsia="宋体" w:hAnsi="宋体" w:cs="宋体" w:hint="eastAsia"/>
                <w:szCs w:val="20"/>
              </w:rPr>
              <w:t xml:space="preserve"> </w:t>
            </w:r>
            <w:r w:rsidR="005C7E73">
              <w:rPr>
                <w:rFonts w:ascii="宋体" w:eastAsia="宋体" w:hAnsi="宋体" w:cs="宋体" w:hint="eastAsia"/>
                <w:szCs w:val="20"/>
              </w:rPr>
              <w:t>全球变暖潜势</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_Toc4174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10</w:t>
            </w:r>
            <w:r>
              <w:rPr>
                <w:rFonts w:ascii="宋体" w:eastAsia="宋体" w:hAnsi="宋体" w:cs="宋体" w:hint="eastAsia"/>
              </w:rPr>
              <w:fldChar w:fldCharType="end"/>
            </w:r>
          </w:hyperlink>
        </w:p>
        <w:p w:rsidR="0007779F" w:rsidRDefault="0007779F">
          <w:pPr>
            <w:pStyle w:val="1"/>
            <w:tabs>
              <w:tab w:val="right" w:leader="dot" w:pos="9073"/>
            </w:tabs>
            <w:rPr>
              <w:rFonts w:ascii="宋体" w:eastAsia="宋体" w:hAnsi="宋体" w:cs="宋体"/>
            </w:rPr>
          </w:pPr>
          <w:hyperlink w:anchor="_Toc13150" w:history="1">
            <w:r w:rsidR="005C7E73">
              <w:rPr>
                <w:rFonts w:ascii="宋体" w:eastAsia="宋体" w:hAnsi="宋体" w:cs="宋体" w:hint="eastAsia"/>
              </w:rPr>
              <w:t xml:space="preserve">附　录　</w:t>
            </w:r>
            <w:r w:rsidR="005C7E73">
              <w:rPr>
                <w:rFonts w:ascii="宋体" w:eastAsia="宋体" w:hAnsi="宋体" w:cs="宋体" w:hint="eastAsia"/>
              </w:rPr>
              <w:t xml:space="preserve">B  </w:t>
            </w:r>
            <w:r w:rsidR="005C7E73">
              <w:rPr>
                <w:rFonts w:ascii="宋体" w:eastAsia="宋体" w:hAnsi="宋体" w:cs="宋体" w:hint="eastAsia"/>
              </w:rPr>
              <w:t>（资料性）</w:t>
            </w:r>
            <w:r w:rsidR="005C7E73">
              <w:rPr>
                <w:rFonts w:ascii="宋体" w:eastAsia="宋体" w:hAnsi="宋体" w:cs="宋体" w:hint="eastAsia"/>
              </w:rPr>
              <w:t xml:space="preserve"> </w:t>
            </w:r>
            <w:r w:rsidR="005C7E73">
              <w:rPr>
                <w:rFonts w:ascii="宋体" w:eastAsia="宋体" w:hAnsi="宋体" w:cs="宋体" w:hint="eastAsia"/>
              </w:rPr>
              <w:t>产品碳足迹报告（模板）</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w:instrText>
            </w:r>
            <w:r w:rsidR="005C7E73">
              <w:rPr>
                <w:rFonts w:ascii="宋体" w:eastAsia="宋体" w:hAnsi="宋体" w:cs="宋体" w:hint="eastAsia"/>
              </w:rPr>
              <w:instrText xml:space="preserve">_Toc13150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11</w:t>
            </w:r>
            <w:r>
              <w:rPr>
                <w:rFonts w:ascii="宋体" w:eastAsia="宋体" w:hAnsi="宋体" w:cs="宋体" w:hint="eastAsia"/>
              </w:rPr>
              <w:fldChar w:fldCharType="end"/>
            </w:r>
          </w:hyperlink>
        </w:p>
        <w:p w:rsidR="0007779F" w:rsidRDefault="0007779F">
          <w:pPr>
            <w:pStyle w:val="1"/>
            <w:tabs>
              <w:tab w:val="right" w:leader="dot" w:pos="9073"/>
            </w:tabs>
          </w:pPr>
          <w:hyperlink w:anchor="_Toc32633" w:history="1">
            <w:r w:rsidR="005C7E73">
              <w:rPr>
                <w:rFonts w:ascii="宋体" w:eastAsia="宋体" w:hAnsi="宋体" w:cs="宋体" w:hint="eastAsia"/>
                <w:szCs w:val="20"/>
              </w:rPr>
              <w:t>参考文献</w:t>
            </w:r>
            <w:r w:rsidR="005C7E73">
              <w:rPr>
                <w:rFonts w:ascii="宋体" w:eastAsia="宋体" w:hAnsi="宋体" w:cs="宋体" w:hint="eastAsia"/>
              </w:rPr>
              <w:tab/>
            </w:r>
            <w:r>
              <w:rPr>
                <w:rFonts w:ascii="宋体" w:eastAsia="宋体" w:hAnsi="宋体" w:cs="宋体" w:hint="eastAsia"/>
              </w:rPr>
              <w:fldChar w:fldCharType="begin"/>
            </w:r>
            <w:r w:rsidR="005C7E73">
              <w:rPr>
                <w:rFonts w:ascii="宋体" w:eastAsia="宋体" w:hAnsi="宋体" w:cs="宋体" w:hint="eastAsia"/>
              </w:rPr>
              <w:instrText xml:space="preserve"> PAGEREF _Toc32633 \h </w:instrText>
            </w:r>
            <w:r>
              <w:rPr>
                <w:rFonts w:ascii="宋体" w:eastAsia="宋体" w:hAnsi="宋体" w:cs="宋体" w:hint="eastAsia"/>
              </w:rPr>
            </w:r>
            <w:r>
              <w:rPr>
                <w:rFonts w:ascii="宋体" w:eastAsia="宋体" w:hAnsi="宋体" w:cs="宋体" w:hint="eastAsia"/>
              </w:rPr>
              <w:fldChar w:fldCharType="separate"/>
            </w:r>
            <w:r w:rsidR="005C7E73">
              <w:rPr>
                <w:rFonts w:ascii="宋体" w:eastAsia="宋体" w:hAnsi="宋体" w:cs="宋体" w:hint="eastAsia"/>
              </w:rPr>
              <w:t>15</w:t>
            </w:r>
            <w:r>
              <w:rPr>
                <w:rFonts w:ascii="宋体" w:eastAsia="宋体" w:hAnsi="宋体" w:cs="宋体" w:hint="eastAsia"/>
              </w:rPr>
              <w:fldChar w:fldCharType="end"/>
            </w:r>
          </w:hyperlink>
        </w:p>
        <w:p w:rsidR="0007779F" w:rsidRDefault="0007779F">
          <w:pPr>
            <w:kinsoku/>
            <w:overflowPunct w:val="0"/>
            <w:spacing w:line="228" w:lineRule="auto"/>
            <w:rPr>
              <w:rFonts w:ascii="宋体" w:eastAsia="宋体" w:hAnsi="宋体" w:cs="宋体"/>
              <w:szCs w:val="20"/>
            </w:rPr>
          </w:pPr>
          <w:r>
            <w:rPr>
              <w:rFonts w:ascii="宋体" w:eastAsia="宋体" w:hAnsi="宋体" w:cs="宋体"/>
              <w:szCs w:val="20"/>
            </w:rPr>
            <w:fldChar w:fldCharType="end"/>
          </w:r>
        </w:p>
      </w:sdtContent>
    </w:sdt>
    <w:p w:rsidR="0007779F" w:rsidRDefault="0007779F">
      <w:pPr>
        <w:kinsoku/>
        <w:overflowPunct w:val="0"/>
        <w:spacing w:line="228" w:lineRule="auto"/>
        <w:rPr>
          <w:rFonts w:ascii="宋体" w:eastAsia="宋体" w:hAnsi="宋体" w:cs="宋体"/>
          <w:szCs w:val="20"/>
        </w:rPr>
        <w:sectPr w:rsidR="0007779F">
          <w:headerReference w:type="default" r:id="rId10"/>
          <w:footerReference w:type="default" r:id="rId11"/>
          <w:pgSz w:w="11906" w:h="16839"/>
          <w:pgMar w:top="1417" w:right="1416" w:bottom="1134" w:left="1417" w:header="0" w:footer="994" w:gutter="0"/>
          <w:pgNumType w:start="1"/>
          <w:cols w:space="720"/>
        </w:sectPr>
      </w:pPr>
    </w:p>
    <w:p w:rsidR="0007779F" w:rsidRDefault="0007779F">
      <w:pPr>
        <w:kinsoku/>
        <w:overflowPunct w:val="0"/>
        <w:spacing w:line="414" w:lineRule="auto"/>
      </w:pPr>
    </w:p>
    <w:p w:rsidR="0007779F" w:rsidRDefault="0007779F">
      <w:pPr>
        <w:kinsoku/>
        <w:overflowPunct w:val="0"/>
        <w:spacing w:line="289" w:lineRule="auto"/>
      </w:pPr>
    </w:p>
    <w:p w:rsidR="0007779F" w:rsidRDefault="0007779F">
      <w:pPr>
        <w:kinsoku/>
        <w:overflowPunct w:val="0"/>
        <w:spacing w:line="290" w:lineRule="auto"/>
      </w:pPr>
    </w:p>
    <w:p w:rsidR="0007779F" w:rsidRDefault="0007779F">
      <w:pPr>
        <w:kinsoku/>
        <w:overflowPunct w:val="0"/>
        <w:spacing w:line="290" w:lineRule="auto"/>
      </w:pPr>
    </w:p>
    <w:p w:rsidR="0007779F" w:rsidRDefault="005C7E73">
      <w:pPr>
        <w:pStyle w:val="a7"/>
        <w:kinsoku/>
        <w:overflowPunct w:val="0"/>
        <w:spacing w:before="101" w:line="228" w:lineRule="auto"/>
        <w:ind w:left="4159"/>
        <w:outlineLvl w:val="0"/>
        <w:rPr>
          <w:sz w:val="31"/>
          <w:szCs w:val="31"/>
          <w:lang w:eastAsia="zh-CN"/>
        </w:rPr>
      </w:pPr>
      <w:bookmarkStart w:id="0" w:name="bookmark1"/>
      <w:bookmarkStart w:id="1" w:name="_Toc5588"/>
      <w:bookmarkEnd w:id="0"/>
      <w:r>
        <w:rPr>
          <w:spacing w:val="-2"/>
          <w:sz w:val="31"/>
          <w:szCs w:val="31"/>
          <w:lang w:eastAsia="zh-CN"/>
        </w:rPr>
        <w:t>前言</w:t>
      </w:r>
      <w:bookmarkEnd w:id="1"/>
    </w:p>
    <w:p w:rsidR="0007779F" w:rsidRDefault="0007779F">
      <w:pPr>
        <w:kinsoku/>
        <w:overflowPunct w:val="0"/>
        <w:spacing w:line="314" w:lineRule="auto"/>
        <w:rPr>
          <w:lang w:eastAsia="zh-CN"/>
        </w:rPr>
      </w:pPr>
    </w:p>
    <w:p w:rsidR="0007779F" w:rsidRDefault="0007779F">
      <w:pPr>
        <w:kinsoku/>
        <w:overflowPunct w:val="0"/>
        <w:spacing w:line="314" w:lineRule="auto"/>
        <w:rPr>
          <w:lang w:eastAsia="zh-CN"/>
        </w:rPr>
      </w:pPr>
    </w:p>
    <w:p w:rsidR="0007779F" w:rsidRDefault="005C7E73">
      <w:pPr>
        <w:kinsoku/>
        <w:overflowPunct w:val="0"/>
        <w:spacing w:before="34" w:line="273" w:lineRule="auto"/>
        <w:ind w:left="116" w:right="61" w:firstLine="420"/>
        <w:rPr>
          <w:rFonts w:ascii="宋体" w:eastAsia="宋体" w:hAnsi="宋体" w:cs="宋体"/>
          <w:sz w:val="20"/>
          <w:szCs w:val="20"/>
          <w:lang w:eastAsia="zh-CN"/>
        </w:rPr>
      </w:pPr>
      <w:r>
        <w:rPr>
          <w:rFonts w:ascii="宋体" w:eastAsia="宋体" w:hAnsi="宋体" w:cs="宋体"/>
          <w:spacing w:val="9"/>
          <w:sz w:val="20"/>
          <w:szCs w:val="20"/>
          <w:lang w:eastAsia="zh-CN"/>
        </w:rPr>
        <w:t>本文件按照</w:t>
      </w:r>
      <w:r>
        <w:rPr>
          <w:rFonts w:ascii="宋体" w:eastAsia="宋体" w:hAnsi="宋体" w:cs="宋体"/>
          <w:sz w:val="20"/>
          <w:szCs w:val="20"/>
          <w:lang w:eastAsia="zh-CN"/>
        </w:rPr>
        <w:t>GB</w:t>
      </w:r>
      <w:r>
        <w:rPr>
          <w:rFonts w:ascii="宋体" w:eastAsia="宋体" w:hAnsi="宋体" w:cs="宋体"/>
          <w:spacing w:val="9"/>
          <w:sz w:val="20"/>
          <w:szCs w:val="20"/>
          <w:lang w:eastAsia="zh-CN"/>
        </w:rPr>
        <w:t>/T 1.1—2020</w:t>
      </w:r>
      <w:r>
        <w:rPr>
          <w:rFonts w:ascii="宋体" w:eastAsia="宋体" w:hAnsi="宋体" w:cs="宋体"/>
          <w:spacing w:val="9"/>
          <w:sz w:val="20"/>
          <w:szCs w:val="20"/>
          <w:lang w:eastAsia="zh-CN"/>
        </w:rPr>
        <w:t>《标准化工作导则</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第</w:t>
      </w:r>
      <w:r>
        <w:rPr>
          <w:rFonts w:ascii="宋体" w:eastAsia="宋体" w:hAnsi="宋体" w:cs="宋体"/>
          <w:spacing w:val="9"/>
          <w:sz w:val="20"/>
          <w:szCs w:val="20"/>
          <w:lang w:eastAsia="zh-CN"/>
        </w:rPr>
        <w:t>1</w:t>
      </w:r>
      <w:r>
        <w:rPr>
          <w:rFonts w:ascii="宋体" w:eastAsia="宋体" w:hAnsi="宋体" w:cs="宋体"/>
          <w:spacing w:val="9"/>
          <w:sz w:val="20"/>
          <w:szCs w:val="20"/>
          <w:lang w:eastAsia="zh-CN"/>
        </w:rPr>
        <w:t>部分：标准化文件的结</w:t>
      </w:r>
      <w:r>
        <w:rPr>
          <w:rFonts w:ascii="宋体" w:eastAsia="宋体" w:hAnsi="宋体" w:cs="宋体"/>
          <w:spacing w:val="8"/>
          <w:sz w:val="20"/>
          <w:szCs w:val="20"/>
          <w:lang w:eastAsia="zh-CN"/>
        </w:rPr>
        <w:t>构和起草规则》的规定</w:t>
      </w:r>
      <w:r>
        <w:rPr>
          <w:rFonts w:ascii="宋体" w:eastAsia="宋体" w:hAnsi="宋体" w:cs="宋体"/>
          <w:spacing w:val="2"/>
          <w:sz w:val="20"/>
          <w:szCs w:val="20"/>
          <w:lang w:eastAsia="zh-CN"/>
        </w:rPr>
        <w:t>起草。</w:t>
      </w:r>
    </w:p>
    <w:p w:rsidR="0007779F" w:rsidRDefault="005C7E73">
      <w:pPr>
        <w:kinsoku/>
        <w:overflowPunct w:val="0"/>
        <w:spacing w:before="31" w:line="227" w:lineRule="auto"/>
        <w:ind w:left="536"/>
        <w:rPr>
          <w:rFonts w:ascii="宋体" w:eastAsia="宋体" w:hAnsi="宋体" w:cs="宋体"/>
          <w:spacing w:val="9"/>
          <w:sz w:val="20"/>
          <w:szCs w:val="20"/>
          <w:lang w:eastAsia="zh-CN"/>
        </w:rPr>
      </w:pPr>
      <w:r>
        <w:rPr>
          <w:rFonts w:ascii="宋体" w:eastAsia="宋体" w:hAnsi="宋体" w:cs="宋体"/>
          <w:spacing w:val="-1"/>
          <w:lang w:eastAsia="zh-CN"/>
        </w:rPr>
        <w:t>请注意本文件的某些内容可能涉及专利。本文件的发布机构不承担识别专利的责任。</w:t>
      </w:r>
    </w:p>
    <w:p w:rsidR="0007779F" w:rsidRDefault="005C7E73">
      <w:pPr>
        <w:kinsoku/>
        <w:overflowPunct w:val="0"/>
        <w:spacing w:before="31" w:line="227" w:lineRule="auto"/>
        <w:ind w:left="536"/>
        <w:rPr>
          <w:rFonts w:ascii="宋体" w:eastAsia="宋体" w:hAnsi="宋体" w:cs="宋体"/>
          <w:sz w:val="20"/>
          <w:szCs w:val="20"/>
          <w:lang w:eastAsia="zh-CN"/>
        </w:rPr>
      </w:pPr>
      <w:r>
        <w:rPr>
          <w:rFonts w:ascii="宋体" w:eastAsia="宋体" w:hAnsi="宋体" w:cs="宋体"/>
          <w:spacing w:val="9"/>
          <w:sz w:val="20"/>
          <w:szCs w:val="20"/>
          <w:lang w:eastAsia="zh-CN"/>
        </w:rPr>
        <w:t>本文件由</w:t>
      </w:r>
      <w:r>
        <w:rPr>
          <w:rFonts w:ascii="宋体" w:eastAsia="宋体" w:hAnsi="宋体" w:cs="宋体" w:hint="eastAsia"/>
          <w:spacing w:val="9"/>
          <w:sz w:val="20"/>
          <w:szCs w:val="20"/>
          <w:lang w:eastAsia="zh-CN"/>
        </w:rPr>
        <w:t>XXXXX</w:t>
      </w:r>
      <w:r>
        <w:rPr>
          <w:rFonts w:ascii="宋体" w:eastAsia="宋体" w:hAnsi="宋体" w:cs="宋体"/>
          <w:spacing w:val="9"/>
          <w:sz w:val="20"/>
          <w:szCs w:val="20"/>
          <w:lang w:eastAsia="zh-CN"/>
        </w:rPr>
        <w:t>提出。</w:t>
      </w:r>
    </w:p>
    <w:p w:rsidR="0007779F" w:rsidRDefault="005C7E73">
      <w:pPr>
        <w:kinsoku/>
        <w:overflowPunct w:val="0"/>
        <w:spacing w:before="66" w:line="227" w:lineRule="auto"/>
        <w:ind w:left="536"/>
        <w:rPr>
          <w:rFonts w:ascii="宋体" w:eastAsia="宋体" w:hAnsi="宋体" w:cs="宋体"/>
          <w:sz w:val="20"/>
          <w:szCs w:val="20"/>
          <w:lang w:eastAsia="zh-CN"/>
        </w:rPr>
      </w:pPr>
      <w:r>
        <w:rPr>
          <w:rFonts w:ascii="宋体" w:eastAsia="宋体" w:hAnsi="宋体" w:cs="宋体"/>
          <w:spacing w:val="8"/>
          <w:sz w:val="20"/>
          <w:szCs w:val="20"/>
          <w:lang w:eastAsia="zh-CN"/>
        </w:rPr>
        <w:t>本文件由</w:t>
      </w:r>
      <w:r>
        <w:rPr>
          <w:rFonts w:ascii="宋体" w:eastAsia="宋体" w:hAnsi="宋体" w:cs="宋体" w:hint="eastAsia"/>
          <w:spacing w:val="8"/>
          <w:sz w:val="20"/>
          <w:szCs w:val="20"/>
          <w:lang w:eastAsia="zh-CN"/>
        </w:rPr>
        <w:t>江苏省标准化</w:t>
      </w:r>
      <w:r>
        <w:rPr>
          <w:rFonts w:ascii="宋体" w:eastAsia="宋体" w:hAnsi="宋体" w:cs="宋体"/>
          <w:spacing w:val="8"/>
          <w:sz w:val="20"/>
          <w:szCs w:val="20"/>
          <w:lang w:eastAsia="zh-CN"/>
        </w:rPr>
        <w:t>协会归口。</w:t>
      </w:r>
    </w:p>
    <w:p w:rsidR="0007779F" w:rsidRDefault="005C7E73">
      <w:pPr>
        <w:kinsoku/>
        <w:overflowPunct w:val="0"/>
        <w:spacing w:before="64" w:line="284" w:lineRule="auto"/>
        <w:ind w:left="114" w:firstLine="421"/>
        <w:rPr>
          <w:rFonts w:ascii="宋体" w:eastAsia="宋体" w:hAnsi="宋体" w:cs="宋体"/>
          <w:sz w:val="20"/>
          <w:szCs w:val="20"/>
          <w:lang w:eastAsia="zh-CN"/>
        </w:rPr>
      </w:pPr>
      <w:r>
        <w:rPr>
          <w:rFonts w:ascii="宋体" w:eastAsia="宋体" w:hAnsi="宋体" w:cs="宋体"/>
          <w:spacing w:val="9"/>
          <w:sz w:val="20"/>
          <w:szCs w:val="20"/>
          <w:lang w:eastAsia="zh-CN"/>
        </w:rPr>
        <w:t>本文件起草单位：</w:t>
      </w:r>
      <w:r>
        <w:rPr>
          <w:rFonts w:ascii="宋体" w:eastAsia="宋体" w:hAnsi="宋体" w:cs="宋体" w:hint="eastAsia"/>
          <w:spacing w:val="9"/>
          <w:sz w:val="20"/>
          <w:szCs w:val="20"/>
          <w:lang w:eastAsia="zh-CN"/>
        </w:rPr>
        <w:t>江苏省特种设备安全监督检验研究院、方圆标志认证集团江苏有限公司、</w:t>
      </w:r>
      <w:r>
        <w:rPr>
          <w:rFonts w:ascii="宋体" w:eastAsia="宋体" w:hAnsi="宋体" w:cs="宋体" w:hint="eastAsia"/>
          <w:spacing w:val="9"/>
          <w:sz w:val="20"/>
          <w:szCs w:val="20"/>
          <w:lang w:eastAsia="zh-CN"/>
        </w:rPr>
        <w:t>方圆标志认证集团有限公司、</w:t>
      </w:r>
      <w:r>
        <w:rPr>
          <w:rFonts w:ascii="宋体" w:eastAsia="宋体" w:hAnsi="宋体" w:cs="宋体" w:hint="eastAsia"/>
          <w:spacing w:val="9"/>
          <w:sz w:val="20"/>
          <w:szCs w:val="20"/>
          <w:lang w:eastAsia="zh-CN"/>
        </w:rPr>
        <w:t>优利德（江苏）化工有限公司、江苏沙英喜实业有限公司</w:t>
      </w:r>
      <w:bookmarkStart w:id="2" w:name="_GoBack"/>
      <w:bookmarkEnd w:id="2"/>
      <w:r>
        <w:rPr>
          <w:rFonts w:ascii="宋体" w:eastAsia="宋体" w:hAnsi="宋体" w:cs="宋体"/>
          <w:spacing w:val="9"/>
          <w:sz w:val="20"/>
          <w:szCs w:val="20"/>
          <w:lang w:eastAsia="zh-CN"/>
        </w:rPr>
        <w:t>。</w:t>
      </w:r>
    </w:p>
    <w:p w:rsidR="0007779F" w:rsidRDefault="005C7E73">
      <w:pPr>
        <w:kinsoku/>
        <w:overflowPunct w:val="0"/>
        <w:spacing w:before="31" w:line="281" w:lineRule="auto"/>
        <w:ind w:left="119" w:right="58" w:firstLine="417"/>
        <w:rPr>
          <w:rFonts w:ascii="宋体" w:eastAsia="宋体" w:hAnsi="宋体" w:cs="宋体"/>
          <w:sz w:val="20"/>
          <w:szCs w:val="20"/>
          <w:lang w:eastAsia="zh-CN"/>
        </w:rPr>
      </w:pPr>
      <w:r>
        <w:rPr>
          <w:rFonts w:ascii="宋体" w:eastAsia="宋体" w:hAnsi="宋体" w:cs="宋体"/>
          <w:spacing w:val="8"/>
          <w:sz w:val="20"/>
          <w:szCs w:val="20"/>
          <w:lang w:eastAsia="zh-CN"/>
        </w:rPr>
        <w:t>本文件主要起草人：</w:t>
      </w:r>
      <w:r>
        <w:rPr>
          <w:rFonts w:ascii="宋体" w:eastAsia="宋体" w:hAnsi="宋体" w:cs="宋体"/>
          <w:spacing w:val="9"/>
          <w:sz w:val="20"/>
          <w:szCs w:val="20"/>
          <w:lang w:eastAsia="zh-CN"/>
        </w:rPr>
        <w:t>。</w:t>
      </w:r>
    </w:p>
    <w:p w:rsidR="0007779F" w:rsidRDefault="0007779F">
      <w:pPr>
        <w:kinsoku/>
        <w:overflowPunct w:val="0"/>
        <w:spacing w:line="281" w:lineRule="auto"/>
        <w:rPr>
          <w:rFonts w:ascii="宋体" w:eastAsia="宋体" w:hAnsi="宋体" w:cs="宋体"/>
          <w:sz w:val="20"/>
          <w:szCs w:val="20"/>
          <w:lang w:eastAsia="zh-CN"/>
        </w:rPr>
        <w:sectPr w:rsidR="0007779F">
          <w:headerReference w:type="default" r:id="rId12"/>
          <w:footerReference w:type="default" r:id="rId13"/>
          <w:pgSz w:w="11906" w:h="16839"/>
          <w:pgMar w:top="1417" w:right="1134" w:bottom="1134" w:left="1417" w:header="0" w:footer="994" w:gutter="0"/>
          <w:cols w:space="720"/>
        </w:sectPr>
      </w:pPr>
    </w:p>
    <w:p w:rsidR="0007779F" w:rsidRDefault="0007779F">
      <w:pPr>
        <w:kinsoku/>
        <w:overflowPunct w:val="0"/>
        <w:spacing w:line="296" w:lineRule="auto"/>
        <w:rPr>
          <w:lang w:eastAsia="zh-CN"/>
        </w:rPr>
      </w:pPr>
    </w:p>
    <w:p w:rsidR="0007779F" w:rsidRDefault="0007779F">
      <w:pPr>
        <w:kinsoku/>
        <w:overflowPunct w:val="0"/>
        <w:spacing w:line="296" w:lineRule="auto"/>
        <w:rPr>
          <w:lang w:eastAsia="zh-CN"/>
        </w:rPr>
      </w:pPr>
    </w:p>
    <w:p w:rsidR="0007779F" w:rsidRDefault="0007779F">
      <w:pPr>
        <w:kinsoku/>
        <w:overflowPunct w:val="0"/>
        <w:spacing w:line="297" w:lineRule="auto"/>
        <w:rPr>
          <w:lang w:eastAsia="zh-CN"/>
        </w:rPr>
      </w:pPr>
    </w:p>
    <w:p w:rsidR="0007779F" w:rsidRDefault="005C7E73">
      <w:pPr>
        <w:pStyle w:val="a7"/>
        <w:kinsoku/>
        <w:overflowPunct w:val="0"/>
        <w:spacing w:before="101" w:line="226" w:lineRule="auto"/>
        <w:jc w:val="center"/>
        <w:rPr>
          <w:sz w:val="31"/>
          <w:szCs w:val="31"/>
          <w:lang w:eastAsia="zh-CN"/>
        </w:rPr>
      </w:pPr>
      <w:r>
        <w:rPr>
          <w:rFonts w:hint="eastAsia"/>
          <w:spacing w:val="9"/>
          <w:sz w:val="31"/>
          <w:szCs w:val="31"/>
          <w:lang w:eastAsia="zh-CN"/>
        </w:rPr>
        <w:t>温室气体</w:t>
      </w:r>
      <w:r>
        <w:rPr>
          <w:rFonts w:hint="eastAsia"/>
          <w:spacing w:val="9"/>
          <w:sz w:val="31"/>
          <w:szCs w:val="31"/>
          <w:lang w:eastAsia="zh-CN"/>
        </w:rPr>
        <w:t xml:space="preserve"> </w:t>
      </w:r>
      <w:r>
        <w:rPr>
          <w:rFonts w:hint="eastAsia"/>
          <w:spacing w:val="9"/>
          <w:sz w:val="31"/>
          <w:szCs w:val="31"/>
          <w:lang w:eastAsia="zh-CN"/>
        </w:rPr>
        <w:t>产品碳足迹量化方法与要求</w:t>
      </w:r>
      <w:r>
        <w:rPr>
          <w:rFonts w:hint="eastAsia"/>
          <w:spacing w:val="9"/>
          <w:sz w:val="31"/>
          <w:szCs w:val="31"/>
          <w:lang w:eastAsia="zh-CN"/>
        </w:rPr>
        <w:t xml:space="preserve"> </w:t>
      </w:r>
      <w:r>
        <w:rPr>
          <w:rFonts w:hint="eastAsia"/>
          <w:spacing w:val="9"/>
          <w:sz w:val="31"/>
          <w:szCs w:val="31"/>
          <w:lang w:eastAsia="zh-CN"/>
        </w:rPr>
        <w:t>碳酸钾</w:t>
      </w:r>
    </w:p>
    <w:p w:rsidR="0007779F" w:rsidRDefault="0007779F">
      <w:pPr>
        <w:kinsoku/>
        <w:overflowPunct w:val="0"/>
        <w:spacing w:line="263" w:lineRule="auto"/>
        <w:rPr>
          <w:lang w:eastAsia="zh-CN"/>
        </w:rPr>
      </w:pPr>
    </w:p>
    <w:p w:rsidR="0007779F" w:rsidRDefault="0007779F">
      <w:pPr>
        <w:kinsoku/>
        <w:overflowPunct w:val="0"/>
        <w:spacing w:line="264" w:lineRule="auto"/>
        <w:rPr>
          <w:lang w:eastAsia="zh-CN"/>
        </w:rPr>
      </w:pPr>
    </w:p>
    <w:p w:rsidR="0007779F" w:rsidRDefault="005C7E73" w:rsidP="00996A76">
      <w:pPr>
        <w:pStyle w:val="a7"/>
        <w:kinsoku/>
        <w:overflowPunct w:val="0"/>
        <w:spacing w:beforeLines="100" w:afterLines="100"/>
        <w:outlineLvl w:val="0"/>
        <w:rPr>
          <w:sz w:val="20"/>
          <w:szCs w:val="20"/>
          <w:lang w:eastAsia="zh-CN"/>
        </w:rPr>
      </w:pPr>
      <w:bookmarkStart w:id="3" w:name="bookmark3"/>
      <w:bookmarkStart w:id="4" w:name="_Toc20751"/>
      <w:bookmarkEnd w:id="3"/>
      <w:r>
        <w:rPr>
          <w:spacing w:val="-3"/>
          <w:sz w:val="20"/>
          <w:szCs w:val="20"/>
          <w:lang w:eastAsia="zh-CN"/>
        </w:rPr>
        <w:t>1</w:t>
      </w:r>
      <w:r>
        <w:rPr>
          <w:spacing w:val="-3"/>
          <w:sz w:val="20"/>
          <w:szCs w:val="20"/>
          <w:lang w:eastAsia="zh-CN"/>
        </w:rPr>
        <w:t>范围</w:t>
      </w:r>
      <w:bookmarkEnd w:id="4"/>
    </w:p>
    <w:p w:rsidR="0007779F" w:rsidRDefault="005C7E73" w:rsidP="00996A76">
      <w:pPr>
        <w:kinsoku/>
        <w:overflowPunct w:val="0"/>
        <w:ind w:firstLineChars="200" w:firstLine="422"/>
        <w:jc w:val="both"/>
        <w:rPr>
          <w:rFonts w:ascii="宋体" w:eastAsia="宋体" w:hAnsi="宋体" w:cs="宋体"/>
          <w:sz w:val="20"/>
          <w:szCs w:val="20"/>
          <w:lang w:eastAsia="zh-CN"/>
        </w:rPr>
      </w:pPr>
      <w:r>
        <w:rPr>
          <w:rFonts w:ascii="宋体" w:eastAsia="宋体" w:hAnsi="宋体" w:cs="宋体"/>
          <w:spacing w:val="11"/>
          <w:sz w:val="20"/>
          <w:szCs w:val="20"/>
          <w:lang w:eastAsia="zh-CN"/>
        </w:rPr>
        <w:t>本文件作为</w:t>
      </w:r>
      <w:r>
        <w:rPr>
          <w:rFonts w:ascii="宋体" w:eastAsia="宋体" w:hAnsi="宋体" w:cs="宋体" w:hint="eastAsia"/>
          <w:spacing w:val="11"/>
          <w:sz w:val="20"/>
          <w:szCs w:val="20"/>
          <w:lang w:eastAsia="zh-CN"/>
        </w:rPr>
        <w:t>碳酸钾</w:t>
      </w:r>
      <w:r>
        <w:rPr>
          <w:rFonts w:ascii="宋体" w:eastAsia="宋体" w:hAnsi="宋体" w:cs="宋体"/>
          <w:spacing w:val="11"/>
          <w:sz w:val="20"/>
          <w:szCs w:val="20"/>
          <w:lang w:eastAsia="zh-CN"/>
        </w:rPr>
        <w:t>产品碳足迹产品种类规则</w:t>
      </w:r>
      <w:r>
        <w:rPr>
          <w:rFonts w:ascii="宋体" w:eastAsia="宋体" w:hAnsi="宋体" w:cs="宋体"/>
          <w:sz w:val="20"/>
          <w:szCs w:val="20"/>
          <w:lang w:eastAsia="zh-CN"/>
        </w:rPr>
        <w:t>CFP</w:t>
      </w:r>
      <w:r>
        <w:rPr>
          <w:rFonts w:ascii="宋体" w:eastAsia="宋体" w:hAnsi="宋体" w:cs="宋体"/>
          <w:spacing w:val="11"/>
          <w:sz w:val="20"/>
          <w:szCs w:val="20"/>
          <w:lang w:eastAsia="zh-CN"/>
        </w:rPr>
        <w:t>-</w:t>
      </w:r>
      <w:r>
        <w:rPr>
          <w:rFonts w:ascii="宋体" w:eastAsia="宋体" w:hAnsi="宋体" w:cs="宋体"/>
          <w:sz w:val="20"/>
          <w:szCs w:val="20"/>
          <w:lang w:eastAsia="zh-CN"/>
        </w:rPr>
        <w:t>PCR</w:t>
      </w:r>
      <w:r>
        <w:rPr>
          <w:rFonts w:ascii="宋体" w:eastAsia="宋体" w:hAnsi="宋体" w:cs="宋体"/>
          <w:spacing w:val="11"/>
          <w:sz w:val="20"/>
          <w:szCs w:val="20"/>
          <w:lang w:eastAsia="zh-CN"/>
        </w:rPr>
        <w:t>，</w:t>
      </w:r>
      <w:r>
        <w:rPr>
          <w:rFonts w:ascii="宋体" w:eastAsia="宋体" w:hAnsi="宋体" w:cs="宋体"/>
          <w:spacing w:val="10"/>
          <w:sz w:val="20"/>
          <w:szCs w:val="20"/>
          <w:lang w:eastAsia="zh-CN"/>
        </w:rPr>
        <w:t>规定了</w:t>
      </w:r>
      <w:r>
        <w:rPr>
          <w:rFonts w:ascii="宋体" w:eastAsia="宋体" w:hAnsi="宋体" w:cs="宋体" w:hint="eastAsia"/>
          <w:spacing w:val="10"/>
          <w:sz w:val="20"/>
          <w:szCs w:val="20"/>
          <w:lang w:eastAsia="zh-CN"/>
        </w:rPr>
        <w:t>碳酸钾</w:t>
      </w:r>
      <w:r>
        <w:rPr>
          <w:rFonts w:ascii="宋体" w:eastAsia="宋体" w:hAnsi="宋体" w:cs="宋体"/>
          <w:spacing w:val="10"/>
          <w:sz w:val="20"/>
          <w:szCs w:val="20"/>
          <w:lang w:eastAsia="zh-CN"/>
        </w:rPr>
        <w:t>产品碳足迹</w:t>
      </w:r>
      <w:r>
        <w:rPr>
          <w:rFonts w:ascii="宋体" w:eastAsia="宋体" w:hAnsi="宋体" w:cs="宋体"/>
          <w:spacing w:val="8"/>
          <w:sz w:val="20"/>
          <w:szCs w:val="20"/>
          <w:lang w:eastAsia="zh-CN"/>
        </w:rPr>
        <w:t>评价的方法和要求，包括产品描述、范围确定、数据收集要求、分配、影</w:t>
      </w:r>
      <w:r>
        <w:rPr>
          <w:rFonts w:ascii="宋体" w:eastAsia="宋体" w:hAnsi="宋体" w:cs="宋体"/>
          <w:spacing w:val="7"/>
          <w:sz w:val="20"/>
          <w:szCs w:val="20"/>
          <w:lang w:eastAsia="zh-CN"/>
        </w:rPr>
        <w:t>响评价、产品碳足迹解释、产</w:t>
      </w:r>
      <w:r>
        <w:rPr>
          <w:rFonts w:ascii="宋体" w:eastAsia="宋体" w:hAnsi="宋体" w:cs="宋体"/>
          <w:spacing w:val="8"/>
          <w:sz w:val="20"/>
          <w:szCs w:val="20"/>
          <w:lang w:eastAsia="zh-CN"/>
        </w:rPr>
        <w:t>品碳足迹通报等方面的要求。</w:t>
      </w:r>
    </w:p>
    <w:p w:rsidR="0007779F" w:rsidRDefault="005C7E73" w:rsidP="00996A76">
      <w:pPr>
        <w:kinsoku/>
        <w:overflowPunct w:val="0"/>
        <w:ind w:firstLineChars="200" w:firstLine="418"/>
        <w:rPr>
          <w:rFonts w:ascii="宋体" w:eastAsia="宋体" w:hAnsi="宋体" w:cs="宋体"/>
          <w:sz w:val="20"/>
          <w:szCs w:val="20"/>
          <w:lang w:eastAsia="zh-CN"/>
        </w:rPr>
      </w:pPr>
      <w:r>
        <w:rPr>
          <w:rFonts w:ascii="宋体" w:eastAsia="宋体" w:hAnsi="宋体" w:cs="宋体"/>
          <w:spacing w:val="9"/>
          <w:sz w:val="20"/>
          <w:szCs w:val="20"/>
          <w:lang w:eastAsia="zh-CN"/>
        </w:rPr>
        <w:t>本文件适用于</w:t>
      </w:r>
      <w:r>
        <w:rPr>
          <w:rFonts w:ascii="宋体" w:eastAsia="宋体" w:hAnsi="宋体" w:cs="宋体" w:hint="eastAsia"/>
          <w:spacing w:val="9"/>
          <w:sz w:val="20"/>
          <w:szCs w:val="20"/>
          <w:lang w:eastAsia="zh-CN"/>
        </w:rPr>
        <w:t>工业级碳酸钾、食品级碳酸钾和试剂级碳酸钾产品碳足迹量化</w:t>
      </w:r>
      <w:r>
        <w:rPr>
          <w:rFonts w:ascii="宋体" w:eastAsia="宋体" w:hAnsi="宋体" w:cs="宋体"/>
          <w:spacing w:val="9"/>
          <w:sz w:val="20"/>
          <w:szCs w:val="20"/>
          <w:lang w:eastAsia="zh-CN"/>
        </w:rPr>
        <w:t>。</w:t>
      </w:r>
    </w:p>
    <w:p w:rsidR="0007779F" w:rsidRDefault="0007779F">
      <w:pPr>
        <w:kinsoku/>
        <w:overflowPunct w:val="0"/>
        <w:ind w:firstLineChars="200" w:firstLine="420"/>
        <w:rPr>
          <w:lang w:eastAsia="zh-CN"/>
        </w:rPr>
      </w:pPr>
    </w:p>
    <w:p w:rsidR="0007779F" w:rsidRDefault="005C7E73">
      <w:pPr>
        <w:pStyle w:val="a7"/>
        <w:kinsoku/>
        <w:overflowPunct w:val="0"/>
        <w:outlineLvl w:val="0"/>
        <w:rPr>
          <w:sz w:val="20"/>
          <w:szCs w:val="20"/>
          <w:lang w:eastAsia="zh-CN"/>
        </w:rPr>
      </w:pPr>
      <w:bookmarkStart w:id="5" w:name="bookmark5"/>
      <w:bookmarkStart w:id="6" w:name="_Toc27237"/>
      <w:bookmarkEnd w:id="5"/>
      <w:r>
        <w:rPr>
          <w:spacing w:val="8"/>
          <w:sz w:val="20"/>
          <w:szCs w:val="20"/>
          <w:lang w:eastAsia="zh-CN"/>
        </w:rPr>
        <w:t xml:space="preserve">2 </w:t>
      </w:r>
      <w:r>
        <w:rPr>
          <w:spacing w:val="8"/>
          <w:sz w:val="20"/>
          <w:szCs w:val="20"/>
          <w:lang w:eastAsia="zh-CN"/>
        </w:rPr>
        <w:t>规范性引用文件</w:t>
      </w:r>
      <w:bookmarkEnd w:id="6"/>
    </w:p>
    <w:p w:rsidR="0007779F" w:rsidRDefault="0007779F">
      <w:pPr>
        <w:kinsoku/>
        <w:overflowPunct w:val="0"/>
        <w:ind w:firstLineChars="200" w:firstLine="420"/>
        <w:rPr>
          <w:lang w:eastAsia="zh-CN"/>
        </w:rPr>
      </w:pPr>
    </w:p>
    <w:p w:rsidR="0007779F" w:rsidRDefault="005C7E73" w:rsidP="00996A76">
      <w:pPr>
        <w:kinsoku/>
        <w:overflowPunct w:val="0"/>
        <w:ind w:firstLineChars="200" w:firstLine="408"/>
        <w:jc w:val="both"/>
        <w:rPr>
          <w:rFonts w:ascii="宋体" w:eastAsia="宋体" w:hAnsi="宋体" w:cs="宋体"/>
          <w:sz w:val="20"/>
          <w:szCs w:val="20"/>
          <w:lang w:eastAsia="zh-CN"/>
        </w:rPr>
      </w:pPr>
      <w:r>
        <w:rPr>
          <w:rFonts w:ascii="宋体" w:eastAsia="宋体" w:hAnsi="宋体" w:cs="宋体"/>
          <w:spacing w:val="4"/>
          <w:sz w:val="20"/>
          <w:szCs w:val="20"/>
          <w:lang w:eastAsia="zh-CN"/>
        </w:rPr>
        <w:t>下列文件中的内容通过文中的规范性引用而构成本文件必不可少的条款。其中，注日期的引用文</w:t>
      </w:r>
      <w:r>
        <w:rPr>
          <w:rFonts w:ascii="宋体" w:eastAsia="宋体" w:hAnsi="宋体" w:cs="宋体"/>
          <w:spacing w:val="3"/>
          <w:sz w:val="20"/>
          <w:szCs w:val="20"/>
          <w:lang w:eastAsia="zh-CN"/>
        </w:rPr>
        <w:t>件，</w:t>
      </w:r>
      <w:r>
        <w:rPr>
          <w:rFonts w:ascii="宋体" w:eastAsia="宋体" w:hAnsi="宋体" w:cs="宋体"/>
          <w:spacing w:val="8"/>
          <w:sz w:val="20"/>
          <w:szCs w:val="20"/>
          <w:lang w:eastAsia="zh-CN"/>
        </w:rPr>
        <w:t>仅该日期对应的版本适用于本文件；不注日期的引用文件，其最新版</w:t>
      </w:r>
      <w:r>
        <w:rPr>
          <w:rFonts w:ascii="宋体" w:eastAsia="宋体" w:hAnsi="宋体" w:cs="宋体"/>
          <w:spacing w:val="7"/>
          <w:sz w:val="20"/>
          <w:szCs w:val="20"/>
          <w:lang w:eastAsia="zh-CN"/>
        </w:rPr>
        <w:t>本（包括所有的修改单）适用于本</w:t>
      </w:r>
      <w:r>
        <w:rPr>
          <w:rFonts w:ascii="宋体" w:eastAsia="宋体" w:hAnsi="宋体" w:cs="宋体"/>
          <w:spacing w:val="3"/>
          <w:sz w:val="20"/>
          <w:szCs w:val="20"/>
          <w:lang w:eastAsia="zh-CN"/>
        </w:rPr>
        <w:t>文件。</w:t>
      </w:r>
    </w:p>
    <w:p w:rsidR="0007779F" w:rsidRDefault="005C7E73">
      <w:pPr>
        <w:kinsoku/>
        <w:overflowPunct w:val="0"/>
        <w:ind w:firstLineChars="200" w:firstLine="400"/>
        <w:rPr>
          <w:rFonts w:ascii="宋体" w:eastAsia="宋体" w:hAnsi="宋体" w:cs="宋体"/>
          <w:sz w:val="20"/>
          <w:szCs w:val="20"/>
          <w:lang w:eastAsia="zh-CN"/>
        </w:rPr>
      </w:pPr>
      <w:r>
        <w:rPr>
          <w:rFonts w:ascii="宋体" w:eastAsia="宋体" w:hAnsi="宋体" w:cs="宋体" w:hint="eastAsia"/>
          <w:sz w:val="20"/>
          <w:szCs w:val="20"/>
          <w:lang w:eastAsia="zh-CN"/>
        </w:rPr>
        <w:t xml:space="preserve">GB/T 1587 </w:t>
      </w:r>
      <w:r>
        <w:rPr>
          <w:rFonts w:ascii="宋体" w:eastAsia="宋体" w:hAnsi="宋体" w:cs="宋体" w:hint="eastAsia"/>
          <w:sz w:val="20"/>
          <w:szCs w:val="20"/>
          <w:lang w:eastAsia="zh-CN"/>
        </w:rPr>
        <w:t>工业碳酸钾</w:t>
      </w:r>
    </w:p>
    <w:p w:rsidR="0007779F" w:rsidRDefault="005C7E73" w:rsidP="00996A76">
      <w:pPr>
        <w:kinsoku/>
        <w:overflowPunct w:val="0"/>
        <w:ind w:firstLineChars="200" w:firstLine="416"/>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 xml:space="preserve">GB/T 24040 </w:t>
      </w:r>
      <w:r>
        <w:rPr>
          <w:rFonts w:ascii="宋体" w:eastAsia="宋体" w:hAnsi="宋体" w:cs="宋体" w:hint="eastAsia"/>
          <w:spacing w:val="8"/>
          <w:sz w:val="20"/>
          <w:szCs w:val="20"/>
          <w:lang w:eastAsia="zh-CN"/>
        </w:rPr>
        <w:t>环境管理</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生命周期评价</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原则与框架</w:t>
      </w:r>
    </w:p>
    <w:p w:rsidR="0007779F" w:rsidRDefault="005C7E73" w:rsidP="00996A76">
      <w:pPr>
        <w:kinsoku/>
        <w:overflowPunct w:val="0"/>
        <w:ind w:firstLineChars="200" w:firstLine="416"/>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 xml:space="preserve">GB/T 24044 </w:t>
      </w:r>
      <w:r>
        <w:rPr>
          <w:rFonts w:ascii="宋体" w:eastAsia="宋体" w:hAnsi="宋体" w:cs="宋体" w:hint="eastAsia"/>
          <w:spacing w:val="8"/>
          <w:sz w:val="20"/>
          <w:szCs w:val="20"/>
          <w:lang w:eastAsia="zh-CN"/>
        </w:rPr>
        <w:t>环境管理</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生命周期评价</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要求与指南</w:t>
      </w:r>
    </w:p>
    <w:p w:rsidR="0007779F" w:rsidRDefault="005C7E73" w:rsidP="00996A76">
      <w:pPr>
        <w:kinsoku/>
        <w:overflowPunct w:val="0"/>
        <w:ind w:firstLineChars="200" w:firstLine="416"/>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 xml:space="preserve">GB/T 24067 </w:t>
      </w:r>
      <w:r>
        <w:rPr>
          <w:rFonts w:ascii="宋体" w:eastAsia="宋体" w:hAnsi="宋体" w:cs="宋体" w:hint="eastAsia"/>
          <w:spacing w:val="8"/>
          <w:sz w:val="20"/>
          <w:szCs w:val="20"/>
          <w:lang w:eastAsia="zh-CN"/>
        </w:rPr>
        <w:t>温室气体</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产品碳足迹</w:t>
      </w:r>
      <w:r>
        <w:rPr>
          <w:rFonts w:ascii="宋体" w:eastAsia="宋体" w:hAnsi="宋体" w:cs="宋体" w:hint="eastAsia"/>
          <w:spacing w:val="8"/>
          <w:sz w:val="20"/>
          <w:szCs w:val="20"/>
          <w:lang w:eastAsia="zh-CN"/>
        </w:rPr>
        <w:t xml:space="preserve"> </w:t>
      </w:r>
      <w:r>
        <w:rPr>
          <w:rFonts w:ascii="宋体" w:eastAsia="宋体" w:hAnsi="宋体" w:cs="宋体" w:hint="eastAsia"/>
          <w:spacing w:val="8"/>
          <w:sz w:val="20"/>
          <w:szCs w:val="20"/>
          <w:lang w:eastAsia="zh-CN"/>
        </w:rPr>
        <w:t>量化要求和指南</w:t>
      </w:r>
    </w:p>
    <w:p w:rsidR="0007779F" w:rsidRDefault="0007779F">
      <w:pPr>
        <w:kinsoku/>
        <w:overflowPunct w:val="0"/>
        <w:ind w:firstLineChars="200" w:firstLine="420"/>
        <w:rPr>
          <w:lang w:eastAsia="zh-CN"/>
        </w:rPr>
      </w:pPr>
    </w:p>
    <w:p w:rsidR="0007779F" w:rsidRDefault="005C7E73">
      <w:pPr>
        <w:pStyle w:val="a7"/>
        <w:kinsoku/>
        <w:overflowPunct w:val="0"/>
        <w:outlineLvl w:val="0"/>
        <w:rPr>
          <w:sz w:val="20"/>
          <w:szCs w:val="20"/>
          <w:lang w:eastAsia="zh-CN"/>
        </w:rPr>
      </w:pPr>
      <w:bookmarkStart w:id="7" w:name="bookmark7"/>
      <w:bookmarkStart w:id="8" w:name="_Toc3777"/>
      <w:bookmarkEnd w:id="7"/>
      <w:r>
        <w:rPr>
          <w:spacing w:val="7"/>
          <w:sz w:val="20"/>
          <w:szCs w:val="20"/>
          <w:lang w:eastAsia="zh-CN"/>
        </w:rPr>
        <w:t xml:space="preserve">3 </w:t>
      </w:r>
      <w:r>
        <w:rPr>
          <w:spacing w:val="7"/>
          <w:sz w:val="20"/>
          <w:szCs w:val="20"/>
          <w:lang w:eastAsia="zh-CN"/>
        </w:rPr>
        <w:t>术语和定义</w:t>
      </w:r>
      <w:bookmarkEnd w:id="8"/>
    </w:p>
    <w:p w:rsidR="0007779F" w:rsidRDefault="0007779F">
      <w:pPr>
        <w:kinsoku/>
        <w:overflowPunct w:val="0"/>
        <w:ind w:firstLineChars="200" w:firstLine="420"/>
        <w:rPr>
          <w:lang w:eastAsia="zh-CN"/>
        </w:rPr>
      </w:pPr>
    </w:p>
    <w:p w:rsidR="0007779F" w:rsidRDefault="005C7E73">
      <w:pPr>
        <w:kinsoku/>
        <w:overflowPunct w:val="0"/>
        <w:ind w:firstLineChars="200" w:firstLine="400"/>
        <w:rPr>
          <w:rFonts w:ascii="宋体" w:eastAsia="宋体" w:hAnsi="宋体" w:cs="宋体"/>
          <w:sz w:val="20"/>
          <w:szCs w:val="20"/>
          <w:lang w:eastAsia="zh-CN"/>
        </w:rPr>
      </w:pPr>
      <w:r>
        <w:rPr>
          <w:rFonts w:ascii="宋体" w:eastAsia="宋体" w:hAnsi="宋体" w:cs="宋体"/>
          <w:sz w:val="20"/>
          <w:szCs w:val="20"/>
          <w:lang w:eastAsia="zh-CN"/>
        </w:rPr>
        <w:t>GB</w:t>
      </w:r>
      <w:r>
        <w:rPr>
          <w:rFonts w:ascii="宋体" w:eastAsia="宋体" w:hAnsi="宋体" w:cs="宋体"/>
          <w:spacing w:val="8"/>
          <w:sz w:val="20"/>
          <w:szCs w:val="20"/>
          <w:lang w:eastAsia="zh-CN"/>
        </w:rPr>
        <w:t xml:space="preserve">/T </w:t>
      </w:r>
      <w:r>
        <w:rPr>
          <w:rFonts w:ascii="宋体" w:eastAsia="宋体" w:hAnsi="宋体" w:cs="宋体" w:hint="eastAsia"/>
          <w:spacing w:val="8"/>
          <w:sz w:val="20"/>
          <w:szCs w:val="20"/>
          <w:lang w:eastAsia="zh-CN"/>
        </w:rPr>
        <w:t>24067-2024</w:t>
      </w:r>
      <w:r>
        <w:rPr>
          <w:rFonts w:ascii="宋体" w:eastAsia="宋体" w:hAnsi="宋体" w:cs="宋体"/>
          <w:spacing w:val="8"/>
          <w:sz w:val="20"/>
          <w:szCs w:val="20"/>
          <w:lang w:eastAsia="zh-CN"/>
        </w:rPr>
        <w:t>界定的术语和</w:t>
      </w:r>
      <w:r>
        <w:rPr>
          <w:rFonts w:ascii="宋体" w:eastAsia="宋体" w:hAnsi="宋体" w:cs="宋体"/>
          <w:spacing w:val="7"/>
          <w:sz w:val="20"/>
          <w:szCs w:val="20"/>
          <w:lang w:eastAsia="zh-CN"/>
        </w:rPr>
        <w:t>定义适用于本文件。</w:t>
      </w:r>
    </w:p>
    <w:p w:rsidR="0007779F" w:rsidRDefault="005C7E73">
      <w:pPr>
        <w:pStyle w:val="ad"/>
        <w:numPr>
          <w:ilvl w:val="2"/>
          <w:numId w:val="0"/>
        </w:numPr>
        <w:overflowPunct w:val="0"/>
        <w:spacing w:before="120" w:after="120"/>
        <w:rPr>
          <w:rFonts w:ascii="黑体" w:hAnsi="黑体" w:cs="黑体"/>
        </w:rPr>
      </w:pPr>
      <w:bookmarkStart w:id="9" w:name="_Toc7231"/>
      <w:r>
        <w:rPr>
          <w:rFonts w:ascii="黑体" w:hAnsi="黑体" w:cs="黑体" w:hint="eastAsia"/>
        </w:rPr>
        <w:t>3.1</w:t>
      </w:r>
      <w:bookmarkEnd w:id="9"/>
    </w:p>
    <w:p w:rsidR="0007779F" w:rsidRDefault="005C7E73" w:rsidP="00996A76">
      <w:pPr>
        <w:pStyle w:val="a7"/>
        <w:kinsoku/>
        <w:overflowPunct w:val="0"/>
        <w:ind w:firstLineChars="200" w:firstLine="448"/>
        <w:rPr>
          <w:spacing w:val="14"/>
          <w:sz w:val="21"/>
          <w:szCs w:val="21"/>
          <w:lang w:eastAsia="zh-CN"/>
        </w:rPr>
      </w:pPr>
      <w:r>
        <w:rPr>
          <w:rFonts w:hint="eastAsia"/>
          <w:spacing w:val="14"/>
          <w:sz w:val="21"/>
          <w:szCs w:val="21"/>
          <w:lang w:eastAsia="zh-CN"/>
        </w:rPr>
        <w:t>产品碳足迹</w:t>
      </w:r>
      <w:r>
        <w:rPr>
          <w:rFonts w:hint="eastAsia"/>
          <w:spacing w:val="14"/>
          <w:sz w:val="21"/>
          <w:szCs w:val="21"/>
          <w:lang w:eastAsia="zh-CN"/>
        </w:rPr>
        <w:t xml:space="preserve"> carbon footprint of a product</w:t>
      </w:r>
      <w:r>
        <w:rPr>
          <w:rFonts w:hint="eastAsia"/>
          <w:spacing w:val="14"/>
          <w:sz w:val="21"/>
          <w:szCs w:val="21"/>
          <w:lang w:eastAsia="zh-CN"/>
        </w:rPr>
        <w:t>；</w:t>
      </w:r>
      <w:r>
        <w:rPr>
          <w:rFonts w:hint="eastAsia"/>
          <w:spacing w:val="14"/>
          <w:sz w:val="21"/>
          <w:szCs w:val="21"/>
          <w:lang w:eastAsia="zh-CN"/>
        </w:rPr>
        <w:t>CFP</w:t>
      </w:r>
    </w:p>
    <w:p w:rsidR="0007779F" w:rsidRDefault="005C7E73">
      <w:pPr>
        <w:pStyle w:val="ab"/>
        <w:overflowPunct w:val="0"/>
        <w:ind w:firstLine="420"/>
        <w:rPr>
          <w:rFonts w:hAnsi="宋体" w:cs="宋体"/>
          <w:szCs w:val="21"/>
        </w:rPr>
      </w:pPr>
      <w:r>
        <w:rPr>
          <w:rFonts w:hAnsi="宋体" w:cs="宋体" w:hint="eastAsia"/>
          <w:szCs w:val="21"/>
        </w:rPr>
        <w:t>产品系统中的</w:t>
      </w:r>
      <w:r>
        <w:rPr>
          <w:rFonts w:hAnsi="宋体" w:cs="宋体" w:hint="eastAsia"/>
          <w:szCs w:val="21"/>
        </w:rPr>
        <w:t>GHG</w:t>
      </w:r>
      <w:r>
        <w:rPr>
          <w:rFonts w:hAnsi="宋体" w:cs="宋体" w:hint="eastAsia"/>
          <w:szCs w:val="21"/>
        </w:rPr>
        <w:t>排放量和</w:t>
      </w:r>
      <w:r>
        <w:rPr>
          <w:rFonts w:hAnsi="宋体" w:cs="宋体" w:hint="eastAsia"/>
          <w:szCs w:val="21"/>
        </w:rPr>
        <w:t>GHG</w:t>
      </w:r>
      <w:r>
        <w:rPr>
          <w:rFonts w:hAnsi="宋体" w:cs="宋体" w:hint="eastAsia"/>
          <w:szCs w:val="21"/>
        </w:rPr>
        <w:t>清除量之和，以二氧化碳当量表示，并基于气候变化这一单一环境影响类型进行生命周期评价。</w:t>
      </w:r>
    </w:p>
    <w:p w:rsidR="0007779F" w:rsidRDefault="005C7E73">
      <w:pPr>
        <w:pStyle w:val="ab"/>
        <w:overflowPunct w:val="0"/>
        <w:ind w:firstLine="361"/>
        <w:rPr>
          <w:rFonts w:hAnsi="宋体" w:cs="宋体"/>
          <w:sz w:val="18"/>
          <w:szCs w:val="18"/>
        </w:rPr>
      </w:pPr>
      <w:r>
        <w:rPr>
          <w:rFonts w:hAnsi="宋体" w:cs="宋体" w:hint="eastAsia"/>
          <w:b/>
          <w:bCs/>
          <w:sz w:val="18"/>
          <w:szCs w:val="18"/>
        </w:rPr>
        <w:t>注</w:t>
      </w:r>
      <w:r>
        <w:rPr>
          <w:rFonts w:hAnsi="宋体" w:cs="宋体" w:hint="eastAsia"/>
          <w:b/>
          <w:bCs/>
          <w:sz w:val="18"/>
          <w:szCs w:val="18"/>
        </w:rPr>
        <w:t>1</w:t>
      </w:r>
      <w:r>
        <w:rPr>
          <w:rFonts w:hAnsi="宋体" w:cs="宋体" w:hint="eastAsia"/>
          <w:b/>
          <w:bCs/>
          <w:sz w:val="18"/>
          <w:szCs w:val="18"/>
        </w:rPr>
        <w:t>：</w:t>
      </w:r>
      <w:r>
        <w:rPr>
          <w:rFonts w:hAnsi="宋体" w:cs="宋体" w:hint="eastAsia"/>
          <w:sz w:val="18"/>
          <w:szCs w:val="18"/>
        </w:rPr>
        <w:t>产品碳足迹可用不同的图例区分和标示具体的</w:t>
      </w:r>
      <w:r>
        <w:rPr>
          <w:rFonts w:hAnsi="宋体" w:cs="宋体" w:hint="eastAsia"/>
          <w:sz w:val="18"/>
          <w:szCs w:val="18"/>
        </w:rPr>
        <w:t>GHG</w:t>
      </w:r>
      <w:r>
        <w:rPr>
          <w:rFonts w:hAnsi="宋体" w:cs="宋体" w:hint="eastAsia"/>
          <w:sz w:val="18"/>
          <w:szCs w:val="18"/>
        </w:rPr>
        <w:t>排放量和清除量，产品碳足迹也可被分解到其生命周期的各个阶段。</w:t>
      </w:r>
    </w:p>
    <w:p w:rsidR="0007779F" w:rsidRDefault="005C7E73">
      <w:pPr>
        <w:pStyle w:val="ab"/>
        <w:overflowPunct w:val="0"/>
        <w:ind w:firstLine="361"/>
        <w:rPr>
          <w:rFonts w:hAnsi="宋体" w:cs="宋体"/>
          <w:sz w:val="20"/>
        </w:rPr>
      </w:pPr>
      <w:r>
        <w:rPr>
          <w:rFonts w:hAnsi="宋体" w:cs="宋体" w:hint="eastAsia"/>
          <w:b/>
          <w:bCs/>
          <w:sz w:val="18"/>
          <w:szCs w:val="18"/>
        </w:rPr>
        <w:t>注</w:t>
      </w:r>
      <w:r>
        <w:rPr>
          <w:rFonts w:hAnsi="宋体" w:cs="宋体" w:hint="eastAsia"/>
          <w:b/>
          <w:bCs/>
          <w:sz w:val="18"/>
          <w:szCs w:val="18"/>
        </w:rPr>
        <w:t>2</w:t>
      </w:r>
      <w:r>
        <w:rPr>
          <w:rFonts w:hAnsi="宋体" w:cs="宋体" w:hint="eastAsia"/>
          <w:b/>
          <w:bCs/>
          <w:sz w:val="18"/>
          <w:szCs w:val="18"/>
        </w:rPr>
        <w:t>：</w:t>
      </w:r>
      <w:r>
        <w:rPr>
          <w:rFonts w:hAnsi="宋体" w:cs="宋体" w:hint="eastAsia"/>
          <w:sz w:val="18"/>
          <w:szCs w:val="18"/>
        </w:rPr>
        <w:t>产品碳足迹研究报告中记录了产品碳足迹的量化结果，以每个功能单位的二氧化碳当量表示。</w:t>
      </w:r>
    </w:p>
    <w:p w:rsidR="0007779F" w:rsidRDefault="005C7E73">
      <w:pPr>
        <w:pStyle w:val="a7"/>
        <w:kinsoku/>
        <w:overflowPunct w:val="0"/>
        <w:ind w:firstLineChars="200" w:firstLine="400"/>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来源：</w:t>
      </w:r>
      <w:r>
        <w:rPr>
          <w:rFonts w:ascii="宋体" w:eastAsia="宋体" w:hAnsi="宋体" w:cs="宋体" w:hint="eastAsia"/>
          <w:sz w:val="20"/>
          <w:szCs w:val="20"/>
        </w:rPr>
        <w:t>GB/T 20467-2024</w:t>
      </w:r>
      <w:r>
        <w:rPr>
          <w:rFonts w:ascii="宋体" w:eastAsia="宋体" w:hAnsi="宋体" w:cs="宋体" w:hint="eastAsia"/>
          <w:sz w:val="20"/>
          <w:szCs w:val="20"/>
        </w:rPr>
        <w:t>，</w:t>
      </w:r>
      <w:r>
        <w:rPr>
          <w:rFonts w:ascii="宋体" w:eastAsia="宋体" w:hAnsi="宋体" w:cs="宋体" w:hint="eastAsia"/>
          <w:sz w:val="20"/>
          <w:szCs w:val="20"/>
        </w:rPr>
        <w:t>3.1.1]</w:t>
      </w:r>
    </w:p>
    <w:p w:rsidR="0007779F" w:rsidRDefault="005C7E73">
      <w:pPr>
        <w:pStyle w:val="ad"/>
        <w:numPr>
          <w:ilvl w:val="2"/>
          <w:numId w:val="0"/>
        </w:numPr>
        <w:overflowPunct w:val="0"/>
        <w:spacing w:before="120" w:after="120"/>
        <w:rPr>
          <w:rFonts w:ascii="黑体" w:hAnsi="黑体" w:cs="黑体"/>
        </w:rPr>
      </w:pPr>
      <w:bookmarkStart w:id="10" w:name="_Toc14207"/>
      <w:bookmarkStart w:id="11" w:name="_Toc5245"/>
      <w:bookmarkStart w:id="12" w:name="_Toc12641"/>
      <w:bookmarkStart w:id="13" w:name="_Toc3536"/>
      <w:bookmarkStart w:id="14" w:name="_Toc755"/>
      <w:bookmarkStart w:id="15" w:name="_Toc11218"/>
      <w:bookmarkStart w:id="16" w:name="_Toc6515"/>
      <w:bookmarkStart w:id="17" w:name="_Toc24830"/>
      <w:bookmarkEnd w:id="10"/>
      <w:bookmarkEnd w:id="11"/>
      <w:bookmarkEnd w:id="12"/>
      <w:bookmarkEnd w:id="13"/>
      <w:bookmarkEnd w:id="14"/>
      <w:bookmarkEnd w:id="15"/>
      <w:bookmarkEnd w:id="16"/>
      <w:r>
        <w:rPr>
          <w:rFonts w:ascii="黑体" w:hAnsi="黑体" w:cs="黑体" w:hint="eastAsia"/>
        </w:rPr>
        <w:t>3.2</w:t>
      </w:r>
      <w:bookmarkEnd w:id="17"/>
    </w:p>
    <w:p w:rsidR="0007779F" w:rsidRDefault="005C7E73" w:rsidP="00996A76">
      <w:pPr>
        <w:pStyle w:val="a7"/>
        <w:kinsoku/>
        <w:overflowPunct w:val="0"/>
        <w:ind w:firstLineChars="200" w:firstLine="448"/>
        <w:rPr>
          <w:spacing w:val="14"/>
          <w:sz w:val="21"/>
          <w:szCs w:val="21"/>
          <w:lang w:eastAsia="zh-CN"/>
        </w:rPr>
      </w:pPr>
      <w:r>
        <w:rPr>
          <w:rFonts w:hint="eastAsia"/>
          <w:spacing w:val="14"/>
          <w:sz w:val="21"/>
          <w:szCs w:val="21"/>
          <w:lang w:eastAsia="zh-CN"/>
        </w:rPr>
        <w:t>系统边界</w:t>
      </w:r>
      <w:r>
        <w:rPr>
          <w:rFonts w:hint="eastAsia"/>
          <w:spacing w:val="14"/>
          <w:sz w:val="21"/>
          <w:szCs w:val="21"/>
          <w:lang w:eastAsia="zh-CN"/>
        </w:rPr>
        <w:t xml:space="preserve"> system boundary</w:t>
      </w:r>
    </w:p>
    <w:p w:rsidR="0007779F" w:rsidRDefault="005C7E73">
      <w:pPr>
        <w:pStyle w:val="ab"/>
        <w:overflowPunct w:val="0"/>
        <w:ind w:firstLine="420"/>
        <w:rPr>
          <w:rFonts w:ascii="Times New Roman"/>
          <w:bCs/>
          <w:szCs w:val="21"/>
        </w:rPr>
      </w:pPr>
      <w:r>
        <w:rPr>
          <w:rFonts w:ascii="Times New Roman"/>
          <w:bCs/>
          <w:szCs w:val="21"/>
        </w:rPr>
        <w:t>通过一组准则确定哪些单元过程属于产品系统的一部分。</w:t>
      </w:r>
    </w:p>
    <w:p w:rsidR="0007779F" w:rsidRDefault="005C7E73">
      <w:pPr>
        <w:pStyle w:val="ab"/>
        <w:overflowPunct w:val="0"/>
        <w:ind w:firstLine="420"/>
        <w:rPr>
          <w:rFonts w:ascii="Times New Roman"/>
          <w:bCs/>
          <w:szCs w:val="21"/>
        </w:rPr>
      </w:pPr>
      <w:r>
        <w:rPr>
          <w:rFonts w:ascii="Times New Roman" w:hint="eastAsia"/>
          <w:bCs/>
          <w:szCs w:val="21"/>
        </w:rPr>
        <w:t>[</w:t>
      </w:r>
      <w:r>
        <w:rPr>
          <w:rFonts w:ascii="Times New Roman"/>
          <w:bCs/>
          <w:szCs w:val="21"/>
        </w:rPr>
        <w:t>来源：</w:t>
      </w:r>
      <w:r>
        <w:rPr>
          <w:rFonts w:ascii="Times New Roman"/>
          <w:bCs/>
          <w:szCs w:val="21"/>
        </w:rPr>
        <w:t>GB/T2404</w:t>
      </w:r>
      <w:r>
        <w:rPr>
          <w:rFonts w:ascii="Times New Roman" w:hint="eastAsia"/>
          <w:bCs/>
          <w:szCs w:val="21"/>
        </w:rPr>
        <w:t>7</w:t>
      </w:r>
      <w:r>
        <w:rPr>
          <w:rFonts w:ascii="Times New Roman"/>
          <w:bCs/>
          <w:szCs w:val="21"/>
        </w:rPr>
        <w:t>-20</w:t>
      </w:r>
      <w:r>
        <w:rPr>
          <w:rFonts w:ascii="Times New Roman" w:hint="eastAsia"/>
          <w:bCs/>
          <w:szCs w:val="21"/>
        </w:rPr>
        <w:t>24</w:t>
      </w:r>
      <w:r>
        <w:rPr>
          <w:rFonts w:ascii="Times New Roman"/>
          <w:bCs/>
          <w:szCs w:val="21"/>
        </w:rPr>
        <w:t>，</w:t>
      </w:r>
      <w:r>
        <w:rPr>
          <w:rFonts w:ascii="Times New Roman"/>
          <w:bCs/>
          <w:szCs w:val="21"/>
        </w:rPr>
        <w:t>3.</w:t>
      </w:r>
      <w:r>
        <w:rPr>
          <w:rFonts w:ascii="Times New Roman" w:hint="eastAsia"/>
          <w:bCs/>
          <w:szCs w:val="21"/>
        </w:rPr>
        <w:t>3.4]</w:t>
      </w:r>
    </w:p>
    <w:p w:rsidR="0007779F" w:rsidRDefault="005C7E73">
      <w:pPr>
        <w:pStyle w:val="ad"/>
        <w:numPr>
          <w:ilvl w:val="2"/>
          <w:numId w:val="0"/>
        </w:numPr>
        <w:overflowPunct w:val="0"/>
        <w:spacing w:before="120" w:after="120"/>
        <w:rPr>
          <w:rFonts w:ascii="黑体" w:hAnsi="黑体" w:cs="黑体"/>
        </w:rPr>
      </w:pPr>
      <w:bookmarkStart w:id="18" w:name="_Toc12087"/>
      <w:bookmarkStart w:id="19" w:name="_Toc28293"/>
      <w:bookmarkStart w:id="20" w:name="_Toc4002"/>
      <w:bookmarkStart w:id="21" w:name="_Toc30873"/>
      <w:bookmarkStart w:id="22" w:name="_Toc6583"/>
      <w:bookmarkStart w:id="23" w:name="_Toc9257"/>
      <w:bookmarkStart w:id="24" w:name="_Toc16732"/>
      <w:bookmarkStart w:id="25" w:name="_Toc14758"/>
      <w:bookmarkStart w:id="26" w:name="_Toc10411"/>
      <w:bookmarkStart w:id="27" w:name="_Toc13158"/>
      <w:bookmarkStart w:id="28" w:name="_Toc32570"/>
      <w:bookmarkStart w:id="29" w:name="_Toc30332"/>
      <w:bookmarkStart w:id="30" w:name="_Toc13588"/>
      <w:bookmarkStart w:id="31" w:name="_Toc18053"/>
      <w:bookmarkStart w:id="32" w:name="_Toc27626"/>
      <w:bookmarkStart w:id="33" w:name="_Toc19697"/>
      <w:bookmarkStart w:id="34" w:name="_Toc26163"/>
      <w:bookmarkStart w:id="35" w:name="_Toc9214"/>
      <w:bookmarkStart w:id="36" w:name="_Toc5104"/>
      <w:bookmarkStart w:id="37" w:name="_Toc8313"/>
      <w:bookmarkStart w:id="38" w:name="_Toc10886"/>
      <w:bookmarkStart w:id="39" w:name="_Toc32528"/>
      <w:bookmarkStart w:id="40" w:name="_Toc29210"/>
      <w:bookmarkStart w:id="41" w:name="_Toc3150"/>
      <w:bookmarkStart w:id="42" w:name="_Toc19441"/>
      <w:bookmarkStart w:id="43" w:name="_Toc10737"/>
      <w:bookmarkStart w:id="44" w:name="_Toc8673"/>
      <w:bookmarkStart w:id="45" w:name="_Toc23259"/>
      <w:bookmarkStart w:id="46" w:name="_Toc26831"/>
      <w:bookmarkStart w:id="47" w:name="_Toc2533"/>
      <w:bookmarkStart w:id="48" w:name="_Toc2976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黑体" w:hAnsi="黑体" w:cs="黑体" w:hint="eastAsia"/>
        </w:rPr>
        <w:t>3.3</w:t>
      </w:r>
      <w:bookmarkEnd w:id="48"/>
    </w:p>
    <w:p w:rsidR="0007779F" w:rsidRDefault="005C7E73" w:rsidP="00996A76">
      <w:pPr>
        <w:pStyle w:val="a7"/>
        <w:kinsoku/>
        <w:overflowPunct w:val="0"/>
        <w:ind w:firstLineChars="200" w:firstLine="448"/>
        <w:rPr>
          <w:spacing w:val="14"/>
          <w:sz w:val="21"/>
          <w:szCs w:val="21"/>
          <w:lang w:eastAsia="zh-CN"/>
        </w:rPr>
      </w:pPr>
      <w:r>
        <w:rPr>
          <w:rFonts w:hint="eastAsia"/>
          <w:spacing w:val="14"/>
          <w:sz w:val="21"/>
          <w:szCs w:val="21"/>
          <w:lang w:eastAsia="zh-CN"/>
        </w:rPr>
        <w:t>初级数据</w:t>
      </w:r>
      <w:r>
        <w:rPr>
          <w:rFonts w:hint="eastAsia"/>
          <w:spacing w:val="14"/>
          <w:sz w:val="21"/>
          <w:szCs w:val="21"/>
          <w:lang w:eastAsia="zh-CN"/>
        </w:rPr>
        <w:t xml:space="preserve"> primary data</w:t>
      </w:r>
    </w:p>
    <w:p w:rsidR="0007779F" w:rsidRDefault="005C7E73">
      <w:pPr>
        <w:pStyle w:val="ae"/>
        <w:kinsoku/>
        <w:overflowPunct w:val="0"/>
        <w:rPr>
          <w:rFonts w:cs="Times New Roman"/>
          <w:lang w:eastAsia="zh-CN"/>
        </w:rPr>
      </w:pPr>
      <w:r>
        <w:rPr>
          <w:rFonts w:cs="Times New Roman" w:hint="eastAsia"/>
          <w:lang w:eastAsia="zh-CN"/>
        </w:rPr>
        <w:t>通过直接测量或基于直接测量的计算得到的过程或活动的量化值。</w:t>
      </w:r>
    </w:p>
    <w:p w:rsidR="0007779F" w:rsidRDefault="005C7E73">
      <w:pPr>
        <w:pStyle w:val="ae"/>
        <w:kinsoku/>
        <w:overflowPunct w:val="0"/>
        <w:ind w:firstLine="361"/>
        <w:rPr>
          <w:rFonts w:cs="Times New Roman"/>
          <w:sz w:val="18"/>
          <w:szCs w:val="18"/>
          <w:lang w:eastAsia="zh-CN"/>
        </w:rPr>
      </w:pPr>
      <w:r>
        <w:rPr>
          <w:rFonts w:cs="Times New Roman"/>
          <w:b/>
          <w:bCs/>
          <w:sz w:val="18"/>
          <w:szCs w:val="18"/>
          <w:lang w:eastAsia="zh-CN"/>
        </w:rPr>
        <w:t>注</w:t>
      </w:r>
      <w:r>
        <w:rPr>
          <w:rFonts w:cs="Times New Roman" w:hint="eastAsia"/>
          <w:b/>
          <w:bCs/>
          <w:sz w:val="18"/>
          <w:szCs w:val="18"/>
          <w:lang w:eastAsia="zh-CN"/>
        </w:rPr>
        <w:t>1</w:t>
      </w:r>
      <w:r>
        <w:rPr>
          <w:rFonts w:cs="Times New Roman"/>
          <w:b/>
          <w:bCs/>
          <w:sz w:val="18"/>
          <w:szCs w:val="18"/>
          <w:lang w:eastAsia="zh-CN"/>
        </w:rPr>
        <w:t>：</w:t>
      </w:r>
      <w:r>
        <w:rPr>
          <w:rFonts w:cs="Times New Roman"/>
          <w:sz w:val="18"/>
          <w:szCs w:val="18"/>
          <w:lang w:eastAsia="zh-CN"/>
        </w:rPr>
        <w:t>初级数据并非必须来自所研究的产品系统，因为初级数据可能涉及其他与所研究的产品系统具有可比性的产品系统。</w:t>
      </w:r>
    </w:p>
    <w:p w:rsidR="0007779F" w:rsidRDefault="005C7E73">
      <w:pPr>
        <w:pStyle w:val="ae"/>
        <w:kinsoku/>
        <w:overflowPunct w:val="0"/>
        <w:ind w:firstLine="361"/>
        <w:rPr>
          <w:rFonts w:cs="Times New Roman"/>
          <w:sz w:val="18"/>
          <w:szCs w:val="18"/>
          <w:lang w:eastAsia="zh-CN"/>
        </w:rPr>
      </w:pPr>
      <w:r>
        <w:rPr>
          <w:rFonts w:cs="Times New Roman"/>
          <w:b/>
          <w:bCs/>
          <w:sz w:val="18"/>
          <w:szCs w:val="18"/>
          <w:lang w:eastAsia="zh-CN"/>
        </w:rPr>
        <w:t>注</w:t>
      </w:r>
      <w:r>
        <w:rPr>
          <w:rFonts w:cs="Times New Roman" w:hint="eastAsia"/>
          <w:b/>
          <w:bCs/>
          <w:sz w:val="18"/>
          <w:szCs w:val="18"/>
          <w:lang w:eastAsia="zh-CN"/>
        </w:rPr>
        <w:t>2</w:t>
      </w:r>
      <w:r>
        <w:rPr>
          <w:rFonts w:cs="Times New Roman"/>
          <w:b/>
          <w:bCs/>
          <w:sz w:val="18"/>
          <w:szCs w:val="18"/>
          <w:lang w:eastAsia="zh-CN"/>
        </w:rPr>
        <w:t>：</w:t>
      </w:r>
      <w:r>
        <w:rPr>
          <w:rFonts w:cs="Times New Roman"/>
          <w:sz w:val="18"/>
          <w:szCs w:val="18"/>
          <w:lang w:eastAsia="zh-CN"/>
        </w:rPr>
        <w:t>初级数据可以包括温室气体排放因子或温室气体活动数据。</w:t>
      </w:r>
    </w:p>
    <w:p w:rsidR="0007779F" w:rsidRDefault="005C7E73">
      <w:pPr>
        <w:pStyle w:val="ae"/>
        <w:kinsoku/>
        <w:overflowPunct w:val="0"/>
        <w:rPr>
          <w:rFonts w:cs="Times New Roman"/>
          <w:lang w:eastAsia="zh-CN"/>
        </w:rPr>
      </w:pPr>
      <w:r>
        <w:rPr>
          <w:rFonts w:cs="Times New Roman" w:hint="eastAsia"/>
          <w:lang w:eastAsia="zh-CN"/>
        </w:rPr>
        <w:t>[</w:t>
      </w:r>
      <w:r>
        <w:rPr>
          <w:rFonts w:cs="Times New Roman" w:hint="eastAsia"/>
          <w:lang w:eastAsia="zh-CN"/>
        </w:rPr>
        <w:t>来源</w:t>
      </w:r>
      <w:r>
        <w:rPr>
          <w:rFonts w:cs="Times New Roman"/>
          <w:lang w:eastAsia="zh-CN"/>
        </w:rPr>
        <w:t>：</w:t>
      </w:r>
      <w:r>
        <w:rPr>
          <w:rFonts w:cs="Times New Roman" w:hint="eastAsia"/>
          <w:lang w:eastAsia="zh-CN"/>
        </w:rPr>
        <w:t>GB/T 24067-2024</w:t>
      </w:r>
      <w:r>
        <w:rPr>
          <w:rFonts w:cs="Times New Roman"/>
          <w:lang w:eastAsia="zh-CN"/>
        </w:rPr>
        <w:t>，</w:t>
      </w:r>
      <w:r>
        <w:rPr>
          <w:rFonts w:cs="Times New Roman"/>
          <w:lang w:eastAsia="zh-CN"/>
        </w:rPr>
        <w:t>3.6.1</w:t>
      </w:r>
      <w:r>
        <w:rPr>
          <w:rFonts w:cs="Times New Roman" w:hint="eastAsia"/>
          <w:lang w:eastAsia="zh-CN"/>
        </w:rPr>
        <w:t>]</w:t>
      </w:r>
    </w:p>
    <w:p w:rsidR="0007779F" w:rsidRDefault="005C7E73">
      <w:pPr>
        <w:pStyle w:val="ad"/>
        <w:numPr>
          <w:ilvl w:val="2"/>
          <w:numId w:val="0"/>
        </w:numPr>
        <w:overflowPunct w:val="0"/>
        <w:spacing w:before="120" w:after="120"/>
        <w:rPr>
          <w:rFonts w:ascii="黑体" w:hAnsi="黑体" w:cs="黑体"/>
        </w:rPr>
      </w:pPr>
      <w:bookmarkStart w:id="49" w:name="_Toc17538"/>
      <w:bookmarkStart w:id="50" w:name="_Toc7616"/>
      <w:bookmarkStart w:id="51" w:name="_Toc1698"/>
      <w:bookmarkStart w:id="52" w:name="_Toc14251"/>
      <w:bookmarkStart w:id="53" w:name="_Toc7241"/>
      <w:bookmarkStart w:id="54" w:name="_Toc18469"/>
      <w:bookmarkStart w:id="55" w:name="_Toc7293"/>
      <w:bookmarkStart w:id="56" w:name="_Toc23110"/>
      <w:bookmarkEnd w:id="49"/>
      <w:bookmarkEnd w:id="50"/>
      <w:bookmarkEnd w:id="51"/>
      <w:bookmarkEnd w:id="52"/>
      <w:bookmarkEnd w:id="53"/>
      <w:bookmarkEnd w:id="54"/>
      <w:bookmarkEnd w:id="55"/>
      <w:r>
        <w:rPr>
          <w:rFonts w:ascii="黑体" w:hAnsi="黑体" w:cs="黑体" w:hint="eastAsia"/>
        </w:rPr>
        <w:t>3.4</w:t>
      </w:r>
      <w:bookmarkEnd w:id="56"/>
    </w:p>
    <w:p w:rsidR="0007779F" w:rsidRDefault="005C7E73" w:rsidP="00996A76">
      <w:pPr>
        <w:pStyle w:val="a7"/>
        <w:kinsoku/>
        <w:overflowPunct w:val="0"/>
        <w:ind w:firstLineChars="200" w:firstLine="448"/>
        <w:rPr>
          <w:spacing w:val="14"/>
          <w:sz w:val="21"/>
          <w:szCs w:val="21"/>
          <w:lang w:eastAsia="zh-CN"/>
        </w:rPr>
      </w:pPr>
      <w:r>
        <w:rPr>
          <w:rFonts w:hint="eastAsia"/>
          <w:spacing w:val="14"/>
          <w:sz w:val="21"/>
          <w:szCs w:val="21"/>
          <w:lang w:eastAsia="zh-CN"/>
        </w:rPr>
        <w:t>次级数据</w:t>
      </w:r>
      <w:r>
        <w:rPr>
          <w:rFonts w:hint="eastAsia"/>
          <w:spacing w:val="14"/>
          <w:sz w:val="21"/>
          <w:szCs w:val="21"/>
          <w:lang w:eastAsia="zh-CN"/>
        </w:rPr>
        <w:t xml:space="preserve"> secondary data</w:t>
      </w:r>
    </w:p>
    <w:p w:rsidR="0007779F" w:rsidRDefault="005C7E73">
      <w:pPr>
        <w:pStyle w:val="ae"/>
        <w:kinsoku/>
        <w:overflowPunct w:val="0"/>
        <w:rPr>
          <w:rFonts w:cs="Times New Roman"/>
          <w:lang w:eastAsia="zh-CN"/>
        </w:rPr>
      </w:pPr>
      <w:r>
        <w:rPr>
          <w:rFonts w:cs="Times New Roman" w:hint="eastAsia"/>
          <w:lang w:eastAsia="zh-CN"/>
        </w:rPr>
        <w:t>不符合初级数据要求的数据。</w:t>
      </w:r>
      <w:r>
        <w:rPr>
          <w:rFonts w:cs="Times New Roman" w:hint="eastAsia"/>
          <w:lang w:eastAsia="zh-CN"/>
        </w:rPr>
        <w:t xml:space="preserve"> </w:t>
      </w:r>
    </w:p>
    <w:p w:rsidR="0007779F" w:rsidRDefault="005C7E73">
      <w:pPr>
        <w:pStyle w:val="ae"/>
        <w:kinsoku/>
        <w:overflowPunct w:val="0"/>
        <w:ind w:firstLine="361"/>
        <w:rPr>
          <w:rFonts w:cs="Times New Roman"/>
          <w:bCs/>
          <w:sz w:val="18"/>
          <w:szCs w:val="18"/>
          <w:lang w:eastAsia="zh-CN"/>
        </w:rPr>
      </w:pPr>
      <w:r>
        <w:rPr>
          <w:rFonts w:cs="Times New Roman"/>
          <w:b/>
          <w:bCs/>
          <w:sz w:val="18"/>
          <w:szCs w:val="18"/>
          <w:lang w:eastAsia="zh-CN"/>
        </w:rPr>
        <w:lastRenderedPageBreak/>
        <w:t>注</w:t>
      </w:r>
      <w:r>
        <w:rPr>
          <w:rFonts w:cs="Times New Roman" w:hint="eastAsia"/>
          <w:b/>
          <w:bCs/>
          <w:sz w:val="18"/>
          <w:szCs w:val="18"/>
          <w:lang w:eastAsia="zh-CN"/>
        </w:rPr>
        <w:t>1</w:t>
      </w:r>
      <w:r>
        <w:rPr>
          <w:rFonts w:cs="Times New Roman"/>
          <w:b/>
          <w:bCs/>
          <w:sz w:val="18"/>
          <w:szCs w:val="18"/>
          <w:lang w:eastAsia="zh-CN"/>
        </w:rPr>
        <w:t>：</w:t>
      </w:r>
      <w:r>
        <w:rPr>
          <w:rFonts w:cs="Times New Roman"/>
          <w:bCs/>
          <w:sz w:val="18"/>
          <w:szCs w:val="18"/>
          <w:lang w:eastAsia="zh-CN"/>
        </w:rPr>
        <w:t>次级数据是经权威机构验证且具有可信度的数据，可来源于数据库、公开文献、国家排放因子、计算估算数据或其他具有代表性的数据，推荐使用本土化数据库。</w:t>
      </w:r>
    </w:p>
    <w:p w:rsidR="0007779F" w:rsidRDefault="005C7E73">
      <w:pPr>
        <w:pStyle w:val="ae"/>
        <w:kinsoku/>
        <w:overflowPunct w:val="0"/>
        <w:ind w:firstLine="361"/>
        <w:rPr>
          <w:rFonts w:cs="Times New Roman"/>
          <w:bCs/>
          <w:sz w:val="18"/>
          <w:szCs w:val="18"/>
          <w:lang w:eastAsia="zh-CN"/>
        </w:rPr>
      </w:pPr>
      <w:r>
        <w:rPr>
          <w:rFonts w:cs="Times New Roman"/>
          <w:b/>
          <w:bCs/>
          <w:sz w:val="18"/>
          <w:szCs w:val="18"/>
          <w:lang w:eastAsia="zh-CN"/>
        </w:rPr>
        <w:t>注</w:t>
      </w:r>
      <w:r>
        <w:rPr>
          <w:rFonts w:cs="Times New Roman" w:hint="eastAsia"/>
          <w:b/>
          <w:bCs/>
          <w:sz w:val="18"/>
          <w:szCs w:val="18"/>
          <w:lang w:eastAsia="zh-CN"/>
        </w:rPr>
        <w:t>2</w:t>
      </w:r>
      <w:r>
        <w:rPr>
          <w:rFonts w:cs="Times New Roman"/>
          <w:b/>
          <w:bCs/>
          <w:sz w:val="18"/>
          <w:szCs w:val="18"/>
          <w:lang w:eastAsia="zh-CN"/>
        </w:rPr>
        <w:t>：</w:t>
      </w:r>
      <w:r>
        <w:rPr>
          <w:rFonts w:cs="Times New Roman"/>
          <w:bCs/>
          <w:sz w:val="18"/>
          <w:szCs w:val="18"/>
          <w:lang w:eastAsia="zh-CN"/>
        </w:rPr>
        <w:t>次级数据可包括从代替过程或估计获得的数据。</w:t>
      </w:r>
    </w:p>
    <w:p w:rsidR="0007779F" w:rsidRDefault="005C7E73">
      <w:pPr>
        <w:pStyle w:val="ae"/>
        <w:kinsoku/>
        <w:overflowPunct w:val="0"/>
        <w:rPr>
          <w:rFonts w:cs="Times New Roman"/>
          <w:lang w:eastAsia="zh-CN"/>
        </w:rPr>
      </w:pPr>
      <w:r>
        <w:rPr>
          <w:rFonts w:cs="Times New Roman" w:hint="eastAsia"/>
          <w:lang w:eastAsia="zh-CN"/>
        </w:rPr>
        <w:t>[</w:t>
      </w:r>
      <w:r>
        <w:rPr>
          <w:rFonts w:cs="Times New Roman" w:hint="eastAsia"/>
          <w:lang w:eastAsia="zh-CN"/>
        </w:rPr>
        <w:t>来源：</w:t>
      </w:r>
      <w:r>
        <w:rPr>
          <w:rFonts w:cs="Times New Roman" w:hint="eastAsia"/>
          <w:lang w:eastAsia="zh-CN"/>
        </w:rPr>
        <w:t>GB/T 24067-2024</w:t>
      </w:r>
      <w:r>
        <w:rPr>
          <w:rFonts w:cs="Times New Roman" w:hint="eastAsia"/>
          <w:lang w:eastAsia="zh-CN"/>
        </w:rPr>
        <w:t>，</w:t>
      </w:r>
      <w:r>
        <w:rPr>
          <w:rFonts w:cs="Times New Roman" w:hint="eastAsia"/>
          <w:lang w:eastAsia="zh-CN"/>
        </w:rPr>
        <w:t>3.6.3]</w:t>
      </w:r>
    </w:p>
    <w:p w:rsidR="0007779F" w:rsidRDefault="005C7E73" w:rsidP="00996A76">
      <w:pPr>
        <w:pStyle w:val="a7"/>
        <w:kinsoku/>
        <w:overflowPunct w:val="0"/>
        <w:spacing w:beforeLines="100" w:afterLines="100"/>
        <w:outlineLvl w:val="0"/>
        <w:rPr>
          <w:spacing w:val="6"/>
          <w:sz w:val="20"/>
          <w:szCs w:val="20"/>
          <w:lang w:eastAsia="zh-CN"/>
        </w:rPr>
      </w:pPr>
      <w:bookmarkStart w:id="57" w:name="_Toc15208"/>
      <w:r>
        <w:rPr>
          <w:spacing w:val="6"/>
          <w:sz w:val="20"/>
          <w:szCs w:val="20"/>
          <w:lang w:eastAsia="zh-CN"/>
        </w:rPr>
        <w:t xml:space="preserve">4 </w:t>
      </w:r>
      <w:r>
        <w:rPr>
          <w:rFonts w:hint="eastAsia"/>
          <w:spacing w:val="6"/>
          <w:sz w:val="20"/>
          <w:szCs w:val="20"/>
          <w:lang w:eastAsia="zh-CN"/>
        </w:rPr>
        <w:t>量化目的</w:t>
      </w:r>
      <w:bookmarkEnd w:id="57"/>
    </w:p>
    <w:p w:rsidR="0007779F" w:rsidRDefault="005C7E73" w:rsidP="00996A76">
      <w:pPr>
        <w:kinsoku/>
        <w:overflowPunct w:val="0"/>
        <w:ind w:firstLineChars="200" w:firstLine="438"/>
        <w:rPr>
          <w:spacing w:val="6"/>
          <w:lang w:eastAsia="zh-CN"/>
        </w:rPr>
      </w:pPr>
      <w:r>
        <w:rPr>
          <w:rFonts w:ascii="宋体" w:eastAsia="宋体" w:hAnsi="宋体" w:cs="宋体" w:hint="eastAsia"/>
          <w:spacing w:val="9"/>
          <w:lang w:eastAsia="zh-CN"/>
        </w:rPr>
        <w:t>开展碳酸钾产品碳足迹研究的总体目的是结合取舍准则</w:t>
      </w:r>
      <w:r>
        <w:rPr>
          <w:rFonts w:ascii="宋体" w:eastAsia="宋体" w:hAnsi="宋体" w:cs="宋体" w:hint="eastAsia"/>
          <w:spacing w:val="9"/>
          <w:lang w:eastAsia="zh-CN"/>
        </w:rPr>
        <w:t>,</w:t>
      </w:r>
      <w:r>
        <w:rPr>
          <w:rFonts w:ascii="宋体" w:eastAsia="宋体" w:hAnsi="宋体" w:cs="宋体" w:hint="eastAsia"/>
          <w:spacing w:val="9"/>
          <w:lang w:eastAsia="zh-CN"/>
        </w:rPr>
        <w:t>通过量化碳酸钾产品全生命周期所有显著的温室气体排放量和清除量，计算产品对全球变暖的潜在影响（以二氧化碳当量表示</w:t>
      </w:r>
      <w:r>
        <w:rPr>
          <w:rFonts w:ascii="宋体" w:eastAsia="宋体" w:hAnsi="宋体" w:cs="宋体" w:hint="eastAsia"/>
          <w:spacing w:val="9"/>
          <w:lang w:eastAsia="zh-CN"/>
        </w:rPr>
        <w:t>)</w:t>
      </w:r>
      <w:r>
        <w:rPr>
          <w:rFonts w:ascii="宋体" w:eastAsia="宋体" w:hAnsi="宋体" w:cs="宋体" w:hint="eastAsia"/>
          <w:spacing w:val="9"/>
          <w:lang w:eastAsia="zh-CN"/>
        </w:rPr>
        <w:t>。碳酸钾产品碳足迹量化结果可作为产品碳足迹绩效评价、产品碳足迹信息披露、环保信息公开等不同应用的依据。</w:t>
      </w:r>
      <w:bookmarkStart w:id="58" w:name="bookmark11"/>
      <w:bookmarkStart w:id="59" w:name="bookmark9"/>
      <w:bookmarkEnd w:id="58"/>
      <w:bookmarkEnd w:id="59"/>
    </w:p>
    <w:p w:rsidR="0007779F" w:rsidRDefault="005C7E73" w:rsidP="00996A76">
      <w:pPr>
        <w:pStyle w:val="a7"/>
        <w:kinsoku/>
        <w:overflowPunct w:val="0"/>
        <w:spacing w:beforeLines="100" w:afterLines="100"/>
        <w:outlineLvl w:val="0"/>
        <w:rPr>
          <w:spacing w:val="6"/>
          <w:sz w:val="20"/>
          <w:szCs w:val="20"/>
          <w:lang w:eastAsia="zh-CN"/>
        </w:rPr>
      </w:pPr>
      <w:bookmarkStart w:id="60" w:name="_Toc18086"/>
      <w:r>
        <w:rPr>
          <w:rFonts w:hint="eastAsia"/>
          <w:spacing w:val="6"/>
          <w:sz w:val="20"/>
          <w:szCs w:val="20"/>
          <w:lang w:eastAsia="zh-CN"/>
        </w:rPr>
        <w:t xml:space="preserve">5 </w:t>
      </w:r>
      <w:r>
        <w:rPr>
          <w:rFonts w:hint="eastAsia"/>
          <w:spacing w:val="6"/>
          <w:sz w:val="20"/>
          <w:szCs w:val="20"/>
          <w:lang w:eastAsia="zh-CN"/>
        </w:rPr>
        <w:t>量化范围</w:t>
      </w:r>
      <w:bookmarkEnd w:id="60"/>
    </w:p>
    <w:p w:rsidR="0007779F" w:rsidRDefault="005C7E73">
      <w:pPr>
        <w:pStyle w:val="a7"/>
        <w:kinsoku/>
        <w:overflowPunct w:val="0"/>
        <w:outlineLvl w:val="2"/>
        <w:rPr>
          <w:spacing w:val="6"/>
          <w:sz w:val="20"/>
          <w:szCs w:val="20"/>
          <w:lang w:eastAsia="zh-CN"/>
        </w:rPr>
      </w:pPr>
      <w:bookmarkStart w:id="61" w:name="_Toc8493"/>
      <w:r>
        <w:rPr>
          <w:rFonts w:hint="eastAsia"/>
          <w:spacing w:val="6"/>
          <w:sz w:val="20"/>
          <w:szCs w:val="20"/>
          <w:lang w:eastAsia="zh-CN"/>
        </w:rPr>
        <w:t xml:space="preserve">5.1 </w:t>
      </w:r>
      <w:r>
        <w:rPr>
          <w:rFonts w:hint="eastAsia"/>
          <w:spacing w:val="6"/>
          <w:sz w:val="20"/>
          <w:szCs w:val="20"/>
          <w:lang w:eastAsia="zh-CN"/>
        </w:rPr>
        <w:t>产品描述</w:t>
      </w:r>
      <w:bookmarkEnd w:id="61"/>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产品描述应使用户能够清晰识别产品，并可参照</w:t>
      </w:r>
      <w:r>
        <w:rPr>
          <w:rFonts w:ascii="宋体" w:eastAsia="宋体" w:hAnsi="宋体" w:cs="宋体" w:hint="eastAsia"/>
          <w:spacing w:val="9"/>
          <w:lang w:eastAsia="zh-CN"/>
        </w:rPr>
        <w:t>GB/T 1587</w:t>
      </w:r>
      <w:r>
        <w:rPr>
          <w:rFonts w:ascii="宋体" w:eastAsia="宋体" w:hAnsi="宋体" w:cs="宋体" w:hint="eastAsia"/>
          <w:spacing w:val="9"/>
          <w:lang w:eastAsia="zh-CN"/>
        </w:rPr>
        <w:t>的要求进行描述，描述内容包括但不限于：</w:t>
      </w:r>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1</w:t>
      </w:r>
      <w:r>
        <w:rPr>
          <w:rFonts w:ascii="宋体" w:eastAsia="宋体" w:hAnsi="宋体" w:cs="宋体" w:hint="eastAsia"/>
          <w:spacing w:val="9"/>
          <w:lang w:eastAsia="zh-CN"/>
        </w:rPr>
        <w:t>）产品分类；</w:t>
      </w:r>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2</w:t>
      </w:r>
      <w:r>
        <w:rPr>
          <w:rFonts w:ascii="宋体" w:eastAsia="宋体" w:hAnsi="宋体" w:cs="宋体" w:hint="eastAsia"/>
          <w:spacing w:val="9"/>
          <w:lang w:eastAsia="zh-CN"/>
        </w:rPr>
        <w:t>）产品参数；</w:t>
      </w:r>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3</w:t>
      </w:r>
      <w:r>
        <w:rPr>
          <w:rFonts w:ascii="宋体" w:eastAsia="宋体" w:hAnsi="宋体" w:cs="宋体" w:hint="eastAsia"/>
          <w:spacing w:val="9"/>
          <w:lang w:eastAsia="zh-CN"/>
        </w:rPr>
        <w:t>）产品净重；</w:t>
      </w:r>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4</w:t>
      </w:r>
      <w:r>
        <w:rPr>
          <w:rFonts w:ascii="宋体" w:eastAsia="宋体" w:hAnsi="宋体" w:cs="宋体" w:hint="eastAsia"/>
          <w:spacing w:val="9"/>
          <w:lang w:eastAsia="zh-CN"/>
        </w:rPr>
        <w:t>）分析检验结果及检验部门印记；</w:t>
      </w:r>
    </w:p>
    <w:p w:rsidR="0007779F" w:rsidRDefault="005C7E73" w:rsidP="00996A76">
      <w:pPr>
        <w:kinsoku/>
        <w:overflowPunct w:val="0"/>
        <w:ind w:firstLineChars="200" w:firstLine="438"/>
        <w:rPr>
          <w:rFonts w:ascii="宋体" w:eastAsia="宋体" w:hAnsi="宋体" w:cs="宋体"/>
          <w:spacing w:val="9"/>
          <w:lang w:eastAsia="zh-CN"/>
        </w:rPr>
      </w:pPr>
      <w:r>
        <w:rPr>
          <w:rFonts w:ascii="宋体" w:eastAsia="宋体" w:hAnsi="宋体" w:cs="宋体" w:hint="eastAsia"/>
          <w:spacing w:val="9"/>
          <w:lang w:eastAsia="zh-CN"/>
        </w:rPr>
        <w:t>5</w:t>
      </w:r>
      <w:r>
        <w:rPr>
          <w:rFonts w:ascii="宋体" w:eastAsia="宋体" w:hAnsi="宋体" w:cs="宋体" w:hint="eastAsia"/>
          <w:spacing w:val="9"/>
          <w:lang w:eastAsia="zh-CN"/>
        </w:rPr>
        <w:t>）出厂日期。</w:t>
      </w:r>
    </w:p>
    <w:p w:rsidR="0007779F" w:rsidRDefault="005C7E73">
      <w:pPr>
        <w:pStyle w:val="a7"/>
        <w:kinsoku/>
        <w:overflowPunct w:val="0"/>
        <w:outlineLvl w:val="2"/>
        <w:rPr>
          <w:rFonts w:ascii="宋体" w:eastAsia="宋体" w:hAnsi="宋体" w:cs="宋体"/>
          <w:spacing w:val="4"/>
          <w:sz w:val="20"/>
          <w:szCs w:val="20"/>
          <w:lang w:eastAsia="zh-CN"/>
        </w:rPr>
      </w:pPr>
      <w:bookmarkStart w:id="62" w:name="bookmark17"/>
      <w:bookmarkStart w:id="63" w:name="bookmark15"/>
      <w:bookmarkStart w:id="64" w:name="_Toc17470"/>
      <w:bookmarkEnd w:id="62"/>
      <w:bookmarkEnd w:id="63"/>
      <w:r>
        <w:rPr>
          <w:rFonts w:hint="eastAsia"/>
          <w:spacing w:val="6"/>
          <w:sz w:val="20"/>
          <w:szCs w:val="20"/>
          <w:lang w:eastAsia="zh-CN"/>
        </w:rPr>
        <w:t>5.2</w:t>
      </w:r>
      <w:r>
        <w:rPr>
          <w:rFonts w:hint="eastAsia"/>
          <w:spacing w:val="6"/>
          <w:sz w:val="20"/>
          <w:szCs w:val="20"/>
          <w:lang w:eastAsia="zh-CN"/>
        </w:rPr>
        <w:t>声明</w:t>
      </w:r>
      <w:r>
        <w:rPr>
          <w:spacing w:val="6"/>
          <w:sz w:val="20"/>
          <w:szCs w:val="20"/>
          <w:lang w:eastAsia="zh-CN"/>
        </w:rPr>
        <w:t>单位</w:t>
      </w:r>
      <w:bookmarkEnd w:id="64"/>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产品碳足迹研究应明确规定功能单位或声明单位。功能单位或声明单位应与产品碳足迹研究的目的和范围保持一致。功能单位或声明单位的主要目的是为相关的输入和输出数据的归一化提供参考基准。因此应对功能单位或声明单位做出明确的定义并使其可量化。</w:t>
      </w:r>
    </w:p>
    <w:p w:rsidR="0007779F" w:rsidRDefault="005C7E73" w:rsidP="00996A76">
      <w:pPr>
        <w:ind w:firstLineChars="200" w:firstLine="436"/>
        <w:jc w:val="both"/>
        <w:rPr>
          <w:rFonts w:ascii="宋体" w:eastAsia="宋体" w:hAnsi="宋体" w:cs="宋体"/>
          <w:spacing w:val="4"/>
          <w:sz w:val="20"/>
          <w:szCs w:val="20"/>
          <w:lang w:eastAsia="zh-CN"/>
        </w:rPr>
      </w:pPr>
      <w:r>
        <w:rPr>
          <w:rFonts w:ascii="宋体" w:eastAsia="宋体" w:hAnsi="宋体" w:cs="宋体" w:hint="eastAsia"/>
          <w:spacing w:val="8"/>
          <w:lang w:eastAsia="zh-CN"/>
        </w:rPr>
        <w:t>本文件涉及的碳酸钾产品以声明单位表示，为</w:t>
      </w:r>
      <w:r>
        <w:rPr>
          <w:rFonts w:ascii="宋体" w:eastAsia="宋体" w:hAnsi="宋体" w:cs="宋体" w:hint="eastAsia"/>
          <w:spacing w:val="8"/>
          <w:lang w:eastAsia="zh-CN"/>
        </w:rPr>
        <w:t>1t</w:t>
      </w:r>
      <w:r>
        <w:rPr>
          <w:rFonts w:ascii="宋体" w:eastAsia="宋体" w:hAnsi="宋体" w:cs="宋体" w:hint="eastAsia"/>
          <w:spacing w:val="8"/>
          <w:lang w:eastAsia="zh-CN"/>
        </w:rPr>
        <w:t>碳酸钾产品。</w:t>
      </w:r>
    </w:p>
    <w:p w:rsidR="0007779F" w:rsidRDefault="005C7E73" w:rsidP="00996A76">
      <w:pPr>
        <w:pStyle w:val="a7"/>
        <w:kinsoku/>
        <w:overflowPunct w:val="0"/>
        <w:spacing w:beforeLines="50"/>
        <w:outlineLvl w:val="2"/>
        <w:rPr>
          <w:sz w:val="20"/>
          <w:szCs w:val="20"/>
          <w:lang w:eastAsia="zh-CN"/>
        </w:rPr>
      </w:pPr>
      <w:bookmarkStart w:id="65" w:name="bookmark19"/>
      <w:bookmarkStart w:id="66" w:name="_Toc3272"/>
      <w:bookmarkEnd w:id="65"/>
      <w:r>
        <w:rPr>
          <w:rFonts w:hint="eastAsia"/>
          <w:spacing w:val="5"/>
          <w:sz w:val="20"/>
          <w:szCs w:val="20"/>
          <w:lang w:eastAsia="zh-CN"/>
        </w:rPr>
        <w:t>5.3</w:t>
      </w:r>
      <w:r>
        <w:rPr>
          <w:spacing w:val="5"/>
          <w:sz w:val="20"/>
          <w:szCs w:val="20"/>
          <w:lang w:eastAsia="zh-CN"/>
        </w:rPr>
        <w:t>系统边界</w:t>
      </w:r>
      <w:bookmarkEnd w:id="66"/>
    </w:p>
    <w:p w:rsidR="0007779F" w:rsidRDefault="005C7E73" w:rsidP="00996A76">
      <w:pPr>
        <w:kinsoku/>
        <w:overflowPunct w:val="0"/>
        <w:ind w:firstLineChars="200" w:firstLine="418"/>
        <w:jc w:val="both"/>
        <w:rPr>
          <w:rFonts w:ascii="宋体" w:eastAsia="宋体" w:hAnsi="宋体" w:cs="宋体"/>
          <w:spacing w:val="9"/>
          <w:sz w:val="20"/>
          <w:szCs w:val="20"/>
          <w:highlight w:val="yellow"/>
        </w:rPr>
      </w:pPr>
      <w:r>
        <w:rPr>
          <w:rFonts w:ascii="宋体" w:eastAsia="宋体" w:hAnsi="宋体" w:cs="宋体" w:hint="eastAsia"/>
          <w:spacing w:val="9"/>
          <w:sz w:val="20"/>
          <w:szCs w:val="20"/>
          <w:lang w:eastAsia="zh-CN"/>
        </w:rPr>
        <w:t>碳酸钾产品碳足迹量化系统边界为摇篮到大门，原材料获取和预加工阶到碳酸钾产品的产出终止，包括辅助材料和能源（燃料、电力）的生产、运输等上游环节。</w:t>
      </w:r>
      <w:r>
        <w:rPr>
          <w:rFonts w:ascii="宋体" w:eastAsia="宋体" w:hAnsi="宋体" w:cs="宋体" w:hint="eastAsia"/>
          <w:spacing w:val="9"/>
          <w:sz w:val="20"/>
          <w:szCs w:val="20"/>
        </w:rPr>
        <w:t>系统边界如图</w:t>
      </w:r>
      <w:r>
        <w:rPr>
          <w:rFonts w:ascii="宋体" w:eastAsia="宋体" w:hAnsi="宋体" w:cs="宋体" w:hint="eastAsia"/>
          <w:spacing w:val="9"/>
          <w:sz w:val="20"/>
          <w:szCs w:val="20"/>
        </w:rPr>
        <w:t>1</w:t>
      </w:r>
      <w:r>
        <w:rPr>
          <w:rFonts w:ascii="宋体" w:eastAsia="宋体" w:hAnsi="宋体" w:cs="宋体" w:hint="eastAsia"/>
          <w:spacing w:val="9"/>
          <w:sz w:val="20"/>
          <w:szCs w:val="20"/>
        </w:rPr>
        <w:t>所示。</w:t>
      </w:r>
    </w:p>
    <w:p w:rsidR="0007779F" w:rsidRDefault="005C7E73">
      <w:pPr>
        <w:kinsoku/>
        <w:overflowPunct w:val="0"/>
        <w:jc w:val="both"/>
        <w:rPr>
          <w:rFonts w:ascii="宋体" w:eastAsia="宋体" w:hAnsi="宋体" w:cs="宋体"/>
          <w:spacing w:val="9"/>
          <w:sz w:val="20"/>
          <w:szCs w:val="20"/>
          <w:highlight w:val="yellow"/>
          <w:lang w:eastAsia="zh-CN"/>
        </w:rPr>
      </w:pPr>
      <w:r>
        <w:rPr>
          <w:rFonts w:ascii="宋体" w:eastAsia="宋体" w:hAnsi="宋体" w:cs="宋体" w:hint="eastAsia"/>
          <w:noProof/>
          <w:spacing w:val="9"/>
          <w:sz w:val="20"/>
          <w:szCs w:val="20"/>
          <w:highlight w:val="yellow"/>
          <w:lang w:eastAsia="zh-CN"/>
        </w:rPr>
        <w:drawing>
          <wp:inline distT="0" distB="0" distL="114300" distR="114300">
            <wp:extent cx="5751830" cy="3281045"/>
            <wp:effectExtent l="0" t="0" r="1270" b="14605"/>
            <wp:docPr id="3" name="图片 3" descr="系统边界(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系统边界(1)_01"/>
                    <pic:cNvPicPr>
                      <a:picLocks noChangeAspect="1"/>
                    </pic:cNvPicPr>
                  </pic:nvPicPr>
                  <pic:blipFill>
                    <a:blip r:embed="rId14"/>
                    <a:stretch>
                      <a:fillRect/>
                    </a:stretch>
                  </pic:blipFill>
                  <pic:spPr>
                    <a:xfrm>
                      <a:off x="0" y="0"/>
                      <a:ext cx="5751830" cy="3281045"/>
                    </a:xfrm>
                    <a:prstGeom prst="rect">
                      <a:avLst/>
                    </a:prstGeom>
                  </pic:spPr>
                </pic:pic>
              </a:graphicData>
            </a:graphic>
          </wp:inline>
        </w:drawing>
      </w:r>
    </w:p>
    <w:p w:rsidR="0007779F" w:rsidRDefault="005C7E73" w:rsidP="00996A76">
      <w:pPr>
        <w:kinsoku/>
        <w:overflowPunct w:val="0"/>
        <w:ind w:firstLineChars="200" w:firstLine="416"/>
        <w:jc w:val="center"/>
        <w:rPr>
          <w:rFonts w:ascii="宋体" w:eastAsia="宋体" w:hAnsi="宋体" w:cs="宋体"/>
          <w:spacing w:val="9"/>
          <w:sz w:val="20"/>
          <w:szCs w:val="20"/>
          <w:highlight w:val="yellow"/>
          <w:lang w:eastAsia="zh-CN"/>
        </w:rPr>
      </w:pPr>
      <w:r>
        <w:rPr>
          <w:rFonts w:ascii="黑体" w:eastAsia="黑体" w:hAnsi="黑体" w:cs="黑体"/>
          <w:spacing w:val="8"/>
          <w:sz w:val="20"/>
          <w:szCs w:val="20"/>
          <w:lang w:eastAsia="zh-CN"/>
        </w:rPr>
        <w:t>图</w:t>
      </w:r>
      <w:r>
        <w:rPr>
          <w:rFonts w:ascii="黑体" w:eastAsia="黑体" w:hAnsi="黑体" w:cs="黑体"/>
          <w:spacing w:val="8"/>
          <w:sz w:val="20"/>
          <w:szCs w:val="20"/>
          <w:lang w:eastAsia="zh-CN"/>
        </w:rPr>
        <w:t xml:space="preserve">1 </w:t>
      </w:r>
      <w:r>
        <w:rPr>
          <w:rFonts w:ascii="黑体" w:eastAsia="黑体" w:hAnsi="黑体" w:cs="黑体" w:hint="eastAsia"/>
          <w:spacing w:val="8"/>
          <w:sz w:val="20"/>
          <w:szCs w:val="20"/>
          <w:lang w:eastAsia="zh-CN"/>
        </w:rPr>
        <w:t>碳酸钾</w:t>
      </w:r>
      <w:r>
        <w:rPr>
          <w:rFonts w:ascii="黑体" w:eastAsia="黑体" w:hAnsi="黑体" w:cs="黑体"/>
          <w:spacing w:val="8"/>
          <w:sz w:val="20"/>
          <w:szCs w:val="20"/>
          <w:lang w:eastAsia="zh-CN"/>
        </w:rPr>
        <w:t>产品碳足迹量化系统边界图</w:t>
      </w:r>
    </w:p>
    <w:p w:rsidR="0007779F" w:rsidRDefault="0007779F">
      <w:pPr>
        <w:pStyle w:val="a7"/>
        <w:kinsoku/>
        <w:overflowPunct w:val="0"/>
        <w:ind w:firstLineChars="200" w:firstLine="380"/>
        <w:rPr>
          <w:sz w:val="19"/>
          <w:szCs w:val="19"/>
          <w:lang w:eastAsia="zh-CN"/>
        </w:rPr>
      </w:pPr>
    </w:p>
    <w:p w:rsidR="0007779F" w:rsidRDefault="005C7E73">
      <w:pPr>
        <w:pStyle w:val="a7"/>
        <w:kinsoku/>
        <w:overflowPunct w:val="0"/>
        <w:outlineLvl w:val="3"/>
        <w:rPr>
          <w:sz w:val="20"/>
          <w:szCs w:val="20"/>
          <w:lang w:eastAsia="zh-CN"/>
        </w:rPr>
      </w:pPr>
      <w:r>
        <w:rPr>
          <w:rFonts w:hint="eastAsia"/>
          <w:spacing w:val="7"/>
          <w:sz w:val="20"/>
          <w:szCs w:val="20"/>
          <w:lang w:eastAsia="zh-CN"/>
        </w:rPr>
        <w:t>5.3.1</w:t>
      </w:r>
      <w:r>
        <w:rPr>
          <w:spacing w:val="7"/>
          <w:sz w:val="20"/>
          <w:szCs w:val="20"/>
          <w:lang w:eastAsia="zh-CN"/>
        </w:rPr>
        <w:t xml:space="preserve"> </w:t>
      </w:r>
      <w:r>
        <w:rPr>
          <w:spacing w:val="7"/>
          <w:sz w:val="20"/>
          <w:szCs w:val="20"/>
          <w:lang w:eastAsia="zh-CN"/>
        </w:rPr>
        <w:t>原材料获取</w:t>
      </w:r>
      <w:r>
        <w:rPr>
          <w:rFonts w:hint="eastAsia"/>
          <w:spacing w:val="7"/>
          <w:sz w:val="20"/>
          <w:szCs w:val="20"/>
          <w:lang w:eastAsia="zh-CN"/>
        </w:rPr>
        <w:t>和预处理</w:t>
      </w:r>
      <w:r>
        <w:rPr>
          <w:spacing w:val="7"/>
          <w:sz w:val="20"/>
          <w:szCs w:val="20"/>
          <w:lang w:eastAsia="zh-CN"/>
        </w:rPr>
        <w:t>阶段</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spacing w:val="8"/>
          <w:lang w:eastAsia="zh-CN"/>
        </w:rPr>
        <w:lastRenderedPageBreak/>
        <w:t>从自然界材料提取时开始，到</w:t>
      </w:r>
      <w:r>
        <w:rPr>
          <w:rFonts w:ascii="宋体" w:eastAsia="宋体" w:hAnsi="宋体" w:cs="宋体" w:hint="eastAsia"/>
          <w:spacing w:val="8"/>
          <w:lang w:eastAsia="zh-CN"/>
        </w:rPr>
        <w:t>原</w:t>
      </w:r>
      <w:r>
        <w:rPr>
          <w:rFonts w:ascii="宋体" w:eastAsia="宋体" w:hAnsi="宋体" w:cs="宋体"/>
          <w:spacing w:val="8"/>
          <w:lang w:eastAsia="zh-CN"/>
        </w:rPr>
        <w:t>材料和能源</w:t>
      </w:r>
      <w:r>
        <w:rPr>
          <w:rFonts w:ascii="宋体" w:eastAsia="宋体" w:hAnsi="宋体" w:cs="宋体" w:hint="eastAsia"/>
          <w:spacing w:val="8"/>
          <w:lang w:eastAsia="zh-CN"/>
        </w:rPr>
        <w:t>生产</w:t>
      </w:r>
      <w:r>
        <w:rPr>
          <w:rFonts w:ascii="宋体" w:eastAsia="宋体" w:hAnsi="宋体" w:cs="宋体"/>
          <w:spacing w:val="8"/>
          <w:lang w:eastAsia="zh-CN"/>
        </w:rPr>
        <w:t>到达生产工厂时终止。包括但不限于以下过程：</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spacing w:val="8"/>
          <w:lang w:eastAsia="zh-CN"/>
        </w:rPr>
        <w:t>a</w:t>
      </w:r>
      <w:r>
        <w:rPr>
          <w:rFonts w:ascii="宋体" w:eastAsia="宋体" w:hAnsi="宋体" w:cs="宋体"/>
          <w:spacing w:val="8"/>
          <w:lang w:eastAsia="zh-CN"/>
        </w:rPr>
        <w:t>）</w:t>
      </w:r>
      <w:r>
        <w:rPr>
          <w:rFonts w:ascii="宋体" w:eastAsia="宋体" w:hAnsi="宋体" w:cs="宋体" w:hint="eastAsia"/>
          <w:spacing w:val="8"/>
          <w:lang w:eastAsia="zh-CN"/>
        </w:rPr>
        <w:t>原</w:t>
      </w:r>
      <w:r>
        <w:rPr>
          <w:rFonts w:ascii="宋体" w:eastAsia="宋体" w:hAnsi="宋体" w:cs="宋体"/>
          <w:spacing w:val="8"/>
          <w:lang w:eastAsia="zh-CN"/>
        </w:rPr>
        <w:t>材料的获取与运输分销；</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spacing w:val="8"/>
          <w:lang w:eastAsia="zh-CN"/>
        </w:rPr>
        <w:t>b</w:t>
      </w:r>
      <w:r>
        <w:rPr>
          <w:rFonts w:ascii="宋体" w:eastAsia="宋体" w:hAnsi="宋体" w:cs="宋体"/>
          <w:spacing w:val="8"/>
          <w:lang w:eastAsia="zh-CN"/>
        </w:rPr>
        <w:t>）能源的获取与运输分销或输送（例如汽油、柴油、煤炭、天然气、电力、热力等）。</w:t>
      </w:r>
    </w:p>
    <w:p w:rsidR="0007779F" w:rsidRDefault="0007779F">
      <w:pPr>
        <w:kinsoku/>
        <w:overflowPunct w:val="0"/>
        <w:ind w:firstLineChars="200" w:firstLine="400"/>
        <w:rPr>
          <w:rFonts w:ascii="宋体" w:eastAsia="宋体" w:hAnsi="宋体" w:cs="宋体"/>
          <w:sz w:val="20"/>
          <w:szCs w:val="20"/>
          <w:lang w:eastAsia="zh-CN"/>
        </w:rPr>
      </w:pPr>
    </w:p>
    <w:p w:rsidR="0007779F" w:rsidRDefault="005C7E73">
      <w:pPr>
        <w:pStyle w:val="a7"/>
        <w:kinsoku/>
        <w:overflowPunct w:val="0"/>
        <w:outlineLvl w:val="3"/>
        <w:rPr>
          <w:sz w:val="20"/>
          <w:szCs w:val="20"/>
          <w:lang w:eastAsia="zh-CN"/>
        </w:rPr>
      </w:pPr>
      <w:r>
        <w:rPr>
          <w:rFonts w:hint="eastAsia"/>
          <w:spacing w:val="6"/>
          <w:sz w:val="20"/>
          <w:szCs w:val="20"/>
          <w:lang w:eastAsia="zh-CN"/>
        </w:rPr>
        <w:t>5.3.2</w:t>
      </w:r>
      <w:r>
        <w:rPr>
          <w:rFonts w:hint="eastAsia"/>
          <w:spacing w:val="6"/>
          <w:sz w:val="20"/>
          <w:szCs w:val="20"/>
          <w:lang w:eastAsia="zh-CN"/>
        </w:rPr>
        <w:t>碳酸钾生产</w:t>
      </w:r>
      <w:r>
        <w:rPr>
          <w:spacing w:val="6"/>
          <w:sz w:val="20"/>
          <w:szCs w:val="20"/>
          <w:lang w:eastAsia="zh-CN"/>
        </w:rPr>
        <w:t>阶段</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碳酸钾生产阶段从产品原材料进入工厂开始，到最终产品离开工厂终止。此阶段包括生产产品直接相关过程以及排放处理过程等。</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产品制造阶段包括：</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a</w:t>
      </w:r>
      <w:r>
        <w:rPr>
          <w:rFonts w:ascii="宋体" w:eastAsia="宋体" w:hAnsi="宋体" w:cs="宋体" w:hint="eastAsia"/>
          <w:spacing w:val="8"/>
          <w:sz w:val="20"/>
          <w:szCs w:val="20"/>
          <w:lang w:eastAsia="zh-CN"/>
        </w:rPr>
        <w:t>）碳酸钾生产相关的过程；</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b</w:t>
      </w:r>
      <w:r>
        <w:rPr>
          <w:rFonts w:ascii="宋体" w:eastAsia="宋体" w:hAnsi="宋体" w:cs="宋体" w:hint="eastAsia"/>
          <w:spacing w:val="8"/>
          <w:sz w:val="20"/>
          <w:szCs w:val="20"/>
          <w:lang w:eastAsia="zh-CN"/>
        </w:rPr>
        <w:t>）厂内发电</w:t>
      </w:r>
      <w:r>
        <w:rPr>
          <w:rFonts w:ascii="宋体" w:eastAsia="宋体" w:hAnsi="宋体" w:cs="宋体" w:hint="eastAsia"/>
          <w:spacing w:val="8"/>
          <w:sz w:val="20"/>
          <w:szCs w:val="20"/>
          <w:lang w:eastAsia="zh-CN"/>
        </w:rPr>
        <w:t>/</w:t>
      </w:r>
      <w:r>
        <w:rPr>
          <w:rFonts w:ascii="宋体" w:eastAsia="宋体" w:hAnsi="宋体" w:cs="宋体" w:hint="eastAsia"/>
          <w:spacing w:val="8"/>
          <w:sz w:val="20"/>
          <w:szCs w:val="20"/>
          <w:lang w:eastAsia="zh-CN"/>
        </w:rPr>
        <w:t>供热相关过程；</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c</w:t>
      </w:r>
      <w:r>
        <w:rPr>
          <w:rFonts w:ascii="宋体" w:eastAsia="宋体" w:hAnsi="宋体" w:cs="宋体" w:hint="eastAsia"/>
          <w:spacing w:val="8"/>
          <w:sz w:val="20"/>
          <w:szCs w:val="20"/>
          <w:lang w:eastAsia="zh-CN"/>
        </w:rPr>
        <w:t>）厂内余热回收相关过程；</w:t>
      </w:r>
    </w:p>
    <w:p w:rsidR="0007779F" w:rsidRDefault="005C7E73" w:rsidP="00996A76">
      <w:pPr>
        <w:ind w:firstLineChars="200" w:firstLine="416"/>
        <w:jc w:val="both"/>
        <w:rPr>
          <w:rFonts w:ascii="宋体" w:eastAsia="宋体" w:hAnsi="宋体" w:cs="宋体"/>
          <w:spacing w:val="8"/>
          <w:sz w:val="20"/>
          <w:szCs w:val="20"/>
          <w:lang w:eastAsia="zh-CN"/>
        </w:rPr>
      </w:pPr>
      <w:r>
        <w:rPr>
          <w:rFonts w:ascii="宋体" w:eastAsia="宋体" w:hAnsi="宋体" w:cs="宋体" w:hint="eastAsia"/>
          <w:spacing w:val="8"/>
          <w:sz w:val="20"/>
          <w:szCs w:val="20"/>
          <w:lang w:eastAsia="zh-CN"/>
        </w:rPr>
        <w:t>d</w:t>
      </w:r>
      <w:r>
        <w:rPr>
          <w:rFonts w:ascii="宋体" w:eastAsia="宋体" w:hAnsi="宋体" w:cs="宋体" w:hint="eastAsia"/>
          <w:spacing w:val="8"/>
          <w:sz w:val="20"/>
          <w:szCs w:val="20"/>
          <w:lang w:eastAsia="zh-CN"/>
        </w:rPr>
        <w:t>）厂内运输</w:t>
      </w:r>
    </w:p>
    <w:p w:rsidR="0007779F" w:rsidRDefault="005C7E73" w:rsidP="00996A76">
      <w:pPr>
        <w:kinsoku/>
        <w:overflowPunct w:val="0"/>
        <w:ind w:firstLineChars="200" w:firstLine="416"/>
        <w:rPr>
          <w:rFonts w:ascii="宋体" w:eastAsia="宋体" w:hAnsi="宋体" w:cs="宋体"/>
          <w:sz w:val="20"/>
          <w:szCs w:val="20"/>
          <w:lang w:eastAsia="zh-CN"/>
        </w:rPr>
      </w:pPr>
      <w:r>
        <w:rPr>
          <w:rFonts w:ascii="宋体" w:eastAsia="宋体" w:hAnsi="宋体" w:cs="宋体" w:hint="eastAsia"/>
          <w:spacing w:val="8"/>
          <w:sz w:val="20"/>
          <w:szCs w:val="20"/>
          <w:lang w:eastAsia="zh-CN"/>
        </w:rPr>
        <w:t>e</w:t>
      </w:r>
      <w:r>
        <w:rPr>
          <w:rFonts w:ascii="宋体" w:eastAsia="宋体" w:hAnsi="宋体" w:cs="宋体" w:hint="eastAsia"/>
          <w:spacing w:val="8"/>
          <w:sz w:val="20"/>
          <w:szCs w:val="20"/>
          <w:lang w:eastAsia="zh-CN"/>
        </w:rPr>
        <w:t>）生产过程中所产生的废水、废气和固体废弃物处理（含废物运输）。</w:t>
      </w:r>
    </w:p>
    <w:p w:rsidR="0007779F" w:rsidRDefault="005C7E73">
      <w:pPr>
        <w:pStyle w:val="a7"/>
        <w:kinsoku/>
        <w:overflowPunct w:val="0"/>
        <w:outlineLvl w:val="2"/>
        <w:rPr>
          <w:sz w:val="20"/>
          <w:szCs w:val="20"/>
          <w:lang w:eastAsia="zh-CN"/>
        </w:rPr>
      </w:pPr>
      <w:bookmarkStart w:id="67" w:name="bookmark21"/>
      <w:bookmarkStart w:id="68" w:name="_Toc232"/>
      <w:bookmarkEnd w:id="67"/>
      <w:r>
        <w:rPr>
          <w:rFonts w:hint="eastAsia"/>
          <w:spacing w:val="5"/>
          <w:sz w:val="20"/>
          <w:szCs w:val="20"/>
          <w:lang w:eastAsia="zh-CN"/>
        </w:rPr>
        <w:t xml:space="preserve">5.3.3 </w:t>
      </w:r>
      <w:r>
        <w:rPr>
          <w:spacing w:val="5"/>
          <w:sz w:val="20"/>
          <w:szCs w:val="20"/>
          <w:lang w:eastAsia="zh-CN"/>
        </w:rPr>
        <w:t>取舍准则</w:t>
      </w:r>
      <w:bookmarkEnd w:id="68"/>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spacing w:val="8"/>
          <w:lang w:eastAsia="zh-CN"/>
        </w:rPr>
        <w:t>在评价目标和范围确定阶段，应确定允许省略次要过程的取舍准则。所选择的取舍准则对评价结果产生的影响应在最终的报告中做出解释。</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spacing w:val="8"/>
          <w:lang w:eastAsia="zh-CN"/>
        </w:rPr>
        <w:t>在</w:t>
      </w:r>
      <w:r>
        <w:rPr>
          <w:rFonts w:ascii="宋体" w:eastAsia="宋体" w:hAnsi="宋体" w:cs="宋体" w:hint="eastAsia"/>
          <w:spacing w:val="8"/>
          <w:lang w:eastAsia="zh-CN"/>
        </w:rPr>
        <w:t>碳酸钾</w:t>
      </w:r>
      <w:r>
        <w:rPr>
          <w:rFonts w:ascii="宋体" w:eastAsia="宋体" w:hAnsi="宋体" w:cs="宋体"/>
          <w:spacing w:val="8"/>
          <w:lang w:eastAsia="zh-CN"/>
        </w:rPr>
        <w:t>产品碳足迹量化过程中，可舍弃产品碳足迹影响小于</w:t>
      </w:r>
      <w:r>
        <w:rPr>
          <w:rFonts w:ascii="宋体" w:eastAsia="宋体" w:hAnsi="宋体" w:cs="宋体"/>
          <w:spacing w:val="8"/>
          <w:lang w:eastAsia="zh-CN"/>
        </w:rPr>
        <w:t>1%</w:t>
      </w:r>
      <w:r>
        <w:rPr>
          <w:rFonts w:ascii="宋体" w:eastAsia="宋体" w:hAnsi="宋体" w:cs="宋体"/>
          <w:spacing w:val="8"/>
          <w:lang w:eastAsia="zh-CN"/>
        </w:rPr>
        <w:t>的环节，但所有舍弃的合计值不应超过产品碳足迹总量的</w:t>
      </w:r>
      <w:r>
        <w:rPr>
          <w:rFonts w:ascii="宋体" w:eastAsia="宋体" w:hAnsi="宋体" w:cs="宋体"/>
          <w:spacing w:val="8"/>
          <w:lang w:eastAsia="zh-CN"/>
        </w:rPr>
        <w:t>5%</w:t>
      </w:r>
      <w:r>
        <w:rPr>
          <w:rFonts w:ascii="宋体" w:eastAsia="宋体" w:hAnsi="宋体" w:cs="宋体"/>
          <w:spacing w:val="8"/>
          <w:lang w:eastAsia="zh-CN"/>
        </w:rPr>
        <w:t>。</w:t>
      </w:r>
    </w:p>
    <w:p w:rsidR="0007779F" w:rsidRDefault="005C7E73" w:rsidP="00996A76">
      <w:pPr>
        <w:ind w:firstLineChars="200" w:firstLine="376"/>
        <w:jc w:val="both"/>
        <w:rPr>
          <w:rFonts w:ascii="宋体" w:eastAsia="宋体" w:hAnsi="宋体" w:cs="宋体"/>
          <w:spacing w:val="8"/>
          <w:sz w:val="18"/>
          <w:szCs w:val="18"/>
          <w:lang w:eastAsia="zh-CN"/>
        </w:rPr>
      </w:pPr>
      <w:r>
        <w:rPr>
          <w:rFonts w:ascii="宋体" w:eastAsia="宋体" w:hAnsi="宋体" w:cs="宋体"/>
          <w:spacing w:val="8"/>
          <w:sz w:val="18"/>
          <w:szCs w:val="18"/>
          <w:lang w:eastAsia="zh-CN"/>
        </w:rPr>
        <w:t>注：所排除单元过程舍去的温室气体排放与清除有书面记录。</w:t>
      </w:r>
    </w:p>
    <w:p w:rsidR="0007779F" w:rsidRDefault="005C7E73" w:rsidP="00996A76">
      <w:pPr>
        <w:kinsoku/>
        <w:overflowPunct w:val="0"/>
        <w:ind w:firstLineChars="200" w:firstLine="440"/>
        <w:rPr>
          <w:rFonts w:ascii="宋体" w:eastAsia="宋体" w:hAnsi="宋体" w:cs="宋体"/>
          <w:spacing w:val="10"/>
          <w:lang w:eastAsia="zh-CN"/>
        </w:rPr>
      </w:pPr>
      <w:r>
        <w:rPr>
          <w:rFonts w:ascii="宋体" w:eastAsia="宋体" w:hAnsi="宋体" w:cs="宋体" w:hint="eastAsia"/>
          <w:spacing w:val="10"/>
          <w:lang w:eastAsia="zh-CN"/>
        </w:rPr>
        <w:t>对于以上舍去的部分，应在产品碳足迹报告中记录并说明原因。</w:t>
      </w:r>
    </w:p>
    <w:p w:rsidR="0007779F" w:rsidRDefault="005C7E73" w:rsidP="00996A76">
      <w:pPr>
        <w:pStyle w:val="a7"/>
        <w:spacing w:beforeLines="100" w:afterLines="100"/>
        <w:outlineLvl w:val="0"/>
        <w:rPr>
          <w:spacing w:val="7"/>
          <w:sz w:val="20"/>
          <w:szCs w:val="20"/>
          <w:lang w:eastAsia="zh-CN"/>
        </w:rPr>
      </w:pPr>
      <w:bookmarkStart w:id="69" w:name="_Toc17319"/>
      <w:bookmarkStart w:id="70" w:name="_Toc21123"/>
      <w:r>
        <w:rPr>
          <w:rFonts w:hint="eastAsia"/>
          <w:spacing w:val="7"/>
          <w:sz w:val="20"/>
          <w:szCs w:val="20"/>
          <w:lang w:eastAsia="zh-CN"/>
        </w:rPr>
        <w:t xml:space="preserve">6 </w:t>
      </w:r>
      <w:r>
        <w:rPr>
          <w:rFonts w:hint="eastAsia"/>
          <w:spacing w:val="7"/>
          <w:sz w:val="20"/>
          <w:szCs w:val="20"/>
          <w:lang w:eastAsia="zh-CN"/>
        </w:rPr>
        <w:t>数据和数据质量</w:t>
      </w:r>
      <w:bookmarkEnd w:id="69"/>
      <w:bookmarkEnd w:id="70"/>
    </w:p>
    <w:p w:rsidR="0007779F" w:rsidRDefault="005C7E73">
      <w:pPr>
        <w:pStyle w:val="a7"/>
        <w:outlineLvl w:val="1"/>
        <w:rPr>
          <w:spacing w:val="6"/>
          <w:sz w:val="20"/>
          <w:szCs w:val="20"/>
          <w:lang w:eastAsia="zh-CN"/>
        </w:rPr>
      </w:pPr>
      <w:bookmarkStart w:id="71" w:name="_Toc20014"/>
      <w:bookmarkStart w:id="72" w:name="_Toc13796"/>
      <w:r>
        <w:rPr>
          <w:rFonts w:hint="eastAsia"/>
          <w:spacing w:val="6"/>
          <w:sz w:val="20"/>
          <w:szCs w:val="20"/>
          <w:lang w:eastAsia="zh-CN"/>
        </w:rPr>
        <w:t xml:space="preserve">6.1 </w:t>
      </w:r>
      <w:r>
        <w:rPr>
          <w:rFonts w:hint="eastAsia"/>
          <w:spacing w:val="6"/>
          <w:sz w:val="20"/>
          <w:szCs w:val="20"/>
          <w:lang w:eastAsia="zh-CN"/>
        </w:rPr>
        <w:t>数据描述</w:t>
      </w:r>
      <w:bookmarkEnd w:id="71"/>
      <w:bookmarkEnd w:id="72"/>
    </w:p>
    <w:p w:rsidR="0007779F" w:rsidRDefault="0007779F" w:rsidP="00996A76">
      <w:pPr>
        <w:ind w:firstLineChars="200" w:firstLine="436"/>
        <w:rPr>
          <w:rFonts w:ascii="宋体" w:eastAsia="宋体" w:hAnsi="宋体" w:cs="宋体"/>
          <w:spacing w:val="8"/>
          <w:lang w:eastAsia="zh-CN"/>
        </w:rPr>
      </w:pPr>
    </w:p>
    <w:p w:rsidR="0007779F" w:rsidRDefault="005C7E73" w:rsidP="00996A76">
      <w:pPr>
        <w:ind w:firstLineChars="200" w:firstLine="436"/>
        <w:rPr>
          <w:rFonts w:ascii="宋体" w:eastAsia="宋体" w:hAnsi="宋体" w:cs="宋体"/>
          <w:spacing w:val="8"/>
          <w:lang w:eastAsia="zh-CN"/>
        </w:rPr>
      </w:pPr>
      <w:r>
        <w:rPr>
          <w:rFonts w:ascii="宋体" w:eastAsia="宋体" w:hAnsi="宋体" w:cs="宋体" w:hint="eastAsia"/>
          <w:spacing w:val="8"/>
          <w:lang w:eastAsia="zh-CN"/>
        </w:rPr>
        <w:t>碳酸钾</w:t>
      </w:r>
      <w:r>
        <w:rPr>
          <w:rFonts w:ascii="宋体" w:eastAsia="宋体" w:hAnsi="宋体" w:cs="宋体"/>
          <w:spacing w:val="8"/>
          <w:lang w:eastAsia="zh-CN"/>
        </w:rPr>
        <w:t>产品的碳足迹量化需要收集现场数据</w:t>
      </w:r>
      <w:r>
        <w:rPr>
          <w:rFonts w:ascii="宋体" w:eastAsia="宋体" w:hAnsi="宋体" w:cs="宋体" w:hint="eastAsia"/>
          <w:spacing w:val="8"/>
          <w:lang w:eastAsia="zh-CN"/>
        </w:rPr>
        <w:t>、初级数据和次级</w:t>
      </w:r>
      <w:r>
        <w:rPr>
          <w:rFonts w:ascii="宋体" w:eastAsia="宋体" w:hAnsi="宋体" w:cs="宋体"/>
          <w:spacing w:val="8"/>
          <w:lang w:eastAsia="zh-CN"/>
        </w:rPr>
        <w:t>数据。</w:t>
      </w:r>
    </w:p>
    <w:p w:rsidR="0007779F" w:rsidRDefault="005C7E73">
      <w:pPr>
        <w:ind w:firstLineChars="200" w:firstLine="420"/>
        <w:rPr>
          <w:rFonts w:ascii="宋体" w:eastAsia="宋体" w:hAnsi="宋体" w:cs="宋体"/>
          <w:lang w:eastAsia="zh-CN"/>
        </w:rPr>
      </w:pPr>
      <w:r>
        <w:rPr>
          <w:rFonts w:ascii="宋体" w:eastAsia="宋体" w:hAnsi="宋体" w:cs="宋体" w:hint="eastAsia"/>
          <w:lang w:eastAsia="zh-CN"/>
        </w:rPr>
        <w:t>现场数据是基于所研究的碳酸钾产品通过实际监测、统计等方式得到的各单元过程的输入输出数据，如各单元过程消耗材料、能源的输入量，中间产品、产品的产出量，废弃物排放量以及运输量等。</w:t>
      </w:r>
    </w:p>
    <w:p w:rsidR="0007779F" w:rsidRDefault="005C7E73">
      <w:pPr>
        <w:ind w:firstLineChars="200" w:firstLine="420"/>
        <w:rPr>
          <w:rFonts w:ascii="宋体" w:eastAsia="宋体" w:hAnsi="宋体" w:cs="宋体"/>
          <w:lang w:eastAsia="zh-CN"/>
        </w:rPr>
      </w:pPr>
      <w:r>
        <w:rPr>
          <w:rFonts w:ascii="宋体" w:eastAsia="宋体" w:hAnsi="宋体" w:cs="宋体" w:hint="eastAsia"/>
          <w:lang w:eastAsia="zh-CN"/>
        </w:rPr>
        <w:t>初级数据是通过实际监测、统计等等方式得到的各单元过程的输入输出数据，可以是来自所研究的碳酸钾产品系统以外的数据。如碳酸钾产品的碳足迹量化中采用来自非供应商生产相同氢氧化钾材料的数据等。</w:t>
      </w:r>
    </w:p>
    <w:p w:rsidR="0007779F" w:rsidRDefault="005C7E73">
      <w:pPr>
        <w:ind w:firstLineChars="200" w:firstLine="420"/>
        <w:rPr>
          <w:rFonts w:ascii="宋体" w:eastAsia="宋体" w:hAnsi="宋体" w:cs="宋体"/>
          <w:lang w:eastAsia="zh-CN"/>
        </w:rPr>
      </w:pPr>
      <w:r>
        <w:rPr>
          <w:rFonts w:ascii="宋体" w:eastAsia="宋体" w:hAnsi="宋体" w:cs="宋体" w:hint="eastAsia"/>
          <w:lang w:eastAsia="zh-CN"/>
        </w:rPr>
        <w:t>次级数据为不符合初级数据要求的数据，如采用数据库、参考文献、供应商根据某种模型估算得到的数据等</w:t>
      </w:r>
      <w:r>
        <w:rPr>
          <w:rFonts w:ascii="宋体" w:eastAsia="宋体" w:hAnsi="宋体" w:cs="宋体" w:hint="eastAsia"/>
          <w:lang w:eastAsia="zh-CN"/>
        </w:rPr>
        <w:t>。</w:t>
      </w:r>
    </w:p>
    <w:p w:rsidR="0007779F" w:rsidRDefault="005C7E73" w:rsidP="00996A76">
      <w:pPr>
        <w:ind w:firstLineChars="200" w:firstLine="436"/>
        <w:jc w:val="both"/>
        <w:rPr>
          <w:rFonts w:ascii="宋体" w:eastAsia="宋体" w:hAnsi="宋体" w:cs="宋体"/>
          <w:spacing w:val="8"/>
          <w:sz w:val="20"/>
          <w:szCs w:val="20"/>
          <w:lang w:eastAsia="zh-CN"/>
        </w:rPr>
      </w:pPr>
      <w:r>
        <w:rPr>
          <w:rFonts w:ascii="宋体" w:eastAsia="宋体" w:hAnsi="宋体" w:cs="宋体" w:hint="eastAsia"/>
          <w:spacing w:val="8"/>
          <w:lang w:eastAsia="zh-CN"/>
        </w:rPr>
        <w:t>仅在收集初级数据不可行时，次级数据才能用于输入和输出，或用于重要性较低的过程。引用次级数据宜证明其适用性和可信度，并注明数据来源及选取思路</w:t>
      </w:r>
      <w:r>
        <w:rPr>
          <w:rFonts w:ascii="宋体" w:eastAsia="宋体" w:hAnsi="宋体" w:cs="宋体" w:hint="eastAsia"/>
          <w:spacing w:val="8"/>
          <w:sz w:val="20"/>
          <w:szCs w:val="20"/>
          <w:lang w:eastAsia="zh-CN"/>
        </w:rPr>
        <w:t>。</w:t>
      </w:r>
    </w:p>
    <w:p w:rsidR="0007779F" w:rsidRDefault="0007779F" w:rsidP="00996A76">
      <w:pPr>
        <w:ind w:firstLineChars="200" w:firstLine="416"/>
        <w:rPr>
          <w:rFonts w:ascii="宋体" w:eastAsia="宋体" w:hAnsi="宋体" w:cs="宋体"/>
          <w:spacing w:val="8"/>
          <w:sz w:val="20"/>
          <w:szCs w:val="20"/>
          <w:lang w:eastAsia="zh-CN"/>
        </w:rPr>
      </w:pPr>
    </w:p>
    <w:p w:rsidR="0007779F" w:rsidRDefault="005C7E73">
      <w:pPr>
        <w:pStyle w:val="a7"/>
        <w:spacing w:before="62" w:line="254" w:lineRule="exact"/>
        <w:ind w:left="86"/>
        <w:outlineLvl w:val="1"/>
        <w:rPr>
          <w:sz w:val="19"/>
          <w:szCs w:val="19"/>
          <w:lang w:eastAsia="zh-CN"/>
        </w:rPr>
      </w:pPr>
      <w:bookmarkStart w:id="73" w:name="bookmark24"/>
      <w:bookmarkStart w:id="74" w:name="_Toc20497"/>
      <w:bookmarkStart w:id="75" w:name="_Toc23144"/>
      <w:bookmarkEnd w:id="73"/>
      <w:r>
        <w:rPr>
          <w:color w:val="231F20"/>
          <w:spacing w:val="11"/>
          <w:position w:val="1"/>
          <w:sz w:val="19"/>
          <w:szCs w:val="19"/>
          <w:lang w:eastAsia="zh-CN"/>
        </w:rPr>
        <w:t>6.2</w:t>
      </w:r>
      <w:r>
        <w:rPr>
          <w:color w:val="231F20"/>
          <w:spacing w:val="11"/>
          <w:position w:val="1"/>
          <w:sz w:val="19"/>
          <w:szCs w:val="19"/>
          <w:lang w:eastAsia="zh-CN"/>
        </w:rPr>
        <w:t>数据质量要求</w:t>
      </w:r>
      <w:bookmarkEnd w:id="74"/>
      <w:bookmarkEnd w:id="75"/>
    </w:p>
    <w:p w:rsidR="0007779F" w:rsidRDefault="0007779F" w:rsidP="00996A76">
      <w:pPr>
        <w:ind w:firstLineChars="200" w:firstLine="416"/>
        <w:rPr>
          <w:rFonts w:ascii="宋体" w:eastAsia="宋体" w:hAnsi="宋体" w:cs="宋体"/>
          <w:spacing w:val="8"/>
          <w:sz w:val="20"/>
          <w:szCs w:val="20"/>
          <w:lang w:eastAsia="zh-CN"/>
        </w:rPr>
      </w:pP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产品碳足迹影响评价应使用现有最高质量数据，数据质量的特征应包括定量和定性两个角度。数据质量的特性描述应涉及以下方面：</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）时间覆盖范围：数据的年份和所收集数据的最小时间长度；</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）地理覆盖范围：为实现产品碳足迹研究目的所收集的单元过程数据的地理位置；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）技术覆盖范围：具体的技术或技术组合；</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）精度：对每个数据值的可变性的度量（例如方差）；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e</w:t>
      </w:r>
      <w:r>
        <w:rPr>
          <w:rFonts w:ascii="宋体" w:eastAsia="宋体" w:hAnsi="宋体" w:cs="宋体" w:hint="eastAsia"/>
          <w:spacing w:val="8"/>
          <w:lang w:eastAsia="zh-CN"/>
        </w:rPr>
        <w:t>）完整性：测量或测算的流所占的比例；</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f</w:t>
      </w:r>
      <w:r>
        <w:rPr>
          <w:rFonts w:ascii="宋体" w:eastAsia="宋体" w:hAnsi="宋体" w:cs="宋体" w:hint="eastAsia"/>
          <w:spacing w:val="8"/>
          <w:lang w:eastAsia="zh-CN"/>
        </w:rPr>
        <w:t>）代表性：反映实际关注人群对数据集（即时间覆盖范围、地理覆盖范围和技术覆盖范围等）关注程度的真实情况进行的定性评价；</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注：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lastRenderedPageBreak/>
        <w:t>g</w:t>
      </w:r>
      <w:r>
        <w:rPr>
          <w:rFonts w:ascii="宋体" w:eastAsia="宋体" w:hAnsi="宋体" w:cs="宋体" w:hint="eastAsia"/>
          <w:spacing w:val="8"/>
          <w:lang w:eastAsia="zh-CN"/>
        </w:rPr>
        <w:t>）一致性：对研究方法学是否能在敏感性分析的不同组成部分中统一应用而进行的</w:t>
      </w:r>
      <w:r>
        <w:rPr>
          <w:rFonts w:ascii="宋体" w:eastAsia="宋体" w:hAnsi="宋体" w:cs="宋体" w:hint="eastAsia"/>
          <w:spacing w:val="8"/>
          <w:lang w:eastAsia="zh-CN"/>
        </w:rPr>
        <w:t>定性评价；</w:t>
      </w:r>
      <w:r>
        <w:rPr>
          <w:rFonts w:ascii="宋体" w:eastAsia="宋体" w:hAnsi="宋体" w:cs="宋体" w:hint="eastAsia"/>
          <w:spacing w:val="8"/>
          <w:lang w:eastAsia="zh-CN"/>
        </w:rPr>
        <w:t>h</w:t>
      </w:r>
      <w:r>
        <w:rPr>
          <w:rFonts w:ascii="宋体" w:eastAsia="宋体" w:hAnsi="宋体" w:cs="宋体" w:hint="eastAsia"/>
          <w:spacing w:val="8"/>
          <w:lang w:eastAsia="zh-CN"/>
        </w:rPr>
        <w:t>）再现性：对其他独立从业人员采用同一方法学和数值信息重现相同研究结果的定性评价；</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i</w:t>
      </w:r>
      <w:r>
        <w:rPr>
          <w:rFonts w:ascii="宋体" w:eastAsia="宋体" w:hAnsi="宋体" w:cs="宋体" w:hint="eastAsia"/>
          <w:spacing w:val="8"/>
          <w:lang w:eastAsia="zh-CN"/>
        </w:rPr>
        <w:t>）数据来源：现场数据来源于测量、工程计算、采购记录等，环境排放数据优先采用环境监测报告，所有数据均有相关的数据来源和数据处理算法；</w:t>
      </w:r>
    </w:p>
    <w:p w:rsidR="0007779F" w:rsidRDefault="005C7E73" w:rsidP="00996A76">
      <w:pPr>
        <w:ind w:firstLineChars="200" w:firstLine="436"/>
        <w:jc w:val="both"/>
        <w:rPr>
          <w:rFonts w:ascii="宋体" w:eastAsia="宋体" w:hAnsi="宋体" w:cs="宋体"/>
          <w:spacing w:val="8"/>
          <w:sz w:val="20"/>
          <w:szCs w:val="20"/>
          <w:lang w:eastAsia="zh-CN"/>
        </w:rPr>
      </w:pPr>
      <w:r>
        <w:rPr>
          <w:rFonts w:ascii="宋体" w:eastAsia="宋体" w:hAnsi="宋体" w:cs="宋体" w:hint="eastAsia"/>
          <w:spacing w:val="8"/>
          <w:lang w:eastAsia="zh-CN"/>
        </w:rPr>
        <w:t>j</w:t>
      </w:r>
      <w:r>
        <w:rPr>
          <w:rFonts w:ascii="宋体" w:eastAsia="宋体" w:hAnsi="宋体" w:cs="宋体" w:hint="eastAsia"/>
          <w:spacing w:val="8"/>
          <w:lang w:eastAsia="zh-CN"/>
        </w:rPr>
        <w:t>）信息的不确定性。</w:t>
      </w:r>
    </w:p>
    <w:p w:rsidR="0007779F" w:rsidRDefault="005C7E73">
      <w:pPr>
        <w:pStyle w:val="a7"/>
        <w:spacing w:before="139" w:line="253" w:lineRule="exact"/>
        <w:ind w:left="22"/>
        <w:outlineLvl w:val="1"/>
        <w:rPr>
          <w:sz w:val="19"/>
          <w:szCs w:val="19"/>
          <w:lang w:eastAsia="zh-CN"/>
        </w:rPr>
      </w:pPr>
      <w:bookmarkStart w:id="76" w:name="bookmark26"/>
      <w:bookmarkStart w:id="77" w:name="_Toc17424"/>
      <w:bookmarkStart w:id="78" w:name="_Toc1528"/>
      <w:bookmarkEnd w:id="76"/>
      <w:r>
        <w:rPr>
          <w:color w:val="231F20"/>
          <w:spacing w:val="11"/>
          <w:position w:val="1"/>
          <w:sz w:val="19"/>
          <w:szCs w:val="19"/>
          <w:lang w:eastAsia="zh-CN"/>
        </w:rPr>
        <w:t>6.3</w:t>
      </w:r>
      <w:r>
        <w:rPr>
          <w:color w:val="231F20"/>
          <w:spacing w:val="11"/>
          <w:position w:val="1"/>
          <w:sz w:val="19"/>
          <w:szCs w:val="19"/>
          <w:lang w:eastAsia="zh-CN"/>
        </w:rPr>
        <w:t>数据质量评价</w:t>
      </w:r>
      <w:bookmarkEnd w:id="77"/>
      <w:bookmarkEnd w:id="78"/>
    </w:p>
    <w:p w:rsidR="0007779F" w:rsidRDefault="0007779F" w:rsidP="00996A76">
      <w:pPr>
        <w:ind w:firstLineChars="200" w:firstLine="416"/>
        <w:rPr>
          <w:rFonts w:ascii="宋体" w:eastAsia="宋体" w:hAnsi="宋体" w:cs="宋体"/>
          <w:spacing w:val="8"/>
          <w:sz w:val="20"/>
          <w:szCs w:val="20"/>
          <w:lang w:eastAsia="zh-CN"/>
        </w:rPr>
      </w:pP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开展产品碳足迹研究的组织宜建立数据管理系统，保留相关文件和记录，进行数据质量评价，并持续提高数据质量。碳酸钾产品碳足迹量化数据质量评价方法见表</w:t>
      </w:r>
      <w:r>
        <w:rPr>
          <w:rFonts w:ascii="宋体" w:eastAsia="宋体" w:hAnsi="宋体" w:cs="宋体" w:hint="eastAsia"/>
          <w:spacing w:val="8"/>
          <w:lang w:eastAsia="zh-CN"/>
        </w:rPr>
        <w:t>1</w:t>
      </w:r>
      <w:r>
        <w:rPr>
          <w:rFonts w:ascii="宋体" w:eastAsia="宋体" w:hAnsi="宋体" w:cs="宋体" w:hint="eastAsia"/>
          <w:spacing w:val="8"/>
          <w:lang w:eastAsia="zh-CN"/>
        </w:rPr>
        <w:t>，对质量较差的数据应进行敏感性分析。</w:t>
      </w:r>
    </w:p>
    <w:p w:rsidR="0007779F" w:rsidRDefault="005C7E73">
      <w:pPr>
        <w:pStyle w:val="a7"/>
        <w:spacing w:before="151" w:line="253" w:lineRule="exact"/>
        <w:ind w:left="3485"/>
        <w:rPr>
          <w:spacing w:val="8"/>
          <w:sz w:val="20"/>
          <w:szCs w:val="20"/>
        </w:rPr>
      </w:pPr>
      <w:r>
        <w:rPr>
          <w:spacing w:val="8"/>
          <w:sz w:val="20"/>
          <w:szCs w:val="20"/>
        </w:rPr>
        <w:t>表</w:t>
      </w:r>
      <w:r>
        <w:rPr>
          <w:spacing w:val="8"/>
          <w:sz w:val="20"/>
          <w:szCs w:val="20"/>
        </w:rPr>
        <w:t xml:space="preserve"> </w:t>
      </w:r>
      <w:r>
        <w:rPr>
          <w:rFonts w:hint="eastAsia"/>
          <w:spacing w:val="8"/>
          <w:sz w:val="20"/>
          <w:szCs w:val="20"/>
          <w:lang w:eastAsia="zh-CN"/>
        </w:rPr>
        <w:t>1</w:t>
      </w:r>
      <w:r>
        <w:rPr>
          <w:spacing w:val="8"/>
          <w:sz w:val="20"/>
          <w:szCs w:val="20"/>
        </w:rPr>
        <w:t xml:space="preserve"> </w:t>
      </w:r>
      <w:r>
        <w:rPr>
          <w:spacing w:val="8"/>
          <w:sz w:val="20"/>
          <w:szCs w:val="20"/>
        </w:rPr>
        <w:t>数据质量评价方法</w:t>
      </w:r>
    </w:p>
    <w:tbl>
      <w:tblPr>
        <w:tblStyle w:val="TableNormal"/>
        <w:tblW w:w="0" w:type="auto"/>
        <w:tblInd w:w="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tblPr>
      <w:tblGrid>
        <w:gridCol w:w="978"/>
        <w:gridCol w:w="1315"/>
        <w:gridCol w:w="1142"/>
        <w:gridCol w:w="1523"/>
        <w:gridCol w:w="2158"/>
        <w:gridCol w:w="2071"/>
      </w:tblGrid>
      <w:tr w:rsidR="0007779F">
        <w:trPr>
          <w:cantSplit/>
        </w:trPr>
        <w:tc>
          <w:tcPr>
            <w:tcW w:w="978" w:type="dxa"/>
            <w:tcBorders>
              <w:top w:val="single" w:sz="4" w:space="0" w:color="231F20"/>
              <w:left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评级</w:t>
            </w:r>
          </w:p>
        </w:tc>
        <w:tc>
          <w:tcPr>
            <w:tcW w:w="1315" w:type="dxa"/>
            <w:tcBorders>
              <w:top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技术</w:t>
            </w:r>
          </w:p>
        </w:tc>
        <w:tc>
          <w:tcPr>
            <w:tcW w:w="1142" w:type="dxa"/>
            <w:tcBorders>
              <w:top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时间</w:t>
            </w:r>
          </w:p>
        </w:tc>
        <w:tc>
          <w:tcPr>
            <w:tcW w:w="1523" w:type="dxa"/>
            <w:tcBorders>
              <w:top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地域</w:t>
            </w:r>
          </w:p>
        </w:tc>
        <w:tc>
          <w:tcPr>
            <w:tcW w:w="2158" w:type="dxa"/>
            <w:tcBorders>
              <w:top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可靠性</w:t>
            </w:r>
          </w:p>
        </w:tc>
        <w:tc>
          <w:tcPr>
            <w:tcW w:w="2071" w:type="dxa"/>
            <w:tcBorders>
              <w:top w:val="single" w:sz="4" w:space="0" w:color="231F20"/>
              <w:bottom w:val="single" w:sz="4" w:space="0" w:color="231F20"/>
              <w:righ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完整性</w:t>
            </w:r>
          </w:p>
        </w:tc>
      </w:tr>
      <w:tr w:rsidR="0007779F">
        <w:trPr>
          <w:cantSplit/>
        </w:trPr>
        <w:tc>
          <w:tcPr>
            <w:tcW w:w="978" w:type="dxa"/>
            <w:tcBorders>
              <w:top w:val="single" w:sz="4" w:space="0" w:color="231F20"/>
              <w:lef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好</w:t>
            </w:r>
          </w:p>
        </w:tc>
        <w:tc>
          <w:tcPr>
            <w:tcW w:w="1315" w:type="dxa"/>
            <w:tcBorders>
              <w:top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相同技术数据</w:t>
            </w:r>
          </w:p>
        </w:tc>
        <w:tc>
          <w:tcPr>
            <w:tcW w:w="1142" w:type="dxa"/>
            <w:tcBorders>
              <w:top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3a</w:t>
            </w:r>
          </w:p>
        </w:tc>
        <w:tc>
          <w:tcPr>
            <w:tcW w:w="1523" w:type="dxa"/>
            <w:tcBorders>
              <w:top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同一地区</w:t>
            </w:r>
          </w:p>
        </w:tc>
        <w:tc>
          <w:tcPr>
            <w:tcW w:w="2158" w:type="dxa"/>
            <w:tcBorders>
              <w:top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测量或经核查</w:t>
            </w:r>
          </w:p>
        </w:tc>
        <w:tc>
          <w:tcPr>
            <w:tcW w:w="2071" w:type="dxa"/>
            <w:tcBorders>
              <w:top w:val="single" w:sz="4" w:space="0" w:color="231F20"/>
              <w:righ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数据基本完整</w:t>
            </w:r>
          </w:p>
        </w:tc>
      </w:tr>
      <w:tr w:rsidR="0007779F">
        <w:trPr>
          <w:cantSplit/>
        </w:trPr>
        <w:tc>
          <w:tcPr>
            <w:tcW w:w="978" w:type="dxa"/>
            <w:tcBorders>
              <w:lef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一般</w:t>
            </w:r>
          </w:p>
        </w:tc>
        <w:tc>
          <w:tcPr>
            <w:tcW w:w="1315" w:type="dxa"/>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类似技术数据</w:t>
            </w:r>
          </w:p>
        </w:tc>
        <w:tc>
          <w:tcPr>
            <w:tcW w:w="1142" w:type="dxa"/>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3a~5a</w:t>
            </w:r>
          </w:p>
        </w:tc>
        <w:tc>
          <w:tcPr>
            <w:tcW w:w="1523" w:type="dxa"/>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相似地区</w:t>
            </w:r>
          </w:p>
        </w:tc>
        <w:tc>
          <w:tcPr>
            <w:tcW w:w="2158" w:type="dxa"/>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部分测量或部分核查</w:t>
            </w:r>
          </w:p>
        </w:tc>
        <w:tc>
          <w:tcPr>
            <w:tcW w:w="2071" w:type="dxa"/>
            <w:tcBorders>
              <w:righ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数据完整性≥</w:t>
            </w:r>
            <w:r>
              <w:rPr>
                <w:rFonts w:ascii="宋体" w:eastAsia="宋体" w:hAnsi="宋体" w:cs="宋体" w:hint="eastAsia"/>
                <w:sz w:val="18"/>
                <w:szCs w:val="18"/>
              </w:rPr>
              <w:t>80%</w:t>
            </w:r>
          </w:p>
        </w:tc>
      </w:tr>
      <w:tr w:rsidR="0007779F">
        <w:trPr>
          <w:cantSplit/>
        </w:trPr>
        <w:tc>
          <w:tcPr>
            <w:tcW w:w="978" w:type="dxa"/>
            <w:tcBorders>
              <w:left w:val="single" w:sz="4" w:space="0" w:color="231F20"/>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较差</w:t>
            </w:r>
          </w:p>
        </w:tc>
        <w:tc>
          <w:tcPr>
            <w:tcW w:w="1315" w:type="dxa"/>
            <w:tcBorders>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不同技术数据</w:t>
            </w:r>
          </w:p>
        </w:tc>
        <w:tc>
          <w:tcPr>
            <w:tcW w:w="1142" w:type="dxa"/>
            <w:tcBorders>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5a~10a</w:t>
            </w:r>
          </w:p>
        </w:tc>
        <w:tc>
          <w:tcPr>
            <w:tcW w:w="1523" w:type="dxa"/>
            <w:tcBorders>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不同地区</w:t>
            </w:r>
          </w:p>
        </w:tc>
        <w:tc>
          <w:tcPr>
            <w:tcW w:w="2158" w:type="dxa"/>
            <w:tcBorders>
              <w:bottom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次级数据估算值</w:t>
            </w:r>
          </w:p>
        </w:tc>
        <w:tc>
          <w:tcPr>
            <w:tcW w:w="2071" w:type="dxa"/>
            <w:tcBorders>
              <w:bottom w:val="single" w:sz="4" w:space="0" w:color="231F20"/>
              <w:right w:val="single" w:sz="4" w:space="0" w:color="231F20"/>
            </w:tcBorders>
            <w:vAlign w:val="center"/>
          </w:tcPr>
          <w:p w:rsidR="0007779F" w:rsidRDefault="005C7E73">
            <w:pPr>
              <w:jc w:val="center"/>
              <w:rPr>
                <w:rFonts w:ascii="宋体" w:eastAsia="宋体" w:hAnsi="宋体" w:cs="宋体"/>
                <w:sz w:val="18"/>
                <w:szCs w:val="18"/>
              </w:rPr>
            </w:pPr>
            <w:r>
              <w:rPr>
                <w:rFonts w:ascii="宋体" w:eastAsia="宋体" w:hAnsi="宋体" w:cs="宋体" w:hint="eastAsia"/>
                <w:sz w:val="18"/>
                <w:szCs w:val="18"/>
              </w:rPr>
              <w:t>数据完整性≥</w:t>
            </w:r>
            <w:r>
              <w:rPr>
                <w:rFonts w:ascii="宋体" w:eastAsia="宋体" w:hAnsi="宋体" w:cs="宋体" w:hint="eastAsia"/>
                <w:sz w:val="18"/>
                <w:szCs w:val="18"/>
              </w:rPr>
              <w:t>50%</w:t>
            </w:r>
          </w:p>
        </w:tc>
      </w:tr>
    </w:tbl>
    <w:p w:rsidR="0007779F" w:rsidRDefault="0007779F">
      <w:pPr>
        <w:kinsoku/>
        <w:overflowPunct w:val="0"/>
        <w:rPr>
          <w:rFonts w:ascii="宋体" w:eastAsia="宋体" w:hAnsi="宋体" w:cs="宋体"/>
          <w:spacing w:val="10"/>
        </w:rPr>
      </w:pPr>
    </w:p>
    <w:p w:rsidR="0007779F" w:rsidRDefault="005C7E73" w:rsidP="00996A76">
      <w:pPr>
        <w:pStyle w:val="a7"/>
        <w:spacing w:beforeLines="100" w:afterLines="100"/>
        <w:outlineLvl w:val="0"/>
        <w:rPr>
          <w:sz w:val="20"/>
          <w:szCs w:val="20"/>
          <w:lang w:eastAsia="zh-CN"/>
        </w:rPr>
      </w:pPr>
      <w:bookmarkStart w:id="79" w:name="bookmark25"/>
      <w:bookmarkStart w:id="80" w:name="bookmark23"/>
      <w:bookmarkStart w:id="81" w:name="_Toc8435"/>
      <w:bookmarkStart w:id="82" w:name="_Toc26809"/>
      <w:bookmarkEnd w:id="79"/>
      <w:bookmarkEnd w:id="80"/>
      <w:r>
        <w:rPr>
          <w:rFonts w:hint="eastAsia"/>
          <w:spacing w:val="7"/>
          <w:sz w:val="20"/>
          <w:szCs w:val="20"/>
          <w:lang w:eastAsia="zh-CN"/>
        </w:rPr>
        <w:t>7</w:t>
      </w:r>
      <w:r>
        <w:rPr>
          <w:rFonts w:hint="eastAsia"/>
          <w:spacing w:val="7"/>
          <w:sz w:val="20"/>
          <w:szCs w:val="20"/>
          <w:lang w:eastAsia="zh-CN"/>
        </w:rPr>
        <w:t>清单分析</w:t>
      </w:r>
      <w:bookmarkEnd w:id="81"/>
      <w:bookmarkEnd w:id="82"/>
    </w:p>
    <w:p w:rsidR="0007779F" w:rsidRDefault="005C7E73">
      <w:pPr>
        <w:pStyle w:val="a7"/>
        <w:spacing w:before="62" w:line="255" w:lineRule="exact"/>
        <w:ind w:left="22"/>
        <w:outlineLvl w:val="1"/>
        <w:rPr>
          <w:sz w:val="21"/>
          <w:szCs w:val="21"/>
        </w:rPr>
      </w:pPr>
      <w:bookmarkStart w:id="83" w:name="bookmark27"/>
      <w:bookmarkStart w:id="84" w:name="_Toc19862"/>
      <w:bookmarkStart w:id="85" w:name="_Toc7770"/>
      <w:bookmarkEnd w:id="83"/>
      <w:r>
        <w:rPr>
          <w:color w:val="231F20"/>
          <w:spacing w:val="9"/>
          <w:position w:val="1"/>
          <w:sz w:val="21"/>
          <w:szCs w:val="21"/>
        </w:rPr>
        <w:t>7.1</w:t>
      </w:r>
      <w:r>
        <w:rPr>
          <w:color w:val="231F20"/>
          <w:spacing w:val="9"/>
          <w:position w:val="1"/>
          <w:sz w:val="21"/>
          <w:szCs w:val="21"/>
        </w:rPr>
        <w:t>数据收集</w:t>
      </w:r>
      <w:bookmarkEnd w:id="84"/>
      <w:bookmarkEnd w:id="85"/>
    </w:p>
    <w:p w:rsidR="0007779F" w:rsidRDefault="005C7E73">
      <w:pPr>
        <w:pStyle w:val="a7"/>
        <w:spacing w:before="205" w:line="254" w:lineRule="exact"/>
        <w:ind w:left="22"/>
        <w:rPr>
          <w:sz w:val="21"/>
          <w:szCs w:val="21"/>
        </w:rPr>
      </w:pPr>
      <w:r>
        <w:rPr>
          <w:color w:val="231F20"/>
          <w:spacing w:val="9"/>
          <w:position w:val="1"/>
          <w:sz w:val="21"/>
          <w:szCs w:val="21"/>
        </w:rPr>
        <w:t xml:space="preserve">7.1.1 </w:t>
      </w:r>
      <w:r>
        <w:rPr>
          <w:color w:val="231F20"/>
          <w:spacing w:val="9"/>
          <w:position w:val="1"/>
          <w:sz w:val="21"/>
          <w:szCs w:val="21"/>
        </w:rPr>
        <w:t>数据收集期</w:t>
      </w:r>
    </w:p>
    <w:p w:rsidR="0007779F" w:rsidRDefault="005C7E73" w:rsidP="00996A76">
      <w:pPr>
        <w:ind w:firstLineChars="200" w:firstLine="436"/>
        <w:rPr>
          <w:rFonts w:ascii="宋体" w:eastAsia="宋体" w:hAnsi="宋体" w:cs="宋体"/>
          <w:spacing w:val="8"/>
          <w:lang w:eastAsia="zh-CN"/>
        </w:rPr>
      </w:pPr>
      <w:r>
        <w:rPr>
          <w:rFonts w:ascii="宋体" w:eastAsia="宋体" w:hAnsi="宋体" w:cs="宋体" w:hint="eastAsia"/>
          <w:spacing w:val="8"/>
          <w:lang w:eastAsia="zh-CN"/>
        </w:rPr>
        <w:t>碳酸钾产品碳足迹量化数据宜以一个自然年为数据收集周期。其特点是年度数据符合组织常规的运营管理，涵盖生产波动的变化因素。</w:t>
      </w:r>
    </w:p>
    <w:p w:rsidR="0007779F" w:rsidRDefault="005C7E73">
      <w:pPr>
        <w:pStyle w:val="a7"/>
        <w:spacing w:before="188" w:line="253" w:lineRule="exact"/>
        <w:ind w:left="22"/>
        <w:rPr>
          <w:sz w:val="21"/>
          <w:szCs w:val="21"/>
          <w:lang w:eastAsia="zh-CN"/>
        </w:rPr>
      </w:pPr>
      <w:r>
        <w:rPr>
          <w:color w:val="231F20"/>
          <w:spacing w:val="8"/>
          <w:position w:val="1"/>
          <w:sz w:val="21"/>
          <w:szCs w:val="21"/>
          <w:lang w:eastAsia="zh-CN"/>
        </w:rPr>
        <w:t>7.1.2</w:t>
      </w:r>
      <w:r>
        <w:rPr>
          <w:color w:val="231F20"/>
          <w:spacing w:val="8"/>
          <w:position w:val="1"/>
          <w:sz w:val="21"/>
          <w:szCs w:val="21"/>
          <w:lang w:eastAsia="zh-CN"/>
        </w:rPr>
        <w:t>收集步骤</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对于系统边界内的所有单元过程，应收集纳入生命周期清单中的定性资料和定量数据。数据收集和数据质量评估步骤如下：</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）根据产品系统边界，获取工艺流程图，识别温室气体排放源，确定数据需求范围；</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）根据数据需求编制单元过程输入、输出数据列表；</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）根据数据列表收集初级数据和次级数据。数据收集应详细记录各项数据的计算方法、数据来源和原始凭证，保持其可追溯；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）评估收集的活动数据和排放因子。对研究结论有显著影响的数据，应说明相关数据的收集过程、收集时间以及数据质量的详细信息；对计量数据，相关计量器具应符合</w:t>
      </w:r>
      <w:r>
        <w:rPr>
          <w:rFonts w:ascii="宋体" w:eastAsia="宋体" w:hAnsi="宋体" w:cs="宋体" w:hint="eastAsia"/>
          <w:spacing w:val="8"/>
          <w:lang w:eastAsia="zh-CN"/>
        </w:rPr>
        <w:t>GB171</w:t>
      </w:r>
      <w:r>
        <w:rPr>
          <w:rFonts w:ascii="宋体" w:eastAsia="宋体" w:hAnsi="宋体" w:cs="宋体" w:hint="eastAsia"/>
          <w:spacing w:val="8"/>
          <w:lang w:eastAsia="zh-CN"/>
        </w:rPr>
        <w:t>67</w:t>
      </w:r>
      <w:r>
        <w:rPr>
          <w:rFonts w:ascii="宋体" w:eastAsia="宋体" w:hAnsi="宋体" w:cs="宋体" w:hint="eastAsia"/>
          <w:spacing w:val="8"/>
          <w:lang w:eastAsia="zh-CN"/>
        </w:rPr>
        <w:t>和</w:t>
      </w:r>
      <w:bookmarkStart w:id="86" w:name="bookmark56"/>
      <w:bookmarkEnd w:id="86"/>
      <w:r>
        <w:rPr>
          <w:rFonts w:ascii="宋体" w:eastAsia="宋体" w:hAnsi="宋体" w:cs="宋体" w:hint="eastAsia"/>
          <w:spacing w:val="8"/>
          <w:lang w:eastAsia="zh-CN"/>
        </w:rPr>
        <w:t>GB/T 20902</w:t>
      </w:r>
      <w:r>
        <w:rPr>
          <w:rFonts w:ascii="宋体" w:eastAsia="宋体" w:hAnsi="宋体" w:cs="宋体" w:hint="eastAsia"/>
          <w:spacing w:val="8"/>
          <w:lang w:eastAsia="zh-CN"/>
        </w:rPr>
        <w:t>的规定；</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e</w:t>
      </w:r>
      <w:r>
        <w:rPr>
          <w:rFonts w:ascii="宋体" w:eastAsia="宋体" w:hAnsi="宋体" w:cs="宋体" w:hint="eastAsia"/>
          <w:spacing w:val="8"/>
          <w:lang w:eastAsia="zh-CN"/>
        </w:rPr>
        <w:t>）审查数据收集过程中出现的特殊情况、异常点和其他问题，识别可能产生的数据误差风险。</w:t>
      </w:r>
    </w:p>
    <w:p w:rsidR="0007779F" w:rsidRDefault="005C7E73">
      <w:pPr>
        <w:pStyle w:val="a7"/>
        <w:spacing w:before="175" w:line="253" w:lineRule="exact"/>
        <w:rPr>
          <w:sz w:val="21"/>
          <w:szCs w:val="21"/>
          <w:lang w:eastAsia="zh-CN"/>
        </w:rPr>
      </w:pPr>
      <w:r>
        <w:rPr>
          <w:color w:val="231F20"/>
          <w:spacing w:val="10"/>
          <w:position w:val="1"/>
          <w:sz w:val="21"/>
          <w:szCs w:val="21"/>
          <w:lang w:eastAsia="zh-CN"/>
        </w:rPr>
        <w:t>7.1.3</w:t>
      </w:r>
      <w:r>
        <w:rPr>
          <w:color w:val="231F20"/>
          <w:spacing w:val="10"/>
          <w:position w:val="1"/>
          <w:sz w:val="21"/>
          <w:szCs w:val="21"/>
          <w:lang w:eastAsia="zh-CN"/>
        </w:rPr>
        <w:t>初级数据收集</w:t>
      </w:r>
    </w:p>
    <w:p w:rsidR="0007779F" w:rsidRDefault="005C7E73">
      <w:pPr>
        <w:pStyle w:val="a7"/>
        <w:spacing w:before="206" w:line="253" w:lineRule="exact"/>
        <w:rPr>
          <w:sz w:val="21"/>
          <w:szCs w:val="21"/>
          <w:lang w:eastAsia="zh-CN"/>
        </w:rPr>
      </w:pPr>
      <w:r>
        <w:rPr>
          <w:color w:val="231F20"/>
          <w:spacing w:val="10"/>
          <w:position w:val="1"/>
          <w:sz w:val="21"/>
          <w:szCs w:val="21"/>
          <w:lang w:eastAsia="zh-CN"/>
        </w:rPr>
        <w:t>7.1.3.</w:t>
      </w:r>
      <w:r>
        <w:rPr>
          <w:rFonts w:hint="eastAsia"/>
          <w:color w:val="231F20"/>
          <w:spacing w:val="10"/>
          <w:position w:val="1"/>
          <w:sz w:val="21"/>
          <w:szCs w:val="21"/>
          <w:lang w:eastAsia="zh-CN"/>
        </w:rPr>
        <w:t>1</w:t>
      </w:r>
      <w:r>
        <w:rPr>
          <w:rFonts w:hint="eastAsia"/>
          <w:color w:val="231F20"/>
          <w:spacing w:val="10"/>
          <w:position w:val="1"/>
          <w:sz w:val="21"/>
          <w:szCs w:val="21"/>
          <w:lang w:eastAsia="zh-CN"/>
        </w:rPr>
        <w:t>原材料获取和预加工阶段</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原材料获取和预加工阶段应收集的初级数据包括：</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氢氧化钾消耗量；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水消耗量；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燃料及电（热）力等能源消耗量；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原料、辅助材料和能源的运输工具及其核定载重量、运输重量、运输距离。</w:t>
      </w:r>
    </w:p>
    <w:p w:rsidR="0007779F" w:rsidRDefault="0007779F">
      <w:pPr>
        <w:pStyle w:val="a7"/>
        <w:spacing w:before="176" w:line="254" w:lineRule="exact"/>
        <w:rPr>
          <w:sz w:val="21"/>
          <w:szCs w:val="21"/>
          <w:lang w:eastAsia="zh-CN"/>
        </w:rPr>
      </w:pPr>
      <w:hyperlink r:id="rId15" w:history="1">
        <w:r w:rsidR="005C7E73">
          <w:rPr>
            <w:color w:val="231F20"/>
            <w:spacing w:val="10"/>
            <w:position w:val="1"/>
            <w:sz w:val="21"/>
            <w:szCs w:val="21"/>
            <w:lang w:eastAsia="zh-CN"/>
          </w:rPr>
          <w:t>7.1.3.2</w:t>
        </w:r>
      </w:hyperlink>
      <w:r w:rsidR="005C7E73">
        <w:rPr>
          <w:color w:val="231F20"/>
          <w:spacing w:val="10"/>
          <w:position w:val="1"/>
          <w:sz w:val="21"/>
          <w:szCs w:val="21"/>
          <w:lang w:eastAsia="zh-CN"/>
        </w:rPr>
        <w:t>产品生产阶段</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原材料消耗量；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辅助材料消耗量；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燃料及电（热）力等能源消耗量；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生产过程的二</w:t>
      </w:r>
      <w:r>
        <w:rPr>
          <w:rFonts w:ascii="宋体" w:eastAsia="宋体" w:hAnsi="宋体" w:cs="宋体" w:hint="eastAsia"/>
          <w:spacing w:val="8"/>
          <w:lang w:eastAsia="zh-CN"/>
        </w:rPr>
        <w:t>氧化碳吸收量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产品产量；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废水、废气、废渣产生量；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lastRenderedPageBreak/>
        <w:t>污染物产生量；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余热利用供热量或发电量。</w:t>
      </w:r>
    </w:p>
    <w:p w:rsidR="0007779F" w:rsidRDefault="005C7E73">
      <w:pPr>
        <w:pStyle w:val="a7"/>
        <w:spacing w:before="202" w:line="253" w:lineRule="exact"/>
        <w:ind w:left="11"/>
        <w:rPr>
          <w:sz w:val="21"/>
          <w:szCs w:val="21"/>
          <w:lang w:eastAsia="zh-CN"/>
        </w:rPr>
      </w:pPr>
      <w:r>
        <w:rPr>
          <w:color w:val="231F20"/>
          <w:spacing w:val="10"/>
          <w:position w:val="1"/>
          <w:sz w:val="21"/>
          <w:szCs w:val="21"/>
          <w:lang w:eastAsia="zh-CN"/>
        </w:rPr>
        <w:t>7.1.4</w:t>
      </w:r>
      <w:r>
        <w:rPr>
          <w:color w:val="231F20"/>
          <w:spacing w:val="10"/>
          <w:position w:val="1"/>
          <w:sz w:val="21"/>
          <w:szCs w:val="21"/>
          <w:lang w:eastAsia="zh-CN"/>
        </w:rPr>
        <w:t>次级数据收集</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产品系统边界内应收集的次级数据主要包括：</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）外购原辅材料、燃料等上游生命周期清单数据；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）电（热）力等能源的上游生命周期清单数据；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）固体废物等处理过程生命周期清单数据；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）运输过程生命周期清单数据等。</w:t>
      </w:r>
    </w:p>
    <w:p w:rsidR="0007779F" w:rsidRDefault="005C7E73">
      <w:pPr>
        <w:pStyle w:val="a7"/>
        <w:spacing w:line="296" w:lineRule="auto"/>
        <w:rPr>
          <w:color w:val="231F20"/>
          <w:spacing w:val="1"/>
          <w:sz w:val="21"/>
          <w:szCs w:val="21"/>
          <w:lang w:eastAsia="zh-CN"/>
        </w:rPr>
      </w:pPr>
      <w:r>
        <w:rPr>
          <w:color w:val="231F20"/>
          <w:spacing w:val="3"/>
          <w:sz w:val="21"/>
          <w:szCs w:val="21"/>
          <w:lang w:eastAsia="zh-CN"/>
        </w:rPr>
        <w:t>7.1.5</w:t>
      </w:r>
      <w:r>
        <w:rPr>
          <w:color w:val="231F20"/>
          <w:spacing w:val="3"/>
          <w:sz w:val="21"/>
          <w:szCs w:val="21"/>
          <w:lang w:eastAsia="zh-CN"/>
        </w:rPr>
        <w:t>特定</w:t>
      </w:r>
      <w:r>
        <w:rPr>
          <w:rFonts w:ascii="微软雅黑" w:eastAsia="微软雅黑" w:hAnsi="微软雅黑" w:cs="微软雅黑"/>
          <w:color w:val="231F20"/>
          <w:spacing w:val="3"/>
          <w:sz w:val="21"/>
          <w:szCs w:val="21"/>
          <w:lang w:eastAsia="zh-CN"/>
        </w:rPr>
        <w:t>（</w:t>
      </w:r>
      <w:r>
        <w:rPr>
          <w:color w:val="231F20"/>
          <w:spacing w:val="3"/>
          <w:sz w:val="21"/>
          <w:szCs w:val="21"/>
          <w:lang w:eastAsia="zh-CN"/>
        </w:rPr>
        <w:t>电力</w:t>
      </w:r>
      <w:r>
        <w:rPr>
          <w:rFonts w:ascii="微软雅黑" w:eastAsia="微软雅黑" w:hAnsi="微软雅黑" w:cs="微软雅黑"/>
          <w:color w:val="231F20"/>
          <w:spacing w:val="3"/>
          <w:sz w:val="21"/>
          <w:szCs w:val="21"/>
          <w:lang w:eastAsia="zh-CN"/>
        </w:rPr>
        <w:t>）</w:t>
      </w:r>
      <w:r>
        <w:rPr>
          <w:color w:val="231F20"/>
          <w:spacing w:val="3"/>
          <w:sz w:val="21"/>
          <w:szCs w:val="21"/>
          <w:lang w:eastAsia="zh-CN"/>
        </w:rPr>
        <w:t>温室气体排放因子</w:t>
      </w:r>
    </w:p>
    <w:p w:rsidR="0007779F" w:rsidRDefault="0007779F">
      <w:pPr>
        <w:pStyle w:val="a7"/>
        <w:spacing w:line="296" w:lineRule="auto"/>
        <w:rPr>
          <w:sz w:val="21"/>
          <w:szCs w:val="21"/>
          <w:lang w:eastAsia="zh-CN"/>
        </w:rPr>
      </w:pPr>
      <w:hyperlink r:id="rId16" w:history="1">
        <w:r w:rsidR="005C7E73">
          <w:rPr>
            <w:color w:val="231F20"/>
            <w:spacing w:val="6"/>
            <w:sz w:val="21"/>
            <w:szCs w:val="21"/>
            <w:lang w:eastAsia="zh-CN"/>
          </w:rPr>
          <w:t>7.1.5.1</w:t>
        </w:r>
      </w:hyperlink>
      <w:r w:rsidR="005C7E73">
        <w:rPr>
          <w:color w:val="231F20"/>
          <w:spacing w:val="6"/>
          <w:sz w:val="21"/>
          <w:szCs w:val="21"/>
          <w:lang w:eastAsia="zh-CN"/>
        </w:rPr>
        <w:t>内部发电</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当产品消耗的电能为内部发电（例如现场发电），且未向第三方出售，则应将该电力的生命</w:t>
      </w:r>
      <w:bookmarkStart w:id="87" w:name="bookmark57"/>
      <w:bookmarkEnd w:id="87"/>
      <w:r>
        <w:rPr>
          <w:rFonts w:ascii="宋体" w:eastAsia="宋体" w:hAnsi="宋体" w:cs="宋体" w:hint="eastAsia"/>
          <w:spacing w:val="8"/>
          <w:lang w:eastAsia="zh-CN"/>
        </w:rPr>
        <w:t>周期数据用于产品的碳足迹量化。</w:t>
      </w:r>
    </w:p>
    <w:p w:rsidR="0007779F" w:rsidRDefault="0007779F">
      <w:pPr>
        <w:spacing w:before="206" w:line="204" w:lineRule="auto"/>
        <w:rPr>
          <w:rFonts w:ascii="黑体" w:eastAsia="黑体" w:hAnsi="黑体" w:cs="黑体"/>
          <w:lang w:eastAsia="zh-CN"/>
        </w:rPr>
      </w:pPr>
      <w:hyperlink r:id="rId17" w:history="1">
        <w:r w:rsidR="005C7E73">
          <w:rPr>
            <w:color w:val="231F20"/>
            <w:spacing w:val="8"/>
            <w:lang w:eastAsia="zh-CN"/>
          </w:rPr>
          <w:t>7.1.5.2</w:t>
        </w:r>
      </w:hyperlink>
      <w:r w:rsidR="005C7E73">
        <w:rPr>
          <w:rFonts w:ascii="黑体" w:eastAsia="黑体" w:hAnsi="黑体" w:cs="黑体"/>
          <w:color w:val="231F20"/>
          <w:spacing w:val="8"/>
          <w:lang w:eastAsia="zh-CN"/>
        </w:rPr>
        <w:t>直供电力</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如果该组织与发电站之间具有专用输电线路，且所消耗的电力未向第三方出售，则使用该电力供应商提供的电力温室气体排放因子。</w:t>
      </w:r>
    </w:p>
    <w:p w:rsidR="0007779F" w:rsidRDefault="0007779F">
      <w:pPr>
        <w:pStyle w:val="a7"/>
        <w:spacing w:before="162" w:line="254" w:lineRule="exact"/>
        <w:ind w:left="5"/>
        <w:rPr>
          <w:sz w:val="21"/>
          <w:szCs w:val="21"/>
          <w:lang w:eastAsia="zh-CN"/>
        </w:rPr>
      </w:pPr>
      <w:hyperlink r:id="rId18" w:history="1">
        <w:r w:rsidR="005C7E73">
          <w:rPr>
            <w:color w:val="231F20"/>
            <w:spacing w:val="6"/>
            <w:position w:val="1"/>
            <w:sz w:val="21"/>
            <w:szCs w:val="21"/>
            <w:lang w:eastAsia="zh-CN"/>
          </w:rPr>
          <w:t>7.1.5.3</w:t>
        </w:r>
      </w:hyperlink>
      <w:r w:rsidR="005C7E73">
        <w:rPr>
          <w:color w:val="231F20"/>
          <w:spacing w:val="6"/>
          <w:position w:val="1"/>
          <w:sz w:val="21"/>
          <w:szCs w:val="21"/>
          <w:lang w:eastAsia="zh-CN"/>
        </w:rPr>
        <w:t>电网电力</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当电力供应商通过合同工具的形式保证电力供应，应使用此供应商特定电力生产的生命周期数据，电力产品应：</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——传递电力生产单位相关信息以及发电机组特征信息；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——保证唯一的使用权；</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——由报告实体或报告实体代表追踪、赎回、报废或注销；</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——接近合同工具的适用期限，并包括相应的时间长度。</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当无法获得供应商的具体电力信息时，应使用与电力来源相关的电网</w:t>
      </w:r>
      <w:r>
        <w:rPr>
          <w:rFonts w:ascii="宋体" w:eastAsia="宋体" w:hAnsi="宋体" w:cs="宋体" w:hint="eastAsia"/>
          <w:spacing w:val="8"/>
          <w:lang w:eastAsia="zh-CN"/>
        </w:rPr>
        <w:t>GHG</w:t>
      </w:r>
      <w:r>
        <w:rPr>
          <w:rFonts w:ascii="宋体" w:eastAsia="宋体" w:hAnsi="宋体" w:cs="宋体" w:hint="eastAsia"/>
          <w:spacing w:val="8"/>
          <w:lang w:eastAsia="zh-CN"/>
        </w:rPr>
        <w:t>排放量。相关电网</w:t>
      </w:r>
      <w:r>
        <w:rPr>
          <w:rFonts w:ascii="宋体" w:eastAsia="宋体" w:hAnsi="宋体" w:cs="宋体" w:hint="eastAsia"/>
          <w:spacing w:val="8"/>
          <w:lang w:eastAsia="zh-CN"/>
        </w:rPr>
        <w:t>GHG</w:t>
      </w:r>
      <w:r>
        <w:rPr>
          <w:rFonts w:ascii="宋体" w:eastAsia="宋体" w:hAnsi="宋体" w:cs="宋体" w:hint="eastAsia"/>
          <w:spacing w:val="8"/>
          <w:lang w:eastAsia="zh-CN"/>
        </w:rPr>
        <w:t>排放量应反映相关地区的电力消耗情况，不包括任何之前已声明归属的电力。如果没有电力追踪系统，所选电网</w:t>
      </w:r>
      <w:r>
        <w:rPr>
          <w:rFonts w:ascii="宋体" w:eastAsia="宋体" w:hAnsi="宋体" w:cs="宋体" w:hint="eastAsia"/>
          <w:spacing w:val="8"/>
          <w:lang w:eastAsia="zh-CN"/>
        </w:rPr>
        <w:t>GHG</w:t>
      </w:r>
      <w:r>
        <w:rPr>
          <w:rFonts w:ascii="宋体" w:eastAsia="宋体" w:hAnsi="宋体" w:cs="宋体" w:hint="eastAsia"/>
          <w:spacing w:val="8"/>
          <w:lang w:eastAsia="zh-CN"/>
        </w:rPr>
        <w:t>排放量应反映该地区的电力消费情况。</w:t>
      </w:r>
    </w:p>
    <w:p w:rsidR="0007779F" w:rsidRDefault="005C7E73" w:rsidP="00996A76">
      <w:pPr>
        <w:ind w:firstLineChars="200" w:firstLine="377"/>
        <w:jc w:val="both"/>
        <w:rPr>
          <w:rFonts w:ascii="宋体" w:eastAsia="宋体" w:hAnsi="宋体" w:cs="宋体"/>
          <w:spacing w:val="8"/>
          <w:sz w:val="18"/>
          <w:szCs w:val="18"/>
          <w:lang w:eastAsia="zh-CN"/>
        </w:rPr>
      </w:pPr>
      <w:r>
        <w:rPr>
          <w:rFonts w:ascii="宋体" w:eastAsia="宋体" w:hAnsi="宋体" w:cs="宋体" w:hint="eastAsia"/>
          <w:b/>
          <w:bCs/>
          <w:spacing w:val="8"/>
          <w:sz w:val="18"/>
          <w:szCs w:val="18"/>
          <w:lang w:eastAsia="zh-CN"/>
        </w:rPr>
        <w:t>注</w:t>
      </w:r>
      <w:r>
        <w:rPr>
          <w:rFonts w:ascii="宋体" w:eastAsia="宋体" w:hAnsi="宋体" w:cs="宋体" w:hint="eastAsia"/>
          <w:b/>
          <w:bCs/>
          <w:spacing w:val="8"/>
          <w:sz w:val="18"/>
          <w:szCs w:val="18"/>
          <w:lang w:eastAsia="zh-CN"/>
        </w:rPr>
        <w:t>1</w:t>
      </w:r>
      <w:r>
        <w:rPr>
          <w:rFonts w:ascii="宋体" w:eastAsia="宋体" w:hAnsi="宋体" w:cs="宋体" w:hint="eastAsia"/>
          <w:b/>
          <w:bCs/>
          <w:spacing w:val="8"/>
          <w:sz w:val="18"/>
          <w:szCs w:val="18"/>
          <w:lang w:eastAsia="zh-CN"/>
        </w:rPr>
        <w:t>：</w:t>
      </w:r>
      <w:r>
        <w:rPr>
          <w:rFonts w:ascii="宋体" w:eastAsia="宋体" w:hAnsi="宋体" w:cs="宋体" w:hint="eastAsia"/>
          <w:spacing w:val="8"/>
          <w:sz w:val="18"/>
          <w:szCs w:val="18"/>
          <w:lang w:eastAsia="zh-CN"/>
        </w:rPr>
        <w:t>合同工具是指双方之间签订，用于出售和购买能源的任意形式的合约。如能源属性证书、电力交易合同等。报</w:t>
      </w:r>
      <w:r>
        <w:rPr>
          <w:rFonts w:ascii="宋体" w:eastAsia="宋体" w:hAnsi="宋体" w:cs="宋体" w:hint="eastAsia"/>
          <w:spacing w:val="8"/>
          <w:sz w:val="18"/>
          <w:szCs w:val="18"/>
          <w:lang w:eastAsia="zh-CN"/>
        </w:rPr>
        <w:t>告实体可根据目标用户的需求选择合同工具的类型。</w:t>
      </w:r>
    </w:p>
    <w:p w:rsidR="0007779F" w:rsidRDefault="005C7E73" w:rsidP="00996A76">
      <w:pPr>
        <w:ind w:firstLineChars="200" w:firstLine="377"/>
        <w:jc w:val="both"/>
        <w:rPr>
          <w:rFonts w:ascii="宋体" w:eastAsia="宋体" w:hAnsi="宋体" w:cs="宋体"/>
          <w:spacing w:val="8"/>
          <w:sz w:val="18"/>
          <w:szCs w:val="18"/>
          <w:lang w:eastAsia="zh-CN"/>
        </w:rPr>
      </w:pPr>
      <w:r>
        <w:rPr>
          <w:rFonts w:ascii="宋体" w:eastAsia="宋体" w:hAnsi="宋体" w:cs="宋体" w:hint="eastAsia"/>
          <w:b/>
          <w:bCs/>
          <w:spacing w:val="8"/>
          <w:sz w:val="18"/>
          <w:szCs w:val="18"/>
          <w:lang w:eastAsia="zh-CN"/>
        </w:rPr>
        <w:t>注</w:t>
      </w:r>
      <w:r>
        <w:rPr>
          <w:rFonts w:ascii="宋体" w:eastAsia="宋体" w:hAnsi="宋体" w:cs="宋体" w:hint="eastAsia"/>
          <w:b/>
          <w:bCs/>
          <w:spacing w:val="8"/>
          <w:sz w:val="18"/>
          <w:szCs w:val="18"/>
          <w:lang w:eastAsia="zh-CN"/>
        </w:rPr>
        <w:t>2</w:t>
      </w:r>
      <w:r>
        <w:rPr>
          <w:rFonts w:ascii="宋体" w:eastAsia="宋体" w:hAnsi="宋体" w:cs="宋体" w:hint="eastAsia"/>
          <w:b/>
          <w:bCs/>
          <w:spacing w:val="8"/>
          <w:sz w:val="18"/>
          <w:szCs w:val="18"/>
          <w:lang w:eastAsia="zh-CN"/>
        </w:rPr>
        <w:t>：</w:t>
      </w:r>
      <w:r>
        <w:rPr>
          <w:rFonts w:ascii="宋体" w:eastAsia="宋体" w:hAnsi="宋体" w:cs="宋体" w:hint="eastAsia"/>
          <w:spacing w:val="8"/>
          <w:sz w:val="18"/>
          <w:szCs w:val="18"/>
          <w:lang w:eastAsia="zh-CN"/>
        </w:rPr>
        <w:t>发电机特征信息包括设备的登记名称、所有者和产生的能源性质、发电量和提供的可再生能源等。</w:t>
      </w:r>
    </w:p>
    <w:p w:rsidR="0007779F" w:rsidRDefault="005C7E73" w:rsidP="00996A76">
      <w:pPr>
        <w:ind w:firstLineChars="200" w:firstLine="377"/>
        <w:jc w:val="both"/>
        <w:rPr>
          <w:rFonts w:ascii="宋体" w:eastAsia="宋体" w:hAnsi="宋体" w:cs="宋体"/>
          <w:spacing w:val="8"/>
          <w:sz w:val="18"/>
          <w:szCs w:val="18"/>
          <w:lang w:eastAsia="zh-CN"/>
        </w:rPr>
      </w:pPr>
      <w:r>
        <w:rPr>
          <w:rFonts w:ascii="宋体" w:eastAsia="宋体" w:hAnsi="宋体" w:cs="宋体" w:hint="eastAsia"/>
          <w:b/>
          <w:bCs/>
          <w:spacing w:val="8"/>
          <w:sz w:val="18"/>
          <w:szCs w:val="18"/>
          <w:lang w:eastAsia="zh-CN"/>
        </w:rPr>
        <w:t>注</w:t>
      </w:r>
      <w:r>
        <w:rPr>
          <w:rFonts w:ascii="宋体" w:eastAsia="宋体" w:hAnsi="宋体" w:cs="宋体" w:hint="eastAsia"/>
          <w:b/>
          <w:bCs/>
          <w:spacing w:val="8"/>
          <w:sz w:val="18"/>
          <w:szCs w:val="18"/>
          <w:lang w:eastAsia="zh-CN"/>
        </w:rPr>
        <w:t>3</w:t>
      </w:r>
      <w:r>
        <w:rPr>
          <w:rFonts w:ascii="宋体" w:eastAsia="宋体" w:hAnsi="宋体" w:cs="宋体" w:hint="eastAsia"/>
          <w:b/>
          <w:bCs/>
          <w:spacing w:val="8"/>
          <w:sz w:val="18"/>
          <w:szCs w:val="18"/>
          <w:lang w:eastAsia="zh-CN"/>
        </w:rPr>
        <w:t>：</w:t>
      </w:r>
      <w:r>
        <w:rPr>
          <w:rFonts w:ascii="宋体" w:eastAsia="宋体" w:hAnsi="宋体" w:cs="宋体" w:hint="eastAsia"/>
          <w:spacing w:val="8"/>
          <w:sz w:val="18"/>
          <w:szCs w:val="18"/>
          <w:lang w:eastAsia="zh-CN"/>
        </w:rPr>
        <w:t>如果难以获得电力供应系统内某一过程的具体生命周期数据，可使用公认数据库［如来自生态环境部、联合国环境规划署（</w:t>
      </w:r>
      <w:r>
        <w:rPr>
          <w:rFonts w:ascii="宋体" w:eastAsia="宋体" w:hAnsi="宋体" w:cs="宋体" w:hint="eastAsia"/>
          <w:spacing w:val="8"/>
          <w:sz w:val="18"/>
          <w:szCs w:val="18"/>
          <w:lang w:eastAsia="zh-CN"/>
        </w:rPr>
        <w:t>UNEP</w:t>
      </w:r>
      <w:r>
        <w:rPr>
          <w:rFonts w:ascii="宋体" w:eastAsia="宋体" w:hAnsi="宋体" w:cs="宋体" w:hint="eastAsia"/>
          <w:spacing w:val="8"/>
          <w:sz w:val="18"/>
          <w:szCs w:val="18"/>
          <w:lang w:eastAsia="zh-CN"/>
        </w:rPr>
        <w:t>）或联合国气候变化框架公约（</w:t>
      </w:r>
      <w:r>
        <w:rPr>
          <w:rFonts w:ascii="宋体" w:eastAsia="宋体" w:hAnsi="宋体" w:cs="宋体" w:hint="eastAsia"/>
          <w:spacing w:val="8"/>
          <w:sz w:val="18"/>
          <w:szCs w:val="18"/>
          <w:lang w:eastAsia="zh-CN"/>
        </w:rPr>
        <w:t>UNFCCC</w:t>
      </w:r>
      <w:r>
        <w:rPr>
          <w:rFonts w:ascii="宋体" w:eastAsia="宋体" w:hAnsi="宋体" w:cs="宋体" w:hint="eastAsia"/>
          <w:spacing w:val="8"/>
          <w:sz w:val="18"/>
          <w:szCs w:val="18"/>
          <w:lang w:eastAsia="zh-CN"/>
        </w:rPr>
        <w:t>）等中的数据］。</w:t>
      </w:r>
    </w:p>
    <w:p w:rsidR="0007779F" w:rsidRDefault="005C7E73" w:rsidP="00996A76">
      <w:pPr>
        <w:ind w:firstLineChars="200" w:firstLine="376"/>
        <w:jc w:val="both"/>
        <w:rPr>
          <w:rFonts w:ascii="宋体" w:eastAsia="宋体" w:hAnsi="宋体" w:cs="宋体"/>
          <w:spacing w:val="8"/>
          <w:sz w:val="18"/>
          <w:szCs w:val="18"/>
          <w:lang w:eastAsia="zh-CN"/>
        </w:rPr>
      </w:pPr>
      <w:r>
        <w:rPr>
          <w:rFonts w:ascii="宋体" w:eastAsia="宋体" w:hAnsi="宋体" w:cs="宋体" w:hint="eastAsia"/>
          <w:spacing w:val="8"/>
          <w:sz w:val="18"/>
          <w:szCs w:val="18"/>
          <w:lang w:eastAsia="zh-CN"/>
        </w:rPr>
        <w:t>如果非化石能源电力证书在出售时不直接与电力本身关联，来自非化石能源的部分电力作为非化石电力出售，但没有被排除在电网组合排放因子之外，在这种情况下，应使用电力跟踪系统开展相关消费电网组合分析，</w:t>
      </w:r>
      <w:r>
        <w:rPr>
          <w:rFonts w:ascii="宋体" w:eastAsia="宋体" w:hAnsi="宋体" w:cs="宋体" w:hint="eastAsia"/>
          <w:spacing w:val="8"/>
          <w:sz w:val="18"/>
          <w:szCs w:val="18"/>
          <w:lang w:eastAsia="zh-CN"/>
        </w:rPr>
        <w:t>并在产品碳足迹报告中进行单独报告，以此来展示结果的差异。</w:t>
      </w:r>
    </w:p>
    <w:p w:rsidR="0007779F" w:rsidRDefault="005C7E73">
      <w:pPr>
        <w:pStyle w:val="a7"/>
        <w:spacing w:before="159" w:line="254" w:lineRule="exact"/>
        <w:ind w:left="5"/>
        <w:outlineLvl w:val="1"/>
        <w:rPr>
          <w:rFonts w:ascii="宋体" w:eastAsia="宋体" w:hAnsi="宋体" w:cs="宋体"/>
          <w:spacing w:val="8"/>
          <w:sz w:val="21"/>
          <w:szCs w:val="21"/>
          <w:lang w:eastAsia="zh-CN"/>
        </w:rPr>
      </w:pPr>
      <w:bookmarkStart w:id="88" w:name="_Toc28131"/>
      <w:bookmarkStart w:id="89" w:name="_Toc32597"/>
      <w:r>
        <w:rPr>
          <w:color w:val="231F20"/>
          <w:spacing w:val="9"/>
          <w:position w:val="1"/>
          <w:sz w:val="21"/>
          <w:szCs w:val="21"/>
          <w:lang w:eastAsia="zh-CN"/>
        </w:rPr>
        <w:t>7.2</w:t>
      </w:r>
      <w:r>
        <w:rPr>
          <w:color w:val="231F20"/>
          <w:spacing w:val="9"/>
          <w:position w:val="1"/>
          <w:sz w:val="21"/>
          <w:szCs w:val="21"/>
          <w:lang w:eastAsia="zh-CN"/>
        </w:rPr>
        <w:t>数据审定</w:t>
      </w:r>
      <w:bookmarkEnd w:id="88"/>
      <w:bookmarkEnd w:id="89"/>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在数据收集过程中应对数据的有效性进行检查，以确认并提供证据证明数据质量要求符合第</w:t>
      </w:r>
      <w:r>
        <w:rPr>
          <w:rFonts w:ascii="宋体" w:eastAsia="宋体" w:hAnsi="宋体" w:cs="宋体" w:hint="eastAsia"/>
          <w:spacing w:val="8"/>
          <w:lang w:eastAsia="zh-CN"/>
        </w:rPr>
        <w:t>6</w:t>
      </w:r>
      <w:r>
        <w:rPr>
          <w:rFonts w:ascii="宋体" w:eastAsia="宋体" w:hAnsi="宋体" w:cs="宋体" w:hint="eastAsia"/>
          <w:spacing w:val="8"/>
          <w:lang w:eastAsia="zh-CN"/>
        </w:rPr>
        <w:t>章的规定。</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数据审定可通过建立质量平衡、能量平衡、碳平衡和（或）排放因子的比较分析或其他适当的方法。由于每个单元过程均遵守物质和能量守恒定律，因此物质和能量的平衡能为单元过程描述的准确性提供有效的检查。</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数据审定可参考行业平均值、检验标准值等常规数据进行交叉审定。</w:t>
      </w:r>
    </w:p>
    <w:p w:rsidR="0007779F" w:rsidRDefault="005C7E73">
      <w:pPr>
        <w:pStyle w:val="a7"/>
        <w:spacing w:before="193" w:line="255" w:lineRule="exact"/>
        <w:ind w:left="5"/>
        <w:outlineLvl w:val="1"/>
        <w:rPr>
          <w:sz w:val="21"/>
          <w:szCs w:val="21"/>
          <w:lang w:eastAsia="zh-CN"/>
        </w:rPr>
      </w:pPr>
      <w:bookmarkStart w:id="90" w:name="bookmark34"/>
      <w:bookmarkStart w:id="91" w:name="bookmark33"/>
      <w:bookmarkStart w:id="92" w:name="_Toc29191"/>
      <w:bookmarkStart w:id="93" w:name="_Toc23610"/>
      <w:bookmarkEnd w:id="90"/>
      <w:bookmarkEnd w:id="91"/>
      <w:r>
        <w:rPr>
          <w:color w:val="231F20"/>
          <w:spacing w:val="8"/>
          <w:position w:val="1"/>
          <w:sz w:val="21"/>
          <w:szCs w:val="21"/>
          <w:lang w:eastAsia="zh-CN"/>
        </w:rPr>
        <w:t>7.3</w:t>
      </w:r>
      <w:r>
        <w:rPr>
          <w:color w:val="231F20"/>
          <w:spacing w:val="8"/>
          <w:position w:val="1"/>
          <w:sz w:val="21"/>
          <w:szCs w:val="21"/>
          <w:lang w:eastAsia="zh-CN"/>
        </w:rPr>
        <w:t>数据分配</w:t>
      </w:r>
      <w:bookmarkEnd w:id="92"/>
      <w:bookmarkEnd w:id="93"/>
    </w:p>
    <w:p w:rsidR="0007779F" w:rsidRDefault="0007779F" w:rsidP="00996A76">
      <w:pPr>
        <w:ind w:firstLineChars="200" w:firstLine="436"/>
        <w:rPr>
          <w:rFonts w:ascii="宋体" w:eastAsia="宋体" w:hAnsi="宋体" w:cs="宋体"/>
          <w:spacing w:val="8"/>
          <w:lang w:eastAsia="zh-CN"/>
        </w:rPr>
      </w:pP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数据分配的原则是以输入和输出之间的物质平衡为基础，一个单元过程分配的输入和输出总和应与其分配前的输入和输出相等。应根据明确规定的分配程序将输入和输出分配到不同的产品中。碳酸钾产品优先采用的数据分配方法如下：</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）细分法：将拟分配的单元过程进一步划分为两个或更多的子过程，并收集与这些子过程相关的输入和输出数据；</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）扩展法：将产品系统加以扩展，从而抵扣功能单位等同产品生产造成的环境影响；</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lastRenderedPageBreak/>
        <w:t>c</w:t>
      </w:r>
      <w:r>
        <w:rPr>
          <w:rFonts w:ascii="宋体" w:eastAsia="宋体" w:hAnsi="宋体" w:cs="宋体" w:hint="eastAsia"/>
          <w:spacing w:val="8"/>
          <w:lang w:eastAsia="zh-CN"/>
        </w:rPr>
        <w:t>）分配法：根据物理属性（例如质量、工时）或产品经济价值等参数，按比例将输入输出数据分配到共生产品。</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原则上宜尽量避免数据</w:t>
      </w:r>
      <w:r>
        <w:rPr>
          <w:rFonts w:ascii="宋体" w:eastAsia="宋体" w:hAnsi="宋体" w:cs="宋体" w:hint="eastAsia"/>
          <w:spacing w:val="8"/>
          <w:lang w:eastAsia="zh-CN"/>
        </w:rPr>
        <w:t>分配，当同时有几种备选分配程序时，应通过敏感性分析阐明偏离所选方法产生的影响。</w:t>
      </w:r>
    </w:p>
    <w:p w:rsidR="0007779F" w:rsidRDefault="005C7E73">
      <w:pPr>
        <w:pStyle w:val="a7"/>
        <w:tabs>
          <w:tab w:val="left" w:pos="7980"/>
        </w:tabs>
        <w:spacing w:before="200" w:line="253" w:lineRule="exact"/>
        <w:ind w:left="11"/>
        <w:outlineLvl w:val="1"/>
        <w:rPr>
          <w:sz w:val="21"/>
          <w:szCs w:val="21"/>
          <w:lang w:eastAsia="zh-CN"/>
        </w:rPr>
      </w:pPr>
      <w:bookmarkStart w:id="94" w:name="bookmark36"/>
      <w:bookmarkStart w:id="95" w:name="bookmark35"/>
      <w:bookmarkStart w:id="96" w:name="_Toc18259"/>
      <w:bookmarkStart w:id="97" w:name="_Toc7630"/>
      <w:bookmarkEnd w:id="94"/>
      <w:bookmarkEnd w:id="95"/>
      <w:r>
        <w:rPr>
          <w:color w:val="231F20"/>
          <w:spacing w:val="11"/>
          <w:position w:val="1"/>
          <w:sz w:val="21"/>
          <w:szCs w:val="21"/>
          <w:lang w:eastAsia="zh-CN"/>
        </w:rPr>
        <w:t>7.4</w:t>
      </w:r>
      <w:r>
        <w:rPr>
          <w:color w:val="231F20"/>
          <w:spacing w:val="11"/>
          <w:position w:val="1"/>
          <w:sz w:val="21"/>
          <w:szCs w:val="21"/>
          <w:lang w:eastAsia="zh-CN"/>
        </w:rPr>
        <w:t>数据取舍原则</w:t>
      </w:r>
      <w:bookmarkEnd w:id="96"/>
      <w:bookmarkEnd w:id="97"/>
    </w:p>
    <w:p w:rsidR="0007779F" w:rsidRDefault="0007779F" w:rsidP="00996A76">
      <w:pPr>
        <w:ind w:firstLineChars="200" w:firstLine="436"/>
        <w:rPr>
          <w:rFonts w:ascii="宋体" w:eastAsia="宋体" w:hAnsi="宋体" w:cs="宋体"/>
          <w:spacing w:val="8"/>
          <w:lang w:eastAsia="zh-CN"/>
        </w:rPr>
      </w:pP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本文件涉及的物质（能量）数据的取舍原则如下：</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）能源的所有输入均需列出；</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）原辅材料的所有输入均需列出；</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）辅助材料若符合</w:t>
      </w:r>
      <w:r>
        <w:rPr>
          <w:rFonts w:ascii="宋体" w:eastAsia="宋体" w:hAnsi="宋体" w:cs="宋体" w:hint="eastAsia"/>
          <w:spacing w:val="8"/>
          <w:lang w:eastAsia="zh-CN"/>
        </w:rPr>
        <w:t>d</w:t>
      </w:r>
      <w:r>
        <w:rPr>
          <w:rFonts w:ascii="宋体" w:eastAsia="宋体" w:hAnsi="宋体" w:cs="宋体" w:hint="eastAsia"/>
          <w:spacing w:val="8"/>
          <w:lang w:eastAsia="zh-CN"/>
        </w:rPr>
        <w:t>）和</w:t>
      </w:r>
      <w:r>
        <w:rPr>
          <w:rFonts w:ascii="宋体" w:eastAsia="宋体" w:hAnsi="宋体" w:cs="宋体" w:hint="eastAsia"/>
          <w:spacing w:val="8"/>
          <w:lang w:eastAsia="zh-CN"/>
        </w:rPr>
        <w:t>e</w:t>
      </w:r>
      <w:r>
        <w:rPr>
          <w:rFonts w:ascii="宋体" w:eastAsia="宋体" w:hAnsi="宋体" w:cs="宋体" w:hint="eastAsia"/>
          <w:spacing w:val="8"/>
          <w:lang w:eastAsia="zh-CN"/>
        </w:rPr>
        <w:t>）要求则可忽略；</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）忽略的单项物质（能量）流对产品碳足迹的贡献均不应超过</w:t>
      </w:r>
      <w:r>
        <w:rPr>
          <w:rFonts w:ascii="宋体" w:eastAsia="宋体" w:hAnsi="宋体" w:cs="宋体" w:hint="eastAsia"/>
          <w:spacing w:val="8"/>
          <w:lang w:eastAsia="zh-CN"/>
        </w:rPr>
        <w:t>1%</w:t>
      </w:r>
      <w:r>
        <w:rPr>
          <w:rFonts w:ascii="宋体" w:eastAsia="宋体" w:hAnsi="宋体" w:cs="宋体" w:hint="eastAsia"/>
          <w:spacing w:val="8"/>
          <w:lang w:eastAsia="zh-CN"/>
        </w:rPr>
        <w:t>；</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e</w:t>
      </w:r>
      <w:r>
        <w:rPr>
          <w:rFonts w:ascii="宋体" w:eastAsia="宋体" w:hAnsi="宋体" w:cs="宋体" w:hint="eastAsia"/>
          <w:spacing w:val="8"/>
          <w:lang w:eastAsia="zh-CN"/>
        </w:rPr>
        <w:t>）所有忽略的物质（能量）流对产品碳足迹贡献总和不应超过</w:t>
      </w:r>
      <w:r>
        <w:rPr>
          <w:rFonts w:ascii="宋体" w:eastAsia="宋体" w:hAnsi="宋体" w:cs="宋体" w:hint="eastAsia"/>
          <w:spacing w:val="8"/>
          <w:lang w:eastAsia="zh-CN"/>
        </w:rPr>
        <w:t>5%</w:t>
      </w:r>
      <w:r>
        <w:rPr>
          <w:rFonts w:ascii="宋体" w:eastAsia="宋体" w:hAnsi="宋体" w:cs="宋体" w:hint="eastAsia"/>
          <w:spacing w:val="8"/>
          <w:lang w:eastAsia="zh-CN"/>
        </w:rPr>
        <w:t>，且应在产品碳足迹报告中予以说明；</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f</w:t>
      </w:r>
      <w:r>
        <w:rPr>
          <w:rFonts w:ascii="宋体" w:eastAsia="宋体" w:hAnsi="宋体" w:cs="宋体" w:hint="eastAsia"/>
          <w:spacing w:val="8"/>
          <w:lang w:eastAsia="zh-CN"/>
        </w:rPr>
        <w:t>）道路与厂房等基础设施、各工序设备、厂区内人员办公及生活设施的消耗和排放，均忽略。</w:t>
      </w:r>
    </w:p>
    <w:p w:rsidR="0007779F" w:rsidRDefault="005C7E73">
      <w:pPr>
        <w:pStyle w:val="a7"/>
        <w:spacing w:before="176" w:line="254" w:lineRule="exact"/>
        <w:ind w:left="11"/>
        <w:outlineLvl w:val="1"/>
        <w:rPr>
          <w:sz w:val="21"/>
          <w:szCs w:val="21"/>
          <w:lang w:eastAsia="zh-CN"/>
        </w:rPr>
      </w:pPr>
      <w:bookmarkStart w:id="98" w:name="bookmark38"/>
      <w:bookmarkStart w:id="99" w:name="_Toc12219"/>
      <w:bookmarkStart w:id="100" w:name="_Toc2293"/>
      <w:bookmarkEnd w:id="98"/>
      <w:r>
        <w:rPr>
          <w:color w:val="231F20"/>
          <w:spacing w:val="9"/>
          <w:position w:val="1"/>
          <w:sz w:val="21"/>
          <w:szCs w:val="21"/>
          <w:lang w:eastAsia="zh-CN"/>
        </w:rPr>
        <w:t xml:space="preserve">7.5 </w:t>
      </w:r>
      <w:r>
        <w:rPr>
          <w:color w:val="231F20"/>
          <w:spacing w:val="9"/>
          <w:position w:val="1"/>
          <w:sz w:val="21"/>
          <w:szCs w:val="21"/>
          <w:lang w:eastAsia="zh-CN"/>
        </w:rPr>
        <w:t>清</w:t>
      </w:r>
      <w:r>
        <w:rPr>
          <w:color w:val="231F20"/>
          <w:spacing w:val="9"/>
          <w:position w:val="1"/>
          <w:sz w:val="21"/>
          <w:szCs w:val="21"/>
          <w:lang w:eastAsia="zh-CN"/>
        </w:rPr>
        <w:t>单计算</w:t>
      </w:r>
      <w:bookmarkEnd w:id="99"/>
      <w:bookmarkEnd w:id="100"/>
    </w:p>
    <w:p w:rsidR="0007779F" w:rsidRDefault="005C7E73" w:rsidP="00996A76">
      <w:pPr>
        <w:kinsoku/>
        <w:overflowPunct w:val="0"/>
        <w:spacing w:before="22" w:line="215" w:lineRule="auto"/>
        <w:ind w:firstLineChars="200" w:firstLine="436"/>
        <w:rPr>
          <w:rFonts w:ascii="宋体" w:eastAsia="宋体" w:hAnsi="宋体" w:cs="宋体"/>
          <w:lang w:eastAsia="zh-CN"/>
        </w:rPr>
      </w:pPr>
      <w:r>
        <w:rPr>
          <w:rFonts w:ascii="宋体" w:eastAsia="宋体" w:hAnsi="宋体" w:cs="宋体" w:hint="eastAsia"/>
          <w:spacing w:val="8"/>
          <w:lang w:eastAsia="zh-CN"/>
        </w:rPr>
        <w:t>生命周期清单分析结果通常表现为一系列的数据表，展示每声明单位产品在每个阶段</w:t>
      </w:r>
      <w:r>
        <w:rPr>
          <w:rFonts w:ascii="宋体" w:eastAsia="宋体" w:hAnsi="宋体" w:cs="宋体" w:hint="eastAsia"/>
          <w:spacing w:val="8"/>
          <w:lang w:eastAsia="zh-CN"/>
        </w:rPr>
        <w:t>/</w:t>
      </w:r>
      <w:r>
        <w:rPr>
          <w:rFonts w:ascii="宋体" w:eastAsia="宋体" w:hAnsi="宋体" w:cs="宋体" w:hint="eastAsia"/>
          <w:spacing w:val="8"/>
          <w:lang w:eastAsia="zh-CN"/>
        </w:rPr>
        <w:t>单元过程中的资源使用量（如原辅材料和能源），以及释放到环境中的排放物（如温室气体、废弃物等）。</w:t>
      </w:r>
    </w:p>
    <w:p w:rsidR="0007779F" w:rsidRDefault="0007779F">
      <w:pPr>
        <w:kinsoku/>
        <w:overflowPunct w:val="0"/>
        <w:ind w:firstLineChars="200" w:firstLine="420"/>
        <w:rPr>
          <w:lang w:eastAsia="zh-CN"/>
        </w:rPr>
      </w:pPr>
    </w:p>
    <w:p w:rsidR="0007779F" w:rsidRDefault="0007779F">
      <w:pPr>
        <w:kinsoku/>
        <w:overflowPunct w:val="0"/>
        <w:ind w:firstLineChars="200" w:firstLine="400"/>
        <w:rPr>
          <w:rFonts w:ascii="宋体" w:eastAsia="宋体" w:hAnsi="宋体" w:cs="宋体"/>
          <w:sz w:val="20"/>
          <w:szCs w:val="20"/>
          <w:lang w:eastAsia="zh-CN"/>
        </w:rPr>
      </w:pPr>
    </w:p>
    <w:p w:rsidR="0007779F" w:rsidRDefault="005C7E73" w:rsidP="00996A76">
      <w:pPr>
        <w:pStyle w:val="a7"/>
        <w:spacing w:beforeLines="100" w:afterLines="100"/>
        <w:outlineLvl w:val="0"/>
        <w:rPr>
          <w:sz w:val="20"/>
          <w:szCs w:val="20"/>
          <w:lang w:eastAsia="zh-CN"/>
        </w:rPr>
      </w:pPr>
      <w:bookmarkStart w:id="101" w:name="_Toc11343"/>
      <w:bookmarkStart w:id="102" w:name="_Toc30409"/>
      <w:r>
        <w:rPr>
          <w:rFonts w:hint="eastAsia"/>
          <w:spacing w:val="5"/>
          <w:sz w:val="20"/>
          <w:szCs w:val="20"/>
          <w:lang w:eastAsia="zh-CN"/>
        </w:rPr>
        <w:t>8</w:t>
      </w:r>
      <w:r>
        <w:rPr>
          <w:rFonts w:hint="eastAsia"/>
          <w:spacing w:val="5"/>
          <w:sz w:val="20"/>
          <w:szCs w:val="20"/>
          <w:lang w:eastAsia="zh-CN"/>
        </w:rPr>
        <w:t>产品碳足迹影响</w:t>
      </w:r>
      <w:r>
        <w:rPr>
          <w:spacing w:val="5"/>
          <w:sz w:val="20"/>
          <w:szCs w:val="20"/>
          <w:lang w:eastAsia="zh-CN"/>
        </w:rPr>
        <w:t>评价</w:t>
      </w:r>
      <w:bookmarkEnd w:id="101"/>
      <w:bookmarkEnd w:id="102"/>
    </w:p>
    <w:p w:rsidR="0007779F" w:rsidRDefault="005C7E73">
      <w:pPr>
        <w:pStyle w:val="a2"/>
        <w:numPr>
          <w:ilvl w:val="3"/>
          <w:numId w:val="0"/>
        </w:numPr>
        <w:spacing w:before="120" w:after="120"/>
        <w:outlineLvl w:val="1"/>
        <w:rPr>
          <w:rFonts w:ascii="Times New Roman"/>
          <w:sz w:val="20"/>
          <w:szCs w:val="18"/>
        </w:rPr>
      </w:pPr>
      <w:bookmarkStart w:id="103" w:name="_Toc8871"/>
      <w:bookmarkStart w:id="104" w:name="_Toc2335"/>
      <w:r>
        <w:rPr>
          <w:rFonts w:ascii="Times New Roman" w:hint="eastAsia"/>
          <w:sz w:val="20"/>
          <w:szCs w:val="18"/>
        </w:rPr>
        <w:t>8.1</w:t>
      </w:r>
      <w:r>
        <w:rPr>
          <w:rFonts w:ascii="Times New Roman" w:hint="eastAsia"/>
          <w:sz w:val="20"/>
          <w:szCs w:val="18"/>
        </w:rPr>
        <w:t>通则</w:t>
      </w:r>
      <w:bookmarkEnd w:id="103"/>
      <w:bookmarkEnd w:id="104"/>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应通过排放或清除的</w:t>
      </w:r>
      <w:r>
        <w:rPr>
          <w:rFonts w:ascii="宋体" w:eastAsia="宋体" w:hAnsi="宋体" w:cs="宋体" w:hint="eastAsia"/>
          <w:spacing w:val="8"/>
          <w:lang w:eastAsia="zh-CN"/>
        </w:rPr>
        <w:t>GHG</w:t>
      </w:r>
      <w:r>
        <w:rPr>
          <w:rFonts w:ascii="宋体" w:eastAsia="宋体" w:hAnsi="宋体" w:cs="宋体" w:hint="eastAsia"/>
          <w:spacing w:val="8"/>
          <w:lang w:eastAsia="zh-CN"/>
        </w:rPr>
        <w:t>的质量乘以</w:t>
      </w:r>
      <w:r>
        <w:rPr>
          <w:rFonts w:ascii="宋体" w:eastAsia="宋体" w:hAnsi="宋体" w:cs="宋体" w:hint="eastAsia"/>
          <w:spacing w:val="8"/>
          <w:lang w:eastAsia="zh-CN"/>
        </w:rPr>
        <w:t>IPCC</w:t>
      </w:r>
      <w:r>
        <w:rPr>
          <w:rFonts w:ascii="宋体" w:eastAsia="宋体" w:hAnsi="宋体" w:cs="宋体" w:hint="eastAsia"/>
          <w:spacing w:val="8"/>
          <w:lang w:eastAsia="zh-CN"/>
        </w:rPr>
        <w:t>给出的</w:t>
      </w:r>
      <w:r>
        <w:rPr>
          <w:rFonts w:ascii="宋体" w:eastAsia="宋体" w:hAnsi="宋体" w:cs="宋体" w:hint="eastAsia"/>
          <w:spacing w:val="8"/>
          <w:lang w:eastAsia="zh-CN"/>
        </w:rPr>
        <w:t>100</w:t>
      </w:r>
      <w:r>
        <w:rPr>
          <w:rFonts w:ascii="宋体" w:eastAsia="宋体" w:hAnsi="宋体" w:cs="宋体" w:hint="eastAsia"/>
          <w:spacing w:val="8"/>
          <w:lang w:eastAsia="zh-CN"/>
        </w:rPr>
        <w:t>年</w:t>
      </w:r>
      <w:r>
        <w:rPr>
          <w:rFonts w:ascii="宋体" w:eastAsia="宋体" w:hAnsi="宋体" w:cs="宋体" w:hint="eastAsia"/>
          <w:spacing w:val="8"/>
          <w:lang w:eastAsia="zh-CN"/>
        </w:rPr>
        <w:t>GWP</w:t>
      </w:r>
      <w:r>
        <w:rPr>
          <w:rFonts w:ascii="宋体" w:eastAsia="宋体" w:hAnsi="宋体" w:cs="宋体" w:hint="eastAsia"/>
          <w:spacing w:val="8"/>
          <w:lang w:eastAsia="zh-CN"/>
        </w:rPr>
        <w:t>（见附录</w:t>
      </w:r>
      <w:r>
        <w:rPr>
          <w:rFonts w:ascii="宋体" w:eastAsia="宋体" w:hAnsi="宋体" w:cs="宋体" w:hint="eastAsia"/>
          <w:spacing w:val="8"/>
          <w:lang w:eastAsia="zh-CN"/>
        </w:rPr>
        <w:t>A</w:t>
      </w:r>
      <w:r>
        <w:rPr>
          <w:rFonts w:ascii="宋体" w:eastAsia="宋体" w:hAnsi="宋体" w:cs="宋体" w:hint="eastAsia"/>
          <w:spacing w:val="8"/>
          <w:lang w:eastAsia="zh-CN"/>
        </w:rPr>
        <w:t>），来计算产品每种</w:t>
      </w:r>
      <w:r>
        <w:rPr>
          <w:rFonts w:ascii="宋体" w:eastAsia="宋体" w:hAnsi="宋体" w:cs="宋体" w:hint="eastAsia"/>
          <w:spacing w:val="8"/>
          <w:lang w:eastAsia="zh-CN"/>
        </w:rPr>
        <w:t>GHG</w:t>
      </w:r>
      <w:r>
        <w:rPr>
          <w:rFonts w:ascii="宋体" w:eastAsia="宋体" w:hAnsi="宋体" w:cs="宋体" w:hint="eastAsia"/>
          <w:spacing w:val="8"/>
          <w:lang w:eastAsia="zh-CN"/>
        </w:rPr>
        <w:t>排放和清除的潜在气候变化影响，以</w:t>
      </w:r>
      <w:r>
        <w:rPr>
          <w:rFonts w:ascii="宋体" w:eastAsia="宋体" w:hAnsi="宋体" w:cs="宋体" w:hint="eastAsia"/>
          <w:spacing w:val="8"/>
          <w:lang w:eastAsia="zh-CN"/>
        </w:rPr>
        <w:t>tCO</w:t>
      </w:r>
      <w:r>
        <w:rPr>
          <w:rFonts w:ascii="宋体" w:eastAsia="宋体" w:hAnsi="宋体" w:cs="宋体" w:hint="eastAsia"/>
          <w:spacing w:val="8"/>
          <w:vertAlign w:val="subscript"/>
          <w:lang w:eastAsia="zh-CN"/>
        </w:rPr>
        <w:t>2</w:t>
      </w:r>
      <w:r>
        <w:rPr>
          <w:rFonts w:ascii="宋体" w:eastAsia="宋体" w:hAnsi="宋体" w:cs="宋体" w:hint="eastAsia"/>
          <w:spacing w:val="8"/>
          <w:lang w:eastAsia="zh-CN"/>
        </w:rPr>
        <w:t>e/</w:t>
      </w:r>
      <w:r>
        <w:rPr>
          <w:rFonts w:ascii="宋体" w:eastAsia="宋体" w:hAnsi="宋体" w:cs="宋体" w:hint="eastAsia"/>
          <w:spacing w:val="8"/>
          <w:lang w:eastAsia="zh-CN"/>
        </w:rPr>
        <w:t>（</w:t>
      </w:r>
      <w:r>
        <w:rPr>
          <w:rFonts w:ascii="宋体" w:eastAsia="宋体" w:hAnsi="宋体" w:cs="宋体" w:hint="eastAsia"/>
          <w:spacing w:val="8"/>
          <w:lang w:eastAsia="zh-CN"/>
        </w:rPr>
        <w:t>t</w:t>
      </w:r>
      <w:r>
        <w:rPr>
          <w:rFonts w:ascii="宋体" w:eastAsia="宋体" w:hAnsi="宋体" w:cs="宋体" w:hint="eastAsia"/>
          <w:spacing w:val="8"/>
          <w:lang w:eastAsia="zh-CN"/>
        </w:rPr>
        <w:t>排放量）计。</w:t>
      </w:r>
    </w:p>
    <w:p w:rsidR="0007779F" w:rsidRDefault="005C7E73" w:rsidP="00996A76">
      <w:pPr>
        <w:ind w:firstLineChars="200" w:firstLine="377"/>
        <w:jc w:val="both"/>
        <w:rPr>
          <w:rFonts w:ascii="宋体" w:eastAsia="宋体" w:hAnsi="宋体" w:cs="宋体"/>
          <w:spacing w:val="8"/>
          <w:sz w:val="18"/>
          <w:szCs w:val="18"/>
          <w:lang w:eastAsia="zh-CN"/>
        </w:rPr>
      </w:pPr>
      <w:r>
        <w:rPr>
          <w:rFonts w:ascii="宋体" w:eastAsia="宋体" w:hAnsi="宋体" w:cs="宋体" w:hint="eastAsia"/>
          <w:b/>
          <w:bCs/>
          <w:spacing w:val="8"/>
          <w:sz w:val="18"/>
          <w:szCs w:val="18"/>
          <w:lang w:eastAsia="zh-CN"/>
        </w:rPr>
        <w:t>注</w:t>
      </w:r>
      <w:r>
        <w:rPr>
          <w:rFonts w:ascii="宋体" w:eastAsia="宋体" w:hAnsi="宋体" w:cs="宋体" w:hint="eastAsia"/>
          <w:b/>
          <w:bCs/>
          <w:spacing w:val="8"/>
          <w:sz w:val="18"/>
          <w:szCs w:val="18"/>
          <w:lang w:eastAsia="zh-CN"/>
        </w:rPr>
        <w:t>1</w:t>
      </w:r>
      <w:r>
        <w:rPr>
          <w:rFonts w:ascii="宋体" w:eastAsia="宋体" w:hAnsi="宋体" w:cs="宋体" w:hint="eastAsia"/>
          <w:b/>
          <w:bCs/>
          <w:spacing w:val="8"/>
          <w:sz w:val="18"/>
          <w:szCs w:val="18"/>
          <w:lang w:eastAsia="zh-CN"/>
        </w:rPr>
        <w:t>：</w:t>
      </w:r>
      <w:r>
        <w:rPr>
          <w:rFonts w:ascii="宋体" w:eastAsia="宋体" w:hAnsi="宋体" w:cs="宋体" w:hint="eastAsia"/>
          <w:spacing w:val="8"/>
          <w:sz w:val="18"/>
          <w:szCs w:val="18"/>
          <w:lang w:eastAsia="zh-CN"/>
        </w:rPr>
        <w:t>产品碳足迹为所有</w:t>
      </w:r>
      <w:r>
        <w:rPr>
          <w:rFonts w:ascii="宋体" w:eastAsia="宋体" w:hAnsi="宋体" w:cs="宋体" w:hint="eastAsia"/>
          <w:spacing w:val="8"/>
          <w:sz w:val="18"/>
          <w:szCs w:val="18"/>
          <w:lang w:eastAsia="zh-CN"/>
        </w:rPr>
        <w:t>GHG</w:t>
      </w:r>
      <w:r>
        <w:rPr>
          <w:rFonts w:ascii="宋体" w:eastAsia="宋体" w:hAnsi="宋体" w:cs="宋体" w:hint="eastAsia"/>
          <w:spacing w:val="8"/>
          <w:sz w:val="18"/>
          <w:szCs w:val="18"/>
          <w:lang w:eastAsia="zh-CN"/>
        </w:rPr>
        <w:t>潜在气候变化影响的总和。</w:t>
      </w:r>
    </w:p>
    <w:p w:rsidR="0007779F" w:rsidRDefault="005C7E73" w:rsidP="00996A76">
      <w:pPr>
        <w:ind w:firstLineChars="200" w:firstLine="376"/>
        <w:jc w:val="both"/>
        <w:rPr>
          <w:rFonts w:ascii="宋体" w:eastAsia="宋体" w:hAnsi="宋体" w:cs="宋体"/>
          <w:spacing w:val="8"/>
          <w:sz w:val="18"/>
          <w:szCs w:val="18"/>
          <w:lang w:eastAsia="zh-CN"/>
        </w:rPr>
      </w:pPr>
      <w:r>
        <w:rPr>
          <w:rFonts w:ascii="宋体" w:eastAsia="宋体" w:hAnsi="宋体" w:cs="宋体" w:hint="eastAsia"/>
          <w:spacing w:val="8"/>
          <w:sz w:val="18"/>
          <w:szCs w:val="18"/>
          <w:lang w:eastAsia="zh-CN"/>
        </w:rPr>
        <w:t>若</w:t>
      </w:r>
      <w:r>
        <w:rPr>
          <w:rFonts w:ascii="宋体" w:eastAsia="宋体" w:hAnsi="宋体" w:cs="宋体" w:hint="eastAsia"/>
          <w:spacing w:val="8"/>
          <w:sz w:val="18"/>
          <w:szCs w:val="18"/>
          <w:lang w:eastAsia="zh-CN"/>
        </w:rPr>
        <w:t>IPCC</w:t>
      </w:r>
      <w:r>
        <w:rPr>
          <w:rFonts w:ascii="宋体" w:eastAsia="宋体" w:hAnsi="宋体" w:cs="宋体" w:hint="eastAsia"/>
          <w:spacing w:val="8"/>
          <w:sz w:val="18"/>
          <w:szCs w:val="18"/>
          <w:lang w:eastAsia="zh-CN"/>
        </w:rPr>
        <w:t>修订了</w:t>
      </w:r>
      <w:r>
        <w:rPr>
          <w:rFonts w:ascii="宋体" w:eastAsia="宋体" w:hAnsi="宋体" w:cs="宋体" w:hint="eastAsia"/>
          <w:spacing w:val="8"/>
          <w:sz w:val="18"/>
          <w:szCs w:val="18"/>
          <w:lang w:eastAsia="zh-CN"/>
        </w:rPr>
        <w:t>GWP</w:t>
      </w:r>
      <w:r>
        <w:rPr>
          <w:rFonts w:ascii="宋体" w:eastAsia="宋体" w:hAnsi="宋体" w:cs="宋体" w:hint="eastAsia"/>
          <w:spacing w:val="8"/>
          <w:sz w:val="18"/>
          <w:szCs w:val="18"/>
          <w:lang w:eastAsia="zh-CN"/>
        </w:rPr>
        <w:t>，应使用最新数值，否则应在报告中说明。</w:t>
      </w:r>
    </w:p>
    <w:p w:rsidR="0007779F" w:rsidRDefault="005C7E73" w:rsidP="00996A76">
      <w:pPr>
        <w:ind w:firstLineChars="200" w:firstLine="376"/>
        <w:jc w:val="both"/>
        <w:rPr>
          <w:rFonts w:ascii="宋体" w:eastAsia="宋体" w:hAnsi="宋体" w:cs="宋体"/>
          <w:spacing w:val="8"/>
          <w:sz w:val="18"/>
          <w:szCs w:val="18"/>
          <w:lang w:eastAsia="zh-CN"/>
        </w:rPr>
      </w:pPr>
      <w:r>
        <w:rPr>
          <w:rFonts w:ascii="宋体" w:eastAsia="宋体" w:hAnsi="宋体" w:cs="宋体" w:hint="eastAsia"/>
          <w:spacing w:val="8"/>
          <w:sz w:val="18"/>
          <w:szCs w:val="18"/>
          <w:lang w:eastAsia="zh-CN"/>
        </w:rPr>
        <w:t>除</w:t>
      </w:r>
      <w:r>
        <w:rPr>
          <w:rFonts w:ascii="宋体" w:eastAsia="宋体" w:hAnsi="宋体" w:cs="宋体" w:hint="eastAsia"/>
          <w:spacing w:val="8"/>
          <w:sz w:val="18"/>
          <w:szCs w:val="18"/>
          <w:lang w:eastAsia="zh-CN"/>
        </w:rPr>
        <w:t>GWP100</w:t>
      </w:r>
      <w:r>
        <w:rPr>
          <w:rFonts w:ascii="宋体" w:eastAsia="宋体" w:hAnsi="宋体" w:cs="宋体" w:hint="eastAsia"/>
          <w:spacing w:val="8"/>
          <w:sz w:val="18"/>
          <w:szCs w:val="18"/>
          <w:lang w:eastAsia="zh-CN"/>
        </w:rPr>
        <w:t>外，还可以使用</w:t>
      </w:r>
      <w:r>
        <w:rPr>
          <w:rFonts w:ascii="宋体" w:eastAsia="宋体" w:hAnsi="宋体" w:cs="宋体" w:hint="eastAsia"/>
          <w:spacing w:val="8"/>
          <w:sz w:val="18"/>
          <w:szCs w:val="18"/>
          <w:lang w:eastAsia="zh-CN"/>
        </w:rPr>
        <w:t>IPCC</w:t>
      </w:r>
      <w:r>
        <w:rPr>
          <w:rFonts w:ascii="宋体" w:eastAsia="宋体" w:hAnsi="宋体" w:cs="宋体" w:hint="eastAsia"/>
          <w:spacing w:val="8"/>
          <w:sz w:val="18"/>
          <w:szCs w:val="18"/>
          <w:lang w:eastAsia="zh-CN"/>
        </w:rPr>
        <w:t>提供的其他时间范围的</w:t>
      </w:r>
      <w:r>
        <w:rPr>
          <w:rFonts w:ascii="宋体" w:eastAsia="宋体" w:hAnsi="宋体" w:cs="宋体" w:hint="eastAsia"/>
          <w:spacing w:val="8"/>
          <w:sz w:val="18"/>
          <w:szCs w:val="18"/>
          <w:lang w:eastAsia="zh-CN"/>
        </w:rPr>
        <w:t>GWP</w:t>
      </w:r>
      <w:r>
        <w:rPr>
          <w:rFonts w:ascii="宋体" w:eastAsia="宋体" w:hAnsi="宋体" w:cs="宋体" w:hint="eastAsia"/>
          <w:spacing w:val="8"/>
          <w:sz w:val="18"/>
          <w:szCs w:val="18"/>
          <w:lang w:eastAsia="zh-CN"/>
        </w:rPr>
        <w:t>和</w:t>
      </w:r>
      <w:r>
        <w:rPr>
          <w:rFonts w:ascii="宋体" w:eastAsia="宋体" w:hAnsi="宋体" w:cs="宋体" w:hint="eastAsia"/>
          <w:spacing w:val="8"/>
          <w:sz w:val="18"/>
          <w:szCs w:val="18"/>
          <w:lang w:eastAsia="zh-CN"/>
        </w:rPr>
        <w:t>GTP</w:t>
      </w:r>
      <w:r>
        <w:rPr>
          <w:rFonts w:ascii="宋体" w:eastAsia="宋体" w:hAnsi="宋体" w:cs="宋体" w:hint="eastAsia"/>
          <w:spacing w:val="8"/>
          <w:sz w:val="18"/>
          <w:szCs w:val="18"/>
          <w:lang w:eastAsia="zh-CN"/>
        </w:rPr>
        <w:t>，但宜单独报告。</w:t>
      </w:r>
    </w:p>
    <w:p w:rsidR="0007779F" w:rsidRDefault="005C7E73" w:rsidP="00996A76">
      <w:pPr>
        <w:ind w:firstLineChars="200" w:firstLine="377"/>
        <w:jc w:val="both"/>
        <w:rPr>
          <w:rFonts w:ascii="宋体" w:eastAsia="宋体" w:hAnsi="宋体" w:cs="宋体"/>
          <w:spacing w:val="8"/>
          <w:sz w:val="18"/>
          <w:szCs w:val="18"/>
          <w:lang w:eastAsia="zh-CN"/>
        </w:rPr>
      </w:pPr>
      <w:r>
        <w:rPr>
          <w:rFonts w:ascii="宋体" w:eastAsia="宋体" w:hAnsi="宋体" w:cs="宋体" w:hint="eastAsia"/>
          <w:b/>
          <w:bCs/>
          <w:spacing w:val="8"/>
          <w:sz w:val="18"/>
          <w:szCs w:val="18"/>
          <w:lang w:eastAsia="zh-CN"/>
        </w:rPr>
        <w:t>注</w:t>
      </w:r>
      <w:r>
        <w:rPr>
          <w:rFonts w:ascii="宋体" w:eastAsia="宋体" w:hAnsi="宋体" w:cs="宋体" w:hint="eastAsia"/>
          <w:b/>
          <w:bCs/>
          <w:spacing w:val="8"/>
          <w:sz w:val="18"/>
          <w:szCs w:val="18"/>
          <w:lang w:eastAsia="zh-CN"/>
        </w:rPr>
        <w:t>2</w:t>
      </w:r>
      <w:r>
        <w:rPr>
          <w:rFonts w:ascii="宋体" w:eastAsia="宋体" w:hAnsi="宋体" w:cs="宋体" w:hint="eastAsia"/>
          <w:b/>
          <w:bCs/>
          <w:spacing w:val="8"/>
          <w:sz w:val="18"/>
          <w:szCs w:val="18"/>
          <w:lang w:eastAsia="zh-CN"/>
        </w:rPr>
        <w:t>：</w:t>
      </w:r>
      <w:r>
        <w:rPr>
          <w:rFonts w:ascii="宋体" w:eastAsia="宋体" w:hAnsi="宋体" w:cs="宋体" w:hint="eastAsia"/>
          <w:spacing w:val="8"/>
          <w:sz w:val="18"/>
          <w:szCs w:val="18"/>
          <w:lang w:eastAsia="zh-CN"/>
        </w:rPr>
        <w:t>GWP100</w:t>
      </w:r>
      <w:r>
        <w:rPr>
          <w:rFonts w:ascii="宋体" w:eastAsia="宋体" w:hAnsi="宋体" w:cs="宋体" w:hint="eastAsia"/>
          <w:spacing w:val="8"/>
          <w:sz w:val="18"/>
          <w:szCs w:val="18"/>
          <w:lang w:eastAsia="zh-CN"/>
        </w:rPr>
        <w:t>代表短期的气候变化影响，可反映变暖速度。</w:t>
      </w:r>
      <w:r>
        <w:rPr>
          <w:rFonts w:ascii="宋体" w:eastAsia="宋体" w:hAnsi="宋体" w:cs="宋体" w:hint="eastAsia"/>
          <w:spacing w:val="8"/>
          <w:sz w:val="18"/>
          <w:szCs w:val="18"/>
          <w:lang w:eastAsia="zh-CN"/>
        </w:rPr>
        <w:t>100</w:t>
      </w:r>
      <w:r>
        <w:rPr>
          <w:rFonts w:ascii="宋体" w:eastAsia="宋体" w:hAnsi="宋体" w:cs="宋体" w:hint="eastAsia"/>
          <w:spacing w:val="8"/>
          <w:sz w:val="18"/>
          <w:szCs w:val="18"/>
          <w:lang w:eastAsia="zh-CN"/>
        </w:rPr>
        <w:t>年</w:t>
      </w:r>
      <w:r>
        <w:rPr>
          <w:rFonts w:ascii="宋体" w:eastAsia="宋体" w:hAnsi="宋体" w:cs="宋体" w:hint="eastAsia"/>
          <w:spacing w:val="8"/>
          <w:sz w:val="18"/>
          <w:szCs w:val="18"/>
          <w:lang w:eastAsia="zh-CN"/>
        </w:rPr>
        <w:t>GTP</w:t>
      </w:r>
      <w:r>
        <w:rPr>
          <w:rFonts w:ascii="宋体" w:eastAsia="宋体" w:hAnsi="宋体" w:cs="宋体" w:hint="eastAsia"/>
          <w:spacing w:val="8"/>
          <w:sz w:val="18"/>
          <w:szCs w:val="18"/>
          <w:lang w:eastAsia="zh-CN"/>
        </w:rPr>
        <w:t>代表长期的气候变化影响，可反映长期温升。与其他时间范围相比，选择</w:t>
      </w:r>
      <w:r>
        <w:rPr>
          <w:rFonts w:ascii="宋体" w:eastAsia="宋体" w:hAnsi="宋体" w:cs="宋体" w:hint="eastAsia"/>
          <w:spacing w:val="8"/>
          <w:sz w:val="18"/>
          <w:szCs w:val="18"/>
          <w:lang w:eastAsia="zh-CN"/>
        </w:rPr>
        <w:t>100</w:t>
      </w:r>
      <w:r>
        <w:rPr>
          <w:rFonts w:ascii="宋体" w:eastAsia="宋体" w:hAnsi="宋体" w:cs="宋体" w:hint="eastAsia"/>
          <w:spacing w:val="8"/>
          <w:sz w:val="18"/>
          <w:szCs w:val="18"/>
          <w:lang w:eastAsia="zh-CN"/>
        </w:rPr>
        <w:t>年的时间范围并无任何科学依据。该时间范围是国际公约的一个价值判断，它权衡了不同时间范围内可能发生的影响。</w:t>
      </w:r>
    </w:p>
    <w:p w:rsidR="0007779F" w:rsidRDefault="005C7E73">
      <w:pPr>
        <w:pStyle w:val="a7"/>
        <w:spacing w:before="170" w:line="253" w:lineRule="exact"/>
        <w:ind w:left="11"/>
        <w:outlineLvl w:val="1"/>
        <w:rPr>
          <w:sz w:val="21"/>
          <w:szCs w:val="21"/>
          <w:lang w:eastAsia="zh-CN"/>
        </w:rPr>
      </w:pPr>
      <w:bookmarkStart w:id="105" w:name="bookmark44"/>
      <w:bookmarkStart w:id="106" w:name="bookmark43"/>
      <w:bookmarkStart w:id="107" w:name="_Toc30062"/>
      <w:bookmarkStart w:id="108" w:name="_Toc24380"/>
      <w:bookmarkEnd w:id="105"/>
      <w:bookmarkEnd w:id="106"/>
      <w:r>
        <w:rPr>
          <w:color w:val="231F20"/>
          <w:spacing w:val="12"/>
          <w:position w:val="1"/>
          <w:sz w:val="21"/>
          <w:szCs w:val="21"/>
          <w:lang w:eastAsia="zh-CN"/>
        </w:rPr>
        <w:t xml:space="preserve">8.2 </w:t>
      </w:r>
      <w:r>
        <w:rPr>
          <w:color w:val="231F20"/>
          <w:spacing w:val="12"/>
          <w:position w:val="1"/>
          <w:sz w:val="21"/>
          <w:szCs w:val="21"/>
          <w:lang w:eastAsia="zh-CN"/>
        </w:rPr>
        <w:t>产品碳足迹计算方法</w:t>
      </w:r>
      <w:bookmarkEnd w:id="107"/>
      <w:bookmarkEnd w:id="108"/>
    </w:p>
    <w:p w:rsidR="0007779F" w:rsidRDefault="005C7E73" w:rsidP="00996A76">
      <w:pPr>
        <w:ind w:firstLineChars="200" w:firstLine="436"/>
        <w:rPr>
          <w:rFonts w:ascii="宋体" w:eastAsia="宋体" w:hAnsi="宋体" w:cs="宋体"/>
          <w:spacing w:val="8"/>
          <w:lang w:eastAsia="zh-CN"/>
        </w:rPr>
      </w:pPr>
      <w:r>
        <w:rPr>
          <w:rFonts w:ascii="宋体" w:eastAsia="宋体" w:hAnsi="宋体" w:cs="宋体" w:hint="eastAsia"/>
          <w:spacing w:val="8"/>
          <w:lang w:eastAsia="zh-CN"/>
        </w:rPr>
        <w:t>碳酸钾产品碳足迹计算方法见公式（</w:t>
      </w:r>
      <w:r>
        <w:rPr>
          <w:rFonts w:ascii="宋体" w:eastAsia="宋体" w:hAnsi="宋体" w:cs="宋体" w:hint="eastAsia"/>
          <w:spacing w:val="8"/>
          <w:lang w:eastAsia="zh-CN"/>
        </w:rPr>
        <w:t>1</w:t>
      </w:r>
      <w:r>
        <w:rPr>
          <w:rFonts w:ascii="宋体" w:eastAsia="宋体" w:hAnsi="宋体" w:cs="宋体" w:hint="eastAsia"/>
          <w:spacing w:val="8"/>
          <w:lang w:eastAsia="zh-CN"/>
        </w:rPr>
        <w:t>）：</w:t>
      </w:r>
    </w:p>
    <w:p w:rsidR="0007779F" w:rsidRDefault="005C7E73">
      <w:pPr>
        <w:pStyle w:val="a7"/>
        <w:spacing w:before="1" w:line="234" w:lineRule="auto"/>
        <w:jc w:val="right"/>
        <w:rPr>
          <w:rFonts w:ascii="微软雅黑" w:eastAsia="微软雅黑" w:hAnsi="微软雅黑" w:cs="微软雅黑"/>
          <w:sz w:val="18"/>
          <w:szCs w:val="18"/>
        </w:rPr>
      </w:pPr>
      <w:r>
        <w:rPr>
          <w:rFonts w:ascii="Arial" w:eastAsia="Arial" w:hAnsi="Arial" w:cs="Arial"/>
          <w:i/>
          <w:iCs/>
          <w:color w:val="231F20"/>
          <w:position w:val="1"/>
          <w:sz w:val="18"/>
          <w:szCs w:val="18"/>
        </w:rPr>
        <w:t>CFP</w:t>
      </w:r>
      <w:r>
        <w:rPr>
          <w:color w:val="231F20"/>
          <w:position w:val="-1"/>
          <w:sz w:val="18"/>
          <w:szCs w:val="18"/>
        </w:rPr>
        <w:t>GHG</w:t>
      </w:r>
      <w:r>
        <w:rPr>
          <w:color w:val="231F20"/>
          <w:spacing w:val="19"/>
          <w:position w:val="1"/>
          <w:sz w:val="18"/>
          <w:szCs w:val="18"/>
        </w:rPr>
        <w:t>=</w:t>
      </w:r>
      <w:r>
        <w:rPr>
          <w:noProof/>
          <w:position w:val="-19"/>
          <w:sz w:val="18"/>
          <w:szCs w:val="18"/>
          <w:lang w:eastAsia="zh-CN"/>
        </w:rPr>
        <w:drawing>
          <wp:inline distT="0" distB="0" distL="0" distR="0">
            <wp:extent cx="160655" cy="273685"/>
            <wp:effectExtent l="0" t="0" r="10795" b="1270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9"/>
                    <a:stretch>
                      <a:fillRect/>
                    </a:stretch>
                  </pic:blipFill>
                  <pic:spPr>
                    <a:xfrm>
                      <a:off x="0" y="0"/>
                      <a:ext cx="161236" cy="274049"/>
                    </a:xfrm>
                    <a:prstGeom prst="rect">
                      <a:avLst/>
                    </a:prstGeom>
                  </pic:spPr>
                </pic:pic>
              </a:graphicData>
            </a:graphic>
          </wp:inline>
        </w:drawing>
      </w:r>
      <w:r>
        <w:rPr>
          <w:color w:val="231F20"/>
          <w:spacing w:val="19"/>
          <w:position w:val="1"/>
          <w:sz w:val="18"/>
          <w:szCs w:val="18"/>
        </w:rPr>
        <w:t>[</w:t>
      </w:r>
      <w:r>
        <w:rPr>
          <w:noProof/>
          <w:position w:val="-17"/>
          <w:sz w:val="18"/>
          <w:szCs w:val="18"/>
          <w:lang w:eastAsia="zh-CN"/>
        </w:rPr>
        <w:drawing>
          <wp:inline distT="0" distB="0" distL="0" distR="0">
            <wp:extent cx="160655" cy="259080"/>
            <wp:effectExtent l="0" t="0" r="10795" b="698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0"/>
                    <a:stretch>
                      <a:fillRect/>
                    </a:stretch>
                  </pic:blipFill>
                  <pic:spPr>
                    <a:xfrm>
                      <a:off x="0" y="0"/>
                      <a:ext cx="161235" cy="259429"/>
                    </a:xfrm>
                    <a:prstGeom prst="rect">
                      <a:avLst/>
                    </a:prstGeom>
                  </pic:spPr>
                </pic:pic>
              </a:graphicData>
            </a:graphic>
          </wp:inline>
        </w:drawing>
      </w:r>
      <w:r>
        <w:rPr>
          <w:rFonts w:ascii="宋体" w:eastAsia="宋体" w:hAnsi="宋体" w:cs="宋体"/>
          <w:color w:val="231F20"/>
          <w:spacing w:val="19"/>
          <w:position w:val="1"/>
          <w:sz w:val="18"/>
          <w:szCs w:val="18"/>
        </w:rPr>
        <w:t>（</w:t>
      </w:r>
      <w:r>
        <w:rPr>
          <w:rFonts w:ascii="Arial" w:eastAsia="Arial" w:hAnsi="Arial" w:cs="Arial"/>
          <w:i/>
          <w:iCs/>
          <w:color w:val="231F20"/>
          <w:position w:val="1"/>
          <w:sz w:val="18"/>
          <w:szCs w:val="18"/>
        </w:rPr>
        <w:t>AD</w:t>
      </w:r>
      <w:r>
        <w:rPr>
          <w:rFonts w:ascii="Arial" w:eastAsia="Arial" w:hAnsi="Arial" w:cs="Arial"/>
          <w:i/>
          <w:iCs/>
          <w:color w:val="231F20"/>
          <w:position w:val="-1"/>
          <w:sz w:val="18"/>
          <w:szCs w:val="18"/>
        </w:rPr>
        <w:t>i</w:t>
      </w:r>
      <w:r>
        <w:rPr>
          <w:color w:val="231F20"/>
          <w:spacing w:val="19"/>
          <w:position w:val="1"/>
          <w:sz w:val="18"/>
          <w:szCs w:val="18"/>
        </w:rPr>
        <w:t xml:space="preserve">× </w:t>
      </w:r>
      <w:r>
        <w:rPr>
          <w:rFonts w:ascii="Arial" w:eastAsia="Arial" w:hAnsi="Arial" w:cs="Arial"/>
          <w:i/>
          <w:iCs/>
          <w:color w:val="231F20"/>
          <w:position w:val="1"/>
          <w:sz w:val="18"/>
          <w:szCs w:val="18"/>
        </w:rPr>
        <w:t>EF</w:t>
      </w:r>
      <w:r>
        <w:rPr>
          <w:rFonts w:ascii="Arial" w:eastAsia="Arial" w:hAnsi="Arial" w:cs="Arial"/>
          <w:i/>
          <w:iCs/>
          <w:color w:val="231F20"/>
          <w:position w:val="-1"/>
          <w:sz w:val="18"/>
          <w:szCs w:val="18"/>
        </w:rPr>
        <w:t>LCA</w:t>
      </w:r>
      <w:r>
        <w:rPr>
          <w:color w:val="231F20"/>
          <w:spacing w:val="19"/>
          <w:position w:val="-1"/>
          <w:sz w:val="18"/>
          <w:szCs w:val="18"/>
        </w:rPr>
        <w:t>,</w:t>
      </w:r>
      <w:r>
        <w:rPr>
          <w:rFonts w:ascii="Arial" w:eastAsia="Arial" w:hAnsi="Arial" w:cs="Arial"/>
          <w:i/>
          <w:iCs/>
          <w:color w:val="231F20"/>
          <w:spacing w:val="19"/>
          <w:position w:val="-1"/>
          <w:sz w:val="18"/>
          <w:szCs w:val="18"/>
        </w:rPr>
        <w:t>i</w:t>
      </w:r>
      <w:r>
        <w:rPr>
          <w:color w:val="231F20"/>
          <w:spacing w:val="19"/>
          <w:position w:val="-1"/>
          <w:sz w:val="18"/>
          <w:szCs w:val="18"/>
        </w:rPr>
        <w:t>,</w:t>
      </w:r>
      <w:r>
        <w:rPr>
          <w:rFonts w:ascii="Arial" w:eastAsia="Arial" w:hAnsi="Arial" w:cs="Arial"/>
          <w:i/>
          <w:iCs/>
          <w:color w:val="231F20"/>
          <w:spacing w:val="19"/>
          <w:position w:val="-1"/>
          <w:sz w:val="18"/>
          <w:szCs w:val="18"/>
        </w:rPr>
        <w:t>j</w:t>
      </w:r>
      <w:r>
        <w:rPr>
          <w:rFonts w:ascii="宋体" w:eastAsia="宋体" w:hAnsi="宋体" w:cs="宋体"/>
          <w:color w:val="231F20"/>
          <w:spacing w:val="19"/>
          <w:position w:val="1"/>
          <w:sz w:val="18"/>
          <w:szCs w:val="18"/>
        </w:rPr>
        <w:t>）</w:t>
      </w:r>
      <w:r>
        <w:rPr>
          <w:color w:val="231F20"/>
          <w:spacing w:val="19"/>
          <w:position w:val="1"/>
          <w:sz w:val="18"/>
          <w:szCs w:val="18"/>
        </w:rPr>
        <w:t xml:space="preserve">× </w:t>
      </w:r>
      <w:r>
        <w:rPr>
          <w:rFonts w:ascii="Arial" w:eastAsia="Arial" w:hAnsi="Arial" w:cs="Arial"/>
          <w:i/>
          <w:iCs/>
          <w:color w:val="231F20"/>
          <w:position w:val="1"/>
          <w:sz w:val="18"/>
          <w:szCs w:val="18"/>
        </w:rPr>
        <w:t>GWP</w:t>
      </w:r>
      <w:r>
        <w:rPr>
          <w:rFonts w:ascii="Arial" w:eastAsia="Arial" w:hAnsi="Arial" w:cs="Arial"/>
          <w:i/>
          <w:iCs/>
          <w:color w:val="231F20"/>
          <w:position w:val="-1"/>
          <w:sz w:val="18"/>
          <w:szCs w:val="18"/>
        </w:rPr>
        <w:t>j</w:t>
      </w:r>
      <w:r>
        <w:rPr>
          <w:color w:val="231F20"/>
          <w:spacing w:val="19"/>
          <w:position w:val="1"/>
          <w:sz w:val="18"/>
          <w:szCs w:val="18"/>
        </w:rPr>
        <w:t xml:space="preserve">] </w:t>
      </w:r>
      <w:r>
        <w:rPr>
          <w:rFonts w:ascii="微软雅黑" w:eastAsia="微软雅黑" w:hAnsi="微软雅黑" w:cs="微软雅黑"/>
          <w:color w:val="231F20"/>
          <w:spacing w:val="19"/>
          <w:position w:val="1"/>
          <w:sz w:val="18"/>
          <w:szCs w:val="18"/>
        </w:rPr>
        <w:t>…………………………</w:t>
      </w:r>
      <w:r>
        <w:rPr>
          <w:rFonts w:ascii="微软雅黑" w:eastAsia="微软雅黑" w:hAnsi="微软雅黑" w:cs="微软雅黑"/>
          <w:color w:val="231F20"/>
          <w:spacing w:val="19"/>
          <w:position w:val="1"/>
          <w:sz w:val="18"/>
          <w:szCs w:val="18"/>
        </w:rPr>
        <w:t>（</w:t>
      </w:r>
      <w:r>
        <w:rPr>
          <w:color w:val="231F20"/>
          <w:spacing w:val="19"/>
          <w:position w:val="1"/>
          <w:sz w:val="18"/>
          <w:szCs w:val="18"/>
        </w:rPr>
        <w:t>1</w:t>
      </w:r>
      <w:r>
        <w:rPr>
          <w:rFonts w:ascii="微软雅黑" w:eastAsia="微软雅黑" w:hAnsi="微软雅黑" w:cs="微软雅黑"/>
          <w:color w:val="231F20"/>
          <w:spacing w:val="19"/>
          <w:position w:val="1"/>
          <w:sz w:val="18"/>
          <w:szCs w:val="18"/>
        </w:rPr>
        <w:t>）</w:t>
      </w:r>
    </w:p>
    <w:p w:rsidR="0007779F" w:rsidRDefault="005C7E73">
      <w:pPr>
        <w:spacing w:before="105" w:line="210" w:lineRule="auto"/>
        <w:ind w:left="428"/>
        <w:rPr>
          <w:rFonts w:ascii="宋体" w:eastAsia="宋体" w:hAnsi="宋体" w:cs="宋体"/>
          <w:lang w:eastAsia="zh-CN"/>
        </w:rPr>
      </w:pPr>
      <w:r>
        <w:rPr>
          <w:rFonts w:ascii="宋体" w:eastAsia="宋体" w:hAnsi="宋体" w:cs="宋体" w:hint="eastAsia"/>
          <w:color w:val="231F20"/>
          <w:spacing w:val="6"/>
          <w:lang w:eastAsia="zh-CN"/>
        </w:rPr>
        <w:t>式中：</w:t>
      </w:r>
    </w:p>
    <w:p w:rsidR="0007779F" w:rsidRDefault="005C7E73">
      <w:pPr>
        <w:pStyle w:val="a7"/>
        <w:spacing w:before="18" w:line="204" w:lineRule="auto"/>
        <w:ind w:left="431"/>
        <w:rPr>
          <w:rFonts w:ascii="宋体" w:eastAsia="宋体" w:hAnsi="宋体" w:cs="宋体"/>
          <w:sz w:val="21"/>
          <w:szCs w:val="21"/>
          <w:lang w:eastAsia="zh-CN"/>
        </w:rPr>
      </w:pPr>
      <w:r>
        <w:rPr>
          <w:rFonts w:ascii="宋体" w:eastAsia="宋体" w:hAnsi="宋体" w:cs="宋体" w:hint="eastAsia"/>
          <w:i/>
          <w:iCs/>
          <w:color w:val="231F20"/>
          <w:sz w:val="21"/>
          <w:szCs w:val="21"/>
          <w:lang w:eastAsia="zh-CN"/>
        </w:rPr>
        <w:t>CFP</w:t>
      </w:r>
      <w:r>
        <w:rPr>
          <w:rFonts w:ascii="宋体" w:eastAsia="宋体" w:hAnsi="宋体" w:cs="宋体" w:hint="eastAsia"/>
          <w:color w:val="231F20"/>
          <w:position w:val="-2"/>
          <w:sz w:val="21"/>
          <w:szCs w:val="21"/>
          <w:vertAlign w:val="subscript"/>
          <w:lang w:eastAsia="zh-CN"/>
        </w:rPr>
        <w:t>GHG</w:t>
      </w:r>
      <w:r>
        <w:rPr>
          <w:rFonts w:ascii="宋体" w:eastAsia="宋体" w:hAnsi="宋体" w:cs="宋体" w:hint="eastAsia"/>
          <w:color w:val="231F20"/>
          <w:spacing w:val="13"/>
          <w:sz w:val="21"/>
          <w:szCs w:val="21"/>
          <w:lang w:eastAsia="zh-CN"/>
        </w:rPr>
        <w:t>——碳酸钾产品碳足迹，以吨二氧化碳当量每吨（</w:t>
      </w:r>
      <w:r>
        <w:rPr>
          <w:rFonts w:ascii="宋体" w:eastAsia="宋体" w:hAnsi="宋体" w:cs="宋体" w:hint="eastAsia"/>
          <w:color w:val="231F20"/>
          <w:sz w:val="21"/>
          <w:szCs w:val="21"/>
          <w:lang w:eastAsia="zh-CN"/>
        </w:rPr>
        <w:t>tCO</w:t>
      </w:r>
      <w:r>
        <w:rPr>
          <w:rFonts w:ascii="宋体" w:eastAsia="宋体" w:hAnsi="宋体" w:cs="宋体" w:hint="eastAsia"/>
          <w:color w:val="231F20"/>
          <w:spacing w:val="13"/>
          <w:position w:val="-2"/>
          <w:sz w:val="21"/>
          <w:szCs w:val="21"/>
          <w:vertAlign w:val="subscript"/>
          <w:lang w:eastAsia="zh-CN"/>
        </w:rPr>
        <w:t>2</w:t>
      </w:r>
      <w:r>
        <w:rPr>
          <w:rFonts w:ascii="宋体" w:eastAsia="宋体" w:hAnsi="宋体" w:cs="宋体" w:hint="eastAsia"/>
          <w:color w:val="231F20"/>
          <w:spacing w:val="13"/>
          <w:sz w:val="21"/>
          <w:szCs w:val="21"/>
          <w:lang w:eastAsia="zh-CN"/>
        </w:rPr>
        <w:t>e</w:t>
      </w:r>
      <w:r>
        <w:rPr>
          <w:rFonts w:ascii="宋体" w:eastAsia="宋体" w:hAnsi="宋体" w:cs="宋体" w:hint="eastAsia"/>
          <w:color w:val="231F20"/>
          <w:spacing w:val="12"/>
          <w:sz w:val="21"/>
          <w:szCs w:val="21"/>
          <w:lang w:eastAsia="zh-CN"/>
        </w:rPr>
        <w:t>/t</w:t>
      </w:r>
      <w:r>
        <w:rPr>
          <w:rFonts w:ascii="宋体" w:eastAsia="宋体" w:hAnsi="宋体" w:cs="宋体" w:hint="eastAsia"/>
          <w:color w:val="231F20"/>
          <w:spacing w:val="12"/>
          <w:sz w:val="21"/>
          <w:szCs w:val="21"/>
          <w:lang w:eastAsia="zh-CN"/>
        </w:rPr>
        <w:t>）计；</w:t>
      </w:r>
    </w:p>
    <w:p w:rsidR="0007779F" w:rsidRDefault="005C7E73">
      <w:pPr>
        <w:pStyle w:val="a7"/>
        <w:spacing w:before="17" w:line="210" w:lineRule="auto"/>
        <w:ind w:left="415"/>
        <w:rPr>
          <w:rFonts w:ascii="宋体" w:eastAsia="宋体" w:hAnsi="宋体" w:cs="宋体"/>
          <w:bCs/>
          <w:sz w:val="21"/>
          <w:szCs w:val="21"/>
          <w:lang w:eastAsia="zh-CN"/>
        </w:rPr>
      </w:pPr>
      <w:r>
        <w:rPr>
          <w:rFonts w:ascii="宋体" w:eastAsia="宋体" w:hAnsi="宋体" w:cs="宋体" w:hint="eastAsia"/>
          <w:i/>
          <w:iCs/>
          <w:color w:val="231F20"/>
          <w:sz w:val="21"/>
          <w:szCs w:val="21"/>
          <w:lang w:eastAsia="zh-CN"/>
        </w:rPr>
        <w:t>AD</w:t>
      </w:r>
      <w:r>
        <w:rPr>
          <w:rFonts w:ascii="宋体" w:eastAsia="宋体" w:hAnsi="宋体" w:cs="宋体" w:hint="eastAsia"/>
          <w:i/>
          <w:iCs/>
          <w:color w:val="231F20"/>
          <w:position w:val="-2"/>
          <w:sz w:val="21"/>
          <w:szCs w:val="21"/>
          <w:vertAlign w:val="subscript"/>
          <w:lang w:eastAsia="zh-CN"/>
        </w:rPr>
        <w:t>i</w:t>
      </w:r>
      <w:r>
        <w:rPr>
          <w:rFonts w:ascii="宋体" w:eastAsia="宋体" w:hAnsi="宋体" w:cs="宋体" w:hint="eastAsia"/>
          <w:color w:val="231F20"/>
          <w:spacing w:val="13"/>
          <w:sz w:val="21"/>
          <w:szCs w:val="21"/>
          <w:lang w:eastAsia="zh-CN"/>
        </w:rPr>
        <w:t>——系统边界内，各声明单位中第</w:t>
      </w:r>
      <w:r>
        <w:rPr>
          <w:rFonts w:ascii="宋体" w:eastAsia="宋体" w:hAnsi="宋体" w:cs="宋体" w:hint="eastAsia"/>
          <w:i/>
          <w:iCs/>
          <w:color w:val="231F20"/>
          <w:spacing w:val="13"/>
          <w:sz w:val="21"/>
          <w:szCs w:val="21"/>
          <w:lang w:eastAsia="zh-CN"/>
        </w:rPr>
        <w:t>i</w:t>
      </w:r>
      <w:r>
        <w:rPr>
          <w:rFonts w:ascii="宋体" w:eastAsia="宋体" w:hAnsi="宋体" w:cs="宋体" w:hint="eastAsia"/>
          <w:color w:val="231F20"/>
          <w:spacing w:val="13"/>
          <w:sz w:val="21"/>
          <w:szCs w:val="21"/>
          <w:lang w:eastAsia="zh-CN"/>
        </w:rPr>
        <w:t>种活动的</w:t>
      </w:r>
      <w:r>
        <w:rPr>
          <w:rFonts w:ascii="宋体" w:eastAsia="宋体" w:hAnsi="宋体" w:cs="宋体" w:hint="eastAsia"/>
          <w:color w:val="231F20"/>
          <w:sz w:val="21"/>
          <w:szCs w:val="21"/>
          <w:lang w:eastAsia="zh-CN"/>
        </w:rPr>
        <w:t>GHG</w:t>
      </w:r>
      <w:r>
        <w:rPr>
          <w:rFonts w:ascii="宋体" w:eastAsia="宋体" w:hAnsi="宋体" w:cs="宋体" w:hint="eastAsia"/>
          <w:color w:val="231F20"/>
          <w:spacing w:val="13"/>
          <w:sz w:val="21"/>
          <w:szCs w:val="21"/>
          <w:lang w:eastAsia="zh-CN"/>
        </w:rPr>
        <w:t>排放和清除相关数据（包括初级数据和</w:t>
      </w:r>
      <w:r>
        <w:rPr>
          <w:rFonts w:ascii="宋体" w:eastAsia="宋体" w:hAnsi="宋体" w:cs="宋体" w:hint="eastAsia"/>
          <w:color w:val="231F20"/>
          <w:spacing w:val="20"/>
          <w:sz w:val="21"/>
          <w:szCs w:val="21"/>
          <w:lang w:eastAsia="zh-CN"/>
        </w:rPr>
        <w:t>次级数据</w:t>
      </w:r>
      <w:r>
        <w:rPr>
          <w:rFonts w:ascii="宋体" w:eastAsia="宋体" w:hAnsi="宋体" w:cs="宋体" w:hint="eastAsia"/>
          <w:color w:val="231F20"/>
          <w:spacing w:val="-29"/>
          <w:w w:val="64"/>
          <w:sz w:val="21"/>
          <w:szCs w:val="21"/>
          <w:lang w:eastAsia="zh-CN"/>
        </w:rPr>
        <w:t>），</w:t>
      </w:r>
      <w:r>
        <w:rPr>
          <w:rFonts w:ascii="宋体" w:eastAsia="宋体" w:hAnsi="宋体" w:cs="宋体" w:hint="eastAsia"/>
          <w:color w:val="231F20"/>
          <w:spacing w:val="20"/>
          <w:sz w:val="21"/>
          <w:szCs w:val="21"/>
          <w:lang w:eastAsia="zh-CN"/>
        </w:rPr>
        <w:t>单位根据具体排放源确定；</w:t>
      </w:r>
    </w:p>
    <w:p w:rsidR="0007779F" w:rsidRDefault="005C7E73">
      <w:pPr>
        <w:pStyle w:val="a7"/>
        <w:spacing w:before="81" w:line="215" w:lineRule="auto"/>
        <w:ind w:left="424" w:right="985" w:hanging="12"/>
        <w:rPr>
          <w:rFonts w:ascii="微软雅黑" w:eastAsia="微软雅黑" w:hAnsi="微软雅黑" w:cs="微软雅黑"/>
          <w:sz w:val="21"/>
          <w:szCs w:val="21"/>
          <w:lang w:eastAsia="zh-CN"/>
        </w:rPr>
      </w:pPr>
      <w:r>
        <w:rPr>
          <w:rFonts w:ascii="宋体" w:eastAsia="宋体" w:hAnsi="宋体" w:cs="宋体" w:hint="eastAsia"/>
          <w:i/>
          <w:iCs/>
          <w:color w:val="231F20"/>
          <w:sz w:val="21"/>
          <w:szCs w:val="21"/>
          <w:lang w:eastAsia="zh-CN"/>
        </w:rPr>
        <w:t>EF</w:t>
      </w:r>
      <w:r>
        <w:rPr>
          <w:rFonts w:ascii="宋体" w:eastAsia="宋体" w:hAnsi="宋体" w:cs="宋体" w:hint="eastAsia"/>
          <w:i/>
          <w:iCs/>
          <w:color w:val="231F20"/>
          <w:position w:val="-2"/>
          <w:sz w:val="21"/>
          <w:szCs w:val="21"/>
          <w:vertAlign w:val="subscript"/>
          <w:lang w:eastAsia="zh-CN"/>
        </w:rPr>
        <w:t>LCA</w:t>
      </w:r>
      <w:r>
        <w:rPr>
          <w:rFonts w:ascii="宋体" w:eastAsia="宋体" w:hAnsi="宋体" w:cs="宋体" w:hint="eastAsia"/>
          <w:color w:val="231F20"/>
          <w:spacing w:val="15"/>
          <w:position w:val="-2"/>
          <w:sz w:val="21"/>
          <w:szCs w:val="21"/>
          <w:vertAlign w:val="subscript"/>
          <w:lang w:eastAsia="zh-CN"/>
        </w:rPr>
        <w:t>,</w:t>
      </w:r>
      <w:r>
        <w:rPr>
          <w:rFonts w:ascii="宋体" w:eastAsia="宋体" w:hAnsi="宋体" w:cs="宋体" w:hint="eastAsia"/>
          <w:i/>
          <w:iCs/>
          <w:color w:val="231F20"/>
          <w:spacing w:val="15"/>
          <w:position w:val="-2"/>
          <w:sz w:val="21"/>
          <w:szCs w:val="21"/>
          <w:vertAlign w:val="subscript"/>
          <w:lang w:eastAsia="zh-CN"/>
        </w:rPr>
        <w:t>i</w:t>
      </w:r>
      <w:r>
        <w:rPr>
          <w:rFonts w:ascii="宋体" w:eastAsia="宋体" w:hAnsi="宋体" w:cs="宋体" w:hint="eastAsia"/>
          <w:color w:val="231F20"/>
          <w:spacing w:val="15"/>
          <w:position w:val="-2"/>
          <w:sz w:val="21"/>
          <w:szCs w:val="21"/>
          <w:vertAlign w:val="subscript"/>
          <w:lang w:eastAsia="zh-CN"/>
        </w:rPr>
        <w:t>,</w:t>
      </w:r>
      <w:r>
        <w:rPr>
          <w:rFonts w:ascii="宋体" w:eastAsia="宋体" w:hAnsi="宋体" w:cs="宋体" w:hint="eastAsia"/>
          <w:i/>
          <w:iCs/>
          <w:color w:val="231F20"/>
          <w:spacing w:val="15"/>
          <w:position w:val="-2"/>
          <w:sz w:val="21"/>
          <w:szCs w:val="21"/>
          <w:vertAlign w:val="subscript"/>
          <w:lang w:eastAsia="zh-CN"/>
        </w:rPr>
        <w:t>j</w:t>
      </w:r>
      <w:r>
        <w:rPr>
          <w:rFonts w:ascii="宋体" w:eastAsia="宋体" w:hAnsi="宋体" w:cs="宋体" w:hint="eastAsia"/>
          <w:color w:val="231F20"/>
          <w:spacing w:val="15"/>
          <w:sz w:val="21"/>
          <w:szCs w:val="21"/>
          <w:lang w:eastAsia="zh-CN"/>
        </w:rPr>
        <w:t>——第</w:t>
      </w:r>
      <w:r>
        <w:rPr>
          <w:rFonts w:ascii="宋体" w:eastAsia="宋体" w:hAnsi="宋体" w:cs="宋体" w:hint="eastAsia"/>
          <w:i/>
          <w:iCs/>
          <w:color w:val="231F20"/>
          <w:spacing w:val="15"/>
          <w:sz w:val="21"/>
          <w:szCs w:val="21"/>
          <w:lang w:eastAsia="zh-CN"/>
        </w:rPr>
        <w:t>i</w:t>
      </w:r>
      <w:r>
        <w:rPr>
          <w:rFonts w:ascii="宋体" w:eastAsia="宋体" w:hAnsi="宋体" w:cs="宋体" w:hint="eastAsia"/>
          <w:color w:val="231F20"/>
          <w:spacing w:val="15"/>
          <w:sz w:val="21"/>
          <w:szCs w:val="21"/>
          <w:lang w:eastAsia="zh-CN"/>
        </w:rPr>
        <w:t>种活动对应的温室气体</w:t>
      </w:r>
      <w:r>
        <w:rPr>
          <w:rFonts w:ascii="宋体" w:eastAsia="宋体" w:hAnsi="宋体" w:cs="宋体" w:hint="eastAsia"/>
          <w:i/>
          <w:iCs/>
          <w:color w:val="231F20"/>
          <w:spacing w:val="15"/>
          <w:sz w:val="21"/>
          <w:szCs w:val="21"/>
          <w:lang w:eastAsia="zh-CN"/>
        </w:rPr>
        <w:t>j</w:t>
      </w:r>
      <w:r>
        <w:rPr>
          <w:rFonts w:ascii="宋体" w:eastAsia="宋体" w:hAnsi="宋体" w:cs="宋体" w:hint="eastAsia"/>
          <w:color w:val="231F20"/>
          <w:spacing w:val="15"/>
          <w:sz w:val="21"/>
          <w:szCs w:val="21"/>
          <w:lang w:eastAsia="zh-CN"/>
        </w:rPr>
        <w:t>的排放因子，单位与</w:t>
      </w:r>
      <w:r>
        <w:rPr>
          <w:rFonts w:ascii="宋体" w:eastAsia="宋体" w:hAnsi="宋体" w:cs="宋体" w:hint="eastAsia"/>
          <w:color w:val="231F20"/>
          <w:sz w:val="21"/>
          <w:szCs w:val="21"/>
          <w:lang w:eastAsia="zh-CN"/>
        </w:rPr>
        <w:t>GHG</w:t>
      </w:r>
      <w:r>
        <w:rPr>
          <w:rFonts w:ascii="宋体" w:eastAsia="宋体" w:hAnsi="宋体" w:cs="宋体" w:hint="eastAsia"/>
          <w:color w:val="231F20"/>
          <w:spacing w:val="15"/>
          <w:sz w:val="21"/>
          <w:szCs w:val="21"/>
          <w:lang w:eastAsia="zh-CN"/>
        </w:rPr>
        <w:t>活动数据匹配；</w:t>
      </w:r>
      <w:r>
        <w:rPr>
          <w:rFonts w:ascii="宋体" w:eastAsia="宋体" w:hAnsi="宋体" w:cs="宋体" w:hint="eastAsia"/>
          <w:i/>
          <w:iCs/>
          <w:color w:val="231F20"/>
          <w:sz w:val="21"/>
          <w:szCs w:val="21"/>
          <w:lang w:eastAsia="zh-CN"/>
        </w:rPr>
        <w:t>GWP</w:t>
      </w:r>
      <w:r>
        <w:rPr>
          <w:rFonts w:ascii="宋体" w:eastAsia="宋体" w:hAnsi="宋体" w:cs="宋体" w:hint="eastAsia"/>
          <w:i/>
          <w:iCs/>
          <w:color w:val="231F20"/>
          <w:position w:val="-2"/>
          <w:sz w:val="21"/>
          <w:szCs w:val="21"/>
          <w:vertAlign w:val="subscript"/>
          <w:lang w:eastAsia="zh-CN"/>
        </w:rPr>
        <w:t>i</w:t>
      </w:r>
      <w:r>
        <w:rPr>
          <w:rFonts w:ascii="宋体" w:eastAsia="宋体" w:hAnsi="宋体" w:cs="宋体" w:hint="eastAsia"/>
          <w:color w:val="231F20"/>
          <w:spacing w:val="9"/>
          <w:sz w:val="21"/>
          <w:szCs w:val="21"/>
          <w:lang w:eastAsia="zh-CN"/>
        </w:rPr>
        <w:t>——温室气体</w:t>
      </w:r>
      <w:r>
        <w:rPr>
          <w:rFonts w:ascii="宋体" w:eastAsia="宋体" w:hAnsi="宋体" w:cs="宋体" w:hint="eastAsia"/>
          <w:i/>
          <w:iCs/>
          <w:color w:val="231F20"/>
          <w:spacing w:val="9"/>
          <w:sz w:val="21"/>
          <w:szCs w:val="21"/>
          <w:lang w:eastAsia="zh-CN"/>
        </w:rPr>
        <w:t>j</w:t>
      </w:r>
      <w:r>
        <w:rPr>
          <w:rFonts w:ascii="宋体" w:eastAsia="宋体" w:hAnsi="宋体" w:cs="宋体" w:hint="eastAsia"/>
          <w:color w:val="231F20"/>
          <w:spacing w:val="9"/>
          <w:sz w:val="21"/>
          <w:szCs w:val="21"/>
          <w:lang w:eastAsia="zh-CN"/>
        </w:rPr>
        <w:t>的</w:t>
      </w:r>
      <w:r>
        <w:rPr>
          <w:rFonts w:ascii="宋体" w:eastAsia="宋体" w:hAnsi="宋体" w:cs="宋体" w:hint="eastAsia"/>
          <w:i/>
          <w:iCs/>
          <w:color w:val="231F20"/>
          <w:sz w:val="21"/>
          <w:szCs w:val="21"/>
          <w:lang w:eastAsia="zh-CN"/>
        </w:rPr>
        <w:t>GWP</w:t>
      </w:r>
      <w:r>
        <w:rPr>
          <w:rFonts w:ascii="宋体" w:eastAsia="宋体" w:hAnsi="宋体" w:cs="宋体" w:hint="eastAsia"/>
          <w:color w:val="231F20"/>
          <w:spacing w:val="9"/>
          <w:sz w:val="21"/>
          <w:szCs w:val="21"/>
          <w:lang w:eastAsia="zh-CN"/>
        </w:rPr>
        <w:t>值，按</w:t>
      </w:r>
      <w:r>
        <w:rPr>
          <w:rFonts w:ascii="宋体" w:eastAsia="宋体" w:hAnsi="宋体" w:cs="宋体" w:hint="eastAsia"/>
          <w:color w:val="231F20"/>
          <w:spacing w:val="9"/>
          <w:sz w:val="21"/>
          <w:szCs w:val="21"/>
          <w:lang w:eastAsia="zh-CN"/>
        </w:rPr>
        <w:t>8.</w:t>
      </w:r>
      <w:r>
        <w:rPr>
          <w:rFonts w:ascii="宋体" w:eastAsia="宋体" w:hAnsi="宋体" w:cs="宋体" w:hint="eastAsia"/>
          <w:color w:val="231F20"/>
          <w:spacing w:val="8"/>
          <w:sz w:val="21"/>
          <w:szCs w:val="21"/>
          <w:lang w:eastAsia="zh-CN"/>
        </w:rPr>
        <w:t>1</w:t>
      </w:r>
      <w:r>
        <w:rPr>
          <w:rFonts w:ascii="宋体" w:eastAsia="宋体" w:hAnsi="宋体" w:cs="宋体" w:hint="eastAsia"/>
          <w:color w:val="231F20"/>
          <w:spacing w:val="8"/>
          <w:sz w:val="21"/>
          <w:szCs w:val="21"/>
          <w:lang w:eastAsia="zh-CN"/>
        </w:rPr>
        <w:t>中的规定取值。</w:t>
      </w:r>
    </w:p>
    <w:p w:rsidR="0007779F" w:rsidRDefault="005C7E73">
      <w:pPr>
        <w:pStyle w:val="a7"/>
        <w:spacing w:before="61" w:line="253" w:lineRule="exact"/>
        <w:ind w:left="3"/>
        <w:outlineLvl w:val="0"/>
        <w:rPr>
          <w:sz w:val="19"/>
          <w:szCs w:val="19"/>
          <w:lang w:eastAsia="zh-CN"/>
        </w:rPr>
      </w:pPr>
      <w:bookmarkStart w:id="109" w:name="bookmark46"/>
      <w:bookmarkStart w:id="110" w:name="_Toc10921"/>
      <w:bookmarkStart w:id="111" w:name="_Toc5801"/>
      <w:bookmarkEnd w:id="109"/>
      <w:r>
        <w:rPr>
          <w:color w:val="231F20"/>
          <w:spacing w:val="13"/>
          <w:position w:val="1"/>
          <w:sz w:val="19"/>
          <w:szCs w:val="19"/>
          <w:lang w:eastAsia="zh-CN"/>
        </w:rPr>
        <w:t xml:space="preserve">9 </w:t>
      </w:r>
      <w:r>
        <w:rPr>
          <w:color w:val="231F20"/>
          <w:spacing w:val="13"/>
          <w:position w:val="1"/>
          <w:sz w:val="19"/>
          <w:szCs w:val="19"/>
          <w:lang w:eastAsia="zh-CN"/>
        </w:rPr>
        <w:t>产品碳足迹结果解释</w:t>
      </w:r>
      <w:bookmarkEnd w:id="110"/>
      <w:bookmarkEnd w:id="111"/>
    </w:p>
    <w:p w:rsidR="0007779F" w:rsidRDefault="0007779F">
      <w:pPr>
        <w:spacing w:line="245" w:lineRule="auto"/>
        <w:rPr>
          <w:lang w:eastAsia="zh-CN"/>
        </w:rPr>
      </w:pPr>
    </w:p>
    <w:p w:rsidR="0007779F" w:rsidRDefault="005C7E73" w:rsidP="00996A76">
      <w:pPr>
        <w:ind w:firstLineChars="200" w:firstLine="452"/>
        <w:jc w:val="both"/>
        <w:rPr>
          <w:rFonts w:ascii="宋体" w:eastAsia="宋体" w:hAnsi="宋体" w:cs="宋体"/>
          <w:spacing w:val="8"/>
          <w:lang w:eastAsia="zh-CN"/>
        </w:rPr>
      </w:pPr>
      <w:r>
        <w:rPr>
          <w:color w:val="231F20"/>
          <w:spacing w:val="16"/>
          <w:lang w:eastAsia="zh-CN"/>
        </w:rPr>
        <w:t xml:space="preserve">9.1 </w:t>
      </w:r>
      <w:r>
        <w:rPr>
          <w:rFonts w:ascii="宋体" w:eastAsia="宋体" w:hAnsi="宋体" w:cs="宋体" w:hint="eastAsia"/>
          <w:spacing w:val="8"/>
          <w:lang w:eastAsia="zh-CN"/>
        </w:rPr>
        <w:t>产品碳足迹研究的生命周期结果解释阶段应包括以下步骤：</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）根据生命周期清单分析和生命周期影响评价的产品碳足迹的量化结果，识别显著环节（可包括生命周期阶段、单元过程或流）。</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）完整性、一致性和敏感性分析的评估；</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）结论、局限性和建议的编制。</w:t>
      </w:r>
    </w:p>
    <w:p w:rsidR="0007779F" w:rsidRDefault="005C7E73" w:rsidP="00996A76">
      <w:pPr>
        <w:ind w:firstLineChars="200" w:firstLine="450"/>
        <w:jc w:val="both"/>
        <w:rPr>
          <w:rFonts w:ascii="宋体" w:eastAsia="宋体" w:hAnsi="宋体" w:cs="宋体"/>
          <w:spacing w:val="8"/>
          <w:lang w:eastAsia="zh-CN"/>
        </w:rPr>
      </w:pPr>
      <w:r>
        <w:rPr>
          <w:color w:val="231F20"/>
          <w:spacing w:val="15"/>
          <w:lang w:eastAsia="zh-CN"/>
        </w:rPr>
        <w:lastRenderedPageBreak/>
        <w:t xml:space="preserve">9.2 </w:t>
      </w:r>
      <w:r>
        <w:rPr>
          <w:rFonts w:ascii="宋体" w:eastAsia="宋体" w:hAnsi="宋体" w:cs="宋体" w:hint="eastAsia"/>
          <w:spacing w:val="8"/>
          <w:lang w:eastAsia="zh-CN"/>
        </w:rPr>
        <w:t>按照产品碳足迹研究的目的和范围，对产品碳足迹影响评价的量化结果进行解释，解释应包括以下内容：</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）说明产品碳足迹和各阶段碳足迹；</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）分析不确定性，包括取舍准则的应用或范围；</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）详细记录选定的分配程序；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）说明产品碳足迹研究的局限性。</w:t>
      </w:r>
    </w:p>
    <w:p w:rsidR="0007779F" w:rsidRDefault="005C7E73" w:rsidP="00996A76">
      <w:pPr>
        <w:ind w:firstLineChars="200" w:firstLine="444"/>
        <w:jc w:val="both"/>
        <w:rPr>
          <w:rFonts w:ascii="宋体" w:eastAsia="宋体" w:hAnsi="宋体" w:cs="宋体"/>
          <w:spacing w:val="8"/>
          <w:lang w:eastAsia="zh-CN"/>
        </w:rPr>
      </w:pPr>
      <w:r>
        <w:rPr>
          <w:color w:val="231F20"/>
          <w:spacing w:val="12"/>
          <w:lang w:eastAsia="zh-CN"/>
        </w:rPr>
        <w:t xml:space="preserve">9.3 </w:t>
      </w:r>
      <w:r>
        <w:rPr>
          <w:rFonts w:ascii="宋体" w:eastAsia="宋体" w:hAnsi="宋体" w:cs="宋体" w:hint="eastAsia"/>
          <w:spacing w:val="8"/>
          <w:lang w:eastAsia="zh-CN"/>
        </w:rPr>
        <w:t>结果解释宜包括以下内容：</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）分析重要输入、输出和方法学选择（包括</w:t>
      </w:r>
      <w:r>
        <w:rPr>
          <w:rFonts w:ascii="宋体" w:eastAsia="宋体" w:hAnsi="宋体" w:cs="宋体" w:hint="eastAsia"/>
          <w:spacing w:val="8"/>
          <w:lang w:eastAsia="zh-CN"/>
        </w:rPr>
        <w:t>分配程序）的敏感性，以了解结果的敏感性和不确定性；</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b</w:t>
      </w:r>
      <w:r>
        <w:rPr>
          <w:rFonts w:ascii="宋体" w:eastAsia="宋体" w:hAnsi="宋体" w:cs="宋体" w:hint="eastAsia"/>
          <w:spacing w:val="8"/>
          <w:lang w:eastAsia="zh-CN"/>
        </w:rPr>
        <w:t>）评估建议对结果的影响。</w:t>
      </w:r>
    </w:p>
    <w:p w:rsidR="0007779F" w:rsidRDefault="0007779F">
      <w:pPr>
        <w:spacing w:line="269" w:lineRule="auto"/>
        <w:rPr>
          <w:lang w:eastAsia="zh-CN"/>
        </w:rPr>
      </w:pPr>
    </w:p>
    <w:p w:rsidR="0007779F" w:rsidRDefault="005C7E73">
      <w:pPr>
        <w:pStyle w:val="a7"/>
        <w:spacing w:before="62" w:line="253" w:lineRule="exact"/>
        <w:ind w:left="14"/>
        <w:outlineLvl w:val="0"/>
        <w:rPr>
          <w:sz w:val="21"/>
          <w:szCs w:val="21"/>
          <w:lang w:eastAsia="zh-CN"/>
        </w:rPr>
      </w:pPr>
      <w:bookmarkStart w:id="112" w:name="bookmark48"/>
      <w:bookmarkStart w:id="113" w:name="_Toc25793"/>
      <w:bookmarkStart w:id="114" w:name="_Toc20529"/>
      <w:bookmarkEnd w:id="112"/>
      <w:r>
        <w:rPr>
          <w:color w:val="231F20"/>
          <w:spacing w:val="12"/>
          <w:position w:val="1"/>
          <w:sz w:val="21"/>
          <w:szCs w:val="21"/>
          <w:lang w:eastAsia="zh-CN"/>
        </w:rPr>
        <w:t>10</w:t>
      </w:r>
      <w:r>
        <w:rPr>
          <w:color w:val="231F20"/>
          <w:spacing w:val="12"/>
          <w:position w:val="1"/>
          <w:sz w:val="21"/>
          <w:szCs w:val="21"/>
          <w:lang w:eastAsia="zh-CN"/>
        </w:rPr>
        <w:t>产品碳足迹报告</w:t>
      </w:r>
      <w:bookmarkEnd w:id="113"/>
      <w:bookmarkEnd w:id="114"/>
    </w:p>
    <w:p w:rsidR="0007779F" w:rsidRDefault="0007779F">
      <w:pPr>
        <w:spacing w:line="246" w:lineRule="auto"/>
        <w:rPr>
          <w:rFonts w:eastAsia="宋体"/>
          <w:lang w:eastAsia="zh-CN"/>
        </w:rPr>
      </w:pP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产品碳足迹报告应包括但不限于下列内容（报告参考格式见附录</w:t>
      </w:r>
      <w:r>
        <w:rPr>
          <w:rFonts w:ascii="宋体" w:eastAsia="宋体" w:hAnsi="宋体" w:cs="宋体" w:hint="eastAsia"/>
          <w:spacing w:val="8"/>
          <w:lang w:eastAsia="zh-CN"/>
        </w:rPr>
        <w:t>B</w:t>
      </w:r>
      <w:r>
        <w:rPr>
          <w:rFonts w:ascii="宋体" w:eastAsia="宋体" w:hAnsi="宋体" w:cs="宋体" w:hint="eastAsia"/>
          <w:spacing w:val="8"/>
          <w:lang w:eastAsia="zh-CN"/>
        </w:rPr>
        <w:t>）。</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a</w:t>
      </w:r>
      <w:r>
        <w:rPr>
          <w:rFonts w:ascii="宋体" w:eastAsia="宋体" w:hAnsi="宋体" w:cs="宋体" w:hint="eastAsia"/>
          <w:spacing w:val="8"/>
          <w:lang w:eastAsia="zh-CN"/>
        </w:rPr>
        <w:t>）基本情况：</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）委托方与评价方信息；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）报告信息；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3</w:t>
      </w:r>
      <w:r>
        <w:rPr>
          <w:rFonts w:ascii="宋体" w:eastAsia="宋体" w:hAnsi="宋体" w:cs="宋体" w:hint="eastAsia"/>
          <w:spacing w:val="8"/>
          <w:lang w:eastAsia="zh-CN"/>
        </w:rPr>
        <w:t>）依据的标准；</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4</w:t>
      </w:r>
      <w:r>
        <w:rPr>
          <w:rFonts w:ascii="宋体" w:eastAsia="宋体" w:hAnsi="宋体" w:cs="宋体" w:hint="eastAsia"/>
          <w:spacing w:val="8"/>
          <w:lang w:eastAsia="zh-CN"/>
        </w:rPr>
        <w:t>）使用的产品种类规则或其他补充要求的参考资料（如有）。</w:t>
      </w:r>
      <w:r>
        <w:rPr>
          <w:rFonts w:ascii="宋体" w:eastAsia="宋体" w:hAnsi="宋体" w:cs="宋体" w:hint="eastAsia"/>
          <w:spacing w:val="8"/>
          <w:lang w:eastAsia="zh-CN"/>
        </w:rPr>
        <w:t>b</w:t>
      </w:r>
      <w:r>
        <w:rPr>
          <w:rFonts w:ascii="宋体" w:eastAsia="宋体" w:hAnsi="宋体" w:cs="宋体" w:hint="eastAsia"/>
          <w:spacing w:val="8"/>
          <w:lang w:eastAsia="zh-CN"/>
        </w:rPr>
        <w:t>）量化目的：</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）开展研究的目的；</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）预期用途。</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c</w:t>
      </w:r>
      <w:r>
        <w:rPr>
          <w:rFonts w:ascii="宋体" w:eastAsia="宋体" w:hAnsi="宋体" w:cs="宋体" w:hint="eastAsia"/>
          <w:spacing w:val="8"/>
          <w:lang w:eastAsia="zh-CN"/>
        </w:rPr>
        <w:t>）量化范围：</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）产品说明，包括功能和技术参数；</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）声明单位以及基准流；</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3</w:t>
      </w:r>
      <w:r>
        <w:rPr>
          <w:rFonts w:ascii="宋体" w:eastAsia="宋体" w:hAnsi="宋体" w:cs="宋体" w:hint="eastAsia"/>
          <w:spacing w:val="8"/>
          <w:lang w:eastAsia="zh-CN"/>
        </w:rPr>
        <w:t>）系统边界；</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4</w:t>
      </w:r>
      <w:r>
        <w:rPr>
          <w:rFonts w:ascii="宋体" w:eastAsia="宋体" w:hAnsi="宋体" w:cs="宋体" w:hint="eastAsia"/>
          <w:spacing w:val="8"/>
          <w:lang w:eastAsia="zh-CN"/>
        </w:rPr>
        <w:t>）取舍准则和取舍点，列出排除在外的单元过程或因素，并说明理由和其合理性；</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5</w:t>
      </w:r>
      <w:r>
        <w:rPr>
          <w:rFonts w:ascii="宋体" w:eastAsia="宋体" w:hAnsi="宋体" w:cs="宋体" w:hint="eastAsia"/>
          <w:spacing w:val="8"/>
          <w:lang w:eastAsia="zh-CN"/>
        </w:rPr>
        <w:t>）生命周期各阶段描述。</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d</w:t>
      </w:r>
      <w:r>
        <w:rPr>
          <w:rFonts w:ascii="宋体" w:eastAsia="宋体" w:hAnsi="宋体" w:cs="宋体" w:hint="eastAsia"/>
          <w:spacing w:val="8"/>
          <w:lang w:eastAsia="zh-CN"/>
        </w:rPr>
        <w:t>）清单分析：</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）数据收集信息，包括数据来源；</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）重要的单元过程清单；</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3</w:t>
      </w:r>
      <w:r>
        <w:rPr>
          <w:rFonts w:ascii="宋体" w:eastAsia="宋体" w:hAnsi="宋体" w:cs="宋体" w:hint="eastAsia"/>
          <w:spacing w:val="8"/>
          <w:lang w:eastAsia="zh-CN"/>
        </w:rPr>
        <w:t>）纳入范围的温室气体清单；</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4</w:t>
      </w:r>
      <w:r>
        <w:rPr>
          <w:rFonts w:ascii="宋体" w:eastAsia="宋体" w:hAnsi="宋体" w:cs="宋体" w:hint="eastAsia"/>
          <w:spacing w:val="8"/>
          <w:lang w:eastAsia="zh-CN"/>
        </w:rPr>
        <w:t>）分配原则与程序；</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5</w:t>
      </w:r>
      <w:r>
        <w:rPr>
          <w:rFonts w:ascii="宋体" w:eastAsia="宋体" w:hAnsi="宋体" w:cs="宋体" w:hint="eastAsia"/>
          <w:spacing w:val="8"/>
          <w:lang w:eastAsia="zh-CN"/>
        </w:rPr>
        <w:t>）数据说明，包括有关数据的决定和数据质量评价。</w:t>
      </w:r>
    </w:p>
    <w:p w:rsidR="0007779F" w:rsidRDefault="005C7E73" w:rsidP="00996A76">
      <w:pPr>
        <w:ind w:firstLineChars="200" w:firstLine="436"/>
        <w:jc w:val="both"/>
        <w:rPr>
          <w:rFonts w:ascii="宋体" w:eastAsia="宋体" w:hAnsi="宋体" w:cs="宋体"/>
          <w:spacing w:val="8"/>
          <w:lang w:eastAsia="zh-CN"/>
        </w:rPr>
      </w:pPr>
      <w:bookmarkStart w:id="115" w:name="bookmark58"/>
      <w:bookmarkEnd w:id="115"/>
      <w:r>
        <w:rPr>
          <w:rFonts w:ascii="宋体" w:eastAsia="宋体" w:hAnsi="宋体" w:cs="宋体" w:hint="eastAsia"/>
          <w:spacing w:val="8"/>
          <w:lang w:eastAsia="zh-CN"/>
        </w:rPr>
        <w:t>e</w:t>
      </w:r>
      <w:r>
        <w:rPr>
          <w:rFonts w:ascii="宋体" w:eastAsia="宋体" w:hAnsi="宋体" w:cs="宋体" w:hint="eastAsia"/>
          <w:spacing w:val="8"/>
          <w:lang w:eastAsia="zh-CN"/>
        </w:rPr>
        <w:t>）影响评价：</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）影响评价方法；</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）特征化因子；</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3</w:t>
      </w:r>
      <w:r>
        <w:rPr>
          <w:rFonts w:ascii="宋体" w:eastAsia="宋体" w:hAnsi="宋体" w:cs="宋体" w:hint="eastAsia"/>
          <w:spacing w:val="8"/>
          <w:lang w:eastAsia="zh-CN"/>
        </w:rPr>
        <w:t>）产品碳足迹计算；</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4</w:t>
      </w:r>
      <w:r>
        <w:rPr>
          <w:rFonts w:ascii="宋体" w:eastAsia="宋体" w:hAnsi="宋体" w:cs="宋体" w:hint="eastAsia"/>
          <w:spacing w:val="8"/>
          <w:lang w:eastAsia="zh-CN"/>
        </w:rPr>
        <w:t>）结果图示（可选）。</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f</w:t>
      </w:r>
      <w:r>
        <w:rPr>
          <w:rFonts w:ascii="宋体" w:eastAsia="宋体" w:hAnsi="宋体" w:cs="宋体" w:hint="eastAsia"/>
          <w:spacing w:val="8"/>
          <w:lang w:eastAsia="zh-CN"/>
        </w:rPr>
        <w:t>）结果解释：</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1</w:t>
      </w:r>
      <w:r>
        <w:rPr>
          <w:rFonts w:ascii="宋体" w:eastAsia="宋体" w:hAnsi="宋体" w:cs="宋体" w:hint="eastAsia"/>
          <w:spacing w:val="8"/>
          <w:lang w:eastAsia="zh-CN"/>
        </w:rPr>
        <w:t>）结论和局限性；</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2</w:t>
      </w:r>
      <w:r>
        <w:rPr>
          <w:rFonts w:ascii="宋体" w:eastAsia="宋体" w:hAnsi="宋体" w:cs="宋体" w:hint="eastAsia"/>
          <w:spacing w:val="8"/>
          <w:lang w:eastAsia="zh-CN"/>
        </w:rPr>
        <w:t>）敏感性分析和不确定性分析结果；</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3</w:t>
      </w:r>
      <w:r>
        <w:rPr>
          <w:rFonts w:ascii="宋体" w:eastAsia="宋体" w:hAnsi="宋体" w:cs="宋体" w:hint="eastAsia"/>
          <w:spacing w:val="8"/>
          <w:lang w:eastAsia="zh-CN"/>
        </w:rPr>
        <w:t>）电力处理，包括关于电网排放因子计算和相关电网的特殊局限信息；</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4</w:t>
      </w:r>
      <w:r>
        <w:rPr>
          <w:rFonts w:ascii="宋体" w:eastAsia="宋体" w:hAnsi="宋体" w:cs="宋体" w:hint="eastAsia"/>
          <w:spacing w:val="8"/>
          <w:lang w:eastAsia="zh-CN"/>
        </w:rPr>
        <w:t>）在产品碳足迹研究中披露和证明相关信息项的选择并说明理由。</w:t>
      </w:r>
    </w:p>
    <w:p w:rsidR="0007779F" w:rsidRDefault="005C7E73" w:rsidP="00996A76">
      <w:pPr>
        <w:ind w:firstLineChars="200" w:firstLine="436"/>
        <w:jc w:val="both"/>
        <w:rPr>
          <w:rFonts w:ascii="宋体" w:eastAsia="宋体" w:hAnsi="宋体" w:cs="宋体"/>
          <w:spacing w:val="8"/>
          <w:lang w:eastAsia="zh-CN"/>
        </w:rPr>
      </w:pPr>
      <w:r>
        <w:rPr>
          <w:rFonts w:ascii="宋体" w:eastAsia="宋体" w:hAnsi="宋体" w:cs="宋体" w:hint="eastAsia"/>
          <w:spacing w:val="8"/>
          <w:lang w:eastAsia="zh-CN"/>
        </w:rPr>
        <w:t>g</w:t>
      </w:r>
      <w:r>
        <w:rPr>
          <w:rFonts w:ascii="宋体" w:eastAsia="宋体" w:hAnsi="宋体" w:cs="宋体" w:hint="eastAsia"/>
          <w:spacing w:val="8"/>
          <w:lang w:eastAsia="zh-CN"/>
        </w:rPr>
        <w:t>）研究中使用的产品种类规则或其他补充要求的参考资料。</w:t>
      </w:r>
    </w:p>
    <w:p w:rsidR="0007779F" w:rsidRDefault="0007779F">
      <w:pPr>
        <w:kinsoku/>
        <w:overflowPunct w:val="0"/>
        <w:rPr>
          <w:rFonts w:ascii="宋体" w:eastAsia="宋体" w:hAnsi="宋体" w:cs="宋体"/>
          <w:sz w:val="20"/>
          <w:szCs w:val="20"/>
          <w:lang w:eastAsia="zh-CN"/>
        </w:rPr>
        <w:sectPr w:rsidR="0007779F">
          <w:headerReference w:type="default" r:id="rId21"/>
          <w:footerReference w:type="default" r:id="rId22"/>
          <w:pgSz w:w="11906" w:h="16839"/>
          <w:pgMar w:top="1417" w:right="1417" w:bottom="1134" w:left="1417" w:header="0" w:footer="994" w:gutter="0"/>
          <w:cols w:space="720"/>
        </w:sectPr>
      </w:pPr>
    </w:p>
    <w:p w:rsidR="0007779F" w:rsidRDefault="0007779F">
      <w:pPr>
        <w:pStyle w:val="a7"/>
        <w:kinsoku/>
        <w:overflowPunct w:val="0"/>
        <w:spacing w:before="65" w:line="264" w:lineRule="exact"/>
        <w:ind w:left="399"/>
        <w:jc w:val="right"/>
        <w:rPr>
          <w:sz w:val="20"/>
          <w:szCs w:val="20"/>
          <w:lang w:eastAsia="zh-CN"/>
        </w:rPr>
      </w:pPr>
    </w:p>
    <w:p w:rsidR="0007779F" w:rsidRDefault="005C7E73">
      <w:pPr>
        <w:pStyle w:val="a"/>
        <w:rPr>
          <w:sz w:val="20"/>
          <w:lang w:eastAsia="zh-CN"/>
        </w:rPr>
      </w:pPr>
      <w:bookmarkStart w:id="116" w:name="_Toc4174"/>
      <w:bookmarkStart w:id="117" w:name="_Toc5972"/>
      <w:r>
        <w:rPr>
          <w:rFonts w:hint="eastAsia"/>
          <w:sz w:val="20"/>
          <w:lang w:eastAsia="zh-CN"/>
        </w:rPr>
        <w:br/>
      </w:r>
      <w:r>
        <w:rPr>
          <w:rFonts w:hint="eastAsia"/>
          <w:sz w:val="20"/>
          <w:lang w:eastAsia="zh-CN"/>
        </w:rPr>
        <w:t>（资料性）</w:t>
      </w:r>
      <w:r>
        <w:rPr>
          <w:rFonts w:hint="eastAsia"/>
          <w:sz w:val="20"/>
          <w:lang w:eastAsia="zh-CN"/>
        </w:rPr>
        <w:br/>
      </w:r>
      <w:r>
        <w:rPr>
          <w:rFonts w:hint="eastAsia"/>
          <w:sz w:val="20"/>
          <w:lang w:eastAsia="zh-CN"/>
        </w:rPr>
        <w:t>全球变暖潜势</w:t>
      </w:r>
      <w:bookmarkEnd w:id="116"/>
      <w:bookmarkEnd w:id="117"/>
    </w:p>
    <w:p w:rsidR="0007779F" w:rsidRDefault="005C7E73">
      <w:pPr>
        <w:spacing w:before="66" w:line="228" w:lineRule="auto"/>
        <w:ind w:left="553"/>
        <w:rPr>
          <w:rFonts w:ascii="宋体" w:eastAsia="宋体" w:hAnsi="宋体" w:cs="宋体"/>
          <w:sz w:val="20"/>
          <w:szCs w:val="20"/>
          <w:lang w:eastAsia="zh-CN"/>
        </w:rPr>
      </w:pPr>
      <w:r>
        <w:rPr>
          <w:rFonts w:ascii="宋体" w:eastAsia="宋体" w:hAnsi="宋体" w:cs="宋体"/>
          <w:spacing w:val="7"/>
          <w:sz w:val="20"/>
          <w:szCs w:val="20"/>
          <w:lang w:eastAsia="zh-CN"/>
        </w:rPr>
        <w:t>部分温室气体的全球变暖潜势值如表</w:t>
      </w:r>
      <w:r>
        <w:rPr>
          <w:rFonts w:ascii="Times New Roman" w:eastAsia="宋体" w:hAnsi="Times New Roman" w:cs="Times New Roman" w:hint="eastAsia"/>
          <w:spacing w:val="7"/>
          <w:sz w:val="20"/>
          <w:szCs w:val="20"/>
          <w:lang w:eastAsia="zh-CN"/>
        </w:rPr>
        <w:t>A</w:t>
      </w:r>
      <w:r>
        <w:rPr>
          <w:rFonts w:ascii="Times New Roman" w:eastAsia="Times New Roman" w:hAnsi="Times New Roman" w:cs="Times New Roman"/>
          <w:spacing w:val="7"/>
          <w:sz w:val="20"/>
          <w:szCs w:val="20"/>
          <w:lang w:eastAsia="zh-CN"/>
        </w:rPr>
        <w:t>.1</w:t>
      </w:r>
      <w:r>
        <w:rPr>
          <w:rFonts w:ascii="宋体" w:eastAsia="宋体" w:hAnsi="宋体" w:cs="宋体"/>
          <w:spacing w:val="7"/>
          <w:sz w:val="20"/>
          <w:szCs w:val="20"/>
          <w:lang w:eastAsia="zh-CN"/>
        </w:rPr>
        <w:t>所示。</w:t>
      </w:r>
    </w:p>
    <w:p w:rsidR="0007779F" w:rsidRDefault="005C7E73">
      <w:pPr>
        <w:spacing w:before="221" w:line="229" w:lineRule="auto"/>
        <w:ind w:left="2762"/>
        <w:rPr>
          <w:rFonts w:ascii="黑体" w:eastAsia="黑体" w:hAnsi="黑体" w:cs="黑体"/>
          <w:sz w:val="20"/>
          <w:szCs w:val="20"/>
          <w:lang w:eastAsia="zh-CN"/>
        </w:rPr>
      </w:pPr>
      <w:r>
        <w:rPr>
          <w:rFonts w:ascii="黑体" w:eastAsia="黑体" w:hAnsi="黑体" w:cs="黑体"/>
          <w:spacing w:val="8"/>
          <w:sz w:val="20"/>
          <w:szCs w:val="20"/>
          <w:lang w:eastAsia="zh-CN"/>
        </w:rPr>
        <w:t>表</w:t>
      </w:r>
      <w:r>
        <w:rPr>
          <w:rFonts w:ascii="黑体" w:eastAsia="黑体" w:hAnsi="黑体" w:cs="黑体" w:hint="eastAsia"/>
          <w:spacing w:val="8"/>
          <w:sz w:val="20"/>
          <w:szCs w:val="20"/>
          <w:lang w:eastAsia="zh-CN"/>
        </w:rPr>
        <w:t>A</w:t>
      </w:r>
      <w:r>
        <w:rPr>
          <w:rFonts w:ascii="黑体" w:eastAsia="黑体" w:hAnsi="黑体" w:cs="黑体"/>
          <w:spacing w:val="8"/>
          <w:sz w:val="20"/>
          <w:szCs w:val="20"/>
          <w:lang w:eastAsia="zh-CN"/>
        </w:rPr>
        <w:t xml:space="preserve">.1 </w:t>
      </w:r>
      <w:r>
        <w:rPr>
          <w:rFonts w:ascii="黑体" w:eastAsia="黑体" w:hAnsi="黑体" w:cs="黑体"/>
          <w:spacing w:val="8"/>
          <w:sz w:val="20"/>
          <w:szCs w:val="20"/>
          <w:lang w:eastAsia="zh-CN"/>
        </w:rPr>
        <w:t>部分温室气体的全球变暖潜势（</w:t>
      </w:r>
      <w:r>
        <w:rPr>
          <w:rFonts w:ascii="黑体" w:eastAsia="黑体" w:hAnsi="黑体" w:cs="黑体"/>
          <w:sz w:val="20"/>
          <w:szCs w:val="20"/>
          <w:lang w:eastAsia="zh-CN"/>
        </w:rPr>
        <w:t>GWP</w:t>
      </w:r>
      <w:r>
        <w:rPr>
          <w:rFonts w:ascii="黑体" w:eastAsia="黑体" w:hAnsi="黑体" w:cs="黑体"/>
          <w:spacing w:val="8"/>
          <w:sz w:val="20"/>
          <w:szCs w:val="20"/>
          <w:lang w:eastAsia="zh-CN"/>
        </w:rPr>
        <w:t>）</w:t>
      </w:r>
    </w:p>
    <w:p w:rsidR="0007779F" w:rsidRDefault="0007779F">
      <w:pPr>
        <w:spacing w:line="168" w:lineRule="exact"/>
        <w:rPr>
          <w:lang w:eastAsia="zh-CN"/>
        </w:rPr>
      </w:pPr>
    </w:p>
    <w:tbl>
      <w:tblPr>
        <w:tblStyle w:val="TableNormal"/>
        <w:tblW w:w="499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433"/>
        <w:gridCol w:w="2168"/>
        <w:gridCol w:w="1495"/>
      </w:tblGrid>
      <w:tr w:rsidR="0007779F">
        <w:trPr>
          <w:trHeight w:val="326"/>
        </w:trPr>
        <w:tc>
          <w:tcPr>
            <w:tcW w:w="2986" w:type="pct"/>
            <w:tcBorders>
              <w:top w:val="single" w:sz="10" w:space="0" w:color="000000"/>
              <w:left w:val="single" w:sz="10" w:space="0" w:color="000000"/>
              <w:bottom w:val="single" w:sz="6"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温室气体名称</w:t>
            </w:r>
          </w:p>
        </w:tc>
        <w:tc>
          <w:tcPr>
            <w:tcW w:w="1192" w:type="pct"/>
            <w:tcBorders>
              <w:top w:val="single" w:sz="10" w:space="0" w:color="000000"/>
              <w:bottom w:val="single" w:sz="6"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化学分子式</w:t>
            </w:r>
          </w:p>
        </w:tc>
        <w:tc>
          <w:tcPr>
            <w:tcW w:w="820" w:type="pct"/>
            <w:tcBorders>
              <w:top w:val="single" w:sz="10" w:space="0" w:color="000000"/>
              <w:bottom w:val="single" w:sz="6" w:space="0" w:color="000000"/>
              <w:righ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全球变暖潜势值</w:t>
            </w:r>
          </w:p>
        </w:tc>
      </w:tr>
      <w:tr w:rsidR="0007779F">
        <w:trPr>
          <w:trHeight w:val="322"/>
        </w:trPr>
        <w:tc>
          <w:tcPr>
            <w:tcW w:w="2986" w:type="pct"/>
            <w:tcBorders>
              <w:top w:val="single" w:sz="6" w:space="0" w:color="000000"/>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3"/>
                <w:sz w:val="20"/>
                <w:szCs w:val="20"/>
              </w:rPr>
              <w:t>二氧化碳</w:t>
            </w:r>
          </w:p>
        </w:tc>
        <w:tc>
          <w:tcPr>
            <w:tcW w:w="1192" w:type="pct"/>
            <w:tcBorders>
              <w:top w:val="single" w:sz="6"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CO</w:t>
            </w:r>
            <w:r>
              <w:rPr>
                <w:rFonts w:ascii="Times New Roman" w:eastAsia="宋体" w:hAnsi="Times New Roman" w:cs="Times New Roman"/>
                <w:spacing w:val="-2"/>
                <w:position w:val="-1"/>
                <w:sz w:val="20"/>
                <w:szCs w:val="20"/>
              </w:rPr>
              <w:t>2</w:t>
            </w:r>
          </w:p>
        </w:tc>
        <w:tc>
          <w:tcPr>
            <w:tcW w:w="820" w:type="pct"/>
            <w:tcBorders>
              <w:top w:val="single" w:sz="6" w:space="0" w:color="000000"/>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1</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氧化亚氮</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N2O</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273</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16"/>
                <w:sz w:val="20"/>
                <w:szCs w:val="20"/>
              </w:rPr>
              <w:t>甲烷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CH</w:t>
            </w:r>
            <w:r>
              <w:rPr>
                <w:rFonts w:ascii="Times New Roman" w:eastAsia="宋体" w:hAnsi="Times New Roman" w:cs="Times New Roman"/>
                <w:spacing w:val="-2"/>
                <w:position w:val="-1"/>
                <w:sz w:val="20"/>
                <w:szCs w:val="20"/>
              </w:rPr>
              <w:t>4</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27.9</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三氟化氯</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NF</w:t>
            </w:r>
            <w:r>
              <w:rPr>
                <w:rFonts w:ascii="Times New Roman" w:eastAsia="宋体" w:hAnsi="Times New Roman" w:cs="Times New Roman"/>
                <w:spacing w:val="4"/>
                <w:position w:val="-1"/>
                <w:sz w:val="20"/>
                <w:szCs w:val="20"/>
              </w:rPr>
              <w:t>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4"/>
                <w:sz w:val="20"/>
                <w:szCs w:val="20"/>
              </w:rPr>
              <w:t>17400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3"/>
                <w:sz w:val="20"/>
                <w:szCs w:val="20"/>
              </w:rPr>
              <w:t>六氟化硫</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3"/>
                <w:sz w:val="20"/>
                <w:szCs w:val="20"/>
              </w:rPr>
              <w:t>SF6</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24300</w:t>
            </w:r>
          </w:p>
        </w:tc>
      </w:tr>
      <w:tr w:rsidR="0007779F">
        <w:trPr>
          <w:trHeight w:val="326"/>
        </w:trPr>
        <w:tc>
          <w:tcPr>
            <w:tcW w:w="5000" w:type="pct"/>
            <w:gridSpan w:val="3"/>
            <w:tcBorders>
              <w:left w:val="single" w:sz="10" w:space="0" w:color="000000"/>
              <w:right w:val="single" w:sz="10" w:space="0" w:color="000000"/>
            </w:tcBorders>
            <w:vAlign w:val="center"/>
          </w:tcPr>
          <w:p w:rsidR="0007779F" w:rsidRDefault="005C7E73">
            <w:pPr>
              <w:pStyle w:val="TableText"/>
              <w:jc w:val="center"/>
              <w:rPr>
                <w:rFonts w:ascii="Times New Roman" w:hAnsi="Times New Roman" w:cs="Times New Roman"/>
                <w:sz w:val="20"/>
                <w:szCs w:val="20"/>
                <w:lang w:eastAsia="zh-CN"/>
              </w:rPr>
            </w:pPr>
            <w:r>
              <w:rPr>
                <w:rFonts w:ascii="Times New Roman" w:hAnsi="Times New Roman" w:cs="Times New Roman"/>
                <w:spacing w:val="-1"/>
                <w:sz w:val="20"/>
                <w:szCs w:val="20"/>
                <w:lang w:eastAsia="zh-CN"/>
              </w:rPr>
              <w:t>氢氟碳化物（</w:t>
            </w:r>
            <w:r>
              <w:rPr>
                <w:rFonts w:ascii="Times New Roman" w:hAnsi="Times New Roman" w:cs="Times New Roman"/>
                <w:spacing w:val="-1"/>
                <w:sz w:val="20"/>
                <w:szCs w:val="20"/>
                <w:lang w:eastAsia="zh-CN"/>
              </w:rPr>
              <w:t>HFCs</w:t>
            </w:r>
            <w:r>
              <w:rPr>
                <w:rFonts w:ascii="Times New Roman" w:hAnsi="Times New Roman" w:cs="Times New Roman"/>
                <w:spacing w:val="-1"/>
                <w:sz w:val="20"/>
                <w:szCs w:val="20"/>
                <w:lang w:eastAsia="zh-CN"/>
              </w:rPr>
              <w:t>）</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HFC-23</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CHF</w:t>
            </w:r>
            <w:r>
              <w:rPr>
                <w:rFonts w:ascii="Times New Roman" w:eastAsia="宋体" w:hAnsi="Times New Roman" w:cs="Times New Roman"/>
                <w:spacing w:val="-1"/>
                <w:position w:val="-1"/>
                <w:sz w:val="20"/>
                <w:szCs w:val="20"/>
              </w:rPr>
              <w:t>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4"/>
                <w:sz w:val="20"/>
                <w:szCs w:val="20"/>
              </w:rPr>
              <w:t>14600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HFC-32</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CH2F2</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771</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HFC-41</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w:t>
            </w:r>
            <w:r>
              <w:rPr>
                <w:rFonts w:ascii="Times New Roman" w:eastAsia="宋体" w:hAnsi="Times New Roman" w:cs="Times New Roman"/>
                <w:spacing w:val="-1"/>
                <w:position w:val="-1"/>
                <w:sz w:val="20"/>
                <w:szCs w:val="20"/>
              </w:rPr>
              <w:t>3</w:t>
            </w:r>
            <w:r>
              <w:rPr>
                <w:rFonts w:ascii="Times New Roman" w:eastAsia="宋体" w:hAnsi="Times New Roman" w:cs="Times New Roman"/>
                <w:spacing w:val="-1"/>
                <w:sz w:val="20"/>
                <w:szCs w:val="20"/>
              </w:rPr>
              <w:t>F</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7"/>
                <w:sz w:val="20"/>
                <w:szCs w:val="20"/>
              </w:rPr>
              <w:t>135</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HFC-125</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CHF</w:t>
            </w:r>
            <w:r>
              <w:rPr>
                <w:rFonts w:ascii="Times New Roman" w:eastAsia="宋体" w:hAnsi="Times New Roman" w:cs="Times New Roman"/>
                <w:spacing w:val="-1"/>
                <w:position w:val="-1"/>
                <w:sz w:val="20"/>
                <w:szCs w:val="20"/>
              </w:rPr>
              <w:t>2</w:t>
            </w:r>
            <w:r>
              <w:rPr>
                <w:rFonts w:ascii="Times New Roman" w:eastAsia="宋体" w:hAnsi="Times New Roman" w:cs="Times New Roman"/>
                <w:spacing w:val="-1"/>
                <w:sz w:val="20"/>
                <w:szCs w:val="20"/>
              </w:rPr>
              <w:t>CF</w:t>
            </w:r>
            <w:r>
              <w:rPr>
                <w:rFonts w:ascii="Times New Roman" w:eastAsia="宋体" w:hAnsi="Times New Roman" w:cs="Times New Roman"/>
                <w:spacing w:val="-1"/>
                <w:position w:val="-1"/>
                <w:sz w:val="20"/>
                <w:szCs w:val="20"/>
              </w:rPr>
              <w:t>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3740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HFC-134</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CHF</w:t>
            </w:r>
            <w:r>
              <w:rPr>
                <w:rFonts w:ascii="Times New Roman" w:eastAsia="宋体" w:hAnsi="Times New Roman" w:cs="Times New Roman"/>
                <w:spacing w:val="-1"/>
                <w:position w:val="-1"/>
                <w:sz w:val="20"/>
                <w:szCs w:val="20"/>
              </w:rPr>
              <w:t>2</w:t>
            </w:r>
            <w:r>
              <w:rPr>
                <w:rFonts w:ascii="Times New Roman" w:eastAsia="宋体" w:hAnsi="Times New Roman" w:cs="Times New Roman"/>
                <w:spacing w:val="-1"/>
                <w:sz w:val="20"/>
                <w:szCs w:val="20"/>
              </w:rPr>
              <w:t>CHF</w:t>
            </w:r>
            <w:r>
              <w:rPr>
                <w:rFonts w:ascii="Times New Roman" w:eastAsia="宋体" w:hAnsi="Times New Roman" w:cs="Times New Roman"/>
                <w:spacing w:val="-1"/>
                <w:position w:val="-1"/>
                <w:sz w:val="20"/>
                <w:szCs w:val="20"/>
              </w:rPr>
              <w:t>2</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5"/>
                <w:sz w:val="20"/>
                <w:szCs w:val="20"/>
              </w:rPr>
              <w:t>1260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HFC-134a</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w:t>
            </w:r>
            <w:r>
              <w:rPr>
                <w:rFonts w:ascii="Times New Roman" w:eastAsia="宋体" w:hAnsi="Times New Roman" w:cs="Times New Roman"/>
                <w:spacing w:val="-1"/>
                <w:position w:val="-1"/>
                <w:sz w:val="20"/>
                <w:szCs w:val="20"/>
              </w:rPr>
              <w:t>2</w:t>
            </w:r>
            <w:r>
              <w:rPr>
                <w:rFonts w:ascii="Times New Roman" w:eastAsia="宋体" w:hAnsi="Times New Roman" w:cs="Times New Roman"/>
                <w:spacing w:val="-1"/>
                <w:sz w:val="20"/>
                <w:szCs w:val="20"/>
              </w:rPr>
              <w:t>FCF</w:t>
            </w:r>
            <w:r>
              <w:rPr>
                <w:rFonts w:ascii="Times New Roman" w:eastAsia="宋体" w:hAnsi="Times New Roman" w:cs="Times New Roman"/>
                <w:spacing w:val="-1"/>
                <w:position w:val="-1"/>
                <w:sz w:val="20"/>
                <w:szCs w:val="20"/>
              </w:rPr>
              <w:t>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5"/>
                <w:sz w:val="20"/>
                <w:szCs w:val="20"/>
              </w:rPr>
              <w:t>1530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HFC-143</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w:t>
            </w:r>
            <w:r>
              <w:rPr>
                <w:rFonts w:ascii="Times New Roman" w:eastAsia="宋体" w:hAnsi="Times New Roman" w:cs="Times New Roman"/>
                <w:spacing w:val="-1"/>
                <w:position w:val="-1"/>
                <w:sz w:val="20"/>
                <w:szCs w:val="20"/>
              </w:rPr>
              <w:t>2</w:t>
            </w:r>
            <w:r>
              <w:rPr>
                <w:rFonts w:ascii="Times New Roman" w:eastAsia="宋体" w:hAnsi="Times New Roman" w:cs="Times New Roman"/>
                <w:spacing w:val="-1"/>
                <w:sz w:val="20"/>
                <w:szCs w:val="20"/>
              </w:rPr>
              <w:t>FCHF</w:t>
            </w:r>
            <w:r>
              <w:rPr>
                <w:rFonts w:ascii="Times New Roman" w:eastAsia="宋体" w:hAnsi="Times New Roman" w:cs="Times New Roman"/>
                <w:spacing w:val="-1"/>
                <w:position w:val="-1"/>
                <w:sz w:val="20"/>
                <w:szCs w:val="20"/>
              </w:rPr>
              <w:t>2</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3"/>
                <w:sz w:val="20"/>
                <w:szCs w:val="20"/>
              </w:rPr>
              <w:t>364</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HFC-143a</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CH3CF3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5810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HFC-152a</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CH</w:t>
            </w:r>
            <w:r>
              <w:rPr>
                <w:rFonts w:ascii="Times New Roman" w:eastAsia="宋体" w:hAnsi="Times New Roman" w:cs="Times New Roman"/>
                <w:spacing w:val="-1"/>
                <w:position w:val="-1"/>
                <w:sz w:val="20"/>
                <w:szCs w:val="20"/>
              </w:rPr>
              <w:t>3</w:t>
            </w:r>
            <w:r>
              <w:rPr>
                <w:rFonts w:ascii="Times New Roman" w:eastAsia="宋体" w:hAnsi="Times New Roman" w:cs="Times New Roman"/>
                <w:spacing w:val="-1"/>
                <w:sz w:val="20"/>
                <w:szCs w:val="20"/>
              </w:rPr>
              <w:t>CHF</w:t>
            </w:r>
            <w:r>
              <w:rPr>
                <w:rFonts w:ascii="Times New Roman" w:eastAsia="宋体" w:hAnsi="Times New Roman" w:cs="Times New Roman"/>
                <w:spacing w:val="-1"/>
                <w:position w:val="-1"/>
                <w:sz w:val="20"/>
                <w:szCs w:val="20"/>
              </w:rPr>
              <w:t>2</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7"/>
                <w:sz w:val="20"/>
                <w:szCs w:val="20"/>
              </w:rPr>
              <w:t>164</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HFC-227ea</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CF</w:t>
            </w:r>
            <w:r>
              <w:rPr>
                <w:rFonts w:ascii="Times New Roman" w:eastAsia="宋体" w:hAnsi="Times New Roman" w:cs="Times New Roman"/>
                <w:position w:val="-1"/>
                <w:sz w:val="20"/>
                <w:szCs w:val="20"/>
              </w:rPr>
              <w:t>3</w:t>
            </w:r>
            <w:r>
              <w:rPr>
                <w:rFonts w:ascii="Times New Roman" w:eastAsia="宋体" w:hAnsi="Times New Roman" w:cs="Times New Roman"/>
                <w:sz w:val="20"/>
                <w:szCs w:val="20"/>
              </w:rPr>
              <w:t>CHFCF</w:t>
            </w:r>
            <w:r>
              <w:rPr>
                <w:rFonts w:ascii="Times New Roman" w:eastAsia="宋体" w:hAnsi="Times New Roman" w:cs="Times New Roman"/>
                <w:position w:val="-1"/>
                <w:sz w:val="20"/>
                <w:szCs w:val="20"/>
              </w:rPr>
              <w:t>3</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3600</w:t>
            </w:r>
          </w:p>
        </w:tc>
      </w:tr>
      <w:tr w:rsidR="0007779F">
        <w:trPr>
          <w:trHeight w:val="326"/>
        </w:trPr>
        <w:tc>
          <w:tcPr>
            <w:tcW w:w="2986" w:type="pct"/>
            <w:tcBorders>
              <w:lef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HFC</w:t>
            </w:r>
            <w:r>
              <w:rPr>
                <w:rFonts w:ascii="Times New Roman" w:eastAsia="宋体" w:hAnsi="Times New Roman" w:cs="Times New Roman"/>
                <w:spacing w:val="4"/>
                <w:sz w:val="20"/>
                <w:szCs w:val="20"/>
              </w:rPr>
              <w:t>-236</w:t>
            </w:r>
            <w:r>
              <w:rPr>
                <w:rFonts w:ascii="Times New Roman" w:eastAsia="宋体" w:hAnsi="Times New Roman" w:cs="Times New Roman"/>
                <w:sz w:val="20"/>
                <w:szCs w:val="20"/>
              </w:rPr>
              <w:t>fa</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C3H2F6</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3"/>
                <w:sz w:val="20"/>
                <w:szCs w:val="20"/>
              </w:rPr>
              <w:t>8690</w:t>
            </w:r>
          </w:p>
        </w:tc>
      </w:tr>
      <w:tr w:rsidR="0007779F">
        <w:trPr>
          <w:trHeight w:val="326"/>
        </w:trPr>
        <w:tc>
          <w:tcPr>
            <w:tcW w:w="5000" w:type="pct"/>
            <w:gridSpan w:val="3"/>
            <w:tcBorders>
              <w:left w:val="single" w:sz="10" w:space="0" w:color="000000"/>
              <w:righ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全氟碳化物</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1"/>
                <w:sz w:val="20"/>
                <w:szCs w:val="20"/>
              </w:rPr>
              <w:t>全氟甲烷（四氟甲烷）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CF</w:t>
            </w:r>
            <w:r>
              <w:rPr>
                <w:rFonts w:ascii="Times New Roman" w:eastAsia="宋体" w:hAnsi="Times New Roman" w:cs="Times New Roman"/>
                <w:spacing w:val="-2"/>
                <w:position w:val="-1"/>
                <w:sz w:val="20"/>
                <w:szCs w:val="20"/>
              </w:rPr>
              <w:t>4</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7380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1"/>
                <w:sz w:val="20"/>
                <w:szCs w:val="20"/>
              </w:rPr>
              <w:t>全氟乙烷（六氟乙烷）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C2F6</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4"/>
                <w:sz w:val="20"/>
                <w:szCs w:val="20"/>
              </w:rPr>
              <w:t>12400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全氟丙烷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w:t>
            </w:r>
            <w:r>
              <w:rPr>
                <w:rFonts w:ascii="Times New Roman" w:eastAsia="宋体" w:hAnsi="Times New Roman" w:cs="Times New Roman"/>
                <w:spacing w:val="-1"/>
                <w:position w:val="-1"/>
                <w:sz w:val="20"/>
                <w:szCs w:val="20"/>
              </w:rPr>
              <w:t>3</w:t>
            </w:r>
            <w:r>
              <w:rPr>
                <w:rFonts w:ascii="Times New Roman" w:eastAsia="宋体" w:hAnsi="Times New Roman" w:cs="Times New Roman"/>
                <w:spacing w:val="-1"/>
                <w:sz w:val="20"/>
                <w:szCs w:val="20"/>
              </w:rPr>
              <w:t>F</w:t>
            </w:r>
            <w:r>
              <w:rPr>
                <w:rFonts w:ascii="Times New Roman" w:eastAsia="宋体" w:hAnsi="Times New Roman" w:cs="Times New Roman"/>
                <w:spacing w:val="-1"/>
                <w:position w:val="-1"/>
                <w:sz w:val="20"/>
                <w:szCs w:val="20"/>
              </w:rPr>
              <w:t>8</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9290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全氟丁烷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C4F10</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4"/>
                <w:sz w:val="20"/>
                <w:szCs w:val="20"/>
              </w:rPr>
              <w:t>10000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全氟环丁烷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C4F8</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4"/>
                <w:sz w:val="20"/>
                <w:szCs w:val="20"/>
              </w:rPr>
              <w:t>10200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全氟戊烷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C5F12</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9220</w:t>
            </w:r>
          </w:p>
        </w:tc>
      </w:tr>
      <w:tr w:rsidR="0007779F">
        <w:trPr>
          <w:trHeight w:val="326"/>
        </w:trPr>
        <w:tc>
          <w:tcPr>
            <w:tcW w:w="2986" w:type="pct"/>
            <w:tcBorders>
              <w:left w:val="single" w:sz="10" w:space="0" w:color="000000"/>
            </w:tcBorders>
            <w:vAlign w:val="center"/>
          </w:tcPr>
          <w:p w:rsidR="0007779F" w:rsidRDefault="005C7E73">
            <w:pPr>
              <w:pStyle w:val="TableText"/>
              <w:jc w:val="center"/>
              <w:rPr>
                <w:rFonts w:ascii="Times New Roman" w:hAnsi="Times New Roman" w:cs="Times New Roman"/>
                <w:sz w:val="20"/>
                <w:szCs w:val="20"/>
              </w:rPr>
            </w:pPr>
            <w:r>
              <w:rPr>
                <w:rFonts w:ascii="Times New Roman" w:hAnsi="Times New Roman" w:cs="Times New Roman"/>
                <w:spacing w:val="-2"/>
                <w:sz w:val="20"/>
                <w:szCs w:val="20"/>
              </w:rPr>
              <w:t>全氟己烷</w:t>
            </w:r>
          </w:p>
        </w:tc>
        <w:tc>
          <w:tcPr>
            <w:tcW w:w="1192" w:type="pct"/>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z w:val="20"/>
                <w:szCs w:val="20"/>
              </w:rPr>
              <w:t>C6F14</w:t>
            </w:r>
          </w:p>
        </w:tc>
        <w:tc>
          <w:tcPr>
            <w:tcW w:w="820" w:type="pct"/>
            <w:tcBorders>
              <w:right w:val="single" w:sz="10" w:space="0" w:color="000000"/>
            </w:tcBorders>
            <w:vAlign w:val="center"/>
          </w:tcPr>
          <w:p w:rsidR="0007779F" w:rsidRDefault="005C7E73">
            <w:pPr>
              <w:jc w:val="center"/>
              <w:rPr>
                <w:rFonts w:ascii="Times New Roman" w:eastAsia="宋体" w:hAnsi="Times New Roman" w:cs="Times New Roman"/>
                <w:sz w:val="20"/>
                <w:szCs w:val="20"/>
              </w:rPr>
            </w:pPr>
            <w:r>
              <w:rPr>
                <w:rFonts w:ascii="Times New Roman" w:eastAsia="宋体" w:hAnsi="Times New Roman" w:cs="Times New Roman"/>
                <w:spacing w:val="-3"/>
                <w:sz w:val="20"/>
                <w:szCs w:val="20"/>
              </w:rPr>
              <w:t>8620</w:t>
            </w:r>
          </w:p>
        </w:tc>
      </w:tr>
      <w:tr w:rsidR="0007779F">
        <w:trPr>
          <w:trHeight w:val="652"/>
        </w:trPr>
        <w:tc>
          <w:tcPr>
            <w:tcW w:w="5000" w:type="pct"/>
            <w:gridSpan w:val="3"/>
            <w:tcBorders>
              <w:left w:val="single" w:sz="10" w:space="0" w:color="000000"/>
              <w:bottom w:val="single" w:sz="10" w:space="0" w:color="000000"/>
              <w:right w:val="single" w:sz="10" w:space="0" w:color="000000"/>
            </w:tcBorders>
            <w:vAlign w:val="center"/>
          </w:tcPr>
          <w:p w:rsidR="0007779F" w:rsidRDefault="005C7E73">
            <w:pPr>
              <w:pStyle w:val="TableText"/>
              <w:ind w:left="400" w:hangingChars="200" w:hanging="400"/>
              <w:rPr>
                <w:rFonts w:ascii="Times New Roman" w:hAnsi="Times New Roman" w:cs="Times New Roman"/>
                <w:sz w:val="20"/>
                <w:szCs w:val="20"/>
                <w:lang w:eastAsia="zh-CN"/>
              </w:rPr>
            </w:pPr>
            <w:r>
              <w:rPr>
                <w:rFonts w:ascii="Times New Roman" w:hAnsi="Times New Roman" w:cs="Times New Roman"/>
                <w:sz w:val="20"/>
                <w:szCs w:val="20"/>
                <w:lang w:eastAsia="zh-CN"/>
              </w:rPr>
              <w:t>注：数据取值来源于气候变化专门委员会（</w:t>
            </w:r>
            <w:r>
              <w:rPr>
                <w:rFonts w:ascii="Times New Roman" w:hAnsi="Times New Roman" w:cs="Times New Roman"/>
                <w:sz w:val="20"/>
                <w:szCs w:val="20"/>
                <w:lang w:eastAsia="zh-CN"/>
              </w:rPr>
              <w:t>IPCC</w:t>
            </w:r>
            <w:r>
              <w:rPr>
                <w:rFonts w:ascii="Times New Roman" w:hAnsi="Times New Roman" w:cs="Times New Roman"/>
                <w:sz w:val="20"/>
                <w:szCs w:val="20"/>
                <w:lang w:eastAsia="zh-CN"/>
              </w:rPr>
              <w:t>）《气候变化报告</w:t>
            </w:r>
            <w:r>
              <w:rPr>
                <w:rFonts w:ascii="Times New Roman" w:hAnsi="Times New Roman" w:cs="Times New Roman"/>
                <w:sz w:val="20"/>
                <w:szCs w:val="20"/>
                <w:lang w:eastAsia="zh-CN"/>
              </w:rPr>
              <w:t>2021</w:t>
            </w:r>
            <w:r>
              <w:rPr>
                <w:rFonts w:ascii="Times New Roman" w:hAnsi="Times New Roman" w:cs="Times New Roman"/>
                <w:sz w:val="20"/>
                <w:szCs w:val="20"/>
                <w:lang w:eastAsia="zh-CN"/>
              </w:rPr>
              <w:t>：自然科学基础</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第</w:t>
            </w:r>
            <w:r>
              <w:rPr>
                <w:rFonts w:ascii="Times New Roman" w:hAnsi="Times New Roman" w:cs="Times New Roman" w:hint="eastAsia"/>
                <w:sz w:val="20"/>
                <w:szCs w:val="20"/>
                <w:lang w:eastAsia="zh-CN"/>
              </w:rPr>
              <w:t>一</w:t>
            </w:r>
            <w:r>
              <w:rPr>
                <w:rFonts w:ascii="Times New Roman" w:hAnsi="Times New Roman" w:cs="Times New Roman"/>
                <w:sz w:val="20"/>
                <w:szCs w:val="20"/>
                <w:lang w:eastAsia="zh-CN"/>
              </w:rPr>
              <w:t>工作组对政府间</w:t>
            </w:r>
            <w:r>
              <w:rPr>
                <w:rFonts w:ascii="Times New Roman" w:hAnsi="Times New Roman" w:cs="Times New Roman"/>
                <w:spacing w:val="-1"/>
                <w:sz w:val="20"/>
                <w:szCs w:val="20"/>
                <w:lang w:eastAsia="zh-CN"/>
              </w:rPr>
              <w:t>气候变化</w:t>
            </w:r>
            <w:r>
              <w:rPr>
                <w:rFonts w:ascii="Times New Roman" w:hAnsi="Times New Roman" w:cs="Times New Roman"/>
                <w:spacing w:val="-3"/>
                <w:sz w:val="20"/>
                <w:szCs w:val="20"/>
                <w:lang w:eastAsia="zh-CN"/>
              </w:rPr>
              <w:t>专门委员会第六次评估报告的贡献》。</w:t>
            </w:r>
          </w:p>
        </w:tc>
      </w:tr>
    </w:tbl>
    <w:p w:rsidR="0007779F" w:rsidRDefault="0007779F">
      <w:pPr>
        <w:kinsoku/>
        <w:overflowPunct w:val="0"/>
        <w:spacing w:line="293" w:lineRule="auto"/>
        <w:rPr>
          <w:lang w:eastAsia="zh-CN"/>
        </w:rPr>
      </w:pPr>
    </w:p>
    <w:p w:rsidR="0007779F" w:rsidRDefault="005C7E73">
      <w:pPr>
        <w:pStyle w:val="a"/>
        <w:rPr>
          <w:rFonts w:ascii="Times New Roman"/>
          <w:lang w:eastAsia="zh-CN"/>
        </w:rPr>
      </w:pPr>
      <w:bookmarkStart w:id="118" w:name="bookmark45"/>
      <w:bookmarkStart w:id="119" w:name="_Toc7427"/>
      <w:bookmarkStart w:id="120" w:name="_Toc13150"/>
      <w:bookmarkStart w:id="121" w:name="_Toc8955"/>
      <w:bookmarkEnd w:id="118"/>
      <w:r>
        <w:rPr>
          <w:rFonts w:ascii="Times New Roman"/>
          <w:lang w:eastAsia="zh-CN"/>
        </w:rPr>
        <w:lastRenderedPageBreak/>
        <w:br/>
      </w:r>
      <w:r>
        <w:rPr>
          <w:rFonts w:ascii="Times New Roman" w:hint="eastAsia"/>
          <w:lang w:eastAsia="zh-CN"/>
        </w:rPr>
        <w:t>（资料性）</w:t>
      </w:r>
      <w:r>
        <w:rPr>
          <w:rFonts w:ascii="Times New Roman"/>
          <w:lang w:eastAsia="zh-CN"/>
        </w:rPr>
        <w:br/>
      </w:r>
      <w:bookmarkEnd w:id="119"/>
      <w:r>
        <w:rPr>
          <w:rFonts w:ascii="Times New Roman" w:hint="eastAsia"/>
          <w:lang w:eastAsia="zh-CN"/>
        </w:rPr>
        <w:t>产品碳足迹报告（模板）</w:t>
      </w:r>
      <w:bookmarkEnd w:id="120"/>
      <w:bookmarkEnd w:id="121"/>
    </w:p>
    <w:p w:rsidR="0007779F" w:rsidRDefault="0007779F">
      <w:pPr>
        <w:spacing w:line="276" w:lineRule="auto"/>
        <w:ind w:firstLineChars="200" w:firstLine="420"/>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5C7E73">
      <w:pPr>
        <w:spacing w:line="276" w:lineRule="auto"/>
        <w:jc w:val="center"/>
        <w:rPr>
          <w:rFonts w:ascii="Times New Roman" w:hAnsi="Times New Roman"/>
          <w:iCs/>
          <w:sz w:val="44"/>
          <w:szCs w:val="44"/>
          <w:lang w:eastAsia="zh-CN"/>
        </w:rPr>
      </w:pPr>
      <w:r>
        <w:rPr>
          <w:rFonts w:ascii="Times New Roman" w:eastAsia="宋体" w:hAnsi="Times New Roman" w:hint="eastAsia"/>
          <w:iCs/>
          <w:sz w:val="44"/>
          <w:szCs w:val="44"/>
          <w:lang w:eastAsia="zh-CN"/>
        </w:rPr>
        <w:t>碳酸钾</w:t>
      </w:r>
      <w:r>
        <w:rPr>
          <w:rFonts w:ascii="Times New Roman" w:hAnsi="Times New Roman"/>
          <w:iCs/>
          <w:sz w:val="44"/>
          <w:szCs w:val="44"/>
          <w:lang w:eastAsia="zh-CN"/>
        </w:rPr>
        <w:t>产品碳足迹报告（模板）</w:t>
      </w: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5C7E73">
      <w:pPr>
        <w:spacing w:line="360" w:lineRule="auto"/>
        <w:ind w:firstLineChars="500" w:firstLine="1600"/>
        <w:rPr>
          <w:rFonts w:ascii="宋体" w:eastAsia="宋体" w:hAnsi="宋体" w:cs="宋体"/>
          <w:iCs/>
          <w:sz w:val="32"/>
          <w:szCs w:val="32"/>
          <w:u w:val="single"/>
          <w:lang w:eastAsia="zh-CN"/>
        </w:rPr>
      </w:pPr>
      <w:r>
        <w:rPr>
          <w:rFonts w:ascii="宋体" w:eastAsia="宋体" w:hAnsi="宋体" w:cs="宋体" w:hint="eastAsia"/>
          <w:iCs/>
          <w:sz w:val="32"/>
          <w:szCs w:val="32"/>
          <w:lang w:eastAsia="zh-CN"/>
        </w:rPr>
        <w:t>产品名称：</w:t>
      </w:r>
    </w:p>
    <w:p w:rsidR="0007779F" w:rsidRDefault="005C7E73">
      <w:pPr>
        <w:spacing w:line="360" w:lineRule="auto"/>
        <w:ind w:firstLineChars="500" w:firstLine="1600"/>
        <w:rPr>
          <w:rFonts w:ascii="宋体" w:eastAsia="宋体" w:hAnsi="宋体" w:cs="宋体"/>
          <w:iCs/>
          <w:sz w:val="32"/>
          <w:szCs w:val="32"/>
          <w:u w:val="single"/>
          <w:lang w:eastAsia="zh-CN"/>
        </w:rPr>
      </w:pPr>
      <w:r>
        <w:rPr>
          <w:rFonts w:ascii="宋体" w:eastAsia="宋体" w:hAnsi="宋体" w:cs="宋体" w:hint="eastAsia"/>
          <w:iCs/>
          <w:sz w:val="32"/>
          <w:szCs w:val="32"/>
          <w:lang w:eastAsia="zh-CN"/>
        </w:rPr>
        <w:t>产品规格型号：</w:t>
      </w:r>
    </w:p>
    <w:p w:rsidR="0007779F" w:rsidRDefault="005C7E73">
      <w:pPr>
        <w:spacing w:line="360" w:lineRule="auto"/>
        <w:ind w:firstLineChars="500" w:firstLine="1600"/>
        <w:rPr>
          <w:rFonts w:ascii="宋体" w:eastAsia="宋体" w:hAnsi="宋体" w:cs="宋体"/>
          <w:iCs/>
          <w:sz w:val="32"/>
          <w:szCs w:val="32"/>
          <w:u w:val="single"/>
          <w:lang w:eastAsia="zh-CN"/>
        </w:rPr>
      </w:pPr>
      <w:r>
        <w:rPr>
          <w:rFonts w:ascii="宋体" w:eastAsia="宋体" w:hAnsi="宋体" w:cs="宋体" w:hint="eastAsia"/>
          <w:iCs/>
          <w:sz w:val="32"/>
          <w:szCs w:val="32"/>
          <w:lang w:eastAsia="zh-CN"/>
        </w:rPr>
        <w:t>生产者名称：</w:t>
      </w:r>
    </w:p>
    <w:p w:rsidR="0007779F" w:rsidRDefault="005C7E73">
      <w:pPr>
        <w:spacing w:line="360" w:lineRule="auto"/>
        <w:ind w:firstLineChars="500" w:firstLine="1600"/>
        <w:rPr>
          <w:rFonts w:ascii="宋体" w:eastAsia="宋体" w:hAnsi="宋体" w:cs="宋体"/>
          <w:iCs/>
          <w:sz w:val="32"/>
          <w:szCs w:val="32"/>
          <w:u w:val="single"/>
          <w:lang w:eastAsia="zh-CN"/>
        </w:rPr>
      </w:pPr>
      <w:r>
        <w:rPr>
          <w:rFonts w:ascii="宋体" w:eastAsia="宋体" w:hAnsi="宋体" w:cs="宋体" w:hint="eastAsia"/>
          <w:iCs/>
          <w:sz w:val="32"/>
          <w:szCs w:val="32"/>
          <w:lang w:eastAsia="zh-CN"/>
        </w:rPr>
        <w:t>报告编号：</w:t>
      </w:r>
    </w:p>
    <w:p w:rsidR="0007779F" w:rsidRDefault="0007779F">
      <w:pPr>
        <w:spacing w:line="360" w:lineRule="auto"/>
        <w:rPr>
          <w:rFonts w:ascii="宋体" w:eastAsia="宋体" w:hAnsi="宋体" w:cs="宋体"/>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5C7E73">
      <w:pPr>
        <w:spacing w:line="276" w:lineRule="auto"/>
        <w:jc w:val="right"/>
        <w:rPr>
          <w:rFonts w:ascii="Times New Roman" w:hAnsi="Times New Roman"/>
          <w:iCs/>
          <w:sz w:val="32"/>
          <w:szCs w:val="32"/>
          <w:lang w:eastAsia="zh-CN"/>
        </w:rPr>
      </w:pPr>
      <w:r>
        <w:rPr>
          <w:rFonts w:ascii="Times New Roman" w:hAnsi="Times New Roman"/>
          <w:iCs/>
          <w:sz w:val="32"/>
          <w:szCs w:val="32"/>
          <w:lang w:eastAsia="zh-CN"/>
        </w:rPr>
        <w:t>出具报告机构：（若</w:t>
      </w:r>
      <w:r>
        <w:rPr>
          <w:rFonts w:ascii="Times New Roman" w:hAnsi="Times New Roman" w:hint="eastAsia"/>
          <w:iCs/>
          <w:sz w:val="32"/>
          <w:szCs w:val="32"/>
          <w:lang w:eastAsia="zh-CN"/>
        </w:rPr>
        <w:t>有</w:t>
      </w:r>
      <w:r>
        <w:rPr>
          <w:rFonts w:ascii="Times New Roman" w:hAnsi="Times New Roman"/>
          <w:iCs/>
          <w:sz w:val="32"/>
          <w:szCs w:val="32"/>
          <w:lang w:eastAsia="zh-CN"/>
        </w:rPr>
        <w:t>）（盖章）</w:t>
      </w:r>
    </w:p>
    <w:p w:rsidR="0007779F" w:rsidRDefault="005C7E73">
      <w:pPr>
        <w:spacing w:line="276" w:lineRule="auto"/>
        <w:jc w:val="right"/>
        <w:rPr>
          <w:rFonts w:ascii="Times New Roman" w:hAnsi="Times New Roman"/>
          <w:iCs/>
          <w:sz w:val="32"/>
          <w:szCs w:val="32"/>
          <w:lang w:eastAsia="zh-CN"/>
        </w:rPr>
      </w:pPr>
      <w:r>
        <w:rPr>
          <w:rFonts w:ascii="Times New Roman" w:hAnsi="Times New Roman"/>
          <w:iCs/>
          <w:sz w:val="32"/>
          <w:szCs w:val="32"/>
          <w:lang w:eastAsia="zh-CN"/>
        </w:rPr>
        <w:t>日期：年月日</w:t>
      </w: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07779F">
      <w:pPr>
        <w:spacing w:line="276" w:lineRule="auto"/>
        <w:rPr>
          <w:rFonts w:ascii="Times New Roman" w:hAnsi="Times New Roman"/>
          <w:iCs/>
          <w:sz w:val="32"/>
          <w:szCs w:val="32"/>
          <w:lang w:eastAsia="zh-CN"/>
        </w:rPr>
      </w:pP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lastRenderedPageBreak/>
        <w:t>一、概况</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1</w:t>
      </w:r>
      <w:r>
        <w:rPr>
          <w:rFonts w:ascii="Times New Roman" w:eastAsia="黑体" w:hAnsi="Times New Roman"/>
          <w:iCs/>
          <w:lang w:eastAsia="zh-CN"/>
        </w:rPr>
        <w:t>、生产者信息</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生产者名称：</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地址：</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法定代表人：</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授权人</w:t>
      </w:r>
      <w:r>
        <w:rPr>
          <w:rFonts w:ascii="Times New Roman" w:hAnsi="Times New Roman" w:hint="eastAsia"/>
          <w:iCs/>
          <w:lang w:eastAsia="zh-CN"/>
        </w:rPr>
        <w:t>(</w:t>
      </w:r>
      <w:r>
        <w:rPr>
          <w:rFonts w:ascii="Times New Roman" w:hAnsi="Times New Roman"/>
          <w:iCs/>
          <w:lang w:eastAsia="zh-CN"/>
        </w:rPr>
        <w:t>联系人</w:t>
      </w:r>
      <w:r>
        <w:rPr>
          <w:rFonts w:ascii="Times New Roman" w:eastAsia="宋体" w:hAnsi="Times New Roman" w:hint="eastAsia"/>
          <w:iCs/>
          <w:lang w:eastAsia="zh-CN"/>
        </w:rPr>
        <w:t>）</w:t>
      </w:r>
      <w:r>
        <w:rPr>
          <w:rFonts w:ascii="Times New Roman" w:hAnsi="Times New Roman"/>
          <w:iCs/>
          <w:lang w:eastAsia="zh-CN"/>
        </w:rPr>
        <w:t>：</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联系电话：</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企业概况：</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2</w:t>
      </w:r>
      <w:r>
        <w:rPr>
          <w:rFonts w:ascii="Times New Roman" w:eastAsia="黑体" w:hAnsi="Times New Roman"/>
          <w:iCs/>
          <w:lang w:eastAsia="zh-CN"/>
        </w:rPr>
        <w:t>、产品信息</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产品名称：</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产品</w:t>
      </w:r>
      <w:r>
        <w:rPr>
          <w:rFonts w:ascii="Times New Roman" w:hAnsi="Times New Roman" w:hint="eastAsia"/>
          <w:iCs/>
          <w:lang w:eastAsia="zh-CN"/>
        </w:rPr>
        <w:t xml:space="preserve">  </w:t>
      </w:r>
      <w:r>
        <w:rPr>
          <w:rFonts w:ascii="Times New Roman" w:hAnsi="Times New Roman" w:hint="eastAsia"/>
          <w:iCs/>
          <w:lang w:eastAsia="zh-CN"/>
        </w:rPr>
        <w:t>功</w:t>
      </w:r>
      <w:r>
        <w:rPr>
          <w:rFonts w:ascii="Times New Roman" w:hAnsi="Times New Roman" w:hint="eastAsia"/>
          <w:iCs/>
          <w:lang w:eastAsia="zh-CN"/>
        </w:rPr>
        <w:t xml:space="preserve">  </w:t>
      </w:r>
      <w:r>
        <w:rPr>
          <w:rFonts w:ascii="Times New Roman" w:hAnsi="Times New Roman" w:hint="eastAsia"/>
          <w:iCs/>
          <w:lang w:eastAsia="zh-CN"/>
        </w:rPr>
        <w:t>能</w:t>
      </w:r>
      <w:r>
        <w:rPr>
          <w:rFonts w:ascii="Times New Roman" w:hAnsi="Times New Roman"/>
          <w:iCs/>
          <w:lang w:eastAsia="zh-CN"/>
        </w:rPr>
        <w:t>：</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产品介绍：</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产品图片：</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3</w:t>
      </w:r>
      <w:r>
        <w:rPr>
          <w:rFonts w:ascii="Times New Roman" w:eastAsia="黑体" w:hAnsi="Times New Roman"/>
          <w:iCs/>
          <w:lang w:eastAsia="zh-CN"/>
        </w:rPr>
        <w:t>、量化方法</w:t>
      </w:r>
    </w:p>
    <w:p w:rsidR="0007779F" w:rsidRDefault="005C7E73">
      <w:pPr>
        <w:spacing w:line="276" w:lineRule="auto"/>
        <w:rPr>
          <w:rFonts w:ascii="Times New Roman" w:hAnsi="Times New Roman"/>
          <w:iCs/>
          <w:u w:val="single"/>
          <w:lang w:eastAsia="zh-CN"/>
        </w:rPr>
      </w:pPr>
      <w:r>
        <w:rPr>
          <w:rFonts w:ascii="Times New Roman" w:hAnsi="Times New Roman"/>
          <w:iCs/>
          <w:lang w:eastAsia="zh-CN"/>
        </w:rPr>
        <w:t>依据标准：</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二、量化目的</w:t>
      </w:r>
    </w:p>
    <w:p w:rsidR="0007779F" w:rsidRDefault="0007779F">
      <w:pPr>
        <w:spacing w:line="276" w:lineRule="auto"/>
        <w:rPr>
          <w:rFonts w:ascii="Times New Roman" w:hAnsi="Times New Roman"/>
          <w:iCs/>
          <w:u w:val="single"/>
          <w:lang w:eastAsia="zh-CN"/>
        </w:rPr>
      </w:pP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三、量化范围</w:t>
      </w:r>
    </w:p>
    <w:p w:rsidR="0007779F" w:rsidRDefault="005C7E73">
      <w:pPr>
        <w:pStyle w:val="af0"/>
        <w:numPr>
          <w:ilvl w:val="0"/>
          <w:numId w:val="3"/>
        </w:numPr>
        <w:spacing w:line="600" w:lineRule="auto"/>
        <w:ind w:firstLineChars="0"/>
        <w:contextualSpacing/>
        <w:rPr>
          <w:rFonts w:ascii="Times New Roman" w:eastAsia="黑体" w:hAnsi="Times New Roman"/>
          <w:iCs/>
        </w:rPr>
      </w:pPr>
      <w:r>
        <w:rPr>
          <w:rFonts w:ascii="Times New Roman" w:eastAsia="黑体" w:hAnsi="Times New Roman"/>
          <w:iCs/>
        </w:rPr>
        <w:t>功能单位或声明单位</w:t>
      </w:r>
    </w:p>
    <w:p w:rsidR="0007779F" w:rsidRDefault="005C7E73">
      <w:pPr>
        <w:spacing w:line="360" w:lineRule="auto"/>
        <w:ind w:firstLineChars="200" w:firstLine="420"/>
        <w:rPr>
          <w:rFonts w:ascii="Times New Roman" w:hAnsi="Times New Roman"/>
          <w:iCs/>
          <w:lang w:eastAsia="zh-CN"/>
        </w:rPr>
      </w:pPr>
      <w:r>
        <w:rPr>
          <w:rFonts w:ascii="Times New Roman" w:hAnsi="Times New Roman"/>
          <w:iCs/>
          <w:lang w:eastAsia="zh-CN"/>
        </w:rPr>
        <w:t>以</w:t>
      </w:r>
      <w:r>
        <w:rPr>
          <w:rFonts w:ascii="Times New Roman" w:hAnsi="Times New Roman"/>
          <w:iCs/>
          <w:lang w:eastAsia="zh-CN"/>
        </w:rPr>
        <w:t>为功能单位或声明单位。</w:t>
      </w:r>
    </w:p>
    <w:p w:rsidR="0007779F" w:rsidRDefault="005C7E73">
      <w:pPr>
        <w:pStyle w:val="af0"/>
        <w:numPr>
          <w:ilvl w:val="0"/>
          <w:numId w:val="3"/>
        </w:numPr>
        <w:spacing w:line="600" w:lineRule="auto"/>
        <w:ind w:firstLineChars="0"/>
        <w:contextualSpacing/>
        <w:rPr>
          <w:rFonts w:ascii="Times New Roman" w:eastAsia="黑体" w:hAnsi="Times New Roman"/>
          <w:iCs/>
        </w:rPr>
      </w:pPr>
      <w:r>
        <w:rPr>
          <w:rFonts w:ascii="Times New Roman" w:eastAsia="黑体" w:hAnsi="Times New Roman"/>
          <w:iCs/>
        </w:rPr>
        <w:t>系统边界</w:t>
      </w:r>
    </w:p>
    <w:p w:rsidR="0007779F" w:rsidRDefault="005C7E73">
      <w:pPr>
        <w:spacing w:line="276" w:lineRule="auto"/>
        <w:rPr>
          <w:rFonts w:ascii="Times New Roman" w:hAnsi="Times New Roman"/>
          <w:iCs/>
          <w:lang w:eastAsia="zh-CN"/>
        </w:rPr>
      </w:pPr>
      <w:r>
        <w:rPr>
          <w:rFonts w:ascii="Times New Roman" w:hAnsi="Times New Roman"/>
          <w:iCs/>
          <w:lang w:eastAsia="zh-CN"/>
        </w:rPr>
        <w:t>口原材料获取阶段口生产阶段口运输（交付）阶段</w:t>
      </w:r>
    </w:p>
    <w:p w:rsidR="0007779F" w:rsidRDefault="005C7E73">
      <w:pPr>
        <w:spacing w:line="276" w:lineRule="auto"/>
        <w:rPr>
          <w:rFonts w:ascii="Times New Roman" w:hAnsi="Times New Roman"/>
          <w:iCs/>
          <w:lang w:eastAsia="zh-CN"/>
        </w:rPr>
      </w:pPr>
      <w:r>
        <w:rPr>
          <w:rFonts w:ascii="Times New Roman" w:hAnsi="Times New Roman"/>
          <w:iCs/>
          <w:lang w:eastAsia="zh-CN"/>
        </w:rPr>
        <w:t>系统边界图：</w:t>
      </w: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07779F">
      <w:pPr>
        <w:spacing w:line="276" w:lineRule="auto"/>
        <w:rPr>
          <w:rFonts w:ascii="Times New Roman" w:hAnsi="Times New Roman"/>
          <w:iCs/>
          <w:lang w:eastAsia="zh-CN"/>
        </w:rPr>
      </w:pPr>
    </w:p>
    <w:p w:rsidR="0007779F" w:rsidRDefault="005C7E73">
      <w:pPr>
        <w:spacing w:line="276" w:lineRule="auto"/>
        <w:jc w:val="center"/>
        <w:rPr>
          <w:rFonts w:ascii="Times New Roman" w:eastAsia="黑体" w:hAnsi="Times New Roman"/>
          <w:iCs/>
          <w:lang w:eastAsia="zh-CN"/>
        </w:rPr>
      </w:pPr>
      <w:r>
        <w:rPr>
          <w:rFonts w:ascii="Times New Roman" w:eastAsia="黑体" w:hAnsi="Times New Roman"/>
          <w:iCs/>
          <w:lang w:eastAsia="zh-CN"/>
        </w:rPr>
        <w:t>图</w:t>
      </w:r>
      <w:r>
        <w:rPr>
          <w:rFonts w:ascii="Times New Roman" w:eastAsia="黑体" w:hAnsi="Times New Roman"/>
          <w:iCs/>
          <w:lang w:eastAsia="zh-CN"/>
        </w:rPr>
        <w:t xml:space="preserve">1 xx </w:t>
      </w:r>
      <w:r>
        <w:rPr>
          <w:rFonts w:ascii="Times New Roman" w:eastAsia="黑体" w:hAnsi="Times New Roman"/>
          <w:iCs/>
          <w:lang w:eastAsia="zh-CN"/>
        </w:rPr>
        <w:t>产品碳足迹量化系统边界图</w:t>
      </w:r>
    </w:p>
    <w:p w:rsidR="0007779F" w:rsidRDefault="005C7E73">
      <w:pPr>
        <w:spacing w:line="600" w:lineRule="auto"/>
        <w:rPr>
          <w:rFonts w:ascii="Times New Roman" w:eastAsia="黑体" w:hAnsi="Times New Roman"/>
          <w:iCs/>
          <w:lang w:eastAsia="zh-CN"/>
        </w:rPr>
      </w:pPr>
      <w:r>
        <w:rPr>
          <w:rFonts w:ascii="Times New Roman" w:eastAsia="黑体" w:hAnsi="Times New Roman" w:hint="eastAsia"/>
          <w:iCs/>
          <w:lang w:eastAsia="zh-CN"/>
        </w:rPr>
        <w:t>3.</w:t>
      </w:r>
      <w:r>
        <w:rPr>
          <w:rFonts w:ascii="Times New Roman" w:eastAsia="黑体" w:hAnsi="Times New Roman"/>
          <w:iCs/>
          <w:lang w:eastAsia="zh-CN"/>
        </w:rPr>
        <w:t>取舍准则</w:t>
      </w:r>
    </w:p>
    <w:p w:rsidR="0007779F" w:rsidRDefault="005C7E73">
      <w:pPr>
        <w:spacing w:line="276" w:lineRule="auto"/>
        <w:ind w:firstLineChars="200" w:firstLine="420"/>
        <w:rPr>
          <w:rFonts w:ascii="Times New Roman" w:hAnsi="Times New Roman"/>
          <w:iCs/>
          <w:u w:val="single"/>
          <w:lang w:eastAsia="zh-CN"/>
        </w:rPr>
      </w:pPr>
      <w:r>
        <w:rPr>
          <w:rFonts w:ascii="Times New Roman" w:hAnsi="Times New Roman"/>
          <w:iCs/>
          <w:lang w:eastAsia="zh-CN"/>
        </w:rPr>
        <w:t>采用的取舍准则以为依据，具体规则如下：</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4.</w:t>
      </w:r>
      <w:r>
        <w:rPr>
          <w:rFonts w:ascii="Times New Roman" w:eastAsia="黑体" w:hAnsi="Times New Roman"/>
          <w:iCs/>
          <w:lang w:eastAsia="zh-CN"/>
        </w:rPr>
        <w:t>时间范围</w:t>
      </w:r>
    </w:p>
    <w:p w:rsidR="0007779F" w:rsidRDefault="005C7E73">
      <w:pPr>
        <w:spacing w:line="276" w:lineRule="auto"/>
        <w:ind w:firstLineChars="250" w:firstLine="525"/>
        <w:rPr>
          <w:rFonts w:ascii="Times New Roman" w:hAnsi="Times New Roman"/>
          <w:iCs/>
          <w:lang w:eastAsia="zh-CN"/>
        </w:rPr>
      </w:pPr>
      <w:r>
        <w:rPr>
          <w:rFonts w:ascii="Times New Roman" w:hAnsi="Times New Roman"/>
          <w:iCs/>
          <w:lang w:eastAsia="zh-CN"/>
        </w:rPr>
        <w:t>年度。</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四、清单分析</w:t>
      </w:r>
    </w:p>
    <w:p w:rsidR="0007779F" w:rsidRDefault="005C7E73">
      <w:pPr>
        <w:spacing w:line="480" w:lineRule="auto"/>
        <w:rPr>
          <w:rFonts w:ascii="Times New Roman" w:eastAsia="黑体" w:hAnsi="Times New Roman"/>
          <w:iCs/>
          <w:lang w:eastAsia="zh-CN"/>
        </w:rPr>
      </w:pPr>
      <w:r>
        <w:rPr>
          <w:rFonts w:ascii="Times New Roman" w:eastAsia="黑体" w:hAnsi="Times New Roman" w:hint="eastAsia"/>
          <w:iCs/>
          <w:lang w:eastAsia="zh-CN"/>
        </w:rPr>
        <w:lastRenderedPageBreak/>
        <w:t>1.</w:t>
      </w:r>
      <w:r>
        <w:rPr>
          <w:rFonts w:ascii="Times New Roman" w:eastAsia="黑体" w:hAnsi="Times New Roman"/>
          <w:iCs/>
          <w:lang w:eastAsia="zh-CN"/>
        </w:rPr>
        <w:t>数据来源说明</w:t>
      </w:r>
    </w:p>
    <w:p w:rsidR="0007779F" w:rsidRDefault="005C7E73">
      <w:pPr>
        <w:spacing w:line="276" w:lineRule="auto"/>
        <w:rPr>
          <w:rFonts w:ascii="Times New Roman" w:hAnsi="Times New Roman"/>
          <w:iCs/>
          <w:lang w:eastAsia="zh-CN"/>
        </w:rPr>
      </w:pPr>
      <w:r>
        <w:rPr>
          <w:rFonts w:ascii="Times New Roman" w:hAnsi="Times New Roman"/>
          <w:iCs/>
          <w:lang w:eastAsia="zh-CN"/>
        </w:rPr>
        <w:t>初级数据：；</w:t>
      </w:r>
    </w:p>
    <w:p w:rsidR="0007779F" w:rsidRDefault="005C7E73">
      <w:pPr>
        <w:spacing w:line="276" w:lineRule="auto"/>
        <w:rPr>
          <w:rFonts w:ascii="Times New Roman" w:hAnsi="Times New Roman"/>
          <w:iCs/>
          <w:lang w:eastAsia="zh-CN"/>
        </w:rPr>
      </w:pPr>
      <w:r>
        <w:rPr>
          <w:rFonts w:ascii="Times New Roman" w:hAnsi="Times New Roman"/>
          <w:iCs/>
          <w:lang w:eastAsia="zh-CN"/>
        </w:rPr>
        <w:t>次级数据：。</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2</w:t>
      </w:r>
      <w:r>
        <w:rPr>
          <w:rFonts w:ascii="Times New Roman" w:eastAsia="黑体" w:hAnsi="Times New Roman" w:hint="eastAsia"/>
          <w:iCs/>
          <w:lang w:eastAsia="zh-CN"/>
        </w:rPr>
        <w:t>．</w:t>
      </w:r>
      <w:r>
        <w:rPr>
          <w:rFonts w:ascii="Times New Roman" w:eastAsia="黑体" w:hAnsi="Times New Roman"/>
          <w:iCs/>
          <w:lang w:eastAsia="zh-CN"/>
        </w:rPr>
        <w:t>分配原则与程序</w:t>
      </w:r>
    </w:p>
    <w:p w:rsidR="0007779F" w:rsidRDefault="005C7E73">
      <w:pPr>
        <w:spacing w:line="276" w:lineRule="auto"/>
        <w:rPr>
          <w:rFonts w:ascii="Times New Roman" w:hAnsi="Times New Roman"/>
          <w:iCs/>
          <w:lang w:eastAsia="zh-CN"/>
        </w:rPr>
      </w:pPr>
      <w:r>
        <w:rPr>
          <w:rFonts w:ascii="Times New Roman" w:hAnsi="Times New Roman"/>
          <w:iCs/>
          <w:lang w:eastAsia="zh-CN"/>
        </w:rPr>
        <w:t>分配依据：；</w:t>
      </w:r>
    </w:p>
    <w:p w:rsidR="0007779F" w:rsidRDefault="005C7E73">
      <w:pPr>
        <w:spacing w:line="276" w:lineRule="auto"/>
        <w:rPr>
          <w:rFonts w:ascii="Times New Roman" w:hAnsi="Times New Roman"/>
          <w:iCs/>
          <w:lang w:eastAsia="zh-CN"/>
        </w:rPr>
      </w:pPr>
      <w:r>
        <w:rPr>
          <w:rFonts w:ascii="Times New Roman" w:hAnsi="Times New Roman"/>
          <w:iCs/>
          <w:lang w:eastAsia="zh-CN"/>
        </w:rPr>
        <w:t>分配程序：。</w:t>
      </w:r>
    </w:p>
    <w:p w:rsidR="0007779F" w:rsidRDefault="005C7E73">
      <w:pPr>
        <w:spacing w:line="360" w:lineRule="auto"/>
        <w:rPr>
          <w:rFonts w:ascii="Times New Roman" w:hAnsi="Times New Roman"/>
          <w:iCs/>
          <w:lang w:eastAsia="zh-CN"/>
        </w:rPr>
      </w:pPr>
      <w:r>
        <w:rPr>
          <w:rFonts w:ascii="Times New Roman" w:hAnsi="Times New Roman"/>
          <w:iCs/>
          <w:lang w:eastAsia="zh-CN"/>
        </w:rPr>
        <w:t>具体分配情况如下：</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3</w:t>
      </w:r>
      <w:r>
        <w:rPr>
          <w:rFonts w:ascii="Times New Roman" w:eastAsia="黑体" w:hAnsi="Times New Roman" w:hint="eastAsia"/>
          <w:iCs/>
          <w:lang w:eastAsia="zh-CN"/>
        </w:rPr>
        <w:t>．</w:t>
      </w:r>
      <w:r>
        <w:rPr>
          <w:rFonts w:ascii="Times New Roman" w:eastAsia="黑体" w:hAnsi="Times New Roman"/>
          <w:iCs/>
          <w:lang w:eastAsia="zh-CN"/>
        </w:rPr>
        <w:t>清单结果及计算</w:t>
      </w:r>
    </w:p>
    <w:p w:rsidR="0007779F" w:rsidRDefault="005C7E73">
      <w:pPr>
        <w:spacing w:line="360" w:lineRule="auto"/>
        <w:ind w:firstLineChars="200" w:firstLine="420"/>
        <w:rPr>
          <w:rFonts w:ascii="Times New Roman" w:hAnsi="Times New Roman"/>
          <w:iCs/>
          <w:lang w:eastAsia="zh-CN"/>
        </w:rPr>
      </w:pPr>
      <w:r>
        <w:rPr>
          <w:rFonts w:ascii="Times New Roman" w:hAnsi="Times New Roman"/>
          <w:iCs/>
          <w:lang w:eastAsia="zh-CN"/>
        </w:rPr>
        <w:t>生命周期各个阶段碳排放计算说明见表</w:t>
      </w:r>
      <w:r>
        <w:rPr>
          <w:rFonts w:ascii="Times New Roman" w:hAnsi="Times New Roman"/>
          <w:iCs/>
          <w:lang w:eastAsia="zh-CN"/>
        </w:rPr>
        <w:t>1</w:t>
      </w:r>
      <w:r>
        <w:rPr>
          <w:rFonts w:ascii="Times New Roman" w:hAnsi="Times New Roman"/>
          <w:iCs/>
          <w:lang w:eastAsia="zh-CN"/>
        </w:rPr>
        <w:t>。</w:t>
      </w:r>
    </w:p>
    <w:p w:rsidR="0007779F" w:rsidRDefault="005C7E73" w:rsidP="00996A76">
      <w:pPr>
        <w:spacing w:beforeLines="50" w:afterLines="50" w:line="276" w:lineRule="auto"/>
        <w:jc w:val="center"/>
        <w:rPr>
          <w:rFonts w:ascii="Times New Roman" w:eastAsia="黑体" w:hAnsi="Times New Roman"/>
          <w:iCs/>
          <w:lang w:eastAsia="zh-CN"/>
        </w:rPr>
      </w:pPr>
      <w:r>
        <w:rPr>
          <w:rFonts w:ascii="Times New Roman" w:eastAsia="黑体" w:hAnsi="Times New Roman"/>
          <w:iCs/>
          <w:lang w:eastAsia="zh-CN"/>
        </w:rPr>
        <w:t>表</w:t>
      </w:r>
      <w:r>
        <w:rPr>
          <w:rFonts w:ascii="Times New Roman" w:eastAsia="黑体" w:hAnsi="Times New Roman"/>
          <w:iCs/>
          <w:lang w:eastAsia="zh-CN"/>
        </w:rPr>
        <w:t xml:space="preserve">1 </w:t>
      </w:r>
      <w:r>
        <w:rPr>
          <w:rFonts w:ascii="Times New Roman" w:eastAsia="黑体" w:hAnsi="Times New Roman"/>
          <w:iCs/>
          <w:lang w:eastAsia="zh-CN"/>
        </w:rPr>
        <w:t>生命周期碳排放清单说明</w:t>
      </w:r>
    </w:p>
    <w:tbl>
      <w:tblPr>
        <w:tblStyle w:val="a9"/>
        <w:tblW w:w="0" w:type="auto"/>
        <w:tblLook w:val="04A0"/>
      </w:tblPr>
      <w:tblGrid>
        <w:gridCol w:w="1146"/>
        <w:gridCol w:w="1146"/>
        <w:gridCol w:w="2098"/>
        <w:gridCol w:w="2126"/>
        <w:gridCol w:w="2544"/>
      </w:tblGrid>
      <w:tr w:rsidR="0007779F">
        <w:tc>
          <w:tcPr>
            <w:tcW w:w="2292" w:type="dxa"/>
            <w:gridSpan w:val="2"/>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生命周期阶段</w:t>
            </w:r>
          </w:p>
        </w:tc>
        <w:tc>
          <w:tcPr>
            <w:tcW w:w="2098" w:type="dxa"/>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活动数据</w:t>
            </w:r>
          </w:p>
        </w:tc>
        <w:tc>
          <w:tcPr>
            <w:tcW w:w="2126" w:type="dxa"/>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排放因子</w:t>
            </w:r>
          </w:p>
        </w:tc>
        <w:tc>
          <w:tcPr>
            <w:tcW w:w="2544" w:type="dxa"/>
            <w:vAlign w:val="center"/>
          </w:tcPr>
          <w:p w:rsidR="0007779F" w:rsidRDefault="005C7E73">
            <w:pPr>
              <w:widowControl/>
              <w:spacing w:line="276" w:lineRule="auto"/>
              <w:jc w:val="center"/>
              <w:rPr>
                <w:rFonts w:ascii="Times New Roman" w:hAnsi="Times New Roman"/>
                <w:iCs/>
                <w:sz w:val="18"/>
                <w:szCs w:val="18"/>
                <w:lang w:eastAsia="zh-CN"/>
              </w:rPr>
            </w:pPr>
            <w:r>
              <w:rPr>
                <w:rFonts w:ascii="Times New Roman" w:hAnsi="Times New Roman" w:hint="eastAsia"/>
                <w:iCs/>
                <w:sz w:val="18"/>
                <w:szCs w:val="18"/>
                <w:lang w:eastAsia="zh-CN"/>
              </w:rPr>
              <w:t>温室气体量</w:t>
            </w:r>
          </w:p>
          <w:p w:rsidR="0007779F" w:rsidRDefault="005C7E73">
            <w:pPr>
              <w:widowControl/>
              <w:spacing w:line="276" w:lineRule="auto"/>
              <w:jc w:val="center"/>
              <w:rPr>
                <w:rFonts w:ascii="Times New Roman" w:hAnsi="Times New Roman"/>
                <w:iCs/>
                <w:sz w:val="18"/>
                <w:szCs w:val="18"/>
                <w:lang w:eastAsia="zh-CN"/>
              </w:rPr>
            </w:pPr>
            <w:r>
              <w:rPr>
                <w:rFonts w:ascii="Times New Roman" w:hAnsi="Times New Roman" w:hint="eastAsia"/>
                <w:iCs/>
                <w:sz w:val="18"/>
                <w:szCs w:val="18"/>
                <w:lang w:eastAsia="zh-CN"/>
              </w:rPr>
              <w:t>kg/</w:t>
            </w:r>
            <w:r>
              <w:rPr>
                <w:rFonts w:ascii="Times New Roman" w:hAnsi="Times New Roman" w:hint="eastAsia"/>
                <w:iCs/>
                <w:sz w:val="18"/>
                <w:szCs w:val="18"/>
                <w:lang w:eastAsia="zh-CN"/>
              </w:rPr>
              <w:t>功能单位或声明单位</w:t>
            </w:r>
          </w:p>
        </w:tc>
      </w:tr>
      <w:tr w:rsidR="0007779F">
        <w:tc>
          <w:tcPr>
            <w:tcW w:w="2292" w:type="dxa"/>
            <w:gridSpan w:val="2"/>
            <w:vMerge w:val="restar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原材料获取</w:t>
            </w: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r w:rsidR="0007779F">
        <w:tc>
          <w:tcPr>
            <w:tcW w:w="2292" w:type="dxa"/>
            <w:gridSpan w:val="2"/>
            <w:vMerge/>
            <w:vAlign w:val="center"/>
          </w:tcPr>
          <w:p w:rsidR="0007779F" w:rsidRDefault="0007779F">
            <w:pPr>
              <w:widowControl/>
              <w:spacing w:line="276" w:lineRule="auto"/>
              <w:jc w:val="center"/>
              <w:rPr>
                <w:rFonts w:ascii="Times New Roman" w:hAnsi="Times New Roman"/>
                <w:iCs/>
                <w:sz w:val="18"/>
                <w:szCs w:val="18"/>
              </w:rPr>
            </w:pP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r w:rsidR="0007779F">
        <w:tc>
          <w:tcPr>
            <w:tcW w:w="2292" w:type="dxa"/>
            <w:gridSpan w:val="2"/>
            <w:vMerge w:val="restar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生产</w:t>
            </w: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r w:rsidR="0007779F">
        <w:tc>
          <w:tcPr>
            <w:tcW w:w="2292" w:type="dxa"/>
            <w:gridSpan w:val="2"/>
            <w:vMerge/>
            <w:vAlign w:val="center"/>
          </w:tcPr>
          <w:p w:rsidR="0007779F" w:rsidRDefault="0007779F">
            <w:pPr>
              <w:widowControl/>
              <w:spacing w:line="276" w:lineRule="auto"/>
              <w:jc w:val="center"/>
              <w:rPr>
                <w:rFonts w:ascii="Times New Roman" w:hAnsi="Times New Roman"/>
                <w:iCs/>
                <w:sz w:val="18"/>
                <w:szCs w:val="18"/>
              </w:rPr>
            </w:pP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r w:rsidR="0007779F">
        <w:tc>
          <w:tcPr>
            <w:tcW w:w="1146" w:type="dxa"/>
            <w:vMerge w:val="restar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运输</w:t>
            </w:r>
            <w:r>
              <w:rPr>
                <w:rFonts w:ascii="Times New Roman" w:hAnsi="Times New Roman" w:hint="eastAsia"/>
                <w:iCs/>
                <w:sz w:val="18"/>
                <w:szCs w:val="18"/>
              </w:rPr>
              <w:t>/</w:t>
            </w:r>
            <w:r>
              <w:rPr>
                <w:rFonts w:ascii="Times New Roman" w:hAnsi="Times New Roman" w:hint="eastAsia"/>
                <w:iCs/>
                <w:sz w:val="18"/>
                <w:szCs w:val="18"/>
              </w:rPr>
              <w:t>交付</w:t>
            </w:r>
          </w:p>
        </w:tc>
        <w:tc>
          <w:tcPr>
            <w:tcW w:w="1146" w:type="dxa"/>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运输</w:t>
            </w: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r w:rsidR="0007779F">
        <w:tc>
          <w:tcPr>
            <w:tcW w:w="1146" w:type="dxa"/>
            <w:vMerge/>
            <w:vAlign w:val="center"/>
          </w:tcPr>
          <w:p w:rsidR="0007779F" w:rsidRDefault="0007779F">
            <w:pPr>
              <w:widowControl/>
              <w:spacing w:line="276" w:lineRule="auto"/>
              <w:jc w:val="center"/>
              <w:rPr>
                <w:rFonts w:ascii="Times New Roman" w:hAnsi="Times New Roman"/>
                <w:iCs/>
                <w:sz w:val="18"/>
                <w:szCs w:val="18"/>
              </w:rPr>
            </w:pPr>
          </w:p>
        </w:tc>
        <w:tc>
          <w:tcPr>
            <w:tcW w:w="1146" w:type="dxa"/>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仓储</w:t>
            </w:r>
          </w:p>
        </w:tc>
        <w:tc>
          <w:tcPr>
            <w:tcW w:w="2098" w:type="dxa"/>
            <w:vAlign w:val="center"/>
          </w:tcPr>
          <w:p w:rsidR="0007779F" w:rsidRDefault="0007779F">
            <w:pPr>
              <w:widowControl/>
              <w:spacing w:line="276" w:lineRule="auto"/>
              <w:jc w:val="center"/>
              <w:rPr>
                <w:rFonts w:ascii="Times New Roman" w:hAnsi="Times New Roman"/>
                <w:iCs/>
                <w:sz w:val="18"/>
                <w:szCs w:val="18"/>
              </w:rPr>
            </w:pPr>
          </w:p>
        </w:tc>
        <w:tc>
          <w:tcPr>
            <w:tcW w:w="2126" w:type="dxa"/>
            <w:vAlign w:val="center"/>
          </w:tcPr>
          <w:p w:rsidR="0007779F" w:rsidRDefault="0007779F">
            <w:pPr>
              <w:widowControl/>
              <w:spacing w:line="276" w:lineRule="auto"/>
              <w:jc w:val="center"/>
              <w:rPr>
                <w:rFonts w:ascii="Times New Roman" w:hAnsi="Times New Roman"/>
                <w:iCs/>
                <w:sz w:val="18"/>
                <w:szCs w:val="18"/>
              </w:rPr>
            </w:pPr>
          </w:p>
        </w:tc>
        <w:tc>
          <w:tcPr>
            <w:tcW w:w="2544" w:type="dxa"/>
            <w:vAlign w:val="center"/>
          </w:tcPr>
          <w:p w:rsidR="0007779F" w:rsidRDefault="0007779F">
            <w:pPr>
              <w:widowControl/>
              <w:spacing w:line="276" w:lineRule="auto"/>
              <w:jc w:val="center"/>
              <w:rPr>
                <w:rFonts w:ascii="Times New Roman" w:hAnsi="Times New Roman"/>
                <w:iCs/>
                <w:sz w:val="18"/>
                <w:szCs w:val="18"/>
              </w:rPr>
            </w:pPr>
          </w:p>
        </w:tc>
      </w:tr>
    </w:tbl>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4</w:t>
      </w:r>
      <w:r>
        <w:rPr>
          <w:rFonts w:ascii="Times New Roman" w:eastAsia="黑体" w:hAnsi="Times New Roman" w:hint="eastAsia"/>
          <w:iCs/>
          <w:lang w:eastAsia="zh-CN"/>
        </w:rPr>
        <w:t>．</w:t>
      </w:r>
      <w:r>
        <w:rPr>
          <w:rFonts w:ascii="Times New Roman" w:eastAsia="黑体" w:hAnsi="Times New Roman"/>
          <w:iCs/>
          <w:lang w:eastAsia="zh-CN"/>
        </w:rPr>
        <w:t>数据质量评价（可选项）</w:t>
      </w:r>
    </w:p>
    <w:p w:rsidR="0007779F" w:rsidRDefault="005C7E73">
      <w:pPr>
        <w:spacing w:line="276" w:lineRule="auto"/>
        <w:ind w:firstLineChars="200" w:firstLine="420"/>
        <w:rPr>
          <w:rFonts w:ascii="Times New Roman" w:hAnsi="Times New Roman"/>
          <w:iCs/>
          <w:lang w:eastAsia="zh-CN"/>
        </w:rPr>
      </w:pPr>
      <w:r>
        <w:rPr>
          <w:rFonts w:ascii="Times New Roman" w:hAnsi="Times New Roman"/>
          <w:iCs/>
          <w:lang w:eastAsia="zh-CN"/>
        </w:rPr>
        <w:t>数据质量可从定性和定量两个方面对报告使用的初级数据和次级数据进行评价，具体评价内容包括数据来源、完整性、数据代表性（时间、地理、技术）和准确性。</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五、影响评价</w:t>
      </w:r>
    </w:p>
    <w:p w:rsidR="0007779F" w:rsidRDefault="005C7E73">
      <w:pPr>
        <w:spacing w:line="600" w:lineRule="auto"/>
        <w:rPr>
          <w:rFonts w:ascii="Times New Roman" w:eastAsia="黑体" w:hAnsi="Times New Roman"/>
          <w:iCs/>
          <w:lang w:eastAsia="zh-CN"/>
        </w:rPr>
      </w:pPr>
      <w:r>
        <w:rPr>
          <w:rFonts w:ascii="Times New Roman" w:eastAsia="黑体" w:hAnsi="Times New Roman" w:hint="eastAsia"/>
          <w:iCs/>
          <w:lang w:eastAsia="zh-CN"/>
        </w:rPr>
        <w:t>1.</w:t>
      </w:r>
      <w:r>
        <w:rPr>
          <w:rFonts w:ascii="Times New Roman" w:eastAsia="黑体" w:hAnsi="Times New Roman"/>
          <w:iCs/>
          <w:lang w:eastAsia="zh-CN"/>
        </w:rPr>
        <w:t>影响类型和特征化因子选择</w:t>
      </w:r>
    </w:p>
    <w:p w:rsidR="0007779F" w:rsidRDefault="005C7E73">
      <w:pPr>
        <w:spacing w:line="276" w:lineRule="auto"/>
        <w:ind w:firstLineChars="200" w:firstLine="420"/>
        <w:rPr>
          <w:rFonts w:ascii="Times New Roman" w:hAnsi="Times New Roman"/>
          <w:iCs/>
          <w:lang w:eastAsia="zh-CN"/>
        </w:rPr>
      </w:pPr>
      <w:r>
        <w:rPr>
          <w:rFonts w:ascii="Times New Roman" w:hAnsi="Times New Roman"/>
          <w:iCs/>
          <w:lang w:eastAsia="zh-CN"/>
        </w:rPr>
        <w:t>一般选择</w:t>
      </w:r>
      <w:r>
        <w:rPr>
          <w:rFonts w:ascii="Times New Roman" w:hAnsi="Times New Roman"/>
          <w:iCs/>
          <w:lang w:eastAsia="zh-CN"/>
        </w:rPr>
        <w:t>IPCC</w:t>
      </w:r>
      <w:r>
        <w:rPr>
          <w:rFonts w:ascii="Times New Roman" w:hAnsi="Times New Roman"/>
          <w:iCs/>
          <w:lang w:eastAsia="zh-CN"/>
        </w:rPr>
        <w:t>给出的</w:t>
      </w:r>
      <w:r>
        <w:rPr>
          <w:rFonts w:ascii="Times New Roman" w:hAnsi="Times New Roman"/>
          <w:iCs/>
          <w:lang w:eastAsia="zh-CN"/>
        </w:rPr>
        <w:t>100</w:t>
      </w:r>
      <w:r>
        <w:rPr>
          <w:rFonts w:ascii="Times New Roman" w:hAnsi="Times New Roman"/>
          <w:iCs/>
          <w:lang w:eastAsia="zh-CN"/>
        </w:rPr>
        <w:t>年</w:t>
      </w:r>
      <m:oMath>
        <m:r>
          <w:rPr>
            <w:rFonts w:ascii="Cambria Math" w:hAnsi="Cambria Math"/>
            <w:lang w:eastAsia="zh-CN"/>
          </w:rPr>
          <m:t>GWP</m:t>
        </m:r>
      </m:oMath>
      <w:r>
        <w:rPr>
          <w:rFonts w:ascii="Times New Roman" w:hAnsi="Times New Roman"/>
          <w:iCs/>
          <w:lang w:eastAsia="zh-CN"/>
        </w:rPr>
        <w:t>。</w:t>
      </w:r>
    </w:p>
    <w:p w:rsidR="0007779F" w:rsidRDefault="005C7E73">
      <w:pPr>
        <w:spacing w:line="600" w:lineRule="auto"/>
        <w:rPr>
          <w:rFonts w:ascii="Times New Roman" w:eastAsia="黑体" w:hAnsi="Times New Roman"/>
          <w:iCs/>
          <w:lang w:eastAsia="zh-CN"/>
        </w:rPr>
      </w:pPr>
      <w:r>
        <w:rPr>
          <w:rFonts w:ascii="Times New Roman" w:eastAsia="黑体" w:hAnsi="Times New Roman" w:hint="eastAsia"/>
          <w:iCs/>
          <w:lang w:eastAsia="zh-CN"/>
        </w:rPr>
        <w:t>2.</w:t>
      </w:r>
      <w:r>
        <w:rPr>
          <w:rFonts w:ascii="Times New Roman" w:eastAsia="黑体" w:hAnsi="Times New Roman"/>
          <w:iCs/>
          <w:lang w:eastAsia="zh-CN"/>
        </w:rPr>
        <w:t>产品碳足迹结果计算</w:t>
      </w:r>
    </w:p>
    <w:p w:rsidR="0007779F" w:rsidRDefault="005C7E73">
      <w:pPr>
        <w:spacing w:line="600" w:lineRule="auto"/>
        <w:rPr>
          <w:rFonts w:ascii="Times New Roman" w:eastAsia="黑体" w:hAnsi="Times New Roman"/>
          <w:iCs/>
          <w:lang w:eastAsia="zh-CN"/>
        </w:rPr>
      </w:pPr>
      <w:r>
        <w:rPr>
          <w:rFonts w:ascii="Times New Roman" w:eastAsia="黑体" w:hAnsi="Times New Roman"/>
          <w:iCs/>
          <w:lang w:eastAsia="zh-CN"/>
        </w:rPr>
        <w:t>六、结果解释</w:t>
      </w:r>
    </w:p>
    <w:p w:rsidR="0007779F" w:rsidRDefault="005C7E73">
      <w:pPr>
        <w:spacing w:line="276" w:lineRule="auto"/>
        <w:rPr>
          <w:rFonts w:ascii="Times New Roman" w:eastAsia="黑体" w:hAnsi="Times New Roman"/>
          <w:iCs/>
          <w:lang w:eastAsia="zh-CN"/>
        </w:rPr>
      </w:pPr>
      <w:r>
        <w:rPr>
          <w:rFonts w:ascii="Times New Roman" w:eastAsia="黑体" w:hAnsi="Times New Roman" w:hint="eastAsia"/>
          <w:iCs/>
          <w:lang w:eastAsia="zh-CN"/>
        </w:rPr>
        <w:t>1.</w:t>
      </w:r>
      <w:r>
        <w:rPr>
          <w:rFonts w:ascii="Times New Roman" w:eastAsia="黑体" w:hAnsi="Times New Roman"/>
          <w:iCs/>
          <w:lang w:eastAsia="zh-CN"/>
        </w:rPr>
        <w:t>结果说明</w:t>
      </w:r>
    </w:p>
    <w:p w:rsidR="0007779F" w:rsidRDefault="005C7E73">
      <w:pPr>
        <w:spacing w:line="276" w:lineRule="auto"/>
        <w:ind w:firstLineChars="200" w:firstLine="420"/>
        <w:rPr>
          <w:rFonts w:ascii="Times New Roman" w:hAnsi="Times New Roman"/>
          <w:iCs/>
          <w:lang w:eastAsia="zh-CN"/>
        </w:rPr>
      </w:pPr>
      <w:r>
        <w:rPr>
          <w:rFonts w:ascii="Times New Roman" w:hAnsi="Times New Roman"/>
          <w:iCs/>
          <w:lang w:eastAsia="zh-CN"/>
        </w:rPr>
        <w:t>公司（填写产品生产者的全名）生产的（填写所评价的产品名称，每功能单位的产品），从</w:t>
      </w:r>
      <w:r>
        <w:rPr>
          <w:rFonts w:ascii="Times New Roman" w:hAnsi="Times New Roman"/>
          <w:iCs/>
          <w:lang w:eastAsia="zh-CN"/>
        </w:rPr>
        <w:t>（填写某生命周期阶段）到（填写某生命周期阶段）生命周期碳足迹为</w:t>
      </w:r>
      <w:r>
        <w:rPr>
          <w:rFonts w:ascii="Times New Roman" w:hAnsi="Times New Roman"/>
          <w:iCs/>
          <w:lang w:eastAsia="zh-CN"/>
        </w:rPr>
        <w:t>kgC</w:t>
      </w:r>
      <w:r>
        <w:rPr>
          <w:rFonts w:ascii="Times New Roman" w:hAnsi="Times New Roman" w:hint="eastAsia"/>
          <w:iCs/>
          <w:lang w:eastAsia="zh-CN"/>
        </w:rPr>
        <w:t>O</w:t>
      </w:r>
      <w:r>
        <w:rPr>
          <w:rFonts w:ascii="Times New Roman" w:hAnsi="Times New Roman"/>
          <w:iCs/>
          <w:vertAlign w:val="subscript"/>
          <w:lang w:eastAsia="zh-CN"/>
        </w:rPr>
        <w:t>2</w:t>
      </w:r>
      <w:r>
        <w:rPr>
          <w:rFonts w:ascii="Times New Roman" w:hAnsi="Times New Roman"/>
          <w:iCs/>
          <w:lang w:eastAsia="zh-CN"/>
        </w:rPr>
        <w:t>e</w:t>
      </w:r>
      <w:r>
        <w:rPr>
          <w:rFonts w:ascii="Times New Roman" w:hAnsi="Times New Roman"/>
          <w:iCs/>
          <w:lang w:eastAsia="zh-CN"/>
        </w:rPr>
        <w:t>。各生命周期阶段的温室气体排放情况如表</w:t>
      </w:r>
      <w:r>
        <w:rPr>
          <w:rFonts w:ascii="Times New Roman" w:hAnsi="Times New Roman"/>
          <w:iCs/>
          <w:lang w:eastAsia="zh-CN"/>
        </w:rPr>
        <w:t>2</w:t>
      </w:r>
      <w:r>
        <w:rPr>
          <w:rFonts w:ascii="Times New Roman" w:hAnsi="Times New Roman"/>
          <w:iCs/>
          <w:lang w:eastAsia="zh-CN"/>
        </w:rPr>
        <w:t>和图</w:t>
      </w:r>
      <w:r>
        <w:rPr>
          <w:rFonts w:ascii="Times New Roman" w:hAnsi="Times New Roman"/>
          <w:iCs/>
          <w:lang w:eastAsia="zh-CN"/>
        </w:rPr>
        <w:t>2</w:t>
      </w:r>
      <w:r>
        <w:rPr>
          <w:rFonts w:ascii="Times New Roman" w:hAnsi="Times New Roman"/>
          <w:iCs/>
          <w:lang w:eastAsia="zh-CN"/>
        </w:rPr>
        <w:t>所示。</w:t>
      </w:r>
    </w:p>
    <w:p w:rsidR="0007779F" w:rsidRDefault="005C7E73" w:rsidP="00996A76">
      <w:pPr>
        <w:spacing w:beforeLines="50" w:afterLines="50" w:line="276" w:lineRule="auto"/>
        <w:jc w:val="center"/>
        <w:rPr>
          <w:rFonts w:ascii="Times New Roman" w:eastAsia="黑体" w:hAnsi="Times New Roman"/>
          <w:iCs/>
          <w:lang w:eastAsia="zh-CN"/>
        </w:rPr>
      </w:pPr>
      <w:r>
        <w:rPr>
          <w:rFonts w:ascii="Times New Roman" w:eastAsia="黑体" w:hAnsi="Times New Roman"/>
          <w:iCs/>
          <w:lang w:eastAsia="zh-CN"/>
        </w:rPr>
        <w:t>表</w:t>
      </w:r>
      <w:r>
        <w:rPr>
          <w:rFonts w:ascii="Times New Roman" w:eastAsia="黑体" w:hAnsi="Times New Roman"/>
          <w:iCs/>
          <w:lang w:eastAsia="zh-CN"/>
        </w:rPr>
        <w:t xml:space="preserve">2 </w:t>
      </w:r>
      <w:r>
        <w:rPr>
          <w:rFonts w:ascii="Times New Roman" w:eastAsia="黑体" w:hAnsi="Times New Roman"/>
          <w:iCs/>
          <w:lang w:eastAsia="zh-CN"/>
        </w:rPr>
        <w:t>生命周期各阶段碳排放情况</w:t>
      </w:r>
    </w:p>
    <w:tbl>
      <w:tblPr>
        <w:tblStyle w:val="a9"/>
        <w:tblW w:w="4999" w:type="pct"/>
        <w:tblLook w:val="04A0"/>
      </w:tblPr>
      <w:tblGrid>
        <w:gridCol w:w="3088"/>
        <w:gridCol w:w="3121"/>
        <w:gridCol w:w="3077"/>
      </w:tblGrid>
      <w:tr w:rsidR="0007779F">
        <w:tc>
          <w:tcPr>
            <w:tcW w:w="1662"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生命周期阶段</w:t>
            </w:r>
          </w:p>
        </w:tc>
        <w:tc>
          <w:tcPr>
            <w:tcW w:w="1680" w:type="pct"/>
            <w:vAlign w:val="center"/>
          </w:tcPr>
          <w:p w:rsidR="0007779F" w:rsidRDefault="005C7E73">
            <w:pPr>
              <w:widowControl/>
              <w:jc w:val="center"/>
              <w:rPr>
                <w:rFonts w:ascii="Times New Roman" w:hAnsi="Times New Roman"/>
                <w:sz w:val="18"/>
                <w:szCs w:val="18"/>
                <w:lang w:eastAsia="zh-CN"/>
              </w:rPr>
            </w:pPr>
            <w:r>
              <w:rPr>
                <w:rFonts w:ascii="Times New Roman" w:hAnsi="Times New Roman" w:hint="eastAsia"/>
                <w:iCs/>
                <w:sz w:val="18"/>
                <w:szCs w:val="18"/>
                <w:lang w:eastAsia="zh-CN"/>
              </w:rPr>
              <w:t>碳足迹</w:t>
            </w:r>
            <w:r>
              <w:rPr>
                <w:rFonts w:ascii="Times New Roman" w:hAnsi="Times New Roman" w:hint="eastAsia"/>
                <w:iCs/>
                <w:sz w:val="18"/>
                <w:szCs w:val="18"/>
                <w:lang w:eastAsia="zh-CN"/>
              </w:rPr>
              <w:t>/</w:t>
            </w:r>
            <w:r>
              <w:rPr>
                <w:rFonts w:ascii="Times New Roman" w:hAnsi="Times New Roman" w:hint="eastAsia"/>
                <w:iCs/>
                <w:sz w:val="18"/>
                <w:szCs w:val="18"/>
                <w:lang w:eastAsia="zh-CN"/>
              </w:rPr>
              <w:t>（</w:t>
            </w:r>
            <w:r>
              <w:rPr>
                <w:rFonts w:ascii="Times New Roman" w:hAnsi="Times New Roman" w:hint="eastAsia"/>
                <w:iCs/>
                <w:sz w:val="18"/>
                <w:szCs w:val="18"/>
                <w:lang w:eastAsia="zh-CN"/>
              </w:rPr>
              <w:t>kgCO</w:t>
            </w:r>
            <w:r>
              <w:rPr>
                <w:rFonts w:ascii="Times New Roman" w:hAnsi="Times New Roman" w:hint="eastAsia"/>
                <w:iCs/>
                <w:sz w:val="18"/>
                <w:szCs w:val="18"/>
                <w:vertAlign w:val="subscript"/>
                <w:lang w:eastAsia="zh-CN"/>
              </w:rPr>
              <w:t>2</w:t>
            </w:r>
            <w:r>
              <w:rPr>
                <w:rFonts w:ascii="Times New Roman" w:hAnsi="Times New Roman" w:hint="eastAsia"/>
                <w:iCs/>
                <w:sz w:val="18"/>
                <w:szCs w:val="18"/>
                <w:lang w:eastAsia="zh-CN"/>
              </w:rPr>
              <w:t>/</w:t>
            </w:r>
            <w:r>
              <w:rPr>
                <w:rFonts w:ascii="Times New Roman" w:hAnsi="Times New Roman" w:hint="eastAsia"/>
                <w:iCs/>
                <w:sz w:val="18"/>
                <w:szCs w:val="18"/>
                <w:lang w:eastAsia="zh-CN"/>
              </w:rPr>
              <w:t>功能单位）</w:t>
            </w:r>
          </w:p>
        </w:tc>
        <w:tc>
          <w:tcPr>
            <w:tcW w:w="1657"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百分比</w:t>
            </w:r>
            <w:r>
              <w:rPr>
                <w:rFonts w:ascii="Times New Roman" w:hAnsi="Times New Roman" w:hint="eastAsia"/>
                <w:iCs/>
                <w:sz w:val="18"/>
                <w:szCs w:val="18"/>
              </w:rPr>
              <w:t>%</w:t>
            </w:r>
          </w:p>
        </w:tc>
      </w:tr>
      <w:tr w:rsidR="0007779F">
        <w:tc>
          <w:tcPr>
            <w:tcW w:w="1662"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原材料获取</w:t>
            </w:r>
          </w:p>
        </w:tc>
        <w:tc>
          <w:tcPr>
            <w:tcW w:w="1680" w:type="pct"/>
            <w:vAlign w:val="center"/>
          </w:tcPr>
          <w:p w:rsidR="0007779F" w:rsidRDefault="0007779F">
            <w:pPr>
              <w:widowControl/>
              <w:spacing w:line="276" w:lineRule="auto"/>
              <w:jc w:val="center"/>
              <w:rPr>
                <w:rFonts w:ascii="Times New Roman" w:hAnsi="Times New Roman"/>
                <w:iCs/>
                <w:sz w:val="18"/>
                <w:szCs w:val="18"/>
              </w:rPr>
            </w:pPr>
          </w:p>
        </w:tc>
        <w:tc>
          <w:tcPr>
            <w:tcW w:w="1657" w:type="pct"/>
            <w:vAlign w:val="center"/>
          </w:tcPr>
          <w:p w:rsidR="0007779F" w:rsidRDefault="0007779F">
            <w:pPr>
              <w:widowControl/>
              <w:spacing w:line="276" w:lineRule="auto"/>
              <w:jc w:val="center"/>
              <w:rPr>
                <w:rFonts w:ascii="Times New Roman" w:hAnsi="Times New Roman"/>
                <w:iCs/>
                <w:sz w:val="18"/>
                <w:szCs w:val="18"/>
              </w:rPr>
            </w:pPr>
          </w:p>
        </w:tc>
      </w:tr>
      <w:tr w:rsidR="0007779F">
        <w:tc>
          <w:tcPr>
            <w:tcW w:w="1662"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生产</w:t>
            </w:r>
          </w:p>
        </w:tc>
        <w:tc>
          <w:tcPr>
            <w:tcW w:w="1680" w:type="pct"/>
            <w:vAlign w:val="center"/>
          </w:tcPr>
          <w:p w:rsidR="0007779F" w:rsidRDefault="0007779F">
            <w:pPr>
              <w:widowControl/>
              <w:spacing w:line="276" w:lineRule="auto"/>
              <w:jc w:val="center"/>
              <w:rPr>
                <w:rFonts w:ascii="Times New Roman" w:hAnsi="Times New Roman"/>
                <w:iCs/>
                <w:sz w:val="18"/>
                <w:szCs w:val="18"/>
              </w:rPr>
            </w:pPr>
          </w:p>
        </w:tc>
        <w:tc>
          <w:tcPr>
            <w:tcW w:w="1657" w:type="pct"/>
            <w:vAlign w:val="center"/>
          </w:tcPr>
          <w:p w:rsidR="0007779F" w:rsidRDefault="0007779F">
            <w:pPr>
              <w:widowControl/>
              <w:spacing w:line="276" w:lineRule="auto"/>
              <w:jc w:val="center"/>
              <w:rPr>
                <w:rFonts w:ascii="Times New Roman" w:hAnsi="Times New Roman"/>
                <w:iCs/>
                <w:sz w:val="18"/>
                <w:szCs w:val="18"/>
              </w:rPr>
            </w:pPr>
          </w:p>
        </w:tc>
      </w:tr>
      <w:tr w:rsidR="0007779F">
        <w:tc>
          <w:tcPr>
            <w:tcW w:w="1662"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运输（交付）</w:t>
            </w:r>
          </w:p>
        </w:tc>
        <w:tc>
          <w:tcPr>
            <w:tcW w:w="1680" w:type="pct"/>
            <w:vAlign w:val="center"/>
          </w:tcPr>
          <w:p w:rsidR="0007779F" w:rsidRDefault="0007779F">
            <w:pPr>
              <w:widowControl/>
              <w:spacing w:line="276" w:lineRule="auto"/>
              <w:jc w:val="center"/>
              <w:rPr>
                <w:rFonts w:ascii="Times New Roman" w:hAnsi="Times New Roman"/>
                <w:iCs/>
                <w:sz w:val="18"/>
                <w:szCs w:val="18"/>
              </w:rPr>
            </w:pPr>
          </w:p>
        </w:tc>
        <w:tc>
          <w:tcPr>
            <w:tcW w:w="1657" w:type="pct"/>
            <w:vAlign w:val="center"/>
          </w:tcPr>
          <w:p w:rsidR="0007779F" w:rsidRDefault="0007779F">
            <w:pPr>
              <w:widowControl/>
              <w:spacing w:line="276" w:lineRule="auto"/>
              <w:jc w:val="center"/>
              <w:rPr>
                <w:rFonts w:ascii="Times New Roman" w:hAnsi="Times New Roman"/>
                <w:iCs/>
                <w:sz w:val="18"/>
                <w:szCs w:val="18"/>
              </w:rPr>
            </w:pPr>
          </w:p>
        </w:tc>
      </w:tr>
      <w:tr w:rsidR="0007779F">
        <w:tc>
          <w:tcPr>
            <w:tcW w:w="1662" w:type="pct"/>
            <w:vAlign w:val="center"/>
          </w:tcPr>
          <w:p w:rsidR="0007779F" w:rsidRDefault="005C7E73">
            <w:pPr>
              <w:widowControl/>
              <w:spacing w:line="276" w:lineRule="auto"/>
              <w:jc w:val="center"/>
              <w:rPr>
                <w:rFonts w:ascii="Times New Roman" w:hAnsi="Times New Roman"/>
                <w:iCs/>
                <w:sz w:val="18"/>
                <w:szCs w:val="18"/>
              </w:rPr>
            </w:pPr>
            <w:r>
              <w:rPr>
                <w:rFonts w:ascii="Times New Roman" w:hAnsi="Times New Roman" w:hint="eastAsia"/>
                <w:iCs/>
                <w:sz w:val="18"/>
                <w:szCs w:val="18"/>
              </w:rPr>
              <w:t>总计</w:t>
            </w:r>
          </w:p>
        </w:tc>
        <w:tc>
          <w:tcPr>
            <w:tcW w:w="1680" w:type="pct"/>
            <w:vAlign w:val="center"/>
          </w:tcPr>
          <w:p w:rsidR="0007779F" w:rsidRDefault="0007779F">
            <w:pPr>
              <w:widowControl/>
              <w:spacing w:line="276" w:lineRule="auto"/>
              <w:jc w:val="center"/>
              <w:rPr>
                <w:rFonts w:ascii="Times New Roman" w:hAnsi="Times New Roman"/>
                <w:iCs/>
                <w:sz w:val="18"/>
                <w:szCs w:val="18"/>
              </w:rPr>
            </w:pPr>
          </w:p>
        </w:tc>
        <w:tc>
          <w:tcPr>
            <w:tcW w:w="1657" w:type="pct"/>
            <w:vAlign w:val="center"/>
          </w:tcPr>
          <w:p w:rsidR="0007779F" w:rsidRDefault="0007779F">
            <w:pPr>
              <w:widowControl/>
              <w:spacing w:line="276" w:lineRule="auto"/>
              <w:jc w:val="center"/>
              <w:rPr>
                <w:rFonts w:ascii="Times New Roman" w:hAnsi="Times New Roman"/>
                <w:iCs/>
                <w:sz w:val="18"/>
                <w:szCs w:val="18"/>
              </w:rPr>
            </w:pPr>
          </w:p>
        </w:tc>
      </w:tr>
    </w:tbl>
    <w:p w:rsidR="0007779F" w:rsidRDefault="0007779F">
      <w:pPr>
        <w:spacing w:line="276" w:lineRule="auto"/>
        <w:rPr>
          <w:rFonts w:ascii="Times New Roman" w:eastAsia="黑体" w:hAnsi="Times New Roman"/>
          <w:iCs/>
        </w:rPr>
      </w:pPr>
    </w:p>
    <w:p w:rsidR="0007779F" w:rsidRDefault="0007779F">
      <w:pPr>
        <w:spacing w:line="276" w:lineRule="auto"/>
        <w:rPr>
          <w:rFonts w:ascii="Times New Roman" w:eastAsia="黑体" w:hAnsi="Times New Roman"/>
          <w:iCs/>
        </w:rPr>
      </w:pPr>
    </w:p>
    <w:p w:rsidR="0007779F" w:rsidRDefault="0007779F">
      <w:pPr>
        <w:spacing w:line="276" w:lineRule="auto"/>
        <w:rPr>
          <w:rFonts w:ascii="Times New Roman" w:eastAsia="黑体" w:hAnsi="Times New Roman"/>
          <w:iCs/>
        </w:rPr>
      </w:pPr>
    </w:p>
    <w:p w:rsidR="0007779F" w:rsidRDefault="0007779F">
      <w:pPr>
        <w:spacing w:line="276" w:lineRule="auto"/>
        <w:rPr>
          <w:rFonts w:ascii="Times New Roman" w:eastAsia="黑体" w:hAnsi="Times New Roman"/>
          <w:iCs/>
        </w:rPr>
      </w:pPr>
    </w:p>
    <w:p w:rsidR="0007779F" w:rsidRDefault="0007779F">
      <w:pPr>
        <w:spacing w:line="276" w:lineRule="auto"/>
        <w:rPr>
          <w:rFonts w:ascii="Times New Roman" w:eastAsia="黑体" w:hAnsi="Times New Roman"/>
          <w:iCs/>
        </w:rPr>
      </w:pPr>
    </w:p>
    <w:p w:rsidR="0007779F" w:rsidRDefault="0007779F">
      <w:pPr>
        <w:spacing w:line="276" w:lineRule="auto"/>
        <w:rPr>
          <w:rFonts w:ascii="Times New Roman" w:eastAsia="黑体" w:hAnsi="Times New Roman"/>
          <w:iCs/>
        </w:rPr>
      </w:pPr>
    </w:p>
    <w:p w:rsidR="0007779F" w:rsidRDefault="005C7E73">
      <w:pPr>
        <w:spacing w:line="276" w:lineRule="auto"/>
        <w:rPr>
          <w:rFonts w:ascii="Times New Roman" w:hAnsi="Times New Roman"/>
          <w:iCs/>
          <w:lang w:eastAsia="zh-CN"/>
        </w:rPr>
      </w:pPr>
      <w:r>
        <w:rPr>
          <w:rFonts w:ascii="Times New Roman" w:eastAsia="黑体" w:hAnsi="Times New Roman"/>
          <w:iCs/>
          <w:lang w:eastAsia="zh-CN"/>
        </w:rPr>
        <w:t>注：</w:t>
      </w:r>
      <w:r>
        <w:rPr>
          <w:rFonts w:ascii="Times New Roman" w:hAnsi="Times New Roman"/>
          <w:iCs/>
          <w:lang w:eastAsia="zh-CN"/>
        </w:rPr>
        <w:t>具体产品生命周期阶段碳排放分布图一般以饼状图或柱形图表示各生命周期阶段的碳排放情况。</w:t>
      </w:r>
    </w:p>
    <w:p w:rsidR="0007779F" w:rsidRDefault="005C7E73">
      <w:pPr>
        <w:spacing w:line="276" w:lineRule="auto"/>
        <w:jc w:val="center"/>
        <w:rPr>
          <w:rFonts w:ascii="Times New Roman" w:eastAsia="黑体" w:hAnsi="Times New Roman"/>
          <w:iCs/>
          <w:lang w:eastAsia="zh-CN"/>
        </w:rPr>
      </w:pPr>
      <w:r>
        <w:rPr>
          <w:rFonts w:ascii="Times New Roman" w:eastAsia="黑体" w:hAnsi="Times New Roman"/>
          <w:iCs/>
          <w:lang w:eastAsia="zh-CN"/>
        </w:rPr>
        <w:t>图</w:t>
      </w:r>
      <w:r>
        <w:rPr>
          <w:rFonts w:ascii="Times New Roman" w:eastAsia="黑体" w:hAnsi="Times New Roman"/>
          <w:iCs/>
          <w:lang w:eastAsia="zh-CN"/>
        </w:rPr>
        <w:t>2 xx</w:t>
      </w:r>
      <w:r>
        <w:rPr>
          <w:rFonts w:ascii="Times New Roman" w:eastAsia="黑体" w:hAnsi="Times New Roman"/>
          <w:iCs/>
          <w:lang w:eastAsia="zh-CN"/>
        </w:rPr>
        <w:t>各生命周期阶段碳排放分布图</w:t>
      </w:r>
    </w:p>
    <w:p w:rsidR="0007779F" w:rsidRDefault="005C7E73">
      <w:pPr>
        <w:spacing w:line="600" w:lineRule="auto"/>
        <w:rPr>
          <w:rFonts w:ascii="Times New Roman" w:eastAsia="黑体" w:hAnsi="Times New Roman"/>
          <w:iCs/>
          <w:lang w:eastAsia="zh-CN"/>
        </w:rPr>
      </w:pPr>
      <w:r>
        <w:rPr>
          <w:rFonts w:ascii="Times New Roman" w:eastAsia="黑体" w:hAnsi="Times New Roman" w:hint="eastAsia"/>
          <w:iCs/>
          <w:lang w:eastAsia="zh-CN"/>
        </w:rPr>
        <w:t>2.</w:t>
      </w:r>
      <w:r>
        <w:rPr>
          <w:rFonts w:ascii="Times New Roman" w:eastAsia="黑体" w:hAnsi="Times New Roman"/>
          <w:iCs/>
          <w:lang w:eastAsia="zh-CN"/>
        </w:rPr>
        <w:t>假设和局限性说明（可选项）</w:t>
      </w:r>
    </w:p>
    <w:p w:rsidR="0007779F" w:rsidRDefault="005C7E73">
      <w:pPr>
        <w:spacing w:line="276" w:lineRule="auto"/>
        <w:ind w:firstLineChars="200" w:firstLine="420"/>
        <w:rPr>
          <w:rFonts w:ascii="Times New Roman" w:hAnsi="Times New Roman"/>
          <w:iCs/>
          <w:lang w:eastAsia="zh-CN"/>
        </w:rPr>
      </w:pPr>
      <w:r>
        <w:rPr>
          <w:rFonts w:ascii="Times New Roman" w:hAnsi="Times New Roman"/>
          <w:iCs/>
          <w:lang w:eastAsia="zh-CN"/>
        </w:rPr>
        <w:t>结合量化情况，对范围、数据选择、情景设定等相关的假设和局限进行说明。</w:t>
      </w:r>
    </w:p>
    <w:p w:rsidR="0007779F" w:rsidRDefault="005C7E73" w:rsidP="00996A76">
      <w:pPr>
        <w:spacing w:beforeLines="100" w:line="600" w:lineRule="auto"/>
        <w:rPr>
          <w:rFonts w:ascii="Times New Roman" w:eastAsia="黑体" w:hAnsi="Times New Roman"/>
          <w:iCs/>
        </w:rPr>
      </w:pPr>
      <w:r>
        <w:rPr>
          <w:rFonts w:ascii="Times New Roman" w:eastAsia="黑体" w:hAnsi="Times New Roman" w:hint="eastAsia"/>
          <w:iCs/>
        </w:rPr>
        <w:t>3.</w:t>
      </w:r>
      <w:r>
        <w:rPr>
          <w:rFonts w:ascii="Times New Roman" w:eastAsia="黑体" w:hAnsi="Times New Roman"/>
          <w:iCs/>
        </w:rPr>
        <w:t>改进建议</w:t>
      </w:r>
    </w:p>
    <w:p w:rsidR="0007779F" w:rsidRDefault="005C7E73">
      <w:r>
        <w:br w:type="page"/>
      </w:r>
    </w:p>
    <w:p w:rsidR="0007779F" w:rsidRDefault="0007779F">
      <w:pPr>
        <w:kinsoku/>
        <w:overflowPunct w:val="0"/>
        <w:spacing w:line="293" w:lineRule="auto"/>
      </w:pPr>
    </w:p>
    <w:p w:rsidR="0007779F" w:rsidRDefault="005C7E73">
      <w:pPr>
        <w:pStyle w:val="a7"/>
        <w:kinsoku/>
        <w:overflowPunct w:val="0"/>
        <w:spacing w:before="65" w:line="230" w:lineRule="auto"/>
        <w:jc w:val="center"/>
        <w:outlineLvl w:val="0"/>
        <w:rPr>
          <w:sz w:val="20"/>
          <w:szCs w:val="20"/>
        </w:rPr>
      </w:pPr>
      <w:bookmarkStart w:id="122" w:name="_Toc32633"/>
      <w:r>
        <w:rPr>
          <w:sz w:val="20"/>
          <w:szCs w:val="20"/>
        </w:rPr>
        <w:t>参考文献</w:t>
      </w:r>
      <w:bookmarkEnd w:id="122"/>
    </w:p>
    <w:p w:rsidR="0007779F" w:rsidRDefault="005C7E73">
      <w:pPr>
        <w:numPr>
          <w:ilvl w:val="0"/>
          <w:numId w:val="4"/>
        </w:numPr>
        <w:kinsoku/>
        <w:overflowPunct w:val="0"/>
        <w:spacing w:before="264" w:line="255" w:lineRule="auto"/>
        <w:ind w:left="402" w:firstLine="449"/>
        <w:rPr>
          <w:rFonts w:ascii="宋体" w:eastAsia="宋体" w:hAnsi="宋体" w:cs="宋体"/>
          <w:spacing w:val="4"/>
          <w:sz w:val="20"/>
          <w:szCs w:val="20"/>
        </w:rPr>
      </w:pPr>
      <w:r>
        <w:rPr>
          <w:rFonts w:ascii="宋体" w:eastAsia="宋体" w:hAnsi="宋体" w:cs="宋体"/>
          <w:sz w:val="20"/>
          <w:szCs w:val="20"/>
        </w:rPr>
        <w:t>ISO</w:t>
      </w:r>
      <w:r>
        <w:rPr>
          <w:rFonts w:ascii="宋体" w:eastAsia="宋体" w:hAnsi="宋体" w:cs="宋体"/>
          <w:spacing w:val="10"/>
          <w:sz w:val="20"/>
          <w:szCs w:val="20"/>
        </w:rPr>
        <w:t xml:space="preserve"> 14067:2018  </w:t>
      </w:r>
      <w:r>
        <w:rPr>
          <w:rFonts w:ascii="宋体" w:eastAsia="宋体" w:hAnsi="宋体" w:cs="宋体"/>
          <w:sz w:val="20"/>
          <w:szCs w:val="20"/>
        </w:rPr>
        <w:t>Greenhousegases</w:t>
      </w:r>
      <w:r>
        <w:rPr>
          <w:rFonts w:ascii="宋体" w:eastAsia="宋体" w:hAnsi="宋体" w:cs="宋体"/>
          <w:spacing w:val="10"/>
          <w:sz w:val="20"/>
          <w:szCs w:val="20"/>
        </w:rPr>
        <w:t xml:space="preserve"> - </w:t>
      </w:r>
      <w:r>
        <w:rPr>
          <w:rFonts w:ascii="宋体" w:eastAsia="宋体" w:hAnsi="宋体" w:cs="宋体"/>
          <w:sz w:val="20"/>
          <w:szCs w:val="20"/>
        </w:rPr>
        <w:t>Carbonfootprintofproducts</w:t>
      </w:r>
      <w:r>
        <w:rPr>
          <w:rFonts w:ascii="宋体" w:eastAsia="宋体" w:hAnsi="宋体" w:cs="宋体"/>
          <w:spacing w:val="10"/>
          <w:sz w:val="20"/>
          <w:szCs w:val="20"/>
        </w:rPr>
        <w:t xml:space="preserve"> -</w:t>
      </w:r>
      <w:r>
        <w:rPr>
          <w:rFonts w:ascii="宋体" w:eastAsia="宋体" w:hAnsi="宋体" w:cs="宋体"/>
          <w:sz w:val="20"/>
          <w:szCs w:val="20"/>
        </w:rPr>
        <w:t>Requirementsand</w:t>
      </w:r>
      <w:r>
        <w:rPr>
          <w:rFonts w:ascii="宋体" w:eastAsia="宋体" w:hAnsi="宋体" w:cs="宋体"/>
          <w:spacing w:val="4"/>
          <w:sz w:val="20"/>
          <w:szCs w:val="20"/>
        </w:rPr>
        <w:t>guidelines for quantification</w:t>
      </w:r>
    </w:p>
    <w:p w:rsidR="0007779F" w:rsidRDefault="005C7E73">
      <w:pPr>
        <w:numPr>
          <w:ilvl w:val="0"/>
          <w:numId w:val="4"/>
        </w:numPr>
        <w:kinsoku/>
        <w:overflowPunct w:val="0"/>
        <w:spacing w:line="255" w:lineRule="auto"/>
        <w:ind w:left="403" w:firstLine="448"/>
        <w:rPr>
          <w:rFonts w:ascii="宋体" w:eastAsia="宋体" w:hAnsi="宋体" w:cs="宋体"/>
          <w:spacing w:val="4"/>
          <w:sz w:val="20"/>
          <w:szCs w:val="20"/>
          <w:lang w:eastAsia="zh-CN"/>
        </w:rPr>
      </w:pPr>
      <w:r>
        <w:rPr>
          <w:rFonts w:ascii="宋体" w:eastAsia="宋体" w:hAnsi="宋体" w:cs="宋体"/>
          <w:sz w:val="20"/>
          <w:szCs w:val="20"/>
          <w:lang w:eastAsia="zh-CN"/>
        </w:rPr>
        <w:t>GB</w:t>
      </w:r>
      <w:r>
        <w:rPr>
          <w:rFonts w:ascii="宋体" w:eastAsia="宋体" w:hAnsi="宋体" w:cs="宋体"/>
          <w:spacing w:val="7"/>
          <w:sz w:val="20"/>
          <w:szCs w:val="20"/>
          <w:lang w:eastAsia="zh-CN"/>
        </w:rPr>
        <w:t xml:space="preserve">/T </w:t>
      </w:r>
      <w:r>
        <w:rPr>
          <w:rFonts w:ascii="宋体" w:eastAsia="宋体" w:hAnsi="宋体" w:cs="宋体" w:hint="eastAsia"/>
          <w:spacing w:val="7"/>
          <w:sz w:val="20"/>
          <w:szCs w:val="20"/>
          <w:lang w:eastAsia="zh-CN"/>
        </w:rPr>
        <w:t>24067-2024</w:t>
      </w:r>
      <w:r>
        <w:rPr>
          <w:rFonts w:ascii="宋体" w:eastAsia="宋体" w:hAnsi="宋体" w:cs="宋体" w:hint="eastAsia"/>
          <w:spacing w:val="7"/>
          <w:sz w:val="20"/>
          <w:szCs w:val="20"/>
          <w:lang w:eastAsia="zh-CN"/>
        </w:rPr>
        <w:t>温室气体</w:t>
      </w:r>
      <w:r>
        <w:rPr>
          <w:rFonts w:ascii="宋体" w:eastAsia="宋体" w:hAnsi="宋体" w:cs="宋体" w:hint="eastAsia"/>
          <w:spacing w:val="7"/>
          <w:sz w:val="20"/>
          <w:szCs w:val="20"/>
          <w:lang w:eastAsia="zh-CN"/>
        </w:rPr>
        <w:t xml:space="preserve"> </w:t>
      </w:r>
      <w:r>
        <w:rPr>
          <w:rFonts w:ascii="宋体" w:eastAsia="宋体" w:hAnsi="宋体" w:cs="宋体" w:hint="eastAsia"/>
          <w:spacing w:val="7"/>
          <w:sz w:val="20"/>
          <w:szCs w:val="20"/>
          <w:lang w:eastAsia="zh-CN"/>
        </w:rPr>
        <w:t>产品碳足迹</w:t>
      </w:r>
      <w:r>
        <w:rPr>
          <w:rFonts w:ascii="宋体" w:eastAsia="宋体" w:hAnsi="宋体" w:cs="宋体" w:hint="eastAsia"/>
          <w:spacing w:val="7"/>
          <w:sz w:val="20"/>
          <w:szCs w:val="20"/>
          <w:lang w:eastAsia="zh-CN"/>
        </w:rPr>
        <w:t xml:space="preserve"> </w:t>
      </w:r>
      <w:r>
        <w:rPr>
          <w:rFonts w:ascii="宋体" w:eastAsia="宋体" w:hAnsi="宋体" w:cs="宋体" w:hint="eastAsia"/>
          <w:spacing w:val="7"/>
          <w:sz w:val="20"/>
          <w:szCs w:val="20"/>
          <w:lang w:eastAsia="zh-CN"/>
        </w:rPr>
        <w:t>量化要求和指南</w:t>
      </w:r>
    </w:p>
    <w:p w:rsidR="0007779F" w:rsidRDefault="005C7E73">
      <w:pPr>
        <w:kinsoku/>
        <w:overflowPunct w:val="0"/>
        <w:spacing w:before="71" w:line="226" w:lineRule="auto"/>
        <w:ind w:left="851"/>
        <w:rPr>
          <w:rFonts w:ascii="宋体" w:eastAsia="宋体" w:hAnsi="宋体" w:cs="宋体"/>
          <w:sz w:val="20"/>
          <w:szCs w:val="20"/>
          <w:lang w:eastAsia="zh-CN"/>
        </w:rPr>
      </w:pPr>
      <w:r>
        <w:rPr>
          <w:rFonts w:ascii="宋体" w:eastAsia="宋体" w:hAnsi="宋体" w:cs="宋体"/>
          <w:spacing w:val="5"/>
          <w:sz w:val="20"/>
          <w:szCs w:val="20"/>
          <w:lang w:eastAsia="zh-CN"/>
        </w:rPr>
        <w:t>[</w:t>
      </w:r>
      <w:r>
        <w:rPr>
          <w:rFonts w:ascii="宋体" w:eastAsia="宋体" w:hAnsi="宋体" w:cs="宋体" w:hint="eastAsia"/>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sz w:val="20"/>
          <w:szCs w:val="20"/>
          <w:lang w:eastAsia="zh-CN"/>
        </w:rPr>
        <w:t>GB</w:t>
      </w:r>
      <w:r>
        <w:rPr>
          <w:rFonts w:ascii="宋体" w:eastAsia="宋体" w:hAnsi="宋体" w:cs="宋体"/>
          <w:spacing w:val="5"/>
          <w:sz w:val="20"/>
          <w:szCs w:val="20"/>
          <w:lang w:eastAsia="zh-CN"/>
        </w:rPr>
        <w:t xml:space="preserve">/T 24040  </w:t>
      </w:r>
      <w:r>
        <w:rPr>
          <w:rFonts w:ascii="宋体" w:eastAsia="宋体" w:hAnsi="宋体" w:cs="宋体"/>
          <w:spacing w:val="5"/>
          <w:sz w:val="20"/>
          <w:szCs w:val="20"/>
          <w:lang w:eastAsia="zh-CN"/>
        </w:rPr>
        <w:t>环境管理生命周期评价原则与框架</w:t>
      </w:r>
    </w:p>
    <w:p w:rsidR="0007779F" w:rsidRDefault="005C7E73">
      <w:pPr>
        <w:kinsoku/>
        <w:overflowPunct w:val="0"/>
        <w:spacing w:before="68" w:line="226" w:lineRule="auto"/>
        <w:ind w:left="851"/>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宋体" w:eastAsia="宋体" w:hAnsi="宋体" w:cs="宋体" w:hint="eastAsia"/>
          <w:spacing w:val="6"/>
          <w:sz w:val="20"/>
          <w:szCs w:val="20"/>
          <w:lang w:eastAsia="zh-CN"/>
        </w:rPr>
        <w:t>4</w:t>
      </w:r>
      <w:r>
        <w:rPr>
          <w:rFonts w:ascii="宋体" w:eastAsia="宋体" w:hAnsi="宋体" w:cs="宋体"/>
          <w:spacing w:val="6"/>
          <w:sz w:val="20"/>
          <w:szCs w:val="20"/>
          <w:lang w:eastAsia="zh-CN"/>
        </w:rPr>
        <w:t xml:space="preserve">] </w:t>
      </w:r>
      <w:r>
        <w:rPr>
          <w:rFonts w:ascii="宋体" w:eastAsia="宋体" w:hAnsi="宋体" w:cs="宋体"/>
          <w:sz w:val="20"/>
          <w:szCs w:val="20"/>
          <w:lang w:eastAsia="zh-CN"/>
        </w:rPr>
        <w:t>GB</w:t>
      </w:r>
      <w:r>
        <w:rPr>
          <w:rFonts w:ascii="宋体" w:eastAsia="宋体" w:hAnsi="宋体" w:cs="宋体"/>
          <w:spacing w:val="6"/>
          <w:sz w:val="20"/>
          <w:szCs w:val="20"/>
          <w:lang w:eastAsia="zh-CN"/>
        </w:rPr>
        <w:t xml:space="preserve">/T 24044  </w:t>
      </w:r>
      <w:r>
        <w:rPr>
          <w:rFonts w:ascii="宋体" w:eastAsia="宋体" w:hAnsi="宋体" w:cs="宋体"/>
          <w:spacing w:val="6"/>
          <w:sz w:val="20"/>
          <w:szCs w:val="20"/>
          <w:lang w:eastAsia="zh-CN"/>
        </w:rPr>
        <w:t>环境管理</w:t>
      </w:r>
      <w:r>
        <w:rPr>
          <w:rFonts w:ascii="宋体" w:eastAsia="宋体" w:hAnsi="宋体" w:cs="宋体"/>
          <w:spacing w:val="5"/>
          <w:sz w:val="20"/>
          <w:szCs w:val="20"/>
          <w:lang w:eastAsia="zh-CN"/>
        </w:rPr>
        <w:t>生命周期评价要求与指南</w:t>
      </w:r>
    </w:p>
    <w:sectPr w:rsidR="0007779F" w:rsidSect="0007779F">
      <w:headerReference w:type="default" r:id="rId23"/>
      <w:footerReference w:type="default" r:id="rId24"/>
      <w:pgSz w:w="11906" w:h="16839"/>
      <w:pgMar w:top="1417" w:right="1417" w:bottom="1134" w:left="1417" w:header="0" w:footer="9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E73" w:rsidRDefault="005C7E73" w:rsidP="0007779F">
      <w:r>
        <w:separator/>
      </w:r>
    </w:p>
  </w:endnote>
  <w:endnote w:type="continuationSeparator" w:id="1">
    <w:p w:rsidR="005C7E73" w:rsidRDefault="005C7E73" w:rsidP="00077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5C7E73">
    <w:pPr>
      <w:spacing w:line="173" w:lineRule="auto"/>
      <w:ind w:left="9198"/>
      <w:rPr>
        <w:rFonts w:ascii="Times New Roman" w:eastAsia="Times New Roman" w:hAnsi="Times New Roman" w:cs="Times New Roman"/>
        <w:sz w:val="18"/>
        <w:szCs w:val="18"/>
      </w:rPr>
    </w:pPr>
    <w:r>
      <w:rPr>
        <w:rFonts w:ascii="Times New Roman" w:eastAsia="Times New Roman" w:hAnsi="Times New Roman" w:cs="Times New Roman"/>
        <w:sz w:val="18"/>
        <w:szCs w:val="18"/>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spacing w:line="173" w:lineRule="auto"/>
      <w:ind w:left="112"/>
      <w:rPr>
        <w:rFonts w:ascii="Times New Roman" w:eastAsia="Times New Roman" w:hAnsi="Times New Roman" w:cs="Times New Roman"/>
        <w:sz w:val="18"/>
        <w:szCs w:val="18"/>
      </w:rPr>
    </w:pPr>
    <w:r w:rsidRPr="0007779F">
      <w:rPr>
        <w:sz w:val="1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filled="f" stroked="f" strokeweight=".5pt">
          <v:textbox style="mso-fit-shape-to-text:t" inset="0,0,0,0">
            <w:txbxContent>
              <w:p w:rsidR="0007779F" w:rsidRDefault="0007779F">
                <w:pPr>
                  <w:pStyle w:val="a8"/>
                </w:pPr>
                <w:r>
                  <w:fldChar w:fldCharType="begin"/>
                </w:r>
                <w:r w:rsidR="005C7E73">
                  <w:instrText xml:space="preserve"> PAGE  \* MERGEFORMAT </w:instrText>
                </w:r>
                <w:r>
                  <w:fldChar w:fldCharType="separate"/>
                </w:r>
                <w:r w:rsidR="00996A76">
                  <w:rPr>
                    <w:noProof/>
                  </w:rPr>
                  <w:t>2</w:t>
                </w:r>
                <w:r>
                  <w:fldChar w:fldCharType="end"/>
                </w:r>
              </w:p>
            </w:txbxContent>
          </v:textbox>
          <w10:wrap anchorx="margin"/>
        </v:shape>
      </w:pict>
    </w:r>
    <w:r w:rsidR="005C7E73">
      <w:rPr>
        <w:rFonts w:ascii="Times New Roman" w:eastAsia="Times New Roman" w:hAnsi="Times New Roman" w:cs="Times New Roman"/>
        <w:spacing w:val="-3"/>
        <w:sz w:val="18"/>
        <w:szCs w:val="18"/>
      </w:rPr>
      <w:t>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spacing w:line="176" w:lineRule="auto"/>
      <w:ind w:left="398"/>
      <w:rPr>
        <w:rFonts w:ascii="Times New Roman" w:eastAsia="Times New Roman" w:hAnsi="Times New Roman" w:cs="Times New Roman"/>
        <w:sz w:val="18"/>
        <w:szCs w:val="18"/>
      </w:rPr>
    </w:pPr>
    <w:r w:rsidRPr="0007779F">
      <w:rPr>
        <w:sz w:val="1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filled="f" stroked="f" strokeweight=".5pt">
          <v:textbox style="mso-fit-shape-to-text:t" inset="0,0,0,0">
            <w:txbxContent>
              <w:p w:rsidR="0007779F" w:rsidRDefault="0007779F">
                <w:pPr>
                  <w:pStyle w:val="a8"/>
                </w:pPr>
                <w:r>
                  <w:fldChar w:fldCharType="begin"/>
                </w:r>
                <w:r w:rsidR="005C7E73">
                  <w:instrText xml:space="preserve"> PAGE  \* MERGEFORMAT </w:instrText>
                </w:r>
                <w:r>
                  <w:fldChar w:fldCharType="separate"/>
                </w:r>
                <w:r w:rsidR="00996A76">
                  <w:rPr>
                    <w:noProof/>
                  </w:rPr>
                  <w:t>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spacing w:line="176" w:lineRule="auto"/>
      <w:ind w:left="9378"/>
      <w:rPr>
        <w:rFonts w:ascii="Times New Roman" w:eastAsia="Times New Roman" w:hAnsi="Times New Roman" w:cs="Times New Roman"/>
        <w:sz w:val="18"/>
        <w:szCs w:val="18"/>
      </w:rPr>
    </w:pPr>
    <w:r w:rsidRPr="0007779F">
      <w:rPr>
        <w:sz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filled="f" stroked="f" strokeweight=".5pt">
          <v:textbox style="mso-fit-shape-to-text:t" inset="0,0,0,0">
            <w:txbxContent>
              <w:p w:rsidR="0007779F" w:rsidRDefault="0007779F">
                <w:pPr>
                  <w:pStyle w:val="a8"/>
                </w:pPr>
                <w:r>
                  <w:fldChar w:fldCharType="begin"/>
                </w:r>
                <w:r w:rsidR="005C7E73">
                  <w:instrText xml:space="preserve"> PAGE  \* MERGEFORMAT </w:instrText>
                </w:r>
                <w:r>
                  <w:fldChar w:fldCharType="separate"/>
                </w:r>
                <w:r w:rsidR="00996A76">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E73" w:rsidRDefault="005C7E73" w:rsidP="0007779F">
      <w:r>
        <w:separator/>
      </w:r>
    </w:p>
  </w:footnote>
  <w:footnote w:type="continuationSeparator" w:id="1">
    <w:p w:rsidR="005C7E73" w:rsidRDefault="005C7E73" w:rsidP="0007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jc w:val="right"/>
      <w:rPr>
        <w:spacing w:val="6"/>
        <w:position w:val="1"/>
        <w:sz w:val="20"/>
        <w:szCs w:val="20"/>
        <w:lang w:eastAsia="zh-CN"/>
      </w:rPr>
    </w:pPr>
  </w:p>
  <w:p w:rsidR="0007779F" w:rsidRDefault="0007779F">
    <w:pPr>
      <w:jc w:val="right"/>
      <w:rPr>
        <w:spacing w:val="6"/>
        <w:position w:val="1"/>
        <w:sz w:val="20"/>
        <w:szCs w:val="20"/>
        <w:lang w:eastAsia="zh-CN"/>
      </w:rPr>
    </w:pPr>
  </w:p>
  <w:p w:rsidR="0007779F" w:rsidRDefault="0007779F">
    <w:pPr>
      <w:jc w:val="right"/>
      <w:rPr>
        <w:spacing w:val="6"/>
        <w:position w:val="1"/>
        <w:sz w:val="20"/>
        <w:szCs w:val="20"/>
        <w:lang w:eastAsia="zh-CN"/>
      </w:rPr>
    </w:pPr>
  </w:p>
  <w:p w:rsidR="0007779F" w:rsidRDefault="0007779F">
    <w:pPr>
      <w:jc w:val="right"/>
      <w:rPr>
        <w:spacing w:val="6"/>
        <w:position w:val="1"/>
        <w:sz w:val="20"/>
        <w:szCs w:val="20"/>
        <w:lang w:eastAsia="zh-CN"/>
      </w:rPr>
    </w:pPr>
  </w:p>
  <w:p w:rsidR="0007779F" w:rsidRDefault="0007779F">
    <w:pPr>
      <w:jc w:val="right"/>
      <w:rPr>
        <w:spacing w:val="6"/>
        <w:position w:val="1"/>
        <w:sz w:val="20"/>
        <w:szCs w:val="20"/>
        <w:lang w:eastAsia="zh-CN"/>
      </w:rPr>
    </w:pPr>
  </w:p>
  <w:p w:rsidR="0007779F" w:rsidRDefault="005C7E73">
    <w:pPr>
      <w:jc w:val="right"/>
    </w:pPr>
    <w:r>
      <w:rPr>
        <w:rFonts w:hint="eastAsia"/>
        <w:spacing w:val="6"/>
        <w:position w:val="1"/>
        <w:sz w:val="20"/>
        <w:szCs w:val="20"/>
        <w:lang w:eastAsia="zh-CN"/>
      </w:rPr>
      <w:t>T/XXXX XXX</w:t>
    </w:r>
    <w:r>
      <w:rPr>
        <w:rFonts w:hint="eastAsia"/>
        <w:spacing w:val="6"/>
        <w:position w:val="1"/>
        <w:sz w:val="20"/>
        <w:szCs w:val="20"/>
        <w:lang w:eastAsia="zh-CN"/>
      </w:rPr>
      <w:t>—</w:t>
    </w:r>
    <w:r>
      <w:rPr>
        <w:rFonts w:hint="eastAsia"/>
        <w:spacing w:val="6"/>
        <w:position w:val="1"/>
        <w:sz w:val="20"/>
        <w:szCs w:val="20"/>
        <w:lang w:eastAsia="zh-CN"/>
      </w:rPr>
      <w:t>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pStyle w:val="a7"/>
      <w:spacing w:before="65" w:line="264" w:lineRule="exact"/>
      <w:ind w:left="116"/>
      <w:jc w:val="right"/>
      <w:rPr>
        <w:spacing w:val="6"/>
        <w:position w:val="1"/>
        <w:sz w:val="20"/>
        <w:szCs w:val="20"/>
        <w:lang w:eastAsia="zh-CN"/>
      </w:rPr>
    </w:pPr>
  </w:p>
  <w:p w:rsidR="0007779F" w:rsidRDefault="0007779F">
    <w:pPr>
      <w:pStyle w:val="a7"/>
      <w:spacing w:before="65" w:line="264" w:lineRule="exact"/>
      <w:ind w:left="116"/>
      <w:jc w:val="right"/>
      <w:rPr>
        <w:spacing w:val="6"/>
        <w:position w:val="1"/>
        <w:sz w:val="20"/>
        <w:szCs w:val="20"/>
        <w:lang w:eastAsia="zh-CN"/>
      </w:rPr>
    </w:pPr>
  </w:p>
  <w:p w:rsidR="0007779F" w:rsidRDefault="0007779F">
    <w:pPr>
      <w:pStyle w:val="a7"/>
      <w:spacing w:before="65" w:line="264" w:lineRule="exact"/>
      <w:ind w:left="116"/>
      <w:jc w:val="right"/>
      <w:rPr>
        <w:spacing w:val="6"/>
        <w:position w:val="1"/>
        <w:sz w:val="20"/>
        <w:szCs w:val="20"/>
        <w:lang w:eastAsia="zh-CN"/>
      </w:rPr>
    </w:pPr>
  </w:p>
  <w:p w:rsidR="0007779F" w:rsidRDefault="0007779F">
    <w:pPr>
      <w:pStyle w:val="a7"/>
      <w:spacing w:before="65" w:line="264" w:lineRule="exact"/>
      <w:ind w:left="116"/>
      <w:jc w:val="right"/>
      <w:rPr>
        <w:spacing w:val="6"/>
        <w:position w:val="1"/>
        <w:sz w:val="20"/>
        <w:szCs w:val="20"/>
        <w:lang w:eastAsia="zh-CN"/>
      </w:rPr>
    </w:pPr>
  </w:p>
  <w:p w:rsidR="0007779F" w:rsidRDefault="005C7E73">
    <w:pPr>
      <w:pStyle w:val="a7"/>
      <w:spacing w:before="65" w:line="264" w:lineRule="exact"/>
      <w:ind w:left="116"/>
      <w:jc w:val="right"/>
      <w:rPr>
        <w:sz w:val="20"/>
        <w:szCs w:val="20"/>
        <w:lang w:eastAsia="zh-CN"/>
      </w:rPr>
    </w:pPr>
    <w:r>
      <w:rPr>
        <w:rFonts w:hint="eastAsia"/>
        <w:spacing w:val="6"/>
        <w:position w:val="1"/>
        <w:sz w:val="20"/>
        <w:szCs w:val="20"/>
        <w:lang w:eastAsia="zh-CN"/>
      </w:rPr>
      <w:t>T/XXXX XXX</w:t>
    </w:r>
    <w:r>
      <w:rPr>
        <w:rFonts w:hint="eastAsia"/>
        <w:spacing w:val="6"/>
        <w:position w:val="1"/>
        <w:sz w:val="20"/>
        <w:szCs w:val="20"/>
        <w:lang w:eastAsia="zh-CN"/>
      </w:rPr>
      <w:t>—</w:t>
    </w:r>
    <w:r>
      <w:rPr>
        <w:rFonts w:hint="eastAsia"/>
        <w:spacing w:val="6"/>
        <w:position w:val="1"/>
        <w:sz w:val="20"/>
        <w:szCs w:val="20"/>
        <w:lang w:eastAsia="zh-CN"/>
      </w:rPr>
      <w:t>2025</w:t>
    </w:r>
  </w:p>
  <w:p w:rsidR="0007779F" w:rsidRDefault="0007779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pStyle w:val="a7"/>
      <w:spacing w:before="65" w:line="264" w:lineRule="exact"/>
      <w:jc w:val="right"/>
      <w:rPr>
        <w:spacing w:val="6"/>
        <w:position w:val="1"/>
        <w:sz w:val="20"/>
        <w:szCs w:val="20"/>
        <w:lang w:eastAsia="zh-CN"/>
      </w:rPr>
    </w:pPr>
  </w:p>
  <w:p w:rsidR="0007779F" w:rsidRDefault="0007779F">
    <w:pPr>
      <w:pStyle w:val="a7"/>
      <w:spacing w:before="65" w:line="264" w:lineRule="exact"/>
      <w:jc w:val="right"/>
      <w:rPr>
        <w:spacing w:val="6"/>
        <w:position w:val="1"/>
        <w:sz w:val="20"/>
        <w:szCs w:val="20"/>
        <w:lang w:eastAsia="zh-CN"/>
      </w:rPr>
    </w:pPr>
  </w:p>
  <w:p w:rsidR="0007779F" w:rsidRDefault="0007779F">
    <w:pPr>
      <w:pStyle w:val="a7"/>
      <w:spacing w:before="65" w:line="264" w:lineRule="exact"/>
      <w:jc w:val="right"/>
      <w:rPr>
        <w:spacing w:val="6"/>
        <w:position w:val="1"/>
        <w:sz w:val="20"/>
        <w:szCs w:val="20"/>
        <w:lang w:eastAsia="zh-CN"/>
      </w:rPr>
    </w:pPr>
  </w:p>
  <w:p w:rsidR="0007779F" w:rsidRDefault="005C7E73">
    <w:pPr>
      <w:pStyle w:val="a7"/>
      <w:spacing w:before="65" w:line="264" w:lineRule="exact"/>
      <w:jc w:val="right"/>
      <w:rPr>
        <w:sz w:val="20"/>
        <w:szCs w:val="20"/>
        <w:lang w:eastAsia="zh-CN"/>
      </w:rPr>
    </w:pPr>
    <w:r>
      <w:rPr>
        <w:rFonts w:hint="eastAsia"/>
        <w:spacing w:val="6"/>
        <w:position w:val="1"/>
        <w:sz w:val="20"/>
        <w:szCs w:val="20"/>
        <w:lang w:eastAsia="zh-CN"/>
      </w:rPr>
      <w:t>T/XXXX XXX</w:t>
    </w:r>
    <w:r>
      <w:rPr>
        <w:rFonts w:hint="eastAsia"/>
        <w:spacing w:val="6"/>
        <w:position w:val="1"/>
        <w:sz w:val="20"/>
        <w:szCs w:val="20"/>
        <w:lang w:eastAsia="zh-CN"/>
      </w:rPr>
      <w:t>—</w:t>
    </w:r>
    <w:r>
      <w:rPr>
        <w:rFonts w:hint="eastAsia"/>
        <w:spacing w:val="6"/>
        <w:position w:val="1"/>
        <w:sz w:val="20"/>
        <w:szCs w:val="20"/>
        <w:lang w:eastAsia="zh-CN"/>
      </w:rPr>
      <w:t>2025</w:t>
    </w:r>
  </w:p>
  <w:p w:rsidR="0007779F" w:rsidRDefault="0007779F">
    <w:pPr>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9F" w:rsidRDefault="0007779F">
    <w:pPr>
      <w:pStyle w:val="a7"/>
      <w:spacing w:before="65" w:line="264" w:lineRule="exact"/>
      <w:jc w:val="right"/>
      <w:rPr>
        <w:spacing w:val="6"/>
        <w:position w:val="1"/>
        <w:sz w:val="20"/>
        <w:szCs w:val="20"/>
        <w:lang w:eastAsia="zh-CN"/>
      </w:rPr>
    </w:pPr>
  </w:p>
  <w:p w:rsidR="0007779F" w:rsidRDefault="0007779F">
    <w:pPr>
      <w:pStyle w:val="a7"/>
      <w:spacing w:before="65" w:line="264" w:lineRule="exact"/>
      <w:jc w:val="right"/>
      <w:rPr>
        <w:spacing w:val="6"/>
        <w:position w:val="1"/>
        <w:sz w:val="20"/>
        <w:szCs w:val="20"/>
        <w:lang w:eastAsia="zh-CN"/>
      </w:rPr>
    </w:pPr>
  </w:p>
  <w:p w:rsidR="0007779F" w:rsidRDefault="0007779F">
    <w:pPr>
      <w:pStyle w:val="a7"/>
      <w:spacing w:before="65" w:line="264" w:lineRule="exact"/>
      <w:jc w:val="right"/>
      <w:rPr>
        <w:spacing w:val="6"/>
        <w:position w:val="1"/>
        <w:sz w:val="20"/>
        <w:szCs w:val="20"/>
        <w:lang w:eastAsia="zh-CN"/>
      </w:rPr>
    </w:pPr>
  </w:p>
  <w:p w:rsidR="0007779F" w:rsidRDefault="005C7E73">
    <w:pPr>
      <w:pStyle w:val="a7"/>
      <w:spacing w:before="65" w:line="264" w:lineRule="exact"/>
      <w:jc w:val="right"/>
    </w:pPr>
    <w:r>
      <w:rPr>
        <w:rFonts w:hint="eastAsia"/>
        <w:spacing w:val="6"/>
        <w:position w:val="1"/>
        <w:sz w:val="20"/>
        <w:szCs w:val="20"/>
        <w:lang w:eastAsia="zh-CN"/>
      </w:rPr>
      <w:t>T/XXXX XXX</w:t>
    </w:r>
    <w:r>
      <w:rPr>
        <w:rFonts w:hint="eastAsia"/>
        <w:spacing w:val="6"/>
        <w:position w:val="1"/>
        <w:sz w:val="20"/>
        <w:szCs w:val="20"/>
        <w:lang w:eastAsia="zh-CN"/>
      </w:rPr>
      <w:t>—</w:t>
    </w:r>
    <w:r>
      <w:rPr>
        <w:rFonts w:hint="eastAsia"/>
        <w:spacing w:val="6"/>
        <w:position w:val="1"/>
        <w:sz w:val="20"/>
        <w:szCs w:val="20"/>
        <w:lang w:eastAsia="zh-CN"/>
      </w:rPr>
      <w:t>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5E02B2"/>
    <w:multiLevelType w:val="singleLevel"/>
    <w:tmpl w:val="FE5E02B2"/>
    <w:lvl w:ilvl="0">
      <w:start w:val="1"/>
      <w:numFmt w:val="decimal"/>
      <w:suff w:val="space"/>
      <w:lvlText w:val="[%1]"/>
      <w:lvlJc w:val="left"/>
    </w:lvl>
  </w:abstractNum>
  <w:abstractNum w:abstractNumId="1">
    <w:nsid w:val="083227BF"/>
    <w:multiLevelType w:val="multilevel"/>
    <w:tmpl w:val="083227B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56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isplayBackgroundShape/>
  <w:bordersDoNotSurroundHeader/>
  <w:bordersDoNotSurroundFooter/>
  <w:defaultTabStop w:val="420"/>
  <w:noPunctuationKerning/>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ZTQ3YzJkMDRkOTU2MzQ0N2RiMjM1YjgzNjIzNGQ2MjUifQ=="/>
  </w:docVars>
  <w:rsids>
    <w:rsidRoot w:val="00960EA8"/>
    <w:rsid w:val="EFEF6278"/>
    <w:rsid w:val="0007779F"/>
    <w:rsid w:val="005C7E73"/>
    <w:rsid w:val="00960EA8"/>
    <w:rsid w:val="00996A76"/>
    <w:rsid w:val="009A73A6"/>
    <w:rsid w:val="00F919A1"/>
    <w:rsid w:val="03D352ED"/>
    <w:rsid w:val="04CC1D57"/>
    <w:rsid w:val="0635436F"/>
    <w:rsid w:val="08264D7D"/>
    <w:rsid w:val="17662372"/>
    <w:rsid w:val="17766029"/>
    <w:rsid w:val="222608A0"/>
    <w:rsid w:val="25CF44EA"/>
    <w:rsid w:val="28212236"/>
    <w:rsid w:val="290F02E0"/>
    <w:rsid w:val="2A100030"/>
    <w:rsid w:val="3411315F"/>
    <w:rsid w:val="34476B80"/>
    <w:rsid w:val="34563CE8"/>
    <w:rsid w:val="34FF56AD"/>
    <w:rsid w:val="39205BF2"/>
    <w:rsid w:val="3AB17449"/>
    <w:rsid w:val="3C42278D"/>
    <w:rsid w:val="430579F1"/>
    <w:rsid w:val="46F81F5C"/>
    <w:rsid w:val="499E503D"/>
    <w:rsid w:val="4AA85D85"/>
    <w:rsid w:val="4BF70A34"/>
    <w:rsid w:val="4DF516F1"/>
    <w:rsid w:val="51C27D36"/>
    <w:rsid w:val="55F23734"/>
    <w:rsid w:val="5DBB3FB7"/>
    <w:rsid w:val="5E530130"/>
    <w:rsid w:val="5FCF78A6"/>
    <w:rsid w:val="622A34BA"/>
    <w:rsid w:val="653B59DE"/>
    <w:rsid w:val="68550B65"/>
    <w:rsid w:val="691E364C"/>
    <w:rsid w:val="6EDA6267"/>
    <w:rsid w:val="6F7E1EE3"/>
    <w:rsid w:val="729A3D44"/>
    <w:rsid w:val="743903A1"/>
    <w:rsid w:val="754F1AA5"/>
    <w:rsid w:val="756B5E6B"/>
    <w:rsid w:val="75F83468"/>
    <w:rsid w:val="79AE6327"/>
    <w:rsid w:val="7BFD3595"/>
    <w:rsid w:val="7CF83334"/>
    <w:rsid w:val="7E74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7779F"/>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semiHidden/>
    <w:qFormat/>
    <w:rsid w:val="0007779F"/>
    <w:rPr>
      <w:rFonts w:ascii="黑体" w:eastAsia="黑体" w:hAnsi="黑体" w:cs="黑体"/>
      <w:sz w:val="28"/>
      <w:szCs w:val="28"/>
    </w:rPr>
  </w:style>
  <w:style w:type="paragraph" w:styleId="3">
    <w:name w:val="toc 3"/>
    <w:basedOn w:val="a3"/>
    <w:next w:val="a3"/>
    <w:qFormat/>
    <w:rsid w:val="0007779F"/>
    <w:pPr>
      <w:ind w:leftChars="400" w:left="840"/>
    </w:pPr>
  </w:style>
  <w:style w:type="paragraph" w:styleId="a8">
    <w:name w:val="footer"/>
    <w:basedOn w:val="a3"/>
    <w:qFormat/>
    <w:rsid w:val="0007779F"/>
    <w:pPr>
      <w:tabs>
        <w:tab w:val="center" w:pos="4153"/>
        <w:tab w:val="right" w:pos="8306"/>
      </w:tabs>
    </w:pPr>
    <w:rPr>
      <w:sz w:val="18"/>
    </w:rPr>
  </w:style>
  <w:style w:type="paragraph" w:styleId="1">
    <w:name w:val="toc 1"/>
    <w:basedOn w:val="a3"/>
    <w:next w:val="a3"/>
    <w:qFormat/>
    <w:rsid w:val="0007779F"/>
  </w:style>
  <w:style w:type="paragraph" w:styleId="2">
    <w:name w:val="toc 2"/>
    <w:basedOn w:val="a3"/>
    <w:next w:val="a3"/>
    <w:qFormat/>
    <w:rsid w:val="0007779F"/>
    <w:pPr>
      <w:ind w:leftChars="200" w:left="420"/>
    </w:pPr>
  </w:style>
  <w:style w:type="table" w:styleId="a9">
    <w:name w:val="Table Grid"/>
    <w:basedOn w:val="a5"/>
    <w:qFormat/>
    <w:rsid w:val="000777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07779F"/>
    <w:tblPr>
      <w:tblCellMar>
        <w:top w:w="0" w:type="dxa"/>
        <w:left w:w="0" w:type="dxa"/>
        <w:bottom w:w="0" w:type="dxa"/>
        <w:right w:w="0" w:type="dxa"/>
      </w:tblCellMar>
    </w:tblPr>
  </w:style>
  <w:style w:type="paragraph" w:customStyle="1" w:styleId="TableText">
    <w:name w:val="Table Text"/>
    <w:basedOn w:val="a3"/>
    <w:semiHidden/>
    <w:qFormat/>
    <w:rsid w:val="0007779F"/>
    <w:rPr>
      <w:rFonts w:ascii="宋体" w:eastAsia="宋体" w:hAnsi="宋体" w:cs="宋体"/>
      <w:sz w:val="14"/>
      <w:szCs w:val="14"/>
    </w:rPr>
  </w:style>
  <w:style w:type="paragraph" w:customStyle="1" w:styleId="aa">
    <w:name w:val="标准文件_公式后的破折号"/>
    <w:basedOn w:val="ab"/>
    <w:next w:val="ab"/>
    <w:qFormat/>
    <w:rsid w:val="0007779F"/>
    <w:pPr>
      <w:ind w:leftChars="200" w:left="488" w:hangingChars="290" w:hanging="289"/>
    </w:pPr>
  </w:style>
  <w:style w:type="paragraph" w:customStyle="1" w:styleId="ab">
    <w:name w:val="标准文件_段"/>
    <w:qFormat/>
    <w:rsid w:val="0007779F"/>
    <w:pPr>
      <w:autoSpaceDE w:val="0"/>
      <w:autoSpaceDN w:val="0"/>
      <w:ind w:firstLineChars="200" w:firstLine="200"/>
      <w:jc w:val="both"/>
    </w:pPr>
    <w:rPr>
      <w:rFonts w:ascii="宋体"/>
      <w:sz w:val="21"/>
    </w:rPr>
  </w:style>
  <w:style w:type="paragraph" w:customStyle="1" w:styleId="ac">
    <w:name w:val="标准文件_二级无标题"/>
    <w:basedOn w:val="a2"/>
    <w:qFormat/>
    <w:rsid w:val="0007779F"/>
    <w:pPr>
      <w:spacing w:beforeLines="0" w:afterLines="0"/>
      <w:ind w:left="567"/>
      <w:outlineLvl w:val="9"/>
    </w:pPr>
    <w:rPr>
      <w:rFonts w:ascii="宋体" w:eastAsia="宋体"/>
    </w:rPr>
  </w:style>
  <w:style w:type="paragraph" w:customStyle="1" w:styleId="a2">
    <w:name w:val="标准文件_二级条标题"/>
    <w:next w:val="ab"/>
    <w:qFormat/>
    <w:rsid w:val="0007779F"/>
    <w:pPr>
      <w:widowControl w:val="0"/>
      <w:numPr>
        <w:ilvl w:val="3"/>
        <w:numId w:val="1"/>
      </w:numPr>
      <w:spacing w:beforeLines="50" w:afterLines="50"/>
      <w:ind w:left="283"/>
      <w:jc w:val="both"/>
      <w:outlineLvl w:val="2"/>
    </w:pPr>
    <w:rPr>
      <w:rFonts w:ascii="黑体" w:eastAsia="黑体"/>
      <w:sz w:val="21"/>
    </w:rPr>
  </w:style>
  <w:style w:type="paragraph" w:customStyle="1" w:styleId="ad">
    <w:name w:val="一级条标题"/>
    <w:basedOn w:val="a1"/>
    <w:next w:val="ae"/>
    <w:qFormat/>
    <w:rsid w:val="0007779F"/>
    <w:pPr>
      <w:spacing w:beforeLines="50" w:afterLines="50"/>
    </w:pPr>
    <w:rPr>
      <w:rFonts w:ascii="Times New Roman"/>
    </w:rPr>
  </w:style>
  <w:style w:type="paragraph" w:customStyle="1" w:styleId="a1">
    <w:name w:val="标准文件_一级条标题"/>
    <w:basedOn w:val="a0"/>
    <w:next w:val="ab"/>
    <w:uiPriority w:val="99"/>
    <w:qFormat/>
    <w:rsid w:val="0007779F"/>
    <w:pPr>
      <w:numPr>
        <w:ilvl w:val="2"/>
      </w:numPr>
      <w:spacing w:beforeLines="0" w:afterLines="0"/>
      <w:outlineLvl w:val="1"/>
    </w:pPr>
  </w:style>
  <w:style w:type="paragraph" w:customStyle="1" w:styleId="a0">
    <w:name w:val="标准文件_章标题"/>
    <w:next w:val="ab"/>
    <w:qFormat/>
    <w:rsid w:val="0007779F"/>
    <w:pPr>
      <w:numPr>
        <w:ilvl w:val="1"/>
        <w:numId w:val="1"/>
      </w:numPr>
      <w:spacing w:beforeLines="100" w:afterLines="100"/>
      <w:jc w:val="both"/>
      <w:outlineLvl w:val="0"/>
    </w:pPr>
    <w:rPr>
      <w:rFonts w:ascii="黑体" w:eastAsia="黑体"/>
      <w:sz w:val="21"/>
    </w:rPr>
  </w:style>
  <w:style w:type="paragraph" w:customStyle="1" w:styleId="ae">
    <w:name w:val="段"/>
    <w:basedOn w:val="a3"/>
    <w:qFormat/>
    <w:rsid w:val="0007779F"/>
    <w:pPr>
      <w:ind w:firstLineChars="200" w:firstLine="420"/>
    </w:pPr>
    <w:rPr>
      <w:rFonts w:ascii="Times New Roman" w:hAnsi="Times New Roman"/>
    </w:rPr>
  </w:style>
  <w:style w:type="paragraph" w:customStyle="1" w:styleId="a">
    <w:name w:val="附录标题"/>
    <w:basedOn w:val="af"/>
    <w:next w:val="ae"/>
    <w:qFormat/>
    <w:rsid w:val="0007779F"/>
    <w:pPr>
      <w:numPr>
        <w:numId w:val="2"/>
      </w:numPr>
      <w:spacing w:after="360" w:line="360" w:lineRule="exact"/>
    </w:pPr>
  </w:style>
  <w:style w:type="paragraph" w:customStyle="1" w:styleId="af">
    <w:name w:val="附录标识"/>
    <w:basedOn w:val="a3"/>
    <w:next w:val="ae"/>
    <w:qFormat/>
    <w:rsid w:val="0007779F"/>
    <w:pPr>
      <w:keepNext/>
      <w:shd w:val="clear" w:color="FFFFFF" w:fill="FFFFFF"/>
      <w:tabs>
        <w:tab w:val="left" w:pos="360"/>
        <w:tab w:val="left" w:pos="6405"/>
      </w:tabs>
      <w:adjustRightInd/>
      <w:spacing w:before="640" w:after="280"/>
      <w:jc w:val="center"/>
      <w:outlineLvl w:val="0"/>
    </w:pPr>
    <w:rPr>
      <w:rFonts w:ascii="黑体" w:eastAsia="黑体" w:hAnsi="Times New Roman" w:cs="Times New Roman"/>
      <w:szCs w:val="20"/>
    </w:rPr>
  </w:style>
  <w:style w:type="paragraph" w:styleId="af0">
    <w:name w:val="List Paragraph"/>
    <w:basedOn w:val="a3"/>
    <w:uiPriority w:val="34"/>
    <w:qFormat/>
    <w:rsid w:val="0007779F"/>
    <w:pPr>
      <w:adjustRightInd/>
      <w:ind w:firstLineChars="200" w:firstLine="420"/>
    </w:pPr>
  </w:style>
  <w:style w:type="paragraph" w:customStyle="1" w:styleId="WPSOffice1">
    <w:name w:val="WPSOffice手动目录 1"/>
    <w:qFormat/>
    <w:rsid w:val="0007779F"/>
    <w:rPr>
      <w:rFonts w:ascii="Arial" w:eastAsia="Arial" w:hAnsi="Arial" w:cs="Arial"/>
    </w:rPr>
  </w:style>
  <w:style w:type="paragraph" w:customStyle="1" w:styleId="WPSOffice2">
    <w:name w:val="WPSOffice手动目录 2"/>
    <w:qFormat/>
    <w:rsid w:val="0007779F"/>
    <w:pPr>
      <w:ind w:leftChars="200" w:left="200"/>
    </w:pPr>
    <w:rPr>
      <w:rFonts w:ascii="Arial" w:eastAsia="Arial" w:hAnsi="Arial" w:cs="Arial"/>
    </w:rPr>
  </w:style>
  <w:style w:type="paragraph" w:customStyle="1" w:styleId="WPSOffice3">
    <w:name w:val="WPSOffice手动目录 3"/>
    <w:qFormat/>
    <w:rsid w:val="0007779F"/>
    <w:pPr>
      <w:ind w:leftChars="400" w:left="400"/>
    </w:pPr>
    <w:rPr>
      <w:rFonts w:ascii="Arial" w:eastAsia="Arial" w:hAnsi="Arial" w:cs="Arial"/>
    </w:rPr>
  </w:style>
  <w:style w:type="paragraph" w:customStyle="1" w:styleId="af1">
    <w:name w:val="标准文件_术语条一"/>
    <w:basedOn w:val="af2"/>
    <w:next w:val="ab"/>
    <w:qFormat/>
    <w:rsid w:val="0007779F"/>
  </w:style>
  <w:style w:type="paragraph" w:customStyle="1" w:styleId="af2">
    <w:name w:val="标准文件_一级无标题"/>
    <w:basedOn w:val="a1"/>
    <w:qFormat/>
    <w:rsid w:val="0007779F"/>
    <w:pPr>
      <w:outlineLvl w:val="9"/>
    </w:pPr>
    <w:rPr>
      <w:rFonts w:ascii="宋体" w:eastAsia="宋体"/>
    </w:rPr>
  </w:style>
  <w:style w:type="paragraph" w:styleId="af3">
    <w:name w:val="Balloon Text"/>
    <w:basedOn w:val="a3"/>
    <w:link w:val="Char"/>
    <w:rsid w:val="00996A76"/>
    <w:rPr>
      <w:sz w:val="18"/>
      <w:szCs w:val="18"/>
    </w:rPr>
  </w:style>
  <w:style w:type="character" w:customStyle="1" w:styleId="Char">
    <w:name w:val="批注框文本 Char"/>
    <w:basedOn w:val="a4"/>
    <w:link w:val="af3"/>
    <w:rsid w:val="00996A76"/>
    <w:rPr>
      <w:rFonts w:ascii="Arial" w:eastAsia="Arial" w:hAnsi="Arial" w:cs="Arial"/>
      <w:snapToGrid w:val="0"/>
      <w:color w:val="000000"/>
      <w:sz w:val="18"/>
      <w:szCs w:val="18"/>
      <w:lang w:eastAsia="en-US"/>
    </w:rPr>
  </w:style>
  <w:style w:type="paragraph" w:styleId="af4">
    <w:name w:val="header"/>
    <w:basedOn w:val="a3"/>
    <w:link w:val="Char0"/>
    <w:rsid w:val="00996A76"/>
    <w:pPr>
      <w:pBdr>
        <w:bottom w:val="single" w:sz="6" w:space="1" w:color="auto"/>
      </w:pBdr>
      <w:tabs>
        <w:tab w:val="center" w:pos="4153"/>
        <w:tab w:val="right" w:pos="8306"/>
      </w:tabs>
      <w:jc w:val="center"/>
    </w:pPr>
    <w:rPr>
      <w:sz w:val="18"/>
      <w:szCs w:val="18"/>
    </w:rPr>
  </w:style>
  <w:style w:type="character" w:customStyle="1" w:styleId="Char0">
    <w:name w:val="页眉 Char"/>
    <w:basedOn w:val="a4"/>
    <w:link w:val="af4"/>
    <w:rsid w:val="00996A76"/>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7.1.5.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7.1.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7.1.5.1"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7.1.3.2"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 LIU</dc:creator>
  <cp:lastModifiedBy>协会</cp:lastModifiedBy>
  <cp:revision>4</cp:revision>
  <dcterms:created xsi:type="dcterms:W3CDTF">2023-11-07T19:58:00Z</dcterms:created>
  <dcterms:modified xsi:type="dcterms:W3CDTF">2025-06-27T04:54:00Z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2025-05-07T13:48:05Z</vt:filetime>
  </property>
  <property fmtid="{D5CDD505-2E9C-101B-9397-08002B2CF9AE}" pid="4" name="KSOTemplateDocerSaveRecord">
    <vt:lpwstr>eyJoZGlkIjoiN2YzNjBkOTgyNWQ1YTMxYzM3MzMwNWFiODNmOWIzYWMiLCJ1c2VySWQiOiI5OTQ3NTI3NjgifQ==</vt:lpwstr>
  </property>
  <property fmtid="{D5CDD505-2E9C-101B-9397-08002B2CF9AE}" pid="5" name="KSOProductBuildVer">
    <vt:lpwstr>2052-7.4.1.8983</vt:lpwstr>
  </property>
  <property fmtid="{D5CDD505-2E9C-101B-9397-08002B2CF9AE}" pid="6" name="ICV">
    <vt:lpwstr>A7739C84885F46C8B8BCFF8CA0A172ED_13</vt:lpwstr>
  </property>
</Properties>
</file>