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7544B3">
      <w:pPr>
        <w:spacing w:line="336" w:lineRule="auto"/>
        <w:rPr>
          <w:rFonts w:eastAsia="宋体"/>
          <w:spacing w:val="-1"/>
          <w:sz w:val="20"/>
          <w:szCs w:val="20"/>
          <w:lang w:eastAsia="zh-CN"/>
        </w:rPr>
      </w:pPr>
      <w:r>
        <w:rPr>
          <w:rFonts w:ascii="Times New Roman" w:hAnsi="Times New Roman" w:eastAsia="黑体"/>
        </w:rPr>
        <mc:AlternateContent>
          <mc:Choice Requires="wps">
            <w:drawing>
              <wp:anchor distT="0" distB="0" distL="114300" distR="114300" simplePos="0" relativeHeight="251664384" behindDoc="0" locked="0" layoutInCell="1" allowOverlap="1">
                <wp:simplePos x="0" y="0"/>
                <wp:positionH relativeFrom="column">
                  <wp:posOffset>5080</wp:posOffset>
                </wp:positionH>
                <wp:positionV relativeFrom="paragraph">
                  <wp:posOffset>-2540</wp:posOffset>
                </wp:positionV>
                <wp:extent cx="2361565" cy="496570"/>
                <wp:effectExtent l="0" t="0" r="0" b="0"/>
                <wp:wrapNone/>
                <wp:docPr id="217"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361565" cy="496570"/>
                        </a:xfrm>
                        <a:prstGeom prst="rect">
                          <a:avLst/>
                        </a:prstGeom>
                        <a:noFill/>
                        <a:ln w="9525">
                          <a:noFill/>
                          <a:miter lim="800000"/>
                        </a:ln>
                      </wps:spPr>
                      <wps:txbx>
                        <w:txbxContent>
                          <w:sdt>
                            <w:sdtPr>
                              <w:rPr>
                                <w:rFonts w:ascii="黑体" w:hAnsi="Times New Roman" w:eastAsia="黑体"/>
                              </w:rPr>
                              <w:id w:val="402572823"/>
                              <w:lock w:val="sdtLocked"/>
                            </w:sdtPr>
                            <w:sdtEndPr>
                              <w:rPr>
                                <w:rFonts w:ascii="黑体" w:hAnsi="Times New Roman" w:eastAsia="黑体"/>
                              </w:rPr>
                            </w:sdtEndPr>
                            <w:sdtContent>
                              <w:p w14:paraId="724C09AC">
                                <w:pPr>
                                  <w:outlineLvl w:val="0"/>
                                  <w:rPr>
                                    <w:rFonts w:ascii="黑体" w:hAnsi="Times New Roman" w:eastAsia="黑体"/>
                                  </w:rPr>
                                </w:pPr>
                                <w:r>
                                  <w:rPr>
                                    <w:rFonts w:ascii="黑体" w:hAnsi="Times New Roman" w:eastAsia="黑体"/>
                                  </w:rPr>
                                  <w:t>ICS</w:t>
                                </w:r>
                                <w:r>
                                  <w:rPr>
                                    <w:rFonts w:hint="eastAsia" w:ascii="黑体" w:hAnsi="Times New Roman" w:eastAsia="黑体"/>
                                  </w:rPr>
                                  <w:t xml:space="preserve"> </w:t>
                                </w:r>
                                <w:r>
                                  <w:rPr>
                                    <w:rFonts w:ascii="黑体" w:hAnsi="Times New Roman" w:eastAsia="黑体" w:cs="Times New Roman"/>
                                    <w:spacing w:val="10"/>
                                  </w:rPr>
                                  <w:t>XX</w:t>
                                </w:r>
                                <w:r>
                                  <w:rPr>
                                    <w:rFonts w:hint="eastAsia" w:ascii="黑体" w:hAnsi="Times New Roman" w:eastAsia="黑体" w:cs="Times New Roman"/>
                                    <w:spacing w:val="10"/>
                                  </w:rPr>
                                  <w:t>.</w:t>
                                </w:r>
                                <w:r>
                                  <w:rPr>
                                    <w:rFonts w:ascii="黑体" w:hAnsi="Times New Roman" w:eastAsia="黑体" w:cs="Times New Roman"/>
                                    <w:spacing w:val="10"/>
                                  </w:rPr>
                                  <w:t>XX</w:t>
                                </w:r>
                              </w:p>
                              <w:p w14:paraId="6A1BF7D4">
                                <w:pPr>
                                  <w:rPr>
                                    <w:rFonts w:ascii="黑体" w:hAnsi="Times New Roman" w:eastAsia="黑体"/>
                                  </w:rPr>
                                </w:pPr>
                                <w:r>
                                  <w:rPr>
                                    <w:rFonts w:ascii="黑体" w:hAnsi="Times New Roman" w:eastAsia="黑体" w:cs="Times New Roman"/>
                                  </w:rPr>
                                  <w:t xml:space="preserve">CCS X </w:t>
                                </w:r>
                                <w:r>
                                  <w:rPr>
                                    <w:rFonts w:ascii="黑体" w:hAnsi="Times New Roman" w:eastAsia="黑体" w:cs="Times New Roman"/>
                                    <w:spacing w:val="10"/>
                                  </w:rPr>
                                  <w:t>XX</w:t>
                                </w:r>
                              </w:p>
                            </w:sdtContent>
                          </w:sdt>
                        </w:txbxContent>
                      </wps:txbx>
                      <wps:bodyPr rot="0" vert="horz" wrap="square" lIns="91440" tIns="45720" rIns="91440" bIns="45720" anchor="t" anchorCtr="0">
                        <a:spAutoFit/>
                      </wps:bodyPr>
                    </wps:wsp>
                  </a:graphicData>
                </a:graphic>
              </wp:anchor>
            </w:drawing>
          </mc:Choice>
          <mc:Fallback>
            <w:pict>
              <v:shape id="文本框 2" o:spid="_x0000_s1026" o:spt="202" type="#_x0000_t202" style="position:absolute;left:0pt;margin-left:0.4pt;margin-top:-0.2pt;height:39.1pt;width:185.95pt;z-index:251664384;mso-width-relative:page;mso-height-relative:page;" filled="f" stroked="f" coordsize="21600,21600" o:gfxdata="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DG&#10;9reH1AAAAAUBAAAPAAAAAAAAAAEAIAAAACIAAABkcnMvZG93bnJldi54bWxQSwECFAAUAAAACACH&#10;TuJAgwyRSigCAAArBAAADgAAAAAAAAABACAAAAAjAQAAZHJzL2Uyb0RvYy54bWxQSwUGAAAAAAYA&#10;BgBZAQAAvQUAAAAA&#10;">
                <v:fill on="f" focussize="0,0"/>
                <v:stroke on="f" miterlimit="8" joinstyle="miter"/>
                <v:imagedata o:title=""/>
                <o:lock v:ext="edit" aspectratio="f"/>
                <v:textbox style="mso-fit-shape-to-text:t;">
                  <w:txbxContent>
                    <w:sdt>
                      <w:sdtPr>
                        <w:rPr>
                          <w:rFonts w:ascii="黑体" w:hAnsi="Times New Roman" w:eastAsia="黑体"/>
                        </w:rPr>
                        <w:id w:val="402572823"/>
                        <w:lock w:val="sdtLocked"/>
                      </w:sdtPr>
                      <w:sdtEndPr>
                        <w:rPr>
                          <w:rFonts w:ascii="黑体" w:hAnsi="Times New Roman" w:eastAsia="黑体"/>
                        </w:rPr>
                      </w:sdtEndPr>
                      <w:sdtContent>
                        <w:p w14:paraId="724C09AC">
                          <w:pPr>
                            <w:outlineLvl w:val="0"/>
                            <w:rPr>
                              <w:rFonts w:ascii="黑体" w:hAnsi="Times New Roman" w:eastAsia="黑体"/>
                            </w:rPr>
                          </w:pPr>
                          <w:r>
                            <w:rPr>
                              <w:rFonts w:ascii="黑体" w:hAnsi="Times New Roman" w:eastAsia="黑体"/>
                            </w:rPr>
                            <w:t>ICS</w:t>
                          </w:r>
                          <w:r>
                            <w:rPr>
                              <w:rFonts w:hint="eastAsia" w:ascii="黑体" w:hAnsi="Times New Roman" w:eastAsia="黑体"/>
                            </w:rPr>
                            <w:t xml:space="preserve"> </w:t>
                          </w:r>
                          <w:r>
                            <w:rPr>
                              <w:rFonts w:ascii="黑体" w:hAnsi="Times New Roman" w:eastAsia="黑体" w:cs="Times New Roman"/>
                              <w:spacing w:val="10"/>
                            </w:rPr>
                            <w:t>XX</w:t>
                          </w:r>
                          <w:r>
                            <w:rPr>
                              <w:rFonts w:hint="eastAsia" w:ascii="黑体" w:hAnsi="Times New Roman" w:eastAsia="黑体" w:cs="Times New Roman"/>
                              <w:spacing w:val="10"/>
                            </w:rPr>
                            <w:t>.</w:t>
                          </w:r>
                          <w:r>
                            <w:rPr>
                              <w:rFonts w:ascii="黑体" w:hAnsi="Times New Roman" w:eastAsia="黑体" w:cs="Times New Roman"/>
                              <w:spacing w:val="10"/>
                            </w:rPr>
                            <w:t>XX</w:t>
                          </w:r>
                        </w:p>
                        <w:p w14:paraId="6A1BF7D4">
                          <w:pPr>
                            <w:rPr>
                              <w:rFonts w:ascii="黑体" w:hAnsi="Times New Roman" w:eastAsia="黑体"/>
                            </w:rPr>
                          </w:pPr>
                          <w:r>
                            <w:rPr>
                              <w:rFonts w:ascii="黑体" w:hAnsi="Times New Roman" w:eastAsia="黑体" w:cs="Times New Roman"/>
                            </w:rPr>
                            <w:t xml:space="preserve">CCS X </w:t>
                          </w:r>
                          <w:r>
                            <w:rPr>
                              <w:rFonts w:ascii="黑体" w:hAnsi="Times New Roman" w:eastAsia="黑体" w:cs="Times New Roman"/>
                              <w:spacing w:val="10"/>
                            </w:rPr>
                            <w:t>XX</w:t>
                          </w:r>
                        </w:p>
                      </w:sdtContent>
                    </w:sdt>
                  </w:txbxContent>
                </v:textbox>
              </v:shape>
            </w:pict>
          </mc:Fallback>
        </mc:AlternateContent>
      </w:r>
      <w:r>
        <w:rPr>
          <w:rFonts w:hint="eastAsia" w:eastAsia="宋体"/>
          <w:spacing w:val="-1"/>
          <w:sz w:val="20"/>
          <w:szCs w:val="20"/>
          <w:lang w:eastAsia="zh-CN"/>
        </w:rPr>
        <w:t xml:space="preserve"> </w:t>
      </w:r>
    </w:p>
    <w:p w14:paraId="70D94C8F">
      <w:pPr>
        <w:spacing w:line="336" w:lineRule="auto"/>
        <w:rPr>
          <w:rFonts w:eastAsia="宋体"/>
          <w:spacing w:val="-1"/>
          <w:sz w:val="20"/>
          <w:szCs w:val="20"/>
          <w:lang w:eastAsia="zh-CN"/>
        </w:rPr>
      </w:pPr>
    </w:p>
    <w:p w14:paraId="5B5AF95E">
      <w:pPr>
        <w:spacing w:line="336" w:lineRule="auto"/>
        <w:rPr>
          <w:rFonts w:eastAsia="宋体"/>
          <w:spacing w:val="-1"/>
          <w:sz w:val="20"/>
          <w:szCs w:val="20"/>
          <w:lang w:eastAsia="zh-CN"/>
        </w:rPr>
      </w:pPr>
    </w:p>
    <w:p w14:paraId="4C1D68E2">
      <w:pPr>
        <w:spacing w:line="336" w:lineRule="auto"/>
        <w:rPr>
          <w:lang w:eastAsia="zh-CN"/>
        </w:rPr>
      </w:pPr>
    </w:p>
    <w:p w14:paraId="1F4D88DC">
      <w:pPr>
        <w:pStyle w:val="2"/>
        <w:spacing w:before="270" w:line="226" w:lineRule="auto"/>
        <w:ind w:left="1814"/>
        <w:rPr>
          <w:sz w:val="83"/>
          <w:szCs w:val="83"/>
          <w:lang w:eastAsia="zh-CN"/>
        </w:rPr>
      </w:pPr>
      <w:r>
        <w:rPr>
          <w:spacing w:val="-20"/>
          <w:sz w:val="83"/>
          <w:szCs w:val="83"/>
          <w:lang w:eastAsia="zh-CN"/>
        </w:rPr>
        <w:t>团</w:t>
      </w:r>
      <w:r>
        <w:rPr>
          <w:spacing w:val="189"/>
          <w:sz w:val="83"/>
          <w:szCs w:val="83"/>
          <w:lang w:eastAsia="zh-CN"/>
        </w:rPr>
        <w:t xml:space="preserve">  </w:t>
      </w:r>
      <w:r>
        <w:rPr>
          <w:spacing w:val="-20"/>
          <w:sz w:val="83"/>
          <w:szCs w:val="83"/>
          <w:lang w:eastAsia="zh-CN"/>
        </w:rPr>
        <w:t>体</w:t>
      </w:r>
      <w:r>
        <w:rPr>
          <w:spacing w:val="179"/>
          <w:sz w:val="83"/>
          <w:szCs w:val="83"/>
          <w:lang w:eastAsia="zh-CN"/>
        </w:rPr>
        <w:t xml:space="preserve">  </w:t>
      </w:r>
      <w:r>
        <w:rPr>
          <w:spacing w:val="-20"/>
          <w:sz w:val="83"/>
          <w:szCs w:val="83"/>
          <w:lang w:eastAsia="zh-CN"/>
        </w:rPr>
        <w:t>标   准</w:t>
      </w:r>
    </w:p>
    <w:p w14:paraId="7C8822D4">
      <w:pPr>
        <w:pStyle w:val="2"/>
        <w:spacing w:before="68" w:line="236" w:lineRule="auto"/>
        <w:ind w:left="7530"/>
        <w:rPr>
          <w:lang w:eastAsia="zh-CN"/>
        </w:rPr>
      </w:pPr>
      <w:r>
        <w:rPr>
          <w:spacing w:val="-1"/>
          <w:lang w:eastAsia="zh-CN"/>
        </w:rPr>
        <w:t>T/</w:t>
      </w:r>
      <w:r>
        <w:rPr>
          <w:rFonts w:hint="eastAsia"/>
          <w:spacing w:val="-1"/>
          <w:lang w:eastAsia="zh-CN"/>
        </w:rPr>
        <w:t xml:space="preserve"> XXXX XXX—2025</w:t>
      </w:r>
    </w:p>
    <w:p w14:paraId="0DAD2717">
      <w:pPr>
        <w:spacing w:line="259" w:lineRule="auto"/>
        <w:rPr>
          <w:lang w:eastAsia="zh-CN"/>
        </w:rPr>
      </w:pPr>
    </w:p>
    <w:p w14:paraId="46C14B70">
      <w:pPr>
        <w:spacing w:line="259" w:lineRule="auto"/>
        <w:rPr>
          <w:lang w:eastAsia="zh-CN"/>
        </w:rPr>
      </w:pPr>
      <w:r>
        <w:drawing>
          <wp:anchor distT="0" distB="0" distL="0" distR="0" simplePos="0" relativeHeight="251659264" behindDoc="1" locked="0" layoutInCell="1" allowOverlap="1">
            <wp:simplePos x="0" y="0"/>
            <wp:positionH relativeFrom="column">
              <wp:posOffset>181610</wp:posOffset>
            </wp:positionH>
            <wp:positionV relativeFrom="paragraph">
              <wp:posOffset>159385</wp:posOffset>
            </wp:positionV>
            <wp:extent cx="6120130" cy="9525"/>
            <wp:effectExtent l="0" t="0" r="0" b="0"/>
            <wp:wrapNone/>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15"/>
                    <a:stretch>
                      <a:fillRect/>
                    </a:stretch>
                  </pic:blipFill>
                  <pic:spPr>
                    <a:xfrm>
                      <a:off x="0" y="0"/>
                      <a:ext cx="6120129" cy="9525"/>
                    </a:xfrm>
                    <a:prstGeom prst="rect">
                      <a:avLst/>
                    </a:prstGeom>
                  </pic:spPr>
                </pic:pic>
              </a:graphicData>
            </a:graphic>
          </wp:anchor>
        </w:drawing>
      </w:r>
    </w:p>
    <w:p w14:paraId="0077D65E">
      <w:pPr>
        <w:spacing w:line="259" w:lineRule="auto"/>
        <w:rPr>
          <w:lang w:eastAsia="zh-CN"/>
        </w:rPr>
      </w:pPr>
    </w:p>
    <w:p w14:paraId="10677CFD">
      <w:pPr>
        <w:spacing w:line="260" w:lineRule="auto"/>
        <w:rPr>
          <w:lang w:eastAsia="zh-CN"/>
        </w:rPr>
      </w:pPr>
    </w:p>
    <w:p w14:paraId="6D32A929">
      <w:pPr>
        <w:spacing w:line="260" w:lineRule="auto"/>
        <w:rPr>
          <w:lang w:eastAsia="zh-CN"/>
        </w:rPr>
      </w:pPr>
    </w:p>
    <w:p w14:paraId="4B907887">
      <w:pPr>
        <w:spacing w:line="260" w:lineRule="auto"/>
        <w:rPr>
          <w:lang w:eastAsia="zh-CN"/>
        </w:rPr>
      </w:pPr>
    </w:p>
    <w:p w14:paraId="006CA133">
      <w:pPr>
        <w:spacing w:line="260" w:lineRule="auto"/>
        <w:rPr>
          <w:lang w:eastAsia="zh-CN"/>
        </w:rPr>
      </w:pPr>
    </w:p>
    <w:p w14:paraId="6270BFF2">
      <w:pPr>
        <w:spacing w:line="260" w:lineRule="auto"/>
        <w:rPr>
          <w:lang w:eastAsia="zh-CN"/>
        </w:rPr>
      </w:pPr>
    </w:p>
    <w:p w14:paraId="1A809D61">
      <w:pPr>
        <w:spacing w:line="260" w:lineRule="auto"/>
        <w:rPr>
          <w:lang w:eastAsia="zh-CN"/>
        </w:rPr>
      </w:pPr>
    </w:p>
    <w:p w14:paraId="532257D9">
      <w:pPr>
        <w:pStyle w:val="2"/>
        <w:spacing w:before="169" w:line="221" w:lineRule="auto"/>
        <w:jc w:val="center"/>
        <w:rPr>
          <w:sz w:val="52"/>
          <w:szCs w:val="52"/>
          <w:lang w:eastAsia="zh-CN"/>
        </w:rPr>
      </w:pPr>
      <w:r>
        <w:rPr>
          <w:rFonts w:hint="eastAsia"/>
          <w:spacing w:val="-1"/>
          <w:sz w:val="52"/>
          <w:szCs w:val="52"/>
          <w:lang w:eastAsia="zh-CN"/>
        </w:rPr>
        <w:t>温室气体 产品碳足迹量化方法与要求</w:t>
      </w:r>
      <w:r>
        <w:rPr>
          <w:spacing w:val="-1"/>
          <w:sz w:val="52"/>
          <w:szCs w:val="52"/>
          <w:lang w:eastAsia="zh-CN"/>
        </w:rPr>
        <w:t xml:space="preserve"> </w:t>
      </w:r>
      <w:r>
        <w:rPr>
          <w:rFonts w:hint="eastAsia"/>
          <w:spacing w:val="-1"/>
          <w:sz w:val="52"/>
          <w:szCs w:val="52"/>
          <w:lang w:eastAsia="zh-CN"/>
        </w:rPr>
        <w:t>纯碱</w:t>
      </w:r>
    </w:p>
    <w:p w14:paraId="6790EFDA">
      <w:pPr>
        <w:spacing w:line="246" w:lineRule="auto"/>
        <w:rPr>
          <w:lang w:eastAsia="zh-CN"/>
        </w:rPr>
      </w:pPr>
    </w:p>
    <w:p w14:paraId="3E4E7E19">
      <w:pPr>
        <w:spacing w:line="247" w:lineRule="auto"/>
        <w:rPr>
          <w:lang w:eastAsia="zh-CN"/>
        </w:rPr>
      </w:pPr>
    </w:p>
    <w:p w14:paraId="6448613E">
      <w:pPr>
        <w:pStyle w:val="2"/>
        <w:spacing w:before="91"/>
        <w:jc w:val="center"/>
        <w:rPr>
          <w:spacing w:val="-3"/>
        </w:rPr>
      </w:pPr>
      <w:r>
        <w:rPr>
          <w:rFonts w:hint="eastAsia"/>
          <w:spacing w:val="-2"/>
        </w:rPr>
        <w:t>Greenhouse gases -Quantitative methods and requirements for carbon footprint of products–</w:t>
      </w:r>
      <w:r>
        <w:rPr>
          <w:spacing w:val="-3"/>
        </w:rPr>
        <w:t xml:space="preserve"> </w:t>
      </w:r>
      <w:r>
        <w:rPr>
          <w:rFonts w:hint="eastAsia"/>
          <w:spacing w:val="-3"/>
        </w:rPr>
        <w:t>soda ash</w:t>
      </w:r>
    </w:p>
    <w:p w14:paraId="0336A707">
      <w:pPr>
        <w:pStyle w:val="2"/>
        <w:spacing w:before="91"/>
        <w:jc w:val="center"/>
        <w:rPr>
          <w:spacing w:val="-3"/>
        </w:rPr>
      </w:pPr>
    </w:p>
    <w:p w14:paraId="713F164F">
      <w:pPr>
        <w:pStyle w:val="2"/>
        <w:spacing w:before="91"/>
        <w:jc w:val="center"/>
      </w:pPr>
      <w:r>
        <w:rPr>
          <w:rFonts w:hint="eastAsia"/>
          <w:spacing w:val="-3"/>
          <w:lang w:eastAsia="zh-CN"/>
        </w:rPr>
        <w:t>（征求意见稿）</w:t>
      </w:r>
    </w:p>
    <w:p w14:paraId="47C77166">
      <w:pPr>
        <w:spacing w:line="242" w:lineRule="auto"/>
      </w:pPr>
    </w:p>
    <w:p w14:paraId="495622C8">
      <w:pPr>
        <w:spacing w:line="242" w:lineRule="auto"/>
      </w:pPr>
    </w:p>
    <w:p w14:paraId="08812C80">
      <w:pPr>
        <w:spacing w:line="242" w:lineRule="auto"/>
      </w:pPr>
    </w:p>
    <w:p w14:paraId="5E94D5CF">
      <w:pPr>
        <w:spacing w:line="242" w:lineRule="auto"/>
      </w:pPr>
    </w:p>
    <w:p w14:paraId="0EDB3F98">
      <w:pPr>
        <w:spacing w:line="242" w:lineRule="auto"/>
      </w:pPr>
    </w:p>
    <w:p w14:paraId="0C235216">
      <w:pPr>
        <w:spacing w:line="242" w:lineRule="auto"/>
      </w:pPr>
    </w:p>
    <w:p w14:paraId="4210BB62">
      <w:pPr>
        <w:spacing w:line="242" w:lineRule="auto"/>
      </w:pPr>
    </w:p>
    <w:p w14:paraId="16F16A95">
      <w:pPr>
        <w:spacing w:line="242" w:lineRule="auto"/>
      </w:pPr>
    </w:p>
    <w:p w14:paraId="469290A6">
      <w:pPr>
        <w:spacing w:line="242" w:lineRule="auto"/>
      </w:pPr>
    </w:p>
    <w:p w14:paraId="7FC404D2">
      <w:pPr>
        <w:spacing w:line="242" w:lineRule="auto"/>
      </w:pPr>
    </w:p>
    <w:p w14:paraId="1DF9E84C">
      <w:pPr>
        <w:spacing w:line="242" w:lineRule="auto"/>
      </w:pPr>
    </w:p>
    <w:p w14:paraId="175176C4">
      <w:pPr>
        <w:spacing w:line="242" w:lineRule="auto"/>
      </w:pPr>
    </w:p>
    <w:p w14:paraId="2B45F7CC">
      <w:pPr>
        <w:spacing w:line="242" w:lineRule="auto"/>
      </w:pPr>
    </w:p>
    <w:p w14:paraId="36402899">
      <w:pPr>
        <w:spacing w:line="242" w:lineRule="auto"/>
      </w:pPr>
    </w:p>
    <w:p w14:paraId="5662471A">
      <w:pPr>
        <w:spacing w:line="242" w:lineRule="auto"/>
      </w:pPr>
    </w:p>
    <w:p w14:paraId="184E37EA">
      <w:pPr>
        <w:spacing w:line="243" w:lineRule="auto"/>
      </w:pPr>
    </w:p>
    <w:p w14:paraId="0BC3C961">
      <w:pPr>
        <w:spacing w:line="243" w:lineRule="auto"/>
      </w:pPr>
    </w:p>
    <w:p w14:paraId="711138A5">
      <w:pPr>
        <w:spacing w:line="243" w:lineRule="auto"/>
      </w:pPr>
    </w:p>
    <w:p w14:paraId="3CB70ACD">
      <w:pPr>
        <w:spacing w:line="243" w:lineRule="auto"/>
      </w:pPr>
    </w:p>
    <w:p w14:paraId="552633DC">
      <w:pPr>
        <w:spacing w:line="243" w:lineRule="auto"/>
      </w:pPr>
    </w:p>
    <w:p w14:paraId="35A07383">
      <w:pPr>
        <w:spacing w:line="243" w:lineRule="auto"/>
      </w:pPr>
    </w:p>
    <w:p w14:paraId="677C3457">
      <w:pPr>
        <w:spacing w:line="243" w:lineRule="auto"/>
      </w:pPr>
    </w:p>
    <w:p w14:paraId="22F0DFF3">
      <w:pPr>
        <w:pStyle w:val="2"/>
        <w:spacing w:before="91" w:line="229" w:lineRule="auto"/>
        <w:ind w:left="317"/>
        <w:rPr>
          <w:lang w:eastAsia="zh-CN"/>
        </w:rPr>
      </w:pPr>
      <w:r>
        <w:drawing>
          <wp:anchor distT="0" distB="0" distL="0" distR="0" simplePos="0" relativeHeight="251660288" behindDoc="0" locked="0" layoutInCell="1" allowOverlap="1">
            <wp:simplePos x="0" y="0"/>
            <wp:positionH relativeFrom="column">
              <wp:posOffset>194945</wp:posOffset>
            </wp:positionH>
            <wp:positionV relativeFrom="paragraph">
              <wp:posOffset>252095</wp:posOffset>
            </wp:positionV>
            <wp:extent cx="6120130" cy="9525"/>
            <wp:effectExtent l="0" t="0" r="0" b="0"/>
            <wp:wrapNone/>
            <wp:docPr id="4" name="IM 4"/>
            <wp:cNvGraphicFramePr/>
            <a:graphic xmlns:a="http://schemas.openxmlformats.org/drawingml/2006/main">
              <a:graphicData uri="http://schemas.openxmlformats.org/drawingml/2006/picture">
                <pic:pic xmlns:pic="http://schemas.openxmlformats.org/drawingml/2006/picture">
                  <pic:nvPicPr>
                    <pic:cNvPr id="4" name="IM 4"/>
                    <pic:cNvPicPr/>
                  </pic:nvPicPr>
                  <pic:blipFill>
                    <a:blip r:embed="rId15"/>
                    <a:stretch>
                      <a:fillRect/>
                    </a:stretch>
                  </pic:blipFill>
                  <pic:spPr>
                    <a:xfrm>
                      <a:off x="0" y="0"/>
                      <a:ext cx="6120129" cy="9525"/>
                    </a:xfrm>
                    <a:prstGeom prst="rect">
                      <a:avLst/>
                    </a:prstGeom>
                  </pic:spPr>
                </pic:pic>
              </a:graphicData>
            </a:graphic>
          </wp:anchor>
        </w:drawing>
      </w:r>
      <w:r>
        <w:rPr>
          <w:spacing w:val="-1"/>
          <w:lang w:eastAsia="zh-CN"/>
        </w:rPr>
        <w:t>202</w:t>
      </w:r>
      <w:r>
        <w:rPr>
          <w:rFonts w:hint="eastAsia"/>
          <w:spacing w:val="-1"/>
          <w:lang w:eastAsia="zh-CN"/>
        </w:rPr>
        <w:t>5-XX-XX</w:t>
      </w:r>
      <w:r>
        <w:rPr>
          <w:spacing w:val="-40"/>
          <w:lang w:eastAsia="zh-CN"/>
        </w:rPr>
        <w:t xml:space="preserve"> </w:t>
      </w:r>
      <w:r>
        <w:rPr>
          <w:spacing w:val="-1"/>
          <w:lang w:eastAsia="zh-CN"/>
        </w:rPr>
        <w:t>发布                                        202</w:t>
      </w:r>
      <w:r>
        <w:rPr>
          <w:rFonts w:hint="eastAsia"/>
          <w:spacing w:val="-1"/>
          <w:lang w:eastAsia="zh-CN"/>
        </w:rPr>
        <w:t>5-XX-XX</w:t>
      </w:r>
      <w:r>
        <w:rPr>
          <w:spacing w:val="-1"/>
          <w:lang w:eastAsia="zh-CN"/>
        </w:rPr>
        <w:t>实施</w:t>
      </w:r>
    </w:p>
    <w:p w14:paraId="0DCC27CD">
      <w:pPr>
        <w:spacing w:line="332" w:lineRule="auto"/>
        <w:rPr>
          <w:lang w:eastAsia="zh-CN"/>
        </w:rPr>
      </w:pPr>
    </w:p>
    <w:p w14:paraId="6C1F91A0">
      <w:pPr>
        <w:spacing w:line="333" w:lineRule="auto"/>
        <w:rPr>
          <w:lang w:eastAsia="zh-CN"/>
        </w:rPr>
      </w:pPr>
    </w:p>
    <w:p w14:paraId="1222A322">
      <w:pPr>
        <w:pStyle w:val="2"/>
        <w:spacing w:before="91" w:line="222" w:lineRule="auto"/>
        <w:ind w:left="2593"/>
        <w:rPr>
          <w:lang w:eastAsia="zh-CN"/>
        </w:rPr>
      </w:pPr>
      <w:r>
        <w:rPr>
          <w:rFonts w:hint="eastAsia"/>
          <w:spacing w:val="39"/>
          <w:w w:val="125"/>
          <w:lang w:eastAsia="zh-CN"/>
        </w:rPr>
        <w:t>江苏省标准化</w:t>
      </w:r>
      <w:r>
        <w:rPr>
          <w:spacing w:val="39"/>
          <w:w w:val="125"/>
          <w:lang w:eastAsia="zh-CN"/>
        </w:rPr>
        <w:t>协会</w:t>
      </w:r>
      <w:r>
        <w:rPr>
          <w:spacing w:val="18"/>
          <w:lang w:eastAsia="zh-CN"/>
        </w:rPr>
        <w:t xml:space="preserve">   </w:t>
      </w:r>
      <w:r>
        <w:rPr>
          <w:spacing w:val="39"/>
          <w:w w:val="125"/>
          <w:lang w:eastAsia="zh-CN"/>
        </w:rPr>
        <w:t>发布</w:t>
      </w:r>
    </w:p>
    <w:p w14:paraId="55D91A81">
      <w:pPr>
        <w:spacing w:line="222" w:lineRule="auto"/>
        <w:rPr>
          <w:lang w:eastAsia="zh-CN"/>
        </w:rPr>
        <w:sectPr>
          <w:headerReference r:id="rId3" w:type="default"/>
          <w:pgSz w:w="11906" w:h="16839"/>
          <w:pgMar w:top="400" w:right="852" w:bottom="0" w:left="1025" w:header="0" w:footer="0" w:gutter="0"/>
          <w:cols w:space="720" w:num="1"/>
        </w:sectPr>
      </w:pPr>
    </w:p>
    <w:p w14:paraId="04DAA7D3">
      <w:pPr>
        <w:spacing w:line="264" w:lineRule="auto"/>
        <w:rPr>
          <w:lang w:eastAsia="zh-CN"/>
        </w:rPr>
      </w:pPr>
    </w:p>
    <w:p w14:paraId="5364FEC7">
      <w:pPr>
        <w:pStyle w:val="2"/>
        <w:spacing w:before="101" w:line="228" w:lineRule="auto"/>
        <w:jc w:val="center"/>
        <w:rPr>
          <w:sz w:val="31"/>
          <w:szCs w:val="31"/>
          <w:lang w:eastAsia="zh-CN"/>
        </w:rPr>
      </w:pPr>
      <w:r>
        <w:rPr>
          <w:spacing w:val="-22"/>
          <w:sz w:val="31"/>
          <w:szCs w:val="31"/>
          <w:lang w:eastAsia="zh-CN"/>
        </w:rPr>
        <w:t>目</w:t>
      </w:r>
      <w:r>
        <w:rPr>
          <w:spacing w:val="8"/>
          <w:sz w:val="31"/>
          <w:szCs w:val="31"/>
          <w:lang w:eastAsia="zh-CN"/>
        </w:rPr>
        <w:t xml:space="preserve">    </w:t>
      </w:r>
      <w:r>
        <w:rPr>
          <w:spacing w:val="-22"/>
          <w:sz w:val="31"/>
          <w:szCs w:val="31"/>
          <w:lang w:eastAsia="zh-CN"/>
        </w:rPr>
        <w:t>次</w:t>
      </w:r>
    </w:p>
    <w:p w14:paraId="648EE9D0">
      <w:pPr>
        <w:spacing w:line="316" w:lineRule="auto"/>
        <w:rPr>
          <w:lang w:eastAsia="zh-CN"/>
        </w:rPr>
      </w:pPr>
    </w:p>
    <w:p w14:paraId="59ACC261">
      <w:pPr>
        <w:spacing w:line="316" w:lineRule="auto"/>
        <w:rPr>
          <w:lang w:eastAsia="zh-CN"/>
        </w:rPr>
      </w:pPr>
    </w:p>
    <w:sdt>
      <w:sdtPr>
        <w:rPr>
          <w:rFonts w:ascii="宋体" w:hAnsi="宋体" w:eastAsia="宋体"/>
        </w:rPr>
        <w:id w:val="147476254"/>
        <w15:color w:val="DBDBDB"/>
        <w:docPartObj>
          <w:docPartGallery w:val="Table of Contents"/>
          <w:docPartUnique/>
        </w:docPartObj>
      </w:sdtPr>
      <w:sdtEndPr>
        <w:rPr>
          <w:rFonts w:ascii="宋体" w:hAnsi="宋体" w:eastAsia="宋体" w:cs="宋体"/>
          <w:szCs w:val="20"/>
        </w:rPr>
      </w:sdtEndPr>
      <w:sdtContent>
        <w:p w14:paraId="53A9D9B4">
          <w:pPr>
            <w:jc w:val="center"/>
          </w:pPr>
        </w:p>
        <w:p w14:paraId="3611BFC2">
          <w:pPr>
            <w:pStyle w:val="5"/>
            <w:tabs>
              <w:tab w:val="right" w:leader="dot" w:pos="9073"/>
            </w:tabs>
            <w:rPr>
              <w:rFonts w:ascii="Times New Roman" w:hAnsi="Times New Roman" w:cs="Times New Roman" w:eastAsiaTheme="minorEastAsia"/>
              <w:sz w:val="22"/>
              <w:szCs w:val="22"/>
            </w:rPr>
          </w:pPr>
          <w:r>
            <w:rPr>
              <w:rFonts w:ascii="Times New Roman" w:hAnsi="Times New Roman" w:cs="Times New Roman" w:eastAsiaTheme="minorEastAsia"/>
              <w:sz w:val="20"/>
              <w:szCs w:val="20"/>
            </w:rPr>
            <w:fldChar w:fldCharType="begin"/>
          </w:r>
          <w:r>
            <w:rPr>
              <w:rFonts w:ascii="Times New Roman" w:hAnsi="Times New Roman" w:cs="Times New Roman" w:eastAsiaTheme="minorEastAsia"/>
              <w:sz w:val="20"/>
              <w:szCs w:val="20"/>
            </w:rPr>
            <w:instrText xml:space="preserve">TOC \o "1-3" \h \u </w:instrText>
          </w:r>
          <w:r>
            <w:rPr>
              <w:rFonts w:ascii="Times New Roman" w:hAnsi="Times New Roman" w:cs="Times New Roman" w:eastAsiaTheme="minorEastAsia"/>
              <w:sz w:val="20"/>
              <w:szCs w:val="20"/>
            </w:rPr>
            <w:fldChar w:fldCharType="separate"/>
          </w:r>
          <w:r>
            <w:fldChar w:fldCharType="begin"/>
          </w:r>
          <w:r>
            <w:instrText xml:space="preserve"> HYPERLINK \l "_Toc25676" </w:instrText>
          </w:r>
          <w:r>
            <w:fldChar w:fldCharType="separate"/>
          </w:r>
          <w:r>
            <w:rPr>
              <w:rFonts w:ascii="Times New Roman" w:hAnsi="Times New Roman" w:cs="Times New Roman" w:eastAsiaTheme="minorEastAsia"/>
              <w:spacing w:val="-2"/>
              <w:sz w:val="22"/>
              <w:szCs w:val="22"/>
            </w:rPr>
            <w:t>前</w:t>
          </w:r>
          <w:r>
            <w:rPr>
              <w:rFonts w:ascii="Times New Roman" w:hAnsi="Times New Roman" w:cs="Times New Roman" w:eastAsiaTheme="minorEastAsia"/>
              <w:spacing w:val="11"/>
              <w:sz w:val="22"/>
              <w:szCs w:val="22"/>
            </w:rPr>
            <w:t xml:space="preserve">    </w:t>
          </w:r>
          <w:r>
            <w:rPr>
              <w:rFonts w:ascii="Times New Roman" w:hAnsi="Times New Roman" w:cs="Times New Roman" w:eastAsiaTheme="minorEastAsia"/>
              <w:spacing w:val="-2"/>
              <w:sz w:val="22"/>
              <w:szCs w:val="22"/>
            </w:rPr>
            <w:t>言</w:t>
          </w:r>
          <w:r>
            <w:rPr>
              <w:rFonts w:ascii="Times New Roman" w:hAnsi="Times New Roman" w:cs="Times New Roman" w:eastAsiaTheme="minorEastAsia"/>
              <w:sz w:val="22"/>
              <w:szCs w:val="22"/>
            </w:rPr>
            <w:tab/>
          </w:r>
          <w:r>
            <w:rPr>
              <w:rFonts w:ascii="Times New Roman" w:hAnsi="Times New Roman" w:cs="Times New Roman" w:eastAsiaTheme="minorEastAsia"/>
              <w:sz w:val="22"/>
              <w:szCs w:val="22"/>
            </w:rPr>
            <w:fldChar w:fldCharType="begin"/>
          </w:r>
          <w:r>
            <w:rPr>
              <w:rFonts w:ascii="Times New Roman" w:hAnsi="Times New Roman" w:cs="Times New Roman" w:eastAsiaTheme="minorEastAsia"/>
              <w:sz w:val="22"/>
              <w:szCs w:val="22"/>
            </w:rPr>
            <w:instrText xml:space="preserve"> PAGEREF _Toc25676 \h </w:instrText>
          </w:r>
          <w:r>
            <w:rPr>
              <w:rFonts w:ascii="Times New Roman" w:hAnsi="Times New Roman" w:cs="Times New Roman" w:eastAsiaTheme="minorEastAsia"/>
              <w:sz w:val="22"/>
              <w:szCs w:val="22"/>
            </w:rPr>
            <w:fldChar w:fldCharType="separate"/>
          </w:r>
          <w:r>
            <w:rPr>
              <w:rFonts w:ascii="Times New Roman" w:hAnsi="Times New Roman" w:cs="Times New Roman" w:eastAsiaTheme="minorEastAsia"/>
              <w:sz w:val="22"/>
              <w:szCs w:val="22"/>
            </w:rPr>
            <w:t>1</w:t>
          </w:r>
          <w:r>
            <w:rPr>
              <w:rFonts w:ascii="Times New Roman" w:hAnsi="Times New Roman" w:cs="Times New Roman" w:eastAsiaTheme="minorEastAsia"/>
              <w:sz w:val="22"/>
              <w:szCs w:val="22"/>
            </w:rPr>
            <w:fldChar w:fldCharType="end"/>
          </w:r>
          <w:r>
            <w:rPr>
              <w:rFonts w:ascii="Times New Roman" w:hAnsi="Times New Roman" w:cs="Times New Roman" w:eastAsiaTheme="minorEastAsia"/>
              <w:sz w:val="22"/>
              <w:szCs w:val="22"/>
            </w:rPr>
            <w:fldChar w:fldCharType="end"/>
          </w:r>
        </w:p>
        <w:p w14:paraId="61F6487F">
          <w:pPr>
            <w:pStyle w:val="5"/>
            <w:tabs>
              <w:tab w:val="right" w:leader="dot" w:pos="9073"/>
            </w:tabs>
            <w:rPr>
              <w:rFonts w:ascii="Times New Roman" w:hAnsi="Times New Roman" w:cs="Times New Roman" w:eastAsiaTheme="minorEastAsia"/>
              <w:sz w:val="22"/>
              <w:szCs w:val="22"/>
            </w:rPr>
          </w:pPr>
          <w:r>
            <w:fldChar w:fldCharType="begin"/>
          </w:r>
          <w:r>
            <w:instrText xml:space="preserve"> HYPERLINK \l "_Toc1036" </w:instrText>
          </w:r>
          <w:r>
            <w:fldChar w:fldCharType="separate"/>
          </w:r>
          <w:r>
            <w:rPr>
              <w:rFonts w:ascii="Times New Roman" w:hAnsi="Times New Roman" w:cs="Times New Roman" w:eastAsiaTheme="minorEastAsia"/>
              <w:spacing w:val="-3"/>
              <w:sz w:val="22"/>
              <w:szCs w:val="22"/>
            </w:rPr>
            <w:t>1</w:t>
          </w:r>
          <w:r>
            <w:rPr>
              <w:rFonts w:ascii="Times New Roman" w:hAnsi="Times New Roman" w:cs="Times New Roman" w:eastAsiaTheme="minorEastAsia"/>
              <w:spacing w:val="18"/>
              <w:sz w:val="22"/>
              <w:szCs w:val="22"/>
            </w:rPr>
            <w:t xml:space="preserve"> </w:t>
          </w:r>
          <w:r>
            <w:rPr>
              <w:rFonts w:ascii="Times New Roman" w:hAnsi="Times New Roman" w:cs="Times New Roman" w:eastAsiaTheme="minorEastAsia"/>
              <w:spacing w:val="-3"/>
              <w:sz w:val="22"/>
              <w:szCs w:val="22"/>
            </w:rPr>
            <w:t>范围</w:t>
          </w:r>
          <w:r>
            <w:rPr>
              <w:rFonts w:ascii="Times New Roman" w:hAnsi="Times New Roman" w:cs="Times New Roman" w:eastAsiaTheme="minorEastAsia"/>
              <w:sz w:val="22"/>
              <w:szCs w:val="22"/>
            </w:rPr>
            <w:tab/>
          </w:r>
          <w:r>
            <w:rPr>
              <w:rFonts w:ascii="Times New Roman" w:hAnsi="Times New Roman" w:cs="Times New Roman" w:eastAsiaTheme="minorEastAsia"/>
              <w:sz w:val="22"/>
              <w:szCs w:val="22"/>
            </w:rPr>
            <w:fldChar w:fldCharType="begin"/>
          </w:r>
          <w:r>
            <w:rPr>
              <w:rFonts w:ascii="Times New Roman" w:hAnsi="Times New Roman" w:cs="Times New Roman" w:eastAsiaTheme="minorEastAsia"/>
              <w:sz w:val="22"/>
              <w:szCs w:val="22"/>
            </w:rPr>
            <w:instrText xml:space="preserve"> PAGEREF _Toc1036 \h </w:instrText>
          </w:r>
          <w:r>
            <w:rPr>
              <w:rFonts w:ascii="Times New Roman" w:hAnsi="Times New Roman" w:cs="Times New Roman" w:eastAsiaTheme="minorEastAsia"/>
              <w:sz w:val="22"/>
              <w:szCs w:val="22"/>
            </w:rPr>
            <w:fldChar w:fldCharType="separate"/>
          </w:r>
          <w:r>
            <w:rPr>
              <w:rFonts w:ascii="Times New Roman" w:hAnsi="Times New Roman" w:cs="Times New Roman" w:eastAsiaTheme="minorEastAsia"/>
              <w:sz w:val="22"/>
              <w:szCs w:val="22"/>
            </w:rPr>
            <w:t>2</w:t>
          </w:r>
          <w:r>
            <w:rPr>
              <w:rFonts w:ascii="Times New Roman" w:hAnsi="Times New Roman" w:cs="Times New Roman" w:eastAsiaTheme="minorEastAsia"/>
              <w:sz w:val="22"/>
              <w:szCs w:val="22"/>
            </w:rPr>
            <w:fldChar w:fldCharType="end"/>
          </w:r>
          <w:r>
            <w:rPr>
              <w:rFonts w:ascii="Times New Roman" w:hAnsi="Times New Roman" w:cs="Times New Roman" w:eastAsiaTheme="minorEastAsia"/>
              <w:sz w:val="22"/>
              <w:szCs w:val="22"/>
            </w:rPr>
            <w:fldChar w:fldCharType="end"/>
          </w:r>
        </w:p>
        <w:p w14:paraId="404813DE">
          <w:pPr>
            <w:pStyle w:val="5"/>
            <w:tabs>
              <w:tab w:val="right" w:leader="dot" w:pos="9073"/>
            </w:tabs>
            <w:rPr>
              <w:rFonts w:ascii="Times New Roman" w:hAnsi="Times New Roman" w:cs="Times New Roman" w:eastAsiaTheme="minorEastAsia"/>
              <w:sz w:val="22"/>
              <w:szCs w:val="22"/>
            </w:rPr>
          </w:pPr>
          <w:r>
            <w:fldChar w:fldCharType="begin"/>
          </w:r>
          <w:r>
            <w:instrText xml:space="preserve"> HYPERLINK \l "_Toc20322" </w:instrText>
          </w:r>
          <w:r>
            <w:fldChar w:fldCharType="separate"/>
          </w:r>
          <w:r>
            <w:rPr>
              <w:rFonts w:ascii="Times New Roman" w:hAnsi="Times New Roman" w:cs="Times New Roman" w:eastAsiaTheme="minorEastAsia"/>
              <w:spacing w:val="8"/>
              <w:sz w:val="22"/>
              <w:szCs w:val="22"/>
            </w:rPr>
            <w:t>2 规范性引用文件</w:t>
          </w:r>
          <w:r>
            <w:rPr>
              <w:rFonts w:ascii="Times New Roman" w:hAnsi="Times New Roman" w:cs="Times New Roman" w:eastAsiaTheme="minorEastAsia"/>
              <w:sz w:val="22"/>
              <w:szCs w:val="22"/>
            </w:rPr>
            <w:tab/>
          </w:r>
          <w:r>
            <w:rPr>
              <w:rFonts w:ascii="Times New Roman" w:hAnsi="Times New Roman" w:cs="Times New Roman" w:eastAsiaTheme="minorEastAsia"/>
              <w:sz w:val="22"/>
              <w:szCs w:val="22"/>
            </w:rPr>
            <w:fldChar w:fldCharType="begin"/>
          </w:r>
          <w:r>
            <w:rPr>
              <w:rFonts w:ascii="Times New Roman" w:hAnsi="Times New Roman" w:cs="Times New Roman" w:eastAsiaTheme="minorEastAsia"/>
              <w:sz w:val="22"/>
              <w:szCs w:val="22"/>
            </w:rPr>
            <w:instrText xml:space="preserve"> PAGEREF _Toc20322 \h </w:instrText>
          </w:r>
          <w:r>
            <w:rPr>
              <w:rFonts w:ascii="Times New Roman" w:hAnsi="Times New Roman" w:cs="Times New Roman" w:eastAsiaTheme="minorEastAsia"/>
              <w:sz w:val="22"/>
              <w:szCs w:val="22"/>
            </w:rPr>
            <w:fldChar w:fldCharType="separate"/>
          </w:r>
          <w:r>
            <w:rPr>
              <w:rFonts w:ascii="Times New Roman" w:hAnsi="Times New Roman" w:cs="Times New Roman" w:eastAsiaTheme="minorEastAsia"/>
              <w:sz w:val="22"/>
              <w:szCs w:val="22"/>
            </w:rPr>
            <w:t>2</w:t>
          </w:r>
          <w:r>
            <w:rPr>
              <w:rFonts w:ascii="Times New Roman" w:hAnsi="Times New Roman" w:cs="Times New Roman" w:eastAsiaTheme="minorEastAsia"/>
              <w:sz w:val="22"/>
              <w:szCs w:val="22"/>
            </w:rPr>
            <w:fldChar w:fldCharType="end"/>
          </w:r>
          <w:r>
            <w:rPr>
              <w:rFonts w:ascii="Times New Roman" w:hAnsi="Times New Roman" w:cs="Times New Roman" w:eastAsiaTheme="minorEastAsia"/>
              <w:sz w:val="22"/>
              <w:szCs w:val="22"/>
            </w:rPr>
            <w:fldChar w:fldCharType="end"/>
          </w:r>
        </w:p>
        <w:p w14:paraId="282EFC6C">
          <w:pPr>
            <w:pStyle w:val="5"/>
            <w:tabs>
              <w:tab w:val="right" w:leader="dot" w:pos="9073"/>
            </w:tabs>
            <w:rPr>
              <w:rFonts w:ascii="Times New Roman" w:hAnsi="Times New Roman" w:cs="Times New Roman" w:eastAsiaTheme="minorEastAsia"/>
              <w:sz w:val="22"/>
              <w:szCs w:val="22"/>
            </w:rPr>
          </w:pPr>
          <w:r>
            <w:fldChar w:fldCharType="begin"/>
          </w:r>
          <w:r>
            <w:instrText xml:space="preserve"> HYPERLINK \l "_Toc23182" </w:instrText>
          </w:r>
          <w:r>
            <w:fldChar w:fldCharType="separate"/>
          </w:r>
          <w:r>
            <w:rPr>
              <w:rFonts w:ascii="Times New Roman" w:hAnsi="Times New Roman" w:cs="Times New Roman" w:eastAsiaTheme="minorEastAsia"/>
              <w:spacing w:val="7"/>
              <w:sz w:val="22"/>
              <w:szCs w:val="22"/>
            </w:rPr>
            <w:t>3 术语和定义</w:t>
          </w:r>
          <w:r>
            <w:rPr>
              <w:rFonts w:ascii="Times New Roman" w:hAnsi="Times New Roman" w:cs="Times New Roman" w:eastAsiaTheme="minorEastAsia"/>
              <w:sz w:val="22"/>
              <w:szCs w:val="22"/>
            </w:rPr>
            <w:tab/>
          </w:r>
          <w:r>
            <w:rPr>
              <w:rFonts w:ascii="Times New Roman" w:hAnsi="Times New Roman" w:cs="Times New Roman" w:eastAsiaTheme="minorEastAsia"/>
              <w:sz w:val="22"/>
              <w:szCs w:val="22"/>
            </w:rPr>
            <w:fldChar w:fldCharType="begin"/>
          </w:r>
          <w:r>
            <w:rPr>
              <w:rFonts w:ascii="Times New Roman" w:hAnsi="Times New Roman" w:cs="Times New Roman" w:eastAsiaTheme="minorEastAsia"/>
              <w:sz w:val="22"/>
              <w:szCs w:val="22"/>
            </w:rPr>
            <w:instrText xml:space="preserve"> PAGEREF _Toc23182 \h </w:instrText>
          </w:r>
          <w:r>
            <w:rPr>
              <w:rFonts w:ascii="Times New Roman" w:hAnsi="Times New Roman" w:cs="Times New Roman" w:eastAsiaTheme="minorEastAsia"/>
              <w:sz w:val="22"/>
              <w:szCs w:val="22"/>
            </w:rPr>
            <w:fldChar w:fldCharType="separate"/>
          </w:r>
          <w:r>
            <w:rPr>
              <w:rFonts w:ascii="Times New Roman" w:hAnsi="Times New Roman" w:cs="Times New Roman" w:eastAsiaTheme="minorEastAsia"/>
              <w:sz w:val="22"/>
              <w:szCs w:val="22"/>
            </w:rPr>
            <w:t>2</w:t>
          </w:r>
          <w:r>
            <w:rPr>
              <w:rFonts w:ascii="Times New Roman" w:hAnsi="Times New Roman" w:cs="Times New Roman" w:eastAsiaTheme="minorEastAsia"/>
              <w:sz w:val="22"/>
              <w:szCs w:val="22"/>
            </w:rPr>
            <w:fldChar w:fldCharType="end"/>
          </w:r>
          <w:r>
            <w:rPr>
              <w:rFonts w:ascii="Times New Roman" w:hAnsi="Times New Roman" w:cs="Times New Roman" w:eastAsiaTheme="minorEastAsia"/>
              <w:sz w:val="22"/>
              <w:szCs w:val="22"/>
            </w:rPr>
            <w:fldChar w:fldCharType="end"/>
          </w:r>
        </w:p>
        <w:p w14:paraId="2D968DBB">
          <w:pPr>
            <w:pStyle w:val="5"/>
            <w:tabs>
              <w:tab w:val="right" w:leader="dot" w:pos="9073"/>
            </w:tabs>
            <w:rPr>
              <w:rFonts w:ascii="Times New Roman" w:hAnsi="Times New Roman" w:cs="Times New Roman" w:eastAsiaTheme="minorEastAsia"/>
              <w:sz w:val="22"/>
              <w:szCs w:val="22"/>
            </w:rPr>
          </w:pPr>
          <w:r>
            <w:fldChar w:fldCharType="begin"/>
          </w:r>
          <w:r>
            <w:instrText xml:space="preserve"> HYPERLINK \l "_Toc7978" </w:instrText>
          </w:r>
          <w:r>
            <w:fldChar w:fldCharType="separate"/>
          </w:r>
          <w:r>
            <w:rPr>
              <w:rFonts w:ascii="Times New Roman" w:hAnsi="Times New Roman" w:cs="Times New Roman" w:eastAsiaTheme="minorEastAsia"/>
              <w:spacing w:val="6"/>
              <w:sz w:val="22"/>
              <w:szCs w:val="22"/>
            </w:rPr>
            <w:t>4</w:t>
          </w:r>
          <w:r>
            <w:rPr>
              <w:rFonts w:ascii="Times New Roman" w:hAnsi="Times New Roman" w:cs="Times New Roman" w:eastAsiaTheme="minorEastAsia"/>
              <w:spacing w:val="6"/>
              <w:sz w:val="22"/>
              <w:szCs w:val="22"/>
              <w:lang w:eastAsia="zh-CN"/>
            </w:rPr>
            <w:t xml:space="preserve"> 量化目的</w:t>
          </w:r>
          <w:r>
            <w:rPr>
              <w:rFonts w:ascii="Times New Roman" w:hAnsi="Times New Roman" w:cs="Times New Roman" w:eastAsiaTheme="minorEastAsia"/>
              <w:sz w:val="22"/>
              <w:szCs w:val="22"/>
            </w:rPr>
            <w:tab/>
          </w:r>
          <w:r>
            <w:rPr>
              <w:rFonts w:ascii="Times New Roman" w:hAnsi="Times New Roman" w:cs="Times New Roman" w:eastAsiaTheme="minorEastAsia"/>
              <w:sz w:val="22"/>
              <w:szCs w:val="22"/>
            </w:rPr>
            <w:fldChar w:fldCharType="begin"/>
          </w:r>
          <w:r>
            <w:rPr>
              <w:rFonts w:ascii="Times New Roman" w:hAnsi="Times New Roman" w:cs="Times New Roman" w:eastAsiaTheme="minorEastAsia"/>
              <w:sz w:val="22"/>
              <w:szCs w:val="22"/>
            </w:rPr>
            <w:instrText xml:space="preserve"> PAGEREF _Toc7978 \h </w:instrText>
          </w:r>
          <w:r>
            <w:rPr>
              <w:rFonts w:ascii="Times New Roman" w:hAnsi="Times New Roman" w:cs="Times New Roman" w:eastAsiaTheme="minorEastAsia"/>
              <w:sz w:val="22"/>
              <w:szCs w:val="22"/>
            </w:rPr>
            <w:fldChar w:fldCharType="separate"/>
          </w:r>
          <w:r>
            <w:rPr>
              <w:rFonts w:ascii="Times New Roman" w:hAnsi="Times New Roman" w:cs="Times New Roman" w:eastAsiaTheme="minorEastAsia"/>
              <w:sz w:val="22"/>
              <w:szCs w:val="22"/>
            </w:rPr>
            <w:t>3</w:t>
          </w:r>
          <w:r>
            <w:rPr>
              <w:rFonts w:ascii="Times New Roman" w:hAnsi="Times New Roman" w:cs="Times New Roman" w:eastAsiaTheme="minorEastAsia"/>
              <w:sz w:val="22"/>
              <w:szCs w:val="22"/>
            </w:rPr>
            <w:fldChar w:fldCharType="end"/>
          </w:r>
          <w:r>
            <w:rPr>
              <w:rFonts w:ascii="Times New Roman" w:hAnsi="Times New Roman" w:cs="Times New Roman" w:eastAsiaTheme="minorEastAsia"/>
              <w:sz w:val="22"/>
              <w:szCs w:val="22"/>
            </w:rPr>
            <w:fldChar w:fldCharType="end"/>
          </w:r>
        </w:p>
        <w:p w14:paraId="03C81841">
          <w:pPr>
            <w:pStyle w:val="5"/>
            <w:tabs>
              <w:tab w:val="right" w:leader="dot" w:pos="9073"/>
            </w:tabs>
            <w:rPr>
              <w:rFonts w:ascii="Times New Roman" w:hAnsi="Times New Roman" w:cs="Times New Roman" w:eastAsiaTheme="minorEastAsia"/>
              <w:sz w:val="22"/>
              <w:szCs w:val="22"/>
            </w:rPr>
          </w:pPr>
          <w:r>
            <w:fldChar w:fldCharType="begin"/>
          </w:r>
          <w:r>
            <w:instrText xml:space="preserve"> HYPERLINK \l "_Toc21415" </w:instrText>
          </w:r>
          <w:r>
            <w:fldChar w:fldCharType="separate"/>
          </w:r>
          <w:r>
            <w:rPr>
              <w:rFonts w:ascii="Times New Roman" w:hAnsi="Times New Roman" w:cs="Times New Roman" w:eastAsiaTheme="minorEastAsia"/>
              <w:spacing w:val="6"/>
              <w:sz w:val="22"/>
              <w:szCs w:val="22"/>
              <w:lang w:eastAsia="zh-CN"/>
            </w:rPr>
            <w:t>5</w:t>
          </w:r>
          <w:r>
            <w:rPr>
              <w:rFonts w:ascii="Times New Roman" w:hAnsi="Times New Roman" w:cs="Times New Roman" w:eastAsiaTheme="minorEastAsia"/>
              <w:spacing w:val="6"/>
              <w:sz w:val="22"/>
              <w:szCs w:val="22"/>
            </w:rPr>
            <w:t xml:space="preserve"> </w:t>
          </w:r>
          <w:r>
            <w:rPr>
              <w:rFonts w:ascii="Times New Roman" w:hAnsi="Times New Roman" w:cs="Times New Roman" w:eastAsiaTheme="minorEastAsia"/>
              <w:spacing w:val="6"/>
              <w:sz w:val="22"/>
              <w:szCs w:val="22"/>
              <w:lang w:eastAsia="zh-CN"/>
            </w:rPr>
            <w:t>量化范围</w:t>
          </w:r>
          <w:r>
            <w:rPr>
              <w:rFonts w:ascii="Times New Roman" w:hAnsi="Times New Roman" w:cs="Times New Roman" w:eastAsiaTheme="minorEastAsia"/>
              <w:sz w:val="22"/>
              <w:szCs w:val="22"/>
            </w:rPr>
            <w:tab/>
          </w:r>
          <w:r>
            <w:rPr>
              <w:rFonts w:ascii="Times New Roman" w:hAnsi="Times New Roman" w:cs="Times New Roman" w:eastAsiaTheme="minorEastAsia"/>
              <w:sz w:val="22"/>
              <w:szCs w:val="22"/>
            </w:rPr>
            <w:fldChar w:fldCharType="begin"/>
          </w:r>
          <w:r>
            <w:rPr>
              <w:rFonts w:ascii="Times New Roman" w:hAnsi="Times New Roman" w:cs="Times New Roman" w:eastAsiaTheme="minorEastAsia"/>
              <w:sz w:val="22"/>
              <w:szCs w:val="22"/>
            </w:rPr>
            <w:instrText xml:space="preserve"> PAGEREF _Toc21415 \h </w:instrText>
          </w:r>
          <w:r>
            <w:rPr>
              <w:rFonts w:ascii="Times New Roman" w:hAnsi="Times New Roman" w:cs="Times New Roman" w:eastAsiaTheme="minorEastAsia"/>
              <w:sz w:val="22"/>
              <w:szCs w:val="22"/>
            </w:rPr>
            <w:fldChar w:fldCharType="separate"/>
          </w:r>
          <w:r>
            <w:rPr>
              <w:rFonts w:ascii="Times New Roman" w:hAnsi="Times New Roman" w:cs="Times New Roman" w:eastAsiaTheme="minorEastAsia"/>
              <w:sz w:val="22"/>
              <w:szCs w:val="22"/>
            </w:rPr>
            <w:t>3</w:t>
          </w:r>
          <w:r>
            <w:rPr>
              <w:rFonts w:ascii="Times New Roman" w:hAnsi="Times New Roman" w:cs="Times New Roman" w:eastAsiaTheme="minorEastAsia"/>
              <w:sz w:val="22"/>
              <w:szCs w:val="22"/>
            </w:rPr>
            <w:fldChar w:fldCharType="end"/>
          </w:r>
          <w:r>
            <w:rPr>
              <w:rFonts w:ascii="Times New Roman" w:hAnsi="Times New Roman" w:cs="Times New Roman" w:eastAsiaTheme="minorEastAsia"/>
              <w:sz w:val="22"/>
              <w:szCs w:val="22"/>
            </w:rPr>
            <w:fldChar w:fldCharType="end"/>
          </w:r>
        </w:p>
        <w:p w14:paraId="2E571682">
          <w:pPr>
            <w:pStyle w:val="6"/>
            <w:tabs>
              <w:tab w:val="right" w:leader="dot" w:pos="9073"/>
            </w:tabs>
            <w:ind w:left="0" w:leftChars="0"/>
            <w:rPr>
              <w:rFonts w:ascii="Times New Roman" w:hAnsi="Times New Roman" w:cs="Times New Roman" w:eastAsiaTheme="minorEastAsia"/>
              <w:sz w:val="22"/>
              <w:szCs w:val="22"/>
            </w:rPr>
          </w:pPr>
          <w:r>
            <w:fldChar w:fldCharType="begin"/>
          </w:r>
          <w:r>
            <w:instrText xml:space="preserve"> HYPERLINK \l "_Toc32369" </w:instrText>
          </w:r>
          <w:r>
            <w:fldChar w:fldCharType="separate"/>
          </w:r>
          <w:r>
            <w:rPr>
              <w:rFonts w:ascii="Times New Roman" w:hAnsi="Times New Roman" w:cs="Times New Roman" w:eastAsiaTheme="minorEastAsia"/>
              <w:spacing w:val="6"/>
              <w:sz w:val="22"/>
              <w:szCs w:val="22"/>
              <w:lang w:eastAsia="zh-CN"/>
            </w:rPr>
            <w:t>5.1 产品描述</w:t>
          </w:r>
          <w:r>
            <w:rPr>
              <w:rFonts w:ascii="Times New Roman" w:hAnsi="Times New Roman" w:cs="Times New Roman" w:eastAsiaTheme="minorEastAsia"/>
              <w:sz w:val="22"/>
              <w:szCs w:val="22"/>
            </w:rPr>
            <w:tab/>
          </w:r>
          <w:r>
            <w:rPr>
              <w:rFonts w:ascii="Times New Roman" w:hAnsi="Times New Roman" w:cs="Times New Roman" w:eastAsiaTheme="minorEastAsia"/>
              <w:sz w:val="22"/>
              <w:szCs w:val="22"/>
            </w:rPr>
            <w:fldChar w:fldCharType="begin"/>
          </w:r>
          <w:r>
            <w:rPr>
              <w:rFonts w:ascii="Times New Roman" w:hAnsi="Times New Roman" w:cs="Times New Roman" w:eastAsiaTheme="minorEastAsia"/>
              <w:sz w:val="22"/>
              <w:szCs w:val="22"/>
            </w:rPr>
            <w:instrText xml:space="preserve"> PAGEREF _Toc32369 \h </w:instrText>
          </w:r>
          <w:r>
            <w:rPr>
              <w:rFonts w:ascii="Times New Roman" w:hAnsi="Times New Roman" w:cs="Times New Roman" w:eastAsiaTheme="minorEastAsia"/>
              <w:sz w:val="22"/>
              <w:szCs w:val="22"/>
            </w:rPr>
            <w:fldChar w:fldCharType="separate"/>
          </w:r>
          <w:r>
            <w:rPr>
              <w:rFonts w:ascii="Times New Roman" w:hAnsi="Times New Roman" w:cs="Times New Roman" w:eastAsiaTheme="minorEastAsia"/>
              <w:sz w:val="22"/>
              <w:szCs w:val="22"/>
            </w:rPr>
            <w:t>3</w:t>
          </w:r>
          <w:r>
            <w:rPr>
              <w:rFonts w:ascii="Times New Roman" w:hAnsi="Times New Roman" w:cs="Times New Roman" w:eastAsiaTheme="minorEastAsia"/>
              <w:sz w:val="22"/>
              <w:szCs w:val="22"/>
            </w:rPr>
            <w:fldChar w:fldCharType="end"/>
          </w:r>
          <w:r>
            <w:rPr>
              <w:rFonts w:ascii="Times New Roman" w:hAnsi="Times New Roman" w:cs="Times New Roman" w:eastAsiaTheme="minorEastAsia"/>
              <w:sz w:val="22"/>
              <w:szCs w:val="22"/>
            </w:rPr>
            <w:fldChar w:fldCharType="end"/>
          </w:r>
        </w:p>
        <w:p w14:paraId="5E074919">
          <w:pPr>
            <w:pStyle w:val="6"/>
            <w:tabs>
              <w:tab w:val="right" w:leader="dot" w:pos="9073"/>
            </w:tabs>
            <w:ind w:left="0" w:leftChars="0"/>
            <w:rPr>
              <w:rFonts w:ascii="Times New Roman" w:hAnsi="Times New Roman" w:cs="Times New Roman" w:eastAsiaTheme="minorEastAsia"/>
              <w:sz w:val="22"/>
              <w:szCs w:val="22"/>
            </w:rPr>
          </w:pPr>
          <w:r>
            <w:fldChar w:fldCharType="begin"/>
          </w:r>
          <w:r>
            <w:instrText xml:space="preserve"> HYPERLINK \l "_Toc6211" </w:instrText>
          </w:r>
          <w:r>
            <w:fldChar w:fldCharType="separate"/>
          </w:r>
          <w:r>
            <w:rPr>
              <w:rFonts w:ascii="Times New Roman" w:hAnsi="Times New Roman" w:cs="Times New Roman" w:eastAsiaTheme="minorEastAsia"/>
              <w:spacing w:val="6"/>
              <w:sz w:val="22"/>
              <w:szCs w:val="22"/>
              <w:lang w:eastAsia="zh-CN"/>
            </w:rPr>
            <w:t>5.2 声明单位</w:t>
          </w:r>
          <w:r>
            <w:rPr>
              <w:rFonts w:ascii="Times New Roman" w:hAnsi="Times New Roman" w:cs="Times New Roman" w:eastAsiaTheme="minorEastAsia"/>
              <w:sz w:val="22"/>
              <w:szCs w:val="22"/>
            </w:rPr>
            <w:tab/>
          </w:r>
          <w:r>
            <w:rPr>
              <w:rFonts w:ascii="Times New Roman" w:hAnsi="Times New Roman" w:cs="Times New Roman" w:eastAsiaTheme="minorEastAsia"/>
              <w:sz w:val="22"/>
              <w:szCs w:val="22"/>
            </w:rPr>
            <w:fldChar w:fldCharType="begin"/>
          </w:r>
          <w:r>
            <w:rPr>
              <w:rFonts w:ascii="Times New Roman" w:hAnsi="Times New Roman" w:cs="Times New Roman" w:eastAsiaTheme="minorEastAsia"/>
              <w:sz w:val="22"/>
              <w:szCs w:val="22"/>
            </w:rPr>
            <w:instrText xml:space="preserve"> PAGEREF _Toc6211 \h </w:instrText>
          </w:r>
          <w:r>
            <w:rPr>
              <w:rFonts w:ascii="Times New Roman" w:hAnsi="Times New Roman" w:cs="Times New Roman" w:eastAsiaTheme="minorEastAsia"/>
              <w:sz w:val="22"/>
              <w:szCs w:val="22"/>
            </w:rPr>
            <w:fldChar w:fldCharType="separate"/>
          </w:r>
          <w:r>
            <w:rPr>
              <w:rFonts w:ascii="Times New Roman" w:hAnsi="Times New Roman" w:cs="Times New Roman" w:eastAsiaTheme="minorEastAsia"/>
              <w:sz w:val="22"/>
              <w:szCs w:val="22"/>
            </w:rPr>
            <w:t>3</w:t>
          </w:r>
          <w:r>
            <w:rPr>
              <w:rFonts w:ascii="Times New Roman" w:hAnsi="Times New Roman" w:cs="Times New Roman" w:eastAsiaTheme="minorEastAsia"/>
              <w:sz w:val="22"/>
              <w:szCs w:val="22"/>
            </w:rPr>
            <w:fldChar w:fldCharType="end"/>
          </w:r>
          <w:r>
            <w:rPr>
              <w:rFonts w:ascii="Times New Roman" w:hAnsi="Times New Roman" w:cs="Times New Roman" w:eastAsiaTheme="minorEastAsia"/>
              <w:sz w:val="22"/>
              <w:szCs w:val="22"/>
            </w:rPr>
            <w:fldChar w:fldCharType="end"/>
          </w:r>
        </w:p>
        <w:p w14:paraId="588C360C">
          <w:pPr>
            <w:pStyle w:val="6"/>
            <w:tabs>
              <w:tab w:val="right" w:leader="dot" w:pos="9073"/>
            </w:tabs>
            <w:ind w:left="0" w:leftChars="0"/>
            <w:rPr>
              <w:rFonts w:ascii="Times New Roman" w:hAnsi="Times New Roman" w:cs="Times New Roman" w:eastAsiaTheme="minorEastAsia"/>
              <w:sz w:val="22"/>
              <w:szCs w:val="22"/>
            </w:rPr>
          </w:pPr>
          <w:r>
            <w:fldChar w:fldCharType="begin"/>
          </w:r>
          <w:r>
            <w:instrText xml:space="preserve"> HYPERLINK \l "_Toc25452" </w:instrText>
          </w:r>
          <w:r>
            <w:fldChar w:fldCharType="separate"/>
          </w:r>
          <w:r>
            <w:rPr>
              <w:rFonts w:ascii="Times New Roman" w:hAnsi="Times New Roman" w:cs="Times New Roman" w:eastAsiaTheme="minorEastAsia"/>
              <w:spacing w:val="6"/>
              <w:sz w:val="22"/>
              <w:szCs w:val="22"/>
              <w:lang w:eastAsia="zh-CN"/>
            </w:rPr>
            <w:t>5.3 系统边界</w:t>
          </w:r>
          <w:r>
            <w:rPr>
              <w:rFonts w:ascii="Times New Roman" w:hAnsi="Times New Roman" w:cs="Times New Roman" w:eastAsiaTheme="minorEastAsia"/>
              <w:sz w:val="22"/>
              <w:szCs w:val="22"/>
            </w:rPr>
            <w:tab/>
          </w:r>
          <w:r>
            <w:rPr>
              <w:rFonts w:ascii="Times New Roman" w:hAnsi="Times New Roman" w:cs="Times New Roman" w:eastAsiaTheme="minorEastAsia"/>
              <w:sz w:val="22"/>
              <w:szCs w:val="22"/>
            </w:rPr>
            <w:fldChar w:fldCharType="begin"/>
          </w:r>
          <w:r>
            <w:rPr>
              <w:rFonts w:ascii="Times New Roman" w:hAnsi="Times New Roman" w:cs="Times New Roman" w:eastAsiaTheme="minorEastAsia"/>
              <w:sz w:val="22"/>
              <w:szCs w:val="22"/>
            </w:rPr>
            <w:instrText xml:space="preserve"> PAGEREF _Toc25452 \h </w:instrText>
          </w:r>
          <w:r>
            <w:rPr>
              <w:rFonts w:ascii="Times New Roman" w:hAnsi="Times New Roman" w:cs="Times New Roman" w:eastAsiaTheme="minorEastAsia"/>
              <w:sz w:val="22"/>
              <w:szCs w:val="22"/>
            </w:rPr>
            <w:fldChar w:fldCharType="separate"/>
          </w:r>
          <w:r>
            <w:rPr>
              <w:rFonts w:ascii="Times New Roman" w:hAnsi="Times New Roman" w:cs="Times New Roman" w:eastAsiaTheme="minorEastAsia"/>
              <w:sz w:val="22"/>
              <w:szCs w:val="22"/>
            </w:rPr>
            <w:t>3</w:t>
          </w:r>
          <w:r>
            <w:rPr>
              <w:rFonts w:ascii="Times New Roman" w:hAnsi="Times New Roman" w:cs="Times New Roman" w:eastAsiaTheme="minorEastAsia"/>
              <w:sz w:val="22"/>
              <w:szCs w:val="22"/>
            </w:rPr>
            <w:fldChar w:fldCharType="end"/>
          </w:r>
          <w:r>
            <w:rPr>
              <w:rFonts w:ascii="Times New Roman" w:hAnsi="Times New Roman" w:cs="Times New Roman" w:eastAsiaTheme="minorEastAsia"/>
              <w:sz w:val="22"/>
              <w:szCs w:val="22"/>
            </w:rPr>
            <w:fldChar w:fldCharType="end"/>
          </w:r>
        </w:p>
        <w:p w14:paraId="16024EC4">
          <w:pPr>
            <w:pStyle w:val="3"/>
            <w:tabs>
              <w:tab w:val="right" w:leader="dot" w:pos="9073"/>
            </w:tabs>
            <w:ind w:left="0" w:leftChars="0"/>
            <w:rPr>
              <w:rFonts w:ascii="Times New Roman" w:hAnsi="Times New Roman" w:cs="Times New Roman" w:eastAsiaTheme="minorEastAsia"/>
              <w:sz w:val="22"/>
              <w:szCs w:val="22"/>
            </w:rPr>
          </w:pPr>
          <w:r>
            <w:fldChar w:fldCharType="begin"/>
          </w:r>
          <w:r>
            <w:instrText xml:space="preserve"> HYPERLINK \l "_Toc17027" </w:instrText>
          </w:r>
          <w:r>
            <w:fldChar w:fldCharType="separate"/>
          </w:r>
          <w:r>
            <w:rPr>
              <w:rFonts w:ascii="Times New Roman" w:hAnsi="Times New Roman" w:cs="Times New Roman" w:eastAsiaTheme="minorEastAsia"/>
              <w:spacing w:val="7"/>
              <w:sz w:val="22"/>
              <w:szCs w:val="22"/>
              <w:lang w:eastAsia="zh-CN"/>
            </w:rPr>
            <w:t>5.3.1</w:t>
          </w:r>
          <w:r>
            <w:rPr>
              <w:rFonts w:ascii="Times New Roman" w:hAnsi="Times New Roman" w:cs="Times New Roman" w:eastAsiaTheme="minorEastAsia"/>
              <w:spacing w:val="7"/>
              <w:sz w:val="22"/>
              <w:szCs w:val="22"/>
            </w:rPr>
            <w:t xml:space="preserve"> </w:t>
          </w:r>
          <w:r>
            <w:rPr>
              <w:rFonts w:ascii="Times New Roman" w:hAnsi="Times New Roman" w:cs="Times New Roman" w:eastAsiaTheme="minorEastAsia"/>
              <w:spacing w:val="7"/>
              <w:sz w:val="22"/>
              <w:szCs w:val="22"/>
              <w:lang w:eastAsia="zh-CN"/>
            </w:rPr>
            <w:t>原材料获取和预加工</w:t>
          </w:r>
          <w:r>
            <w:rPr>
              <w:rFonts w:ascii="Times New Roman" w:hAnsi="Times New Roman" w:cs="Times New Roman" w:eastAsiaTheme="minorEastAsia"/>
              <w:spacing w:val="7"/>
              <w:sz w:val="22"/>
              <w:szCs w:val="22"/>
            </w:rPr>
            <w:t>阶段</w:t>
          </w:r>
          <w:r>
            <w:rPr>
              <w:rFonts w:ascii="Times New Roman" w:hAnsi="Times New Roman" w:cs="Times New Roman" w:eastAsiaTheme="minorEastAsia"/>
              <w:sz w:val="22"/>
              <w:szCs w:val="22"/>
            </w:rPr>
            <w:tab/>
          </w:r>
          <w:r>
            <w:rPr>
              <w:rFonts w:ascii="Times New Roman" w:hAnsi="Times New Roman" w:cs="Times New Roman" w:eastAsiaTheme="minorEastAsia"/>
              <w:sz w:val="22"/>
              <w:szCs w:val="22"/>
            </w:rPr>
            <w:fldChar w:fldCharType="begin"/>
          </w:r>
          <w:r>
            <w:rPr>
              <w:rFonts w:ascii="Times New Roman" w:hAnsi="Times New Roman" w:cs="Times New Roman" w:eastAsiaTheme="minorEastAsia"/>
              <w:sz w:val="22"/>
              <w:szCs w:val="22"/>
            </w:rPr>
            <w:instrText xml:space="preserve"> PAGEREF _Toc17027 \h </w:instrText>
          </w:r>
          <w:r>
            <w:rPr>
              <w:rFonts w:ascii="Times New Roman" w:hAnsi="Times New Roman" w:cs="Times New Roman" w:eastAsiaTheme="minorEastAsia"/>
              <w:sz w:val="22"/>
              <w:szCs w:val="22"/>
            </w:rPr>
            <w:fldChar w:fldCharType="separate"/>
          </w:r>
          <w:r>
            <w:rPr>
              <w:rFonts w:ascii="Times New Roman" w:hAnsi="Times New Roman" w:cs="Times New Roman" w:eastAsiaTheme="minorEastAsia"/>
              <w:sz w:val="22"/>
              <w:szCs w:val="22"/>
            </w:rPr>
            <w:t>4</w:t>
          </w:r>
          <w:r>
            <w:rPr>
              <w:rFonts w:ascii="Times New Roman" w:hAnsi="Times New Roman" w:cs="Times New Roman" w:eastAsiaTheme="minorEastAsia"/>
              <w:sz w:val="22"/>
              <w:szCs w:val="22"/>
            </w:rPr>
            <w:fldChar w:fldCharType="end"/>
          </w:r>
          <w:r>
            <w:rPr>
              <w:rFonts w:ascii="Times New Roman" w:hAnsi="Times New Roman" w:cs="Times New Roman" w:eastAsiaTheme="minorEastAsia"/>
              <w:sz w:val="22"/>
              <w:szCs w:val="22"/>
            </w:rPr>
            <w:fldChar w:fldCharType="end"/>
          </w:r>
        </w:p>
        <w:p w14:paraId="719477F6">
          <w:pPr>
            <w:pStyle w:val="3"/>
            <w:tabs>
              <w:tab w:val="right" w:leader="dot" w:pos="9073"/>
            </w:tabs>
            <w:ind w:left="0" w:leftChars="0"/>
            <w:rPr>
              <w:rFonts w:ascii="Times New Roman" w:hAnsi="Times New Roman" w:cs="Times New Roman" w:eastAsiaTheme="minorEastAsia"/>
              <w:sz w:val="22"/>
              <w:szCs w:val="22"/>
            </w:rPr>
          </w:pPr>
          <w:r>
            <w:fldChar w:fldCharType="begin"/>
          </w:r>
          <w:r>
            <w:instrText xml:space="preserve"> HYPERLINK \l "_Toc1083" </w:instrText>
          </w:r>
          <w:r>
            <w:fldChar w:fldCharType="separate"/>
          </w:r>
          <w:r>
            <w:rPr>
              <w:rFonts w:ascii="Times New Roman" w:hAnsi="Times New Roman" w:cs="Times New Roman" w:eastAsiaTheme="minorEastAsia"/>
              <w:spacing w:val="7"/>
              <w:sz w:val="22"/>
              <w:szCs w:val="22"/>
              <w:lang w:eastAsia="zh-CN"/>
            </w:rPr>
            <w:t>5.3.2 纯碱生产阶段</w:t>
          </w:r>
          <w:r>
            <w:rPr>
              <w:rFonts w:ascii="Times New Roman" w:hAnsi="Times New Roman" w:cs="Times New Roman" w:eastAsiaTheme="minorEastAsia"/>
              <w:sz w:val="22"/>
              <w:szCs w:val="22"/>
            </w:rPr>
            <w:tab/>
          </w:r>
          <w:r>
            <w:rPr>
              <w:rFonts w:ascii="Times New Roman" w:hAnsi="Times New Roman" w:cs="Times New Roman" w:eastAsiaTheme="minorEastAsia"/>
              <w:sz w:val="22"/>
              <w:szCs w:val="22"/>
            </w:rPr>
            <w:fldChar w:fldCharType="begin"/>
          </w:r>
          <w:r>
            <w:rPr>
              <w:rFonts w:ascii="Times New Roman" w:hAnsi="Times New Roman" w:cs="Times New Roman" w:eastAsiaTheme="minorEastAsia"/>
              <w:sz w:val="22"/>
              <w:szCs w:val="22"/>
            </w:rPr>
            <w:instrText xml:space="preserve"> PAGEREF _Toc1083 \h </w:instrText>
          </w:r>
          <w:r>
            <w:rPr>
              <w:rFonts w:ascii="Times New Roman" w:hAnsi="Times New Roman" w:cs="Times New Roman" w:eastAsiaTheme="minorEastAsia"/>
              <w:sz w:val="22"/>
              <w:szCs w:val="22"/>
            </w:rPr>
            <w:fldChar w:fldCharType="separate"/>
          </w:r>
          <w:r>
            <w:rPr>
              <w:rFonts w:ascii="Times New Roman" w:hAnsi="Times New Roman" w:cs="Times New Roman" w:eastAsiaTheme="minorEastAsia"/>
              <w:sz w:val="22"/>
              <w:szCs w:val="22"/>
            </w:rPr>
            <w:t>4</w:t>
          </w:r>
          <w:r>
            <w:rPr>
              <w:rFonts w:ascii="Times New Roman" w:hAnsi="Times New Roman" w:cs="Times New Roman" w:eastAsiaTheme="minorEastAsia"/>
              <w:sz w:val="22"/>
              <w:szCs w:val="22"/>
            </w:rPr>
            <w:fldChar w:fldCharType="end"/>
          </w:r>
          <w:r>
            <w:rPr>
              <w:rFonts w:ascii="Times New Roman" w:hAnsi="Times New Roman" w:cs="Times New Roman" w:eastAsiaTheme="minorEastAsia"/>
              <w:sz w:val="22"/>
              <w:szCs w:val="22"/>
            </w:rPr>
            <w:fldChar w:fldCharType="end"/>
          </w:r>
        </w:p>
        <w:p w14:paraId="67CB1280">
          <w:pPr>
            <w:pStyle w:val="3"/>
            <w:tabs>
              <w:tab w:val="right" w:leader="dot" w:pos="9073"/>
            </w:tabs>
            <w:ind w:left="0" w:leftChars="0"/>
            <w:rPr>
              <w:rFonts w:ascii="Times New Roman" w:hAnsi="Times New Roman" w:cs="Times New Roman" w:eastAsiaTheme="minorEastAsia"/>
              <w:sz w:val="22"/>
              <w:szCs w:val="22"/>
            </w:rPr>
          </w:pPr>
          <w:r>
            <w:fldChar w:fldCharType="begin"/>
          </w:r>
          <w:r>
            <w:instrText xml:space="preserve"> HYPERLINK \l "_Toc9" </w:instrText>
          </w:r>
          <w:r>
            <w:fldChar w:fldCharType="separate"/>
          </w:r>
          <w:r>
            <w:rPr>
              <w:rFonts w:ascii="Times New Roman" w:hAnsi="Times New Roman" w:cs="Times New Roman" w:eastAsiaTheme="minorEastAsia"/>
              <w:spacing w:val="7"/>
              <w:sz w:val="22"/>
              <w:szCs w:val="22"/>
              <w:lang w:eastAsia="zh-CN"/>
            </w:rPr>
            <w:t>5.3.3 分销阶段</w:t>
          </w:r>
          <w:r>
            <w:rPr>
              <w:rFonts w:ascii="Times New Roman" w:hAnsi="Times New Roman" w:cs="Times New Roman" w:eastAsiaTheme="minorEastAsia"/>
              <w:sz w:val="22"/>
              <w:szCs w:val="22"/>
            </w:rPr>
            <w:tab/>
          </w:r>
          <w:r>
            <w:rPr>
              <w:rFonts w:ascii="Times New Roman" w:hAnsi="Times New Roman" w:cs="Times New Roman" w:eastAsiaTheme="minorEastAsia"/>
              <w:sz w:val="22"/>
              <w:szCs w:val="22"/>
            </w:rPr>
            <w:fldChar w:fldCharType="begin"/>
          </w:r>
          <w:r>
            <w:rPr>
              <w:rFonts w:ascii="Times New Roman" w:hAnsi="Times New Roman" w:cs="Times New Roman" w:eastAsiaTheme="minorEastAsia"/>
              <w:sz w:val="22"/>
              <w:szCs w:val="22"/>
            </w:rPr>
            <w:instrText xml:space="preserve"> PAGEREF _Toc9 \h </w:instrText>
          </w:r>
          <w:r>
            <w:rPr>
              <w:rFonts w:ascii="Times New Roman" w:hAnsi="Times New Roman" w:cs="Times New Roman" w:eastAsiaTheme="minorEastAsia"/>
              <w:sz w:val="22"/>
              <w:szCs w:val="22"/>
            </w:rPr>
            <w:fldChar w:fldCharType="separate"/>
          </w:r>
          <w:r>
            <w:rPr>
              <w:rFonts w:ascii="Times New Roman" w:hAnsi="Times New Roman" w:cs="Times New Roman" w:eastAsiaTheme="minorEastAsia"/>
              <w:sz w:val="22"/>
              <w:szCs w:val="22"/>
            </w:rPr>
            <w:t>4</w:t>
          </w:r>
          <w:r>
            <w:rPr>
              <w:rFonts w:ascii="Times New Roman" w:hAnsi="Times New Roman" w:cs="Times New Roman" w:eastAsiaTheme="minorEastAsia"/>
              <w:sz w:val="22"/>
              <w:szCs w:val="22"/>
            </w:rPr>
            <w:fldChar w:fldCharType="end"/>
          </w:r>
          <w:r>
            <w:rPr>
              <w:rFonts w:ascii="Times New Roman" w:hAnsi="Times New Roman" w:cs="Times New Roman" w:eastAsiaTheme="minorEastAsia"/>
              <w:sz w:val="22"/>
              <w:szCs w:val="22"/>
            </w:rPr>
            <w:fldChar w:fldCharType="end"/>
          </w:r>
        </w:p>
        <w:p w14:paraId="74919555">
          <w:pPr>
            <w:pStyle w:val="3"/>
            <w:tabs>
              <w:tab w:val="right" w:leader="dot" w:pos="9073"/>
            </w:tabs>
            <w:ind w:left="0" w:leftChars="0"/>
            <w:rPr>
              <w:rFonts w:ascii="Times New Roman" w:hAnsi="Times New Roman" w:cs="Times New Roman" w:eastAsiaTheme="minorEastAsia"/>
              <w:sz w:val="22"/>
              <w:szCs w:val="22"/>
            </w:rPr>
          </w:pPr>
          <w:r>
            <w:fldChar w:fldCharType="begin"/>
          </w:r>
          <w:r>
            <w:instrText xml:space="preserve"> HYPERLINK \l "_Toc28659" </w:instrText>
          </w:r>
          <w:r>
            <w:fldChar w:fldCharType="separate"/>
          </w:r>
          <w:r>
            <w:rPr>
              <w:rFonts w:ascii="Times New Roman" w:hAnsi="Times New Roman" w:cs="Times New Roman" w:eastAsiaTheme="minorEastAsia"/>
              <w:spacing w:val="5"/>
              <w:sz w:val="22"/>
              <w:szCs w:val="22"/>
              <w:lang w:eastAsia="zh-CN"/>
            </w:rPr>
            <w:t>5.2.4</w:t>
          </w:r>
          <w:r>
            <w:rPr>
              <w:rFonts w:ascii="Times New Roman" w:hAnsi="Times New Roman" w:cs="Times New Roman" w:eastAsiaTheme="minorEastAsia"/>
              <w:spacing w:val="18"/>
              <w:sz w:val="22"/>
              <w:szCs w:val="22"/>
            </w:rPr>
            <w:t xml:space="preserve"> </w:t>
          </w:r>
          <w:r>
            <w:rPr>
              <w:rFonts w:ascii="Times New Roman" w:hAnsi="Times New Roman" w:cs="Times New Roman" w:eastAsiaTheme="minorEastAsia"/>
              <w:spacing w:val="5"/>
              <w:sz w:val="22"/>
              <w:szCs w:val="22"/>
            </w:rPr>
            <w:t>取舍准则</w:t>
          </w:r>
          <w:r>
            <w:rPr>
              <w:rFonts w:ascii="Times New Roman" w:hAnsi="Times New Roman" w:cs="Times New Roman" w:eastAsiaTheme="minorEastAsia"/>
              <w:sz w:val="22"/>
              <w:szCs w:val="22"/>
            </w:rPr>
            <w:tab/>
          </w:r>
          <w:r>
            <w:rPr>
              <w:rFonts w:ascii="Times New Roman" w:hAnsi="Times New Roman" w:cs="Times New Roman" w:eastAsiaTheme="minorEastAsia"/>
              <w:sz w:val="22"/>
              <w:szCs w:val="22"/>
            </w:rPr>
            <w:fldChar w:fldCharType="begin"/>
          </w:r>
          <w:r>
            <w:rPr>
              <w:rFonts w:ascii="Times New Roman" w:hAnsi="Times New Roman" w:cs="Times New Roman" w:eastAsiaTheme="minorEastAsia"/>
              <w:sz w:val="22"/>
              <w:szCs w:val="22"/>
            </w:rPr>
            <w:instrText xml:space="preserve"> PAGEREF _Toc28659 \h </w:instrText>
          </w:r>
          <w:r>
            <w:rPr>
              <w:rFonts w:ascii="Times New Roman" w:hAnsi="Times New Roman" w:cs="Times New Roman" w:eastAsiaTheme="minorEastAsia"/>
              <w:sz w:val="22"/>
              <w:szCs w:val="22"/>
            </w:rPr>
            <w:fldChar w:fldCharType="separate"/>
          </w:r>
          <w:r>
            <w:rPr>
              <w:rFonts w:ascii="Times New Roman" w:hAnsi="Times New Roman" w:cs="Times New Roman" w:eastAsiaTheme="minorEastAsia"/>
              <w:sz w:val="22"/>
              <w:szCs w:val="22"/>
            </w:rPr>
            <w:t>4</w:t>
          </w:r>
          <w:r>
            <w:rPr>
              <w:rFonts w:ascii="Times New Roman" w:hAnsi="Times New Roman" w:cs="Times New Roman" w:eastAsiaTheme="minorEastAsia"/>
              <w:sz w:val="22"/>
              <w:szCs w:val="22"/>
            </w:rPr>
            <w:fldChar w:fldCharType="end"/>
          </w:r>
          <w:r>
            <w:rPr>
              <w:rFonts w:ascii="Times New Roman" w:hAnsi="Times New Roman" w:cs="Times New Roman" w:eastAsiaTheme="minorEastAsia"/>
              <w:sz w:val="22"/>
              <w:szCs w:val="22"/>
            </w:rPr>
            <w:fldChar w:fldCharType="end"/>
          </w:r>
        </w:p>
        <w:p w14:paraId="101AE01C">
          <w:pPr>
            <w:pStyle w:val="5"/>
            <w:tabs>
              <w:tab w:val="right" w:leader="dot" w:pos="9073"/>
            </w:tabs>
            <w:rPr>
              <w:rFonts w:ascii="Times New Roman" w:hAnsi="Times New Roman" w:cs="Times New Roman" w:eastAsiaTheme="minorEastAsia"/>
              <w:sz w:val="22"/>
              <w:szCs w:val="22"/>
            </w:rPr>
          </w:pPr>
          <w:r>
            <w:fldChar w:fldCharType="begin"/>
          </w:r>
          <w:r>
            <w:instrText xml:space="preserve"> HYPERLINK \l "_Toc17319" </w:instrText>
          </w:r>
          <w:r>
            <w:fldChar w:fldCharType="separate"/>
          </w:r>
          <w:r>
            <w:rPr>
              <w:rFonts w:ascii="Times New Roman" w:hAnsi="Times New Roman" w:cs="Times New Roman" w:eastAsiaTheme="minorEastAsia"/>
              <w:spacing w:val="7"/>
              <w:sz w:val="22"/>
              <w:szCs w:val="22"/>
              <w:lang w:eastAsia="zh-CN"/>
            </w:rPr>
            <w:t>6 数据和数据质量</w:t>
          </w:r>
          <w:r>
            <w:rPr>
              <w:rFonts w:ascii="Times New Roman" w:hAnsi="Times New Roman" w:cs="Times New Roman" w:eastAsiaTheme="minorEastAsia"/>
              <w:sz w:val="22"/>
              <w:szCs w:val="22"/>
            </w:rPr>
            <w:tab/>
          </w:r>
          <w:r>
            <w:rPr>
              <w:rFonts w:ascii="Times New Roman" w:hAnsi="Times New Roman" w:cs="Times New Roman" w:eastAsiaTheme="minorEastAsia"/>
              <w:sz w:val="22"/>
              <w:szCs w:val="22"/>
            </w:rPr>
            <w:fldChar w:fldCharType="begin"/>
          </w:r>
          <w:r>
            <w:rPr>
              <w:rFonts w:ascii="Times New Roman" w:hAnsi="Times New Roman" w:cs="Times New Roman" w:eastAsiaTheme="minorEastAsia"/>
              <w:sz w:val="22"/>
              <w:szCs w:val="22"/>
            </w:rPr>
            <w:instrText xml:space="preserve"> PAGEREF _Toc17319 \h </w:instrText>
          </w:r>
          <w:r>
            <w:rPr>
              <w:rFonts w:ascii="Times New Roman" w:hAnsi="Times New Roman" w:cs="Times New Roman" w:eastAsiaTheme="minorEastAsia"/>
              <w:sz w:val="22"/>
              <w:szCs w:val="22"/>
            </w:rPr>
            <w:fldChar w:fldCharType="separate"/>
          </w:r>
          <w:r>
            <w:rPr>
              <w:rFonts w:ascii="Times New Roman" w:hAnsi="Times New Roman" w:cs="Times New Roman" w:eastAsiaTheme="minorEastAsia"/>
              <w:sz w:val="22"/>
              <w:szCs w:val="22"/>
            </w:rPr>
            <w:t>4</w:t>
          </w:r>
          <w:r>
            <w:rPr>
              <w:rFonts w:ascii="Times New Roman" w:hAnsi="Times New Roman" w:cs="Times New Roman" w:eastAsiaTheme="minorEastAsia"/>
              <w:sz w:val="22"/>
              <w:szCs w:val="22"/>
            </w:rPr>
            <w:fldChar w:fldCharType="end"/>
          </w:r>
          <w:r>
            <w:rPr>
              <w:rFonts w:ascii="Times New Roman" w:hAnsi="Times New Roman" w:cs="Times New Roman" w:eastAsiaTheme="minorEastAsia"/>
              <w:sz w:val="22"/>
              <w:szCs w:val="22"/>
            </w:rPr>
            <w:fldChar w:fldCharType="end"/>
          </w:r>
        </w:p>
        <w:p w14:paraId="721439F5">
          <w:pPr>
            <w:pStyle w:val="6"/>
            <w:tabs>
              <w:tab w:val="right" w:leader="dot" w:pos="9073"/>
            </w:tabs>
            <w:ind w:left="0" w:leftChars="0"/>
            <w:rPr>
              <w:rFonts w:ascii="Times New Roman" w:hAnsi="Times New Roman" w:cs="Times New Roman" w:eastAsiaTheme="minorEastAsia"/>
              <w:sz w:val="22"/>
              <w:szCs w:val="22"/>
            </w:rPr>
          </w:pPr>
          <w:r>
            <w:fldChar w:fldCharType="begin"/>
          </w:r>
          <w:r>
            <w:instrText xml:space="preserve"> HYPERLINK \l "_Toc13796" </w:instrText>
          </w:r>
          <w:r>
            <w:fldChar w:fldCharType="separate"/>
          </w:r>
          <w:r>
            <w:rPr>
              <w:rFonts w:ascii="Times New Roman" w:hAnsi="Times New Roman" w:cs="Times New Roman" w:eastAsiaTheme="minorEastAsia"/>
              <w:spacing w:val="6"/>
              <w:sz w:val="22"/>
              <w:szCs w:val="22"/>
              <w:lang w:eastAsia="zh-CN"/>
            </w:rPr>
            <w:t>6.1 数据描述</w:t>
          </w:r>
          <w:r>
            <w:rPr>
              <w:rFonts w:ascii="Times New Roman" w:hAnsi="Times New Roman" w:cs="Times New Roman" w:eastAsiaTheme="minorEastAsia"/>
              <w:sz w:val="22"/>
              <w:szCs w:val="22"/>
            </w:rPr>
            <w:tab/>
          </w:r>
          <w:r>
            <w:rPr>
              <w:rFonts w:ascii="Times New Roman" w:hAnsi="Times New Roman" w:cs="Times New Roman" w:eastAsiaTheme="minorEastAsia"/>
              <w:sz w:val="22"/>
              <w:szCs w:val="22"/>
            </w:rPr>
            <w:fldChar w:fldCharType="begin"/>
          </w:r>
          <w:r>
            <w:rPr>
              <w:rFonts w:ascii="Times New Roman" w:hAnsi="Times New Roman" w:cs="Times New Roman" w:eastAsiaTheme="minorEastAsia"/>
              <w:sz w:val="22"/>
              <w:szCs w:val="22"/>
            </w:rPr>
            <w:instrText xml:space="preserve"> PAGEREF _Toc13796 \h </w:instrText>
          </w:r>
          <w:r>
            <w:rPr>
              <w:rFonts w:ascii="Times New Roman" w:hAnsi="Times New Roman" w:cs="Times New Roman" w:eastAsiaTheme="minorEastAsia"/>
              <w:sz w:val="22"/>
              <w:szCs w:val="22"/>
            </w:rPr>
            <w:fldChar w:fldCharType="separate"/>
          </w:r>
          <w:r>
            <w:rPr>
              <w:rFonts w:ascii="Times New Roman" w:hAnsi="Times New Roman" w:cs="Times New Roman" w:eastAsiaTheme="minorEastAsia"/>
              <w:sz w:val="22"/>
              <w:szCs w:val="22"/>
            </w:rPr>
            <w:t>4</w:t>
          </w:r>
          <w:r>
            <w:rPr>
              <w:rFonts w:ascii="Times New Roman" w:hAnsi="Times New Roman" w:cs="Times New Roman" w:eastAsiaTheme="minorEastAsia"/>
              <w:sz w:val="22"/>
              <w:szCs w:val="22"/>
            </w:rPr>
            <w:fldChar w:fldCharType="end"/>
          </w:r>
          <w:r>
            <w:rPr>
              <w:rFonts w:ascii="Times New Roman" w:hAnsi="Times New Roman" w:cs="Times New Roman" w:eastAsiaTheme="minorEastAsia"/>
              <w:sz w:val="22"/>
              <w:szCs w:val="22"/>
            </w:rPr>
            <w:fldChar w:fldCharType="end"/>
          </w:r>
        </w:p>
        <w:p w14:paraId="0D005728">
          <w:pPr>
            <w:pStyle w:val="6"/>
            <w:tabs>
              <w:tab w:val="right" w:leader="dot" w:pos="9073"/>
            </w:tabs>
            <w:ind w:left="0" w:leftChars="0"/>
            <w:rPr>
              <w:rFonts w:ascii="Times New Roman" w:hAnsi="Times New Roman" w:cs="Times New Roman" w:eastAsiaTheme="minorEastAsia"/>
              <w:sz w:val="22"/>
              <w:szCs w:val="22"/>
            </w:rPr>
          </w:pPr>
          <w:r>
            <w:fldChar w:fldCharType="begin"/>
          </w:r>
          <w:r>
            <w:instrText xml:space="preserve"> HYPERLINK \l "_Toc20497" </w:instrText>
          </w:r>
          <w:r>
            <w:fldChar w:fldCharType="separate"/>
          </w:r>
          <w:r>
            <w:rPr>
              <w:rFonts w:ascii="Times New Roman" w:hAnsi="Times New Roman" w:cs="Times New Roman" w:eastAsiaTheme="minorEastAsia"/>
              <w:spacing w:val="11"/>
              <w:position w:val="1"/>
              <w:sz w:val="22"/>
              <w:szCs w:val="22"/>
            </w:rPr>
            <w:t>6.2</w:t>
          </w:r>
          <w:r>
            <w:rPr>
              <w:rFonts w:ascii="Times New Roman" w:hAnsi="Times New Roman" w:cs="Times New Roman" w:eastAsiaTheme="minorEastAsia"/>
              <w:spacing w:val="9"/>
              <w:position w:val="1"/>
              <w:sz w:val="22"/>
              <w:szCs w:val="22"/>
            </w:rPr>
            <w:t xml:space="preserve"> </w:t>
          </w:r>
          <w:r>
            <w:rPr>
              <w:rFonts w:ascii="Times New Roman" w:hAnsi="Times New Roman" w:cs="Times New Roman" w:eastAsiaTheme="minorEastAsia"/>
              <w:spacing w:val="11"/>
              <w:position w:val="1"/>
              <w:sz w:val="22"/>
              <w:szCs w:val="22"/>
            </w:rPr>
            <w:t>数据质量要求</w:t>
          </w:r>
          <w:r>
            <w:rPr>
              <w:rFonts w:ascii="Times New Roman" w:hAnsi="Times New Roman" w:cs="Times New Roman" w:eastAsiaTheme="minorEastAsia"/>
              <w:sz w:val="22"/>
              <w:szCs w:val="22"/>
            </w:rPr>
            <w:tab/>
          </w:r>
          <w:r>
            <w:rPr>
              <w:rFonts w:ascii="Times New Roman" w:hAnsi="Times New Roman" w:cs="Times New Roman" w:eastAsiaTheme="minorEastAsia"/>
              <w:sz w:val="22"/>
              <w:szCs w:val="22"/>
            </w:rPr>
            <w:fldChar w:fldCharType="begin"/>
          </w:r>
          <w:r>
            <w:rPr>
              <w:rFonts w:ascii="Times New Roman" w:hAnsi="Times New Roman" w:cs="Times New Roman" w:eastAsiaTheme="minorEastAsia"/>
              <w:sz w:val="22"/>
              <w:szCs w:val="22"/>
            </w:rPr>
            <w:instrText xml:space="preserve"> PAGEREF _Toc20497 \h </w:instrText>
          </w:r>
          <w:r>
            <w:rPr>
              <w:rFonts w:ascii="Times New Roman" w:hAnsi="Times New Roman" w:cs="Times New Roman" w:eastAsiaTheme="minorEastAsia"/>
              <w:sz w:val="22"/>
              <w:szCs w:val="22"/>
            </w:rPr>
            <w:fldChar w:fldCharType="separate"/>
          </w:r>
          <w:r>
            <w:rPr>
              <w:rFonts w:ascii="Times New Roman" w:hAnsi="Times New Roman" w:cs="Times New Roman" w:eastAsiaTheme="minorEastAsia"/>
              <w:sz w:val="22"/>
              <w:szCs w:val="22"/>
            </w:rPr>
            <w:t>5</w:t>
          </w:r>
          <w:r>
            <w:rPr>
              <w:rFonts w:ascii="Times New Roman" w:hAnsi="Times New Roman" w:cs="Times New Roman" w:eastAsiaTheme="minorEastAsia"/>
              <w:sz w:val="22"/>
              <w:szCs w:val="22"/>
            </w:rPr>
            <w:fldChar w:fldCharType="end"/>
          </w:r>
          <w:r>
            <w:rPr>
              <w:rFonts w:ascii="Times New Roman" w:hAnsi="Times New Roman" w:cs="Times New Roman" w:eastAsiaTheme="minorEastAsia"/>
              <w:sz w:val="22"/>
              <w:szCs w:val="22"/>
            </w:rPr>
            <w:fldChar w:fldCharType="end"/>
          </w:r>
        </w:p>
        <w:p w14:paraId="611C436A">
          <w:pPr>
            <w:pStyle w:val="6"/>
            <w:tabs>
              <w:tab w:val="right" w:leader="dot" w:pos="9073"/>
            </w:tabs>
            <w:ind w:left="0" w:leftChars="0"/>
            <w:rPr>
              <w:rFonts w:ascii="Times New Roman" w:hAnsi="Times New Roman" w:cs="Times New Roman" w:eastAsiaTheme="minorEastAsia"/>
              <w:sz w:val="22"/>
              <w:szCs w:val="22"/>
            </w:rPr>
          </w:pPr>
          <w:r>
            <w:fldChar w:fldCharType="begin"/>
          </w:r>
          <w:r>
            <w:instrText xml:space="preserve"> HYPERLINK \l "_Toc17424" </w:instrText>
          </w:r>
          <w:r>
            <w:fldChar w:fldCharType="separate"/>
          </w:r>
          <w:r>
            <w:rPr>
              <w:rFonts w:ascii="Times New Roman" w:hAnsi="Times New Roman" w:cs="Times New Roman" w:eastAsiaTheme="minorEastAsia"/>
              <w:spacing w:val="11"/>
              <w:position w:val="1"/>
              <w:sz w:val="22"/>
              <w:szCs w:val="22"/>
            </w:rPr>
            <w:t>6.3</w:t>
          </w:r>
          <w:r>
            <w:rPr>
              <w:rFonts w:ascii="Times New Roman" w:hAnsi="Times New Roman" w:cs="Times New Roman" w:eastAsiaTheme="minorEastAsia"/>
              <w:spacing w:val="9"/>
              <w:position w:val="1"/>
              <w:sz w:val="22"/>
              <w:szCs w:val="22"/>
            </w:rPr>
            <w:t xml:space="preserve"> </w:t>
          </w:r>
          <w:r>
            <w:rPr>
              <w:rFonts w:ascii="Times New Roman" w:hAnsi="Times New Roman" w:cs="Times New Roman" w:eastAsiaTheme="minorEastAsia"/>
              <w:spacing w:val="11"/>
              <w:position w:val="1"/>
              <w:sz w:val="22"/>
              <w:szCs w:val="22"/>
            </w:rPr>
            <w:t>数据质量评价</w:t>
          </w:r>
          <w:r>
            <w:rPr>
              <w:rFonts w:ascii="Times New Roman" w:hAnsi="Times New Roman" w:cs="Times New Roman" w:eastAsiaTheme="minorEastAsia"/>
              <w:sz w:val="22"/>
              <w:szCs w:val="22"/>
            </w:rPr>
            <w:tab/>
          </w:r>
          <w:r>
            <w:rPr>
              <w:rFonts w:ascii="Times New Roman" w:hAnsi="Times New Roman" w:cs="Times New Roman" w:eastAsiaTheme="minorEastAsia"/>
              <w:sz w:val="22"/>
              <w:szCs w:val="22"/>
            </w:rPr>
            <w:fldChar w:fldCharType="begin"/>
          </w:r>
          <w:r>
            <w:rPr>
              <w:rFonts w:ascii="Times New Roman" w:hAnsi="Times New Roman" w:cs="Times New Roman" w:eastAsiaTheme="minorEastAsia"/>
              <w:sz w:val="22"/>
              <w:szCs w:val="22"/>
            </w:rPr>
            <w:instrText xml:space="preserve"> PAGEREF _Toc17424 \h </w:instrText>
          </w:r>
          <w:r>
            <w:rPr>
              <w:rFonts w:ascii="Times New Roman" w:hAnsi="Times New Roman" w:cs="Times New Roman" w:eastAsiaTheme="minorEastAsia"/>
              <w:sz w:val="22"/>
              <w:szCs w:val="22"/>
            </w:rPr>
            <w:fldChar w:fldCharType="separate"/>
          </w:r>
          <w:r>
            <w:rPr>
              <w:rFonts w:ascii="Times New Roman" w:hAnsi="Times New Roman" w:cs="Times New Roman" w:eastAsiaTheme="minorEastAsia"/>
              <w:sz w:val="22"/>
              <w:szCs w:val="22"/>
            </w:rPr>
            <w:t>5</w:t>
          </w:r>
          <w:r>
            <w:rPr>
              <w:rFonts w:ascii="Times New Roman" w:hAnsi="Times New Roman" w:cs="Times New Roman" w:eastAsiaTheme="minorEastAsia"/>
              <w:sz w:val="22"/>
              <w:szCs w:val="22"/>
            </w:rPr>
            <w:fldChar w:fldCharType="end"/>
          </w:r>
          <w:r>
            <w:rPr>
              <w:rFonts w:ascii="Times New Roman" w:hAnsi="Times New Roman" w:cs="Times New Roman" w:eastAsiaTheme="minorEastAsia"/>
              <w:sz w:val="22"/>
              <w:szCs w:val="22"/>
            </w:rPr>
            <w:fldChar w:fldCharType="end"/>
          </w:r>
        </w:p>
        <w:p w14:paraId="145327F5">
          <w:pPr>
            <w:pStyle w:val="5"/>
            <w:tabs>
              <w:tab w:val="right" w:leader="dot" w:pos="9073"/>
            </w:tabs>
            <w:rPr>
              <w:rFonts w:ascii="Times New Roman" w:hAnsi="Times New Roman" w:cs="Times New Roman" w:eastAsiaTheme="minorEastAsia"/>
              <w:sz w:val="22"/>
              <w:szCs w:val="22"/>
            </w:rPr>
          </w:pPr>
          <w:r>
            <w:fldChar w:fldCharType="begin"/>
          </w:r>
          <w:r>
            <w:instrText xml:space="preserve"> HYPERLINK \l "_Toc8435" </w:instrText>
          </w:r>
          <w:r>
            <w:fldChar w:fldCharType="separate"/>
          </w:r>
          <w:r>
            <w:rPr>
              <w:rFonts w:ascii="Times New Roman" w:hAnsi="Times New Roman" w:cs="Times New Roman" w:eastAsiaTheme="minorEastAsia"/>
              <w:spacing w:val="7"/>
              <w:sz w:val="22"/>
              <w:szCs w:val="22"/>
              <w:lang w:eastAsia="zh-CN"/>
            </w:rPr>
            <w:t>7</w:t>
          </w:r>
          <w:r>
            <w:rPr>
              <w:rFonts w:ascii="Times New Roman" w:hAnsi="Times New Roman" w:cs="Times New Roman" w:eastAsiaTheme="minorEastAsia"/>
              <w:spacing w:val="7"/>
              <w:sz w:val="22"/>
              <w:szCs w:val="22"/>
            </w:rPr>
            <w:t xml:space="preserve"> </w:t>
          </w:r>
          <w:r>
            <w:rPr>
              <w:rFonts w:ascii="Times New Roman" w:hAnsi="Times New Roman" w:cs="Times New Roman" w:eastAsiaTheme="minorEastAsia"/>
              <w:spacing w:val="7"/>
              <w:sz w:val="22"/>
              <w:szCs w:val="22"/>
              <w:lang w:eastAsia="zh-CN"/>
            </w:rPr>
            <w:t>清单分析</w:t>
          </w:r>
          <w:r>
            <w:rPr>
              <w:rFonts w:ascii="Times New Roman" w:hAnsi="Times New Roman" w:cs="Times New Roman" w:eastAsiaTheme="minorEastAsia"/>
              <w:sz w:val="22"/>
              <w:szCs w:val="22"/>
            </w:rPr>
            <w:tab/>
          </w:r>
          <w:r>
            <w:rPr>
              <w:rFonts w:ascii="Times New Roman" w:hAnsi="Times New Roman" w:cs="Times New Roman" w:eastAsiaTheme="minorEastAsia"/>
              <w:sz w:val="22"/>
              <w:szCs w:val="22"/>
            </w:rPr>
            <w:fldChar w:fldCharType="begin"/>
          </w:r>
          <w:r>
            <w:rPr>
              <w:rFonts w:ascii="Times New Roman" w:hAnsi="Times New Roman" w:cs="Times New Roman" w:eastAsiaTheme="minorEastAsia"/>
              <w:sz w:val="22"/>
              <w:szCs w:val="22"/>
            </w:rPr>
            <w:instrText xml:space="preserve"> PAGEREF _Toc8435 \h </w:instrText>
          </w:r>
          <w:r>
            <w:rPr>
              <w:rFonts w:ascii="Times New Roman" w:hAnsi="Times New Roman" w:cs="Times New Roman" w:eastAsiaTheme="minorEastAsia"/>
              <w:sz w:val="22"/>
              <w:szCs w:val="22"/>
            </w:rPr>
            <w:fldChar w:fldCharType="separate"/>
          </w:r>
          <w:r>
            <w:rPr>
              <w:rFonts w:ascii="Times New Roman" w:hAnsi="Times New Roman" w:cs="Times New Roman" w:eastAsiaTheme="minorEastAsia"/>
              <w:sz w:val="22"/>
              <w:szCs w:val="22"/>
            </w:rPr>
            <w:t>5</w:t>
          </w:r>
          <w:r>
            <w:rPr>
              <w:rFonts w:ascii="Times New Roman" w:hAnsi="Times New Roman" w:cs="Times New Roman" w:eastAsiaTheme="minorEastAsia"/>
              <w:sz w:val="22"/>
              <w:szCs w:val="22"/>
            </w:rPr>
            <w:fldChar w:fldCharType="end"/>
          </w:r>
          <w:r>
            <w:rPr>
              <w:rFonts w:ascii="Times New Roman" w:hAnsi="Times New Roman" w:cs="Times New Roman" w:eastAsiaTheme="minorEastAsia"/>
              <w:sz w:val="22"/>
              <w:szCs w:val="22"/>
            </w:rPr>
            <w:fldChar w:fldCharType="end"/>
          </w:r>
        </w:p>
        <w:p w14:paraId="55308B70">
          <w:pPr>
            <w:pStyle w:val="6"/>
            <w:tabs>
              <w:tab w:val="right" w:leader="dot" w:pos="9073"/>
            </w:tabs>
            <w:ind w:left="0" w:leftChars="0"/>
            <w:rPr>
              <w:rFonts w:ascii="Times New Roman" w:hAnsi="Times New Roman" w:cs="Times New Roman" w:eastAsiaTheme="minorEastAsia"/>
              <w:sz w:val="22"/>
              <w:szCs w:val="22"/>
            </w:rPr>
          </w:pPr>
          <w:r>
            <w:fldChar w:fldCharType="begin"/>
          </w:r>
          <w:r>
            <w:instrText xml:space="preserve"> HYPERLINK \l "_Toc7770" </w:instrText>
          </w:r>
          <w:r>
            <w:fldChar w:fldCharType="separate"/>
          </w:r>
          <w:r>
            <w:rPr>
              <w:rFonts w:ascii="Times New Roman" w:hAnsi="Times New Roman" w:cs="Times New Roman" w:eastAsiaTheme="minorEastAsia"/>
              <w:spacing w:val="9"/>
              <w:position w:val="1"/>
              <w:sz w:val="22"/>
              <w:szCs w:val="22"/>
            </w:rPr>
            <w:t>7.1</w:t>
          </w:r>
          <w:r>
            <w:rPr>
              <w:rFonts w:ascii="Times New Roman" w:hAnsi="Times New Roman" w:cs="Times New Roman" w:eastAsiaTheme="minorEastAsia"/>
              <w:spacing w:val="8"/>
              <w:position w:val="1"/>
              <w:sz w:val="22"/>
              <w:szCs w:val="22"/>
            </w:rPr>
            <w:t xml:space="preserve"> </w:t>
          </w:r>
          <w:r>
            <w:rPr>
              <w:rFonts w:ascii="Times New Roman" w:hAnsi="Times New Roman" w:cs="Times New Roman" w:eastAsiaTheme="minorEastAsia"/>
              <w:spacing w:val="9"/>
              <w:position w:val="1"/>
              <w:sz w:val="22"/>
              <w:szCs w:val="22"/>
            </w:rPr>
            <w:t>数据收集</w:t>
          </w:r>
          <w:r>
            <w:rPr>
              <w:rFonts w:ascii="Times New Roman" w:hAnsi="Times New Roman" w:cs="Times New Roman" w:eastAsiaTheme="minorEastAsia"/>
              <w:sz w:val="22"/>
              <w:szCs w:val="22"/>
            </w:rPr>
            <w:tab/>
          </w:r>
          <w:r>
            <w:rPr>
              <w:rFonts w:ascii="Times New Roman" w:hAnsi="Times New Roman" w:cs="Times New Roman" w:eastAsiaTheme="minorEastAsia"/>
              <w:sz w:val="22"/>
              <w:szCs w:val="22"/>
            </w:rPr>
            <w:fldChar w:fldCharType="begin"/>
          </w:r>
          <w:r>
            <w:rPr>
              <w:rFonts w:ascii="Times New Roman" w:hAnsi="Times New Roman" w:cs="Times New Roman" w:eastAsiaTheme="minorEastAsia"/>
              <w:sz w:val="22"/>
              <w:szCs w:val="22"/>
            </w:rPr>
            <w:instrText xml:space="preserve"> PAGEREF _Toc7770 \h </w:instrText>
          </w:r>
          <w:r>
            <w:rPr>
              <w:rFonts w:ascii="Times New Roman" w:hAnsi="Times New Roman" w:cs="Times New Roman" w:eastAsiaTheme="minorEastAsia"/>
              <w:sz w:val="22"/>
              <w:szCs w:val="22"/>
            </w:rPr>
            <w:fldChar w:fldCharType="separate"/>
          </w:r>
          <w:r>
            <w:rPr>
              <w:rFonts w:ascii="Times New Roman" w:hAnsi="Times New Roman" w:cs="Times New Roman" w:eastAsiaTheme="minorEastAsia"/>
              <w:sz w:val="22"/>
              <w:szCs w:val="22"/>
            </w:rPr>
            <w:t>5</w:t>
          </w:r>
          <w:r>
            <w:rPr>
              <w:rFonts w:ascii="Times New Roman" w:hAnsi="Times New Roman" w:cs="Times New Roman" w:eastAsiaTheme="minorEastAsia"/>
              <w:sz w:val="22"/>
              <w:szCs w:val="22"/>
            </w:rPr>
            <w:fldChar w:fldCharType="end"/>
          </w:r>
          <w:r>
            <w:rPr>
              <w:rFonts w:ascii="Times New Roman" w:hAnsi="Times New Roman" w:cs="Times New Roman" w:eastAsiaTheme="minorEastAsia"/>
              <w:sz w:val="22"/>
              <w:szCs w:val="22"/>
            </w:rPr>
            <w:fldChar w:fldCharType="end"/>
          </w:r>
        </w:p>
        <w:p w14:paraId="426232AF">
          <w:pPr>
            <w:pStyle w:val="6"/>
            <w:tabs>
              <w:tab w:val="right" w:leader="dot" w:pos="9073"/>
            </w:tabs>
            <w:ind w:left="0" w:leftChars="0"/>
            <w:rPr>
              <w:rFonts w:ascii="Times New Roman" w:hAnsi="Times New Roman" w:cs="Times New Roman" w:eastAsiaTheme="minorEastAsia"/>
              <w:sz w:val="22"/>
              <w:szCs w:val="22"/>
            </w:rPr>
          </w:pPr>
          <w:r>
            <w:fldChar w:fldCharType="begin"/>
          </w:r>
          <w:r>
            <w:instrText xml:space="preserve"> HYPERLINK \l "_Toc28131" </w:instrText>
          </w:r>
          <w:r>
            <w:fldChar w:fldCharType="separate"/>
          </w:r>
          <w:r>
            <w:rPr>
              <w:rFonts w:ascii="Times New Roman" w:hAnsi="Times New Roman" w:cs="Times New Roman" w:eastAsiaTheme="minorEastAsia"/>
              <w:spacing w:val="9"/>
              <w:position w:val="1"/>
              <w:sz w:val="22"/>
              <w:szCs w:val="22"/>
            </w:rPr>
            <w:t>7.2</w:t>
          </w:r>
          <w:r>
            <w:rPr>
              <w:rFonts w:ascii="Times New Roman" w:hAnsi="Times New Roman" w:cs="Times New Roman" w:eastAsiaTheme="minorEastAsia"/>
              <w:spacing w:val="8"/>
              <w:position w:val="1"/>
              <w:sz w:val="22"/>
              <w:szCs w:val="22"/>
            </w:rPr>
            <w:t xml:space="preserve"> </w:t>
          </w:r>
          <w:r>
            <w:rPr>
              <w:rFonts w:ascii="Times New Roman" w:hAnsi="Times New Roman" w:cs="Times New Roman" w:eastAsiaTheme="minorEastAsia"/>
              <w:spacing w:val="9"/>
              <w:position w:val="1"/>
              <w:sz w:val="22"/>
              <w:szCs w:val="22"/>
            </w:rPr>
            <w:t>数据审定</w:t>
          </w:r>
          <w:r>
            <w:rPr>
              <w:rFonts w:ascii="Times New Roman" w:hAnsi="Times New Roman" w:cs="Times New Roman" w:eastAsiaTheme="minorEastAsia"/>
              <w:sz w:val="22"/>
              <w:szCs w:val="22"/>
            </w:rPr>
            <w:tab/>
          </w:r>
          <w:r>
            <w:rPr>
              <w:rFonts w:ascii="Times New Roman" w:hAnsi="Times New Roman" w:cs="Times New Roman" w:eastAsiaTheme="minorEastAsia"/>
              <w:sz w:val="22"/>
              <w:szCs w:val="22"/>
            </w:rPr>
            <w:fldChar w:fldCharType="begin"/>
          </w:r>
          <w:r>
            <w:rPr>
              <w:rFonts w:ascii="Times New Roman" w:hAnsi="Times New Roman" w:cs="Times New Roman" w:eastAsiaTheme="minorEastAsia"/>
              <w:sz w:val="22"/>
              <w:szCs w:val="22"/>
            </w:rPr>
            <w:instrText xml:space="preserve"> PAGEREF _Toc28131 \h </w:instrText>
          </w:r>
          <w:r>
            <w:rPr>
              <w:rFonts w:ascii="Times New Roman" w:hAnsi="Times New Roman" w:cs="Times New Roman" w:eastAsiaTheme="minorEastAsia"/>
              <w:sz w:val="22"/>
              <w:szCs w:val="22"/>
            </w:rPr>
            <w:fldChar w:fldCharType="separate"/>
          </w:r>
          <w:r>
            <w:rPr>
              <w:rFonts w:ascii="Times New Roman" w:hAnsi="Times New Roman" w:cs="Times New Roman" w:eastAsiaTheme="minorEastAsia"/>
              <w:sz w:val="22"/>
              <w:szCs w:val="22"/>
            </w:rPr>
            <w:t>7</w:t>
          </w:r>
          <w:r>
            <w:rPr>
              <w:rFonts w:ascii="Times New Roman" w:hAnsi="Times New Roman" w:cs="Times New Roman" w:eastAsiaTheme="minorEastAsia"/>
              <w:sz w:val="22"/>
              <w:szCs w:val="22"/>
            </w:rPr>
            <w:fldChar w:fldCharType="end"/>
          </w:r>
          <w:r>
            <w:rPr>
              <w:rFonts w:ascii="Times New Roman" w:hAnsi="Times New Roman" w:cs="Times New Roman" w:eastAsiaTheme="minorEastAsia"/>
              <w:sz w:val="22"/>
              <w:szCs w:val="22"/>
            </w:rPr>
            <w:fldChar w:fldCharType="end"/>
          </w:r>
        </w:p>
        <w:p w14:paraId="4C3F4C19">
          <w:pPr>
            <w:pStyle w:val="6"/>
            <w:tabs>
              <w:tab w:val="right" w:leader="dot" w:pos="9073"/>
            </w:tabs>
            <w:ind w:left="0" w:leftChars="0"/>
            <w:rPr>
              <w:rFonts w:ascii="Times New Roman" w:hAnsi="Times New Roman" w:cs="Times New Roman" w:eastAsiaTheme="minorEastAsia"/>
              <w:sz w:val="22"/>
              <w:szCs w:val="22"/>
            </w:rPr>
          </w:pPr>
          <w:r>
            <w:fldChar w:fldCharType="begin"/>
          </w:r>
          <w:r>
            <w:instrText xml:space="preserve"> HYPERLINK \l "_Toc23610" </w:instrText>
          </w:r>
          <w:r>
            <w:fldChar w:fldCharType="separate"/>
          </w:r>
          <w:r>
            <w:rPr>
              <w:rFonts w:ascii="Times New Roman" w:hAnsi="Times New Roman" w:cs="Times New Roman" w:eastAsiaTheme="minorEastAsia"/>
              <w:spacing w:val="8"/>
              <w:position w:val="1"/>
              <w:sz w:val="22"/>
              <w:szCs w:val="22"/>
            </w:rPr>
            <w:t>7.3</w:t>
          </w:r>
          <w:r>
            <w:rPr>
              <w:rFonts w:ascii="Times New Roman" w:hAnsi="Times New Roman" w:cs="Times New Roman" w:eastAsiaTheme="minorEastAsia"/>
              <w:spacing w:val="9"/>
              <w:position w:val="1"/>
              <w:sz w:val="22"/>
              <w:szCs w:val="22"/>
            </w:rPr>
            <w:t xml:space="preserve"> </w:t>
          </w:r>
          <w:r>
            <w:rPr>
              <w:rFonts w:ascii="Times New Roman" w:hAnsi="Times New Roman" w:cs="Times New Roman" w:eastAsiaTheme="minorEastAsia"/>
              <w:spacing w:val="8"/>
              <w:position w:val="1"/>
              <w:sz w:val="22"/>
              <w:szCs w:val="22"/>
            </w:rPr>
            <w:t>数据分配</w:t>
          </w:r>
          <w:r>
            <w:rPr>
              <w:rFonts w:ascii="Times New Roman" w:hAnsi="Times New Roman" w:cs="Times New Roman" w:eastAsiaTheme="minorEastAsia"/>
              <w:sz w:val="22"/>
              <w:szCs w:val="22"/>
            </w:rPr>
            <w:tab/>
          </w:r>
          <w:r>
            <w:rPr>
              <w:rFonts w:ascii="Times New Roman" w:hAnsi="Times New Roman" w:cs="Times New Roman" w:eastAsiaTheme="minorEastAsia"/>
              <w:sz w:val="22"/>
              <w:szCs w:val="22"/>
            </w:rPr>
            <w:fldChar w:fldCharType="begin"/>
          </w:r>
          <w:r>
            <w:rPr>
              <w:rFonts w:ascii="Times New Roman" w:hAnsi="Times New Roman" w:cs="Times New Roman" w:eastAsiaTheme="minorEastAsia"/>
              <w:sz w:val="22"/>
              <w:szCs w:val="22"/>
            </w:rPr>
            <w:instrText xml:space="preserve"> PAGEREF _Toc23610 \h </w:instrText>
          </w:r>
          <w:r>
            <w:rPr>
              <w:rFonts w:ascii="Times New Roman" w:hAnsi="Times New Roman" w:cs="Times New Roman" w:eastAsiaTheme="minorEastAsia"/>
              <w:sz w:val="22"/>
              <w:szCs w:val="22"/>
            </w:rPr>
            <w:fldChar w:fldCharType="separate"/>
          </w:r>
          <w:r>
            <w:rPr>
              <w:rFonts w:ascii="Times New Roman" w:hAnsi="Times New Roman" w:cs="Times New Roman" w:eastAsiaTheme="minorEastAsia"/>
              <w:sz w:val="22"/>
              <w:szCs w:val="22"/>
            </w:rPr>
            <w:t>7</w:t>
          </w:r>
          <w:r>
            <w:rPr>
              <w:rFonts w:ascii="Times New Roman" w:hAnsi="Times New Roman" w:cs="Times New Roman" w:eastAsiaTheme="minorEastAsia"/>
              <w:sz w:val="22"/>
              <w:szCs w:val="22"/>
            </w:rPr>
            <w:fldChar w:fldCharType="end"/>
          </w:r>
          <w:r>
            <w:rPr>
              <w:rFonts w:ascii="Times New Roman" w:hAnsi="Times New Roman" w:cs="Times New Roman" w:eastAsiaTheme="minorEastAsia"/>
              <w:sz w:val="22"/>
              <w:szCs w:val="22"/>
            </w:rPr>
            <w:fldChar w:fldCharType="end"/>
          </w:r>
        </w:p>
        <w:p w14:paraId="335743D5">
          <w:pPr>
            <w:pStyle w:val="6"/>
            <w:tabs>
              <w:tab w:val="right" w:leader="dot" w:pos="9073"/>
            </w:tabs>
            <w:ind w:left="0" w:leftChars="0"/>
            <w:rPr>
              <w:rFonts w:ascii="Times New Roman" w:hAnsi="Times New Roman" w:cs="Times New Roman" w:eastAsiaTheme="minorEastAsia"/>
              <w:sz w:val="22"/>
              <w:szCs w:val="22"/>
            </w:rPr>
          </w:pPr>
          <w:r>
            <w:fldChar w:fldCharType="begin"/>
          </w:r>
          <w:r>
            <w:instrText xml:space="preserve"> HYPERLINK \l "_Toc7630" </w:instrText>
          </w:r>
          <w:r>
            <w:fldChar w:fldCharType="separate"/>
          </w:r>
          <w:r>
            <w:rPr>
              <w:rFonts w:ascii="Times New Roman" w:hAnsi="Times New Roman" w:cs="Times New Roman" w:eastAsiaTheme="minorEastAsia"/>
              <w:spacing w:val="11"/>
              <w:position w:val="1"/>
              <w:sz w:val="22"/>
              <w:szCs w:val="22"/>
            </w:rPr>
            <w:t>7.4</w:t>
          </w:r>
          <w:r>
            <w:rPr>
              <w:rFonts w:ascii="Times New Roman" w:hAnsi="Times New Roman" w:cs="Times New Roman" w:eastAsiaTheme="minorEastAsia"/>
              <w:spacing w:val="8"/>
              <w:position w:val="1"/>
              <w:sz w:val="22"/>
              <w:szCs w:val="22"/>
            </w:rPr>
            <w:t xml:space="preserve"> </w:t>
          </w:r>
          <w:r>
            <w:rPr>
              <w:rFonts w:ascii="Times New Roman" w:hAnsi="Times New Roman" w:cs="Times New Roman" w:eastAsiaTheme="minorEastAsia"/>
              <w:spacing w:val="11"/>
              <w:position w:val="1"/>
              <w:sz w:val="22"/>
              <w:szCs w:val="22"/>
            </w:rPr>
            <w:t>数据取舍原则</w:t>
          </w:r>
          <w:r>
            <w:rPr>
              <w:rFonts w:ascii="Times New Roman" w:hAnsi="Times New Roman" w:cs="Times New Roman" w:eastAsiaTheme="minorEastAsia"/>
              <w:sz w:val="22"/>
              <w:szCs w:val="22"/>
            </w:rPr>
            <w:tab/>
          </w:r>
          <w:r>
            <w:rPr>
              <w:rFonts w:ascii="Times New Roman" w:hAnsi="Times New Roman" w:cs="Times New Roman" w:eastAsiaTheme="minorEastAsia"/>
              <w:sz w:val="22"/>
              <w:szCs w:val="22"/>
            </w:rPr>
            <w:fldChar w:fldCharType="begin"/>
          </w:r>
          <w:r>
            <w:rPr>
              <w:rFonts w:ascii="Times New Roman" w:hAnsi="Times New Roman" w:cs="Times New Roman" w:eastAsiaTheme="minorEastAsia"/>
              <w:sz w:val="22"/>
              <w:szCs w:val="22"/>
            </w:rPr>
            <w:instrText xml:space="preserve"> PAGEREF _Toc7630 \h </w:instrText>
          </w:r>
          <w:r>
            <w:rPr>
              <w:rFonts w:ascii="Times New Roman" w:hAnsi="Times New Roman" w:cs="Times New Roman" w:eastAsiaTheme="minorEastAsia"/>
              <w:sz w:val="22"/>
              <w:szCs w:val="22"/>
            </w:rPr>
            <w:fldChar w:fldCharType="separate"/>
          </w:r>
          <w:r>
            <w:rPr>
              <w:rFonts w:ascii="Times New Roman" w:hAnsi="Times New Roman" w:cs="Times New Roman" w:eastAsiaTheme="minorEastAsia"/>
              <w:sz w:val="22"/>
              <w:szCs w:val="22"/>
            </w:rPr>
            <w:t>7</w:t>
          </w:r>
          <w:r>
            <w:rPr>
              <w:rFonts w:ascii="Times New Roman" w:hAnsi="Times New Roman" w:cs="Times New Roman" w:eastAsiaTheme="minorEastAsia"/>
              <w:sz w:val="22"/>
              <w:szCs w:val="22"/>
            </w:rPr>
            <w:fldChar w:fldCharType="end"/>
          </w:r>
          <w:r>
            <w:rPr>
              <w:rFonts w:ascii="Times New Roman" w:hAnsi="Times New Roman" w:cs="Times New Roman" w:eastAsiaTheme="minorEastAsia"/>
              <w:sz w:val="22"/>
              <w:szCs w:val="22"/>
            </w:rPr>
            <w:fldChar w:fldCharType="end"/>
          </w:r>
        </w:p>
        <w:p w14:paraId="35D219AC">
          <w:pPr>
            <w:pStyle w:val="6"/>
            <w:tabs>
              <w:tab w:val="right" w:leader="dot" w:pos="9073"/>
            </w:tabs>
            <w:ind w:left="0" w:leftChars="0"/>
            <w:rPr>
              <w:rFonts w:ascii="Times New Roman" w:hAnsi="Times New Roman" w:cs="Times New Roman" w:eastAsiaTheme="minorEastAsia"/>
              <w:sz w:val="22"/>
              <w:szCs w:val="22"/>
            </w:rPr>
          </w:pPr>
          <w:r>
            <w:fldChar w:fldCharType="begin"/>
          </w:r>
          <w:r>
            <w:instrText xml:space="preserve"> HYPERLINK \l "_Toc2293" </w:instrText>
          </w:r>
          <w:r>
            <w:fldChar w:fldCharType="separate"/>
          </w:r>
          <w:r>
            <w:rPr>
              <w:rFonts w:ascii="Times New Roman" w:hAnsi="Times New Roman" w:cs="Times New Roman" w:eastAsiaTheme="minorEastAsia"/>
              <w:spacing w:val="9"/>
              <w:position w:val="1"/>
              <w:sz w:val="22"/>
              <w:szCs w:val="22"/>
            </w:rPr>
            <w:t>7.5 清单计算</w:t>
          </w:r>
          <w:r>
            <w:rPr>
              <w:rFonts w:ascii="Times New Roman" w:hAnsi="Times New Roman" w:cs="Times New Roman" w:eastAsiaTheme="minorEastAsia"/>
              <w:sz w:val="22"/>
              <w:szCs w:val="22"/>
            </w:rPr>
            <w:tab/>
          </w:r>
          <w:r>
            <w:rPr>
              <w:rFonts w:ascii="Times New Roman" w:hAnsi="Times New Roman" w:cs="Times New Roman" w:eastAsiaTheme="minorEastAsia"/>
              <w:sz w:val="22"/>
              <w:szCs w:val="22"/>
            </w:rPr>
            <w:fldChar w:fldCharType="begin"/>
          </w:r>
          <w:r>
            <w:rPr>
              <w:rFonts w:ascii="Times New Roman" w:hAnsi="Times New Roman" w:cs="Times New Roman" w:eastAsiaTheme="minorEastAsia"/>
              <w:sz w:val="22"/>
              <w:szCs w:val="22"/>
            </w:rPr>
            <w:instrText xml:space="preserve"> PAGEREF _Toc2293 \h </w:instrText>
          </w:r>
          <w:r>
            <w:rPr>
              <w:rFonts w:ascii="Times New Roman" w:hAnsi="Times New Roman" w:cs="Times New Roman" w:eastAsiaTheme="minorEastAsia"/>
              <w:sz w:val="22"/>
              <w:szCs w:val="22"/>
            </w:rPr>
            <w:fldChar w:fldCharType="separate"/>
          </w:r>
          <w:r>
            <w:rPr>
              <w:rFonts w:ascii="Times New Roman" w:hAnsi="Times New Roman" w:cs="Times New Roman" w:eastAsiaTheme="minorEastAsia"/>
              <w:sz w:val="22"/>
              <w:szCs w:val="22"/>
            </w:rPr>
            <w:t>8</w:t>
          </w:r>
          <w:r>
            <w:rPr>
              <w:rFonts w:ascii="Times New Roman" w:hAnsi="Times New Roman" w:cs="Times New Roman" w:eastAsiaTheme="minorEastAsia"/>
              <w:sz w:val="22"/>
              <w:szCs w:val="22"/>
            </w:rPr>
            <w:fldChar w:fldCharType="end"/>
          </w:r>
          <w:r>
            <w:rPr>
              <w:rFonts w:ascii="Times New Roman" w:hAnsi="Times New Roman" w:cs="Times New Roman" w:eastAsiaTheme="minorEastAsia"/>
              <w:sz w:val="22"/>
              <w:szCs w:val="22"/>
            </w:rPr>
            <w:fldChar w:fldCharType="end"/>
          </w:r>
        </w:p>
        <w:p w14:paraId="582FA669">
          <w:pPr>
            <w:pStyle w:val="5"/>
            <w:tabs>
              <w:tab w:val="right" w:leader="dot" w:pos="9073"/>
            </w:tabs>
            <w:rPr>
              <w:rFonts w:ascii="Times New Roman" w:hAnsi="Times New Roman" w:cs="Times New Roman" w:eastAsiaTheme="minorEastAsia"/>
              <w:sz w:val="22"/>
              <w:szCs w:val="22"/>
            </w:rPr>
          </w:pPr>
          <w:r>
            <w:fldChar w:fldCharType="begin"/>
          </w:r>
          <w:r>
            <w:instrText xml:space="preserve"> HYPERLINK \l "_Toc30409" </w:instrText>
          </w:r>
          <w:r>
            <w:fldChar w:fldCharType="separate"/>
          </w:r>
          <w:r>
            <w:rPr>
              <w:rFonts w:ascii="Times New Roman" w:hAnsi="Times New Roman" w:cs="Times New Roman" w:eastAsiaTheme="minorEastAsia"/>
              <w:spacing w:val="5"/>
              <w:sz w:val="22"/>
              <w:szCs w:val="22"/>
              <w:lang w:eastAsia="zh-CN"/>
            </w:rPr>
            <w:t>8</w:t>
          </w:r>
          <w:r>
            <w:rPr>
              <w:rFonts w:ascii="Times New Roman" w:hAnsi="Times New Roman" w:cs="Times New Roman" w:eastAsiaTheme="minorEastAsia"/>
              <w:spacing w:val="17"/>
              <w:sz w:val="22"/>
              <w:szCs w:val="22"/>
            </w:rPr>
            <w:t xml:space="preserve"> </w:t>
          </w:r>
          <w:r>
            <w:rPr>
              <w:rFonts w:ascii="Times New Roman" w:hAnsi="Times New Roman" w:cs="Times New Roman" w:eastAsiaTheme="minorEastAsia"/>
              <w:spacing w:val="5"/>
              <w:sz w:val="22"/>
              <w:szCs w:val="22"/>
              <w:lang w:eastAsia="zh-CN"/>
            </w:rPr>
            <w:t>产品碳足迹影响</w:t>
          </w:r>
          <w:r>
            <w:rPr>
              <w:rFonts w:ascii="Times New Roman" w:hAnsi="Times New Roman" w:cs="Times New Roman" w:eastAsiaTheme="minorEastAsia"/>
              <w:spacing w:val="5"/>
              <w:sz w:val="22"/>
              <w:szCs w:val="22"/>
            </w:rPr>
            <w:t>评价</w:t>
          </w:r>
          <w:r>
            <w:rPr>
              <w:rFonts w:ascii="Times New Roman" w:hAnsi="Times New Roman" w:cs="Times New Roman" w:eastAsiaTheme="minorEastAsia"/>
              <w:sz w:val="22"/>
              <w:szCs w:val="22"/>
            </w:rPr>
            <w:tab/>
          </w:r>
          <w:r>
            <w:rPr>
              <w:rFonts w:ascii="Times New Roman" w:hAnsi="Times New Roman" w:cs="Times New Roman" w:eastAsiaTheme="minorEastAsia"/>
              <w:sz w:val="22"/>
              <w:szCs w:val="22"/>
            </w:rPr>
            <w:fldChar w:fldCharType="begin"/>
          </w:r>
          <w:r>
            <w:rPr>
              <w:rFonts w:ascii="Times New Roman" w:hAnsi="Times New Roman" w:cs="Times New Roman" w:eastAsiaTheme="minorEastAsia"/>
              <w:sz w:val="22"/>
              <w:szCs w:val="22"/>
            </w:rPr>
            <w:instrText xml:space="preserve"> PAGEREF _Toc30409 \h </w:instrText>
          </w:r>
          <w:r>
            <w:rPr>
              <w:rFonts w:ascii="Times New Roman" w:hAnsi="Times New Roman" w:cs="Times New Roman" w:eastAsiaTheme="minorEastAsia"/>
              <w:sz w:val="22"/>
              <w:szCs w:val="22"/>
            </w:rPr>
            <w:fldChar w:fldCharType="separate"/>
          </w:r>
          <w:r>
            <w:rPr>
              <w:rFonts w:ascii="Times New Roman" w:hAnsi="Times New Roman" w:cs="Times New Roman" w:eastAsiaTheme="minorEastAsia"/>
              <w:sz w:val="22"/>
              <w:szCs w:val="22"/>
            </w:rPr>
            <w:t>8</w:t>
          </w:r>
          <w:r>
            <w:rPr>
              <w:rFonts w:ascii="Times New Roman" w:hAnsi="Times New Roman" w:cs="Times New Roman" w:eastAsiaTheme="minorEastAsia"/>
              <w:sz w:val="22"/>
              <w:szCs w:val="22"/>
            </w:rPr>
            <w:fldChar w:fldCharType="end"/>
          </w:r>
          <w:r>
            <w:rPr>
              <w:rFonts w:ascii="Times New Roman" w:hAnsi="Times New Roman" w:cs="Times New Roman" w:eastAsiaTheme="minorEastAsia"/>
              <w:sz w:val="22"/>
              <w:szCs w:val="22"/>
            </w:rPr>
            <w:fldChar w:fldCharType="end"/>
          </w:r>
        </w:p>
        <w:p w14:paraId="370FFC90">
          <w:pPr>
            <w:pStyle w:val="3"/>
            <w:tabs>
              <w:tab w:val="right" w:leader="dot" w:pos="9073"/>
            </w:tabs>
            <w:ind w:left="0" w:leftChars="0"/>
            <w:rPr>
              <w:rFonts w:ascii="Times New Roman" w:hAnsi="Times New Roman" w:cs="Times New Roman" w:eastAsiaTheme="minorEastAsia"/>
              <w:sz w:val="22"/>
              <w:szCs w:val="22"/>
            </w:rPr>
          </w:pPr>
          <w:r>
            <w:fldChar w:fldCharType="begin"/>
          </w:r>
          <w:r>
            <w:instrText xml:space="preserve"> HYPERLINK \l "_Toc8871" </w:instrText>
          </w:r>
          <w:r>
            <w:fldChar w:fldCharType="separate"/>
          </w:r>
          <w:r>
            <w:rPr>
              <w:rFonts w:ascii="Times New Roman" w:hAnsi="Times New Roman" w:cs="Times New Roman" w:eastAsiaTheme="minorEastAsia"/>
              <w:sz w:val="22"/>
              <w:szCs w:val="22"/>
              <w:lang w:eastAsia="zh-CN"/>
            </w:rPr>
            <w:t>8.1</w:t>
          </w:r>
          <w:r>
            <w:rPr>
              <w:rFonts w:hint="eastAsia" w:ascii="Times New Roman" w:hAnsi="Times New Roman" w:cs="Times New Roman" w:eastAsiaTheme="minorEastAsia"/>
              <w:sz w:val="22"/>
              <w:szCs w:val="22"/>
              <w:lang w:eastAsia="zh-CN"/>
            </w:rPr>
            <w:t xml:space="preserve"> </w:t>
          </w:r>
          <w:r>
            <w:rPr>
              <w:rFonts w:ascii="Times New Roman" w:hAnsi="Times New Roman" w:cs="Times New Roman" w:eastAsiaTheme="minorEastAsia"/>
              <w:sz w:val="22"/>
              <w:szCs w:val="22"/>
              <w:lang w:eastAsia="zh-CN"/>
            </w:rPr>
            <w:t>通则</w:t>
          </w:r>
          <w:r>
            <w:rPr>
              <w:rFonts w:ascii="Times New Roman" w:hAnsi="Times New Roman" w:cs="Times New Roman" w:eastAsiaTheme="minorEastAsia"/>
              <w:sz w:val="22"/>
              <w:szCs w:val="22"/>
            </w:rPr>
            <w:tab/>
          </w:r>
          <w:r>
            <w:rPr>
              <w:rFonts w:ascii="Times New Roman" w:hAnsi="Times New Roman" w:cs="Times New Roman" w:eastAsiaTheme="minorEastAsia"/>
              <w:sz w:val="22"/>
              <w:szCs w:val="22"/>
            </w:rPr>
            <w:fldChar w:fldCharType="begin"/>
          </w:r>
          <w:r>
            <w:rPr>
              <w:rFonts w:ascii="Times New Roman" w:hAnsi="Times New Roman" w:cs="Times New Roman" w:eastAsiaTheme="minorEastAsia"/>
              <w:sz w:val="22"/>
              <w:szCs w:val="22"/>
            </w:rPr>
            <w:instrText xml:space="preserve"> PAGEREF _Toc8871 \h </w:instrText>
          </w:r>
          <w:r>
            <w:rPr>
              <w:rFonts w:ascii="Times New Roman" w:hAnsi="Times New Roman" w:cs="Times New Roman" w:eastAsiaTheme="minorEastAsia"/>
              <w:sz w:val="22"/>
              <w:szCs w:val="22"/>
            </w:rPr>
            <w:fldChar w:fldCharType="separate"/>
          </w:r>
          <w:r>
            <w:rPr>
              <w:rFonts w:ascii="Times New Roman" w:hAnsi="Times New Roman" w:cs="Times New Roman" w:eastAsiaTheme="minorEastAsia"/>
              <w:sz w:val="22"/>
              <w:szCs w:val="22"/>
            </w:rPr>
            <w:t>8</w:t>
          </w:r>
          <w:r>
            <w:rPr>
              <w:rFonts w:ascii="Times New Roman" w:hAnsi="Times New Roman" w:cs="Times New Roman" w:eastAsiaTheme="minorEastAsia"/>
              <w:sz w:val="22"/>
              <w:szCs w:val="22"/>
            </w:rPr>
            <w:fldChar w:fldCharType="end"/>
          </w:r>
          <w:r>
            <w:rPr>
              <w:rFonts w:ascii="Times New Roman" w:hAnsi="Times New Roman" w:cs="Times New Roman" w:eastAsiaTheme="minorEastAsia"/>
              <w:sz w:val="22"/>
              <w:szCs w:val="22"/>
            </w:rPr>
            <w:fldChar w:fldCharType="end"/>
          </w:r>
        </w:p>
        <w:p w14:paraId="7B58E1CC">
          <w:pPr>
            <w:pStyle w:val="6"/>
            <w:tabs>
              <w:tab w:val="right" w:leader="dot" w:pos="9073"/>
            </w:tabs>
            <w:ind w:left="0" w:leftChars="0"/>
            <w:rPr>
              <w:rFonts w:ascii="Times New Roman" w:hAnsi="Times New Roman" w:cs="Times New Roman" w:eastAsiaTheme="minorEastAsia"/>
              <w:sz w:val="22"/>
              <w:szCs w:val="22"/>
            </w:rPr>
          </w:pPr>
          <w:r>
            <w:fldChar w:fldCharType="begin"/>
          </w:r>
          <w:r>
            <w:instrText xml:space="preserve"> HYPERLINK \l "_Toc30062" </w:instrText>
          </w:r>
          <w:r>
            <w:fldChar w:fldCharType="separate"/>
          </w:r>
          <w:r>
            <w:rPr>
              <w:rFonts w:ascii="Times New Roman" w:hAnsi="Times New Roman" w:cs="Times New Roman" w:eastAsiaTheme="minorEastAsia"/>
              <w:spacing w:val="12"/>
              <w:position w:val="1"/>
              <w:sz w:val="22"/>
              <w:szCs w:val="22"/>
            </w:rPr>
            <w:t>8.2 产品碳足迹计算方法</w:t>
          </w:r>
          <w:r>
            <w:rPr>
              <w:rFonts w:ascii="Times New Roman" w:hAnsi="Times New Roman" w:cs="Times New Roman" w:eastAsiaTheme="minorEastAsia"/>
              <w:sz w:val="22"/>
              <w:szCs w:val="22"/>
            </w:rPr>
            <w:tab/>
          </w:r>
          <w:r>
            <w:rPr>
              <w:rFonts w:ascii="Times New Roman" w:hAnsi="Times New Roman" w:cs="Times New Roman" w:eastAsiaTheme="minorEastAsia"/>
              <w:sz w:val="22"/>
              <w:szCs w:val="22"/>
            </w:rPr>
            <w:fldChar w:fldCharType="begin"/>
          </w:r>
          <w:r>
            <w:rPr>
              <w:rFonts w:ascii="Times New Roman" w:hAnsi="Times New Roman" w:cs="Times New Roman" w:eastAsiaTheme="minorEastAsia"/>
              <w:sz w:val="22"/>
              <w:szCs w:val="22"/>
            </w:rPr>
            <w:instrText xml:space="preserve"> PAGEREF _Toc30062 \h </w:instrText>
          </w:r>
          <w:r>
            <w:rPr>
              <w:rFonts w:ascii="Times New Roman" w:hAnsi="Times New Roman" w:cs="Times New Roman" w:eastAsiaTheme="minorEastAsia"/>
              <w:sz w:val="22"/>
              <w:szCs w:val="22"/>
            </w:rPr>
            <w:fldChar w:fldCharType="separate"/>
          </w:r>
          <w:r>
            <w:rPr>
              <w:rFonts w:ascii="Times New Roman" w:hAnsi="Times New Roman" w:cs="Times New Roman" w:eastAsiaTheme="minorEastAsia"/>
              <w:sz w:val="22"/>
              <w:szCs w:val="22"/>
            </w:rPr>
            <w:t>8</w:t>
          </w:r>
          <w:r>
            <w:rPr>
              <w:rFonts w:ascii="Times New Roman" w:hAnsi="Times New Roman" w:cs="Times New Roman" w:eastAsiaTheme="minorEastAsia"/>
              <w:sz w:val="22"/>
              <w:szCs w:val="22"/>
            </w:rPr>
            <w:fldChar w:fldCharType="end"/>
          </w:r>
          <w:r>
            <w:rPr>
              <w:rFonts w:ascii="Times New Roman" w:hAnsi="Times New Roman" w:cs="Times New Roman" w:eastAsiaTheme="minorEastAsia"/>
              <w:sz w:val="22"/>
              <w:szCs w:val="22"/>
            </w:rPr>
            <w:fldChar w:fldCharType="end"/>
          </w:r>
        </w:p>
        <w:p w14:paraId="1BDB45E0">
          <w:pPr>
            <w:pStyle w:val="5"/>
            <w:tabs>
              <w:tab w:val="right" w:leader="dot" w:pos="9073"/>
            </w:tabs>
            <w:rPr>
              <w:rFonts w:ascii="Times New Roman" w:hAnsi="Times New Roman" w:cs="Times New Roman" w:eastAsiaTheme="minorEastAsia"/>
              <w:sz w:val="22"/>
              <w:szCs w:val="22"/>
            </w:rPr>
          </w:pPr>
          <w:r>
            <w:fldChar w:fldCharType="begin"/>
          </w:r>
          <w:r>
            <w:instrText xml:space="preserve"> HYPERLINK \l "_Toc5801" </w:instrText>
          </w:r>
          <w:r>
            <w:fldChar w:fldCharType="separate"/>
          </w:r>
          <w:r>
            <w:rPr>
              <w:rFonts w:ascii="Times New Roman" w:hAnsi="Times New Roman" w:cs="Times New Roman" w:eastAsiaTheme="minorEastAsia"/>
              <w:spacing w:val="13"/>
              <w:position w:val="1"/>
              <w:sz w:val="22"/>
              <w:szCs w:val="22"/>
            </w:rPr>
            <w:t>9 产品碳足迹结果解释</w:t>
          </w:r>
          <w:r>
            <w:rPr>
              <w:rFonts w:ascii="Times New Roman" w:hAnsi="Times New Roman" w:cs="Times New Roman" w:eastAsiaTheme="minorEastAsia"/>
              <w:sz w:val="22"/>
              <w:szCs w:val="22"/>
            </w:rPr>
            <w:tab/>
          </w:r>
          <w:r>
            <w:rPr>
              <w:rFonts w:ascii="Times New Roman" w:hAnsi="Times New Roman" w:cs="Times New Roman" w:eastAsiaTheme="minorEastAsia"/>
              <w:sz w:val="22"/>
              <w:szCs w:val="22"/>
            </w:rPr>
            <w:fldChar w:fldCharType="begin"/>
          </w:r>
          <w:r>
            <w:rPr>
              <w:rFonts w:ascii="Times New Roman" w:hAnsi="Times New Roman" w:cs="Times New Roman" w:eastAsiaTheme="minorEastAsia"/>
              <w:sz w:val="22"/>
              <w:szCs w:val="22"/>
            </w:rPr>
            <w:instrText xml:space="preserve"> PAGEREF _Toc5801 \h </w:instrText>
          </w:r>
          <w:r>
            <w:rPr>
              <w:rFonts w:ascii="Times New Roman" w:hAnsi="Times New Roman" w:cs="Times New Roman" w:eastAsiaTheme="minorEastAsia"/>
              <w:sz w:val="22"/>
              <w:szCs w:val="22"/>
            </w:rPr>
            <w:fldChar w:fldCharType="separate"/>
          </w:r>
          <w:r>
            <w:rPr>
              <w:rFonts w:ascii="Times New Roman" w:hAnsi="Times New Roman" w:cs="Times New Roman" w:eastAsiaTheme="minorEastAsia"/>
              <w:sz w:val="22"/>
              <w:szCs w:val="22"/>
            </w:rPr>
            <w:t>8</w:t>
          </w:r>
          <w:r>
            <w:rPr>
              <w:rFonts w:ascii="Times New Roman" w:hAnsi="Times New Roman" w:cs="Times New Roman" w:eastAsiaTheme="minorEastAsia"/>
              <w:sz w:val="22"/>
              <w:szCs w:val="22"/>
            </w:rPr>
            <w:fldChar w:fldCharType="end"/>
          </w:r>
          <w:r>
            <w:rPr>
              <w:rFonts w:ascii="Times New Roman" w:hAnsi="Times New Roman" w:cs="Times New Roman" w:eastAsiaTheme="minorEastAsia"/>
              <w:sz w:val="22"/>
              <w:szCs w:val="22"/>
            </w:rPr>
            <w:fldChar w:fldCharType="end"/>
          </w:r>
        </w:p>
        <w:p w14:paraId="4614521B">
          <w:pPr>
            <w:pStyle w:val="5"/>
            <w:tabs>
              <w:tab w:val="right" w:leader="dot" w:pos="9073"/>
            </w:tabs>
            <w:rPr>
              <w:rFonts w:ascii="Times New Roman" w:hAnsi="Times New Roman" w:cs="Times New Roman" w:eastAsiaTheme="minorEastAsia"/>
              <w:sz w:val="22"/>
              <w:szCs w:val="22"/>
            </w:rPr>
          </w:pPr>
          <w:r>
            <w:fldChar w:fldCharType="begin"/>
          </w:r>
          <w:r>
            <w:instrText xml:space="preserve"> HYPERLINK \l "_Toc20529" </w:instrText>
          </w:r>
          <w:r>
            <w:fldChar w:fldCharType="separate"/>
          </w:r>
          <w:r>
            <w:rPr>
              <w:rFonts w:ascii="Times New Roman" w:hAnsi="Times New Roman" w:cs="Times New Roman" w:eastAsiaTheme="minorEastAsia"/>
              <w:spacing w:val="12"/>
              <w:position w:val="1"/>
              <w:sz w:val="22"/>
              <w:szCs w:val="22"/>
            </w:rPr>
            <w:t>10</w:t>
          </w:r>
          <w:r>
            <w:rPr>
              <w:rFonts w:ascii="Times New Roman" w:hAnsi="Times New Roman" w:cs="Times New Roman" w:eastAsiaTheme="minorEastAsia"/>
              <w:spacing w:val="9"/>
              <w:position w:val="1"/>
              <w:sz w:val="22"/>
              <w:szCs w:val="22"/>
            </w:rPr>
            <w:t xml:space="preserve"> </w:t>
          </w:r>
          <w:r>
            <w:rPr>
              <w:rFonts w:ascii="Times New Roman" w:hAnsi="Times New Roman" w:cs="Times New Roman" w:eastAsiaTheme="minorEastAsia"/>
              <w:spacing w:val="12"/>
              <w:position w:val="1"/>
              <w:sz w:val="22"/>
              <w:szCs w:val="22"/>
            </w:rPr>
            <w:t>产品碳足迹报告</w:t>
          </w:r>
          <w:r>
            <w:rPr>
              <w:rFonts w:ascii="Times New Roman" w:hAnsi="Times New Roman" w:cs="Times New Roman" w:eastAsiaTheme="minorEastAsia"/>
              <w:sz w:val="22"/>
              <w:szCs w:val="22"/>
            </w:rPr>
            <w:tab/>
          </w:r>
          <w:r>
            <w:rPr>
              <w:rFonts w:ascii="Times New Roman" w:hAnsi="Times New Roman" w:cs="Times New Roman" w:eastAsiaTheme="minorEastAsia"/>
              <w:sz w:val="22"/>
              <w:szCs w:val="22"/>
            </w:rPr>
            <w:fldChar w:fldCharType="begin"/>
          </w:r>
          <w:r>
            <w:rPr>
              <w:rFonts w:ascii="Times New Roman" w:hAnsi="Times New Roman" w:cs="Times New Roman" w:eastAsiaTheme="minorEastAsia"/>
              <w:sz w:val="22"/>
              <w:szCs w:val="22"/>
            </w:rPr>
            <w:instrText xml:space="preserve"> PAGEREF _Toc20529 \h </w:instrText>
          </w:r>
          <w:r>
            <w:rPr>
              <w:rFonts w:ascii="Times New Roman" w:hAnsi="Times New Roman" w:cs="Times New Roman" w:eastAsiaTheme="minorEastAsia"/>
              <w:sz w:val="22"/>
              <w:szCs w:val="22"/>
            </w:rPr>
            <w:fldChar w:fldCharType="separate"/>
          </w:r>
          <w:r>
            <w:rPr>
              <w:rFonts w:ascii="Times New Roman" w:hAnsi="Times New Roman" w:cs="Times New Roman" w:eastAsiaTheme="minorEastAsia"/>
              <w:sz w:val="22"/>
              <w:szCs w:val="22"/>
            </w:rPr>
            <w:t>8</w:t>
          </w:r>
          <w:r>
            <w:rPr>
              <w:rFonts w:ascii="Times New Roman" w:hAnsi="Times New Roman" w:cs="Times New Roman" w:eastAsiaTheme="minorEastAsia"/>
              <w:sz w:val="22"/>
              <w:szCs w:val="22"/>
            </w:rPr>
            <w:fldChar w:fldCharType="end"/>
          </w:r>
          <w:r>
            <w:rPr>
              <w:rFonts w:ascii="Times New Roman" w:hAnsi="Times New Roman" w:cs="Times New Roman" w:eastAsiaTheme="minorEastAsia"/>
              <w:sz w:val="22"/>
              <w:szCs w:val="22"/>
            </w:rPr>
            <w:fldChar w:fldCharType="end"/>
          </w:r>
        </w:p>
        <w:p w14:paraId="149EA456">
          <w:pPr>
            <w:pStyle w:val="5"/>
            <w:tabs>
              <w:tab w:val="right" w:leader="dot" w:pos="9073"/>
            </w:tabs>
            <w:rPr>
              <w:rFonts w:ascii="Times New Roman" w:hAnsi="Times New Roman" w:cs="Times New Roman" w:eastAsiaTheme="minorEastAsia"/>
              <w:sz w:val="22"/>
              <w:szCs w:val="22"/>
            </w:rPr>
          </w:pPr>
          <w:r>
            <w:fldChar w:fldCharType="begin"/>
          </w:r>
          <w:r>
            <w:instrText xml:space="preserve"> HYPERLINK \l "_Toc19993" </w:instrText>
          </w:r>
          <w:r>
            <w:fldChar w:fldCharType="separate"/>
          </w:r>
          <w:r>
            <w:rPr>
              <w:rFonts w:ascii="Times New Roman" w:hAnsi="Times New Roman" w:cs="Times New Roman" w:eastAsiaTheme="minorEastAsia"/>
              <w:sz w:val="22"/>
              <w:szCs w:val="22"/>
            </w:rPr>
            <w:t>附　录　A  （资料性） 纯碱产品生命周期系统边界内各生产单元的温室气体排放源</w:t>
          </w:r>
          <w:r>
            <w:rPr>
              <w:rFonts w:ascii="Times New Roman" w:hAnsi="Times New Roman" w:cs="Times New Roman" w:eastAsiaTheme="minorEastAsia"/>
              <w:sz w:val="22"/>
              <w:szCs w:val="22"/>
            </w:rPr>
            <w:tab/>
          </w:r>
          <w:r>
            <w:rPr>
              <w:rFonts w:ascii="Times New Roman" w:hAnsi="Times New Roman" w:cs="Times New Roman" w:eastAsiaTheme="minorEastAsia"/>
              <w:sz w:val="22"/>
              <w:szCs w:val="22"/>
            </w:rPr>
            <w:fldChar w:fldCharType="begin"/>
          </w:r>
          <w:r>
            <w:rPr>
              <w:rFonts w:ascii="Times New Roman" w:hAnsi="Times New Roman" w:cs="Times New Roman" w:eastAsiaTheme="minorEastAsia"/>
              <w:sz w:val="22"/>
              <w:szCs w:val="22"/>
            </w:rPr>
            <w:instrText xml:space="preserve"> PAGEREF _Toc19993 \h </w:instrText>
          </w:r>
          <w:r>
            <w:rPr>
              <w:rFonts w:ascii="Times New Roman" w:hAnsi="Times New Roman" w:cs="Times New Roman" w:eastAsiaTheme="minorEastAsia"/>
              <w:sz w:val="22"/>
              <w:szCs w:val="22"/>
            </w:rPr>
            <w:fldChar w:fldCharType="separate"/>
          </w:r>
          <w:r>
            <w:rPr>
              <w:rFonts w:ascii="Times New Roman" w:hAnsi="Times New Roman" w:cs="Times New Roman" w:eastAsiaTheme="minorEastAsia"/>
              <w:sz w:val="22"/>
              <w:szCs w:val="22"/>
            </w:rPr>
            <w:t>10</w:t>
          </w:r>
          <w:r>
            <w:rPr>
              <w:rFonts w:ascii="Times New Roman" w:hAnsi="Times New Roman" w:cs="Times New Roman" w:eastAsiaTheme="minorEastAsia"/>
              <w:sz w:val="22"/>
              <w:szCs w:val="22"/>
            </w:rPr>
            <w:fldChar w:fldCharType="end"/>
          </w:r>
          <w:r>
            <w:rPr>
              <w:rFonts w:ascii="Times New Roman" w:hAnsi="Times New Roman" w:cs="Times New Roman" w:eastAsiaTheme="minorEastAsia"/>
              <w:sz w:val="22"/>
              <w:szCs w:val="22"/>
            </w:rPr>
            <w:fldChar w:fldCharType="end"/>
          </w:r>
        </w:p>
        <w:p w14:paraId="25133882">
          <w:pPr>
            <w:pStyle w:val="5"/>
            <w:tabs>
              <w:tab w:val="right" w:leader="dot" w:pos="9073"/>
            </w:tabs>
            <w:rPr>
              <w:rFonts w:ascii="Times New Roman" w:hAnsi="Times New Roman" w:cs="Times New Roman" w:eastAsiaTheme="minorEastAsia"/>
              <w:sz w:val="22"/>
              <w:szCs w:val="22"/>
            </w:rPr>
          </w:pPr>
          <w:r>
            <w:fldChar w:fldCharType="begin"/>
          </w:r>
          <w:r>
            <w:instrText xml:space="preserve"> HYPERLINK \l "_Toc3668" </w:instrText>
          </w:r>
          <w:r>
            <w:fldChar w:fldCharType="separate"/>
          </w:r>
          <w:r>
            <w:rPr>
              <w:rFonts w:ascii="Times New Roman" w:hAnsi="Times New Roman" w:cs="Times New Roman" w:eastAsiaTheme="minorEastAsia"/>
              <w:sz w:val="22"/>
              <w:szCs w:val="22"/>
            </w:rPr>
            <w:t>附　录　B  （资料性） 纯碱产品产品生命周期系统边界内生产工艺流程图示例</w:t>
          </w:r>
          <w:r>
            <w:rPr>
              <w:rFonts w:ascii="Times New Roman" w:hAnsi="Times New Roman" w:cs="Times New Roman" w:eastAsiaTheme="minorEastAsia"/>
              <w:sz w:val="22"/>
              <w:szCs w:val="22"/>
            </w:rPr>
            <w:tab/>
          </w:r>
          <w:r>
            <w:rPr>
              <w:rFonts w:ascii="Times New Roman" w:hAnsi="Times New Roman" w:cs="Times New Roman" w:eastAsiaTheme="minorEastAsia"/>
              <w:sz w:val="22"/>
              <w:szCs w:val="22"/>
            </w:rPr>
            <w:fldChar w:fldCharType="begin"/>
          </w:r>
          <w:r>
            <w:rPr>
              <w:rFonts w:ascii="Times New Roman" w:hAnsi="Times New Roman" w:cs="Times New Roman" w:eastAsiaTheme="minorEastAsia"/>
              <w:sz w:val="22"/>
              <w:szCs w:val="22"/>
            </w:rPr>
            <w:instrText xml:space="preserve"> PAGEREF _Toc3668 \h </w:instrText>
          </w:r>
          <w:r>
            <w:rPr>
              <w:rFonts w:ascii="Times New Roman" w:hAnsi="Times New Roman" w:cs="Times New Roman" w:eastAsiaTheme="minorEastAsia"/>
              <w:sz w:val="22"/>
              <w:szCs w:val="22"/>
            </w:rPr>
            <w:fldChar w:fldCharType="separate"/>
          </w:r>
          <w:r>
            <w:rPr>
              <w:rFonts w:ascii="Times New Roman" w:hAnsi="Times New Roman" w:cs="Times New Roman" w:eastAsiaTheme="minorEastAsia"/>
              <w:sz w:val="22"/>
              <w:szCs w:val="22"/>
            </w:rPr>
            <w:t>12</w:t>
          </w:r>
          <w:r>
            <w:rPr>
              <w:rFonts w:ascii="Times New Roman" w:hAnsi="Times New Roman" w:cs="Times New Roman" w:eastAsiaTheme="minorEastAsia"/>
              <w:sz w:val="22"/>
              <w:szCs w:val="22"/>
            </w:rPr>
            <w:fldChar w:fldCharType="end"/>
          </w:r>
          <w:r>
            <w:rPr>
              <w:rFonts w:ascii="Times New Roman" w:hAnsi="Times New Roman" w:cs="Times New Roman" w:eastAsiaTheme="minorEastAsia"/>
              <w:sz w:val="22"/>
              <w:szCs w:val="22"/>
            </w:rPr>
            <w:fldChar w:fldCharType="end"/>
          </w:r>
        </w:p>
        <w:p w14:paraId="6D6B8EB8">
          <w:pPr>
            <w:pStyle w:val="5"/>
            <w:tabs>
              <w:tab w:val="right" w:leader="dot" w:pos="9073"/>
            </w:tabs>
            <w:rPr>
              <w:rFonts w:ascii="Times New Roman" w:hAnsi="Times New Roman" w:cs="Times New Roman" w:eastAsiaTheme="minorEastAsia"/>
              <w:sz w:val="22"/>
              <w:szCs w:val="22"/>
            </w:rPr>
          </w:pPr>
          <w:r>
            <w:fldChar w:fldCharType="begin"/>
          </w:r>
          <w:r>
            <w:instrText xml:space="preserve"> HYPERLINK \l "_Toc13185" </w:instrText>
          </w:r>
          <w:r>
            <w:fldChar w:fldCharType="separate"/>
          </w:r>
          <w:r>
            <w:rPr>
              <w:rFonts w:ascii="Times New Roman" w:hAnsi="Times New Roman" w:cs="Times New Roman" w:eastAsiaTheme="minorEastAsia"/>
              <w:sz w:val="22"/>
              <w:szCs w:val="22"/>
            </w:rPr>
            <w:t>附　录　C  （资料性） 数据收集表示例</w:t>
          </w:r>
          <w:r>
            <w:rPr>
              <w:rFonts w:ascii="Times New Roman" w:hAnsi="Times New Roman" w:cs="Times New Roman" w:eastAsiaTheme="minorEastAsia"/>
              <w:sz w:val="22"/>
              <w:szCs w:val="22"/>
            </w:rPr>
            <w:tab/>
          </w:r>
          <w:r>
            <w:rPr>
              <w:rFonts w:ascii="Times New Roman" w:hAnsi="Times New Roman" w:cs="Times New Roman" w:eastAsiaTheme="minorEastAsia"/>
              <w:sz w:val="22"/>
              <w:szCs w:val="22"/>
            </w:rPr>
            <w:fldChar w:fldCharType="begin"/>
          </w:r>
          <w:r>
            <w:rPr>
              <w:rFonts w:ascii="Times New Roman" w:hAnsi="Times New Roman" w:cs="Times New Roman" w:eastAsiaTheme="minorEastAsia"/>
              <w:sz w:val="22"/>
              <w:szCs w:val="22"/>
            </w:rPr>
            <w:instrText xml:space="preserve"> PAGEREF _Toc13185 \h </w:instrText>
          </w:r>
          <w:r>
            <w:rPr>
              <w:rFonts w:ascii="Times New Roman" w:hAnsi="Times New Roman" w:cs="Times New Roman" w:eastAsiaTheme="minorEastAsia"/>
              <w:sz w:val="22"/>
              <w:szCs w:val="22"/>
            </w:rPr>
            <w:fldChar w:fldCharType="separate"/>
          </w:r>
          <w:r>
            <w:rPr>
              <w:rFonts w:ascii="Times New Roman" w:hAnsi="Times New Roman" w:cs="Times New Roman" w:eastAsiaTheme="minorEastAsia"/>
              <w:sz w:val="22"/>
              <w:szCs w:val="22"/>
            </w:rPr>
            <w:t>13</w:t>
          </w:r>
          <w:r>
            <w:rPr>
              <w:rFonts w:ascii="Times New Roman" w:hAnsi="Times New Roman" w:cs="Times New Roman" w:eastAsiaTheme="minorEastAsia"/>
              <w:sz w:val="22"/>
              <w:szCs w:val="22"/>
            </w:rPr>
            <w:fldChar w:fldCharType="end"/>
          </w:r>
          <w:r>
            <w:rPr>
              <w:rFonts w:ascii="Times New Roman" w:hAnsi="Times New Roman" w:cs="Times New Roman" w:eastAsiaTheme="minorEastAsia"/>
              <w:sz w:val="22"/>
              <w:szCs w:val="22"/>
            </w:rPr>
            <w:fldChar w:fldCharType="end"/>
          </w:r>
        </w:p>
        <w:p w14:paraId="524F0B39">
          <w:pPr>
            <w:pStyle w:val="5"/>
            <w:tabs>
              <w:tab w:val="right" w:leader="dot" w:pos="9073"/>
            </w:tabs>
            <w:rPr>
              <w:rFonts w:ascii="Times New Roman" w:hAnsi="Times New Roman" w:cs="Times New Roman" w:eastAsiaTheme="minorEastAsia"/>
              <w:sz w:val="22"/>
              <w:szCs w:val="22"/>
            </w:rPr>
          </w:pPr>
          <w:r>
            <w:fldChar w:fldCharType="begin"/>
          </w:r>
          <w:r>
            <w:instrText xml:space="preserve"> HYPERLINK \l "_Toc5972" </w:instrText>
          </w:r>
          <w:r>
            <w:fldChar w:fldCharType="separate"/>
          </w:r>
          <w:r>
            <w:rPr>
              <w:rFonts w:ascii="Times New Roman" w:hAnsi="Times New Roman" w:cs="Times New Roman" w:eastAsiaTheme="minorEastAsia"/>
              <w:sz w:val="22"/>
              <w:szCs w:val="22"/>
            </w:rPr>
            <w:t>附　录　D  （资料性） 全球变暖潜势</w:t>
          </w:r>
          <w:r>
            <w:rPr>
              <w:rFonts w:ascii="Times New Roman" w:hAnsi="Times New Roman" w:cs="Times New Roman" w:eastAsiaTheme="minorEastAsia"/>
              <w:sz w:val="22"/>
              <w:szCs w:val="22"/>
            </w:rPr>
            <w:tab/>
          </w:r>
          <w:r>
            <w:rPr>
              <w:rFonts w:ascii="Times New Roman" w:hAnsi="Times New Roman" w:cs="Times New Roman" w:eastAsiaTheme="minorEastAsia"/>
              <w:sz w:val="22"/>
              <w:szCs w:val="22"/>
            </w:rPr>
            <w:fldChar w:fldCharType="begin"/>
          </w:r>
          <w:r>
            <w:rPr>
              <w:rFonts w:ascii="Times New Roman" w:hAnsi="Times New Roman" w:cs="Times New Roman" w:eastAsiaTheme="minorEastAsia"/>
              <w:sz w:val="22"/>
              <w:szCs w:val="22"/>
            </w:rPr>
            <w:instrText xml:space="preserve"> PAGEREF _Toc5972 \h </w:instrText>
          </w:r>
          <w:r>
            <w:rPr>
              <w:rFonts w:ascii="Times New Roman" w:hAnsi="Times New Roman" w:cs="Times New Roman" w:eastAsiaTheme="minorEastAsia"/>
              <w:sz w:val="22"/>
              <w:szCs w:val="22"/>
            </w:rPr>
            <w:fldChar w:fldCharType="separate"/>
          </w:r>
          <w:r>
            <w:rPr>
              <w:rFonts w:ascii="Times New Roman" w:hAnsi="Times New Roman" w:cs="Times New Roman" w:eastAsiaTheme="minorEastAsia"/>
              <w:sz w:val="22"/>
              <w:szCs w:val="22"/>
            </w:rPr>
            <w:t>16</w:t>
          </w:r>
          <w:r>
            <w:rPr>
              <w:rFonts w:ascii="Times New Roman" w:hAnsi="Times New Roman" w:cs="Times New Roman" w:eastAsiaTheme="minorEastAsia"/>
              <w:sz w:val="22"/>
              <w:szCs w:val="22"/>
            </w:rPr>
            <w:fldChar w:fldCharType="end"/>
          </w:r>
          <w:r>
            <w:rPr>
              <w:rFonts w:ascii="Times New Roman" w:hAnsi="Times New Roman" w:cs="Times New Roman" w:eastAsiaTheme="minorEastAsia"/>
              <w:sz w:val="22"/>
              <w:szCs w:val="22"/>
            </w:rPr>
            <w:fldChar w:fldCharType="end"/>
          </w:r>
        </w:p>
        <w:p w14:paraId="3D6E7694">
          <w:pPr>
            <w:pStyle w:val="5"/>
            <w:tabs>
              <w:tab w:val="right" w:leader="dot" w:pos="9073"/>
            </w:tabs>
            <w:rPr>
              <w:rFonts w:ascii="Times New Roman" w:hAnsi="Times New Roman" w:cs="Times New Roman" w:eastAsiaTheme="minorEastAsia"/>
              <w:sz w:val="22"/>
              <w:szCs w:val="22"/>
            </w:rPr>
          </w:pPr>
          <w:r>
            <w:fldChar w:fldCharType="begin"/>
          </w:r>
          <w:r>
            <w:instrText xml:space="preserve"> HYPERLINK \l "_Toc8955" </w:instrText>
          </w:r>
          <w:r>
            <w:fldChar w:fldCharType="separate"/>
          </w:r>
          <w:r>
            <w:rPr>
              <w:rFonts w:ascii="Times New Roman" w:hAnsi="Times New Roman" w:cs="Times New Roman" w:eastAsiaTheme="minorEastAsia"/>
              <w:sz w:val="22"/>
              <w:szCs w:val="22"/>
            </w:rPr>
            <w:t>附　录　E  （资料性） 产品碳足迹报告（模板）</w:t>
          </w:r>
          <w:r>
            <w:rPr>
              <w:rFonts w:ascii="Times New Roman" w:hAnsi="Times New Roman" w:cs="Times New Roman" w:eastAsiaTheme="minorEastAsia"/>
              <w:sz w:val="22"/>
              <w:szCs w:val="22"/>
            </w:rPr>
            <w:tab/>
          </w:r>
          <w:r>
            <w:rPr>
              <w:rFonts w:ascii="Times New Roman" w:hAnsi="Times New Roman" w:cs="Times New Roman" w:eastAsiaTheme="minorEastAsia"/>
              <w:sz w:val="22"/>
              <w:szCs w:val="22"/>
            </w:rPr>
            <w:fldChar w:fldCharType="begin"/>
          </w:r>
          <w:r>
            <w:rPr>
              <w:rFonts w:ascii="Times New Roman" w:hAnsi="Times New Roman" w:cs="Times New Roman" w:eastAsiaTheme="minorEastAsia"/>
              <w:sz w:val="22"/>
              <w:szCs w:val="22"/>
            </w:rPr>
            <w:instrText xml:space="preserve"> PAGEREF _Toc8955 \h </w:instrText>
          </w:r>
          <w:r>
            <w:rPr>
              <w:rFonts w:ascii="Times New Roman" w:hAnsi="Times New Roman" w:cs="Times New Roman" w:eastAsiaTheme="minorEastAsia"/>
              <w:sz w:val="22"/>
              <w:szCs w:val="22"/>
            </w:rPr>
            <w:fldChar w:fldCharType="separate"/>
          </w:r>
          <w:r>
            <w:rPr>
              <w:rFonts w:ascii="Times New Roman" w:hAnsi="Times New Roman" w:cs="Times New Roman" w:eastAsiaTheme="minorEastAsia"/>
              <w:sz w:val="22"/>
              <w:szCs w:val="22"/>
            </w:rPr>
            <w:t>17</w:t>
          </w:r>
          <w:r>
            <w:rPr>
              <w:rFonts w:ascii="Times New Roman" w:hAnsi="Times New Roman" w:cs="Times New Roman" w:eastAsiaTheme="minorEastAsia"/>
              <w:sz w:val="22"/>
              <w:szCs w:val="22"/>
            </w:rPr>
            <w:fldChar w:fldCharType="end"/>
          </w:r>
          <w:r>
            <w:rPr>
              <w:rFonts w:ascii="Times New Roman" w:hAnsi="Times New Roman" w:cs="Times New Roman" w:eastAsiaTheme="minorEastAsia"/>
              <w:sz w:val="22"/>
              <w:szCs w:val="22"/>
            </w:rPr>
            <w:fldChar w:fldCharType="end"/>
          </w:r>
        </w:p>
        <w:p w14:paraId="51C7E2AF">
          <w:pPr>
            <w:pStyle w:val="5"/>
            <w:tabs>
              <w:tab w:val="right" w:leader="dot" w:pos="9073"/>
            </w:tabs>
            <w:rPr>
              <w:rFonts w:ascii="Times New Roman" w:hAnsi="Times New Roman" w:cs="Times New Roman" w:eastAsiaTheme="minorEastAsia"/>
            </w:rPr>
          </w:pPr>
          <w:r>
            <w:fldChar w:fldCharType="begin"/>
          </w:r>
          <w:r>
            <w:instrText xml:space="preserve"> HYPERLINK \l "_Toc1813" </w:instrText>
          </w:r>
          <w:r>
            <w:fldChar w:fldCharType="separate"/>
          </w:r>
          <w:r>
            <w:rPr>
              <w:rFonts w:ascii="Times New Roman" w:hAnsi="Times New Roman" w:cs="Times New Roman" w:eastAsiaTheme="minorEastAsia"/>
              <w:sz w:val="22"/>
              <w:szCs w:val="22"/>
            </w:rPr>
            <w:t>参</w:t>
          </w:r>
          <w:r>
            <w:rPr>
              <w:rFonts w:ascii="Times New Roman" w:hAnsi="Times New Roman" w:cs="Times New Roman" w:eastAsiaTheme="minorEastAsia"/>
              <w:spacing w:val="9"/>
              <w:sz w:val="22"/>
              <w:szCs w:val="22"/>
            </w:rPr>
            <w:t xml:space="preserve">  </w:t>
          </w:r>
          <w:r>
            <w:rPr>
              <w:rFonts w:ascii="Times New Roman" w:hAnsi="Times New Roman" w:cs="Times New Roman" w:eastAsiaTheme="minorEastAsia"/>
              <w:sz w:val="22"/>
              <w:szCs w:val="22"/>
            </w:rPr>
            <w:t>考</w:t>
          </w:r>
          <w:r>
            <w:rPr>
              <w:rFonts w:ascii="Times New Roman" w:hAnsi="Times New Roman" w:cs="Times New Roman" w:eastAsiaTheme="minorEastAsia"/>
              <w:spacing w:val="11"/>
              <w:sz w:val="22"/>
              <w:szCs w:val="22"/>
            </w:rPr>
            <w:t xml:space="preserve">  </w:t>
          </w:r>
          <w:r>
            <w:rPr>
              <w:rFonts w:ascii="Times New Roman" w:hAnsi="Times New Roman" w:cs="Times New Roman" w:eastAsiaTheme="minorEastAsia"/>
              <w:sz w:val="22"/>
              <w:szCs w:val="22"/>
            </w:rPr>
            <w:t>文</w:t>
          </w:r>
          <w:r>
            <w:rPr>
              <w:rFonts w:ascii="Times New Roman" w:hAnsi="Times New Roman" w:cs="Times New Roman" w:eastAsiaTheme="minorEastAsia"/>
              <w:spacing w:val="9"/>
              <w:sz w:val="22"/>
              <w:szCs w:val="22"/>
            </w:rPr>
            <w:t xml:space="preserve">  </w:t>
          </w:r>
          <w:r>
            <w:rPr>
              <w:rFonts w:ascii="Times New Roman" w:hAnsi="Times New Roman" w:cs="Times New Roman" w:eastAsiaTheme="minorEastAsia"/>
              <w:sz w:val="22"/>
              <w:szCs w:val="22"/>
            </w:rPr>
            <w:t>献</w:t>
          </w:r>
          <w:r>
            <w:rPr>
              <w:rFonts w:ascii="Times New Roman" w:hAnsi="Times New Roman" w:cs="Times New Roman" w:eastAsiaTheme="minorEastAsia"/>
              <w:sz w:val="22"/>
              <w:szCs w:val="22"/>
            </w:rPr>
            <w:tab/>
          </w:r>
          <w:r>
            <w:rPr>
              <w:rFonts w:ascii="Times New Roman" w:hAnsi="Times New Roman" w:cs="Times New Roman" w:eastAsiaTheme="minorEastAsia"/>
              <w:sz w:val="22"/>
              <w:szCs w:val="22"/>
            </w:rPr>
            <w:fldChar w:fldCharType="begin"/>
          </w:r>
          <w:r>
            <w:rPr>
              <w:rFonts w:ascii="Times New Roman" w:hAnsi="Times New Roman" w:cs="Times New Roman" w:eastAsiaTheme="minorEastAsia"/>
              <w:sz w:val="22"/>
              <w:szCs w:val="22"/>
            </w:rPr>
            <w:instrText xml:space="preserve"> PAGEREF _Toc1813 \h </w:instrText>
          </w:r>
          <w:r>
            <w:rPr>
              <w:rFonts w:ascii="Times New Roman" w:hAnsi="Times New Roman" w:cs="Times New Roman" w:eastAsiaTheme="minorEastAsia"/>
              <w:sz w:val="22"/>
              <w:szCs w:val="22"/>
            </w:rPr>
            <w:fldChar w:fldCharType="separate"/>
          </w:r>
          <w:r>
            <w:rPr>
              <w:rFonts w:ascii="Times New Roman" w:hAnsi="Times New Roman" w:cs="Times New Roman" w:eastAsiaTheme="minorEastAsia"/>
              <w:sz w:val="22"/>
              <w:szCs w:val="22"/>
            </w:rPr>
            <w:t>21</w:t>
          </w:r>
          <w:r>
            <w:rPr>
              <w:rFonts w:ascii="Times New Roman" w:hAnsi="Times New Roman" w:cs="Times New Roman" w:eastAsiaTheme="minorEastAsia"/>
              <w:sz w:val="22"/>
              <w:szCs w:val="22"/>
            </w:rPr>
            <w:fldChar w:fldCharType="end"/>
          </w:r>
          <w:r>
            <w:rPr>
              <w:rFonts w:ascii="Times New Roman" w:hAnsi="Times New Roman" w:cs="Times New Roman" w:eastAsiaTheme="minorEastAsia"/>
              <w:sz w:val="22"/>
              <w:szCs w:val="22"/>
            </w:rPr>
            <w:fldChar w:fldCharType="end"/>
          </w:r>
        </w:p>
        <w:p w14:paraId="7C502205">
          <w:pPr>
            <w:spacing w:line="228" w:lineRule="auto"/>
            <w:rPr>
              <w:rFonts w:ascii="宋体" w:hAnsi="宋体" w:eastAsia="宋体" w:cs="宋体"/>
              <w:szCs w:val="20"/>
            </w:rPr>
          </w:pPr>
          <w:r>
            <w:rPr>
              <w:rFonts w:ascii="Times New Roman" w:hAnsi="Times New Roman" w:cs="Times New Roman" w:eastAsiaTheme="minorEastAsia"/>
              <w:szCs w:val="20"/>
            </w:rPr>
            <w:fldChar w:fldCharType="end"/>
          </w:r>
        </w:p>
      </w:sdtContent>
    </w:sdt>
    <w:p w14:paraId="293620D7">
      <w:pPr>
        <w:spacing w:line="228" w:lineRule="auto"/>
        <w:rPr>
          <w:rFonts w:ascii="宋体" w:hAnsi="宋体" w:eastAsia="宋体" w:cs="宋体"/>
          <w:szCs w:val="20"/>
        </w:rPr>
        <w:sectPr>
          <w:headerReference r:id="rId4" w:type="default"/>
          <w:footerReference r:id="rId5" w:type="default"/>
          <w:pgSz w:w="11906" w:h="16839"/>
          <w:pgMar w:top="1417" w:right="1416" w:bottom="1134" w:left="1417" w:header="0" w:footer="994" w:gutter="0"/>
          <w:pgNumType w:start="1"/>
          <w:cols w:space="720" w:num="1"/>
        </w:sectPr>
      </w:pPr>
    </w:p>
    <w:p w14:paraId="1C9697DF">
      <w:pPr>
        <w:spacing w:line="414" w:lineRule="auto"/>
      </w:pPr>
    </w:p>
    <w:p w14:paraId="584D0F97">
      <w:pPr>
        <w:spacing w:line="289" w:lineRule="auto"/>
      </w:pPr>
    </w:p>
    <w:p w14:paraId="1F5BFBEF">
      <w:pPr>
        <w:spacing w:line="290" w:lineRule="auto"/>
      </w:pPr>
    </w:p>
    <w:p w14:paraId="26DCBEC4">
      <w:pPr>
        <w:spacing w:line="290" w:lineRule="auto"/>
      </w:pPr>
    </w:p>
    <w:p w14:paraId="7D8F2EDB">
      <w:pPr>
        <w:pStyle w:val="2"/>
        <w:spacing w:before="101" w:line="228" w:lineRule="auto"/>
        <w:ind w:left="4159"/>
        <w:outlineLvl w:val="0"/>
        <w:rPr>
          <w:sz w:val="31"/>
          <w:szCs w:val="31"/>
          <w:lang w:eastAsia="zh-CN"/>
        </w:rPr>
      </w:pPr>
      <w:bookmarkStart w:id="0" w:name="bookmark1"/>
      <w:bookmarkEnd w:id="0"/>
      <w:bookmarkStart w:id="1" w:name="_Toc25676"/>
      <w:r>
        <w:rPr>
          <w:spacing w:val="-2"/>
          <w:sz w:val="31"/>
          <w:szCs w:val="31"/>
          <w:lang w:eastAsia="zh-CN"/>
        </w:rPr>
        <w:t>前</w:t>
      </w:r>
      <w:r>
        <w:rPr>
          <w:spacing w:val="11"/>
          <w:sz w:val="31"/>
          <w:szCs w:val="31"/>
          <w:lang w:eastAsia="zh-CN"/>
        </w:rPr>
        <w:t xml:space="preserve">    </w:t>
      </w:r>
      <w:r>
        <w:rPr>
          <w:spacing w:val="-2"/>
          <w:sz w:val="31"/>
          <w:szCs w:val="31"/>
          <w:lang w:eastAsia="zh-CN"/>
        </w:rPr>
        <w:t>言</w:t>
      </w:r>
      <w:bookmarkEnd w:id="1"/>
    </w:p>
    <w:p w14:paraId="79057699">
      <w:pPr>
        <w:spacing w:line="314" w:lineRule="auto"/>
        <w:rPr>
          <w:lang w:eastAsia="zh-CN"/>
        </w:rPr>
      </w:pPr>
    </w:p>
    <w:p w14:paraId="61A3D347">
      <w:pPr>
        <w:spacing w:line="314" w:lineRule="auto"/>
        <w:rPr>
          <w:lang w:eastAsia="zh-CN"/>
        </w:rPr>
      </w:pPr>
    </w:p>
    <w:p w14:paraId="64ED22D5">
      <w:pPr>
        <w:spacing w:before="34" w:line="273" w:lineRule="auto"/>
        <w:ind w:left="116" w:right="61" w:firstLine="420"/>
        <w:rPr>
          <w:rFonts w:ascii="宋体" w:hAnsi="宋体" w:eastAsia="宋体" w:cs="宋体"/>
          <w:sz w:val="20"/>
          <w:szCs w:val="20"/>
          <w:lang w:eastAsia="zh-CN"/>
        </w:rPr>
      </w:pPr>
      <w:r>
        <w:rPr>
          <w:rFonts w:ascii="宋体" w:hAnsi="宋体" w:eastAsia="宋体" w:cs="宋体"/>
          <w:spacing w:val="9"/>
          <w:sz w:val="20"/>
          <w:szCs w:val="20"/>
          <w:lang w:eastAsia="zh-CN"/>
        </w:rPr>
        <w:t>本文件按照</w:t>
      </w:r>
      <w:r>
        <w:rPr>
          <w:rFonts w:ascii="宋体" w:hAnsi="宋体" w:eastAsia="宋体" w:cs="宋体"/>
          <w:sz w:val="20"/>
          <w:szCs w:val="20"/>
          <w:lang w:eastAsia="zh-CN"/>
        </w:rPr>
        <w:t>GB</w:t>
      </w:r>
      <w:r>
        <w:rPr>
          <w:rFonts w:ascii="宋体" w:hAnsi="宋体" w:eastAsia="宋体" w:cs="宋体"/>
          <w:spacing w:val="9"/>
          <w:sz w:val="20"/>
          <w:szCs w:val="20"/>
          <w:lang w:eastAsia="zh-CN"/>
        </w:rPr>
        <w:t>/T 1.1—2020《标准化工作导则  第1部分：标准化文件的结</w:t>
      </w:r>
      <w:r>
        <w:rPr>
          <w:rFonts w:ascii="宋体" w:hAnsi="宋体" w:eastAsia="宋体" w:cs="宋体"/>
          <w:spacing w:val="8"/>
          <w:sz w:val="20"/>
          <w:szCs w:val="20"/>
          <w:lang w:eastAsia="zh-CN"/>
        </w:rPr>
        <w:t>构和起草规则》的规定</w:t>
      </w:r>
      <w:r>
        <w:rPr>
          <w:rFonts w:ascii="宋体" w:hAnsi="宋体" w:eastAsia="宋体" w:cs="宋体"/>
          <w:sz w:val="20"/>
          <w:szCs w:val="20"/>
          <w:lang w:eastAsia="zh-CN"/>
        </w:rPr>
        <w:t xml:space="preserve"> </w:t>
      </w:r>
      <w:r>
        <w:rPr>
          <w:rFonts w:ascii="宋体" w:hAnsi="宋体" w:eastAsia="宋体" w:cs="宋体"/>
          <w:spacing w:val="2"/>
          <w:sz w:val="20"/>
          <w:szCs w:val="20"/>
          <w:lang w:eastAsia="zh-CN"/>
        </w:rPr>
        <w:t>起草。</w:t>
      </w:r>
    </w:p>
    <w:p w14:paraId="785E2FA0">
      <w:pPr>
        <w:spacing w:before="31" w:line="227" w:lineRule="auto"/>
        <w:ind w:left="536"/>
        <w:rPr>
          <w:rFonts w:ascii="宋体" w:hAnsi="宋体" w:eastAsia="宋体" w:cs="宋体"/>
          <w:spacing w:val="9"/>
          <w:sz w:val="20"/>
          <w:szCs w:val="20"/>
          <w:lang w:eastAsia="zh-CN"/>
        </w:rPr>
      </w:pPr>
      <w:r>
        <w:rPr>
          <w:rFonts w:ascii="宋体" w:hAnsi="宋体" w:eastAsia="宋体" w:cs="宋体"/>
          <w:spacing w:val="-1"/>
          <w:lang w:eastAsia="zh-CN"/>
        </w:rPr>
        <w:t>请注意本文件的某些内容可能涉及专利。本文件的发布机构不承担识别专利的责任。</w:t>
      </w:r>
    </w:p>
    <w:p w14:paraId="5055FCB1">
      <w:pPr>
        <w:spacing w:before="31" w:line="227" w:lineRule="auto"/>
        <w:ind w:left="536"/>
        <w:rPr>
          <w:rFonts w:ascii="宋体" w:hAnsi="宋体" w:eastAsia="宋体" w:cs="宋体"/>
          <w:sz w:val="20"/>
          <w:szCs w:val="20"/>
        </w:rPr>
      </w:pPr>
      <w:r>
        <w:rPr>
          <w:rFonts w:ascii="宋体" w:hAnsi="宋体" w:eastAsia="宋体" w:cs="宋体"/>
          <w:spacing w:val="9"/>
          <w:sz w:val="20"/>
          <w:szCs w:val="20"/>
        </w:rPr>
        <w:t>本文件由</w:t>
      </w:r>
      <w:r>
        <w:rPr>
          <w:rFonts w:hint="eastAsia" w:ascii="宋体" w:hAnsi="宋体" w:eastAsia="宋体" w:cs="宋体"/>
          <w:spacing w:val="9"/>
          <w:sz w:val="20"/>
          <w:szCs w:val="20"/>
          <w:lang w:eastAsia="zh-CN"/>
        </w:rPr>
        <w:t>XXXXX</w:t>
      </w:r>
      <w:r>
        <w:rPr>
          <w:rFonts w:ascii="宋体" w:hAnsi="宋体" w:eastAsia="宋体" w:cs="宋体"/>
          <w:spacing w:val="9"/>
          <w:sz w:val="20"/>
          <w:szCs w:val="20"/>
        </w:rPr>
        <w:t>提出。</w:t>
      </w:r>
    </w:p>
    <w:p w14:paraId="0DCBFDFA">
      <w:pPr>
        <w:spacing w:before="66" w:line="227" w:lineRule="auto"/>
        <w:ind w:left="536"/>
        <w:rPr>
          <w:rFonts w:ascii="宋体" w:hAnsi="宋体" w:eastAsia="宋体" w:cs="宋体"/>
          <w:sz w:val="20"/>
          <w:szCs w:val="20"/>
          <w:lang w:eastAsia="zh-CN"/>
        </w:rPr>
      </w:pPr>
      <w:r>
        <w:rPr>
          <w:rFonts w:ascii="宋体" w:hAnsi="宋体" w:eastAsia="宋体" w:cs="宋体"/>
          <w:spacing w:val="8"/>
          <w:sz w:val="20"/>
          <w:szCs w:val="20"/>
          <w:lang w:eastAsia="zh-CN"/>
        </w:rPr>
        <w:t>本文件由</w:t>
      </w:r>
      <w:r>
        <w:rPr>
          <w:rFonts w:hint="eastAsia" w:ascii="宋体" w:hAnsi="宋体" w:eastAsia="宋体" w:cs="宋体"/>
          <w:spacing w:val="8"/>
          <w:sz w:val="20"/>
          <w:szCs w:val="20"/>
          <w:lang w:eastAsia="zh-CN"/>
        </w:rPr>
        <w:t>江苏省标准化</w:t>
      </w:r>
      <w:r>
        <w:rPr>
          <w:rFonts w:ascii="宋体" w:hAnsi="宋体" w:eastAsia="宋体" w:cs="宋体"/>
          <w:spacing w:val="8"/>
          <w:sz w:val="20"/>
          <w:szCs w:val="20"/>
          <w:lang w:eastAsia="zh-CN"/>
        </w:rPr>
        <w:t>协会归口。</w:t>
      </w:r>
    </w:p>
    <w:p w14:paraId="65DB13F8">
      <w:pPr>
        <w:spacing w:before="64" w:line="284" w:lineRule="auto"/>
        <w:ind w:left="114" w:firstLine="421"/>
        <w:rPr>
          <w:rFonts w:ascii="宋体" w:hAnsi="宋体" w:eastAsia="宋体" w:cs="宋体"/>
          <w:sz w:val="20"/>
          <w:szCs w:val="20"/>
          <w:lang w:eastAsia="zh-CN"/>
        </w:rPr>
      </w:pPr>
      <w:r>
        <w:rPr>
          <w:rFonts w:ascii="宋体" w:hAnsi="宋体" w:eastAsia="宋体" w:cs="宋体"/>
          <w:spacing w:val="9"/>
          <w:sz w:val="20"/>
          <w:szCs w:val="20"/>
          <w:lang w:eastAsia="zh-CN"/>
        </w:rPr>
        <w:t>本文件起草单位：</w:t>
      </w:r>
      <w:r>
        <w:rPr>
          <w:rFonts w:hint="eastAsia" w:ascii="宋体" w:hAnsi="宋体" w:eastAsia="宋体" w:cs="宋体"/>
          <w:spacing w:val="9"/>
          <w:sz w:val="20"/>
          <w:szCs w:val="20"/>
          <w:lang w:eastAsia="zh-CN"/>
        </w:rPr>
        <w:t>江苏省特种设备安全监督检验研究院、</w:t>
      </w:r>
      <w:bookmarkStart w:id="114" w:name="_GoBack"/>
      <w:bookmarkEnd w:id="114"/>
      <w:r>
        <w:rPr>
          <w:rFonts w:hint="eastAsia" w:ascii="宋体" w:hAnsi="宋体" w:eastAsia="宋体" w:cs="宋体"/>
          <w:spacing w:val="9"/>
          <w:sz w:val="20"/>
          <w:szCs w:val="20"/>
          <w:lang w:eastAsia="zh-CN"/>
        </w:rPr>
        <w:t>方圆标志认证集团江苏有限公司、方圆标志认证集团有限公司、实联化工（江苏）有限公司、江苏省盐业集团有限责任公司</w:t>
      </w:r>
      <w:r>
        <w:rPr>
          <w:rFonts w:ascii="宋体" w:hAnsi="宋体" w:eastAsia="宋体" w:cs="宋体"/>
          <w:spacing w:val="9"/>
          <w:sz w:val="20"/>
          <w:szCs w:val="20"/>
          <w:lang w:eastAsia="zh-CN"/>
        </w:rPr>
        <w:t>。</w:t>
      </w:r>
    </w:p>
    <w:p w14:paraId="2099FB1F">
      <w:pPr>
        <w:spacing w:before="31" w:line="281" w:lineRule="auto"/>
        <w:ind w:left="119" w:right="58" w:firstLine="417"/>
        <w:rPr>
          <w:rFonts w:ascii="宋体" w:hAnsi="宋体" w:eastAsia="宋体" w:cs="宋体"/>
          <w:sz w:val="20"/>
          <w:szCs w:val="20"/>
          <w:lang w:eastAsia="zh-CN"/>
        </w:rPr>
      </w:pPr>
      <w:r>
        <w:rPr>
          <w:rFonts w:ascii="宋体" w:hAnsi="宋体" w:eastAsia="宋体" w:cs="宋体"/>
          <w:spacing w:val="8"/>
          <w:sz w:val="20"/>
          <w:szCs w:val="20"/>
          <w:lang w:eastAsia="zh-CN"/>
        </w:rPr>
        <w:t>本文件主要起草人：</w:t>
      </w:r>
      <w:r>
        <w:rPr>
          <w:rFonts w:hint="eastAsia" w:ascii="宋体" w:hAnsi="宋体" w:eastAsia="宋体" w:cs="宋体"/>
          <w:spacing w:val="8"/>
          <w:sz w:val="20"/>
          <w:szCs w:val="20"/>
          <w:lang w:eastAsia="zh-CN"/>
        </w:rPr>
        <w:t xml:space="preserve"> </w:t>
      </w:r>
      <w:r>
        <w:rPr>
          <w:rFonts w:ascii="宋体" w:hAnsi="宋体" w:eastAsia="宋体" w:cs="宋体"/>
          <w:spacing w:val="9"/>
          <w:sz w:val="20"/>
          <w:szCs w:val="20"/>
          <w:lang w:eastAsia="zh-CN"/>
        </w:rPr>
        <w:t>。</w:t>
      </w:r>
    </w:p>
    <w:p w14:paraId="4E438890">
      <w:pPr>
        <w:spacing w:line="281" w:lineRule="auto"/>
        <w:rPr>
          <w:rFonts w:ascii="宋体" w:hAnsi="宋体" w:eastAsia="宋体" w:cs="宋体"/>
          <w:sz w:val="20"/>
          <w:szCs w:val="20"/>
          <w:lang w:eastAsia="zh-CN"/>
        </w:rPr>
        <w:sectPr>
          <w:headerReference r:id="rId6" w:type="default"/>
          <w:footerReference r:id="rId7" w:type="default"/>
          <w:pgSz w:w="11906" w:h="16839"/>
          <w:pgMar w:top="1417" w:right="1134" w:bottom="1134" w:left="1417" w:header="0" w:footer="994" w:gutter="0"/>
          <w:pgNumType w:start="1"/>
          <w:cols w:space="720" w:num="1"/>
        </w:sectPr>
      </w:pPr>
    </w:p>
    <w:p w14:paraId="0FDACDEA">
      <w:pPr>
        <w:spacing w:line="296" w:lineRule="auto"/>
        <w:rPr>
          <w:lang w:eastAsia="zh-CN"/>
        </w:rPr>
      </w:pPr>
    </w:p>
    <w:p w14:paraId="581A3611">
      <w:pPr>
        <w:spacing w:line="296" w:lineRule="auto"/>
        <w:rPr>
          <w:lang w:eastAsia="zh-CN"/>
        </w:rPr>
      </w:pPr>
    </w:p>
    <w:p w14:paraId="0098FC87">
      <w:pPr>
        <w:spacing w:line="297" w:lineRule="auto"/>
        <w:rPr>
          <w:lang w:eastAsia="zh-CN"/>
        </w:rPr>
      </w:pPr>
    </w:p>
    <w:p w14:paraId="081C6C10">
      <w:pPr>
        <w:pStyle w:val="2"/>
        <w:spacing w:before="101" w:line="226" w:lineRule="auto"/>
        <w:jc w:val="center"/>
        <w:rPr>
          <w:sz w:val="31"/>
          <w:szCs w:val="31"/>
          <w:lang w:eastAsia="zh-CN"/>
        </w:rPr>
      </w:pPr>
      <w:r>
        <w:rPr>
          <w:rFonts w:hint="eastAsia"/>
          <w:spacing w:val="9"/>
          <w:sz w:val="31"/>
          <w:szCs w:val="31"/>
          <w:lang w:eastAsia="zh-CN"/>
        </w:rPr>
        <w:t>温室气体 产品碳足迹量化方法与要求 纯碱</w:t>
      </w:r>
    </w:p>
    <w:p w14:paraId="456A4AF3">
      <w:pPr>
        <w:spacing w:line="263" w:lineRule="auto"/>
        <w:rPr>
          <w:lang w:eastAsia="zh-CN"/>
        </w:rPr>
      </w:pPr>
    </w:p>
    <w:p w14:paraId="19CA26E8">
      <w:pPr>
        <w:spacing w:line="264" w:lineRule="auto"/>
        <w:rPr>
          <w:lang w:eastAsia="zh-CN"/>
        </w:rPr>
      </w:pPr>
    </w:p>
    <w:p w14:paraId="7B434D2C">
      <w:pPr>
        <w:pStyle w:val="2"/>
        <w:spacing w:before="240" w:beforeLines="100" w:after="240" w:afterLines="100"/>
        <w:outlineLvl w:val="0"/>
        <w:rPr>
          <w:sz w:val="20"/>
          <w:szCs w:val="20"/>
          <w:lang w:eastAsia="zh-CN"/>
        </w:rPr>
      </w:pPr>
      <w:bookmarkStart w:id="2" w:name="bookmark3"/>
      <w:bookmarkEnd w:id="2"/>
      <w:bookmarkStart w:id="3" w:name="_Toc1036"/>
      <w:r>
        <w:rPr>
          <w:spacing w:val="-3"/>
          <w:sz w:val="20"/>
          <w:szCs w:val="20"/>
          <w:lang w:eastAsia="zh-CN"/>
        </w:rPr>
        <w:t>1</w:t>
      </w:r>
      <w:r>
        <w:rPr>
          <w:spacing w:val="18"/>
          <w:sz w:val="20"/>
          <w:szCs w:val="20"/>
          <w:lang w:eastAsia="zh-CN"/>
        </w:rPr>
        <w:t xml:space="preserve"> </w:t>
      </w:r>
      <w:r>
        <w:rPr>
          <w:spacing w:val="-3"/>
          <w:sz w:val="20"/>
          <w:szCs w:val="20"/>
          <w:lang w:eastAsia="zh-CN"/>
        </w:rPr>
        <w:t>范围</w:t>
      </w:r>
      <w:bookmarkEnd w:id="3"/>
    </w:p>
    <w:p w14:paraId="5FF48858">
      <w:pPr>
        <w:ind w:firstLine="432" w:firstLineChars="200"/>
        <w:jc w:val="both"/>
        <w:rPr>
          <w:rFonts w:ascii="宋体" w:hAnsi="宋体" w:eastAsia="宋体" w:cs="宋体"/>
          <w:spacing w:val="8"/>
          <w:sz w:val="20"/>
          <w:szCs w:val="20"/>
          <w:lang w:eastAsia="zh-CN"/>
        </w:rPr>
      </w:pPr>
      <w:r>
        <w:rPr>
          <w:rFonts w:hint="eastAsia" w:ascii="宋体" w:hAnsi="宋体" w:eastAsia="宋体" w:cs="宋体"/>
          <w:spacing w:val="8"/>
          <w:sz w:val="20"/>
          <w:szCs w:val="20"/>
          <w:lang w:eastAsia="zh-CN"/>
        </w:rPr>
        <w:t>本文件规定了纯碱产品碳足迹量化的量化目的、量化范围、数据和数据质量、生命周期清单分析、产品碳足迹影响评价、产品碳足迹结果解释及产品碳足迹报告。</w:t>
      </w:r>
    </w:p>
    <w:p w14:paraId="431F7F72">
      <w:pPr>
        <w:ind w:firstLine="436" w:firstLineChars="200"/>
        <w:rPr>
          <w:rFonts w:ascii="宋体" w:hAnsi="宋体" w:eastAsia="宋体" w:cs="宋体"/>
          <w:spacing w:val="9"/>
          <w:sz w:val="20"/>
          <w:szCs w:val="20"/>
          <w:lang w:eastAsia="zh-CN"/>
        </w:rPr>
      </w:pPr>
      <w:r>
        <w:rPr>
          <w:rFonts w:hint="eastAsia" w:ascii="宋体" w:hAnsi="宋体" w:eastAsia="宋体" w:cs="宋体"/>
          <w:spacing w:val="9"/>
          <w:sz w:val="20"/>
          <w:szCs w:val="20"/>
          <w:lang w:eastAsia="zh-CN"/>
        </w:rPr>
        <w:t>本文件适用于氨碱法、联碱法、天然碱法生产纯碱的纯碱产品碳足迹量化。</w:t>
      </w:r>
    </w:p>
    <w:p w14:paraId="2A690C56">
      <w:pPr>
        <w:ind w:firstLine="420" w:firstLineChars="200"/>
        <w:rPr>
          <w:lang w:eastAsia="zh-CN"/>
        </w:rPr>
      </w:pPr>
    </w:p>
    <w:p w14:paraId="1B0B0381">
      <w:pPr>
        <w:pStyle w:val="2"/>
        <w:outlineLvl w:val="0"/>
        <w:rPr>
          <w:sz w:val="20"/>
          <w:szCs w:val="20"/>
          <w:lang w:eastAsia="zh-CN"/>
        </w:rPr>
      </w:pPr>
      <w:bookmarkStart w:id="4" w:name="bookmark5"/>
      <w:bookmarkEnd w:id="4"/>
      <w:bookmarkStart w:id="5" w:name="_Toc20322"/>
      <w:r>
        <w:rPr>
          <w:spacing w:val="8"/>
          <w:sz w:val="20"/>
          <w:szCs w:val="20"/>
          <w:lang w:eastAsia="zh-CN"/>
        </w:rPr>
        <w:t>2 规范性引用文件</w:t>
      </w:r>
      <w:bookmarkEnd w:id="5"/>
    </w:p>
    <w:p w14:paraId="1092318D">
      <w:pPr>
        <w:ind w:firstLine="420" w:firstLineChars="200"/>
        <w:rPr>
          <w:lang w:eastAsia="zh-CN"/>
        </w:rPr>
      </w:pPr>
    </w:p>
    <w:p w14:paraId="53839EDA">
      <w:pPr>
        <w:ind w:firstLine="432" w:firstLineChars="200"/>
        <w:jc w:val="both"/>
        <w:rPr>
          <w:rFonts w:ascii="宋体" w:hAnsi="宋体" w:eastAsia="宋体" w:cs="宋体"/>
          <w:spacing w:val="8"/>
          <w:sz w:val="20"/>
          <w:szCs w:val="20"/>
          <w:lang w:eastAsia="zh-CN"/>
        </w:rPr>
      </w:pPr>
      <w:r>
        <w:rPr>
          <w:rFonts w:hint="eastAsia" w:ascii="宋体" w:hAnsi="宋体" w:eastAsia="宋体" w:cs="宋体"/>
          <w:spacing w:val="8"/>
          <w:sz w:val="20"/>
          <w:szCs w:val="20"/>
          <w:lang w:eastAsia="zh-CN"/>
        </w:rPr>
        <w:t>下列文件中的内容通过文中的规范性引用而构成本文件必不可少的条款。其中，注日期的引用文件，仅该日期对应的版本适用于本文件；不注日期的引用文件，其最新版本（包括所有的修改单）适用于本 文件。</w:t>
      </w:r>
    </w:p>
    <w:p w14:paraId="7B71E69C">
      <w:pPr>
        <w:ind w:firstLine="432" w:firstLineChars="200"/>
        <w:jc w:val="both"/>
        <w:rPr>
          <w:rFonts w:ascii="宋体" w:hAnsi="宋体" w:eastAsia="宋体" w:cs="宋体"/>
          <w:spacing w:val="8"/>
          <w:sz w:val="20"/>
          <w:szCs w:val="20"/>
          <w:lang w:eastAsia="zh-CN"/>
        </w:rPr>
      </w:pPr>
      <w:r>
        <w:rPr>
          <w:rFonts w:hint="eastAsia" w:ascii="宋体" w:hAnsi="宋体" w:eastAsia="宋体" w:cs="宋体"/>
          <w:spacing w:val="8"/>
          <w:sz w:val="20"/>
          <w:szCs w:val="20"/>
          <w:lang w:eastAsia="zh-CN"/>
        </w:rPr>
        <w:t>GB/T 210 工业碳酸钠</w:t>
      </w:r>
    </w:p>
    <w:p w14:paraId="5BA8F192">
      <w:pPr>
        <w:ind w:firstLine="432" w:firstLineChars="200"/>
        <w:jc w:val="both"/>
        <w:rPr>
          <w:rFonts w:ascii="宋体" w:hAnsi="宋体" w:eastAsia="宋体" w:cs="宋体"/>
          <w:spacing w:val="8"/>
          <w:sz w:val="20"/>
          <w:szCs w:val="20"/>
          <w:lang w:eastAsia="zh-CN"/>
        </w:rPr>
      </w:pPr>
      <w:r>
        <w:rPr>
          <w:rFonts w:hint="eastAsia" w:ascii="宋体" w:hAnsi="宋体" w:eastAsia="宋体" w:cs="宋体"/>
          <w:spacing w:val="8"/>
          <w:sz w:val="20"/>
          <w:szCs w:val="20"/>
          <w:lang w:eastAsia="zh-CN"/>
        </w:rPr>
        <w:t>GB 17167 用能单位能源计量器具配备和管理通则</w:t>
      </w:r>
    </w:p>
    <w:p w14:paraId="7B485476">
      <w:pPr>
        <w:ind w:firstLine="432" w:firstLineChars="200"/>
        <w:jc w:val="both"/>
        <w:rPr>
          <w:rFonts w:ascii="宋体" w:hAnsi="宋体" w:eastAsia="宋体" w:cs="宋体"/>
          <w:spacing w:val="8"/>
          <w:sz w:val="20"/>
          <w:szCs w:val="20"/>
          <w:lang w:eastAsia="zh-CN"/>
        </w:rPr>
      </w:pPr>
      <w:r>
        <w:rPr>
          <w:rFonts w:hint="eastAsia" w:ascii="宋体" w:hAnsi="宋体" w:eastAsia="宋体" w:cs="宋体"/>
          <w:spacing w:val="8"/>
          <w:sz w:val="20"/>
          <w:szCs w:val="20"/>
          <w:lang w:eastAsia="zh-CN"/>
        </w:rPr>
        <w:t>GB/T 24025 环境标志和声明 Ⅲ型环境声明 原则和程序</w:t>
      </w:r>
    </w:p>
    <w:p w14:paraId="20DD3EB0">
      <w:pPr>
        <w:ind w:firstLine="432" w:firstLineChars="200"/>
        <w:jc w:val="both"/>
        <w:rPr>
          <w:rFonts w:ascii="宋体" w:hAnsi="宋体" w:eastAsia="宋体" w:cs="宋体"/>
          <w:spacing w:val="8"/>
          <w:sz w:val="20"/>
          <w:szCs w:val="20"/>
          <w:lang w:eastAsia="zh-CN"/>
        </w:rPr>
      </w:pPr>
      <w:r>
        <w:rPr>
          <w:rFonts w:hint="eastAsia" w:ascii="宋体" w:hAnsi="宋体" w:eastAsia="宋体" w:cs="宋体"/>
          <w:spacing w:val="8"/>
          <w:sz w:val="20"/>
          <w:szCs w:val="20"/>
          <w:lang w:eastAsia="zh-CN"/>
        </w:rPr>
        <w:t>GB/T 24040 环境管理 生命周期评价 原则与框架</w:t>
      </w:r>
    </w:p>
    <w:p w14:paraId="62BA9750">
      <w:pPr>
        <w:ind w:firstLine="432" w:firstLineChars="200"/>
        <w:jc w:val="both"/>
        <w:rPr>
          <w:rFonts w:ascii="宋体" w:hAnsi="宋体" w:eastAsia="宋体" w:cs="宋体"/>
          <w:spacing w:val="8"/>
          <w:sz w:val="20"/>
          <w:szCs w:val="20"/>
          <w:lang w:eastAsia="zh-CN"/>
        </w:rPr>
      </w:pPr>
      <w:r>
        <w:rPr>
          <w:rFonts w:hint="eastAsia" w:ascii="宋体" w:hAnsi="宋体" w:eastAsia="宋体" w:cs="宋体"/>
          <w:spacing w:val="8"/>
          <w:sz w:val="20"/>
          <w:szCs w:val="20"/>
          <w:lang w:eastAsia="zh-CN"/>
        </w:rPr>
        <w:t>GB/T 24044 环境管理 生命周期评价 要求与指南</w:t>
      </w:r>
    </w:p>
    <w:p w14:paraId="2B4BCCCD">
      <w:pPr>
        <w:ind w:firstLine="432" w:firstLineChars="200"/>
        <w:jc w:val="both"/>
        <w:rPr>
          <w:rFonts w:ascii="宋体" w:hAnsi="宋体" w:eastAsia="宋体" w:cs="宋体"/>
          <w:spacing w:val="8"/>
          <w:sz w:val="20"/>
          <w:szCs w:val="20"/>
          <w:lang w:eastAsia="zh-CN"/>
        </w:rPr>
      </w:pPr>
      <w:r>
        <w:rPr>
          <w:rFonts w:hint="eastAsia" w:ascii="宋体" w:hAnsi="宋体" w:eastAsia="宋体" w:cs="宋体"/>
          <w:spacing w:val="8"/>
          <w:sz w:val="20"/>
          <w:szCs w:val="20"/>
          <w:lang w:eastAsia="zh-CN"/>
        </w:rPr>
        <w:t>GB/T 24067 温室气体 产品碳足迹 量化要求和指南</w:t>
      </w:r>
    </w:p>
    <w:p w14:paraId="15FCAE2A">
      <w:pPr>
        <w:ind w:firstLine="432" w:firstLineChars="200"/>
        <w:jc w:val="both"/>
        <w:rPr>
          <w:rFonts w:ascii="宋体" w:hAnsi="宋体" w:eastAsia="宋体" w:cs="宋体"/>
          <w:spacing w:val="8"/>
          <w:sz w:val="20"/>
          <w:szCs w:val="20"/>
          <w:lang w:eastAsia="zh-CN"/>
        </w:rPr>
      </w:pPr>
      <w:r>
        <w:rPr>
          <w:rFonts w:hint="eastAsia" w:ascii="宋体" w:hAnsi="宋体" w:eastAsia="宋体" w:cs="宋体"/>
          <w:spacing w:val="8"/>
          <w:sz w:val="20"/>
          <w:szCs w:val="20"/>
          <w:lang w:eastAsia="zh-CN"/>
        </w:rPr>
        <w:t>GB/T 32150 工业企业温室气体排放核算和报告通则</w:t>
      </w:r>
    </w:p>
    <w:p w14:paraId="19B244FF">
      <w:pPr>
        <w:ind w:firstLine="432" w:firstLineChars="200"/>
        <w:jc w:val="both"/>
        <w:rPr>
          <w:rFonts w:ascii="宋体" w:hAnsi="宋体" w:eastAsia="宋体" w:cs="宋体"/>
          <w:spacing w:val="8"/>
          <w:sz w:val="20"/>
          <w:szCs w:val="20"/>
          <w:lang w:eastAsia="zh-CN"/>
        </w:rPr>
      </w:pPr>
      <w:r>
        <w:rPr>
          <w:rFonts w:hint="eastAsia" w:ascii="宋体" w:hAnsi="宋体" w:eastAsia="宋体" w:cs="宋体"/>
          <w:spacing w:val="8"/>
          <w:sz w:val="20"/>
          <w:szCs w:val="20"/>
          <w:lang w:eastAsia="zh-CN"/>
        </w:rPr>
        <w:t>GB/T 32151.10-2023 碳排放核算与报告要求 第10部分:化工生产企业</w:t>
      </w:r>
    </w:p>
    <w:p w14:paraId="670DA5E7">
      <w:pPr>
        <w:ind w:firstLine="420" w:firstLineChars="200"/>
        <w:rPr>
          <w:lang w:eastAsia="zh-CN"/>
        </w:rPr>
      </w:pPr>
    </w:p>
    <w:p w14:paraId="11A282C3">
      <w:pPr>
        <w:pStyle w:val="2"/>
        <w:outlineLvl w:val="0"/>
        <w:rPr>
          <w:sz w:val="20"/>
          <w:szCs w:val="20"/>
          <w:lang w:eastAsia="zh-CN"/>
        </w:rPr>
      </w:pPr>
      <w:bookmarkStart w:id="6" w:name="bookmark7"/>
      <w:bookmarkEnd w:id="6"/>
      <w:bookmarkStart w:id="7" w:name="_Toc23182"/>
      <w:r>
        <w:rPr>
          <w:spacing w:val="7"/>
          <w:sz w:val="20"/>
          <w:szCs w:val="20"/>
          <w:lang w:eastAsia="zh-CN"/>
        </w:rPr>
        <w:t>3 术语和定义</w:t>
      </w:r>
      <w:bookmarkEnd w:id="7"/>
    </w:p>
    <w:p w14:paraId="227F1F46">
      <w:pPr>
        <w:ind w:firstLine="420" w:firstLineChars="200"/>
        <w:rPr>
          <w:lang w:eastAsia="zh-CN"/>
        </w:rPr>
      </w:pPr>
    </w:p>
    <w:p w14:paraId="01DF8F42">
      <w:pPr>
        <w:ind w:firstLine="432" w:firstLineChars="200"/>
        <w:jc w:val="both"/>
        <w:rPr>
          <w:rFonts w:ascii="宋体" w:hAnsi="宋体" w:eastAsia="宋体" w:cs="宋体"/>
          <w:spacing w:val="8"/>
          <w:sz w:val="20"/>
          <w:szCs w:val="20"/>
          <w:lang w:eastAsia="zh-CN"/>
        </w:rPr>
      </w:pPr>
      <w:r>
        <w:rPr>
          <w:rFonts w:hint="eastAsia" w:ascii="宋体" w:hAnsi="宋体" w:eastAsia="宋体" w:cs="宋体"/>
          <w:spacing w:val="8"/>
          <w:sz w:val="20"/>
          <w:szCs w:val="20"/>
          <w:lang w:eastAsia="zh-CN"/>
        </w:rPr>
        <w:t>GB/T24025、GB/T24040、GB/T24044、GB/T24067、GB/T32150、GB/T32151.10界定的以及下列术语和定义适用于本文件。</w:t>
      </w:r>
    </w:p>
    <w:p w14:paraId="78878DBF">
      <w:pPr>
        <w:pStyle w:val="16"/>
        <w:numPr>
          <w:ilvl w:val="2"/>
          <w:numId w:val="0"/>
        </w:numPr>
        <w:spacing w:before="120" w:after="120"/>
        <w:outlineLvl w:val="9"/>
        <w:rPr>
          <w:rFonts w:ascii="黑体" w:hAnsi="黑体" w:cs="黑体"/>
        </w:rPr>
      </w:pPr>
      <w:bookmarkStart w:id="8" w:name="_Toc27315"/>
      <w:r>
        <w:rPr>
          <w:rFonts w:hint="eastAsia" w:ascii="黑体" w:hAnsi="黑体" w:cs="黑体"/>
        </w:rPr>
        <w:t>3.1</w:t>
      </w:r>
      <w:bookmarkEnd w:id="8"/>
    </w:p>
    <w:p w14:paraId="0355D021">
      <w:pPr>
        <w:pStyle w:val="2"/>
        <w:ind w:firstLine="456" w:firstLineChars="200"/>
        <w:rPr>
          <w:spacing w:val="14"/>
          <w:sz w:val="20"/>
          <w:szCs w:val="20"/>
          <w:lang w:eastAsia="zh-CN"/>
        </w:rPr>
      </w:pPr>
      <w:r>
        <w:rPr>
          <w:rFonts w:hint="eastAsia"/>
          <w:spacing w:val="14"/>
          <w:sz w:val="20"/>
          <w:szCs w:val="20"/>
          <w:lang w:eastAsia="zh-CN"/>
        </w:rPr>
        <w:t>产品碳足迹 carbon footprint of a product；CFP</w:t>
      </w:r>
    </w:p>
    <w:p w14:paraId="0E1E3039">
      <w:pPr>
        <w:pStyle w:val="13"/>
        <w:ind w:firstLine="400"/>
        <w:rPr>
          <w:rFonts w:hAnsi="宋体" w:cs="宋体"/>
          <w:sz w:val="20"/>
        </w:rPr>
      </w:pPr>
      <w:r>
        <w:rPr>
          <w:rFonts w:hint="eastAsia" w:hAnsi="宋体" w:cs="宋体"/>
          <w:sz w:val="20"/>
        </w:rPr>
        <w:t>产品系统中的GHG排放量和GHG清除量之和，以二氧化碳当量表示，并基于气候变化这一单一环境影响类型进行生命周期评价。</w:t>
      </w:r>
    </w:p>
    <w:p w14:paraId="372CB0F5">
      <w:pPr>
        <w:pStyle w:val="13"/>
        <w:ind w:firstLine="361"/>
        <w:rPr>
          <w:rFonts w:hAnsi="宋体" w:cs="宋体"/>
          <w:sz w:val="18"/>
          <w:szCs w:val="18"/>
        </w:rPr>
      </w:pPr>
      <w:r>
        <w:rPr>
          <w:rFonts w:hint="eastAsia" w:hAnsi="宋体" w:cs="宋体"/>
          <w:b/>
          <w:bCs/>
          <w:sz w:val="18"/>
          <w:szCs w:val="18"/>
        </w:rPr>
        <w:t>注1：</w:t>
      </w:r>
      <w:r>
        <w:rPr>
          <w:rFonts w:hint="eastAsia" w:hAnsi="宋体" w:cs="宋体"/>
          <w:sz w:val="18"/>
          <w:szCs w:val="18"/>
        </w:rPr>
        <w:t>产品碳足迹可用不同的图例区分和标示具体的GHG排放量和清除量，产品碳足迹也可被分解到其生命周期的各个阶段。</w:t>
      </w:r>
    </w:p>
    <w:p w14:paraId="488D6DF6">
      <w:pPr>
        <w:pStyle w:val="13"/>
        <w:ind w:firstLine="361"/>
        <w:rPr>
          <w:rFonts w:hAnsi="宋体" w:cs="宋体"/>
          <w:sz w:val="20"/>
        </w:rPr>
      </w:pPr>
      <w:r>
        <w:rPr>
          <w:rFonts w:hint="eastAsia" w:hAnsi="宋体" w:cs="宋体"/>
          <w:b/>
          <w:bCs/>
          <w:sz w:val="18"/>
          <w:szCs w:val="18"/>
        </w:rPr>
        <w:t>注2：</w:t>
      </w:r>
      <w:r>
        <w:rPr>
          <w:rFonts w:hint="eastAsia" w:hAnsi="宋体" w:cs="宋体"/>
          <w:sz w:val="18"/>
          <w:szCs w:val="18"/>
        </w:rPr>
        <w:t>产品碳足迹研究报告中记录了产品碳足迹的量化结果，以每个功能单位的二氧化碳当量表示。</w:t>
      </w:r>
    </w:p>
    <w:p w14:paraId="74C050BA">
      <w:pPr>
        <w:pStyle w:val="2"/>
        <w:ind w:firstLine="400" w:firstLineChars="200"/>
        <w:rPr>
          <w:rFonts w:ascii="宋体" w:hAnsi="宋体" w:eastAsia="宋体" w:cs="宋体"/>
          <w:sz w:val="20"/>
          <w:szCs w:val="20"/>
        </w:rPr>
      </w:pPr>
      <w:r>
        <w:rPr>
          <w:rFonts w:hint="eastAsia" w:ascii="宋体" w:hAnsi="宋体" w:eastAsia="宋体" w:cs="宋体"/>
          <w:sz w:val="20"/>
          <w:szCs w:val="20"/>
        </w:rPr>
        <w:t>[来源：GB/T 20467-2024，3.1.1]</w:t>
      </w:r>
    </w:p>
    <w:p w14:paraId="10E5F206">
      <w:pPr>
        <w:pStyle w:val="16"/>
        <w:numPr>
          <w:ilvl w:val="2"/>
          <w:numId w:val="0"/>
        </w:numPr>
        <w:spacing w:before="120" w:after="120"/>
        <w:outlineLvl w:val="9"/>
        <w:rPr>
          <w:rFonts w:eastAsia="宋体" w:cs="宋体"/>
        </w:rPr>
      </w:pPr>
      <w:bookmarkStart w:id="9" w:name="_Toc5245"/>
      <w:bookmarkEnd w:id="9"/>
      <w:bookmarkStart w:id="10" w:name="_Toc11218"/>
      <w:bookmarkEnd w:id="10"/>
      <w:bookmarkStart w:id="11" w:name="_Toc14207"/>
      <w:bookmarkEnd w:id="11"/>
      <w:bookmarkStart w:id="12" w:name="_Toc12641"/>
      <w:bookmarkEnd w:id="12"/>
      <w:bookmarkStart w:id="13" w:name="_Toc755"/>
      <w:bookmarkEnd w:id="13"/>
      <w:bookmarkStart w:id="14" w:name="_Toc3536"/>
      <w:bookmarkEnd w:id="14"/>
      <w:bookmarkStart w:id="15" w:name="_Toc6515"/>
      <w:bookmarkEnd w:id="15"/>
      <w:bookmarkStart w:id="16" w:name="_Toc31156"/>
      <w:r>
        <w:rPr>
          <w:rFonts w:hint="eastAsia" w:ascii="黑体" w:hAnsi="黑体" w:cs="黑体"/>
        </w:rPr>
        <w:t>3.2</w:t>
      </w:r>
      <w:bookmarkEnd w:id="16"/>
    </w:p>
    <w:p w14:paraId="60828CCC">
      <w:pPr>
        <w:pStyle w:val="2"/>
        <w:ind w:firstLine="456" w:firstLineChars="200"/>
        <w:rPr>
          <w:spacing w:val="14"/>
          <w:sz w:val="20"/>
          <w:szCs w:val="20"/>
          <w:lang w:eastAsia="zh-CN"/>
        </w:rPr>
      </w:pPr>
      <w:r>
        <w:rPr>
          <w:rFonts w:hint="eastAsia"/>
          <w:spacing w:val="14"/>
          <w:sz w:val="20"/>
          <w:szCs w:val="20"/>
          <w:lang w:eastAsia="zh-CN"/>
        </w:rPr>
        <w:t>系统边界 system boundary</w:t>
      </w:r>
    </w:p>
    <w:p w14:paraId="0B6045EE">
      <w:pPr>
        <w:pStyle w:val="13"/>
        <w:ind w:firstLine="400"/>
        <w:rPr>
          <w:rFonts w:ascii="Times New Roman"/>
          <w:bCs/>
          <w:sz w:val="20"/>
          <w:szCs w:val="18"/>
        </w:rPr>
      </w:pPr>
      <w:r>
        <w:rPr>
          <w:rFonts w:ascii="Times New Roman"/>
          <w:bCs/>
          <w:sz w:val="20"/>
          <w:szCs w:val="18"/>
        </w:rPr>
        <w:t>通过一组准则确定哪些单元过程属于产品系统的一部分。</w:t>
      </w:r>
    </w:p>
    <w:p w14:paraId="07676A72">
      <w:pPr>
        <w:pStyle w:val="13"/>
        <w:ind w:firstLine="400"/>
        <w:rPr>
          <w:rFonts w:ascii="Times New Roman"/>
          <w:bCs/>
          <w:sz w:val="20"/>
          <w:szCs w:val="18"/>
        </w:rPr>
      </w:pPr>
      <w:r>
        <w:rPr>
          <w:rFonts w:hint="eastAsia" w:ascii="Times New Roman"/>
          <w:bCs/>
          <w:sz w:val="20"/>
          <w:szCs w:val="18"/>
        </w:rPr>
        <w:t>[</w:t>
      </w:r>
      <w:r>
        <w:rPr>
          <w:rFonts w:ascii="Times New Roman"/>
          <w:bCs/>
          <w:sz w:val="20"/>
          <w:szCs w:val="18"/>
        </w:rPr>
        <w:t>来源：GB/T</w:t>
      </w:r>
      <w:r>
        <w:rPr>
          <w:rFonts w:hint="eastAsia" w:ascii="Times New Roman"/>
          <w:bCs/>
          <w:sz w:val="20"/>
          <w:szCs w:val="18"/>
        </w:rPr>
        <w:t xml:space="preserve"> </w:t>
      </w:r>
      <w:r>
        <w:rPr>
          <w:rFonts w:ascii="Times New Roman"/>
          <w:bCs/>
          <w:sz w:val="20"/>
          <w:szCs w:val="18"/>
        </w:rPr>
        <w:t>2404</w:t>
      </w:r>
      <w:r>
        <w:rPr>
          <w:rFonts w:hint="eastAsia" w:ascii="Times New Roman"/>
          <w:bCs/>
          <w:sz w:val="20"/>
          <w:szCs w:val="18"/>
        </w:rPr>
        <w:t>7</w:t>
      </w:r>
      <w:r>
        <w:rPr>
          <w:rFonts w:ascii="Times New Roman"/>
          <w:bCs/>
          <w:sz w:val="20"/>
          <w:szCs w:val="18"/>
        </w:rPr>
        <w:t>-20</w:t>
      </w:r>
      <w:r>
        <w:rPr>
          <w:rFonts w:hint="eastAsia" w:ascii="Times New Roman"/>
          <w:bCs/>
          <w:sz w:val="20"/>
          <w:szCs w:val="18"/>
        </w:rPr>
        <w:t>24</w:t>
      </w:r>
      <w:r>
        <w:rPr>
          <w:rFonts w:ascii="Times New Roman"/>
          <w:bCs/>
          <w:sz w:val="20"/>
          <w:szCs w:val="18"/>
        </w:rPr>
        <w:t>，3.</w:t>
      </w:r>
      <w:r>
        <w:rPr>
          <w:rFonts w:hint="eastAsia" w:ascii="Times New Roman"/>
          <w:bCs/>
          <w:sz w:val="20"/>
          <w:szCs w:val="18"/>
        </w:rPr>
        <w:t>3.4]</w:t>
      </w:r>
    </w:p>
    <w:p w14:paraId="256B469F">
      <w:pPr>
        <w:pStyle w:val="16"/>
        <w:numPr>
          <w:ilvl w:val="2"/>
          <w:numId w:val="0"/>
        </w:numPr>
        <w:spacing w:before="120" w:after="120"/>
        <w:outlineLvl w:val="9"/>
        <w:rPr>
          <w:rFonts w:ascii="黑体" w:hAnsi="黑体" w:cs="黑体"/>
        </w:rPr>
      </w:pPr>
      <w:bookmarkStart w:id="17" w:name="_Toc26831"/>
      <w:bookmarkEnd w:id="17"/>
      <w:bookmarkStart w:id="18" w:name="_Toc2533"/>
      <w:bookmarkEnd w:id="18"/>
      <w:bookmarkStart w:id="19" w:name="_Toc8673"/>
      <w:bookmarkEnd w:id="19"/>
      <w:bookmarkStart w:id="20" w:name="_Toc10737"/>
      <w:bookmarkEnd w:id="20"/>
      <w:bookmarkStart w:id="21" w:name="_Toc30873"/>
      <w:bookmarkEnd w:id="21"/>
      <w:bookmarkStart w:id="22" w:name="_Toc19441"/>
      <w:bookmarkEnd w:id="22"/>
      <w:bookmarkStart w:id="23" w:name="_Toc27626"/>
      <w:bookmarkEnd w:id="23"/>
      <w:bookmarkStart w:id="24" w:name="_Toc29210"/>
      <w:bookmarkEnd w:id="24"/>
      <w:bookmarkStart w:id="25" w:name="_Toc8313"/>
      <w:bookmarkEnd w:id="25"/>
      <w:bookmarkStart w:id="26" w:name="_Toc3150"/>
      <w:bookmarkEnd w:id="26"/>
      <w:bookmarkStart w:id="27" w:name="_Toc16732"/>
      <w:bookmarkEnd w:id="27"/>
      <w:bookmarkStart w:id="28" w:name="_Toc13158"/>
      <w:bookmarkEnd w:id="28"/>
      <w:bookmarkStart w:id="29" w:name="_Toc5104"/>
      <w:bookmarkEnd w:id="29"/>
      <w:bookmarkStart w:id="30" w:name="_Toc13588"/>
      <w:bookmarkEnd w:id="30"/>
      <w:bookmarkStart w:id="31" w:name="_Toc6583"/>
      <w:bookmarkEnd w:id="31"/>
      <w:bookmarkStart w:id="32" w:name="_Toc4002"/>
      <w:bookmarkEnd w:id="32"/>
      <w:bookmarkStart w:id="33" w:name="_Toc23259"/>
      <w:bookmarkEnd w:id="33"/>
      <w:bookmarkStart w:id="34" w:name="_Toc10411"/>
      <w:bookmarkEnd w:id="34"/>
      <w:bookmarkStart w:id="35" w:name="_Toc30332"/>
      <w:bookmarkEnd w:id="35"/>
      <w:bookmarkStart w:id="36" w:name="_Toc9214"/>
      <w:bookmarkEnd w:id="36"/>
      <w:bookmarkStart w:id="37" w:name="_Toc10886"/>
      <w:bookmarkEnd w:id="37"/>
      <w:bookmarkStart w:id="38" w:name="_Toc12087"/>
      <w:bookmarkEnd w:id="38"/>
      <w:bookmarkStart w:id="39" w:name="_Toc32528"/>
      <w:bookmarkEnd w:id="39"/>
      <w:bookmarkStart w:id="40" w:name="_Toc19697"/>
      <w:bookmarkEnd w:id="40"/>
      <w:bookmarkStart w:id="41" w:name="_Toc28293"/>
      <w:bookmarkEnd w:id="41"/>
      <w:bookmarkStart w:id="42" w:name="_Toc18053"/>
      <w:bookmarkEnd w:id="42"/>
      <w:bookmarkStart w:id="43" w:name="_Toc14758"/>
      <w:bookmarkEnd w:id="43"/>
      <w:bookmarkStart w:id="44" w:name="_Toc32570"/>
      <w:bookmarkEnd w:id="44"/>
      <w:bookmarkStart w:id="45" w:name="_Toc26163"/>
      <w:bookmarkEnd w:id="45"/>
      <w:bookmarkStart w:id="46" w:name="_Toc9257"/>
      <w:bookmarkEnd w:id="46"/>
      <w:bookmarkStart w:id="47" w:name="_Toc20751"/>
      <w:r>
        <w:rPr>
          <w:rFonts w:hint="eastAsia" w:ascii="黑体" w:hAnsi="黑体" w:cs="黑体"/>
        </w:rPr>
        <w:t>3.3</w:t>
      </w:r>
      <w:bookmarkEnd w:id="47"/>
    </w:p>
    <w:p w14:paraId="1F8105E0">
      <w:pPr>
        <w:pStyle w:val="2"/>
        <w:ind w:firstLine="456" w:firstLineChars="200"/>
        <w:rPr>
          <w:spacing w:val="14"/>
          <w:sz w:val="20"/>
          <w:szCs w:val="20"/>
          <w:lang w:eastAsia="zh-CN"/>
        </w:rPr>
      </w:pPr>
      <w:r>
        <w:rPr>
          <w:rFonts w:hint="eastAsia"/>
          <w:spacing w:val="14"/>
          <w:sz w:val="20"/>
          <w:szCs w:val="20"/>
          <w:lang w:eastAsia="zh-CN"/>
        </w:rPr>
        <w:t>初级数据 primary data</w:t>
      </w:r>
    </w:p>
    <w:p w14:paraId="33CB1A1F">
      <w:pPr>
        <w:pStyle w:val="19"/>
        <w:ind w:firstLine="400"/>
        <w:rPr>
          <w:rFonts w:cs="Times New Roman"/>
          <w:sz w:val="20"/>
          <w:szCs w:val="20"/>
          <w:lang w:eastAsia="zh-CN"/>
        </w:rPr>
      </w:pPr>
      <w:r>
        <w:rPr>
          <w:rFonts w:hint="eastAsia" w:cs="Times New Roman"/>
          <w:sz w:val="20"/>
          <w:szCs w:val="20"/>
          <w:lang w:eastAsia="zh-CN"/>
        </w:rPr>
        <w:t>通过直接测量或基于直接测量的计算得到的过程或活动的量化值。</w:t>
      </w:r>
    </w:p>
    <w:p w14:paraId="11B5F680">
      <w:pPr>
        <w:pStyle w:val="19"/>
        <w:ind w:firstLine="361"/>
        <w:rPr>
          <w:rFonts w:cs="Times New Roman"/>
          <w:sz w:val="18"/>
          <w:szCs w:val="18"/>
          <w:lang w:eastAsia="zh-CN"/>
        </w:rPr>
      </w:pPr>
      <w:r>
        <w:rPr>
          <w:rFonts w:cs="Times New Roman"/>
          <w:b/>
          <w:bCs/>
          <w:sz w:val="18"/>
          <w:szCs w:val="18"/>
          <w:lang w:eastAsia="zh-CN"/>
        </w:rPr>
        <w:t>注</w:t>
      </w:r>
      <w:r>
        <w:rPr>
          <w:rFonts w:hint="eastAsia" w:cs="Times New Roman"/>
          <w:b/>
          <w:bCs/>
          <w:sz w:val="18"/>
          <w:szCs w:val="18"/>
          <w:lang w:eastAsia="zh-CN"/>
        </w:rPr>
        <w:t>1</w:t>
      </w:r>
      <w:r>
        <w:rPr>
          <w:rFonts w:cs="Times New Roman"/>
          <w:b/>
          <w:bCs/>
          <w:sz w:val="18"/>
          <w:szCs w:val="18"/>
          <w:lang w:eastAsia="zh-CN"/>
        </w:rPr>
        <w:t>：</w:t>
      </w:r>
      <w:r>
        <w:rPr>
          <w:rFonts w:cs="Times New Roman"/>
          <w:sz w:val="18"/>
          <w:szCs w:val="18"/>
          <w:lang w:eastAsia="zh-CN"/>
        </w:rPr>
        <w:t>初级数据并非必须来自所研究的产品系统，因为初级数据可能涉及其他与所研究的产品系统具有可比性的产品系统。</w:t>
      </w:r>
    </w:p>
    <w:p w14:paraId="0CBE3ACF">
      <w:pPr>
        <w:pStyle w:val="19"/>
        <w:ind w:firstLine="361"/>
        <w:rPr>
          <w:rFonts w:cs="Times New Roman"/>
          <w:sz w:val="18"/>
          <w:szCs w:val="18"/>
          <w:lang w:eastAsia="zh-CN"/>
        </w:rPr>
      </w:pPr>
      <w:r>
        <w:rPr>
          <w:rFonts w:cs="Times New Roman"/>
          <w:b/>
          <w:bCs/>
          <w:sz w:val="18"/>
          <w:szCs w:val="18"/>
          <w:lang w:eastAsia="zh-CN"/>
        </w:rPr>
        <w:t>注</w:t>
      </w:r>
      <w:r>
        <w:rPr>
          <w:rFonts w:hint="eastAsia" w:cs="Times New Roman"/>
          <w:b/>
          <w:bCs/>
          <w:sz w:val="18"/>
          <w:szCs w:val="18"/>
          <w:lang w:eastAsia="zh-CN"/>
        </w:rPr>
        <w:t>2</w:t>
      </w:r>
      <w:r>
        <w:rPr>
          <w:rFonts w:cs="Times New Roman"/>
          <w:b/>
          <w:bCs/>
          <w:sz w:val="18"/>
          <w:szCs w:val="18"/>
          <w:lang w:eastAsia="zh-CN"/>
        </w:rPr>
        <w:t>：</w:t>
      </w:r>
      <w:r>
        <w:rPr>
          <w:rFonts w:cs="Times New Roman"/>
          <w:sz w:val="18"/>
          <w:szCs w:val="18"/>
          <w:lang w:eastAsia="zh-CN"/>
        </w:rPr>
        <w:t>初级数据可以包括温室气体排放因子或温室气体活动数据。</w:t>
      </w:r>
    </w:p>
    <w:p w14:paraId="78E2D46A">
      <w:pPr>
        <w:pStyle w:val="19"/>
        <w:ind w:firstLine="400"/>
        <w:rPr>
          <w:rFonts w:cs="Times New Roman"/>
          <w:sz w:val="20"/>
          <w:szCs w:val="20"/>
          <w:lang w:eastAsia="zh-CN"/>
        </w:rPr>
      </w:pPr>
      <w:r>
        <w:rPr>
          <w:rFonts w:hint="eastAsia" w:cs="Times New Roman"/>
          <w:sz w:val="20"/>
          <w:szCs w:val="20"/>
          <w:lang w:eastAsia="zh-CN"/>
        </w:rPr>
        <w:t>[来源</w:t>
      </w:r>
      <w:r>
        <w:rPr>
          <w:rFonts w:cs="Times New Roman"/>
          <w:sz w:val="20"/>
          <w:szCs w:val="20"/>
          <w:lang w:eastAsia="zh-CN"/>
        </w:rPr>
        <w:t>：</w:t>
      </w:r>
      <w:r>
        <w:rPr>
          <w:rFonts w:hint="eastAsia" w:cs="Times New Roman"/>
          <w:sz w:val="20"/>
          <w:szCs w:val="20"/>
          <w:lang w:eastAsia="zh-CN"/>
        </w:rPr>
        <w:t>GB/T 24067-2024</w:t>
      </w:r>
      <w:r>
        <w:rPr>
          <w:rFonts w:cs="Times New Roman"/>
          <w:sz w:val="20"/>
          <w:szCs w:val="20"/>
          <w:lang w:eastAsia="zh-CN"/>
        </w:rPr>
        <w:t>，3.6.1</w:t>
      </w:r>
      <w:r>
        <w:rPr>
          <w:rFonts w:hint="eastAsia" w:cs="Times New Roman"/>
          <w:sz w:val="20"/>
          <w:szCs w:val="20"/>
          <w:lang w:eastAsia="zh-CN"/>
        </w:rPr>
        <w:t>]</w:t>
      </w:r>
    </w:p>
    <w:p w14:paraId="30FBCFB5">
      <w:pPr>
        <w:pStyle w:val="16"/>
        <w:numPr>
          <w:ilvl w:val="2"/>
          <w:numId w:val="0"/>
        </w:numPr>
        <w:spacing w:before="120" w:after="120"/>
        <w:outlineLvl w:val="9"/>
        <w:rPr>
          <w:rFonts w:ascii="黑体" w:hAnsi="黑体" w:cs="黑体"/>
        </w:rPr>
      </w:pPr>
      <w:bookmarkStart w:id="48" w:name="_Toc17538"/>
      <w:bookmarkEnd w:id="48"/>
      <w:bookmarkStart w:id="49" w:name="_Toc18469"/>
      <w:bookmarkEnd w:id="49"/>
      <w:bookmarkStart w:id="50" w:name="_Toc14251"/>
      <w:bookmarkEnd w:id="50"/>
      <w:bookmarkStart w:id="51" w:name="_Toc7241"/>
      <w:bookmarkEnd w:id="51"/>
      <w:bookmarkStart w:id="52" w:name="_Toc7616"/>
      <w:bookmarkEnd w:id="52"/>
      <w:bookmarkStart w:id="53" w:name="_Toc7293"/>
      <w:bookmarkEnd w:id="53"/>
      <w:bookmarkStart w:id="54" w:name="_Toc1698"/>
      <w:bookmarkEnd w:id="54"/>
      <w:bookmarkStart w:id="55" w:name="_Toc13782"/>
      <w:r>
        <w:rPr>
          <w:rFonts w:hint="eastAsia" w:ascii="黑体" w:hAnsi="黑体" w:cs="黑体"/>
        </w:rPr>
        <w:t>3.4</w:t>
      </w:r>
      <w:bookmarkEnd w:id="55"/>
    </w:p>
    <w:p w14:paraId="475C2D7E">
      <w:pPr>
        <w:pStyle w:val="2"/>
        <w:ind w:firstLine="456" w:firstLineChars="200"/>
        <w:rPr>
          <w:spacing w:val="14"/>
          <w:sz w:val="20"/>
          <w:szCs w:val="20"/>
          <w:lang w:eastAsia="zh-CN"/>
        </w:rPr>
      </w:pPr>
      <w:r>
        <w:rPr>
          <w:rFonts w:hint="eastAsia"/>
          <w:spacing w:val="14"/>
          <w:sz w:val="20"/>
          <w:szCs w:val="20"/>
          <w:lang w:eastAsia="zh-CN"/>
        </w:rPr>
        <w:t>次级数据 secondary data</w:t>
      </w:r>
    </w:p>
    <w:p w14:paraId="364A1357">
      <w:pPr>
        <w:pStyle w:val="19"/>
        <w:ind w:firstLine="400"/>
        <w:rPr>
          <w:rFonts w:cs="Times New Roman"/>
          <w:sz w:val="20"/>
          <w:szCs w:val="20"/>
          <w:lang w:eastAsia="zh-CN"/>
        </w:rPr>
      </w:pPr>
      <w:r>
        <w:rPr>
          <w:rFonts w:hint="eastAsia" w:cs="Times New Roman"/>
          <w:sz w:val="20"/>
          <w:szCs w:val="20"/>
          <w:lang w:eastAsia="zh-CN"/>
        </w:rPr>
        <w:t xml:space="preserve">不符合初级数据要求的数据。 </w:t>
      </w:r>
    </w:p>
    <w:p w14:paraId="52D4BEE8">
      <w:pPr>
        <w:pStyle w:val="19"/>
        <w:ind w:firstLine="361"/>
        <w:rPr>
          <w:rFonts w:cs="Times New Roman"/>
          <w:bCs/>
          <w:sz w:val="18"/>
          <w:szCs w:val="18"/>
          <w:lang w:eastAsia="zh-CN"/>
        </w:rPr>
      </w:pPr>
      <w:r>
        <w:rPr>
          <w:rFonts w:cs="Times New Roman"/>
          <w:b/>
          <w:bCs/>
          <w:sz w:val="18"/>
          <w:szCs w:val="18"/>
          <w:lang w:eastAsia="zh-CN"/>
        </w:rPr>
        <w:t>注</w:t>
      </w:r>
      <w:r>
        <w:rPr>
          <w:rFonts w:hint="eastAsia" w:cs="Times New Roman"/>
          <w:b/>
          <w:bCs/>
          <w:sz w:val="18"/>
          <w:szCs w:val="18"/>
          <w:lang w:eastAsia="zh-CN"/>
        </w:rPr>
        <w:t>1</w:t>
      </w:r>
      <w:r>
        <w:rPr>
          <w:rFonts w:cs="Times New Roman"/>
          <w:b/>
          <w:bCs/>
          <w:sz w:val="18"/>
          <w:szCs w:val="18"/>
          <w:lang w:eastAsia="zh-CN"/>
        </w:rPr>
        <w:t>：</w:t>
      </w:r>
      <w:r>
        <w:rPr>
          <w:rFonts w:cs="Times New Roman"/>
          <w:bCs/>
          <w:sz w:val="18"/>
          <w:szCs w:val="18"/>
          <w:lang w:eastAsia="zh-CN"/>
        </w:rPr>
        <w:t>次级数据是经权威机构验证且具有可信度的数据，可来源于数据库、公开文献、国家排放因子、计算估算数据或其他具有代表性的数据，推荐使用本土化数据库。</w:t>
      </w:r>
    </w:p>
    <w:p w14:paraId="46AC9D01">
      <w:pPr>
        <w:pStyle w:val="19"/>
        <w:ind w:firstLine="361"/>
        <w:rPr>
          <w:rFonts w:cs="Times New Roman"/>
          <w:bCs/>
          <w:sz w:val="18"/>
          <w:szCs w:val="18"/>
          <w:lang w:eastAsia="zh-CN"/>
        </w:rPr>
      </w:pPr>
      <w:r>
        <w:rPr>
          <w:rFonts w:cs="Times New Roman"/>
          <w:b/>
          <w:bCs/>
          <w:sz w:val="18"/>
          <w:szCs w:val="18"/>
          <w:lang w:eastAsia="zh-CN"/>
        </w:rPr>
        <w:t>注</w:t>
      </w:r>
      <w:r>
        <w:rPr>
          <w:rFonts w:hint="eastAsia" w:cs="Times New Roman"/>
          <w:b/>
          <w:bCs/>
          <w:sz w:val="18"/>
          <w:szCs w:val="18"/>
          <w:lang w:eastAsia="zh-CN"/>
        </w:rPr>
        <w:t>2</w:t>
      </w:r>
      <w:r>
        <w:rPr>
          <w:rFonts w:cs="Times New Roman"/>
          <w:b/>
          <w:bCs/>
          <w:sz w:val="18"/>
          <w:szCs w:val="18"/>
          <w:lang w:eastAsia="zh-CN"/>
        </w:rPr>
        <w:t>：</w:t>
      </w:r>
      <w:r>
        <w:rPr>
          <w:rFonts w:cs="Times New Roman"/>
          <w:bCs/>
          <w:sz w:val="18"/>
          <w:szCs w:val="18"/>
          <w:lang w:eastAsia="zh-CN"/>
        </w:rPr>
        <w:t>次级数据可包括从代替过程或估计获得的数据。</w:t>
      </w:r>
    </w:p>
    <w:p w14:paraId="670FF738">
      <w:pPr>
        <w:pStyle w:val="19"/>
        <w:ind w:firstLine="400"/>
        <w:rPr>
          <w:rFonts w:cs="Times New Roman"/>
          <w:sz w:val="20"/>
          <w:szCs w:val="20"/>
          <w:lang w:eastAsia="zh-CN"/>
        </w:rPr>
      </w:pPr>
      <w:r>
        <w:rPr>
          <w:rFonts w:hint="eastAsia" w:cs="Times New Roman"/>
          <w:sz w:val="20"/>
          <w:szCs w:val="20"/>
          <w:lang w:eastAsia="zh-CN"/>
        </w:rPr>
        <w:t>[来源：GB/T 24067-2024，3.6.3]</w:t>
      </w:r>
    </w:p>
    <w:p w14:paraId="6A8C0099">
      <w:pPr>
        <w:pStyle w:val="2"/>
        <w:spacing w:before="240" w:beforeLines="100" w:after="240" w:afterLines="100"/>
        <w:outlineLvl w:val="0"/>
        <w:rPr>
          <w:spacing w:val="6"/>
          <w:sz w:val="20"/>
          <w:szCs w:val="20"/>
          <w:lang w:eastAsia="zh-CN"/>
        </w:rPr>
      </w:pPr>
      <w:bookmarkStart w:id="56" w:name="_Toc7978"/>
      <w:r>
        <w:rPr>
          <w:spacing w:val="6"/>
          <w:sz w:val="20"/>
          <w:szCs w:val="20"/>
          <w:lang w:eastAsia="zh-CN"/>
        </w:rPr>
        <w:t>4</w:t>
      </w:r>
      <w:r>
        <w:rPr>
          <w:rFonts w:hint="eastAsia"/>
          <w:spacing w:val="6"/>
          <w:sz w:val="20"/>
          <w:szCs w:val="20"/>
          <w:lang w:eastAsia="zh-CN"/>
        </w:rPr>
        <w:t xml:space="preserve"> 量化目的</w:t>
      </w:r>
      <w:bookmarkEnd w:id="56"/>
    </w:p>
    <w:p w14:paraId="17FFE4F2">
      <w:pPr>
        <w:ind w:firstLine="436" w:firstLineChars="200"/>
        <w:rPr>
          <w:rFonts w:ascii="宋体" w:hAnsi="宋体" w:eastAsia="宋体" w:cs="宋体"/>
          <w:spacing w:val="9"/>
          <w:sz w:val="20"/>
          <w:szCs w:val="20"/>
          <w:lang w:eastAsia="zh-CN"/>
        </w:rPr>
      </w:pPr>
      <w:r>
        <w:rPr>
          <w:rFonts w:hint="eastAsia" w:ascii="宋体" w:hAnsi="宋体" w:eastAsia="宋体" w:cs="宋体"/>
          <w:spacing w:val="9"/>
          <w:sz w:val="20"/>
          <w:szCs w:val="20"/>
          <w:lang w:eastAsia="zh-CN"/>
        </w:rPr>
        <w:t>开展纯碱产品碳足迹量化的总体目的是结合取舍准则（见5.3.4），通过量化纯碱产品系统边界内所有显著的温室气体排放量和清除量，计算1t纯碱产品对全球变暖的潜在贡献[以二氧化碳当量（CO</w:t>
      </w:r>
      <w:r>
        <w:rPr>
          <w:rFonts w:hint="eastAsia" w:ascii="宋体" w:hAnsi="宋体" w:eastAsia="宋体" w:cs="宋体"/>
          <w:spacing w:val="9"/>
          <w:sz w:val="20"/>
          <w:szCs w:val="20"/>
          <w:vertAlign w:val="subscript"/>
          <w:lang w:eastAsia="zh-CN"/>
        </w:rPr>
        <w:t>2</w:t>
      </w:r>
      <w:r>
        <w:rPr>
          <w:rFonts w:hint="eastAsia" w:ascii="宋体" w:hAnsi="宋体" w:eastAsia="宋体" w:cs="宋体"/>
          <w:spacing w:val="9"/>
          <w:sz w:val="20"/>
          <w:szCs w:val="20"/>
          <w:lang w:eastAsia="zh-CN"/>
        </w:rPr>
        <w:t>e）表示]。</w:t>
      </w:r>
    </w:p>
    <w:p w14:paraId="4EFED8F4">
      <w:pPr>
        <w:ind w:firstLine="436" w:firstLineChars="200"/>
        <w:rPr>
          <w:rFonts w:ascii="宋体" w:hAnsi="宋体" w:eastAsia="宋体" w:cs="宋体"/>
          <w:spacing w:val="9"/>
          <w:sz w:val="20"/>
          <w:szCs w:val="20"/>
          <w:lang w:eastAsia="zh-CN"/>
        </w:rPr>
      </w:pPr>
      <w:r>
        <w:rPr>
          <w:rFonts w:hint="eastAsia" w:ascii="宋体" w:hAnsi="宋体" w:eastAsia="宋体" w:cs="宋体"/>
          <w:spacing w:val="9"/>
          <w:sz w:val="20"/>
          <w:szCs w:val="20"/>
          <w:lang w:eastAsia="zh-CN"/>
        </w:rPr>
        <w:t>开展纯碱产品碳足迹量化研究时，应明确说明以下问题：</w:t>
      </w:r>
    </w:p>
    <w:p w14:paraId="21D5D598">
      <w:pPr>
        <w:ind w:firstLine="436" w:firstLineChars="200"/>
        <w:rPr>
          <w:rFonts w:ascii="宋体" w:hAnsi="宋体" w:eastAsia="宋体" w:cs="宋体"/>
          <w:spacing w:val="9"/>
          <w:sz w:val="20"/>
          <w:szCs w:val="20"/>
          <w:lang w:eastAsia="zh-CN"/>
        </w:rPr>
      </w:pPr>
      <w:r>
        <w:rPr>
          <w:rFonts w:hint="eastAsia" w:ascii="宋体" w:hAnsi="宋体" w:eastAsia="宋体" w:cs="宋体"/>
          <w:spacing w:val="9"/>
          <w:sz w:val="20"/>
          <w:szCs w:val="20"/>
          <w:lang w:eastAsia="zh-CN"/>
        </w:rPr>
        <w:t>——应用意图；</w:t>
      </w:r>
    </w:p>
    <w:p w14:paraId="236FF09A">
      <w:pPr>
        <w:ind w:firstLine="436" w:firstLineChars="200"/>
        <w:rPr>
          <w:rFonts w:ascii="宋体" w:hAnsi="宋体" w:eastAsia="宋体" w:cs="宋体"/>
          <w:spacing w:val="9"/>
          <w:sz w:val="20"/>
          <w:szCs w:val="20"/>
          <w:lang w:eastAsia="zh-CN"/>
        </w:rPr>
      </w:pPr>
      <w:r>
        <w:rPr>
          <w:rFonts w:hint="eastAsia" w:ascii="宋体" w:hAnsi="宋体" w:eastAsia="宋体" w:cs="宋体"/>
          <w:spacing w:val="9"/>
          <w:sz w:val="20"/>
          <w:szCs w:val="20"/>
          <w:lang w:eastAsia="zh-CN"/>
        </w:rPr>
        <w:t>——开展该项研究的理由；</w:t>
      </w:r>
    </w:p>
    <w:p w14:paraId="186E0942">
      <w:pPr>
        <w:ind w:firstLine="436" w:firstLineChars="200"/>
        <w:rPr>
          <w:rFonts w:ascii="宋体" w:hAnsi="宋体" w:eastAsia="宋体" w:cs="宋体"/>
          <w:spacing w:val="9"/>
          <w:sz w:val="20"/>
          <w:szCs w:val="20"/>
          <w:lang w:eastAsia="zh-CN"/>
        </w:rPr>
      </w:pPr>
      <w:r>
        <w:rPr>
          <w:rFonts w:hint="eastAsia" w:ascii="宋体" w:hAnsi="宋体" w:eastAsia="宋体" w:cs="宋体"/>
          <w:spacing w:val="9"/>
          <w:sz w:val="20"/>
          <w:szCs w:val="20"/>
          <w:lang w:eastAsia="zh-CN"/>
        </w:rPr>
        <w:t>——目标受众（即研究结果的接收者）；</w:t>
      </w:r>
    </w:p>
    <w:p w14:paraId="5065DD20">
      <w:pPr>
        <w:ind w:firstLine="436" w:firstLineChars="200"/>
        <w:rPr>
          <w:rFonts w:ascii="宋体" w:hAnsi="宋体" w:eastAsia="宋体" w:cs="宋体"/>
          <w:spacing w:val="9"/>
          <w:sz w:val="20"/>
          <w:szCs w:val="20"/>
          <w:lang w:eastAsia="zh-CN"/>
        </w:rPr>
      </w:pPr>
      <w:r>
        <w:rPr>
          <w:rFonts w:hint="eastAsia" w:ascii="宋体" w:hAnsi="宋体" w:eastAsia="宋体" w:cs="宋体"/>
          <w:spacing w:val="9"/>
          <w:sz w:val="20"/>
          <w:szCs w:val="20"/>
          <w:lang w:eastAsia="zh-CN"/>
        </w:rPr>
        <w:t>——符合 ISO 14026 要求，提供产品碳足迹交流信息（如有）。</w:t>
      </w:r>
    </w:p>
    <w:p w14:paraId="6EE0FEA5">
      <w:pPr>
        <w:pStyle w:val="2"/>
        <w:spacing w:before="240" w:beforeLines="100" w:after="240" w:afterLines="100"/>
        <w:outlineLvl w:val="0"/>
        <w:rPr>
          <w:spacing w:val="6"/>
          <w:sz w:val="20"/>
          <w:szCs w:val="20"/>
          <w:lang w:eastAsia="zh-CN"/>
        </w:rPr>
      </w:pPr>
      <w:bookmarkStart w:id="57" w:name="_Toc21415"/>
      <w:r>
        <w:rPr>
          <w:rFonts w:hint="eastAsia"/>
          <w:spacing w:val="6"/>
          <w:sz w:val="20"/>
          <w:szCs w:val="20"/>
          <w:lang w:eastAsia="zh-CN"/>
        </w:rPr>
        <w:t>5</w:t>
      </w:r>
      <w:r>
        <w:rPr>
          <w:spacing w:val="6"/>
          <w:sz w:val="20"/>
          <w:szCs w:val="20"/>
          <w:lang w:eastAsia="zh-CN"/>
        </w:rPr>
        <w:t xml:space="preserve"> </w:t>
      </w:r>
      <w:r>
        <w:rPr>
          <w:rFonts w:hint="eastAsia"/>
          <w:spacing w:val="6"/>
          <w:sz w:val="20"/>
          <w:szCs w:val="20"/>
          <w:lang w:eastAsia="zh-CN"/>
        </w:rPr>
        <w:t>量化范围</w:t>
      </w:r>
      <w:bookmarkEnd w:id="57"/>
    </w:p>
    <w:p w14:paraId="489600F8">
      <w:pPr>
        <w:ind w:firstLine="420" w:firstLineChars="200"/>
        <w:rPr>
          <w:lang w:eastAsia="zh-CN"/>
        </w:rPr>
      </w:pPr>
    </w:p>
    <w:p w14:paraId="3DAFFBD7">
      <w:pPr>
        <w:pStyle w:val="2"/>
        <w:outlineLvl w:val="1"/>
        <w:rPr>
          <w:spacing w:val="6"/>
          <w:sz w:val="20"/>
          <w:szCs w:val="20"/>
          <w:lang w:eastAsia="zh-CN"/>
        </w:rPr>
      </w:pPr>
      <w:bookmarkStart w:id="58" w:name="_Toc32369"/>
      <w:r>
        <w:rPr>
          <w:rFonts w:hint="eastAsia"/>
          <w:spacing w:val="6"/>
          <w:sz w:val="20"/>
          <w:szCs w:val="20"/>
          <w:lang w:eastAsia="zh-CN"/>
        </w:rPr>
        <w:t>5.1 产品描述</w:t>
      </w:r>
      <w:bookmarkEnd w:id="58"/>
    </w:p>
    <w:p w14:paraId="235D4777">
      <w:pPr>
        <w:ind w:firstLine="436" w:firstLineChars="200"/>
        <w:rPr>
          <w:rFonts w:ascii="宋体" w:hAnsi="宋体" w:eastAsia="宋体" w:cs="宋体"/>
          <w:spacing w:val="9"/>
          <w:sz w:val="20"/>
          <w:szCs w:val="20"/>
          <w:lang w:eastAsia="zh-CN"/>
        </w:rPr>
      </w:pPr>
    </w:p>
    <w:p w14:paraId="4C8B6A56">
      <w:pPr>
        <w:ind w:firstLine="432" w:firstLineChars="200"/>
        <w:jc w:val="both"/>
        <w:rPr>
          <w:rFonts w:ascii="宋体" w:hAnsi="宋体" w:eastAsia="宋体" w:cs="宋体"/>
          <w:spacing w:val="8"/>
          <w:sz w:val="20"/>
          <w:szCs w:val="20"/>
          <w:lang w:eastAsia="zh-CN"/>
        </w:rPr>
      </w:pPr>
      <w:r>
        <w:rPr>
          <w:rFonts w:hint="eastAsia" w:ascii="宋体" w:hAnsi="宋体" w:eastAsia="宋体" w:cs="宋体"/>
          <w:spacing w:val="8"/>
          <w:sz w:val="20"/>
          <w:szCs w:val="20"/>
          <w:lang w:eastAsia="zh-CN"/>
        </w:rPr>
        <w:t>产品描述应使用户能够清晰识别产品，并可参照GB/T210的要求进行描述，描述内容包括但不限于：</w:t>
      </w:r>
    </w:p>
    <w:p w14:paraId="1B7B315F">
      <w:pPr>
        <w:ind w:firstLine="432" w:firstLineChars="200"/>
        <w:jc w:val="both"/>
        <w:rPr>
          <w:rFonts w:ascii="宋体" w:hAnsi="宋体" w:eastAsia="宋体" w:cs="宋体"/>
          <w:spacing w:val="8"/>
          <w:sz w:val="20"/>
          <w:szCs w:val="20"/>
          <w:lang w:eastAsia="zh-CN"/>
        </w:rPr>
      </w:pPr>
      <w:r>
        <w:rPr>
          <w:rFonts w:ascii="宋体" w:hAnsi="宋体" w:eastAsia="宋体" w:cs="宋体"/>
          <w:spacing w:val="8"/>
          <w:sz w:val="20"/>
          <w:szCs w:val="20"/>
          <w:lang w:eastAsia="zh-CN"/>
        </w:rPr>
        <w:t>1</w:t>
      </w:r>
      <w:r>
        <w:rPr>
          <w:rFonts w:hint="eastAsia" w:ascii="宋体" w:hAnsi="宋体" w:eastAsia="宋体" w:cs="宋体"/>
          <w:spacing w:val="8"/>
          <w:sz w:val="20"/>
          <w:szCs w:val="20"/>
          <w:lang w:eastAsia="zh-CN"/>
        </w:rPr>
        <w:t>）产品分类；</w:t>
      </w:r>
    </w:p>
    <w:p w14:paraId="6021D1F7">
      <w:pPr>
        <w:ind w:firstLine="432" w:firstLineChars="200"/>
        <w:jc w:val="both"/>
        <w:rPr>
          <w:rFonts w:ascii="宋体" w:hAnsi="宋体" w:eastAsia="宋体" w:cs="宋体"/>
          <w:spacing w:val="8"/>
          <w:sz w:val="20"/>
          <w:szCs w:val="20"/>
          <w:lang w:eastAsia="zh-CN"/>
        </w:rPr>
      </w:pPr>
      <w:r>
        <w:rPr>
          <w:rFonts w:ascii="宋体" w:hAnsi="宋体" w:eastAsia="宋体" w:cs="宋体"/>
          <w:spacing w:val="8"/>
          <w:sz w:val="20"/>
          <w:szCs w:val="20"/>
          <w:lang w:eastAsia="zh-CN"/>
        </w:rPr>
        <w:t>2</w:t>
      </w:r>
      <w:r>
        <w:rPr>
          <w:rFonts w:hint="eastAsia" w:ascii="宋体" w:hAnsi="宋体" w:eastAsia="宋体" w:cs="宋体"/>
          <w:spacing w:val="8"/>
          <w:sz w:val="20"/>
          <w:szCs w:val="20"/>
          <w:lang w:eastAsia="zh-CN"/>
        </w:rPr>
        <w:t>）产品参数；</w:t>
      </w:r>
    </w:p>
    <w:p w14:paraId="0C80E360">
      <w:pPr>
        <w:ind w:firstLine="432" w:firstLineChars="200"/>
        <w:jc w:val="both"/>
        <w:rPr>
          <w:rFonts w:ascii="宋体" w:hAnsi="宋体" w:eastAsia="宋体" w:cs="宋体"/>
          <w:spacing w:val="8"/>
          <w:sz w:val="20"/>
          <w:szCs w:val="20"/>
          <w:lang w:eastAsia="zh-CN"/>
        </w:rPr>
      </w:pPr>
      <w:r>
        <w:rPr>
          <w:rFonts w:ascii="宋体" w:hAnsi="宋体" w:eastAsia="宋体" w:cs="宋体"/>
          <w:spacing w:val="8"/>
          <w:sz w:val="20"/>
          <w:szCs w:val="20"/>
          <w:lang w:eastAsia="zh-CN"/>
        </w:rPr>
        <w:t>3</w:t>
      </w:r>
      <w:r>
        <w:rPr>
          <w:rFonts w:hint="eastAsia" w:ascii="宋体" w:hAnsi="宋体" w:eastAsia="宋体" w:cs="宋体"/>
          <w:spacing w:val="8"/>
          <w:sz w:val="20"/>
          <w:szCs w:val="20"/>
          <w:lang w:eastAsia="zh-CN"/>
        </w:rPr>
        <w:t>）产品净重；</w:t>
      </w:r>
    </w:p>
    <w:p w14:paraId="479F89E7">
      <w:pPr>
        <w:ind w:firstLine="432" w:firstLineChars="200"/>
        <w:jc w:val="both"/>
        <w:rPr>
          <w:rFonts w:ascii="宋体" w:hAnsi="宋体" w:eastAsia="宋体" w:cs="宋体"/>
          <w:spacing w:val="8"/>
          <w:sz w:val="20"/>
          <w:szCs w:val="20"/>
          <w:lang w:eastAsia="zh-CN"/>
        </w:rPr>
      </w:pPr>
      <w:r>
        <w:rPr>
          <w:rFonts w:ascii="宋体" w:hAnsi="宋体" w:eastAsia="宋体" w:cs="宋体"/>
          <w:spacing w:val="8"/>
          <w:sz w:val="20"/>
          <w:szCs w:val="20"/>
          <w:lang w:eastAsia="zh-CN"/>
        </w:rPr>
        <w:t>4</w:t>
      </w:r>
      <w:r>
        <w:rPr>
          <w:rFonts w:hint="eastAsia" w:ascii="宋体" w:hAnsi="宋体" w:eastAsia="宋体" w:cs="宋体"/>
          <w:spacing w:val="8"/>
          <w:sz w:val="20"/>
          <w:szCs w:val="20"/>
          <w:lang w:eastAsia="zh-CN"/>
        </w:rPr>
        <w:t>）分析检验结果及检验部门印记；</w:t>
      </w:r>
    </w:p>
    <w:p w14:paraId="4E7A4D51">
      <w:pPr>
        <w:ind w:firstLine="436" w:firstLineChars="200"/>
        <w:jc w:val="both"/>
        <w:rPr>
          <w:rFonts w:ascii="宋体" w:hAnsi="宋体" w:eastAsia="宋体" w:cs="宋体"/>
          <w:spacing w:val="9"/>
          <w:sz w:val="20"/>
          <w:szCs w:val="20"/>
          <w:lang w:eastAsia="zh-CN"/>
        </w:rPr>
      </w:pPr>
      <w:r>
        <w:rPr>
          <w:rFonts w:ascii="宋体" w:hAnsi="宋体" w:eastAsia="宋体" w:cs="宋体"/>
          <w:spacing w:val="9"/>
          <w:sz w:val="20"/>
          <w:szCs w:val="20"/>
          <w:lang w:eastAsia="zh-CN"/>
        </w:rPr>
        <w:t>5</w:t>
      </w:r>
      <w:r>
        <w:rPr>
          <w:rFonts w:hint="eastAsia" w:ascii="宋体" w:hAnsi="宋体" w:eastAsia="宋体" w:cs="宋体"/>
          <w:spacing w:val="9"/>
          <w:sz w:val="20"/>
          <w:szCs w:val="20"/>
          <w:lang w:eastAsia="zh-CN"/>
        </w:rPr>
        <w:t>）</w:t>
      </w:r>
      <w:r>
        <w:rPr>
          <w:rFonts w:hint="eastAsia" w:ascii="宋体" w:hAnsi="宋体" w:eastAsia="宋体" w:cs="宋体"/>
          <w:spacing w:val="8"/>
          <w:sz w:val="20"/>
          <w:szCs w:val="20"/>
          <w:lang w:eastAsia="zh-CN"/>
        </w:rPr>
        <w:t>出厂日期。</w:t>
      </w:r>
    </w:p>
    <w:p w14:paraId="44F4F391">
      <w:pPr>
        <w:ind w:firstLine="420" w:firstLineChars="200"/>
        <w:rPr>
          <w:lang w:eastAsia="zh-CN"/>
        </w:rPr>
      </w:pPr>
    </w:p>
    <w:p w14:paraId="0430E509">
      <w:pPr>
        <w:pStyle w:val="2"/>
        <w:outlineLvl w:val="1"/>
        <w:rPr>
          <w:spacing w:val="6"/>
          <w:sz w:val="20"/>
          <w:szCs w:val="20"/>
          <w:lang w:eastAsia="zh-CN"/>
        </w:rPr>
      </w:pPr>
      <w:bookmarkStart w:id="59" w:name="bookmark15"/>
      <w:bookmarkEnd w:id="59"/>
      <w:bookmarkStart w:id="60" w:name="bookmark17"/>
      <w:bookmarkEnd w:id="60"/>
      <w:bookmarkStart w:id="61" w:name="_Toc6211"/>
      <w:r>
        <w:rPr>
          <w:rFonts w:hint="eastAsia"/>
          <w:spacing w:val="6"/>
          <w:sz w:val="20"/>
          <w:szCs w:val="20"/>
          <w:lang w:eastAsia="zh-CN"/>
        </w:rPr>
        <w:t>5.2 声明单位</w:t>
      </w:r>
      <w:bookmarkEnd w:id="61"/>
    </w:p>
    <w:p w14:paraId="62CF3833">
      <w:pPr>
        <w:ind w:firstLine="420" w:firstLineChars="200"/>
        <w:rPr>
          <w:rFonts w:ascii="宋体" w:hAnsi="宋体" w:eastAsia="宋体" w:cs="宋体"/>
          <w:spacing w:val="5"/>
          <w:sz w:val="20"/>
          <w:szCs w:val="20"/>
          <w:lang w:eastAsia="zh-CN"/>
        </w:rPr>
      </w:pPr>
    </w:p>
    <w:p w14:paraId="42ABE3A1">
      <w:pPr>
        <w:ind w:firstLine="432" w:firstLineChars="200"/>
        <w:jc w:val="both"/>
        <w:rPr>
          <w:rFonts w:ascii="宋体" w:hAnsi="宋体" w:eastAsia="宋体" w:cs="宋体"/>
          <w:spacing w:val="8"/>
          <w:sz w:val="20"/>
          <w:szCs w:val="20"/>
          <w:lang w:eastAsia="zh-CN"/>
        </w:rPr>
      </w:pPr>
      <w:r>
        <w:rPr>
          <w:rFonts w:hint="eastAsia" w:ascii="宋体" w:hAnsi="宋体" w:eastAsia="宋体" w:cs="宋体"/>
          <w:spacing w:val="8"/>
          <w:sz w:val="20"/>
          <w:szCs w:val="20"/>
          <w:lang w:eastAsia="zh-CN"/>
        </w:rPr>
        <w:t>产品碳足迹研究应明确规定功能单位或声明单位。功能单位或声明单位应与产品碳足迹研究的目的和范围保持一致。功能单位或声明单位的主要目的是为相关的输入和输出数据的归一化提供参考基准。因此应对功能单位或声明单位做出明确的定义并使其可量化。本文件涉及的纯碱及相关产品以声明单位表示，规定如下：纯碱产品的声明单位为符合GB/T 210规定的1t纯碱。</w:t>
      </w:r>
    </w:p>
    <w:p w14:paraId="57486EEE">
      <w:pPr>
        <w:ind w:firstLine="420" w:firstLineChars="200"/>
        <w:rPr>
          <w:rFonts w:ascii="宋体" w:hAnsi="宋体" w:eastAsia="宋体" w:cs="宋体"/>
          <w:spacing w:val="5"/>
          <w:sz w:val="20"/>
          <w:szCs w:val="20"/>
          <w:lang w:eastAsia="zh-CN"/>
        </w:rPr>
      </w:pPr>
    </w:p>
    <w:p w14:paraId="10D47954">
      <w:pPr>
        <w:pStyle w:val="2"/>
        <w:outlineLvl w:val="1"/>
        <w:rPr>
          <w:spacing w:val="6"/>
          <w:sz w:val="20"/>
          <w:szCs w:val="20"/>
          <w:lang w:eastAsia="zh-CN"/>
        </w:rPr>
      </w:pPr>
      <w:bookmarkStart w:id="62" w:name="bookmark19"/>
      <w:bookmarkEnd w:id="62"/>
      <w:bookmarkStart w:id="63" w:name="_Toc25452"/>
      <w:r>
        <w:rPr>
          <w:rFonts w:hint="eastAsia"/>
          <w:spacing w:val="6"/>
          <w:sz w:val="20"/>
          <w:szCs w:val="20"/>
          <w:lang w:eastAsia="zh-CN"/>
        </w:rPr>
        <w:t>5.3 系统边界</w:t>
      </w:r>
      <w:bookmarkEnd w:id="63"/>
    </w:p>
    <w:p w14:paraId="423F4F53">
      <w:pPr>
        <w:ind w:firstLine="436" w:firstLineChars="200"/>
        <w:jc w:val="both"/>
        <w:rPr>
          <w:rFonts w:ascii="宋体" w:hAnsi="宋体" w:eastAsia="宋体" w:cs="宋体"/>
          <w:spacing w:val="9"/>
          <w:sz w:val="20"/>
          <w:szCs w:val="20"/>
          <w:lang w:eastAsia="zh-CN"/>
        </w:rPr>
      </w:pPr>
    </w:p>
    <w:p w14:paraId="11D30BC1">
      <w:pPr>
        <w:ind w:firstLine="432" w:firstLineChars="200"/>
        <w:jc w:val="both"/>
        <w:rPr>
          <w:rFonts w:ascii="宋体" w:hAnsi="宋体" w:eastAsia="宋体" w:cs="宋体"/>
          <w:spacing w:val="8"/>
          <w:sz w:val="20"/>
          <w:szCs w:val="20"/>
          <w:lang w:eastAsia="zh-CN"/>
        </w:rPr>
      </w:pPr>
      <w:r>
        <w:rPr>
          <w:rFonts w:hint="eastAsia" w:ascii="宋体" w:hAnsi="宋体" w:eastAsia="宋体" w:cs="宋体"/>
          <w:spacing w:val="8"/>
          <w:sz w:val="20"/>
          <w:szCs w:val="20"/>
          <w:lang w:eastAsia="zh-CN"/>
        </w:rPr>
        <w:t>纯碱产品系统边界为“从摇篮到大门”，即从</w:t>
      </w:r>
      <w:r>
        <w:rPr>
          <w:rFonts w:ascii="宋体" w:hAnsi="宋体" w:eastAsia="宋体" w:cs="宋体"/>
          <w:spacing w:val="8"/>
          <w:sz w:val="20"/>
          <w:szCs w:val="20"/>
          <w:lang w:eastAsia="zh-CN"/>
        </w:rPr>
        <w:t>原材料获取和预</w:t>
      </w:r>
      <w:r>
        <w:rPr>
          <w:rFonts w:hint="eastAsia" w:ascii="宋体" w:hAnsi="宋体" w:eastAsia="宋体" w:cs="宋体"/>
          <w:spacing w:val="8"/>
          <w:sz w:val="20"/>
          <w:szCs w:val="20"/>
          <w:lang w:eastAsia="zh-CN"/>
        </w:rPr>
        <w:t>加工阶到纯碱产品的产出（包括运输），还包括辅助材料和能源（燃料、电力）的生产、运输等上游环节。纯碱产品的生命周期系统边界见图1，即从原材料和能源获取到纯碱产品离开生产商厂门运输至购买商为止。</w:t>
      </w:r>
    </w:p>
    <w:p w14:paraId="6876B477">
      <w:pPr>
        <w:ind w:firstLine="436" w:firstLineChars="200"/>
        <w:jc w:val="both"/>
        <w:rPr>
          <w:rFonts w:ascii="宋体" w:hAnsi="宋体" w:eastAsia="宋体" w:cs="宋体"/>
          <w:spacing w:val="9"/>
          <w:sz w:val="20"/>
          <w:szCs w:val="20"/>
          <w:lang w:eastAsia="zh-CN"/>
        </w:rPr>
      </w:pPr>
    </w:p>
    <w:p w14:paraId="2CF632C4">
      <w:pPr>
        <w:ind w:firstLine="420" w:firstLineChars="200"/>
        <w:jc w:val="center"/>
        <w:rPr>
          <w:rFonts w:ascii="宋体" w:hAnsi="宋体" w:eastAsia="宋体" w:cs="宋体"/>
          <w:spacing w:val="9"/>
          <w:sz w:val="20"/>
          <w:szCs w:val="20"/>
        </w:rPr>
      </w:pPr>
      <w:r>
        <w:drawing>
          <wp:inline distT="0" distB="0" distL="114300" distR="114300">
            <wp:extent cx="5758180" cy="3365500"/>
            <wp:effectExtent l="0" t="0" r="13970" b="6350"/>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16"/>
                    <a:stretch>
                      <a:fillRect/>
                    </a:stretch>
                  </pic:blipFill>
                  <pic:spPr>
                    <a:xfrm>
                      <a:off x="0" y="0"/>
                      <a:ext cx="5758180" cy="3365500"/>
                    </a:xfrm>
                    <a:prstGeom prst="rect">
                      <a:avLst/>
                    </a:prstGeom>
                    <a:noFill/>
                    <a:ln>
                      <a:noFill/>
                    </a:ln>
                  </pic:spPr>
                </pic:pic>
              </a:graphicData>
            </a:graphic>
          </wp:inline>
        </w:drawing>
      </w:r>
    </w:p>
    <w:p w14:paraId="7C065481">
      <w:pPr>
        <w:jc w:val="both"/>
        <w:rPr>
          <w:rFonts w:ascii="宋体" w:hAnsi="宋体" w:eastAsia="宋体" w:cs="宋体"/>
          <w:spacing w:val="9"/>
          <w:sz w:val="20"/>
          <w:szCs w:val="20"/>
          <w:lang w:eastAsia="zh-CN"/>
        </w:rPr>
      </w:pPr>
    </w:p>
    <w:p w14:paraId="19E4C7C3">
      <w:pPr>
        <w:ind w:firstLine="432" w:firstLineChars="200"/>
        <w:jc w:val="center"/>
        <w:rPr>
          <w:rFonts w:ascii="宋体" w:hAnsi="宋体" w:eastAsia="宋体" w:cs="宋体"/>
          <w:spacing w:val="9"/>
          <w:sz w:val="20"/>
          <w:szCs w:val="20"/>
          <w:lang w:eastAsia="zh-CN"/>
        </w:rPr>
      </w:pPr>
      <w:r>
        <w:rPr>
          <w:rFonts w:ascii="黑体" w:hAnsi="黑体" w:eastAsia="黑体" w:cs="黑体"/>
          <w:spacing w:val="8"/>
          <w:sz w:val="20"/>
          <w:szCs w:val="20"/>
          <w:lang w:eastAsia="zh-CN"/>
        </w:rPr>
        <w:t xml:space="preserve">图1 </w:t>
      </w:r>
      <w:r>
        <w:rPr>
          <w:rFonts w:hint="eastAsia" w:ascii="黑体" w:hAnsi="黑体" w:eastAsia="黑体" w:cs="黑体"/>
          <w:spacing w:val="8"/>
          <w:sz w:val="20"/>
          <w:szCs w:val="20"/>
          <w:lang w:eastAsia="zh-CN"/>
        </w:rPr>
        <w:t>纯碱</w:t>
      </w:r>
      <w:r>
        <w:rPr>
          <w:rFonts w:ascii="黑体" w:hAnsi="黑体" w:eastAsia="黑体" w:cs="黑体"/>
          <w:spacing w:val="8"/>
          <w:sz w:val="20"/>
          <w:szCs w:val="20"/>
          <w:lang w:eastAsia="zh-CN"/>
        </w:rPr>
        <w:t>产品碳足迹量化系统边界图</w:t>
      </w:r>
    </w:p>
    <w:p w14:paraId="78D030B8">
      <w:pPr>
        <w:pStyle w:val="2"/>
        <w:ind w:firstLine="380" w:firstLineChars="200"/>
        <w:rPr>
          <w:sz w:val="19"/>
          <w:szCs w:val="19"/>
          <w:lang w:eastAsia="zh-CN"/>
        </w:rPr>
      </w:pPr>
    </w:p>
    <w:p w14:paraId="65E9FB7A">
      <w:pPr>
        <w:pStyle w:val="2"/>
        <w:outlineLvl w:val="2"/>
        <w:rPr>
          <w:sz w:val="20"/>
          <w:szCs w:val="20"/>
          <w:lang w:eastAsia="zh-CN"/>
        </w:rPr>
      </w:pPr>
      <w:bookmarkStart w:id="64" w:name="_Toc17027"/>
      <w:r>
        <w:rPr>
          <w:rFonts w:hint="eastAsia"/>
          <w:spacing w:val="7"/>
          <w:sz w:val="20"/>
          <w:szCs w:val="20"/>
          <w:lang w:eastAsia="zh-CN"/>
        </w:rPr>
        <w:t>5.3.1</w:t>
      </w:r>
      <w:r>
        <w:rPr>
          <w:spacing w:val="7"/>
          <w:sz w:val="20"/>
          <w:szCs w:val="20"/>
          <w:lang w:eastAsia="zh-CN"/>
        </w:rPr>
        <w:t xml:space="preserve"> </w:t>
      </w:r>
      <w:r>
        <w:rPr>
          <w:rFonts w:hint="eastAsia"/>
          <w:spacing w:val="7"/>
          <w:sz w:val="20"/>
          <w:szCs w:val="20"/>
          <w:lang w:eastAsia="zh-CN"/>
        </w:rPr>
        <w:t>原材料获取和预加工</w:t>
      </w:r>
      <w:r>
        <w:rPr>
          <w:spacing w:val="7"/>
          <w:sz w:val="20"/>
          <w:szCs w:val="20"/>
          <w:lang w:eastAsia="zh-CN"/>
        </w:rPr>
        <w:t>阶段</w:t>
      </w:r>
      <w:bookmarkEnd w:id="64"/>
    </w:p>
    <w:p w14:paraId="5C61623E">
      <w:pPr>
        <w:ind w:firstLine="432" w:firstLineChars="200"/>
        <w:jc w:val="both"/>
        <w:rPr>
          <w:rFonts w:ascii="宋体" w:hAnsi="宋体" w:eastAsia="宋体" w:cs="宋体"/>
          <w:spacing w:val="8"/>
          <w:sz w:val="20"/>
          <w:szCs w:val="20"/>
          <w:lang w:eastAsia="zh-CN"/>
        </w:rPr>
      </w:pPr>
      <w:r>
        <w:rPr>
          <w:rFonts w:ascii="宋体" w:hAnsi="宋体" w:eastAsia="宋体" w:cs="宋体"/>
          <w:spacing w:val="8"/>
          <w:sz w:val="20"/>
          <w:szCs w:val="20"/>
          <w:lang w:eastAsia="zh-CN"/>
        </w:rPr>
        <w:t>从自然界材料提取时开始，到</w:t>
      </w:r>
      <w:r>
        <w:rPr>
          <w:rFonts w:hint="eastAsia" w:ascii="宋体" w:hAnsi="宋体" w:eastAsia="宋体" w:cs="宋体"/>
          <w:spacing w:val="8"/>
          <w:sz w:val="20"/>
          <w:szCs w:val="20"/>
          <w:lang w:eastAsia="zh-CN"/>
        </w:rPr>
        <w:t>原</w:t>
      </w:r>
      <w:r>
        <w:rPr>
          <w:rFonts w:ascii="宋体" w:hAnsi="宋体" w:eastAsia="宋体" w:cs="宋体"/>
          <w:spacing w:val="8"/>
          <w:sz w:val="20"/>
          <w:szCs w:val="20"/>
          <w:lang w:eastAsia="zh-CN"/>
        </w:rPr>
        <w:t>材料和能源</w:t>
      </w:r>
      <w:r>
        <w:rPr>
          <w:rFonts w:hint="eastAsia" w:ascii="宋体" w:hAnsi="宋体" w:eastAsia="宋体" w:cs="宋体"/>
          <w:spacing w:val="8"/>
          <w:sz w:val="20"/>
          <w:szCs w:val="20"/>
          <w:lang w:eastAsia="zh-CN"/>
        </w:rPr>
        <w:t>生产</w:t>
      </w:r>
      <w:r>
        <w:rPr>
          <w:rFonts w:ascii="宋体" w:hAnsi="宋体" w:eastAsia="宋体" w:cs="宋体"/>
          <w:spacing w:val="8"/>
          <w:sz w:val="20"/>
          <w:szCs w:val="20"/>
          <w:lang w:eastAsia="zh-CN"/>
        </w:rPr>
        <w:t>到达生产工厂时终止。包括但不限于以下过程：</w:t>
      </w:r>
    </w:p>
    <w:p w14:paraId="1F02C615">
      <w:pPr>
        <w:ind w:firstLine="432" w:firstLineChars="200"/>
        <w:jc w:val="both"/>
        <w:rPr>
          <w:rFonts w:ascii="宋体" w:hAnsi="宋体" w:eastAsia="宋体" w:cs="宋体"/>
          <w:spacing w:val="8"/>
          <w:sz w:val="20"/>
          <w:szCs w:val="20"/>
          <w:lang w:eastAsia="zh-CN"/>
        </w:rPr>
      </w:pPr>
      <w:r>
        <w:rPr>
          <w:rFonts w:ascii="宋体" w:hAnsi="宋体" w:eastAsia="宋体" w:cs="宋体"/>
          <w:spacing w:val="8"/>
          <w:sz w:val="20"/>
          <w:szCs w:val="20"/>
          <w:lang w:eastAsia="zh-CN"/>
        </w:rPr>
        <w:t>a）</w:t>
      </w:r>
      <w:r>
        <w:rPr>
          <w:rFonts w:hint="eastAsia" w:ascii="宋体" w:hAnsi="宋体" w:eastAsia="宋体" w:cs="宋体"/>
          <w:spacing w:val="8"/>
          <w:sz w:val="20"/>
          <w:szCs w:val="20"/>
          <w:lang w:eastAsia="zh-CN"/>
        </w:rPr>
        <w:t>原</w:t>
      </w:r>
      <w:r>
        <w:rPr>
          <w:rFonts w:ascii="宋体" w:hAnsi="宋体" w:eastAsia="宋体" w:cs="宋体"/>
          <w:spacing w:val="8"/>
          <w:sz w:val="20"/>
          <w:szCs w:val="20"/>
          <w:lang w:eastAsia="zh-CN"/>
        </w:rPr>
        <w:t>材料的获取与运输分销；</w:t>
      </w:r>
    </w:p>
    <w:p w14:paraId="4875DA23">
      <w:pPr>
        <w:ind w:firstLine="432" w:firstLineChars="200"/>
        <w:jc w:val="both"/>
        <w:rPr>
          <w:rFonts w:ascii="宋体" w:hAnsi="宋体" w:eastAsia="宋体" w:cs="宋体"/>
          <w:spacing w:val="8"/>
          <w:sz w:val="20"/>
          <w:szCs w:val="20"/>
          <w:lang w:eastAsia="zh-CN"/>
        </w:rPr>
      </w:pPr>
      <w:r>
        <w:rPr>
          <w:rFonts w:ascii="宋体" w:hAnsi="宋体" w:eastAsia="宋体" w:cs="宋体"/>
          <w:spacing w:val="8"/>
          <w:sz w:val="20"/>
          <w:szCs w:val="20"/>
          <w:lang w:eastAsia="zh-CN"/>
        </w:rPr>
        <w:t>b）能源的获取与运输分销或输送（例如汽油、柴油、煤炭、天然气、电力、热力等）。</w:t>
      </w:r>
    </w:p>
    <w:p w14:paraId="6C3E47A1">
      <w:pPr>
        <w:ind w:firstLine="432" w:firstLineChars="200"/>
        <w:rPr>
          <w:rFonts w:ascii="宋体" w:hAnsi="宋体" w:eastAsia="宋体" w:cs="宋体"/>
          <w:spacing w:val="8"/>
          <w:sz w:val="20"/>
          <w:szCs w:val="20"/>
          <w:lang w:eastAsia="zh-CN"/>
        </w:rPr>
      </w:pPr>
    </w:p>
    <w:p w14:paraId="2C4EE04E">
      <w:pPr>
        <w:pStyle w:val="2"/>
        <w:outlineLvl w:val="2"/>
        <w:rPr>
          <w:spacing w:val="7"/>
          <w:sz w:val="20"/>
          <w:szCs w:val="20"/>
          <w:lang w:eastAsia="zh-CN"/>
        </w:rPr>
      </w:pPr>
      <w:bookmarkStart w:id="65" w:name="_Toc1083"/>
      <w:r>
        <w:rPr>
          <w:rFonts w:hint="eastAsia"/>
          <w:spacing w:val="7"/>
          <w:sz w:val="20"/>
          <w:szCs w:val="20"/>
          <w:lang w:eastAsia="zh-CN"/>
        </w:rPr>
        <w:t>5.3.2 纯碱生产阶段</w:t>
      </w:r>
      <w:bookmarkEnd w:id="65"/>
    </w:p>
    <w:p w14:paraId="68FFCAB4">
      <w:pPr>
        <w:ind w:firstLine="432" w:firstLineChars="200"/>
        <w:jc w:val="both"/>
        <w:rPr>
          <w:rFonts w:ascii="宋体" w:hAnsi="宋体" w:eastAsia="宋体" w:cs="宋体"/>
          <w:spacing w:val="8"/>
          <w:sz w:val="20"/>
          <w:szCs w:val="20"/>
          <w:lang w:eastAsia="zh-CN"/>
        </w:rPr>
      </w:pPr>
      <w:r>
        <w:rPr>
          <w:rFonts w:hint="eastAsia" w:ascii="宋体" w:hAnsi="宋体" w:eastAsia="宋体" w:cs="宋体"/>
          <w:spacing w:val="8"/>
          <w:sz w:val="20"/>
          <w:szCs w:val="20"/>
          <w:lang w:eastAsia="zh-CN"/>
        </w:rPr>
        <w:t>纯碱生产阶段从产品原材料进入工厂开始，到最终产品离开工厂终止。此阶段包括生产产品直接相关过程以及排放处理过程等。</w:t>
      </w:r>
    </w:p>
    <w:p w14:paraId="38104856">
      <w:pPr>
        <w:ind w:firstLine="432" w:firstLineChars="200"/>
        <w:jc w:val="both"/>
        <w:rPr>
          <w:rFonts w:ascii="宋体" w:hAnsi="宋体" w:eastAsia="宋体" w:cs="宋体"/>
          <w:spacing w:val="8"/>
          <w:sz w:val="20"/>
          <w:szCs w:val="20"/>
          <w:lang w:eastAsia="zh-CN"/>
        </w:rPr>
      </w:pPr>
      <w:r>
        <w:rPr>
          <w:rFonts w:hint="eastAsia" w:ascii="宋体" w:hAnsi="宋体" w:eastAsia="宋体" w:cs="宋体"/>
          <w:spacing w:val="8"/>
          <w:sz w:val="20"/>
          <w:szCs w:val="20"/>
          <w:lang w:eastAsia="zh-CN"/>
        </w:rPr>
        <w:t>产品制造阶段包括：</w:t>
      </w:r>
    </w:p>
    <w:p w14:paraId="63B3E920">
      <w:pPr>
        <w:ind w:firstLine="432" w:firstLineChars="200"/>
        <w:jc w:val="both"/>
        <w:rPr>
          <w:rFonts w:ascii="宋体" w:hAnsi="宋体" w:eastAsia="宋体" w:cs="宋体"/>
          <w:spacing w:val="8"/>
          <w:sz w:val="20"/>
          <w:szCs w:val="20"/>
          <w:lang w:eastAsia="zh-CN"/>
        </w:rPr>
      </w:pPr>
      <w:r>
        <w:rPr>
          <w:rFonts w:hint="eastAsia" w:ascii="宋体" w:hAnsi="宋体" w:eastAsia="宋体" w:cs="宋体"/>
          <w:spacing w:val="8"/>
          <w:sz w:val="20"/>
          <w:szCs w:val="20"/>
          <w:lang w:eastAsia="zh-CN"/>
        </w:rPr>
        <w:t>a）纯碱生产相关的过程；</w:t>
      </w:r>
    </w:p>
    <w:p w14:paraId="08036152">
      <w:pPr>
        <w:ind w:firstLine="432" w:firstLineChars="200"/>
        <w:jc w:val="both"/>
        <w:rPr>
          <w:rFonts w:ascii="宋体" w:hAnsi="宋体" w:eastAsia="宋体" w:cs="宋体"/>
          <w:spacing w:val="8"/>
          <w:sz w:val="20"/>
          <w:szCs w:val="20"/>
          <w:lang w:eastAsia="zh-CN"/>
        </w:rPr>
      </w:pPr>
      <w:r>
        <w:rPr>
          <w:rFonts w:hint="eastAsia" w:ascii="宋体" w:hAnsi="宋体" w:eastAsia="宋体" w:cs="宋体"/>
          <w:spacing w:val="8"/>
          <w:sz w:val="20"/>
          <w:szCs w:val="20"/>
          <w:lang w:eastAsia="zh-CN"/>
        </w:rPr>
        <w:t>b）厂内发电/供热相关过程；</w:t>
      </w:r>
    </w:p>
    <w:p w14:paraId="04B94176">
      <w:pPr>
        <w:ind w:firstLine="432" w:firstLineChars="200"/>
        <w:jc w:val="both"/>
        <w:rPr>
          <w:rFonts w:ascii="宋体" w:hAnsi="宋体" w:eastAsia="宋体" w:cs="宋体"/>
          <w:spacing w:val="8"/>
          <w:sz w:val="20"/>
          <w:szCs w:val="20"/>
          <w:lang w:eastAsia="zh-CN"/>
        </w:rPr>
      </w:pPr>
      <w:r>
        <w:rPr>
          <w:rFonts w:hint="eastAsia" w:ascii="宋体" w:hAnsi="宋体" w:eastAsia="宋体" w:cs="宋体"/>
          <w:spacing w:val="8"/>
          <w:sz w:val="20"/>
          <w:szCs w:val="20"/>
          <w:lang w:eastAsia="zh-CN"/>
        </w:rPr>
        <w:t>c）厂内余热回收相关过程；</w:t>
      </w:r>
    </w:p>
    <w:p w14:paraId="521107F5">
      <w:pPr>
        <w:ind w:firstLine="432" w:firstLineChars="200"/>
        <w:jc w:val="both"/>
        <w:rPr>
          <w:rFonts w:ascii="宋体" w:hAnsi="宋体" w:eastAsia="宋体" w:cs="宋体"/>
          <w:spacing w:val="8"/>
          <w:sz w:val="20"/>
          <w:szCs w:val="20"/>
          <w:lang w:eastAsia="zh-CN"/>
        </w:rPr>
      </w:pPr>
      <w:r>
        <w:rPr>
          <w:rFonts w:hint="eastAsia" w:ascii="宋体" w:hAnsi="宋体" w:eastAsia="宋体" w:cs="宋体"/>
          <w:spacing w:val="8"/>
          <w:sz w:val="20"/>
          <w:szCs w:val="20"/>
          <w:lang w:eastAsia="zh-CN"/>
        </w:rPr>
        <w:t>d）厂内运输</w:t>
      </w:r>
    </w:p>
    <w:p w14:paraId="726B35C4">
      <w:pPr>
        <w:ind w:firstLine="432" w:firstLineChars="200"/>
        <w:jc w:val="both"/>
        <w:rPr>
          <w:rFonts w:ascii="宋体" w:hAnsi="宋体" w:eastAsia="宋体" w:cs="宋体"/>
          <w:spacing w:val="8"/>
          <w:sz w:val="20"/>
          <w:szCs w:val="20"/>
          <w:lang w:eastAsia="zh-CN"/>
        </w:rPr>
      </w:pPr>
      <w:r>
        <w:rPr>
          <w:rFonts w:hint="eastAsia" w:ascii="宋体" w:hAnsi="宋体" w:eastAsia="宋体" w:cs="宋体"/>
          <w:spacing w:val="8"/>
          <w:sz w:val="20"/>
          <w:szCs w:val="20"/>
          <w:lang w:eastAsia="zh-CN"/>
        </w:rPr>
        <w:t>e）生产过程中所产生的废水、废气和固体废弃物处理（含废物运输）。</w:t>
      </w:r>
    </w:p>
    <w:p w14:paraId="15FA9266">
      <w:pPr>
        <w:ind w:firstLine="432" w:firstLineChars="200"/>
        <w:jc w:val="both"/>
        <w:rPr>
          <w:rFonts w:ascii="宋体" w:hAnsi="宋体" w:eastAsia="宋体" w:cs="宋体"/>
          <w:spacing w:val="8"/>
          <w:sz w:val="20"/>
          <w:szCs w:val="20"/>
          <w:lang w:eastAsia="zh-CN"/>
        </w:rPr>
      </w:pPr>
    </w:p>
    <w:p w14:paraId="48CEFFA3">
      <w:pPr>
        <w:pStyle w:val="2"/>
        <w:outlineLvl w:val="2"/>
        <w:rPr>
          <w:spacing w:val="7"/>
          <w:sz w:val="20"/>
          <w:szCs w:val="20"/>
          <w:lang w:eastAsia="zh-CN"/>
        </w:rPr>
      </w:pPr>
      <w:bookmarkStart w:id="66" w:name="_Toc9"/>
      <w:r>
        <w:rPr>
          <w:rFonts w:hint="eastAsia"/>
          <w:spacing w:val="7"/>
          <w:sz w:val="20"/>
          <w:szCs w:val="20"/>
          <w:lang w:eastAsia="zh-CN"/>
        </w:rPr>
        <w:t>5.3.3 分销阶段</w:t>
      </w:r>
      <w:bookmarkEnd w:id="66"/>
    </w:p>
    <w:p w14:paraId="4831ECFA">
      <w:pPr>
        <w:ind w:firstLine="432" w:firstLineChars="200"/>
        <w:jc w:val="both"/>
        <w:rPr>
          <w:rFonts w:ascii="宋体" w:hAnsi="宋体" w:eastAsia="宋体" w:cs="宋体"/>
          <w:spacing w:val="8"/>
          <w:sz w:val="20"/>
          <w:szCs w:val="20"/>
          <w:lang w:eastAsia="zh-CN"/>
        </w:rPr>
      </w:pPr>
      <w:r>
        <w:rPr>
          <w:rFonts w:hint="eastAsia" w:ascii="宋体" w:hAnsi="宋体" w:eastAsia="宋体" w:cs="宋体"/>
          <w:spacing w:val="8"/>
          <w:sz w:val="20"/>
          <w:szCs w:val="20"/>
          <w:lang w:eastAsia="zh-CN"/>
        </w:rPr>
        <w:t>分销阶段包括纯碱销售时运输到购买方，不包括纯碱在购买方的处理和贮存过程。</w:t>
      </w:r>
    </w:p>
    <w:p w14:paraId="3E5D07B7">
      <w:pPr>
        <w:ind w:firstLine="432" w:firstLineChars="200"/>
        <w:jc w:val="both"/>
        <w:rPr>
          <w:rFonts w:ascii="宋体" w:hAnsi="宋体" w:eastAsia="宋体" w:cs="宋体"/>
          <w:spacing w:val="8"/>
          <w:sz w:val="20"/>
          <w:szCs w:val="20"/>
          <w:lang w:eastAsia="zh-CN"/>
        </w:rPr>
      </w:pPr>
    </w:p>
    <w:p w14:paraId="11FDC99B">
      <w:pPr>
        <w:pStyle w:val="2"/>
        <w:outlineLvl w:val="2"/>
        <w:rPr>
          <w:sz w:val="20"/>
          <w:szCs w:val="20"/>
          <w:lang w:eastAsia="zh-CN"/>
        </w:rPr>
      </w:pPr>
      <w:bookmarkStart w:id="67" w:name="bookmark21"/>
      <w:bookmarkEnd w:id="67"/>
      <w:bookmarkStart w:id="68" w:name="_Toc28659"/>
      <w:r>
        <w:rPr>
          <w:rFonts w:hint="eastAsia"/>
          <w:spacing w:val="5"/>
          <w:sz w:val="20"/>
          <w:szCs w:val="20"/>
          <w:lang w:eastAsia="zh-CN"/>
        </w:rPr>
        <w:t>5.3.4</w:t>
      </w:r>
      <w:r>
        <w:rPr>
          <w:spacing w:val="18"/>
          <w:sz w:val="20"/>
          <w:szCs w:val="20"/>
          <w:lang w:eastAsia="zh-CN"/>
        </w:rPr>
        <w:t xml:space="preserve"> </w:t>
      </w:r>
      <w:r>
        <w:rPr>
          <w:spacing w:val="5"/>
          <w:sz w:val="20"/>
          <w:szCs w:val="20"/>
          <w:lang w:eastAsia="zh-CN"/>
        </w:rPr>
        <w:t>取舍准则</w:t>
      </w:r>
      <w:bookmarkEnd w:id="68"/>
    </w:p>
    <w:p w14:paraId="502BF5C8">
      <w:pPr>
        <w:ind w:firstLine="432" w:firstLineChars="200"/>
        <w:jc w:val="both"/>
        <w:rPr>
          <w:rFonts w:ascii="宋体" w:hAnsi="宋体" w:eastAsia="宋体" w:cs="宋体"/>
          <w:spacing w:val="8"/>
          <w:sz w:val="20"/>
          <w:szCs w:val="20"/>
          <w:lang w:eastAsia="zh-CN"/>
        </w:rPr>
      </w:pPr>
      <w:r>
        <w:rPr>
          <w:rFonts w:ascii="宋体" w:hAnsi="宋体" w:eastAsia="宋体" w:cs="宋体"/>
          <w:spacing w:val="8"/>
          <w:sz w:val="20"/>
          <w:szCs w:val="20"/>
          <w:lang w:eastAsia="zh-CN"/>
        </w:rPr>
        <w:t>在评价目标和范围确定阶段，应确定允许省略次要过程的取舍准则。所选择的取舍准则对评价结果产生的影响应在最终的报告中做出解释。</w:t>
      </w:r>
    </w:p>
    <w:p w14:paraId="4180D585">
      <w:pPr>
        <w:ind w:firstLine="432" w:firstLineChars="200"/>
        <w:jc w:val="both"/>
        <w:rPr>
          <w:rFonts w:ascii="宋体" w:hAnsi="宋体" w:eastAsia="宋体" w:cs="宋体"/>
          <w:spacing w:val="8"/>
          <w:sz w:val="20"/>
          <w:szCs w:val="20"/>
          <w:lang w:eastAsia="zh-CN"/>
        </w:rPr>
      </w:pPr>
      <w:r>
        <w:rPr>
          <w:rFonts w:ascii="宋体" w:hAnsi="宋体" w:eastAsia="宋体" w:cs="宋体"/>
          <w:spacing w:val="8"/>
          <w:sz w:val="20"/>
          <w:szCs w:val="20"/>
          <w:lang w:eastAsia="zh-CN"/>
        </w:rPr>
        <w:t>在</w:t>
      </w:r>
      <w:r>
        <w:rPr>
          <w:rFonts w:hint="eastAsia" w:ascii="宋体" w:hAnsi="宋体" w:eastAsia="宋体" w:cs="宋体"/>
          <w:spacing w:val="8"/>
          <w:sz w:val="20"/>
          <w:szCs w:val="20"/>
          <w:lang w:eastAsia="zh-CN"/>
        </w:rPr>
        <w:t>纯碱</w:t>
      </w:r>
      <w:r>
        <w:rPr>
          <w:rFonts w:ascii="宋体" w:hAnsi="宋体" w:eastAsia="宋体" w:cs="宋体"/>
          <w:spacing w:val="8"/>
          <w:sz w:val="20"/>
          <w:szCs w:val="20"/>
          <w:lang w:eastAsia="zh-CN"/>
        </w:rPr>
        <w:t>产品碳足迹量化过程中，可舍弃产品碳足迹影响小于1%的环节，但所有舍弃的合计值不应超过产品碳足迹总量的5%。</w:t>
      </w:r>
    </w:p>
    <w:p w14:paraId="068C1D52">
      <w:pPr>
        <w:ind w:firstLine="432" w:firstLineChars="200"/>
        <w:jc w:val="both"/>
        <w:rPr>
          <w:rFonts w:ascii="宋体" w:hAnsi="宋体" w:eastAsia="宋体" w:cs="宋体"/>
          <w:spacing w:val="8"/>
          <w:sz w:val="20"/>
          <w:szCs w:val="20"/>
          <w:lang w:eastAsia="zh-CN"/>
        </w:rPr>
      </w:pPr>
      <w:r>
        <w:rPr>
          <w:rFonts w:ascii="宋体" w:hAnsi="宋体" w:eastAsia="宋体" w:cs="宋体"/>
          <w:spacing w:val="8"/>
          <w:sz w:val="20"/>
          <w:szCs w:val="20"/>
          <w:lang w:eastAsia="zh-CN"/>
        </w:rPr>
        <w:t>注：所排除单元过程舍去的温室气体排放与清除有书面记录。</w:t>
      </w:r>
    </w:p>
    <w:p w14:paraId="484D89A3">
      <w:pPr>
        <w:pStyle w:val="2"/>
        <w:spacing w:before="240" w:beforeLines="100" w:after="240" w:afterLines="100"/>
        <w:outlineLvl w:val="0"/>
        <w:rPr>
          <w:spacing w:val="7"/>
          <w:sz w:val="20"/>
          <w:szCs w:val="20"/>
          <w:lang w:eastAsia="zh-CN"/>
        </w:rPr>
      </w:pPr>
      <w:bookmarkStart w:id="69" w:name="bookmark23"/>
      <w:bookmarkEnd w:id="69"/>
      <w:bookmarkStart w:id="70" w:name="bookmark25"/>
      <w:bookmarkEnd w:id="70"/>
      <w:bookmarkStart w:id="71" w:name="_Toc17319"/>
      <w:r>
        <w:rPr>
          <w:rFonts w:hint="eastAsia"/>
          <w:spacing w:val="7"/>
          <w:sz w:val="20"/>
          <w:szCs w:val="20"/>
          <w:lang w:eastAsia="zh-CN"/>
        </w:rPr>
        <w:t>6 数据和数据质量</w:t>
      </w:r>
      <w:bookmarkEnd w:id="71"/>
    </w:p>
    <w:p w14:paraId="61A60A8E">
      <w:pPr>
        <w:pStyle w:val="2"/>
        <w:outlineLvl w:val="1"/>
        <w:rPr>
          <w:spacing w:val="6"/>
          <w:sz w:val="20"/>
          <w:szCs w:val="20"/>
          <w:lang w:eastAsia="zh-CN"/>
        </w:rPr>
      </w:pPr>
      <w:bookmarkStart w:id="72" w:name="_Toc13796"/>
      <w:r>
        <w:rPr>
          <w:rFonts w:hint="eastAsia"/>
          <w:spacing w:val="6"/>
          <w:sz w:val="20"/>
          <w:szCs w:val="20"/>
          <w:lang w:eastAsia="zh-CN"/>
        </w:rPr>
        <w:t>6.1 数据描述</w:t>
      </w:r>
      <w:bookmarkEnd w:id="72"/>
    </w:p>
    <w:p w14:paraId="39EFC958">
      <w:pPr>
        <w:ind w:firstLine="432" w:firstLineChars="200"/>
        <w:rPr>
          <w:rFonts w:ascii="宋体" w:hAnsi="宋体" w:eastAsia="宋体" w:cs="宋体"/>
          <w:spacing w:val="8"/>
          <w:sz w:val="20"/>
          <w:szCs w:val="20"/>
          <w:lang w:eastAsia="zh-CN"/>
        </w:rPr>
      </w:pPr>
    </w:p>
    <w:p w14:paraId="3F0C140E">
      <w:pPr>
        <w:ind w:firstLine="432" w:firstLineChars="200"/>
        <w:rPr>
          <w:rFonts w:ascii="宋体" w:hAnsi="宋体" w:eastAsia="宋体" w:cs="宋体"/>
          <w:spacing w:val="8"/>
          <w:sz w:val="20"/>
          <w:szCs w:val="20"/>
          <w:lang w:eastAsia="zh-CN"/>
        </w:rPr>
      </w:pPr>
      <w:r>
        <w:rPr>
          <w:rFonts w:hint="eastAsia" w:ascii="宋体" w:hAnsi="宋体" w:eastAsia="宋体" w:cs="宋体"/>
          <w:spacing w:val="8"/>
          <w:sz w:val="20"/>
          <w:szCs w:val="20"/>
          <w:lang w:eastAsia="zh-CN"/>
        </w:rPr>
        <w:t>纯碱</w:t>
      </w:r>
      <w:r>
        <w:rPr>
          <w:rFonts w:ascii="宋体" w:hAnsi="宋体" w:eastAsia="宋体" w:cs="宋体"/>
          <w:spacing w:val="8"/>
          <w:sz w:val="20"/>
          <w:szCs w:val="20"/>
          <w:lang w:eastAsia="zh-CN"/>
        </w:rPr>
        <w:t>产品的碳足迹量化需要收集现场数据和背景数据。</w:t>
      </w:r>
    </w:p>
    <w:p w14:paraId="4D6A23D1">
      <w:pPr>
        <w:ind w:firstLine="432" w:firstLineChars="200"/>
        <w:jc w:val="both"/>
        <w:rPr>
          <w:rFonts w:ascii="宋体" w:hAnsi="宋体" w:eastAsia="宋体" w:cs="宋体"/>
          <w:spacing w:val="8"/>
          <w:sz w:val="20"/>
          <w:szCs w:val="20"/>
          <w:lang w:eastAsia="zh-CN"/>
        </w:rPr>
      </w:pPr>
      <w:r>
        <w:rPr>
          <w:rFonts w:ascii="宋体" w:hAnsi="宋体" w:eastAsia="宋体" w:cs="宋体"/>
          <w:spacing w:val="8"/>
          <w:sz w:val="20"/>
          <w:szCs w:val="20"/>
          <w:lang w:eastAsia="zh-CN"/>
        </w:rPr>
        <w:t>现场数据是</w:t>
      </w:r>
      <w:r>
        <w:rPr>
          <w:rFonts w:hint="eastAsia" w:ascii="宋体" w:hAnsi="宋体" w:eastAsia="宋体" w:cs="宋体"/>
          <w:spacing w:val="8"/>
          <w:sz w:val="20"/>
          <w:szCs w:val="20"/>
          <w:lang w:eastAsia="zh-CN"/>
        </w:rPr>
        <w:t>纯碱</w:t>
      </w:r>
      <w:r>
        <w:rPr>
          <w:rFonts w:ascii="宋体" w:hAnsi="宋体" w:eastAsia="宋体" w:cs="宋体"/>
          <w:spacing w:val="8"/>
          <w:sz w:val="20"/>
          <w:szCs w:val="20"/>
          <w:lang w:eastAsia="zh-CN"/>
        </w:rPr>
        <w:t>产品生产阶段各工序或单元的活动数据，是基于实际测量、统计等方式得到的生命周期清单数据，如产品生产阶段的原辅料和能源消耗量、产品产出量、废弃物排放量以及运输量（包括运输方式、运输距离）等。现场数据均为初级数据。</w:t>
      </w:r>
    </w:p>
    <w:p w14:paraId="7BECF4BF">
      <w:pPr>
        <w:ind w:firstLine="432" w:firstLineChars="200"/>
        <w:jc w:val="both"/>
        <w:rPr>
          <w:rFonts w:ascii="宋体" w:hAnsi="宋体" w:eastAsia="宋体" w:cs="宋体"/>
          <w:spacing w:val="8"/>
          <w:sz w:val="20"/>
          <w:szCs w:val="20"/>
          <w:lang w:eastAsia="zh-CN"/>
        </w:rPr>
      </w:pPr>
      <w:r>
        <w:rPr>
          <w:rFonts w:ascii="宋体" w:hAnsi="宋体" w:eastAsia="宋体" w:cs="宋体"/>
          <w:spacing w:val="8"/>
          <w:sz w:val="20"/>
          <w:szCs w:val="20"/>
          <w:lang w:eastAsia="zh-CN"/>
        </w:rPr>
        <w:t>背景数据是无法从现有产品系统中获得的，通常来源于现有的本土化或国际LCA数据库、经第三方权威机构认证的产品碳足迹（CFP）或环境产品声明（EPD）报告、公开发表的高质量学术文献等。</w:t>
      </w:r>
    </w:p>
    <w:p w14:paraId="4C762BD6">
      <w:pPr>
        <w:ind w:firstLine="432" w:firstLineChars="200"/>
        <w:jc w:val="both"/>
        <w:rPr>
          <w:rFonts w:ascii="宋体" w:hAnsi="宋体" w:eastAsia="宋体" w:cs="宋体"/>
          <w:spacing w:val="8"/>
          <w:sz w:val="20"/>
          <w:szCs w:val="20"/>
          <w:lang w:eastAsia="zh-CN"/>
        </w:rPr>
      </w:pPr>
      <w:r>
        <w:rPr>
          <w:rFonts w:ascii="宋体" w:hAnsi="宋体" w:eastAsia="宋体" w:cs="宋体"/>
          <w:spacing w:val="8"/>
          <w:sz w:val="20"/>
          <w:szCs w:val="20"/>
          <w:lang w:eastAsia="zh-CN"/>
        </w:rPr>
        <w:t>可量化背景数据为初级数据，如供应商或服务商提供基于现场数据计算得到的生命周期清单数据；背景数据不能量化则为次级数据，如外购原辅材料和燃料的上游排放因子、运输排放因子、废弃物处置排放因子等。</w:t>
      </w:r>
    </w:p>
    <w:p w14:paraId="6C7C92AC">
      <w:pPr>
        <w:ind w:firstLine="432" w:firstLineChars="200"/>
        <w:jc w:val="both"/>
        <w:rPr>
          <w:rFonts w:ascii="宋体" w:hAnsi="宋体" w:eastAsia="宋体" w:cs="宋体"/>
          <w:spacing w:val="8"/>
          <w:sz w:val="20"/>
          <w:szCs w:val="20"/>
          <w:lang w:eastAsia="zh-CN"/>
        </w:rPr>
      </w:pPr>
      <w:r>
        <w:rPr>
          <w:rFonts w:ascii="宋体" w:hAnsi="宋体" w:eastAsia="宋体" w:cs="宋体"/>
          <w:spacing w:val="8"/>
          <w:sz w:val="20"/>
          <w:szCs w:val="20"/>
          <w:lang w:eastAsia="zh-CN"/>
        </w:rPr>
        <w:t>仅在收集初级数据不可行时，次级数据才能用于输入和输出，或用于重要性较低的过程。引用次级数据宜证明其适用性和可信度，并注明数据来源及选取思路。</w:t>
      </w:r>
    </w:p>
    <w:p w14:paraId="0213B9D6">
      <w:pPr>
        <w:ind w:firstLine="432" w:firstLineChars="200"/>
        <w:rPr>
          <w:rFonts w:ascii="宋体" w:hAnsi="宋体" w:eastAsia="宋体" w:cs="宋体"/>
          <w:spacing w:val="8"/>
          <w:sz w:val="20"/>
          <w:szCs w:val="20"/>
          <w:lang w:eastAsia="zh-CN"/>
        </w:rPr>
      </w:pPr>
    </w:p>
    <w:p w14:paraId="49CD0934">
      <w:pPr>
        <w:pStyle w:val="2"/>
        <w:spacing w:before="62" w:line="254" w:lineRule="exact"/>
        <w:ind w:left="86"/>
        <w:outlineLvl w:val="1"/>
        <w:rPr>
          <w:sz w:val="19"/>
          <w:szCs w:val="19"/>
          <w:lang w:eastAsia="zh-CN"/>
        </w:rPr>
      </w:pPr>
      <w:bookmarkStart w:id="73" w:name="bookmark24"/>
      <w:bookmarkEnd w:id="73"/>
      <w:bookmarkStart w:id="74" w:name="_Toc20497"/>
      <w:r>
        <w:rPr>
          <w:color w:val="231F20"/>
          <w:spacing w:val="11"/>
          <w:position w:val="1"/>
          <w:sz w:val="19"/>
          <w:szCs w:val="19"/>
          <w:lang w:eastAsia="zh-CN"/>
        </w:rPr>
        <w:t>6.2</w:t>
      </w:r>
      <w:r>
        <w:rPr>
          <w:color w:val="231F20"/>
          <w:spacing w:val="9"/>
          <w:position w:val="1"/>
          <w:sz w:val="19"/>
          <w:szCs w:val="19"/>
          <w:lang w:eastAsia="zh-CN"/>
        </w:rPr>
        <w:t xml:space="preserve"> </w:t>
      </w:r>
      <w:r>
        <w:rPr>
          <w:color w:val="231F20"/>
          <w:spacing w:val="11"/>
          <w:position w:val="1"/>
          <w:sz w:val="19"/>
          <w:szCs w:val="19"/>
          <w:lang w:eastAsia="zh-CN"/>
        </w:rPr>
        <w:t>数据质量要求</w:t>
      </w:r>
      <w:bookmarkEnd w:id="74"/>
    </w:p>
    <w:p w14:paraId="59E6EE27">
      <w:pPr>
        <w:ind w:firstLine="432" w:firstLineChars="200"/>
        <w:rPr>
          <w:rFonts w:ascii="宋体" w:hAnsi="宋体" w:eastAsia="宋体" w:cs="宋体"/>
          <w:spacing w:val="8"/>
          <w:sz w:val="20"/>
          <w:szCs w:val="20"/>
          <w:lang w:eastAsia="zh-CN"/>
        </w:rPr>
      </w:pPr>
    </w:p>
    <w:p w14:paraId="0B4B2BFB">
      <w:pPr>
        <w:ind w:firstLine="432" w:firstLineChars="200"/>
        <w:jc w:val="both"/>
        <w:rPr>
          <w:rFonts w:ascii="宋体" w:hAnsi="宋体" w:eastAsia="宋体" w:cs="宋体"/>
          <w:spacing w:val="8"/>
          <w:sz w:val="20"/>
          <w:szCs w:val="20"/>
          <w:lang w:eastAsia="zh-CN"/>
        </w:rPr>
      </w:pPr>
      <w:r>
        <w:rPr>
          <w:rFonts w:hint="eastAsia" w:ascii="宋体" w:hAnsi="宋体" w:eastAsia="宋体" w:cs="宋体"/>
          <w:spacing w:val="8"/>
          <w:sz w:val="20"/>
          <w:szCs w:val="20"/>
          <w:lang w:eastAsia="zh-CN"/>
        </w:rPr>
        <w:t>产品碳足迹影响评价应使用现有最高质量数据，数据质量的特征应包括定量和定性两个角度。数据质量的特性描述应涉及以下方面：</w:t>
      </w:r>
    </w:p>
    <w:p w14:paraId="5DE2FF8B">
      <w:pPr>
        <w:ind w:firstLine="432" w:firstLineChars="200"/>
        <w:jc w:val="both"/>
        <w:rPr>
          <w:rFonts w:ascii="宋体" w:hAnsi="宋体" w:eastAsia="宋体" w:cs="宋体"/>
          <w:spacing w:val="8"/>
          <w:sz w:val="20"/>
          <w:szCs w:val="20"/>
          <w:lang w:eastAsia="zh-CN"/>
        </w:rPr>
      </w:pPr>
      <w:r>
        <w:rPr>
          <w:rFonts w:hint="eastAsia" w:ascii="宋体" w:hAnsi="宋体" w:eastAsia="宋体" w:cs="宋体"/>
          <w:spacing w:val="8"/>
          <w:sz w:val="20"/>
          <w:szCs w:val="20"/>
          <w:lang w:eastAsia="zh-CN"/>
        </w:rPr>
        <w:t>a）时间覆盖范围：数据的年份和所收集数据的最小时间长度；</w:t>
      </w:r>
    </w:p>
    <w:p w14:paraId="68725CA6">
      <w:pPr>
        <w:ind w:firstLine="432" w:firstLineChars="200"/>
        <w:jc w:val="both"/>
        <w:rPr>
          <w:rFonts w:ascii="宋体" w:hAnsi="宋体" w:eastAsia="宋体" w:cs="宋体"/>
          <w:spacing w:val="8"/>
          <w:sz w:val="20"/>
          <w:szCs w:val="20"/>
          <w:lang w:eastAsia="zh-CN"/>
        </w:rPr>
      </w:pPr>
      <w:r>
        <w:rPr>
          <w:rFonts w:hint="eastAsia" w:ascii="宋体" w:hAnsi="宋体" w:eastAsia="宋体" w:cs="宋体"/>
          <w:spacing w:val="8"/>
          <w:sz w:val="20"/>
          <w:szCs w:val="20"/>
          <w:lang w:eastAsia="zh-CN"/>
        </w:rPr>
        <w:t>b）地理覆盖范围：为实现产品碳足迹研究目的所收集的单元过程数据的地理位置；</w:t>
      </w:r>
    </w:p>
    <w:p w14:paraId="06592E64">
      <w:pPr>
        <w:ind w:firstLine="432" w:firstLineChars="200"/>
        <w:jc w:val="both"/>
        <w:rPr>
          <w:rFonts w:ascii="宋体" w:hAnsi="宋体" w:eastAsia="宋体" w:cs="宋体"/>
          <w:spacing w:val="8"/>
          <w:sz w:val="20"/>
          <w:szCs w:val="20"/>
          <w:lang w:eastAsia="zh-CN"/>
        </w:rPr>
      </w:pPr>
      <w:r>
        <w:rPr>
          <w:rFonts w:hint="eastAsia" w:ascii="宋体" w:hAnsi="宋体" w:eastAsia="宋体" w:cs="宋体"/>
          <w:spacing w:val="8"/>
          <w:sz w:val="20"/>
          <w:szCs w:val="20"/>
          <w:lang w:eastAsia="zh-CN"/>
        </w:rPr>
        <w:t>c）技术覆盖范围：具体的技术或技术组合；</w:t>
      </w:r>
    </w:p>
    <w:p w14:paraId="26555CE4">
      <w:pPr>
        <w:ind w:firstLine="432" w:firstLineChars="200"/>
        <w:jc w:val="both"/>
        <w:rPr>
          <w:rFonts w:ascii="宋体" w:hAnsi="宋体" w:eastAsia="宋体" w:cs="宋体"/>
          <w:spacing w:val="8"/>
          <w:sz w:val="20"/>
          <w:szCs w:val="20"/>
          <w:lang w:eastAsia="zh-CN"/>
        </w:rPr>
      </w:pPr>
      <w:r>
        <w:rPr>
          <w:rFonts w:hint="eastAsia" w:ascii="宋体" w:hAnsi="宋体" w:eastAsia="宋体" w:cs="宋体"/>
          <w:spacing w:val="8"/>
          <w:sz w:val="20"/>
          <w:szCs w:val="20"/>
          <w:lang w:eastAsia="zh-CN"/>
        </w:rPr>
        <w:t>d）精度：对每个数据值的可变性的度量（例如方差）；</w:t>
      </w:r>
    </w:p>
    <w:p w14:paraId="33D950E6">
      <w:pPr>
        <w:ind w:firstLine="432" w:firstLineChars="200"/>
        <w:jc w:val="both"/>
        <w:rPr>
          <w:rFonts w:ascii="宋体" w:hAnsi="宋体" w:eastAsia="宋体" w:cs="宋体"/>
          <w:spacing w:val="8"/>
          <w:sz w:val="20"/>
          <w:szCs w:val="20"/>
          <w:lang w:eastAsia="zh-CN"/>
        </w:rPr>
      </w:pPr>
      <w:r>
        <w:rPr>
          <w:rFonts w:hint="eastAsia" w:ascii="宋体" w:hAnsi="宋体" w:eastAsia="宋体" w:cs="宋体"/>
          <w:spacing w:val="8"/>
          <w:sz w:val="20"/>
          <w:szCs w:val="20"/>
          <w:lang w:eastAsia="zh-CN"/>
        </w:rPr>
        <w:t>e）完整性：测量或测算的流所占的比例；</w:t>
      </w:r>
    </w:p>
    <w:p w14:paraId="330158A1">
      <w:pPr>
        <w:ind w:firstLine="432" w:firstLineChars="200"/>
        <w:jc w:val="both"/>
        <w:rPr>
          <w:rFonts w:ascii="宋体" w:hAnsi="宋体" w:eastAsia="宋体" w:cs="宋体"/>
          <w:spacing w:val="8"/>
          <w:sz w:val="20"/>
          <w:szCs w:val="20"/>
          <w:lang w:eastAsia="zh-CN"/>
        </w:rPr>
      </w:pPr>
      <w:r>
        <w:rPr>
          <w:rFonts w:hint="eastAsia" w:ascii="宋体" w:hAnsi="宋体" w:eastAsia="宋体" w:cs="宋体"/>
          <w:spacing w:val="8"/>
          <w:sz w:val="20"/>
          <w:szCs w:val="20"/>
          <w:lang w:eastAsia="zh-CN"/>
        </w:rPr>
        <w:t>f）代表性：反映实际关注人群对数据集（即时间覆盖范围、地理覆盖范围和技术覆盖范围等）关注程度的真实情况进行的定性评价；</w:t>
      </w:r>
    </w:p>
    <w:p w14:paraId="55B1E07E">
      <w:pPr>
        <w:ind w:firstLine="432" w:firstLineChars="200"/>
        <w:jc w:val="both"/>
        <w:rPr>
          <w:rFonts w:ascii="宋体" w:hAnsi="宋体" w:eastAsia="宋体" w:cs="宋体"/>
          <w:spacing w:val="8"/>
          <w:sz w:val="20"/>
          <w:szCs w:val="20"/>
          <w:lang w:eastAsia="zh-CN"/>
        </w:rPr>
      </w:pPr>
      <w:r>
        <w:rPr>
          <w:rFonts w:hint="eastAsia" w:ascii="宋体" w:hAnsi="宋体" w:eastAsia="宋体" w:cs="宋体"/>
          <w:spacing w:val="8"/>
          <w:sz w:val="20"/>
          <w:szCs w:val="20"/>
          <w:lang w:eastAsia="zh-CN"/>
        </w:rPr>
        <w:t>注：技术上，数据反映实际生产技术情况，即体现实际工艺流程、技术和设备类型、原料与能耗类型、生产规模等因素的影响；时间上，数据反映被评价产品系统单元过程的实际时间；空间上，数据反映具体产品系统边界内单元过程的实际地理位置信息。</w:t>
      </w:r>
    </w:p>
    <w:p w14:paraId="23FE30F8">
      <w:pPr>
        <w:ind w:firstLine="432" w:firstLineChars="200"/>
        <w:jc w:val="both"/>
        <w:rPr>
          <w:rFonts w:ascii="宋体" w:hAnsi="宋体" w:eastAsia="宋体" w:cs="宋体"/>
          <w:spacing w:val="8"/>
          <w:sz w:val="20"/>
          <w:szCs w:val="20"/>
          <w:lang w:eastAsia="zh-CN"/>
        </w:rPr>
      </w:pPr>
      <w:r>
        <w:rPr>
          <w:rFonts w:hint="eastAsia" w:ascii="宋体" w:hAnsi="宋体" w:eastAsia="宋体" w:cs="宋体"/>
          <w:spacing w:val="8"/>
          <w:sz w:val="20"/>
          <w:szCs w:val="20"/>
          <w:lang w:eastAsia="zh-CN"/>
        </w:rPr>
        <w:t>g）一致性：对研究方法学是否能在敏感性分析的不同组成部分中统一应用而进行的定性评价；h）再现性：对其他独立从业人员采用同一方法学和数值信息重现相同研究结果的定性评价；</w:t>
      </w:r>
    </w:p>
    <w:p w14:paraId="69A962D9">
      <w:pPr>
        <w:ind w:firstLine="432" w:firstLineChars="200"/>
        <w:jc w:val="both"/>
        <w:rPr>
          <w:rFonts w:ascii="宋体" w:hAnsi="宋体" w:eastAsia="宋体" w:cs="宋体"/>
          <w:spacing w:val="8"/>
          <w:sz w:val="20"/>
          <w:szCs w:val="20"/>
          <w:lang w:eastAsia="zh-CN"/>
        </w:rPr>
      </w:pPr>
      <w:r>
        <w:rPr>
          <w:rFonts w:hint="eastAsia" w:ascii="宋体" w:hAnsi="宋体" w:eastAsia="宋体" w:cs="宋体"/>
          <w:spacing w:val="8"/>
          <w:sz w:val="20"/>
          <w:szCs w:val="20"/>
          <w:lang w:eastAsia="zh-CN"/>
        </w:rPr>
        <w:t>i）数据来源：现场数据来源于测量、工程计算、采购记录等，环境排放数据优先采用环境监测报告，所有数据均有相关的数据来源和数据处理算法；</w:t>
      </w:r>
    </w:p>
    <w:p w14:paraId="224206FC">
      <w:pPr>
        <w:ind w:firstLine="432" w:firstLineChars="200"/>
        <w:jc w:val="both"/>
        <w:rPr>
          <w:rFonts w:ascii="宋体" w:hAnsi="宋体" w:eastAsia="宋体" w:cs="宋体"/>
          <w:spacing w:val="8"/>
          <w:sz w:val="20"/>
          <w:szCs w:val="20"/>
          <w:lang w:eastAsia="zh-CN"/>
        </w:rPr>
      </w:pPr>
      <w:r>
        <w:rPr>
          <w:rFonts w:hint="eastAsia" w:ascii="宋体" w:hAnsi="宋体" w:eastAsia="宋体" w:cs="宋体"/>
          <w:spacing w:val="8"/>
          <w:sz w:val="20"/>
          <w:szCs w:val="20"/>
          <w:lang w:eastAsia="zh-CN"/>
        </w:rPr>
        <w:t>j）信息的不确定性。</w:t>
      </w:r>
    </w:p>
    <w:p w14:paraId="5A12B774">
      <w:pPr>
        <w:pStyle w:val="2"/>
        <w:spacing w:before="139" w:line="253" w:lineRule="exact"/>
        <w:ind w:left="22"/>
        <w:outlineLvl w:val="1"/>
        <w:rPr>
          <w:sz w:val="19"/>
          <w:szCs w:val="19"/>
          <w:lang w:eastAsia="zh-CN"/>
        </w:rPr>
      </w:pPr>
      <w:bookmarkStart w:id="75" w:name="bookmark26"/>
      <w:bookmarkEnd w:id="75"/>
      <w:bookmarkStart w:id="76" w:name="_Toc17424"/>
      <w:r>
        <w:rPr>
          <w:color w:val="231F20"/>
          <w:spacing w:val="11"/>
          <w:position w:val="1"/>
          <w:sz w:val="19"/>
          <w:szCs w:val="19"/>
          <w:lang w:eastAsia="zh-CN"/>
        </w:rPr>
        <w:t>6.3</w:t>
      </w:r>
      <w:r>
        <w:rPr>
          <w:color w:val="231F20"/>
          <w:spacing w:val="9"/>
          <w:position w:val="1"/>
          <w:sz w:val="19"/>
          <w:szCs w:val="19"/>
          <w:lang w:eastAsia="zh-CN"/>
        </w:rPr>
        <w:t xml:space="preserve"> </w:t>
      </w:r>
      <w:r>
        <w:rPr>
          <w:color w:val="231F20"/>
          <w:spacing w:val="11"/>
          <w:position w:val="1"/>
          <w:sz w:val="19"/>
          <w:szCs w:val="19"/>
          <w:lang w:eastAsia="zh-CN"/>
        </w:rPr>
        <w:t>数据质量评价</w:t>
      </w:r>
      <w:bookmarkEnd w:id="76"/>
    </w:p>
    <w:p w14:paraId="1B14C90A">
      <w:pPr>
        <w:ind w:firstLine="432" w:firstLineChars="200"/>
        <w:rPr>
          <w:rFonts w:ascii="宋体" w:hAnsi="宋体" w:eastAsia="宋体" w:cs="宋体"/>
          <w:spacing w:val="8"/>
          <w:sz w:val="20"/>
          <w:szCs w:val="20"/>
          <w:lang w:eastAsia="zh-CN"/>
        </w:rPr>
      </w:pPr>
    </w:p>
    <w:p w14:paraId="07714DB1">
      <w:pPr>
        <w:ind w:firstLine="432" w:firstLineChars="200"/>
        <w:jc w:val="both"/>
        <w:rPr>
          <w:rFonts w:ascii="宋体" w:hAnsi="宋体" w:eastAsia="宋体" w:cs="宋体"/>
          <w:spacing w:val="8"/>
          <w:sz w:val="20"/>
          <w:szCs w:val="20"/>
          <w:lang w:eastAsia="zh-CN"/>
        </w:rPr>
      </w:pPr>
      <w:r>
        <w:rPr>
          <w:rFonts w:hint="eastAsia" w:ascii="宋体" w:hAnsi="宋体" w:eastAsia="宋体" w:cs="宋体"/>
          <w:spacing w:val="8"/>
          <w:sz w:val="20"/>
          <w:szCs w:val="20"/>
          <w:lang w:eastAsia="zh-CN"/>
        </w:rPr>
        <w:t>开展产品碳足迹研究的组织宜建立数据管理系统，保留相关文件和记录，进行数据质量评价，并持续提高数据质量。纯碱产品碳足迹量化数据质量评价方法见表1，对质量较差的数据应进行敏感性分析。</w:t>
      </w:r>
    </w:p>
    <w:p w14:paraId="20BE369A">
      <w:pPr>
        <w:pStyle w:val="2"/>
        <w:spacing w:before="151" w:line="253" w:lineRule="exact"/>
        <w:ind w:left="3485"/>
        <w:rPr>
          <w:spacing w:val="8"/>
          <w:sz w:val="20"/>
          <w:szCs w:val="20"/>
        </w:rPr>
      </w:pPr>
      <w:r>
        <w:rPr>
          <w:spacing w:val="8"/>
          <w:sz w:val="20"/>
          <w:szCs w:val="20"/>
        </w:rPr>
        <w:t xml:space="preserve">表 </w:t>
      </w:r>
      <w:r>
        <w:rPr>
          <w:rFonts w:hint="eastAsia"/>
          <w:spacing w:val="8"/>
          <w:sz w:val="20"/>
          <w:szCs w:val="20"/>
          <w:lang w:eastAsia="zh-CN"/>
        </w:rPr>
        <w:t>1</w:t>
      </w:r>
      <w:r>
        <w:rPr>
          <w:spacing w:val="8"/>
          <w:sz w:val="20"/>
          <w:szCs w:val="20"/>
        </w:rPr>
        <w:t xml:space="preserve"> 数据质量评价方法</w:t>
      </w:r>
    </w:p>
    <w:tbl>
      <w:tblPr>
        <w:tblStyle w:val="10"/>
        <w:tblW w:w="0" w:type="auto"/>
        <w:tblInd w:w="5"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fixed"/>
        <w:tblCellMar>
          <w:top w:w="0" w:type="dxa"/>
          <w:left w:w="0" w:type="dxa"/>
          <w:bottom w:w="0" w:type="dxa"/>
          <w:right w:w="0" w:type="dxa"/>
        </w:tblCellMar>
      </w:tblPr>
      <w:tblGrid>
        <w:gridCol w:w="978"/>
        <w:gridCol w:w="1315"/>
        <w:gridCol w:w="1142"/>
        <w:gridCol w:w="1523"/>
        <w:gridCol w:w="2158"/>
        <w:gridCol w:w="2071"/>
      </w:tblGrid>
      <w:tr w14:paraId="71D533CE">
        <w:trPr>
          <w:cantSplit/>
        </w:trPr>
        <w:tc>
          <w:tcPr>
            <w:tcW w:w="978" w:type="dxa"/>
            <w:tcBorders>
              <w:top w:val="single" w:color="231F20" w:sz="4" w:space="0"/>
              <w:left w:val="single" w:color="231F20" w:sz="4" w:space="0"/>
              <w:bottom w:val="single" w:color="231F20" w:sz="4" w:space="0"/>
            </w:tcBorders>
            <w:vAlign w:val="center"/>
          </w:tcPr>
          <w:p w14:paraId="3C41675F">
            <w:pPr>
              <w:pStyle w:val="11"/>
              <w:spacing w:line="360" w:lineRule="auto"/>
              <w:jc w:val="center"/>
            </w:pPr>
            <w:r>
              <w:rPr>
                <w:rFonts w:hint="eastAsia"/>
                <w:spacing w:val="12"/>
              </w:rPr>
              <w:t>评级</w:t>
            </w:r>
          </w:p>
        </w:tc>
        <w:tc>
          <w:tcPr>
            <w:tcW w:w="1315" w:type="dxa"/>
            <w:tcBorders>
              <w:top w:val="single" w:color="231F20" w:sz="4" w:space="0"/>
              <w:bottom w:val="single" w:color="231F20" w:sz="4" w:space="0"/>
            </w:tcBorders>
            <w:vAlign w:val="center"/>
          </w:tcPr>
          <w:p w14:paraId="34276E8B">
            <w:pPr>
              <w:pStyle w:val="11"/>
              <w:spacing w:line="360" w:lineRule="auto"/>
              <w:jc w:val="center"/>
            </w:pPr>
            <w:r>
              <w:rPr>
                <w:rFonts w:hint="eastAsia"/>
                <w:spacing w:val="11"/>
              </w:rPr>
              <w:t>技术</w:t>
            </w:r>
          </w:p>
        </w:tc>
        <w:tc>
          <w:tcPr>
            <w:tcW w:w="1142" w:type="dxa"/>
            <w:tcBorders>
              <w:top w:val="single" w:color="231F20" w:sz="4" w:space="0"/>
              <w:bottom w:val="single" w:color="231F20" w:sz="4" w:space="0"/>
            </w:tcBorders>
            <w:vAlign w:val="center"/>
          </w:tcPr>
          <w:p w14:paraId="67C8ABD3">
            <w:pPr>
              <w:pStyle w:val="11"/>
              <w:spacing w:line="360" w:lineRule="auto"/>
              <w:jc w:val="center"/>
            </w:pPr>
            <w:r>
              <w:rPr>
                <w:rFonts w:hint="eastAsia"/>
                <w:spacing w:val="7"/>
              </w:rPr>
              <w:t>时间</w:t>
            </w:r>
          </w:p>
        </w:tc>
        <w:tc>
          <w:tcPr>
            <w:tcW w:w="1523" w:type="dxa"/>
            <w:tcBorders>
              <w:top w:val="single" w:color="231F20" w:sz="4" w:space="0"/>
              <w:bottom w:val="single" w:color="231F20" w:sz="4" w:space="0"/>
            </w:tcBorders>
            <w:vAlign w:val="center"/>
          </w:tcPr>
          <w:p w14:paraId="1874BBFC">
            <w:pPr>
              <w:pStyle w:val="11"/>
              <w:spacing w:line="360" w:lineRule="auto"/>
              <w:jc w:val="center"/>
            </w:pPr>
            <w:r>
              <w:rPr>
                <w:rFonts w:hint="eastAsia"/>
                <w:spacing w:val="11"/>
              </w:rPr>
              <w:t>地域</w:t>
            </w:r>
          </w:p>
        </w:tc>
        <w:tc>
          <w:tcPr>
            <w:tcW w:w="2158" w:type="dxa"/>
            <w:tcBorders>
              <w:top w:val="single" w:color="231F20" w:sz="4" w:space="0"/>
              <w:bottom w:val="single" w:color="231F20" w:sz="4" w:space="0"/>
            </w:tcBorders>
            <w:vAlign w:val="center"/>
          </w:tcPr>
          <w:p w14:paraId="515C6F76">
            <w:pPr>
              <w:pStyle w:val="11"/>
              <w:spacing w:line="360" w:lineRule="auto"/>
              <w:jc w:val="center"/>
            </w:pPr>
            <w:r>
              <w:rPr>
                <w:rFonts w:hint="eastAsia"/>
                <w:spacing w:val="13"/>
              </w:rPr>
              <w:t>可靠性</w:t>
            </w:r>
          </w:p>
        </w:tc>
        <w:tc>
          <w:tcPr>
            <w:tcW w:w="2071" w:type="dxa"/>
            <w:tcBorders>
              <w:top w:val="single" w:color="231F20" w:sz="4" w:space="0"/>
              <w:bottom w:val="single" w:color="231F20" w:sz="4" w:space="0"/>
              <w:right w:val="single" w:color="231F20" w:sz="4" w:space="0"/>
            </w:tcBorders>
            <w:vAlign w:val="center"/>
          </w:tcPr>
          <w:p w14:paraId="622CF58E">
            <w:pPr>
              <w:pStyle w:val="11"/>
              <w:spacing w:line="360" w:lineRule="auto"/>
              <w:jc w:val="center"/>
            </w:pPr>
            <w:r>
              <w:rPr>
                <w:rFonts w:hint="eastAsia"/>
                <w:spacing w:val="14"/>
              </w:rPr>
              <w:t>完整性</w:t>
            </w:r>
          </w:p>
        </w:tc>
      </w:tr>
      <w:tr w14:paraId="388CDF65">
        <w:trPr>
          <w:cantSplit/>
        </w:trPr>
        <w:tc>
          <w:tcPr>
            <w:tcW w:w="978" w:type="dxa"/>
            <w:tcBorders>
              <w:top w:val="single" w:color="231F20" w:sz="4" w:space="0"/>
              <w:left w:val="single" w:color="231F20" w:sz="4" w:space="0"/>
            </w:tcBorders>
            <w:vAlign w:val="center"/>
          </w:tcPr>
          <w:p w14:paraId="1B316345">
            <w:pPr>
              <w:pStyle w:val="11"/>
              <w:spacing w:line="360" w:lineRule="auto"/>
              <w:jc w:val="center"/>
            </w:pPr>
            <w:r>
              <w:rPr>
                <w:rFonts w:hint="eastAsia"/>
                <w:spacing w:val="4"/>
              </w:rPr>
              <w:t>好</w:t>
            </w:r>
          </w:p>
        </w:tc>
        <w:tc>
          <w:tcPr>
            <w:tcW w:w="1315" w:type="dxa"/>
            <w:tcBorders>
              <w:top w:val="single" w:color="231F20" w:sz="4" w:space="0"/>
            </w:tcBorders>
            <w:vAlign w:val="center"/>
          </w:tcPr>
          <w:p w14:paraId="50BA043D">
            <w:pPr>
              <w:pStyle w:val="11"/>
              <w:spacing w:line="360" w:lineRule="auto"/>
              <w:jc w:val="center"/>
            </w:pPr>
            <w:r>
              <w:rPr>
                <w:rFonts w:hint="eastAsia"/>
                <w:spacing w:val="17"/>
              </w:rPr>
              <w:t>相同技术数据</w:t>
            </w:r>
          </w:p>
        </w:tc>
        <w:tc>
          <w:tcPr>
            <w:tcW w:w="1142" w:type="dxa"/>
            <w:tcBorders>
              <w:top w:val="single" w:color="231F20" w:sz="4" w:space="0"/>
            </w:tcBorders>
            <w:vAlign w:val="center"/>
          </w:tcPr>
          <w:p w14:paraId="0B417E84">
            <w:pPr>
              <w:spacing w:line="360" w:lineRule="auto"/>
              <w:jc w:val="center"/>
              <w:rPr>
                <w:rFonts w:ascii="宋体" w:hAnsi="宋体" w:eastAsia="宋体" w:cs="宋体"/>
                <w:sz w:val="16"/>
                <w:szCs w:val="16"/>
              </w:rPr>
            </w:pPr>
            <w:r>
              <w:rPr>
                <w:rFonts w:hint="eastAsia" w:ascii="宋体" w:hAnsi="宋体" w:eastAsia="宋体" w:cs="宋体"/>
                <w:spacing w:val="16"/>
                <w:w w:val="117"/>
                <w:position w:val="1"/>
                <w:sz w:val="16"/>
                <w:szCs w:val="16"/>
              </w:rPr>
              <w:t>≤3a</w:t>
            </w:r>
          </w:p>
        </w:tc>
        <w:tc>
          <w:tcPr>
            <w:tcW w:w="1523" w:type="dxa"/>
            <w:tcBorders>
              <w:top w:val="single" w:color="231F20" w:sz="4" w:space="0"/>
            </w:tcBorders>
            <w:vAlign w:val="center"/>
          </w:tcPr>
          <w:p w14:paraId="6A9F4612">
            <w:pPr>
              <w:pStyle w:val="11"/>
              <w:spacing w:line="360" w:lineRule="auto"/>
              <w:jc w:val="center"/>
            </w:pPr>
            <w:r>
              <w:rPr>
                <w:rFonts w:hint="eastAsia"/>
                <w:spacing w:val="11"/>
              </w:rPr>
              <w:t>同一地区</w:t>
            </w:r>
          </w:p>
        </w:tc>
        <w:tc>
          <w:tcPr>
            <w:tcW w:w="2158" w:type="dxa"/>
            <w:tcBorders>
              <w:top w:val="single" w:color="231F20" w:sz="4" w:space="0"/>
            </w:tcBorders>
            <w:vAlign w:val="center"/>
          </w:tcPr>
          <w:p w14:paraId="7B50229C">
            <w:pPr>
              <w:pStyle w:val="11"/>
              <w:spacing w:line="360" w:lineRule="auto"/>
              <w:jc w:val="center"/>
            </w:pPr>
            <w:r>
              <w:rPr>
                <w:rFonts w:hint="eastAsia"/>
                <w:spacing w:val="17"/>
              </w:rPr>
              <w:t>测量或经核查</w:t>
            </w:r>
          </w:p>
        </w:tc>
        <w:tc>
          <w:tcPr>
            <w:tcW w:w="2071" w:type="dxa"/>
            <w:tcBorders>
              <w:top w:val="single" w:color="231F20" w:sz="4" w:space="0"/>
              <w:right w:val="single" w:color="231F20" w:sz="4" w:space="0"/>
            </w:tcBorders>
            <w:vAlign w:val="center"/>
          </w:tcPr>
          <w:p w14:paraId="4C4CC776">
            <w:pPr>
              <w:pStyle w:val="11"/>
              <w:spacing w:line="360" w:lineRule="auto"/>
              <w:jc w:val="center"/>
            </w:pPr>
            <w:r>
              <w:rPr>
                <w:rFonts w:hint="eastAsia"/>
                <w:spacing w:val="17"/>
              </w:rPr>
              <w:t>数据基本完整</w:t>
            </w:r>
          </w:p>
        </w:tc>
      </w:tr>
      <w:tr w14:paraId="76263025">
        <w:trPr>
          <w:cantSplit/>
        </w:trPr>
        <w:tc>
          <w:tcPr>
            <w:tcW w:w="978" w:type="dxa"/>
            <w:tcBorders>
              <w:left w:val="single" w:color="231F20" w:sz="4" w:space="0"/>
            </w:tcBorders>
            <w:vAlign w:val="center"/>
          </w:tcPr>
          <w:p w14:paraId="0F630441">
            <w:pPr>
              <w:pStyle w:val="11"/>
              <w:spacing w:line="360" w:lineRule="auto"/>
              <w:jc w:val="center"/>
            </w:pPr>
            <w:r>
              <w:rPr>
                <w:rFonts w:hint="eastAsia"/>
                <w:spacing w:val="11"/>
              </w:rPr>
              <w:t>一般</w:t>
            </w:r>
          </w:p>
        </w:tc>
        <w:tc>
          <w:tcPr>
            <w:tcW w:w="1315" w:type="dxa"/>
            <w:vAlign w:val="center"/>
          </w:tcPr>
          <w:p w14:paraId="64A6EDEE">
            <w:pPr>
              <w:pStyle w:val="11"/>
              <w:spacing w:line="360" w:lineRule="auto"/>
              <w:jc w:val="center"/>
            </w:pPr>
            <w:r>
              <w:rPr>
                <w:rFonts w:hint="eastAsia"/>
                <w:spacing w:val="17"/>
              </w:rPr>
              <w:t>类似技术数据</w:t>
            </w:r>
          </w:p>
        </w:tc>
        <w:tc>
          <w:tcPr>
            <w:tcW w:w="1142" w:type="dxa"/>
            <w:vAlign w:val="center"/>
          </w:tcPr>
          <w:p w14:paraId="7302A5C4">
            <w:pPr>
              <w:spacing w:line="360" w:lineRule="auto"/>
              <w:jc w:val="center"/>
              <w:rPr>
                <w:rFonts w:ascii="宋体" w:hAnsi="宋体" w:eastAsia="宋体" w:cs="宋体"/>
                <w:sz w:val="16"/>
                <w:szCs w:val="16"/>
              </w:rPr>
            </w:pPr>
            <w:r>
              <w:rPr>
                <w:rFonts w:hint="eastAsia" w:ascii="宋体" w:hAnsi="宋体" w:eastAsia="宋体" w:cs="宋体"/>
                <w:spacing w:val="14"/>
                <w:sz w:val="16"/>
                <w:szCs w:val="16"/>
              </w:rPr>
              <w:t>3a~5a</w:t>
            </w:r>
          </w:p>
        </w:tc>
        <w:tc>
          <w:tcPr>
            <w:tcW w:w="1523" w:type="dxa"/>
            <w:vAlign w:val="center"/>
          </w:tcPr>
          <w:p w14:paraId="479E3608">
            <w:pPr>
              <w:pStyle w:val="11"/>
              <w:spacing w:line="360" w:lineRule="auto"/>
              <w:jc w:val="center"/>
            </w:pPr>
            <w:r>
              <w:rPr>
                <w:rFonts w:hint="eastAsia"/>
                <w:spacing w:val="15"/>
              </w:rPr>
              <w:t>相似地区</w:t>
            </w:r>
          </w:p>
        </w:tc>
        <w:tc>
          <w:tcPr>
            <w:tcW w:w="2158" w:type="dxa"/>
            <w:vAlign w:val="center"/>
          </w:tcPr>
          <w:p w14:paraId="1B8BA50E">
            <w:pPr>
              <w:pStyle w:val="11"/>
              <w:spacing w:line="360" w:lineRule="auto"/>
              <w:jc w:val="center"/>
            </w:pPr>
            <w:r>
              <w:rPr>
                <w:rFonts w:hint="eastAsia"/>
                <w:spacing w:val="18"/>
              </w:rPr>
              <w:t>部分测量或部分核查</w:t>
            </w:r>
          </w:p>
        </w:tc>
        <w:tc>
          <w:tcPr>
            <w:tcW w:w="2071" w:type="dxa"/>
            <w:tcBorders>
              <w:right w:val="single" w:color="231F20" w:sz="4" w:space="0"/>
            </w:tcBorders>
            <w:vAlign w:val="center"/>
          </w:tcPr>
          <w:p w14:paraId="5747BCE3">
            <w:pPr>
              <w:pStyle w:val="11"/>
              <w:spacing w:line="360" w:lineRule="auto"/>
              <w:jc w:val="center"/>
            </w:pPr>
            <w:r>
              <w:rPr>
                <w:rFonts w:hint="eastAsia"/>
                <w:spacing w:val="26"/>
              </w:rPr>
              <w:t>数据完整性≥80%</w:t>
            </w:r>
          </w:p>
        </w:tc>
      </w:tr>
      <w:tr w14:paraId="4AC5721A">
        <w:trPr>
          <w:cantSplit/>
        </w:trPr>
        <w:tc>
          <w:tcPr>
            <w:tcW w:w="978" w:type="dxa"/>
            <w:tcBorders>
              <w:left w:val="single" w:color="231F20" w:sz="4" w:space="0"/>
              <w:bottom w:val="single" w:color="231F20" w:sz="4" w:space="0"/>
            </w:tcBorders>
            <w:vAlign w:val="center"/>
          </w:tcPr>
          <w:p w14:paraId="3211F9EC">
            <w:pPr>
              <w:pStyle w:val="11"/>
              <w:spacing w:line="360" w:lineRule="auto"/>
              <w:jc w:val="center"/>
            </w:pPr>
            <w:r>
              <w:rPr>
                <w:rFonts w:hint="eastAsia"/>
                <w:spacing w:val="11"/>
              </w:rPr>
              <w:t>较差</w:t>
            </w:r>
          </w:p>
        </w:tc>
        <w:tc>
          <w:tcPr>
            <w:tcW w:w="1315" w:type="dxa"/>
            <w:tcBorders>
              <w:bottom w:val="single" w:color="231F20" w:sz="4" w:space="0"/>
            </w:tcBorders>
            <w:vAlign w:val="center"/>
          </w:tcPr>
          <w:p w14:paraId="76AD9D96">
            <w:pPr>
              <w:pStyle w:val="11"/>
              <w:spacing w:line="360" w:lineRule="auto"/>
              <w:jc w:val="center"/>
            </w:pPr>
            <w:r>
              <w:rPr>
                <w:rFonts w:hint="eastAsia"/>
                <w:spacing w:val="17"/>
              </w:rPr>
              <w:t>不同技术数据</w:t>
            </w:r>
          </w:p>
        </w:tc>
        <w:tc>
          <w:tcPr>
            <w:tcW w:w="1142" w:type="dxa"/>
            <w:tcBorders>
              <w:bottom w:val="single" w:color="231F20" w:sz="4" w:space="0"/>
            </w:tcBorders>
            <w:vAlign w:val="center"/>
          </w:tcPr>
          <w:p w14:paraId="7D836EF0">
            <w:pPr>
              <w:spacing w:line="360" w:lineRule="auto"/>
              <w:jc w:val="center"/>
              <w:rPr>
                <w:rFonts w:ascii="宋体" w:hAnsi="宋体" w:eastAsia="宋体" w:cs="宋体"/>
                <w:sz w:val="16"/>
                <w:szCs w:val="16"/>
              </w:rPr>
            </w:pPr>
            <w:r>
              <w:rPr>
                <w:rFonts w:hint="eastAsia" w:ascii="宋体" w:hAnsi="宋体" w:eastAsia="宋体" w:cs="宋体"/>
                <w:spacing w:val="13"/>
                <w:sz w:val="16"/>
                <w:szCs w:val="16"/>
              </w:rPr>
              <w:t>5a~10a</w:t>
            </w:r>
          </w:p>
        </w:tc>
        <w:tc>
          <w:tcPr>
            <w:tcW w:w="1523" w:type="dxa"/>
            <w:tcBorders>
              <w:bottom w:val="single" w:color="231F20" w:sz="4" w:space="0"/>
            </w:tcBorders>
            <w:vAlign w:val="center"/>
          </w:tcPr>
          <w:p w14:paraId="3643D94F">
            <w:pPr>
              <w:pStyle w:val="11"/>
              <w:spacing w:line="360" w:lineRule="auto"/>
              <w:jc w:val="center"/>
            </w:pPr>
            <w:r>
              <w:rPr>
                <w:rFonts w:hint="eastAsia"/>
                <w:spacing w:val="15"/>
              </w:rPr>
              <w:t>不同地区</w:t>
            </w:r>
          </w:p>
        </w:tc>
        <w:tc>
          <w:tcPr>
            <w:tcW w:w="2158" w:type="dxa"/>
            <w:tcBorders>
              <w:bottom w:val="single" w:color="231F20" w:sz="4" w:space="0"/>
            </w:tcBorders>
            <w:vAlign w:val="center"/>
          </w:tcPr>
          <w:p w14:paraId="63F489BB">
            <w:pPr>
              <w:pStyle w:val="11"/>
              <w:spacing w:line="360" w:lineRule="auto"/>
              <w:jc w:val="center"/>
            </w:pPr>
            <w:r>
              <w:rPr>
                <w:rFonts w:hint="eastAsia"/>
                <w:spacing w:val="17"/>
              </w:rPr>
              <w:t>次级数据估算值</w:t>
            </w:r>
          </w:p>
        </w:tc>
        <w:tc>
          <w:tcPr>
            <w:tcW w:w="2071" w:type="dxa"/>
            <w:tcBorders>
              <w:bottom w:val="single" w:color="231F20" w:sz="4" w:space="0"/>
              <w:right w:val="single" w:color="231F20" w:sz="4" w:space="0"/>
            </w:tcBorders>
            <w:vAlign w:val="center"/>
          </w:tcPr>
          <w:p w14:paraId="3754C990">
            <w:pPr>
              <w:pStyle w:val="11"/>
              <w:spacing w:line="360" w:lineRule="auto"/>
              <w:jc w:val="center"/>
            </w:pPr>
            <w:r>
              <w:rPr>
                <w:rFonts w:hint="eastAsia"/>
                <w:spacing w:val="26"/>
              </w:rPr>
              <w:t>数据完整性≥50%</w:t>
            </w:r>
          </w:p>
        </w:tc>
      </w:tr>
    </w:tbl>
    <w:p w14:paraId="13B732A7">
      <w:pPr>
        <w:spacing w:line="274" w:lineRule="auto"/>
      </w:pPr>
    </w:p>
    <w:p w14:paraId="761EF706">
      <w:pPr>
        <w:pStyle w:val="2"/>
        <w:spacing w:before="240" w:beforeLines="100" w:after="240" w:afterLines="100"/>
        <w:outlineLvl w:val="0"/>
        <w:rPr>
          <w:sz w:val="20"/>
          <w:szCs w:val="20"/>
          <w:lang w:eastAsia="zh-CN"/>
        </w:rPr>
      </w:pPr>
      <w:bookmarkStart w:id="77" w:name="_Toc8435"/>
      <w:r>
        <w:rPr>
          <w:rFonts w:hint="eastAsia"/>
          <w:spacing w:val="7"/>
          <w:sz w:val="20"/>
          <w:szCs w:val="20"/>
          <w:lang w:eastAsia="zh-CN"/>
        </w:rPr>
        <w:t>7</w:t>
      </w:r>
      <w:r>
        <w:rPr>
          <w:spacing w:val="7"/>
          <w:sz w:val="20"/>
          <w:szCs w:val="20"/>
        </w:rPr>
        <w:t xml:space="preserve"> </w:t>
      </w:r>
      <w:r>
        <w:rPr>
          <w:rFonts w:hint="eastAsia"/>
          <w:spacing w:val="7"/>
          <w:sz w:val="20"/>
          <w:szCs w:val="20"/>
          <w:lang w:eastAsia="zh-CN"/>
        </w:rPr>
        <w:t>清单分析</w:t>
      </w:r>
      <w:bookmarkEnd w:id="77"/>
    </w:p>
    <w:p w14:paraId="1CF79087">
      <w:pPr>
        <w:pStyle w:val="2"/>
        <w:spacing w:before="62" w:line="255" w:lineRule="exact"/>
        <w:ind w:left="22"/>
        <w:outlineLvl w:val="1"/>
        <w:rPr>
          <w:sz w:val="19"/>
          <w:szCs w:val="19"/>
        </w:rPr>
      </w:pPr>
      <w:bookmarkStart w:id="78" w:name="bookmark27"/>
      <w:bookmarkEnd w:id="78"/>
      <w:bookmarkStart w:id="79" w:name="_Toc7770"/>
      <w:r>
        <w:rPr>
          <w:color w:val="231F20"/>
          <w:spacing w:val="9"/>
          <w:position w:val="1"/>
          <w:sz w:val="19"/>
          <w:szCs w:val="19"/>
        </w:rPr>
        <w:t>7.1</w:t>
      </w:r>
      <w:r>
        <w:rPr>
          <w:color w:val="231F20"/>
          <w:spacing w:val="8"/>
          <w:position w:val="1"/>
          <w:sz w:val="19"/>
          <w:szCs w:val="19"/>
        </w:rPr>
        <w:t xml:space="preserve"> </w:t>
      </w:r>
      <w:r>
        <w:rPr>
          <w:color w:val="231F20"/>
          <w:spacing w:val="9"/>
          <w:position w:val="1"/>
          <w:sz w:val="19"/>
          <w:szCs w:val="19"/>
        </w:rPr>
        <w:t>数据收集</w:t>
      </w:r>
      <w:bookmarkEnd w:id="79"/>
    </w:p>
    <w:p w14:paraId="60703B85">
      <w:pPr>
        <w:pStyle w:val="2"/>
        <w:spacing w:before="205" w:line="254" w:lineRule="exact"/>
        <w:ind w:left="22"/>
        <w:rPr>
          <w:sz w:val="19"/>
          <w:szCs w:val="19"/>
        </w:rPr>
      </w:pPr>
      <w:r>
        <w:rPr>
          <w:color w:val="231F20"/>
          <w:spacing w:val="9"/>
          <w:position w:val="1"/>
          <w:sz w:val="19"/>
          <w:szCs w:val="19"/>
        </w:rPr>
        <w:t>7.1.1 数据收集期</w:t>
      </w:r>
    </w:p>
    <w:p w14:paraId="4CA84B29">
      <w:pPr>
        <w:ind w:firstLine="432" w:firstLineChars="200"/>
        <w:rPr>
          <w:rFonts w:ascii="宋体" w:hAnsi="宋体" w:eastAsia="宋体" w:cs="宋体"/>
          <w:spacing w:val="8"/>
          <w:sz w:val="20"/>
          <w:szCs w:val="20"/>
          <w:lang w:eastAsia="zh-CN"/>
        </w:rPr>
      </w:pPr>
      <w:r>
        <w:rPr>
          <w:rFonts w:hint="eastAsia" w:ascii="宋体" w:hAnsi="宋体" w:eastAsia="宋体" w:cs="宋体"/>
          <w:spacing w:val="8"/>
          <w:sz w:val="20"/>
          <w:szCs w:val="20"/>
          <w:lang w:eastAsia="zh-CN"/>
        </w:rPr>
        <w:t>纯碱产品碳足迹量化数据宜以一个自然年为数据收集周期。其特点是年度数据符合组织常规的运营管理，涵盖生产波动的变化因素。</w:t>
      </w:r>
    </w:p>
    <w:p w14:paraId="6F5848AC">
      <w:pPr>
        <w:pStyle w:val="2"/>
        <w:spacing w:before="188" w:line="253" w:lineRule="exact"/>
        <w:ind w:left="22"/>
        <w:rPr>
          <w:sz w:val="19"/>
          <w:szCs w:val="19"/>
          <w:lang w:eastAsia="zh-CN"/>
        </w:rPr>
      </w:pPr>
      <w:r>
        <w:rPr>
          <w:color w:val="231F20"/>
          <w:spacing w:val="8"/>
          <w:position w:val="1"/>
          <w:sz w:val="19"/>
          <w:szCs w:val="19"/>
          <w:lang w:eastAsia="zh-CN"/>
        </w:rPr>
        <w:t>7.1.2</w:t>
      </w:r>
      <w:r>
        <w:rPr>
          <w:color w:val="231F20"/>
          <w:spacing w:val="9"/>
          <w:position w:val="1"/>
          <w:sz w:val="19"/>
          <w:szCs w:val="19"/>
          <w:lang w:eastAsia="zh-CN"/>
        </w:rPr>
        <w:t xml:space="preserve"> </w:t>
      </w:r>
      <w:r>
        <w:rPr>
          <w:color w:val="231F20"/>
          <w:spacing w:val="8"/>
          <w:position w:val="1"/>
          <w:sz w:val="19"/>
          <w:szCs w:val="19"/>
          <w:lang w:eastAsia="zh-CN"/>
        </w:rPr>
        <w:t>收集步骤</w:t>
      </w:r>
    </w:p>
    <w:p w14:paraId="28E8D417">
      <w:pPr>
        <w:ind w:firstLine="432" w:firstLineChars="200"/>
        <w:jc w:val="both"/>
        <w:rPr>
          <w:rFonts w:ascii="宋体" w:hAnsi="宋体" w:eastAsia="宋体" w:cs="宋体"/>
          <w:spacing w:val="8"/>
          <w:sz w:val="20"/>
          <w:szCs w:val="20"/>
          <w:lang w:eastAsia="zh-CN"/>
        </w:rPr>
      </w:pPr>
      <w:r>
        <w:rPr>
          <w:rFonts w:hint="eastAsia" w:ascii="宋体" w:hAnsi="宋体" w:eastAsia="宋体" w:cs="宋体"/>
          <w:spacing w:val="8"/>
          <w:sz w:val="20"/>
          <w:szCs w:val="20"/>
          <w:lang w:eastAsia="zh-CN"/>
        </w:rPr>
        <w:t>对于系统边界内的所有单元过程，应收集纳入生命周期清单中的定性资料和定量数据。数据收集和数据质量评估步骤如下：</w:t>
      </w:r>
    </w:p>
    <w:p w14:paraId="071D3586">
      <w:pPr>
        <w:ind w:firstLine="432" w:firstLineChars="200"/>
        <w:jc w:val="both"/>
        <w:rPr>
          <w:rFonts w:ascii="宋体" w:hAnsi="宋体" w:eastAsia="宋体" w:cs="宋体"/>
          <w:spacing w:val="8"/>
          <w:sz w:val="20"/>
          <w:szCs w:val="20"/>
          <w:lang w:eastAsia="zh-CN"/>
        </w:rPr>
      </w:pPr>
      <w:r>
        <w:rPr>
          <w:rFonts w:hint="eastAsia" w:ascii="宋体" w:hAnsi="宋体" w:eastAsia="宋体" w:cs="宋体"/>
          <w:spacing w:val="8"/>
          <w:sz w:val="20"/>
          <w:szCs w:val="20"/>
          <w:lang w:eastAsia="zh-CN"/>
        </w:rPr>
        <w:t>a）根据产品系统边界，获取工艺流程图，识别温室气体排放源，确定数据需求范围；</w:t>
      </w:r>
    </w:p>
    <w:p w14:paraId="069B0DE1">
      <w:pPr>
        <w:ind w:firstLine="432" w:firstLineChars="200"/>
        <w:jc w:val="both"/>
        <w:rPr>
          <w:rFonts w:ascii="宋体" w:hAnsi="宋体" w:eastAsia="宋体" w:cs="宋体"/>
          <w:spacing w:val="8"/>
          <w:sz w:val="20"/>
          <w:szCs w:val="20"/>
          <w:lang w:eastAsia="zh-CN"/>
        </w:rPr>
      </w:pPr>
      <w:r>
        <w:rPr>
          <w:rFonts w:hint="eastAsia" w:ascii="宋体" w:hAnsi="宋体" w:eastAsia="宋体" w:cs="宋体"/>
          <w:spacing w:val="8"/>
          <w:sz w:val="20"/>
          <w:szCs w:val="20"/>
          <w:lang w:eastAsia="zh-CN"/>
        </w:rPr>
        <w:t>b）根据数据需求编制单元过程输入、输出数据列表，示例见附录C；</w:t>
      </w:r>
    </w:p>
    <w:p w14:paraId="05702D0F">
      <w:pPr>
        <w:ind w:firstLine="432" w:firstLineChars="200"/>
        <w:jc w:val="both"/>
        <w:rPr>
          <w:rFonts w:ascii="宋体" w:hAnsi="宋体" w:eastAsia="宋体" w:cs="宋体"/>
          <w:spacing w:val="8"/>
          <w:sz w:val="20"/>
          <w:szCs w:val="20"/>
          <w:lang w:eastAsia="zh-CN"/>
        </w:rPr>
      </w:pPr>
      <w:r>
        <w:rPr>
          <w:rFonts w:hint="eastAsia" w:ascii="宋体" w:hAnsi="宋体" w:eastAsia="宋体" w:cs="宋体"/>
          <w:spacing w:val="8"/>
          <w:sz w:val="20"/>
          <w:szCs w:val="20"/>
          <w:lang w:eastAsia="zh-CN"/>
        </w:rPr>
        <w:t>c）根据数据列表收集初级数据和次级数据。数据收集应详细记录各项数据的计算方法、数据来源和原始凭证，保持其可追溯；</w:t>
      </w:r>
    </w:p>
    <w:p w14:paraId="3B7D5464">
      <w:pPr>
        <w:ind w:firstLine="432" w:firstLineChars="200"/>
        <w:jc w:val="both"/>
        <w:rPr>
          <w:rFonts w:ascii="宋体" w:hAnsi="宋体" w:eastAsia="宋体" w:cs="宋体"/>
          <w:spacing w:val="8"/>
          <w:sz w:val="20"/>
          <w:szCs w:val="20"/>
          <w:lang w:eastAsia="zh-CN"/>
        </w:rPr>
      </w:pPr>
      <w:r>
        <w:rPr>
          <w:rFonts w:hint="eastAsia" w:ascii="宋体" w:hAnsi="宋体" w:eastAsia="宋体" w:cs="宋体"/>
          <w:spacing w:val="8"/>
          <w:sz w:val="20"/>
          <w:szCs w:val="20"/>
          <w:lang w:eastAsia="zh-CN"/>
        </w:rPr>
        <w:t>d）评估收集的活动数据和排放因子。对研究结论有显著影响的数据，应说明相关数据的收集过程、收集时间以及数据质量的详细信息；对计量数据，相关计量器具应符合GB17167和</w:t>
      </w:r>
      <w:bookmarkStart w:id="80" w:name="bookmark56"/>
      <w:bookmarkEnd w:id="80"/>
      <w:r>
        <w:rPr>
          <w:rFonts w:hint="eastAsia" w:ascii="宋体" w:hAnsi="宋体" w:eastAsia="宋体" w:cs="宋体"/>
          <w:spacing w:val="8"/>
          <w:sz w:val="20"/>
          <w:szCs w:val="20"/>
          <w:lang w:eastAsia="zh-CN"/>
        </w:rPr>
        <w:t>GB/T20902的规定；</w:t>
      </w:r>
    </w:p>
    <w:p w14:paraId="521B6628">
      <w:pPr>
        <w:ind w:firstLine="432" w:firstLineChars="200"/>
        <w:jc w:val="both"/>
        <w:rPr>
          <w:rFonts w:ascii="宋体" w:hAnsi="宋体" w:eastAsia="宋体" w:cs="宋体"/>
          <w:spacing w:val="8"/>
          <w:sz w:val="20"/>
          <w:szCs w:val="20"/>
          <w:lang w:eastAsia="zh-CN"/>
        </w:rPr>
      </w:pPr>
      <w:r>
        <w:rPr>
          <w:rFonts w:hint="eastAsia" w:ascii="宋体" w:hAnsi="宋体" w:eastAsia="宋体" w:cs="宋体"/>
          <w:spacing w:val="8"/>
          <w:sz w:val="20"/>
          <w:szCs w:val="20"/>
          <w:lang w:eastAsia="zh-CN"/>
        </w:rPr>
        <w:t>e）审查数据收集过程中出现的特殊情况、异常点和其他问题，识别可能产生的数据误差风险。</w:t>
      </w:r>
    </w:p>
    <w:p w14:paraId="002AE09B">
      <w:pPr>
        <w:pStyle w:val="2"/>
        <w:spacing w:before="175" w:line="253" w:lineRule="exact"/>
        <w:rPr>
          <w:sz w:val="19"/>
          <w:szCs w:val="19"/>
          <w:lang w:eastAsia="zh-CN"/>
        </w:rPr>
      </w:pPr>
      <w:r>
        <w:rPr>
          <w:color w:val="231F20"/>
          <w:spacing w:val="10"/>
          <w:position w:val="1"/>
          <w:sz w:val="19"/>
          <w:szCs w:val="19"/>
          <w:lang w:eastAsia="zh-CN"/>
        </w:rPr>
        <w:t>7.1.3</w:t>
      </w:r>
      <w:r>
        <w:rPr>
          <w:color w:val="231F20"/>
          <w:spacing w:val="9"/>
          <w:position w:val="1"/>
          <w:sz w:val="19"/>
          <w:szCs w:val="19"/>
          <w:lang w:eastAsia="zh-CN"/>
        </w:rPr>
        <w:t xml:space="preserve"> </w:t>
      </w:r>
      <w:r>
        <w:rPr>
          <w:color w:val="231F20"/>
          <w:spacing w:val="10"/>
          <w:position w:val="1"/>
          <w:sz w:val="19"/>
          <w:szCs w:val="19"/>
          <w:lang w:eastAsia="zh-CN"/>
        </w:rPr>
        <w:t>初级数据收集</w:t>
      </w:r>
    </w:p>
    <w:p w14:paraId="07F74625">
      <w:pPr>
        <w:pStyle w:val="2"/>
        <w:spacing w:before="206" w:line="253" w:lineRule="exact"/>
        <w:rPr>
          <w:sz w:val="19"/>
          <w:szCs w:val="19"/>
          <w:lang w:eastAsia="zh-CN"/>
        </w:rPr>
      </w:pPr>
      <w:r>
        <w:fldChar w:fldCharType="begin"/>
      </w:r>
      <w:r>
        <w:instrText xml:space="preserve"> HYPERLINK "7.1.3.1" </w:instrText>
      </w:r>
      <w:r>
        <w:fldChar w:fldCharType="separate"/>
      </w:r>
      <w:r>
        <w:rPr>
          <w:color w:val="231F20"/>
          <w:spacing w:val="11"/>
          <w:position w:val="1"/>
          <w:sz w:val="19"/>
          <w:szCs w:val="19"/>
          <w:lang w:eastAsia="zh-CN"/>
        </w:rPr>
        <w:t>7.1.3.1</w:t>
      </w:r>
      <w:r>
        <w:rPr>
          <w:color w:val="231F20"/>
          <w:spacing w:val="11"/>
          <w:position w:val="1"/>
          <w:sz w:val="19"/>
          <w:szCs w:val="19"/>
          <w:lang w:eastAsia="zh-CN"/>
        </w:rPr>
        <w:fldChar w:fldCharType="end"/>
      </w:r>
      <w:r>
        <w:rPr>
          <w:color w:val="231F20"/>
          <w:spacing w:val="11"/>
          <w:position w:val="1"/>
          <w:sz w:val="19"/>
          <w:szCs w:val="19"/>
          <w:lang w:eastAsia="zh-CN"/>
        </w:rPr>
        <w:t xml:space="preserve"> </w:t>
      </w:r>
      <w:r>
        <w:rPr>
          <w:rFonts w:hint="eastAsia"/>
          <w:color w:val="231F20"/>
          <w:spacing w:val="11"/>
          <w:position w:val="1"/>
          <w:sz w:val="19"/>
          <w:szCs w:val="19"/>
          <w:lang w:eastAsia="zh-CN"/>
        </w:rPr>
        <w:t>原材料获取和预加工阶段</w:t>
      </w:r>
    </w:p>
    <w:p w14:paraId="344AB6E3">
      <w:pPr>
        <w:pStyle w:val="2"/>
        <w:spacing w:before="206" w:line="253" w:lineRule="exact"/>
        <w:rPr>
          <w:sz w:val="19"/>
          <w:szCs w:val="19"/>
          <w:lang w:eastAsia="zh-CN"/>
        </w:rPr>
      </w:pPr>
      <w:r>
        <w:rPr>
          <w:color w:val="231F20"/>
          <w:spacing w:val="10"/>
          <w:position w:val="1"/>
          <w:sz w:val="19"/>
          <w:szCs w:val="19"/>
          <w:lang w:eastAsia="zh-CN"/>
        </w:rPr>
        <w:t>7.1.3.</w:t>
      </w:r>
      <w:r>
        <w:rPr>
          <w:rFonts w:hint="eastAsia"/>
          <w:color w:val="231F20"/>
          <w:spacing w:val="10"/>
          <w:position w:val="1"/>
          <w:sz w:val="19"/>
          <w:szCs w:val="19"/>
          <w:lang w:eastAsia="zh-CN"/>
        </w:rPr>
        <w:t>1</w:t>
      </w:r>
      <w:r>
        <w:rPr>
          <w:color w:val="231F20"/>
          <w:spacing w:val="10"/>
          <w:position w:val="1"/>
          <w:sz w:val="19"/>
          <w:szCs w:val="19"/>
          <w:lang w:eastAsia="zh-CN"/>
        </w:rPr>
        <w:t>.1</w:t>
      </w:r>
      <w:r>
        <w:rPr>
          <w:rFonts w:hint="eastAsia"/>
          <w:color w:val="231F20"/>
          <w:spacing w:val="8"/>
          <w:position w:val="1"/>
          <w:sz w:val="19"/>
          <w:szCs w:val="19"/>
          <w:lang w:eastAsia="zh-CN"/>
        </w:rPr>
        <w:t xml:space="preserve"> 氨碱法</w:t>
      </w:r>
      <w:r>
        <w:rPr>
          <w:rFonts w:hint="eastAsia"/>
          <w:color w:val="231F20"/>
          <w:spacing w:val="10"/>
          <w:position w:val="1"/>
          <w:sz w:val="19"/>
          <w:szCs w:val="19"/>
          <w:lang w:eastAsia="zh-CN"/>
        </w:rPr>
        <w:t>原材料获取和预加工阶段</w:t>
      </w:r>
    </w:p>
    <w:p w14:paraId="3156E238">
      <w:pPr>
        <w:ind w:firstLine="432" w:firstLineChars="200"/>
        <w:jc w:val="both"/>
        <w:rPr>
          <w:rFonts w:ascii="宋体" w:hAnsi="宋体" w:eastAsia="宋体" w:cs="宋体"/>
          <w:spacing w:val="8"/>
          <w:sz w:val="20"/>
          <w:szCs w:val="20"/>
          <w:lang w:eastAsia="zh-CN"/>
        </w:rPr>
      </w:pPr>
      <w:r>
        <w:rPr>
          <w:rFonts w:hint="eastAsia" w:ascii="宋体" w:hAnsi="宋体" w:eastAsia="宋体" w:cs="宋体"/>
          <w:spacing w:val="8"/>
          <w:sz w:val="20"/>
          <w:szCs w:val="20"/>
          <w:lang w:eastAsia="zh-CN"/>
        </w:rPr>
        <w:t>氨碱法原材料获取和预加工阶段应收集的初级数据包括：</w:t>
      </w:r>
    </w:p>
    <w:p w14:paraId="6D315F09">
      <w:pPr>
        <w:ind w:firstLine="432" w:firstLineChars="200"/>
        <w:jc w:val="both"/>
        <w:rPr>
          <w:rFonts w:ascii="宋体" w:hAnsi="宋体" w:eastAsia="宋体" w:cs="宋体"/>
          <w:spacing w:val="8"/>
          <w:sz w:val="20"/>
          <w:szCs w:val="20"/>
          <w:lang w:eastAsia="zh-CN"/>
        </w:rPr>
      </w:pPr>
      <w:r>
        <w:rPr>
          <w:rFonts w:hint="eastAsia" w:ascii="宋体" w:hAnsi="宋体" w:eastAsia="宋体" w:cs="宋体"/>
          <w:spacing w:val="8"/>
          <w:sz w:val="20"/>
          <w:szCs w:val="20"/>
          <w:lang w:eastAsia="zh-CN"/>
        </w:rPr>
        <w:t>原盐开采、消耗量；</w:t>
      </w:r>
    </w:p>
    <w:p w14:paraId="1A17D8EA">
      <w:pPr>
        <w:ind w:firstLine="432" w:firstLineChars="200"/>
        <w:jc w:val="both"/>
        <w:rPr>
          <w:rFonts w:ascii="宋体" w:hAnsi="宋体" w:eastAsia="宋体" w:cs="宋体"/>
          <w:spacing w:val="8"/>
          <w:sz w:val="20"/>
          <w:szCs w:val="20"/>
          <w:lang w:eastAsia="zh-CN"/>
        </w:rPr>
      </w:pPr>
      <w:r>
        <w:rPr>
          <w:rFonts w:hint="eastAsia" w:ascii="宋体" w:hAnsi="宋体" w:eastAsia="宋体" w:cs="宋体"/>
          <w:spacing w:val="8"/>
          <w:sz w:val="20"/>
          <w:szCs w:val="20"/>
          <w:lang w:eastAsia="zh-CN"/>
        </w:rPr>
        <w:t>水消耗量；</w:t>
      </w:r>
    </w:p>
    <w:p w14:paraId="1FE955D0">
      <w:pPr>
        <w:ind w:firstLine="432" w:firstLineChars="200"/>
        <w:jc w:val="both"/>
        <w:rPr>
          <w:rFonts w:ascii="宋体" w:hAnsi="宋体" w:eastAsia="宋体" w:cs="宋体"/>
          <w:spacing w:val="8"/>
          <w:sz w:val="20"/>
          <w:szCs w:val="20"/>
          <w:lang w:eastAsia="zh-CN"/>
        </w:rPr>
      </w:pPr>
      <w:r>
        <w:rPr>
          <w:rFonts w:hint="eastAsia" w:ascii="宋体" w:hAnsi="宋体" w:eastAsia="宋体" w:cs="宋体"/>
          <w:spacing w:val="8"/>
          <w:sz w:val="20"/>
          <w:szCs w:val="20"/>
          <w:lang w:eastAsia="zh-CN"/>
        </w:rPr>
        <w:t>石灰石开采、消耗量；</w:t>
      </w:r>
    </w:p>
    <w:p w14:paraId="558DC701">
      <w:pPr>
        <w:ind w:firstLine="432" w:firstLineChars="200"/>
        <w:jc w:val="both"/>
        <w:rPr>
          <w:rFonts w:ascii="宋体" w:hAnsi="宋体" w:eastAsia="宋体" w:cs="宋体"/>
          <w:spacing w:val="8"/>
          <w:sz w:val="20"/>
          <w:szCs w:val="20"/>
          <w:lang w:eastAsia="zh-CN"/>
        </w:rPr>
      </w:pPr>
      <w:r>
        <w:rPr>
          <w:rFonts w:hint="eastAsia" w:ascii="宋体" w:hAnsi="宋体" w:eastAsia="宋体" w:cs="宋体"/>
          <w:spacing w:val="8"/>
          <w:sz w:val="20"/>
          <w:szCs w:val="20"/>
          <w:lang w:eastAsia="zh-CN"/>
        </w:rPr>
        <w:t>煤炭消耗量；</w:t>
      </w:r>
    </w:p>
    <w:p w14:paraId="3B186547">
      <w:pPr>
        <w:ind w:firstLine="432" w:firstLineChars="200"/>
        <w:jc w:val="both"/>
        <w:rPr>
          <w:rFonts w:ascii="宋体" w:hAnsi="宋体" w:eastAsia="宋体" w:cs="宋体"/>
          <w:spacing w:val="8"/>
          <w:sz w:val="20"/>
          <w:szCs w:val="20"/>
          <w:lang w:eastAsia="zh-CN"/>
        </w:rPr>
      </w:pPr>
      <w:r>
        <w:rPr>
          <w:rFonts w:hint="eastAsia" w:ascii="宋体" w:hAnsi="宋体" w:eastAsia="宋体" w:cs="宋体"/>
          <w:spacing w:val="8"/>
          <w:sz w:val="20"/>
          <w:szCs w:val="20"/>
          <w:lang w:eastAsia="zh-CN"/>
        </w:rPr>
        <w:t>焦炭消耗量；</w:t>
      </w:r>
    </w:p>
    <w:p w14:paraId="31F22E8F">
      <w:pPr>
        <w:ind w:firstLine="432" w:firstLineChars="200"/>
        <w:jc w:val="both"/>
        <w:rPr>
          <w:rFonts w:ascii="宋体" w:hAnsi="宋体" w:eastAsia="宋体" w:cs="宋体"/>
          <w:spacing w:val="8"/>
          <w:sz w:val="20"/>
          <w:szCs w:val="20"/>
          <w:lang w:eastAsia="zh-CN"/>
        </w:rPr>
      </w:pPr>
      <w:r>
        <w:rPr>
          <w:rFonts w:hint="eastAsia" w:ascii="宋体" w:hAnsi="宋体" w:eastAsia="宋体" w:cs="宋体"/>
          <w:spacing w:val="8"/>
          <w:sz w:val="20"/>
          <w:szCs w:val="20"/>
          <w:lang w:eastAsia="zh-CN"/>
        </w:rPr>
        <w:t>氨消耗量；</w:t>
      </w:r>
    </w:p>
    <w:p w14:paraId="32F0EEA7">
      <w:pPr>
        <w:ind w:firstLine="432" w:firstLineChars="200"/>
        <w:jc w:val="both"/>
        <w:rPr>
          <w:rFonts w:ascii="宋体" w:hAnsi="宋体" w:eastAsia="宋体" w:cs="宋体"/>
          <w:spacing w:val="8"/>
          <w:sz w:val="20"/>
          <w:szCs w:val="20"/>
          <w:lang w:eastAsia="zh-CN"/>
        </w:rPr>
      </w:pPr>
      <w:r>
        <w:rPr>
          <w:rFonts w:hint="eastAsia" w:ascii="宋体" w:hAnsi="宋体" w:eastAsia="宋体" w:cs="宋体"/>
          <w:spacing w:val="8"/>
          <w:sz w:val="20"/>
          <w:szCs w:val="20"/>
          <w:lang w:eastAsia="zh-CN"/>
        </w:rPr>
        <w:t>燃料及电（热）力等能源消耗量；</w:t>
      </w:r>
    </w:p>
    <w:p w14:paraId="60005A2D">
      <w:pPr>
        <w:ind w:firstLine="432" w:firstLineChars="200"/>
        <w:jc w:val="both"/>
        <w:rPr>
          <w:rFonts w:ascii="宋体" w:hAnsi="宋体" w:eastAsia="宋体" w:cs="宋体"/>
          <w:spacing w:val="8"/>
          <w:sz w:val="20"/>
          <w:szCs w:val="20"/>
          <w:lang w:eastAsia="zh-CN"/>
        </w:rPr>
      </w:pPr>
      <w:r>
        <w:rPr>
          <w:rFonts w:hint="eastAsia" w:ascii="宋体" w:hAnsi="宋体" w:eastAsia="宋体" w:cs="宋体"/>
          <w:spacing w:val="8"/>
          <w:sz w:val="20"/>
          <w:szCs w:val="20"/>
          <w:lang w:eastAsia="zh-CN"/>
        </w:rPr>
        <w:t>原料、辅助材料和能源的运输工具及其核定载重量、运输重量、运输距离。</w:t>
      </w:r>
    </w:p>
    <w:p w14:paraId="08906491">
      <w:pPr>
        <w:pStyle w:val="2"/>
        <w:spacing w:before="206" w:line="253" w:lineRule="exact"/>
        <w:rPr>
          <w:sz w:val="19"/>
          <w:szCs w:val="19"/>
          <w:lang w:eastAsia="zh-CN"/>
        </w:rPr>
      </w:pPr>
      <w:r>
        <w:rPr>
          <w:color w:val="231F20"/>
          <w:spacing w:val="10"/>
          <w:position w:val="1"/>
          <w:sz w:val="19"/>
          <w:szCs w:val="19"/>
          <w:lang w:eastAsia="zh-CN"/>
        </w:rPr>
        <w:t>7.1.3.</w:t>
      </w:r>
      <w:r>
        <w:rPr>
          <w:rFonts w:hint="eastAsia"/>
          <w:color w:val="231F20"/>
          <w:spacing w:val="10"/>
          <w:position w:val="1"/>
          <w:sz w:val="19"/>
          <w:szCs w:val="19"/>
          <w:lang w:eastAsia="zh-CN"/>
        </w:rPr>
        <w:t>1</w:t>
      </w:r>
      <w:r>
        <w:rPr>
          <w:color w:val="231F20"/>
          <w:spacing w:val="10"/>
          <w:position w:val="1"/>
          <w:sz w:val="19"/>
          <w:szCs w:val="19"/>
          <w:lang w:eastAsia="zh-CN"/>
        </w:rPr>
        <w:t>.</w:t>
      </w:r>
      <w:r>
        <w:rPr>
          <w:rFonts w:hint="eastAsia"/>
          <w:color w:val="231F20"/>
          <w:spacing w:val="10"/>
          <w:position w:val="1"/>
          <w:sz w:val="19"/>
          <w:szCs w:val="19"/>
          <w:lang w:eastAsia="zh-CN"/>
        </w:rPr>
        <w:t>2</w:t>
      </w:r>
      <w:r>
        <w:rPr>
          <w:rFonts w:hint="eastAsia"/>
          <w:color w:val="231F20"/>
          <w:spacing w:val="8"/>
          <w:position w:val="1"/>
          <w:sz w:val="19"/>
          <w:szCs w:val="19"/>
          <w:lang w:eastAsia="zh-CN"/>
        </w:rPr>
        <w:t xml:space="preserve"> 联碱法</w:t>
      </w:r>
      <w:r>
        <w:rPr>
          <w:rFonts w:hint="eastAsia"/>
          <w:color w:val="231F20"/>
          <w:spacing w:val="10"/>
          <w:position w:val="1"/>
          <w:sz w:val="19"/>
          <w:szCs w:val="19"/>
          <w:lang w:eastAsia="zh-CN"/>
        </w:rPr>
        <w:t>原材料获取和预加工阶段</w:t>
      </w:r>
    </w:p>
    <w:p w14:paraId="266EB797">
      <w:pPr>
        <w:ind w:firstLine="432" w:firstLineChars="200"/>
        <w:jc w:val="both"/>
        <w:rPr>
          <w:rFonts w:ascii="宋体" w:hAnsi="宋体" w:eastAsia="宋体" w:cs="宋体"/>
          <w:spacing w:val="8"/>
          <w:sz w:val="20"/>
          <w:szCs w:val="20"/>
          <w:lang w:eastAsia="zh-CN"/>
        </w:rPr>
      </w:pPr>
      <w:r>
        <w:rPr>
          <w:rFonts w:hint="eastAsia" w:ascii="宋体" w:hAnsi="宋体" w:eastAsia="宋体" w:cs="宋体"/>
          <w:spacing w:val="8"/>
          <w:sz w:val="20"/>
          <w:szCs w:val="20"/>
          <w:lang w:eastAsia="zh-CN"/>
        </w:rPr>
        <w:t>联碱法原材料获取和预加工阶段应收集的初级数据包括：</w:t>
      </w:r>
    </w:p>
    <w:p w14:paraId="0085D614">
      <w:pPr>
        <w:ind w:firstLine="432" w:firstLineChars="200"/>
        <w:jc w:val="both"/>
        <w:rPr>
          <w:rFonts w:ascii="宋体" w:hAnsi="宋体" w:eastAsia="宋体" w:cs="宋体"/>
          <w:spacing w:val="8"/>
          <w:sz w:val="20"/>
          <w:szCs w:val="20"/>
          <w:lang w:eastAsia="zh-CN"/>
        </w:rPr>
      </w:pPr>
      <w:r>
        <w:rPr>
          <w:rFonts w:hint="eastAsia" w:ascii="宋体" w:hAnsi="宋体" w:eastAsia="宋体" w:cs="宋体"/>
          <w:spacing w:val="8"/>
          <w:sz w:val="20"/>
          <w:szCs w:val="20"/>
          <w:lang w:eastAsia="zh-CN"/>
        </w:rPr>
        <w:t>工业盐消耗量；</w:t>
      </w:r>
    </w:p>
    <w:p w14:paraId="297275EA">
      <w:pPr>
        <w:ind w:firstLine="432" w:firstLineChars="200"/>
        <w:jc w:val="both"/>
        <w:rPr>
          <w:rFonts w:ascii="宋体" w:hAnsi="宋体" w:eastAsia="宋体" w:cs="宋体"/>
          <w:spacing w:val="8"/>
          <w:sz w:val="20"/>
          <w:szCs w:val="20"/>
          <w:lang w:eastAsia="zh-CN"/>
        </w:rPr>
      </w:pPr>
      <w:r>
        <w:rPr>
          <w:rFonts w:hint="eastAsia" w:ascii="宋体" w:hAnsi="宋体" w:eastAsia="宋体" w:cs="宋体"/>
          <w:spacing w:val="8"/>
          <w:sz w:val="20"/>
          <w:szCs w:val="20"/>
          <w:lang w:eastAsia="zh-CN"/>
        </w:rPr>
        <w:t>水消耗量；</w:t>
      </w:r>
    </w:p>
    <w:p w14:paraId="272251C6">
      <w:pPr>
        <w:ind w:firstLine="432" w:firstLineChars="200"/>
        <w:jc w:val="both"/>
        <w:rPr>
          <w:rFonts w:ascii="宋体" w:hAnsi="宋体" w:eastAsia="宋体" w:cs="宋体"/>
          <w:spacing w:val="8"/>
          <w:sz w:val="20"/>
          <w:szCs w:val="20"/>
          <w:lang w:eastAsia="zh-CN"/>
        </w:rPr>
      </w:pPr>
      <w:r>
        <w:rPr>
          <w:rFonts w:hint="eastAsia" w:ascii="宋体" w:hAnsi="宋体" w:eastAsia="宋体" w:cs="宋体"/>
          <w:spacing w:val="8"/>
          <w:sz w:val="20"/>
          <w:szCs w:val="20"/>
          <w:lang w:eastAsia="zh-CN"/>
        </w:rPr>
        <w:t>石灰石消耗量</w:t>
      </w:r>
    </w:p>
    <w:p w14:paraId="6AA7EE02">
      <w:pPr>
        <w:ind w:firstLine="432" w:firstLineChars="200"/>
        <w:jc w:val="both"/>
        <w:rPr>
          <w:rFonts w:ascii="宋体" w:hAnsi="宋体" w:eastAsia="宋体" w:cs="宋体"/>
          <w:spacing w:val="8"/>
          <w:sz w:val="20"/>
          <w:szCs w:val="20"/>
          <w:lang w:eastAsia="zh-CN"/>
        </w:rPr>
      </w:pPr>
      <w:r>
        <w:rPr>
          <w:rFonts w:hint="eastAsia" w:ascii="宋体" w:hAnsi="宋体" w:eastAsia="宋体" w:cs="宋体"/>
          <w:spacing w:val="8"/>
          <w:sz w:val="20"/>
          <w:szCs w:val="20"/>
          <w:lang w:eastAsia="zh-CN"/>
        </w:rPr>
        <w:t>氨消耗量；</w:t>
      </w:r>
    </w:p>
    <w:p w14:paraId="4762B973">
      <w:pPr>
        <w:ind w:firstLine="432" w:firstLineChars="200"/>
        <w:jc w:val="both"/>
        <w:rPr>
          <w:rFonts w:ascii="宋体" w:hAnsi="宋体" w:eastAsia="宋体" w:cs="宋体"/>
          <w:spacing w:val="8"/>
          <w:sz w:val="20"/>
          <w:szCs w:val="20"/>
          <w:lang w:eastAsia="zh-CN"/>
        </w:rPr>
      </w:pPr>
      <w:r>
        <w:rPr>
          <w:rFonts w:hint="eastAsia" w:ascii="宋体" w:hAnsi="宋体" w:eastAsia="宋体" w:cs="宋体"/>
          <w:spacing w:val="8"/>
          <w:sz w:val="20"/>
          <w:szCs w:val="20"/>
          <w:lang w:eastAsia="zh-CN"/>
        </w:rPr>
        <w:t>燃料及电（热）力等能源消耗量；</w:t>
      </w:r>
    </w:p>
    <w:p w14:paraId="31715688">
      <w:pPr>
        <w:ind w:firstLine="432" w:firstLineChars="200"/>
        <w:jc w:val="both"/>
        <w:rPr>
          <w:rFonts w:ascii="宋体" w:hAnsi="宋体" w:eastAsia="宋体" w:cs="宋体"/>
          <w:spacing w:val="8"/>
          <w:sz w:val="20"/>
          <w:szCs w:val="20"/>
          <w:lang w:eastAsia="zh-CN"/>
        </w:rPr>
      </w:pPr>
      <w:r>
        <w:rPr>
          <w:rFonts w:hint="eastAsia" w:ascii="宋体" w:hAnsi="宋体" w:eastAsia="宋体" w:cs="宋体"/>
          <w:spacing w:val="8"/>
          <w:sz w:val="20"/>
          <w:szCs w:val="20"/>
          <w:lang w:eastAsia="zh-CN"/>
        </w:rPr>
        <w:t>原料、辅助材料和能源的运输工具及其核定载重量、运输重量、运输距离。</w:t>
      </w:r>
    </w:p>
    <w:p w14:paraId="64116C81">
      <w:pPr>
        <w:pStyle w:val="2"/>
        <w:spacing w:before="206" w:line="253" w:lineRule="exact"/>
        <w:rPr>
          <w:sz w:val="19"/>
          <w:szCs w:val="19"/>
          <w:lang w:eastAsia="zh-CN"/>
        </w:rPr>
      </w:pPr>
      <w:r>
        <w:rPr>
          <w:color w:val="231F20"/>
          <w:spacing w:val="10"/>
          <w:position w:val="1"/>
          <w:sz w:val="19"/>
          <w:szCs w:val="19"/>
          <w:lang w:eastAsia="zh-CN"/>
        </w:rPr>
        <w:t>7.1.3.</w:t>
      </w:r>
      <w:r>
        <w:rPr>
          <w:rFonts w:hint="eastAsia"/>
          <w:color w:val="231F20"/>
          <w:spacing w:val="10"/>
          <w:position w:val="1"/>
          <w:sz w:val="19"/>
          <w:szCs w:val="19"/>
          <w:lang w:eastAsia="zh-CN"/>
        </w:rPr>
        <w:t>1</w:t>
      </w:r>
      <w:r>
        <w:rPr>
          <w:color w:val="231F20"/>
          <w:spacing w:val="10"/>
          <w:position w:val="1"/>
          <w:sz w:val="19"/>
          <w:szCs w:val="19"/>
          <w:lang w:eastAsia="zh-CN"/>
        </w:rPr>
        <w:t>.</w:t>
      </w:r>
      <w:r>
        <w:rPr>
          <w:rFonts w:hint="eastAsia"/>
          <w:color w:val="231F20"/>
          <w:spacing w:val="10"/>
          <w:position w:val="1"/>
          <w:sz w:val="19"/>
          <w:szCs w:val="19"/>
          <w:lang w:eastAsia="zh-CN"/>
        </w:rPr>
        <w:t>3</w:t>
      </w:r>
      <w:r>
        <w:rPr>
          <w:rFonts w:hint="eastAsia"/>
          <w:color w:val="231F20"/>
          <w:spacing w:val="8"/>
          <w:position w:val="1"/>
          <w:sz w:val="19"/>
          <w:szCs w:val="19"/>
          <w:lang w:eastAsia="zh-CN"/>
        </w:rPr>
        <w:t xml:space="preserve"> 自然碱法</w:t>
      </w:r>
      <w:r>
        <w:rPr>
          <w:rFonts w:hint="eastAsia"/>
          <w:color w:val="231F20"/>
          <w:spacing w:val="10"/>
          <w:position w:val="1"/>
          <w:sz w:val="19"/>
          <w:szCs w:val="19"/>
          <w:lang w:eastAsia="zh-CN"/>
        </w:rPr>
        <w:t>原材料获取和预加工阶段</w:t>
      </w:r>
    </w:p>
    <w:p w14:paraId="0B7C8D8C">
      <w:pPr>
        <w:ind w:firstLine="432" w:firstLineChars="200"/>
        <w:jc w:val="both"/>
        <w:rPr>
          <w:rFonts w:ascii="宋体" w:hAnsi="宋体" w:eastAsia="宋体" w:cs="宋体"/>
          <w:spacing w:val="8"/>
          <w:sz w:val="20"/>
          <w:szCs w:val="20"/>
          <w:lang w:eastAsia="zh-CN"/>
        </w:rPr>
      </w:pPr>
      <w:r>
        <w:rPr>
          <w:rFonts w:hint="eastAsia" w:ascii="宋体" w:hAnsi="宋体" w:eastAsia="宋体" w:cs="宋体"/>
          <w:spacing w:val="8"/>
          <w:sz w:val="20"/>
          <w:szCs w:val="20"/>
          <w:lang w:eastAsia="zh-CN"/>
        </w:rPr>
        <w:t>自然碱法原材料获取和预加工阶段应收集的初级数据包括：</w:t>
      </w:r>
    </w:p>
    <w:p w14:paraId="444EF0ED">
      <w:pPr>
        <w:ind w:firstLine="432" w:firstLineChars="200"/>
        <w:jc w:val="both"/>
        <w:rPr>
          <w:rFonts w:ascii="宋体" w:hAnsi="宋体" w:eastAsia="宋体" w:cs="宋体"/>
          <w:spacing w:val="8"/>
          <w:sz w:val="20"/>
          <w:szCs w:val="20"/>
          <w:lang w:eastAsia="zh-CN"/>
        </w:rPr>
      </w:pPr>
      <w:r>
        <w:rPr>
          <w:rFonts w:hint="eastAsia" w:ascii="宋体" w:hAnsi="宋体" w:eastAsia="宋体" w:cs="宋体"/>
          <w:spacing w:val="8"/>
          <w:sz w:val="20"/>
          <w:szCs w:val="20"/>
          <w:lang w:eastAsia="zh-CN"/>
        </w:rPr>
        <w:t>天然碱开采、消耗量；</w:t>
      </w:r>
    </w:p>
    <w:p w14:paraId="237D8F5D">
      <w:pPr>
        <w:ind w:firstLine="432" w:firstLineChars="200"/>
        <w:jc w:val="both"/>
        <w:rPr>
          <w:rFonts w:ascii="宋体" w:hAnsi="宋体" w:eastAsia="宋体" w:cs="宋体"/>
          <w:spacing w:val="8"/>
          <w:sz w:val="20"/>
          <w:szCs w:val="20"/>
          <w:lang w:eastAsia="zh-CN"/>
        </w:rPr>
      </w:pPr>
      <w:r>
        <w:rPr>
          <w:rFonts w:hint="eastAsia" w:ascii="宋体" w:hAnsi="宋体" w:eastAsia="宋体" w:cs="宋体"/>
          <w:spacing w:val="8"/>
          <w:sz w:val="20"/>
          <w:szCs w:val="20"/>
          <w:lang w:eastAsia="zh-CN"/>
        </w:rPr>
        <w:t>石灰石开采、消耗量；</w:t>
      </w:r>
    </w:p>
    <w:p w14:paraId="22F19F67">
      <w:pPr>
        <w:ind w:firstLine="432" w:firstLineChars="200"/>
        <w:jc w:val="both"/>
        <w:rPr>
          <w:rFonts w:ascii="宋体" w:hAnsi="宋体" w:eastAsia="宋体" w:cs="宋体"/>
          <w:spacing w:val="8"/>
          <w:sz w:val="20"/>
          <w:szCs w:val="20"/>
          <w:lang w:eastAsia="zh-CN"/>
        </w:rPr>
      </w:pPr>
      <w:r>
        <w:rPr>
          <w:rFonts w:hint="eastAsia" w:ascii="宋体" w:hAnsi="宋体" w:eastAsia="宋体" w:cs="宋体"/>
          <w:spacing w:val="8"/>
          <w:sz w:val="20"/>
          <w:szCs w:val="20"/>
          <w:lang w:eastAsia="zh-CN"/>
        </w:rPr>
        <w:t>燃料及电（热）力等能源消耗量；</w:t>
      </w:r>
    </w:p>
    <w:p w14:paraId="2A7D0A3C">
      <w:pPr>
        <w:ind w:firstLine="432" w:firstLineChars="200"/>
        <w:jc w:val="both"/>
        <w:rPr>
          <w:rFonts w:ascii="宋体" w:hAnsi="宋体" w:eastAsia="宋体" w:cs="宋体"/>
          <w:spacing w:val="8"/>
          <w:sz w:val="20"/>
          <w:szCs w:val="20"/>
          <w:lang w:eastAsia="zh-CN"/>
        </w:rPr>
      </w:pPr>
      <w:r>
        <w:rPr>
          <w:rFonts w:hint="eastAsia" w:ascii="宋体" w:hAnsi="宋体" w:eastAsia="宋体" w:cs="宋体"/>
          <w:spacing w:val="8"/>
          <w:sz w:val="20"/>
          <w:szCs w:val="20"/>
          <w:lang w:eastAsia="zh-CN"/>
        </w:rPr>
        <w:t>原料、辅助材料和能源的运输工具及其核定载重量、运输重量、运输距离。</w:t>
      </w:r>
    </w:p>
    <w:p w14:paraId="19FE7525">
      <w:pPr>
        <w:ind w:firstLine="432" w:firstLineChars="200"/>
        <w:jc w:val="both"/>
        <w:rPr>
          <w:rFonts w:ascii="宋体" w:hAnsi="宋体" w:eastAsia="宋体" w:cs="宋体"/>
          <w:spacing w:val="8"/>
          <w:sz w:val="20"/>
          <w:szCs w:val="20"/>
          <w:lang w:eastAsia="zh-CN"/>
        </w:rPr>
      </w:pPr>
    </w:p>
    <w:p w14:paraId="51E0BBA5">
      <w:pPr>
        <w:pStyle w:val="2"/>
        <w:spacing w:before="176" w:line="254" w:lineRule="exact"/>
        <w:rPr>
          <w:sz w:val="19"/>
          <w:szCs w:val="19"/>
          <w:lang w:eastAsia="zh-CN"/>
        </w:rPr>
      </w:pPr>
      <w:r>
        <w:fldChar w:fldCharType="begin"/>
      </w:r>
      <w:r>
        <w:instrText xml:space="preserve"> HYPERLINK "7.1.3.2" </w:instrText>
      </w:r>
      <w:r>
        <w:fldChar w:fldCharType="separate"/>
      </w:r>
      <w:r>
        <w:rPr>
          <w:color w:val="231F20"/>
          <w:spacing w:val="10"/>
          <w:position w:val="1"/>
          <w:sz w:val="19"/>
          <w:szCs w:val="19"/>
          <w:lang w:eastAsia="zh-CN"/>
        </w:rPr>
        <w:t>7.1.3.2</w:t>
      </w:r>
      <w:r>
        <w:rPr>
          <w:color w:val="231F20"/>
          <w:spacing w:val="10"/>
          <w:position w:val="1"/>
          <w:sz w:val="19"/>
          <w:szCs w:val="19"/>
          <w:lang w:eastAsia="zh-CN"/>
        </w:rPr>
        <w:fldChar w:fldCharType="end"/>
      </w:r>
      <w:r>
        <w:rPr>
          <w:color w:val="231F20"/>
          <w:spacing w:val="2"/>
          <w:position w:val="1"/>
          <w:sz w:val="19"/>
          <w:szCs w:val="19"/>
          <w:lang w:eastAsia="zh-CN"/>
        </w:rPr>
        <w:t xml:space="preserve"> </w:t>
      </w:r>
      <w:r>
        <w:rPr>
          <w:rFonts w:hint="eastAsia"/>
          <w:color w:val="231F20"/>
          <w:spacing w:val="2"/>
          <w:position w:val="1"/>
          <w:sz w:val="19"/>
          <w:szCs w:val="19"/>
          <w:lang w:eastAsia="zh-CN"/>
        </w:rPr>
        <w:t>纯碱</w:t>
      </w:r>
      <w:r>
        <w:rPr>
          <w:color w:val="231F20"/>
          <w:spacing w:val="10"/>
          <w:position w:val="1"/>
          <w:sz w:val="19"/>
          <w:szCs w:val="19"/>
          <w:lang w:eastAsia="zh-CN"/>
        </w:rPr>
        <w:t>产品生产阶段</w:t>
      </w:r>
    </w:p>
    <w:p w14:paraId="358B936A">
      <w:pPr>
        <w:ind w:firstLine="432" w:firstLineChars="200"/>
        <w:jc w:val="both"/>
        <w:rPr>
          <w:rFonts w:ascii="宋体" w:hAnsi="宋体" w:eastAsia="宋体" w:cs="宋体"/>
          <w:spacing w:val="8"/>
          <w:sz w:val="20"/>
          <w:szCs w:val="20"/>
          <w:lang w:eastAsia="zh-CN"/>
        </w:rPr>
      </w:pPr>
      <w:r>
        <w:rPr>
          <w:rFonts w:hint="eastAsia" w:ascii="宋体" w:hAnsi="宋体" w:eastAsia="宋体" w:cs="宋体"/>
          <w:spacing w:val="8"/>
          <w:sz w:val="20"/>
          <w:szCs w:val="20"/>
          <w:lang w:eastAsia="zh-CN"/>
        </w:rPr>
        <w:t>原材料消耗量；</w:t>
      </w:r>
    </w:p>
    <w:p w14:paraId="46A3279E">
      <w:pPr>
        <w:ind w:firstLine="432" w:firstLineChars="200"/>
        <w:jc w:val="both"/>
        <w:rPr>
          <w:rFonts w:ascii="宋体" w:hAnsi="宋体" w:eastAsia="宋体" w:cs="宋体"/>
          <w:spacing w:val="8"/>
          <w:sz w:val="20"/>
          <w:szCs w:val="20"/>
          <w:lang w:eastAsia="zh-CN"/>
        </w:rPr>
      </w:pPr>
      <w:r>
        <w:rPr>
          <w:rFonts w:hint="eastAsia" w:ascii="宋体" w:hAnsi="宋体" w:eastAsia="宋体" w:cs="宋体"/>
          <w:spacing w:val="8"/>
          <w:sz w:val="20"/>
          <w:szCs w:val="20"/>
          <w:lang w:eastAsia="zh-CN"/>
        </w:rPr>
        <w:t>辅助材料消耗量；</w:t>
      </w:r>
    </w:p>
    <w:p w14:paraId="7C33B7A1">
      <w:pPr>
        <w:ind w:firstLine="432" w:firstLineChars="200"/>
        <w:jc w:val="both"/>
        <w:rPr>
          <w:rFonts w:ascii="宋体" w:hAnsi="宋体" w:eastAsia="宋体" w:cs="宋体"/>
          <w:spacing w:val="8"/>
          <w:sz w:val="20"/>
          <w:szCs w:val="20"/>
          <w:lang w:eastAsia="zh-CN"/>
        </w:rPr>
      </w:pPr>
      <w:r>
        <w:rPr>
          <w:rFonts w:hint="eastAsia" w:ascii="宋体" w:hAnsi="宋体" w:eastAsia="宋体" w:cs="宋体"/>
          <w:spacing w:val="8"/>
          <w:sz w:val="20"/>
          <w:szCs w:val="20"/>
          <w:lang w:eastAsia="zh-CN"/>
        </w:rPr>
        <w:t>燃料及电（热）力等能源消耗量；</w:t>
      </w:r>
    </w:p>
    <w:p w14:paraId="67189685">
      <w:pPr>
        <w:ind w:firstLine="432" w:firstLineChars="200"/>
        <w:jc w:val="both"/>
        <w:rPr>
          <w:rFonts w:ascii="宋体" w:hAnsi="宋体" w:eastAsia="宋体" w:cs="宋体"/>
          <w:spacing w:val="8"/>
          <w:sz w:val="20"/>
          <w:szCs w:val="20"/>
          <w:lang w:eastAsia="zh-CN"/>
        </w:rPr>
      </w:pPr>
      <w:r>
        <w:rPr>
          <w:rFonts w:hint="eastAsia" w:ascii="宋体" w:hAnsi="宋体" w:eastAsia="宋体" w:cs="宋体"/>
          <w:spacing w:val="8"/>
          <w:sz w:val="20"/>
          <w:szCs w:val="20"/>
          <w:lang w:eastAsia="zh-CN"/>
        </w:rPr>
        <w:t>碳酸盐使用过程分解产生的</w:t>
      </w:r>
      <w:r>
        <w:rPr>
          <w:rFonts w:ascii="宋体" w:hAnsi="宋体" w:eastAsia="宋体" w:cs="宋体"/>
          <w:spacing w:val="8"/>
          <w:sz w:val="20"/>
          <w:szCs w:val="20"/>
          <w:lang w:eastAsia="zh-CN"/>
        </w:rPr>
        <w:t>二氧化碳排放</w:t>
      </w:r>
      <w:r>
        <w:rPr>
          <w:rFonts w:hint="eastAsia" w:ascii="宋体" w:hAnsi="宋体" w:eastAsia="宋体" w:cs="宋体"/>
          <w:spacing w:val="8"/>
          <w:sz w:val="20"/>
          <w:szCs w:val="20"/>
          <w:lang w:eastAsia="zh-CN"/>
        </w:rPr>
        <w:t>；</w:t>
      </w:r>
    </w:p>
    <w:p w14:paraId="3553500C">
      <w:pPr>
        <w:ind w:firstLine="432" w:firstLineChars="200"/>
        <w:jc w:val="both"/>
        <w:rPr>
          <w:rFonts w:ascii="宋体" w:hAnsi="宋体" w:eastAsia="宋体" w:cs="宋体"/>
          <w:spacing w:val="8"/>
          <w:sz w:val="20"/>
          <w:szCs w:val="20"/>
          <w:lang w:eastAsia="zh-CN"/>
        </w:rPr>
      </w:pPr>
      <w:r>
        <w:rPr>
          <w:rFonts w:hint="eastAsia" w:ascii="宋体" w:hAnsi="宋体" w:eastAsia="宋体" w:cs="宋体"/>
          <w:spacing w:val="8"/>
          <w:sz w:val="20"/>
          <w:szCs w:val="20"/>
          <w:lang w:eastAsia="zh-CN"/>
        </w:rPr>
        <w:t>纯碱产量；</w:t>
      </w:r>
    </w:p>
    <w:p w14:paraId="5832AD22">
      <w:pPr>
        <w:ind w:firstLine="432" w:firstLineChars="200"/>
        <w:jc w:val="both"/>
        <w:rPr>
          <w:rFonts w:ascii="宋体" w:hAnsi="宋体" w:eastAsia="宋体" w:cs="宋体"/>
          <w:spacing w:val="8"/>
          <w:sz w:val="20"/>
          <w:szCs w:val="20"/>
          <w:lang w:eastAsia="zh-CN"/>
        </w:rPr>
      </w:pPr>
      <w:r>
        <w:rPr>
          <w:rFonts w:hint="eastAsia" w:ascii="宋体" w:hAnsi="宋体" w:eastAsia="宋体" w:cs="宋体"/>
          <w:spacing w:val="8"/>
          <w:sz w:val="20"/>
          <w:szCs w:val="20"/>
          <w:lang w:eastAsia="zh-CN"/>
        </w:rPr>
        <w:t>共生产品产量；</w:t>
      </w:r>
    </w:p>
    <w:p w14:paraId="2B28C3D9">
      <w:pPr>
        <w:ind w:firstLine="432" w:firstLineChars="200"/>
        <w:jc w:val="both"/>
        <w:rPr>
          <w:rFonts w:ascii="宋体" w:hAnsi="宋体" w:eastAsia="宋体" w:cs="宋体"/>
          <w:spacing w:val="8"/>
          <w:sz w:val="20"/>
          <w:szCs w:val="20"/>
          <w:lang w:eastAsia="zh-CN"/>
        </w:rPr>
      </w:pPr>
      <w:r>
        <w:rPr>
          <w:rFonts w:hint="eastAsia" w:ascii="宋体" w:hAnsi="宋体" w:eastAsia="宋体" w:cs="宋体"/>
          <w:spacing w:val="8"/>
          <w:sz w:val="20"/>
          <w:szCs w:val="20"/>
          <w:lang w:eastAsia="zh-CN"/>
        </w:rPr>
        <w:t>废水、废气、废渣产生量；</w:t>
      </w:r>
    </w:p>
    <w:p w14:paraId="55EE3525">
      <w:pPr>
        <w:ind w:firstLine="432" w:firstLineChars="200"/>
        <w:jc w:val="both"/>
        <w:rPr>
          <w:rFonts w:ascii="宋体" w:hAnsi="宋体" w:eastAsia="宋体" w:cs="宋体"/>
          <w:spacing w:val="8"/>
          <w:sz w:val="20"/>
          <w:szCs w:val="20"/>
          <w:lang w:eastAsia="zh-CN"/>
        </w:rPr>
      </w:pPr>
      <w:r>
        <w:rPr>
          <w:rFonts w:hint="eastAsia" w:ascii="宋体" w:hAnsi="宋体" w:eastAsia="宋体" w:cs="宋体"/>
          <w:spacing w:val="8"/>
          <w:sz w:val="20"/>
          <w:szCs w:val="20"/>
          <w:lang w:eastAsia="zh-CN"/>
        </w:rPr>
        <w:t>污染物产生量；</w:t>
      </w:r>
    </w:p>
    <w:p w14:paraId="2E79BA10">
      <w:pPr>
        <w:ind w:firstLine="432" w:firstLineChars="200"/>
        <w:jc w:val="both"/>
        <w:rPr>
          <w:rFonts w:ascii="宋体" w:hAnsi="宋体" w:eastAsia="宋体" w:cs="宋体"/>
          <w:spacing w:val="8"/>
          <w:sz w:val="20"/>
          <w:szCs w:val="20"/>
          <w:lang w:eastAsia="zh-CN"/>
        </w:rPr>
      </w:pPr>
      <w:r>
        <w:rPr>
          <w:rFonts w:hint="eastAsia" w:ascii="宋体" w:hAnsi="宋体" w:eastAsia="宋体" w:cs="宋体"/>
          <w:spacing w:val="8"/>
          <w:sz w:val="20"/>
          <w:szCs w:val="20"/>
          <w:lang w:eastAsia="zh-CN"/>
        </w:rPr>
        <w:t>余热利用供热量或发电量。</w:t>
      </w:r>
    </w:p>
    <w:p w14:paraId="0EE3C7B0">
      <w:pPr>
        <w:ind w:firstLine="432" w:firstLineChars="200"/>
        <w:jc w:val="both"/>
        <w:rPr>
          <w:rFonts w:ascii="宋体" w:hAnsi="宋体" w:eastAsia="宋体" w:cs="宋体"/>
          <w:spacing w:val="8"/>
          <w:sz w:val="20"/>
          <w:szCs w:val="20"/>
          <w:lang w:eastAsia="zh-CN"/>
        </w:rPr>
      </w:pPr>
    </w:p>
    <w:p w14:paraId="5370768A">
      <w:pPr>
        <w:pStyle w:val="2"/>
        <w:spacing w:before="176" w:line="254" w:lineRule="exact"/>
        <w:rPr>
          <w:sz w:val="19"/>
          <w:szCs w:val="19"/>
          <w:lang w:eastAsia="zh-CN"/>
        </w:rPr>
      </w:pPr>
      <w:r>
        <w:fldChar w:fldCharType="begin"/>
      </w:r>
      <w:r>
        <w:instrText xml:space="preserve"> HYPERLINK "7.1.3.2" </w:instrText>
      </w:r>
      <w:r>
        <w:fldChar w:fldCharType="separate"/>
      </w:r>
      <w:r>
        <w:rPr>
          <w:color w:val="231F20"/>
          <w:spacing w:val="10"/>
          <w:position w:val="1"/>
          <w:sz w:val="19"/>
          <w:szCs w:val="19"/>
          <w:lang w:eastAsia="zh-CN"/>
        </w:rPr>
        <w:t>7.1.3.</w:t>
      </w:r>
      <w:r>
        <w:rPr>
          <w:rFonts w:hint="eastAsia"/>
          <w:color w:val="231F20"/>
          <w:spacing w:val="10"/>
          <w:position w:val="1"/>
          <w:sz w:val="19"/>
          <w:szCs w:val="19"/>
          <w:lang w:eastAsia="zh-CN"/>
        </w:rPr>
        <w:t>3</w:t>
      </w:r>
      <w:r>
        <w:rPr>
          <w:rFonts w:hint="eastAsia"/>
          <w:color w:val="231F20"/>
          <w:spacing w:val="10"/>
          <w:position w:val="1"/>
          <w:sz w:val="19"/>
          <w:szCs w:val="19"/>
          <w:lang w:eastAsia="zh-CN"/>
        </w:rPr>
        <w:fldChar w:fldCharType="end"/>
      </w:r>
      <w:r>
        <w:rPr>
          <w:color w:val="231F20"/>
          <w:spacing w:val="2"/>
          <w:position w:val="1"/>
          <w:sz w:val="19"/>
          <w:szCs w:val="19"/>
          <w:lang w:eastAsia="zh-CN"/>
        </w:rPr>
        <w:t xml:space="preserve"> </w:t>
      </w:r>
      <w:r>
        <w:rPr>
          <w:rFonts w:hint="eastAsia"/>
          <w:color w:val="231F20"/>
          <w:spacing w:val="2"/>
          <w:position w:val="1"/>
          <w:sz w:val="19"/>
          <w:szCs w:val="19"/>
          <w:lang w:eastAsia="zh-CN"/>
        </w:rPr>
        <w:t>分销</w:t>
      </w:r>
      <w:r>
        <w:rPr>
          <w:color w:val="231F20"/>
          <w:spacing w:val="10"/>
          <w:position w:val="1"/>
          <w:sz w:val="19"/>
          <w:szCs w:val="19"/>
          <w:lang w:eastAsia="zh-CN"/>
        </w:rPr>
        <w:t>阶段</w:t>
      </w:r>
    </w:p>
    <w:p w14:paraId="1C80708A">
      <w:pPr>
        <w:ind w:firstLine="432" w:firstLineChars="200"/>
        <w:jc w:val="both"/>
        <w:rPr>
          <w:rFonts w:ascii="宋体" w:hAnsi="宋体" w:eastAsia="宋体" w:cs="宋体"/>
          <w:spacing w:val="8"/>
          <w:sz w:val="20"/>
          <w:szCs w:val="20"/>
          <w:lang w:eastAsia="zh-CN"/>
        </w:rPr>
      </w:pPr>
      <w:r>
        <w:rPr>
          <w:rFonts w:hint="eastAsia" w:ascii="宋体" w:hAnsi="宋体" w:eastAsia="宋体" w:cs="宋体"/>
          <w:spacing w:val="8"/>
          <w:sz w:val="20"/>
          <w:szCs w:val="20"/>
          <w:lang w:eastAsia="zh-CN"/>
        </w:rPr>
        <w:t>产品的运输工具及其核定载重量、运输重量、运输距离。</w:t>
      </w:r>
    </w:p>
    <w:p w14:paraId="066A20E6">
      <w:pPr>
        <w:pStyle w:val="2"/>
        <w:spacing w:before="202" w:line="253" w:lineRule="exact"/>
        <w:ind w:left="11"/>
        <w:rPr>
          <w:sz w:val="19"/>
          <w:szCs w:val="19"/>
          <w:lang w:eastAsia="zh-CN"/>
        </w:rPr>
      </w:pPr>
      <w:r>
        <w:rPr>
          <w:color w:val="231F20"/>
          <w:spacing w:val="10"/>
          <w:position w:val="1"/>
          <w:sz w:val="19"/>
          <w:szCs w:val="19"/>
          <w:lang w:eastAsia="zh-CN"/>
        </w:rPr>
        <w:t>7.1.4</w:t>
      </w:r>
      <w:r>
        <w:rPr>
          <w:color w:val="231F20"/>
          <w:spacing w:val="8"/>
          <w:position w:val="1"/>
          <w:sz w:val="19"/>
          <w:szCs w:val="19"/>
          <w:lang w:eastAsia="zh-CN"/>
        </w:rPr>
        <w:t xml:space="preserve"> </w:t>
      </w:r>
      <w:r>
        <w:rPr>
          <w:color w:val="231F20"/>
          <w:spacing w:val="10"/>
          <w:position w:val="1"/>
          <w:sz w:val="19"/>
          <w:szCs w:val="19"/>
          <w:lang w:eastAsia="zh-CN"/>
        </w:rPr>
        <w:t>次级数据收集</w:t>
      </w:r>
    </w:p>
    <w:p w14:paraId="307CC4F6">
      <w:pPr>
        <w:ind w:firstLine="432" w:firstLineChars="200"/>
        <w:jc w:val="both"/>
        <w:rPr>
          <w:rFonts w:ascii="宋体" w:hAnsi="宋体" w:eastAsia="宋体" w:cs="宋体"/>
          <w:spacing w:val="8"/>
          <w:sz w:val="20"/>
          <w:szCs w:val="20"/>
          <w:lang w:eastAsia="zh-CN"/>
        </w:rPr>
      </w:pPr>
      <w:r>
        <w:rPr>
          <w:rFonts w:hint="eastAsia" w:ascii="宋体" w:hAnsi="宋体" w:eastAsia="宋体" w:cs="宋体"/>
          <w:spacing w:val="8"/>
          <w:sz w:val="20"/>
          <w:szCs w:val="20"/>
          <w:lang w:eastAsia="zh-CN"/>
        </w:rPr>
        <w:t>纯碱产品系统边界内应收集的次级数据主要包括：</w:t>
      </w:r>
    </w:p>
    <w:p w14:paraId="3D9CEE0E">
      <w:pPr>
        <w:ind w:firstLine="432" w:firstLineChars="200"/>
        <w:jc w:val="both"/>
        <w:rPr>
          <w:rFonts w:ascii="宋体" w:hAnsi="宋体" w:eastAsia="宋体" w:cs="宋体"/>
          <w:spacing w:val="8"/>
          <w:sz w:val="20"/>
          <w:szCs w:val="20"/>
          <w:lang w:eastAsia="zh-CN"/>
        </w:rPr>
      </w:pPr>
      <w:r>
        <w:rPr>
          <w:rFonts w:hint="eastAsia" w:ascii="宋体" w:hAnsi="宋体" w:eastAsia="宋体" w:cs="宋体"/>
          <w:spacing w:val="8"/>
          <w:sz w:val="20"/>
          <w:szCs w:val="20"/>
          <w:lang w:eastAsia="zh-CN"/>
        </w:rPr>
        <w:t>a）外购原辅材料、燃料等上游生命周期清单数据；</w:t>
      </w:r>
    </w:p>
    <w:p w14:paraId="48655D03">
      <w:pPr>
        <w:ind w:firstLine="432" w:firstLineChars="200"/>
        <w:jc w:val="both"/>
        <w:rPr>
          <w:rFonts w:ascii="宋体" w:hAnsi="宋体" w:eastAsia="宋体" w:cs="宋体"/>
          <w:spacing w:val="8"/>
          <w:sz w:val="20"/>
          <w:szCs w:val="20"/>
          <w:lang w:eastAsia="zh-CN"/>
        </w:rPr>
      </w:pPr>
      <w:r>
        <w:rPr>
          <w:rFonts w:hint="eastAsia" w:ascii="宋体" w:hAnsi="宋体" w:eastAsia="宋体" w:cs="宋体"/>
          <w:spacing w:val="8"/>
          <w:sz w:val="20"/>
          <w:szCs w:val="20"/>
          <w:lang w:eastAsia="zh-CN"/>
        </w:rPr>
        <w:t>b）电（热）力等能源的上游生命周期清单数据；</w:t>
      </w:r>
    </w:p>
    <w:p w14:paraId="73AE1254">
      <w:pPr>
        <w:ind w:firstLine="432" w:firstLineChars="200"/>
        <w:jc w:val="both"/>
        <w:rPr>
          <w:rFonts w:ascii="宋体" w:hAnsi="宋体" w:eastAsia="宋体" w:cs="宋体"/>
          <w:spacing w:val="8"/>
          <w:sz w:val="20"/>
          <w:szCs w:val="20"/>
          <w:lang w:eastAsia="zh-CN"/>
        </w:rPr>
      </w:pPr>
      <w:r>
        <w:rPr>
          <w:rFonts w:hint="eastAsia" w:ascii="宋体" w:hAnsi="宋体" w:eastAsia="宋体" w:cs="宋体"/>
          <w:spacing w:val="8"/>
          <w:sz w:val="20"/>
          <w:szCs w:val="20"/>
          <w:lang w:eastAsia="zh-CN"/>
        </w:rPr>
        <w:t>c）固体废物等处理过程生命周期清单数据；</w:t>
      </w:r>
    </w:p>
    <w:p w14:paraId="78022356">
      <w:pPr>
        <w:ind w:firstLine="432" w:firstLineChars="200"/>
        <w:jc w:val="both"/>
        <w:rPr>
          <w:rFonts w:ascii="宋体" w:hAnsi="宋体" w:eastAsia="宋体" w:cs="宋体"/>
          <w:spacing w:val="8"/>
          <w:sz w:val="20"/>
          <w:szCs w:val="20"/>
          <w:lang w:eastAsia="zh-CN"/>
        </w:rPr>
      </w:pPr>
      <w:r>
        <w:rPr>
          <w:rFonts w:hint="eastAsia" w:ascii="宋体" w:hAnsi="宋体" w:eastAsia="宋体" w:cs="宋体"/>
          <w:spacing w:val="8"/>
          <w:sz w:val="20"/>
          <w:szCs w:val="20"/>
          <w:lang w:eastAsia="zh-CN"/>
        </w:rPr>
        <w:t>d）运输过程生命周期清单数据等。</w:t>
      </w:r>
    </w:p>
    <w:p w14:paraId="0512A025">
      <w:pPr>
        <w:ind w:firstLine="432" w:firstLineChars="200"/>
        <w:rPr>
          <w:rFonts w:ascii="宋体" w:hAnsi="宋体" w:eastAsia="宋体" w:cs="宋体"/>
          <w:spacing w:val="8"/>
          <w:sz w:val="20"/>
          <w:szCs w:val="20"/>
          <w:lang w:eastAsia="zh-CN"/>
        </w:rPr>
      </w:pPr>
    </w:p>
    <w:p w14:paraId="36964F55">
      <w:pPr>
        <w:pStyle w:val="2"/>
        <w:spacing w:line="296" w:lineRule="auto"/>
        <w:rPr>
          <w:color w:val="231F20"/>
          <w:spacing w:val="1"/>
          <w:sz w:val="19"/>
          <w:szCs w:val="19"/>
          <w:lang w:eastAsia="zh-CN"/>
        </w:rPr>
      </w:pPr>
      <w:r>
        <w:rPr>
          <w:color w:val="231F20"/>
          <w:spacing w:val="3"/>
          <w:sz w:val="19"/>
          <w:szCs w:val="19"/>
          <w:lang w:eastAsia="zh-CN"/>
        </w:rPr>
        <w:t>7.1.5</w:t>
      </w:r>
      <w:r>
        <w:rPr>
          <w:color w:val="231F20"/>
          <w:spacing w:val="11"/>
          <w:sz w:val="19"/>
          <w:szCs w:val="19"/>
          <w:lang w:eastAsia="zh-CN"/>
        </w:rPr>
        <w:t xml:space="preserve"> </w:t>
      </w:r>
      <w:r>
        <w:rPr>
          <w:color w:val="231F20"/>
          <w:spacing w:val="3"/>
          <w:sz w:val="19"/>
          <w:szCs w:val="19"/>
          <w:lang w:eastAsia="zh-CN"/>
        </w:rPr>
        <w:t>特定</w:t>
      </w:r>
      <w:r>
        <w:rPr>
          <w:rFonts w:ascii="微软雅黑" w:hAnsi="微软雅黑" w:eastAsia="微软雅黑" w:cs="微软雅黑"/>
          <w:color w:val="231F20"/>
          <w:spacing w:val="3"/>
          <w:sz w:val="19"/>
          <w:szCs w:val="19"/>
          <w:lang w:eastAsia="zh-CN"/>
        </w:rPr>
        <w:t>（</w:t>
      </w:r>
      <w:r>
        <w:rPr>
          <w:color w:val="231F20"/>
          <w:spacing w:val="3"/>
          <w:sz w:val="19"/>
          <w:szCs w:val="19"/>
          <w:lang w:eastAsia="zh-CN"/>
        </w:rPr>
        <w:t>电力</w:t>
      </w:r>
      <w:r>
        <w:rPr>
          <w:rFonts w:ascii="微软雅黑" w:hAnsi="微软雅黑" w:eastAsia="微软雅黑" w:cs="微软雅黑"/>
          <w:color w:val="231F20"/>
          <w:spacing w:val="3"/>
          <w:sz w:val="19"/>
          <w:szCs w:val="19"/>
          <w:lang w:eastAsia="zh-CN"/>
        </w:rPr>
        <w:t>）</w:t>
      </w:r>
      <w:r>
        <w:rPr>
          <w:color w:val="231F20"/>
          <w:spacing w:val="3"/>
          <w:sz w:val="19"/>
          <w:szCs w:val="19"/>
          <w:lang w:eastAsia="zh-CN"/>
        </w:rPr>
        <w:t>温室气体排放因子</w:t>
      </w:r>
      <w:r>
        <w:rPr>
          <w:color w:val="231F20"/>
          <w:spacing w:val="1"/>
          <w:sz w:val="19"/>
          <w:szCs w:val="19"/>
          <w:lang w:eastAsia="zh-CN"/>
        </w:rPr>
        <w:t xml:space="preserve"> </w:t>
      </w:r>
    </w:p>
    <w:p w14:paraId="3F6E49F1">
      <w:pPr>
        <w:pStyle w:val="2"/>
        <w:spacing w:line="296" w:lineRule="auto"/>
        <w:rPr>
          <w:sz w:val="19"/>
          <w:szCs w:val="19"/>
          <w:lang w:eastAsia="zh-CN"/>
        </w:rPr>
      </w:pPr>
      <w:r>
        <w:fldChar w:fldCharType="begin"/>
      </w:r>
      <w:r>
        <w:instrText xml:space="preserve"> HYPERLINK "7.1.5.1" </w:instrText>
      </w:r>
      <w:r>
        <w:fldChar w:fldCharType="separate"/>
      </w:r>
      <w:r>
        <w:rPr>
          <w:color w:val="231F20"/>
          <w:spacing w:val="6"/>
          <w:sz w:val="19"/>
          <w:szCs w:val="19"/>
          <w:lang w:eastAsia="zh-CN"/>
        </w:rPr>
        <w:t>7.1.5.1</w:t>
      </w:r>
      <w:r>
        <w:rPr>
          <w:color w:val="231F20"/>
          <w:spacing w:val="6"/>
          <w:sz w:val="19"/>
          <w:szCs w:val="19"/>
          <w:lang w:eastAsia="zh-CN"/>
        </w:rPr>
        <w:fldChar w:fldCharType="end"/>
      </w:r>
      <w:r>
        <w:rPr>
          <w:color w:val="231F20"/>
          <w:spacing w:val="2"/>
          <w:sz w:val="19"/>
          <w:szCs w:val="19"/>
          <w:lang w:eastAsia="zh-CN"/>
        </w:rPr>
        <w:t xml:space="preserve"> </w:t>
      </w:r>
      <w:r>
        <w:rPr>
          <w:color w:val="231F20"/>
          <w:spacing w:val="6"/>
          <w:sz w:val="19"/>
          <w:szCs w:val="19"/>
          <w:lang w:eastAsia="zh-CN"/>
        </w:rPr>
        <w:t>内部发电</w:t>
      </w:r>
    </w:p>
    <w:p w14:paraId="05178922">
      <w:pPr>
        <w:ind w:firstLine="432" w:firstLineChars="200"/>
        <w:jc w:val="both"/>
        <w:rPr>
          <w:rFonts w:ascii="宋体" w:hAnsi="宋体" w:eastAsia="宋体" w:cs="宋体"/>
          <w:spacing w:val="8"/>
          <w:sz w:val="20"/>
          <w:szCs w:val="20"/>
          <w:lang w:eastAsia="zh-CN"/>
        </w:rPr>
      </w:pPr>
      <w:r>
        <w:rPr>
          <w:rFonts w:hint="eastAsia" w:ascii="宋体" w:hAnsi="宋体" w:eastAsia="宋体" w:cs="宋体"/>
          <w:spacing w:val="8"/>
          <w:sz w:val="20"/>
          <w:szCs w:val="20"/>
          <w:lang w:eastAsia="zh-CN"/>
        </w:rPr>
        <w:t>当纯碱产品消耗的电能为内部发电（例如现场发电），且未向第三方出售，则应将该电力的生命</w:t>
      </w:r>
      <w:bookmarkStart w:id="81" w:name="bookmark57"/>
      <w:bookmarkEnd w:id="81"/>
      <w:r>
        <w:rPr>
          <w:rFonts w:hint="eastAsia" w:ascii="宋体" w:hAnsi="宋体" w:eastAsia="宋体" w:cs="宋体"/>
          <w:spacing w:val="8"/>
          <w:sz w:val="20"/>
          <w:szCs w:val="20"/>
          <w:lang w:eastAsia="zh-CN"/>
        </w:rPr>
        <w:t>周期数据用于纯碱产品的碳足迹量化。</w:t>
      </w:r>
    </w:p>
    <w:p w14:paraId="72F48403">
      <w:pPr>
        <w:spacing w:before="206" w:line="204" w:lineRule="auto"/>
        <w:rPr>
          <w:rFonts w:ascii="黑体" w:hAnsi="黑体" w:eastAsia="黑体" w:cs="黑体"/>
          <w:sz w:val="19"/>
          <w:szCs w:val="19"/>
          <w:lang w:eastAsia="zh-CN"/>
        </w:rPr>
      </w:pPr>
      <w:r>
        <w:fldChar w:fldCharType="begin"/>
      </w:r>
      <w:r>
        <w:instrText xml:space="preserve"> HYPERLINK "7.1.5.2" </w:instrText>
      </w:r>
      <w:r>
        <w:fldChar w:fldCharType="separate"/>
      </w:r>
      <w:r>
        <w:rPr>
          <w:color w:val="231F20"/>
          <w:spacing w:val="8"/>
          <w:sz w:val="19"/>
          <w:szCs w:val="19"/>
          <w:lang w:eastAsia="zh-CN"/>
        </w:rPr>
        <w:t>7.1.5.2</w:t>
      </w:r>
      <w:r>
        <w:rPr>
          <w:color w:val="231F20"/>
          <w:spacing w:val="8"/>
          <w:sz w:val="19"/>
          <w:szCs w:val="19"/>
          <w:lang w:eastAsia="zh-CN"/>
        </w:rPr>
        <w:fldChar w:fldCharType="end"/>
      </w:r>
      <w:r>
        <w:rPr>
          <w:color w:val="231F20"/>
          <w:spacing w:val="9"/>
          <w:sz w:val="19"/>
          <w:szCs w:val="19"/>
          <w:lang w:eastAsia="zh-CN"/>
        </w:rPr>
        <w:t xml:space="preserve"> </w:t>
      </w:r>
      <w:r>
        <w:rPr>
          <w:rFonts w:ascii="黑体" w:hAnsi="黑体" w:eastAsia="黑体" w:cs="黑体"/>
          <w:color w:val="231F20"/>
          <w:spacing w:val="8"/>
          <w:sz w:val="19"/>
          <w:szCs w:val="19"/>
          <w:lang w:eastAsia="zh-CN"/>
        </w:rPr>
        <w:t>直供电力</w:t>
      </w:r>
    </w:p>
    <w:p w14:paraId="29795CCE">
      <w:pPr>
        <w:ind w:firstLine="432" w:firstLineChars="200"/>
        <w:jc w:val="both"/>
        <w:rPr>
          <w:rFonts w:ascii="宋体" w:hAnsi="宋体" w:eastAsia="宋体" w:cs="宋体"/>
          <w:spacing w:val="8"/>
          <w:sz w:val="20"/>
          <w:szCs w:val="20"/>
          <w:lang w:eastAsia="zh-CN"/>
        </w:rPr>
      </w:pPr>
      <w:r>
        <w:rPr>
          <w:rFonts w:hint="eastAsia" w:ascii="宋体" w:hAnsi="宋体" w:eastAsia="宋体" w:cs="宋体"/>
          <w:spacing w:val="8"/>
          <w:sz w:val="20"/>
          <w:szCs w:val="20"/>
          <w:lang w:eastAsia="zh-CN"/>
        </w:rPr>
        <w:t>如果该组织与发电站之间具有专用输电线路，且所消耗的电力未向第三方出售，则使用该电力供应商提供的电力温室气体排放因子。</w:t>
      </w:r>
    </w:p>
    <w:p w14:paraId="2FEA0C1A">
      <w:pPr>
        <w:pStyle w:val="2"/>
        <w:spacing w:before="162" w:line="254" w:lineRule="exact"/>
        <w:ind w:left="5"/>
        <w:rPr>
          <w:sz w:val="19"/>
          <w:szCs w:val="19"/>
          <w:lang w:eastAsia="zh-CN"/>
        </w:rPr>
      </w:pPr>
      <w:r>
        <w:fldChar w:fldCharType="begin"/>
      </w:r>
      <w:r>
        <w:instrText xml:space="preserve"> HYPERLINK "7.1.5.3" </w:instrText>
      </w:r>
      <w:r>
        <w:fldChar w:fldCharType="separate"/>
      </w:r>
      <w:r>
        <w:rPr>
          <w:color w:val="231F20"/>
          <w:spacing w:val="6"/>
          <w:position w:val="1"/>
          <w:sz w:val="19"/>
          <w:szCs w:val="19"/>
          <w:lang w:eastAsia="zh-CN"/>
        </w:rPr>
        <w:t>7.1.5.3</w:t>
      </w:r>
      <w:r>
        <w:rPr>
          <w:color w:val="231F20"/>
          <w:spacing w:val="6"/>
          <w:position w:val="1"/>
          <w:sz w:val="19"/>
          <w:szCs w:val="19"/>
          <w:lang w:eastAsia="zh-CN"/>
        </w:rPr>
        <w:fldChar w:fldCharType="end"/>
      </w:r>
      <w:r>
        <w:rPr>
          <w:color w:val="231F20"/>
          <w:spacing w:val="2"/>
          <w:position w:val="1"/>
          <w:sz w:val="19"/>
          <w:szCs w:val="19"/>
          <w:lang w:eastAsia="zh-CN"/>
        </w:rPr>
        <w:t xml:space="preserve"> </w:t>
      </w:r>
      <w:r>
        <w:rPr>
          <w:color w:val="231F20"/>
          <w:spacing w:val="6"/>
          <w:position w:val="1"/>
          <w:sz w:val="19"/>
          <w:szCs w:val="19"/>
          <w:lang w:eastAsia="zh-CN"/>
        </w:rPr>
        <w:t>电网电力</w:t>
      </w:r>
    </w:p>
    <w:p w14:paraId="40DEFCF0">
      <w:pPr>
        <w:ind w:firstLine="432" w:firstLineChars="200"/>
        <w:jc w:val="both"/>
        <w:rPr>
          <w:rFonts w:ascii="宋体" w:hAnsi="宋体" w:eastAsia="宋体" w:cs="宋体"/>
          <w:spacing w:val="8"/>
          <w:sz w:val="20"/>
          <w:szCs w:val="20"/>
          <w:lang w:eastAsia="zh-CN"/>
        </w:rPr>
      </w:pPr>
      <w:r>
        <w:rPr>
          <w:rFonts w:hint="eastAsia" w:ascii="宋体" w:hAnsi="宋体" w:eastAsia="宋体" w:cs="宋体"/>
          <w:spacing w:val="8"/>
          <w:sz w:val="20"/>
          <w:szCs w:val="20"/>
          <w:lang w:eastAsia="zh-CN"/>
        </w:rPr>
        <w:t>当电力供应商通过合同工具的形式保证电力供应，应使用此供应商特定电力生产的生命周期数据，电力产品应：</w:t>
      </w:r>
    </w:p>
    <w:p w14:paraId="459A6591">
      <w:pPr>
        <w:ind w:firstLine="432" w:firstLineChars="200"/>
        <w:jc w:val="both"/>
        <w:rPr>
          <w:rFonts w:ascii="宋体" w:hAnsi="宋体" w:eastAsia="宋体" w:cs="宋体"/>
          <w:spacing w:val="8"/>
          <w:sz w:val="20"/>
          <w:szCs w:val="20"/>
          <w:lang w:eastAsia="zh-CN"/>
        </w:rPr>
      </w:pPr>
      <w:r>
        <w:rPr>
          <w:rFonts w:hint="eastAsia" w:ascii="宋体" w:hAnsi="宋体" w:eastAsia="宋体" w:cs="宋体"/>
          <w:spacing w:val="8"/>
          <w:sz w:val="20"/>
          <w:szCs w:val="20"/>
          <w:lang w:eastAsia="zh-CN"/>
        </w:rPr>
        <w:t>——传递电力生产单位相关信息以及发电机组特征信息；</w:t>
      </w:r>
    </w:p>
    <w:p w14:paraId="4F375879">
      <w:pPr>
        <w:ind w:firstLine="432" w:firstLineChars="200"/>
        <w:jc w:val="both"/>
        <w:rPr>
          <w:rFonts w:ascii="宋体" w:hAnsi="宋体" w:eastAsia="宋体" w:cs="宋体"/>
          <w:spacing w:val="8"/>
          <w:sz w:val="20"/>
          <w:szCs w:val="20"/>
          <w:lang w:eastAsia="zh-CN"/>
        </w:rPr>
      </w:pPr>
      <w:r>
        <w:rPr>
          <w:rFonts w:hint="eastAsia" w:ascii="宋体" w:hAnsi="宋体" w:eastAsia="宋体" w:cs="宋体"/>
          <w:spacing w:val="8"/>
          <w:sz w:val="20"/>
          <w:szCs w:val="20"/>
          <w:lang w:eastAsia="zh-CN"/>
        </w:rPr>
        <w:t>——保证唯一的使用权；</w:t>
      </w:r>
    </w:p>
    <w:p w14:paraId="1949E9E9">
      <w:pPr>
        <w:ind w:firstLine="432" w:firstLineChars="200"/>
        <w:jc w:val="both"/>
        <w:rPr>
          <w:rFonts w:ascii="宋体" w:hAnsi="宋体" w:eastAsia="宋体" w:cs="宋体"/>
          <w:spacing w:val="8"/>
          <w:sz w:val="20"/>
          <w:szCs w:val="20"/>
          <w:lang w:eastAsia="zh-CN"/>
        </w:rPr>
      </w:pPr>
      <w:r>
        <w:rPr>
          <w:rFonts w:hint="eastAsia" w:ascii="宋体" w:hAnsi="宋体" w:eastAsia="宋体" w:cs="宋体"/>
          <w:spacing w:val="8"/>
          <w:sz w:val="20"/>
          <w:szCs w:val="20"/>
          <w:lang w:eastAsia="zh-CN"/>
        </w:rPr>
        <w:t>——由报告实体或报告实体代表追踪、赎回、报废或注销；</w:t>
      </w:r>
    </w:p>
    <w:p w14:paraId="439F3BDA">
      <w:pPr>
        <w:ind w:firstLine="432" w:firstLineChars="200"/>
        <w:jc w:val="both"/>
        <w:rPr>
          <w:rFonts w:ascii="宋体" w:hAnsi="宋体" w:eastAsia="宋体" w:cs="宋体"/>
          <w:spacing w:val="8"/>
          <w:sz w:val="20"/>
          <w:szCs w:val="20"/>
          <w:lang w:eastAsia="zh-CN"/>
        </w:rPr>
      </w:pPr>
      <w:r>
        <w:rPr>
          <w:rFonts w:hint="eastAsia" w:ascii="宋体" w:hAnsi="宋体" w:eastAsia="宋体" w:cs="宋体"/>
          <w:spacing w:val="8"/>
          <w:sz w:val="20"/>
          <w:szCs w:val="20"/>
          <w:lang w:eastAsia="zh-CN"/>
        </w:rPr>
        <w:t>——接近合同工具的适用期限，并包括相应的时间长度。</w:t>
      </w:r>
    </w:p>
    <w:p w14:paraId="4EC7FA7A">
      <w:pPr>
        <w:ind w:firstLine="432" w:firstLineChars="200"/>
        <w:jc w:val="both"/>
        <w:rPr>
          <w:rFonts w:ascii="宋体" w:hAnsi="宋体" w:eastAsia="宋体" w:cs="宋体"/>
          <w:spacing w:val="8"/>
          <w:sz w:val="20"/>
          <w:szCs w:val="20"/>
          <w:lang w:eastAsia="zh-CN"/>
        </w:rPr>
      </w:pPr>
      <w:r>
        <w:rPr>
          <w:rFonts w:hint="eastAsia" w:ascii="宋体" w:hAnsi="宋体" w:eastAsia="宋体" w:cs="宋体"/>
          <w:spacing w:val="8"/>
          <w:sz w:val="20"/>
          <w:szCs w:val="20"/>
          <w:lang w:eastAsia="zh-CN"/>
        </w:rPr>
        <w:t>当无法获得供应商的具体电力信息时，应使用与电力来源相关的电网GHG排放量。相关电网GHG排放量应反映相关地区的电力消耗情况，不包括任何之前已声明归属的电力。如果没有电力追踪系统，所选电网GHG排放量应反映该地区的电力消费情况。</w:t>
      </w:r>
    </w:p>
    <w:p w14:paraId="68E103D1">
      <w:pPr>
        <w:ind w:firstLine="392" w:firstLineChars="200"/>
        <w:jc w:val="both"/>
        <w:rPr>
          <w:rFonts w:ascii="宋体" w:hAnsi="宋体" w:eastAsia="宋体" w:cs="宋体"/>
          <w:spacing w:val="8"/>
          <w:sz w:val="18"/>
          <w:szCs w:val="18"/>
          <w:lang w:eastAsia="zh-CN"/>
        </w:rPr>
      </w:pPr>
      <w:r>
        <w:rPr>
          <w:rFonts w:hint="eastAsia" w:ascii="宋体" w:hAnsi="宋体" w:eastAsia="宋体" w:cs="宋体"/>
          <w:b/>
          <w:bCs/>
          <w:spacing w:val="8"/>
          <w:sz w:val="18"/>
          <w:szCs w:val="18"/>
          <w:lang w:eastAsia="zh-CN"/>
        </w:rPr>
        <w:t>注1：</w:t>
      </w:r>
      <w:r>
        <w:rPr>
          <w:rFonts w:hint="eastAsia" w:ascii="宋体" w:hAnsi="宋体" w:eastAsia="宋体" w:cs="宋体"/>
          <w:spacing w:val="8"/>
          <w:sz w:val="18"/>
          <w:szCs w:val="18"/>
          <w:lang w:eastAsia="zh-CN"/>
        </w:rPr>
        <w:t>合同工具是指双方之间签订，用于出售和购买能源的任意形式的合约。如能源属性证书、电力交易合同等。报告实体可根据目标用户的需求选择合同工具的类型。</w:t>
      </w:r>
    </w:p>
    <w:p w14:paraId="1B5C5F8A">
      <w:pPr>
        <w:ind w:firstLine="392" w:firstLineChars="200"/>
        <w:jc w:val="both"/>
        <w:rPr>
          <w:rFonts w:ascii="宋体" w:hAnsi="宋体" w:eastAsia="宋体" w:cs="宋体"/>
          <w:spacing w:val="8"/>
          <w:sz w:val="18"/>
          <w:szCs w:val="18"/>
          <w:lang w:eastAsia="zh-CN"/>
        </w:rPr>
      </w:pPr>
      <w:r>
        <w:rPr>
          <w:rFonts w:hint="eastAsia" w:ascii="宋体" w:hAnsi="宋体" w:eastAsia="宋体" w:cs="宋体"/>
          <w:b/>
          <w:bCs/>
          <w:spacing w:val="8"/>
          <w:sz w:val="18"/>
          <w:szCs w:val="18"/>
          <w:lang w:eastAsia="zh-CN"/>
        </w:rPr>
        <w:t>注2：</w:t>
      </w:r>
      <w:r>
        <w:rPr>
          <w:rFonts w:hint="eastAsia" w:ascii="宋体" w:hAnsi="宋体" w:eastAsia="宋体" w:cs="宋体"/>
          <w:spacing w:val="8"/>
          <w:sz w:val="18"/>
          <w:szCs w:val="18"/>
          <w:lang w:eastAsia="zh-CN"/>
        </w:rPr>
        <w:t>发电机特征信息包括设备的登记名称、所有者和产生的能源性质、发电量和提供的可再生能源等。</w:t>
      </w:r>
    </w:p>
    <w:p w14:paraId="41C9F937">
      <w:pPr>
        <w:ind w:firstLine="392" w:firstLineChars="200"/>
        <w:jc w:val="both"/>
        <w:rPr>
          <w:rFonts w:ascii="宋体" w:hAnsi="宋体" w:eastAsia="宋体" w:cs="宋体"/>
          <w:spacing w:val="8"/>
          <w:sz w:val="18"/>
          <w:szCs w:val="18"/>
          <w:lang w:eastAsia="zh-CN"/>
        </w:rPr>
      </w:pPr>
      <w:r>
        <w:rPr>
          <w:rFonts w:hint="eastAsia" w:ascii="宋体" w:hAnsi="宋体" w:eastAsia="宋体" w:cs="宋体"/>
          <w:b/>
          <w:bCs/>
          <w:spacing w:val="8"/>
          <w:sz w:val="18"/>
          <w:szCs w:val="18"/>
          <w:lang w:eastAsia="zh-CN"/>
        </w:rPr>
        <w:t>注3：</w:t>
      </w:r>
      <w:r>
        <w:rPr>
          <w:rFonts w:hint="eastAsia" w:ascii="宋体" w:hAnsi="宋体" w:eastAsia="宋体" w:cs="宋体"/>
          <w:spacing w:val="8"/>
          <w:sz w:val="18"/>
          <w:szCs w:val="18"/>
          <w:lang w:eastAsia="zh-CN"/>
        </w:rPr>
        <w:t>如果难以获得电力供应系统内某一过程的具体生命周期数据，可使用公认数据库［如来自生态环境部、联合国环境规划署（UNEP）或联合国气候变化框架公约（UNFCCC）等中的数据］。</w:t>
      </w:r>
    </w:p>
    <w:p w14:paraId="7C6A82C7">
      <w:pPr>
        <w:ind w:firstLine="392" w:firstLineChars="200"/>
        <w:jc w:val="both"/>
        <w:rPr>
          <w:rFonts w:ascii="宋体" w:hAnsi="宋体" w:eastAsia="宋体" w:cs="宋体"/>
          <w:spacing w:val="8"/>
          <w:sz w:val="18"/>
          <w:szCs w:val="18"/>
          <w:lang w:eastAsia="zh-CN"/>
        </w:rPr>
      </w:pPr>
      <w:r>
        <w:rPr>
          <w:rFonts w:hint="eastAsia" w:ascii="宋体" w:hAnsi="宋体" w:eastAsia="宋体" w:cs="宋体"/>
          <w:spacing w:val="8"/>
          <w:sz w:val="18"/>
          <w:szCs w:val="18"/>
          <w:lang w:eastAsia="zh-CN"/>
        </w:rPr>
        <w:t>如果非化石能源电力证书在出售时不直接与电力本身关联，来自非化石能源的部分电力作为非化石电力出售，但没有被排除在电网组合排放因子之外，在这种情况下，应使用电力跟踪系统开展相关消费电网组合分析，并在产品碳足迹报告中进行单独报告，以此来展示结果的差异。</w:t>
      </w:r>
    </w:p>
    <w:p w14:paraId="1D27F74B">
      <w:pPr>
        <w:pStyle w:val="2"/>
        <w:spacing w:before="159" w:line="254" w:lineRule="exact"/>
        <w:ind w:left="5"/>
        <w:outlineLvl w:val="1"/>
        <w:rPr>
          <w:sz w:val="19"/>
          <w:szCs w:val="19"/>
          <w:lang w:eastAsia="zh-CN"/>
        </w:rPr>
      </w:pPr>
      <w:bookmarkStart w:id="82" w:name="bookmark32"/>
      <w:bookmarkEnd w:id="82"/>
      <w:bookmarkStart w:id="83" w:name="bookmark31"/>
      <w:bookmarkEnd w:id="83"/>
      <w:bookmarkStart w:id="84" w:name="_Toc28131"/>
      <w:r>
        <w:rPr>
          <w:color w:val="231F20"/>
          <w:spacing w:val="9"/>
          <w:position w:val="1"/>
          <w:sz w:val="19"/>
          <w:szCs w:val="19"/>
          <w:lang w:eastAsia="zh-CN"/>
        </w:rPr>
        <w:t>7.2</w:t>
      </w:r>
      <w:r>
        <w:rPr>
          <w:color w:val="231F20"/>
          <w:spacing w:val="8"/>
          <w:position w:val="1"/>
          <w:sz w:val="19"/>
          <w:szCs w:val="19"/>
          <w:lang w:eastAsia="zh-CN"/>
        </w:rPr>
        <w:t xml:space="preserve"> </w:t>
      </w:r>
      <w:r>
        <w:rPr>
          <w:color w:val="231F20"/>
          <w:spacing w:val="9"/>
          <w:position w:val="1"/>
          <w:sz w:val="19"/>
          <w:szCs w:val="19"/>
          <w:lang w:eastAsia="zh-CN"/>
        </w:rPr>
        <w:t>数据审定</w:t>
      </w:r>
      <w:bookmarkEnd w:id="84"/>
    </w:p>
    <w:p w14:paraId="2146BA69">
      <w:pPr>
        <w:ind w:firstLine="432" w:firstLineChars="200"/>
        <w:rPr>
          <w:rFonts w:ascii="宋体" w:hAnsi="宋体" w:eastAsia="宋体" w:cs="宋体"/>
          <w:spacing w:val="8"/>
          <w:sz w:val="20"/>
          <w:szCs w:val="20"/>
          <w:lang w:eastAsia="zh-CN"/>
        </w:rPr>
      </w:pPr>
    </w:p>
    <w:p w14:paraId="316A1088">
      <w:pPr>
        <w:ind w:firstLine="432" w:firstLineChars="200"/>
        <w:jc w:val="both"/>
        <w:rPr>
          <w:rFonts w:ascii="宋体" w:hAnsi="宋体" w:eastAsia="宋体" w:cs="宋体"/>
          <w:spacing w:val="8"/>
          <w:sz w:val="20"/>
          <w:szCs w:val="20"/>
          <w:lang w:eastAsia="zh-CN"/>
        </w:rPr>
      </w:pPr>
      <w:r>
        <w:rPr>
          <w:rFonts w:hint="eastAsia" w:ascii="宋体" w:hAnsi="宋体" w:eastAsia="宋体" w:cs="宋体"/>
          <w:spacing w:val="8"/>
          <w:sz w:val="20"/>
          <w:szCs w:val="20"/>
          <w:lang w:eastAsia="zh-CN"/>
        </w:rPr>
        <w:t>在数据收集过程中应对数据的有效性进行检查，以确认并提供证据证明数据质量要求符合第6章的规定。</w:t>
      </w:r>
    </w:p>
    <w:p w14:paraId="4D0908B2">
      <w:pPr>
        <w:ind w:firstLine="432" w:firstLineChars="200"/>
        <w:jc w:val="both"/>
        <w:rPr>
          <w:rFonts w:ascii="宋体" w:hAnsi="宋体" w:eastAsia="宋体" w:cs="宋体"/>
          <w:spacing w:val="8"/>
          <w:sz w:val="20"/>
          <w:szCs w:val="20"/>
          <w:lang w:eastAsia="zh-CN"/>
        </w:rPr>
      </w:pPr>
      <w:r>
        <w:rPr>
          <w:rFonts w:hint="eastAsia" w:ascii="宋体" w:hAnsi="宋体" w:eastAsia="宋体" w:cs="宋体"/>
          <w:spacing w:val="8"/>
          <w:sz w:val="20"/>
          <w:szCs w:val="20"/>
          <w:lang w:eastAsia="zh-CN"/>
        </w:rPr>
        <w:t>数据审定可通过建立质量平衡、能量平衡、碳平衡和（或）排放因子的比较分析或其他适当的方法。由于每个单元过程均遵守物质和能量守恒定律，因此物质和能量的平衡能为单元过程描述的准确性提供有效的检查。</w:t>
      </w:r>
    </w:p>
    <w:p w14:paraId="6E9F85F4">
      <w:pPr>
        <w:ind w:firstLine="432" w:firstLineChars="200"/>
        <w:jc w:val="both"/>
        <w:rPr>
          <w:rFonts w:ascii="宋体" w:hAnsi="宋体" w:eastAsia="宋体" w:cs="宋体"/>
          <w:spacing w:val="8"/>
          <w:sz w:val="20"/>
          <w:szCs w:val="20"/>
          <w:lang w:eastAsia="zh-CN"/>
        </w:rPr>
      </w:pPr>
      <w:r>
        <w:rPr>
          <w:rFonts w:hint="eastAsia" w:ascii="宋体" w:hAnsi="宋体" w:eastAsia="宋体" w:cs="宋体"/>
          <w:spacing w:val="8"/>
          <w:sz w:val="20"/>
          <w:szCs w:val="20"/>
          <w:lang w:eastAsia="zh-CN"/>
        </w:rPr>
        <w:t>数据审定可参考行业平均值、检验标准值等常规数据进行交叉审定。</w:t>
      </w:r>
    </w:p>
    <w:p w14:paraId="78E2D40E">
      <w:pPr>
        <w:pStyle w:val="2"/>
        <w:spacing w:before="193" w:line="255" w:lineRule="exact"/>
        <w:ind w:left="5"/>
        <w:outlineLvl w:val="1"/>
        <w:rPr>
          <w:sz w:val="19"/>
          <w:szCs w:val="19"/>
          <w:lang w:eastAsia="zh-CN"/>
        </w:rPr>
      </w:pPr>
      <w:bookmarkStart w:id="85" w:name="bookmark34"/>
      <w:bookmarkEnd w:id="85"/>
      <w:bookmarkStart w:id="86" w:name="bookmark33"/>
      <w:bookmarkEnd w:id="86"/>
      <w:bookmarkStart w:id="87" w:name="_Toc23610"/>
      <w:r>
        <w:rPr>
          <w:color w:val="231F20"/>
          <w:spacing w:val="8"/>
          <w:position w:val="1"/>
          <w:sz w:val="19"/>
          <w:szCs w:val="19"/>
          <w:lang w:eastAsia="zh-CN"/>
        </w:rPr>
        <w:t>7.3</w:t>
      </w:r>
      <w:r>
        <w:rPr>
          <w:color w:val="231F20"/>
          <w:spacing w:val="9"/>
          <w:position w:val="1"/>
          <w:sz w:val="19"/>
          <w:szCs w:val="19"/>
          <w:lang w:eastAsia="zh-CN"/>
        </w:rPr>
        <w:t xml:space="preserve"> </w:t>
      </w:r>
      <w:r>
        <w:rPr>
          <w:color w:val="231F20"/>
          <w:spacing w:val="8"/>
          <w:position w:val="1"/>
          <w:sz w:val="19"/>
          <w:szCs w:val="19"/>
          <w:lang w:eastAsia="zh-CN"/>
        </w:rPr>
        <w:t>数据分配</w:t>
      </w:r>
      <w:bookmarkEnd w:id="87"/>
    </w:p>
    <w:p w14:paraId="30EE0503">
      <w:pPr>
        <w:ind w:firstLine="432" w:firstLineChars="200"/>
        <w:rPr>
          <w:rFonts w:ascii="宋体" w:hAnsi="宋体" w:eastAsia="宋体" w:cs="宋体"/>
          <w:spacing w:val="8"/>
          <w:sz w:val="20"/>
          <w:szCs w:val="20"/>
          <w:lang w:eastAsia="zh-CN"/>
        </w:rPr>
      </w:pPr>
    </w:p>
    <w:p w14:paraId="36431B88">
      <w:pPr>
        <w:ind w:firstLine="432" w:firstLineChars="200"/>
        <w:jc w:val="both"/>
        <w:rPr>
          <w:rFonts w:ascii="宋体" w:hAnsi="宋体" w:eastAsia="宋体" w:cs="宋体"/>
          <w:spacing w:val="8"/>
          <w:sz w:val="20"/>
          <w:szCs w:val="20"/>
          <w:lang w:eastAsia="zh-CN"/>
        </w:rPr>
      </w:pPr>
      <w:r>
        <w:rPr>
          <w:rFonts w:hint="eastAsia" w:ascii="宋体" w:hAnsi="宋体" w:eastAsia="宋体" w:cs="宋体"/>
          <w:spacing w:val="8"/>
          <w:sz w:val="20"/>
          <w:szCs w:val="20"/>
          <w:lang w:eastAsia="zh-CN"/>
        </w:rPr>
        <w:t>数据分配的原则是以输入和输出之间的物质平衡为基础，一个单元过程分配的输入和输出总和应与其分配前的输入和输出相等。应根据明确规定的分配程序将输入和输出分配到不同的产品中。纯碱产品优先采用的数据分配方法如下：</w:t>
      </w:r>
    </w:p>
    <w:p w14:paraId="47840945">
      <w:pPr>
        <w:ind w:firstLine="432" w:firstLineChars="200"/>
        <w:jc w:val="both"/>
        <w:rPr>
          <w:rFonts w:ascii="宋体" w:hAnsi="宋体" w:eastAsia="宋体" w:cs="宋体"/>
          <w:spacing w:val="8"/>
          <w:sz w:val="20"/>
          <w:szCs w:val="20"/>
          <w:lang w:eastAsia="zh-CN"/>
        </w:rPr>
      </w:pPr>
      <w:r>
        <w:rPr>
          <w:rFonts w:hint="eastAsia" w:ascii="宋体" w:hAnsi="宋体" w:eastAsia="宋体" w:cs="宋体"/>
          <w:spacing w:val="8"/>
          <w:sz w:val="20"/>
          <w:szCs w:val="20"/>
          <w:lang w:eastAsia="zh-CN"/>
        </w:rPr>
        <w:t>a）细分法：将拟分配的单元过程进一步划分为两个或更多的子过程，并收集与这些子过程相关的输入和输出数据；</w:t>
      </w:r>
    </w:p>
    <w:p w14:paraId="2F64863E">
      <w:pPr>
        <w:ind w:firstLine="432" w:firstLineChars="200"/>
        <w:jc w:val="both"/>
        <w:rPr>
          <w:rFonts w:ascii="宋体" w:hAnsi="宋体" w:eastAsia="宋体" w:cs="宋体"/>
          <w:spacing w:val="8"/>
          <w:sz w:val="20"/>
          <w:szCs w:val="20"/>
          <w:lang w:eastAsia="zh-CN"/>
        </w:rPr>
      </w:pPr>
      <w:r>
        <w:rPr>
          <w:rFonts w:hint="eastAsia" w:ascii="宋体" w:hAnsi="宋体" w:eastAsia="宋体" w:cs="宋体"/>
          <w:spacing w:val="8"/>
          <w:sz w:val="20"/>
          <w:szCs w:val="20"/>
          <w:lang w:eastAsia="zh-CN"/>
        </w:rPr>
        <w:t>b）扩展法：将产品系统加以扩展，从而抵扣功能单位等同产品生产造成的环境影响；</w:t>
      </w:r>
    </w:p>
    <w:p w14:paraId="3E7EBAC3">
      <w:pPr>
        <w:ind w:firstLine="432" w:firstLineChars="200"/>
        <w:jc w:val="both"/>
        <w:rPr>
          <w:rFonts w:ascii="宋体" w:hAnsi="宋体" w:eastAsia="宋体" w:cs="宋体"/>
          <w:spacing w:val="8"/>
          <w:sz w:val="20"/>
          <w:szCs w:val="20"/>
          <w:lang w:eastAsia="zh-CN"/>
        </w:rPr>
      </w:pPr>
      <w:r>
        <w:rPr>
          <w:rFonts w:hint="eastAsia" w:ascii="宋体" w:hAnsi="宋体" w:eastAsia="宋体" w:cs="宋体"/>
          <w:spacing w:val="8"/>
          <w:sz w:val="20"/>
          <w:szCs w:val="20"/>
          <w:lang w:eastAsia="zh-CN"/>
        </w:rPr>
        <w:t>c）分配法：根据物理属性（例如质量、工时）或产品经济价值等参数，按比例将输入输出数据分配到共生产品。</w:t>
      </w:r>
    </w:p>
    <w:p w14:paraId="1ECF9432">
      <w:pPr>
        <w:ind w:firstLine="432" w:firstLineChars="200"/>
        <w:jc w:val="both"/>
        <w:rPr>
          <w:rFonts w:ascii="宋体" w:hAnsi="宋体" w:eastAsia="宋体" w:cs="宋体"/>
          <w:spacing w:val="8"/>
          <w:sz w:val="20"/>
          <w:szCs w:val="20"/>
          <w:lang w:eastAsia="zh-CN"/>
        </w:rPr>
      </w:pPr>
      <w:r>
        <w:rPr>
          <w:rFonts w:hint="eastAsia" w:ascii="宋体" w:hAnsi="宋体" w:eastAsia="宋体" w:cs="宋体"/>
          <w:spacing w:val="8"/>
          <w:sz w:val="20"/>
          <w:szCs w:val="20"/>
          <w:lang w:eastAsia="zh-CN"/>
        </w:rPr>
        <w:t>原则上宜尽量避免数据分配，当同时有几种备选分配程序时，应通过敏感性分析阐明偏离所选方法产生的影响。</w:t>
      </w:r>
    </w:p>
    <w:p w14:paraId="1C751556">
      <w:pPr>
        <w:pStyle w:val="2"/>
        <w:tabs>
          <w:tab w:val="left" w:pos="7980"/>
        </w:tabs>
        <w:spacing w:before="200" w:line="253" w:lineRule="exact"/>
        <w:ind w:left="11"/>
        <w:outlineLvl w:val="1"/>
        <w:rPr>
          <w:sz w:val="19"/>
          <w:szCs w:val="19"/>
          <w:lang w:eastAsia="zh-CN"/>
        </w:rPr>
      </w:pPr>
      <w:bookmarkStart w:id="88" w:name="bookmark36"/>
      <w:bookmarkEnd w:id="88"/>
      <w:bookmarkStart w:id="89" w:name="bookmark35"/>
      <w:bookmarkEnd w:id="89"/>
      <w:bookmarkStart w:id="90" w:name="_Toc7630"/>
      <w:r>
        <w:rPr>
          <w:color w:val="231F20"/>
          <w:spacing w:val="11"/>
          <w:position w:val="1"/>
          <w:sz w:val="19"/>
          <w:szCs w:val="19"/>
          <w:lang w:eastAsia="zh-CN"/>
        </w:rPr>
        <w:t>7.4</w:t>
      </w:r>
      <w:r>
        <w:rPr>
          <w:color w:val="231F20"/>
          <w:spacing w:val="8"/>
          <w:position w:val="1"/>
          <w:sz w:val="19"/>
          <w:szCs w:val="19"/>
          <w:lang w:eastAsia="zh-CN"/>
        </w:rPr>
        <w:t xml:space="preserve"> </w:t>
      </w:r>
      <w:r>
        <w:rPr>
          <w:color w:val="231F20"/>
          <w:spacing w:val="11"/>
          <w:position w:val="1"/>
          <w:sz w:val="19"/>
          <w:szCs w:val="19"/>
          <w:lang w:eastAsia="zh-CN"/>
        </w:rPr>
        <w:t>数据取舍原则</w:t>
      </w:r>
      <w:bookmarkEnd w:id="90"/>
    </w:p>
    <w:p w14:paraId="52C04F8B">
      <w:pPr>
        <w:ind w:firstLine="432" w:firstLineChars="200"/>
        <w:rPr>
          <w:rFonts w:ascii="宋体" w:hAnsi="宋体" w:eastAsia="宋体" w:cs="宋体"/>
          <w:spacing w:val="8"/>
          <w:sz w:val="20"/>
          <w:szCs w:val="20"/>
          <w:lang w:eastAsia="zh-CN"/>
        </w:rPr>
      </w:pPr>
    </w:p>
    <w:p w14:paraId="36B87664">
      <w:pPr>
        <w:ind w:firstLine="432" w:firstLineChars="200"/>
        <w:jc w:val="both"/>
        <w:rPr>
          <w:rFonts w:ascii="宋体" w:hAnsi="宋体" w:eastAsia="宋体" w:cs="宋体"/>
          <w:spacing w:val="8"/>
          <w:sz w:val="20"/>
          <w:szCs w:val="20"/>
          <w:lang w:eastAsia="zh-CN"/>
        </w:rPr>
      </w:pPr>
      <w:r>
        <w:rPr>
          <w:rFonts w:hint="eastAsia" w:ascii="宋体" w:hAnsi="宋体" w:eastAsia="宋体" w:cs="宋体"/>
          <w:spacing w:val="8"/>
          <w:sz w:val="20"/>
          <w:szCs w:val="20"/>
          <w:lang w:eastAsia="zh-CN"/>
        </w:rPr>
        <w:t>本文件涉及的物质（能量）数据的取舍原则如下：</w:t>
      </w:r>
    </w:p>
    <w:p w14:paraId="5DA2AD92">
      <w:pPr>
        <w:ind w:firstLine="432" w:firstLineChars="200"/>
        <w:jc w:val="both"/>
        <w:rPr>
          <w:rFonts w:ascii="宋体" w:hAnsi="宋体" w:eastAsia="宋体" w:cs="宋体"/>
          <w:spacing w:val="8"/>
          <w:sz w:val="20"/>
          <w:szCs w:val="20"/>
          <w:lang w:eastAsia="zh-CN"/>
        </w:rPr>
      </w:pPr>
      <w:r>
        <w:rPr>
          <w:rFonts w:hint="eastAsia" w:ascii="宋体" w:hAnsi="宋体" w:eastAsia="宋体" w:cs="宋体"/>
          <w:spacing w:val="8"/>
          <w:sz w:val="20"/>
          <w:szCs w:val="20"/>
          <w:lang w:eastAsia="zh-CN"/>
        </w:rPr>
        <w:t>a）能源的所有输入均需列出；</w:t>
      </w:r>
    </w:p>
    <w:p w14:paraId="44E9B2AC">
      <w:pPr>
        <w:ind w:firstLine="432" w:firstLineChars="200"/>
        <w:jc w:val="both"/>
        <w:rPr>
          <w:rFonts w:ascii="宋体" w:hAnsi="宋体" w:eastAsia="宋体" w:cs="宋体"/>
          <w:spacing w:val="8"/>
          <w:sz w:val="20"/>
          <w:szCs w:val="20"/>
          <w:lang w:eastAsia="zh-CN"/>
        </w:rPr>
      </w:pPr>
      <w:r>
        <w:rPr>
          <w:rFonts w:hint="eastAsia" w:ascii="宋体" w:hAnsi="宋体" w:eastAsia="宋体" w:cs="宋体"/>
          <w:spacing w:val="8"/>
          <w:sz w:val="20"/>
          <w:szCs w:val="20"/>
          <w:lang w:eastAsia="zh-CN"/>
        </w:rPr>
        <w:t>b）原辅材料的所有输入均需列出；</w:t>
      </w:r>
    </w:p>
    <w:p w14:paraId="54785B42">
      <w:pPr>
        <w:ind w:firstLine="432" w:firstLineChars="200"/>
        <w:jc w:val="both"/>
        <w:rPr>
          <w:rFonts w:ascii="宋体" w:hAnsi="宋体" w:eastAsia="宋体" w:cs="宋体"/>
          <w:spacing w:val="8"/>
          <w:sz w:val="20"/>
          <w:szCs w:val="20"/>
          <w:lang w:eastAsia="zh-CN"/>
        </w:rPr>
      </w:pPr>
      <w:r>
        <w:rPr>
          <w:rFonts w:hint="eastAsia" w:ascii="宋体" w:hAnsi="宋体" w:eastAsia="宋体" w:cs="宋体"/>
          <w:spacing w:val="8"/>
          <w:sz w:val="20"/>
          <w:szCs w:val="20"/>
          <w:lang w:eastAsia="zh-CN"/>
        </w:rPr>
        <w:t>c）辅助材料若符合d）和e）要求则可忽略；</w:t>
      </w:r>
    </w:p>
    <w:p w14:paraId="2851C699">
      <w:pPr>
        <w:ind w:firstLine="432" w:firstLineChars="200"/>
        <w:jc w:val="both"/>
        <w:rPr>
          <w:rFonts w:ascii="宋体" w:hAnsi="宋体" w:eastAsia="宋体" w:cs="宋体"/>
          <w:spacing w:val="8"/>
          <w:sz w:val="20"/>
          <w:szCs w:val="20"/>
          <w:lang w:eastAsia="zh-CN"/>
        </w:rPr>
      </w:pPr>
      <w:r>
        <w:rPr>
          <w:rFonts w:hint="eastAsia" w:ascii="宋体" w:hAnsi="宋体" w:eastAsia="宋体" w:cs="宋体"/>
          <w:spacing w:val="8"/>
          <w:sz w:val="20"/>
          <w:szCs w:val="20"/>
          <w:lang w:eastAsia="zh-CN"/>
        </w:rPr>
        <w:t>d）忽略的单项物质（能量）流对产品碳足迹的贡献均不应超过1%；</w:t>
      </w:r>
    </w:p>
    <w:p w14:paraId="643CAA54">
      <w:pPr>
        <w:ind w:firstLine="432" w:firstLineChars="200"/>
        <w:jc w:val="both"/>
        <w:rPr>
          <w:rFonts w:ascii="宋体" w:hAnsi="宋体" w:eastAsia="宋体" w:cs="宋体"/>
          <w:spacing w:val="8"/>
          <w:sz w:val="20"/>
          <w:szCs w:val="20"/>
          <w:lang w:eastAsia="zh-CN"/>
        </w:rPr>
      </w:pPr>
      <w:r>
        <w:rPr>
          <w:rFonts w:hint="eastAsia" w:ascii="宋体" w:hAnsi="宋体" w:eastAsia="宋体" w:cs="宋体"/>
          <w:spacing w:val="8"/>
          <w:sz w:val="20"/>
          <w:szCs w:val="20"/>
          <w:lang w:eastAsia="zh-CN"/>
        </w:rPr>
        <w:t>e）所有忽略的物质（能量）流对产品碳足迹贡献总和不应超过5%，且应在产品碳足迹报告中予以说明；</w:t>
      </w:r>
    </w:p>
    <w:p w14:paraId="065F550D">
      <w:pPr>
        <w:ind w:firstLine="432" w:firstLineChars="200"/>
        <w:jc w:val="both"/>
        <w:rPr>
          <w:rFonts w:ascii="宋体" w:hAnsi="宋体" w:eastAsia="宋体" w:cs="宋体"/>
          <w:spacing w:val="8"/>
          <w:sz w:val="20"/>
          <w:szCs w:val="20"/>
          <w:lang w:eastAsia="zh-CN"/>
        </w:rPr>
      </w:pPr>
      <w:r>
        <w:rPr>
          <w:rFonts w:hint="eastAsia" w:ascii="宋体" w:hAnsi="宋体" w:eastAsia="宋体" w:cs="宋体"/>
          <w:spacing w:val="8"/>
          <w:sz w:val="20"/>
          <w:szCs w:val="20"/>
          <w:lang w:eastAsia="zh-CN"/>
        </w:rPr>
        <w:t>f）道路与厂房等基础设施、各工序设备、厂区内人员办公及生活设施的消耗和排放，均忽略。</w:t>
      </w:r>
    </w:p>
    <w:p w14:paraId="124E82DB">
      <w:pPr>
        <w:pStyle w:val="2"/>
        <w:spacing w:before="176" w:line="254" w:lineRule="exact"/>
        <w:ind w:left="11"/>
        <w:outlineLvl w:val="1"/>
        <w:rPr>
          <w:sz w:val="19"/>
          <w:szCs w:val="19"/>
          <w:lang w:eastAsia="zh-CN"/>
        </w:rPr>
      </w:pPr>
      <w:bookmarkStart w:id="91" w:name="bookmark38"/>
      <w:bookmarkEnd w:id="91"/>
      <w:bookmarkStart w:id="92" w:name="_Toc2293"/>
      <w:r>
        <w:rPr>
          <w:color w:val="231F20"/>
          <w:spacing w:val="9"/>
          <w:position w:val="1"/>
          <w:sz w:val="19"/>
          <w:szCs w:val="19"/>
          <w:lang w:eastAsia="zh-CN"/>
        </w:rPr>
        <w:t>7.5 清单计算</w:t>
      </w:r>
      <w:bookmarkEnd w:id="92"/>
    </w:p>
    <w:p w14:paraId="68FEC8B3">
      <w:pPr>
        <w:ind w:firstLine="432" w:firstLineChars="200"/>
        <w:rPr>
          <w:rFonts w:ascii="宋体" w:hAnsi="宋体" w:eastAsia="宋体" w:cs="宋体"/>
          <w:spacing w:val="8"/>
          <w:sz w:val="20"/>
          <w:szCs w:val="20"/>
          <w:lang w:eastAsia="zh-CN"/>
        </w:rPr>
      </w:pPr>
      <w:r>
        <w:rPr>
          <w:rFonts w:hint="eastAsia" w:ascii="宋体" w:hAnsi="宋体" w:eastAsia="宋体" w:cs="宋体"/>
          <w:spacing w:val="8"/>
          <w:sz w:val="20"/>
          <w:szCs w:val="20"/>
          <w:lang w:eastAsia="zh-CN"/>
        </w:rPr>
        <w:t>生命周期清单分析结果通常表现为一系列的数据表，展示每声明单位产品在每个阶段/单元过程中的资源使用量（如原辅材料和能源），以及释放到环境中的排放物（如温室气体、废弃物等）。</w:t>
      </w:r>
    </w:p>
    <w:p w14:paraId="11665D43">
      <w:pPr>
        <w:pStyle w:val="2"/>
        <w:spacing w:before="240" w:beforeLines="100" w:after="240" w:afterLines="100"/>
        <w:outlineLvl w:val="0"/>
        <w:rPr>
          <w:sz w:val="20"/>
          <w:szCs w:val="20"/>
          <w:lang w:eastAsia="zh-CN"/>
        </w:rPr>
      </w:pPr>
      <w:bookmarkStart w:id="93" w:name="bookmark39"/>
      <w:bookmarkEnd w:id="93"/>
      <w:bookmarkStart w:id="94" w:name="bookmark37"/>
      <w:bookmarkEnd w:id="94"/>
      <w:bookmarkStart w:id="95" w:name="_Toc30409"/>
      <w:r>
        <w:rPr>
          <w:rFonts w:hint="eastAsia"/>
          <w:spacing w:val="5"/>
          <w:sz w:val="20"/>
          <w:szCs w:val="20"/>
          <w:lang w:eastAsia="zh-CN"/>
        </w:rPr>
        <w:t>8</w:t>
      </w:r>
      <w:r>
        <w:rPr>
          <w:spacing w:val="17"/>
          <w:sz w:val="20"/>
          <w:szCs w:val="20"/>
          <w:lang w:eastAsia="zh-CN"/>
        </w:rPr>
        <w:t xml:space="preserve"> </w:t>
      </w:r>
      <w:r>
        <w:rPr>
          <w:rFonts w:hint="eastAsia"/>
          <w:spacing w:val="5"/>
          <w:sz w:val="20"/>
          <w:szCs w:val="20"/>
          <w:lang w:eastAsia="zh-CN"/>
        </w:rPr>
        <w:t>产品碳足迹影响</w:t>
      </w:r>
      <w:r>
        <w:rPr>
          <w:spacing w:val="5"/>
          <w:sz w:val="20"/>
          <w:szCs w:val="20"/>
          <w:lang w:eastAsia="zh-CN"/>
        </w:rPr>
        <w:t>评价</w:t>
      </w:r>
      <w:bookmarkEnd w:id="95"/>
    </w:p>
    <w:p w14:paraId="1F148BD7">
      <w:pPr>
        <w:pStyle w:val="15"/>
        <w:numPr>
          <w:ilvl w:val="3"/>
          <w:numId w:val="0"/>
        </w:numPr>
        <w:spacing w:before="120" w:after="120"/>
        <w:outlineLvl w:val="1"/>
        <w:rPr>
          <w:rFonts w:ascii="Times New Roman"/>
          <w:sz w:val="20"/>
          <w:szCs w:val="18"/>
        </w:rPr>
      </w:pPr>
      <w:bookmarkStart w:id="96" w:name="_Toc8871"/>
      <w:r>
        <w:rPr>
          <w:rFonts w:hint="eastAsia" w:ascii="Times New Roman"/>
          <w:sz w:val="20"/>
          <w:szCs w:val="18"/>
        </w:rPr>
        <w:t>8.1通则</w:t>
      </w:r>
      <w:bookmarkEnd w:id="96"/>
    </w:p>
    <w:p w14:paraId="724568EE">
      <w:pPr>
        <w:ind w:firstLine="432" w:firstLineChars="200"/>
        <w:jc w:val="both"/>
        <w:rPr>
          <w:rFonts w:ascii="宋体" w:hAnsi="宋体" w:eastAsia="宋体" w:cs="宋体"/>
          <w:spacing w:val="8"/>
          <w:sz w:val="20"/>
          <w:szCs w:val="20"/>
          <w:lang w:eastAsia="zh-CN"/>
        </w:rPr>
      </w:pPr>
      <w:r>
        <w:rPr>
          <w:rFonts w:hint="eastAsia" w:ascii="宋体" w:hAnsi="宋体" w:eastAsia="宋体" w:cs="宋体"/>
          <w:spacing w:val="8"/>
          <w:sz w:val="20"/>
          <w:szCs w:val="20"/>
          <w:lang w:eastAsia="zh-CN"/>
        </w:rPr>
        <w:t>应通过排放或清除的GHG的质量乘以IPCC给出的100年GWP（见附录D），来计算产品每种GHG排放和清除的潜在气候变化影响，以tCO2e/（t排放量）计。</w:t>
      </w:r>
    </w:p>
    <w:p w14:paraId="6BD76AA5">
      <w:pPr>
        <w:ind w:firstLine="392" w:firstLineChars="200"/>
        <w:jc w:val="both"/>
        <w:rPr>
          <w:rFonts w:ascii="宋体" w:hAnsi="宋体" w:eastAsia="宋体" w:cs="宋体"/>
          <w:spacing w:val="8"/>
          <w:sz w:val="18"/>
          <w:szCs w:val="18"/>
          <w:lang w:eastAsia="zh-CN"/>
        </w:rPr>
      </w:pPr>
      <w:r>
        <w:rPr>
          <w:rFonts w:hint="eastAsia" w:ascii="宋体" w:hAnsi="宋体" w:eastAsia="宋体" w:cs="宋体"/>
          <w:b/>
          <w:bCs/>
          <w:spacing w:val="8"/>
          <w:sz w:val="18"/>
          <w:szCs w:val="18"/>
          <w:lang w:eastAsia="zh-CN"/>
        </w:rPr>
        <w:t>注1：</w:t>
      </w:r>
      <w:r>
        <w:rPr>
          <w:rFonts w:hint="eastAsia" w:ascii="宋体" w:hAnsi="宋体" w:eastAsia="宋体" w:cs="宋体"/>
          <w:spacing w:val="8"/>
          <w:sz w:val="18"/>
          <w:szCs w:val="18"/>
          <w:lang w:eastAsia="zh-CN"/>
        </w:rPr>
        <w:t>产品碳足迹为所有GHG潜在气候变化影响的总和。</w:t>
      </w:r>
    </w:p>
    <w:p w14:paraId="42232345">
      <w:pPr>
        <w:ind w:firstLine="392" w:firstLineChars="200"/>
        <w:jc w:val="both"/>
        <w:rPr>
          <w:rFonts w:ascii="宋体" w:hAnsi="宋体" w:eastAsia="宋体" w:cs="宋体"/>
          <w:spacing w:val="8"/>
          <w:sz w:val="18"/>
          <w:szCs w:val="18"/>
          <w:lang w:eastAsia="zh-CN"/>
        </w:rPr>
      </w:pPr>
      <w:r>
        <w:rPr>
          <w:rFonts w:hint="eastAsia" w:ascii="宋体" w:hAnsi="宋体" w:eastAsia="宋体" w:cs="宋体"/>
          <w:spacing w:val="8"/>
          <w:sz w:val="18"/>
          <w:szCs w:val="18"/>
          <w:lang w:eastAsia="zh-CN"/>
        </w:rPr>
        <w:t>若IPCC修订了GWP，应使用最新数值，否则应在报告中说明。</w:t>
      </w:r>
    </w:p>
    <w:p w14:paraId="590CD420">
      <w:pPr>
        <w:ind w:firstLine="392" w:firstLineChars="200"/>
        <w:jc w:val="both"/>
        <w:rPr>
          <w:rFonts w:ascii="宋体" w:hAnsi="宋体" w:eastAsia="宋体" w:cs="宋体"/>
          <w:spacing w:val="8"/>
          <w:sz w:val="18"/>
          <w:szCs w:val="18"/>
          <w:lang w:eastAsia="zh-CN"/>
        </w:rPr>
      </w:pPr>
      <w:r>
        <w:rPr>
          <w:rFonts w:hint="eastAsia" w:ascii="宋体" w:hAnsi="宋体" w:eastAsia="宋体" w:cs="宋体"/>
          <w:spacing w:val="8"/>
          <w:sz w:val="18"/>
          <w:szCs w:val="18"/>
          <w:lang w:eastAsia="zh-CN"/>
        </w:rPr>
        <w:t>除GWP100外，还可以使用IPCC提供的其他时间范围的GWP和GTP，但宜单独报告。</w:t>
      </w:r>
    </w:p>
    <w:p w14:paraId="5C32A318">
      <w:pPr>
        <w:ind w:firstLine="392" w:firstLineChars="200"/>
        <w:jc w:val="both"/>
        <w:rPr>
          <w:rFonts w:ascii="宋体" w:hAnsi="宋体" w:eastAsia="宋体" w:cs="宋体"/>
          <w:spacing w:val="8"/>
          <w:sz w:val="20"/>
          <w:szCs w:val="20"/>
          <w:lang w:eastAsia="zh-CN"/>
        </w:rPr>
      </w:pPr>
      <w:r>
        <w:rPr>
          <w:rFonts w:hint="eastAsia" w:ascii="宋体" w:hAnsi="宋体" w:eastAsia="宋体" w:cs="宋体"/>
          <w:b/>
          <w:bCs/>
          <w:spacing w:val="8"/>
          <w:sz w:val="18"/>
          <w:szCs w:val="18"/>
          <w:lang w:eastAsia="zh-CN"/>
        </w:rPr>
        <w:t>注2：</w:t>
      </w:r>
      <w:r>
        <w:rPr>
          <w:rFonts w:hint="eastAsia" w:ascii="宋体" w:hAnsi="宋体" w:eastAsia="宋体" w:cs="宋体"/>
          <w:spacing w:val="8"/>
          <w:sz w:val="18"/>
          <w:szCs w:val="18"/>
          <w:lang w:eastAsia="zh-CN"/>
        </w:rPr>
        <w:t>GWP100代表短期的气候变化影响，可反映变暖速度。100年GTP代表长期的气候变化影响，可反映长期温升。与其他时间范围相比，选择100年的时间范围并无任何科学依据。该时间范围是国际公约的一个价值判断，它权衡了不同时间范围内可能发生的影响。</w:t>
      </w:r>
    </w:p>
    <w:p w14:paraId="1DA7B6E6">
      <w:pPr>
        <w:pStyle w:val="2"/>
        <w:spacing w:before="170" w:line="253" w:lineRule="exact"/>
        <w:ind w:left="11"/>
        <w:outlineLvl w:val="1"/>
        <w:rPr>
          <w:sz w:val="19"/>
          <w:szCs w:val="19"/>
          <w:lang w:eastAsia="zh-CN"/>
        </w:rPr>
      </w:pPr>
      <w:bookmarkStart w:id="97" w:name="bookmark44"/>
      <w:bookmarkEnd w:id="97"/>
      <w:bookmarkStart w:id="98" w:name="bookmark43"/>
      <w:bookmarkEnd w:id="98"/>
      <w:bookmarkStart w:id="99" w:name="_Toc30062"/>
      <w:r>
        <w:rPr>
          <w:color w:val="231F20"/>
          <w:spacing w:val="12"/>
          <w:position w:val="1"/>
          <w:sz w:val="19"/>
          <w:szCs w:val="19"/>
          <w:lang w:eastAsia="zh-CN"/>
        </w:rPr>
        <w:t>8.2 产品碳足迹计算方法</w:t>
      </w:r>
      <w:bookmarkEnd w:id="99"/>
    </w:p>
    <w:p w14:paraId="46204D9A">
      <w:pPr>
        <w:ind w:firstLine="432" w:firstLineChars="200"/>
        <w:rPr>
          <w:rFonts w:ascii="宋体" w:hAnsi="宋体" w:eastAsia="宋体" w:cs="宋体"/>
          <w:spacing w:val="8"/>
          <w:sz w:val="20"/>
          <w:szCs w:val="20"/>
          <w:lang w:eastAsia="zh-CN"/>
        </w:rPr>
      </w:pPr>
      <w:r>
        <w:rPr>
          <w:rFonts w:hint="eastAsia" w:ascii="宋体" w:hAnsi="宋体" w:eastAsia="宋体" w:cs="宋体"/>
          <w:spacing w:val="8"/>
          <w:sz w:val="20"/>
          <w:szCs w:val="20"/>
          <w:lang w:eastAsia="zh-CN"/>
        </w:rPr>
        <w:t>纯碱及相关产品碳足迹计算方法见公式（1）：</w:t>
      </w:r>
    </w:p>
    <w:p w14:paraId="604DE1B0">
      <w:pPr>
        <w:pStyle w:val="2"/>
        <w:spacing w:before="1" w:line="234" w:lineRule="auto"/>
        <w:jc w:val="right"/>
        <w:rPr>
          <w:rFonts w:ascii="微软雅黑" w:hAnsi="微软雅黑" w:eastAsia="微软雅黑" w:cs="微软雅黑"/>
          <w:sz w:val="19"/>
          <w:szCs w:val="19"/>
        </w:rPr>
      </w:pPr>
      <w:r>
        <w:rPr>
          <w:rFonts w:ascii="Arial" w:hAnsi="Arial" w:eastAsia="Arial" w:cs="Arial"/>
          <w:i/>
          <w:iCs/>
          <w:color w:val="231F20"/>
          <w:position w:val="1"/>
          <w:sz w:val="19"/>
          <w:szCs w:val="19"/>
        </w:rPr>
        <w:t>CFP</w:t>
      </w:r>
      <w:r>
        <w:rPr>
          <w:color w:val="231F20"/>
          <w:position w:val="-1"/>
          <w:sz w:val="15"/>
          <w:szCs w:val="15"/>
        </w:rPr>
        <w:t>GHG</w:t>
      </w:r>
      <w:r>
        <w:rPr>
          <w:color w:val="231F20"/>
          <w:spacing w:val="35"/>
          <w:w w:val="102"/>
          <w:position w:val="-1"/>
          <w:sz w:val="15"/>
          <w:szCs w:val="15"/>
        </w:rPr>
        <w:t xml:space="preserve"> </w:t>
      </w:r>
      <w:r>
        <w:rPr>
          <w:color w:val="231F20"/>
          <w:spacing w:val="19"/>
          <w:position w:val="1"/>
          <w:sz w:val="19"/>
          <w:szCs w:val="19"/>
        </w:rPr>
        <w:t>=</w:t>
      </w:r>
      <w:r>
        <w:rPr>
          <w:color w:val="231F20"/>
          <w:spacing w:val="-7"/>
          <w:position w:val="1"/>
          <w:sz w:val="19"/>
          <w:szCs w:val="19"/>
        </w:rPr>
        <w:t xml:space="preserve"> </w:t>
      </w:r>
      <w:r>
        <w:rPr>
          <w:position w:val="-19"/>
          <w:sz w:val="19"/>
          <w:szCs w:val="19"/>
        </w:rPr>
        <w:drawing>
          <wp:inline distT="0" distB="0" distL="0" distR="0">
            <wp:extent cx="160655" cy="273685"/>
            <wp:effectExtent l="0" t="0" r="10795" b="12700"/>
            <wp:docPr id="42" name="IM 42"/>
            <wp:cNvGraphicFramePr/>
            <a:graphic xmlns:a="http://schemas.openxmlformats.org/drawingml/2006/main">
              <a:graphicData uri="http://schemas.openxmlformats.org/drawingml/2006/picture">
                <pic:pic xmlns:pic="http://schemas.openxmlformats.org/drawingml/2006/picture">
                  <pic:nvPicPr>
                    <pic:cNvPr id="42" name="IM 42"/>
                    <pic:cNvPicPr/>
                  </pic:nvPicPr>
                  <pic:blipFill>
                    <a:blip r:embed="rId17"/>
                    <a:stretch>
                      <a:fillRect/>
                    </a:stretch>
                  </pic:blipFill>
                  <pic:spPr>
                    <a:xfrm>
                      <a:off x="0" y="0"/>
                      <a:ext cx="161236" cy="274049"/>
                    </a:xfrm>
                    <a:prstGeom prst="rect">
                      <a:avLst/>
                    </a:prstGeom>
                  </pic:spPr>
                </pic:pic>
              </a:graphicData>
            </a:graphic>
          </wp:inline>
        </w:drawing>
      </w:r>
      <w:r>
        <w:rPr>
          <w:color w:val="231F20"/>
          <w:spacing w:val="19"/>
          <w:position w:val="1"/>
          <w:sz w:val="19"/>
          <w:szCs w:val="19"/>
        </w:rPr>
        <w:t>[</w:t>
      </w:r>
      <w:r>
        <w:rPr>
          <w:color w:val="231F20"/>
          <w:spacing w:val="19"/>
          <w:w w:val="101"/>
          <w:position w:val="1"/>
          <w:sz w:val="19"/>
          <w:szCs w:val="19"/>
        </w:rPr>
        <w:t xml:space="preserve"> </w:t>
      </w:r>
      <w:r>
        <w:rPr>
          <w:position w:val="-17"/>
          <w:sz w:val="19"/>
          <w:szCs w:val="19"/>
        </w:rPr>
        <w:drawing>
          <wp:inline distT="0" distB="0" distL="0" distR="0">
            <wp:extent cx="160655" cy="259080"/>
            <wp:effectExtent l="0" t="0" r="10795" b="6985"/>
            <wp:docPr id="44" name="IM 44"/>
            <wp:cNvGraphicFramePr/>
            <a:graphic xmlns:a="http://schemas.openxmlformats.org/drawingml/2006/main">
              <a:graphicData uri="http://schemas.openxmlformats.org/drawingml/2006/picture">
                <pic:pic xmlns:pic="http://schemas.openxmlformats.org/drawingml/2006/picture">
                  <pic:nvPicPr>
                    <pic:cNvPr id="44" name="IM 44"/>
                    <pic:cNvPicPr/>
                  </pic:nvPicPr>
                  <pic:blipFill>
                    <a:blip r:embed="rId18"/>
                    <a:stretch>
                      <a:fillRect/>
                    </a:stretch>
                  </pic:blipFill>
                  <pic:spPr>
                    <a:xfrm>
                      <a:off x="0" y="0"/>
                      <a:ext cx="161235" cy="259429"/>
                    </a:xfrm>
                    <a:prstGeom prst="rect">
                      <a:avLst/>
                    </a:prstGeom>
                  </pic:spPr>
                </pic:pic>
              </a:graphicData>
            </a:graphic>
          </wp:inline>
        </w:drawing>
      </w:r>
      <w:r>
        <w:rPr>
          <w:rFonts w:ascii="宋体" w:hAnsi="宋体" w:eastAsia="宋体" w:cs="宋体"/>
          <w:color w:val="231F20"/>
          <w:spacing w:val="19"/>
          <w:position w:val="1"/>
          <w:sz w:val="19"/>
          <w:szCs w:val="19"/>
        </w:rPr>
        <w:t>（</w:t>
      </w:r>
      <w:r>
        <w:rPr>
          <w:rFonts w:ascii="Arial" w:hAnsi="Arial" w:eastAsia="Arial" w:cs="Arial"/>
          <w:i/>
          <w:iCs/>
          <w:color w:val="231F20"/>
          <w:position w:val="1"/>
          <w:sz w:val="19"/>
          <w:szCs w:val="19"/>
        </w:rPr>
        <w:t>AD</w:t>
      </w:r>
      <w:r>
        <w:rPr>
          <w:rFonts w:ascii="Arial" w:hAnsi="Arial" w:eastAsia="Arial" w:cs="Arial"/>
          <w:i/>
          <w:iCs/>
          <w:color w:val="231F20"/>
          <w:position w:val="-1"/>
          <w:sz w:val="13"/>
          <w:szCs w:val="13"/>
        </w:rPr>
        <w:t>i</w:t>
      </w:r>
      <w:r>
        <w:rPr>
          <w:rFonts w:ascii="Arial" w:hAnsi="Arial" w:eastAsia="Arial" w:cs="Arial"/>
          <w:i/>
          <w:iCs/>
          <w:color w:val="231F20"/>
          <w:spacing w:val="33"/>
          <w:position w:val="-1"/>
          <w:sz w:val="13"/>
          <w:szCs w:val="13"/>
        </w:rPr>
        <w:t xml:space="preserve"> </w:t>
      </w:r>
      <w:r>
        <w:rPr>
          <w:color w:val="231F20"/>
          <w:spacing w:val="19"/>
          <w:position w:val="1"/>
          <w:sz w:val="19"/>
          <w:szCs w:val="19"/>
        </w:rPr>
        <w:t xml:space="preserve">× </w:t>
      </w:r>
      <w:r>
        <w:rPr>
          <w:rFonts w:ascii="Arial" w:hAnsi="Arial" w:eastAsia="Arial" w:cs="Arial"/>
          <w:i/>
          <w:iCs/>
          <w:color w:val="231F20"/>
          <w:position w:val="1"/>
          <w:sz w:val="19"/>
          <w:szCs w:val="19"/>
        </w:rPr>
        <w:t>EF</w:t>
      </w:r>
      <w:r>
        <w:rPr>
          <w:rFonts w:ascii="Arial" w:hAnsi="Arial" w:eastAsia="Arial" w:cs="Arial"/>
          <w:i/>
          <w:iCs/>
          <w:color w:val="231F20"/>
          <w:position w:val="-1"/>
          <w:sz w:val="13"/>
          <w:szCs w:val="13"/>
        </w:rPr>
        <w:t>LCA</w:t>
      </w:r>
      <w:r>
        <w:rPr>
          <w:rFonts w:ascii="Arial" w:hAnsi="Arial" w:eastAsia="Arial" w:cs="Arial"/>
          <w:i/>
          <w:iCs/>
          <w:color w:val="231F20"/>
          <w:spacing w:val="-11"/>
          <w:position w:val="-1"/>
          <w:sz w:val="13"/>
          <w:szCs w:val="13"/>
        </w:rPr>
        <w:t xml:space="preserve"> </w:t>
      </w:r>
      <w:r>
        <w:rPr>
          <w:color w:val="231F20"/>
          <w:spacing w:val="19"/>
          <w:position w:val="-1"/>
          <w:sz w:val="15"/>
          <w:szCs w:val="15"/>
        </w:rPr>
        <w:t>,</w:t>
      </w:r>
      <w:r>
        <w:rPr>
          <w:rFonts w:ascii="Arial" w:hAnsi="Arial" w:eastAsia="Arial" w:cs="Arial"/>
          <w:i/>
          <w:iCs/>
          <w:color w:val="231F20"/>
          <w:spacing w:val="19"/>
          <w:position w:val="-1"/>
          <w:sz w:val="13"/>
          <w:szCs w:val="13"/>
        </w:rPr>
        <w:t>i</w:t>
      </w:r>
      <w:r>
        <w:rPr>
          <w:rFonts w:ascii="Arial" w:hAnsi="Arial" w:eastAsia="Arial" w:cs="Arial"/>
          <w:i/>
          <w:iCs/>
          <w:color w:val="231F20"/>
          <w:spacing w:val="-15"/>
          <w:position w:val="-1"/>
          <w:sz w:val="13"/>
          <w:szCs w:val="13"/>
        </w:rPr>
        <w:t xml:space="preserve"> </w:t>
      </w:r>
      <w:r>
        <w:rPr>
          <w:color w:val="231F20"/>
          <w:spacing w:val="19"/>
          <w:position w:val="-1"/>
          <w:sz w:val="15"/>
          <w:szCs w:val="15"/>
        </w:rPr>
        <w:t>,</w:t>
      </w:r>
      <w:r>
        <w:rPr>
          <w:rFonts w:ascii="Arial" w:hAnsi="Arial" w:eastAsia="Arial" w:cs="Arial"/>
          <w:i/>
          <w:iCs/>
          <w:color w:val="231F20"/>
          <w:spacing w:val="19"/>
          <w:position w:val="-1"/>
          <w:sz w:val="13"/>
          <w:szCs w:val="13"/>
        </w:rPr>
        <w:t>j</w:t>
      </w:r>
      <w:r>
        <w:rPr>
          <w:rFonts w:ascii="宋体" w:hAnsi="宋体" w:eastAsia="宋体" w:cs="宋体"/>
          <w:color w:val="231F20"/>
          <w:spacing w:val="19"/>
          <w:position w:val="1"/>
          <w:sz w:val="19"/>
          <w:szCs w:val="19"/>
        </w:rPr>
        <w:t>）</w:t>
      </w:r>
      <w:r>
        <w:rPr>
          <w:color w:val="231F20"/>
          <w:spacing w:val="19"/>
          <w:position w:val="1"/>
          <w:sz w:val="19"/>
          <w:szCs w:val="19"/>
        </w:rPr>
        <w:t xml:space="preserve">× </w:t>
      </w:r>
      <w:r>
        <w:rPr>
          <w:rFonts w:ascii="Arial" w:hAnsi="Arial" w:eastAsia="Arial" w:cs="Arial"/>
          <w:i/>
          <w:iCs/>
          <w:color w:val="231F20"/>
          <w:position w:val="1"/>
          <w:sz w:val="19"/>
          <w:szCs w:val="19"/>
        </w:rPr>
        <w:t>GWP</w:t>
      </w:r>
      <w:r>
        <w:rPr>
          <w:rFonts w:ascii="Arial" w:hAnsi="Arial" w:eastAsia="Arial" w:cs="Arial"/>
          <w:i/>
          <w:iCs/>
          <w:color w:val="231F20"/>
          <w:position w:val="-1"/>
          <w:sz w:val="13"/>
          <w:szCs w:val="13"/>
        </w:rPr>
        <w:t>j</w:t>
      </w:r>
      <w:r>
        <w:rPr>
          <w:rFonts w:ascii="Arial" w:hAnsi="Arial" w:eastAsia="Arial" w:cs="Arial"/>
          <w:i/>
          <w:iCs/>
          <w:color w:val="231F20"/>
          <w:spacing w:val="19"/>
          <w:position w:val="-1"/>
          <w:sz w:val="13"/>
          <w:szCs w:val="13"/>
        </w:rPr>
        <w:t xml:space="preserve">  </w:t>
      </w:r>
      <w:r>
        <w:rPr>
          <w:color w:val="231F20"/>
          <w:spacing w:val="19"/>
          <w:position w:val="1"/>
          <w:sz w:val="19"/>
          <w:szCs w:val="19"/>
        </w:rPr>
        <w:t xml:space="preserve">] </w:t>
      </w:r>
      <w:r>
        <w:rPr>
          <w:rFonts w:ascii="微软雅黑" w:hAnsi="微软雅黑" w:eastAsia="微软雅黑" w:cs="微软雅黑"/>
          <w:color w:val="231F20"/>
          <w:spacing w:val="19"/>
          <w:position w:val="1"/>
          <w:sz w:val="19"/>
          <w:szCs w:val="19"/>
        </w:rPr>
        <w:t>…………………………（</w:t>
      </w:r>
      <w:r>
        <w:rPr>
          <w:color w:val="231F20"/>
          <w:spacing w:val="19"/>
          <w:position w:val="1"/>
          <w:sz w:val="19"/>
          <w:szCs w:val="19"/>
        </w:rPr>
        <w:t>1</w:t>
      </w:r>
      <w:r>
        <w:rPr>
          <w:rFonts w:ascii="微软雅黑" w:hAnsi="微软雅黑" w:eastAsia="微软雅黑" w:cs="微软雅黑"/>
          <w:color w:val="231F20"/>
          <w:spacing w:val="19"/>
          <w:position w:val="1"/>
          <w:sz w:val="19"/>
          <w:szCs w:val="19"/>
        </w:rPr>
        <w:t>）</w:t>
      </w:r>
    </w:p>
    <w:p w14:paraId="26D8077D">
      <w:pPr>
        <w:spacing w:before="105" w:line="210" w:lineRule="auto"/>
        <w:ind w:left="428"/>
        <w:rPr>
          <w:rFonts w:ascii="宋体" w:hAnsi="宋体" w:eastAsia="宋体" w:cs="宋体"/>
          <w:sz w:val="20"/>
          <w:szCs w:val="20"/>
          <w:lang w:eastAsia="zh-CN"/>
        </w:rPr>
      </w:pPr>
      <w:r>
        <w:rPr>
          <w:rFonts w:hint="eastAsia" w:ascii="宋体" w:hAnsi="宋体" w:eastAsia="宋体" w:cs="宋体"/>
          <w:color w:val="231F20"/>
          <w:spacing w:val="6"/>
          <w:sz w:val="20"/>
          <w:szCs w:val="20"/>
          <w:lang w:eastAsia="zh-CN"/>
        </w:rPr>
        <w:t>式中：</w:t>
      </w:r>
    </w:p>
    <w:p w14:paraId="48A40520">
      <w:pPr>
        <w:pStyle w:val="2"/>
        <w:spacing w:before="18" w:line="204" w:lineRule="auto"/>
        <w:ind w:left="431"/>
        <w:rPr>
          <w:rFonts w:ascii="宋体" w:hAnsi="宋体" w:eastAsia="宋体" w:cs="宋体"/>
          <w:sz w:val="20"/>
          <w:szCs w:val="20"/>
          <w:lang w:eastAsia="zh-CN"/>
        </w:rPr>
      </w:pPr>
      <w:r>
        <w:rPr>
          <w:rFonts w:hint="eastAsia" w:ascii="宋体" w:hAnsi="宋体" w:eastAsia="宋体" w:cs="宋体"/>
          <w:i/>
          <w:iCs/>
          <w:color w:val="231F20"/>
          <w:sz w:val="20"/>
          <w:szCs w:val="20"/>
          <w:lang w:eastAsia="zh-CN"/>
        </w:rPr>
        <w:t>CFP</w:t>
      </w:r>
      <w:r>
        <w:rPr>
          <w:rFonts w:hint="eastAsia" w:ascii="宋体" w:hAnsi="宋体" w:eastAsia="宋体" w:cs="宋体"/>
          <w:color w:val="231F20"/>
          <w:position w:val="-2"/>
          <w:sz w:val="20"/>
          <w:szCs w:val="20"/>
          <w:vertAlign w:val="subscript"/>
          <w:lang w:eastAsia="zh-CN"/>
        </w:rPr>
        <w:t>GHG</w:t>
      </w:r>
      <w:r>
        <w:rPr>
          <w:rFonts w:hint="eastAsia" w:ascii="宋体" w:hAnsi="宋体" w:eastAsia="宋体" w:cs="宋体"/>
          <w:color w:val="231F20"/>
          <w:spacing w:val="13"/>
          <w:sz w:val="20"/>
          <w:szCs w:val="20"/>
          <w:lang w:eastAsia="zh-CN"/>
        </w:rPr>
        <w:t>——纯碱及相关产品碳足迹，以吨二氧化碳当量每吨（</w:t>
      </w:r>
      <w:r>
        <w:rPr>
          <w:rFonts w:hint="eastAsia" w:ascii="宋体" w:hAnsi="宋体" w:eastAsia="宋体" w:cs="宋体"/>
          <w:color w:val="231F20"/>
          <w:sz w:val="20"/>
          <w:szCs w:val="20"/>
          <w:lang w:eastAsia="zh-CN"/>
        </w:rPr>
        <w:t>tCO</w:t>
      </w:r>
      <w:r>
        <w:rPr>
          <w:rFonts w:hint="eastAsia" w:ascii="宋体" w:hAnsi="宋体" w:eastAsia="宋体" w:cs="宋体"/>
          <w:color w:val="231F20"/>
          <w:spacing w:val="13"/>
          <w:position w:val="-2"/>
          <w:sz w:val="20"/>
          <w:szCs w:val="20"/>
          <w:vertAlign w:val="subscript"/>
          <w:lang w:eastAsia="zh-CN"/>
        </w:rPr>
        <w:t>2</w:t>
      </w:r>
      <w:r>
        <w:rPr>
          <w:rFonts w:hint="eastAsia" w:ascii="宋体" w:hAnsi="宋体" w:eastAsia="宋体" w:cs="宋体"/>
          <w:color w:val="231F20"/>
          <w:spacing w:val="13"/>
          <w:sz w:val="20"/>
          <w:szCs w:val="20"/>
          <w:lang w:eastAsia="zh-CN"/>
        </w:rPr>
        <w:t>e</w:t>
      </w:r>
      <w:r>
        <w:rPr>
          <w:rFonts w:hint="eastAsia" w:ascii="宋体" w:hAnsi="宋体" w:eastAsia="宋体" w:cs="宋体"/>
          <w:color w:val="231F20"/>
          <w:spacing w:val="12"/>
          <w:sz w:val="20"/>
          <w:szCs w:val="20"/>
          <w:lang w:eastAsia="zh-CN"/>
        </w:rPr>
        <w:t>/t）计；</w:t>
      </w:r>
    </w:p>
    <w:p w14:paraId="576577BD">
      <w:pPr>
        <w:pStyle w:val="2"/>
        <w:spacing w:before="17" w:line="210" w:lineRule="auto"/>
        <w:ind w:left="415"/>
        <w:rPr>
          <w:rFonts w:ascii="宋体" w:hAnsi="宋体" w:eastAsia="宋体" w:cs="宋体"/>
          <w:bCs/>
          <w:sz w:val="20"/>
          <w:szCs w:val="20"/>
          <w:lang w:eastAsia="zh-CN"/>
        </w:rPr>
      </w:pPr>
      <w:r>
        <w:rPr>
          <w:rFonts w:hint="eastAsia" w:ascii="宋体" w:hAnsi="宋体" w:eastAsia="宋体" w:cs="宋体"/>
          <w:i/>
          <w:iCs/>
          <w:color w:val="231F20"/>
          <w:sz w:val="20"/>
          <w:szCs w:val="20"/>
          <w:lang w:eastAsia="zh-CN"/>
        </w:rPr>
        <w:t>AD</w:t>
      </w:r>
      <w:r>
        <w:rPr>
          <w:rFonts w:hint="eastAsia" w:ascii="宋体" w:hAnsi="宋体" w:eastAsia="宋体" w:cs="宋体"/>
          <w:i/>
          <w:iCs/>
          <w:color w:val="231F20"/>
          <w:position w:val="-2"/>
          <w:sz w:val="20"/>
          <w:szCs w:val="20"/>
          <w:vertAlign w:val="subscript"/>
          <w:lang w:eastAsia="zh-CN"/>
        </w:rPr>
        <w:t>i</w:t>
      </w:r>
      <w:r>
        <w:rPr>
          <w:rFonts w:hint="eastAsia" w:ascii="宋体" w:hAnsi="宋体" w:eastAsia="宋体" w:cs="宋体"/>
          <w:color w:val="231F20"/>
          <w:spacing w:val="13"/>
          <w:sz w:val="20"/>
          <w:szCs w:val="20"/>
          <w:lang w:eastAsia="zh-CN"/>
        </w:rPr>
        <w:t>——系统边界内，各声明单位中第</w:t>
      </w:r>
      <w:r>
        <w:rPr>
          <w:rFonts w:hint="eastAsia" w:ascii="宋体" w:hAnsi="宋体" w:eastAsia="宋体" w:cs="宋体"/>
          <w:i/>
          <w:iCs/>
          <w:color w:val="231F20"/>
          <w:spacing w:val="13"/>
          <w:sz w:val="20"/>
          <w:szCs w:val="20"/>
          <w:lang w:eastAsia="zh-CN"/>
        </w:rPr>
        <w:t>i</w:t>
      </w:r>
      <w:r>
        <w:rPr>
          <w:rFonts w:hint="eastAsia" w:ascii="宋体" w:hAnsi="宋体" w:eastAsia="宋体" w:cs="宋体"/>
          <w:color w:val="231F20"/>
          <w:spacing w:val="13"/>
          <w:sz w:val="20"/>
          <w:szCs w:val="20"/>
          <w:lang w:eastAsia="zh-CN"/>
        </w:rPr>
        <w:t>种活动的</w:t>
      </w:r>
      <w:r>
        <w:rPr>
          <w:rFonts w:hint="eastAsia" w:ascii="宋体" w:hAnsi="宋体" w:eastAsia="宋体" w:cs="宋体"/>
          <w:color w:val="231F20"/>
          <w:sz w:val="20"/>
          <w:szCs w:val="20"/>
          <w:lang w:eastAsia="zh-CN"/>
        </w:rPr>
        <w:t>GHG</w:t>
      </w:r>
      <w:r>
        <w:rPr>
          <w:rFonts w:hint="eastAsia" w:ascii="宋体" w:hAnsi="宋体" w:eastAsia="宋体" w:cs="宋体"/>
          <w:color w:val="231F20"/>
          <w:spacing w:val="13"/>
          <w:sz w:val="20"/>
          <w:szCs w:val="20"/>
          <w:lang w:eastAsia="zh-CN"/>
        </w:rPr>
        <w:t>排放和清除相关数据（包括初级数据和</w:t>
      </w:r>
      <w:r>
        <w:rPr>
          <w:rFonts w:hint="eastAsia" w:ascii="宋体" w:hAnsi="宋体" w:eastAsia="宋体" w:cs="宋体"/>
          <w:color w:val="231F20"/>
          <w:spacing w:val="20"/>
          <w:sz w:val="20"/>
          <w:szCs w:val="20"/>
          <w:lang w:eastAsia="zh-CN"/>
        </w:rPr>
        <w:t>次级数据</w:t>
      </w:r>
      <w:r>
        <w:rPr>
          <w:rFonts w:hint="eastAsia" w:ascii="宋体" w:hAnsi="宋体" w:eastAsia="宋体" w:cs="宋体"/>
          <w:color w:val="231F20"/>
          <w:spacing w:val="-29"/>
          <w:w w:val="64"/>
          <w:sz w:val="20"/>
          <w:szCs w:val="20"/>
          <w:lang w:eastAsia="zh-CN"/>
        </w:rPr>
        <w:t>），</w:t>
      </w:r>
      <w:r>
        <w:rPr>
          <w:rFonts w:hint="eastAsia" w:ascii="宋体" w:hAnsi="宋体" w:eastAsia="宋体" w:cs="宋体"/>
          <w:color w:val="231F20"/>
          <w:spacing w:val="20"/>
          <w:sz w:val="20"/>
          <w:szCs w:val="20"/>
          <w:lang w:eastAsia="zh-CN"/>
        </w:rPr>
        <w:t>单位根据具体排放源确定；</w:t>
      </w:r>
    </w:p>
    <w:p w14:paraId="6AAF62B4">
      <w:pPr>
        <w:pStyle w:val="2"/>
        <w:spacing w:before="81" w:line="215" w:lineRule="auto"/>
        <w:ind w:left="424" w:right="985" w:hanging="12"/>
        <w:rPr>
          <w:rFonts w:ascii="微软雅黑" w:hAnsi="微软雅黑" w:eastAsia="微软雅黑" w:cs="微软雅黑"/>
          <w:sz w:val="19"/>
          <w:szCs w:val="19"/>
          <w:lang w:eastAsia="zh-CN"/>
        </w:rPr>
      </w:pPr>
      <w:r>
        <w:rPr>
          <w:rFonts w:hint="eastAsia" w:ascii="宋体" w:hAnsi="宋体" w:eastAsia="宋体" w:cs="宋体"/>
          <w:i/>
          <w:iCs/>
          <w:color w:val="231F20"/>
          <w:sz w:val="20"/>
          <w:szCs w:val="20"/>
          <w:lang w:eastAsia="zh-CN"/>
        </w:rPr>
        <w:t>EF</w:t>
      </w:r>
      <w:r>
        <w:rPr>
          <w:rFonts w:hint="eastAsia" w:ascii="宋体" w:hAnsi="宋体" w:eastAsia="宋体" w:cs="宋体"/>
          <w:i/>
          <w:iCs/>
          <w:color w:val="231F20"/>
          <w:position w:val="-2"/>
          <w:sz w:val="20"/>
          <w:szCs w:val="20"/>
          <w:vertAlign w:val="subscript"/>
          <w:lang w:eastAsia="zh-CN"/>
        </w:rPr>
        <w:t>LCA</w:t>
      </w:r>
      <w:r>
        <w:rPr>
          <w:rFonts w:hint="eastAsia" w:ascii="宋体" w:hAnsi="宋体" w:eastAsia="宋体" w:cs="宋体"/>
          <w:color w:val="231F20"/>
          <w:spacing w:val="15"/>
          <w:position w:val="-2"/>
          <w:sz w:val="20"/>
          <w:szCs w:val="20"/>
          <w:vertAlign w:val="subscript"/>
          <w:lang w:eastAsia="zh-CN"/>
        </w:rPr>
        <w:t>,</w:t>
      </w:r>
      <w:r>
        <w:rPr>
          <w:rFonts w:hint="eastAsia" w:ascii="宋体" w:hAnsi="宋体" w:eastAsia="宋体" w:cs="宋体"/>
          <w:i/>
          <w:iCs/>
          <w:color w:val="231F20"/>
          <w:spacing w:val="15"/>
          <w:position w:val="-2"/>
          <w:sz w:val="20"/>
          <w:szCs w:val="20"/>
          <w:vertAlign w:val="subscript"/>
          <w:lang w:eastAsia="zh-CN"/>
        </w:rPr>
        <w:t>i</w:t>
      </w:r>
      <w:r>
        <w:rPr>
          <w:rFonts w:hint="eastAsia" w:ascii="宋体" w:hAnsi="宋体" w:eastAsia="宋体" w:cs="宋体"/>
          <w:color w:val="231F20"/>
          <w:spacing w:val="15"/>
          <w:position w:val="-2"/>
          <w:sz w:val="20"/>
          <w:szCs w:val="20"/>
          <w:vertAlign w:val="subscript"/>
          <w:lang w:eastAsia="zh-CN"/>
        </w:rPr>
        <w:t>,</w:t>
      </w:r>
      <w:r>
        <w:rPr>
          <w:rFonts w:hint="eastAsia" w:ascii="宋体" w:hAnsi="宋体" w:eastAsia="宋体" w:cs="宋体"/>
          <w:i/>
          <w:iCs/>
          <w:color w:val="231F20"/>
          <w:spacing w:val="15"/>
          <w:position w:val="-2"/>
          <w:sz w:val="20"/>
          <w:szCs w:val="20"/>
          <w:vertAlign w:val="subscript"/>
          <w:lang w:eastAsia="zh-CN"/>
        </w:rPr>
        <w:t>j</w:t>
      </w:r>
      <w:r>
        <w:rPr>
          <w:rFonts w:hint="eastAsia" w:ascii="宋体" w:hAnsi="宋体" w:eastAsia="宋体" w:cs="宋体"/>
          <w:color w:val="231F20"/>
          <w:spacing w:val="15"/>
          <w:sz w:val="20"/>
          <w:szCs w:val="20"/>
          <w:lang w:eastAsia="zh-CN"/>
        </w:rPr>
        <w:t>——第</w:t>
      </w:r>
      <w:r>
        <w:rPr>
          <w:rFonts w:hint="eastAsia" w:ascii="宋体" w:hAnsi="宋体" w:eastAsia="宋体" w:cs="宋体"/>
          <w:i/>
          <w:iCs/>
          <w:color w:val="231F20"/>
          <w:spacing w:val="15"/>
          <w:sz w:val="20"/>
          <w:szCs w:val="20"/>
          <w:lang w:eastAsia="zh-CN"/>
        </w:rPr>
        <w:t>i</w:t>
      </w:r>
      <w:r>
        <w:rPr>
          <w:rFonts w:hint="eastAsia" w:ascii="宋体" w:hAnsi="宋体" w:eastAsia="宋体" w:cs="宋体"/>
          <w:color w:val="231F20"/>
          <w:spacing w:val="15"/>
          <w:sz w:val="20"/>
          <w:szCs w:val="20"/>
          <w:lang w:eastAsia="zh-CN"/>
        </w:rPr>
        <w:t>种活动对应的温室气体</w:t>
      </w:r>
      <w:r>
        <w:rPr>
          <w:rFonts w:hint="eastAsia" w:ascii="宋体" w:hAnsi="宋体" w:eastAsia="宋体" w:cs="宋体"/>
          <w:i/>
          <w:iCs/>
          <w:color w:val="231F20"/>
          <w:spacing w:val="15"/>
          <w:sz w:val="20"/>
          <w:szCs w:val="20"/>
          <w:lang w:eastAsia="zh-CN"/>
        </w:rPr>
        <w:t>j</w:t>
      </w:r>
      <w:r>
        <w:rPr>
          <w:rFonts w:hint="eastAsia" w:ascii="宋体" w:hAnsi="宋体" w:eastAsia="宋体" w:cs="宋体"/>
          <w:color w:val="231F20"/>
          <w:spacing w:val="15"/>
          <w:sz w:val="20"/>
          <w:szCs w:val="20"/>
          <w:lang w:eastAsia="zh-CN"/>
        </w:rPr>
        <w:t>的排放因子，单位与</w:t>
      </w:r>
      <w:r>
        <w:rPr>
          <w:rFonts w:hint="eastAsia" w:ascii="宋体" w:hAnsi="宋体" w:eastAsia="宋体" w:cs="宋体"/>
          <w:color w:val="231F20"/>
          <w:sz w:val="20"/>
          <w:szCs w:val="20"/>
          <w:lang w:eastAsia="zh-CN"/>
        </w:rPr>
        <w:t>GHG</w:t>
      </w:r>
      <w:r>
        <w:rPr>
          <w:rFonts w:hint="eastAsia" w:ascii="宋体" w:hAnsi="宋体" w:eastAsia="宋体" w:cs="宋体"/>
          <w:color w:val="231F20"/>
          <w:spacing w:val="15"/>
          <w:sz w:val="20"/>
          <w:szCs w:val="20"/>
          <w:lang w:eastAsia="zh-CN"/>
        </w:rPr>
        <w:t>活动数据相匹配；</w:t>
      </w:r>
      <w:r>
        <w:rPr>
          <w:rFonts w:hint="eastAsia" w:ascii="宋体" w:hAnsi="宋体" w:eastAsia="宋体" w:cs="宋体"/>
          <w:i/>
          <w:iCs/>
          <w:color w:val="231F20"/>
          <w:sz w:val="20"/>
          <w:szCs w:val="20"/>
          <w:lang w:eastAsia="zh-CN"/>
        </w:rPr>
        <w:t>GWP</w:t>
      </w:r>
      <w:r>
        <w:rPr>
          <w:rFonts w:hint="eastAsia" w:ascii="宋体" w:hAnsi="宋体" w:eastAsia="宋体" w:cs="宋体"/>
          <w:i/>
          <w:iCs/>
          <w:color w:val="231F20"/>
          <w:position w:val="-2"/>
          <w:sz w:val="20"/>
          <w:szCs w:val="20"/>
          <w:vertAlign w:val="subscript"/>
          <w:lang w:eastAsia="zh-CN"/>
        </w:rPr>
        <w:t>i</w:t>
      </w:r>
      <w:r>
        <w:rPr>
          <w:rFonts w:hint="eastAsia" w:ascii="宋体" w:hAnsi="宋体" w:eastAsia="宋体" w:cs="宋体"/>
          <w:color w:val="231F20"/>
          <w:spacing w:val="9"/>
          <w:sz w:val="20"/>
          <w:szCs w:val="20"/>
          <w:lang w:eastAsia="zh-CN"/>
        </w:rPr>
        <w:t>——温室气体</w:t>
      </w:r>
      <w:r>
        <w:rPr>
          <w:rFonts w:hint="eastAsia" w:ascii="宋体" w:hAnsi="宋体" w:eastAsia="宋体" w:cs="宋体"/>
          <w:i/>
          <w:iCs/>
          <w:color w:val="231F20"/>
          <w:spacing w:val="9"/>
          <w:sz w:val="20"/>
          <w:szCs w:val="20"/>
          <w:lang w:eastAsia="zh-CN"/>
        </w:rPr>
        <w:t>j</w:t>
      </w:r>
      <w:r>
        <w:rPr>
          <w:rFonts w:hint="eastAsia" w:ascii="宋体" w:hAnsi="宋体" w:eastAsia="宋体" w:cs="宋体"/>
          <w:color w:val="231F20"/>
          <w:spacing w:val="9"/>
          <w:sz w:val="20"/>
          <w:szCs w:val="20"/>
          <w:lang w:eastAsia="zh-CN"/>
        </w:rPr>
        <w:t>的</w:t>
      </w:r>
      <w:r>
        <w:rPr>
          <w:rFonts w:hint="eastAsia" w:ascii="宋体" w:hAnsi="宋体" w:eastAsia="宋体" w:cs="宋体"/>
          <w:i/>
          <w:iCs/>
          <w:color w:val="231F20"/>
          <w:sz w:val="20"/>
          <w:szCs w:val="20"/>
          <w:lang w:eastAsia="zh-CN"/>
        </w:rPr>
        <w:t>GWP</w:t>
      </w:r>
      <w:r>
        <w:rPr>
          <w:rFonts w:hint="eastAsia" w:ascii="宋体" w:hAnsi="宋体" w:eastAsia="宋体" w:cs="宋体"/>
          <w:color w:val="231F20"/>
          <w:spacing w:val="9"/>
          <w:sz w:val="20"/>
          <w:szCs w:val="20"/>
          <w:lang w:eastAsia="zh-CN"/>
        </w:rPr>
        <w:t>值，按8.</w:t>
      </w:r>
      <w:r>
        <w:rPr>
          <w:rFonts w:hint="eastAsia" w:ascii="宋体" w:hAnsi="宋体" w:eastAsia="宋体" w:cs="宋体"/>
          <w:color w:val="231F20"/>
          <w:spacing w:val="8"/>
          <w:sz w:val="20"/>
          <w:szCs w:val="20"/>
          <w:lang w:eastAsia="zh-CN"/>
        </w:rPr>
        <w:t>1中的规定取值。</w:t>
      </w:r>
    </w:p>
    <w:p w14:paraId="656A7372">
      <w:pPr>
        <w:pStyle w:val="2"/>
        <w:spacing w:before="61" w:line="253" w:lineRule="exact"/>
        <w:ind w:left="3"/>
        <w:outlineLvl w:val="0"/>
        <w:rPr>
          <w:sz w:val="19"/>
          <w:szCs w:val="19"/>
          <w:lang w:eastAsia="zh-CN"/>
        </w:rPr>
      </w:pPr>
      <w:bookmarkStart w:id="100" w:name="bookmark46"/>
      <w:bookmarkEnd w:id="100"/>
      <w:bookmarkStart w:id="101" w:name="_Toc5801"/>
      <w:r>
        <w:rPr>
          <w:color w:val="231F20"/>
          <w:spacing w:val="13"/>
          <w:position w:val="1"/>
          <w:sz w:val="19"/>
          <w:szCs w:val="19"/>
          <w:lang w:eastAsia="zh-CN"/>
        </w:rPr>
        <w:t>9 产品碳足迹结果解释</w:t>
      </w:r>
      <w:bookmarkEnd w:id="101"/>
    </w:p>
    <w:p w14:paraId="3FDBD75F">
      <w:pPr>
        <w:spacing w:line="245" w:lineRule="auto"/>
        <w:rPr>
          <w:lang w:eastAsia="zh-CN"/>
        </w:rPr>
      </w:pPr>
    </w:p>
    <w:p w14:paraId="6FE2341F">
      <w:pPr>
        <w:ind w:firstLine="444" w:firstLineChars="200"/>
        <w:jc w:val="both"/>
        <w:rPr>
          <w:rFonts w:ascii="宋体" w:hAnsi="宋体" w:eastAsia="宋体" w:cs="宋体"/>
          <w:spacing w:val="8"/>
          <w:sz w:val="20"/>
          <w:szCs w:val="20"/>
          <w:lang w:eastAsia="zh-CN"/>
        </w:rPr>
      </w:pPr>
      <w:r>
        <w:rPr>
          <w:color w:val="231F20"/>
          <w:spacing w:val="16"/>
          <w:sz w:val="19"/>
          <w:szCs w:val="19"/>
          <w:lang w:eastAsia="zh-CN"/>
        </w:rPr>
        <w:t xml:space="preserve">9.1 </w:t>
      </w:r>
      <w:r>
        <w:rPr>
          <w:rFonts w:hint="eastAsia" w:ascii="宋体" w:hAnsi="宋体" w:eastAsia="宋体" w:cs="宋体"/>
          <w:spacing w:val="8"/>
          <w:sz w:val="20"/>
          <w:szCs w:val="20"/>
          <w:lang w:eastAsia="zh-CN"/>
        </w:rPr>
        <w:t>产品碳足迹研究的生命周期结果解释阶段应包括以下步骤：</w:t>
      </w:r>
    </w:p>
    <w:p w14:paraId="53F67695">
      <w:pPr>
        <w:ind w:firstLine="432" w:firstLineChars="200"/>
        <w:jc w:val="both"/>
        <w:rPr>
          <w:rFonts w:ascii="宋体" w:hAnsi="宋体" w:eastAsia="宋体" w:cs="宋体"/>
          <w:spacing w:val="8"/>
          <w:sz w:val="20"/>
          <w:szCs w:val="20"/>
          <w:lang w:eastAsia="zh-CN"/>
        </w:rPr>
      </w:pPr>
      <w:r>
        <w:rPr>
          <w:rFonts w:hint="eastAsia" w:ascii="宋体" w:hAnsi="宋体" w:eastAsia="宋体" w:cs="宋体"/>
          <w:spacing w:val="8"/>
          <w:sz w:val="20"/>
          <w:szCs w:val="20"/>
          <w:lang w:eastAsia="zh-CN"/>
        </w:rPr>
        <w:t>a）根据生命周期清单分析和生命周期影响评价的纯碱及相关产品碳足迹的量化结果，识别显著环节（可包括生命周期阶段、单元过程或流）。</w:t>
      </w:r>
    </w:p>
    <w:p w14:paraId="31300C92">
      <w:pPr>
        <w:ind w:firstLine="432" w:firstLineChars="200"/>
        <w:jc w:val="both"/>
        <w:rPr>
          <w:rFonts w:ascii="宋体" w:hAnsi="宋体" w:eastAsia="宋体" w:cs="宋体"/>
          <w:spacing w:val="8"/>
          <w:sz w:val="20"/>
          <w:szCs w:val="20"/>
          <w:lang w:eastAsia="zh-CN"/>
        </w:rPr>
      </w:pPr>
      <w:r>
        <w:rPr>
          <w:rFonts w:hint="eastAsia" w:ascii="宋体" w:hAnsi="宋体" w:eastAsia="宋体" w:cs="宋体"/>
          <w:spacing w:val="8"/>
          <w:sz w:val="20"/>
          <w:szCs w:val="20"/>
          <w:lang w:eastAsia="zh-CN"/>
        </w:rPr>
        <w:t>b）完整性、一致性和敏感性分析的评估；</w:t>
      </w:r>
    </w:p>
    <w:p w14:paraId="1B5EF9BC">
      <w:pPr>
        <w:ind w:firstLine="432" w:firstLineChars="200"/>
        <w:jc w:val="both"/>
        <w:rPr>
          <w:rFonts w:ascii="宋体" w:hAnsi="宋体" w:eastAsia="宋体" w:cs="宋体"/>
          <w:spacing w:val="8"/>
          <w:sz w:val="20"/>
          <w:szCs w:val="20"/>
          <w:lang w:eastAsia="zh-CN"/>
        </w:rPr>
      </w:pPr>
      <w:r>
        <w:rPr>
          <w:rFonts w:hint="eastAsia" w:ascii="宋体" w:hAnsi="宋体" w:eastAsia="宋体" w:cs="宋体"/>
          <w:spacing w:val="8"/>
          <w:sz w:val="20"/>
          <w:szCs w:val="20"/>
          <w:lang w:eastAsia="zh-CN"/>
        </w:rPr>
        <w:t>c）结论、局限性和建议的编制。</w:t>
      </w:r>
    </w:p>
    <w:p w14:paraId="259F59B8">
      <w:pPr>
        <w:ind w:firstLine="440" w:firstLineChars="200"/>
        <w:jc w:val="both"/>
        <w:rPr>
          <w:rFonts w:ascii="宋体" w:hAnsi="宋体" w:eastAsia="宋体" w:cs="宋体"/>
          <w:spacing w:val="8"/>
          <w:sz w:val="20"/>
          <w:szCs w:val="20"/>
          <w:lang w:eastAsia="zh-CN"/>
        </w:rPr>
      </w:pPr>
      <w:r>
        <w:rPr>
          <w:color w:val="231F20"/>
          <w:spacing w:val="15"/>
          <w:sz w:val="19"/>
          <w:szCs w:val="19"/>
          <w:lang w:eastAsia="zh-CN"/>
        </w:rPr>
        <w:t xml:space="preserve">9.2 </w:t>
      </w:r>
      <w:r>
        <w:rPr>
          <w:rFonts w:hint="eastAsia" w:ascii="宋体" w:hAnsi="宋体" w:eastAsia="宋体" w:cs="宋体"/>
          <w:spacing w:val="8"/>
          <w:sz w:val="20"/>
          <w:szCs w:val="20"/>
          <w:lang w:eastAsia="zh-CN"/>
        </w:rPr>
        <w:t>按照产品碳足迹研究的目的和范围，对产品碳足迹影响评价的量化结果进行解释，解释应包括以下内容：</w:t>
      </w:r>
    </w:p>
    <w:p w14:paraId="6D41B910">
      <w:pPr>
        <w:ind w:firstLine="432" w:firstLineChars="200"/>
        <w:jc w:val="both"/>
        <w:rPr>
          <w:rFonts w:ascii="宋体" w:hAnsi="宋体" w:eastAsia="宋体" w:cs="宋体"/>
          <w:spacing w:val="8"/>
          <w:sz w:val="20"/>
          <w:szCs w:val="20"/>
          <w:lang w:eastAsia="zh-CN"/>
        </w:rPr>
      </w:pPr>
      <w:r>
        <w:rPr>
          <w:rFonts w:hint="eastAsia" w:ascii="宋体" w:hAnsi="宋体" w:eastAsia="宋体" w:cs="宋体"/>
          <w:spacing w:val="8"/>
          <w:sz w:val="20"/>
          <w:szCs w:val="20"/>
          <w:lang w:eastAsia="zh-CN"/>
        </w:rPr>
        <w:t>a）说明产品碳足迹和各阶段碳足迹；</w:t>
      </w:r>
    </w:p>
    <w:p w14:paraId="0D65971F">
      <w:pPr>
        <w:ind w:firstLine="432" w:firstLineChars="200"/>
        <w:jc w:val="both"/>
        <w:rPr>
          <w:rFonts w:ascii="宋体" w:hAnsi="宋体" w:eastAsia="宋体" w:cs="宋体"/>
          <w:spacing w:val="8"/>
          <w:sz w:val="20"/>
          <w:szCs w:val="20"/>
          <w:lang w:eastAsia="zh-CN"/>
        </w:rPr>
      </w:pPr>
      <w:r>
        <w:rPr>
          <w:rFonts w:hint="eastAsia" w:ascii="宋体" w:hAnsi="宋体" w:eastAsia="宋体" w:cs="宋体"/>
          <w:spacing w:val="8"/>
          <w:sz w:val="20"/>
          <w:szCs w:val="20"/>
          <w:lang w:eastAsia="zh-CN"/>
        </w:rPr>
        <w:t>b）分析不确定性，包括取舍准则的应用或范围；</w:t>
      </w:r>
    </w:p>
    <w:p w14:paraId="0D6340EE">
      <w:pPr>
        <w:ind w:firstLine="432" w:firstLineChars="200"/>
        <w:jc w:val="both"/>
        <w:rPr>
          <w:rFonts w:ascii="宋体" w:hAnsi="宋体" w:eastAsia="宋体" w:cs="宋体"/>
          <w:spacing w:val="8"/>
          <w:sz w:val="20"/>
          <w:szCs w:val="20"/>
          <w:lang w:eastAsia="zh-CN"/>
        </w:rPr>
      </w:pPr>
      <w:r>
        <w:rPr>
          <w:rFonts w:hint="eastAsia" w:ascii="宋体" w:hAnsi="宋体" w:eastAsia="宋体" w:cs="宋体"/>
          <w:spacing w:val="8"/>
          <w:sz w:val="20"/>
          <w:szCs w:val="20"/>
          <w:lang w:eastAsia="zh-CN"/>
        </w:rPr>
        <w:t>c）详细记录选定的分配程序；</w:t>
      </w:r>
    </w:p>
    <w:p w14:paraId="33BE9492">
      <w:pPr>
        <w:ind w:firstLine="432" w:firstLineChars="200"/>
        <w:jc w:val="both"/>
        <w:rPr>
          <w:rFonts w:ascii="宋体" w:hAnsi="宋体" w:eastAsia="宋体" w:cs="宋体"/>
          <w:spacing w:val="8"/>
          <w:sz w:val="20"/>
          <w:szCs w:val="20"/>
          <w:lang w:eastAsia="zh-CN"/>
        </w:rPr>
      </w:pPr>
      <w:r>
        <w:rPr>
          <w:rFonts w:hint="eastAsia" w:ascii="宋体" w:hAnsi="宋体" w:eastAsia="宋体" w:cs="宋体"/>
          <w:spacing w:val="8"/>
          <w:sz w:val="20"/>
          <w:szCs w:val="20"/>
          <w:lang w:eastAsia="zh-CN"/>
        </w:rPr>
        <w:t>d）说明产品碳足迹研究的局限性。</w:t>
      </w:r>
    </w:p>
    <w:p w14:paraId="31568207">
      <w:pPr>
        <w:ind w:firstLine="428" w:firstLineChars="200"/>
        <w:jc w:val="both"/>
        <w:rPr>
          <w:rFonts w:ascii="宋体" w:hAnsi="宋体" w:eastAsia="宋体" w:cs="宋体"/>
          <w:spacing w:val="8"/>
          <w:sz w:val="20"/>
          <w:szCs w:val="20"/>
          <w:lang w:eastAsia="zh-CN"/>
        </w:rPr>
      </w:pPr>
      <w:r>
        <w:rPr>
          <w:color w:val="231F20"/>
          <w:spacing w:val="12"/>
          <w:sz w:val="19"/>
          <w:szCs w:val="19"/>
          <w:lang w:eastAsia="zh-CN"/>
        </w:rPr>
        <w:t xml:space="preserve">9.3 </w:t>
      </w:r>
      <w:r>
        <w:rPr>
          <w:rFonts w:hint="eastAsia" w:ascii="宋体" w:hAnsi="宋体" w:eastAsia="宋体" w:cs="宋体"/>
          <w:spacing w:val="8"/>
          <w:sz w:val="20"/>
          <w:szCs w:val="20"/>
          <w:lang w:eastAsia="zh-CN"/>
        </w:rPr>
        <w:t>结果解释宜包括以下内容：</w:t>
      </w:r>
    </w:p>
    <w:p w14:paraId="5EC709FA">
      <w:pPr>
        <w:ind w:firstLine="432" w:firstLineChars="200"/>
        <w:jc w:val="both"/>
        <w:rPr>
          <w:rFonts w:ascii="宋体" w:hAnsi="宋体" w:eastAsia="宋体" w:cs="宋体"/>
          <w:spacing w:val="8"/>
          <w:sz w:val="20"/>
          <w:szCs w:val="20"/>
          <w:lang w:eastAsia="zh-CN"/>
        </w:rPr>
      </w:pPr>
      <w:r>
        <w:rPr>
          <w:rFonts w:hint="eastAsia" w:ascii="宋体" w:hAnsi="宋体" w:eastAsia="宋体" w:cs="宋体"/>
          <w:spacing w:val="8"/>
          <w:sz w:val="20"/>
          <w:szCs w:val="20"/>
          <w:lang w:eastAsia="zh-CN"/>
        </w:rPr>
        <w:t>a）分析重要输入、输出和方法学选择（包括分配程序）的敏感性，以了解结果的敏感性和不确定性；</w:t>
      </w:r>
    </w:p>
    <w:p w14:paraId="14D6A7F2">
      <w:pPr>
        <w:ind w:firstLine="432" w:firstLineChars="200"/>
        <w:jc w:val="both"/>
        <w:rPr>
          <w:rFonts w:ascii="宋体" w:hAnsi="宋体" w:eastAsia="宋体" w:cs="宋体"/>
          <w:spacing w:val="8"/>
          <w:sz w:val="20"/>
          <w:szCs w:val="20"/>
          <w:lang w:eastAsia="zh-CN"/>
        </w:rPr>
      </w:pPr>
      <w:r>
        <w:rPr>
          <w:rFonts w:hint="eastAsia" w:ascii="宋体" w:hAnsi="宋体" w:eastAsia="宋体" w:cs="宋体"/>
          <w:spacing w:val="8"/>
          <w:sz w:val="20"/>
          <w:szCs w:val="20"/>
          <w:lang w:eastAsia="zh-CN"/>
        </w:rPr>
        <w:t>b）评估建议对结果的影响。</w:t>
      </w:r>
    </w:p>
    <w:p w14:paraId="09F5A684">
      <w:pPr>
        <w:spacing w:line="269" w:lineRule="auto"/>
        <w:rPr>
          <w:lang w:eastAsia="zh-CN"/>
        </w:rPr>
      </w:pPr>
    </w:p>
    <w:p w14:paraId="3001C0E3">
      <w:pPr>
        <w:pStyle w:val="2"/>
        <w:spacing w:before="62" w:line="253" w:lineRule="exact"/>
        <w:ind w:left="14"/>
        <w:outlineLvl w:val="0"/>
        <w:rPr>
          <w:sz w:val="19"/>
          <w:szCs w:val="19"/>
          <w:lang w:eastAsia="zh-CN"/>
        </w:rPr>
      </w:pPr>
      <w:bookmarkStart w:id="102" w:name="bookmark48"/>
      <w:bookmarkEnd w:id="102"/>
      <w:bookmarkStart w:id="103" w:name="_Toc20529"/>
      <w:r>
        <w:rPr>
          <w:color w:val="231F20"/>
          <w:spacing w:val="12"/>
          <w:position w:val="1"/>
          <w:sz w:val="19"/>
          <w:szCs w:val="19"/>
          <w:lang w:eastAsia="zh-CN"/>
        </w:rPr>
        <w:t>10</w:t>
      </w:r>
      <w:r>
        <w:rPr>
          <w:color w:val="231F20"/>
          <w:spacing w:val="9"/>
          <w:position w:val="1"/>
          <w:sz w:val="19"/>
          <w:szCs w:val="19"/>
          <w:lang w:eastAsia="zh-CN"/>
        </w:rPr>
        <w:t xml:space="preserve"> </w:t>
      </w:r>
      <w:r>
        <w:rPr>
          <w:color w:val="231F20"/>
          <w:spacing w:val="12"/>
          <w:position w:val="1"/>
          <w:sz w:val="19"/>
          <w:szCs w:val="19"/>
          <w:lang w:eastAsia="zh-CN"/>
        </w:rPr>
        <w:t>产品碳足迹报告</w:t>
      </w:r>
      <w:bookmarkEnd w:id="103"/>
    </w:p>
    <w:p w14:paraId="4E51A160">
      <w:pPr>
        <w:spacing w:line="246" w:lineRule="auto"/>
        <w:rPr>
          <w:rFonts w:eastAsia="宋体"/>
          <w:lang w:eastAsia="zh-CN"/>
        </w:rPr>
      </w:pPr>
      <w:r>
        <w:rPr>
          <w:rFonts w:hint="eastAsia" w:eastAsia="宋体"/>
          <w:lang w:eastAsia="zh-CN"/>
        </w:rPr>
        <w:t xml:space="preserve"> </w:t>
      </w:r>
    </w:p>
    <w:p w14:paraId="2CA8C2B5">
      <w:pPr>
        <w:ind w:firstLine="432" w:firstLineChars="200"/>
        <w:jc w:val="both"/>
        <w:rPr>
          <w:rFonts w:ascii="宋体" w:hAnsi="宋体" w:eastAsia="宋体" w:cs="宋体"/>
          <w:spacing w:val="8"/>
          <w:sz w:val="20"/>
          <w:szCs w:val="20"/>
          <w:lang w:eastAsia="zh-CN"/>
        </w:rPr>
      </w:pPr>
      <w:r>
        <w:rPr>
          <w:rFonts w:hint="eastAsia" w:ascii="宋体" w:hAnsi="宋体" w:eastAsia="宋体" w:cs="宋体"/>
          <w:spacing w:val="8"/>
          <w:sz w:val="20"/>
          <w:szCs w:val="20"/>
          <w:lang w:eastAsia="zh-CN"/>
        </w:rPr>
        <w:t>产品碳足迹报告应包括但不限于下列内容（报告参考格式见附录E）。</w:t>
      </w:r>
    </w:p>
    <w:p w14:paraId="614263A2">
      <w:pPr>
        <w:ind w:firstLine="432" w:firstLineChars="200"/>
        <w:jc w:val="both"/>
        <w:rPr>
          <w:rFonts w:ascii="宋体" w:hAnsi="宋体" w:eastAsia="宋体" w:cs="宋体"/>
          <w:spacing w:val="8"/>
          <w:sz w:val="20"/>
          <w:szCs w:val="20"/>
          <w:lang w:eastAsia="zh-CN"/>
        </w:rPr>
      </w:pPr>
      <w:r>
        <w:rPr>
          <w:rFonts w:hint="eastAsia" w:ascii="宋体" w:hAnsi="宋体" w:eastAsia="宋体" w:cs="宋体"/>
          <w:spacing w:val="8"/>
          <w:sz w:val="20"/>
          <w:szCs w:val="20"/>
          <w:lang w:eastAsia="zh-CN"/>
        </w:rPr>
        <w:t>a）基本情况：</w:t>
      </w:r>
    </w:p>
    <w:p w14:paraId="4AF51B70">
      <w:pPr>
        <w:ind w:firstLine="432" w:firstLineChars="200"/>
        <w:jc w:val="both"/>
        <w:rPr>
          <w:rFonts w:ascii="宋体" w:hAnsi="宋体" w:eastAsia="宋体" w:cs="宋体"/>
          <w:spacing w:val="8"/>
          <w:sz w:val="20"/>
          <w:szCs w:val="20"/>
          <w:lang w:eastAsia="zh-CN"/>
        </w:rPr>
      </w:pPr>
      <w:r>
        <w:rPr>
          <w:rFonts w:hint="eastAsia" w:ascii="宋体" w:hAnsi="宋体" w:eastAsia="宋体" w:cs="宋体"/>
          <w:spacing w:val="8"/>
          <w:sz w:val="20"/>
          <w:szCs w:val="20"/>
          <w:lang w:eastAsia="zh-CN"/>
        </w:rPr>
        <w:t>1）委托方与评价方信息；</w:t>
      </w:r>
    </w:p>
    <w:p w14:paraId="382A6C82">
      <w:pPr>
        <w:ind w:firstLine="432" w:firstLineChars="200"/>
        <w:jc w:val="both"/>
        <w:rPr>
          <w:rFonts w:ascii="宋体" w:hAnsi="宋体" w:eastAsia="宋体" w:cs="宋体"/>
          <w:spacing w:val="8"/>
          <w:sz w:val="20"/>
          <w:szCs w:val="20"/>
          <w:lang w:eastAsia="zh-CN"/>
        </w:rPr>
      </w:pPr>
      <w:r>
        <w:rPr>
          <w:rFonts w:hint="eastAsia" w:ascii="宋体" w:hAnsi="宋体" w:eastAsia="宋体" w:cs="宋体"/>
          <w:spacing w:val="8"/>
          <w:sz w:val="20"/>
          <w:szCs w:val="20"/>
          <w:lang w:eastAsia="zh-CN"/>
        </w:rPr>
        <w:t>2）报告信息；</w:t>
      </w:r>
    </w:p>
    <w:p w14:paraId="4E918261">
      <w:pPr>
        <w:ind w:firstLine="432" w:firstLineChars="200"/>
        <w:jc w:val="both"/>
        <w:rPr>
          <w:rFonts w:ascii="宋体" w:hAnsi="宋体" w:eastAsia="宋体" w:cs="宋体"/>
          <w:spacing w:val="8"/>
          <w:sz w:val="20"/>
          <w:szCs w:val="20"/>
          <w:lang w:eastAsia="zh-CN"/>
        </w:rPr>
      </w:pPr>
      <w:r>
        <w:rPr>
          <w:rFonts w:hint="eastAsia" w:ascii="宋体" w:hAnsi="宋体" w:eastAsia="宋体" w:cs="宋体"/>
          <w:spacing w:val="8"/>
          <w:sz w:val="20"/>
          <w:szCs w:val="20"/>
          <w:lang w:eastAsia="zh-CN"/>
        </w:rPr>
        <w:t>3）依据的标准；</w:t>
      </w:r>
    </w:p>
    <w:p w14:paraId="3F43A432">
      <w:pPr>
        <w:ind w:firstLine="432" w:firstLineChars="200"/>
        <w:jc w:val="both"/>
        <w:rPr>
          <w:rFonts w:ascii="宋体" w:hAnsi="宋体" w:eastAsia="宋体" w:cs="宋体"/>
          <w:spacing w:val="8"/>
          <w:sz w:val="20"/>
          <w:szCs w:val="20"/>
          <w:lang w:eastAsia="zh-CN"/>
        </w:rPr>
      </w:pPr>
      <w:r>
        <w:rPr>
          <w:rFonts w:hint="eastAsia" w:ascii="宋体" w:hAnsi="宋体" w:eastAsia="宋体" w:cs="宋体"/>
          <w:spacing w:val="8"/>
          <w:sz w:val="20"/>
          <w:szCs w:val="20"/>
          <w:lang w:eastAsia="zh-CN"/>
        </w:rPr>
        <w:t>4）使用的产品种类规则或其他补充要求的参考资料（如有）。b）量化目的：</w:t>
      </w:r>
    </w:p>
    <w:p w14:paraId="20FEEDA7">
      <w:pPr>
        <w:ind w:firstLine="432" w:firstLineChars="200"/>
        <w:jc w:val="both"/>
        <w:rPr>
          <w:rFonts w:ascii="宋体" w:hAnsi="宋体" w:eastAsia="宋体" w:cs="宋体"/>
          <w:spacing w:val="8"/>
          <w:sz w:val="20"/>
          <w:szCs w:val="20"/>
          <w:lang w:eastAsia="zh-CN"/>
        </w:rPr>
      </w:pPr>
      <w:r>
        <w:rPr>
          <w:rFonts w:hint="eastAsia" w:ascii="宋体" w:hAnsi="宋体" w:eastAsia="宋体" w:cs="宋体"/>
          <w:spacing w:val="8"/>
          <w:sz w:val="20"/>
          <w:szCs w:val="20"/>
          <w:lang w:eastAsia="zh-CN"/>
        </w:rPr>
        <w:t>1）开展研究的目的；</w:t>
      </w:r>
    </w:p>
    <w:p w14:paraId="6EEFF130">
      <w:pPr>
        <w:ind w:firstLine="432" w:firstLineChars="200"/>
        <w:jc w:val="both"/>
        <w:rPr>
          <w:rFonts w:ascii="宋体" w:hAnsi="宋体" w:eastAsia="宋体" w:cs="宋体"/>
          <w:spacing w:val="8"/>
          <w:sz w:val="20"/>
          <w:szCs w:val="20"/>
          <w:lang w:eastAsia="zh-CN"/>
        </w:rPr>
      </w:pPr>
      <w:r>
        <w:rPr>
          <w:rFonts w:hint="eastAsia" w:ascii="宋体" w:hAnsi="宋体" w:eastAsia="宋体" w:cs="宋体"/>
          <w:spacing w:val="8"/>
          <w:sz w:val="20"/>
          <w:szCs w:val="20"/>
          <w:lang w:eastAsia="zh-CN"/>
        </w:rPr>
        <w:t>2）预期用途。</w:t>
      </w:r>
    </w:p>
    <w:p w14:paraId="0604B042">
      <w:pPr>
        <w:ind w:firstLine="432" w:firstLineChars="200"/>
        <w:jc w:val="both"/>
        <w:rPr>
          <w:rFonts w:ascii="宋体" w:hAnsi="宋体" w:eastAsia="宋体" w:cs="宋体"/>
          <w:spacing w:val="8"/>
          <w:sz w:val="20"/>
          <w:szCs w:val="20"/>
          <w:lang w:eastAsia="zh-CN"/>
        </w:rPr>
      </w:pPr>
      <w:r>
        <w:rPr>
          <w:rFonts w:hint="eastAsia" w:ascii="宋体" w:hAnsi="宋体" w:eastAsia="宋体" w:cs="宋体"/>
          <w:spacing w:val="8"/>
          <w:sz w:val="20"/>
          <w:szCs w:val="20"/>
          <w:lang w:eastAsia="zh-CN"/>
        </w:rPr>
        <w:t>c）量化范围：</w:t>
      </w:r>
    </w:p>
    <w:p w14:paraId="7CEA8427">
      <w:pPr>
        <w:ind w:firstLine="432" w:firstLineChars="200"/>
        <w:jc w:val="both"/>
        <w:rPr>
          <w:rFonts w:ascii="宋体" w:hAnsi="宋体" w:eastAsia="宋体" w:cs="宋体"/>
          <w:spacing w:val="8"/>
          <w:sz w:val="20"/>
          <w:szCs w:val="20"/>
          <w:lang w:eastAsia="zh-CN"/>
        </w:rPr>
      </w:pPr>
      <w:r>
        <w:rPr>
          <w:rFonts w:hint="eastAsia" w:ascii="宋体" w:hAnsi="宋体" w:eastAsia="宋体" w:cs="宋体"/>
          <w:spacing w:val="8"/>
          <w:sz w:val="20"/>
          <w:szCs w:val="20"/>
          <w:lang w:eastAsia="zh-CN"/>
        </w:rPr>
        <w:t>1）产品说明，包括功能和技术参数；</w:t>
      </w:r>
    </w:p>
    <w:p w14:paraId="4BDCC481">
      <w:pPr>
        <w:ind w:firstLine="432" w:firstLineChars="200"/>
        <w:jc w:val="both"/>
        <w:rPr>
          <w:rFonts w:ascii="宋体" w:hAnsi="宋体" w:eastAsia="宋体" w:cs="宋体"/>
          <w:spacing w:val="8"/>
          <w:sz w:val="20"/>
          <w:szCs w:val="20"/>
          <w:lang w:eastAsia="zh-CN"/>
        </w:rPr>
      </w:pPr>
      <w:r>
        <w:rPr>
          <w:rFonts w:hint="eastAsia" w:ascii="宋体" w:hAnsi="宋体" w:eastAsia="宋体" w:cs="宋体"/>
          <w:spacing w:val="8"/>
          <w:sz w:val="20"/>
          <w:szCs w:val="20"/>
          <w:lang w:eastAsia="zh-CN"/>
        </w:rPr>
        <w:t>2）声明单位以及基准流；</w:t>
      </w:r>
    </w:p>
    <w:p w14:paraId="6F6B57E9">
      <w:pPr>
        <w:ind w:firstLine="432" w:firstLineChars="200"/>
        <w:jc w:val="both"/>
        <w:rPr>
          <w:rFonts w:ascii="宋体" w:hAnsi="宋体" w:eastAsia="宋体" w:cs="宋体"/>
          <w:spacing w:val="8"/>
          <w:sz w:val="20"/>
          <w:szCs w:val="20"/>
          <w:lang w:eastAsia="zh-CN"/>
        </w:rPr>
      </w:pPr>
      <w:r>
        <w:rPr>
          <w:rFonts w:hint="eastAsia" w:ascii="宋体" w:hAnsi="宋体" w:eastAsia="宋体" w:cs="宋体"/>
          <w:spacing w:val="8"/>
          <w:sz w:val="20"/>
          <w:szCs w:val="20"/>
          <w:lang w:eastAsia="zh-CN"/>
        </w:rPr>
        <w:t>3）系统边界；</w:t>
      </w:r>
    </w:p>
    <w:p w14:paraId="041877B0">
      <w:pPr>
        <w:ind w:firstLine="432" w:firstLineChars="200"/>
        <w:jc w:val="both"/>
        <w:rPr>
          <w:rFonts w:ascii="宋体" w:hAnsi="宋体" w:eastAsia="宋体" w:cs="宋体"/>
          <w:spacing w:val="8"/>
          <w:sz w:val="20"/>
          <w:szCs w:val="20"/>
          <w:lang w:eastAsia="zh-CN"/>
        </w:rPr>
      </w:pPr>
      <w:r>
        <w:rPr>
          <w:rFonts w:hint="eastAsia" w:ascii="宋体" w:hAnsi="宋体" w:eastAsia="宋体" w:cs="宋体"/>
          <w:spacing w:val="8"/>
          <w:sz w:val="20"/>
          <w:szCs w:val="20"/>
          <w:lang w:eastAsia="zh-CN"/>
        </w:rPr>
        <w:t>4）取舍准则和取舍点，列出排除在外的单元过程或因素，并说明理由和其合理性；</w:t>
      </w:r>
    </w:p>
    <w:p w14:paraId="39B46019">
      <w:pPr>
        <w:ind w:firstLine="432" w:firstLineChars="200"/>
        <w:jc w:val="both"/>
        <w:rPr>
          <w:rFonts w:ascii="宋体" w:hAnsi="宋体" w:eastAsia="宋体" w:cs="宋体"/>
          <w:spacing w:val="8"/>
          <w:sz w:val="20"/>
          <w:szCs w:val="20"/>
          <w:lang w:eastAsia="zh-CN"/>
        </w:rPr>
      </w:pPr>
      <w:r>
        <w:rPr>
          <w:rFonts w:hint="eastAsia" w:ascii="宋体" w:hAnsi="宋体" w:eastAsia="宋体" w:cs="宋体"/>
          <w:spacing w:val="8"/>
          <w:sz w:val="20"/>
          <w:szCs w:val="20"/>
          <w:lang w:eastAsia="zh-CN"/>
        </w:rPr>
        <w:t>5）生命周期各阶段描述。</w:t>
      </w:r>
    </w:p>
    <w:p w14:paraId="57D76BA8">
      <w:pPr>
        <w:ind w:firstLine="432" w:firstLineChars="200"/>
        <w:jc w:val="both"/>
        <w:rPr>
          <w:rFonts w:ascii="宋体" w:hAnsi="宋体" w:eastAsia="宋体" w:cs="宋体"/>
          <w:spacing w:val="8"/>
          <w:sz w:val="20"/>
          <w:szCs w:val="20"/>
          <w:lang w:eastAsia="zh-CN"/>
        </w:rPr>
      </w:pPr>
      <w:r>
        <w:rPr>
          <w:rFonts w:hint="eastAsia" w:ascii="宋体" w:hAnsi="宋体" w:eastAsia="宋体" w:cs="宋体"/>
          <w:spacing w:val="8"/>
          <w:sz w:val="20"/>
          <w:szCs w:val="20"/>
          <w:lang w:eastAsia="zh-CN"/>
        </w:rPr>
        <w:t>d）清单分析：</w:t>
      </w:r>
    </w:p>
    <w:p w14:paraId="7E49FE4B">
      <w:pPr>
        <w:ind w:firstLine="432" w:firstLineChars="200"/>
        <w:jc w:val="both"/>
        <w:rPr>
          <w:rFonts w:ascii="宋体" w:hAnsi="宋体" w:eastAsia="宋体" w:cs="宋体"/>
          <w:spacing w:val="8"/>
          <w:sz w:val="20"/>
          <w:szCs w:val="20"/>
          <w:lang w:eastAsia="zh-CN"/>
        </w:rPr>
      </w:pPr>
      <w:r>
        <w:rPr>
          <w:rFonts w:hint="eastAsia" w:ascii="宋体" w:hAnsi="宋体" w:eastAsia="宋体" w:cs="宋体"/>
          <w:spacing w:val="8"/>
          <w:sz w:val="20"/>
          <w:szCs w:val="20"/>
          <w:lang w:eastAsia="zh-CN"/>
        </w:rPr>
        <w:t>1）数据收集信息，包括数据来源；</w:t>
      </w:r>
    </w:p>
    <w:p w14:paraId="77AD8385">
      <w:pPr>
        <w:ind w:firstLine="432" w:firstLineChars="200"/>
        <w:jc w:val="both"/>
        <w:rPr>
          <w:rFonts w:ascii="宋体" w:hAnsi="宋体" w:eastAsia="宋体" w:cs="宋体"/>
          <w:spacing w:val="8"/>
          <w:sz w:val="20"/>
          <w:szCs w:val="20"/>
          <w:lang w:eastAsia="zh-CN"/>
        </w:rPr>
      </w:pPr>
      <w:r>
        <w:rPr>
          <w:rFonts w:hint="eastAsia" w:ascii="宋体" w:hAnsi="宋体" w:eastAsia="宋体" w:cs="宋体"/>
          <w:spacing w:val="8"/>
          <w:sz w:val="20"/>
          <w:szCs w:val="20"/>
          <w:lang w:eastAsia="zh-CN"/>
        </w:rPr>
        <w:t>2）重要的单元过程清单；</w:t>
      </w:r>
    </w:p>
    <w:p w14:paraId="569B8452">
      <w:pPr>
        <w:ind w:firstLine="432" w:firstLineChars="200"/>
        <w:jc w:val="both"/>
        <w:rPr>
          <w:rFonts w:ascii="宋体" w:hAnsi="宋体" w:eastAsia="宋体" w:cs="宋体"/>
          <w:spacing w:val="8"/>
          <w:sz w:val="20"/>
          <w:szCs w:val="20"/>
          <w:lang w:eastAsia="zh-CN"/>
        </w:rPr>
      </w:pPr>
      <w:r>
        <w:rPr>
          <w:rFonts w:hint="eastAsia" w:ascii="宋体" w:hAnsi="宋体" w:eastAsia="宋体" w:cs="宋体"/>
          <w:spacing w:val="8"/>
          <w:sz w:val="20"/>
          <w:szCs w:val="20"/>
          <w:lang w:eastAsia="zh-CN"/>
        </w:rPr>
        <w:t>3）纳入范围的温室气体清单；</w:t>
      </w:r>
    </w:p>
    <w:p w14:paraId="27301322">
      <w:pPr>
        <w:ind w:firstLine="432" w:firstLineChars="200"/>
        <w:jc w:val="both"/>
        <w:rPr>
          <w:rFonts w:ascii="宋体" w:hAnsi="宋体" w:eastAsia="宋体" w:cs="宋体"/>
          <w:spacing w:val="8"/>
          <w:sz w:val="20"/>
          <w:szCs w:val="20"/>
          <w:lang w:eastAsia="zh-CN"/>
        </w:rPr>
      </w:pPr>
      <w:r>
        <w:rPr>
          <w:rFonts w:hint="eastAsia" w:ascii="宋体" w:hAnsi="宋体" w:eastAsia="宋体" w:cs="宋体"/>
          <w:spacing w:val="8"/>
          <w:sz w:val="20"/>
          <w:szCs w:val="20"/>
          <w:lang w:eastAsia="zh-CN"/>
        </w:rPr>
        <w:t>4）分配原则与程序；</w:t>
      </w:r>
    </w:p>
    <w:p w14:paraId="7A5AD4EB">
      <w:pPr>
        <w:ind w:firstLine="432" w:firstLineChars="200"/>
        <w:jc w:val="both"/>
        <w:rPr>
          <w:rFonts w:ascii="宋体" w:hAnsi="宋体" w:eastAsia="宋体" w:cs="宋体"/>
          <w:spacing w:val="8"/>
          <w:sz w:val="20"/>
          <w:szCs w:val="20"/>
          <w:lang w:eastAsia="zh-CN"/>
        </w:rPr>
      </w:pPr>
      <w:r>
        <w:rPr>
          <w:rFonts w:hint="eastAsia" w:ascii="宋体" w:hAnsi="宋体" w:eastAsia="宋体" w:cs="宋体"/>
          <w:spacing w:val="8"/>
          <w:sz w:val="20"/>
          <w:szCs w:val="20"/>
          <w:lang w:eastAsia="zh-CN"/>
        </w:rPr>
        <w:t>5）数据说明，包括有关数据的决定和数据质量评价。</w:t>
      </w:r>
    </w:p>
    <w:p w14:paraId="09A725D9">
      <w:pPr>
        <w:ind w:firstLine="432" w:firstLineChars="200"/>
        <w:jc w:val="both"/>
        <w:rPr>
          <w:rFonts w:ascii="宋体" w:hAnsi="宋体" w:eastAsia="宋体" w:cs="宋体"/>
          <w:spacing w:val="8"/>
          <w:sz w:val="20"/>
          <w:szCs w:val="20"/>
          <w:lang w:eastAsia="zh-CN"/>
        </w:rPr>
      </w:pPr>
      <w:bookmarkStart w:id="104" w:name="bookmark58"/>
      <w:bookmarkEnd w:id="104"/>
      <w:r>
        <w:rPr>
          <w:rFonts w:hint="eastAsia" w:ascii="宋体" w:hAnsi="宋体" w:eastAsia="宋体" w:cs="宋体"/>
          <w:spacing w:val="8"/>
          <w:sz w:val="20"/>
          <w:szCs w:val="20"/>
          <w:lang w:eastAsia="zh-CN"/>
        </w:rPr>
        <w:t>e）影响评价：</w:t>
      </w:r>
    </w:p>
    <w:p w14:paraId="6C63ADA7">
      <w:pPr>
        <w:ind w:firstLine="432" w:firstLineChars="200"/>
        <w:jc w:val="both"/>
        <w:rPr>
          <w:rFonts w:ascii="宋体" w:hAnsi="宋体" w:eastAsia="宋体" w:cs="宋体"/>
          <w:spacing w:val="8"/>
          <w:sz w:val="20"/>
          <w:szCs w:val="20"/>
          <w:lang w:eastAsia="zh-CN"/>
        </w:rPr>
      </w:pPr>
      <w:r>
        <w:rPr>
          <w:rFonts w:hint="eastAsia" w:ascii="宋体" w:hAnsi="宋体" w:eastAsia="宋体" w:cs="宋体"/>
          <w:spacing w:val="8"/>
          <w:sz w:val="20"/>
          <w:szCs w:val="20"/>
          <w:lang w:eastAsia="zh-CN"/>
        </w:rPr>
        <w:t>1）影响评价方法；</w:t>
      </w:r>
    </w:p>
    <w:p w14:paraId="4709C5DF">
      <w:pPr>
        <w:ind w:firstLine="432" w:firstLineChars="200"/>
        <w:jc w:val="both"/>
        <w:rPr>
          <w:rFonts w:ascii="宋体" w:hAnsi="宋体" w:eastAsia="宋体" w:cs="宋体"/>
          <w:spacing w:val="8"/>
          <w:sz w:val="20"/>
          <w:szCs w:val="20"/>
          <w:lang w:eastAsia="zh-CN"/>
        </w:rPr>
      </w:pPr>
      <w:r>
        <w:rPr>
          <w:rFonts w:hint="eastAsia" w:ascii="宋体" w:hAnsi="宋体" w:eastAsia="宋体" w:cs="宋体"/>
          <w:spacing w:val="8"/>
          <w:sz w:val="20"/>
          <w:szCs w:val="20"/>
          <w:lang w:eastAsia="zh-CN"/>
        </w:rPr>
        <w:t>2）特征化因子；</w:t>
      </w:r>
    </w:p>
    <w:p w14:paraId="5CF8CC8F">
      <w:pPr>
        <w:ind w:firstLine="432" w:firstLineChars="200"/>
        <w:jc w:val="both"/>
        <w:rPr>
          <w:rFonts w:ascii="宋体" w:hAnsi="宋体" w:eastAsia="宋体" w:cs="宋体"/>
          <w:spacing w:val="8"/>
          <w:sz w:val="20"/>
          <w:szCs w:val="20"/>
          <w:lang w:eastAsia="zh-CN"/>
        </w:rPr>
      </w:pPr>
      <w:r>
        <w:rPr>
          <w:rFonts w:hint="eastAsia" w:ascii="宋体" w:hAnsi="宋体" w:eastAsia="宋体" w:cs="宋体"/>
          <w:spacing w:val="8"/>
          <w:sz w:val="20"/>
          <w:szCs w:val="20"/>
          <w:lang w:eastAsia="zh-CN"/>
        </w:rPr>
        <w:t>3）产品碳足迹计算；</w:t>
      </w:r>
    </w:p>
    <w:p w14:paraId="4FCC6DE7">
      <w:pPr>
        <w:ind w:firstLine="432" w:firstLineChars="200"/>
        <w:jc w:val="both"/>
        <w:rPr>
          <w:rFonts w:ascii="宋体" w:hAnsi="宋体" w:eastAsia="宋体" w:cs="宋体"/>
          <w:spacing w:val="8"/>
          <w:sz w:val="20"/>
          <w:szCs w:val="20"/>
          <w:lang w:eastAsia="zh-CN"/>
        </w:rPr>
      </w:pPr>
      <w:r>
        <w:rPr>
          <w:rFonts w:hint="eastAsia" w:ascii="宋体" w:hAnsi="宋体" w:eastAsia="宋体" w:cs="宋体"/>
          <w:spacing w:val="8"/>
          <w:sz w:val="20"/>
          <w:szCs w:val="20"/>
          <w:lang w:eastAsia="zh-CN"/>
        </w:rPr>
        <w:t>4）结果图示（可选）。</w:t>
      </w:r>
    </w:p>
    <w:p w14:paraId="70A11C98">
      <w:pPr>
        <w:ind w:firstLine="432" w:firstLineChars="200"/>
        <w:jc w:val="both"/>
        <w:rPr>
          <w:rFonts w:ascii="宋体" w:hAnsi="宋体" w:eastAsia="宋体" w:cs="宋体"/>
          <w:spacing w:val="8"/>
          <w:sz w:val="20"/>
          <w:szCs w:val="20"/>
          <w:lang w:eastAsia="zh-CN"/>
        </w:rPr>
      </w:pPr>
      <w:r>
        <w:rPr>
          <w:rFonts w:hint="eastAsia" w:ascii="宋体" w:hAnsi="宋体" w:eastAsia="宋体" w:cs="宋体"/>
          <w:spacing w:val="8"/>
          <w:sz w:val="20"/>
          <w:szCs w:val="20"/>
          <w:lang w:eastAsia="zh-CN"/>
        </w:rPr>
        <w:t>f）结果解释：</w:t>
      </w:r>
    </w:p>
    <w:p w14:paraId="6FD2DFB6">
      <w:pPr>
        <w:ind w:firstLine="432" w:firstLineChars="200"/>
        <w:jc w:val="both"/>
        <w:rPr>
          <w:rFonts w:ascii="宋体" w:hAnsi="宋体" w:eastAsia="宋体" w:cs="宋体"/>
          <w:spacing w:val="8"/>
          <w:sz w:val="20"/>
          <w:szCs w:val="20"/>
          <w:lang w:eastAsia="zh-CN"/>
        </w:rPr>
      </w:pPr>
      <w:r>
        <w:rPr>
          <w:rFonts w:hint="eastAsia" w:ascii="宋体" w:hAnsi="宋体" w:eastAsia="宋体" w:cs="宋体"/>
          <w:spacing w:val="8"/>
          <w:sz w:val="20"/>
          <w:szCs w:val="20"/>
          <w:lang w:eastAsia="zh-CN"/>
        </w:rPr>
        <w:t>1）结论和局限性；</w:t>
      </w:r>
    </w:p>
    <w:p w14:paraId="07DD49EC">
      <w:pPr>
        <w:ind w:firstLine="432" w:firstLineChars="200"/>
        <w:jc w:val="both"/>
        <w:rPr>
          <w:rFonts w:ascii="宋体" w:hAnsi="宋体" w:eastAsia="宋体" w:cs="宋体"/>
          <w:spacing w:val="8"/>
          <w:sz w:val="20"/>
          <w:szCs w:val="20"/>
          <w:lang w:eastAsia="zh-CN"/>
        </w:rPr>
      </w:pPr>
      <w:r>
        <w:rPr>
          <w:rFonts w:hint="eastAsia" w:ascii="宋体" w:hAnsi="宋体" w:eastAsia="宋体" w:cs="宋体"/>
          <w:spacing w:val="8"/>
          <w:sz w:val="20"/>
          <w:szCs w:val="20"/>
          <w:lang w:eastAsia="zh-CN"/>
        </w:rPr>
        <w:t>2）敏感性分析和不确定性分析结果；</w:t>
      </w:r>
    </w:p>
    <w:p w14:paraId="4F699F80">
      <w:pPr>
        <w:ind w:firstLine="432" w:firstLineChars="200"/>
        <w:jc w:val="both"/>
        <w:rPr>
          <w:rFonts w:ascii="宋体" w:hAnsi="宋体" w:eastAsia="宋体" w:cs="宋体"/>
          <w:spacing w:val="8"/>
          <w:sz w:val="20"/>
          <w:szCs w:val="20"/>
          <w:lang w:eastAsia="zh-CN"/>
        </w:rPr>
      </w:pPr>
      <w:r>
        <w:rPr>
          <w:rFonts w:hint="eastAsia" w:ascii="宋体" w:hAnsi="宋体" w:eastAsia="宋体" w:cs="宋体"/>
          <w:spacing w:val="8"/>
          <w:sz w:val="20"/>
          <w:szCs w:val="20"/>
          <w:lang w:eastAsia="zh-CN"/>
        </w:rPr>
        <w:t>3）电力处理，包括关于电网排放因子计算和相关电网的特殊局限信息；</w:t>
      </w:r>
    </w:p>
    <w:p w14:paraId="2218D741">
      <w:pPr>
        <w:ind w:firstLine="432" w:firstLineChars="200"/>
        <w:jc w:val="both"/>
        <w:rPr>
          <w:rFonts w:ascii="宋体" w:hAnsi="宋体" w:eastAsia="宋体" w:cs="宋体"/>
          <w:spacing w:val="8"/>
          <w:sz w:val="20"/>
          <w:szCs w:val="20"/>
          <w:lang w:eastAsia="zh-CN"/>
        </w:rPr>
      </w:pPr>
      <w:r>
        <w:rPr>
          <w:rFonts w:hint="eastAsia" w:ascii="宋体" w:hAnsi="宋体" w:eastAsia="宋体" w:cs="宋体"/>
          <w:spacing w:val="8"/>
          <w:sz w:val="20"/>
          <w:szCs w:val="20"/>
          <w:lang w:eastAsia="zh-CN"/>
        </w:rPr>
        <w:t>4）在产品碳足迹研究中披露和证明相关信息项的选择并说明理由。</w:t>
      </w:r>
    </w:p>
    <w:p w14:paraId="2E06A5B7">
      <w:pPr>
        <w:ind w:firstLine="432" w:firstLineChars="200"/>
        <w:jc w:val="both"/>
        <w:rPr>
          <w:rFonts w:ascii="宋体" w:hAnsi="宋体" w:eastAsia="宋体" w:cs="宋体"/>
          <w:spacing w:val="8"/>
          <w:sz w:val="20"/>
          <w:szCs w:val="20"/>
          <w:lang w:eastAsia="zh-CN"/>
        </w:rPr>
      </w:pPr>
      <w:r>
        <w:rPr>
          <w:rFonts w:hint="eastAsia" w:ascii="宋体" w:hAnsi="宋体" w:eastAsia="宋体" w:cs="宋体"/>
          <w:spacing w:val="8"/>
          <w:sz w:val="20"/>
          <w:szCs w:val="20"/>
          <w:lang w:eastAsia="zh-CN"/>
        </w:rPr>
        <w:t>g）研究中使用的产品种类规则或其他补充要求的参考资料。</w:t>
      </w:r>
    </w:p>
    <w:p w14:paraId="501033CC">
      <w:pPr>
        <w:ind w:firstLine="400" w:firstLineChars="200"/>
        <w:rPr>
          <w:rFonts w:ascii="宋体" w:hAnsi="宋体" w:eastAsia="宋体" w:cs="宋体"/>
          <w:sz w:val="20"/>
          <w:szCs w:val="20"/>
          <w:lang w:eastAsia="zh-CN"/>
        </w:rPr>
      </w:pPr>
    </w:p>
    <w:p w14:paraId="189FFC8B">
      <w:pPr>
        <w:ind w:firstLine="400" w:firstLineChars="200"/>
        <w:rPr>
          <w:rFonts w:ascii="宋体" w:hAnsi="宋体" w:eastAsia="宋体" w:cs="宋体"/>
          <w:sz w:val="20"/>
          <w:szCs w:val="20"/>
          <w:lang w:eastAsia="zh-CN"/>
        </w:rPr>
        <w:sectPr>
          <w:headerReference r:id="rId8" w:type="default"/>
          <w:footerReference r:id="rId9" w:type="default"/>
          <w:pgSz w:w="11906" w:h="16839"/>
          <w:pgMar w:top="1417" w:right="1417" w:bottom="1134" w:left="1417" w:header="0" w:footer="994" w:gutter="0"/>
          <w:cols w:space="720" w:num="1"/>
        </w:sectPr>
      </w:pPr>
    </w:p>
    <w:p w14:paraId="4CA81565">
      <w:pPr>
        <w:pStyle w:val="2"/>
        <w:spacing w:before="65" w:line="264" w:lineRule="exact"/>
        <w:ind w:left="399"/>
        <w:jc w:val="right"/>
        <w:rPr>
          <w:sz w:val="20"/>
          <w:szCs w:val="20"/>
          <w:lang w:eastAsia="zh-CN"/>
        </w:rPr>
      </w:pPr>
    </w:p>
    <w:p w14:paraId="6749A6AB">
      <w:pPr>
        <w:spacing w:line="293" w:lineRule="auto"/>
        <w:rPr>
          <w:lang w:eastAsia="zh-CN"/>
        </w:rPr>
      </w:pPr>
    </w:p>
    <w:p w14:paraId="0F8BEC4E">
      <w:pPr>
        <w:pStyle w:val="20"/>
        <w:rPr>
          <w:sz w:val="20"/>
          <w:lang w:eastAsia="zh-CN"/>
        </w:rPr>
      </w:pPr>
      <w:bookmarkStart w:id="105" w:name="_Toc19993"/>
      <w:r>
        <w:rPr>
          <w:rFonts w:hint="eastAsia"/>
          <w:sz w:val="20"/>
          <w:lang w:eastAsia="zh-CN"/>
        </w:rPr>
        <w:br w:type="textWrapping"/>
      </w:r>
      <w:r>
        <w:rPr>
          <w:rFonts w:hint="eastAsia"/>
          <w:sz w:val="20"/>
          <w:lang w:eastAsia="zh-CN"/>
        </w:rPr>
        <w:t>（资料性）</w:t>
      </w:r>
      <w:r>
        <w:rPr>
          <w:rFonts w:hint="eastAsia"/>
          <w:sz w:val="20"/>
          <w:lang w:eastAsia="zh-CN"/>
        </w:rPr>
        <w:br w:type="textWrapping"/>
      </w:r>
      <w:r>
        <w:rPr>
          <w:rFonts w:hint="eastAsia"/>
          <w:sz w:val="20"/>
          <w:lang w:eastAsia="zh-CN"/>
        </w:rPr>
        <w:t>纯碱产品生命周期系统边界内各生产单元的温室气体排放源</w:t>
      </w:r>
      <w:bookmarkEnd w:id="105"/>
    </w:p>
    <w:p w14:paraId="05F51B52">
      <w:pPr>
        <w:ind w:firstLine="432" w:firstLineChars="200"/>
        <w:rPr>
          <w:rFonts w:ascii="宋体" w:hAnsi="宋体" w:eastAsia="宋体" w:cs="宋体"/>
          <w:spacing w:val="8"/>
          <w:sz w:val="20"/>
          <w:szCs w:val="20"/>
          <w:lang w:eastAsia="zh-CN"/>
        </w:rPr>
      </w:pPr>
      <w:bookmarkStart w:id="106" w:name="bookmark45"/>
      <w:bookmarkEnd w:id="106"/>
      <w:r>
        <w:rPr>
          <w:rFonts w:hint="eastAsia" w:ascii="宋体" w:hAnsi="宋体" w:eastAsia="宋体" w:cs="宋体"/>
          <w:spacing w:val="8"/>
          <w:sz w:val="20"/>
          <w:szCs w:val="20"/>
          <w:lang w:eastAsia="zh-CN"/>
        </w:rPr>
        <w:t>纯碱产品生命周期系统边界内各生产单元的温室气体排放源见表A.1~A.3。</w:t>
      </w:r>
    </w:p>
    <w:p w14:paraId="2725C7FF">
      <w:pPr>
        <w:ind w:firstLine="432" w:firstLineChars="200"/>
        <w:rPr>
          <w:rFonts w:ascii="宋体" w:hAnsi="宋体" w:eastAsia="宋体" w:cs="宋体"/>
          <w:spacing w:val="8"/>
          <w:sz w:val="20"/>
          <w:szCs w:val="20"/>
          <w:lang w:eastAsia="zh-CN"/>
        </w:rPr>
      </w:pPr>
    </w:p>
    <w:p w14:paraId="6F7645BE">
      <w:pPr>
        <w:spacing w:before="271" w:line="344" w:lineRule="auto"/>
        <w:ind w:left="2752" w:right="1352" w:hanging="2296"/>
        <w:jc w:val="center"/>
        <w:rPr>
          <w:rFonts w:ascii="黑体" w:hAnsi="黑体" w:eastAsia="黑体" w:cs="黑体"/>
          <w:sz w:val="19"/>
          <w:szCs w:val="19"/>
          <w:lang w:eastAsia="zh-CN"/>
        </w:rPr>
      </w:pPr>
      <w:r>
        <w:rPr>
          <w:rFonts w:ascii="黑体" w:hAnsi="黑体" w:eastAsia="黑体" w:cs="黑体"/>
          <w:color w:val="231F20"/>
          <w:spacing w:val="14"/>
          <w:sz w:val="19"/>
          <w:szCs w:val="19"/>
          <w:lang w:eastAsia="zh-CN"/>
        </w:rPr>
        <w:t>表</w:t>
      </w:r>
      <w:r>
        <w:rPr>
          <w:rFonts w:ascii="黑体" w:hAnsi="黑体" w:eastAsia="黑体" w:cs="黑体"/>
          <w:color w:val="231F20"/>
          <w:spacing w:val="-17"/>
          <w:sz w:val="19"/>
          <w:szCs w:val="19"/>
          <w:lang w:eastAsia="zh-CN"/>
        </w:rPr>
        <w:t xml:space="preserve"> </w:t>
      </w:r>
      <w:r>
        <w:rPr>
          <w:rFonts w:ascii="微软雅黑" w:hAnsi="微软雅黑" w:eastAsia="微软雅黑" w:cs="微软雅黑"/>
          <w:color w:val="231F20"/>
          <w:spacing w:val="14"/>
          <w:sz w:val="19"/>
          <w:szCs w:val="19"/>
          <w:lang w:eastAsia="zh-CN"/>
        </w:rPr>
        <w:t>A.1</w:t>
      </w:r>
      <w:r>
        <w:rPr>
          <w:rFonts w:ascii="微软雅黑" w:hAnsi="微软雅黑" w:eastAsia="微软雅黑" w:cs="微软雅黑"/>
          <w:color w:val="231F20"/>
          <w:sz w:val="19"/>
          <w:szCs w:val="19"/>
          <w:lang w:eastAsia="zh-CN"/>
        </w:rPr>
        <w:t xml:space="preserve"> </w:t>
      </w:r>
      <w:r>
        <w:rPr>
          <w:rFonts w:hint="eastAsia" w:ascii="黑体" w:hAnsi="黑体" w:eastAsia="黑体" w:cs="黑体"/>
          <w:color w:val="231F20"/>
          <w:spacing w:val="14"/>
          <w:sz w:val="19"/>
          <w:szCs w:val="19"/>
          <w:lang w:eastAsia="zh-CN"/>
        </w:rPr>
        <w:t>氨碱法纯碱生产</w:t>
      </w:r>
      <w:r>
        <w:rPr>
          <w:rFonts w:ascii="黑体" w:hAnsi="黑体" w:eastAsia="黑体" w:cs="黑体"/>
          <w:color w:val="231F20"/>
          <w:spacing w:val="14"/>
          <w:sz w:val="19"/>
          <w:szCs w:val="19"/>
          <w:lang w:eastAsia="zh-CN"/>
        </w:rPr>
        <w:t>温室气体排放源</w:t>
      </w:r>
    </w:p>
    <w:tbl>
      <w:tblPr>
        <w:tblStyle w:val="10"/>
        <w:tblW w:w="9188" w:type="dxa"/>
        <w:tblInd w:w="5"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fixed"/>
        <w:tblCellMar>
          <w:top w:w="0" w:type="dxa"/>
          <w:left w:w="0" w:type="dxa"/>
          <w:bottom w:w="0" w:type="dxa"/>
          <w:right w:w="0" w:type="dxa"/>
        </w:tblCellMar>
      </w:tblPr>
      <w:tblGrid>
        <w:gridCol w:w="2896"/>
        <w:gridCol w:w="6292"/>
      </w:tblGrid>
      <w:tr w14:paraId="5C0F7A2E">
        <w:tc>
          <w:tcPr>
            <w:tcW w:w="2896" w:type="dxa"/>
            <w:tcBorders>
              <w:top w:val="single" w:color="231F20" w:sz="4" w:space="0"/>
              <w:left w:val="single" w:color="231F20" w:sz="4" w:space="0"/>
              <w:bottom w:val="single" w:color="231F20" w:sz="4" w:space="0"/>
            </w:tcBorders>
            <w:vAlign w:val="center"/>
          </w:tcPr>
          <w:p w14:paraId="275E8E80">
            <w:pPr>
              <w:pStyle w:val="11"/>
              <w:spacing w:line="360" w:lineRule="auto"/>
              <w:rPr>
                <w:sz w:val="20"/>
                <w:szCs w:val="20"/>
              </w:rPr>
            </w:pPr>
            <w:r>
              <w:rPr>
                <w:spacing w:val="15"/>
                <w:sz w:val="20"/>
                <w:szCs w:val="20"/>
              </w:rPr>
              <w:t>排放类别</w:t>
            </w:r>
          </w:p>
        </w:tc>
        <w:tc>
          <w:tcPr>
            <w:tcW w:w="6292" w:type="dxa"/>
            <w:tcBorders>
              <w:top w:val="single" w:color="231F20" w:sz="4" w:space="0"/>
              <w:bottom w:val="single" w:color="231F20" w:sz="4" w:space="0"/>
              <w:right w:val="single" w:color="231F20" w:sz="4" w:space="0"/>
            </w:tcBorders>
            <w:vAlign w:val="center"/>
          </w:tcPr>
          <w:p w14:paraId="718D7D5E">
            <w:pPr>
              <w:pStyle w:val="11"/>
              <w:spacing w:line="360" w:lineRule="auto"/>
              <w:rPr>
                <w:sz w:val="20"/>
                <w:szCs w:val="20"/>
              </w:rPr>
            </w:pPr>
            <w:r>
              <w:rPr>
                <w:spacing w:val="14"/>
                <w:sz w:val="20"/>
                <w:szCs w:val="20"/>
              </w:rPr>
              <w:t>排放源</w:t>
            </w:r>
          </w:p>
        </w:tc>
      </w:tr>
      <w:tr w14:paraId="66223E25">
        <w:tc>
          <w:tcPr>
            <w:tcW w:w="2896" w:type="dxa"/>
            <w:vMerge w:val="restart"/>
            <w:tcBorders>
              <w:top w:val="single" w:color="231F20" w:sz="4" w:space="0"/>
              <w:left w:val="single" w:color="231F20" w:sz="4" w:space="0"/>
              <w:bottom w:val="nil"/>
            </w:tcBorders>
            <w:vAlign w:val="center"/>
          </w:tcPr>
          <w:p w14:paraId="58CF1A70">
            <w:pPr>
              <w:pStyle w:val="11"/>
              <w:spacing w:line="360" w:lineRule="auto"/>
              <w:rPr>
                <w:sz w:val="20"/>
                <w:szCs w:val="20"/>
              </w:rPr>
            </w:pPr>
            <w:r>
              <w:rPr>
                <w:spacing w:val="17"/>
                <w:sz w:val="20"/>
                <w:szCs w:val="20"/>
              </w:rPr>
              <w:t>燃料燃烧排放</w:t>
            </w:r>
          </w:p>
        </w:tc>
        <w:tc>
          <w:tcPr>
            <w:tcW w:w="6292" w:type="dxa"/>
            <w:tcBorders>
              <w:top w:val="single" w:color="231F20" w:sz="4" w:space="0"/>
              <w:right w:val="single" w:color="231F20" w:sz="4" w:space="0"/>
            </w:tcBorders>
            <w:vAlign w:val="center"/>
          </w:tcPr>
          <w:p w14:paraId="1C3631D3">
            <w:pPr>
              <w:pStyle w:val="11"/>
              <w:spacing w:line="360" w:lineRule="auto"/>
              <w:rPr>
                <w:sz w:val="20"/>
                <w:szCs w:val="20"/>
                <w:lang w:eastAsia="zh-CN"/>
              </w:rPr>
            </w:pPr>
            <w:r>
              <w:rPr>
                <w:spacing w:val="11"/>
                <w:sz w:val="20"/>
                <w:szCs w:val="20"/>
                <w:lang w:eastAsia="zh-CN"/>
              </w:rPr>
              <w:t>固定和移动设备中的化石燃料燃烧（例如</w:t>
            </w:r>
            <w:r>
              <w:rPr>
                <w:rFonts w:hint="eastAsia"/>
                <w:spacing w:val="11"/>
                <w:sz w:val="20"/>
                <w:szCs w:val="20"/>
                <w:lang w:eastAsia="zh-CN"/>
              </w:rPr>
              <w:t>锅炉、煅烧窑炉、</w:t>
            </w:r>
            <w:r>
              <w:rPr>
                <w:spacing w:val="11"/>
                <w:sz w:val="20"/>
                <w:szCs w:val="20"/>
                <w:lang w:eastAsia="zh-CN"/>
              </w:rPr>
              <w:t>运输卡车、</w:t>
            </w:r>
            <w:r>
              <w:rPr>
                <w:spacing w:val="10"/>
                <w:sz w:val="20"/>
                <w:szCs w:val="20"/>
                <w:lang w:eastAsia="zh-CN"/>
              </w:rPr>
              <w:t>辅助车辆）</w:t>
            </w:r>
          </w:p>
        </w:tc>
      </w:tr>
      <w:tr w14:paraId="06C65332">
        <w:tc>
          <w:tcPr>
            <w:tcW w:w="2896" w:type="dxa"/>
            <w:vMerge w:val="continue"/>
            <w:tcBorders>
              <w:top w:val="nil"/>
              <w:left w:val="single" w:color="231F20" w:sz="4" w:space="0"/>
            </w:tcBorders>
            <w:vAlign w:val="center"/>
          </w:tcPr>
          <w:p w14:paraId="4AB7111E">
            <w:pPr>
              <w:spacing w:line="360" w:lineRule="auto"/>
              <w:rPr>
                <w:sz w:val="20"/>
                <w:szCs w:val="20"/>
                <w:lang w:eastAsia="zh-CN"/>
              </w:rPr>
            </w:pPr>
          </w:p>
        </w:tc>
        <w:tc>
          <w:tcPr>
            <w:tcW w:w="6292" w:type="dxa"/>
            <w:tcBorders>
              <w:right w:val="single" w:color="231F20" w:sz="4" w:space="0"/>
            </w:tcBorders>
            <w:vAlign w:val="center"/>
          </w:tcPr>
          <w:p w14:paraId="6C189984">
            <w:pPr>
              <w:pStyle w:val="11"/>
              <w:spacing w:line="360" w:lineRule="auto"/>
              <w:rPr>
                <w:sz w:val="20"/>
                <w:szCs w:val="20"/>
                <w:lang w:eastAsia="zh-CN"/>
              </w:rPr>
            </w:pPr>
            <w:r>
              <w:rPr>
                <w:spacing w:val="11"/>
                <w:sz w:val="20"/>
                <w:szCs w:val="20"/>
                <w:lang w:eastAsia="zh-CN"/>
              </w:rPr>
              <w:t>辅助、应急或污染控制设备中的固定燃烧（例如柴油发电机）</w:t>
            </w:r>
          </w:p>
        </w:tc>
      </w:tr>
      <w:tr w14:paraId="3EB37632">
        <w:tc>
          <w:tcPr>
            <w:tcW w:w="2896" w:type="dxa"/>
            <w:tcBorders>
              <w:left w:val="single" w:color="231F20" w:sz="4" w:space="0"/>
            </w:tcBorders>
            <w:vAlign w:val="center"/>
          </w:tcPr>
          <w:p w14:paraId="01724A8F">
            <w:pPr>
              <w:pStyle w:val="11"/>
              <w:spacing w:line="360" w:lineRule="auto"/>
              <w:rPr>
                <w:sz w:val="20"/>
                <w:szCs w:val="20"/>
              </w:rPr>
            </w:pPr>
            <w:r>
              <w:rPr>
                <w:spacing w:val="16"/>
                <w:sz w:val="20"/>
                <w:szCs w:val="20"/>
              </w:rPr>
              <w:t>能源相关排放</w:t>
            </w:r>
          </w:p>
        </w:tc>
        <w:tc>
          <w:tcPr>
            <w:tcW w:w="6292" w:type="dxa"/>
            <w:tcBorders>
              <w:right w:val="single" w:color="231F20" w:sz="4" w:space="0"/>
            </w:tcBorders>
            <w:vAlign w:val="center"/>
          </w:tcPr>
          <w:p w14:paraId="18A2F591">
            <w:pPr>
              <w:pStyle w:val="11"/>
              <w:spacing w:line="360" w:lineRule="auto"/>
              <w:rPr>
                <w:sz w:val="20"/>
                <w:szCs w:val="20"/>
                <w:lang w:eastAsia="zh-CN"/>
              </w:rPr>
            </w:pPr>
            <w:r>
              <w:rPr>
                <w:spacing w:val="8"/>
                <w:sz w:val="20"/>
                <w:szCs w:val="20"/>
                <w:lang w:eastAsia="zh-CN"/>
              </w:rPr>
              <w:t>购买或自备的电力、热力</w:t>
            </w:r>
          </w:p>
        </w:tc>
      </w:tr>
      <w:tr w14:paraId="04E660B5">
        <w:tc>
          <w:tcPr>
            <w:tcW w:w="2896" w:type="dxa"/>
            <w:tcBorders>
              <w:left w:val="single" w:color="231F20" w:sz="4" w:space="0"/>
            </w:tcBorders>
            <w:vAlign w:val="center"/>
          </w:tcPr>
          <w:p w14:paraId="05CA3C30">
            <w:pPr>
              <w:pStyle w:val="11"/>
              <w:spacing w:line="360" w:lineRule="auto"/>
              <w:rPr>
                <w:spacing w:val="16"/>
                <w:sz w:val="20"/>
                <w:szCs w:val="20"/>
                <w:lang w:eastAsia="zh-CN"/>
              </w:rPr>
            </w:pPr>
            <w:r>
              <w:rPr>
                <w:rFonts w:hint="eastAsia"/>
                <w:spacing w:val="16"/>
                <w:sz w:val="20"/>
                <w:szCs w:val="20"/>
                <w:lang w:eastAsia="zh-CN"/>
              </w:rPr>
              <w:t>生产过程排放</w:t>
            </w:r>
          </w:p>
        </w:tc>
        <w:tc>
          <w:tcPr>
            <w:tcW w:w="6292" w:type="dxa"/>
            <w:tcBorders>
              <w:right w:val="single" w:color="231F20" w:sz="4" w:space="0"/>
            </w:tcBorders>
            <w:vAlign w:val="center"/>
          </w:tcPr>
          <w:p w14:paraId="3A73BB54">
            <w:pPr>
              <w:pStyle w:val="11"/>
              <w:spacing w:line="360" w:lineRule="auto"/>
              <w:rPr>
                <w:spacing w:val="8"/>
                <w:sz w:val="20"/>
                <w:szCs w:val="20"/>
                <w:lang w:eastAsia="zh-CN"/>
              </w:rPr>
            </w:pPr>
            <w:r>
              <w:rPr>
                <w:rFonts w:hint="eastAsia"/>
                <w:spacing w:val="8"/>
                <w:sz w:val="20"/>
                <w:szCs w:val="20"/>
                <w:lang w:eastAsia="zh-CN"/>
              </w:rPr>
              <w:t>石灰石煅烧分解</w:t>
            </w:r>
          </w:p>
        </w:tc>
      </w:tr>
      <w:tr w14:paraId="008AD408">
        <w:tc>
          <w:tcPr>
            <w:tcW w:w="2896" w:type="dxa"/>
            <w:vMerge w:val="restart"/>
            <w:tcBorders>
              <w:left w:val="single" w:color="231F20" w:sz="4" w:space="0"/>
            </w:tcBorders>
            <w:vAlign w:val="center"/>
          </w:tcPr>
          <w:p w14:paraId="1518B568">
            <w:pPr>
              <w:pStyle w:val="11"/>
              <w:spacing w:line="360" w:lineRule="auto"/>
              <w:rPr>
                <w:sz w:val="20"/>
                <w:szCs w:val="20"/>
              </w:rPr>
            </w:pPr>
            <w:r>
              <w:rPr>
                <w:spacing w:val="15"/>
                <w:sz w:val="20"/>
                <w:szCs w:val="20"/>
              </w:rPr>
              <w:t>其他排放</w:t>
            </w:r>
          </w:p>
        </w:tc>
        <w:tc>
          <w:tcPr>
            <w:tcW w:w="6292" w:type="dxa"/>
            <w:tcBorders>
              <w:right w:val="single" w:color="231F20" w:sz="4" w:space="0"/>
            </w:tcBorders>
            <w:vAlign w:val="center"/>
          </w:tcPr>
          <w:p w14:paraId="6FF40C5A">
            <w:pPr>
              <w:pStyle w:val="11"/>
              <w:spacing w:line="360" w:lineRule="auto"/>
              <w:rPr>
                <w:sz w:val="20"/>
                <w:szCs w:val="20"/>
                <w:lang w:eastAsia="zh-CN"/>
              </w:rPr>
            </w:pPr>
            <w:r>
              <w:rPr>
                <w:spacing w:val="18"/>
                <w:sz w:val="20"/>
                <w:szCs w:val="20"/>
                <w:lang w:eastAsia="zh-CN"/>
              </w:rPr>
              <w:t>上游第三方运输和配送</w:t>
            </w:r>
          </w:p>
        </w:tc>
      </w:tr>
      <w:tr w14:paraId="6615AA28">
        <w:tc>
          <w:tcPr>
            <w:tcW w:w="2896" w:type="dxa"/>
            <w:vMerge w:val="continue"/>
            <w:tcBorders>
              <w:left w:val="single" w:color="231F20" w:sz="4" w:space="0"/>
            </w:tcBorders>
            <w:vAlign w:val="center"/>
          </w:tcPr>
          <w:p w14:paraId="68F4E9C8">
            <w:pPr>
              <w:spacing w:line="360" w:lineRule="auto"/>
              <w:rPr>
                <w:sz w:val="20"/>
                <w:szCs w:val="20"/>
                <w:lang w:eastAsia="zh-CN"/>
              </w:rPr>
            </w:pPr>
          </w:p>
        </w:tc>
        <w:tc>
          <w:tcPr>
            <w:tcW w:w="6292" w:type="dxa"/>
            <w:tcBorders>
              <w:right w:val="single" w:color="231F20" w:sz="4" w:space="0"/>
            </w:tcBorders>
            <w:vAlign w:val="center"/>
          </w:tcPr>
          <w:p w14:paraId="16B98450">
            <w:pPr>
              <w:pStyle w:val="11"/>
              <w:spacing w:line="360" w:lineRule="auto"/>
              <w:rPr>
                <w:sz w:val="20"/>
                <w:szCs w:val="20"/>
                <w:lang w:eastAsia="zh-CN"/>
              </w:rPr>
            </w:pPr>
            <w:r>
              <w:rPr>
                <w:spacing w:val="11"/>
                <w:sz w:val="20"/>
                <w:szCs w:val="20"/>
                <w:lang w:eastAsia="zh-CN"/>
              </w:rPr>
              <w:t>购买的燃料、辅助材料的上游排放</w:t>
            </w:r>
          </w:p>
        </w:tc>
      </w:tr>
    </w:tbl>
    <w:p w14:paraId="682DAA1A">
      <w:pPr>
        <w:spacing w:line="386" w:lineRule="auto"/>
        <w:rPr>
          <w:lang w:eastAsia="zh-CN"/>
        </w:rPr>
      </w:pPr>
    </w:p>
    <w:p w14:paraId="3AE3A507">
      <w:pPr>
        <w:spacing w:before="271" w:line="344" w:lineRule="auto"/>
        <w:ind w:left="2752" w:right="1352" w:hanging="2296"/>
        <w:jc w:val="center"/>
        <w:rPr>
          <w:rFonts w:ascii="黑体" w:hAnsi="黑体" w:eastAsia="黑体" w:cs="黑体"/>
          <w:sz w:val="19"/>
          <w:szCs w:val="19"/>
          <w:lang w:eastAsia="zh-CN"/>
        </w:rPr>
      </w:pPr>
      <w:r>
        <w:rPr>
          <w:rFonts w:ascii="黑体" w:hAnsi="黑体" w:eastAsia="黑体" w:cs="黑体"/>
          <w:color w:val="231F20"/>
          <w:spacing w:val="14"/>
          <w:sz w:val="19"/>
          <w:szCs w:val="19"/>
          <w:lang w:eastAsia="zh-CN"/>
        </w:rPr>
        <w:t>表</w:t>
      </w:r>
      <w:r>
        <w:rPr>
          <w:rFonts w:ascii="黑体" w:hAnsi="黑体" w:eastAsia="黑体" w:cs="黑体"/>
          <w:color w:val="231F20"/>
          <w:spacing w:val="-17"/>
          <w:sz w:val="19"/>
          <w:szCs w:val="19"/>
          <w:lang w:eastAsia="zh-CN"/>
        </w:rPr>
        <w:t xml:space="preserve"> </w:t>
      </w:r>
      <w:r>
        <w:rPr>
          <w:rFonts w:ascii="微软雅黑" w:hAnsi="微软雅黑" w:eastAsia="微软雅黑" w:cs="微软雅黑"/>
          <w:color w:val="231F20"/>
          <w:spacing w:val="14"/>
          <w:sz w:val="19"/>
          <w:szCs w:val="19"/>
          <w:lang w:eastAsia="zh-CN"/>
        </w:rPr>
        <w:t>A.</w:t>
      </w:r>
      <w:r>
        <w:rPr>
          <w:rFonts w:hint="eastAsia" w:ascii="微软雅黑" w:hAnsi="微软雅黑" w:eastAsia="微软雅黑" w:cs="微软雅黑"/>
          <w:color w:val="231F20"/>
          <w:spacing w:val="14"/>
          <w:sz w:val="19"/>
          <w:szCs w:val="19"/>
          <w:lang w:eastAsia="zh-CN"/>
        </w:rPr>
        <w:t>2</w:t>
      </w:r>
      <w:r>
        <w:rPr>
          <w:rFonts w:ascii="微软雅黑" w:hAnsi="微软雅黑" w:eastAsia="微软雅黑" w:cs="微软雅黑"/>
          <w:color w:val="231F20"/>
          <w:sz w:val="19"/>
          <w:szCs w:val="19"/>
          <w:lang w:eastAsia="zh-CN"/>
        </w:rPr>
        <w:t xml:space="preserve"> </w:t>
      </w:r>
      <w:r>
        <w:rPr>
          <w:rFonts w:hint="eastAsia" w:ascii="黑体" w:hAnsi="黑体" w:eastAsia="黑体" w:cs="黑体"/>
          <w:color w:val="231F20"/>
          <w:spacing w:val="14"/>
          <w:sz w:val="19"/>
          <w:szCs w:val="19"/>
          <w:lang w:eastAsia="zh-CN"/>
        </w:rPr>
        <w:t>联碱法纯碱生产</w:t>
      </w:r>
      <w:r>
        <w:rPr>
          <w:rFonts w:ascii="黑体" w:hAnsi="黑体" w:eastAsia="黑体" w:cs="黑体"/>
          <w:color w:val="231F20"/>
          <w:spacing w:val="14"/>
          <w:sz w:val="19"/>
          <w:szCs w:val="19"/>
          <w:lang w:eastAsia="zh-CN"/>
        </w:rPr>
        <w:t>温室气体排放源</w:t>
      </w:r>
    </w:p>
    <w:tbl>
      <w:tblPr>
        <w:tblStyle w:val="10"/>
        <w:tblW w:w="9188" w:type="dxa"/>
        <w:tblInd w:w="5"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fixed"/>
        <w:tblCellMar>
          <w:top w:w="0" w:type="dxa"/>
          <w:left w:w="0" w:type="dxa"/>
          <w:bottom w:w="0" w:type="dxa"/>
          <w:right w:w="0" w:type="dxa"/>
        </w:tblCellMar>
      </w:tblPr>
      <w:tblGrid>
        <w:gridCol w:w="2896"/>
        <w:gridCol w:w="6292"/>
      </w:tblGrid>
      <w:tr w14:paraId="59FC3ABF">
        <w:tc>
          <w:tcPr>
            <w:tcW w:w="2896" w:type="dxa"/>
            <w:tcBorders>
              <w:top w:val="single" w:color="231F20" w:sz="4" w:space="0"/>
              <w:left w:val="single" w:color="231F20" w:sz="4" w:space="0"/>
              <w:bottom w:val="single" w:color="231F20" w:sz="4" w:space="0"/>
            </w:tcBorders>
            <w:vAlign w:val="center"/>
          </w:tcPr>
          <w:p w14:paraId="4A3EC181">
            <w:pPr>
              <w:pStyle w:val="11"/>
              <w:spacing w:line="360" w:lineRule="auto"/>
              <w:rPr>
                <w:sz w:val="20"/>
                <w:szCs w:val="20"/>
              </w:rPr>
            </w:pPr>
            <w:r>
              <w:rPr>
                <w:spacing w:val="15"/>
                <w:sz w:val="20"/>
                <w:szCs w:val="20"/>
              </w:rPr>
              <w:t>排放类别</w:t>
            </w:r>
          </w:p>
        </w:tc>
        <w:tc>
          <w:tcPr>
            <w:tcW w:w="6292" w:type="dxa"/>
            <w:tcBorders>
              <w:top w:val="single" w:color="231F20" w:sz="4" w:space="0"/>
              <w:bottom w:val="single" w:color="231F20" w:sz="4" w:space="0"/>
              <w:right w:val="single" w:color="231F20" w:sz="4" w:space="0"/>
            </w:tcBorders>
            <w:vAlign w:val="center"/>
          </w:tcPr>
          <w:p w14:paraId="64924209">
            <w:pPr>
              <w:pStyle w:val="11"/>
              <w:spacing w:line="360" w:lineRule="auto"/>
              <w:rPr>
                <w:sz w:val="20"/>
                <w:szCs w:val="20"/>
              </w:rPr>
            </w:pPr>
            <w:r>
              <w:rPr>
                <w:spacing w:val="14"/>
                <w:sz w:val="20"/>
                <w:szCs w:val="20"/>
              </w:rPr>
              <w:t>排放源</w:t>
            </w:r>
          </w:p>
        </w:tc>
      </w:tr>
      <w:tr w14:paraId="71AD020C">
        <w:tc>
          <w:tcPr>
            <w:tcW w:w="2896" w:type="dxa"/>
            <w:vMerge w:val="restart"/>
            <w:tcBorders>
              <w:top w:val="single" w:color="231F20" w:sz="4" w:space="0"/>
              <w:left w:val="single" w:color="231F20" w:sz="4" w:space="0"/>
              <w:bottom w:val="nil"/>
            </w:tcBorders>
            <w:vAlign w:val="center"/>
          </w:tcPr>
          <w:p w14:paraId="3C66854F">
            <w:pPr>
              <w:pStyle w:val="11"/>
              <w:spacing w:line="360" w:lineRule="auto"/>
              <w:rPr>
                <w:sz w:val="20"/>
                <w:szCs w:val="20"/>
              </w:rPr>
            </w:pPr>
            <w:r>
              <w:rPr>
                <w:spacing w:val="17"/>
                <w:sz w:val="20"/>
                <w:szCs w:val="20"/>
              </w:rPr>
              <w:t>燃料燃烧排放</w:t>
            </w:r>
          </w:p>
        </w:tc>
        <w:tc>
          <w:tcPr>
            <w:tcW w:w="6292" w:type="dxa"/>
            <w:tcBorders>
              <w:top w:val="single" w:color="231F20" w:sz="4" w:space="0"/>
              <w:right w:val="single" w:color="231F20" w:sz="4" w:space="0"/>
            </w:tcBorders>
            <w:vAlign w:val="center"/>
          </w:tcPr>
          <w:p w14:paraId="4414EBF5">
            <w:pPr>
              <w:pStyle w:val="11"/>
              <w:spacing w:line="360" w:lineRule="auto"/>
              <w:rPr>
                <w:sz w:val="20"/>
                <w:szCs w:val="20"/>
                <w:lang w:eastAsia="zh-CN"/>
              </w:rPr>
            </w:pPr>
            <w:r>
              <w:rPr>
                <w:spacing w:val="11"/>
                <w:sz w:val="20"/>
                <w:szCs w:val="20"/>
                <w:lang w:eastAsia="zh-CN"/>
              </w:rPr>
              <w:t>固定和移动设备中的化石燃料燃烧（例如</w:t>
            </w:r>
            <w:r>
              <w:rPr>
                <w:rFonts w:hint="eastAsia"/>
                <w:spacing w:val="11"/>
                <w:sz w:val="20"/>
                <w:szCs w:val="20"/>
                <w:lang w:eastAsia="zh-CN"/>
              </w:rPr>
              <w:t>锅炉、煅烧窑炉、</w:t>
            </w:r>
            <w:r>
              <w:rPr>
                <w:spacing w:val="11"/>
                <w:sz w:val="20"/>
                <w:szCs w:val="20"/>
                <w:lang w:eastAsia="zh-CN"/>
              </w:rPr>
              <w:t>运输卡车、</w:t>
            </w:r>
            <w:r>
              <w:rPr>
                <w:spacing w:val="10"/>
                <w:sz w:val="20"/>
                <w:szCs w:val="20"/>
                <w:lang w:eastAsia="zh-CN"/>
              </w:rPr>
              <w:t>辅助车辆）</w:t>
            </w:r>
          </w:p>
        </w:tc>
      </w:tr>
      <w:tr w14:paraId="1A69ABF7">
        <w:tc>
          <w:tcPr>
            <w:tcW w:w="2896" w:type="dxa"/>
            <w:vMerge w:val="continue"/>
            <w:tcBorders>
              <w:top w:val="nil"/>
              <w:left w:val="single" w:color="231F20" w:sz="4" w:space="0"/>
            </w:tcBorders>
            <w:vAlign w:val="center"/>
          </w:tcPr>
          <w:p w14:paraId="153483B8">
            <w:pPr>
              <w:spacing w:line="360" w:lineRule="auto"/>
              <w:rPr>
                <w:sz w:val="20"/>
                <w:szCs w:val="20"/>
                <w:lang w:eastAsia="zh-CN"/>
              </w:rPr>
            </w:pPr>
          </w:p>
        </w:tc>
        <w:tc>
          <w:tcPr>
            <w:tcW w:w="6292" w:type="dxa"/>
            <w:tcBorders>
              <w:right w:val="single" w:color="231F20" w:sz="4" w:space="0"/>
            </w:tcBorders>
            <w:vAlign w:val="center"/>
          </w:tcPr>
          <w:p w14:paraId="1AADD8FA">
            <w:pPr>
              <w:pStyle w:val="11"/>
              <w:spacing w:line="360" w:lineRule="auto"/>
              <w:rPr>
                <w:sz w:val="20"/>
                <w:szCs w:val="20"/>
                <w:lang w:eastAsia="zh-CN"/>
              </w:rPr>
            </w:pPr>
            <w:r>
              <w:rPr>
                <w:spacing w:val="11"/>
                <w:sz w:val="20"/>
                <w:szCs w:val="20"/>
                <w:lang w:eastAsia="zh-CN"/>
              </w:rPr>
              <w:t>辅助、应急或污染控制设备中的固定燃烧（例如柴油发电机）</w:t>
            </w:r>
          </w:p>
        </w:tc>
      </w:tr>
      <w:tr w14:paraId="5F21313D">
        <w:tc>
          <w:tcPr>
            <w:tcW w:w="2896" w:type="dxa"/>
            <w:tcBorders>
              <w:left w:val="single" w:color="231F20" w:sz="4" w:space="0"/>
            </w:tcBorders>
            <w:vAlign w:val="center"/>
          </w:tcPr>
          <w:p w14:paraId="62F6DE99">
            <w:pPr>
              <w:pStyle w:val="11"/>
              <w:spacing w:line="360" w:lineRule="auto"/>
              <w:rPr>
                <w:sz w:val="20"/>
                <w:szCs w:val="20"/>
              </w:rPr>
            </w:pPr>
            <w:r>
              <w:rPr>
                <w:spacing w:val="16"/>
                <w:sz w:val="20"/>
                <w:szCs w:val="20"/>
              </w:rPr>
              <w:t>能源相关排放</w:t>
            </w:r>
          </w:p>
        </w:tc>
        <w:tc>
          <w:tcPr>
            <w:tcW w:w="6292" w:type="dxa"/>
            <w:tcBorders>
              <w:right w:val="single" w:color="231F20" w:sz="4" w:space="0"/>
            </w:tcBorders>
            <w:vAlign w:val="center"/>
          </w:tcPr>
          <w:p w14:paraId="33C67271">
            <w:pPr>
              <w:pStyle w:val="11"/>
              <w:spacing w:line="360" w:lineRule="auto"/>
              <w:rPr>
                <w:sz w:val="20"/>
                <w:szCs w:val="20"/>
                <w:lang w:eastAsia="zh-CN"/>
              </w:rPr>
            </w:pPr>
            <w:r>
              <w:rPr>
                <w:spacing w:val="8"/>
                <w:sz w:val="20"/>
                <w:szCs w:val="20"/>
                <w:lang w:eastAsia="zh-CN"/>
              </w:rPr>
              <w:t>购买或自备的电力、热力</w:t>
            </w:r>
          </w:p>
        </w:tc>
      </w:tr>
      <w:tr w14:paraId="7AF27597">
        <w:tc>
          <w:tcPr>
            <w:tcW w:w="2896" w:type="dxa"/>
            <w:tcBorders>
              <w:left w:val="single" w:color="231F20" w:sz="4" w:space="0"/>
            </w:tcBorders>
            <w:vAlign w:val="center"/>
          </w:tcPr>
          <w:p w14:paraId="176AE959">
            <w:pPr>
              <w:pStyle w:val="11"/>
              <w:spacing w:line="360" w:lineRule="auto"/>
              <w:rPr>
                <w:spacing w:val="16"/>
                <w:sz w:val="20"/>
                <w:szCs w:val="20"/>
                <w:lang w:eastAsia="zh-CN"/>
              </w:rPr>
            </w:pPr>
            <w:r>
              <w:rPr>
                <w:rFonts w:hint="eastAsia"/>
                <w:spacing w:val="16"/>
                <w:sz w:val="20"/>
                <w:szCs w:val="20"/>
                <w:lang w:eastAsia="zh-CN"/>
              </w:rPr>
              <w:t>生产过程排放</w:t>
            </w:r>
          </w:p>
        </w:tc>
        <w:tc>
          <w:tcPr>
            <w:tcW w:w="6292" w:type="dxa"/>
            <w:tcBorders>
              <w:right w:val="single" w:color="231F20" w:sz="4" w:space="0"/>
            </w:tcBorders>
            <w:vAlign w:val="center"/>
          </w:tcPr>
          <w:p w14:paraId="7B86BC4B">
            <w:pPr>
              <w:pStyle w:val="11"/>
              <w:spacing w:line="360" w:lineRule="auto"/>
              <w:rPr>
                <w:spacing w:val="8"/>
                <w:sz w:val="20"/>
                <w:szCs w:val="20"/>
                <w:lang w:eastAsia="zh-CN"/>
              </w:rPr>
            </w:pPr>
            <w:r>
              <w:rPr>
                <w:rFonts w:hint="eastAsia"/>
                <w:spacing w:val="8"/>
                <w:sz w:val="20"/>
                <w:szCs w:val="20"/>
                <w:lang w:eastAsia="zh-CN"/>
              </w:rPr>
              <w:t>石灰石煅烧分解</w:t>
            </w:r>
          </w:p>
        </w:tc>
      </w:tr>
      <w:tr w14:paraId="58A570C4">
        <w:tc>
          <w:tcPr>
            <w:tcW w:w="2896" w:type="dxa"/>
            <w:vMerge w:val="restart"/>
            <w:tcBorders>
              <w:left w:val="single" w:color="231F20" w:sz="4" w:space="0"/>
            </w:tcBorders>
            <w:vAlign w:val="center"/>
          </w:tcPr>
          <w:p w14:paraId="429614DF">
            <w:pPr>
              <w:pStyle w:val="11"/>
              <w:spacing w:line="360" w:lineRule="auto"/>
              <w:rPr>
                <w:sz w:val="20"/>
                <w:szCs w:val="20"/>
              </w:rPr>
            </w:pPr>
            <w:r>
              <w:rPr>
                <w:spacing w:val="15"/>
                <w:sz w:val="20"/>
                <w:szCs w:val="20"/>
              </w:rPr>
              <w:t>其他排放</w:t>
            </w:r>
          </w:p>
        </w:tc>
        <w:tc>
          <w:tcPr>
            <w:tcW w:w="6292" w:type="dxa"/>
            <w:tcBorders>
              <w:right w:val="single" w:color="231F20" w:sz="4" w:space="0"/>
            </w:tcBorders>
            <w:vAlign w:val="center"/>
          </w:tcPr>
          <w:p w14:paraId="12AB81F6">
            <w:pPr>
              <w:pStyle w:val="11"/>
              <w:spacing w:line="360" w:lineRule="auto"/>
              <w:rPr>
                <w:sz w:val="20"/>
                <w:szCs w:val="20"/>
                <w:lang w:eastAsia="zh-CN"/>
              </w:rPr>
            </w:pPr>
            <w:r>
              <w:rPr>
                <w:spacing w:val="18"/>
                <w:sz w:val="20"/>
                <w:szCs w:val="20"/>
                <w:lang w:eastAsia="zh-CN"/>
              </w:rPr>
              <w:t>上游第三方运输和配送</w:t>
            </w:r>
          </w:p>
        </w:tc>
      </w:tr>
      <w:tr w14:paraId="78E158B9">
        <w:tc>
          <w:tcPr>
            <w:tcW w:w="2896" w:type="dxa"/>
            <w:vMerge w:val="continue"/>
            <w:tcBorders>
              <w:left w:val="single" w:color="231F20" w:sz="4" w:space="0"/>
            </w:tcBorders>
            <w:vAlign w:val="center"/>
          </w:tcPr>
          <w:p w14:paraId="5DE3E418">
            <w:pPr>
              <w:spacing w:line="360" w:lineRule="auto"/>
              <w:rPr>
                <w:sz w:val="20"/>
                <w:szCs w:val="20"/>
                <w:lang w:eastAsia="zh-CN"/>
              </w:rPr>
            </w:pPr>
          </w:p>
        </w:tc>
        <w:tc>
          <w:tcPr>
            <w:tcW w:w="6292" w:type="dxa"/>
            <w:tcBorders>
              <w:right w:val="single" w:color="231F20" w:sz="4" w:space="0"/>
            </w:tcBorders>
            <w:vAlign w:val="center"/>
          </w:tcPr>
          <w:p w14:paraId="0AB26535">
            <w:pPr>
              <w:pStyle w:val="11"/>
              <w:spacing w:line="360" w:lineRule="auto"/>
              <w:rPr>
                <w:sz w:val="20"/>
                <w:szCs w:val="20"/>
                <w:lang w:eastAsia="zh-CN"/>
              </w:rPr>
            </w:pPr>
            <w:r>
              <w:rPr>
                <w:spacing w:val="11"/>
                <w:sz w:val="20"/>
                <w:szCs w:val="20"/>
                <w:lang w:eastAsia="zh-CN"/>
              </w:rPr>
              <w:t>购买的燃料、辅助材料的上游排放</w:t>
            </w:r>
          </w:p>
        </w:tc>
      </w:tr>
    </w:tbl>
    <w:p w14:paraId="7815B36E">
      <w:pPr>
        <w:spacing w:before="81" w:line="209" w:lineRule="auto"/>
        <w:ind w:left="2753"/>
        <w:rPr>
          <w:rFonts w:ascii="黑体" w:hAnsi="黑体" w:eastAsia="黑体" w:cs="黑体"/>
          <w:color w:val="231F20"/>
          <w:spacing w:val="14"/>
          <w:sz w:val="19"/>
          <w:szCs w:val="19"/>
          <w:lang w:eastAsia="zh-CN"/>
        </w:rPr>
      </w:pPr>
    </w:p>
    <w:p w14:paraId="73917779">
      <w:pPr>
        <w:spacing w:before="271" w:line="344" w:lineRule="auto"/>
        <w:ind w:left="2752" w:right="1352" w:hanging="2296"/>
        <w:jc w:val="center"/>
        <w:rPr>
          <w:rFonts w:ascii="黑体" w:hAnsi="黑体" w:eastAsia="黑体" w:cs="黑体"/>
          <w:sz w:val="19"/>
          <w:szCs w:val="19"/>
          <w:lang w:eastAsia="zh-CN"/>
        </w:rPr>
      </w:pPr>
      <w:r>
        <w:rPr>
          <w:rFonts w:ascii="黑体" w:hAnsi="黑体" w:eastAsia="黑体" w:cs="黑体"/>
          <w:color w:val="231F20"/>
          <w:spacing w:val="14"/>
          <w:sz w:val="19"/>
          <w:szCs w:val="19"/>
          <w:lang w:eastAsia="zh-CN"/>
        </w:rPr>
        <w:t>表</w:t>
      </w:r>
      <w:r>
        <w:rPr>
          <w:rFonts w:ascii="黑体" w:hAnsi="黑体" w:eastAsia="黑体" w:cs="黑体"/>
          <w:color w:val="231F20"/>
          <w:spacing w:val="-17"/>
          <w:sz w:val="19"/>
          <w:szCs w:val="19"/>
          <w:lang w:eastAsia="zh-CN"/>
        </w:rPr>
        <w:t xml:space="preserve"> </w:t>
      </w:r>
      <w:r>
        <w:rPr>
          <w:rFonts w:ascii="微软雅黑" w:hAnsi="微软雅黑" w:eastAsia="微软雅黑" w:cs="微软雅黑"/>
          <w:color w:val="231F20"/>
          <w:spacing w:val="14"/>
          <w:sz w:val="19"/>
          <w:szCs w:val="19"/>
          <w:lang w:eastAsia="zh-CN"/>
        </w:rPr>
        <w:t>A.</w:t>
      </w:r>
      <w:r>
        <w:rPr>
          <w:rFonts w:hint="eastAsia" w:ascii="微软雅黑" w:hAnsi="微软雅黑" w:eastAsia="微软雅黑" w:cs="微软雅黑"/>
          <w:color w:val="231F20"/>
          <w:spacing w:val="14"/>
          <w:sz w:val="19"/>
          <w:szCs w:val="19"/>
          <w:lang w:eastAsia="zh-CN"/>
        </w:rPr>
        <w:t>2</w:t>
      </w:r>
      <w:r>
        <w:rPr>
          <w:rFonts w:ascii="微软雅黑" w:hAnsi="微软雅黑" w:eastAsia="微软雅黑" w:cs="微软雅黑"/>
          <w:color w:val="231F20"/>
          <w:sz w:val="19"/>
          <w:szCs w:val="19"/>
          <w:lang w:eastAsia="zh-CN"/>
        </w:rPr>
        <w:t xml:space="preserve"> </w:t>
      </w:r>
      <w:r>
        <w:rPr>
          <w:rFonts w:hint="eastAsia" w:ascii="黑体" w:hAnsi="黑体" w:eastAsia="黑体" w:cs="黑体"/>
          <w:color w:val="231F20"/>
          <w:spacing w:val="14"/>
          <w:sz w:val="19"/>
          <w:szCs w:val="19"/>
          <w:lang w:eastAsia="zh-CN"/>
        </w:rPr>
        <w:t>天然碱法纯碱生产</w:t>
      </w:r>
      <w:r>
        <w:rPr>
          <w:rFonts w:ascii="黑体" w:hAnsi="黑体" w:eastAsia="黑体" w:cs="黑体"/>
          <w:color w:val="231F20"/>
          <w:spacing w:val="14"/>
          <w:sz w:val="19"/>
          <w:szCs w:val="19"/>
          <w:lang w:eastAsia="zh-CN"/>
        </w:rPr>
        <w:t>温室气体排放源</w:t>
      </w:r>
    </w:p>
    <w:tbl>
      <w:tblPr>
        <w:tblStyle w:val="10"/>
        <w:tblW w:w="9188" w:type="dxa"/>
        <w:tblInd w:w="5"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fixed"/>
        <w:tblCellMar>
          <w:top w:w="0" w:type="dxa"/>
          <w:left w:w="0" w:type="dxa"/>
          <w:bottom w:w="0" w:type="dxa"/>
          <w:right w:w="0" w:type="dxa"/>
        </w:tblCellMar>
      </w:tblPr>
      <w:tblGrid>
        <w:gridCol w:w="2896"/>
        <w:gridCol w:w="6292"/>
      </w:tblGrid>
      <w:tr w14:paraId="45E4058D">
        <w:tc>
          <w:tcPr>
            <w:tcW w:w="2896" w:type="dxa"/>
            <w:tcBorders>
              <w:top w:val="single" w:color="231F20" w:sz="4" w:space="0"/>
              <w:left w:val="single" w:color="231F20" w:sz="4" w:space="0"/>
              <w:bottom w:val="single" w:color="231F20" w:sz="4" w:space="0"/>
            </w:tcBorders>
            <w:vAlign w:val="center"/>
          </w:tcPr>
          <w:p w14:paraId="2EA1482E">
            <w:pPr>
              <w:pStyle w:val="11"/>
              <w:spacing w:line="360" w:lineRule="auto"/>
              <w:rPr>
                <w:sz w:val="20"/>
                <w:szCs w:val="20"/>
              </w:rPr>
            </w:pPr>
            <w:r>
              <w:rPr>
                <w:spacing w:val="15"/>
                <w:sz w:val="20"/>
                <w:szCs w:val="20"/>
              </w:rPr>
              <w:t>排放类别</w:t>
            </w:r>
          </w:p>
        </w:tc>
        <w:tc>
          <w:tcPr>
            <w:tcW w:w="6292" w:type="dxa"/>
            <w:tcBorders>
              <w:top w:val="single" w:color="231F20" w:sz="4" w:space="0"/>
              <w:bottom w:val="single" w:color="231F20" w:sz="4" w:space="0"/>
              <w:right w:val="single" w:color="231F20" w:sz="4" w:space="0"/>
            </w:tcBorders>
            <w:vAlign w:val="center"/>
          </w:tcPr>
          <w:p w14:paraId="7C5AE3D9">
            <w:pPr>
              <w:pStyle w:val="11"/>
              <w:spacing w:line="360" w:lineRule="auto"/>
              <w:rPr>
                <w:sz w:val="20"/>
                <w:szCs w:val="20"/>
              </w:rPr>
            </w:pPr>
            <w:r>
              <w:rPr>
                <w:spacing w:val="14"/>
                <w:sz w:val="20"/>
                <w:szCs w:val="20"/>
              </w:rPr>
              <w:t>排放源</w:t>
            </w:r>
          </w:p>
        </w:tc>
      </w:tr>
      <w:tr w14:paraId="775BCD4E">
        <w:tc>
          <w:tcPr>
            <w:tcW w:w="2896" w:type="dxa"/>
            <w:vMerge w:val="restart"/>
            <w:tcBorders>
              <w:top w:val="single" w:color="231F20" w:sz="4" w:space="0"/>
              <w:left w:val="single" w:color="231F20" w:sz="4" w:space="0"/>
              <w:bottom w:val="nil"/>
            </w:tcBorders>
            <w:vAlign w:val="center"/>
          </w:tcPr>
          <w:p w14:paraId="57B5C6AA">
            <w:pPr>
              <w:pStyle w:val="11"/>
              <w:spacing w:line="360" w:lineRule="auto"/>
              <w:rPr>
                <w:sz w:val="20"/>
                <w:szCs w:val="20"/>
              </w:rPr>
            </w:pPr>
            <w:r>
              <w:rPr>
                <w:spacing w:val="17"/>
                <w:sz w:val="20"/>
                <w:szCs w:val="20"/>
              </w:rPr>
              <w:t>燃料燃烧排放</w:t>
            </w:r>
          </w:p>
        </w:tc>
        <w:tc>
          <w:tcPr>
            <w:tcW w:w="6292" w:type="dxa"/>
            <w:tcBorders>
              <w:top w:val="single" w:color="231F20" w:sz="4" w:space="0"/>
              <w:right w:val="single" w:color="231F20" w:sz="4" w:space="0"/>
            </w:tcBorders>
            <w:vAlign w:val="center"/>
          </w:tcPr>
          <w:p w14:paraId="73935CCB">
            <w:pPr>
              <w:pStyle w:val="11"/>
              <w:spacing w:line="360" w:lineRule="auto"/>
              <w:rPr>
                <w:sz w:val="20"/>
                <w:szCs w:val="20"/>
                <w:lang w:eastAsia="zh-CN"/>
              </w:rPr>
            </w:pPr>
            <w:r>
              <w:rPr>
                <w:spacing w:val="11"/>
                <w:sz w:val="20"/>
                <w:szCs w:val="20"/>
                <w:lang w:eastAsia="zh-CN"/>
              </w:rPr>
              <w:t>固定和移动设备中的化石燃料燃烧（例如</w:t>
            </w:r>
            <w:r>
              <w:rPr>
                <w:rFonts w:hint="eastAsia"/>
                <w:spacing w:val="11"/>
                <w:sz w:val="20"/>
                <w:szCs w:val="20"/>
                <w:lang w:eastAsia="zh-CN"/>
              </w:rPr>
              <w:t>锅炉、煅烧窑炉、</w:t>
            </w:r>
            <w:r>
              <w:rPr>
                <w:spacing w:val="11"/>
                <w:sz w:val="20"/>
                <w:szCs w:val="20"/>
                <w:lang w:eastAsia="zh-CN"/>
              </w:rPr>
              <w:t>运输卡车、</w:t>
            </w:r>
            <w:r>
              <w:rPr>
                <w:spacing w:val="10"/>
                <w:sz w:val="20"/>
                <w:szCs w:val="20"/>
                <w:lang w:eastAsia="zh-CN"/>
              </w:rPr>
              <w:t>辅助车辆）</w:t>
            </w:r>
          </w:p>
        </w:tc>
      </w:tr>
      <w:tr w14:paraId="66EC1850">
        <w:tc>
          <w:tcPr>
            <w:tcW w:w="2896" w:type="dxa"/>
            <w:vMerge w:val="continue"/>
            <w:tcBorders>
              <w:top w:val="nil"/>
              <w:left w:val="single" w:color="231F20" w:sz="4" w:space="0"/>
            </w:tcBorders>
            <w:vAlign w:val="center"/>
          </w:tcPr>
          <w:p w14:paraId="17E02964">
            <w:pPr>
              <w:spacing w:line="360" w:lineRule="auto"/>
              <w:rPr>
                <w:sz w:val="20"/>
                <w:szCs w:val="20"/>
                <w:lang w:eastAsia="zh-CN"/>
              </w:rPr>
            </w:pPr>
          </w:p>
        </w:tc>
        <w:tc>
          <w:tcPr>
            <w:tcW w:w="6292" w:type="dxa"/>
            <w:tcBorders>
              <w:right w:val="single" w:color="231F20" w:sz="4" w:space="0"/>
            </w:tcBorders>
            <w:vAlign w:val="center"/>
          </w:tcPr>
          <w:p w14:paraId="0DA0A524">
            <w:pPr>
              <w:pStyle w:val="11"/>
              <w:spacing w:line="360" w:lineRule="auto"/>
              <w:rPr>
                <w:sz w:val="20"/>
                <w:szCs w:val="20"/>
                <w:lang w:eastAsia="zh-CN"/>
              </w:rPr>
            </w:pPr>
            <w:r>
              <w:rPr>
                <w:spacing w:val="11"/>
                <w:sz w:val="20"/>
                <w:szCs w:val="20"/>
                <w:lang w:eastAsia="zh-CN"/>
              </w:rPr>
              <w:t>辅助、应急或污染控制设备中的固定燃烧（例如柴油发电机）</w:t>
            </w:r>
          </w:p>
        </w:tc>
      </w:tr>
      <w:tr w14:paraId="52041351">
        <w:tc>
          <w:tcPr>
            <w:tcW w:w="2896" w:type="dxa"/>
            <w:tcBorders>
              <w:left w:val="single" w:color="231F20" w:sz="4" w:space="0"/>
            </w:tcBorders>
            <w:vAlign w:val="center"/>
          </w:tcPr>
          <w:p w14:paraId="0A6DA4C9">
            <w:pPr>
              <w:pStyle w:val="11"/>
              <w:spacing w:line="360" w:lineRule="auto"/>
              <w:rPr>
                <w:sz w:val="20"/>
                <w:szCs w:val="20"/>
              </w:rPr>
            </w:pPr>
            <w:r>
              <w:rPr>
                <w:spacing w:val="16"/>
                <w:sz w:val="20"/>
                <w:szCs w:val="20"/>
              </w:rPr>
              <w:t>能源相关排放</w:t>
            </w:r>
          </w:p>
        </w:tc>
        <w:tc>
          <w:tcPr>
            <w:tcW w:w="6292" w:type="dxa"/>
            <w:tcBorders>
              <w:right w:val="single" w:color="231F20" w:sz="4" w:space="0"/>
            </w:tcBorders>
            <w:vAlign w:val="center"/>
          </w:tcPr>
          <w:p w14:paraId="2B575FD4">
            <w:pPr>
              <w:pStyle w:val="11"/>
              <w:spacing w:line="360" w:lineRule="auto"/>
              <w:rPr>
                <w:sz w:val="20"/>
                <w:szCs w:val="20"/>
                <w:lang w:eastAsia="zh-CN"/>
              </w:rPr>
            </w:pPr>
            <w:r>
              <w:rPr>
                <w:spacing w:val="8"/>
                <w:sz w:val="20"/>
                <w:szCs w:val="20"/>
                <w:lang w:eastAsia="zh-CN"/>
              </w:rPr>
              <w:t>购买或自备的电力、热力</w:t>
            </w:r>
          </w:p>
        </w:tc>
      </w:tr>
      <w:tr w14:paraId="5661358A">
        <w:tc>
          <w:tcPr>
            <w:tcW w:w="2896" w:type="dxa"/>
            <w:tcBorders>
              <w:left w:val="single" w:color="231F20" w:sz="4" w:space="0"/>
            </w:tcBorders>
            <w:vAlign w:val="center"/>
          </w:tcPr>
          <w:p w14:paraId="0165F953">
            <w:pPr>
              <w:pStyle w:val="11"/>
              <w:spacing w:line="360" w:lineRule="auto"/>
              <w:rPr>
                <w:spacing w:val="16"/>
                <w:sz w:val="20"/>
                <w:szCs w:val="20"/>
                <w:lang w:eastAsia="zh-CN"/>
              </w:rPr>
            </w:pPr>
            <w:r>
              <w:rPr>
                <w:rFonts w:hint="eastAsia"/>
                <w:spacing w:val="16"/>
                <w:sz w:val="20"/>
                <w:szCs w:val="20"/>
                <w:lang w:eastAsia="zh-CN"/>
              </w:rPr>
              <w:t>生产过程排放</w:t>
            </w:r>
          </w:p>
        </w:tc>
        <w:tc>
          <w:tcPr>
            <w:tcW w:w="6292" w:type="dxa"/>
            <w:tcBorders>
              <w:right w:val="single" w:color="231F20" w:sz="4" w:space="0"/>
            </w:tcBorders>
            <w:vAlign w:val="center"/>
          </w:tcPr>
          <w:p w14:paraId="401A9209">
            <w:pPr>
              <w:pStyle w:val="11"/>
              <w:spacing w:line="360" w:lineRule="auto"/>
              <w:rPr>
                <w:spacing w:val="8"/>
                <w:sz w:val="20"/>
                <w:szCs w:val="20"/>
                <w:lang w:eastAsia="zh-CN"/>
              </w:rPr>
            </w:pPr>
            <w:r>
              <w:rPr>
                <w:rFonts w:hint="eastAsia"/>
                <w:spacing w:val="8"/>
                <w:sz w:val="20"/>
                <w:szCs w:val="20"/>
                <w:lang w:eastAsia="zh-CN"/>
              </w:rPr>
              <w:t>天然碱煅烧分解</w:t>
            </w:r>
          </w:p>
        </w:tc>
      </w:tr>
      <w:tr w14:paraId="46DEF1F0">
        <w:tc>
          <w:tcPr>
            <w:tcW w:w="2896" w:type="dxa"/>
            <w:vMerge w:val="restart"/>
            <w:tcBorders>
              <w:left w:val="single" w:color="231F20" w:sz="4" w:space="0"/>
            </w:tcBorders>
            <w:vAlign w:val="center"/>
          </w:tcPr>
          <w:p w14:paraId="6A4FE55E">
            <w:pPr>
              <w:pStyle w:val="11"/>
              <w:spacing w:line="360" w:lineRule="auto"/>
              <w:rPr>
                <w:sz w:val="20"/>
                <w:szCs w:val="20"/>
              </w:rPr>
            </w:pPr>
            <w:r>
              <w:rPr>
                <w:spacing w:val="15"/>
                <w:sz w:val="20"/>
                <w:szCs w:val="20"/>
              </w:rPr>
              <w:t>其他排放</w:t>
            </w:r>
          </w:p>
        </w:tc>
        <w:tc>
          <w:tcPr>
            <w:tcW w:w="6292" w:type="dxa"/>
            <w:tcBorders>
              <w:right w:val="single" w:color="231F20" w:sz="4" w:space="0"/>
            </w:tcBorders>
            <w:vAlign w:val="center"/>
          </w:tcPr>
          <w:p w14:paraId="161F391E">
            <w:pPr>
              <w:pStyle w:val="11"/>
              <w:spacing w:line="360" w:lineRule="auto"/>
              <w:rPr>
                <w:sz w:val="20"/>
                <w:szCs w:val="20"/>
                <w:lang w:eastAsia="zh-CN"/>
              </w:rPr>
            </w:pPr>
            <w:r>
              <w:rPr>
                <w:spacing w:val="18"/>
                <w:sz w:val="20"/>
                <w:szCs w:val="20"/>
                <w:lang w:eastAsia="zh-CN"/>
              </w:rPr>
              <w:t>上游第三方运输和配送</w:t>
            </w:r>
          </w:p>
        </w:tc>
      </w:tr>
      <w:tr w14:paraId="6272ED37">
        <w:tc>
          <w:tcPr>
            <w:tcW w:w="2896" w:type="dxa"/>
            <w:vMerge w:val="continue"/>
            <w:tcBorders>
              <w:left w:val="single" w:color="231F20" w:sz="4" w:space="0"/>
            </w:tcBorders>
            <w:vAlign w:val="center"/>
          </w:tcPr>
          <w:p w14:paraId="71F46D4F">
            <w:pPr>
              <w:spacing w:line="360" w:lineRule="auto"/>
              <w:rPr>
                <w:sz w:val="20"/>
                <w:szCs w:val="20"/>
                <w:lang w:eastAsia="zh-CN"/>
              </w:rPr>
            </w:pPr>
          </w:p>
        </w:tc>
        <w:tc>
          <w:tcPr>
            <w:tcW w:w="6292" w:type="dxa"/>
            <w:tcBorders>
              <w:right w:val="single" w:color="231F20" w:sz="4" w:space="0"/>
            </w:tcBorders>
            <w:vAlign w:val="center"/>
          </w:tcPr>
          <w:p w14:paraId="491269D5">
            <w:pPr>
              <w:pStyle w:val="11"/>
              <w:spacing w:line="360" w:lineRule="auto"/>
              <w:rPr>
                <w:sz w:val="20"/>
                <w:szCs w:val="20"/>
                <w:lang w:eastAsia="zh-CN"/>
              </w:rPr>
            </w:pPr>
            <w:r>
              <w:rPr>
                <w:spacing w:val="11"/>
                <w:sz w:val="20"/>
                <w:szCs w:val="20"/>
                <w:lang w:eastAsia="zh-CN"/>
              </w:rPr>
              <w:t>购买的燃料、辅助材料的上游排放</w:t>
            </w:r>
          </w:p>
        </w:tc>
      </w:tr>
    </w:tbl>
    <w:p w14:paraId="6E0332D7">
      <w:pPr>
        <w:ind w:firstLine="432" w:firstLineChars="200"/>
        <w:rPr>
          <w:rFonts w:ascii="宋体" w:hAnsi="宋体" w:eastAsia="宋体" w:cs="宋体"/>
          <w:spacing w:val="8"/>
          <w:sz w:val="20"/>
          <w:szCs w:val="20"/>
          <w:lang w:eastAsia="zh-CN"/>
        </w:rPr>
      </w:pPr>
    </w:p>
    <w:p w14:paraId="0BC25679">
      <w:pPr>
        <w:ind w:firstLine="432" w:firstLineChars="200"/>
        <w:rPr>
          <w:rFonts w:ascii="宋体" w:hAnsi="宋体" w:eastAsia="宋体" w:cs="宋体"/>
          <w:spacing w:val="8"/>
          <w:sz w:val="20"/>
          <w:szCs w:val="20"/>
          <w:lang w:eastAsia="zh-CN"/>
        </w:rPr>
      </w:pPr>
    </w:p>
    <w:p w14:paraId="397C16E1">
      <w:pPr>
        <w:rPr>
          <w:rFonts w:ascii="宋体" w:hAnsi="宋体" w:eastAsia="宋体" w:cs="宋体"/>
          <w:spacing w:val="8"/>
          <w:sz w:val="20"/>
          <w:szCs w:val="20"/>
          <w:lang w:eastAsia="zh-CN"/>
        </w:rPr>
      </w:pPr>
      <w:r>
        <w:rPr>
          <w:rFonts w:hint="eastAsia" w:ascii="宋体" w:hAnsi="宋体" w:eastAsia="宋体" w:cs="宋体"/>
          <w:spacing w:val="8"/>
          <w:sz w:val="20"/>
          <w:szCs w:val="20"/>
          <w:lang w:eastAsia="zh-CN"/>
        </w:rPr>
        <w:br w:type="page"/>
      </w:r>
    </w:p>
    <w:p w14:paraId="6886950B">
      <w:pPr>
        <w:pStyle w:val="20"/>
        <w:rPr>
          <w:sz w:val="20"/>
          <w:lang w:eastAsia="zh-CN"/>
        </w:rPr>
      </w:pPr>
      <w:bookmarkStart w:id="107" w:name="_Toc3668"/>
      <w:r>
        <w:rPr>
          <w:rFonts w:hint="eastAsia"/>
          <w:sz w:val="20"/>
          <w:lang w:eastAsia="zh-CN"/>
        </w:rPr>
        <w:br w:type="textWrapping"/>
      </w:r>
      <w:r>
        <w:rPr>
          <w:rFonts w:hint="eastAsia"/>
          <w:sz w:val="20"/>
          <w:lang w:eastAsia="zh-CN"/>
        </w:rPr>
        <w:t>（资料性）</w:t>
      </w:r>
      <w:r>
        <w:rPr>
          <w:rFonts w:hint="eastAsia"/>
          <w:sz w:val="20"/>
          <w:lang w:eastAsia="zh-CN"/>
        </w:rPr>
        <w:br w:type="textWrapping"/>
      </w:r>
      <w:r>
        <w:rPr>
          <w:rFonts w:hint="eastAsia"/>
          <w:sz w:val="20"/>
          <w:lang w:eastAsia="zh-CN"/>
        </w:rPr>
        <w:t>纯碱产品产品生命周期系统边界内生产工艺流程图示例</w:t>
      </w:r>
      <w:bookmarkEnd w:id="107"/>
    </w:p>
    <w:p w14:paraId="0E10C900">
      <w:pPr>
        <w:pStyle w:val="19"/>
        <w:ind w:firstLine="416"/>
        <w:rPr>
          <w:rFonts w:ascii="宋体" w:hAnsi="宋体" w:eastAsia="宋体" w:cs="宋体"/>
          <w:spacing w:val="8"/>
          <w:sz w:val="20"/>
          <w:szCs w:val="20"/>
          <w:lang w:eastAsia="zh-CN"/>
        </w:rPr>
      </w:pPr>
      <w:r>
        <w:rPr>
          <w:rFonts w:hint="eastAsia" w:ascii="宋体" w:hAnsi="宋体" w:eastAsia="宋体" w:cs="宋体"/>
          <w:spacing w:val="8"/>
          <w:sz w:val="20"/>
          <w:szCs w:val="20"/>
          <w:lang w:eastAsia="zh-CN"/>
        </w:rPr>
        <w:t>纯碱产品生命周期系统边界内生产工艺流程图见图B.1~图B.3。</w:t>
      </w:r>
    </w:p>
    <w:p w14:paraId="34FBBE19">
      <w:pPr>
        <w:pStyle w:val="19"/>
        <w:ind w:firstLine="416"/>
        <w:rPr>
          <w:rFonts w:ascii="宋体" w:hAnsi="宋体" w:eastAsia="宋体" w:cs="宋体"/>
          <w:spacing w:val="8"/>
          <w:sz w:val="20"/>
          <w:szCs w:val="20"/>
          <w:lang w:eastAsia="zh-CN"/>
        </w:rPr>
      </w:pPr>
    </w:p>
    <w:p w14:paraId="38B8884B">
      <w:pPr>
        <w:pStyle w:val="19"/>
        <w:jc w:val="center"/>
        <w:rPr>
          <w:rFonts w:ascii="宋体" w:hAnsi="宋体" w:eastAsia="宋体" w:cs="宋体"/>
          <w:spacing w:val="8"/>
          <w:sz w:val="20"/>
          <w:szCs w:val="20"/>
          <w:lang w:eastAsia="zh-CN"/>
        </w:rPr>
      </w:pPr>
      <w:r>
        <w:drawing>
          <wp:inline distT="0" distB="0" distL="114300" distR="114300">
            <wp:extent cx="4216400" cy="1435100"/>
            <wp:effectExtent l="0" t="0" r="0" b="0"/>
            <wp:docPr id="8"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4"/>
                    <pic:cNvPicPr>
                      <a:picLocks noChangeAspect="1"/>
                    </pic:cNvPicPr>
                  </pic:nvPicPr>
                  <pic:blipFill>
                    <a:blip r:embed="rId19"/>
                    <a:stretch>
                      <a:fillRect/>
                    </a:stretch>
                  </pic:blipFill>
                  <pic:spPr>
                    <a:xfrm>
                      <a:off x="0" y="0"/>
                      <a:ext cx="4216400" cy="1435100"/>
                    </a:xfrm>
                    <a:prstGeom prst="rect">
                      <a:avLst/>
                    </a:prstGeom>
                    <a:noFill/>
                    <a:ln>
                      <a:noFill/>
                    </a:ln>
                  </pic:spPr>
                </pic:pic>
              </a:graphicData>
            </a:graphic>
          </wp:inline>
        </w:drawing>
      </w:r>
    </w:p>
    <w:p w14:paraId="1A517C77">
      <w:pPr>
        <w:spacing w:before="271" w:line="344" w:lineRule="auto"/>
        <w:ind w:left="2752" w:right="1352" w:hanging="2296"/>
        <w:jc w:val="center"/>
        <w:rPr>
          <w:rFonts w:ascii="黑体" w:hAnsi="黑体" w:eastAsia="黑体" w:cs="黑体"/>
          <w:color w:val="231F20"/>
          <w:spacing w:val="14"/>
          <w:sz w:val="19"/>
          <w:szCs w:val="19"/>
          <w:lang w:eastAsia="zh-CN"/>
        </w:rPr>
      </w:pPr>
      <w:r>
        <w:rPr>
          <w:rFonts w:hint="eastAsia" w:ascii="黑体" w:hAnsi="黑体" w:eastAsia="黑体" w:cs="黑体"/>
          <w:color w:val="231F20"/>
          <w:spacing w:val="14"/>
          <w:sz w:val="19"/>
          <w:szCs w:val="19"/>
          <w:lang w:eastAsia="zh-CN"/>
        </w:rPr>
        <w:t>图</w:t>
      </w:r>
      <w:r>
        <w:rPr>
          <w:rFonts w:ascii="黑体" w:hAnsi="黑体" w:eastAsia="黑体" w:cs="黑体"/>
          <w:color w:val="231F20"/>
          <w:spacing w:val="-17"/>
          <w:sz w:val="19"/>
          <w:szCs w:val="19"/>
          <w:lang w:eastAsia="zh-CN"/>
        </w:rPr>
        <w:t xml:space="preserve"> </w:t>
      </w:r>
      <w:r>
        <w:rPr>
          <w:rFonts w:hint="eastAsia" w:ascii="黑体" w:hAnsi="黑体" w:eastAsia="黑体" w:cs="黑体"/>
          <w:color w:val="231F20"/>
          <w:spacing w:val="-17"/>
          <w:sz w:val="19"/>
          <w:szCs w:val="19"/>
          <w:lang w:eastAsia="zh-CN"/>
        </w:rPr>
        <w:t>B</w:t>
      </w:r>
      <w:r>
        <w:rPr>
          <w:rFonts w:ascii="微软雅黑" w:hAnsi="微软雅黑" w:eastAsia="微软雅黑" w:cs="微软雅黑"/>
          <w:color w:val="231F20"/>
          <w:spacing w:val="14"/>
          <w:sz w:val="19"/>
          <w:szCs w:val="19"/>
          <w:lang w:eastAsia="zh-CN"/>
        </w:rPr>
        <w:t>.1</w:t>
      </w:r>
      <w:r>
        <w:rPr>
          <w:rFonts w:ascii="微软雅黑" w:hAnsi="微软雅黑" w:eastAsia="微软雅黑" w:cs="微软雅黑"/>
          <w:color w:val="231F20"/>
          <w:sz w:val="19"/>
          <w:szCs w:val="19"/>
          <w:lang w:eastAsia="zh-CN"/>
        </w:rPr>
        <w:t xml:space="preserve"> </w:t>
      </w:r>
      <w:r>
        <w:rPr>
          <w:rFonts w:hint="eastAsia" w:ascii="黑体" w:hAnsi="黑体" w:eastAsia="黑体" w:cs="黑体"/>
          <w:color w:val="231F20"/>
          <w:spacing w:val="14"/>
          <w:sz w:val="19"/>
          <w:szCs w:val="19"/>
          <w:lang w:eastAsia="zh-CN"/>
        </w:rPr>
        <w:t>氨碱法生产纯碱工艺流程图</w:t>
      </w:r>
    </w:p>
    <w:p w14:paraId="4320A531">
      <w:pPr>
        <w:spacing w:before="271" w:line="344" w:lineRule="auto"/>
        <w:ind w:left="2752" w:right="1352" w:hanging="2296"/>
        <w:jc w:val="center"/>
        <w:rPr>
          <w:rFonts w:ascii="黑体" w:hAnsi="黑体" w:eastAsia="黑体" w:cs="黑体"/>
          <w:color w:val="231F20"/>
          <w:spacing w:val="14"/>
          <w:sz w:val="19"/>
          <w:szCs w:val="19"/>
          <w:lang w:eastAsia="zh-CN"/>
        </w:rPr>
      </w:pPr>
      <w:r>
        <w:drawing>
          <wp:inline distT="0" distB="0" distL="114300" distR="114300">
            <wp:extent cx="4438650" cy="1460500"/>
            <wp:effectExtent l="0" t="0" r="6350" b="0"/>
            <wp:docPr id="10"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6"/>
                    <pic:cNvPicPr>
                      <a:picLocks noChangeAspect="1"/>
                    </pic:cNvPicPr>
                  </pic:nvPicPr>
                  <pic:blipFill>
                    <a:blip r:embed="rId20"/>
                    <a:stretch>
                      <a:fillRect/>
                    </a:stretch>
                  </pic:blipFill>
                  <pic:spPr>
                    <a:xfrm>
                      <a:off x="0" y="0"/>
                      <a:ext cx="4438650" cy="1460500"/>
                    </a:xfrm>
                    <a:prstGeom prst="rect">
                      <a:avLst/>
                    </a:prstGeom>
                    <a:noFill/>
                    <a:ln>
                      <a:noFill/>
                    </a:ln>
                  </pic:spPr>
                </pic:pic>
              </a:graphicData>
            </a:graphic>
          </wp:inline>
        </w:drawing>
      </w:r>
    </w:p>
    <w:p w14:paraId="566E18F9">
      <w:pPr>
        <w:spacing w:before="271" w:line="344" w:lineRule="auto"/>
        <w:ind w:left="2752" w:right="1352" w:hanging="2296"/>
        <w:jc w:val="center"/>
        <w:rPr>
          <w:rFonts w:ascii="黑体" w:hAnsi="黑体" w:eastAsia="黑体" w:cs="黑体"/>
          <w:color w:val="231F20"/>
          <w:spacing w:val="14"/>
          <w:sz w:val="19"/>
          <w:szCs w:val="19"/>
          <w:lang w:eastAsia="zh-CN"/>
        </w:rPr>
      </w:pPr>
      <w:r>
        <w:rPr>
          <w:rFonts w:hint="eastAsia" w:ascii="黑体" w:hAnsi="黑体" w:eastAsia="黑体" w:cs="黑体"/>
          <w:color w:val="231F20"/>
          <w:spacing w:val="14"/>
          <w:sz w:val="19"/>
          <w:szCs w:val="19"/>
          <w:lang w:eastAsia="zh-CN"/>
        </w:rPr>
        <w:t>图</w:t>
      </w:r>
      <w:r>
        <w:rPr>
          <w:rFonts w:ascii="黑体" w:hAnsi="黑体" w:eastAsia="黑体" w:cs="黑体"/>
          <w:color w:val="231F20"/>
          <w:spacing w:val="-17"/>
          <w:sz w:val="19"/>
          <w:szCs w:val="19"/>
          <w:lang w:eastAsia="zh-CN"/>
        </w:rPr>
        <w:t xml:space="preserve"> </w:t>
      </w:r>
      <w:r>
        <w:rPr>
          <w:rFonts w:hint="eastAsia" w:ascii="黑体" w:hAnsi="黑体" w:eastAsia="黑体" w:cs="黑体"/>
          <w:color w:val="231F20"/>
          <w:spacing w:val="-17"/>
          <w:sz w:val="19"/>
          <w:szCs w:val="19"/>
          <w:lang w:eastAsia="zh-CN"/>
        </w:rPr>
        <w:t>B</w:t>
      </w:r>
      <w:r>
        <w:rPr>
          <w:rFonts w:ascii="微软雅黑" w:hAnsi="微软雅黑" w:eastAsia="微软雅黑" w:cs="微软雅黑"/>
          <w:color w:val="231F20"/>
          <w:spacing w:val="14"/>
          <w:sz w:val="19"/>
          <w:szCs w:val="19"/>
          <w:lang w:eastAsia="zh-CN"/>
        </w:rPr>
        <w:t>.1</w:t>
      </w:r>
      <w:r>
        <w:rPr>
          <w:rFonts w:ascii="微软雅黑" w:hAnsi="微软雅黑" w:eastAsia="微软雅黑" w:cs="微软雅黑"/>
          <w:color w:val="231F20"/>
          <w:sz w:val="19"/>
          <w:szCs w:val="19"/>
          <w:lang w:eastAsia="zh-CN"/>
        </w:rPr>
        <w:t xml:space="preserve"> </w:t>
      </w:r>
      <w:r>
        <w:rPr>
          <w:rFonts w:hint="eastAsia" w:ascii="微软雅黑" w:hAnsi="微软雅黑" w:eastAsia="微软雅黑" w:cs="微软雅黑"/>
          <w:color w:val="231F20"/>
          <w:sz w:val="19"/>
          <w:szCs w:val="19"/>
          <w:lang w:eastAsia="zh-CN"/>
        </w:rPr>
        <w:t>联碱</w:t>
      </w:r>
      <w:r>
        <w:rPr>
          <w:rFonts w:hint="eastAsia" w:ascii="黑体" w:hAnsi="黑体" w:eastAsia="黑体" w:cs="黑体"/>
          <w:color w:val="231F20"/>
          <w:spacing w:val="14"/>
          <w:sz w:val="19"/>
          <w:szCs w:val="19"/>
          <w:lang w:eastAsia="zh-CN"/>
        </w:rPr>
        <w:t>法生产纯碱工艺流程图</w:t>
      </w:r>
    </w:p>
    <w:p w14:paraId="58C0EFEF">
      <w:pPr>
        <w:spacing w:before="271" w:line="344" w:lineRule="auto"/>
        <w:ind w:left="2752" w:right="1352" w:hanging="2296"/>
        <w:jc w:val="center"/>
        <w:rPr>
          <w:rFonts w:ascii="黑体" w:hAnsi="黑体" w:eastAsia="黑体" w:cs="黑体"/>
          <w:color w:val="231F20"/>
          <w:spacing w:val="14"/>
          <w:sz w:val="19"/>
          <w:szCs w:val="19"/>
          <w:lang w:eastAsia="zh-CN"/>
        </w:rPr>
      </w:pPr>
      <w:r>
        <w:drawing>
          <wp:inline distT="0" distB="0" distL="114300" distR="114300">
            <wp:extent cx="4550410" cy="1581150"/>
            <wp:effectExtent l="0" t="0" r="8890" b="6350"/>
            <wp:docPr id="11"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7"/>
                    <pic:cNvPicPr>
                      <a:picLocks noChangeAspect="1"/>
                    </pic:cNvPicPr>
                  </pic:nvPicPr>
                  <pic:blipFill>
                    <a:blip r:embed="rId21"/>
                    <a:stretch>
                      <a:fillRect/>
                    </a:stretch>
                  </pic:blipFill>
                  <pic:spPr>
                    <a:xfrm>
                      <a:off x="0" y="0"/>
                      <a:ext cx="4550410" cy="1581150"/>
                    </a:xfrm>
                    <a:prstGeom prst="rect">
                      <a:avLst/>
                    </a:prstGeom>
                    <a:noFill/>
                    <a:ln>
                      <a:noFill/>
                    </a:ln>
                  </pic:spPr>
                </pic:pic>
              </a:graphicData>
            </a:graphic>
          </wp:inline>
        </w:drawing>
      </w:r>
    </w:p>
    <w:p w14:paraId="7CC177BE">
      <w:pPr>
        <w:spacing w:before="271" w:line="344" w:lineRule="auto"/>
        <w:ind w:left="2752" w:right="1352" w:hanging="2296"/>
        <w:jc w:val="center"/>
        <w:rPr>
          <w:rFonts w:ascii="黑体" w:hAnsi="黑体" w:eastAsia="黑体" w:cs="黑体"/>
          <w:color w:val="231F20"/>
          <w:spacing w:val="14"/>
          <w:sz w:val="19"/>
          <w:szCs w:val="19"/>
          <w:lang w:eastAsia="zh-CN"/>
        </w:rPr>
      </w:pPr>
      <w:r>
        <w:rPr>
          <w:rFonts w:hint="eastAsia" w:ascii="黑体" w:hAnsi="黑体" w:eastAsia="黑体" w:cs="黑体"/>
          <w:color w:val="231F20"/>
          <w:spacing w:val="14"/>
          <w:sz w:val="19"/>
          <w:szCs w:val="19"/>
          <w:lang w:eastAsia="zh-CN"/>
        </w:rPr>
        <w:t>图</w:t>
      </w:r>
      <w:r>
        <w:rPr>
          <w:rFonts w:ascii="黑体" w:hAnsi="黑体" w:eastAsia="黑体" w:cs="黑体"/>
          <w:color w:val="231F20"/>
          <w:spacing w:val="-17"/>
          <w:sz w:val="19"/>
          <w:szCs w:val="19"/>
          <w:lang w:eastAsia="zh-CN"/>
        </w:rPr>
        <w:t xml:space="preserve"> </w:t>
      </w:r>
      <w:r>
        <w:rPr>
          <w:rFonts w:hint="eastAsia" w:ascii="黑体" w:hAnsi="黑体" w:eastAsia="黑体" w:cs="黑体"/>
          <w:color w:val="231F20"/>
          <w:spacing w:val="-17"/>
          <w:sz w:val="19"/>
          <w:szCs w:val="19"/>
          <w:lang w:eastAsia="zh-CN"/>
        </w:rPr>
        <w:t>B</w:t>
      </w:r>
      <w:r>
        <w:rPr>
          <w:rFonts w:ascii="微软雅黑" w:hAnsi="微软雅黑" w:eastAsia="微软雅黑" w:cs="微软雅黑"/>
          <w:color w:val="231F20"/>
          <w:spacing w:val="14"/>
          <w:sz w:val="19"/>
          <w:szCs w:val="19"/>
          <w:lang w:eastAsia="zh-CN"/>
        </w:rPr>
        <w:t>.1</w:t>
      </w:r>
      <w:r>
        <w:rPr>
          <w:rFonts w:ascii="微软雅黑" w:hAnsi="微软雅黑" w:eastAsia="微软雅黑" w:cs="微软雅黑"/>
          <w:color w:val="231F20"/>
          <w:sz w:val="19"/>
          <w:szCs w:val="19"/>
          <w:lang w:eastAsia="zh-CN"/>
        </w:rPr>
        <w:t xml:space="preserve"> </w:t>
      </w:r>
      <w:r>
        <w:rPr>
          <w:rFonts w:hint="eastAsia" w:ascii="微软雅黑" w:hAnsi="微软雅黑" w:eastAsia="微软雅黑" w:cs="微软雅黑"/>
          <w:color w:val="231F20"/>
          <w:sz w:val="19"/>
          <w:szCs w:val="19"/>
          <w:lang w:eastAsia="zh-CN"/>
        </w:rPr>
        <w:t>天然</w:t>
      </w:r>
      <w:r>
        <w:rPr>
          <w:rFonts w:hint="eastAsia" w:ascii="黑体" w:hAnsi="黑体" w:eastAsia="黑体" w:cs="黑体"/>
          <w:color w:val="231F20"/>
          <w:spacing w:val="14"/>
          <w:sz w:val="19"/>
          <w:szCs w:val="19"/>
          <w:lang w:eastAsia="zh-CN"/>
        </w:rPr>
        <w:t>碱法生产纯碱工艺流程图</w:t>
      </w:r>
    </w:p>
    <w:p w14:paraId="251B9EA6">
      <w:pPr>
        <w:pStyle w:val="19"/>
        <w:ind w:firstLine="416"/>
        <w:rPr>
          <w:rFonts w:ascii="宋体" w:hAnsi="宋体" w:eastAsia="宋体" w:cs="宋体"/>
          <w:spacing w:val="8"/>
          <w:sz w:val="20"/>
          <w:szCs w:val="20"/>
          <w:lang w:eastAsia="zh-CN"/>
        </w:rPr>
      </w:pPr>
    </w:p>
    <w:p w14:paraId="2FA20C10">
      <w:pPr>
        <w:rPr>
          <w:rFonts w:ascii="黑体" w:hAnsi="黑体" w:eastAsia="黑体" w:cs="黑体"/>
          <w:color w:val="231F20"/>
          <w:spacing w:val="18"/>
          <w:position w:val="1"/>
          <w:sz w:val="19"/>
          <w:szCs w:val="19"/>
          <w:lang w:eastAsia="zh-CN"/>
        </w:rPr>
      </w:pPr>
      <w:r>
        <w:rPr>
          <w:rFonts w:hint="eastAsia" w:ascii="黑体" w:hAnsi="黑体" w:eastAsia="黑体" w:cs="黑体"/>
          <w:color w:val="231F20"/>
          <w:spacing w:val="18"/>
          <w:position w:val="1"/>
          <w:sz w:val="19"/>
          <w:szCs w:val="19"/>
          <w:lang w:eastAsia="zh-CN"/>
        </w:rPr>
        <w:br w:type="page"/>
      </w:r>
    </w:p>
    <w:p w14:paraId="76B59FC5">
      <w:pPr>
        <w:pStyle w:val="20"/>
        <w:rPr>
          <w:sz w:val="20"/>
          <w:lang w:eastAsia="zh-CN"/>
        </w:rPr>
      </w:pPr>
      <w:bookmarkStart w:id="108" w:name="_Toc13185"/>
      <w:r>
        <w:rPr>
          <w:rFonts w:hint="eastAsia"/>
          <w:sz w:val="20"/>
          <w:lang w:eastAsia="zh-CN"/>
        </w:rPr>
        <w:br w:type="textWrapping"/>
      </w:r>
      <w:r>
        <w:rPr>
          <w:rFonts w:hint="eastAsia"/>
          <w:sz w:val="20"/>
          <w:lang w:eastAsia="zh-CN"/>
        </w:rPr>
        <w:t>（资料性）</w:t>
      </w:r>
      <w:r>
        <w:rPr>
          <w:rFonts w:hint="eastAsia"/>
          <w:sz w:val="20"/>
          <w:lang w:eastAsia="zh-CN"/>
        </w:rPr>
        <w:br w:type="textWrapping"/>
      </w:r>
      <w:r>
        <w:rPr>
          <w:rFonts w:hint="eastAsia"/>
          <w:sz w:val="20"/>
          <w:lang w:eastAsia="zh-CN"/>
        </w:rPr>
        <w:t>数据收集表示例</w:t>
      </w:r>
      <w:bookmarkEnd w:id="108"/>
    </w:p>
    <w:p w14:paraId="30BF403A">
      <w:pPr>
        <w:pStyle w:val="19"/>
        <w:ind w:firstLine="416"/>
        <w:rPr>
          <w:rFonts w:ascii="宋体" w:hAnsi="宋体" w:eastAsia="宋体" w:cs="宋体"/>
          <w:spacing w:val="8"/>
          <w:sz w:val="20"/>
          <w:szCs w:val="20"/>
          <w:lang w:eastAsia="zh-CN"/>
        </w:rPr>
      </w:pPr>
      <w:r>
        <w:rPr>
          <w:rFonts w:hint="eastAsia" w:ascii="宋体" w:hAnsi="宋体" w:eastAsia="宋体" w:cs="宋体"/>
          <w:spacing w:val="8"/>
          <w:sz w:val="20"/>
          <w:szCs w:val="20"/>
          <w:lang w:eastAsia="zh-CN"/>
        </w:rPr>
        <w:t>数据收集表示例见表C.1~表C.3。其并不代表全部收集范围，报告主体可根据生产系统实际情况补充或调整。</w:t>
      </w:r>
    </w:p>
    <w:p w14:paraId="340FCE0F">
      <w:pPr>
        <w:pStyle w:val="19"/>
        <w:ind w:firstLine="416"/>
        <w:rPr>
          <w:rFonts w:ascii="宋体" w:hAnsi="宋体" w:eastAsia="宋体" w:cs="宋体"/>
          <w:spacing w:val="8"/>
          <w:sz w:val="20"/>
          <w:szCs w:val="20"/>
          <w:lang w:eastAsia="zh-CN"/>
        </w:rPr>
      </w:pPr>
    </w:p>
    <w:p w14:paraId="5D60D8E2">
      <w:pPr>
        <w:spacing w:before="179" w:line="208" w:lineRule="auto"/>
        <w:ind w:left="2491"/>
        <w:rPr>
          <w:rFonts w:ascii="黑体" w:hAnsi="黑体" w:eastAsia="黑体" w:cs="黑体"/>
          <w:sz w:val="19"/>
          <w:szCs w:val="19"/>
          <w:lang w:eastAsia="zh-CN"/>
        </w:rPr>
      </w:pPr>
      <w:r>
        <w:rPr>
          <w:rFonts w:ascii="黑体" w:hAnsi="黑体" w:eastAsia="黑体" w:cs="黑体"/>
          <w:color w:val="231F20"/>
          <w:spacing w:val="14"/>
          <w:sz w:val="19"/>
          <w:szCs w:val="19"/>
          <w:lang w:eastAsia="zh-CN"/>
        </w:rPr>
        <w:t xml:space="preserve">表 C.1 </w:t>
      </w:r>
      <w:r>
        <w:rPr>
          <w:rFonts w:hint="eastAsia" w:ascii="黑体" w:hAnsi="黑体" w:eastAsia="黑体" w:cs="黑体"/>
          <w:color w:val="231F20"/>
          <w:spacing w:val="14"/>
          <w:sz w:val="19"/>
          <w:szCs w:val="19"/>
          <w:lang w:eastAsia="zh-CN"/>
        </w:rPr>
        <w:t>联碱法纯碱生产</w:t>
      </w:r>
      <w:r>
        <w:rPr>
          <w:rFonts w:ascii="黑体" w:hAnsi="黑体" w:eastAsia="黑体" w:cs="黑体"/>
          <w:color w:val="231F20"/>
          <w:spacing w:val="14"/>
          <w:sz w:val="19"/>
          <w:szCs w:val="19"/>
          <w:lang w:eastAsia="zh-CN"/>
        </w:rPr>
        <w:t>输入、输出数据收集表</w:t>
      </w:r>
    </w:p>
    <w:p w14:paraId="676D4239">
      <w:pPr>
        <w:spacing w:line="179" w:lineRule="exact"/>
        <w:rPr>
          <w:lang w:eastAsia="zh-CN"/>
        </w:rPr>
      </w:pPr>
    </w:p>
    <w:tbl>
      <w:tblPr>
        <w:tblStyle w:val="10"/>
        <w:tblW w:w="9188" w:type="dxa"/>
        <w:tblInd w:w="5"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fixed"/>
        <w:tblCellMar>
          <w:top w:w="0" w:type="dxa"/>
          <w:left w:w="0" w:type="dxa"/>
          <w:bottom w:w="0" w:type="dxa"/>
          <w:right w:w="0" w:type="dxa"/>
        </w:tblCellMar>
      </w:tblPr>
      <w:tblGrid>
        <w:gridCol w:w="4061"/>
        <w:gridCol w:w="647"/>
        <w:gridCol w:w="583"/>
        <w:gridCol w:w="550"/>
        <w:gridCol w:w="973"/>
        <w:gridCol w:w="2374"/>
      </w:tblGrid>
      <w:tr w14:paraId="14EC184B">
        <w:trPr>
          <w:trHeight w:val="927" w:hRule="atLeast"/>
        </w:trPr>
        <w:tc>
          <w:tcPr>
            <w:tcW w:w="9188" w:type="dxa"/>
            <w:gridSpan w:val="6"/>
            <w:tcBorders>
              <w:top w:val="single" w:color="231F20" w:sz="4" w:space="0"/>
              <w:left w:val="single" w:color="231F20" w:sz="4" w:space="0"/>
              <w:right w:val="single" w:color="231F20" w:sz="4" w:space="0"/>
            </w:tcBorders>
          </w:tcPr>
          <w:p w14:paraId="659262AA">
            <w:pPr>
              <w:pStyle w:val="11"/>
              <w:spacing w:before="97" w:line="212" w:lineRule="auto"/>
              <w:ind w:left="97"/>
              <w:rPr>
                <w:rFonts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pacing w:val="16"/>
                <w:sz w:val="18"/>
                <w:szCs w:val="18"/>
                <w:lang w:eastAsia="zh-CN"/>
              </w:rPr>
              <w:t>单元过程及统计口径描述：</w:t>
            </w:r>
          </w:p>
          <w:p w14:paraId="3BE00B6B">
            <w:pPr>
              <w:pStyle w:val="11"/>
              <w:spacing w:before="41" w:line="212" w:lineRule="auto"/>
              <w:ind w:left="106"/>
              <w:rPr>
                <w:rFonts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pacing w:val="2"/>
                <w:sz w:val="18"/>
                <w:szCs w:val="18"/>
                <w:lang w:eastAsia="zh-CN"/>
              </w:rPr>
              <w:t>时间段：起始时间           年    月     日 ；  终止时</w:t>
            </w:r>
            <w:r>
              <w:rPr>
                <w:rFonts w:hint="eastAsia" w:asciiTheme="minorEastAsia" w:hAnsiTheme="minorEastAsia" w:eastAsiaTheme="minorEastAsia" w:cstheme="minorEastAsia"/>
                <w:spacing w:val="1"/>
                <w:sz w:val="18"/>
                <w:szCs w:val="18"/>
                <w:lang w:eastAsia="zh-CN"/>
              </w:rPr>
              <w:t>间            年    月     日</w:t>
            </w:r>
          </w:p>
          <w:p w14:paraId="1D22E4C9">
            <w:pPr>
              <w:pStyle w:val="11"/>
              <w:spacing w:before="42" w:line="212" w:lineRule="auto"/>
              <w:ind w:left="98"/>
              <w:rPr>
                <w:rFonts w:asciiTheme="minorEastAsia" w:hAnsiTheme="minorEastAsia" w:eastAsiaTheme="minorEastAsia" w:cstheme="minorEastAsia"/>
                <w:spacing w:val="10"/>
                <w:sz w:val="18"/>
                <w:szCs w:val="18"/>
              </w:rPr>
            </w:pPr>
            <w:r>
              <w:rPr>
                <w:rFonts w:hint="eastAsia" w:asciiTheme="minorEastAsia" w:hAnsiTheme="minorEastAsia" w:eastAsiaTheme="minorEastAsia" w:cstheme="minorEastAsia"/>
                <w:spacing w:val="10"/>
                <w:sz w:val="18"/>
                <w:szCs w:val="18"/>
              </w:rPr>
              <w:t>制表人：</w:t>
            </w:r>
          </w:p>
          <w:p w14:paraId="5EAFAF7C">
            <w:pPr>
              <w:pStyle w:val="11"/>
              <w:spacing w:before="42" w:line="212" w:lineRule="auto"/>
              <w:ind w:left="98"/>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pacing w:val="10"/>
                <w:sz w:val="18"/>
                <w:szCs w:val="18"/>
              </w:rPr>
              <w:t>制表日期：</w:t>
            </w:r>
          </w:p>
        </w:tc>
      </w:tr>
      <w:tr w14:paraId="5DB05A09">
        <w:trPr>
          <w:trHeight w:val="355" w:hRule="atLeast"/>
        </w:trPr>
        <w:tc>
          <w:tcPr>
            <w:tcW w:w="4061" w:type="dxa"/>
            <w:tcBorders>
              <w:left w:val="single" w:color="231F20" w:sz="4" w:space="0"/>
            </w:tcBorders>
          </w:tcPr>
          <w:p w14:paraId="406CAC78">
            <w:pPr>
              <w:pStyle w:val="11"/>
              <w:spacing w:before="101" w:line="183" w:lineRule="auto"/>
              <w:ind w:left="97"/>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pacing w:val="11"/>
                <w:sz w:val="18"/>
                <w:szCs w:val="18"/>
              </w:rPr>
              <w:t>输入</w:t>
            </w:r>
          </w:p>
        </w:tc>
        <w:tc>
          <w:tcPr>
            <w:tcW w:w="647" w:type="dxa"/>
          </w:tcPr>
          <w:p w14:paraId="24214C6A">
            <w:pPr>
              <w:pStyle w:val="11"/>
              <w:spacing w:before="99" w:line="186" w:lineRule="auto"/>
              <w:ind w:left="15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pacing w:val="11"/>
                <w:sz w:val="18"/>
                <w:szCs w:val="18"/>
              </w:rPr>
              <w:t>单位</w:t>
            </w:r>
          </w:p>
        </w:tc>
        <w:tc>
          <w:tcPr>
            <w:tcW w:w="583" w:type="dxa"/>
          </w:tcPr>
          <w:p w14:paraId="2C7D49AA">
            <w:pPr>
              <w:pStyle w:val="11"/>
              <w:spacing w:before="101" w:line="182" w:lineRule="auto"/>
              <w:ind w:left="12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pacing w:val="11"/>
                <w:sz w:val="18"/>
                <w:szCs w:val="18"/>
              </w:rPr>
              <w:t>数量</w:t>
            </w:r>
          </w:p>
        </w:tc>
        <w:tc>
          <w:tcPr>
            <w:tcW w:w="550" w:type="dxa"/>
          </w:tcPr>
          <w:p w14:paraId="5D7FB95A">
            <w:pPr>
              <w:pStyle w:val="11"/>
              <w:spacing w:before="106" w:line="178" w:lineRule="auto"/>
              <w:ind w:left="104"/>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pacing w:val="11"/>
                <w:sz w:val="18"/>
                <w:szCs w:val="18"/>
              </w:rPr>
              <w:t>运距</w:t>
            </w:r>
          </w:p>
        </w:tc>
        <w:tc>
          <w:tcPr>
            <w:tcW w:w="973" w:type="dxa"/>
          </w:tcPr>
          <w:p w14:paraId="07F68D30">
            <w:pPr>
              <w:pStyle w:val="11"/>
              <w:spacing w:before="101" w:line="183" w:lineRule="auto"/>
              <w:ind w:left="137"/>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pacing w:val="15"/>
                <w:sz w:val="18"/>
                <w:szCs w:val="18"/>
              </w:rPr>
              <w:t>运输方式</w:t>
            </w:r>
          </w:p>
        </w:tc>
        <w:tc>
          <w:tcPr>
            <w:tcW w:w="2374" w:type="dxa"/>
            <w:tcBorders>
              <w:right w:val="single" w:color="231F20" w:sz="4" w:space="0"/>
            </w:tcBorders>
          </w:tcPr>
          <w:p w14:paraId="18931599">
            <w:pPr>
              <w:pStyle w:val="11"/>
              <w:spacing w:before="78" w:line="228" w:lineRule="auto"/>
              <w:ind w:left="566"/>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pacing w:val="6"/>
                <w:sz w:val="18"/>
                <w:szCs w:val="18"/>
              </w:rPr>
              <w:t>规格</w:t>
            </w:r>
            <w:r>
              <w:rPr>
                <w:rFonts w:hint="eastAsia" w:asciiTheme="minorEastAsia" w:hAnsiTheme="minorEastAsia" w:eastAsiaTheme="minorEastAsia" w:cstheme="minorEastAsia"/>
                <w:spacing w:val="-21"/>
                <w:sz w:val="18"/>
                <w:szCs w:val="18"/>
              </w:rPr>
              <w:t xml:space="preserve"> </w:t>
            </w:r>
            <w:r>
              <w:rPr>
                <w:rFonts w:hint="eastAsia" w:asciiTheme="minorEastAsia" w:hAnsiTheme="minorEastAsia" w:eastAsiaTheme="minorEastAsia" w:cstheme="minorEastAsia"/>
                <w:spacing w:val="6"/>
                <w:sz w:val="18"/>
                <w:szCs w:val="18"/>
              </w:rPr>
              <w:t>、成分</w:t>
            </w:r>
            <w:r>
              <w:rPr>
                <w:rFonts w:hint="eastAsia" w:asciiTheme="minorEastAsia" w:hAnsiTheme="minorEastAsia" w:eastAsiaTheme="minorEastAsia" w:cstheme="minorEastAsia"/>
                <w:b/>
                <w:bCs/>
                <w:spacing w:val="6"/>
                <w:sz w:val="18"/>
                <w:szCs w:val="18"/>
              </w:rPr>
              <w:t>/</w:t>
            </w:r>
            <w:r>
              <w:rPr>
                <w:rFonts w:hint="eastAsia" w:asciiTheme="minorEastAsia" w:hAnsiTheme="minorEastAsia" w:eastAsiaTheme="minorEastAsia" w:cstheme="minorEastAsia"/>
                <w:spacing w:val="6"/>
                <w:sz w:val="18"/>
                <w:szCs w:val="18"/>
              </w:rPr>
              <w:t>来源</w:t>
            </w:r>
          </w:p>
        </w:tc>
      </w:tr>
      <w:tr w14:paraId="2FE07809">
        <w:trPr>
          <w:trHeight w:val="356" w:hRule="atLeast"/>
        </w:trPr>
        <w:tc>
          <w:tcPr>
            <w:tcW w:w="4061" w:type="dxa"/>
            <w:tcBorders>
              <w:left w:val="single" w:color="231F20" w:sz="4" w:space="0"/>
            </w:tcBorders>
          </w:tcPr>
          <w:p w14:paraId="517AE1BC">
            <w:pPr>
              <w:pStyle w:val="11"/>
              <w:spacing w:before="105" w:line="178" w:lineRule="auto"/>
              <w:ind w:left="98"/>
              <w:rPr>
                <w:rFonts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原盐</w:t>
            </w:r>
          </w:p>
        </w:tc>
        <w:tc>
          <w:tcPr>
            <w:tcW w:w="647" w:type="dxa"/>
          </w:tcPr>
          <w:p w14:paraId="7232DAA9">
            <w:pPr>
              <w:rPr>
                <w:rFonts w:asciiTheme="minorEastAsia" w:hAnsiTheme="minorEastAsia" w:eastAsiaTheme="minorEastAsia" w:cstheme="minorEastAsia"/>
                <w:sz w:val="18"/>
                <w:szCs w:val="18"/>
              </w:rPr>
            </w:pPr>
          </w:p>
        </w:tc>
        <w:tc>
          <w:tcPr>
            <w:tcW w:w="583" w:type="dxa"/>
          </w:tcPr>
          <w:p w14:paraId="23FB7EC8">
            <w:pPr>
              <w:rPr>
                <w:rFonts w:asciiTheme="minorEastAsia" w:hAnsiTheme="minorEastAsia" w:eastAsiaTheme="minorEastAsia" w:cstheme="minorEastAsia"/>
                <w:sz w:val="18"/>
                <w:szCs w:val="18"/>
              </w:rPr>
            </w:pPr>
          </w:p>
        </w:tc>
        <w:tc>
          <w:tcPr>
            <w:tcW w:w="550" w:type="dxa"/>
          </w:tcPr>
          <w:p w14:paraId="023B7C07">
            <w:pPr>
              <w:rPr>
                <w:rFonts w:asciiTheme="minorEastAsia" w:hAnsiTheme="minorEastAsia" w:eastAsiaTheme="minorEastAsia" w:cstheme="minorEastAsia"/>
                <w:sz w:val="18"/>
                <w:szCs w:val="18"/>
              </w:rPr>
            </w:pPr>
          </w:p>
        </w:tc>
        <w:tc>
          <w:tcPr>
            <w:tcW w:w="973" w:type="dxa"/>
          </w:tcPr>
          <w:p w14:paraId="3F11C2F4">
            <w:pPr>
              <w:rPr>
                <w:rFonts w:asciiTheme="minorEastAsia" w:hAnsiTheme="minorEastAsia" w:eastAsiaTheme="minorEastAsia" w:cstheme="minorEastAsia"/>
                <w:sz w:val="18"/>
                <w:szCs w:val="18"/>
              </w:rPr>
            </w:pPr>
          </w:p>
        </w:tc>
        <w:tc>
          <w:tcPr>
            <w:tcW w:w="2374" w:type="dxa"/>
            <w:tcBorders>
              <w:right w:val="single" w:color="231F20" w:sz="4" w:space="0"/>
            </w:tcBorders>
          </w:tcPr>
          <w:p w14:paraId="2770DD24">
            <w:pPr>
              <w:rPr>
                <w:rFonts w:asciiTheme="minorEastAsia" w:hAnsiTheme="minorEastAsia" w:eastAsiaTheme="minorEastAsia" w:cstheme="minorEastAsia"/>
                <w:sz w:val="18"/>
                <w:szCs w:val="18"/>
              </w:rPr>
            </w:pPr>
          </w:p>
        </w:tc>
      </w:tr>
      <w:tr w14:paraId="6F180EE0">
        <w:trPr>
          <w:trHeight w:val="355" w:hRule="atLeast"/>
        </w:trPr>
        <w:tc>
          <w:tcPr>
            <w:tcW w:w="4061" w:type="dxa"/>
            <w:tcBorders>
              <w:left w:val="single" w:color="231F20" w:sz="4" w:space="0"/>
            </w:tcBorders>
          </w:tcPr>
          <w:p w14:paraId="5169AF76">
            <w:pPr>
              <w:pStyle w:val="11"/>
              <w:spacing w:before="102" w:line="184" w:lineRule="auto"/>
              <w:ind w:left="98"/>
              <w:rPr>
                <w:rFonts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水</w:t>
            </w:r>
          </w:p>
        </w:tc>
        <w:tc>
          <w:tcPr>
            <w:tcW w:w="647" w:type="dxa"/>
          </w:tcPr>
          <w:p w14:paraId="5E7D1290">
            <w:pPr>
              <w:rPr>
                <w:rFonts w:asciiTheme="minorEastAsia" w:hAnsiTheme="minorEastAsia" w:eastAsiaTheme="minorEastAsia" w:cstheme="minorEastAsia"/>
                <w:sz w:val="18"/>
                <w:szCs w:val="18"/>
              </w:rPr>
            </w:pPr>
          </w:p>
        </w:tc>
        <w:tc>
          <w:tcPr>
            <w:tcW w:w="583" w:type="dxa"/>
          </w:tcPr>
          <w:p w14:paraId="7F3E1033">
            <w:pPr>
              <w:rPr>
                <w:rFonts w:asciiTheme="minorEastAsia" w:hAnsiTheme="minorEastAsia" w:eastAsiaTheme="minorEastAsia" w:cstheme="minorEastAsia"/>
                <w:sz w:val="18"/>
                <w:szCs w:val="18"/>
              </w:rPr>
            </w:pPr>
          </w:p>
        </w:tc>
        <w:tc>
          <w:tcPr>
            <w:tcW w:w="550" w:type="dxa"/>
          </w:tcPr>
          <w:p w14:paraId="0B007854">
            <w:pPr>
              <w:rPr>
                <w:rFonts w:asciiTheme="minorEastAsia" w:hAnsiTheme="minorEastAsia" w:eastAsiaTheme="minorEastAsia" w:cstheme="minorEastAsia"/>
                <w:sz w:val="18"/>
                <w:szCs w:val="18"/>
              </w:rPr>
            </w:pPr>
          </w:p>
        </w:tc>
        <w:tc>
          <w:tcPr>
            <w:tcW w:w="973" w:type="dxa"/>
          </w:tcPr>
          <w:p w14:paraId="2C14F579">
            <w:pPr>
              <w:rPr>
                <w:rFonts w:asciiTheme="minorEastAsia" w:hAnsiTheme="minorEastAsia" w:eastAsiaTheme="minorEastAsia" w:cstheme="minorEastAsia"/>
                <w:sz w:val="18"/>
                <w:szCs w:val="18"/>
              </w:rPr>
            </w:pPr>
          </w:p>
        </w:tc>
        <w:tc>
          <w:tcPr>
            <w:tcW w:w="2374" w:type="dxa"/>
            <w:tcBorders>
              <w:right w:val="single" w:color="231F20" w:sz="4" w:space="0"/>
            </w:tcBorders>
          </w:tcPr>
          <w:p w14:paraId="3B19FD52">
            <w:pPr>
              <w:rPr>
                <w:rFonts w:asciiTheme="minorEastAsia" w:hAnsiTheme="minorEastAsia" w:eastAsiaTheme="minorEastAsia" w:cstheme="minorEastAsia"/>
                <w:sz w:val="18"/>
                <w:szCs w:val="18"/>
              </w:rPr>
            </w:pPr>
          </w:p>
        </w:tc>
      </w:tr>
      <w:tr w14:paraId="4825294E">
        <w:trPr>
          <w:trHeight w:val="356" w:hRule="atLeast"/>
        </w:trPr>
        <w:tc>
          <w:tcPr>
            <w:tcW w:w="4061" w:type="dxa"/>
            <w:tcBorders>
              <w:left w:val="single" w:color="231F20" w:sz="4" w:space="0"/>
            </w:tcBorders>
          </w:tcPr>
          <w:p w14:paraId="08FF8A49">
            <w:pPr>
              <w:pStyle w:val="11"/>
              <w:spacing w:before="100" w:line="207" w:lineRule="auto"/>
              <w:ind w:left="97"/>
              <w:rPr>
                <w:rFonts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pacing w:val="2"/>
                <w:sz w:val="18"/>
                <w:szCs w:val="18"/>
                <w:lang w:eastAsia="zh-CN"/>
              </w:rPr>
              <w:t>石灰石</w:t>
            </w:r>
          </w:p>
        </w:tc>
        <w:tc>
          <w:tcPr>
            <w:tcW w:w="647" w:type="dxa"/>
          </w:tcPr>
          <w:p w14:paraId="4E68BD01">
            <w:pPr>
              <w:rPr>
                <w:rFonts w:asciiTheme="minorEastAsia" w:hAnsiTheme="minorEastAsia" w:eastAsiaTheme="minorEastAsia" w:cstheme="minorEastAsia"/>
                <w:sz w:val="18"/>
                <w:szCs w:val="18"/>
              </w:rPr>
            </w:pPr>
          </w:p>
        </w:tc>
        <w:tc>
          <w:tcPr>
            <w:tcW w:w="583" w:type="dxa"/>
          </w:tcPr>
          <w:p w14:paraId="2327A8D4">
            <w:pPr>
              <w:rPr>
                <w:rFonts w:asciiTheme="minorEastAsia" w:hAnsiTheme="minorEastAsia" w:eastAsiaTheme="minorEastAsia" w:cstheme="minorEastAsia"/>
                <w:sz w:val="18"/>
                <w:szCs w:val="18"/>
              </w:rPr>
            </w:pPr>
          </w:p>
        </w:tc>
        <w:tc>
          <w:tcPr>
            <w:tcW w:w="550" w:type="dxa"/>
          </w:tcPr>
          <w:p w14:paraId="4384A236">
            <w:pPr>
              <w:rPr>
                <w:rFonts w:asciiTheme="minorEastAsia" w:hAnsiTheme="minorEastAsia" w:eastAsiaTheme="minorEastAsia" w:cstheme="minorEastAsia"/>
                <w:sz w:val="18"/>
                <w:szCs w:val="18"/>
              </w:rPr>
            </w:pPr>
          </w:p>
        </w:tc>
        <w:tc>
          <w:tcPr>
            <w:tcW w:w="973" w:type="dxa"/>
          </w:tcPr>
          <w:p w14:paraId="524FB93F">
            <w:pPr>
              <w:rPr>
                <w:rFonts w:asciiTheme="minorEastAsia" w:hAnsiTheme="minorEastAsia" w:eastAsiaTheme="minorEastAsia" w:cstheme="minorEastAsia"/>
                <w:sz w:val="18"/>
                <w:szCs w:val="18"/>
              </w:rPr>
            </w:pPr>
          </w:p>
        </w:tc>
        <w:tc>
          <w:tcPr>
            <w:tcW w:w="2374" w:type="dxa"/>
            <w:tcBorders>
              <w:right w:val="single" w:color="231F20" w:sz="4" w:space="0"/>
            </w:tcBorders>
          </w:tcPr>
          <w:p w14:paraId="5782989A">
            <w:pPr>
              <w:rPr>
                <w:rFonts w:asciiTheme="minorEastAsia" w:hAnsiTheme="minorEastAsia" w:eastAsiaTheme="minorEastAsia" w:cstheme="minorEastAsia"/>
                <w:sz w:val="18"/>
                <w:szCs w:val="18"/>
              </w:rPr>
            </w:pPr>
          </w:p>
        </w:tc>
      </w:tr>
      <w:tr w14:paraId="7592E135">
        <w:trPr>
          <w:trHeight w:val="356" w:hRule="atLeast"/>
        </w:trPr>
        <w:tc>
          <w:tcPr>
            <w:tcW w:w="4061" w:type="dxa"/>
            <w:tcBorders>
              <w:left w:val="single" w:color="231F20" w:sz="4" w:space="0"/>
            </w:tcBorders>
          </w:tcPr>
          <w:p w14:paraId="54AE7B9D">
            <w:pPr>
              <w:pStyle w:val="11"/>
              <w:spacing w:before="100" w:line="207" w:lineRule="auto"/>
              <w:ind w:left="95"/>
              <w:rPr>
                <w:rFonts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煤炭</w:t>
            </w:r>
          </w:p>
        </w:tc>
        <w:tc>
          <w:tcPr>
            <w:tcW w:w="647" w:type="dxa"/>
          </w:tcPr>
          <w:p w14:paraId="44C90D8D">
            <w:pPr>
              <w:rPr>
                <w:rFonts w:asciiTheme="minorEastAsia" w:hAnsiTheme="minorEastAsia" w:eastAsiaTheme="minorEastAsia" w:cstheme="minorEastAsia"/>
                <w:sz w:val="18"/>
                <w:szCs w:val="18"/>
              </w:rPr>
            </w:pPr>
          </w:p>
        </w:tc>
        <w:tc>
          <w:tcPr>
            <w:tcW w:w="583" w:type="dxa"/>
          </w:tcPr>
          <w:p w14:paraId="7019BA0E">
            <w:pPr>
              <w:rPr>
                <w:rFonts w:asciiTheme="minorEastAsia" w:hAnsiTheme="minorEastAsia" w:eastAsiaTheme="minorEastAsia" w:cstheme="minorEastAsia"/>
                <w:sz w:val="18"/>
                <w:szCs w:val="18"/>
              </w:rPr>
            </w:pPr>
          </w:p>
        </w:tc>
        <w:tc>
          <w:tcPr>
            <w:tcW w:w="550" w:type="dxa"/>
          </w:tcPr>
          <w:p w14:paraId="26039124">
            <w:pPr>
              <w:rPr>
                <w:rFonts w:asciiTheme="minorEastAsia" w:hAnsiTheme="minorEastAsia" w:eastAsiaTheme="minorEastAsia" w:cstheme="minorEastAsia"/>
                <w:sz w:val="18"/>
                <w:szCs w:val="18"/>
              </w:rPr>
            </w:pPr>
          </w:p>
        </w:tc>
        <w:tc>
          <w:tcPr>
            <w:tcW w:w="973" w:type="dxa"/>
          </w:tcPr>
          <w:p w14:paraId="71E3D4D6">
            <w:pPr>
              <w:rPr>
                <w:rFonts w:asciiTheme="minorEastAsia" w:hAnsiTheme="minorEastAsia" w:eastAsiaTheme="minorEastAsia" w:cstheme="minorEastAsia"/>
                <w:sz w:val="18"/>
                <w:szCs w:val="18"/>
              </w:rPr>
            </w:pPr>
          </w:p>
        </w:tc>
        <w:tc>
          <w:tcPr>
            <w:tcW w:w="2374" w:type="dxa"/>
            <w:tcBorders>
              <w:right w:val="single" w:color="231F20" w:sz="4" w:space="0"/>
            </w:tcBorders>
          </w:tcPr>
          <w:p w14:paraId="4C690FE0">
            <w:pPr>
              <w:rPr>
                <w:rFonts w:asciiTheme="minorEastAsia" w:hAnsiTheme="minorEastAsia" w:eastAsiaTheme="minorEastAsia" w:cstheme="minorEastAsia"/>
                <w:sz w:val="18"/>
                <w:szCs w:val="18"/>
              </w:rPr>
            </w:pPr>
          </w:p>
        </w:tc>
      </w:tr>
      <w:tr w14:paraId="074EEBA9">
        <w:trPr>
          <w:trHeight w:val="356" w:hRule="atLeast"/>
        </w:trPr>
        <w:tc>
          <w:tcPr>
            <w:tcW w:w="4061" w:type="dxa"/>
            <w:tcBorders>
              <w:left w:val="single" w:color="231F20" w:sz="4" w:space="0"/>
            </w:tcBorders>
          </w:tcPr>
          <w:p w14:paraId="1ED6B07B">
            <w:pPr>
              <w:pStyle w:val="11"/>
              <w:spacing w:before="100" w:line="207" w:lineRule="auto"/>
              <w:ind w:left="95"/>
              <w:rPr>
                <w:rFonts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焦炭</w:t>
            </w:r>
          </w:p>
        </w:tc>
        <w:tc>
          <w:tcPr>
            <w:tcW w:w="647" w:type="dxa"/>
          </w:tcPr>
          <w:p w14:paraId="2D3D2CD6">
            <w:pPr>
              <w:rPr>
                <w:rFonts w:asciiTheme="minorEastAsia" w:hAnsiTheme="minorEastAsia" w:eastAsiaTheme="minorEastAsia" w:cstheme="minorEastAsia"/>
                <w:sz w:val="18"/>
                <w:szCs w:val="18"/>
              </w:rPr>
            </w:pPr>
          </w:p>
        </w:tc>
        <w:tc>
          <w:tcPr>
            <w:tcW w:w="583" w:type="dxa"/>
          </w:tcPr>
          <w:p w14:paraId="1EEDD287">
            <w:pPr>
              <w:rPr>
                <w:rFonts w:asciiTheme="minorEastAsia" w:hAnsiTheme="minorEastAsia" w:eastAsiaTheme="minorEastAsia" w:cstheme="minorEastAsia"/>
                <w:sz w:val="18"/>
                <w:szCs w:val="18"/>
              </w:rPr>
            </w:pPr>
          </w:p>
        </w:tc>
        <w:tc>
          <w:tcPr>
            <w:tcW w:w="550" w:type="dxa"/>
          </w:tcPr>
          <w:p w14:paraId="24B25525">
            <w:pPr>
              <w:rPr>
                <w:rFonts w:asciiTheme="minorEastAsia" w:hAnsiTheme="minorEastAsia" w:eastAsiaTheme="minorEastAsia" w:cstheme="minorEastAsia"/>
                <w:sz w:val="18"/>
                <w:szCs w:val="18"/>
              </w:rPr>
            </w:pPr>
          </w:p>
        </w:tc>
        <w:tc>
          <w:tcPr>
            <w:tcW w:w="973" w:type="dxa"/>
          </w:tcPr>
          <w:p w14:paraId="68792695">
            <w:pPr>
              <w:rPr>
                <w:rFonts w:asciiTheme="minorEastAsia" w:hAnsiTheme="minorEastAsia" w:eastAsiaTheme="minorEastAsia" w:cstheme="minorEastAsia"/>
                <w:sz w:val="18"/>
                <w:szCs w:val="18"/>
              </w:rPr>
            </w:pPr>
          </w:p>
        </w:tc>
        <w:tc>
          <w:tcPr>
            <w:tcW w:w="2374" w:type="dxa"/>
            <w:tcBorders>
              <w:right w:val="single" w:color="231F20" w:sz="4" w:space="0"/>
            </w:tcBorders>
          </w:tcPr>
          <w:p w14:paraId="0ACA2089">
            <w:pPr>
              <w:rPr>
                <w:rFonts w:asciiTheme="minorEastAsia" w:hAnsiTheme="minorEastAsia" w:eastAsiaTheme="minorEastAsia" w:cstheme="minorEastAsia"/>
                <w:sz w:val="18"/>
                <w:szCs w:val="18"/>
              </w:rPr>
            </w:pPr>
          </w:p>
        </w:tc>
      </w:tr>
      <w:tr w14:paraId="394B98C1">
        <w:trPr>
          <w:trHeight w:val="356" w:hRule="atLeast"/>
        </w:trPr>
        <w:tc>
          <w:tcPr>
            <w:tcW w:w="4061" w:type="dxa"/>
            <w:tcBorders>
              <w:left w:val="single" w:color="231F20" w:sz="4" w:space="0"/>
            </w:tcBorders>
          </w:tcPr>
          <w:p w14:paraId="79B3553C">
            <w:pPr>
              <w:pStyle w:val="11"/>
              <w:spacing w:before="100" w:line="207" w:lineRule="auto"/>
              <w:ind w:left="95"/>
              <w:rPr>
                <w:rFonts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氨</w:t>
            </w:r>
          </w:p>
        </w:tc>
        <w:tc>
          <w:tcPr>
            <w:tcW w:w="647" w:type="dxa"/>
          </w:tcPr>
          <w:p w14:paraId="6FD9CA64">
            <w:pPr>
              <w:rPr>
                <w:rFonts w:asciiTheme="minorEastAsia" w:hAnsiTheme="minorEastAsia" w:eastAsiaTheme="minorEastAsia" w:cstheme="minorEastAsia"/>
                <w:sz w:val="18"/>
                <w:szCs w:val="18"/>
              </w:rPr>
            </w:pPr>
          </w:p>
        </w:tc>
        <w:tc>
          <w:tcPr>
            <w:tcW w:w="583" w:type="dxa"/>
          </w:tcPr>
          <w:p w14:paraId="1136583D">
            <w:pPr>
              <w:rPr>
                <w:rFonts w:asciiTheme="minorEastAsia" w:hAnsiTheme="minorEastAsia" w:eastAsiaTheme="minorEastAsia" w:cstheme="minorEastAsia"/>
                <w:sz w:val="18"/>
                <w:szCs w:val="18"/>
              </w:rPr>
            </w:pPr>
          </w:p>
        </w:tc>
        <w:tc>
          <w:tcPr>
            <w:tcW w:w="550" w:type="dxa"/>
          </w:tcPr>
          <w:p w14:paraId="6CE3E404">
            <w:pPr>
              <w:rPr>
                <w:rFonts w:asciiTheme="minorEastAsia" w:hAnsiTheme="minorEastAsia" w:eastAsiaTheme="minorEastAsia" w:cstheme="minorEastAsia"/>
                <w:sz w:val="18"/>
                <w:szCs w:val="18"/>
              </w:rPr>
            </w:pPr>
          </w:p>
        </w:tc>
        <w:tc>
          <w:tcPr>
            <w:tcW w:w="973" w:type="dxa"/>
          </w:tcPr>
          <w:p w14:paraId="7DAF4EB5">
            <w:pPr>
              <w:rPr>
                <w:rFonts w:asciiTheme="minorEastAsia" w:hAnsiTheme="minorEastAsia" w:eastAsiaTheme="minorEastAsia" w:cstheme="minorEastAsia"/>
                <w:sz w:val="18"/>
                <w:szCs w:val="18"/>
              </w:rPr>
            </w:pPr>
          </w:p>
        </w:tc>
        <w:tc>
          <w:tcPr>
            <w:tcW w:w="2374" w:type="dxa"/>
            <w:tcBorders>
              <w:right w:val="single" w:color="231F20" w:sz="4" w:space="0"/>
            </w:tcBorders>
          </w:tcPr>
          <w:p w14:paraId="496B6D44">
            <w:pPr>
              <w:rPr>
                <w:rFonts w:asciiTheme="minorEastAsia" w:hAnsiTheme="minorEastAsia" w:eastAsiaTheme="minorEastAsia" w:cstheme="minorEastAsia"/>
                <w:sz w:val="18"/>
                <w:szCs w:val="18"/>
              </w:rPr>
            </w:pPr>
          </w:p>
        </w:tc>
      </w:tr>
      <w:tr w14:paraId="36030418">
        <w:trPr>
          <w:trHeight w:val="356" w:hRule="atLeast"/>
        </w:trPr>
        <w:tc>
          <w:tcPr>
            <w:tcW w:w="4061" w:type="dxa"/>
            <w:tcBorders>
              <w:left w:val="single" w:color="231F20" w:sz="4" w:space="0"/>
            </w:tcBorders>
          </w:tcPr>
          <w:p w14:paraId="242FEFCB">
            <w:pPr>
              <w:pStyle w:val="11"/>
              <w:spacing w:before="106" w:line="183" w:lineRule="auto"/>
              <w:ind w:left="113"/>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pacing w:val="3"/>
                <w:sz w:val="18"/>
                <w:szCs w:val="18"/>
                <w:lang w:eastAsia="zh-CN"/>
              </w:rPr>
              <w:t>外购</w:t>
            </w:r>
            <w:r>
              <w:rPr>
                <w:rFonts w:hint="eastAsia" w:asciiTheme="minorEastAsia" w:hAnsiTheme="minorEastAsia" w:eastAsiaTheme="minorEastAsia" w:cstheme="minorEastAsia"/>
                <w:spacing w:val="3"/>
                <w:sz w:val="18"/>
                <w:szCs w:val="18"/>
              </w:rPr>
              <w:t>电力</w:t>
            </w:r>
          </w:p>
        </w:tc>
        <w:tc>
          <w:tcPr>
            <w:tcW w:w="647" w:type="dxa"/>
          </w:tcPr>
          <w:p w14:paraId="5E0F03C1">
            <w:pPr>
              <w:rPr>
                <w:rFonts w:asciiTheme="minorEastAsia" w:hAnsiTheme="minorEastAsia" w:eastAsiaTheme="minorEastAsia" w:cstheme="minorEastAsia"/>
                <w:sz w:val="18"/>
                <w:szCs w:val="18"/>
              </w:rPr>
            </w:pPr>
          </w:p>
        </w:tc>
        <w:tc>
          <w:tcPr>
            <w:tcW w:w="583" w:type="dxa"/>
          </w:tcPr>
          <w:p w14:paraId="010FE81F">
            <w:pPr>
              <w:rPr>
                <w:rFonts w:asciiTheme="minorEastAsia" w:hAnsiTheme="minorEastAsia" w:eastAsiaTheme="minorEastAsia" w:cstheme="minorEastAsia"/>
                <w:sz w:val="18"/>
                <w:szCs w:val="18"/>
              </w:rPr>
            </w:pPr>
          </w:p>
        </w:tc>
        <w:tc>
          <w:tcPr>
            <w:tcW w:w="550" w:type="dxa"/>
          </w:tcPr>
          <w:p w14:paraId="5A489B0B">
            <w:pPr>
              <w:rPr>
                <w:rFonts w:asciiTheme="minorEastAsia" w:hAnsiTheme="minorEastAsia" w:eastAsiaTheme="minorEastAsia" w:cstheme="minorEastAsia"/>
                <w:sz w:val="18"/>
                <w:szCs w:val="18"/>
              </w:rPr>
            </w:pPr>
          </w:p>
        </w:tc>
        <w:tc>
          <w:tcPr>
            <w:tcW w:w="973" w:type="dxa"/>
          </w:tcPr>
          <w:p w14:paraId="2E70CE2A">
            <w:pPr>
              <w:rPr>
                <w:rFonts w:asciiTheme="minorEastAsia" w:hAnsiTheme="minorEastAsia" w:eastAsiaTheme="minorEastAsia" w:cstheme="minorEastAsia"/>
                <w:sz w:val="18"/>
                <w:szCs w:val="18"/>
              </w:rPr>
            </w:pPr>
          </w:p>
        </w:tc>
        <w:tc>
          <w:tcPr>
            <w:tcW w:w="2374" w:type="dxa"/>
            <w:tcBorders>
              <w:right w:val="single" w:color="231F20" w:sz="4" w:space="0"/>
            </w:tcBorders>
          </w:tcPr>
          <w:p w14:paraId="38A1E60B">
            <w:pPr>
              <w:rPr>
                <w:rFonts w:asciiTheme="minorEastAsia" w:hAnsiTheme="minorEastAsia" w:eastAsiaTheme="minorEastAsia" w:cstheme="minorEastAsia"/>
                <w:sz w:val="18"/>
                <w:szCs w:val="18"/>
              </w:rPr>
            </w:pPr>
          </w:p>
        </w:tc>
      </w:tr>
      <w:tr w14:paraId="738513C6">
        <w:trPr>
          <w:trHeight w:val="356" w:hRule="atLeast"/>
        </w:trPr>
        <w:tc>
          <w:tcPr>
            <w:tcW w:w="4061" w:type="dxa"/>
            <w:tcBorders>
              <w:left w:val="single" w:color="231F20" w:sz="4" w:space="0"/>
            </w:tcBorders>
          </w:tcPr>
          <w:p w14:paraId="2CC0ED3A">
            <w:pPr>
              <w:pStyle w:val="11"/>
              <w:spacing w:before="101" w:line="207" w:lineRule="auto"/>
              <w:ind w:left="99"/>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pacing w:val="-2"/>
                <w:sz w:val="18"/>
                <w:szCs w:val="18"/>
                <w:lang w:eastAsia="zh-CN"/>
              </w:rPr>
              <w:t>自产电力</w:t>
            </w:r>
          </w:p>
        </w:tc>
        <w:tc>
          <w:tcPr>
            <w:tcW w:w="647" w:type="dxa"/>
          </w:tcPr>
          <w:p w14:paraId="0059A21E">
            <w:pPr>
              <w:rPr>
                <w:rFonts w:asciiTheme="minorEastAsia" w:hAnsiTheme="minorEastAsia" w:eastAsiaTheme="minorEastAsia" w:cstheme="minorEastAsia"/>
                <w:sz w:val="18"/>
                <w:szCs w:val="18"/>
              </w:rPr>
            </w:pPr>
          </w:p>
        </w:tc>
        <w:tc>
          <w:tcPr>
            <w:tcW w:w="583" w:type="dxa"/>
          </w:tcPr>
          <w:p w14:paraId="09ACF66D">
            <w:pPr>
              <w:rPr>
                <w:rFonts w:asciiTheme="minorEastAsia" w:hAnsiTheme="minorEastAsia" w:eastAsiaTheme="minorEastAsia" w:cstheme="minorEastAsia"/>
                <w:sz w:val="18"/>
                <w:szCs w:val="18"/>
              </w:rPr>
            </w:pPr>
          </w:p>
        </w:tc>
        <w:tc>
          <w:tcPr>
            <w:tcW w:w="550" w:type="dxa"/>
          </w:tcPr>
          <w:p w14:paraId="4B765671">
            <w:pPr>
              <w:rPr>
                <w:rFonts w:asciiTheme="minorEastAsia" w:hAnsiTheme="minorEastAsia" w:eastAsiaTheme="minorEastAsia" w:cstheme="minorEastAsia"/>
                <w:sz w:val="18"/>
                <w:szCs w:val="18"/>
              </w:rPr>
            </w:pPr>
          </w:p>
        </w:tc>
        <w:tc>
          <w:tcPr>
            <w:tcW w:w="973" w:type="dxa"/>
          </w:tcPr>
          <w:p w14:paraId="15DF00AA">
            <w:pPr>
              <w:rPr>
                <w:rFonts w:asciiTheme="minorEastAsia" w:hAnsiTheme="minorEastAsia" w:eastAsiaTheme="minorEastAsia" w:cstheme="minorEastAsia"/>
                <w:sz w:val="18"/>
                <w:szCs w:val="18"/>
              </w:rPr>
            </w:pPr>
          </w:p>
        </w:tc>
        <w:tc>
          <w:tcPr>
            <w:tcW w:w="2374" w:type="dxa"/>
            <w:tcBorders>
              <w:right w:val="single" w:color="231F20" w:sz="4" w:space="0"/>
            </w:tcBorders>
          </w:tcPr>
          <w:p w14:paraId="27293939">
            <w:pPr>
              <w:rPr>
                <w:rFonts w:asciiTheme="minorEastAsia" w:hAnsiTheme="minorEastAsia" w:eastAsiaTheme="minorEastAsia" w:cstheme="minorEastAsia"/>
                <w:sz w:val="18"/>
                <w:szCs w:val="18"/>
              </w:rPr>
            </w:pPr>
          </w:p>
        </w:tc>
      </w:tr>
      <w:tr w14:paraId="4D6CB9B8">
        <w:trPr>
          <w:trHeight w:val="356" w:hRule="atLeast"/>
        </w:trPr>
        <w:tc>
          <w:tcPr>
            <w:tcW w:w="4061" w:type="dxa"/>
            <w:tcBorders>
              <w:left w:val="single" w:color="231F20" w:sz="4" w:space="0"/>
            </w:tcBorders>
          </w:tcPr>
          <w:p w14:paraId="53548B7D">
            <w:pPr>
              <w:pStyle w:val="11"/>
              <w:spacing w:before="101" w:line="207" w:lineRule="auto"/>
              <w:ind w:left="99"/>
              <w:rPr>
                <w:rFonts w:asciiTheme="minorEastAsia" w:hAnsiTheme="minorEastAsia" w:eastAsiaTheme="minorEastAsia" w:cstheme="minorEastAsia"/>
                <w:spacing w:val="-2"/>
                <w:sz w:val="18"/>
                <w:szCs w:val="18"/>
                <w:lang w:eastAsia="zh-CN"/>
              </w:rPr>
            </w:pPr>
            <w:r>
              <w:rPr>
                <w:rFonts w:hint="eastAsia" w:asciiTheme="minorEastAsia" w:hAnsiTheme="minorEastAsia" w:eastAsiaTheme="minorEastAsia" w:cstheme="minorEastAsia"/>
                <w:spacing w:val="-2"/>
                <w:sz w:val="18"/>
                <w:szCs w:val="18"/>
                <w:lang w:eastAsia="zh-CN"/>
              </w:rPr>
              <w:t>外购</w:t>
            </w:r>
            <w:r>
              <w:rPr>
                <w:rFonts w:hint="eastAsia" w:asciiTheme="minorEastAsia" w:hAnsiTheme="minorEastAsia" w:eastAsiaTheme="minorEastAsia" w:cstheme="minorEastAsia"/>
                <w:spacing w:val="-2"/>
                <w:sz w:val="18"/>
                <w:szCs w:val="18"/>
              </w:rPr>
              <w:t>热力</w:t>
            </w:r>
          </w:p>
        </w:tc>
        <w:tc>
          <w:tcPr>
            <w:tcW w:w="647" w:type="dxa"/>
          </w:tcPr>
          <w:p w14:paraId="6D781E4A">
            <w:pPr>
              <w:rPr>
                <w:rFonts w:asciiTheme="minorEastAsia" w:hAnsiTheme="minorEastAsia" w:eastAsiaTheme="minorEastAsia" w:cstheme="minorEastAsia"/>
                <w:sz w:val="18"/>
                <w:szCs w:val="18"/>
              </w:rPr>
            </w:pPr>
          </w:p>
        </w:tc>
        <w:tc>
          <w:tcPr>
            <w:tcW w:w="583" w:type="dxa"/>
          </w:tcPr>
          <w:p w14:paraId="342EDB98">
            <w:pPr>
              <w:rPr>
                <w:rFonts w:asciiTheme="minorEastAsia" w:hAnsiTheme="minorEastAsia" w:eastAsiaTheme="minorEastAsia" w:cstheme="minorEastAsia"/>
                <w:sz w:val="18"/>
                <w:szCs w:val="18"/>
              </w:rPr>
            </w:pPr>
          </w:p>
        </w:tc>
        <w:tc>
          <w:tcPr>
            <w:tcW w:w="550" w:type="dxa"/>
          </w:tcPr>
          <w:p w14:paraId="04AB207A">
            <w:pPr>
              <w:rPr>
                <w:rFonts w:asciiTheme="minorEastAsia" w:hAnsiTheme="minorEastAsia" w:eastAsiaTheme="minorEastAsia" w:cstheme="minorEastAsia"/>
                <w:sz w:val="18"/>
                <w:szCs w:val="18"/>
              </w:rPr>
            </w:pPr>
          </w:p>
        </w:tc>
        <w:tc>
          <w:tcPr>
            <w:tcW w:w="973" w:type="dxa"/>
          </w:tcPr>
          <w:p w14:paraId="34099C06">
            <w:pPr>
              <w:rPr>
                <w:rFonts w:asciiTheme="minorEastAsia" w:hAnsiTheme="minorEastAsia" w:eastAsiaTheme="minorEastAsia" w:cstheme="minorEastAsia"/>
                <w:sz w:val="18"/>
                <w:szCs w:val="18"/>
              </w:rPr>
            </w:pPr>
          </w:p>
        </w:tc>
        <w:tc>
          <w:tcPr>
            <w:tcW w:w="2374" w:type="dxa"/>
            <w:tcBorders>
              <w:right w:val="single" w:color="231F20" w:sz="4" w:space="0"/>
            </w:tcBorders>
          </w:tcPr>
          <w:p w14:paraId="6FB35264">
            <w:pPr>
              <w:rPr>
                <w:rFonts w:asciiTheme="minorEastAsia" w:hAnsiTheme="minorEastAsia" w:eastAsiaTheme="minorEastAsia" w:cstheme="minorEastAsia"/>
                <w:sz w:val="18"/>
                <w:szCs w:val="18"/>
              </w:rPr>
            </w:pPr>
          </w:p>
        </w:tc>
      </w:tr>
      <w:tr w14:paraId="2DA7F837">
        <w:trPr>
          <w:trHeight w:val="356" w:hRule="atLeast"/>
        </w:trPr>
        <w:tc>
          <w:tcPr>
            <w:tcW w:w="4061" w:type="dxa"/>
            <w:tcBorders>
              <w:left w:val="single" w:color="231F20" w:sz="4" w:space="0"/>
            </w:tcBorders>
          </w:tcPr>
          <w:p w14:paraId="5F1D9731">
            <w:pPr>
              <w:pStyle w:val="11"/>
              <w:spacing w:before="101" w:line="207" w:lineRule="auto"/>
              <w:ind w:left="99"/>
              <w:rPr>
                <w:rFonts w:asciiTheme="minorEastAsia" w:hAnsiTheme="minorEastAsia" w:eastAsiaTheme="minorEastAsia" w:cstheme="minorEastAsia"/>
                <w:spacing w:val="-2"/>
                <w:sz w:val="18"/>
                <w:szCs w:val="18"/>
                <w:lang w:eastAsia="zh-CN"/>
              </w:rPr>
            </w:pPr>
            <w:r>
              <w:rPr>
                <w:rFonts w:hint="eastAsia" w:asciiTheme="minorEastAsia" w:hAnsiTheme="minorEastAsia" w:eastAsiaTheme="minorEastAsia" w:cstheme="minorEastAsia"/>
                <w:spacing w:val="-2"/>
                <w:sz w:val="18"/>
                <w:szCs w:val="18"/>
                <w:lang w:eastAsia="zh-CN"/>
              </w:rPr>
              <w:t>自产热力</w:t>
            </w:r>
          </w:p>
        </w:tc>
        <w:tc>
          <w:tcPr>
            <w:tcW w:w="647" w:type="dxa"/>
          </w:tcPr>
          <w:p w14:paraId="0D3E1A5B">
            <w:pPr>
              <w:rPr>
                <w:rFonts w:asciiTheme="minorEastAsia" w:hAnsiTheme="minorEastAsia" w:eastAsiaTheme="minorEastAsia" w:cstheme="minorEastAsia"/>
                <w:sz w:val="18"/>
                <w:szCs w:val="18"/>
              </w:rPr>
            </w:pPr>
          </w:p>
        </w:tc>
        <w:tc>
          <w:tcPr>
            <w:tcW w:w="583" w:type="dxa"/>
          </w:tcPr>
          <w:p w14:paraId="2285C996">
            <w:pPr>
              <w:rPr>
                <w:rFonts w:asciiTheme="minorEastAsia" w:hAnsiTheme="minorEastAsia" w:eastAsiaTheme="minorEastAsia" w:cstheme="minorEastAsia"/>
                <w:sz w:val="18"/>
                <w:szCs w:val="18"/>
              </w:rPr>
            </w:pPr>
          </w:p>
        </w:tc>
        <w:tc>
          <w:tcPr>
            <w:tcW w:w="550" w:type="dxa"/>
          </w:tcPr>
          <w:p w14:paraId="01933FA3">
            <w:pPr>
              <w:rPr>
                <w:rFonts w:asciiTheme="minorEastAsia" w:hAnsiTheme="minorEastAsia" w:eastAsiaTheme="minorEastAsia" w:cstheme="minorEastAsia"/>
                <w:sz w:val="18"/>
                <w:szCs w:val="18"/>
              </w:rPr>
            </w:pPr>
          </w:p>
        </w:tc>
        <w:tc>
          <w:tcPr>
            <w:tcW w:w="973" w:type="dxa"/>
          </w:tcPr>
          <w:p w14:paraId="08FCEFEA">
            <w:pPr>
              <w:rPr>
                <w:rFonts w:asciiTheme="minorEastAsia" w:hAnsiTheme="minorEastAsia" w:eastAsiaTheme="minorEastAsia" w:cstheme="minorEastAsia"/>
                <w:sz w:val="18"/>
                <w:szCs w:val="18"/>
              </w:rPr>
            </w:pPr>
          </w:p>
        </w:tc>
        <w:tc>
          <w:tcPr>
            <w:tcW w:w="2374" w:type="dxa"/>
            <w:tcBorders>
              <w:right w:val="single" w:color="231F20" w:sz="4" w:space="0"/>
            </w:tcBorders>
          </w:tcPr>
          <w:p w14:paraId="6A8C911D">
            <w:pPr>
              <w:rPr>
                <w:rFonts w:asciiTheme="minorEastAsia" w:hAnsiTheme="minorEastAsia" w:eastAsiaTheme="minorEastAsia" w:cstheme="minorEastAsia"/>
                <w:sz w:val="18"/>
                <w:szCs w:val="18"/>
              </w:rPr>
            </w:pPr>
          </w:p>
        </w:tc>
      </w:tr>
      <w:tr w14:paraId="2D938CC6">
        <w:trPr>
          <w:trHeight w:val="356" w:hRule="atLeast"/>
        </w:trPr>
        <w:tc>
          <w:tcPr>
            <w:tcW w:w="4061" w:type="dxa"/>
            <w:tcBorders>
              <w:left w:val="single" w:color="231F20" w:sz="4" w:space="0"/>
            </w:tcBorders>
          </w:tcPr>
          <w:p w14:paraId="1FEA1CB7">
            <w:pPr>
              <w:pStyle w:val="11"/>
              <w:spacing w:before="101" w:line="207" w:lineRule="auto"/>
              <w:ind w:left="99"/>
              <w:rPr>
                <w:rFonts w:asciiTheme="minorEastAsia" w:hAnsiTheme="minorEastAsia" w:eastAsiaTheme="minorEastAsia" w:cstheme="minorEastAsia"/>
                <w:spacing w:val="-2"/>
                <w:sz w:val="18"/>
                <w:szCs w:val="18"/>
                <w:lang w:eastAsia="zh-CN"/>
              </w:rPr>
            </w:pPr>
            <w:r>
              <w:rPr>
                <w:rFonts w:hint="eastAsia" w:asciiTheme="minorEastAsia" w:hAnsiTheme="minorEastAsia" w:eastAsiaTheme="minorEastAsia" w:cstheme="minorEastAsia"/>
                <w:spacing w:val="-2"/>
                <w:sz w:val="18"/>
                <w:szCs w:val="18"/>
                <w:lang w:eastAsia="zh-CN"/>
              </w:rPr>
              <w:t>余热</w:t>
            </w:r>
          </w:p>
        </w:tc>
        <w:tc>
          <w:tcPr>
            <w:tcW w:w="647" w:type="dxa"/>
          </w:tcPr>
          <w:p w14:paraId="735C5DF0">
            <w:pPr>
              <w:rPr>
                <w:rFonts w:asciiTheme="minorEastAsia" w:hAnsiTheme="minorEastAsia" w:eastAsiaTheme="minorEastAsia" w:cstheme="minorEastAsia"/>
                <w:sz w:val="18"/>
                <w:szCs w:val="18"/>
              </w:rPr>
            </w:pPr>
          </w:p>
        </w:tc>
        <w:tc>
          <w:tcPr>
            <w:tcW w:w="583" w:type="dxa"/>
          </w:tcPr>
          <w:p w14:paraId="398CA8A3">
            <w:pPr>
              <w:rPr>
                <w:rFonts w:asciiTheme="minorEastAsia" w:hAnsiTheme="minorEastAsia" w:eastAsiaTheme="minorEastAsia" w:cstheme="minorEastAsia"/>
                <w:sz w:val="18"/>
                <w:szCs w:val="18"/>
              </w:rPr>
            </w:pPr>
          </w:p>
        </w:tc>
        <w:tc>
          <w:tcPr>
            <w:tcW w:w="550" w:type="dxa"/>
          </w:tcPr>
          <w:p w14:paraId="642E5725">
            <w:pPr>
              <w:rPr>
                <w:rFonts w:asciiTheme="minorEastAsia" w:hAnsiTheme="minorEastAsia" w:eastAsiaTheme="minorEastAsia" w:cstheme="minorEastAsia"/>
                <w:sz w:val="18"/>
                <w:szCs w:val="18"/>
              </w:rPr>
            </w:pPr>
          </w:p>
        </w:tc>
        <w:tc>
          <w:tcPr>
            <w:tcW w:w="973" w:type="dxa"/>
          </w:tcPr>
          <w:p w14:paraId="60D20FCA">
            <w:pPr>
              <w:rPr>
                <w:rFonts w:asciiTheme="minorEastAsia" w:hAnsiTheme="minorEastAsia" w:eastAsiaTheme="minorEastAsia" w:cstheme="minorEastAsia"/>
                <w:sz w:val="18"/>
                <w:szCs w:val="18"/>
              </w:rPr>
            </w:pPr>
          </w:p>
        </w:tc>
        <w:tc>
          <w:tcPr>
            <w:tcW w:w="2374" w:type="dxa"/>
            <w:tcBorders>
              <w:right w:val="single" w:color="231F20" w:sz="4" w:space="0"/>
            </w:tcBorders>
          </w:tcPr>
          <w:p w14:paraId="75B4A10E">
            <w:pPr>
              <w:rPr>
                <w:rFonts w:asciiTheme="minorEastAsia" w:hAnsiTheme="minorEastAsia" w:eastAsiaTheme="minorEastAsia" w:cstheme="minorEastAsia"/>
                <w:sz w:val="18"/>
                <w:szCs w:val="18"/>
              </w:rPr>
            </w:pPr>
          </w:p>
        </w:tc>
      </w:tr>
      <w:tr w14:paraId="67F1DE85">
        <w:trPr>
          <w:trHeight w:val="356" w:hRule="atLeast"/>
        </w:trPr>
        <w:tc>
          <w:tcPr>
            <w:tcW w:w="4061" w:type="dxa"/>
            <w:tcBorders>
              <w:left w:val="single" w:color="231F20" w:sz="4" w:space="0"/>
            </w:tcBorders>
          </w:tcPr>
          <w:p w14:paraId="108C56FB">
            <w:pPr>
              <w:pStyle w:val="11"/>
              <w:spacing w:before="102" w:line="207" w:lineRule="auto"/>
              <w:ind w:left="96"/>
              <w:rPr>
                <w:rFonts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pacing w:val="6"/>
                <w:sz w:val="18"/>
                <w:szCs w:val="18"/>
                <w:lang w:eastAsia="zh-CN"/>
              </w:rPr>
              <w:t>柴油</w:t>
            </w:r>
          </w:p>
        </w:tc>
        <w:tc>
          <w:tcPr>
            <w:tcW w:w="647" w:type="dxa"/>
          </w:tcPr>
          <w:p w14:paraId="72F1A6DC">
            <w:pPr>
              <w:rPr>
                <w:rFonts w:asciiTheme="minorEastAsia" w:hAnsiTheme="minorEastAsia" w:eastAsiaTheme="minorEastAsia" w:cstheme="minorEastAsia"/>
                <w:sz w:val="18"/>
                <w:szCs w:val="18"/>
              </w:rPr>
            </w:pPr>
          </w:p>
        </w:tc>
        <w:tc>
          <w:tcPr>
            <w:tcW w:w="583" w:type="dxa"/>
          </w:tcPr>
          <w:p w14:paraId="3B9B314B">
            <w:pPr>
              <w:rPr>
                <w:rFonts w:asciiTheme="minorEastAsia" w:hAnsiTheme="minorEastAsia" w:eastAsiaTheme="minorEastAsia" w:cstheme="minorEastAsia"/>
                <w:sz w:val="18"/>
                <w:szCs w:val="18"/>
              </w:rPr>
            </w:pPr>
          </w:p>
        </w:tc>
        <w:tc>
          <w:tcPr>
            <w:tcW w:w="550" w:type="dxa"/>
          </w:tcPr>
          <w:p w14:paraId="4BBEEF53">
            <w:pPr>
              <w:rPr>
                <w:rFonts w:asciiTheme="minorEastAsia" w:hAnsiTheme="minorEastAsia" w:eastAsiaTheme="minorEastAsia" w:cstheme="minorEastAsia"/>
                <w:sz w:val="18"/>
                <w:szCs w:val="18"/>
              </w:rPr>
            </w:pPr>
          </w:p>
        </w:tc>
        <w:tc>
          <w:tcPr>
            <w:tcW w:w="973" w:type="dxa"/>
          </w:tcPr>
          <w:p w14:paraId="76F01E43">
            <w:pPr>
              <w:rPr>
                <w:rFonts w:asciiTheme="minorEastAsia" w:hAnsiTheme="minorEastAsia" w:eastAsiaTheme="minorEastAsia" w:cstheme="minorEastAsia"/>
                <w:sz w:val="18"/>
                <w:szCs w:val="18"/>
              </w:rPr>
            </w:pPr>
          </w:p>
        </w:tc>
        <w:tc>
          <w:tcPr>
            <w:tcW w:w="2374" w:type="dxa"/>
            <w:tcBorders>
              <w:right w:val="single" w:color="231F20" w:sz="4" w:space="0"/>
            </w:tcBorders>
          </w:tcPr>
          <w:p w14:paraId="74C5EBBE">
            <w:pPr>
              <w:rPr>
                <w:rFonts w:asciiTheme="minorEastAsia" w:hAnsiTheme="minorEastAsia" w:eastAsiaTheme="minorEastAsia" w:cstheme="minorEastAsia"/>
                <w:sz w:val="18"/>
                <w:szCs w:val="18"/>
              </w:rPr>
            </w:pPr>
          </w:p>
        </w:tc>
      </w:tr>
      <w:tr w14:paraId="05BA4DDD">
        <w:trPr>
          <w:trHeight w:val="356" w:hRule="atLeast"/>
        </w:trPr>
        <w:tc>
          <w:tcPr>
            <w:tcW w:w="4061" w:type="dxa"/>
            <w:tcBorders>
              <w:left w:val="single" w:color="231F20" w:sz="4" w:space="0"/>
            </w:tcBorders>
          </w:tcPr>
          <w:p w14:paraId="44F26FF4">
            <w:pPr>
              <w:pStyle w:val="11"/>
              <w:spacing w:before="106" w:line="183" w:lineRule="auto"/>
              <w:ind w:left="97"/>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pacing w:val="11"/>
                <w:sz w:val="18"/>
                <w:szCs w:val="18"/>
              </w:rPr>
              <w:t>输出</w:t>
            </w:r>
          </w:p>
        </w:tc>
        <w:tc>
          <w:tcPr>
            <w:tcW w:w="647" w:type="dxa"/>
          </w:tcPr>
          <w:p w14:paraId="23BDC31A">
            <w:pPr>
              <w:pStyle w:val="11"/>
              <w:spacing w:before="105" w:line="186" w:lineRule="auto"/>
              <w:ind w:left="97"/>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pacing w:val="11"/>
                <w:sz w:val="18"/>
                <w:szCs w:val="18"/>
              </w:rPr>
              <w:t>单位</w:t>
            </w:r>
          </w:p>
        </w:tc>
        <w:tc>
          <w:tcPr>
            <w:tcW w:w="583" w:type="dxa"/>
          </w:tcPr>
          <w:p w14:paraId="41F27FA8">
            <w:pPr>
              <w:pStyle w:val="11"/>
              <w:spacing w:before="106" w:line="182" w:lineRule="auto"/>
              <w:ind w:left="99"/>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pacing w:val="11"/>
                <w:sz w:val="18"/>
                <w:szCs w:val="18"/>
              </w:rPr>
              <w:t>数量</w:t>
            </w:r>
          </w:p>
        </w:tc>
        <w:tc>
          <w:tcPr>
            <w:tcW w:w="550" w:type="dxa"/>
          </w:tcPr>
          <w:p w14:paraId="0F182740">
            <w:pPr>
              <w:pStyle w:val="11"/>
              <w:spacing w:before="111" w:line="178" w:lineRule="auto"/>
              <w:ind w:left="10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pacing w:val="11"/>
                <w:sz w:val="18"/>
                <w:szCs w:val="18"/>
              </w:rPr>
              <w:t>运距</w:t>
            </w:r>
          </w:p>
        </w:tc>
        <w:tc>
          <w:tcPr>
            <w:tcW w:w="973" w:type="dxa"/>
          </w:tcPr>
          <w:p w14:paraId="2CA68636">
            <w:pPr>
              <w:pStyle w:val="11"/>
              <w:spacing w:before="106" w:line="183" w:lineRule="auto"/>
              <w:ind w:left="10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pacing w:val="15"/>
                <w:sz w:val="18"/>
                <w:szCs w:val="18"/>
              </w:rPr>
              <w:t>运输方式</w:t>
            </w:r>
          </w:p>
        </w:tc>
        <w:tc>
          <w:tcPr>
            <w:tcW w:w="2374" w:type="dxa"/>
            <w:tcBorders>
              <w:right w:val="single" w:color="231F20" w:sz="4" w:space="0"/>
            </w:tcBorders>
          </w:tcPr>
          <w:p w14:paraId="0B7795CB">
            <w:pPr>
              <w:pStyle w:val="11"/>
              <w:spacing w:before="84" w:line="228" w:lineRule="auto"/>
              <w:ind w:left="101"/>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pacing w:val="6"/>
                <w:sz w:val="18"/>
                <w:szCs w:val="18"/>
              </w:rPr>
              <w:t>规格</w:t>
            </w:r>
            <w:r>
              <w:rPr>
                <w:rFonts w:hint="eastAsia" w:asciiTheme="minorEastAsia" w:hAnsiTheme="minorEastAsia" w:eastAsiaTheme="minorEastAsia" w:cstheme="minorEastAsia"/>
                <w:spacing w:val="-21"/>
                <w:sz w:val="18"/>
                <w:szCs w:val="18"/>
              </w:rPr>
              <w:t xml:space="preserve"> </w:t>
            </w:r>
            <w:r>
              <w:rPr>
                <w:rFonts w:hint="eastAsia" w:asciiTheme="minorEastAsia" w:hAnsiTheme="minorEastAsia" w:eastAsiaTheme="minorEastAsia" w:cstheme="minorEastAsia"/>
                <w:spacing w:val="6"/>
                <w:sz w:val="18"/>
                <w:szCs w:val="18"/>
              </w:rPr>
              <w:t>、成分</w:t>
            </w:r>
            <w:r>
              <w:rPr>
                <w:rFonts w:hint="eastAsia" w:asciiTheme="minorEastAsia" w:hAnsiTheme="minorEastAsia" w:eastAsiaTheme="minorEastAsia" w:cstheme="minorEastAsia"/>
                <w:b/>
                <w:bCs/>
                <w:spacing w:val="6"/>
                <w:sz w:val="18"/>
                <w:szCs w:val="18"/>
              </w:rPr>
              <w:t>/</w:t>
            </w:r>
            <w:r>
              <w:rPr>
                <w:rFonts w:hint="eastAsia" w:asciiTheme="minorEastAsia" w:hAnsiTheme="minorEastAsia" w:eastAsiaTheme="minorEastAsia" w:cstheme="minorEastAsia"/>
                <w:spacing w:val="6"/>
                <w:sz w:val="18"/>
                <w:szCs w:val="18"/>
              </w:rPr>
              <w:t>去向</w:t>
            </w:r>
          </w:p>
        </w:tc>
      </w:tr>
      <w:tr w14:paraId="66ADF916">
        <w:trPr>
          <w:trHeight w:val="356" w:hRule="atLeast"/>
        </w:trPr>
        <w:tc>
          <w:tcPr>
            <w:tcW w:w="4061" w:type="dxa"/>
            <w:tcBorders>
              <w:left w:val="single" w:color="231F20" w:sz="4" w:space="0"/>
            </w:tcBorders>
          </w:tcPr>
          <w:p w14:paraId="5749C4D7">
            <w:pPr>
              <w:pStyle w:val="11"/>
              <w:spacing w:before="105" w:line="185" w:lineRule="auto"/>
              <w:ind w:left="97"/>
              <w:rPr>
                <w:rFonts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pacing w:val="11"/>
                <w:sz w:val="18"/>
                <w:szCs w:val="18"/>
                <w:lang w:eastAsia="zh-CN"/>
              </w:rPr>
              <w:t>纯碱</w:t>
            </w:r>
          </w:p>
        </w:tc>
        <w:tc>
          <w:tcPr>
            <w:tcW w:w="647" w:type="dxa"/>
          </w:tcPr>
          <w:p w14:paraId="441156BA">
            <w:pPr>
              <w:rPr>
                <w:rFonts w:asciiTheme="minorEastAsia" w:hAnsiTheme="minorEastAsia" w:eastAsiaTheme="minorEastAsia" w:cstheme="minorEastAsia"/>
                <w:sz w:val="18"/>
                <w:szCs w:val="18"/>
              </w:rPr>
            </w:pPr>
          </w:p>
        </w:tc>
        <w:tc>
          <w:tcPr>
            <w:tcW w:w="583" w:type="dxa"/>
          </w:tcPr>
          <w:p w14:paraId="6839099D">
            <w:pPr>
              <w:rPr>
                <w:rFonts w:asciiTheme="minorEastAsia" w:hAnsiTheme="minorEastAsia" w:eastAsiaTheme="minorEastAsia" w:cstheme="minorEastAsia"/>
                <w:sz w:val="18"/>
                <w:szCs w:val="18"/>
              </w:rPr>
            </w:pPr>
          </w:p>
        </w:tc>
        <w:tc>
          <w:tcPr>
            <w:tcW w:w="550" w:type="dxa"/>
          </w:tcPr>
          <w:p w14:paraId="6F32C963">
            <w:pPr>
              <w:rPr>
                <w:rFonts w:asciiTheme="minorEastAsia" w:hAnsiTheme="minorEastAsia" w:eastAsiaTheme="minorEastAsia" w:cstheme="minorEastAsia"/>
                <w:sz w:val="18"/>
                <w:szCs w:val="18"/>
              </w:rPr>
            </w:pPr>
          </w:p>
        </w:tc>
        <w:tc>
          <w:tcPr>
            <w:tcW w:w="973" w:type="dxa"/>
          </w:tcPr>
          <w:p w14:paraId="0A64D6C0">
            <w:pPr>
              <w:rPr>
                <w:rFonts w:asciiTheme="minorEastAsia" w:hAnsiTheme="minorEastAsia" w:eastAsiaTheme="minorEastAsia" w:cstheme="minorEastAsia"/>
                <w:sz w:val="18"/>
                <w:szCs w:val="18"/>
              </w:rPr>
            </w:pPr>
          </w:p>
        </w:tc>
        <w:tc>
          <w:tcPr>
            <w:tcW w:w="2374" w:type="dxa"/>
            <w:tcBorders>
              <w:right w:val="single" w:color="231F20" w:sz="4" w:space="0"/>
            </w:tcBorders>
          </w:tcPr>
          <w:p w14:paraId="598F39EC">
            <w:pPr>
              <w:rPr>
                <w:rFonts w:asciiTheme="minorEastAsia" w:hAnsiTheme="minorEastAsia" w:eastAsiaTheme="minorEastAsia" w:cstheme="minorEastAsia"/>
                <w:sz w:val="18"/>
                <w:szCs w:val="18"/>
              </w:rPr>
            </w:pPr>
          </w:p>
        </w:tc>
      </w:tr>
      <w:tr w14:paraId="3DEFC0A0">
        <w:trPr>
          <w:trHeight w:val="356" w:hRule="atLeast"/>
        </w:trPr>
        <w:tc>
          <w:tcPr>
            <w:tcW w:w="4061" w:type="dxa"/>
            <w:tcBorders>
              <w:left w:val="single" w:color="231F20" w:sz="4" w:space="0"/>
            </w:tcBorders>
          </w:tcPr>
          <w:p w14:paraId="3B399F7A">
            <w:pPr>
              <w:pStyle w:val="11"/>
              <w:spacing w:before="103" w:line="207" w:lineRule="auto"/>
              <w:ind w:left="98"/>
              <w:rPr>
                <w:rFonts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pacing w:val="-2"/>
                <w:sz w:val="18"/>
                <w:szCs w:val="18"/>
                <w:lang w:eastAsia="zh-CN"/>
              </w:rPr>
              <w:t>共生产品XX（如有）</w:t>
            </w:r>
          </w:p>
        </w:tc>
        <w:tc>
          <w:tcPr>
            <w:tcW w:w="647" w:type="dxa"/>
          </w:tcPr>
          <w:p w14:paraId="2CA7E709">
            <w:pPr>
              <w:rPr>
                <w:rFonts w:asciiTheme="minorEastAsia" w:hAnsiTheme="minorEastAsia" w:eastAsiaTheme="minorEastAsia" w:cstheme="minorEastAsia"/>
                <w:sz w:val="18"/>
                <w:szCs w:val="18"/>
                <w:lang w:eastAsia="zh-CN"/>
              </w:rPr>
            </w:pPr>
          </w:p>
        </w:tc>
        <w:tc>
          <w:tcPr>
            <w:tcW w:w="583" w:type="dxa"/>
          </w:tcPr>
          <w:p w14:paraId="40570455">
            <w:pPr>
              <w:rPr>
                <w:rFonts w:asciiTheme="minorEastAsia" w:hAnsiTheme="minorEastAsia" w:eastAsiaTheme="minorEastAsia" w:cstheme="minorEastAsia"/>
                <w:sz w:val="18"/>
                <w:szCs w:val="18"/>
                <w:lang w:eastAsia="zh-CN"/>
              </w:rPr>
            </w:pPr>
          </w:p>
        </w:tc>
        <w:tc>
          <w:tcPr>
            <w:tcW w:w="550" w:type="dxa"/>
          </w:tcPr>
          <w:p w14:paraId="654E1654">
            <w:pPr>
              <w:rPr>
                <w:rFonts w:asciiTheme="minorEastAsia" w:hAnsiTheme="minorEastAsia" w:eastAsiaTheme="minorEastAsia" w:cstheme="minorEastAsia"/>
                <w:sz w:val="18"/>
                <w:szCs w:val="18"/>
                <w:lang w:eastAsia="zh-CN"/>
              </w:rPr>
            </w:pPr>
          </w:p>
        </w:tc>
        <w:tc>
          <w:tcPr>
            <w:tcW w:w="973" w:type="dxa"/>
          </w:tcPr>
          <w:p w14:paraId="7FBB9277">
            <w:pPr>
              <w:rPr>
                <w:rFonts w:asciiTheme="minorEastAsia" w:hAnsiTheme="minorEastAsia" w:eastAsiaTheme="minorEastAsia" w:cstheme="minorEastAsia"/>
                <w:sz w:val="18"/>
                <w:szCs w:val="18"/>
                <w:lang w:eastAsia="zh-CN"/>
              </w:rPr>
            </w:pPr>
          </w:p>
        </w:tc>
        <w:tc>
          <w:tcPr>
            <w:tcW w:w="2374" w:type="dxa"/>
            <w:tcBorders>
              <w:right w:val="single" w:color="231F20" w:sz="4" w:space="0"/>
            </w:tcBorders>
          </w:tcPr>
          <w:p w14:paraId="59EEEC65">
            <w:pPr>
              <w:rPr>
                <w:rFonts w:asciiTheme="minorEastAsia" w:hAnsiTheme="minorEastAsia" w:eastAsiaTheme="minorEastAsia" w:cstheme="minorEastAsia"/>
                <w:sz w:val="18"/>
                <w:szCs w:val="18"/>
                <w:lang w:eastAsia="zh-CN"/>
              </w:rPr>
            </w:pPr>
          </w:p>
        </w:tc>
      </w:tr>
      <w:tr w14:paraId="1F293C42">
        <w:trPr>
          <w:trHeight w:val="356" w:hRule="atLeast"/>
        </w:trPr>
        <w:tc>
          <w:tcPr>
            <w:tcW w:w="4061" w:type="dxa"/>
            <w:tcBorders>
              <w:left w:val="single" w:color="231F20" w:sz="4" w:space="0"/>
            </w:tcBorders>
          </w:tcPr>
          <w:p w14:paraId="31BD7D1D">
            <w:pPr>
              <w:pStyle w:val="11"/>
              <w:spacing w:before="103" w:line="207" w:lineRule="auto"/>
              <w:ind w:left="98"/>
              <w:rPr>
                <w:rFonts w:asciiTheme="minorEastAsia" w:hAnsiTheme="minorEastAsia" w:eastAsiaTheme="minorEastAsia" w:cstheme="minorEastAsia"/>
                <w:spacing w:val="-2"/>
                <w:sz w:val="18"/>
                <w:szCs w:val="18"/>
                <w:lang w:eastAsia="zh-CN"/>
              </w:rPr>
            </w:pPr>
            <w:r>
              <w:rPr>
                <w:rFonts w:hint="eastAsia" w:asciiTheme="minorEastAsia" w:hAnsiTheme="minorEastAsia" w:eastAsiaTheme="minorEastAsia" w:cstheme="minorEastAsia"/>
                <w:spacing w:val="-2"/>
                <w:sz w:val="18"/>
                <w:szCs w:val="18"/>
                <w:lang w:eastAsia="zh-CN"/>
              </w:rPr>
              <w:t>废渣</w:t>
            </w:r>
          </w:p>
        </w:tc>
        <w:tc>
          <w:tcPr>
            <w:tcW w:w="647" w:type="dxa"/>
          </w:tcPr>
          <w:p w14:paraId="4D7583D9">
            <w:pPr>
              <w:rPr>
                <w:rFonts w:asciiTheme="minorEastAsia" w:hAnsiTheme="minorEastAsia" w:eastAsiaTheme="minorEastAsia" w:cstheme="minorEastAsia"/>
                <w:sz w:val="18"/>
                <w:szCs w:val="18"/>
              </w:rPr>
            </w:pPr>
          </w:p>
        </w:tc>
        <w:tc>
          <w:tcPr>
            <w:tcW w:w="583" w:type="dxa"/>
          </w:tcPr>
          <w:p w14:paraId="304FEC28">
            <w:pPr>
              <w:rPr>
                <w:rFonts w:asciiTheme="minorEastAsia" w:hAnsiTheme="minorEastAsia" w:eastAsiaTheme="minorEastAsia" w:cstheme="minorEastAsia"/>
                <w:sz w:val="18"/>
                <w:szCs w:val="18"/>
              </w:rPr>
            </w:pPr>
          </w:p>
        </w:tc>
        <w:tc>
          <w:tcPr>
            <w:tcW w:w="550" w:type="dxa"/>
          </w:tcPr>
          <w:p w14:paraId="05238996">
            <w:pPr>
              <w:rPr>
                <w:rFonts w:asciiTheme="minorEastAsia" w:hAnsiTheme="minorEastAsia" w:eastAsiaTheme="minorEastAsia" w:cstheme="minorEastAsia"/>
                <w:sz w:val="18"/>
                <w:szCs w:val="18"/>
              </w:rPr>
            </w:pPr>
          </w:p>
        </w:tc>
        <w:tc>
          <w:tcPr>
            <w:tcW w:w="973" w:type="dxa"/>
          </w:tcPr>
          <w:p w14:paraId="3F61E4CF">
            <w:pPr>
              <w:rPr>
                <w:rFonts w:asciiTheme="minorEastAsia" w:hAnsiTheme="minorEastAsia" w:eastAsiaTheme="minorEastAsia" w:cstheme="minorEastAsia"/>
                <w:sz w:val="18"/>
                <w:szCs w:val="18"/>
              </w:rPr>
            </w:pPr>
          </w:p>
        </w:tc>
        <w:tc>
          <w:tcPr>
            <w:tcW w:w="2374" w:type="dxa"/>
            <w:tcBorders>
              <w:right w:val="single" w:color="231F20" w:sz="4" w:space="0"/>
            </w:tcBorders>
          </w:tcPr>
          <w:p w14:paraId="29939E36">
            <w:pPr>
              <w:rPr>
                <w:rFonts w:asciiTheme="minorEastAsia" w:hAnsiTheme="minorEastAsia" w:eastAsiaTheme="minorEastAsia" w:cstheme="minorEastAsia"/>
                <w:sz w:val="18"/>
                <w:szCs w:val="18"/>
              </w:rPr>
            </w:pPr>
          </w:p>
        </w:tc>
      </w:tr>
      <w:tr w14:paraId="35E3921F">
        <w:trPr>
          <w:trHeight w:val="356" w:hRule="atLeast"/>
        </w:trPr>
        <w:tc>
          <w:tcPr>
            <w:tcW w:w="4061" w:type="dxa"/>
            <w:tcBorders>
              <w:left w:val="single" w:color="231F20" w:sz="4" w:space="0"/>
            </w:tcBorders>
          </w:tcPr>
          <w:p w14:paraId="0BF98420">
            <w:pPr>
              <w:pStyle w:val="11"/>
              <w:spacing w:before="103" w:line="207" w:lineRule="auto"/>
              <w:ind w:left="98"/>
              <w:rPr>
                <w:rFonts w:asciiTheme="minorEastAsia" w:hAnsiTheme="minorEastAsia" w:eastAsiaTheme="minorEastAsia" w:cstheme="minorEastAsia"/>
                <w:spacing w:val="-2"/>
                <w:sz w:val="18"/>
                <w:szCs w:val="18"/>
                <w:lang w:eastAsia="zh-CN"/>
              </w:rPr>
            </w:pPr>
            <w:r>
              <w:rPr>
                <w:rFonts w:hint="eastAsia" w:asciiTheme="minorEastAsia" w:hAnsiTheme="minorEastAsia" w:eastAsiaTheme="minorEastAsia" w:cstheme="minorEastAsia"/>
                <w:spacing w:val="-2"/>
                <w:sz w:val="18"/>
                <w:szCs w:val="18"/>
                <w:lang w:eastAsia="zh-CN"/>
              </w:rPr>
              <w:t>危废</w:t>
            </w:r>
          </w:p>
        </w:tc>
        <w:tc>
          <w:tcPr>
            <w:tcW w:w="647" w:type="dxa"/>
          </w:tcPr>
          <w:p w14:paraId="7E4E726C">
            <w:pPr>
              <w:rPr>
                <w:rFonts w:asciiTheme="minorEastAsia" w:hAnsiTheme="minorEastAsia" w:eastAsiaTheme="minorEastAsia" w:cstheme="minorEastAsia"/>
                <w:sz w:val="18"/>
                <w:szCs w:val="18"/>
              </w:rPr>
            </w:pPr>
          </w:p>
        </w:tc>
        <w:tc>
          <w:tcPr>
            <w:tcW w:w="583" w:type="dxa"/>
          </w:tcPr>
          <w:p w14:paraId="22889F49">
            <w:pPr>
              <w:rPr>
                <w:rFonts w:asciiTheme="minorEastAsia" w:hAnsiTheme="minorEastAsia" w:eastAsiaTheme="minorEastAsia" w:cstheme="minorEastAsia"/>
                <w:sz w:val="18"/>
                <w:szCs w:val="18"/>
              </w:rPr>
            </w:pPr>
          </w:p>
        </w:tc>
        <w:tc>
          <w:tcPr>
            <w:tcW w:w="550" w:type="dxa"/>
          </w:tcPr>
          <w:p w14:paraId="6E536558">
            <w:pPr>
              <w:rPr>
                <w:rFonts w:asciiTheme="minorEastAsia" w:hAnsiTheme="minorEastAsia" w:eastAsiaTheme="minorEastAsia" w:cstheme="minorEastAsia"/>
                <w:sz w:val="18"/>
                <w:szCs w:val="18"/>
              </w:rPr>
            </w:pPr>
          </w:p>
        </w:tc>
        <w:tc>
          <w:tcPr>
            <w:tcW w:w="973" w:type="dxa"/>
          </w:tcPr>
          <w:p w14:paraId="1063D928">
            <w:pPr>
              <w:rPr>
                <w:rFonts w:asciiTheme="minorEastAsia" w:hAnsiTheme="minorEastAsia" w:eastAsiaTheme="minorEastAsia" w:cstheme="minorEastAsia"/>
                <w:sz w:val="18"/>
                <w:szCs w:val="18"/>
              </w:rPr>
            </w:pPr>
          </w:p>
        </w:tc>
        <w:tc>
          <w:tcPr>
            <w:tcW w:w="2374" w:type="dxa"/>
            <w:tcBorders>
              <w:right w:val="single" w:color="231F20" w:sz="4" w:space="0"/>
            </w:tcBorders>
          </w:tcPr>
          <w:p w14:paraId="618E947E">
            <w:pPr>
              <w:rPr>
                <w:rFonts w:asciiTheme="minorEastAsia" w:hAnsiTheme="minorEastAsia" w:eastAsiaTheme="minorEastAsia" w:cstheme="minorEastAsia"/>
                <w:sz w:val="18"/>
                <w:szCs w:val="18"/>
              </w:rPr>
            </w:pPr>
          </w:p>
        </w:tc>
      </w:tr>
      <w:tr w14:paraId="599AF04A">
        <w:trPr>
          <w:trHeight w:val="356" w:hRule="atLeast"/>
        </w:trPr>
        <w:tc>
          <w:tcPr>
            <w:tcW w:w="4061" w:type="dxa"/>
            <w:tcBorders>
              <w:left w:val="single" w:color="231F20" w:sz="4" w:space="0"/>
            </w:tcBorders>
          </w:tcPr>
          <w:p w14:paraId="76697BC3">
            <w:pPr>
              <w:pStyle w:val="11"/>
              <w:spacing w:before="103" w:line="207" w:lineRule="auto"/>
              <w:ind w:left="98"/>
              <w:rPr>
                <w:rFonts w:asciiTheme="minorEastAsia" w:hAnsiTheme="minorEastAsia" w:eastAsiaTheme="minorEastAsia" w:cstheme="minorEastAsia"/>
                <w:spacing w:val="-2"/>
                <w:sz w:val="18"/>
                <w:szCs w:val="18"/>
                <w:lang w:eastAsia="zh-CN"/>
              </w:rPr>
            </w:pPr>
            <w:r>
              <w:rPr>
                <w:rFonts w:hint="eastAsia" w:asciiTheme="minorEastAsia" w:hAnsiTheme="minorEastAsia" w:eastAsiaTheme="minorEastAsia" w:cstheme="minorEastAsia"/>
                <w:spacing w:val="-2"/>
                <w:sz w:val="18"/>
                <w:szCs w:val="18"/>
                <w:lang w:eastAsia="zh-CN"/>
              </w:rPr>
              <w:t>废水</w:t>
            </w:r>
          </w:p>
        </w:tc>
        <w:tc>
          <w:tcPr>
            <w:tcW w:w="647" w:type="dxa"/>
          </w:tcPr>
          <w:p w14:paraId="47BDD323">
            <w:pPr>
              <w:rPr>
                <w:rFonts w:asciiTheme="minorEastAsia" w:hAnsiTheme="minorEastAsia" w:eastAsiaTheme="minorEastAsia" w:cstheme="minorEastAsia"/>
                <w:sz w:val="18"/>
                <w:szCs w:val="18"/>
              </w:rPr>
            </w:pPr>
          </w:p>
        </w:tc>
        <w:tc>
          <w:tcPr>
            <w:tcW w:w="583" w:type="dxa"/>
          </w:tcPr>
          <w:p w14:paraId="5859C3C0">
            <w:pPr>
              <w:rPr>
                <w:rFonts w:asciiTheme="minorEastAsia" w:hAnsiTheme="minorEastAsia" w:eastAsiaTheme="minorEastAsia" w:cstheme="minorEastAsia"/>
                <w:sz w:val="18"/>
                <w:szCs w:val="18"/>
              </w:rPr>
            </w:pPr>
          </w:p>
        </w:tc>
        <w:tc>
          <w:tcPr>
            <w:tcW w:w="550" w:type="dxa"/>
          </w:tcPr>
          <w:p w14:paraId="06B77505">
            <w:pPr>
              <w:rPr>
                <w:rFonts w:asciiTheme="minorEastAsia" w:hAnsiTheme="minorEastAsia" w:eastAsiaTheme="minorEastAsia" w:cstheme="minorEastAsia"/>
                <w:sz w:val="18"/>
                <w:szCs w:val="18"/>
              </w:rPr>
            </w:pPr>
          </w:p>
        </w:tc>
        <w:tc>
          <w:tcPr>
            <w:tcW w:w="973" w:type="dxa"/>
          </w:tcPr>
          <w:p w14:paraId="4710F33E">
            <w:pPr>
              <w:rPr>
                <w:rFonts w:asciiTheme="minorEastAsia" w:hAnsiTheme="minorEastAsia" w:eastAsiaTheme="minorEastAsia" w:cstheme="minorEastAsia"/>
                <w:sz w:val="18"/>
                <w:szCs w:val="18"/>
              </w:rPr>
            </w:pPr>
          </w:p>
        </w:tc>
        <w:tc>
          <w:tcPr>
            <w:tcW w:w="2374" w:type="dxa"/>
            <w:tcBorders>
              <w:right w:val="single" w:color="231F20" w:sz="4" w:space="0"/>
            </w:tcBorders>
          </w:tcPr>
          <w:p w14:paraId="705074BA">
            <w:pPr>
              <w:rPr>
                <w:rFonts w:asciiTheme="minorEastAsia" w:hAnsiTheme="minorEastAsia" w:eastAsiaTheme="minorEastAsia" w:cstheme="minorEastAsia"/>
                <w:sz w:val="18"/>
                <w:szCs w:val="18"/>
              </w:rPr>
            </w:pPr>
          </w:p>
        </w:tc>
      </w:tr>
      <w:tr w14:paraId="61FAB6F2">
        <w:trPr>
          <w:trHeight w:val="356" w:hRule="atLeast"/>
        </w:trPr>
        <w:tc>
          <w:tcPr>
            <w:tcW w:w="4061" w:type="dxa"/>
            <w:tcBorders>
              <w:left w:val="single" w:color="231F20" w:sz="4" w:space="0"/>
            </w:tcBorders>
          </w:tcPr>
          <w:p w14:paraId="2801364E">
            <w:pPr>
              <w:pStyle w:val="11"/>
              <w:spacing w:before="103" w:line="207" w:lineRule="auto"/>
              <w:ind w:left="98"/>
              <w:rPr>
                <w:rFonts w:asciiTheme="minorEastAsia" w:hAnsiTheme="minorEastAsia" w:eastAsiaTheme="minorEastAsia" w:cstheme="minorEastAsia"/>
                <w:spacing w:val="-2"/>
                <w:sz w:val="18"/>
                <w:szCs w:val="18"/>
                <w:lang w:eastAsia="zh-CN"/>
              </w:rPr>
            </w:pPr>
            <w:r>
              <w:rPr>
                <w:rFonts w:hint="eastAsia" w:asciiTheme="minorEastAsia" w:hAnsiTheme="minorEastAsia" w:eastAsiaTheme="minorEastAsia" w:cstheme="minorEastAsia"/>
                <w:spacing w:val="-2"/>
                <w:sz w:val="18"/>
                <w:szCs w:val="18"/>
                <w:lang w:eastAsia="zh-CN"/>
              </w:rPr>
              <w:t>废气</w:t>
            </w:r>
          </w:p>
        </w:tc>
        <w:tc>
          <w:tcPr>
            <w:tcW w:w="647" w:type="dxa"/>
          </w:tcPr>
          <w:p w14:paraId="518D05A2">
            <w:pPr>
              <w:rPr>
                <w:rFonts w:asciiTheme="minorEastAsia" w:hAnsiTheme="minorEastAsia" w:eastAsiaTheme="minorEastAsia" w:cstheme="minorEastAsia"/>
                <w:sz w:val="18"/>
                <w:szCs w:val="18"/>
              </w:rPr>
            </w:pPr>
          </w:p>
        </w:tc>
        <w:tc>
          <w:tcPr>
            <w:tcW w:w="583" w:type="dxa"/>
          </w:tcPr>
          <w:p w14:paraId="2A1DF3A4">
            <w:pPr>
              <w:rPr>
                <w:rFonts w:asciiTheme="minorEastAsia" w:hAnsiTheme="minorEastAsia" w:eastAsiaTheme="minorEastAsia" w:cstheme="minorEastAsia"/>
                <w:sz w:val="18"/>
                <w:szCs w:val="18"/>
              </w:rPr>
            </w:pPr>
          </w:p>
        </w:tc>
        <w:tc>
          <w:tcPr>
            <w:tcW w:w="550" w:type="dxa"/>
          </w:tcPr>
          <w:p w14:paraId="5A18A19C">
            <w:pPr>
              <w:rPr>
                <w:rFonts w:asciiTheme="minorEastAsia" w:hAnsiTheme="minorEastAsia" w:eastAsiaTheme="minorEastAsia" w:cstheme="minorEastAsia"/>
                <w:sz w:val="18"/>
                <w:szCs w:val="18"/>
              </w:rPr>
            </w:pPr>
          </w:p>
        </w:tc>
        <w:tc>
          <w:tcPr>
            <w:tcW w:w="973" w:type="dxa"/>
          </w:tcPr>
          <w:p w14:paraId="7DFCBF00">
            <w:pPr>
              <w:rPr>
                <w:rFonts w:asciiTheme="minorEastAsia" w:hAnsiTheme="minorEastAsia" w:eastAsiaTheme="minorEastAsia" w:cstheme="minorEastAsia"/>
                <w:sz w:val="18"/>
                <w:szCs w:val="18"/>
              </w:rPr>
            </w:pPr>
          </w:p>
        </w:tc>
        <w:tc>
          <w:tcPr>
            <w:tcW w:w="2374" w:type="dxa"/>
            <w:tcBorders>
              <w:right w:val="single" w:color="231F20" w:sz="4" w:space="0"/>
            </w:tcBorders>
          </w:tcPr>
          <w:p w14:paraId="64386154">
            <w:pPr>
              <w:rPr>
                <w:rFonts w:asciiTheme="minorEastAsia" w:hAnsiTheme="minorEastAsia" w:eastAsiaTheme="minorEastAsia" w:cstheme="minorEastAsia"/>
                <w:sz w:val="18"/>
                <w:szCs w:val="18"/>
              </w:rPr>
            </w:pPr>
          </w:p>
        </w:tc>
      </w:tr>
      <w:tr w14:paraId="0755F108">
        <w:trPr>
          <w:trHeight w:val="356" w:hRule="atLeast"/>
        </w:trPr>
        <w:tc>
          <w:tcPr>
            <w:tcW w:w="4061" w:type="dxa"/>
            <w:tcBorders>
              <w:left w:val="single" w:color="231F20" w:sz="4" w:space="0"/>
            </w:tcBorders>
          </w:tcPr>
          <w:p w14:paraId="6A493D2D">
            <w:pPr>
              <w:pStyle w:val="11"/>
              <w:spacing w:before="96" w:line="213" w:lineRule="auto"/>
              <w:ind w:left="100"/>
              <w:rPr>
                <w:rFonts w:asciiTheme="minorEastAsia" w:hAnsiTheme="minorEastAsia" w:eastAsiaTheme="minorEastAsia" w:cstheme="minorEastAsia"/>
                <w:spacing w:val="10"/>
                <w:sz w:val="18"/>
                <w:szCs w:val="18"/>
                <w:lang w:eastAsia="zh-CN"/>
              </w:rPr>
            </w:pPr>
            <w:r>
              <w:rPr>
                <w:rFonts w:hint="eastAsia" w:asciiTheme="minorEastAsia" w:hAnsiTheme="minorEastAsia" w:eastAsiaTheme="minorEastAsia" w:cstheme="minorEastAsia"/>
                <w:spacing w:val="10"/>
                <w:sz w:val="18"/>
                <w:szCs w:val="18"/>
                <w:lang w:eastAsia="zh-CN"/>
              </w:rPr>
              <w:t>温室气体直接排放（燃料燃烧）</w:t>
            </w:r>
          </w:p>
        </w:tc>
        <w:tc>
          <w:tcPr>
            <w:tcW w:w="647" w:type="dxa"/>
          </w:tcPr>
          <w:p w14:paraId="16BCCA55">
            <w:pPr>
              <w:rPr>
                <w:rFonts w:asciiTheme="minorEastAsia" w:hAnsiTheme="minorEastAsia" w:eastAsiaTheme="minorEastAsia" w:cstheme="minorEastAsia"/>
                <w:sz w:val="18"/>
                <w:szCs w:val="18"/>
                <w:lang w:eastAsia="zh-CN"/>
              </w:rPr>
            </w:pPr>
          </w:p>
        </w:tc>
        <w:tc>
          <w:tcPr>
            <w:tcW w:w="583" w:type="dxa"/>
          </w:tcPr>
          <w:p w14:paraId="63AAD054">
            <w:pPr>
              <w:rPr>
                <w:rFonts w:asciiTheme="minorEastAsia" w:hAnsiTheme="minorEastAsia" w:eastAsiaTheme="minorEastAsia" w:cstheme="minorEastAsia"/>
                <w:sz w:val="18"/>
                <w:szCs w:val="18"/>
                <w:lang w:eastAsia="zh-CN"/>
              </w:rPr>
            </w:pPr>
          </w:p>
        </w:tc>
        <w:tc>
          <w:tcPr>
            <w:tcW w:w="550" w:type="dxa"/>
          </w:tcPr>
          <w:p w14:paraId="2B072239">
            <w:pPr>
              <w:rPr>
                <w:rFonts w:asciiTheme="minorEastAsia" w:hAnsiTheme="minorEastAsia" w:eastAsiaTheme="minorEastAsia" w:cstheme="minorEastAsia"/>
                <w:sz w:val="18"/>
                <w:szCs w:val="18"/>
                <w:lang w:eastAsia="zh-CN"/>
              </w:rPr>
            </w:pPr>
          </w:p>
        </w:tc>
        <w:tc>
          <w:tcPr>
            <w:tcW w:w="973" w:type="dxa"/>
          </w:tcPr>
          <w:p w14:paraId="4BB8BA46">
            <w:pPr>
              <w:rPr>
                <w:rFonts w:asciiTheme="minorEastAsia" w:hAnsiTheme="minorEastAsia" w:eastAsiaTheme="minorEastAsia" w:cstheme="minorEastAsia"/>
                <w:sz w:val="18"/>
                <w:szCs w:val="18"/>
                <w:lang w:eastAsia="zh-CN"/>
              </w:rPr>
            </w:pPr>
          </w:p>
        </w:tc>
        <w:tc>
          <w:tcPr>
            <w:tcW w:w="2374" w:type="dxa"/>
            <w:tcBorders>
              <w:right w:val="single" w:color="231F20" w:sz="4" w:space="0"/>
            </w:tcBorders>
          </w:tcPr>
          <w:p w14:paraId="08CEF9E8">
            <w:pPr>
              <w:rPr>
                <w:rFonts w:asciiTheme="minorEastAsia" w:hAnsiTheme="minorEastAsia" w:eastAsiaTheme="minorEastAsia" w:cstheme="minorEastAsia"/>
                <w:sz w:val="18"/>
                <w:szCs w:val="18"/>
                <w:lang w:eastAsia="zh-CN"/>
              </w:rPr>
            </w:pPr>
          </w:p>
        </w:tc>
      </w:tr>
      <w:tr w14:paraId="2189F7F0">
        <w:trPr>
          <w:trHeight w:val="356" w:hRule="atLeast"/>
        </w:trPr>
        <w:tc>
          <w:tcPr>
            <w:tcW w:w="4061" w:type="dxa"/>
            <w:tcBorders>
              <w:left w:val="single" w:color="231F20" w:sz="4" w:space="0"/>
            </w:tcBorders>
          </w:tcPr>
          <w:p w14:paraId="070C78C8">
            <w:pPr>
              <w:pStyle w:val="11"/>
              <w:spacing w:before="96" w:line="213" w:lineRule="auto"/>
              <w:ind w:left="10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pacing w:val="10"/>
                <w:sz w:val="18"/>
                <w:szCs w:val="18"/>
                <w:lang w:eastAsia="zh-CN"/>
              </w:rPr>
              <w:t>石灰石煅烧分解</w:t>
            </w:r>
          </w:p>
        </w:tc>
        <w:tc>
          <w:tcPr>
            <w:tcW w:w="647" w:type="dxa"/>
          </w:tcPr>
          <w:p w14:paraId="04823EF7">
            <w:pPr>
              <w:rPr>
                <w:rFonts w:asciiTheme="minorEastAsia" w:hAnsiTheme="minorEastAsia" w:eastAsiaTheme="minorEastAsia" w:cstheme="minorEastAsia"/>
                <w:sz w:val="18"/>
                <w:szCs w:val="18"/>
              </w:rPr>
            </w:pPr>
          </w:p>
        </w:tc>
        <w:tc>
          <w:tcPr>
            <w:tcW w:w="583" w:type="dxa"/>
          </w:tcPr>
          <w:p w14:paraId="13B646F3">
            <w:pPr>
              <w:rPr>
                <w:rFonts w:asciiTheme="minorEastAsia" w:hAnsiTheme="minorEastAsia" w:eastAsiaTheme="minorEastAsia" w:cstheme="minorEastAsia"/>
                <w:sz w:val="18"/>
                <w:szCs w:val="18"/>
              </w:rPr>
            </w:pPr>
          </w:p>
        </w:tc>
        <w:tc>
          <w:tcPr>
            <w:tcW w:w="550" w:type="dxa"/>
          </w:tcPr>
          <w:p w14:paraId="52CC9B1D">
            <w:pPr>
              <w:rPr>
                <w:rFonts w:asciiTheme="minorEastAsia" w:hAnsiTheme="minorEastAsia" w:eastAsiaTheme="minorEastAsia" w:cstheme="minorEastAsia"/>
                <w:sz w:val="18"/>
                <w:szCs w:val="18"/>
              </w:rPr>
            </w:pPr>
          </w:p>
        </w:tc>
        <w:tc>
          <w:tcPr>
            <w:tcW w:w="973" w:type="dxa"/>
          </w:tcPr>
          <w:p w14:paraId="0E678247">
            <w:pPr>
              <w:rPr>
                <w:rFonts w:asciiTheme="minorEastAsia" w:hAnsiTheme="minorEastAsia" w:eastAsiaTheme="minorEastAsia" w:cstheme="minorEastAsia"/>
                <w:sz w:val="18"/>
                <w:szCs w:val="18"/>
              </w:rPr>
            </w:pPr>
          </w:p>
        </w:tc>
        <w:tc>
          <w:tcPr>
            <w:tcW w:w="2374" w:type="dxa"/>
            <w:tcBorders>
              <w:right w:val="single" w:color="231F20" w:sz="4" w:space="0"/>
            </w:tcBorders>
          </w:tcPr>
          <w:p w14:paraId="33FD8FFF">
            <w:pPr>
              <w:rPr>
                <w:rFonts w:asciiTheme="minorEastAsia" w:hAnsiTheme="minorEastAsia" w:eastAsiaTheme="minorEastAsia" w:cstheme="minorEastAsia"/>
                <w:sz w:val="18"/>
                <w:szCs w:val="18"/>
              </w:rPr>
            </w:pPr>
          </w:p>
        </w:tc>
      </w:tr>
      <w:tr w14:paraId="6A3C5DC1">
        <w:trPr>
          <w:trHeight w:val="642" w:hRule="atLeast"/>
        </w:trPr>
        <w:tc>
          <w:tcPr>
            <w:tcW w:w="9188" w:type="dxa"/>
            <w:gridSpan w:val="6"/>
            <w:tcBorders>
              <w:top w:val="single" w:color="231F20" w:sz="4" w:space="0"/>
              <w:left w:val="single" w:color="231F20" w:sz="4" w:space="0"/>
              <w:bottom w:val="single" w:color="231F20" w:sz="4" w:space="0"/>
              <w:right w:val="single" w:color="231F20" w:sz="4" w:space="0"/>
            </w:tcBorders>
          </w:tcPr>
          <w:p w14:paraId="44F984E9">
            <w:pPr>
              <w:pStyle w:val="11"/>
              <w:spacing w:before="99" w:line="211" w:lineRule="auto"/>
              <w:rPr>
                <w:rFonts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pacing w:val="16"/>
                <w:sz w:val="18"/>
                <w:szCs w:val="18"/>
                <w:lang w:eastAsia="zh-CN"/>
              </w:rPr>
              <w:t>注</w:t>
            </w:r>
            <w:r>
              <w:rPr>
                <w:rFonts w:hint="eastAsia" w:asciiTheme="minorEastAsia" w:hAnsiTheme="minorEastAsia" w:eastAsiaTheme="minorEastAsia" w:cstheme="minorEastAsia"/>
                <w:spacing w:val="-31"/>
                <w:sz w:val="18"/>
                <w:szCs w:val="18"/>
                <w:lang w:eastAsia="zh-CN"/>
              </w:rPr>
              <w:t xml:space="preserve"> </w:t>
            </w:r>
            <w:r>
              <w:rPr>
                <w:rFonts w:hint="eastAsia" w:asciiTheme="minorEastAsia" w:hAnsiTheme="minorEastAsia" w:eastAsiaTheme="minorEastAsia" w:cstheme="minorEastAsia"/>
                <w:spacing w:val="16"/>
                <w:sz w:val="18"/>
                <w:szCs w:val="18"/>
                <w:lang w:eastAsia="zh-CN"/>
              </w:rPr>
              <w:t>1：此数据收集表中的数据是指规定时间段内所有未分</w:t>
            </w:r>
            <w:r>
              <w:rPr>
                <w:rFonts w:hint="eastAsia" w:asciiTheme="minorEastAsia" w:hAnsiTheme="minorEastAsia" w:eastAsiaTheme="minorEastAsia" w:cstheme="minorEastAsia"/>
                <w:spacing w:val="15"/>
                <w:sz w:val="18"/>
                <w:szCs w:val="18"/>
                <w:lang w:eastAsia="zh-CN"/>
              </w:rPr>
              <w:t>配的输入和输出。</w:t>
            </w:r>
          </w:p>
          <w:p w14:paraId="336CA680">
            <w:pPr>
              <w:pStyle w:val="11"/>
              <w:spacing w:before="43" w:line="212" w:lineRule="auto"/>
              <w:rPr>
                <w:rFonts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pacing w:val="11"/>
                <w:sz w:val="18"/>
                <w:szCs w:val="18"/>
                <w:lang w:eastAsia="zh-CN"/>
              </w:rPr>
              <w:t>注</w:t>
            </w:r>
            <w:r>
              <w:rPr>
                <w:rFonts w:hint="eastAsia" w:asciiTheme="minorEastAsia" w:hAnsiTheme="minorEastAsia" w:eastAsiaTheme="minorEastAsia" w:cstheme="minorEastAsia"/>
                <w:spacing w:val="-27"/>
                <w:sz w:val="18"/>
                <w:szCs w:val="18"/>
                <w:lang w:eastAsia="zh-CN"/>
              </w:rPr>
              <w:t xml:space="preserve"> </w:t>
            </w:r>
            <w:r>
              <w:rPr>
                <w:rFonts w:hint="eastAsia" w:asciiTheme="minorEastAsia" w:hAnsiTheme="minorEastAsia" w:eastAsiaTheme="minorEastAsia" w:cstheme="minorEastAsia"/>
                <w:spacing w:val="11"/>
                <w:sz w:val="18"/>
                <w:szCs w:val="18"/>
                <w:lang w:eastAsia="zh-CN"/>
              </w:rPr>
              <w:t>2：燃料和热力以热量单位表示</w:t>
            </w:r>
            <w:r>
              <w:rPr>
                <w:rFonts w:hint="eastAsia" w:asciiTheme="minorEastAsia" w:hAnsiTheme="minorEastAsia" w:eastAsiaTheme="minorEastAsia" w:cstheme="minorEastAsia"/>
                <w:spacing w:val="-25"/>
                <w:sz w:val="18"/>
                <w:szCs w:val="18"/>
                <w:lang w:eastAsia="zh-CN"/>
              </w:rPr>
              <w:t xml:space="preserve"> </w:t>
            </w:r>
            <w:r>
              <w:rPr>
                <w:rFonts w:hint="eastAsia" w:asciiTheme="minorEastAsia" w:hAnsiTheme="minorEastAsia" w:eastAsiaTheme="minorEastAsia" w:cstheme="minorEastAsia"/>
                <w:spacing w:val="11"/>
                <w:sz w:val="18"/>
                <w:szCs w:val="18"/>
                <w:lang w:eastAsia="zh-CN"/>
              </w:rPr>
              <w:t>。</w:t>
            </w:r>
          </w:p>
        </w:tc>
      </w:tr>
    </w:tbl>
    <w:p w14:paraId="28E5AC7A">
      <w:pPr>
        <w:pStyle w:val="19"/>
        <w:ind w:firstLine="416"/>
        <w:rPr>
          <w:rFonts w:ascii="宋体" w:hAnsi="宋体" w:eastAsia="宋体" w:cs="宋体"/>
          <w:spacing w:val="8"/>
          <w:sz w:val="20"/>
          <w:szCs w:val="20"/>
          <w:lang w:eastAsia="zh-CN"/>
        </w:rPr>
      </w:pPr>
    </w:p>
    <w:p w14:paraId="0E16855D">
      <w:pPr>
        <w:spacing w:before="179" w:line="208" w:lineRule="auto"/>
        <w:ind w:left="2491"/>
        <w:rPr>
          <w:rFonts w:ascii="黑体" w:hAnsi="黑体" w:eastAsia="黑体" w:cs="黑体"/>
          <w:sz w:val="19"/>
          <w:szCs w:val="19"/>
          <w:lang w:eastAsia="zh-CN"/>
        </w:rPr>
      </w:pPr>
      <w:r>
        <w:rPr>
          <w:rFonts w:ascii="黑体" w:hAnsi="黑体" w:eastAsia="黑体" w:cs="黑体"/>
          <w:color w:val="231F20"/>
          <w:spacing w:val="14"/>
          <w:sz w:val="19"/>
          <w:szCs w:val="19"/>
          <w:lang w:eastAsia="zh-CN"/>
        </w:rPr>
        <w:t>表 C.</w:t>
      </w:r>
      <w:r>
        <w:rPr>
          <w:rFonts w:hint="eastAsia" w:ascii="黑体" w:hAnsi="黑体" w:eastAsia="黑体" w:cs="黑体"/>
          <w:color w:val="231F20"/>
          <w:spacing w:val="14"/>
          <w:sz w:val="19"/>
          <w:szCs w:val="19"/>
          <w:lang w:eastAsia="zh-CN"/>
        </w:rPr>
        <w:t>2</w:t>
      </w:r>
      <w:r>
        <w:rPr>
          <w:rFonts w:ascii="黑体" w:hAnsi="黑体" w:eastAsia="黑体" w:cs="黑体"/>
          <w:color w:val="231F20"/>
          <w:spacing w:val="14"/>
          <w:sz w:val="19"/>
          <w:szCs w:val="19"/>
          <w:lang w:eastAsia="zh-CN"/>
        </w:rPr>
        <w:t xml:space="preserve"> </w:t>
      </w:r>
      <w:r>
        <w:rPr>
          <w:rFonts w:hint="eastAsia" w:ascii="黑体" w:hAnsi="黑体" w:eastAsia="黑体" w:cs="黑体"/>
          <w:color w:val="231F20"/>
          <w:spacing w:val="14"/>
          <w:sz w:val="19"/>
          <w:szCs w:val="19"/>
          <w:lang w:eastAsia="zh-CN"/>
        </w:rPr>
        <w:t>氨碱法纯碱生产</w:t>
      </w:r>
      <w:r>
        <w:rPr>
          <w:rFonts w:ascii="黑体" w:hAnsi="黑体" w:eastAsia="黑体" w:cs="黑体"/>
          <w:color w:val="231F20"/>
          <w:spacing w:val="14"/>
          <w:sz w:val="19"/>
          <w:szCs w:val="19"/>
          <w:lang w:eastAsia="zh-CN"/>
        </w:rPr>
        <w:t>输入、输出数据收集表</w:t>
      </w:r>
    </w:p>
    <w:p w14:paraId="1106E760">
      <w:pPr>
        <w:spacing w:line="179" w:lineRule="exact"/>
        <w:rPr>
          <w:lang w:eastAsia="zh-CN"/>
        </w:rPr>
      </w:pPr>
    </w:p>
    <w:tbl>
      <w:tblPr>
        <w:tblStyle w:val="10"/>
        <w:tblW w:w="9188" w:type="dxa"/>
        <w:tblInd w:w="5"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fixed"/>
        <w:tblCellMar>
          <w:top w:w="0" w:type="dxa"/>
          <w:left w:w="0" w:type="dxa"/>
          <w:bottom w:w="0" w:type="dxa"/>
          <w:right w:w="0" w:type="dxa"/>
        </w:tblCellMar>
      </w:tblPr>
      <w:tblGrid>
        <w:gridCol w:w="4061"/>
        <w:gridCol w:w="647"/>
        <w:gridCol w:w="583"/>
        <w:gridCol w:w="550"/>
        <w:gridCol w:w="973"/>
        <w:gridCol w:w="2374"/>
      </w:tblGrid>
      <w:tr w14:paraId="20025720">
        <w:trPr>
          <w:trHeight w:val="927" w:hRule="atLeast"/>
        </w:trPr>
        <w:tc>
          <w:tcPr>
            <w:tcW w:w="9188" w:type="dxa"/>
            <w:gridSpan w:val="6"/>
            <w:tcBorders>
              <w:top w:val="single" w:color="231F20" w:sz="4" w:space="0"/>
              <w:left w:val="single" w:color="231F20" w:sz="4" w:space="0"/>
              <w:right w:val="single" w:color="231F20" w:sz="4" w:space="0"/>
            </w:tcBorders>
          </w:tcPr>
          <w:p w14:paraId="50E71641">
            <w:pPr>
              <w:pStyle w:val="11"/>
              <w:spacing w:before="97" w:line="212" w:lineRule="auto"/>
              <w:ind w:left="97"/>
              <w:rPr>
                <w:rFonts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pacing w:val="16"/>
                <w:sz w:val="18"/>
                <w:szCs w:val="18"/>
                <w:lang w:eastAsia="zh-CN"/>
              </w:rPr>
              <w:t>单元过程及统计口径描述：</w:t>
            </w:r>
          </w:p>
          <w:p w14:paraId="4C4DA749">
            <w:pPr>
              <w:pStyle w:val="11"/>
              <w:spacing w:before="41" w:line="212" w:lineRule="auto"/>
              <w:ind w:left="106"/>
              <w:rPr>
                <w:rFonts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pacing w:val="2"/>
                <w:sz w:val="18"/>
                <w:szCs w:val="18"/>
                <w:lang w:eastAsia="zh-CN"/>
              </w:rPr>
              <w:t>时间段：起始时间           年    月     日 ；  终止时</w:t>
            </w:r>
            <w:r>
              <w:rPr>
                <w:rFonts w:hint="eastAsia" w:asciiTheme="minorEastAsia" w:hAnsiTheme="minorEastAsia" w:eastAsiaTheme="minorEastAsia" w:cstheme="minorEastAsia"/>
                <w:spacing w:val="1"/>
                <w:sz w:val="18"/>
                <w:szCs w:val="18"/>
                <w:lang w:eastAsia="zh-CN"/>
              </w:rPr>
              <w:t>间            年    月     日</w:t>
            </w:r>
          </w:p>
          <w:p w14:paraId="5A177608">
            <w:pPr>
              <w:pStyle w:val="11"/>
              <w:spacing w:before="42" w:line="212" w:lineRule="auto"/>
              <w:ind w:left="98"/>
              <w:rPr>
                <w:rFonts w:asciiTheme="minorEastAsia" w:hAnsiTheme="minorEastAsia" w:eastAsiaTheme="minorEastAsia" w:cstheme="minorEastAsia"/>
                <w:spacing w:val="10"/>
                <w:sz w:val="18"/>
                <w:szCs w:val="18"/>
              </w:rPr>
            </w:pPr>
            <w:r>
              <w:rPr>
                <w:rFonts w:hint="eastAsia" w:asciiTheme="minorEastAsia" w:hAnsiTheme="minorEastAsia" w:eastAsiaTheme="minorEastAsia" w:cstheme="minorEastAsia"/>
                <w:spacing w:val="10"/>
                <w:sz w:val="18"/>
                <w:szCs w:val="18"/>
              </w:rPr>
              <w:t>制表人：</w:t>
            </w:r>
          </w:p>
          <w:p w14:paraId="5117FAEE">
            <w:pPr>
              <w:pStyle w:val="11"/>
              <w:spacing w:before="42" w:line="212" w:lineRule="auto"/>
              <w:ind w:left="98"/>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pacing w:val="10"/>
                <w:sz w:val="18"/>
                <w:szCs w:val="18"/>
              </w:rPr>
              <w:t>制表日期：</w:t>
            </w:r>
          </w:p>
        </w:tc>
      </w:tr>
      <w:tr w14:paraId="67EF72E0">
        <w:trPr>
          <w:trHeight w:val="355" w:hRule="atLeast"/>
        </w:trPr>
        <w:tc>
          <w:tcPr>
            <w:tcW w:w="4061" w:type="dxa"/>
            <w:tcBorders>
              <w:left w:val="single" w:color="231F20" w:sz="4" w:space="0"/>
            </w:tcBorders>
          </w:tcPr>
          <w:p w14:paraId="14D5383A">
            <w:pPr>
              <w:pStyle w:val="11"/>
              <w:spacing w:before="101" w:line="183" w:lineRule="auto"/>
              <w:ind w:left="97"/>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pacing w:val="11"/>
                <w:sz w:val="18"/>
                <w:szCs w:val="18"/>
              </w:rPr>
              <w:t>输入</w:t>
            </w:r>
          </w:p>
        </w:tc>
        <w:tc>
          <w:tcPr>
            <w:tcW w:w="647" w:type="dxa"/>
          </w:tcPr>
          <w:p w14:paraId="52DAB521">
            <w:pPr>
              <w:pStyle w:val="11"/>
              <w:spacing w:before="99" w:line="186" w:lineRule="auto"/>
              <w:ind w:left="15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pacing w:val="11"/>
                <w:sz w:val="18"/>
                <w:szCs w:val="18"/>
              </w:rPr>
              <w:t>单位</w:t>
            </w:r>
          </w:p>
        </w:tc>
        <w:tc>
          <w:tcPr>
            <w:tcW w:w="583" w:type="dxa"/>
          </w:tcPr>
          <w:p w14:paraId="2B638556">
            <w:pPr>
              <w:pStyle w:val="11"/>
              <w:spacing w:before="101" w:line="182" w:lineRule="auto"/>
              <w:ind w:left="12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pacing w:val="11"/>
                <w:sz w:val="18"/>
                <w:szCs w:val="18"/>
              </w:rPr>
              <w:t>数量</w:t>
            </w:r>
          </w:p>
        </w:tc>
        <w:tc>
          <w:tcPr>
            <w:tcW w:w="550" w:type="dxa"/>
          </w:tcPr>
          <w:p w14:paraId="23FEFF9F">
            <w:pPr>
              <w:pStyle w:val="11"/>
              <w:spacing w:before="106" w:line="178" w:lineRule="auto"/>
              <w:ind w:left="104"/>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pacing w:val="11"/>
                <w:sz w:val="18"/>
                <w:szCs w:val="18"/>
              </w:rPr>
              <w:t>运距</w:t>
            </w:r>
          </w:p>
        </w:tc>
        <w:tc>
          <w:tcPr>
            <w:tcW w:w="973" w:type="dxa"/>
          </w:tcPr>
          <w:p w14:paraId="08A14644">
            <w:pPr>
              <w:pStyle w:val="11"/>
              <w:spacing w:before="101" w:line="183" w:lineRule="auto"/>
              <w:ind w:left="137"/>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pacing w:val="15"/>
                <w:sz w:val="18"/>
                <w:szCs w:val="18"/>
              </w:rPr>
              <w:t>运输方式</w:t>
            </w:r>
          </w:p>
        </w:tc>
        <w:tc>
          <w:tcPr>
            <w:tcW w:w="2374" w:type="dxa"/>
            <w:tcBorders>
              <w:right w:val="single" w:color="231F20" w:sz="4" w:space="0"/>
            </w:tcBorders>
          </w:tcPr>
          <w:p w14:paraId="2E114777">
            <w:pPr>
              <w:pStyle w:val="11"/>
              <w:spacing w:before="78" w:line="228" w:lineRule="auto"/>
              <w:ind w:left="566"/>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pacing w:val="6"/>
                <w:sz w:val="18"/>
                <w:szCs w:val="18"/>
              </w:rPr>
              <w:t>规格</w:t>
            </w:r>
            <w:r>
              <w:rPr>
                <w:rFonts w:hint="eastAsia" w:asciiTheme="minorEastAsia" w:hAnsiTheme="minorEastAsia" w:eastAsiaTheme="minorEastAsia" w:cstheme="minorEastAsia"/>
                <w:spacing w:val="-21"/>
                <w:sz w:val="18"/>
                <w:szCs w:val="18"/>
              </w:rPr>
              <w:t xml:space="preserve"> </w:t>
            </w:r>
            <w:r>
              <w:rPr>
                <w:rFonts w:hint="eastAsia" w:asciiTheme="minorEastAsia" w:hAnsiTheme="minorEastAsia" w:eastAsiaTheme="minorEastAsia" w:cstheme="minorEastAsia"/>
                <w:spacing w:val="6"/>
                <w:sz w:val="18"/>
                <w:szCs w:val="18"/>
              </w:rPr>
              <w:t>、成分</w:t>
            </w:r>
            <w:r>
              <w:rPr>
                <w:rFonts w:hint="eastAsia" w:asciiTheme="minorEastAsia" w:hAnsiTheme="minorEastAsia" w:eastAsiaTheme="minorEastAsia" w:cstheme="minorEastAsia"/>
                <w:b/>
                <w:bCs/>
                <w:spacing w:val="6"/>
                <w:sz w:val="18"/>
                <w:szCs w:val="18"/>
              </w:rPr>
              <w:t>/</w:t>
            </w:r>
            <w:r>
              <w:rPr>
                <w:rFonts w:hint="eastAsia" w:asciiTheme="minorEastAsia" w:hAnsiTheme="minorEastAsia" w:eastAsiaTheme="minorEastAsia" w:cstheme="minorEastAsia"/>
                <w:spacing w:val="6"/>
                <w:sz w:val="18"/>
                <w:szCs w:val="18"/>
              </w:rPr>
              <w:t>来源</w:t>
            </w:r>
          </w:p>
        </w:tc>
      </w:tr>
      <w:tr w14:paraId="0C5FE645">
        <w:trPr>
          <w:trHeight w:val="356" w:hRule="atLeast"/>
        </w:trPr>
        <w:tc>
          <w:tcPr>
            <w:tcW w:w="4061" w:type="dxa"/>
            <w:tcBorders>
              <w:left w:val="single" w:color="231F20" w:sz="4" w:space="0"/>
            </w:tcBorders>
          </w:tcPr>
          <w:p w14:paraId="6816E2A0">
            <w:pPr>
              <w:pStyle w:val="11"/>
              <w:spacing w:before="105" w:line="178" w:lineRule="auto"/>
              <w:ind w:left="98"/>
              <w:rPr>
                <w:rFonts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工业盐</w:t>
            </w:r>
          </w:p>
        </w:tc>
        <w:tc>
          <w:tcPr>
            <w:tcW w:w="647" w:type="dxa"/>
          </w:tcPr>
          <w:p w14:paraId="5100F981">
            <w:pPr>
              <w:rPr>
                <w:rFonts w:asciiTheme="minorEastAsia" w:hAnsiTheme="minorEastAsia" w:eastAsiaTheme="minorEastAsia" w:cstheme="minorEastAsia"/>
                <w:sz w:val="18"/>
                <w:szCs w:val="18"/>
              </w:rPr>
            </w:pPr>
          </w:p>
        </w:tc>
        <w:tc>
          <w:tcPr>
            <w:tcW w:w="583" w:type="dxa"/>
          </w:tcPr>
          <w:p w14:paraId="2D709A7D">
            <w:pPr>
              <w:rPr>
                <w:rFonts w:asciiTheme="minorEastAsia" w:hAnsiTheme="minorEastAsia" w:eastAsiaTheme="minorEastAsia" w:cstheme="minorEastAsia"/>
                <w:sz w:val="18"/>
                <w:szCs w:val="18"/>
              </w:rPr>
            </w:pPr>
          </w:p>
        </w:tc>
        <w:tc>
          <w:tcPr>
            <w:tcW w:w="550" w:type="dxa"/>
          </w:tcPr>
          <w:p w14:paraId="53E371F8">
            <w:pPr>
              <w:rPr>
                <w:rFonts w:asciiTheme="minorEastAsia" w:hAnsiTheme="minorEastAsia" w:eastAsiaTheme="minorEastAsia" w:cstheme="minorEastAsia"/>
                <w:sz w:val="18"/>
                <w:szCs w:val="18"/>
              </w:rPr>
            </w:pPr>
          </w:p>
        </w:tc>
        <w:tc>
          <w:tcPr>
            <w:tcW w:w="973" w:type="dxa"/>
          </w:tcPr>
          <w:p w14:paraId="579818A6">
            <w:pPr>
              <w:rPr>
                <w:rFonts w:asciiTheme="minorEastAsia" w:hAnsiTheme="minorEastAsia" w:eastAsiaTheme="minorEastAsia" w:cstheme="minorEastAsia"/>
                <w:sz w:val="18"/>
                <w:szCs w:val="18"/>
              </w:rPr>
            </w:pPr>
          </w:p>
        </w:tc>
        <w:tc>
          <w:tcPr>
            <w:tcW w:w="2374" w:type="dxa"/>
            <w:tcBorders>
              <w:right w:val="single" w:color="231F20" w:sz="4" w:space="0"/>
            </w:tcBorders>
          </w:tcPr>
          <w:p w14:paraId="00F6852E">
            <w:pPr>
              <w:rPr>
                <w:rFonts w:asciiTheme="minorEastAsia" w:hAnsiTheme="minorEastAsia" w:eastAsiaTheme="minorEastAsia" w:cstheme="minorEastAsia"/>
                <w:sz w:val="18"/>
                <w:szCs w:val="18"/>
              </w:rPr>
            </w:pPr>
          </w:p>
        </w:tc>
      </w:tr>
      <w:tr w14:paraId="23A7E2D7">
        <w:trPr>
          <w:trHeight w:val="355" w:hRule="atLeast"/>
        </w:trPr>
        <w:tc>
          <w:tcPr>
            <w:tcW w:w="4061" w:type="dxa"/>
            <w:tcBorders>
              <w:left w:val="single" w:color="231F20" w:sz="4" w:space="0"/>
            </w:tcBorders>
          </w:tcPr>
          <w:p w14:paraId="56118D27">
            <w:pPr>
              <w:pStyle w:val="11"/>
              <w:spacing w:before="102" w:line="184" w:lineRule="auto"/>
              <w:ind w:left="98"/>
              <w:rPr>
                <w:rFonts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水</w:t>
            </w:r>
          </w:p>
        </w:tc>
        <w:tc>
          <w:tcPr>
            <w:tcW w:w="647" w:type="dxa"/>
          </w:tcPr>
          <w:p w14:paraId="7A60FD53">
            <w:pPr>
              <w:rPr>
                <w:rFonts w:asciiTheme="minorEastAsia" w:hAnsiTheme="minorEastAsia" w:eastAsiaTheme="minorEastAsia" w:cstheme="minorEastAsia"/>
                <w:sz w:val="18"/>
                <w:szCs w:val="18"/>
              </w:rPr>
            </w:pPr>
          </w:p>
        </w:tc>
        <w:tc>
          <w:tcPr>
            <w:tcW w:w="583" w:type="dxa"/>
          </w:tcPr>
          <w:p w14:paraId="75E34DBD">
            <w:pPr>
              <w:rPr>
                <w:rFonts w:asciiTheme="minorEastAsia" w:hAnsiTheme="minorEastAsia" w:eastAsiaTheme="minorEastAsia" w:cstheme="minorEastAsia"/>
                <w:sz w:val="18"/>
                <w:szCs w:val="18"/>
              </w:rPr>
            </w:pPr>
          </w:p>
        </w:tc>
        <w:tc>
          <w:tcPr>
            <w:tcW w:w="550" w:type="dxa"/>
          </w:tcPr>
          <w:p w14:paraId="2C2A3DC7">
            <w:pPr>
              <w:rPr>
                <w:rFonts w:asciiTheme="minorEastAsia" w:hAnsiTheme="minorEastAsia" w:eastAsiaTheme="minorEastAsia" w:cstheme="minorEastAsia"/>
                <w:sz w:val="18"/>
                <w:szCs w:val="18"/>
              </w:rPr>
            </w:pPr>
          </w:p>
        </w:tc>
        <w:tc>
          <w:tcPr>
            <w:tcW w:w="973" w:type="dxa"/>
          </w:tcPr>
          <w:p w14:paraId="6B90C758">
            <w:pPr>
              <w:rPr>
                <w:rFonts w:asciiTheme="minorEastAsia" w:hAnsiTheme="minorEastAsia" w:eastAsiaTheme="minorEastAsia" w:cstheme="minorEastAsia"/>
                <w:sz w:val="18"/>
                <w:szCs w:val="18"/>
              </w:rPr>
            </w:pPr>
          </w:p>
        </w:tc>
        <w:tc>
          <w:tcPr>
            <w:tcW w:w="2374" w:type="dxa"/>
            <w:tcBorders>
              <w:right w:val="single" w:color="231F20" w:sz="4" w:space="0"/>
            </w:tcBorders>
          </w:tcPr>
          <w:p w14:paraId="2C3C62D2">
            <w:pPr>
              <w:rPr>
                <w:rFonts w:asciiTheme="minorEastAsia" w:hAnsiTheme="minorEastAsia" w:eastAsiaTheme="minorEastAsia" w:cstheme="minorEastAsia"/>
                <w:sz w:val="18"/>
                <w:szCs w:val="18"/>
              </w:rPr>
            </w:pPr>
          </w:p>
        </w:tc>
      </w:tr>
      <w:tr w14:paraId="1D1DD02B">
        <w:trPr>
          <w:trHeight w:val="356" w:hRule="atLeast"/>
        </w:trPr>
        <w:tc>
          <w:tcPr>
            <w:tcW w:w="4061" w:type="dxa"/>
            <w:tcBorders>
              <w:left w:val="single" w:color="231F20" w:sz="4" w:space="0"/>
            </w:tcBorders>
          </w:tcPr>
          <w:p w14:paraId="7AB60FB1">
            <w:pPr>
              <w:pStyle w:val="11"/>
              <w:spacing w:before="100" w:line="207" w:lineRule="auto"/>
              <w:ind w:left="97"/>
              <w:rPr>
                <w:rFonts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pacing w:val="2"/>
                <w:sz w:val="18"/>
                <w:szCs w:val="18"/>
                <w:lang w:eastAsia="zh-CN"/>
              </w:rPr>
              <w:t>石灰石</w:t>
            </w:r>
          </w:p>
        </w:tc>
        <w:tc>
          <w:tcPr>
            <w:tcW w:w="647" w:type="dxa"/>
          </w:tcPr>
          <w:p w14:paraId="35850558">
            <w:pPr>
              <w:rPr>
                <w:rFonts w:asciiTheme="minorEastAsia" w:hAnsiTheme="minorEastAsia" w:eastAsiaTheme="minorEastAsia" w:cstheme="minorEastAsia"/>
                <w:sz w:val="18"/>
                <w:szCs w:val="18"/>
              </w:rPr>
            </w:pPr>
          </w:p>
        </w:tc>
        <w:tc>
          <w:tcPr>
            <w:tcW w:w="583" w:type="dxa"/>
          </w:tcPr>
          <w:p w14:paraId="4B2AC72D">
            <w:pPr>
              <w:rPr>
                <w:rFonts w:asciiTheme="minorEastAsia" w:hAnsiTheme="minorEastAsia" w:eastAsiaTheme="minorEastAsia" w:cstheme="minorEastAsia"/>
                <w:sz w:val="18"/>
                <w:szCs w:val="18"/>
              </w:rPr>
            </w:pPr>
          </w:p>
        </w:tc>
        <w:tc>
          <w:tcPr>
            <w:tcW w:w="550" w:type="dxa"/>
          </w:tcPr>
          <w:p w14:paraId="4327EAC1">
            <w:pPr>
              <w:rPr>
                <w:rFonts w:asciiTheme="minorEastAsia" w:hAnsiTheme="minorEastAsia" w:eastAsiaTheme="minorEastAsia" w:cstheme="minorEastAsia"/>
                <w:sz w:val="18"/>
                <w:szCs w:val="18"/>
              </w:rPr>
            </w:pPr>
          </w:p>
        </w:tc>
        <w:tc>
          <w:tcPr>
            <w:tcW w:w="973" w:type="dxa"/>
          </w:tcPr>
          <w:p w14:paraId="6D65CD0C">
            <w:pPr>
              <w:rPr>
                <w:rFonts w:asciiTheme="minorEastAsia" w:hAnsiTheme="minorEastAsia" w:eastAsiaTheme="minorEastAsia" w:cstheme="minorEastAsia"/>
                <w:sz w:val="18"/>
                <w:szCs w:val="18"/>
              </w:rPr>
            </w:pPr>
          </w:p>
        </w:tc>
        <w:tc>
          <w:tcPr>
            <w:tcW w:w="2374" w:type="dxa"/>
            <w:tcBorders>
              <w:right w:val="single" w:color="231F20" w:sz="4" w:space="0"/>
            </w:tcBorders>
          </w:tcPr>
          <w:p w14:paraId="75782484">
            <w:pPr>
              <w:rPr>
                <w:rFonts w:asciiTheme="minorEastAsia" w:hAnsiTheme="minorEastAsia" w:eastAsiaTheme="minorEastAsia" w:cstheme="minorEastAsia"/>
                <w:sz w:val="18"/>
                <w:szCs w:val="18"/>
              </w:rPr>
            </w:pPr>
          </w:p>
        </w:tc>
      </w:tr>
      <w:tr w14:paraId="019C4126">
        <w:trPr>
          <w:trHeight w:val="356" w:hRule="atLeast"/>
        </w:trPr>
        <w:tc>
          <w:tcPr>
            <w:tcW w:w="4061" w:type="dxa"/>
            <w:tcBorders>
              <w:left w:val="single" w:color="231F20" w:sz="4" w:space="0"/>
            </w:tcBorders>
          </w:tcPr>
          <w:p w14:paraId="1BC7D0F9">
            <w:pPr>
              <w:pStyle w:val="11"/>
              <w:spacing w:before="100" w:line="207" w:lineRule="auto"/>
              <w:ind w:left="95"/>
              <w:rPr>
                <w:rFonts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煤炭</w:t>
            </w:r>
          </w:p>
        </w:tc>
        <w:tc>
          <w:tcPr>
            <w:tcW w:w="647" w:type="dxa"/>
          </w:tcPr>
          <w:p w14:paraId="5BA8A1A5">
            <w:pPr>
              <w:rPr>
                <w:rFonts w:asciiTheme="minorEastAsia" w:hAnsiTheme="minorEastAsia" w:eastAsiaTheme="minorEastAsia" w:cstheme="minorEastAsia"/>
                <w:sz w:val="18"/>
                <w:szCs w:val="18"/>
              </w:rPr>
            </w:pPr>
          </w:p>
        </w:tc>
        <w:tc>
          <w:tcPr>
            <w:tcW w:w="583" w:type="dxa"/>
          </w:tcPr>
          <w:p w14:paraId="6F4E11D4">
            <w:pPr>
              <w:rPr>
                <w:rFonts w:asciiTheme="minorEastAsia" w:hAnsiTheme="minorEastAsia" w:eastAsiaTheme="minorEastAsia" w:cstheme="minorEastAsia"/>
                <w:sz w:val="18"/>
                <w:szCs w:val="18"/>
              </w:rPr>
            </w:pPr>
          </w:p>
        </w:tc>
        <w:tc>
          <w:tcPr>
            <w:tcW w:w="550" w:type="dxa"/>
          </w:tcPr>
          <w:p w14:paraId="210ED885">
            <w:pPr>
              <w:rPr>
                <w:rFonts w:asciiTheme="minorEastAsia" w:hAnsiTheme="minorEastAsia" w:eastAsiaTheme="minorEastAsia" w:cstheme="minorEastAsia"/>
                <w:sz w:val="18"/>
                <w:szCs w:val="18"/>
              </w:rPr>
            </w:pPr>
          </w:p>
        </w:tc>
        <w:tc>
          <w:tcPr>
            <w:tcW w:w="973" w:type="dxa"/>
          </w:tcPr>
          <w:p w14:paraId="51952C60">
            <w:pPr>
              <w:rPr>
                <w:rFonts w:asciiTheme="minorEastAsia" w:hAnsiTheme="minorEastAsia" w:eastAsiaTheme="minorEastAsia" w:cstheme="minorEastAsia"/>
                <w:sz w:val="18"/>
                <w:szCs w:val="18"/>
              </w:rPr>
            </w:pPr>
          </w:p>
        </w:tc>
        <w:tc>
          <w:tcPr>
            <w:tcW w:w="2374" w:type="dxa"/>
            <w:tcBorders>
              <w:right w:val="single" w:color="231F20" w:sz="4" w:space="0"/>
            </w:tcBorders>
          </w:tcPr>
          <w:p w14:paraId="62D43258">
            <w:pPr>
              <w:rPr>
                <w:rFonts w:asciiTheme="minorEastAsia" w:hAnsiTheme="minorEastAsia" w:eastAsiaTheme="minorEastAsia" w:cstheme="minorEastAsia"/>
                <w:sz w:val="18"/>
                <w:szCs w:val="18"/>
              </w:rPr>
            </w:pPr>
          </w:p>
        </w:tc>
      </w:tr>
      <w:tr w14:paraId="65444227">
        <w:trPr>
          <w:trHeight w:val="356" w:hRule="atLeast"/>
        </w:trPr>
        <w:tc>
          <w:tcPr>
            <w:tcW w:w="4061" w:type="dxa"/>
            <w:tcBorders>
              <w:left w:val="single" w:color="231F20" w:sz="4" w:space="0"/>
            </w:tcBorders>
          </w:tcPr>
          <w:p w14:paraId="627C06D9">
            <w:pPr>
              <w:pStyle w:val="11"/>
              <w:spacing w:before="100" w:line="207" w:lineRule="auto"/>
              <w:ind w:left="95"/>
              <w:rPr>
                <w:rFonts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焦炭</w:t>
            </w:r>
          </w:p>
        </w:tc>
        <w:tc>
          <w:tcPr>
            <w:tcW w:w="647" w:type="dxa"/>
          </w:tcPr>
          <w:p w14:paraId="4B1FADF1">
            <w:pPr>
              <w:rPr>
                <w:rFonts w:asciiTheme="minorEastAsia" w:hAnsiTheme="minorEastAsia" w:eastAsiaTheme="minorEastAsia" w:cstheme="minorEastAsia"/>
                <w:sz w:val="18"/>
                <w:szCs w:val="18"/>
              </w:rPr>
            </w:pPr>
          </w:p>
        </w:tc>
        <w:tc>
          <w:tcPr>
            <w:tcW w:w="583" w:type="dxa"/>
          </w:tcPr>
          <w:p w14:paraId="1960C634">
            <w:pPr>
              <w:rPr>
                <w:rFonts w:asciiTheme="minorEastAsia" w:hAnsiTheme="minorEastAsia" w:eastAsiaTheme="minorEastAsia" w:cstheme="minorEastAsia"/>
                <w:sz w:val="18"/>
                <w:szCs w:val="18"/>
              </w:rPr>
            </w:pPr>
          </w:p>
        </w:tc>
        <w:tc>
          <w:tcPr>
            <w:tcW w:w="550" w:type="dxa"/>
          </w:tcPr>
          <w:p w14:paraId="30A06F97">
            <w:pPr>
              <w:rPr>
                <w:rFonts w:asciiTheme="minorEastAsia" w:hAnsiTheme="minorEastAsia" w:eastAsiaTheme="minorEastAsia" w:cstheme="minorEastAsia"/>
                <w:sz w:val="18"/>
                <w:szCs w:val="18"/>
              </w:rPr>
            </w:pPr>
          </w:p>
        </w:tc>
        <w:tc>
          <w:tcPr>
            <w:tcW w:w="973" w:type="dxa"/>
          </w:tcPr>
          <w:p w14:paraId="15E5BE43">
            <w:pPr>
              <w:rPr>
                <w:rFonts w:asciiTheme="minorEastAsia" w:hAnsiTheme="minorEastAsia" w:eastAsiaTheme="minorEastAsia" w:cstheme="minorEastAsia"/>
                <w:sz w:val="18"/>
                <w:szCs w:val="18"/>
              </w:rPr>
            </w:pPr>
          </w:p>
        </w:tc>
        <w:tc>
          <w:tcPr>
            <w:tcW w:w="2374" w:type="dxa"/>
            <w:tcBorders>
              <w:right w:val="single" w:color="231F20" w:sz="4" w:space="0"/>
            </w:tcBorders>
          </w:tcPr>
          <w:p w14:paraId="29C0D1FB">
            <w:pPr>
              <w:rPr>
                <w:rFonts w:asciiTheme="minorEastAsia" w:hAnsiTheme="minorEastAsia" w:eastAsiaTheme="minorEastAsia" w:cstheme="minorEastAsia"/>
                <w:sz w:val="18"/>
                <w:szCs w:val="18"/>
              </w:rPr>
            </w:pPr>
          </w:p>
        </w:tc>
      </w:tr>
      <w:tr w14:paraId="34BCEAA8">
        <w:trPr>
          <w:trHeight w:val="356" w:hRule="atLeast"/>
        </w:trPr>
        <w:tc>
          <w:tcPr>
            <w:tcW w:w="4061" w:type="dxa"/>
            <w:tcBorders>
              <w:left w:val="single" w:color="231F20" w:sz="4" w:space="0"/>
            </w:tcBorders>
          </w:tcPr>
          <w:p w14:paraId="06AAC650">
            <w:pPr>
              <w:pStyle w:val="11"/>
              <w:spacing w:before="100" w:line="207" w:lineRule="auto"/>
              <w:ind w:left="95"/>
              <w:rPr>
                <w:rFonts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氨</w:t>
            </w:r>
          </w:p>
        </w:tc>
        <w:tc>
          <w:tcPr>
            <w:tcW w:w="647" w:type="dxa"/>
          </w:tcPr>
          <w:p w14:paraId="60868D01">
            <w:pPr>
              <w:rPr>
                <w:rFonts w:asciiTheme="minorEastAsia" w:hAnsiTheme="minorEastAsia" w:eastAsiaTheme="minorEastAsia" w:cstheme="minorEastAsia"/>
                <w:sz w:val="18"/>
                <w:szCs w:val="18"/>
              </w:rPr>
            </w:pPr>
          </w:p>
        </w:tc>
        <w:tc>
          <w:tcPr>
            <w:tcW w:w="583" w:type="dxa"/>
          </w:tcPr>
          <w:p w14:paraId="24DC4412">
            <w:pPr>
              <w:rPr>
                <w:rFonts w:asciiTheme="minorEastAsia" w:hAnsiTheme="minorEastAsia" w:eastAsiaTheme="minorEastAsia" w:cstheme="minorEastAsia"/>
                <w:sz w:val="18"/>
                <w:szCs w:val="18"/>
              </w:rPr>
            </w:pPr>
          </w:p>
        </w:tc>
        <w:tc>
          <w:tcPr>
            <w:tcW w:w="550" w:type="dxa"/>
          </w:tcPr>
          <w:p w14:paraId="312C1ED0">
            <w:pPr>
              <w:rPr>
                <w:rFonts w:asciiTheme="minorEastAsia" w:hAnsiTheme="minorEastAsia" w:eastAsiaTheme="minorEastAsia" w:cstheme="minorEastAsia"/>
                <w:sz w:val="18"/>
                <w:szCs w:val="18"/>
              </w:rPr>
            </w:pPr>
          </w:p>
        </w:tc>
        <w:tc>
          <w:tcPr>
            <w:tcW w:w="973" w:type="dxa"/>
          </w:tcPr>
          <w:p w14:paraId="04A6D4DA">
            <w:pPr>
              <w:rPr>
                <w:rFonts w:asciiTheme="minorEastAsia" w:hAnsiTheme="minorEastAsia" w:eastAsiaTheme="minorEastAsia" w:cstheme="minorEastAsia"/>
                <w:sz w:val="18"/>
                <w:szCs w:val="18"/>
              </w:rPr>
            </w:pPr>
          </w:p>
        </w:tc>
        <w:tc>
          <w:tcPr>
            <w:tcW w:w="2374" w:type="dxa"/>
            <w:tcBorders>
              <w:right w:val="single" w:color="231F20" w:sz="4" w:space="0"/>
            </w:tcBorders>
          </w:tcPr>
          <w:p w14:paraId="0F406705">
            <w:pPr>
              <w:rPr>
                <w:rFonts w:asciiTheme="minorEastAsia" w:hAnsiTheme="minorEastAsia" w:eastAsiaTheme="minorEastAsia" w:cstheme="minorEastAsia"/>
                <w:sz w:val="18"/>
                <w:szCs w:val="18"/>
              </w:rPr>
            </w:pPr>
          </w:p>
        </w:tc>
      </w:tr>
      <w:tr w14:paraId="7FA202DE">
        <w:trPr>
          <w:trHeight w:val="356" w:hRule="atLeast"/>
        </w:trPr>
        <w:tc>
          <w:tcPr>
            <w:tcW w:w="4061" w:type="dxa"/>
            <w:tcBorders>
              <w:left w:val="single" w:color="231F20" w:sz="4" w:space="0"/>
            </w:tcBorders>
          </w:tcPr>
          <w:p w14:paraId="4E82FF94">
            <w:pPr>
              <w:pStyle w:val="11"/>
              <w:spacing w:before="106" w:line="183" w:lineRule="auto"/>
              <w:ind w:left="113"/>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pacing w:val="3"/>
                <w:sz w:val="18"/>
                <w:szCs w:val="18"/>
                <w:lang w:eastAsia="zh-CN"/>
              </w:rPr>
              <w:t>外购</w:t>
            </w:r>
            <w:r>
              <w:rPr>
                <w:rFonts w:hint="eastAsia" w:asciiTheme="minorEastAsia" w:hAnsiTheme="minorEastAsia" w:eastAsiaTheme="minorEastAsia" w:cstheme="minorEastAsia"/>
                <w:spacing w:val="3"/>
                <w:sz w:val="18"/>
                <w:szCs w:val="18"/>
              </w:rPr>
              <w:t>电力</w:t>
            </w:r>
          </w:p>
        </w:tc>
        <w:tc>
          <w:tcPr>
            <w:tcW w:w="647" w:type="dxa"/>
          </w:tcPr>
          <w:p w14:paraId="1293B4B9">
            <w:pPr>
              <w:rPr>
                <w:rFonts w:asciiTheme="minorEastAsia" w:hAnsiTheme="minorEastAsia" w:eastAsiaTheme="minorEastAsia" w:cstheme="minorEastAsia"/>
                <w:sz w:val="18"/>
                <w:szCs w:val="18"/>
              </w:rPr>
            </w:pPr>
          </w:p>
        </w:tc>
        <w:tc>
          <w:tcPr>
            <w:tcW w:w="583" w:type="dxa"/>
          </w:tcPr>
          <w:p w14:paraId="4788DC85">
            <w:pPr>
              <w:rPr>
                <w:rFonts w:asciiTheme="minorEastAsia" w:hAnsiTheme="minorEastAsia" w:eastAsiaTheme="minorEastAsia" w:cstheme="minorEastAsia"/>
                <w:sz w:val="18"/>
                <w:szCs w:val="18"/>
              </w:rPr>
            </w:pPr>
          </w:p>
        </w:tc>
        <w:tc>
          <w:tcPr>
            <w:tcW w:w="550" w:type="dxa"/>
          </w:tcPr>
          <w:p w14:paraId="6880C6CF">
            <w:pPr>
              <w:rPr>
                <w:rFonts w:asciiTheme="minorEastAsia" w:hAnsiTheme="minorEastAsia" w:eastAsiaTheme="minorEastAsia" w:cstheme="minorEastAsia"/>
                <w:sz w:val="18"/>
                <w:szCs w:val="18"/>
              </w:rPr>
            </w:pPr>
          </w:p>
        </w:tc>
        <w:tc>
          <w:tcPr>
            <w:tcW w:w="973" w:type="dxa"/>
          </w:tcPr>
          <w:p w14:paraId="2F57F401">
            <w:pPr>
              <w:rPr>
                <w:rFonts w:asciiTheme="minorEastAsia" w:hAnsiTheme="minorEastAsia" w:eastAsiaTheme="minorEastAsia" w:cstheme="minorEastAsia"/>
                <w:sz w:val="18"/>
                <w:szCs w:val="18"/>
              </w:rPr>
            </w:pPr>
          </w:p>
        </w:tc>
        <w:tc>
          <w:tcPr>
            <w:tcW w:w="2374" w:type="dxa"/>
            <w:tcBorders>
              <w:right w:val="single" w:color="231F20" w:sz="4" w:space="0"/>
            </w:tcBorders>
          </w:tcPr>
          <w:p w14:paraId="5C38870E">
            <w:pPr>
              <w:rPr>
                <w:rFonts w:asciiTheme="minorEastAsia" w:hAnsiTheme="minorEastAsia" w:eastAsiaTheme="minorEastAsia" w:cstheme="minorEastAsia"/>
                <w:sz w:val="18"/>
                <w:szCs w:val="18"/>
              </w:rPr>
            </w:pPr>
          </w:p>
        </w:tc>
      </w:tr>
      <w:tr w14:paraId="1520B9DA">
        <w:trPr>
          <w:trHeight w:val="356" w:hRule="atLeast"/>
        </w:trPr>
        <w:tc>
          <w:tcPr>
            <w:tcW w:w="4061" w:type="dxa"/>
            <w:tcBorders>
              <w:left w:val="single" w:color="231F20" w:sz="4" w:space="0"/>
            </w:tcBorders>
          </w:tcPr>
          <w:p w14:paraId="0554F63D">
            <w:pPr>
              <w:pStyle w:val="11"/>
              <w:spacing w:before="101" w:line="207" w:lineRule="auto"/>
              <w:ind w:left="99"/>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pacing w:val="-2"/>
                <w:sz w:val="18"/>
                <w:szCs w:val="18"/>
                <w:lang w:eastAsia="zh-CN"/>
              </w:rPr>
              <w:t>自产电力</w:t>
            </w:r>
          </w:p>
        </w:tc>
        <w:tc>
          <w:tcPr>
            <w:tcW w:w="647" w:type="dxa"/>
          </w:tcPr>
          <w:p w14:paraId="277731BE">
            <w:pPr>
              <w:rPr>
                <w:rFonts w:asciiTheme="minorEastAsia" w:hAnsiTheme="minorEastAsia" w:eastAsiaTheme="minorEastAsia" w:cstheme="minorEastAsia"/>
                <w:sz w:val="18"/>
                <w:szCs w:val="18"/>
              </w:rPr>
            </w:pPr>
          </w:p>
        </w:tc>
        <w:tc>
          <w:tcPr>
            <w:tcW w:w="583" w:type="dxa"/>
          </w:tcPr>
          <w:p w14:paraId="22BC069D">
            <w:pPr>
              <w:rPr>
                <w:rFonts w:asciiTheme="minorEastAsia" w:hAnsiTheme="minorEastAsia" w:eastAsiaTheme="minorEastAsia" w:cstheme="minorEastAsia"/>
                <w:sz w:val="18"/>
                <w:szCs w:val="18"/>
              </w:rPr>
            </w:pPr>
          </w:p>
        </w:tc>
        <w:tc>
          <w:tcPr>
            <w:tcW w:w="550" w:type="dxa"/>
          </w:tcPr>
          <w:p w14:paraId="22567E8B">
            <w:pPr>
              <w:rPr>
                <w:rFonts w:asciiTheme="minorEastAsia" w:hAnsiTheme="minorEastAsia" w:eastAsiaTheme="minorEastAsia" w:cstheme="minorEastAsia"/>
                <w:sz w:val="18"/>
                <w:szCs w:val="18"/>
              </w:rPr>
            </w:pPr>
          </w:p>
        </w:tc>
        <w:tc>
          <w:tcPr>
            <w:tcW w:w="973" w:type="dxa"/>
          </w:tcPr>
          <w:p w14:paraId="6B41553D">
            <w:pPr>
              <w:rPr>
                <w:rFonts w:asciiTheme="minorEastAsia" w:hAnsiTheme="minorEastAsia" w:eastAsiaTheme="minorEastAsia" w:cstheme="minorEastAsia"/>
                <w:sz w:val="18"/>
                <w:szCs w:val="18"/>
              </w:rPr>
            </w:pPr>
          </w:p>
        </w:tc>
        <w:tc>
          <w:tcPr>
            <w:tcW w:w="2374" w:type="dxa"/>
            <w:tcBorders>
              <w:right w:val="single" w:color="231F20" w:sz="4" w:space="0"/>
            </w:tcBorders>
          </w:tcPr>
          <w:p w14:paraId="446FEE96">
            <w:pPr>
              <w:rPr>
                <w:rFonts w:asciiTheme="minorEastAsia" w:hAnsiTheme="minorEastAsia" w:eastAsiaTheme="minorEastAsia" w:cstheme="minorEastAsia"/>
                <w:sz w:val="18"/>
                <w:szCs w:val="18"/>
              </w:rPr>
            </w:pPr>
          </w:p>
        </w:tc>
      </w:tr>
      <w:tr w14:paraId="7A18664B">
        <w:trPr>
          <w:trHeight w:val="356" w:hRule="atLeast"/>
        </w:trPr>
        <w:tc>
          <w:tcPr>
            <w:tcW w:w="4061" w:type="dxa"/>
            <w:tcBorders>
              <w:left w:val="single" w:color="231F20" w:sz="4" w:space="0"/>
            </w:tcBorders>
          </w:tcPr>
          <w:p w14:paraId="23868D01">
            <w:pPr>
              <w:pStyle w:val="11"/>
              <w:spacing w:before="101" w:line="207" w:lineRule="auto"/>
              <w:ind w:left="99"/>
              <w:rPr>
                <w:rFonts w:asciiTheme="minorEastAsia" w:hAnsiTheme="minorEastAsia" w:eastAsiaTheme="minorEastAsia" w:cstheme="minorEastAsia"/>
                <w:spacing w:val="-2"/>
                <w:sz w:val="18"/>
                <w:szCs w:val="18"/>
                <w:lang w:eastAsia="zh-CN"/>
              </w:rPr>
            </w:pPr>
            <w:r>
              <w:rPr>
                <w:rFonts w:hint="eastAsia" w:asciiTheme="minorEastAsia" w:hAnsiTheme="minorEastAsia" w:eastAsiaTheme="minorEastAsia" w:cstheme="minorEastAsia"/>
                <w:spacing w:val="-2"/>
                <w:sz w:val="18"/>
                <w:szCs w:val="18"/>
                <w:lang w:eastAsia="zh-CN"/>
              </w:rPr>
              <w:t>外购</w:t>
            </w:r>
            <w:r>
              <w:rPr>
                <w:rFonts w:hint="eastAsia" w:asciiTheme="minorEastAsia" w:hAnsiTheme="minorEastAsia" w:eastAsiaTheme="minorEastAsia" w:cstheme="minorEastAsia"/>
                <w:spacing w:val="-2"/>
                <w:sz w:val="18"/>
                <w:szCs w:val="18"/>
              </w:rPr>
              <w:t>热力</w:t>
            </w:r>
          </w:p>
        </w:tc>
        <w:tc>
          <w:tcPr>
            <w:tcW w:w="647" w:type="dxa"/>
          </w:tcPr>
          <w:p w14:paraId="7BDC2AAA">
            <w:pPr>
              <w:rPr>
                <w:rFonts w:asciiTheme="minorEastAsia" w:hAnsiTheme="minorEastAsia" w:eastAsiaTheme="minorEastAsia" w:cstheme="minorEastAsia"/>
                <w:sz w:val="18"/>
                <w:szCs w:val="18"/>
              </w:rPr>
            </w:pPr>
          </w:p>
        </w:tc>
        <w:tc>
          <w:tcPr>
            <w:tcW w:w="583" w:type="dxa"/>
          </w:tcPr>
          <w:p w14:paraId="485DAAA7">
            <w:pPr>
              <w:rPr>
                <w:rFonts w:asciiTheme="minorEastAsia" w:hAnsiTheme="minorEastAsia" w:eastAsiaTheme="minorEastAsia" w:cstheme="minorEastAsia"/>
                <w:sz w:val="18"/>
                <w:szCs w:val="18"/>
              </w:rPr>
            </w:pPr>
          </w:p>
        </w:tc>
        <w:tc>
          <w:tcPr>
            <w:tcW w:w="550" w:type="dxa"/>
          </w:tcPr>
          <w:p w14:paraId="4C689BEA">
            <w:pPr>
              <w:rPr>
                <w:rFonts w:asciiTheme="minorEastAsia" w:hAnsiTheme="minorEastAsia" w:eastAsiaTheme="minorEastAsia" w:cstheme="minorEastAsia"/>
                <w:sz w:val="18"/>
                <w:szCs w:val="18"/>
              </w:rPr>
            </w:pPr>
          </w:p>
        </w:tc>
        <w:tc>
          <w:tcPr>
            <w:tcW w:w="973" w:type="dxa"/>
          </w:tcPr>
          <w:p w14:paraId="64323247">
            <w:pPr>
              <w:rPr>
                <w:rFonts w:asciiTheme="minorEastAsia" w:hAnsiTheme="minorEastAsia" w:eastAsiaTheme="minorEastAsia" w:cstheme="minorEastAsia"/>
                <w:sz w:val="18"/>
                <w:szCs w:val="18"/>
              </w:rPr>
            </w:pPr>
          </w:p>
        </w:tc>
        <w:tc>
          <w:tcPr>
            <w:tcW w:w="2374" w:type="dxa"/>
            <w:tcBorders>
              <w:right w:val="single" w:color="231F20" w:sz="4" w:space="0"/>
            </w:tcBorders>
          </w:tcPr>
          <w:p w14:paraId="74BFB890">
            <w:pPr>
              <w:rPr>
                <w:rFonts w:asciiTheme="minorEastAsia" w:hAnsiTheme="minorEastAsia" w:eastAsiaTheme="minorEastAsia" w:cstheme="minorEastAsia"/>
                <w:sz w:val="18"/>
                <w:szCs w:val="18"/>
              </w:rPr>
            </w:pPr>
          </w:p>
        </w:tc>
      </w:tr>
      <w:tr w14:paraId="3FBF0286">
        <w:trPr>
          <w:trHeight w:val="356" w:hRule="atLeast"/>
        </w:trPr>
        <w:tc>
          <w:tcPr>
            <w:tcW w:w="4061" w:type="dxa"/>
            <w:tcBorders>
              <w:left w:val="single" w:color="231F20" w:sz="4" w:space="0"/>
            </w:tcBorders>
          </w:tcPr>
          <w:p w14:paraId="1519405D">
            <w:pPr>
              <w:pStyle w:val="11"/>
              <w:spacing w:before="101" w:line="207" w:lineRule="auto"/>
              <w:ind w:left="99"/>
              <w:rPr>
                <w:rFonts w:asciiTheme="minorEastAsia" w:hAnsiTheme="minorEastAsia" w:eastAsiaTheme="minorEastAsia" w:cstheme="minorEastAsia"/>
                <w:spacing w:val="-2"/>
                <w:sz w:val="18"/>
                <w:szCs w:val="18"/>
                <w:lang w:eastAsia="zh-CN"/>
              </w:rPr>
            </w:pPr>
            <w:r>
              <w:rPr>
                <w:rFonts w:hint="eastAsia" w:asciiTheme="minorEastAsia" w:hAnsiTheme="minorEastAsia" w:eastAsiaTheme="minorEastAsia" w:cstheme="minorEastAsia"/>
                <w:spacing w:val="-2"/>
                <w:sz w:val="18"/>
                <w:szCs w:val="18"/>
                <w:lang w:eastAsia="zh-CN"/>
              </w:rPr>
              <w:t>自产热力</w:t>
            </w:r>
          </w:p>
        </w:tc>
        <w:tc>
          <w:tcPr>
            <w:tcW w:w="647" w:type="dxa"/>
          </w:tcPr>
          <w:p w14:paraId="04C6DFAB">
            <w:pPr>
              <w:rPr>
                <w:rFonts w:asciiTheme="minorEastAsia" w:hAnsiTheme="minorEastAsia" w:eastAsiaTheme="minorEastAsia" w:cstheme="minorEastAsia"/>
                <w:sz w:val="18"/>
                <w:szCs w:val="18"/>
              </w:rPr>
            </w:pPr>
          </w:p>
        </w:tc>
        <w:tc>
          <w:tcPr>
            <w:tcW w:w="583" w:type="dxa"/>
          </w:tcPr>
          <w:p w14:paraId="5C7F5938">
            <w:pPr>
              <w:rPr>
                <w:rFonts w:asciiTheme="minorEastAsia" w:hAnsiTheme="minorEastAsia" w:eastAsiaTheme="minorEastAsia" w:cstheme="minorEastAsia"/>
                <w:sz w:val="18"/>
                <w:szCs w:val="18"/>
              </w:rPr>
            </w:pPr>
          </w:p>
        </w:tc>
        <w:tc>
          <w:tcPr>
            <w:tcW w:w="550" w:type="dxa"/>
          </w:tcPr>
          <w:p w14:paraId="1C8E98BB">
            <w:pPr>
              <w:rPr>
                <w:rFonts w:asciiTheme="minorEastAsia" w:hAnsiTheme="minorEastAsia" w:eastAsiaTheme="minorEastAsia" w:cstheme="minorEastAsia"/>
                <w:sz w:val="18"/>
                <w:szCs w:val="18"/>
              </w:rPr>
            </w:pPr>
          </w:p>
        </w:tc>
        <w:tc>
          <w:tcPr>
            <w:tcW w:w="973" w:type="dxa"/>
          </w:tcPr>
          <w:p w14:paraId="2585FA2E">
            <w:pPr>
              <w:rPr>
                <w:rFonts w:asciiTheme="minorEastAsia" w:hAnsiTheme="minorEastAsia" w:eastAsiaTheme="minorEastAsia" w:cstheme="minorEastAsia"/>
                <w:sz w:val="18"/>
                <w:szCs w:val="18"/>
              </w:rPr>
            </w:pPr>
          </w:p>
        </w:tc>
        <w:tc>
          <w:tcPr>
            <w:tcW w:w="2374" w:type="dxa"/>
            <w:tcBorders>
              <w:right w:val="single" w:color="231F20" w:sz="4" w:space="0"/>
            </w:tcBorders>
          </w:tcPr>
          <w:p w14:paraId="1FDB6BB0">
            <w:pPr>
              <w:rPr>
                <w:rFonts w:asciiTheme="minorEastAsia" w:hAnsiTheme="minorEastAsia" w:eastAsiaTheme="minorEastAsia" w:cstheme="minorEastAsia"/>
                <w:sz w:val="18"/>
                <w:szCs w:val="18"/>
              </w:rPr>
            </w:pPr>
          </w:p>
        </w:tc>
      </w:tr>
      <w:tr w14:paraId="3A931792">
        <w:trPr>
          <w:trHeight w:val="356" w:hRule="atLeast"/>
        </w:trPr>
        <w:tc>
          <w:tcPr>
            <w:tcW w:w="4061" w:type="dxa"/>
            <w:tcBorders>
              <w:left w:val="single" w:color="231F20" w:sz="4" w:space="0"/>
            </w:tcBorders>
          </w:tcPr>
          <w:p w14:paraId="1DD0A261">
            <w:pPr>
              <w:pStyle w:val="11"/>
              <w:spacing w:before="101" w:line="207" w:lineRule="auto"/>
              <w:ind w:left="99"/>
              <w:rPr>
                <w:rFonts w:asciiTheme="minorEastAsia" w:hAnsiTheme="minorEastAsia" w:eastAsiaTheme="minorEastAsia" w:cstheme="minorEastAsia"/>
                <w:spacing w:val="-2"/>
                <w:sz w:val="18"/>
                <w:szCs w:val="18"/>
                <w:lang w:eastAsia="zh-CN"/>
              </w:rPr>
            </w:pPr>
            <w:r>
              <w:rPr>
                <w:rFonts w:hint="eastAsia" w:asciiTheme="minorEastAsia" w:hAnsiTheme="minorEastAsia" w:eastAsiaTheme="minorEastAsia" w:cstheme="minorEastAsia"/>
                <w:spacing w:val="-2"/>
                <w:sz w:val="18"/>
                <w:szCs w:val="18"/>
                <w:lang w:eastAsia="zh-CN"/>
              </w:rPr>
              <w:t>余热</w:t>
            </w:r>
          </w:p>
        </w:tc>
        <w:tc>
          <w:tcPr>
            <w:tcW w:w="647" w:type="dxa"/>
          </w:tcPr>
          <w:p w14:paraId="67F21297">
            <w:pPr>
              <w:rPr>
                <w:rFonts w:asciiTheme="minorEastAsia" w:hAnsiTheme="minorEastAsia" w:eastAsiaTheme="minorEastAsia" w:cstheme="minorEastAsia"/>
                <w:sz w:val="18"/>
                <w:szCs w:val="18"/>
              </w:rPr>
            </w:pPr>
          </w:p>
        </w:tc>
        <w:tc>
          <w:tcPr>
            <w:tcW w:w="583" w:type="dxa"/>
          </w:tcPr>
          <w:p w14:paraId="4CC02344">
            <w:pPr>
              <w:rPr>
                <w:rFonts w:asciiTheme="minorEastAsia" w:hAnsiTheme="minorEastAsia" w:eastAsiaTheme="minorEastAsia" w:cstheme="minorEastAsia"/>
                <w:sz w:val="18"/>
                <w:szCs w:val="18"/>
              </w:rPr>
            </w:pPr>
          </w:p>
        </w:tc>
        <w:tc>
          <w:tcPr>
            <w:tcW w:w="550" w:type="dxa"/>
          </w:tcPr>
          <w:p w14:paraId="0215BD93">
            <w:pPr>
              <w:rPr>
                <w:rFonts w:asciiTheme="minorEastAsia" w:hAnsiTheme="minorEastAsia" w:eastAsiaTheme="minorEastAsia" w:cstheme="minorEastAsia"/>
                <w:sz w:val="18"/>
                <w:szCs w:val="18"/>
              </w:rPr>
            </w:pPr>
          </w:p>
        </w:tc>
        <w:tc>
          <w:tcPr>
            <w:tcW w:w="973" w:type="dxa"/>
          </w:tcPr>
          <w:p w14:paraId="17166A06">
            <w:pPr>
              <w:rPr>
                <w:rFonts w:asciiTheme="minorEastAsia" w:hAnsiTheme="minorEastAsia" w:eastAsiaTheme="minorEastAsia" w:cstheme="minorEastAsia"/>
                <w:sz w:val="18"/>
                <w:szCs w:val="18"/>
              </w:rPr>
            </w:pPr>
          </w:p>
        </w:tc>
        <w:tc>
          <w:tcPr>
            <w:tcW w:w="2374" w:type="dxa"/>
            <w:tcBorders>
              <w:right w:val="single" w:color="231F20" w:sz="4" w:space="0"/>
            </w:tcBorders>
          </w:tcPr>
          <w:p w14:paraId="51EE35CF">
            <w:pPr>
              <w:rPr>
                <w:rFonts w:asciiTheme="minorEastAsia" w:hAnsiTheme="minorEastAsia" w:eastAsiaTheme="minorEastAsia" w:cstheme="minorEastAsia"/>
                <w:sz w:val="18"/>
                <w:szCs w:val="18"/>
              </w:rPr>
            </w:pPr>
          </w:p>
        </w:tc>
      </w:tr>
      <w:tr w14:paraId="0BF98FEB">
        <w:trPr>
          <w:trHeight w:val="356" w:hRule="atLeast"/>
        </w:trPr>
        <w:tc>
          <w:tcPr>
            <w:tcW w:w="4061" w:type="dxa"/>
            <w:tcBorders>
              <w:left w:val="single" w:color="231F20" w:sz="4" w:space="0"/>
            </w:tcBorders>
          </w:tcPr>
          <w:p w14:paraId="37FC1FEB">
            <w:pPr>
              <w:pStyle w:val="11"/>
              <w:spacing w:before="102" w:line="207" w:lineRule="auto"/>
              <w:ind w:left="96"/>
              <w:rPr>
                <w:rFonts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pacing w:val="6"/>
                <w:sz w:val="18"/>
                <w:szCs w:val="18"/>
                <w:lang w:eastAsia="zh-CN"/>
              </w:rPr>
              <w:t>柴油</w:t>
            </w:r>
          </w:p>
        </w:tc>
        <w:tc>
          <w:tcPr>
            <w:tcW w:w="647" w:type="dxa"/>
          </w:tcPr>
          <w:p w14:paraId="5E615914">
            <w:pPr>
              <w:rPr>
                <w:rFonts w:asciiTheme="minorEastAsia" w:hAnsiTheme="minorEastAsia" w:eastAsiaTheme="minorEastAsia" w:cstheme="minorEastAsia"/>
                <w:sz w:val="18"/>
                <w:szCs w:val="18"/>
              </w:rPr>
            </w:pPr>
          </w:p>
        </w:tc>
        <w:tc>
          <w:tcPr>
            <w:tcW w:w="583" w:type="dxa"/>
          </w:tcPr>
          <w:p w14:paraId="57A344E2">
            <w:pPr>
              <w:rPr>
                <w:rFonts w:asciiTheme="minorEastAsia" w:hAnsiTheme="minorEastAsia" w:eastAsiaTheme="minorEastAsia" w:cstheme="minorEastAsia"/>
                <w:sz w:val="18"/>
                <w:szCs w:val="18"/>
              </w:rPr>
            </w:pPr>
          </w:p>
        </w:tc>
        <w:tc>
          <w:tcPr>
            <w:tcW w:w="550" w:type="dxa"/>
          </w:tcPr>
          <w:p w14:paraId="2D966C2B">
            <w:pPr>
              <w:rPr>
                <w:rFonts w:asciiTheme="minorEastAsia" w:hAnsiTheme="minorEastAsia" w:eastAsiaTheme="minorEastAsia" w:cstheme="minorEastAsia"/>
                <w:sz w:val="18"/>
                <w:szCs w:val="18"/>
              </w:rPr>
            </w:pPr>
          </w:p>
        </w:tc>
        <w:tc>
          <w:tcPr>
            <w:tcW w:w="973" w:type="dxa"/>
          </w:tcPr>
          <w:p w14:paraId="7EC06DD5">
            <w:pPr>
              <w:rPr>
                <w:rFonts w:asciiTheme="minorEastAsia" w:hAnsiTheme="minorEastAsia" w:eastAsiaTheme="minorEastAsia" w:cstheme="minorEastAsia"/>
                <w:sz w:val="18"/>
                <w:szCs w:val="18"/>
              </w:rPr>
            </w:pPr>
          </w:p>
        </w:tc>
        <w:tc>
          <w:tcPr>
            <w:tcW w:w="2374" w:type="dxa"/>
            <w:tcBorders>
              <w:right w:val="single" w:color="231F20" w:sz="4" w:space="0"/>
            </w:tcBorders>
          </w:tcPr>
          <w:p w14:paraId="374277C5">
            <w:pPr>
              <w:rPr>
                <w:rFonts w:asciiTheme="minorEastAsia" w:hAnsiTheme="minorEastAsia" w:eastAsiaTheme="minorEastAsia" w:cstheme="minorEastAsia"/>
                <w:sz w:val="18"/>
                <w:szCs w:val="18"/>
              </w:rPr>
            </w:pPr>
          </w:p>
        </w:tc>
      </w:tr>
      <w:tr w14:paraId="0A5CC3C2">
        <w:trPr>
          <w:trHeight w:val="356" w:hRule="atLeast"/>
        </w:trPr>
        <w:tc>
          <w:tcPr>
            <w:tcW w:w="4061" w:type="dxa"/>
            <w:tcBorders>
              <w:left w:val="single" w:color="231F20" w:sz="4" w:space="0"/>
            </w:tcBorders>
          </w:tcPr>
          <w:p w14:paraId="0012EB90">
            <w:pPr>
              <w:pStyle w:val="11"/>
              <w:spacing w:before="106" w:line="183" w:lineRule="auto"/>
              <w:ind w:left="97"/>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pacing w:val="11"/>
                <w:sz w:val="18"/>
                <w:szCs w:val="18"/>
              </w:rPr>
              <w:t>输出</w:t>
            </w:r>
          </w:p>
        </w:tc>
        <w:tc>
          <w:tcPr>
            <w:tcW w:w="647" w:type="dxa"/>
          </w:tcPr>
          <w:p w14:paraId="70E3A7D6">
            <w:pPr>
              <w:pStyle w:val="11"/>
              <w:spacing w:before="105" w:line="186" w:lineRule="auto"/>
              <w:ind w:left="97"/>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pacing w:val="11"/>
                <w:sz w:val="18"/>
                <w:szCs w:val="18"/>
              </w:rPr>
              <w:t>单位</w:t>
            </w:r>
          </w:p>
        </w:tc>
        <w:tc>
          <w:tcPr>
            <w:tcW w:w="583" w:type="dxa"/>
          </w:tcPr>
          <w:p w14:paraId="68AAA33E">
            <w:pPr>
              <w:pStyle w:val="11"/>
              <w:spacing w:before="106" w:line="182" w:lineRule="auto"/>
              <w:ind w:left="99"/>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pacing w:val="11"/>
                <w:sz w:val="18"/>
                <w:szCs w:val="18"/>
              </w:rPr>
              <w:t>数量</w:t>
            </w:r>
          </w:p>
        </w:tc>
        <w:tc>
          <w:tcPr>
            <w:tcW w:w="550" w:type="dxa"/>
          </w:tcPr>
          <w:p w14:paraId="75457BBB">
            <w:pPr>
              <w:pStyle w:val="11"/>
              <w:spacing w:before="111" w:line="178" w:lineRule="auto"/>
              <w:ind w:left="10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pacing w:val="11"/>
                <w:sz w:val="18"/>
                <w:szCs w:val="18"/>
              </w:rPr>
              <w:t>运距</w:t>
            </w:r>
          </w:p>
        </w:tc>
        <w:tc>
          <w:tcPr>
            <w:tcW w:w="973" w:type="dxa"/>
          </w:tcPr>
          <w:p w14:paraId="05A89898">
            <w:pPr>
              <w:pStyle w:val="11"/>
              <w:spacing w:before="106" w:line="183" w:lineRule="auto"/>
              <w:ind w:left="10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pacing w:val="15"/>
                <w:sz w:val="18"/>
                <w:szCs w:val="18"/>
              </w:rPr>
              <w:t>运输方式</w:t>
            </w:r>
          </w:p>
        </w:tc>
        <w:tc>
          <w:tcPr>
            <w:tcW w:w="2374" w:type="dxa"/>
            <w:tcBorders>
              <w:right w:val="single" w:color="231F20" w:sz="4" w:space="0"/>
            </w:tcBorders>
          </w:tcPr>
          <w:p w14:paraId="2FF2A2D0">
            <w:pPr>
              <w:pStyle w:val="11"/>
              <w:spacing w:before="84" w:line="228" w:lineRule="auto"/>
              <w:ind w:left="101"/>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pacing w:val="6"/>
                <w:sz w:val="18"/>
                <w:szCs w:val="18"/>
              </w:rPr>
              <w:t>规格</w:t>
            </w:r>
            <w:r>
              <w:rPr>
                <w:rFonts w:hint="eastAsia" w:asciiTheme="minorEastAsia" w:hAnsiTheme="minorEastAsia" w:eastAsiaTheme="minorEastAsia" w:cstheme="minorEastAsia"/>
                <w:spacing w:val="-21"/>
                <w:sz w:val="18"/>
                <w:szCs w:val="18"/>
              </w:rPr>
              <w:t xml:space="preserve"> </w:t>
            </w:r>
            <w:r>
              <w:rPr>
                <w:rFonts w:hint="eastAsia" w:asciiTheme="minorEastAsia" w:hAnsiTheme="minorEastAsia" w:eastAsiaTheme="minorEastAsia" w:cstheme="minorEastAsia"/>
                <w:spacing w:val="6"/>
                <w:sz w:val="18"/>
                <w:szCs w:val="18"/>
              </w:rPr>
              <w:t>、成分</w:t>
            </w:r>
            <w:r>
              <w:rPr>
                <w:rFonts w:hint="eastAsia" w:asciiTheme="minorEastAsia" w:hAnsiTheme="minorEastAsia" w:eastAsiaTheme="minorEastAsia" w:cstheme="minorEastAsia"/>
                <w:b/>
                <w:bCs/>
                <w:spacing w:val="6"/>
                <w:sz w:val="18"/>
                <w:szCs w:val="18"/>
              </w:rPr>
              <w:t>/</w:t>
            </w:r>
            <w:r>
              <w:rPr>
                <w:rFonts w:hint="eastAsia" w:asciiTheme="minorEastAsia" w:hAnsiTheme="minorEastAsia" w:eastAsiaTheme="minorEastAsia" w:cstheme="minorEastAsia"/>
                <w:spacing w:val="6"/>
                <w:sz w:val="18"/>
                <w:szCs w:val="18"/>
              </w:rPr>
              <w:t>去向</w:t>
            </w:r>
          </w:p>
        </w:tc>
      </w:tr>
      <w:tr w14:paraId="5D67093A">
        <w:trPr>
          <w:trHeight w:val="356" w:hRule="atLeast"/>
        </w:trPr>
        <w:tc>
          <w:tcPr>
            <w:tcW w:w="4061" w:type="dxa"/>
            <w:tcBorders>
              <w:left w:val="single" w:color="231F20" w:sz="4" w:space="0"/>
            </w:tcBorders>
          </w:tcPr>
          <w:p w14:paraId="23CE93D0">
            <w:pPr>
              <w:pStyle w:val="11"/>
              <w:spacing w:before="105" w:line="185" w:lineRule="auto"/>
              <w:ind w:left="97"/>
              <w:rPr>
                <w:rFonts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pacing w:val="11"/>
                <w:sz w:val="18"/>
                <w:szCs w:val="18"/>
                <w:lang w:eastAsia="zh-CN"/>
              </w:rPr>
              <w:t>纯碱</w:t>
            </w:r>
          </w:p>
        </w:tc>
        <w:tc>
          <w:tcPr>
            <w:tcW w:w="647" w:type="dxa"/>
          </w:tcPr>
          <w:p w14:paraId="47095E17">
            <w:pPr>
              <w:rPr>
                <w:rFonts w:asciiTheme="minorEastAsia" w:hAnsiTheme="minorEastAsia" w:eastAsiaTheme="minorEastAsia" w:cstheme="minorEastAsia"/>
                <w:sz w:val="18"/>
                <w:szCs w:val="18"/>
              </w:rPr>
            </w:pPr>
          </w:p>
        </w:tc>
        <w:tc>
          <w:tcPr>
            <w:tcW w:w="583" w:type="dxa"/>
          </w:tcPr>
          <w:p w14:paraId="4D6B75CA">
            <w:pPr>
              <w:rPr>
                <w:rFonts w:asciiTheme="minorEastAsia" w:hAnsiTheme="minorEastAsia" w:eastAsiaTheme="minorEastAsia" w:cstheme="minorEastAsia"/>
                <w:sz w:val="18"/>
                <w:szCs w:val="18"/>
              </w:rPr>
            </w:pPr>
          </w:p>
        </w:tc>
        <w:tc>
          <w:tcPr>
            <w:tcW w:w="550" w:type="dxa"/>
          </w:tcPr>
          <w:p w14:paraId="2E92B3A1">
            <w:pPr>
              <w:rPr>
                <w:rFonts w:asciiTheme="minorEastAsia" w:hAnsiTheme="minorEastAsia" w:eastAsiaTheme="minorEastAsia" w:cstheme="minorEastAsia"/>
                <w:sz w:val="18"/>
                <w:szCs w:val="18"/>
              </w:rPr>
            </w:pPr>
          </w:p>
        </w:tc>
        <w:tc>
          <w:tcPr>
            <w:tcW w:w="973" w:type="dxa"/>
          </w:tcPr>
          <w:p w14:paraId="4D01FAE2">
            <w:pPr>
              <w:rPr>
                <w:rFonts w:asciiTheme="minorEastAsia" w:hAnsiTheme="minorEastAsia" w:eastAsiaTheme="minorEastAsia" w:cstheme="minorEastAsia"/>
                <w:sz w:val="18"/>
                <w:szCs w:val="18"/>
              </w:rPr>
            </w:pPr>
          </w:p>
        </w:tc>
        <w:tc>
          <w:tcPr>
            <w:tcW w:w="2374" w:type="dxa"/>
            <w:tcBorders>
              <w:right w:val="single" w:color="231F20" w:sz="4" w:space="0"/>
            </w:tcBorders>
          </w:tcPr>
          <w:p w14:paraId="6002904F">
            <w:pPr>
              <w:rPr>
                <w:rFonts w:asciiTheme="minorEastAsia" w:hAnsiTheme="minorEastAsia" w:eastAsiaTheme="minorEastAsia" w:cstheme="minorEastAsia"/>
                <w:sz w:val="18"/>
                <w:szCs w:val="18"/>
              </w:rPr>
            </w:pPr>
          </w:p>
        </w:tc>
      </w:tr>
      <w:tr w14:paraId="2EA829CF">
        <w:trPr>
          <w:trHeight w:val="356" w:hRule="atLeast"/>
        </w:trPr>
        <w:tc>
          <w:tcPr>
            <w:tcW w:w="4061" w:type="dxa"/>
            <w:tcBorders>
              <w:left w:val="single" w:color="231F20" w:sz="4" w:space="0"/>
            </w:tcBorders>
          </w:tcPr>
          <w:p w14:paraId="54D9F0CD">
            <w:pPr>
              <w:pStyle w:val="11"/>
              <w:spacing w:before="103" w:line="207" w:lineRule="auto"/>
              <w:ind w:left="98"/>
              <w:rPr>
                <w:rFonts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pacing w:val="-2"/>
                <w:sz w:val="18"/>
                <w:szCs w:val="18"/>
                <w:lang w:eastAsia="zh-CN"/>
              </w:rPr>
              <w:t>共生产品XX（如有）</w:t>
            </w:r>
          </w:p>
        </w:tc>
        <w:tc>
          <w:tcPr>
            <w:tcW w:w="647" w:type="dxa"/>
          </w:tcPr>
          <w:p w14:paraId="47F7D68B">
            <w:pPr>
              <w:rPr>
                <w:rFonts w:asciiTheme="minorEastAsia" w:hAnsiTheme="minorEastAsia" w:eastAsiaTheme="minorEastAsia" w:cstheme="minorEastAsia"/>
                <w:sz w:val="18"/>
                <w:szCs w:val="18"/>
                <w:lang w:eastAsia="zh-CN"/>
              </w:rPr>
            </w:pPr>
          </w:p>
        </w:tc>
        <w:tc>
          <w:tcPr>
            <w:tcW w:w="583" w:type="dxa"/>
          </w:tcPr>
          <w:p w14:paraId="09EE65D2">
            <w:pPr>
              <w:rPr>
                <w:rFonts w:asciiTheme="minorEastAsia" w:hAnsiTheme="minorEastAsia" w:eastAsiaTheme="minorEastAsia" w:cstheme="minorEastAsia"/>
                <w:sz w:val="18"/>
                <w:szCs w:val="18"/>
                <w:lang w:eastAsia="zh-CN"/>
              </w:rPr>
            </w:pPr>
          </w:p>
        </w:tc>
        <w:tc>
          <w:tcPr>
            <w:tcW w:w="550" w:type="dxa"/>
          </w:tcPr>
          <w:p w14:paraId="19C4DC2B">
            <w:pPr>
              <w:rPr>
                <w:rFonts w:asciiTheme="minorEastAsia" w:hAnsiTheme="minorEastAsia" w:eastAsiaTheme="minorEastAsia" w:cstheme="minorEastAsia"/>
                <w:sz w:val="18"/>
                <w:szCs w:val="18"/>
                <w:lang w:eastAsia="zh-CN"/>
              </w:rPr>
            </w:pPr>
          </w:p>
        </w:tc>
        <w:tc>
          <w:tcPr>
            <w:tcW w:w="973" w:type="dxa"/>
          </w:tcPr>
          <w:p w14:paraId="303F1DE9">
            <w:pPr>
              <w:rPr>
                <w:rFonts w:asciiTheme="minorEastAsia" w:hAnsiTheme="minorEastAsia" w:eastAsiaTheme="minorEastAsia" w:cstheme="minorEastAsia"/>
                <w:sz w:val="18"/>
                <w:szCs w:val="18"/>
                <w:lang w:eastAsia="zh-CN"/>
              </w:rPr>
            </w:pPr>
          </w:p>
        </w:tc>
        <w:tc>
          <w:tcPr>
            <w:tcW w:w="2374" w:type="dxa"/>
            <w:tcBorders>
              <w:right w:val="single" w:color="231F20" w:sz="4" w:space="0"/>
            </w:tcBorders>
          </w:tcPr>
          <w:p w14:paraId="006B47A5">
            <w:pPr>
              <w:rPr>
                <w:rFonts w:asciiTheme="minorEastAsia" w:hAnsiTheme="minorEastAsia" w:eastAsiaTheme="minorEastAsia" w:cstheme="minorEastAsia"/>
                <w:sz w:val="18"/>
                <w:szCs w:val="18"/>
                <w:lang w:eastAsia="zh-CN"/>
              </w:rPr>
            </w:pPr>
          </w:p>
        </w:tc>
      </w:tr>
      <w:tr w14:paraId="6DAC616A">
        <w:trPr>
          <w:trHeight w:val="356" w:hRule="atLeast"/>
        </w:trPr>
        <w:tc>
          <w:tcPr>
            <w:tcW w:w="4061" w:type="dxa"/>
            <w:tcBorders>
              <w:left w:val="single" w:color="231F20" w:sz="4" w:space="0"/>
            </w:tcBorders>
          </w:tcPr>
          <w:p w14:paraId="0458ABC4">
            <w:pPr>
              <w:pStyle w:val="11"/>
              <w:spacing w:before="103" w:line="207" w:lineRule="auto"/>
              <w:ind w:left="98"/>
              <w:rPr>
                <w:rFonts w:asciiTheme="minorEastAsia" w:hAnsiTheme="minorEastAsia" w:eastAsiaTheme="minorEastAsia" w:cstheme="minorEastAsia"/>
                <w:spacing w:val="-2"/>
                <w:sz w:val="18"/>
                <w:szCs w:val="18"/>
                <w:lang w:eastAsia="zh-CN"/>
              </w:rPr>
            </w:pPr>
            <w:r>
              <w:rPr>
                <w:rFonts w:hint="eastAsia" w:asciiTheme="minorEastAsia" w:hAnsiTheme="minorEastAsia" w:eastAsiaTheme="minorEastAsia" w:cstheme="minorEastAsia"/>
                <w:spacing w:val="-2"/>
                <w:sz w:val="18"/>
                <w:szCs w:val="18"/>
                <w:lang w:eastAsia="zh-CN"/>
              </w:rPr>
              <w:t>废渣</w:t>
            </w:r>
          </w:p>
        </w:tc>
        <w:tc>
          <w:tcPr>
            <w:tcW w:w="647" w:type="dxa"/>
          </w:tcPr>
          <w:p w14:paraId="58C23AB5">
            <w:pPr>
              <w:rPr>
                <w:rFonts w:asciiTheme="minorEastAsia" w:hAnsiTheme="minorEastAsia" w:eastAsiaTheme="minorEastAsia" w:cstheme="minorEastAsia"/>
                <w:sz w:val="18"/>
                <w:szCs w:val="18"/>
              </w:rPr>
            </w:pPr>
          </w:p>
        </w:tc>
        <w:tc>
          <w:tcPr>
            <w:tcW w:w="583" w:type="dxa"/>
          </w:tcPr>
          <w:p w14:paraId="2E53124D">
            <w:pPr>
              <w:rPr>
                <w:rFonts w:asciiTheme="minorEastAsia" w:hAnsiTheme="minorEastAsia" w:eastAsiaTheme="minorEastAsia" w:cstheme="minorEastAsia"/>
                <w:sz w:val="18"/>
                <w:szCs w:val="18"/>
              </w:rPr>
            </w:pPr>
          </w:p>
        </w:tc>
        <w:tc>
          <w:tcPr>
            <w:tcW w:w="550" w:type="dxa"/>
          </w:tcPr>
          <w:p w14:paraId="43F1DC5A">
            <w:pPr>
              <w:rPr>
                <w:rFonts w:asciiTheme="minorEastAsia" w:hAnsiTheme="minorEastAsia" w:eastAsiaTheme="minorEastAsia" w:cstheme="minorEastAsia"/>
                <w:sz w:val="18"/>
                <w:szCs w:val="18"/>
              </w:rPr>
            </w:pPr>
          </w:p>
        </w:tc>
        <w:tc>
          <w:tcPr>
            <w:tcW w:w="973" w:type="dxa"/>
          </w:tcPr>
          <w:p w14:paraId="309F545E">
            <w:pPr>
              <w:rPr>
                <w:rFonts w:asciiTheme="minorEastAsia" w:hAnsiTheme="minorEastAsia" w:eastAsiaTheme="minorEastAsia" w:cstheme="minorEastAsia"/>
                <w:sz w:val="18"/>
                <w:szCs w:val="18"/>
              </w:rPr>
            </w:pPr>
          </w:p>
        </w:tc>
        <w:tc>
          <w:tcPr>
            <w:tcW w:w="2374" w:type="dxa"/>
            <w:tcBorders>
              <w:right w:val="single" w:color="231F20" w:sz="4" w:space="0"/>
            </w:tcBorders>
          </w:tcPr>
          <w:p w14:paraId="6B7474A9">
            <w:pPr>
              <w:rPr>
                <w:rFonts w:asciiTheme="minorEastAsia" w:hAnsiTheme="minorEastAsia" w:eastAsiaTheme="minorEastAsia" w:cstheme="minorEastAsia"/>
                <w:sz w:val="18"/>
                <w:szCs w:val="18"/>
              </w:rPr>
            </w:pPr>
          </w:p>
        </w:tc>
      </w:tr>
      <w:tr w14:paraId="5F77A5ED">
        <w:trPr>
          <w:trHeight w:val="356" w:hRule="atLeast"/>
        </w:trPr>
        <w:tc>
          <w:tcPr>
            <w:tcW w:w="4061" w:type="dxa"/>
            <w:tcBorders>
              <w:left w:val="single" w:color="231F20" w:sz="4" w:space="0"/>
            </w:tcBorders>
          </w:tcPr>
          <w:p w14:paraId="0922209D">
            <w:pPr>
              <w:pStyle w:val="11"/>
              <w:spacing w:before="103" w:line="207" w:lineRule="auto"/>
              <w:ind w:left="98"/>
              <w:rPr>
                <w:rFonts w:asciiTheme="minorEastAsia" w:hAnsiTheme="minorEastAsia" w:eastAsiaTheme="minorEastAsia" w:cstheme="minorEastAsia"/>
                <w:spacing w:val="-2"/>
                <w:sz w:val="18"/>
                <w:szCs w:val="18"/>
                <w:lang w:eastAsia="zh-CN"/>
              </w:rPr>
            </w:pPr>
            <w:r>
              <w:rPr>
                <w:rFonts w:hint="eastAsia" w:asciiTheme="minorEastAsia" w:hAnsiTheme="minorEastAsia" w:eastAsiaTheme="minorEastAsia" w:cstheme="minorEastAsia"/>
                <w:spacing w:val="-2"/>
                <w:sz w:val="18"/>
                <w:szCs w:val="18"/>
                <w:lang w:eastAsia="zh-CN"/>
              </w:rPr>
              <w:t>危废</w:t>
            </w:r>
          </w:p>
        </w:tc>
        <w:tc>
          <w:tcPr>
            <w:tcW w:w="647" w:type="dxa"/>
          </w:tcPr>
          <w:p w14:paraId="7D49D94F">
            <w:pPr>
              <w:rPr>
                <w:rFonts w:asciiTheme="minorEastAsia" w:hAnsiTheme="minorEastAsia" w:eastAsiaTheme="minorEastAsia" w:cstheme="minorEastAsia"/>
                <w:sz w:val="18"/>
                <w:szCs w:val="18"/>
              </w:rPr>
            </w:pPr>
          </w:p>
        </w:tc>
        <w:tc>
          <w:tcPr>
            <w:tcW w:w="583" w:type="dxa"/>
          </w:tcPr>
          <w:p w14:paraId="1522A755">
            <w:pPr>
              <w:rPr>
                <w:rFonts w:asciiTheme="minorEastAsia" w:hAnsiTheme="minorEastAsia" w:eastAsiaTheme="minorEastAsia" w:cstheme="minorEastAsia"/>
                <w:sz w:val="18"/>
                <w:szCs w:val="18"/>
              </w:rPr>
            </w:pPr>
          </w:p>
        </w:tc>
        <w:tc>
          <w:tcPr>
            <w:tcW w:w="550" w:type="dxa"/>
          </w:tcPr>
          <w:p w14:paraId="6D7A36A0">
            <w:pPr>
              <w:rPr>
                <w:rFonts w:asciiTheme="minorEastAsia" w:hAnsiTheme="minorEastAsia" w:eastAsiaTheme="minorEastAsia" w:cstheme="minorEastAsia"/>
                <w:sz w:val="18"/>
                <w:szCs w:val="18"/>
              </w:rPr>
            </w:pPr>
          </w:p>
        </w:tc>
        <w:tc>
          <w:tcPr>
            <w:tcW w:w="973" w:type="dxa"/>
          </w:tcPr>
          <w:p w14:paraId="048E94A9">
            <w:pPr>
              <w:rPr>
                <w:rFonts w:asciiTheme="minorEastAsia" w:hAnsiTheme="minorEastAsia" w:eastAsiaTheme="minorEastAsia" w:cstheme="minorEastAsia"/>
                <w:sz w:val="18"/>
                <w:szCs w:val="18"/>
              </w:rPr>
            </w:pPr>
          </w:p>
        </w:tc>
        <w:tc>
          <w:tcPr>
            <w:tcW w:w="2374" w:type="dxa"/>
            <w:tcBorders>
              <w:right w:val="single" w:color="231F20" w:sz="4" w:space="0"/>
            </w:tcBorders>
          </w:tcPr>
          <w:p w14:paraId="6CE9C6AC">
            <w:pPr>
              <w:rPr>
                <w:rFonts w:asciiTheme="minorEastAsia" w:hAnsiTheme="minorEastAsia" w:eastAsiaTheme="minorEastAsia" w:cstheme="minorEastAsia"/>
                <w:sz w:val="18"/>
                <w:szCs w:val="18"/>
              </w:rPr>
            </w:pPr>
          </w:p>
        </w:tc>
      </w:tr>
      <w:tr w14:paraId="5A9DBE73">
        <w:trPr>
          <w:trHeight w:val="356" w:hRule="atLeast"/>
        </w:trPr>
        <w:tc>
          <w:tcPr>
            <w:tcW w:w="4061" w:type="dxa"/>
            <w:tcBorders>
              <w:left w:val="single" w:color="231F20" w:sz="4" w:space="0"/>
            </w:tcBorders>
          </w:tcPr>
          <w:p w14:paraId="0C254F3D">
            <w:pPr>
              <w:pStyle w:val="11"/>
              <w:spacing w:before="103" w:line="207" w:lineRule="auto"/>
              <w:ind w:left="98"/>
              <w:rPr>
                <w:rFonts w:asciiTheme="minorEastAsia" w:hAnsiTheme="minorEastAsia" w:eastAsiaTheme="minorEastAsia" w:cstheme="minorEastAsia"/>
                <w:spacing w:val="-2"/>
                <w:sz w:val="18"/>
                <w:szCs w:val="18"/>
                <w:lang w:eastAsia="zh-CN"/>
              </w:rPr>
            </w:pPr>
            <w:r>
              <w:rPr>
                <w:rFonts w:hint="eastAsia" w:asciiTheme="minorEastAsia" w:hAnsiTheme="minorEastAsia" w:eastAsiaTheme="minorEastAsia" w:cstheme="minorEastAsia"/>
                <w:spacing w:val="-2"/>
                <w:sz w:val="18"/>
                <w:szCs w:val="18"/>
                <w:lang w:eastAsia="zh-CN"/>
              </w:rPr>
              <w:t>废水</w:t>
            </w:r>
          </w:p>
        </w:tc>
        <w:tc>
          <w:tcPr>
            <w:tcW w:w="647" w:type="dxa"/>
          </w:tcPr>
          <w:p w14:paraId="0E5D9E58">
            <w:pPr>
              <w:rPr>
                <w:rFonts w:asciiTheme="minorEastAsia" w:hAnsiTheme="minorEastAsia" w:eastAsiaTheme="minorEastAsia" w:cstheme="minorEastAsia"/>
                <w:sz w:val="18"/>
                <w:szCs w:val="18"/>
              </w:rPr>
            </w:pPr>
          </w:p>
        </w:tc>
        <w:tc>
          <w:tcPr>
            <w:tcW w:w="583" w:type="dxa"/>
          </w:tcPr>
          <w:p w14:paraId="38905EE0">
            <w:pPr>
              <w:rPr>
                <w:rFonts w:asciiTheme="minorEastAsia" w:hAnsiTheme="minorEastAsia" w:eastAsiaTheme="minorEastAsia" w:cstheme="minorEastAsia"/>
                <w:sz w:val="18"/>
                <w:szCs w:val="18"/>
              </w:rPr>
            </w:pPr>
          </w:p>
        </w:tc>
        <w:tc>
          <w:tcPr>
            <w:tcW w:w="550" w:type="dxa"/>
          </w:tcPr>
          <w:p w14:paraId="1594871A">
            <w:pPr>
              <w:rPr>
                <w:rFonts w:asciiTheme="minorEastAsia" w:hAnsiTheme="minorEastAsia" w:eastAsiaTheme="minorEastAsia" w:cstheme="minorEastAsia"/>
                <w:sz w:val="18"/>
                <w:szCs w:val="18"/>
              </w:rPr>
            </w:pPr>
          </w:p>
        </w:tc>
        <w:tc>
          <w:tcPr>
            <w:tcW w:w="973" w:type="dxa"/>
          </w:tcPr>
          <w:p w14:paraId="7E0FAE1C">
            <w:pPr>
              <w:rPr>
                <w:rFonts w:asciiTheme="minorEastAsia" w:hAnsiTheme="minorEastAsia" w:eastAsiaTheme="minorEastAsia" w:cstheme="minorEastAsia"/>
                <w:sz w:val="18"/>
                <w:szCs w:val="18"/>
              </w:rPr>
            </w:pPr>
          </w:p>
        </w:tc>
        <w:tc>
          <w:tcPr>
            <w:tcW w:w="2374" w:type="dxa"/>
            <w:tcBorders>
              <w:right w:val="single" w:color="231F20" w:sz="4" w:space="0"/>
            </w:tcBorders>
          </w:tcPr>
          <w:p w14:paraId="3A9754D2">
            <w:pPr>
              <w:rPr>
                <w:rFonts w:asciiTheme="minorEastAsia" w:hAnsiTheme="minorEastAsia" w:eastAsiaTheme="minorEastAsia" w:cstheme="minorEastAsia"/>
                <w:sz w:val="18"/>
                <w:szCs w:val="18"/>
              </w:rPr>
            </w:pPr>
          </w:p>
        </w:tc>
      </w:tr>
      <w:tr w14:paraId="36BE50C8">
        <w:trPr>
          <w:trHeight w:val="356" w:hRule="atLeast"/>
        </w:trPr>
        <w:tc>
          <w:tcPr>
            <w:tcW w:w="4061" w:type="dxa"/>
            <w:tcBorders>
              <w:left w:val="single" w:color="231F20" w:sz="4" w:space="0"/>
            </w:tcBorders>
          </w:tcPr>
          <w:p w14:paraId="70A02A86">
            <w:pPr>
              <w:pStyle w:val="11"/>
              <w:spacing w:before="103" w:line="207" w:lineRule="auto"/>
              <w:ind w:left="98"/>
              <w:rPr>
                <w:rFonts w:asciiTheme="minorEastAsia" w:hAnsiTheme="minorEastAsia" w:eastAsiaTheme="minorEastAsia" w:cstheme="minorEastAsia"/>
                <w:spacing w:val="-2"/>
                <w:sz w:val="18"/>
                <w:szCs w:val="18"/>
                <w:lang w:eastAsia="zh-CN"/>
              </w:rPr>
            </w:pPr>
            <w:r>
              <w:rPr>
                <w:rFonts w:hint="eastAsia" w:asciiTheme="minorEastAsia" w:hAnsiTheme="minorEastAsia" w:eastAsiaTheme="minorEastAsia" w:cstheme="minorEastAsia"/>
                <w:spacing w:val="-2"/>
                <w:sz w:val="18"/>
                <w:szCs w:val="18"/>
                <w:lang w:eastAsia="zh-CN"/>
              </w:rPr>
              <w:t>废气</w:t>
            </w:r>
          </w:p>
        </w:tc>
        <w:tc>
          <w:tcPr>
            <w:tcW w:w="647" w:type="dxa"/>
          </w:tcPr>
          <w:p w14:paraId="4B8C5456">
            <w:pPr>
              <w:rPr>
                <w:rFonts w:asciiTheme="minorEastAsia" w:hAnsiTheme="minorEastAsia" w:eastAsiaTheme="minorEastAsia" w:cstheme="minorEastAsia"/>
                <w:sz w:val="18"/>
                <w:szCs w:val="18"/>
              </w:rPr>
            </w:pPr>
          </w:p>
        </w:tc>
        <w:tc>
          <w:tcPr>
            <w:tcW w:w="583" w:type="dxa"/>
          </w:tcPr>
          <w:p w14:paraId="618C323E">
            <w:pPr>
              <w:rPr>
                <w:rFonts w:asciiTheme="minorEastAsia" w:hAnsiTheme="minorEastAsia" w:eastAsiaTheme="minorEastAsia" w:cstheme="minorEastAsia"/>
                <w:sz w:val="18"/>
                <w:szCs w:val="18"/>
              </w:rPr>
            </w:pPr>
          </w:p>
        </w:tc>
        <w:tc>
          <w:tcPr>
            <w:tcW w:w="550" w:type="dxa"/>
          </w:tcPr>
          <w:p w14:paraId="5A706DE8">
            <w:pPr>
              <w:rPr>
                <w:rFonts w:asciiTheme="minorEastAsia" w:hAnsiTheme="minorEastAsia" w:eastAsiaTheme="minorEastAsia" w:cstheme="minorEastAsia"/>
                <w:sz w:val="18"/>
                <w:szCs w:val="18"/>
              </w:rPr>
            </w:pPr>
          </w:p>
        </w:tc>
        <w:tc>
          <w:tcPr>
            <w:tcW w:w="973" w:type="dxa"/>
          </w:tcPr>
          <w:p w14:paraId="26354103">
            <w:pPr>
              <w:rPr>
                <w:rFonts w:asciiTheme="minorEastAsia" w:hAnsiTheme="minorEastAsia" w:eastAsiaTheme="minorEastAsia" w:cstheme="minorEastAsia"/>
                <w:sz w:val="18"/>
                <w:szCs w:val="18"/>
              </w:rPr>
            </w:pPr>
          </w:p>
        </w:tc>
        <w:tc>
          <w:tcPr>
            <w:tcW w:w="2374" w:type="dxa"/>
            <w:tcBorders>
              <w:right w:val="single" w:color="231F20" w:sz="4" w:space="0"/>
            </w:tcBorders>
          </w:tcPr>
          <w:p w14:paraId="640BE0DC">
            <w:pPr>
              <w:rPr>
                <w:rFonts w:asciiTheme="minorEastAsia" w:hAnsiTheme="minorEastAsia" w:eastAsiaTheme="minorEastAsia" w:cstheme="minorEastAsia"/>
                <w:sz w:val="18"/>
                <w:szCs w:val="18"/>
              </w:rPr>
            </w:pPr>
          </w:p>
        </w:tc>
      </w:tr>
      <w:tr w14:paraId="4D64127D">
        <w:trPr>
          <w:trHeight w:val="356" w:hRule="atLeast"/>
        </w:trPr>
        <w:tc>
          <w:tcPr>
            <w:tcW w:w="4061" w:type="dxa"/>
            <w:tcBorders>
              <w:left w:val="single" w:color="231F20" w:sz="4" w:space="0"/>
            </w:tcBorders>
          </w:tcPr>
          <w:p w14:paraId="3E2DE1F9">
            <w:pPr>
              <w:pStyle w:val="11"/>
              <w:spacing w:before="96" w:line="213" w:lineRule="auto"/>
              <w:ind w:left="100"/>
              <w:rPr>
                <w:rFonts w:asciiTheme="minorEastAsia" w:hAnsiTheme="minorEastAsia" w:eastAsiaTheme="minorEastAsia" w:cstheme="minorEastAsia"/>
                <w:spacing w:val="10"/>
                <w:sz w:val="18"/>
                <w:szCs w:val="18"/>
                <w:lang w:eastAsia="zh-CN"/>
              </w:rPr>
            </w:pPr>
            <w:r>
              <w:rPr>
                <w:rFonts w:hint="eastAsia" w:asciiTheme="minorEastAsia" w:hAnsiTheme="minorEastAsia" w:eastAsiaTheme="minorEastAsia" w:cstheme="minorEastAsia"/>
                <w:spacing w:val="10"/>
                <w:sz w:val="18"/>
                <w:szCs w:val="18"/>
                <w:lang w:eastAsia="zh-CN"/>
              </w:rPr>
              <w:t>温室气体直接排放（燃料燃烧）</w:t>
            </w:r>
          </w:p>
        </w:tc>
        <w:tc>
          <w:tcPr>
            <w:tcW w:w="647" w:type="dxa"/>
          </w:tcPr>
          <w:p w14:paraId="0142D4B8">
            <w:pPr>
              <w:rPr>
                <w:rFonts w:asciiTheme="minorEastAsia" w:hAnsiTheme="minorEastAsia" w:eastAsiaTheme="minorEastAsia" w:cstheme="minorEastAsia"/>
                <w:sz w:val="18"/>
                <w:szCs w:val="18"/>
                <w:lang w:eastAsia="zh-CN"/>
              </w:rPr>
            </w:pPr>
          </w:p>
        </w:tc>
        <w:tc>
          <w:tcPr>
            <w:tcW w:w="583" w:type="dxa"/>
          </w:tcPr>
          <w:p w14:paraId="7BE7405A">
            <w:pPr>
              <w:rPr>
                <w:rFonts w:asciiTheme="minorEastAsia" w:hAnsiTheme="minorEastAsia" w:eastAsiaTheme="minorEastAsia" w:cstheme="minorEastAsia"/>
                <w:sz w:val="18"/>
                <w:szCs w:val="18"/>
                <w:lang w:eastAsia="zh-CN"/>
              </w:rPr>
            </w:pPr>
          </w:p>
        </w:tc>
        <w:tc>
          <w:tcPr>
            <w:tcW w:w="550" w:type="dxa"/>
          </w:tcPr>
          <w:p w14:paraId="719CAEA9">
            <w:pPr>
              <w:rPr>
                <w:rFonts w:asciiTheme="minorEastAsia" w:hAnsiTheme="minorEastAsia" w:eastAsiaTheme="minorEastAsia" w:cstheme="minorEastAsia"/>
                <w:sz w:val="18"/>
                <w:szCs w:val="18"/>
                <w:lang w:eastAsia="zh-CN"/>
              </w:rPr>
            </w:pPr>
          </w:p>
        </w:tc>
        <w:tc>
          <w:tcPr>
            <w:tcW w:w="973" w:type="dxa"/>
          </w:tcPr>
          <w:p w14:paraId="22E5796A">
            <w:pPr>
              <w:rPr>
                <w:rFonts w:asciiTheme="minorEastAsia" w:hAnsiTheme="minorEastAsia" w:eastAsiaTheme="minorEastAsia" w:cstheme="minorEastAsia"/>
                <w:sz w:val="18"/>
                <w:szCs w:val="18"/>
                <w:lang w:eastAsia="zh-CN"/>
              </w:rPr>
            </w:pPr>
          </w:p>
        </w:tc>
        <w:tc>
          <w:tcPr>
            <w:tcW w:w="2374" w:type="dxa"/>
            <w:tcBorders>
              <w:right w:val="single" w:color="231F20" w:sz="4" w:space="0"/>
            </w:tcBorders>
          </w:tcPr>
          <w:p w14:paraId="586FA043">
            <w:pPr>
              <w:rPr>
                <w:rFonts w:asciiTheme="minorEastAsia" w:hAnsiTheme="minorEastAsia" w:eastAsiaTheme="minorEastAsia" w:cstheme="minorEastAsia"/>
                <w:sz w:val="18"/>
                <w:szCs w:val="18"/>
                <w:lang w:eastAsia="zh-CN"/>
              </w:rPr>
            </w:pPr>
          </w:p>
        </w:tc>
      </w:tr>
      <w:tr w14:paraId="06239B71">
        <w:trPr>
          <w:trHeight w:val="356" w:hRule="atLeast"/>
        </w:trPr>
        <w:tc>
          <w:tcPr>
            <w:tcW w:w="4061" w:type="dxa"/>
            <w:tcBorders>
              <w:left w:val="single" w:color="231F20" w:sz="4" w:space="0"/>
            </w:tcBorders>
          </w:tcPr>
          <w:p w14:paraId="132631AF">
            <w:pPr>
              <w:pStyle w:val="11"/>
              <w:spacing w:before="96" w:line="213" w:lineRule="auto"/>
              <w:ind w:left="10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pacing w:val="10"/>
                <w:sz w:val="18"/>
                <w:szCs w:val="18"/>
                <w:lang w:eastAsia="zh-CN"/>
              </w:rPr>
              <w:t>石灰石煅烧分解</w:t>
            </w:r>
          </w:p>
        </w:tc>
        <w:tc>
          <w:tcPr>
            <w:tcW w:w="647" w:type="dxa"/>
          </w:tcPr>
          <w:p w14:paraId="3B4CCC1C">
            <w:pPr>
              <w:rPr>
                <w:rFonts w:asciiTheme="minorEastAsia" w:hAnsiTheme="minorEastAsia" w:eastAsiaTheme="minorEastAsia" w:cstheme="minorEastAsia"/>
                <w:sz w:val="18"/>
                <w:szCs w:val="18"/>
              </w:rPr>
            </w:pPr>
          </w:p>
        </w:tc>
        <w:tc>
          <w:tcPr>
            <w:tcW w:w="583" w:type="dxa"/>
          </w:tcPr>
          <w:p w14:paraId="0C3F173B">
            <w:pPr>
              <w:rPr>
                <w:rFonts w:asciiTheme="minorEastAsia" w:hAnsiTheme="minorEastAsia" w:eastAsiaTheme="minorEastAsia" w:cstheme="minorEastAsia"/>
                <w:sz w:val="18"/>
                <w:szCs w:val="18"/>
              </w:rPr>
            </w:pPr>
          </w:p>
        </w:tc>
        <w:tc>
          <w:tcPr>
            <w:tcW w:w="550" w:type="dxa"/>
          </w:tcPr>
          <w:p w14:paraId="6B6AE9BA">
            <w:pPr>
              <w:rPr>
                <w:rFonts w:asciiTheme="minorEastAsia" w:hAnsiTheme="minorEastAsia" w:eastAsiaTheme="minorEastAsia" w:cstheme="minorEastAsia"/>
                <w:sz w:val="18"/>
                <w:szCs w:val="18"/>
              </w:rPr>
            </w:pPr>
          </w:p>
        </w:tc>
        <w:tc>
          <w:tcPr>
            <w:tcW w:w="973" w:type="dxa"/>
          </w:tcPr>
          <w:p w14:paraId="7F9586B8">
            <w:pPr>
              <w:rPr>
                <w:rFonts w:asciiTheme="minorEastAsia" w:hAnsiTheme="minorEastAsia" w:eastAsiaTheme="minorEastAsia" w:cstheme="minorEastAsia"/>
                <w:sz w:val="18"/>
                <w:szCs w:val="18"/>
              </w:rPr>
            </w:pPr>
          </w:p>
        </w:tc>
        <w:tc>
          <w:tcPr>
            <w:tcW w:w="2374" w:type="dxa"/>
            <w:tcBorders>
              <w:right w:val="single" w:color="231F20" w:sz="4" w:space="0"/>
            </w:tcBorders>
          </w:tcPr>
          <w:p w14:paraId="265E2E51">
            <w:pPr>
              <w:rPr>
                <w:rFonts w:asciiTheme="minorEastAsia" w:hAnsiTheme="minorEastAsia" w:eastAsiaTheme="minorEastAsia" w:cstheme="minorEastAsia"/>
                <w:sz w:val="18"/>
                <w:szCs w:val="18"/>
              </w:rPr>
            </w:pPr>
          </w:p>
        </w:tc>
      </w:tr>
      <w:tr w14:paraId="312D3B73">
        <w:trPr>
          <w:trHeight w:val="642" w:hRule="atLeast"/>
        </w:trPr>
        <w:tc>
          <w:tcPr>
            <w:tcW w:w="9188" w:type="dxa"/>
            <w:gridSpan w:val="6"/>
            <w:tcBorders>
              <w:top w:val="single" w:color="231F20" w:sz="4" w:space="0"/>
              <w:left w:val="single" w:color="231F20" w:sz="4" w:space="0"/>
              <w:bottom w:val="single" w:color="231F20" w:sz="4" w:space="0"/>
              <w:right w:val="single" w:color="231F20" w:sz="4" w:space="0"/>
            </w:tcBorders>
          </w:tcPr>
          <w:p w14:paraId="1F0EF281">
            <w:pPr>
              <w:pStyle w:val="11"/>
              <w:spacing w:before="99" w:line="211" w:lineRule="auto"/>
              <w:rPr>
                <w:rFonts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pacing w:val="16"/>
                <w:sz w:val="18"/>
                <w:szCs w:val="18"/>
                <w:lang w:eastAsia="zh-CN"/>
              </w:rPr>
              <w:t>注</w:t>
            </w:r>
            <w:r>
              <w:rPr>
                <w:rFonts w:hint="eastAsia" w:asciiTheme="minorEastAsia" w:hAnsiTheme="minorEastAsia" w:eastAsiaTheme="minorEastAsia" w:cstheme="minorEastAsia"/>
                <w:spacing w:val="-31"/>
                <w:sz w:val="18"/>
                <w:szCs w:val="18"/>
                <w:lang w:eastAsia="zh-CN"/>
              </w:rPr>
              <w:t xml:space="preserve"> </w:t>
            </w:r>
            <w:r>
              <w:rPr>
                <w:rFonts w:hint="eastAsia" w:asciiTheme="minorEastAsia" w:hAnsiTheme="minorEastAsia" w:eastAsiaTheme="minorEastAsia" w:cstheme="minorEastAsia"/>
                <w:spacing w:val="16"/>
                <w:sz w:val="18"/>
                <w:szCs w:val="18"/>
                <w:lang w:eastAsia="zh-CN"/>
              </w:rPr>
              <w:t>1：此数据收集表中的数据是指规定时间段内所有未分</w:t>
            </w:r>
            <w:r>
              <w:rPr>
                <w:rFonts w:hint="eastAsia" w:asciiTheme="minorEastAsia" w:hAnsiTheme="minorEastAsia" w:eastAsiaTheme="minorEastAsia" w:cstheme="minorEastAsia"/>
                <w:spacing w:val="15"/>
                <w:sz w:val="18"/>
                <w:szCs w:val="18"/>
                <w:lang w:eastAsia="zh-CN"/>
              </w:rPr>
              <w:t>配的输入和输出。</w:t>
            </w:r>
          </w:p>
          <w:p w14:paraId="1B79F809">
            <w:pPr>
              <w:pStyle w:val="11"/>
              <w:spacing w:before="43" w:line="212" w:lineRule="auto"/>
              <w:rPr>
                <w:rFonts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pacing w:val="11"/>
                <w:sz w:val="18"/>
                <w:szCs w:val="18"/>
                <w:lang w:eastAsia="zh-CN"/>
              </w:rPr>
              <w:t>注</w:t>
            </w:r>
            <w:r>
              <w:rPr>
                <w:rFonts w:hint="eastAsia" w:asciiTheme="minorEastAsia" w:hAnsiTheme="minorEastAsia" w:eastAsiaTheme="minorEastAsia" w:cstheme="minorEastAsia"/>
                <w:spacing w:val="-27"/>
                <w:sz w:val="18"/>
                <w:szCs w:val="18"/>
                <w:lang w:eastAsia="zh-CN"/>
              </w:rPr>
              <w:t xml:space="preserve"> </w:t>
            </w:r>
            <w:r>
              <w:rPr>
                <w:rFonts w:hint="eastAsia" w:asciiTheme="minorEastAsia" w:hAnsiTheme="minorEastAsia" w:eastAsiaTheme="minorEastAsia" w:cstheme="minorEastAsia"/>
                <w:spacing w:val="11"/>
                <w:sz w:val="18"/>
                <w:szCs w:val="18"/>
                <w:lang w:eastAsia="zh-CN"/>
              </w:rPr>
              <w:t>2：燃料和热力以热量单位表示</w:t>
            </w:r>
            <w:r>
              <w:rPr>
                <w:rFonts w:hint="eastAsia" w:asciiTheme="minorEastAsia" w:hAnsiTheme="minorEastAsia" w:eastAsiaTheme="minorEastAsia" w:cstheme="minorEastAsia"/>
                <w:spacing w:val="-25"/>
                <w:sz w:val="18"/>
                <w:szCs w:val="18"/>
                <w:lang w:eastAsia="zh-CN"/>
              </w:rPr>
              <w:t xml:space="preserve"> </w:t>
            </w:r>
            <w:r>
              <w:rPr>
                <w:rFonts w:hint="eastAsia" w:asciiTheme="minorEastAsia" w:hAnsiTheme="minorEastAsia" w:eastAsiaTheme="minorEastAsia" w:cstheme="minorEastAsia"/>
                <w:spacing w:val="11"/>
                <w:sz w:val="18"/>
                <w:szCs w:val="18"/>
                <w:lang w:eastAsia="zh-CN"/>
              </w:rPr>
              <w:t>。</w:t>
            </w:r>
          </w:p>
        </w:tc>
      </w:tr>
    </w:tbl>
    <w:p w14:paraId="2F4E7DE0">
      <w:pPr>
        <w:pStyle w:val="19"/>
        <w:ind w:firstLine="416"/>
        <w:rPr>
          <w:rFonts w:ascii="宋体" w:hAnsi="宋体" w:eastAsia="宋体" w:cs="宋体"/>
          <w:spacing w:val="8"/>
          <w:sz w:val="20"/>
          <w:szCs w:val="20"/>
          <w:lang w:eastAsia="zh-CN"/>
        </w:rPr>
      </w:pPr>
    </w:p>
    <w:p w14:paraId="713FBEB5">
      <w:pPr>
        <w:spacing w:before="179" w:line="208" w:lineRule="auto"/>
        <w:ind w:left="2491"/>
        <w:rPr>
          <w:rFonts w:ascii="黑体" w:hAnsi="黑体" w:eastAsia="黑体" w:cs="黑体"/>
          <w:sz w:val="19"/>
          <w:szCs w:val="19"/>
          <w:lang w:eastAsia="zh-CN"/>
        </w:rPr>
      </w:pPr>
      <w:r>
        <w:rPr>
          <w:rFonts w:ascii="黑体" w:hAnsi="黑体" w:eastAsia="黑体" w:cs="黑体"/>
          <w:color w:val="231F20"/>
          <w:spacing w:val="14"/>
          <w:sz w:val="19"/>
          <w:szCs w:val="19"/>
          <w:lang w:eastAsia="zh-CN"/>
        </w:rPr>
        <w:t>表 C.</w:t>
      </w:r>
      <w:r>
        <w:rPr>
          <w:rFonts w:hint="eastAsia" w:ascii="黑体" w:hAnsi="黑体" w:eastAsia="黑体" w:cs="黑体"/>
          <w:color w:val="231F20"/>
          <w:spacing w:val="14"/>
          <w:sz w:val="19"/>
          <w:szCs w:val="19"/>
          <w:lang w:eastAsia="zh-CN"/>
        </w:rPr>
        <w:t>3</w:t>
      </w:r>
      <w:r>
        <w:rPr>
          <w:rFonts w:ascii="黑体" w:hAnsi="黑体" w:eastAsia="黑体" w:cs="黑体"/>
          <w:color w:val="231F20"/>
          <w:spacing w:val="14"/>
          <w:sz w:val="19"/>
          <w:szCs w:val="19"/>
          <w:lang w:eastAsia="zh-CN"/>
        </w:rPr>
        <w:t xml:space="preserve"> </w:t>
      </w:r>
      <w:r>
        <w:rPr>
          <w:rFonts w:hint="eastAsia" w:ascii="黑体" w:hAnsi="黑体" w:eastAsia="黑体" w:cs="黑体"/>
          <w:color w:val="231F20"/>
          <w:spacing w:val="14"/>
          <w:sz w:val="19"/>
          <w:szCs w:val="19"/>
          <w:lang w:eastAsia="zh-CN"/>
        </w:rPr>
        <w:t>天然碱法纯碱生产</w:t>
      </w:r>
      <w:r>
        <w:rPr>
          <w:rFonts w:ascii="黑体" w:hAnsi="黑体" w:eastAsia="黑体" w:cs="黑体"/>
          <w:color w:val="231F20"/>
          <w:spacing w:val="14"/>
          <w:sz w:val="19"/>
          <w:szCs w:val="19"/>
          <w:lang w:eastAsia="zh-CN"/>
        </w:rPr>
        <w:t>输入、输出数据收集表</w:t>
      </w:r>
    </w:p>
    <w:p w14:paraId="358418C5">
      <w:pPr>
        <w:spacing w:line="179" w:lineRule="exact"/>
        <w:rPr>
          <w:lang w:eastAsia="zh-CN"/>
        </w:rPr>
      </w:pPr>
    </w:p>
    <w:tbl>
      <w:tblPr>
        <w:tblStyle w:val="10"/>
        <w:tblW w:w="9188" w:type="dxa"/>
        <w:tblInd w:w="5"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fixed"/>
        <w:tblCellMar>
          <w:top w:w="0" w:type="dxa"/>
          <w:left w:w="0" w:type="dxa"/>
          <w:bottom w:w="0" w:type="dxa"/>
          <w:right w:w="0" w:type="dxa"/>
        </w:tblCellMar>
      </w:tblPr>
      <w:tblGrid>
        <w:gridCol w:w="4061"/>
        <w:gridCol w:w="647"/>
        <w:gridCol w:w="583"/>
        <w:gridCol w:w="550"/>
        <w:gridCol w:w="973"/>
        <w:gridCol w:w="2374"/>
      </w:tblGrid>
      <w:tr w14:paraId="366BDCA8">
        <w:trPr>
          <w:trHeight w:val="927" w:hRule="atLeast"/>
        </w:trPr>
        <w:tc>
          <w:tcPr>
            <w:tcW w:w="9188" w:type="dxa"/>
            <w:gridSpan w:val="6"/>
            <w:tcBorders>
              <w:top w:val="single" w:color="231F20" w:sz="4" w:space="0"/>
              <w:left w:val="single" w:color="231F20" w:sz="4" w:space="0"/>
              <w:right w:val="single" w:color="231F20" w:sz="4" w:space="0"/>
            </w:tcBorders>
          </w:tcPr>
          <w:p w14:paraId="27B71084">
            <w:pPr>
              <w:pStyle w:val="11"/>
              <w:spacing w:before="97" w:line="212" w:lineRule="auto"/>
              <w:ind w:left="97"/>
              <w:rPr>
                <w:rFonts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pacing w:val="16"/>
                <w:sz w:val="18"/>
                <w:szCs w:val="18"/>
                <w:lang w:eastAsia="zh-CN"/>
              </w:rPr>
              <w:t>单元过程及统计口径描述：</w:t>
            </w:r>
          </w:p>
          <w:p w14:paraId="35014E5A">
            <w:pPr>
              <w:pStyle w:val="11"/>
              <w:spacing w:before="41" w:line="212" w:lineRule="auto"/>
              <w:ind w:left="106"/>
              <w:rPr>
                <w:rFonts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pacing w:val="2"/>
                <w:sz w:val="18"/>
                <w:szCs w:val="18"/>
                <w:lang w:eastAsia="zh-CN"/>
              </w:rPr>
              <w:t>时间段：起始时间           年    月     日 ；  终止时</w:t>
            </w:r>
            <w:r>
              <w:rPr>
                <w:rFonts w:hint="eastAsia" w:asciiTheme="minorEastAsia" w:hAnsiTheme="minorEastAsia" w:eastAsiaTheme="minorEastAsia" w:cstheme="minorEastAsia"/>
                <w:spacing w:val="1"/>
                <w:sz w:val="18"/>
                <w:szCs w:val="18"/>
                <w:lang w:eastAsia="zh-CN"/>
              </w:rPr>
              <w:t>间            年    月     日</w:t>
            </w:r>
          </w:p>
          <w:p w14:paraId="0E27A798">
            <w:pPr>
              <w:pStyle w:val="11"/>
              <w:spacing w:before="42" w:line="212" w:lineRule="auto"/>
              <w:ind w:left="98"/>
              <w:rPr>
                <w:rFonts w:asciiTheme="minorEastAsia" w:hAnsiTheme="minorEastAsia" w:eastAsiaTheme="minorEastAsia" w:cstheme="minorEastAsia"/>
                <w:spacing w:val="10"/>
                <w:sz w:val="18"/>
                <w:szCs w:val="18"/>
              </w:rPr>
            </w:pPr>
            <w:r>
              <w:rPr>
                <w:rFonts w:hint="eastAsia" w:asciiTheme="minorEastAsia" w:hAnsiTheme="minorEastAsia" w:eastAsiaTheme="minorEastAsia" w:cstheme="minorEastAsia"/>
                <w:spacing w:val="10"/>
                <w:sz w:val="18"/>
                <w:szCs w:val="18"/>
              </w:rPr>
              <w:t>制表人：</w:t>
            </w:r>
          </w:p>
          <w:p w14:paraId="22551DFB">
            <w:pPr>
              <w:pStyle w:val="11"/>
              <w:spacing w:before="42" w:line="212" w:lineRule="auto"/>
              <w:ind w:left="98"/>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pacing w:val="10"/>
                <w:sz w:val="18"/>
                <w:szCs w:val="18"/>
              </w:rPr>
              <w:t>制表日期：</w:t>
            </w:r>
          </w:p>
        </w:tc>
      </w:tr>
      <w:tr w14:paraId="272D9E16">
        <w:trPr>
          <w:trHeight w:val="355" w:hRule="atLeast"/>
        </w:trPr>
        <w:tc>
          <w:tcPr>
            <w:tcW w:w="4061" w:type="dxa"/>
            <w:tcBorders>
              <w:left w:val="single" w:color="231F20" w:sz="4" w:space="0"/>
            </w:tcBorders>
          </w:tcPr>
          <w:p w14:paraId="62FCF4E4">
            <w:pPr>
              <w:pStyle w:val="11"/>
              <w:spacing w:before="101" w:line="183" w:lineRule="auto"/>
              <w:ind w:left="97"/>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pacing w:val="11"/>
                <w:sz w:val="18"/>
                <w:szCs w:val="18"/>
              </w:rPr>
              <w:t>输入</w:t>
            </w:r>
          </w:p>
        </w:tc>
        <w:tc>
          <w:tcPr>
            <w:tcW w:w="647" w:type="dxa"/>
          </w:tcPr>
          <w:p w14:paraId="1D4BC332">
            <w:pPr>
              <w:pStyle w:val="11"/>
              <w:spacing w:before="99" w:line="186" w:lineRule="auto"/>
              <w:ind w:left="15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pacing w:val="11"/>
                <w:sz w:val="18"/>
                <w:szCs w:val="18"/>
              </w:rPr>
              <w:t>单位</w:t>
            </w:r>
          </w:p>
        </w:tc>
        <w:tc>
          <w:tcPr>
            <w:tcW w:w="583" w:type="dxa"/>
          </w:tcPr>
          <w:p w14:paraId="7E8C0C02">
            <w:pPr>
              <w:pStyle w:val="11"/>
              <w:spacing w:before="101" w:line="182" w:lineRule="auto"/>
              <w:ind w:left="12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pacing w:val="11"/>
                <w:sz w:val="18"/>
                <w:szCs w:val="18"/>
              </w:rPr>
              <w:t>数量</w:t>
            </w:r>
          </w:p>
        </w:tc>
        <w:tc>
          <w:tcPr>
            <w:tcW w:w="550" w:type="dxa"/>
          </w:tcPr>
          <w:p w14:paraId="5DB5A76E">
            <w:pPr>
              <w:pStyle w:val="11"/>
              <w:spacing w:before="106" w:line="178" w:lineRule="auto"/>
              <w:ind w:left="104"/>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pacing w:val="11"/>
                <w:sz w:val="18"/>
                <w:szCs w:val="18"/>
              </w:rPr>
              <w:t>运距</w:t>
            </w:r>
          </w:p>
        </w:tc>
        <w:tc>
          <w:tcPr>
            <w:tcW w:w="973" w:type="dxa"/>
          </w:tcPr>
          <w:p w14:paraId="1CE506CC">
            <w:pPr>
              <w:pStyle w:val="11"/>
              <w:spacing w:before="101" w:line="183" w:lineRule="auto"/>
              <w:ind w:left="137"/>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pacing w:val="15"/>
                <w:sz w:val="18"/>
                <w:szCs w:val="18"/>
              </w:rPr>
              <w:t>运输方式</w:t>
            </w:r>
          </w:p>
        </w:tc>
        <w:tc>
          <w:tcPr>
            <w:tcW w:w="2374" w:type="dxa"/>
            <w:tcBorders>
              <w:right w:val="single" w:color="231F20" w:sz="4" w:space="0"/>
            </w:tcBorders>
          </w:tcPr>
          <w:p w14:paraId="19427FCD">
            <w:pPr>
              <w:pStyle w:val="11"/>
              <w:spacing w:before="78" w:line="228" w:lineRule="auto"/>
              <w:ind w:left="566"/>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pacing w:val="6"/>
                <w:sz w:val="18"/>
                <w:szCs w:val="18"/>
              </w:rPr>
              <w:t>规格</w:t>
            </w:r>
            <w:r>
              <w:rPr>
                <w:rFonts w:hint="eastAsia" w:asciiTheme="minorEastAsia" w:hAnsiTheme="minorEastAsia" w:eastAsiaTheme="minorEastAsia" w:cstheme="minorEastAsia"/>
                <w:spacing w:val="-21"/>
                <w:sz w:val="18"/>
                <w:szCs w:val="18"/>
              </w:rPr>
              <w:t xml:space="preserve"> </w:t>
            </w:r>
            <w:r>
              <w:rPr>
                <w:rFonts w:hint="eastAsia" w:asciiTheme="minorEastAsia" w:hAnsiTheme="minorEastAsia" w:eastAsiaTheme="minorEastAsia" w:cstheme="minorEastAsia"/>
                <w:spacing w:val="6"/>
                <w:sz w:val="18"/>
                <w:szCs w:val="18"/>
              </w:rPr>
              <w:t>、成分</w:t>
            </w:r>
            <w:r>
              <w:rPr>
                <w:rFonts w:hint="eastAsia" w:asciiTheme="minorEastAsia" w:hAnsiTheme="minorEastAsia" w:eastAsiaTheme="minorEastAsia" w:cstheme="minorEastAsia"/>
                <w:b/>
                <w:bCs/>
                <w:spacing w:val="6"/>
                <w:sz w:val="18"/>
                <w:szCs w:val="18"/>
              </w:rPr>
              <w:t>/</w:t>
            </w:r>
            <w:r>
              <w:rPr>
                <w:rFonts w:hint="eastAsia" w:asciiTheme="minorEastAsia" w:hAnsiTheme="minorEastAsia" w:eastAsiaTheme="minorEastAsia" w:cstheme="minorEastAsia"/>
                <w:spacing w:val="6"/>
                <w:sz w:val="18"/>
                <w:szCs w:val="18"/>
              </w:rPr>
              <w:t>来源</w:t>
            </w:r>
          </w:p>
        </w:tc>
      </w:tr>
      <w:tr w14:paraId="421ACF1A">
        <w:trPr>
          <w:trHeight w:val="356" w:hRule="atLeast"/>
        </w:trPr>
        <w:tc>
          <w:tcPr>
            <w:tcW w:w="4061" w:type="dxa"/>
            <w:tcBorders>
              <w:left w:val="single" w:color="231F20" w:sz="4" w:space="0"/>
            </w:tcBorders>
          </w:tcPr>
          <w:p w14:paraId="1C1677D4">
            <w:pPr>
              <w:pStyle w:val="11"/>
              <w:spacing w:before="105" w:line="178" w:lineRule="auto"/>
              <w:ind w:left="98"/>
              <w:rPr>
                <w:rFonts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天然碱</w:t>
            </w:r>
          </w:p>
        </w:tc>
        <w:tc>
          <w:tcPr>
            <w:tcW w:w="647" w:type="dxa"/>
          </w:tcPr>
          <w:p w14:paraId="24FFBE95">
            <w:pPr>
              <w:rPr>
                <w:rFonts w:asciiTheme="minorEastAsia" w:hAnsiTheme="minorEastAsia" w:eastAsiaTheme="minorEastAsia" w:cstheme="minorEastAsia"/>
                <w:sz w:val="18"/>
                <w:szCs w:val="18"/>
              </w:rPr>
            </w:pPr>
          </w:p>
        </w:tc>
        <w:tc>
          <w:tcPr>
            <w:tcW w:w="583" w:type="dxa"/>
          </w:tcPr>
          <w:p w14:paraId="023F274F">
            <w:pPr>
              <w:rPr>
                <w:rFonts w:asciiTheme="minorEastAsia" w:hAnsiTheme="minorEastAsia" w:eastAsiaTheme="minorEastAsia" w:cstheme="minorEastAsia"/>
                <w:sz w:val="18"/>
                <w:szCs w:val="18"/>
              </w:rPr>
            </w:pPr>
          </w:p>
        </w:tc>
        <w:tc>
          <w:tcPr>
            <w:tcW w:w="550" w:type="dxa"/>
          </w:tcPr>
          <w:p w14:paraId="4BD3B89F">
            <w:pPr>
              <w:rPr>
                <w:rFonts w:asciiTheme="minorEastAsia" w:hAnsiTheme="minorEastAsia" w:eastAsiaTheme="minorEastAsia" w:cstheme="minorEastAsia"/>
                <w:sz w:val="18"/>
                <w:szCs w:val="18"/>
              </w:rPr>
            </w:pPr>
          </w:p>
        </w:tc>
        <w:tc>
          <w:tcPr>
            <w:tcW w:w="973" w:type="dxa"/>
          </w:tcPr>
          <w:p w14:paraId="145E8B13">
            <w:pPr>
              <w:rPr>
                <w:rFonts w:asciiTheme="minorEastAsia" w:hAnsiTheme="minorEastAsia" w:eastAsiaTheme="minorEastAsia" w:cstheme="minorEastAsia"/>
                <w:sz w:val="18"/>
                <w:szCs w:val="18"/>
              </w:rPr>
            </w:pPr>
          </w:p>
        </w:tc>
        <w:tc>
          <w:tcPr>
            <w:tcW w:w="2374" w:type="dxa"/>
            <w:tcBorders>
              <w:right w:val="single" w:color="231F20" w:sz="4" w:space="0"/>
            </w:tcBorders>
          </w:tcPr>
          <w:p w14:paraId="0A0A242F">
            <w:pPr>
              <w:rPr>
                <w:rFonts w:asciiTheme="minorEastAsia" w:hAnsiTheme="minorEastAsia" w:eastAsiaTheme="minorEastAsia" w:cstheme="minorEastAsia"/>
                <w:sz w:val="18"/>
                <w:szCs w:val="18"/>
              </w:rPr>
            </w:pPr>
          </w:p>
        </w:tc>
      </w:tr>
      <w:tr w14:paraId="6BCBFA83">
        <w:trPr>
          <w:trHeight w:val="356" w:hRule="atLeast"/>
        </w:trPr>
        <w:tc>
          <w:tcPr>
            <w:tcW w:w="4061" w:type="dxa"/>
            <w:tcBorders>
              <w:left w:val="single" w:color="231F20" w:sz="4" w:space="0"/>
            </w:tcBorders>
          </w:tcPr>
          <w:p w14:paraId="198802D9">
            <w:pPr>
              <w:pStyle w:val="11"/>
              <w:spacing w:before="100" w:line="207" w:lineRule="auto"/>
              <w:ind w:left="97"/>
              <w:rPr>
                <w:rFonts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pacing w:val="2"/>
                <w:sz w:val="18"/>
                <w:szCs w:val="18"/>
                <w:lang w:eastAsia="zh-CN"/>
              </w:rPr>
              <w:t>石灰石</w:t>
            </w:r>
          </w:p>
        </w:tc>
        <w:tc>
          <w:tcPr>
            <w:tcW w:w="647" w:type="dxa"/>
          </w:tcPr>
          <w:p w14:paraId="11E1EF9D">
            <w:pPr>
              <w:rPr>
                <w:rFonts w:asciiTheme="minorEastAsia" w:hAnsiTheme="minorEastAsia" w:eastAsiaTheme="minorEastAsia" w:cstheme="minorEastAsia"/>
                <w:sz w:val="18"/>
                <w:szCs w:val="18"/>
              </w:rPr>
            </w:pPr>
          </w:p>
        </w:tc>
        <w:tc>
          <w:tcPr>
            <w:tcW w:w="583" w:type="dxa"/>
          </w:tcPr>
          <w:p w14:paraId="23B21707">
            <w:pPr>
              <w:rPr>
                <w:rFonts w:asciiTheme="minorEastAsia" w:hAnsiTheme="minorEastAsia" w:eastAsiaTheme="minorEastAsia" w:cstheme="minorEastAsia"/>
                <w:sz w:val="18"/>
                <w:szCs w:val="18"/>
              </w:rPr>
            </w:pPr>
          </w:p>
        </w:tc>
        <w:tc>
          <w:tcPr>
            <w:tcW w:w="550" w:type="dxa"/>
          </w:tcPr>
          <w:p w14:paraId="022A3BD7">
            <w:pPr>
              <w:rPr>
                <w:rFonts w:asciiTheme="minorEastAsia" w:hAnsiTheme="minorEastAsia" w:eastAsiaTheme="minorEastAsia" w:cstheme="minorEastAsia"/>
                <w:sz w:val="18"/>
                <w:szCs w:val="18"/>
              </w:rPr>
            </w:pPr>
          </w:p>
        </w:tc>
        <w:tc>
          <w:tcPr>
            <w:tcW w:w="973" w:type="dxa"/>
          </w:tcPr>
          <w:p w14:paraId="294667D8">
            <w:pPr>
              <w:rPr>
                <w:rFonts w:asciiTheme="minorEastAsia" w:hAnsiTheme="minorEastAsia" w:eastAsiaTheme="minorEastAsia" w:cstheme="minorEastAsia"/>
                <w:sz w:val="18"/>
                <w:szCs w:val="18"/>
              </w:rPr>
            </w:pPr>
          </w:p>
        </w:tc>
        <w:tc>
          <w:tcPr>
            <w:tcW w:w="2374" w:type="dxa"/>
            <w:tcBorders>
              <w:right w:val="single" w:color="231F20" w:sz="4" w:space="0"/>
            </w:tcBorders>
          </w:tcPr>
          <w:p w14:paraId="0D0AA0EA">
            <w:pPr>
              <w:rPr>
                <w:rFonts w:asciiTheme="minorEastAsia" w:hAnsiTheme="minorEastAsia" w:eastAsiaTheme="minorEastAsia" w:cstheme="minorEastAsia"/>
                <w:sz w:val="18"/>
                <w:szCs w:val="18"/>
              </w:rPr>
            </w:pPr>
          </w:p>
        </w:tc>
      </w:tr>
      <w:tr w14:paraId="6B2CC6F8">
        <w:trPr>
          <w:trHeight w:val="356" w:hRule="atLeast"/>
        </w:trPr>
        <w:tc>
          <w:tcPr>
            <w:tcW w:w="4061" w:type="dxa"/>
            <w:tcBorders>
              <w:left w:val="single" w:color="231F20" w:sz="4" w:space="0"/>
            </w:tcBorders>
          </w:tcPr>
          <w:p w14:paraId="0B5654B3">
            <w:pPr>
              <w:pStyle w:val="11"/>
              <w:spacing w:before="100" w:line="207" w:lineRule="auto"/>
              <w:ind w:left="95"/>
              <w:rPr>
                <w:rFonts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煤炭</w:t>
            </w:r>
          </w:p>
        </w:tc>
        <w:tc>
          <w:tcPr>
            <w:tcW w:w="647" w:type="dxa"/>
          </w:tcPr>
          <w:p w14:paraId="09FC1A17">
            <w:pPr>
              <w:rPr>
                <w:rFonts w:asciiTheme="minorEastAsia" w:hAnsiTheme="minorEastAsia" w:eastAsiaTheme="minorEastAsia" w:cstheme="minorEastAsia"/>
                <w:sz w:val="18"/>
                <w:szCs w:val="18"/>
              </w:rPr>
            </w:pPr>
          </w:p>
        </w:tc>
        <w:tc>
          <w:tcPr>
            <w:tcW w:w="583" w:type="dxa"/>
          </w:tcPr>
          <w:p w14:paraId="2781ADA3">
            <w:pPr>
              <w:rPr>
                <w:rFonts w:asciiTheme="minorEastAsia" w:hAnsiTheme="minorEastAsia" w:eastAsiaTheme="minorEastAsia" w:cstheme="minorEastAsia"/>
                <w:sz w:val="18"/>
                <w:szCs w:val="18"/>
              </w:rPr>
            </w:pPr>
          </w:p>
        </w:tc>
        <w:tc>
          <w:tcPr>
            <w:tcW w:w="550" w:type="dxa"/>
          </w:tcPr>
          <w:p w14:paraId="34EF126B">
            <w:pPr>
              <w:rPr>
                <w:rFonts w:asciiTheme="minorEastAsia" w:hAnsiTheme="minorEastAsia" w:eastAsiaTheme="minorEastAsia" w:cstheme="minorEastAsia"/>
                <w:sz w:val="18"/>
                <w:szCs w:val="18"/>
              </w:rPr>
            </w:pPr>
          </w:p>
        </w:tc>
        <w:tc>
          <w:tcPr>
            <w:tcW w:w="973" w:type="dxa"/>
          </w:tcPr>
          <w:p w14:paraId="52A2624B">
            <w:pPr>
              <w:rPr>
                <w:rFonts w:asciiTheme="minorEastAsia" w:hAnsiTheme="minorEastAsia" w:eastAsiaTheme="minorEastAsia" w:cstheme="minorEastAsia"/>
                <w:sz w:val="18"/>
                <w:szCs w:val="18"/>
              </w:rPr>
            </w:pPr>
          </w:p>
        </w:tc>
        <w:tc>
          <w:tcPr>
            <w:tcW w:w="2374" w:type="dxa"/>
            <w:tcBorders>
              <w:right w:val="single" w:color="231F20" w:sz="4" w:space="0"/>
            </w:tcBorders>
          </w:tcPr>
          <w:p w14:paraId="3AA1C5C4">
            <w:pPr>
              <w:rPr>
                <w:rFonts w:asciiTheme="minorEastAsia" w:hAnsiTheme="minorEastAsia" w:eastAsiaTheme="minorEastAsia" w:cstheme="minorEastAsia"/>
                <w:sz w:val="18"/>
                <w:szCs w:val="18"/>
              </w:rPr>
            </w:pPr>
          </w:p>
        </w:tc>
      </w:tr>
      <w:tr w14:paraId="70A02041">
        <w:trPr>
          <w:trHeight w:val="356" w:hRule="atLeast"/>
        </w:trPr>
        <w:tc>
          <w:tcPr>
            <w:tcW w:w="4061" w:type="dxa"/>
            <w:tcBorders>
              <w:left w:val="single" w:color="231F20" w:sz="4" w:space="0"/>
            </w:tcBorders>
          </w:tcPr>
          <w:p w14:paraId="2FD9FEF9">
            <w:pPr>
              <w:pStyle w:val="11"/>
              <w:spacing w:before="106" w:line="183" w:lineRule="auto"/>
              <w:ind w:left="113"/>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pacing w:val="3"/>
                <w:sz w:val="18"/>
                <w:szCs w:val="18"/>
                <w:lang w:eastAsia="zh-CN"/>
              </w:rPr>
              <w:t>外购</w:t>
            </w:r>
            <w:r>
              <w:rPr>
                <w:rFonts w:hint="eastAsia" w:asciiTheme="minorEastAsia" w:hAnsiTheme="minorEastAsia" w:eastAsiaTheme="minorEastAsia" w:cstheme="minorEastAsia"/>
                <w:spacing w:val="3"/>
                <w:sz w:val="18"/>
                <w:szCs w:val="18"/>
              </w:rPr>
              <w:t>电力</w:t>
            </w:r>
          </w:p>
        </w:tc>
        <w:tc>
          <w:tcPr>
            <w:tcW w:w="647" w:type="dxa"/>
          </w:tcPr>
          <w:p w14:paraId="59175911">
            <w:pPr>
              <w:rPr>
                <w:rFonts w:asciiTheme="minorEastAsia" w:hAnsiTheme="minorEastAsia" w:eastAsiaTheme="minorEastAsia" w:cstheme="minorEastAsia"/>
                <w:sz w:val="18"/>
                <w:szCs w:val="18"/>
              </w:rPr>
            </w:pPr>
          </w:p>
        </w:tc>
        <w:tc>
          <w:tcPr>
            <w:tcW w:w="583" w:type="dxa"/>
          </w:tcPr>
          <w:p w14:paraId="6FC0CD5F">
            <w:pPr>
              <w:rPr>
                <w:rFonts w:asciiTheme="minorEastAsia" w:hAnsiTheme="minorEastAsia" w:eastAsiaTheme="minorEastAsia" w:cstheme="minorEastAsia"/>
                <w:sz w:val="18"/>
                <w:szCs w:val="18"/>
              </w:rPr>
            </w:pPr>
          </w:p>
        </w:tc>
        <w:tc>
          <w:tcPr>
            <w:tcW w:w="550" w:type="dxa"/>
          </w:tcPr>
          <w:p w14:paraId="52939A70">
            <w:pPr>
              <w:rPr>
                <w:rFonts w:asciiTheme="minorEastAsia" w:hAnsiTheme="minorEastAsia" w:eastAsiaTheme="minorEastAsia" w:cstheme="minorEastAsia"/>
                <w:sz w:val="18"/>
                <w:szCs w:val="18"/>
              </w:rPr>
            </w:pPr>
          </w:p>
        </w:tc>
        <w:tc>
          <w:tcPr>
            <w:tcW w:w="973" w:type="dxa"/>
          </w:tcPr>
          <w:p w14:paraId="0398AE4E">
            <w:pPr>
              <w:rPr>
                <w:rFonts w:asciiTheme="minorEastAsia" w:hAnsiTheme="minorEastAsia" w:eastAsiaTheme="minorEastAsia" w:cstheme="minorEastAsia"/>
                <w:sz w:val="18"/>
                <w:szCs w:val="18"/>
              </w:rPr>
            </w:pPr>
          </w:p>
        </w:tc>
        <w:tc>
          <w:tcPr>
            <w:tcW w:w="2374" w:type="dxa"/>
            <w:tcBorders>
              <w:right w:val="single" w:color="231F20" w:sz="4" w:space="0"/>
            </w:tcBorders>
          </w:tcPr>
          <w:p w14:paraId="1363A43B">
            <w:pPr>
              <w:rPr>
                <w:rFonts w:asciiTheme="minorEastAsia" w:hAnsiTheme="minorEastAsia" w:eastAsiaTheme="minorEastAsia" w:cstheme="minorEastAsia"/>
                <w:sz w:val="18"/>
                <w:szCs w:val="18"/>
              </w:rPr>
            </w:pPr>
          </w:p>
        </w:tc>
      </w:tr>
      <w:tr w14:paraId="0D36C637">
        <w:trPr>
          <w:trHeight w:val="356" w:hRule="atLeast"/>
        </w:trPr>
        <w:tc>
          <w:tcPr>
            <w:tcW w:w="4061" w:type="dxa"/>
            <w:tcBorders>
              <w:left w:val="single" w:color="231F20" w:sz="4" w:space="0"/>
            </w:tcBorders>
          </w:tcPr>
          <w:p w14:paraId="4A025FFD">
            <w:pPr>
              <w:pStyle w:val="11"/>
              <w:spacing w:before="101" w:line="207" w:lineRule="auto"/>
              <w:ind w:left="99"/>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pacing w:val="-2"/>
                <w:sz w:val="18"/>
                <w:szCs w:val="18"/>
                <w:lang w:eastAsia="zh-CN"/>
              </w:rPr>
              <w:t>自产电力</w:t>
            </w:r>
          </w:p>
        </w:tc>
        <w:tc>
          <w:tcPr>
            <w:tcW w:w="647" w:type="dxa"/>
          </w:tcPr>
          <w:p w14:paraId="582948D9">
            <w:pPr>
              <w:rPr>
                <w:rFonts w:asciiTheme="minorEastAsia" w:hAnsiTheme="minorEastAsia" w:eastAsiaTheme="minorEastAsia" w:cstheme="minorEastAsia"/>
                <w:sz w:val="18"/>
                <w:szCs w:val="18"/>
              </w:rPr>
            </w:pPr>
          </w:p>
        </w:tc>
        <w:tc>
          <w:tcPr>
            <w:tcW w:w="583" w:type="dxa"/>
          </w:tcPr>
          <w:p w14:paraId="42DC81CD">
            <w:pPr>
              <w:rPr>
                <w:rFonts w:asciiTheme="minorEastAsia" w:hAnsiTheme="minorEastAsia" w:eastAsiaTheme="minorEastAsia" w:cstheme="minorEastAsia"/>
                <w:sz w:val="18"/>
                <w:szCs w:val="18"/>
              </w:rPr>
            </w:pPr>
          </w:p>
        </w:tc>
        <w:tc>
          <w:tcPr>
            <w:tcW w:w="550" w:type="dxa"/>
          </w:tcPr>
          <w:p w14:paraId="206C6E91">
            <w:pPr>
              <w:rPr>
                <w:rFonts w:asciiTheme="minorEastAsia" w:hAnsiTheme="minorEastAsia" w:eastAsiaTheme="minorEastAsia" w:cstheme="minorEastAsia"/>
                <w:sz w:val="18"/>
                <w:szCs w:val="18"/>
              </w:rPr>
            </w:pPr>
          </w:p>
        </w:tc>
        <w:tc>
          <w:tcPr>
            <w:tcW w:w="973" w:type="dxa"/>
          </w:tcPr>
          <w:p w14:paraId="7ADA6306">
            <w:pPr>
              <w:rPr>
                <w:rFonts w:asciiTheme="minorEastAsia" w:hAnsiTheme="minorEastAsia" w:eastAsiaTheme="minorEastAsia" w:cstheme="minorEastAsia"/>
                <w:sz w:val="18"/>
                <w:szCs w:val="18"/>
              </w:rPr>
            </w:pPr>
          </w:p>
        </w:tc>
        <w:tc>
          <w:tcPr>
            <w:tcW w:w="2374" w:type="dxa"/>
            <w:tcBorders>
              <w:right w:val="single" w:color="231F20" w:sz="4" w:space="0"/>
            </w:tcBorders>
          </w:tcPr>
          <w:p w14:paraId="2715DFC8">
            <w:pPr>
              <w:rPr>
                <w:rFonts w:asciiTheme="minorEastAsia" w:hAnsiTheme="minorEastAsia" w:eastAsiaTheme="minorEastAsia" w:cstheme="minorEastAsia"/>
                <w:sz w:val="18"/>
                <w:szCs w:val="18"/>
              </w:rPr>
            </w:pPr>
          </w:p>
        </w:tc>
      </w:tr>
      <w:tr w14:paraId="21541583">
        <w:trPr>
          <w:trHeight w:val="356" w:hRule="atLeast"/>
        </w:trPr>
        <w:tc>
          <w:tcPr>
            <w:tcW w:w="4061" w:type="dxa"/>
            <w:tcBorders>
              <w:left w:val="single" w:color="231F20" w:sz="4" w:space="0"/>
            </w:tcBorders>
          </w:tcPr>
          <w:p w14:paraId="095ED532">
            <w:pPr>
              <w:pStyle w:val="11"/>
              <w:spacing w:before="101" w:line="207" w:lineRule="auto"/>
              <w:ind w:left="99"/>
              <w:rPr>
                <w:rFonts w:asciiTheme="minorEastAsia" w:hAnsiTheme="minorEastAsia" w:eastAsiaTheme="minorEastAsia" w:cstheme="minorEastAsia"/>
                <w:spacing w:val="-2"/>
                <w:sz w:val="18"/>
                <w:szCs w:val="18"/>
                <w:lang w:eastAsia="zh-CN"/>
              </w:rPr>
            </w:pPr>
            <w:r>
              <w:rPr>
                <w:rFonts w:hint="eastAsia" w:asciiTheme="minorEastAsia" w:hAnsiTheme="minorEastAsia" w:eastAsiaTheme="minorEastAsia" w:cstheme="minorEastAsia"/>
                <w:spacing w:val="-2"/>
                <w:sz w:val="18"/>
                <w:szCs w:val="18"/>
                <w:lang w:eastAsia="zh-CN"/>
              </w:rPr>
              <w:t>外购</w:t>
            </w:r>
            <w:r>
              <w:rPr>
                <w:rFonts w:hint="eastAsia" w:asciiTheme="minorEastAsia" w:hAnsiTheme="minorEastAsia" w:eastAsiaTheme="minorEastAsia" w:cstheme="minorEastAsia"/>
                <w:spacing w:val="-2"/>
                <w:sz w:val="18"/>
                <w:szCs w:val="18"/>
              </w:rPr>
              <w:t>热力</w:t>
            </w:r>
          </w:p>
        </w:tc>
        <w:tc>
          <w:tcPr>
            <w:tcW w:w="647" w:type="dxa"/>
          </w:tcPr>
          <w:p w14:paraId="16258EE5">
            <w:pPr>
              <w:rPr>
                <w:rFonts w:asciiTheme="minorEastAsia" w:hAnsiTheme="minorEastAsia" w:eastAsiaTheme="minorEastAsia" w:cstheme="minorEastAsia"/>
                <w:sz w:val="18"/>
                <w:szCs w:val="18"/>
              </w:rPr>
            </w:pPr>
          </w:p>
        </w:tc>
        <w:tc>
          <w:tcPr>
            <w:tcW w:w="583" w:type="dxa"/>
          </w:tcPr>
          <w:p w14:paraId="39E7B5B8">
            <w:pPr>
              <w:rPr>
                <w:rFonts w:asciiTheme="minorEastAsia" w:hAnsiTheme="minorEastAsia" w:eastAsiaTheme="minorEastAsia" w:cstheme="minorEastAsia"/>
                <w:sz w:val="18"/>
                <w:szCs w:val="18"/>
              </w:rPr>
            </w:pPr>
          </w:p>
        </w:tc>
        <w:tc>
          <w:tcPr>
            <w:tcW w:w="550" w:type="dxa"/>
          </w:tcPr>
          <w:p w14:paraId="0933151C">
            <w:pPr>
              <w:rPr>
                <w:rFonts w:asciiTheme="minorEastAsia" w:hAnsiTheme="minorEastAsia" w:eastAsiaTheme="minorEastAsia" w:cstheme="minorEastAsia"/>
                <w:sz w:val="18"/>
                <w:szCs w:val="18"/>
              </w:rPr>
            </w:pPr>
          </w:p>
        </w:tc>
        <w:tc>
          <w:tcPr>
            <w:tcW w:w="973" w:type="dxa"/>
          </w:tcPr>
          <w:p w14:paraId="07BD8EAB">
            <w:pPr>
              <w:rPr>
                <w:rFonts w:asciiTheme="minorEastAsia" w:hAnsiTheme="minorEastAsia" w:eastAsiaTheme="minorEastAsia" w:cstheme="minorEastAsia"/>
                <w:sz w:val="18"/>
                <w:szCs w:val="18"/>
              </w:rPr>
            </w:pPr>
          </w:p>
        </w:tc>
        <w:tc>
          <w:tcPr>
            <w:tcW w:w="2374" w:type="dxa"/>
            <w:tcBorders>
              <w:right w:val="single" w:color="231F20" w:sz="4" w:space="0"/>
            </w:tcBorders>
          </w:tcPr>
          <w:p w14:paraId="0E16F224">
            <w:pPr>
              <w:rPr>
                <w:rFonts w:asciiTheme="minorEastAsia" w:hAnsiTheme="minorEastAsia" w:eastAsiaTheme="minorEastAsia" w:cstheme="minorEastAsia"/>
                <w:sz w:val="18"/>
                <w:szCs w:val="18"/>
              </w:rPr>
            </w:pPr>
          </w:p>
        </w:tc>
      </w:tr>
      <w:tr w14:paraId="361C1A9A">
        <w:trPr>
          <w:trHeight w:val="356" w:hRule="atLeast"/>
        </w:trPr>
        <w:tc>
          <w:tcPr>
            <w:tcW w:w="4061" w:type="dxa"/>
            <w:tcBorders>
              <w:left w:val="single" w:color="231F20" w:sz="4" w:space="0"/>
            </w:tcBorders>
          </w:tcPr>
          <w:p w14:paraId="31CA128A">
            <w:pPr>
              <w:pStyle w:val="11"/>
              <w:spacing w:before="101" w:line="207" w:lineRule="auto"/>
              <w:ind w:left="99"/>
              <w:rPr>
                <w:rFonts w:asciiTheme="minorEastAsia" w:hAnsiTheme="minorEastAsia" w:eastAsiaTheme="minorEastAsia" w:cstheme="minorEastAsia"/>
                <w:spacing w:val="-2"/>
                <w:sz w:val="18"/>
                <w:szCs w:val="18"/>
                <w:lang w:eastAsia="zh-CN"/>
              </w:rPr>
            </w:pPr>
            <w:r>
              <w:rPr>
                <w:rFonts w:hint="eastAsia" w:asciiTheme="minorEastAsia" w:hAnsiTheme="minorEastAsia" w:eastAsiaTheme="minorEastAsia" w:cstheme="minorEastAsia"/>
                <w:spacing w:val="-2"/>
                <w:sz w:val="18"/>
                <w:szCs w:val="18"/>
                <w:lang w:eastAsia="zh-CN"/>
              </w:rPr>
              <w:t>自产热力</w:t>
            </w:r>
          </w:p>
        </w:tc>
        <w:tc>
          <w:tcPr>
            <w:tcW w:w="647" w:type="dxa"/>
          </w:tcPr>
          <w:p w14:paraId="30360AB5">
            <w:pPr>
              <w:rPr>
                <w:rFonts w:asciiTheme="minorEastAsia" w:hAnsiTheme="minorEastAsia" w:eastAsiaTheme="minorEastAsia" w:cstheme="minorEastAsia"/>
                <w:sz w:val="18"/>
                <w:szCs w:val="18"/>
              </w:rPr>
            </w:pPr>
          </w:p>
        </w:tc>
        <w:tc>
          <w:tcPr>
            <w:tcW w:w="583" w:type="dxa"/>
          </w:tcPr>
          <w:p w14:paraId="24457BAD">
            <w:pPr>
              <w:rPr>
                <w:rFonts w:asciiTheme="minorEastAsia" w:hAnsiTheme="minorEastAsia" w:eastAsiaTheme="minorEastAsia" w:cstheme="minorEastAsia"/>
                <w:sz w:val="18"/>
                <w:szCs w:val="18"/>
              </w:rPr>
            </w:pPr>
          </w:p>
        </w:tc>
        <w:tc>
          <w:tcPr>
            <w:tcW w:w="550" w:type="dxa"/>
          </w:tcPr>
          <w:p w14:paraId="18A65EFC">
            <w:pPr>
              <w:rPr>
                <w:rFonts w:asciiTheme="minorEastAsia" w:hAnsiTheme="minorEastAsia" w:eastAsiaTheme="minorEastAsia" w:cstheme="minorEastAsia"/>
                <w:sz w:val="18"/>
                <w:szCs w:val="18"/>
              </w:rPr>
            </w:pPr>
          </w:p>
        </w:tc>
        <w:tc>
          <w:tcPr>
            <w:tcW w:w="973" w:type="dxa"/>
          </w:tcPr>
          <w:p w14:paraId="4196B9CC">
            <w:pPr>
              <w:rPr>
                <w:rFonts w:asciiTheme="minorEastAsia" w:hAnsiTheme="minorEastAsia" w:eastAsiaTheme="minorEastAsia" w:cstheme="minorEastAsia"/>
                <w:sz w:val="18"/>
                <w:szCs w:val="18"/>
              </w:rPr>
            </w:pPr>
          </w:p>
        </w:tc>
        <w:tc>
          <w:tcPr>
            <w:tcW w:w="2374" w:type="dxa"/>
            <w:tcBorders>
              <w:right w:val="single" w:color="231F20" w:sz="4" w:space="0"/>
            </w:tcBorders>
          </w:tcPr>
          <w:p w14:paraId="4E628F31">
            <w:pPr>
              <w:rPr>
                <w:rFonts w:asciiTheme="minorEastAsia" w:hAnsiTheme="minorEastAsia" w:eastAsiaTheme="minorEastAsia" w:cstheme="minorEastAsia"/>
                <w:sz w:val="18"/>
                <w:szCs w:val="18"/>
              </w:rPr>
            </w:pPr>
          </w:p>
        </w:tc>
      </w:tr>
      <w:tr w14:paraId="4BFCFE67">
        <w:trPr>
          <w:trHeight w:val="356" w:hRule="atLeast"/>
        </w:trPr>
        <w:tc>
          <w:tcPr>
            <w:tcW w:w="4061" w:type="dxa"/>
            <w:tcBorders>
              <w:left w:val="single" w:color="231F20" w:sz="4" w:space="0"/>
            </w:tcBorders>
          </w:tcPr>
          <w:p w14:paraId="6F354A94">
            <w:pPr>
              <w:pStyle w:val="11"/>
              <w:spacing w:before="101" w:line="207" w:lineRule="auto"/>
              <w:ind w:left="99"/>
              <w:rPr>
                <w:rFonts w:asciiTheme="minorEastAsia" w:hAnsiTheme="minorEastAsia" w:eastAsiaTheme="minorEastAsia" w:cstheme="minorEastAsia"/>
                <w:spacing w:val="-2"/>
                <w:sz w:val="18"/>
                <w:szCs w:val="18"/>
                <w:lang w:eastAsia="zh-CN"/>
              </w:rPr>
            </w:pPr>
            <w:r>
              <w:rPr>
                <w:rFonts w:hint="eastAsia" w:asciiTheme="minorEastAsia" w:hAnsiTheme="minorEastAsia" w:eastAsiaTheme="minorEastAsia" w:cstheme="minorEastAsia"/>
                <w:spacing w:val="-2"/>
                <w:sz w:val="18"/>
                <w:szCs w:val="18"/>
                <w:lang w:eastAsia="zh-CN"/>
              </w:rPr>
              <w:t>余热</w:t>
            </w:r>
          </w:p>
        </w:tc>
        <w:tc>
          <w:tcPr>
            <w:tcW w:w="647" w:type="dxa"/>
          </w:tcPr>
          <w:p w14:paraId="6A7AF84A">
            <w:pPr>
              <w:rPr>
                <w:rFonts w:asciiTheme="minorEastAsia" w:hAnsiTheme="minorEastAsia" w:eastAsiaTheme="minorEastAsia" w:cstheme="minorEastAsia"/>
                <w:sz w:val="18"/>
                <w:szCs w:val="18"/>
              </w:rPr>
            </w:pPr>
          </w:p>
        </w:tc>
        <w:tc>
          <w:tcPr>
            <w:tcW w:w="583" w:type="dxa"/>
          </w:tcPr>
          <w:p w14:paraId="0A9417B6">
            <w:pPr>
              <w:rPr>
                <w:rFonts w:asciiTheme="minorEastAsia" w:hAnsiTheme="minorEastAsia" w:eastAsiaTheme="minorEastAsia" w:cstheme="minorEastAsia"/>
                <w:sz w:val="18"/>
                <w:szCs w:val="18"/>
              </w:rPr>
            </w:pPr>
          </w:p>
        </w:tc>
        <w:tc>
          <w:tcPr>
            <w:tcW w:w="550" w:type="dxa"/>
          </w:tcPr>
          <w:p w14:paraId="6E5E5903">
            <w:pPr>
              <w:rPr>
                <w:rFonts w:asciiTheme="minorEastAsia" w:hAnsiTheme="minorEastAsia" w:eastAsiaTheme="minorEastAsia" w:cstheme="minorEastAsia"/>
                <w:sz w:val="18"/>
                <w:szCs w:val="18"/>
              </w:rPr>
            </w:pPr>
          </w:p>
        </w:tc>
        <w:tc>
          <w:tcPr>
            <w:tcW w:w="973" w:type="dxa"/>
          </w:tcPr>
          <w:p w14:paraId="3489B543">
            <w:pPr>
              <w:rPr>
                <w:rFonts w:asciiTheme="minorEastAsia" w:hAnsiTheme="minorEastAsia" w:eastAsiaTheme="minorEastAsia" w:cstheme="minorEastAsia"/>
                <w:sz w:val="18"/>
                <w:szCs w:val="18"/>
              </w:rPr>
            </w:pPr>
          </w:p>
        </w:tc>
        <w:tc>
          <w:tcPr>
            <w:tcW w:w="2374" w:type="dxa"/>
            <w:tcBorders>
              <w:right w:val="single" w:color="231F20" w:sz="4" w:space="0"/>
            </w:tcBorders>
          </w:tcPr>
          <w:p w14:paraId="21FB97D8">
            <w:pPr>
              <w:rPr>
                <w:rFonts w:asciiTheme="minorEastAsia" w:hAnsiTheme="minorEastAsia" w:eastAsiaTheme="minorEastAsia" w:cstheme="minorEastAsia"/>
                <w:sz w:val="18"/>
                <w:szCs w:val="18"/>
              </w:rPr>
            </w:pPr>
          </w:p>
        </w:tc>
      </w:tr>
      <w:tr w14:paraId="2F12AE58">
        <w:trPr>
          <w:trHeight w:val="356" w:hRule="atLeast"/>
        </w:trPr>
        <w:tc>
          <w:tcPr>
            <w:tcW w:w="4061" w:type="dxa"/>
            <w:tcBorders>
              <w:left w:val="single" w:color="231F20" w:sz="4" w:space="0"/>
            </w:tcBorders>
          </w:tcPr>
          <w:p w14:paraId="43B89374">
            <w:pPr>
              <w:pStyle w:val="11"/>
              <w:spacing w:before="102" w:line="207" w:lineRule="auto"/>
              <w:ind w:left="96"/>
              <w:rPr>
                <w:rFonts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pacing w:val="6"/>
                <w:sz w:val="18"/>
                <w:szCs w:val="18"/>
                <w:lang w:eastAsia="zh-CN"/>
              </w:rPr>
              <w:t>柴油</w:t>
            </w:r>
          </w:p>
        </w:tc>
        <w:tc>
          <w:tcPr>
            <w:tcW w:w="647" w:type="dxa"/>
          </w:tcPr>
          <w:p w14:paraId="1AFDA169">
            <w:pPr>
              <w:rPr>
                <w:rFonts w:asciiTheme="minorEastAsia" w:hAnsiTheme="minorEastAsia" w:eastAsiaTheme="minorEastAsia" w:cstheme="minorEastAsia"/>
                <w:sz w:val="18"/>
                <w:szCs w:val="18"/>
              </w:rPr>
            </w:pPr>
          </w:p>
        </w:tc>
        <w:tc>
          <w:tcPr>
            <w:tcW w:w="583" w:type="dxa"/>
          </w:tcPr>
          <w:p w14:paraId="0F25EB93">
            <w:pPr>
              <w:rPr>
                <w:rFonts w:asciiTheme="minorEastAsia" w:hAnsiTheme="minorEastAsia" w:eastAsiaTheme="minorEastAsia" w:cstheme="minorEastAsia"/>
                <w:sz w:val="18"/>
                <w:szCs w:val="18"/>
              </w:rPr>
            </w:pPr>
          </w:p>
        </w:tc>
        <w:tc>
          <w:tcPr>
            <w:tcW w:w="550" w:type="dxa"/>
          </w:tcPr>
          <w:p w14:paraId="3CCB233F">
            <w:pPr>
              <w:rPr>
                <w:rFonts w:asciiTheme="minorEastAsia" w:hAnsiTheme="minorEastAsia" w:eastAsiaTheme="minorEastAsia" w:cstheme="minorEastAsia"/>
                <w:sz w:val="18"/>
                <w:szCs w:val="18"/>
              </w:rPr>
            </w:pPr>
          </w:p>
        </w:tc>
        <w:tc>
          <w:tcPr>
            <w:tcW w:w="973" w:type="dxa"/>
          </w:tcPr>
          <w:p w14:paraId="5813EE3E">
            <w:pPr>
              <w:rPr>
                <w:rFonts w:asciiTheme="minorEastAsia" w:hAnsiTheme="minorEastAsia" w:eastAsiaTheme="minorEastAsia" w:cstheme="minorEastAsia"/>
                <w:sz w:val="18"/>
                <w:szCs w:val="18"/>
              </w:rPr>
            </w:pPr>
          </w:p>
        </w:tc>
        <w:tc>
          <w:tcPr>
            <w:tcW w:w="2374" w:type="dxa"/>
            <w:tcBorders>
              <w:right w:val="single" w:color="231F20" w:sz="4" w:space="0"/>
            </w:tcBorders>
          </w:tcPr>
          <w:p w14:paraId="0FA7AFDF">
            <w:pPr>
              <w:rPr>
                <w:rFonts w:asciiTheme="minorEastAsia" w:hAnsiTheme="minorEastAsia" w:eastAsiaTheme="minorEastAsia" w:cstheme="minorEastAsia"/>
                <w:sz w:val="18"/>
                <w:szCs w:val="18"/>
              </w:rPr>
            </w:pPr>
          </w:p>
        </w:tc>
      </w:tr>
      <w:tr w14:paraId="51599C0A">
        <w:trPr>
          <w:trHeight w:val="356" w:hRule="atLeast"/>
        </w:trPr>
        <w:tc>
          <w:tcPr>
            <w:tcW w:w="4061" w:type="dxa"/>
            <w:tcBorders>
              <w:left w:val="single" w:color="231F20" w:sz="4" w:space="0"/>
            </w:tcBorders>
          </w:tcPr>
          <w:p w14:paraId="7AB71F83">
            <w:pPr>
              <w:pStyle w:val="11"/>
              <w:spacing w:before="106" w:line="183" w:lineRule="auto"/>
              <w:ind w:left="97"/>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pacing w:val="11"/>
                <w:sz w:val="18"/>
                <w:szCs w:val="18"/>
              </w:rPr>
              <w:t>输出</w:t>
            </w:r>
          </w:p>
        </w:tc>
        <w:tc>
          <w:tcPr>
            <w:tcW w:w="647" w:type="dxa"/>
          </w:tcPr>
          <w:p w14:paraId="5E40D19C">
            <w:pPr>
              <w:pStyle w:val="11"/>
              <w:spacing w:before="105" w:line="186" w:lineRule="auto"/>
              <w:ind w:left="97"/>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pacing w:val="11"/>
                <w:sz w:val="18"/>
                <w:szCs w:val="18"/>
              </w:rPr>
              <w:t>单位</w:t>
            </w:r>
          </w:p>
        </w:tc>
        <w:tc>
          <w:tcPr>
            <w:tcW w:w="583" w:type="dxa"/>
          </w:tcPr>
          <w:p w14:paraId="77B63299">
            <w:pPr>
              <w:pStyle w:val="11"/>
              <w:spacing w:before="106" w:line="182" w:lineRule="auto"/>
              <w:ind w:left="99"/>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pacing w:val="11"/>
                <w:sz w:val="18"/>
                <w:szCs w:val="18"/>
              </w:rPr>
              <w:t>数量</w:t>
            </w:r>
          </w:p>
        </w:tc>
        <w:tc>
          <w:tcPr>
            <w:tcW w:w="550" w:type="dxa"/>
          </w:tcPr>
          <w:p w14:paraId="23C00B20">
            <w:pPr>
              <w:pStyle w:val="11"/>
              <w:spacing w:before="111" w:line="178" w:lineRule="auto"/>
              <w:ind w:left="10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pacing w:val="11"/>
                <w:sz w:val="18"/>
                <w:szCs w:val="18"/>
              </w:rPr>
              <w:t>运距</w:t>
            </w:r>
          </w:p>
        </w:tc>
        <w:tc>
          <w:tcPr>
            <w:tcW w:w="973" w:type="dxa"/>
          </w:tcPr>
          <w:p w14:paraId="197781B3">
            <w:pPr>
              <w:pStyle w:val="11"/>
              <w:spacing w:before="106" w:line="183" w:lineRule="auto"/>
              <w:ind w:left="10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pacing w:val="15"/>
                <w:sz w:val="18"/>
                <w:szCs w:val="18"/>
              </w:rPr>
              <w:t>运输方式</w:t>
            </w:r>
          </w:p>
        </w:tc>
        <w:tc>
          <w:tcPr>
            <w:tcW w:w="2374" w:type="dxa"/>
            <w:tcBorders>
              <w:right w:val="single" w:color="231F20" w:sz="4" w:space="0"/>
            </w:tcBorders>
          </w:tcPr>
          <w:p w14:paraId="18B776EA">
            <w:pPr>
              <w:pStyle w:val="11"/>
              <w:spacing w:before="84" w:line="228" w:lineRule="auto"/>
              <w:ind w:left="101"/>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pacing w:val="6"/>
                <w:sz w:val="18"/>
                <w:szCs w:val="18"/>
              </w:rPr>
              <w:t>规格</w:t>
            </w:r>
            <w:r>
              <w:rPr>
                <w:rFonts w:hint="eastAsia" w:asciiTheme="minorEastAsia" w:hAnsiTheme="minorEastAsia" w:eastAsiaTheme="minorEastAsia" w:cstheme="minorEastAsia"/>
                <w:spacing w:val="-21"/>
                <w:sz w:val="18"/>
                <w:szCs w:val="18"/>
              </w:rPr>
              <w:t xml:space="preserve"> </w:t>
            </w:r>
            <w:r>
              <w:rPr>
                <w:rFonts w:hint="eastAsia" w:asciiTheme="minorEastAsia" w:hAnsiTheme="minorEastAsia" w:eastAsiaTheme="minorEastAsia" w:cstheme="minorEastAsia"/>
                <w:spacing w:val="6"/>
                <w:sz w:val="18"/>
                <w:szCs w:val="18"/>
              </w:rPr>
              <w:t>、成分</w:t>
            </w:r>
            <w:r>
              <w:rPr>
                <w:rFonts w:hint="eastAsia" w:asciiTheme="minorEastAsia" w:hAnsiTheme="minorEastAsia" w:eastAsiaTheme="minorEastAsia" w:cstheme="minorEastAsia"/>
                <w:b/>
                <w:bCs/>
                <w:spacing w:val="6"/>
                <w:sz w:val="18"/>
                <w:szCs w:val="18"/>
              </w:rPr>
              <w:t>/</w:t>
            </w:r>
            <w:r>
              <w:rPr>
                <w:rFonts w:hint="eastAsia" w:asciiTheme="minorEastAsia" w:hAnsiTheme="minorEastAsia" w:eastAsiaTheme="minorEastAsia" w:cstheme="minorEastAsia"/>
                <w:spacing w:val="6"/>
                <w:sz w:val="18"/>
                <w:szCs w:val="18"/>
              </w:rPr>
              <w:t>去向</w:t>
            </w:r>
          </w:p>
        </w:tc>
      </w:tr>
      <w:tr w14:paraId="1C17D5C4">
        <w:trPr>
          <w:trHeight w:val="356" w:hRule="atLeast"/>
        </w:trPr>
        <w:tc>
          <w:tcPr>
            <w:tcW w:w="4061" w:type="dxa"/>
            <w:tcBorders>
              <w:left w:val="single" w:color="231F20" w:sz="4" w:space="0"/>
            </w:tcBorders>
          </w:tcPr>
          <w:p w14:paraId="75C40BD6">
            <w:pPr>
              <w:pStyle w:val="11"/>
              <w:spacing w:before="105" w:line="185" w:lineRule="auto"/>
              <w:ind w:left="97"/>
              <w:rPr>
                <w:rFonts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pacing w:val="11"/>
                <w:sz w:val="18"/>
                <w:szCs w:val="18"/>
                <w:lang w:eastAsia="zh-CN"/>
              </w:rPr>
              <w:t>纯碱</w:t>
            </w:r>
          </w:p>
        </w:tc>
        <w:tc>
          <w:tcPr>
            <w:tcW w:w="647" w:type="dxa"/>
          </w:tcPr>
          <w:p w14:paraId="7D0719A2">
            <w:pPr>
              <w:rPr>
                <w:rFonts w:asciiTheme="minorEastAsia" w:hAnsiTheme="minorEastAsia" w:eastAsiaTheme="minorEastAsia" w:cstheme="minorEastAsia"/>
                <w:sz w:val="18"/>
                <w:szCs w:val="18"/>
              </w:rPr>
            </w:pPr>
          </w:p>
        </w:tc>
        <w:tc>
          <w:tcPr>
            <w:tcW w:w="583" w:type="dxa"/>
          </w:tcPr>
          <w:p w14:paraId="146F56A9">
            <w:pPr>
              <w:rPr>
                <w:rFonts w:asciiTheme="minorEastAsia" w:hAnsiTheme="minorEastAsia" w:eastAsiaTheme="minorEastAsia" w:cstheme="minorEastAsia"/>
                <w:sz w:val="18"/>
                <w:szCs w:val="18"/>
              </w:rPr>
            </w:pPr>
          </w:p>
        </w:tc>
        <w:tc>
          <w:tcPr>
            <w:tcW w:w="550" w:type="dxa"/>
          </w:tcPr>
          <w:p w14:paraId="0E5C6026">
            <w:pPr>
              <w:rPr>
                <w:rFonts w:asciiTheme="minorEastAsia" w:hAnsiTheme="minorEastAsia" w:eastAsiaTheme="minorEastAsia" w:cstheme="minorEastAsia"/>
                <w:sz w:val="18"/>
                <w:szCs w:val="18"/>
              </w:rPr>
            </w:pPr>
          </w:p>
        </w:tc>
        <w:tc>
          <w:tcPr>
            <w:tcW w:w="973" w:type="dxa"/>
          </w:tcPr>
          <w:p w14:paraId="08E1419D">
            <w:pPr>
              <w:rPr>
                <w:rFonts w:asciiTheme="minorEastAsia" w:hAnsiTheme="minorEastAsia" w:eastAsiaTheme="minorEastAsia" w:cstheme="minorEastAsia"/>
                <w:sz w:val="18"/>
                <w:szCs w:val="18"/>
              </w:rPr>
            </w:pPr>
          </w:p>
        </w:tc>
        <w:tc>
          <w:tcPr>
            <w:tcW w:w="2374" w:type="dxa"/>
            <w:tcBorders>
              <w:right w:val="single" w:color="231F20" w:sz="4" w:space="0"/>
            </w:tcBorders>
          </w:tcPr>
          <w:p w14:paraId="449ED32A">
            <w:pPr>
              <w:rPr>
                <w:rFonts w:asciiTheme="minorEastAsia" w:hAnsiTheme="minorEastAsia" w:eastAsiaTheme="minorEastAsia" w:cstheme="minorEastAsia"/>
                <w:sz w:val="18"/>
                <w:szCs w:val="18"/>
              </w:rPr>
            </w:pPr>
          </w:p>
        </w:tc>
      </w:tr>
      <w:tr w14:paraId="6045C589">
        <w:trPr>
          <w:trHeight w:val="356" w:hRule="atLeast"/>
        </w:trPr>
        <w:tc>
          <w:tcPr>
            <w:tcW w:w="4061" w:type="dxa"/>
            <w:tcBorders>
              <w:left w:val="single" w:color="231F20" w:sz="4" w:space="0"/>
            </w:tcBorders>
          </w:tcPr>
          <w:p w14:paraId="59707C12">
            <w:pPr>
              <w:pStyle w:val="11"/>
              <w:spacing w:before="103" w:line="207" w:lineRule="auto"/>
              <w:ind w:left="98"/>
              <w:rPr>
                <w:rFonts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pacing w:val="-2"/>
                <w:sz w:val="18"/>
                <w:szCs w:val="18"/>
                <w:lang w:eastAsia="zh-CN"/>
              </w:rPr>
              <w:t>共生产品XX（如有）</w:t>
            </w:r>
          </w:p>
        </w:tc>
        <w:tc>
          <w:tcPr>
            <w:tcW w:w="647" w:type="dxa"/>
          </w:tcPr>
          <w:p w14:paraId="4B549D66">
            <w:pPr>
              <w:rPr>
                <w:rFonts w:asciiTheme="minorEastAsia" w:hAnsiTheme="minorEastAsia" w:eastAsiaTheme="minorEastAsia" w:cstheme="minorEastAsia"/>
                <w:sz w:val="18"/>
                <w:szCs w:val="18"/>
                <w:lang w:eastAsia="zh-CN"/>
              </w:rPr>
            </w:pPr>
          </w:p>
        </w:tc>
        <w:tc>
          <w:tcPr>
            <w:tcW w:w="583" w:type="dxa"/>
          </w:tcPr>
          <w:p w14:paraId="08272A40">
            <w:pPr>
              <w:rPr>
                <w:rFonts w:asciiTheme="minorEastAsia" w:hAnsiTheme="minorEastAsia" w:eastAsiaTheme="minorEastAsia" w:cstheme="minorEastAsia"/>
                <w:sz w:val="18"/>
                <w:szCs w:val="18"/>
                <w:lang w:eastAsia="zh-CN"/>
              </w:rPr>
            </w:pPr>
          </w:p>
        </w:tc>
        <w:tc>
          <w:tcPr>
            <w:tcW w:w="550" w:type="dxa"/>
          </w:tcPr>
          <w:p w14:paraId="618C84B5">
            <w:pPr>
              <w:rPr>
                <w:rFonts w:asciiTheme="minorEastAsia" w:hAnsiTheme="minorEastAsia" w:eastAsiaTheme="minorEastAsia" w:cstheme="minorEastAsia"/>
                <w:sz w:val="18"/>
                <w:szCs w:val="18"/>
                <w:lang w:eastAsia="zh-CN"/>
              </w:rPr>
            </w:pPr>
          </w:p>
        </w:tc>
        <w:tc>
          <w:tcPr>
            <w:tcW w:w="973" w:type="dxa"/>
          </w:tcPr>
          <w:p w14:paraId="66CBFB14">
            <w:pPr>
              <w:rPr>
                <w:rFonts w:asciiTheme="minorEastAsia" w:hAnsiTheme="minorEastAsia" w:eastAsiaTheme="minorEastAsia" w:cstheme="minorEastAsia"/>
                <w:sz w:val="18"/>
                <w:szCs w:val="18"/>
                <w:lang w:eastAsia="zh-CN"/>
              </w:rPr>
            </w:pPr>
          </w:p>
        </w:tc>
        <w:tc>
          <w:tcPr>
            <w:tcW w:w="2374" w:type="dxa"/>
            <w:tcBorders>
              <w:right w:val="single" w:color="231F20" w:sz="4" w:space="0"/>
            </w:tcBorders>
          </w:tcPr>
          <w:p w14:paraId="3A6C1A9D">
            <w:pPr>
              <w:rPr>
                <w:rFonts w:asciiTheme="minorEastAsia" w:hAnsiTheme="minorEastAsia" w:eastAsiaTheme="minorEastAsia" w:cstheme="minorEastAsia"/>
                <w:sz w:val="18"/>
                <w:szCs w:val="18"/>
                <w:lang w:eastAsia="zh-CN"/>
              </w:rPr>
            </w:pPr>
          </w:p>
        </w:tc>
      </w:tr>
      <w:tr w14:paraId="598D899C">
        <w:trPr>
          <w:trHeight w:val="356" w:hRule="atLeast"/>
        </w:trPr>
        <w:tc>
          <w:tcPr>
            <w:tcW w:w="4061" w:type="dxa"/>
            <w:tcBorders>
              <w:left w:val="single" w:color="231F20" w:sz="4" w:space="0"/>
            </w:tcBorders>
          </w:tcPr>
          <w:p w14:paraId="6FB80410">
            <w:pPr>
              <w:pStyle w:val="11"/>
              <w:spacing w:before="103" w:line="207" w:lineRule="auto"/>
              <w:ind w:left="98"/>
              <w:rPr>
                <w:rFonts w:asciiTheme="minorEastAsia" w:hAnsiTheme="minorEastAsia" w:eastAsiaTheme="minorEastAsia" w:cstheme="minorEastAsia"/>
                <w:spacing w:val="-2"/>
                <w:sz w:val="18"/>
                <w:szCs w:val="18"/>
                <w:lang w:eastAsia="zh-CN"/>
              </w:rPr>
            </w:pPr>
            <w:r>
              <w:rPr>
                <w:rFonts w:hint="eastAsia" w:asciiTheme="minorEastAsia" w:hAnsiTheme="minorEastAsia" w:eastAsiaTheme="minorEastAsia" w:cstheme="minorEastAsia"/>
                <w:spacing w:val="-2"/>
                <w:sz w:val="18"/>
                <w:szCs w:val="18"/>
                <w:lang w:eastAsia="zh-CN"/>
              </w:rPr>
              <w:t>废渣</w:t>
            </w:r>
          </w:p>
        </w:tc>
        <w:tc>
          <w:tcPr>
            <w:tcW w:w="647" w:type="dxa"/>
          </w:tcPr>
          <w:p w14:paraId="0180DE37">
            <w:pPr>
              <w:rPr>
                <w:rFonts w:asciiTheme="minorEastAsia" w:hAnsiTheme="minorEastAsia" w:eastAsiaTheme="minorEastAsia" w:cstheme="minorEastAsia"/>
                <w:sz w:val="18"/>
                <w:szCs w:val="18"/>
              </w:rPr>
            </w:pPr>
          </w:p>
        </w:tc>
        <w:tc>
          <w:tcPr>
            <w:tcW w:w="583" w:type="dxa"/>
          </w:tcPr>
          <w:p w14:paraId="47D995F5">
            <w:pPr>
              <w:rPr>
                <w:rFonts w:asciiTheme="minorEastAsia" w:hAnsiTheme="minorEastAsia" w:eastAsiaTheme="minorEastAsia" w:cstheme="minorEastAsia"/>
                <w:sz w:val="18"/>
                <w:szCs w:val="18"/>
              </w:rPr>
            </w:pPr>
          </w:p>
        </w:tc>
        <w:tc>
          <w:tcPr>
            <w:tcW w:w="550" w:type="dxa"/>
          </w:tcPr>
          <w:p w14:paraId="015AB7C5">
            <w:pPr>
              <w:rPr>
                <w:rFonts w:asciiTheme="minorEastAsia" w:hAnsiTheme="minorEastAsia" w:eastAsiaTheme="minorEastAsia" w:cstheme="minorEastAsia"/>
                <w:sz w:val="18"/>
                <w:szCs w:val="18"/>
              </w:rPr>
            </w:pPr>
          </w:p>
        </w:tc>
        <w:tc>
          <w:tcPr>
            <w:tcW w:w="973" w:type="dxa"/>
          </w:tcPr>
          <w:p w14:paraId="10489E64">
            <w:pPr>
              <w:rPr>
                <w:rFonts w:asciiTheme="minorEastAsia" w:hAnsiTheme="minorEastAsia" w:eastAsiaTheme="minorEastAsia" w:cstheme="minorEastAsia"/>
                <w:sz w:val="18"/>
                <w:szCs w:val="18"/>
              </w:rPr>
            </w:pPr>
          </w:p>
        </w:tc>
        <w:tc>
          <w:tcPr>
            <w:tcW w:w="2374" w:type="dxa"/>
            <w:tcBorders>
              <w:right w:val="single" w:color="231F20" w:sz="4" w:space="0"/>
            </w:tcBorders>
          </w:tcPr>
          <w:p w14:paraId="4CF1210B">
            <w:pPr>
              <w:rPr>
                <w:rFonts w:asciiTheme="minorEastAsia" w:hAnsiTheme="minorEastAsia" w:eastAsiaTheme="minorEastAsia" w:cstheme="minorEastAsia"/>
                <w:sz w:val="18"/>
                <w:szCs w:val="18"/>
              </w:rPr>
            </w:pPr>
          </w:p>
        </w:tc>
      </w:tr>
      <w:tr w14:paraId="0D77C047">
        <w:trPr>
          <w:trHeight w:val="356" w:hRule="atLeast"/>
        </w:trPr>
        <w:tc>
          <w:tcPr>
            <w:tcW w:w="4061" w:type="dxa"/>
            <w:tcBorders>
              <w:left w:val="single" w:color="231F20" w:sz="4" w:space="0"/>
            </w:tcBorders>
          </w:tcPr>
          <w:p w14:paraId="25E50954">
            <w:pPr>
              <w:pStyle w:val="11"/>
              <w:spacing w:before="103" w:line="207" w:lineRule="auto"/>
              <w:ind w:left="98"/>
              <w:rPr>
                <w:rFonts w:asciiTheme="minorEastAsia" w:hAnsiTheme="minorEastAsia" w:eastAsiaTheme="minorEastAsia" w:cstheme="minorEastAsia"/>
                <w:spacing w:val="-2"/>
                <w:sz w:val="18"/>
                <w:szCs w:val="18"/>
                <w:lang w:eastAsia="zh-CN"/>
              </w:rPr>
            </w:pPr>
            <w:r>
              <w:rPr>
                <w:rFonts w:hint="eastAsia" w:asciiTheme="minorEastAsia" w:hAnsiTheme="minorEastAsia" w:eastAsiaTheme="minorEastAsia" w:cstheme="minorEastAsia"/>
                <w:spacing w:val="-2"/>
                <w:sz w:val="18"/>
                <w:szCs w:val="18"/>
                <w:lang w:eastAsia="zh-CN"/>
              </w:rPr>
              <w:t>危废</w:t>
            </w:r>
          </w:p>
        </w:tc>
        <w:tc>
          <w:tcPr>
            <w:tcW w:w="647" w:type="dxa"/>
          </w:tcPr>
          <w:p w14:paraId="5EA3A552">
            <w:pPr>
              <w:rPr>
                <w:rFonts w:asciiTheme="minorEastAsia" w:hAnsiTheme="minorEastAsia" w:eastAsiaTheme="minorEastAsia" w:cstheme="minorEastAsia"/>
                <w:sz w:val="18"/>
                <w:szCs w:val="18"/>
              </w:rPr>
            </w:pPr>
          </w:p>
        </w:tc>
        <w:tc>
          <w:tcPr>
            <w:tcW w:w="583" w:type="dxa"/>
          </w:tcPr>
          <w:p w14:paraId="470A1168">
            <w:pPr>
              <w:rPr>
                <w:rFonts w:asciiTheme="minorEastAsia" w:hAnsiTheme="minorEastAsia" w:eastAsiaTheme="minorEastAsia" w:cstheme="minorEastAsia"/>
                <w:sz w:val="18"/>
                <w:szCs w:val="18"/>
              </w:rPr>
            </w:pPr>
          </w:p>
        </w:tc>
        <w:tc>
          <w:tcPr>
            <w:tcW w:w="550" w:type="dxa"/>
          </w:tcPr>
          <w:p w14:paraId="684A9BB8">
            <w:pPr>
              <w:rPr>
                <w:rFonts w:asciiTheme="minorEastAsia" w:hAnsiTheme="minorEastAsia" w:eastAsiaTheme="minorEastAsia" w:cstheme="minorEastAsia"/>
                <w:sz w:val="18"/>
                <w:szCs w:val="18"/>
              </w:rPr>
            </w:pPr>
          </w:p>
        </w:tc>
        <w:tc>
          <w:tcPr>
            <w:tcW w:w="973" w:type="dxa"/>
          </w:tcPr>
          <w:p w14:paraId="1144D2FD">
            <w:pPr>
              <w:rPr>
                <w:rFonts w:asciiTheme="minorEastAsia" w:hAnsiTheme="minorEastAsia" w:eastAsiaTheme="minorEastAsia" w:cstheme="minorEastAsia"/>
                <w:sz w:val="18"/>
                <w:szCs w:val="18"/>
              </w:rPr>
            </w:pPr>
          </w:p>
        </w:tc>
        <w:tc>
          <w:tcPr>
            <w:tcW w:w="2374" w:type="dxa"/>
            <w:tcBorders>
              <w:right w:val="single" w:color="231F20" w:sz="4" w:space="0"/>
            </w:tcBorders>
          </w:tcPr>
          <w:p w14:paraId="185EF207">
            <w:pPr>
              <w:rPr>
                <w:rFonts w:asciiTheme="minorEastAsia" w:hAnsiTheme="minorEastAsia" w:eastAsiaTheme="minorEastAsia" w:cstheme="minorEastAsia"/>
                <w:sz w:val="18"/>
                <w:szCs w:val="18"/>
              </w:rPr>
            </w:pPr>
          </w:p>
        </w:tc>
      </w:tr>
      <w:tr w14:paraId="46E848FA">
        <w:trPr>
          <w:trHeight w:val="356" w:hRule="atLeast"/>
        </w:trPr>
        <w:tc>
          <w:tcPr>
            <w:tcW w:w="4061" w:type="dxa"/>
            <w:tcBorders>
              <w:left w:val="single" w:color="231F20" w:sz="4" w:space="0"/>
            </w:tcBorders>
          </w:tcPr>
          <w:p w14:paraId="46180D14">
            <w:pPr>
              <w:pStyle w:val="11"/>
              <w:spacing w:before="103" w:line="207" w:lineRule="auto"/>
              <w:ind w:left="98"/>
              <w:rPr>
                <w:rFonts w:asciiTheme="minorEastAsia" w:hAnsiTheme="minorEastAsia" w:eastAsiaTheme="minorEastAsia" w:cstheme="minorEastAsia"/>
                <w:spacing w:val="-2"/>
                <w:sz w:val="18"/>
                <w:szCs w:val="18"/>
                <w:lang w:eastAsia="zh-CN"/>
              </w:rPr>
            </w:pPr>
            <w:r>
              <w:rPr>
                <w:rFonts w:hint="eastAsia" w:asciiTheme="minorEastAsia" w:hAnsiTheme="minorEastAsia" w:eastAsiaTheme="minorEastAsia" w:cstheme="minorEastAsia"/>
                <w:spacing w:val="-2"/>
                <w:sz w:val="18"/>
                <w:szCs w:val="18"/>
                <w:lang w:eastAsia="zh-CN"/>
              </w:rPr>
              <w:t>废水</w:t>
            </w:r>
          </w:p>
        </w:tc>
        <w:tc>
          <w:tcPr>
            <w:tcW w:w="647" w:type="dxa"/>
          </w:tcPr>
          <w:p w14:paraId="23BA9554">
            <w:pPr>
              <w:rPr>
                <w:rFonts w:asciiTheme="minorEastAsia" w:hAnsiTheme="minorEastAsia" w:eastAsiaTheme="minorEastAsia" w:cstheme="minorEastAsia"/>
                <w:sz w:val="18"/>
                <w:szCs w:val="18"/>
              </w:rPr>
            </w:pPr>
          </w:p>
        </w:tc>
        <w:tc>
          <w:tcPr>
            <w:tcW w:w="583" w:type="dxa"/>
          </w:tcPr>
          <w:p w14:paraId="47FF81EB">
            <w:pPr>
              <w:rPr>
                <w:rFonts w:asciiTheme="minorEastAsia" w:hAnsiTheme="minorEastAsia" w:eastAsiaTheme="minorEastAsia" w:cstheme="minorEastAsia"/>
                <w:sz w:val="18"/>
                <w:szCs w:val="18"/>
              </w:rPr>
            </w:pPr>
          </w:p>
        </w:tc>
        <w:tc>
          <w:tcPr>
            <w:tcW w:w="550" w:type="dxa"/>
          </w:tcPr>
          <w:p w14:paraId="3027FC5F">
            <w:pPr>
              <w:rPr>
                <w:rFonts w:asciiTheme="minorEastAsia" w:hAnsiTheme="minorEastAsia" w:eastAsiaTheme="minorEastAsia" w:cstheme="minorEastAsia"/>
                <w:sz w:val="18"/>
                <w:szCs w:val="18"/>
              </w:rPr>
            </w:pPr>
          </w:p>
        </w:tc>
        <w:tc>
          <w:tcPr>
            <w:tcW w:w="973" w:type="dxa"/>
          </w:tcPr>
          <w:p w14:paraId="0909A6DA">
            <w:pPr>
              <w:rPr>
                <w:rFonts w:asciiTheme="minorEastAsia" w:hAnsiTheme="minorEastAsia" w:eastAsiaTheme="minorEastAsia" w:cstheme="minorEastAsia"/>
                <w:sz w:val="18"/>
                <w:szCs w:val="18"/>
              </w:rPr>
            </w:pPr>
          </w:p>
        </w:tc>
        <w:tc>
          <w:tcPr>
            <w:tcW w:w="2374" w:type="dxa"/>
            <w:tcBorders>
              <w:right w:val="single" w:color="231F20" w:sz="4" w:space="0"/>
            </w:tcBorders>
          </w:tcPr>
          <w:p w14:paraId="5252A09B">
            <w:pPr>
              <w:rPr>
                <w:rFonts w:asciiTheme="minorEastAsia" w:hAnsiTheme="minorEastAsia" w:eastAsiaTheme="minorEastAsia" w:cstheme="minorEastAsia"/>
                <w:sz w:val="18"/>
                <w:szCs w:val="18"/>
              </w:rPr>
            </w:pPr>
          </w:p>
        </w:tc>
      </w:tr>
      <w:tr w14:paraId="6D606109">
        <w:trPr>
          <w:trHeight w:val="356" w:hRule="atLeast"/>
        </w:trPr>
        <w:tc>
          <w:tcPr>
            <w:tcW w:w="4061" w:type="dxa"/>
            <w:tcBorders>
              <w:left w:val="single" w:color="231F20" w:sz="4" w:space="0"/>
            </w:tcBorders>
          </w:tcPr>
          <w:p w14:paraId="58448386">
            <w:pPr>
              <w:pStyle w:val="11"/>
              <w:spacing w:before="103" w:line="207" w:lineRule="auto"/>
              <w:ind w:left="98"/>
              <w:rPr>
                <w:rFonts w:asciiTheme="minorEastAsia" w:hAnsiTheme="minorEastAsia" w:eastAsiaTheme="minorEastAsia" w:cstheme="minorEastAsia"/>
                <w:spacing w:val="-2"/>
                <w:sz w:val="18"/>
                <w:szCs w:val="18"/>
                <w:lang w:eastAsia="zh-CN"/>
              </w:rPr>
            </w:pPr>
            <w:r>
              <w:rPr>
                <w:rFonts w:hint="eastAsia" w:asciiTheme="minorEastAsia" w:hAnsiTheme="minorEastAsia" w:eastAsiaTheme="minorEastAsia" w:cstheme="minorEastAsia"/>
                <w:spacing w:val="-2"/>
                <w:sz w:val="18"/>
                <w:szCs w:val="18"/>
                <w:lang w:eastAsia="zh-CN"/>
              </w:rPr>
              <w:t>废气</w:t>
            </w:r>
          </w:p>
        </w:tc>
        <w:tc>
          <w:tcPr>
            <w:tcW w:w="647" w:type="dxa"/>
          </w:tcPr>
          <w:p w14:paraId="57768A50">
            <w:pPr>
              <w:rPr>
                <w:rFonts w:asciiTheme="minorEastAsia" w:hAnsiTheme="minorEastAsia" w:eastAsiaTheme="minorEastAsia" w:cstheme="minorEastAsia"/>
                <w:sz w:val="18"/>
                <w:szCs w:val="18"/>
              </w:rPr>
            </w:pPr>
          </w:p>
        </w:tc>
        <w:tc>
          <w:tcPr>
            <w:tcW w:w="583" w:type="dxa"/>
          </w:tcPr>
          <w:p w14:paraId="79A508B5">
            <w:pPr>
              <w:rPr>
                <w:rFonts w:asciiTheme="minorEastAsia" w:hAnsiTheme="minorEastAsia" w:eastAsiaTheme="minorEastAsia" w:cstheme="minorEastAsia"/>
                <w:sz w:val="18"/>
                <w:szCs w:val="18"/>
              </w:rPr>
            </w:pPr>
          </w:p>
        </w:tc>
        <w:tc>
          <w:tcPr>
            <w:tcW w:w="550" w:type="dxa"/>
          </w:tcPr>
          <w:p w14:paraId="4B4C0C4D">
            <w:pPr>
              <w:rPr>
                <w:rFonts w:asciiTheme="minorEastAsia" w:hAnsiTheme="minorEastAsia" w:eastAsiaTheme="minorEastAsia" w:cstheme="minorEastAsia"/>
                <w:sz w:val="18"/>
                <w:szCs w:val="18"/>
              </w:rPr>
            </w:pPr>
          </w:p>
        </w:tc>
        <w:tc>
          <w:tcPr>
            <w:tcW w:w="973" w:type="dxa"/>
          </w:tcPr>
          <w:p w14:paraId="3F80CC40">
            <w:pPr>
              <w:rPr>
                <w:rFonts w:asciiTheme="minorEastAsia" w:hAnsiTheme="minorEastAsia" w:eastAsiaTheme="minorEastAsia" w:cstheme="minorEastAsia"/>
                <w:sz w:val="18"/>
                <w:szCs w:val="18"/>
              </w:rPr>
            </w:pPr>
          </w:p>
        </w:tc>
        <w:tc>
          <w:tcPr>
            <w:tcW w:w="2374" w:type="dxa"/>
            <w:tcBorders>
              <w:right w:val="single" w:color="231F20" w:sz="4" w:space="0"/>
            </w:tcBorders>
          </w:tcPr>
          <w:p w14:paraId="4B288AC4">
            <w:pPr>
              <w:rPr>
                <w:rFonts w:asciiTheme="minorEastAsia" w:hAnsiTheme="minorEastAsia" w:eastAsiaTheme="minorEastAsia" w:cstheme="minorEastAsia"/>
                <w:sz w:val="18"/>
                <w:szCs w:val="18"/>
              </w:rPr>
            </w:pPr>
          </w:p>
        </w:tc>
      </w:tr>
      <w:tr w14:paraId="63BB3A5F">
        <w:trPr>
          <w:trHeight w:val="356" w:hRule="atLeast"/>
        </w:trPr>
        <w:tc>
          <w:tcPr>
            <w:tcW w:w="4061" w:type="dxa"/>
            <w:tcBorders>
              <w:left w:val="single" w:color="231F20" w:sz="4" w:space="0"/>
            </w:tcBorders>
          </w:tcPr>
          <w:p w14:paraId="25777C53">
            <w:pPr>
              <w:pStyle w:val="11"/>
              <w:spacing w:before="96" w:line="213" w:lineRule="auto"/>
              <w:ind w:left="100"/>
              <w:rPr>
                <w:rFonts w:asciiTheme="minorEastAsia" w:hAnsiTheme="minorEastAsia" w:eastAsiaTheme="minorEastAsia" w:cstheme="minorEastAsia"/>
                <w:spacing w:val="10"/>
                <w:sz w:val="18"/>
                <w:szCs w:val="18"/>
                <w:lang w:eastAsia="zh-CN"/>
              </w:rPr>
            </w:pPr>
            <w:r>
              <w:rPr>
                <w:rFonts w:hint="eastAsia" w:asciiTheme="minorEastAsia" w:hAnsiTheme="minorEastAsia" w:eastAsiaTheme="minorEastAsia" w:cstheme="minorEastAsia"/>
                <w:spacing w:val="10"/>
                <w:sz w:val="18"/>
                <w:szCs w:val="18"/>
                <w:lang w:eastAsia="zh-CN"/>
              </w:rPr>
              <w:t>温室气体直接排放（燃料燃烧）</w:t>
            </w:r>
          </w:p>
        </w:tc>
        <w:tc>
          <w:tcPr>
            <w:tcW w:w="647" w:type="dxa"/>
          </w:tcPr>
          <w:p w14:paraId="73E93EE9">
            <w:pPr>
              <w:rPr>
                <w:rFonts w:asciiTheme="minorEastAsia" w:hAnsiTheme="minorEastAsia" w:eastAsiaTheme="minorEastAsia" w:cstheme="minorEastAsia"/>
                <w:sz w:val="18"/>
                <w:szCs w:val="18"/>
                <w:lang w:eastAsia="zh-CN"/>
              </w:rPr>
            </w:pPr>
          </w:p>
        </w:tc>
        <w:tc>
          <w:tcPr>
            <w:tcW w:w="583" w:type="dxa"/>
          </w:tcPr>
          <w:p w14:paraId="561F6AC7">
            <w:pPr>
              <w:rPr>
                <w:rFonts w:asciiTheme="minorEastAsia" w:hAnsiTheme="minorEastAsia" w:eastAsiaTheme="minorEastAsia" w:cstheme="minorEastAsia"/>
                <w:sz w:val="18"/>
                <w:szCs w:val="18"/>
                <w:lang w:eastAsia="zh-CN"/>
              </w:rPr>
            </w:pPr>
          </w:p>
        </w:tc>
        <w:tc>
          <w:tcPr>
            <w:tcW w:w="550" w:type="dxa"/>
          </w:tcPr>
          <w:p w14:paraId="0E503122">
            <w:pPr>
              <w:rPr>
                <w:rFonts w:asciiTheme="minorEastAsia" w:hAnsiTheme="minorEastAsia" w:eastAsiaTheme="minorEastAsia" w:cstheme="minorEastAsia"/>
                <w:sz w:val="18"/>
                <w:szCs w:val="18"/>
                <w:lang w:eastAsia="zh-CN"/>
              </w:rPr>
            </w:pPr>
          </w:p>
        </w:tc>
        <w:tc>
          <w:tcPr>
            <w:tcW w:w="973" w:type="dxa"/>
          </w:tcPr>
          <w:p w14:paraId="35799ADA">
            <w:pPr>
              <w:rPr>
                <w:rFonts w:asciiTheme="minorEastAsia" w:hAnsiTheme="minorEastAsia" w:eastAsiaTheme="minorEastAsia" w:cstheme="minorEastAsia"/>
                <w:sz w:val="18"/>
                <w:szCs w:val="18"/>
                <w:lang w:eastAsia="zh-CN"/>
              </w:rPr>
            </w:pPr>
          </w:p>
        </w:tc>
        <w:tc>
          <w:tcPr>
            <w:tcW w:w="2374" w:type="dxa"/>
            <w:tcBorders>
              <w:right w:val="single" w:color="231F20" w:sz="4" w:space="0"/>
            </w:tcBorders>
          </w:tcPr>
          <w:p w14:paraId="15366B33">
            <w:pPr>
              <w:rPr>
                <w:rFonts w:asciiTheme="minorEastAsia" w:hAnsiTheme="minorEastAsia" w:eastAsiaTheme="minorEastAsia" w:cstheme="minorEastAsia"/>
                <w:sz w:val="18"/>
                <w:szCs w:val="18"/>
                <w:lang w:eastAsia="zh-CN"/>
              </w:rPr>
            </w:pPr>
          </w:p>
        </w:tc>
      </w:tr>
      <w:tr w14:paraId="2CF8AF57">
        <w:trPr>
          <w:trHeight w:val="356" w:hRule="atLeast"/>
        </w:trPr>
        <w:tc>
          <w:tcPr>
            <w:tcW w:w="4061" w:type="dxa"/>
            <w:tcBorders>
              <w:left w:val="single" w:color="231F20" w:sz="4" w:space="0"/>
            </w:tcBorders>
          </w:tcPr>
          <w:p w14:paraId="20BB4D38">
            <w:pPr>
              <w:pStyle w:val="11"/>
              <w:spacing w:before="96" w:line="213" w:lineRule="auto"/>
              <w:ind w:left="10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pacing w:val="10"/>
                <w:sz w:val="18"/>
                <w:szCs w:val="18"/>
                <w:lang w:eastAsia="zh-CN"/>
              </w:rPr>
              <w:t>石灰石煅烧分解</w:t>
            </w:r>
          </w:p>
        </w:tc>
        <w:tc>
          <w:tcPr>
            <w:tcW w:w="647" w:type="dxa"/>
          </w:tcPr>
          <w:p w14:paraId="4C8E16BD">
            <w:pPr>
              <w:rPr>
                <w:rFonts w:asciiTheme="minorEastAsia" w:hAnsiTheme="minorEastAsia" w:eastAsiaTheme="minorEastAsia" w:cstheme="minorEastAsia"/>
                <w:sz w:val="18"/>
                <w:szCs w:val="18"/>
              </w:rPr>
            </w:pPr>
          </w:p>
        </w:tc>
        <w:tc>
          <w:tcPr>
            <w:tcW w:w="583" w:type="dxa"/>
          </w:tcPr>
          <w:p w14:paraId="020B2FC0">
            <w:pPr>
              <w:rPr>
                <w:rFonts w:asciiTheme="minorEastAsia" w:hAnsiTheme="minorEastAsia" w:eastAsiaTheme="minorEastAsia" w:cstheme="minorEastAsia"/>
                <w:sz w:val="18"/>
                <w:szCs w:val="18"/>
              </w:rPr>
            </w:pPr>
          </w:p>
        </w:tc>
        <w:tc>
          <w:tcPr>
            <w:tcW w:w="550" w:type="dxa"/>
          </w:tcPr>
          <w:p w14:paraId="02337920">
            <w:pPr>
              <w:rPr>
                <w:rFonts w:asciiTheme="minorEastAsia" w:hAnsiTheme="minorEastAsia" w:eastAsiaTheme="minorEastAsia" w:cstheme="minorEastAsia"/>
                <w:sz w:val="18"/>
                <w:szCs w:val="18"/>
              </w:rPr>
            </w:pPr>
          </w:p>
        </w:tc>
        <w:tc>
          <w:tcPr>
            <w:tcW w:w="973" w:type="dxa"/>
          </w:tcPr>
          <w:p w14:paraId="0BBA5FBA">
            <w:pPr>
              <w:rPr>
                <w:rFonts w:asciiTheme="minorEastAsia" w:hAnsiTheme="minorEastAsia" w:eastAsiaTheme="minorEastAsia" w:cstheme="minorEastAsia"/>
                <w:sz w:val="18"/>
                <w:szCs w:val="18"/>
              </w:rPr>
            </w:pPr>
          </w:p>
        </w:tc>
        <w:tc>
          <w:tcPr>
            <w:tcW w:w="2374" w:type="dxa"/>
            <w:tcBorders>
              <w:right w:val="single" w:color="231F20" w:sz="4" w:space="0"/>
            </w:tcBorders>
          </w:tcPr>
          <w:p w14:paraId="07F7154C">
            <w:pPr>
              <w:rPr>
                <w:rFonts w:asciiTheme="minorEastAsia" w:hAnsiTheme="minorEastAsia" w:eastAsiaTheme="minorEastAsia" w:cstheme="minorEastAsia"/>
                <w:sz w:val="18"/>
                <w:szCs w:val="18"/>
              </w:rPr>
            </w:pPr>
          </w:p>
        </w:tc>
      </w:tr>
      <w:tr w14:paraId="67EDB863">
        <w:trPr>
          <w:trHeight w:val="642" w:hRule="atLeast"/>
        </w:trPr>
        <w:tc>
          <w:tcPr>
            <w:tcW w:w="9188" w:type="dxa"/>
            <w:gridSpan w:val="6"/>
            <w:tcBorders>
              <w:top w:val="single" w:color="231F20" w:sz="4" w:space="0"/>
              <w:left w:val="single" w:color="231F20" w:sz="4" w:space="0"/>
              <w:bottom w:val="single" w:color="231F20" w:sz="4" w:space="0"/>
              <w:right w:val="single" w:color="231F20" w:sz="4" w:space="0"/>
            </w:tcBorders>
          </w:tcPr>
          <w:p w14:paraId="5B6B5CC3">
            <w:pPr>
              <w:pStyle w:val="11"/>
              <w:spacing w:before="99" w:line="211" w:lineRule="auto"/>
              <w:rPr>
                <w:rFonts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pacing w:val="16"/>
                <w:sz w:val="18"/>
                <w:szCs w:val="18"/>
                <w:lang w:eastAsia="zh-CN"/>
              </w:rPr>
              <w:t>注</w:t>
            </w:r>
            <w:r>
              <w:rPr>
                <w:rFonts w:hint="eastAsia" w:asciiTheme="minorEastAsia" w:hAnsiTheme="minorEastAsia" w:eastAsiaTheme="minorEastAsia" w:cstheme="minorEastAsia"/>
                <w:spacing w:val="-31"/>
                <w:sz w:val="18"/>
                <w:szCs w:val="18"/>
                <w:lang w:eastAsia="zh-CN"/>
              </w:rPr>
              <w:t xml:space="preserve"> </w:t>
            </w:r>
            <w:r>
              <w:rPr>
                <w:rFonts w:hint="eastAsia" w:asciiTheme="minorEastAsia" w:hAnsiTheme="minorEastAsia" w:eastAsiaTheme="minorEastAsia" w:cstheme="minorEastAsia"/>
                <w:spacing w:val="16"/>
                <w:sz w:val="18"/>
                <w:szCs w:val="18"/>
                <w:lang w:eastAsia="zh-CN"/>
              </w:rPr>
              <w:t>1：此数据收集表中的数据是指规定时间段内所有未分</w:t>
            </w:r>
            <w:r>
              <w:rPr>
                <w:rFonts w:hint="eastAsia" w:asciiTheme="minorEastAsia" w:hAnsiTheme="minorEastAsia" w:eastAsiaTheme="minorEastAsia" w:cstheme="minorEastAsia"/>
                <w:spacing w:val="15"/>
                <w:sz w:val="18"/>
                <w:szCs w:val="18"/>
                <w:lang w:eastAsia="zh-CN"/>
              </w:rPr>
              <w:t>配的输入和输出。</w:t>
            </w:r>
          </w:p>
          <w:p w14:paraId="40D28965">
            <w:pPr>
              <w:pStyle w:val="11"/>
              <w:spacing w:before="43" w:line="212" w:lineRule="auto"/>
              <w:rPr>
                <w:rFonts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pacing w:val="11"/>
                <w:sz w:val="18"/>
                <w:szCs w:val="18"/>
                <w:lang w:eastAsia="zh-CN"/>
              </w:rPr>
              <w:t>注</w:t>
            </w:r>
            <w:r>
              <w:rPr>
                <w:rFonts w:hint="eastAsia" w:asciiTheme="minorEastAsia" w:hAnsiTheme="minorEastAsia" w:eastAsiaTheme="minorEastAsia" w:cstheme="minorEastAsia"/>
                <w:spacing w:val="-27"/>
                <w:sz w:val="18"/>
                <w:szCs w:val="18"/>
                <w:lang w:eastAsia="zh-CN"/>
              </w:rPr>
              <w:t xml:space="preserve"> </w:t>
            </w:r>
            <w:r>
              <w:rPr>
                <w:rFonts w:hint="eastAsia" w:asciiTheme="minorEastAsia" w:hAnsiTheme="minorEastAsia" w:eastAsiaTheme="minorEastAsia" w:cstheme="minorEastAsia"/>
                <w:spacing w:val="11"/>
                <w:sz w:val="18"/>
                <w:szCs w:val="18"/>
                <w:lang w:eastAsia="zh-CN"/>
              </w:rPr>
              <w:t>2：燃料和热力以热量单位表示</w:t>
            </w:r>
            <w:r>
              <w:rPr>
                <w:rFonts w:hint="eastAsia" w:asciiTheme="minorEastAsia" w:hAnsiTheme="minorEastAsia" w:eastAsiaTheme="minorEastAsia" w:cstheme="minorEastAsia"/>
                <w:spacing w:val="-25"/>
                <w:sz w:val="18"/>
                <w:szCs w:val="18"/>
                <w:lang w:eastAsia="zh-CN"/>
              </w:rPr>
              <w:t xml:space="preserve"> </w:t>
            </w:r>
            <w:r>
              <w:rPr>
                <w:rFonts w:hint="eastAsia" w:asciiTheme="minorEastAsia" w:hAnsiTheme="minorEastAsia" w:eastAsiaTheme="minorEastAsia" w:cstheme="minorEastAsia"/>
                <w:spacing w:val="11"/>
                <w:sz w:val="18"/>
                <w:szCs w:val="18"/>
                <w:lang w:eastAsia="zh-CN"/>
              </w:rPr>
              <w:t>。</w:t>
            </w:r>
          </w:p>
        </w:tc>
      </w:tr>
    </w:tbl>
    <w:p w14:paraId="25C79FDC">
      <w:pPr>
        <w:pStyle w:val="19"/>
        <w:ind w:firstLine="416"/>
        <w:rPr>
          <w:rFonts w:ascii="宋体" w:hAnsi="宋体" w:eastAsia="宋体" w:cs="宋体"/>
          <w:spacing w:val="8"/>
          <w:sz w:val="20"/>
          <w:szCs w:val="20"/>
          <w:lang w:eastAsia="zh-CN"/>
        </w:rPr>
      </w:pPr>
    </w:p>
    <w:p w14:paraId="764C71FE">
      <w:pPr>
        <w:pStyle w:val="19"/>
        <w:ind w:firstLine="416"/>
        <w:rPr>
          <w:rFonts w:ascii="宋体" w:hAnsi="宋体" w:eastAsia="宋体" w:cs="宋体"/>
          <w:spacing w:val="8"/>
          <w:sz w:val="20"/>
          <w:szCs w:val="20"/>
          <w:lang w:eastAsia="zh-CN"/>
        </w:rPr>
      </w:pPr>
    </w:p>
    <w:p w14:paraId="6DBE0A84">
      <w:pPr>
        <w:rPr>
          <w:rFonts w:ascii="黑体" w:hAnsi="黑体" w:eastAsia="黑体" w:cs="黑体"/>
          <w:color w:val="231F20"/>
          <w:spacing w:val="18"/>
          <w:position w:val="1"/>
          <w:sz w:val="19"/>
          <w:szCs w:val="19"/>
          <w:lang w:eastAsia="zh-CN"/>
        </w:rPr>
      </w:pPr>
      <w:r>
        <w:rPr>
          <w:rFonts w:ascii="黑体" w:hAnsi="黑体" w:eastAsia="黑体" w:cs="黑体"/>
          <w:color w:val="231F20"/>
          <w:spacing w:val="18"/>
          <w:position w:val="1"/>
          <w:sz w:val="19"/>
          <w:szCs w:val="19"/>
          <w:lang w:eastAsia="zh-CN"/>
        </w:rPr>
        <w:br w:type="page"/>
      </w:r>
    </w:p>
    <w:p w14:paraId="2EA663DD">
      <w:pPr>
        <w:pStyle w:val="20"/>
        <w:rPr>
          <w:sz w:val="20"/>
          <w:lang w:eastAsia="zh-CN"/>
        </w:rPr>
      </w:pPr>
      <w:bookmarkStart w:id="109" w:name="_Toc5972"/>
      <w:r>
        <w:rPr>
          <w:rFonts w:hint="eastAsia"/>
          <w:sz w:val="20"/>
          <w:lang w:eastAsia="zh-CN"/>
        </w:rPr>
        <w:br w:type="textWrapping"/>
      </w:r>
      <w:r>
        <w:rPr>
          <w:rFonts w:hint="eastAsia"/>
          <w:sz w:val="20"/>
          <w:lang w:eastAsia="zh-CN"/>
        </w:rPr>
        <w:t>（资料性）</w:t>
      </w:r>
      <w:r>
        <w:rPr>
          <w:rFonts w:hint="eastAsia"/>
          <w:sz w:val="20"/>
          <w:lang w:eastAsia="zh-CN"/>
        </w:rPr>
        <w:br w:type="textWrapping"/>
      </w:r>
      <w:r>
        <w:rPr>
          <w:rFonts w:hint="eastAsia"/>
          <w:sz w:val="20"/>
          <w:lang w:eastAsia="zh-CN"/>
        </w:rPr>
        <w:t>全球变暖潜势</w:t>
      </w:r>
      <w:bookmarkEnd w:id="109"/>
    </w:p>
    <w:p w14:paraId="4051DD24">
      <w:pPr>
        <w:spacing w:before="66" w:line="228" w:lineRule="auto"/>
        <w:ind w:left="553"/>
        <w:rPr>
          <w:rFonts w:ascii="宋体" w:hAnsi="宋体" w:eastAsia="宋体" w:cs="宋体"/>
          <w:sz w:val="20"/>
          <w:szCs w:val="20"/>
          <w:lang w:eastAsia="zh-CN"/>
        </w:rPr>
      </w:pPr>
      <w:r>
        <w:rPr>
          <w:rFonts w:ascii="宋体" w:hAnsi="宋体" w:eastAsia="宋体" w:cs="宋体"/>
          <w:spacing w:val="7"/>
          <w:sz w:val="20"/>
          <w:szCs w:val="20"/>
          <w:lang w:eastAsia="zh-CN"/>
        </w:rPr>
        <w:t>部分温室气体的全球变暖潜势值如表</w:t>
      </w:r>
      <w:r>
        <w:rPr>
          <w:rFonts w:ascii="Times New Roman" w:hAnsi="Times New Roman" w:eastAsia="Times New Roman" w:cs="Times New Roman"/>
          <w:spacing w:val="7"/>
          <w:sz w:val="20"/>
          <w:szCs w:val="20"/>
          <w:lang w:eastAsia="zh-CN"/>
        </w:rPr>
        <w:t>D.</w:t>
      </w:r>
      <w:r>
        <w:rPr>
          <w:rFonts w:ascii="Times New Roman" w:hAnsi="Times New Roman" w:eastAsia="Times New Roman" w:cs="Times New Roman"/>
          <w:spacing w:val="-25"/>
          <w:sz w:val="20"/>
          <w:szCs w:val="20"/>
          <w:lang w:eastAsia="zh-CN"/>
        </w:rPr>
        <w:t xml:space="preserve"> </w:t>
      </w:r>
      <w:r>
        <w:rPr>
          <w:rFonts w:ascii="Times New Roman" w:hAnsi="Times New Roman" w:eastAsia="Times New Roman" w:cs="Times New Roman"/>
          <w:spacing w:val="7"/>
          <w:sz w:val="20"/>
          <w:szCs w:val="20"/>
          <w:lang w:eastAsia="zh-CN"/>
        </w:rPr>
        <w:t>1</w:t>
      </w:r>
      <w:r>
        <w:rPr>
          <w:rFonts w:ascii="宋体" w:hAnsi="宋体" w:eastAsia="宋体" w:cs="宋体"/>
          <w:spacing w:val="7"/>
          <w:sz w:val="20"/>
          <w:szCs w:val="20"/>
          <w:lang w:eastAsia="zh-CN"/>
        </w:rPr>
        <w:t>所示。</w:t>
      </w:r>
    </w:p>
    <w:p w14:paraId="1F9D8F56">
      <w:pPr>
        <w:spacing w:before="221" w:line="229" w:lineRule="auto"/>
        <w:ind w:left="2762"/>
        <w:rPr>
          <w:rFonts w:ascii="黑体" w:hAnsi="黑体" w:eastAsia="黑体" w:cs="黑体"/>
          <w:sz w:val="20"/>
          <w:szCs w:val="20"/>
          <w:lang w:eastAsia="zh-CN"/>
        </w:rPr>
      </w:pPr>
      <w:r>
        <w:rPr>
          <w:rFonts w:ascii="黑体" w:hAnsi="黑体" w:eastAsia="黑体" w:cs="黑体"/>
          <w:spacing w:val="8"/>
          <w:sz w:val="20"/>
          <w:szCs w:val="20"/>
          <w:lang w:eastAsia="zh-CN"/>
        </w:rPr>
        <w:t>表D.1 部分温室气体的全球变暖潜势（</w:t>
      </w:r>
      <w:r>
        <w:rPr>
          <w:rFonts w:ascii="黑体" w:hAnsi="黑体" w:eastAsia="黑体" w:cs="黑体"/>
          <w:sz w:val="20"/>
          <w:szCs w:val="20"/>
          <w:lang w:eastAsia="zh-CN"/>
        </w:rPr>
        <w:t>GWP</w:t>
      </w:r>
      <w:r>
        <w:rPr>
          <w:rFonts w:ascii="黑体" w:hAnsi="黑体" w:eastAsia="黑体" w:cs="黑体"/>
          <w:spacing w:val="8"/>
          <w:sz w:val="20"/>
          <w:szCs w:val="20"/>
          <w:lang w:eastAsia="zh-CN"/>
        </w:rPr>
        <w:t>）</w:t>
      </w:r>
    </w:p>
    <w:p w14:paraId="7A90A73D">
      <w:pPr>
        <w:spacing w:line="168" w:lineRule="exact"/>
        <w:rPr>
          <w:lang w:eastAsia="zh-CN"/>
        </w:rPr>
      </w:pPr>
    </w:p>
    <w:tbl>
      <w:tblPr>
        <w:tblStyle w:val="10"/>
        <w:tblW w:w="4999"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5432"/>
        <w:gridCol w:w="2168"/>
        <w:gridCol w:w="1496"/>
      </w:tblGrid>
      <w:tr w14:paraId="5E493D4D">
        <w:trPr>
          <w:trHeight w:val="326" w:hRule="atLeast"/>
        </w:trPr>
        <w:tc>
          <w:tcPr>
            <w:tcW w:w="2986" w:type="pct"/>
            <w:tcBorders>
              <w:top w:val="single" w:color="000000" w:sz="10" w:space="0"/>
              <w:left w:val="single" w:color="000000" w:sz="10" w:space="0"/>
              <w:bottom w:val="single" w:color="000000" w:sz="6" w:space="0"/>
            </w:tcBorders>
            <w:vAlign w:val="center"/>
          </w:tcPr>
          <w:p w14:paraId="1A6CB690">
            <w:pPr>
              <w:pStyle w:val="11"/>
              <w:jc w:val="center"/>
              <w:rPr>
                <w:rFonts w:ascii="Times New Roman" w:hAnsi="Times New Roman" w:cs="Times New Roman"/>
                <w:sz w:val="20"/>
                <w:szCs w:val="20"/>
              </w:rPr>
            </w:pPr>
            <w:r>
              <w:rPr>
                <w:rFonts w:ascii="Times New Roman" w:hAnsi="Times New Roman" w:cs="Times New Roman"/>
                <w:spacing w:val="-2"/>
                <w:sz w:val="20"/>
                <w:szCs w:val="20"/>
              </w:rPr>
              <w:t>温室气体名称</w:t>
            </w:r>
          </w:p>
        </w:tc>
        <w:tc>
          <w:tcPr>
            <w:tcW w:w="1192" w:type="pct"/>
            <w:tcBorders>
              <w:top w:val="single" w:color="000000" w:sz="10" w:space="0"/>
              <w:bottom w:val="single" w:color="000000" w:sz="6" w:space="0"/>
            </w:tcBorders>
            <w:vAlign w:val="center"/>
          </w:tcPr>
          <w:p w14:paraId="57A47F43">
            <w:pPr>
              <w:pStyle w:val="11"/>
              <w:jc w:val="center"/>
              <w:rPr>
                <w:rFonts w:ascii="Times New Roman" w:hAnsi="Times New Roman" w:cs="Times New Roman"/>
                <w:sz w:val="20"/>
                <w:szCs w:val="20"/>
              </w:rPr>
            </w:pPr>
            <w:r>
              <w:rPr>
                <w:rFonts w:ascii="Times New Roman" w:hAnsi="Times New Roman" w:cs="Times New Roman"/>
                <w:spacing w:val="-2"/>
                <w:sz w:val="20"/>
                <w:szCs w:val="20"/>
              </w:rPr>
              <w:t>化学分子式</w:t>
            </w:r>
          </w:p>
        </w:tc>
        <w:tc>
          <w:tcPr>
            <w:tcW w:w="820" w:type="pct"/>
            <w:tcBorders>
              <w:top w:val="single" w:color="000000" w:sz="10" w:space="0"/>
              <w:bottom w:val="single" w:color="000000" w:sz="6" w:space="0"/>
              <w:right w:val="single" w:color="000000" w:sz="10" w:space="0"/>
            </w:tcBorders>
            <w:vAlign w:val="center"/>
          </w:tcPr>
          <w:p w14:paraId="5CB31C15">
            <w:pPr>
              <w:pStyle w:val="11"/>
              <w:jc w:val="center"/>
              <w:rPr>
                <w:rFonts w:ascii="Times New Roman" w:hAnsi="Times New Roman" w:cs="Times New Roman"/>
                <w:sz w:val="20"/>
                <w:szCs w:val="20"/>
              </w:rPr>
            </w:pPr>
            <w:r>
              <w:rPr>
                <w:rFonts w:ascii="Times New Roman" w:hAnsi="Times New Roman" w:cs="Times New Roman"/>
                <w:spacing w:val="-2"/>
                <w:sz w:val="20"/>
                <w:szCs w:val="20"/>
              </w:rPr>
              <w:t>全球变暖潜势值</w:t>
            </w:r>
          </w:p>
        </w:tc>
      </w:tr>
      <w:tr w14:paraId="1F164D7D">
        <w:trPr>
          <w:trHeight w:val="322" w:hRule="atLeast"/>
        </w:trPr>
        <w:tc>
          <w:tcPr>
            <w:tcW w:w="2986" w:type="pct"/>
            <w:tcBorders>
              <w:top w:val="single" w:color="000000" w:sz="6" w:space="0"/>
              <w:left w:val="single" w:color="000000" w:sz="10" w:space="0"/>
            </w:tcBorders>
            <w:vAlign w:val="center"/>
          </w:tcPr>
          <w:p w14:paraId="3AC18D7D">
            <w:pPr>
              <w:pStyle w:val="11"/>
              <w:jc w:val="center"/>
              <w:rPr>
                <w:rFonts w:ascii="Times New Roman" w:hAnsi="Times New Roman" w:cs="Times New Roman"/>
                <w:sz w:val="20"/>
                <w:szCs w:val="20"/>
              </w:rPr>
            </w:pPr>
            <w:r>
              <w:rPr>
                <w:rFonts w:ascii="Times New Roman" w:hAnsi="Times New Roman" w:cs="Times New Roman"/>
                <w:spacing w:val="-3"/>
                <w:sz w:val="20"/>
                <w:szCs w:val="20"/>
              </w:rPr>
              <w:t>二氧化碳</w:t>
            </w:r>
          </w:p>
        </w:tc>
        <w:tc>
          <w:tcPr>
            <w:tcW w:w="1192" w:type="pct"/>
            <w:tcBorders>
              <w:top w:val="single" w:color="000000" w:sz="6" w:space="0"/>
            </w:tcBorders>
            <w:vAlign w:val="center"/>
          </w:tcPr>
          <w:p w14:paraId="2E5DB812">
            <w:pPr>
              <w:jc w:val="center"/>
              <w:rPr>
                <w:rFonts w:ascii="Times New Roman" w:hAnsi="Times New Roman" w:eastAsia="宋体" w:cs="Times New Roman"/>
                <w:sz w:val="20"/>
                <w:szCs w:val="20"/>
              </w:rPr>
            </w:pPr>
            <w:r>
              <w:rPr>
                <w:rFonts w:ascii="Times New Roman" w:hAnsi="Times New Roman" w:eastAsia="宋体" w:cs="Times New Roman"/>
                <w:spacing w:val="-2"/>
                <w:sz w:val="20"/>
                <w:szCs w:val="20"/>
              </w:rPr>
              <w:t>CO</w:t>
            </w:r>
            <w:r>
              <w:rPr>
                <w:rFonts w:ascii="Times New Roman" w:hAnsi="Times New Roman" w:eastAsia="宋体" w:cs="Times New Roman"/>
                <w:spacing w:val="-2"/>
                <w:position w:val="-1"/>
                <w:sz w:val="20"/>
                <w:szCs w:val="20"/>
              </w:rPr>
              <w:t>2</w:t>
            </w:r>
          </w:p>
        </w:tc>
        <w:tc>
          <w:tcPr>
            <w:tcW w:w="820" w:type="pct"/>
            <w:tcBorders>
              <w:top w:val="single" w:color="000000" w:sz="6" w:space="0"/>
              <w:right w:val="single" w:color="000000" w:sz="10" w:space="0"/>
            </w:tcBorders>
            <w:vAlign w:val="center"/>
          </w:tcPr>
          <w:p w14:paraId="5C6B6533">
            <w:pPr>
              <w:jc w:val="center"/>
              <w:rPr>
                <w:rFonts w:ascii="Times New Roman" w:hAnsi="Times New Roman" w:eastAsia="宋体" w:cs="Times New Roman"/>
                <w:sz w:val="20"/>
                <w:szCs w:val="20"/>
              </w:rPr>
            </w:pPr>
            <w:r>
              <w:rPr>
                <w:rFonts w:ascii="Times New Roman" w:hAnsi="Times New Roman" w:eastAsia="宋体" w:cs="Times New Roman"/>
                <w:sz w:val="20"/>
                <w:szCs w:val="20"/>
              </w:rPr>
              <w:t>1</w:t>
            </w:r>
          </w:p>
        </w:tc>
      </w:tr>
      <w:tr w14:paraId="41D1FEED">
        <w:trPr>
          <w:trHeight w:val="326" w:hRule="atLeast"/>
        </w:trPr>
        <w:tc>
          <w:tcPr>
            <w:tcW w:w="2986" w:type="pct"/>
            <w:tcBorders>
              <w:left w:val="single" w:color="000000" w:sz="10" w:space="0"/>
            </w:tcBorders>
            <w:vAlign w:val="center"/>
          </w:tcPr>
          <w:p w14:paraId="35A786D5">
            <w:pPr>
              <w:pStyle w:val="11"/>
              <w:jc w:val="center"/>
              <w:rPr>
                <w:rFonts w:ascii="Times New Roman" w:hAnsi="Times New Roman" w:cs="Times New Roman"/>
                <w:sz w:val="20"/>
                <w:szCs w:val="20"/>
              </w:rPr>
            </w:pPr>
            <w:r>
              <w:rPr>
                <w:rFonts w:ascii="Times New Roman" w:hAnsi="Times New Roman" w:cs="Times New Roman"/>
                <w:spacing w:val="-2"/>
                <w:sz w:val="20"/>
                <w:szCs w:val="20"/>
              </w:rPr>
              <w:t>氧化亚氮</w:t>
            </w:r>
          </w:p>
        </w:tc>
        <w:tc>
          <w:tcPr>
            <w:tcW w:w="1192" w:type="pct"/>
            <w:vAlign w:val="center"/>
          </w:tcPr>
          <w:p w14:paraId="76EC6BB9">
            <w:pPr>
              <w:jc w:val="center"/>
              <w:rPr>
                <w:rFonts w:ascii="Times New Roman" w:hAnsi="Times New Roman" w:eastAsia="宋体" w:cs="Times New Roman"/>
                <w:sz w:val="20"/>
                <w:szCs w:val="20"/>
              </w:rPr>
            </w:pPr>
            <w:r>
              <w:rPr>
                <w:rFonts w:ascii="Times New Roman" w:hAnsi="Times New Roman" w:eastAsia="宋体" w:cs="Times New Roman"/>
                <w:spacing w:val="1"/>
                <w:sz w:val="20"/>
                <w:szCs w:val="20"/>
              </w:rPr>
              <w:t>N2O</w:t>
            </w:r>
          </w:p>
        </w:tc>
        <w:tc>
          <w:tcPr>
            <w:tcW w:w="820" w:type="pct"/>
            <w:tcBorders>
              <w:right w:val="single" w:color="000000" w:sz="10" w:space="0"/>
            </w:tcBorders>
            <w:vAlign w:val="center"/>
          </w:tcPr>
          <w:p w14:paraId="66ED89F2">
            <w:pPr>
              <w:jc w:val="center"/>
              <w:rPr>
                <w:rFonts w:ascii="Times New Roman" w:hAnsi="Times New Roman" w:eastAsia="宋体" w:cs="Times New Roman"/>
                <w:sz w:val="20"/>
                <w:szCs w:val="20"/>
              </w:rPr>
            </w:pPr>
            <w:r>
              <w:rPr>
                <w:rFonts w:ascii="Times New Roman" w:hAnsi="Times New Roman" w:eastAsia="宋体" w:cs="Times New Roman"/>
                <w:spacing w:val="-1"/>
                <w:sz w:val="20"/>
                <w:szCs w:val="20"/>
              </w:rPr>
              <w:t>273</w:t>
            </w:r>
          </w:p>
        </w:tc>
      </w:tr>
      <w:tr w14:paraId="5BC66801">
        <w:trPr>
          <w:trHeight w:val="326" w:hRule="atLeast"/>
        </w:trPr>
        <w:tc>
          <w:tcPr>
            <w:tcW w:w="2986" w:type="pct"/>
            <w:tcBorders>
              <w:left w:val="single" w:color="000000" w:sz="10" w:space="0"/>
            </w:tcBorders>
            <w:vAlign w:val="center"/>
          </w:tcPr>
          <w:p w14:paraId="302DA729">
            <w:pPr>
              <w:pStyle w:val="11"/>
              <w:jc w:val="center"/>
              <w:rPr>
                <w:rFonts w:ascii="Times New Roman" w:hAnsi="Times New Roman" w:cs="Times New Roman"/>
                <w:sz w:val="20"/>
                <w:szCs w:val="20"/>
              </w:rPr>
            </w:pPr>
            <w:r>
              <w:rPr>
                <w:rFonts w:ascii="Times New Roman" w:hAnsi="Times New Roman" w:cs="Times New Roman"/>
                <w:spacing w:val="-16"/>
                <w:sz w:val="20"/>
                <w:szCs w:val="20"/>
              </w:rPr>
              <w:t>甲烷</w:t>
            </w:r>
          </w:p>
        </w:tc>
        <w:tc>
          <w:tcPr>
            <w:tcW w:w="1192" w:type="pct"/>
            <w:vAlign w:val="center"/>
          </w:tcPr>
          <w:p w14:paraId="62729A4C">
            <w:pPr>
              <w:jc w:val="center"/>
              <w:rPr>
                <w:rFonts w:ascii="Times New Roman" w:hAnsi="Times New Roman" w:eastAsia="宋体" w:cs="Times New Roman"/>
                <w:sz w:val="20"/>
                <w:szCs w:val="20"/>
              </w:rPr>
            </w:pPr>
            <w:r>
              <w:rPr>
                <w:rFonts w:ascii="Times New Roman" w:hAnsi="Times New Roman" w:eastAsia="宋体" w:cs="Times New Roman"/>
                <w:spacing w:val="-2"/>
                <w:sz w:val="20"/>
                <w:szCs w:val="20"/>
              </w:rPr>
              <w:t>CH</w:t>
            </w:r>
            <w:r>
              <w:rPr>
                <w:rFonts w:ascii="Times New Roman" w:hAnsi="Times New Roman" w:eastAsia="宋体" w:cs="Times New Roman"/>
                <w:spacing w:val="-2"/>
                <w:position w:val="-1"/>
                <w:sz w:val="20"/>
                <w:szCs w:val="20"/>
              </w:rPr>
              <w:t>4</w:t>
            </w:r>
          </w:p>
        </w:tc>
        <w:tc>
          <w:tcPr>
            <w:tcW w:w="820" w:type="pct"/>
            <w:tcBorders>
              <w:right w:val="single" w:color="000000" w:sz="10" w:space="0"/>
            </w:tcBorders>
            <w:vAlign w:val="center"/>
          </w:tcPr>
          <w:p w14:paraId="61963D9C">
            <w:pPr>
              <w:jc w:val="center"/>
              <w:rPr>
                <w:rFonts w:ascii="Times New Roman" w:hAnsi="Times New Roman" w:eastAsia="宋体" w:cs="Times New Roman"/>
                <w:sz w:val="20"/>
                <w:szCs w:val="20"/>
              </w:rPr>
            </w:pPr>
            <w:r>
              <w:rPr>
                <w:rFonts w:ascii="Times New Roman" w:hAnsi="Times New Roman" w:eastAsia="宋体" w:cs="Times New Roman"/>
                <w:spacing w:val="-1"/>
                <w:sz w:val="20"/>
                <w:szCs w:val="20"/>
              </w:rPr>
              <w:t>27.9</w:t>
            </w:r>
          </w:p>
        </w:tc>
      </w:tr>
      <w:tr w14:paraId="66E7BBC9">
        <w:trPr>
          <w:trHeight w:val="326" w:hRule="atLeast"/>
        </w:trPr>
        <w:tc>
          <w:tcPr>
            <w:tcW w:w="2986" w:type="pct"/>
            <w:tcBorders>
              <w:left w:val="single" w:color="000000" w:sz="10" w:space="0"/>
            </w:tcBorders>
            <w:vAlign w:val="center"/>
          </w:tcPr>
          <w:p w14:paraId="6590E280">
            <w:pPr>
              <w:pStyle w:val="11"/>
              <w:jc w:val="center"/>
              <w:rPr>
                <w:rFonts w:ascii="Times New Roman" w:hAnsi="Times New Roman" w:cs="Times New Roman"/>
                <w:sz w:val="20"/>
                <w:szCs w:val="20"/>
              </w:rPr>
            </w:pPr>
            <w:r>
              <w:rPr>
                <w:rFonts w:ascii="Times New Roman" w:hAnsi="Times New Roman" w:cs="Times New Roman"/>
                <w:spacing w:val="-2"/>
                <w:sz w:val="20"/>
                <w:szCs w:val="20"/>
              </w:rPr>
              <w:t>三氟化氯</w:t>
            </w:r>
          </w:p>
        </w:tc>
        <w:tc>
          <w:tcPr>
            <w:tcW w:w="1192" w:type="pct"/>
            <w:vAlign w:val="center"/>
          </w:tcPr>
          <w:p w14:paraId="024E372C">
            <w:pPr>
              <w:jc w:val="center"/>
              <w:rPr>
                <w:rFonts w:ascii="Times New Roman" w:hAnsi="Times New Roman" w:eastAsia="宋体" w:cs="Times New Roman"/>
                <w:sz w:val="20"/>
                <w:szCs w:val="20"/>
              </w:rPr>
            </w:pPr>
            <w:r>
              <w:rPr>
                <w:rFonts w:ascii="Times New Roman" w:hAnsi="Times New Roman" w:eastAsia="宋体" w:cs="Times New Roman"/>
                <w:sz w:val="20"/>
                <w:szCs w:val="20"/>
              </w:rPr>
              <w:t>NF</w:t>
            </w:r>
            <w:r>
              <w:rPr>
                <w:rFonts w:ascii="Times New Roman" w:hAnsi="Times New Roman" w:eastAsia="宋体" w:cs="Times New Roman"/>
                <w:spacing w:val="4"/>
                <w:position w:val="-1"/>
                <w:sz w:val="20"/>
                <w:szCs w:val="20"/>
              </w:rPr>
              <w:t>3</w:t>
            </w:r>
          </w:p>
        </w:tc>
        <w:tc>
          <w:tcPr>
            <w:tcW w:w="820" w:type="pct"/>
            <w:tcBorders>
              <w:right w:val="single" w:color="000000" w:sz="10" w:space="0"/>
            </w:tcBorders>
            <w:vAlign w:val="center"/>
          </w:tcPr>
          <w:p w14:paraId="0DA75154">
            <w:pPr>
              <w:jc w:val="center"/>
              <w:rPr>
                <w:rFonts w:ascii="Times New Roman" w:hAnsi="Times New Roman" w:eastAsia="宋体" w:cs="Times New Roman"/>
                <w:sz w:val="20"/>
                <w:szCs w:val="20"/>
              </w:rPr>
            </w:pPr>
            <w:r>
              <w:rPr>
                <w:rFonts w:ascii="Times New Roman" w:hAnsi="Times New Roman" w:eastAsia="宋体" w:cs="Times New Roman"/>
                <w:spacing w:val="-4"/>
                <w:sz w:val="20"/>
                <w:szCs w:val="20"/>
              </w:rPr>
              <w:t>17400</w:t>
            </w:r>
          </w:p>
        </w:tc>
      </w:tr>
      <w:tr w14:paraId="299AEBEF">
        <w:trPr>
          <w:trHeight w:val="326" w:hRule="atLeast"/>
        </w:trPr>
        <w:tc>
          <w:tcPr>
            <w:tcW w:w="2986" w:type="pct"/>
            <w:tcBorders>
              <w:left w:val="single" w:color="000000" w:sz="10" w:space="0"/>
            </w:tcBorders>
            <w:vAlign w:val="center"/>
          </w:tcPr>
          <w:p w14:paraId="631C0EAB">
            <w:pPr>
              <w:pStyle w:val="11"/>
              <w:jc w:val="center"/>
              <w:rPr>
                <w:rFonts w:ascii="Times New Roman" w:hAnsi="Times New Roman" w:cs="Times New Roman"/>
                <w:sz w:val="20"/>
                <w:szCs w:val="20"/>
              </w:rPr>
            </w:pPr>
            <w:r>
              <w:rPr>
                <w:rFonts w:ascii="Times New Roman" w:hAnsi="Times New Roman" w:cs="Times New Roman"/>
                <w:spacing w:val="-3"/>
                <w:sz w:val="20"/>
                <w:szCs w:val="20"/>
              </w:rPr>
              <w:t>六氟化硫</w:t>
            </w:r>
          </w:p>
        </w:tc>
        <w:tc>
          <w:tcPr>
            <w:tcW w:w="1192" w:type="pct"/>
            <w:vAlign w:val="center"/>
          </w:tcPr>
          <w:p w14:paraId="466BB19A">
            <w:pPr>
              <w:jc w:val="center"/>
              <w:rPr>
                <w:rFonts w:ascii="Times New Roman" w:hAnsi="Times New Roman" w:eastAsia="宋体" w:cs="Times New Roman"/>
                <w:sz w:val="20"/>
                <w:szCs w:val="20"/>
              </w:rPr>
            </w:pPr>
            <w:r>
              <w:rPr>
                <w:rFonts w:ascii="Times New Roman" w:hAnsi="Times New Roman" w:eastAsia="宋体" w:cs="Times New Roman"/>
                <w:spacing w:val="-3"/>
                <w:sz w:val="20"/>
                <w:szCs w:val="20"/>
              </w:rPr>
              <w:t>SF6</w:t>
            </w:r>
          </w:p>
        </w:tc>
        <w:tc>
          <w:tcPr>
            <w:tcW w:w="820" w:type="pct"/>
            <w:tcBorders>
              <w:right w:val="single" w:color="000000" w:sz="10" w:space="0"/>
            </w:tcBorders>
            <w:vAlign w:val="center"/>
          </w:tcPr>
          <w:p w14:paraId="2C8947F9">
            <w:pPr>
              <w:jc w:val="center"/>
              <w:rPr>
                <w:rFonts w:ascii="Times New Roman" w:hAnsi="Times New Roman" w:eastAsia="宋体" w:cs="Times New Roman"/>
                <w:sz w:val="20"/>
                <w:szCs w:val="20"/>
              </w:rPr>
            </w:pPr>
            <w:r>
              <w:rPr>
                <w:rFonts w:ascii="Times New Roman" w:hAnsi="Times New Roman" w:eastAsia="宋体" w:cs="Times New Roman"/>
                <w:spacing w:val="-1"/>
                <w:sz w:val="20"/>
                <w:szCs w:val="20"/>
              </w:rPr>
              <w:t>24300</w:t>
            </w:r>
          </w:p>
        </w:tc>
      </w:tr>
      <w:tr w14:paraId="0EEA8D37">
        <w:trPr>
          <w:trHeight w:val="326" w:hRule="atLeast"/>
        </w:trPr>
        <w:tc>
          <w:tcPr>
            <w:tcW w:w="5000" w:type="pct"/>
            <w:gridSpan w:val="3"/>
            <w:tcBorders>
              <w:left w:val="single" w:color="000000" w:sz="10" w:space="0"/>
              <w:right w:val="single" w:color="000000" w:sz="10" w:space="0"/>
            </w:tcBorders>
            <w:vAlign w:val="center"/>
          </w:tcPr>
          <w:p w14:paraId="3759E673">
            <w:pPr>
              <w:pStyle w:val="11"/>
              <w:jc w:val="center"/>
              <w:rPr>
                <w:rFonts w:ascii="Times New Roman" w:hAnsi="Times New Roman" w:cs="Times New Roman"/>
                <w:sz w:val="20"/>
                <w:szCs w:val="20"/>
                <w:lang w:eastAsia="zh-CN"/>
              </w:rPr>
            </w:pPr>
            <w:r>
              <w:rPr>
                <w:rFonts w:ascii="Times New Roman" w:hAnsi="Times New Roman" w:cs="Times New Roman"/>
                <w:spacing w:val="-1"/>
                <w:sz w:val="20"/>
                <w:szCs w:val="20"/>
                <w:lang w:eastAsia="zh-CN"/>
              </w:rPr>
              <w:t>氢氟碳化物（HFCs）</w:t>
            </w:r>
          </w:p>
        </w:tc>
      </w:tr>
      <w:tr w14:paraId="0A9CE95D">
        <w:trPr>
          <w:trHeight w:val="326" w:hRule="atLeast"/>
        </w:trPr>
        <w:tc>
          <w:tcPr>
            <w:tcW w:w="2986" w:type="pct"/>
            <w:tcBorders>
              <w:left w:val="single" w:color="000000" w:sz="10" w:space="0"/>
            </w:tcBorders>
            <w:vAlign w:val="center"/>
          </w:tcPr>
          <w:p w14:paraId="57383CBD">
            <w:pPr>
              <w:jc w:val="center"/>
              <w:rPr>
                <w:rFonts w:ascii="Times New Roman" w:hAnsi="Times New Roman" w:eastAsia="宋体" w:cs="Times New Roman"/>
                <w:sz w:val="20"/>
                <w:szCs w:val="20"/>
              </w:rPr>
            </w:pPr>
            <w:r>
              <w:rPr>
                <w:rFonts w:ascii="Times New Roman" w:hAnsi="Times New Roman" w:eastAsia="宋体" w:cs="Times New Roman"/>
                <w:spacing w:val="-1"/>
                <w:sz w:val="20"/>
                <w:szCs w:val="20"/>
              </w:rPr>
              <w:t>HFC-23</w:t>
            </w:r>
          </w:p>
        </w:tc>
        <w:tc>
          <w:tcPr>
            <w:tcW w:w="1192" w:type="pct"/>
            <w:vAlign w:val="center"/>
          </w:tcPr>
          <w:p w14:paraId="237EFC9F">
            <w:pPr>
              <w:jc w:val="center"/>
              <w:rPr>
                <w:rFonts w:ascii="Times New Roman" w:hAnsi="Times New Roman" w:eastAsia="宋体" w:cs="Times New Roman"/>
                <w:sz w:val="20"/>
                <w:szCs w:val="20"/>
              </w:rPr>
            </w:pPr>
            <w:r>
              <w:rPr>
                <w:rFonts w:ascii="Times New Roman" w:hAnsi="Times New Roman" w:eastAsia="宋体" w:cs="Times New Roman"/>
                <w:spacing w:val="-1"/>
                <w:sz w:val="20"/>
                <w:szCs w:val="20"/>
              </w:rPr>
              <w:t>CHF</w:t>
            </w:r>
            <w:r>
              <w:rPr>
                <w:rFonts w:ascii="Times New Roman" w:hAnsi="Times New Roman" w:eastAsia="宋体" w:cs="Times New Roman"/>
                <w:spacing w:val="-1"/>
                <w:position w:val="-1"/>
                <w:sz w:val="20"/>
                <w:szCs w:val="20"/>
              </w:rPr>
              <w:t>3</w:t>
            </w:r>
          </w:p>
        </w:tc>
        <w:tc>
          <w:tcPr>
            <w:tcW w:w="820" w:type="pct"/>
            <w:tcBorders>
              <w:right w:val="single" w:color="000000" w:sz="10" w:space="0"/>
            </w:tcBorders>
            <w:vAlign w:val="center"/>
          </w:tcPr>
          <w:p w14:paraId="59AE310F">
            <w:pPr>
              <w:jc w:val="center"/>
              <w:rPr>
                <w:rFonts w:ascii="Times New Roman" w:hAnsi="Times New Roman" w:eastAsia="宋体" w:cs="Times New Roman"/>
                <w:sz w:val="20"/>
                <w:szCs w:val="20"/>
              </w:rPr>
            </w:pPr>
            <w:r>
              <w:rPr>
                <w:rFonts w:ascii="Times New Roman" w:hAnsi="Times New Roman" w:eastAsia="宋体" w:cs="Times New Roman"/>
                <w:spacing w:val="-4"/>
                <w:sz w:val="20"/>
                <w:szCs w:val="20"/>
              </w:rPr>
              <w:t>14600</w:t>
            </w:r>
          </w:p>
        </w:tc>
      </w:tr>
      <w:tr w14:paraId="59169550">
        <w:trPr>
          <w:trHeight w:val="326" w:hRule="atLeast"/>
        </w:trPr>
        <w:tc>
          <w:tcPr>
            <w:tcW w:w="2986" w:type="pct"/>
            <w:tcBorders>
              <w:left w:val="single" w:color="000000" w:sz="10" w:space="0"/>
            </w:tcBorders>
            <w:vAlign w:val="center"/>
          </w:tcPr>
          <w:p w14:paraId="40B15141">
            <w:pPr>
              <w:jc w:val="center"/>
              <w:rPr>
                <w:rFonts w:ascii="Times New Roman" w:hAnsi="Times New Roman" w:eastAsia="宋体" w:cs="Times New Roman"/>
                <w:sz w:val="20"/>
                <w:szCs w:val="20"/>
              </w:rPr>
            </w:pPr>
            <w:r>
              <w:rPr>
                <w:rFonts w:ascii="Times New Roman" w:hAnsi="Times New Roman" w:eastAsia="宋体" w:cs="Times New Roman"/>
                <w:spacing w:val="-1"/>
                <w:sz w:val="20"/>
                <w:szCs w:val="20"/>
              </w:rPr>
              <w:t>HFC-32</w:t>
            </w:r>
          </w:p>
        </w:tc>
        <w:tc>
          <w:tcPr>
            <w:tcW w:w="1192" w:type="pct"/>
            <w:vAlign w:val="center"/>
          </w:tcPr>
          <w:p w14:paraId="6D86F47D">
            <w:pPr>
              <w:jc w:val="center"/>
              <w:rPr>
                <w:rFonts w:ascii="Times New Roman" w:hAnsi="Times New Roman" w:eastAsia="宋体" w:cs="Times New Roman"/>
                <w:sz w:val="20"/>
                <w:szCs w:val="20"/>
              </w:rPr>
            </w:pPr>
            <w:r>
              <w:rPr>
                <w:rFonts w:ascii="Times New Roman" w:hAnsi="Times New Roman" w:eastAsia="宋体" w:cs="Times New Roman"/>
                <w:spacing w:val="-1"/>
                <w:sz w:val="20"/>
                <w:szCs w:val="20"/>
              </w:rPr>
              <w:t>CH2F2</w:t>
            </w:r>
          </w:p>
        </w:tc>
        <w:tc>
          <w:tcPr>
            <w:tcW w:w="820" w:type="pct"/>
            <w:tcBorders>
              <w:right w:val="single" w:color="000000" w:sz="10" w:space="0"/>
            </w:tcBorders>
            <w:vAlign w:val="center"/>
          </w:tcPr>
          <w:p w14:paraId="6D5E635B">
            <w:pPr>
              <w:jc w:val="center"/>
              <w:rPr>
                <w:rFonts w:ascii="Times New Roman" w:hAnsi="Times New Roman" w:eastAsia="宋体" w:cs="Times New Roman"/>
                <w:sz w:val="20"/>
                <w:szCs w:val="20"/>
              </w:rPr>
            </w:pPr>
            <w:r>
              <w:rPr>
                <w:rFonts w:ascii="Times New Roman" w:hAnsi="Times New Roman" w:eastAsia="宋体" w:cs="Times New Roman"/>
                <w:spacing w:val="-2"/>
                <w:sz w:val="20"/>
                <w:szCs w:val="20"/>
              </w:rPr>
              <w:t>771</w:t>
            </w:r>
          </w:p>
        </w:tc>
      </w:tr>
      <w:tr w14:paraId="738DFE51">
        <w:trPr>
          <w:trHeight w:val="326" w:hRule="atLeast"/>
        </w:trPr>
        <w:tc>
          <w:tcPr>
            <w:tcW w:w="2986" w:type="pct"/>
            <w:tcBorders>
              <w:left w:val="single" w:color="000000" w:sz="10" w:space="0"/>
            </w:tcBorders>
            <w:vAlign w:val="center"/>
          </w:tcPr>
          <w:p w14:paraId="526B169F">
            <w:pPr>
              <w:jc w:val="center"/>
              <w:rPr>
                <w:rFonts w:ascii="Times New Roman" w:hAnsi="Times New Roman" w:eastAsia="宋体" w:cs="Times New Roman"/>
                <w:sz w:val="20"/>
                <w:szCs w:val="20"/>
              </w:rPr>
            </w:pPr>
            <w:r>
              <w:rPr>
                <w:rFonts w:ascii="Times New Roman" w:hAnsi="Times New Roman" w:eastAsia="宋体" w:cs="Times New Roman"/>
                <w:spacing w:val="-1"/>
                <w:sz w:val="20"/>
                <w:szCs w:val="20"/>
              </w:rPr>
              <w:t>HFC-41</w:t>
            </w:r>
          </w:p>
        </w:tc>
        <w:tc>
          <w:tcPr>
            <w:tcW w:w="1192" w:type="pct"/>
            <w:vAlign w:val="center"/>
          </w:tcPr>
          <w:p w14:paraId="714FB590">
            <w:pPr>
              <w:jc w:val="center"/>
              <w:rPr>
                <w:rFonts w:ascii="Times New Roman" w:hAnsi="Times New Roman" w:eastAsia="宋体" w:cs="Times New Roman"/>
                <w:sz w:val="20"/>
                <w:szCs w:val="20"/>
              </w:rPr>
            </w:pPr>
            <w:r>
              <w:rPr>
                <w:rFonts w:ascii="Times New Roman" w:hAnsi="Times New Roman" w:eastAsia="宋体" w:cs="Times New Roman"/>
                <w:spacing w:val="-1"/>
                <w:sz w:val="20"/>
                <w:szCs w:val="20"/>
              </w:rPr>
              <w:t>CH</w:t>
            </w:r>
            <w:r>
              <w:rPr>
                <w:rFonts w:ascii="Times New Roman" w:hAnsi="Times New Roman" w:eastAsia="宋体" w:cs="Times New Roman"/>
                <w:spacing w:val="-1"/>
                <w:position w:val="-1"/>
                <w:sz w:val="20"/>
                <w:szCs w:val="20"/>
              </w:rPr>
              <w:t>3</w:t>
            </w:r>
            <w:r>
              <w:rPr>
                <w:rFonts w:ascii="Times New Roman" w:hAnsi="Times New Roman" w:eastAsia="宋体" w:cs="Times New Roman"/>
                <w:spacing w:val="-1"/>
                <w:sz w:val="20"/>
                <w:szCs w:val="20"/>
              </w:rPr>
              <w:t>F</w:t>
            </w:r>
          </w:p>
        </w:tc>
        <w:tc>
          <w:tcPr>
            <w:tcW w:w="820" w:type="pct"/>
            <w:tcBorders>
              <w:right w:val="single" w:color="000000" w:sz="10" w:space="0"/>
            </w:tcBorders>
            <w:vAlign w:val="center"/>
          </w:tcPr>
          <w:p w14:paraId="19F5536B">
            <w:pPr>
              <w:jc w:val="center"/>
              <w:rPr>
                <w:rFonts w:ascii="Times New Roman" w:hAnsi="Times New Roman" w:eastAsia="宋体" w:cs="Times New Roman"/>
                <w:sz w:val="20"/>
                <w:szCs w:val="20"/>
              </w:rPr>
            </w:pPr>
            <w:r>
              <w:rPr>
                <w:rFonts w:ascii="Times New Roman" w:hAnsi="Times New Roman" w:eastAsia="宋体" w:cs="Times New Roman"/>
                <w:spacing w:val="-7"/>
                <w:sz w:val="20"/>
                <w:szCs w:val="20"/>
              </w:rPr>
              <w:t>135</w:t>
            </w:r>
          </w:p>
        </w:tc>
      </w:tr>
      <w:tr w14:paraId="2BFF69FB">
        <w:trPr>
          <w:trHeight w:val="326" w:hRule="atLeast"/>
        </w:trPr>
        <w:tc>
          <w:tcPr>
            <w:tcW w:w="2986" w:type="pct"/>
            <w:tcBorders>
              <w:left w:val="single" w:color="000000" w:sz="10" w:space="0"/>
            </w:tcBorders>
            <w:vAlign w:val="center"/>
          </w:tcPr>
          <w:p w14:paraId="29627073">
            <w:pPr>
              <w:jc w:val="center"/>
              <w:rPr>
                <w:rFonts w:ascii="Times New Roman" w:hAnsi="Times New Roman" w:eastAsia="宋体" w:cs="Times New Roman"/>
                <w:sz w:val="20"/>
                <w:szCs w:val="20"/>
              </w:rPr>
            </w:pPr>
            <w:r>
              <w:rPr>
                <w:rFonts w:ascii="Times New Roman" w:hAnsi="Times New Roman" w:eastAsia="宋体" w:cs="Times New Roman"/>
                <w:spacing w:val="-1"/>
                <w:sz w:val="20"/>
                <w:szCs w:val="20"/>
              </w:rPr>
              <w:t>HFC-125</w:t>
            </w:r>
          </w:p>
        </w:tc>
        <w:tc>
          <w:tcPr>
            <w:tcW w:w="1192" w:type="pct"/>
            <w:vAlign w:val="center"/>
          </w:tcPr>
          <w:p w14:paraId="4080AB8B">
            <w:pPr>
              <w:jc w:val="center"/>
              <w:rPr>
                <w:rFonts w:ascii="Times New Roman" w:hAnsi="Times New Roman" w:eastAsia="宋体" w:cs="Times New Roman"/>
                <w:sz w:val="20"/>
                <w:szCs w:val="20"/>
              </w:rPr>
            </w:pPr>
            <w:r>
              <w:rPr>
                <w:rFonts w:ascii="Times New Roman" w:hAnsi="Times New Roman" w:eastAsia="宋体" w:cs="Times New Roman"/>
                <w:spacing w:val="-1"/>
                <w:sz w:val="20"/>
                <w:szCs w:val="20"/>
              </w:rPr>
              <w:t>CHF</w:t>
            </w:r>
            <w:r>
              <w:rPr>
                <w:rFonts w:ascii="Times New Roman" w:hAnsi="Times New Roman" w:eastAsia="宋体" w:cs="Times New Roman"/>
                <w:spacing w:val="-1"/>
                <w:position w:val="-1"/>
                <w:sz w:val="20"/>
                <w:szCs w:val="20"/>
              </w:rPr>
              <w:t>2</w:t>
            </w:r>
            <w:r>
              <w:rPr>
                <w:rFonts w:ascii="Times New Roman" w:hAnsi="Times New Roman" w:eastAsia="宋体" w:cs="Times New Roman"/>
                <w:spacing w:val="-1"/>
                <w:sz w:val="20"/>
                <w:szCs w:val="20"/>
              </w:rPr>
              <w:t>CF</w:t>
            </w:r>
            <w:r>
              <w:rPr>
                <w:rFonts w:ascii="Times New Roman" w:hAnsi="Times New Roman" w:eastAsia="宋体" w:cs="Times New Roman"/>
                <w:spacing w:val="-1"/>
                <w:position w:val="-1"/>
                <w:sz w:val="20"/>
                <w:szCs w:val="20"/>
              </w:rPr>
              <w:t>3</w:t>
            </w:r>
          </w:p>
        </w:tc>
        <w:tc>
          <w:tcPr>
            <w:tcW w:w="820" w:type="pct"/>
            <w:tcBorders>
              <w:right w:val="single" w:color="000000" w:sz="10" w:space="0"/>
            </w:tcBorders>
            <w:vAlign w:val="center"/>
          </w:tcPr>
          <w:p w14:paraId="2341BD14">
            <w:pPr>
              <w:jc w:val="center"/>
              <w:rPr>
                <w:rFonts w:ascii="Times New Roman" w:hAnsi="Times New Roman" w:eastAsia="宋体" w:cs="Times New Roman"/>
                <w:sz w:val="20"/>
                <w:szCs w:val="20"/>
              </w:rPr>
            </w:pPr>
            <w:r>
              <w:rPr>
                <w:rFonts w:ascii="Times New Roman" w:hAnsi="Times New Roman" w:eastAsia="宋体" w:cs="Times New Roman"/>
                <w:spacing w:val="-2"/>
                <w:sz w:val="20"/>
                <w:szCs w:val="20"/>
              </w:rPr>
              <w:t>3740</w:t>
            </w:r>
          </w:p>
        </w:tc>
      </w:tr>
      <w:tr w14:paraId="5BD78A63">
        <w:trPr>
          <w:trHeight w:val="326" w:hRule="atLeast"/>
        </w:trPr>
        <w:tc>
          <w:tcPr>
            <w:tcW w:w="2986" w:type="pct"/>
            <w:tcBorders>
              <w:left w:val="single" w:color="000000" w:sz="10" w:space="0"/>
            </w:tcBorders>
            <w:vAlign w:val="center"/>
          </w:tcPr>
          <w:p w14:paraId="00918121">
            <w:pPr>
              <w:jc w:val="center"/>
              <w:rPr>
                <w:rFonts w:ascii="Times New Roman" w:hAnsi="Times New Roman" w:eastAsia="宋体" w:cs="Times New Roman"/>
                <w:sz w:val="20"/>
                <w:szCs w:val="20"/>
              </w:rPr>
            </w:pPr>
            <w:r>
              <w:rPr>
                <w:rFonts w:ascii="Times New Roman" w:hAnsi="Times New Roman" w:eastAsia="宋体" w:cs="Times New Roman"/>
                <w:spacing w:val="-1"/>
                <w:sz w:val="20"/>
                <w:szCs w:val="20"/>
              </w:rPr>
              <w:t>HFC-134</w:t>
            </w:r>
          </w:p>
        </w:tc>
        <w:tc>
          <w:tcPr>
            <w:tcW w:w="1192" w:type="pct"/>
            <w:vAlign w:val="center"/>
          </w:tcPr>
          <w:p w14:paraId="69137247">
            <w:pPr>
              <w:jc w:val="center"/>
              <w:rPr>
                <w:rFonts w:ascii="Times New Roman" w:hAnsi="Times New Roman" w:eastAsia="宋体" w:cs="Times New Roman"/>
                <w:sz w:val="20"/>
                <w:szCs w:val="20"/>
              </w:rPr>
            </w:pPr>
            <w:r>
              <w:rPr>
                <w:rFonts w:ascii="Times New Roman" w:hAnsi="Times New Roman" w:eastAsia="宋体" w:cs="Times New Roman"/>
                <w:spacing w:val="-1"/>
                <w:sz w:val="20"/>
                <w:szCs w:val="20"/>
              </w:rPr>
              <w:t>CHF</w:t>
            </w:r>
            <w:r>
              <w:rPr>
                <w:rFonts w:ascii="Times New Roman" w:hAnsi="Times New Roman" w:eastAsia="宋体" w:cs="Times New Roman"/>
                <w:spacing w:val="-1"/>
                <w:position w:val="-1"/>
                <w:sz w:val="20"/>
                <w:szCs w:val="20"/>
              </w:rPr>
              <w:t>2</w:t>
            </w:r>
            <w:r>
              <w:rPr>
                <w:rFonts w:ascii="Times New Roman" w:hAnsi="Times New Roman" w:eastAsia="宋体" w:cs="Times New Roman"/>
                <w:spacing w:val="-1"/>
                <w:sz w:val="20"/>
                <w:szCs w:val="20"/>
              </w:rPr>
              <w:t>CHF</w:t>
            </w:r>
            <w:r>
              <w:rPr>
                <w:rFonts w:ascii="Times New Roman" w:hAnsi="Times New Roman" w:eastAsia="宋体" w:cs="Times New Roman"/>
                <w:spacing w:val="-1"/>
                <w:position w:val="-1"/>
                <w:sz w:val="20"/>
                <w:szCs w:val="20"/>
              </w:rPr>
              <w:t>2</w:t>
            </w:r>
          </w:p>
        </w:tc>
        <w:tc>
          <w:tcPr>
            <w:tcW w:w="820" w:type="pct"/>
            <w:tcBorders>
              <w:right w:val="single" w:color="000000" w:sz="10" w:space="0"/>
            </w:tcBorders>
            <w:vAlign w:val="center"/>
          </w:tcPr>
          <w:p w14:paraId="2A13FCD7">
            <w:pPr>
              <w:jc w:val="center"/>
              <w:rPr>
                <w:rFonts w:ascii="Times New Roman" w:hAnsi="Times New Roman" w:eastAsia="宋体" w:cs="Times New Roman"/>
                <w:sz w:val="20"/>
                <w:szCs w:val="20"/>
              </w:rPr>
            </w:pPr>
            <w:r>
              <w:rPr>
                <w:rFonts w:ascii="Times New Roman" w:hAnsi="Times New Roman" w:eastAsia="宋体" w:cs="Times New Roman"/>
                <w:spacing w:val="-5"/>
                <w:sz w:val="20"/>
                <w:szCs w:val="20"/>
              </w:rPr>
              <w:t>1260</w:t>
            </w:r>
          </w:p>
        </w:tc>
      </w:tr>
      <w:tr w14:paraId="012D0BF7">
        <w:trPr>
          <w:trHeight w:val="326" w:hRule="atLeast"/>
        </w:trPr>
        <w:tc>
          <w:tcPr>
            <w:tcW w:w="2986" w:type="pct"/>
            <w:tcBorders>
              <w:left w:val="single" w:color="000000" w:sz="10" w:space="0"/>
            </w:tcBorders>
            <w:vAlign w:val="center"/>
          </w:tcPr>
          <w:p w14:paraId="76E4E056">
            <w:pPr>
              <w:jc w:val="center"/>
              <w:rPr>
                <w:rFonts w:ascii="Times New Roman" w:hAnsi="Times New Roman" w:eastAsia="宋体" w:cs="Times New Roman"/>
                <w:sz w:val="20"/>
                <w:szCs w:val="20"/>
              </w:rPr>
            </w:pPr>
            <w:r>
              <w:rPr>
                <w:rFonts w:ascii="Times New Roman" w:hAnsi="Times New Roman" w:eastAsia="宋体" w:cs="Times New Roman"/>
                <w:spacing w:val="-1"/>
                <w:sz w:val="20"/>
                <w:szCs w:val="20"/>
              </w:rPr>
              <w:t>HFC-134a</w:t>
            </w:r>
          </w:p>
        </w:tc>
        <w:tc>
          <w:tcPr>
            <w:tcW w:w="1192" w:type="pct"/>
            <w:vAlign w:val="center"/>
          </w:tcPr>
          <w:p w14:paraId="457F446B">
            <w:pPr>
              <w:jc w:val="center"/>
              <w:rPr>
                <w:rFonts w:ascii="Times New Roman" w:hAnsi="Times New Roman" w:eastAsia="宋体" w:cs="Times New Roman"/>
                <w:sz w:val="20"/>
                <w:szCs w:val="20"/>
              </w:rPr>
            </w:pPr>
            <w:r>
              <w:rPr>
                <w:rFonts w:ascii="Times New Roman" w:hAnsi="Times New Roman" w:eastAsia="宋体" w:cs="Times New Roman"/>
                <w:spacing w:val="-1"/>
                <w:sz w:val="20"/>
                <w:szCs w:val="20"/>
              </w:rPr>
              <w:t>CH</w:t>
            </w:r>
            <w:r>
              <w:rPr>
                <w:rFonts w:ascii="Times New Roman" w:hAnsi="Times New Roman" w:eastAsia="宋体" w:cs="Times New Roman"/>
                <w:spacing w:val="-1"/>
                <w:position w:val="-1"/>
                <w:sz w:val="20"/>
                <w:szCs w:val="20"/>
              </w:rPr>
              <w:t>2</w:t>
            </w:r>
            <w:r>
              <w:rPr>
                <w:rFonts w:ascii="Times New Roman" w:hAnsi="Times New Roman" w:eastAsia="宋体" w:cs="Times New Roman"/>
                <w:spacing w:val="-1"/>
                <w:sz w:val="20"/>
                <w:szCs w:val="20"/>
              </w:rPr>
              <w:t>FCF</w:t>
            </w:r>
            <w:r>
              <w:rPr>
                <w:rFonts w:ascii="Times New Roman" w:hAnsi="Times New Roman" w:eastAsia="宋体" w:cs="Times New Roman"/>
                <w:spacing w:val="-1"/>
                <w:position w:val="-1"/>
                <w:sz w:val="20"/>
                <w:szCs w:val="20"/>
              </w:rPr>
              <w:t>3</w:t>
            </w:r>
          </w:p>
        </w:tc>
        <w:tc>
          <w:tcPr>
            <w:tcW w:w="820" w:type="pct"/>
            <w:tcBorders>
              <w:right w:val="single" w:color="000000" w:sz="10" w:space="0"/>
            </w:tcBorders>
            <w:vAlign w:val="center"/>
          </w:tcPr>
          <w:p w14:paraId="3E709C68">
            <w:pPr>
              <w:jc w:val="center"/>
              <w:rPr>
                <w:rFonts w:ascii="Times New Roman" w:hAnsi="Times New Roman" w:eastAsia="宋体" w:cs="Times New Roman"/>
                <w:sz w:val="20"/>
                <w:szCs w:val="20"/>
              </w:rPr>
            </w:pPr>
            <w:r>
              <w:rPr>
                <w:rFonts w:ascii="Times New Roman" w:hAnsi="Times New Roman" w:eastAsia="宋体" w:cs="Times New Roman"/>
                <w:spacing w:val="-5"/>
                <w:sz w:val="20"/>
                <w:szCs w:val="20"/>
              </w:rPr>
              <w:t>1530</w:t>
            </w:r>
          </w:p>
        </w:tc>
      </w:tr>
      <w:tr w14:paraId="000CCC9B">
        <w:trPr>
          <w:trHeight w:val="326" w:hRule="atLeast"/>
        </w:trPr>
        <w:tc>
          <w:tcPr>
            <w:tcW w:w="2986" w:type="pct"/>
            <w:tcBorders>
              <w:left w:val="single" w:color="000000" w:sz="10" w:space="0"/>
            </w:tcBorders>
            <w:vAlign w:val="center"/>
          </w:tcPr>
          <w:p w14:paraId="3830AF77">
            <w:pPr>
              <w:jc w:val="center"/>
              <w:rPr>
                <w:rFonts w:ascii="Times New Roman" w:hAnsi="Times New Roman" w:eastAsia="宋体" w:cs="Times New Roman"/>
                <w:sz w:val="20"/>
                <w:szCs w:val="20"/>
              </w:rPr>
            </w:pPr>
            <w:r>
              <w:rPr>
                <w:rFonts w:ascii="Times New Roman" w:hAnsi="Times New Roman" w:eastAsia="宋体" w:cs="Times New Roman"/>
                <w:spacing w:val="-1"/>
                <w:sz w:val="20"/>
                <w:szCs w:val="20"/>
              </w:rPr>
              <w:t>HFC-143</w:t>
            </w:r>
          </w:p>
        </w:tc>
        <w:tc>
          <w:tcPr>
            <w:tcW w:w="1192" w:type="pct"/>
            <w:vAlign w:val="center"/>
          </w:tcPr>
          <w:p w14:paraId="3EC82C91">
            <w:pPr>
              <w:jc w:val="center"/>
              <w:rPr>
                <w:rFonts w:ascii="Times New Roman" w:hAnsi="Times New Roman" w:eastAsia="宋体" w:cs="Times New Roman"/>
                <w:sz w:val="20"/>
                <w:szCs w:val="20"/>
              </w:rPr>
            </w:pPr>
            <w:r>
              <w:rPr>
                <w:rFonts w:ascii="Times New Roman" w:hAnsi="Times New Roman" w:eastAsia="宋体" w:cs="Times New Roman"/>
                <w:spacing w:val="-1"/>
                <w:sz w:val="20"/>
                <w:szCs w:val="20"/>
              </w:rPr>
              <w:t>CH</w:t>
            </w:r>
            <w:r>
              <w:rPr>
                <w:rFonts w:ascii="Times New Roman" w:hAnsi="Times New Roman" w:eastAsia="宋体" w:cs="Times New Roman"/>
                <w:spacing w:val="-1"/>
                <w:position w:val="-1"/>
                <w:sz w:val="20"/>
                <w:szCs w:val="20"/>
              </w:rPr>
              <w:t>2</w:t>
            </w:r>
            <w:r>
              <w:rPr>
                <w:rFonts w:ascii="Times New Roman" w:hAnsi="Times New Roman" w:eastAsia="宋体" w:cs="Times New Roman"/>
                <w:spacing w:val="-1"/>
                <w:sz w:val="20"/>
                <w:szCs w:val="20"/>
              </w:rPr>
              <w:t>FCHF</w:t>
            </w:r>
            <w:r>
              <w:rPr>
                <w:rFonts w:ascii="Times New Roman" w:hAnsi="Times New Roman" w:eastAsia="宋体" w:cs="Times New Roman"/>
                <w:spacing w:val="-1"/>
                <w:position w:val="-1"/>
                <w:sz w:val="20"/>
                <w:szCs w:val="20"/>
              </w:rPr>
              <w:t>2</w:t>
            </w:r>
          </w:p>
        </w:tc>
        <w:tc>
          <w:tcPr>
            <w:tcW w:w="820" w:type="pct"/>
            <w:tcBorders>
              <w:right w:val="single" w:color="000000" w:sz="10" w:space="0"/>
            </w:tcBorders>
            <w:vAlign w:val="center"/>
          </w:tcPr>
          <w:p w14:paraId="20628ECB">
            <w:pPr>
              <w:jc w:val="center"/>
              <w:rPr>
                <w:rFonts w:ascii="Times New Roman" w:hAnsi="Times New Roman" w:eastAsia="宋体" w:cs="Times New Roman"/>
                <w:sz w:val="20"/>
                <w:szCs w:val="20"/>
              </w:rPr>
            </w:pPr>
            <w:r>
              <w:rPr>
                <w:rFonts w:ascii="Times New Roman" w:hAnsi="Times New Roman" w:eastAsia="宋体" w:cs="Times New Roman"/>
                <w:spacing w:val="-3"/>
                <w:sz w:val="20"/>
                <w:szCs w:val="20"/>
              </w:rPr>
              <w:t>364</w:t>
            </w:r>
          </w:p>
        </w:tc>
      </w:tr>
      <w:tr w14:paraId="79508CD8">
        <w:trPr>
          <w:trHeight w:val="326" w:hRule="atLeast"/>
        </w:trPr>
        <w:tc>
          <w:tcPr>
            <w:tcW w:w="2986" w:type="pct"/>
            <w:tcBorders>
              <w:left w:val="single" w:color="000000" w:sz="10" w:space="0"/>
            </w:tcBorders>
            <w:vAlign w:val="center"/>
          </w:tcPr>
          <w:p w14:paraId="0611F508">
            <w:pPr>
              <w:jc w:val="center"/>
              <w:rPr>
                <w:rFonts w:ascii="Times New Roman" w:hAnsi="Times New Roman" w:eastAsia="宋体" w:cs="Times New Roman"/>
                <w:sz w:val="20"/>
                <w:szCs w:val="20"/>
              </w:rPr>
            </w:pPr>
            <w:r>
              <w:rPr>
                <w:rFonts w:ascii="Times New Roman" w:hAnsi="Times New Roman" w:eastAsia="宋体" w:cs="Times New Roman"/>
                <w:spacing w:val="-1"/>
                <w:sz w:val="20"/>
                <w:szCs w:val="20"/>
              </w:rPr>
              <w:t>HFC-143a</w:t>
            </w:r>
          </w:p>
        </w:tc>
        <w:tc>
          <w:tcPr>
            <w:tcW w:w="1192" w:type="pct"/>
            <w:vAlign w:val="center"/>
          </w:tcPr>
          <w:p w14:paraId="79F1F983">
            <w:pPr>
              <w:jc w:val="center"/>
              <w:rPr>
                <w:rFonts w:ascii="Times New Roman" w:hAnsi="Times New Roman" w:eastAsia="宋体" w:cs="Times New Roman"/>
                <w:sz w:val="20"/>
                <w:szCs w:val="20"/>
              </w:rPr>
            </w:pPr>
            <w:r>
              <w:rPr>
                <w:rFonts w:ascii="Times New Roman" w:hAnsi="Times New Roman" w:eastAsia="宋体" w:cs="Times New Roman"/>
                <w:spacing w:val="-1"/>
                <w:sz w:val="20"/>
                <w:szCs w:val="20"/>
              </w:rPr>
              <w:t>CH3CF3</w:t>
            </w:r>
          </w:p>
        </w:tc>
        <w:tc>
          <w:tcPr>
            <w:tcW w:w="820" w:type="pct"/>
            <w:tcBorders>
              <w:right w:val="single" w:color="000000" w:sz="10" w:space="0"/>
            </w:tcBorders>
            <w:vAlign w:val="center"/>
          </w:tcPr>
          <w:p w14:paraId="52FE1AA2">
            <w:pPr>
              <w:jc w:val="center"/>
              <w:rPr>
                <w:rFonts w:ascii="Times New Roman" w:hAnsi="Times New Roman" w:eastAsia="宋体" w:cs="Times New Roman"/>
                <w:sz w:val="20"/>
                <w:szCs w:val="20"/>
              </w:rPr>
            </w:pPr>
            <w:r>
              <w:rPr>
                <w:rFonts w:ascii="Times New Roman" w:hAnsi="Times New Roman" w:eastAsia="宋体" w:cs="Times New Roman"/>
                <w:spacing w:val="-2"/>
                <w:sz w:val="20"/>
                <w:szCs w:val="20"/>
              </w:rPr>
              <w:t>5810</w:t>
            </w:r>
          </w:p>
        </w:tc>
      </w:tr>
      <w:tr w14:paraId="57BFA96B">
        <w:trPr>
          <w:trHeight w:val="326" w:hRule="atLeast"/>
        </w:trPr>
        <w:tc>
          <w:tcPr>
            <w:tcW w:w="2986" w:type="pct"/>
            <w:tcBorders>
              <w:left w:val="single" w:color="000000" w:sz="10" w:space="0"/>
            </w:tcBorders>
            <w:vAlign w:val="center"/>
          </w:tcPr>
          <w:p w14:paraId="22382C10">
            <w:pPr>
              <w:jc w:val="center"/>
              <w:rPr>
                <w:rFonts w:ascii="Times New Roman" w:hAnsi="Times New Roman" w:eastAsia="宋体" w:cs="Times New Roman"/>
                <w:sz w:val="20"/>
                <w:szCs w:val="20"/>
              </w:rPr>
            </w:pPr>
            <w:r>
              <w:rPr>
                <w:rFonts w:ascii="Times New Roman" w:hAnsi="Times New Roman" w:eastAsia="宋体" w:cs="Times New Roman"/>
                <w:spacing w:val="-1"/>
                <w:sz w:val="20"/>
                <w:szCs w:val="20"/>
              </w:rPr>
              <w:t>HFC-152a</w:t>
            </w:r>
          </w:p>
        </w:tc>
        <w:tc>
          <w:tcPr>
            <w:tcW w:w="1192" w:type="pct"/>
            <w:vAlign w:val="center"/>
          </w:tcPr>
          <w:p w14:paraId="5FFF2360">
            <w:pPr>
              <w:jc w:val="center"/>
              <w:rPr>
                <w:rFonts w:ascii="Times New Roman" w:hAnsi="Times New Roman" w:eastAsia="宋体" w:cs="Times New Roman"/>
                <w:sz w:val="20"/>
                <w:szCs w:val="20"/>
              </w:rPr>
            </w:pPr>
            <w:r>
              <w:rPr>
                <w:rFonts w:ascii="Times New Roman" w:hAnsi="Times New Roman" w:eastAsia="宋体" w:cs="Times New Roman"/>
                <w:spacing w:val="-1"/>
                <w:sz w:val="20"/>
                <w:szCs w:val="20"/>
              </w:rPr>
              <w:t>CH</w:t>
            </w:r>
            <w:r>
              <w:rPr>
                <w:rFonts w:ascii="Times New Roman" w:hAnsi="Times New Roman" w:eastAsia="宋体" w:cs="Times New Roman"/>
                <w:spacing w:val="-1"/>
                <w:position w:val="-1"/>
                <w:sz w:val="20"/>
                <w:szCs w:val="20"/>
              </w:rPr>
              <w:t>3</w:t>
            </w:r>
            <w:r>
              <w:rPr>
                <w:rFonts w:ascii="Times New Roman" w:hAnsi="Times New Roman" w:eastAsia="宋体" w:cs="Times New Roman"/>
                <w:spacing w:val="-1"/>
                <w:sz w:val="20"/>
                <w:szCs w:val="20"/>
              </w:rPr>
              <w:t>CHF</w:t>
            </w:r>
            <w:r>
              <w:rPr>
                <w:rFonts w:ascii="Times New Roman" w:hAnsi="Times New Roman" w:eastAsia="宋体" w:cs="Times New Roman"/>
                <w:spacing w:val="-1"/>
                <w:position w:val="-1"/>
                <w:sz w:val="20"/>
                <w:szCs w:val="20"/>
              </w:rPr>
              <w:t>2</w:t>
            </w:r>
          </w:p>
        </w:tc>
        <w:tc>
          <w:tcPr>
            <w:tcW w:w="820" w:type="pct"/>
            <w:tcBorders>
              <w:right w:val="single" w:color="000000" w:sz="10" w:space="0"/>
            </w:tcBorders>
            <w:vAlign w:val="center"/>
          </w:tcPr>
          <w:p w14:paraId="59FCF13D">
            <w:pPr>
              <w:jc w:val="center"/>
              <w:rPr>
                <w:rFonts w:ascii="Times New Roman" w:hAnsi="Times New Roman" w:eastAsia="宋体" w:cs="Times New Roman"/>
                <w:sz w:val="20"/>
                <w:szCs w:val="20"/>
              </w:rPr>
            </w:pPr>
            <w:r>
              <w:rPr>
                <w:rFonts w:ascii="Times New Roman" w:hAnsi="Times New Roman" w:eastAsia="宋体" w:cs="Times New Roman"/>
                <w:spacing w:val="-7"/>
                <w:sz w:val="20"/>
                <w:szCs w:val="20"/>
              </w:rPr>
              <w:t>164</w:t>
            </w:r>
          </w:p>
        </w:tc>
      </w:tr>
      <w:tr w14:paraId="37BA3962">
        <w:trPr>
          <w:trHeight w:val="326" w:hRule="atLeast"/>
        </w:trPr>
        <w:tc>
          <w:tcPr>
            <w:tcW w:w="2986" w:type="pct"/>
            <w:tcBorders>
              <w:left w:val="single" w:color="000000" w:sz="10" w:space="0"/>
            </w:tcBorders>
            <w:vAlign w:val="center"/>
          </w:tcPr>
          <w:p w14:paraId="6ED35C2A">
            <w:pPr>
              <w:jc w:val="center"/>
              <w:rPr>
                <w:rFonts w:ascii="Times New Roman" w:hAnsi="Times New Roman" w:eastAsia="宋体" w:cs="Times New Roman"/>
                <w:sz w:val="20"/>
                <w:szCs w:val="20"/>
              </w:rPr>
            </w:pPr>
            <w:r>
              <w:rPr>
                <w:rFonts w:ascii="Times New Roman" w:hAnsi="Times New Roman" w:eastAsia="宋体" w:cs="Times New Roman"/>
                <w:spacing w:val="-1"/>
                <w:sz w:val="20"/>
                <w:szCs w:val="20"/>
              </w:rPr>
              <w:t>HFC-227ea</w:t>
            </w:r>
          </w:p>
        </w:tc>
        <w:tc>
          <w:tcPr>
            <w:tcW w:w="1192" w:type="pct"/>
            <w:vAlign w:val="center"/>
          </w:tcPr>
          <w:p w14:paraId="3D839F7C">
            <w:pPr>
              <w:jc w:val="center"/>
              <w:rPr>
                <w:rFonts w:ascii="Times New Roman" w:hAnsi="Times New Roman" w:eastAsia="宋体" w:cs="Times New Roman"/>
                <w:sz w:val="20"/>
                <w:szCs w:val="20"/>
              </w:rPr>
            </w:pPr>
            <w:r>
              <w:rPr>
                <w:rFonts w:ascii="Times New Roman" w:hAnsi="Times New Roman" w:eastAsia="宋体" w:cs="Times New Roman"/>
                <w:sz w:val="20"/>
                <w:szCs w:val="20"/>
              </w:rPr>
              <w:t>CF</w:t>
            </w:r>
            <w:r>
              <w:rPr>
                <w:rFonts w:ascii="Times New Roman" w:hAnsi="Times New Roman" w:eastAsia="宋体" w:cs="Times New Roman"/>
                <w:position w:val="-1"/>
                <w:sz w:val="20"/>
                <w:szCs w:val="20"/>
              </w:rPr>
              <w:t>3</w:t>
            </w:r>
            <w:r>
              <w:rPr>
                <w:rFonts w:ascii="Times New Roman" w:hAnsi="Times New Roman" w:eastAsia="宋体" w:cs="Times New Roman"/>
                <w:sz w:val="20"/>
                <w:szCs w:val="20"/>
              </w:rPr>
              <w:t>CHFCF</w:t>
            </w:r>
            <w:r>
              <w:rPr>
                <w:rFonts w:ascii="Times New Roman" w:hAnsi="Times New Roman" w:eastAsia="宋体" w:cs="Times New Roman"/>
                <w:position w:val="-1"/>
                <w:sz w:val="20"/>
                <w:szCs w:val="20"/>
              </w:rPr>
              <w:t>3</w:t>
            </w:r>
          </w:p>
        </w:tc>
        <w:tc>
          <w:tcPr>
            <w:tcW w:w="820" w:type="pct"/>
            <w:tcBorders>
              <w:right w:val="single" w:color="000000" w:sz="10" w:space="0"/>
            </w:tcBorders>
            <w:vAlign w:val="center"/>
          </w:tcPr>
          <w:p w14:paraId="7D8A24FF">
            <w:pPr>
              <w:jc w:val="center"/>
              <w:rPr>
                <w:rFonts w:ascii="Times New Roman" w:hAnsi="Times New Roman" w:eastAsia="宋体" w:cs="Times New Roman"/>
                <w:sz w:val="20"/>
                <w:szCs w:val="20"/>
              </w:rPr>
            </w:pPr>
            <w:r>
              <w:rPr>
                <w:rFonts w:ascii="Times New Roman" w:hAnsi="Times New Roman" w:eastAsia="宋体" w:cs="Times New Roman"/>
                <w:spacing w:val="-2"/>
                <w:sz w:val="20"/>
                <w:szCs w:val="20"/>
              </w:rPr>
              <w:t>3600</w:t>
            </w:r>
          </w:p>
        </w:tc>
      </w:tr>
      <w:tr w14:paraId="00224466">
        <w:trPr>
          <w:trHeight w:val="326" w:hRule="atLeast"/>
        </w:trPr>
        <w:tc>
          <w:tcPr>
            <w:tcW w:w="2986" w:type="pct"/>
            <w:tcBorders>
              <w:left w:val="single" w:color="000000" w:sz="10" w:space="0"/>
            </w:tcBorders>
            <w:vAlign w:val="center"/>
          </w:tcPr>
          <w:p w14:paraId="7E382A0E">
            <w:pPr>
              <w:jc w:val="center"/>
              <w:rPr>
                <w:rFonts w:ascii="Times New Roman" w:hAnsi="Times New Roman" w:eastAsia="宋体" w:cs="Times New Roman"/>
                <w:sz w:val="20"/>
                <w:szCs w:val="20"/>
              </w:rPr>
            </w:pPr>
            <w:r>
              <w:rPr>
                <w:rFonts w:ascii="Times New Roman" w:hAnsi="Times New Roman" w:eastAsia="宋体" w:cs="Times New Roman"/>
                <w:sz w:val="20"/>
                <w:szCs w:val="20"/>
              </w:rPr>
              <w:t>HFC</w:t>
            </w:r>
            <w:r>
              <w:rPr>
                <w:rFonts w:ascii="Times New Roman" w:hAnsi="Times New Roman" w:eastAsia="宋体" w:cs="Times New Roman"/>
                <w:spacing w:val="4"/>
                <w:sz w:val="20"/>
                <w:szCs w:val="20"/>
              </w:rPr>
              <w:t>-236</w:t>
            </w:r>
            <w:r>
              <w:rPr>
                <w:rFonts w:ascii="Times New Roman" w:hAnsi="Times New Roman" w:eastAsia="宋体" w:cs="Times New Roman"/>
                <w:sz w:val="20"/>
                <w:szCs w:val="20"/>
              </w:rPr>
              <w:t>fa</w:t>
            </w:r>
          </w:p>
        </w:tc>
        <w:tc>
          <w:tcPr>
            <w:tcW w:w="1192" w:type="pct"/>
            <w:vAlign w:val="center"/>
          </w:tcPr>
          <w:p w14:paraId="4BB269E6">
            <w:pPr>
              <w:jc w:val="center"/>
              <w:rPr>
                <w:rFonts w:ascii="Times New Roman" w:hAnsi="Times New Roman" w:eastAsia="宋体" w:cs="Times New Roman"/>
                <w:sz w:val="20"/>
                <w:szCs w:val="20"/>
              </w:rPr>
            </w:pPr>
            <w:r>
              <w:rPr>
                <w:rFonts w:ascii="Times New Roman" w:hAnsi="Times New Roman" w:eastAsia="宋体" w:cs="Times New Roman"/>
                <w:sz w:val="20"/>
                <w:szCs w:val="20"/>
              </w:rPr>
              <w:t>C3H2F6</w:t>
            </w:r>
          </w:p>
        </w:tc>
        <w:tc>
          <w:tcPr>
            <w:tcW w:w="820" w:type="pct"/>
            <w:tcBorders>
              <w:right w:val="single" w:color="000000" w:sz="10" w:space="0"/>
            </w:tcBorders>
            <w:vAlign w:val="center"/>
          </w:tcPr>
          <w:p w14:paraId="16957E7D">
            <w:pPr>
              <w:jc w:val="center"/>
              <w:rPr>
                <w:rFonts w:ascii="Times New Roman" w:hAnsi="Times New Roman" w:eastAsia="宋体" w:cs="Times New Roman"/>
                <w:sz w:val="20"/>
                <w:szCs w:val="20"/>
              </w:rPr>
            </w:pPr>
            <w:r>
              <w:rPr>
                <w:rFonts w:ascii="Times New Roman" w:hAnsi="Times New Roman" w:eastAsia="宋体" w:cs="Times New Roman"/>
                <w:spacing w:val="-3"/>
                <w:sz w:val="20"/>
                <w:szCs w:val="20"/>
              </w:rPr>
              <w:t>8690</w:t>
            </w:r>
          </w:p>
        </w:tc>
      </w:tr>
      <w:tr w14:paraId="41084979">
        <w:trPr>
          <w:trHeight w:val="326" w:hRule="atLeast"/>
        </w:trPr>
        <w:tc>
          <w:tcPr>
            <w:tcW w:w="5000" w:type="pct"/>
            <w:gridSpan w:val="3"/>
            <w:tcBorders>
              <w:left w:val="single" w:color="000000" w:sz="10" w:space="0"/>
              <w:right w:val="single" w:color="000000" w:sz="10" w:space="0"/>
            </w:tcBorders>
            <w:vAlign w:val="center"/>
          </w:tcPr>
          <w:p w14:paraId="3DA6BF5E">
            <w:pPr>
              <w:pStyle w:val="11"/>
              <w:jc w:val="center"/>
              <w:rPr>
                <w:rFonts w:ascii="Times New Roman" w:hAnsi="Times New Roman" w:cs="Times New Roman"/>
                <w:sz w:val="20"/>
                <w:szCs w:val="20"/>
              </w:rPr>
            </w:pPr>
            <w:r>
              <w:rPr>
                <w:rFonts w:ascii="Times New Roman" w:hAnsi="Times New Roman" w:cs="Times New Roman"/>
                <w:spacing w:val="-2"/>
                <w:sz w:val="20"/>
                <w:szCs w:val="20"/>
              </w:rPr>
              <w:t>全氟碳化物</w:t>
            </w:r>
          </w:p>
        </w:tc>
      </w:tr>
      <w:tr w14:paraId="571AE90F">
        <w:trPr>
          <w:trHeight w:val="326" w:hRule="atLeast"/>
        </w:trPr>
        <w:tc>
          <w:tcPr>
            <w:tcW w:w="2986" w:type="pct"/>
            <w:tcBorders>
              <w:left w:val="single" w:color="000000" w:sz="10" w:space="0"/>
            </w:tcBorders>
            <w:vAlign w:val="center"/>
          </w:tcPr>
          <w:p w14:paraId="75F78464">
            <w:pPr>
              <w:pStyle w:val="11"/>
              <w:jc w:val="center"/>
              <w:rPr>
                <w:rFonts w:ascii="Times New Roman" w:hAnsi="Times New Roman" w:cs="Times New Roman"/>
                <w:sz w:val="20"/>
                <w:szCs w:val="20"/>
              </w:rPr>
            </w:pPr>
            <w:r>
              <w:rPr>
                <w:rFonts w:ascii="Times New Roman" w:hAnsi="Times New Roman" w:cs="Times New Roman"/>
                <w:spacing w:val="-1"/>
                <w:sz w:val="20"/>
                <w:szCs w:val="20"/>
              </w:rPr>
              <w:t>全氟甲烷（四氟甲烷）</w:t>
            </w:r>
          </w:p>
        </w:tc>
        <w:tc>
          <w:tcPr>
            <w:tcW w:w="1192" w:type="pct"/>
            <w:vAlign w:val="center"/>
          </w:tcPr>
          <w:p w14:paraId="339EDD93">
            <w:pPr>
              <w:jc w:val="center"/>
              <w:rPr>
                <w:rFonts w:ascii="Times New Roman" w:hAnsi="Times New Roman" w:eastAsia="宋体" w:cs="Times New Roman"/>
                <w:sz w:val="20"/>
                <w:szCs w:val="20"/>
              </w:rPr>
            </w:pPr>
            <w:r>
              <w:rPr>
                <w:rFonts w:ascii="Times New Roman" w:hAnsi="Times New Roman" w:eastAsia="宋体" w:cs="Times New Roman"/>
                <w:spacing w:val="-2"/>
                <w:sz w:val="20"/>
                <w:szCs w:val="20"/>
              </w:rPr>
              <w:t>CF</w:t>
            </w:r>
            <w:r>
              <w:rPr>
                <w:rFonts w:ascii="Times New Roman" w:hAnsi="Times New Roman" w:eastAsia="宋体" w:cs="Times New Roman"/>
                <w:spacing w:val="-2"/>
                <w:position w:val="-1"/>
                <w:sz w:val="20"/>
                <w:szCs w:val="20"/>
              </w:rPr>
              <w:t>4</w:t>
            </w:r>
          </w:p>
        </w:tc>
        <w:tc>
          <w:tcPr>
            <w:tcW w:w="820" w:type="pct"/>
            <w:tcBorders>
              <w:right w:val="single" w:color="000000" w:sz="10" w:space="0"/>
            </w:tcBorders>
            <w:vAlign w:val="center"/>
          </w:tcPr>
          <w:p w14:paraId="70A723F2">
            <w:pPr>
              <w:jc w:val="center"/>
              <w:rPr>
                <w:rFonts w:ascii="Times New Roman" w:hAnsi="Times New Roman" w:eastAsia="宋体" w:cs="Times New Roman"/>
                <w:sz w:val="20"/>
                <w:szCs w:val="20"/>
              </w:rPr>
            </w:pPr>
            <w:r>
              <w:rPr>
                <w:rFonts w:ascii="Times New Roman" w:hAnsi="Times New Roman" w:eastAsia="宋体" w:cs="Times New Roman"/>
                <w:spacing w:val="-2"/>
                <w:sz w:val="20"/>
                <w:szCs w:val="20"/>
              </w:rPr>
              <w:t>7380</w:t>
            </w:r>
          </w:p>
        </w:tc>
      </w:tr>
      <w:tr w14:paraId="245244AB">
        <w:trPr>
          <w:trHeight w:val="326" w:hRule="atLeast"/>
        </w:trPr>
        <w:tc>
          <w:tcPr>
            <w:tcW w:w="2986" w:type="pct"/>
            <w:tcBorders>
              <w:left w:val="single" w:color="000000" w:sz="10" w:space="0"/>
            </w:tcBorders>
            <w:vAlign w:val="center"/>
          </w:tcPr>
          <w:p w14:paraId="3E6BBEE3">
            <w:pPr>
              <w:pStyle w:val="11"/>
              <w:jc w:val="center"/>
              <w:rPr>
                <w:rFonts w:ascii="Times New Roman" w:hAnsi="Times New Roman" w:cs="Times New Roman"/>
                <w:sz w:val="20"/>
                <w:szCs w:val="20"/>
              </w:rPr>
            </w:pPr>
            <w:r>
              <w:rPr>
                <w:rFonts w:ascii="Times New Roman" w:hAnsi="Times New Roman" w:cs="Times New Roman"/>
                <w:spacing w:val="-1"/>
                <w:sz w:val="20"/>
                <w:szCs w:val="20"/>
              </w:rPr>
              <w:t>全氟乙烷（六氟乙烷）</w:t>
            </w:r>
          </w:p>
        </w:tc>
        <w:tc>
          <w:tcPr>
            <w:tcW w:w="1192" w:type="pct"/>
            <w:vAlign w:val="center"/>
          </w:tcPr>
          <w:p w14:paraId="4686ED85">
            <w:pPr>
              <w:jc w:val="center"/>
              <w:rPr>
                <w:rFonts w:ascii="Times New Roman" w:hAnsi="Times New Roman" w:eastAsia="宋体" w:cs="Times New Roman"/>
                <w:sz w:val="20"/>
                <w:szCs w:val="20"/>
              </w:rPr>
            </w:pPr>
            <w:r>
              <w:rPr>
                <w:rFonts w:ascii="Times New Roman" w:hAnsi="Times New Roman" w:eastAsia="宋体" w:cs="Times New Roman"/>
                <w:spacing w:val="-1"/>
                <w:sz w:val="20"/>
                <w:szCs w:val="20"/>
              </w:rPr>
              <w:t>C2F6</w:t>
            </w:r>
          </w:p>
        </w:tc>
        <w:tc>
          <w:tcPr>
            <w:tcW w:w="820" w:type="pct"/>
            <w:tcBorders>
              <w:right w:val="single" w:color="000000" w:sz="10" w:space="0"/>
            </w:tcBorders>
            <w:vAlign w:val="center"/>
          </w:tcPr>
          <w:p w14:paraId="4152E61A">
            <w:pPr>
              <w:jc w:val="center"/>
              <w:rPr>
                <w:rFonts w:ascii="Times New Roman" w:hAnsi="Times New Roman" w:eastAsia="宋体" w:cs="Times New Roman"/>
                <w:sz w:val="20"/>
                <w:szCs w:val="20"/>
              </w:rPr>
            </w:pPr>
            <w:r>
              <w:rPr>
                <w:rFonts w:ascii="Times New Roman" w:hAnsi="Times New Roman" w:eastAsia="宋体" w:cs="Times New Roman"/>
                <w:spacing w:val="-4"/>
                <w:sz w:val="20"/>
                <w:szCs w:val="20"/>
              </w:rPr>
              <w:t>12400</w:t>
            </w:r>
          </w:p>
        </w:tc>
      </w:tr>
      <w:tr w14:paraId="0FFD1DDE">
        <w:trPr>
          <w:trHeight w:val="326" w:hRule="atLeast"/>
        </w:trPr>
        <w:tc>
          <w:tcPr>
            <w:tcW w:w="2986" w:type="pct"/>
            <w:tcBorders>
              <w:left w:val="single" w:color="000000" w:sz="10" w:space="0"/>
            </w:tcBorders>
            <w:vAlign w:val="center"/>
          </w:tcPr>
          <w:p w14:paraId="03212A11">
            <w:pPr>
              <w:pStyle w:val="11"/>
              <w:jc w:val="center"/>
              <w:rPr>
                <w:rFonts w:ascii="Times New Roman" w:hAnsi="Times New Roman" w:cs="Times New Roman"/>
                <w:sz w:val="20"/>
                <w:szCs w:val="20"/>
              </w:rPr>
            </w:pPr>
            <w:r>
              <w:rPr>
                <w:rFonts w:ascii="Times New Roman" w:hAnsi="Times New Roman" w:cs="Times New Roman"/>
                <w:spacing w:val="-2"/>
                <w:sz w:val="20"/>
                <w:szCs w:val="20"/>
              </w:rPr>
              <w:t>全氟丙烷</w:t>
            </w:r>
          </w:p>
        </w:tc>
        <w:tc>
          <w:tcPr>
            <w:tcW w:w="1192" w:type="pct"/>
            <w:vAlign w:val="center"/>
          </w:tcPr>
          <w:p w14:paraId="2A578EC4">
            <w:pPr>
              <w:jc w:val="center"/>
              <w:rPr>
                <w:rFonts w:ascii="Times New Roman" w:hAnsi="Times New Roman" w:eastAsia="宋体" w:cs="Times New Roman"/>
                <w:sz w:val="20"/>
                <w:szCs w:val="20"/>
              </w:rPr>
            </w:pPr>
            <w:r>
              <w:rPr>
                <w:rFonts w:ascii="Times New Roman" w:hAnsi="Times New Roman" w:eastAsia="宋体" w:cs="Times New Roman"/>
                <w:spacing w:val="-1"/>
                <w:sz w:val="20"/>
                <w:szCs w:val="20"/>
              </w:rPr>
              <w:t>C</w:t>
            </w:r>
            <w:r>
              <w:rPr>
                <w:rFonts w:ascii="Times New Roman" w:hAnsi="Times New Roman" w:eastAsia="宋体" w:cs="Times New Roman"/>
                <w:spacing w:val="-1"/>
                <w:position w:val="-1"/>
                <w:sz w:val="20"/>
                <w:szCs w:val="20"/>
              </w:rPr>
              <w:t>3</w:t>
            </w:r>
            <w:r>
              <w:rPr>
                <w:rFonts w:ascii="Times New Roman" w:hAnsi="Times New Roman" w:eastAsia="宋体" w:cs="Times New Roman"/>
                <w:spacing w:val="-1"/>
                <w:sz w:val="20"/>
                <w:szCs w:val="20"/>
              </w:rPr>
              <w:t>F</w:t>
            </w:r>
            <w:r>
              <w:rPr>
                <w:rFonts w:ascii="Times New Roman" w:hAnsi="Times New Roman" w:eastAsia="宋体" w:cs="Times New Roman"/>
                <w:spacing w:val="-1"/>
                <w:position w:val="-1"/>
                <w:sz w:val="20"/>
                <w:szCs w:val="20"/>
              </w:rPr>
              <w:t>8</w:t>
            </w:r>
          </w:p>
        </w:tc>
        <w:tc>
          <w:tcPr>
            <w:tcW w:w="820" w:type="pct"/>
            <w:tcBorders>
              <w:right w:val="single" w:color="000000" w:sz="10" w:space="0"/>
            </w:tcBorders>
            <w:vAlign w:val="center"/>
          </w:tcPr>
          <w:p w14:paraId="7C0CBEB5">
            <w:pPr>
              <w:jc w:val="center"/>
              <w:rPr>
                <w:rFonts w:ascii="Times New Roman" w:hAnsi="Times New Roman" w:eastAsia="宋体" w:cs="Times New Roman"/>
                <w:sz w:val="20"/>
                <w:szCs w:val="20"/>
              </w:rPr>
            </w:pPr>
            <w:r>
              <w:rPr>
                <w:rFonts w:ascii="Times New Roman" w:hAnsi="Times New Roman" w:eastAsia="宋体" w:cs="Times New Roman"/>
                <w:spacing w:val="-2"/>
                <w:sz w:val="20"/>
                <w:szCs w:val="20"/>
              </w:rPr>
              <w:t>9290</w:t>
            </w:r>
          </w:p>
        </w:tc>
      </w:tr>
      <w:tr w14:paraId="70DD12CF">
        <w:trPr>
          <w:trHeight w:val="326" w:hRule="atLeast"/>
        </w:trPr>
        <w:tc>
          <w:tcPr>
            <w:tcW w:w="2986" w:type="pct"/>
            <w:tcBorders>
              <w:left w:val="single" w:color="000000" w:sz="10" w:space="0"/>
            </w:tcBorders>
            <w:vAlign w:val="center"/>
          </w:tcPr>
          <w:p w14:paraId="7C6F87B7">
            <w:pPr>
              <w:pStyle w:val="11"/>
              <w:jc w:val="center"/>
              <w:rPr>
                <w:rFonts w:ascii="Times New Roman" w:hAnsi="Times New Roman" w:cs="Times New Roman"/>
                <w:sz w:val="20"/>
                <w:szCs w:val="20"/>
              </w:rPr>
            </w:pPr>
            <w:r>
              <w:rPr>
                <w:rFonts w:ascii="Times New Roman" w:hAnsi="Times New Roman" w:cs="Times New Roman"/>
                <w:spacing w:val="-2"/>
                <w:sz w:val="20"/>
                <w:szCs w:val="20"/>
              </w:rPr>
              <w:t>全氟丁烷</w:t>
            </w:r>
          </w:p>
        </w:tc>
        <w:tc>
          <w:tcPr>
            <w:tcW w:w="1192" w:type="pct"/>
            <w:vAlign w:val="center"/>
          </w:tcPr>
          <w:p w14:paraId="5DB66EEA">
            <w:pPr>
              <w:jc w:val="center"/>
              <w:rPr>
                <w:rFonts w:ascii="Times New Roman" w:hAnsi="Times New Roman" w:eastAsia="宋体" w:cs="Times New Roman"/>
                <w:sz w:val="20"/>
                <w:szCs w:val="20"/>
              </w:rPr>
            </w:pPr>
            <w:r>
              <w:rPr>
                <w:rFonts w:ascii="Times New Roman" w:hAnsi="Times New Roman" w:eastAsia="宋体" w:cs="Times New Roman"/>
                <w:sz w:val="20"/>
                <w:szCs w:val="20"/>
              </w:rPr>
              <w:t>C4F10</w:t>
            </w:r>
          </w:p>
        </w:tc>
        <w:tc>
          <w:tcPr>
            <w:tcW w:w="820" w:type="pct"/>
            <w:tcBorders>
              <w:right w:val="single" w:color="000000" w:sz="10" w:space="0"/>
            </w:tcBorders>
            <w:vAlign w:val="center"/>
          </w:tcPr>
          <w:p w14:paraId="3AC9F587">
            <w:pPr>
              <w:jc w:val="center"/>
              <w:rPr>
                <w:rFonts w:ascii="Times New Roman" w:hAnsi="Times New Roman" w:eastAsia="宋体" w:cs="Times New Roman"/>
                <w:sz w:val="20"/>
                <w:szCs w:val="20"/>
              </w:rPr>
            </w:pPr>
            <w:r>
              <w:rPr>
                <w:rFonts w:ascii="Times New Roman" w:hAnsi="Times New Roman" w:eastAsia="宋体" w:cs="Times New Roman"/>
                <w:spacing w:val="-4"/>
                <w:sz w:val="20"/>
                <w:szCs w:val="20"/>
              </w:rPr>
              <w:t>10000</w:t>
            </w:r>
          </w:p>
        </w:tc>
      </w:tr>
      <w:tr w14:paraId="7467E5D6">
        <w:trPr>
          <w:trHeight w:val="326" w:hRule="atLeast"/>
        </w:trPr>
        <w:tc>
          <w:tcPr>
            <w:tcW w:w="2986" w:type="pct"/>
            <w:tcBorders>
              <w:left w:val="single" w:color="000000" w:sz="10" w:space="0"/>
            </w:tcBorders>
            <w:vAlign w:val="center"/>
          </w:tcPr>
          <w:p w14:paraId="6C277613">
            <w:pPr>
              <w:pStyle w:val="11"/>
              <w:jc w:val="center"/>
              <w:rPr>
                <w:rFonts w:ascii="Times New Roman" w:hAnsi="Times New Roman" w:cs="Times New Roman"/>
                <w:sz w:val="20"/>
                <w:szCs w:val="20"/>
              </w:rPr>
            </w:pPr>
            <w:r>
              <w:rPr>
                <w:rFonts w:ascii="Times New Roman" w:hAnsi="Times New Roman" w:cs="Times New Roman"/>
                <w:spacing w:val="-2"/>
                <w:sz w:val="20"/>
                <w:szCs w:val="20"/>
              </w:rPr>
              <w:t>全氟环丁烷</w:t>
            </w:r>
          </w:p>
        </w:tc>
        <w:tc>
          <w:tcPr>
            <w:tcW w:w="1192" w:type="pct"/>
            <w:vAlign w:val="center"/>
          </w:tcPr>
          <w:p w14:paraId="40E99FE1">
            <w:pPr>
              <w:jc w:val="center"/>
              <w:rPr>
                <w:rFonts w:ascii="Times New Roman" w:hAnsi="Times New Roman" w:eastAsia="宋体" w:cs="Times New Roman"/>
                <w:sz w:val="20"/>
                <w:szCs w:val="20"/>
              </w:rPr>
            </w:pPr>
            <w:r>
              <w:rPr>
                <w:rFonts w:ascii="Times New Roman" w:hAnsi="Times New Roman" w:eastAsia="宋体" w:cs="Times New Roman"/>
                <w:spacing w:val="-1"/>
                <w:sz w:val="20"/>
                <w:szCs w:val="20"/>
              </w:rPr>
              <w:t>C4F8</w:t>
            </w:r>
          </w:p>
        </w:tc>
        <w:tc>
          <w:tcPr>
            <w:tcW w:w="820" w:type="pct"/>
            <w:tcBorders>
              <w:right w:val="single" w:color="000000" w:sz="10" w:space="0"/>
            </w:tcBorders>
            <w:vAlign w:val="center"/>
          </w:tcPr>
          <w:p w14:paraId="5DA740A5">
            <w:pPr>
              <w:jc w:val="center"/>
              <w:rPr>
                <w:rFonts w:ascii="Times New Roman" w:hAnsi="Times New Roman" w:eastAsia="宋体" w:cs="Times New Roman"/>
                <w:sz w:val="20"/>
                <w:szCs w:val="20"/>
              </w:rPr>
            </w:pPr>
            <w:r>
              <w:rPr>
                <w:rFonts w:ascii="Times New Roman" w:hAnsi="Times New Roman" w:eastAsia="宋体" w:cs="Times New Roman"/>
                <w:spacing w:val="-4"/>
                <w:sz w:val="20"/>
                <w:szCs w:val="20"/>
              </w:rPr>
              <w:t>10200</w:t>
            </w:r>
          </w:p>
        </w:tc>
      </w:tr>
      <w:tr w14:paraId="37FED6CC">
        <w:trPr>
          <w:trHeight w:val="326" w:hRule="atLeast"/>
        </w:trPr>
        <w:tc>
          <w:tcPr>
            <w:tcW w:w="2986" w:type="pct"/>
            <w:tcBorders>
              <w:left w:val="single" w:color="000000" w:sz="10" w:space="0"/>
            </w:tcBorders>
            <w:vAlign w:val="center"/>
          </w:tcPr>
          <w:p w14:paraId="50E93229">
            <w:pPr>
              <w:pStyle w:val="11"/>
              <w:jc w:val="center"/>
              <w:rPr>
                <w:rFonts w:ascii="Times New Roman" w:hAnsi="Times New Roman" w:cs="Times New Roman"/>
                <w:sz w:val="20"/>
                <w:szCs w:val="20"/>
              </w:rPr>
            </w:pPr>
            <w:r>
              <w:rPr>
                <w:rFonts w:ascii="Times New Roman" w:hAnsi="Times New Roman" w:cs="Times New Roman"/>
                <w:spacing w:val="-2"/>
                <w:sz w:val="20"/>
                <w:szCs w:val="20"/>
              </w:rPr>
              <w:t>全氟戊烷</w:t>
            </w:r>
          </w:p>
        </w:tc>
        <w:tc>
          <w:tcPr>
            <w:tcW w:w="1192" w:type="pct"/>
            <w:vAlign w:val="center"/>
          </w:tcPr>
          <w:p w14:paraId="1D362CA2">
            <w:pPr>
              <w:jc w:val="center"/>
              <w:rPr>
                <w:rFonts w:ascii="Times New Roman" w:hAnsi="Times New Roman" w:eastAsia="宋体" w:cs="Times New Roman"/>
                <w:sz w:val="20"/>
                <w:szCs w:val="20"/>
              </w:rPr>
            </w:pPr>
            <w:r>
              <w:rPr>
                <w:rFonts w:ascii="Times New Roman" w:hAnsi="Times New Roman" w:eastAsia="宋体" w:cs="Times New Roman"/>
                <w:sz w:val="20"/>
                <w:szCs w:val="20"/>
              </w:rPr>
              <w:t>C5F12</w:t>
            </w:r>
          </w:p>
        </w:tc>
        <w:tc>
          <w:tcPr>
            <w:tcW w:w="820" w:type="pct"/>
            <w:tcBorders>
              <w:right w:val="single" w:color="000000" w:sz="10" w:space="0"/>
            </w:tcBorders>
            <w:vAlign w:val="center"/>
          </w:tcPr>
          <w:p w14:paraId="425AFF3E">
            <w:pPr>
              <w:jc w:val="center"/>
              <w:rPr>
                <w:rFonts w:ascii="Times New Roman" w:hAnsi="Times New Roman" w:eastAsia="宋体" w:cs="Times New Roman"/>
                <w:sz w:val="20"/>
                <w:szCs w:val="20"/>
              </w:rPr>
            </w:pPr>
            <w:r>
              <w:rPr>
                <w:rFonts w:ascii="Times New Roman" w:hAnsi="Times New Roman" w:eastAsia="宋体" w:cs="Times New Roman"/>
                <w:spacing w:val="-2"/>
                <w:sz w:val="20"/>
                <w:szCs w:val="20"/>
              </w:rPr>
              <w:t>9220</w:t>
            </w:r>
          </w:p>
        </w:tc>
      </w:tr>
      <w:tr w14:paraId="0118CAA4">
        <w:trPr>
          <w:trHeight w:val="326" w:hRule="atLeast"/>
        </w:trPr>
        <w:tc>
          <w:tcPr>
            <w:tcW w:w="2986" w:type="pct"/>
            <w:tcBorders>
              <w:left w:val="single" w:color="000000" w:sz="10" w:space="0"/>
            </w:tcBorders>
            <w:vAlign w:val="center"/>
          </w:tcPr>
          <w:p w14:paraId="468331D1">
            <w:pPr>
              <w:pStyle w:val="11"/>
              <w:jc w:val="center"/>
              <w:rPr>
                <w:rFonts w:ascii="Times New Roman" w:hAnsi="Times New Roman" w:cs="Times New Roman"/>
                <w:sz w:val="20"/>
                <w:szCs w:val="20"/>
              </w:rPr>
            </w:pPr>
            <w:r>
              <w:rPr>
                <w:rFonts w:ascii="Times New Roman" w:hAnsi="Times New Roman" w:cs="Times New Roman"/>
                <w:spacing w:val="-2"/>
                <w:sz w:val="20"/>
                <w:szCs w:val="20"/>
              </w:rPr>
              <w:t>全氟己烷</w:t>
            </w:r>
          </w:p>
        </w:tc>
        <w:tc>
          <w:tcPr>
            <w:tcW w:w="1192" w:type="pct"/>
            <w:vAlign w:val="center"/>
          </w:tcPr>
          <w:p w14:paraId="321AF35F">
            <w:pPr>
              <w:jc w:val="center"/>
              <w:rPr>
                <w:rFonts w:ascii="Times New Roman" w:hAnsi="Times New Roman" w:eastAsia="宋体" w:cs="Times New Roman"/>
                <w:sz w:val="20"/>
                <w:szCs w:val="20"/>
              </w:rPr>
            </w:pPr>
            <w:r>
              <w:rPr>
                <w:rFonts w:ascii="Times New Roman" w:hAnsi="Times New Roman" w:eastAsia="宋体" w:cs="Times New Roman"/>
                <w:sz w:val="20"/>
                <w:szCs w:val="20"/>
              </w:rPr>
              <w:t>C6F14</w:t>
            </w:r>
          </w:p>
        </w:tc>
        <w:tc>
          <w:tcPr>
            <w:tcW w:w="820" w:type="pct"/>
            <w:tcBorders>
              <w:right w:val="single" w:color="000000" w:sz="10" w:space="0"/>
            </w:tcBorders>
            <w:vAlign w:val="center"/>
          </w:tcPr>
          <w:p w14:paraId="4EF75230">
            <w:pPr>
              <w:jc w:val="center"/>
              <w:rPr>
                <w:rFonts w:ascii="Times New Roman" w:hAnsi="Times New Roman" w:eastAsia="宋体" w:cs="Times New Roman"/>
                <w:sz w:val="20"/>
                <w:szCs w:val="20"/>
              </w:rPr>
            </w:pPr>
            <w:r>
              <w:rPr>
                <w:rFonts w:ascii="Times New Roman" w:hAnsi="Times New Roman" w:eastAsia="宋体" w:cs="Times New Roman"/>
                <w:spacing w:val="-3"/>
                <w:sz w:val="20"/>
                <w:szCs w:val="20"/>
              </w:rPr>
              <w:t>8620</w:t>
            </w:r>
          </w:p>
        </w:tc>
      </w:tr>
      <w:tr w14:paraId="5FB3B025">
        <w:trPr>
          <w:trHeight w:val="652" w:hRule="atLeast"/>
        </w:trPr>
        <w:tc>
          <w:tcPr>
            <w:tcW w:w="5000" w:type="pct"/>
            <w:gridSpan w:val="3"/>
            <w:tcBorders>
              <w:left w:val="single" w:color="000000" w:sz="10" w:space="0"/>
              <w:bottom w:val="single" w:color="000000" w:sz="10" w:space="0"/>
              <w:right w:val="single" w:color="000000" w:sz="10" w:space="0"/>
            </w:tcBorders>
            <w:vAlign w:val="center"/>
          </w:tcPr>
          <w:p w14:paraId="2F22A8D5">
            <w:pPr>
              <w:pStyle w:val="11"/>
              <w:ind w:left="400" w:hanging="400" w:hangingChars="200"/>
              <w:rPr>
                <w:rFonts w:ascii="Times New Roman" w:hAnsi="Times New Roman" w:cs="Times New Roman"/>
                <w:sz w:val="20"/>
                <w:szCs w:val="20"/>
                <w:lang w:eastAsia="zh-CN"/>
              </w:rPr>
            </w:pPr>
            <w:r>
              <w:rPr>
                <w:rFonts w:ascii="Times New Roman" w:hAnsi="Times New Roman" w:cs="Times New Roman"/>
                <w:sz w:val="20"/>
                <w:szCs w:val="20"/>
                <w:lang w:eastAsia="zh-CN"/>
              </w:rPr>
              <w:t>注：数据取值来源于气候变化专门委员会（IPCC）《气候变化报告2021：</w:t>
            </w:r>
            <w:r>
              <w:rPr>
                <w:rFonts w:ascii="Times New Roman" w:hAnsi="Times New Roman" w:cs="Times New Roman"/>
                <w:spacing w:val="-49"/>
                <w:sz w:val="20"/>
                <w:szCs w:val="20"/>
                <w:lang w:eastAsia="zh-CN"/>
              </w:rPr>
              <w:t xml:space="preserve"> </w:t>
            </w:r>
            <w:r>
              <w:rPr>
                <w:rFonts w:ascii="Times New Roman" w:hAnsi="Times New Roman" w:cs="Times New Roman"/>
                <w:sz w:val="20"/>
                <w:szCs w:val="20"/>
                <w:lang w:eastAsia="zh-CN"/>
              </w:rPr>
              <w:t>自然科学基础 第</w:t>
            </w:r>
            <w:r>
              <w:rPr>
                <w:rFonts w:hint="eastAsia" w:ascii="Times New Roman" w:hAnsi="Times New Roman" w:cs="Times New Roman"/>
                <w:sz w:val="20"/>
                <w:szCs w:val="20"/>
                <w:lang w:eastAsia="zh-CN"/>
              </w:rPr>
              <w:t>一</w:t>
            </w:r>
            <w:r>
              <w:rPr>
                <w:rFonts w:ascii="Times New Roman" w:hAnsi="Times New Roman" w:cs="Times New Roman"/>
                <w:sz w:val="20"/>
                <w:szCs w:val="20"/>
                <w:lang w:eastAsia="zh-CN"/>
              </w:rPr>
              <w:t>工作组对政府间</w:t>
            </w:r>
            <w:r>
              <w:rPr>
                <w:rFonts w:ascii="Times New Roman" w:hAnsi="Times New Roman" w:cs="Times New Roman"/>
                <w:spacing w:val="-1"/>
                <w:sz w:val="20"/>
                <w:szCs w:val="20"/>
                <w:lang w:eastAsia="zh-CN"/>
              </w:rPr>
              <w:t>气候变化</w:t>
            </w:r>
            <w:r>
              <w:rPr>
                <w:rFonts w:ascii="Times New Roman" w:hAnsi="Times New Roman" w:cs="Times New Roman"/>
                <w:spacing w:val="-3"/>
                <w:sz w:val="20"/>
                <w:szCs w:val="20"/>
                <w:lang w:eastAsia="zh-CN"/>
              </w:rPr>
              <w:t>专门委员会第六次评估报告的贡献》。</w:t>
            </w:r>
          </w:p>
        </w:tc>
      </w:tr>
    </w:tbl>
    <w:p w14:paraId="0B796CB3">
      <w:pPr>
        <w:rPr>
          <w:lang w:eastAsia="zh-CN"/>
        </w:rPr>
      </w:pPr>
    </w:p>
    <w:p w14:paraId="4C4BC460">
      <w:pPr>
        <w:rPr>
          <w:lang w:eastAsia="zh-CN"/>
        </w:rPr>
      </w:pPr>
    </w:p>
    <w:p w14:paraId="11B97D4E">
      <w:pPr>
        <w:spacing w:line="229" w:lineRule="auto"/>
        <w:rPr>
          <w:sz w:val="20"/>
          <w:szCs w:val="20"/>
          <w:lang w:eastAsia="zh-CN"/>
        </w:rPr>
      </w:pPr>
    </w:p>
    <w:p w14:paraId="1408D86E">
      <w:pPr>
        <w:spacing w:line="229" w:lineRule="auto"/>
        <w:rPr>
          <w:sz w:val="20"/>
          <w:szCs w:val="20"/>
          <w:lang w:eastAsia="zh-CN"/>
        </w:rPr>
        <w:sectPr>
          <w:headerReference r:id="rId10" w:type="default"/>
          <w:footerReference r:id="rId11" w:type="default"/>
          <w:pgSz w:w="11906" w:h="16839"/>
          <w:pgMar w:top="1417" w:right="1417" w:bottom="1134" w:left="1417" w:header="0" w:footer="994" w:gutter="0"/>
          <w:cols w:space="720" w:num="1"/>
        </w:sectPr>
      </w:pPr>
    </w:p>
    <w:p w14:paraId="3263A531">
      <w:pPr>
        <w:pStyle w:val="20"/>
        <w:rPr>
          <w:rFonts w:ascii="Times New Roman"/>
          <w:lang w:eastAsia="zh-CN"/>
        </w:rPr>
      </w:pPr>
      <w:bookmarkStart w:id="110" w:name="_Toc7427"/>
      <w:bookmarkStart w:id="111" w:name="_Toc8955"/>
      <w:r>
        <w:rPr>
          <w:rFonts w:ascii="Times New Roman"/>
          <w:lang w:eastAsia="zh-CN"/>
        </w:rPr>
        <w:br w:type="textWrapping"/>
      </w:r>
      <w:r>
        <w:rPr>
          <w:rFonts w:hint="eastAsia" w:ascii="Times New Roman"/>
          <w:lang w:eastAsia="zh-CN"/>
        </w:rPr>
        <w:t>（资料性）</w:t>
      </w:r>
      <w:r>
        <w:rPr>
          <w:rFonts w:ascii="Times New Roman"/>
          <w:lang w:eastAsia="zh-CN"/>
        </w:rPr>
        <w:br w:type="textWrapping"/>
      </w:r>
      <w:bookmarkEnd w:id="110"/>
      <w:r>
        <w:rPr>
          <w:rFonts w:hint="eastAsia" w:ascii="Times New Roman"/>
          <w:lang w:eastAsia="zh-CN"/>
        </w:rPr>
        <w:t>产品碳足迹报告（模板）</w:t>
      </w:r>
      <w:bookmarkEnd w:id="111"/>
    </w:p>
    <w:p w14:paraId="33C5093D">
      <w:pPr>
        <w:spacing w:line="276" w:lineRule="auto"/>
        <w:ind w:firstLine="420" w:firstLineChars="200"/>
        <w:rPr>
          <w:rFonts w:ascii="Times New Roman" w:hAnsi="Times New Roman"/>
          <w:iCs/>
          <w:lang w:eastAsia="zh-CN"/>
        </w:rPr>
      </w:pPr>
    </w:p>
    <w:p w14:paraId="29004B18">
      <w:pPr>
        <w:spacing w:line="276" w:lineRule="auto"/>
        <w:rPr>
          <w:rFonts w:ascii="Times New Roman" w:hAnsi="Times New Roman"/>
          <w:iCs/>
          <w:lang w:eastAsia="zh-CN"/>
        </w:rPr>
      </w:pPr>
    </w:p>
    <w:p w14:paraId="0B4D9AB5">
      <w:pPr>
        <w:spacing w:line="276" w:lineRule="auto"/>
        <w:rPr>
          <w:rFonts w:ascii="Times New Roman" w:hAnsi="Times New Roman"/>
          <w:iCs/>
          <w:lang w:eastAsia="zh-CN"/>
        </w:rPr>
      </w:pPr>
    </w:p>
    <w:p w14:paraId="3B34D411">
      <w:pPr>
        <w:spacing w:line="276" w:lineRule="auto"/>
        <w:rPr>
          <w:rFonts w:ascii="Times New Roman" w:hAnsi="Times New Roman"/>
          <w:iCs/>
          <w:lang w:eastAsia="zh-CN"/>
        </w:rPr>
      </w:pPr>
    </w:p>
    <w:p w14:paraId="74B8607F">
      <w:pPr>
        <w:spacing w:line="276" w:lineRule="auto"/>
        <w:jc w:val="center"/>
        <w:rPr>
          <w:rFonts w:ascii="Times New Roman" w:hAnsi="Times New Roman"/>
          <w:iCs/>
          <w:sz w:val="44"/>
          <w:szCs w:val="44"/>
          <w:lang w:eastAsia="zh-CN"/>
        </w:rPr>
      </w:pPr>
      <w:r>
        <w:rPr>
          <w:rFonts w:hint="eastAsia" w:ascii="Times New Roman" w:hAnsi="Times New Roman" w:eastAsia="宋体"/>
          <w:iCs/>
          <w:sz w:val="44"/>
          <w:szCs w:val="44"/>
          <w:lang w:eastAsia="zh-CN"/>
        </w:rPr>
        <w:t>纯碱</w:t>
      </w:r>
      <w:r>
        <w:rPr>
          <w:rFonts w:ascii="Times New Roman" w:hAnsi="Times New Roman"/>
          <w:iCs/>
          <w:sz w:val="44"/>
          <w:szCs w:val="44"/>
          <w:lang w:eastAsia="zh-CN"/>
        </w:rPr>
        <w:t>产品碳足迹报告（模板）</w:t>
      </w:r>
    </w:p>
    <w:p w14:paraId="605ADD8C">
      <w:pPr>
        <w:spacing w:line="276" w:lineRule="auto"/>
        <w:rPr>
          <w:rFonts w:ascii="Times New Roman" w:hAnsi="Times New Roman"/>
          <w:iCs/>
          <w:lang w:eastAsia="zh-CN"/>
        </w:rPr>
      </w:pPr>
    </w:p>
    <w:p w14:paraId="18F235FA">
      <w:pPr>
        <w:spacing w:line="276" w:lineRule="auto"/>
        <w:rPr>
          <w:rFonts w:ascii="Times New Roman" w:hAnsi="Times New Roman"/>
          <w:iCs/>
          <w:lang w:eastAsia="zh-CN"/>
        </w:rPr>
      </w:pPr>
    </w:p>
    <w:p w14:paraId="1F0D83CD">
      <w:pPr>
        <w:spacing w:line="276" w:lineRule="auto"/>
        <w:rPr>
          <w:rFonts w:ascii="Times New Roman" w:hAnsi="Times New Roman"/>
          <w:iCs/>
          <w:lang w:eastAsia="zh-CN"/>
        </w:rPr>
      </w:pPr>
    </w:p>
    <w:p w14:paraId="648609FD">
      <w:pPr>
        <w:spacing w:line="276" w:lineRule="auto"/>
        <w:rPr>
          <w:rFonts w:ascii="Times New Roman" w:hAnsi="Times New Roman"/>
          <w:iCs/>
          <w:lang w:eastAsia="zh-CN"/>
        </w:rPr>
      </w:pPr>
    </w:p>
    <w:p w14:paraId="053A29CC">
      <w:pPr>
        <w:spacing w:line="276" w:lineRule="auto"/>
        <w:rPr>
          <w:rFonts w:ascii="Times New Roman" w:hAnsi="Times New Roman"/>
          <w:iCs/>
          <w:lang w:eastAsia="zh-CN"/>
        </w:rPr>
      </w:pPr>
    </w:p>
    <w:p w14:paraId="23622664">
      <w:pPr>
        <w:spacing w:line="276" w:lineRule="auto"/>
        <w:rPr>
          <w:rFonts w:ascii="Times New Roman" w:hAnsi="Times New Roman"/>
          <w:iCs/>
          <w:lang w:eastAsia="zh-CN"/>
        </w:rPr>
      </w:pPr>
    </w:p>
    <w:p w14:paraId="07679569">
      <w:pPr>
        <w:spacing w:line="360" w:lineRule="auto"/>
        <w:ind w:firstLine="1600" w:firstLineChars="500"/>
        <w:rPr>
          <w:rFonts w:ascii="宋体" w:hAnsi="宋体" w:eastAsia="宋体" w:cs="宋体"/>
          <w:iCs/>
          <w:sz w:val="32"/>
          <w:szCs w:val="32"/>
          <w:u w:val="single"/>
          <w:lang w:eastAsia="zh-CN"/>
        </w:rPr>
      </w:pPr>
      <w:r>
        <w:rPr>
          <w:rFonts w:hint="eastAsia" w:ascii="宋体" w:hAnsi="宋体" w:eastAsia="宋体" w:cs="宋体"/>
          <w:iCs/>
          <w:sz w:val="32"/>
          <w:szCs w:val="32"/>
          <w:lang w:eastAsia="zh-CN"/>
        </w:rPr>
        <w:t>产品名称：</w:t>
      </w:r>
      <w:r>
        <w:rPr>
          <w:rFonts w:hint="eastAsia" w:ascii="宋体" w:hAnsi="宋体" w:eastAsia="宋体" w:cs="宋体"/>
          <w:iCs/>
          <w:sz w:val="32"/>
          <w:szCs w:val="32"/>
          <w:u w:val="single"/>
          <w:lang w:eastAsia="zh-CN"/>
        </w:rPr>
        <w:t xml:space="preserve">                              </w:t>
      </w:r>
    </w:p>
    <w:p w14:paraId="2BDB90C6">
      <w:pPr>
        <w:spacing w:line="360" w:lineRule="auto"/>
        <w:ind w:firstLine="1600" w:firstLineChars="500"/>
        <w:rPr>
          <w:rFonts w:ascii="宋体" w:hAnsi="宋体" w:eastAsia="宋体" w:cs="宋体"/>
          <w:iCs/>
          <w:sz w:val="32"/>
          <w:szCs w:val="32"/>
          <w:u w:val="single"/>
          <w:lang w:eastAsia="zh-CN"/>
        </w:rPr>
      </w:pPr>
      <w:r>
        <w:rPr>
          <w:rFonts w:hint="eastAsia" w:ascii="宋体" w:hAnsi="宋体" w:eastAsia="宋体" w:cs="宋体"/>
          <w:iCs/>
          <w:sz w:val="32"/>
          <w:szCs w:val="32"/>
          <w:lang w:eastAsia="zh-CN"/>
        </w:rPr>
        <w:t>产品规格型号：</w:t>
      </w:r>
      <w:r>
        <w:rPr>
          <w:rFonts w:hint="eastAsia" w:ascii="宋体" w:hAnsi="宋体" w:eastAsia="宋体" w:cs="宋体"/>
          <w:iCs/>
          <w:sz w:val="32"/>
          <w:szCs w:val="32"/>
          <w:u w:val="single"/>
          <w:lang w:eastAsia="zh-CN"/>
        </w:rPr>
        <w:t xml:space="preserve">                          </w:t>
      </w:r>
    </w:p>
    <w:p w14:paraId="214DB52D">
      <w:pPr>
        <w:spacing w:line="360" w:lineRule="auto"/>
        <w:ind w:firstLine="1600" w:firstLineChars="500"/>
        <w:rPr>
          <w:rFonts w:ascii="宋体" w:hAnsi="宋体" w:eastAsia="宋体" w:cs="宋体"/>
          <w:iCs/>
          <w:sz w:val="32"/>
          <w:szCs w:val="32"/>
          <w:u w:val="single"/>
          <w:lang w:eastAsia="zh-CN"/>
        </w:rPr>
      </w:pPr>
      <w:r>
        <w:rPr>
          <w:rFonts w:hint="eastAsia" w:ascii="宋体" w:hAnsi="宋体" w:eastAsia="宋体" w:cs="宋体"/>
          <w:iCs/>
          <w:sz w:val="32"/>
          <w:szCs w:val="32"/>
          <w:lang w:eastAsia="zh-CN"/>
        </w:rPr>
        <w:t>生产者名称：</w:t>
      </w:r>
      <w:r>
        <w:rPr>
          <w:rFonts w:hint="eastAsia" w:ascii="宋体" w:hAnsi="宋体" w:eastAsia="宋体" w:cs="宋体"/>
          <w:iCs/>
          <w:sz w:val="32"/>
          <w:szCs w:val="32"/>
          <w:u w:val="single"/>
          <w:lang w:eastAsia="zh-CN"/>
        </w:rPr>
        <w:t xml:space="preserve">                            </w:t>
      </w:r>
    </w:p>
    <w:p w14:paraId="3D2C507F">
      <w:pPr>
        <w:spacing w:line="360" w:lineRule="auto"/>
        <w:ind w:firstLine="1600" w:firstLineChars="500"/>
        <w:rPr>
          <w:rFonts w:ascii="宋体" w:hAnsi="宋体" w:eastAsia="宋体" w:cs="宋体"/>
          <w:iCs/>
          <w:sz w:val="32"/>
          <w:szCs w:val="32"/>
          <w:u w:val="single"/>
          <w:lang w:eastAsia="zh-CN"/>
        </w:rPr>
      </w:pPr>
      <w:r>
        <w:rPr>
          <w:rFonts w:hint="eastAsia" w:ascii="宋体" w:hAnsi="宋体" w:eastAsia="宋体" w:cs="宋体"/>
          <w:iCs/>
          <w:sz w:val="32"/>
          <w:szCs w:val="32"/>
          <w:lang w:eastAsia="zh-CN"/>
        </w:rPr>
        <w:t>报告编号：</w:t>
      </w:r>
      <w:r>
        <w:rPr>
          <w:rFonts w:hint="eastAsia" w:ascii="宋体" w:hAnsi="宋体" w:eastAsia="宋体" w:cs="宋体"/>
          <w:iCs/>
          <w:sz w:val="32"/>
          <w:szCs w:val="32"/>
          <w:u w:val="single"/>
          <w:lang w:eastAsia="zh-CN"/>
        </w:rPr>
        <w:t xml:space="preserve">                              </w:t>
      </w:r>
    </w:p>
    <w:p w14:paraId="6818E71C">
      <w:pPr>
        <w:spacing w:line="360" w:lineRule="auto"/>
        <w:rPr>
          <w:rFonts w:ascii="宋体" w:hAnsi="宋体" w:eastAsia="宋体" w:cs="宋体"/>
          <w:iCs/>
          <w:sz w:val="32"/>
          <w:szCs w:val="32"/>
          <w:lang w:eastAsia="zh-CN"/>
        </w:rPr>
      </w:pPr>
    </w:p>
    <w:p w14:paraId="1E67083F">
      <w:pPr>
        <w:spacing w:line="276" w:lineRule="auto"/>
        <w:rPr>
          <w:rFonts w:ascii="Times New Roman" w:hAnsi="Times New Roman"/>
          <w:iCs/>
          <w:sz w:val="32"/>
          <w:szCs w:val="32"/>
          <w:lang w:eastAsia="zh-CN"/>
        </w:rPr>
      </w:pPr>
    </w:p>
    <w:p w14:paraId="71B42204">
      <w:pPr>
        <w:spacing w:line="276" w:lineRule="auto"/>
        <w:rPr>
          <w:rFonts w:ascii="Times New Roman" w:hAnsi="Times New Roman"/>
          <w:iCs/>
          <w:sz w:val="32"/>
          <w:szCs w:val="32"/>
          <w:lang w:eastAsia="zh-CN"/>
        </w:rPr>
      </w:pPr>
    </w:p>
    <w:p w14:paraId="2689D815">
      <w:pPr>
        <w:spacing w:line="276" w:lineRule="auto"/>
        <w:rPr>
          <w:rFonts w:ascii="Times New Roman" w:hAnsi="Times New Roman"/>
          <w:iCs/>
          <w:sz w:val="32"/>
          <w:szCs w:val="32"/>
          <w:lang w:eastAsia="zh-CN"/>
        </w:rPr>
      </w:pPr>
    </w:p>
    <w:p w14:paraId="11337560">
      <w:pPr>
        <w:spacing w:line="276" w:lineRule="auto"/>
        <w:rPr>
          <w:rFonts w:ascii="Times New Roman" w:hAnsi="Times New Roman"/>
          <w:iCs/>
          <w:sz w:val="32"/>
          <w:szCs w:val="32"/>
          <w:lang w:eastAsia="zh-CN"/>
        </w:rPr>
      </w:pPr>
    </w:p>
    <w:p w14:paraId="7E2A8BE2">
      <w:pPr>
        <w:spacing w:line="276" w:lineRule="auto"/>
        <w:rPr>
          <w:rFonts w:ascii="Times New Roman" w:hAnsi="Times New Roman"/>
          <w:iCs/>
          <w:sz w:val="32"/>
          <w:szCs w:val="32"/>
          <w:lang w:eastAsia="zh-CN"/>
        </w:rPr>
      </w:pPr>
    </w:p>
    <w:p w14:paraId="41455D27">
      <w:pPr>
        <w:spacing w:line="276" w:lineRule="auto"/>
        <w:rPr>
          <w:rFonts w:ascii="Times New Roman" w:hAnsi="Times New Roman"/>
          <w:iCs/>
          <w:sz w:val="32"/>
          <w:szCs w:val="32"/>
          <w:lang w:eastAsia="zh-CN"/>
        </w:rPr>
      </w:pPr>
    </w:p>
    <w:p w14:paraId="1D138B58">
      <w:pPr>
        <w:spacing w:line="276" w:lineRule="auto"/>
        <w:rPr>
          <w:rFonts w:ascii="Times New Roman" w:hAnsi="Times New Roman"/>
          <w:iCs/>
          <w:sz w:val="32"/>
          <w:szCs w:val="32"/>
          <w:lang w:eastAsia="zh-CN"/>
        </w:rPr>
      </w:pPr>
    </w:p>
    <w:p w14:paraId="11D57135">
      <w:pPr>
        <w:spacing w:line="276" w:lineRule="auto"/>
        <w:rPr>
          <w:rFonts w:ascii="Times New Roman" w:hAnsi="Times New Roman"/>
          <w:iCs/>
          <w:sz w:val="32"/>
          <w:szCs w:val="32"/>
          <w:lang w:eastAsia="zh-CN"/>
        </w:rPr>
      </w:pPr>
    </w:p>
    <w:p w14:paraId="4464C79C">
      <w:pPr>
        <w:spacing w:line="276" w:lineRule="auto"/>
        <w:rPr>
          <w:rFonts w:ascii="Times New Roman" w:hAnsi="Times New Roman"/>
          <w:iCs/>
          <w:sz w:val="32"/>
          <w:szCs w:val="32"/>
          <w:lang w:eastAsia="zh-CN"/>
        </w:rPr>
      </w:pPr>
    </w:p>
    <w:p w14:paraId="694A7ED7">
      <w:pPr>
        <w:spacing w:line="276" w:lineRule="auto"/>
        <w:jc w:val="right"/>
        <w:rPr>
          <w:rFonts w:ascii="Times New Roman" w:hAnsi="Times New Roman"/>
          <w:iCs/>
          <w:sz w:val="32"/>
          <w:szCs w:val="32"/>
          <w:lang w:eastAsia="zh-CN"/>
        </w:rPr>
      </w:pPr>
      <w:r>
        <w:rPr>
          <w:rFonts w:ascii="Times New Roman" w:hAnsi="Times New Roman"/>
          <w:iCs/>
          <w:sz w:val="32"/>
          <w:szCs w:val="32"/>
          <w:lang w:eastAsia="zh-CN"/>
        </w:rPr>
        <w:t>出具报告机构：（若</w:t>
      </w:r>
      <w:r>
        <w:rPr>
          <w:rFonts w:hint="eastAsia" w:ascii="Times New Roman" w:hAnsi="Times New Roman"/>
          <w:iCs/>
          <w:sz w:val="32"/>
          <w:szCs w:val="32"/>
          <w:lang w:eastAsia="zh-CN"/>
        </w:rPr>
        <w:t>有</w:t>
      </w:r>
      <w:r>
        <w:rPr>
          <w:rFonts w:ascii="Times New Roman" w:hAnsi="Times New Roman"/>
          <w:iCs/>
          <w:sz w:val="32"/>
          <w:szCs w:val="32"/>
          <w:lang w:eastAsia="zh-CN"/>
        </w:rPr>
        <w:t>）</w:t>
      </w:r>
      <w:r>
        <w:rPr>
          <w:rFonts w:hint="eastAsia" w:ascii="Times New Roman" w:hAnsi="Times New Roman"/>
          <w:iCs/>
          <w:sz w:val="32"/>
          <w:szCs w:val="32"/>
          <w:u w:val="single"/>
          <w:lang w:eastAsia="zh-CN"/>
        </w:rPr>
        <w:t xml:space="preserve">                 </w:t>
      </w:r>
      <w:r>
        <w:rPr>
          <w:rFonts w:ascii="Times New Roman" w:hAnsi="Times New Roman"/>
          <w:iCs/>
          <w:sz w:val="32"/>
          <w:szCs w:val="32"/>
          <w:lang w:eastAsia="zh-CN"/>
        </w:rPr>
        <w:t>（盖章）</w:t>
      </w:r>
    </w:p>
    <w:p w14:paraId="69F0EFC5">
      <w:pPr>
        <w:spacing w:line="276" w:lineRule="auto"/>
        <w:jc w:val="right"/>
        <w:rPr>
          <w:rFonts w:ascii="Times New Roman" w:hAnsi="Times New Roman"/>
          <w:iCs/>
          <w:sz w:val="32"/>
          <w:szCs w:val="32"/>
          <w:lang w:eastAsia="zh-CN"/>
        </w:rPr>
      </w:pPr>
      <w:r>
        <w:rPr>
          <w:rFonts w:ascii="Times New Roman" w:hAnsi="Times New Roman"/>
          <w:iCs/>
          <w:sz w:val="32"/>
          <w:szCs w:val="32"/>
          <w:lang w:eastAsia="zh-CN"/>
        </w:rPr>
        <w:t>日期：</w:t>
      </w:r>
      <w:r>
        <w:rPr>
          <w:rFonts w:hint="eastAsia" w:ascii="Times New Roman" w:hAnsi="Times New Roman"/>
          <w:iCs/>
          <w:sz w:val="32"/>
          <w:szCs w:val="32"/>
          <w:u w:val="single"/>
          <w:lang w:eastAsia="zh-CN"/>
        </w:rPr>
        <w:t xml:space="preserve">   </w:t>
      </w:r>
      <w:r>
        <w:rPr>
          <w:rFonts w:hint="eastAsia" w:ascii="Times New Roman" w:hAnsi="Times New Roman" w:eastAsia="宋体"/>
          <w:iCs/>
          <w:sz w:val="32"/>
          <w:szCs w:val="32"/>
          <w:u w:val="single"/>
          <w:lang w:eastAsia="zh-CN"/>
        </w:rPr>
        <w:t xml:space="preserve">     </w:t>
      </w:r>
      <w:r>
        <w:rPr>
          <w:rFonts w:hint="eastAsia" w:ascii="Times New Roman" w:hAnsi="Times New Roman"/>
          <w:iCs/>
          <w:sz w:val="32"/>
          <w:szCs w:val="32"/>
          <w:u w:val="single"/>
          <w:lang w:eastAsia="zh-CN"/>
        </w:rPr>
        <w:t xml:space="preserve">  </w:t>
      </w:r>
      <w:r>
        <w:rPr>
          <w:rFonts w:ascii="Times New Roman" w:hAnsi="Times New Roman"/>
          <w:iCs/>
          <w:sz w:val="32"/>
          <w:szCs w:val="32"/>
          <w:lang w:eastAsia="zh-CN"/>
        </w:rPr>
        <w:t>年</w:t>
      </w:r>
      <w:r>
        <w:rPr>
          <w:rFonts w:hint="eastAsia" w:ascii="Times New Roman" w:hAnsi="Times New Roman"/>
          <w:iCs/>
          <w:sz w:val="32"/>
          <w:szCs w:val="32"/>
          <w:u w:val="single"/>
          <w:lang w:eastAsia="zh-CN"/>
        </w:rPr>
        <w:t xml:space="preserve">  </w:t>
      </w:r>
      <w:r>
        <w:rPr>
          <w:rFonts w:hint="eastAsia" w:ascii="Times New Roman" w:hAnsi="Times New Roman" w:eastAsia="宋体"/>
          <w:iCs/>
          <w:sz w:val="32"/>
          <w:szCs w:val="32"/>
          <w:u w:val="single"/>
          <w:lang w:eastAsia="zh-CN"/>
        </w:rPr>
        <w:t xml:space="preserve">       </w:t>
      </w:r>
      <w:r>
        <w:rPr>
          <w:rFonts w:hint="eastAsia" w:ascii="Times New Roman" w:hAnsi="Times New Roman"/>
          <w:iCs/>
          <w:sz w:val="32"/>
          <w:szCs w:val="32"/>
          <w:u w:val="single"/>
          <w:lang w:eastAsia="zh-CN"/>
        </w:rPr>
        <w:t xml:space="preserve"> </w:t>
      </w:r>
      <w:r>
        <w:rPr>
          <w:rFonts w:ascii="Times New Roman" w:hAnsi="Times New Roman"/>
          <w:iCs/>
          <w:sz w:val="32"/>
          <w:szCs w:val="32"/>
          <w:lang w:eastAsia="zh-CN"/>
        </w:rPr>
        <w:t>月</w:t>
      </w:r>
      <w:r>
        <w:rPr>
          <w:rFonts w:hint="eastAsia" w:ascii="Times New Roman" w:hAnsi="Times New Roman"/>
          <w:iCs/>
          <w:sz w:val="32"/>
          <w:szCs w:val="32"/>
          <w:u w:val="single"/>
          <w:lang w:eastAsia="zh-CN"/>
        </w:rPr>
        <w:t xml:space="preserve">  </w:t>
      </w:r>
      <w:r>
        <w:rPr>
          <w:rFonts w:hint="eastAsia" w:ascii="Times New Roman" w:hAnsi="Times New Roman" w:eastAsia="宋体"/>
          <w:iCs/>
          <w:sz w:val="32"/>
          <w:szCs w:val="32"/>
          <w:u w:val="single"/>
          <w:lang w:eastAsia="zh-CN"/>
        </w:rPr>
        <w:t xml:space="preserve">      </w:t>
      </w:r>
      <w:r>
        <w:rPr>
          <w:rFonts w:hint="eastAsia" w:ascii="Times New Roman" w:hAnsi="Times New Roman"/>
          <w:iCs/>
          <w:sz w:val="32"/>
          <w:szCs w:val="32"/>
          <w:u w:val="single"/>
          <w:lang w:eastAsia="zh-CN"/>
        </w:rPr>
        <w:t xml:space="preserve"> </w:t>
      </w:r>
      <w:r>
        <w:rPr>
          <w:rFonts w:ascii="Times New Roman" w:hAnsi="Times New Roman"/>
          <w:iCs/>
          <w:sz w:val="32"/>
          <w:szCs w:val="32"/>
          <w:lang w:eastAsia="zh-CN"/>
        </w:rPr>
        <w:t>日</w:t>
      </w:r>
    </w:p>
    <w:p w14:paraId="5B2B4775">
      <w:pPr>
        <w:spacing w:line="276" w:lineRule="auto"/>
        <w:rPr>
          <w:rFonts w:ascii="Times New Roman" w:hAnsi="Times New Roman"/>
          <w:iCs/>
          <w:sz w:val="32"/>
          <w:szCs w:val="32"/>
          <w:lang w:eastAsia="zh-CN"/>
        </w:rPr>
      </w:pPr>
    </w:p>
    <w:p w14:paraId="26614D1D">
      <w:pPr>
        <w:spacing w:line="276" w:lineRule="auto"/>
        <w:rPr>
          <w:rFonts w:ascii="Times New Roman" w:hAnsi="Times New Roman"/>
          <w:iCs/>
          <w:sz w:val="32"/>
          <w:szCs w:val="32"/>
          <w:lang w:eastAsia="zh-CN"/>
        </w:rPr>
      </w:pPr>
    </w:p>
    <w:p w14:paraId="7DD823CE">
      <w:pPr>
        <w:spacing w:line="600" w:lineRule="auto"/>
        <w:rPr>
          <w:rFonts w:ascii="Times New Roman" w:hAnsi="Times New Roman" w:eastAsia="黑体"/>
          <w:iCs/>
          <w:lang w:eastAsia="zh-CN"/>
        </w:rPr>
      </w:pPr>
      <w:r>
        <w:rPr>
          <w:rFonts w:ascii="Times New Roman" w:hAnsi="Times New Roman" w:eastAsia="黑体"/>
          <w:iCs/>
          <w:lang w:eastAsia="zh-CN"/>
        </w:rPr>
        <w:t>一、概况</w:t>
      </w:r>
    </w:p>
    <w:p w14:paraId="67E2809B">
      <w:pPr>
        <w:spacing w:line="600" w:lineRule="auto"/>
        <w:rPr>
          <w:rFonts w:ascii="Times New Roman" w:hAnsi="Times New Roman" w:eastAsia="黑体"/>
          <w:iCs/>
          <w:lang w:eastAsia="zh-CN"/>
        </w:rPr>
      </w:pPr>
      <w:r>
        <w:rPr>
          <w:rFonts w:ascii="Times New Roman" w:hAnsi="Times New Roman" w:eastAsia="黑体"/>
          <w:iCs/>
          <w:lang w:eastAsia="zh-CN"/>
        </w:rPr>
        <w:t>1、生产者信息</w:t>
      </w:r>
    </w:p>
    <w:p w14:paraId="776CB45D">
      <w:pPr>
        <w:spacing w:line="276" w:lineRule="auto"/>
        <w:rPr>
          <w:rFonts w:ascii="Times New Roman" w:hAnsi="Times New Roman"/>
          <w:iCs/>
          <w:u w:val="single"/>
          <w:lang w:eastAsia="zh-CN"/>
        </w:rPr>
      </w:pPr>
      <w:r>
        <w:rPr>
          <w:rFonts w:ascii="Times New Roman" w:hAnsi="Times New Roman"/>
          <w:iCs/>
          <w:lang w:eastAsia="zh-CN"/>
        </w:rPr>
        <w:t>生</w:t>
      </w:r>
      <w:r>
        <w:rPr>
          <w:rFonts w:hint="eastAsia" w:ascii="Times New Roman" w:hAnsi="Times New Roman"/>
          <w:iCs/>
          <w:lang w:eastAsia="zh-CN"/>
        </w:rPr>
        <w:t xml:space="preserve"> </w:t>
      </w:r>
      <w:r>
        <w:rPr>
          <w:rFonts w:ascii="Times New Roman" w:hAnsi="Times New Roman"/>
          <w:iCs/>
          <w:lang w:eastAsia="zh-CN"/>
        </w:rPr>
        <w:t>产</w:t>
      </w:r>
      <w:r>
        <w:rPr>
          <w:rFonts w:hint="eastAsia" w:ascii="Times New Roman" w:hAnsi="Times New Roman"/>
          <w:iCs/>
          <w:lang w:eastAsia="zh-CN"/>
        </w:rPr>
        <w:t xml:space="preserve"> </w:t>
      </w:r>
      <w:r>
        <w:rPr>
          <w:rFonts w:ascii="Times New Roman" w:hAnsi="Times New Roman"/>
          <w:iCs/>
          <w:lang w:eastAsia="zh-CN"/>
        </w:rPr>
        <w:t>者</w:t>
      </w:r>
      <w:r>
        <w:rPr>
          <w:rFonts w:hint="eastAsia" w:ascii="Times New Roman" w:hAnsi="Times New Roman"/>
          <w:iCs/>
          <w:lang w:eastAsia="zh-CN"/>
        </w:rPr>
        <w:t xml:space="preserve"> </w:t>
      </w:r>
      <w:r>
        <w:rPr>
          <w:rFonts w:ascii="Times New Roman" w:hAnsi="Times New Roman"/>
          <w:iCs/>
          <w:lang w:eastAsia="zh-CN"/>
        </w:rPr>
        <w:t>名</w:t>
      </w:r>
      <w:r>
        <w:rPr>
          <w:rFonts w:hint="eastAsia" w:ascii="Times New Roman" w:hAnsi="Times New Roman"/>
          <w:iCs/>
          <w:lang w:eastAsia="zh-CN"/>
        </w:rPr>
        <w:t xml:space="preserve"> </w:t>
      </w:r>
      <w:r>
        <w:rPr>
          <w:rFonts w:ascii="Times New Roman" w:hAnsi="Times New Roman"/>
          <w:iCs/>
          <w:lang w:eastAsia="zh-CN"/>
        </w:rPr>
        <w:t>称：</w:t>
      </w:r>
      <w:r>
        <w:rPr>
          <w:rFonts w:hint="eastAsia" w:ascii="Times New Roman" w:hAnsi="Times New Roman"/>
          <w:iCs/>
          <w:u w:val="single"/>
          <w:lang w:eastAsia="zh-CN"/>
        </w:rPr>
        <w:t xml:space="preserve">                               </w:t>
      </w:r>
    </w:p>
    <w:p w14:paraId="20504FDE">
      <w:pPr>
        <w:spacing w:line="276" w:lineRule="auto"/>
        <w:rPr>
          <w:rFonts w:ascii="Times New Roman" w:hAnsi="Times New Roman"/>
          <w:iCs/>
          <w:u w:val="single"/>
          <w:lang w:eastAsia="zh-CN"/>
        </w:rPr>
      </w:pPr>
      <w:r>
        <w:rPr>
          <w:rFonts w:ascii="Times New Roman" w:hAnsi="Times New Roman"/>
          <w:iCs/>
          <w:lang w:eastAsia="zh-CN"/>
        </w:rPr>
        <w:t>地</w:t>
      </w:r>
      <w:r>
        <w:rPr>
          <w:rFonts w:hint="eastAsia" w:ascii="Times New Roman" w:hAnsi="Times New Roman"/>
          <w:iCs/>
          <w:lang w:eastAsia="zh-CN"/>
        </w:rPr>
        <w:t xml:space="preserve">          </w:t>
      </w:r>
      <w:r>
        <w:rPr>
          <w:rFonts w:ascii="Times New Roman" w:hAnsi="Times New Roman"/>
          <w:iCs/>
          <w:lang w:eastAsia="zh-CN"/>
        </w:rPr>
        <w:t>址：</w:t>
      </w:r>
      <w:r>
        <w:rPr>
          <w:rFonts w:hint="eastAsia" w:ascii="Times New Roman" w:hAnsi="Times New Roman"/>
          <w:iCs/>
          <w:u w:val="single"/>
          <w:lang w:eastAsia="zh-CN"/>
        </w:rPr>
        <w:t xml:space="preserve">                               </w:t>
      </w:r>
    </w:p>
    <w:p w14:paraId="4414C9B2">
      <w:pPr>
        <w:spacing w:line="276" w:lineRule="auto"/>
        <w:rPr>
          <w:rFonts w:ascii="Times New Roman" w:hAnsi="Times New Roman"/>
          <w:iCs/>
          <w:u w:val="single"/>
          <w:lang w:eastAsia="zh-CN"/>
        </w:rPr>
      </w:pPr>
      <w:r>
        <w:rPr>
          <w:rFonts w:ascii="Times New Roman" w:hAnsi="Times New Roman"/>
          <w:iCs/>
          <w:lang w:eastAsia="zh-CN"/>
        </w:rPr>
        <w:t>法</w:t>
      </w:r>
      <w:r>
        <w:rPr>
          <w:rFonts w:hint="eastAsia" w:ascii="Times New Roman" w:hAnsi="Times New Roman"/>
          <w:iCs/>
          <w:lang w:eastAsia="zh-CN"/>
        </w:rPr>
        <w:t xml:space="preserve"> </w:t>
      </w:r>
      <w:r>
        <w:rPr>
          <w:rFonts w:ascii="Times New Roman" w:hAnsi="Times New Roman"/>
          <w:iCs/>
          <w:lang w:eastAsia="zh-CN"/>
        </w:rPr>
        <w:t>定</w:t>
      </w:r>
      <w:r>
        <w:rPr>
          <w:rFonts w:hint="eastAsia" w:ascii="Times New Roman" w:hAnsi="Times New Roman"/>
          <w:iCs/>
          <w:lang w:eastAsia="zh-CN"/>
        </w:rPr>
        <w:t xml:space="preserve"> </w:t>
      </w:r>
      <w:r>
        <w:rPr>
          <w:rFonts w:ascii="Times New Roman" w:hAnsi="Times New Roman"/>
          <w:iCs/>
          <w:lang w:eastAsia="zh-CN"/>
        </w:rPr>
        <w:t>代</w:t>
      </w:r>
      <w:r>
        <w:rPr>
          <w:rFonts w:hint="eastAsia" w:ascii="Times New Roman" w:hAnsi="Times New Roman"/>
          <w:iCs/>
          <w:lang w:eastAsia="zh-CN"/>
        </w:rPr>
        <w:t xml:space="preserve"> </w:t>
      </w:r>
      <w:r>
        <w:rPr>
          <w:rFonts w:ascii="Times New Roman" w:hAnsi="Times New Roman"/>
          <w:iCs/>
          <w:lang w:eastAsia="zh-CN"/>
        </w:rPr>
        <w:t>表</w:t>
      </w:r>
      <w:r>
        <w:rPr>
          <w:rFonts w:hint="eastAsia" w:ascii="Times New Roman" w:hAnsi="Times New Roman"/>
          <w:iCs/>
          <w:lang w:eastAsia="zh-CN"/>
        </w:rPr>
        <w:t xml:space="preserve"> </w:t>
      </w:r>
      <w:r>
        <w:rPr>
          <w:rFonts w:ascii="Times New Roman" w:hAnsi="Times New Roman"/>
          <w:iCs/>
          <w:lang w:eastAsia="zh-CN"/>
        </w:rPr>
        <w:t>人：</w:t>
      </w:r>
      <w:r>
        <w:rPr>
          <w:rFonts w:hint="eastAsia" w:ascii="Times New Roman" w:hAnsi="Times New Roman"/>
          <w:iCs/>
          <w:u w:val="single"/>
          <w:lang w:eastAsia="zh-CN"/>
        </w:rPr>
        <w:t xml:space="preserve">                               </w:t>
      </w:r>
    </w:p>
    <w:p w14:paraId="6C8A8788">
      <w:pPr>
        <w:spacing w:line="276" w:lineRule="auto"/>
        <w:rPr>
          <w:rFonts w:ascii="Times New Roman" w:hAnsi="Times New Roman"/>
          <w:iCs/>
          <w:u w:val="single"/>
          <w:lang w:eastAsia="zh-CN"/>
        </w:rPr>
      </w:pPr>
      <w:r>
        <w:rPr>
          <w:rFonts w:ascii="Times New Roman" w:hAnsi="Times New Roman"/>
          <w:iCs/>
          <w:lang w:eastAsia="zh-CN"/>
        </w:rPr>
        <w:t>授权人</w:t>
      </w:r>
      <w:r>
        <w:rPr>
          <w:rFonts w:hint="eastAsia" w:ascii="Times New Roman" w:hAnsi="Times New Roman"/>
          <w:iCs/>
          <w:lang w:eastAsia="zh-CN"/>
        </w:rPr>
        <w:t>(</w:t>
      </w:r>
      <w:r>
        <w:rPr>
          <w:rFonts w:ascii="Times New Roman" w:hAnsi="Times New Roman"/>
          <w:iCs/>
          <w:lang w:eastAsia="zh-CN"/>
        </w:rPr>
        <w:t>联系人</w:t>
      </w:r>
      <w:r>
        <w:rPr>
          <w:rFonts w:hint="eastAsia" w:ascii="Times New Roman" w:hAnsi="Times New Roman" w:eastAsia="宋体"/>
          <w:iCs/>
          <w:lang w:eastAsia="zh-CN"/>
        </w:rPr>
        <w:t>）</w:t>
      </w:r>
      <w:r>
        <w:rPr>
          <w:rFonts w:ascii="Times New Roman" w:hAnsi="Times New Roman"/>
          <w:iCs/>
          <w:lang w:eastAsia="zh-CN"/>
        </w:rPr>
        <w:t>：</w:t>
      </w:r>
      <w:r>
        <w:rPr>
          <w:rFonts w:hint="eastAsia" w:ascii="Times New Roman" w:hAnsi="Times New Roman"/>
          <w:iCs/>
          <w:u w:val="single"/>
          <w:lang w:eastAsia="zh-CN"/>
        </w:rPr>
        <w:t xml:space="preserve">                               </w:t>
      </w:r>
    </w:p>
    <w:p w14:paraId="197E4C64">
      <w:pPr>
        <w:spacing w:line="276" w:lineRule="auto"/>
        <w:rPr>
          <w:rFonts w:ascii="Times New Roman" w:hAnsi="Times New Roman"/>
          <w:iCs/>
          <w:u w:val="single"/>
          <w:lang w:eastAsia="zh-CN"/>
        </w:rPr>
      </w:pPr>
      <w:r>
        <w:rPr>
          <w:rFonts w:ascii="Times New Roman" w:hAnsi="Times New Roman"/>
          <w:iCs/>
          <w:lang w:eastAsia="zh-CN"/>
        </w:rPr>
        <w:t>联</w:t>
      </w:r>
      <w:r>
        <w:rPr>
          <w:rFonts w:hint="eastAsia" w:ascii="Times New Roman" w:hAnsi="Times New Roman"/>
          <w:iCs/>
          <w:lang w:eastAsia="zh-CN"/>
        </w:rPr>
        <w:t xml:space="preserve">  </w:t>
      </w:r>
      <w:r>
        <w:rPr>
          <w:rFonts w:ascii="Times New Roman" w:hAnsi="Times New Roman"/>
          <w:iCs/>
          <w:lang w:eastAsia="zh-CN"/>
        </w:rPr>
        <w:t>系</w:t>
      </w:r>
      <w:r>
        <w:rPr>
          <w:rFonts w:hint="eastAsia" w:ascii="Times New Roman" w:hAnsi="Times New Roman"/>
          <w:iCs/>
          <w:lang w:eastAsia="zh-CN"/>
        </w:rPr>
        <w:t xml:space="preserve">  </w:t>
      </w:r>
      <w:r>
        <w:rPr>
          <w:rFonts w:ascii="Times New Roman" w:hAnsi="Times New Roman"/>
          <w:iCs/>
          <w:lang w:eastAsia="zh-CN"/>
        </w:rPr>
        <w:t>电</w:t>
      </w:r>
      <w:r>
        <w:rPr>
          <w:rFonts w:hint="eastAsia" w:ascii="Times New Roman" w:hAnsi="Times New Roman"/>
          <w:iCs/>
          <w:lang w:eastAsia="zh-CN"/>
        </w:rPr>
        <w:t xml:space="preserve">  </w:t>
      </w:r>
      <w:r>
        <w:rPr>
          <w:rFonts w:ascii="Times New Roman" w:hAnsi="Times New Roman"/>
          <w:iCs/>
          <w:lang w:eastAsia="zh-CN"/>
        </w:rPr>
        <w:t>话：</w:t>
      </w:r>
      <w:r>
        <w:rPr>
          <w:rFonts w:hint="eastAsia" w:ascii="Times New Roman" w:hAnsi="Times New Roman"/>
          <w:iCs/>
          <w:u w:val="single"/>
          <w:lang w:eastAsia="zh-CN"/>
        </w:rPr>
        <w:t xml:space="preserve">                               </w:t>
      </w:r>
    </w:p>
    <w:p w14:paraId="1D456608">
      <w:pPr>
        <w:spacing w:line="276" w:lineRule="auto"/>
        <w:rPr>
          <w:rFonts w:ascii="Times New Roman" w:hAnsi="Times New Roman"/>
          <w:iCs/>
          <w:u w:val="single"/>
          <w:lang w:eastAsia="zh-CN"/>
        </w:rPr>
      </w:pPr>
      <w:r>
        <w:rPr>
          <w:rFonts w:ascii="Times New Roman" w:hAnsi="Times New Roman"/>
          <w:iCs/>
          <w:lang w:eastAsia="zh-CN"/>
        </w:rPr>
        <w:t>企</w:t>
      </w:r>
      <w:r>
        <w:rPr>
          <w:rFonts w:hint="eastAsia" w:ascii="Times New Roman" w:hAnsi="Times New Roman"/>
          <w:iCs/>
          <w:lang w:eastAsia="zh-CN"/>
        </w:rPr>
        <w:t xml:space="preserve">  </w:t>
      </w:r>
      <w:r>
        <w:rPr>
          <w:rFonts w:ascii="Times New Roman" w:hAnsi="Times New Roman"/>
          <w:iCs/>
          <w:lang w:eastAsia="zh-CN"/>
        </w:rPr>
        <w:t>业</w:t>
      </w:r>
      <w:r>
        <w:rPr>
          <w:rFonts w:hint="eastAsia" w:ascii="Times New Roman" w:hAnsi="Times New Roman"/>
          <w:iCs/>
          <w:lang w:eastAsia="zh-CN"/>
        </w:rPr>
        <w:t xml:space="preserve">  </w:t>
      </w:r>
      <w:r>
        <w:rPr>
          <w:rFonts w:ascii="Times New Roman" w:hAnsi="Times New Roman"/>
          <w:iCs/>
          <w:lang w:eastAsia="zh-CN"/>
        </w:rPr>
        <w:t>概</w:t>
      </w:r>
      <w:r>
        <w:rPr>
          <w:rFonts w:hint="eastAsia" w:ascii="Times New Roman" w:hAnsi="Times New Roman"/>
          <w:iCs/>
          <w:lang w:eastAsia="zh-CN"/>
        </w:rPr>
        <w:t xml:space="preserve">  </w:t>
      </w:r>
      <w:r>
        <w:rPr>
          <w:rFonts w:ascii="Times New Roman" w:hAnsi="Times New Roman"/>
          <w:iCs/>
          <w:lang w:eastAsia="zh-CN"/>
        </w:rPr>
        <w:t>况：</w:t>
      </w:r>
      <w:r>
        <w:rPr>
          <w:rFonts w:hint="eastAsia" w:ascii="Times New Roman" w:hAnsi="Times New Roman"/>
          <w:iCs/>
          <w:u w:val="single"/>
          <w:lang w:eastAsia="zh-CN"/>
        </w:rPr>
        <w:t xml:space="preserve">                               </w:t>
      </w:r>
    </w:p>
    <w:p w14:paraId="0A68023F">
      <w:pPr>
        <w:spacing w:line="600" w:lineRule="auto"/>
        <w:rPr>
          <w:rFonts w:ascii="Times New Roman" w:hAnsi="Times New Roman" w:eastAsia="黑体"/>
          <w:iCs/>
          <w:lang w:eastAsia="zh-CN"/>
        </w:rPr>
      </w:pPr>
      <w:r>
        <w:rPr>
          <w:rFonts w:ascii="Times New Roman" w:hAnsi="Times New Roman" w:eastAsia="黑体"/>
          <w:iCs/>
          <w:lang w:eastAsia="zh-CN"/>
        </w:rPr>
        <w:t>2、产品信息</w:t>
      </w:r>
    </w:p>
    <w:p w14:paraId="532AED59">
      <w:pPr>
        <w:spacing w:line="276" w:lineRule="auto"/>
        <w:rPr>
          <w:rFonts w:ascii="Times New Roman" w:hAnsi="Times New Roman"/>
          <w:iCs/>
          <w:u w:val="single"/>
          <w:lang w:eastAsia="zh-CN"/>
        </w:rPr>
      </w:pPr>
      <w:r>
        <w:rPr>
          <w:rFonts w:ascii="Times New Roman" w:hAnsi="Times New Roman"/>
          <w:iCs/>
          <w:lang w:eastAsia="zh-CN"/>
        </w:rPr>
        <w:t>产</w:t>
      </w:r>
      <w:r>
        <w:rPr>
          <w:rFonts w:hint="eastAsia" w:ascii="Times New Roman" w:hAnsi="Times New Roman"/>
          <w:iCs/>
          <w:lang w:eastAsia="zh-CN"/>
        </w:rPr>
        <w:t xml:space="preserve">  </w:t>
      </w:r>
      <w:r>
        <w:rPr>
          <w:rFonts w:ascii="Times New Roman" w:hAnsi="Times New Roman"/>
          <w:iCs/>
          <w:lang w:eastAsia="zh-CN"/>
        </w:rPr>
        <w:t>品</w:t>
      </w:r>
      <w:r>
        <w:rPr>
          <w:rFonts w:hint="eastAsia" w:ascii="Times New Roman" w:hAnsi="Times New Roman"/>
          <w:iCs/>
          <w:lang w:eastAsia="zh-CN"/>
        </w:rPr>
        <w:t xml:space="preserve">  </w:t>
      </w:r>
      <w:r>
        <w:rPr>
          <w:rFonts w:ascii="Times New Roman" w:hAnsi="Times New Roman"/>
          <w:iCs/>
          <w:lang w:eastAsia="zh-CN"/>
        </w:rPr>
        <w:t>名</w:t>
      </w:r>
      <w:r>
        <w:rPr>
          <w:rFonts w:hint="eastAsia" w:ascii="Times New Roman" w:hAnsi="Times New Roman"/>
          <w:iCs/>
          <w:lang w:eastAsia="zh-CN"/>
        </w:rPr>
        <w:t xml:space="preserve">  </w:t>
      </w:r>
      <w:r>
        <w:rPr>
          <w:rFonts w:ascii="Times New Roman" w:hAnsi="Times New Roman"/>
          <w:iCs/>
          <w:lang w:eastAsia="zh-CN"/>
        </w:rPr>
        <w:t>称：</w:t>
      </w:r>
      <w:r>
        <w:rPr>
          <w:rFonts w:hint="eastAsia" w:ascii="Times New Roman" w:hAnsi="Times New Roman"/>
          <w:iCs/>
          <w:u w:val="single"/>
          <w:lang w:eastAsia="zh-CN"/>
        </w:rPr>
        <w:t xml:space="preserve">                               </w:t>
      </w:r>
    </w:p>
    <w:p w14:paraId="30E04D98">
      <w:pPr>
        <w:spacing w:line="276" w:lineRule="auto"/>
        <w:rPr>
          <w:rFonts w:ascii="Times New Roman" w:hAnsi="Times New Roman"/>
          <w:iCs/>
          <w:u w:val="single"/>
          <w:lang w:eastAsia="zh-CN"/>
        </w:rPr>
      </w:pPr>
      <w:r>
        <w:rPr>
          <w:rFonts w:ascii="Times New Roman" w:hAnsi="Times New Roman"/>
          <w:iCs/>
          <w:lang w:eastAsia="zh-CN"/>
        </w:rPr>
        <w:t>产</w:t>
      </w:r>
      <w:r>
        <w:rPr>
          <w:rFonts w:hint="eastAsia" w:ascii="Times New Roman" w:hAnsi="Times New Roman"/>
          <w:iCs/>
          <w:lang w:eastAsia="zh-CN"/>
        </w:rPr>
        <w:t xml:space="preserve">  </w:t>
      </w:r>
      <w:r>
        <w:rPr>
          <w:rFonts w:ascii="Times New Roman" w:hAnsi="Times New Roman"/>
          <w:iCs/>
          <w:lang w:eastAsia="zh-CN"/>
        </w:rPr>
        <w:t>品</w:t>
      </w:r>
      <w:r>
        <w:rPr>
          <w:rFonts w:hint="eastAsia" w:ascii="Times New Roman" w:hAnsi="Times New Roman"/>
          <w:iCs/>
          <w:lang w:eastAsia="zh-CN"/>
        </w:rPr>
        <w:t xml:space="preserve">  功  能</w:t>
      </w:r>
      <w:r>
        <w:rPr>
          <w:rFonts w:ascii="Times New Roman" w:hAnsi="Times New Roman"/>
          <w:iCs/>
          <w:lang w:eastAsia="zh-CN"/>
        </w:rPr>
        <w:t>：</w:t>
      </w:r>
      <w:r>
        <w:rPr>
          <w:rFonts w:hint="eastAsia" w:ascii="Times New Roman" w:hAnsi="Times New Roman"/>
          <w:iCs/>
          <w:u w:val="single"/>
          <w:lang w:eastAsia="zh-CN"/>
        </w:rPr>
        <w:t xml:space="preserve">                               </w:t>
      </w:r>
    </w:p>
    <w:p w14:paraId="280D8707">
      <w:pPr>
        <w:spacing w:line="276" w:lineRule="auto"/>
        <w:rPr>
          <w:rFonts w:ascii="Times New Roman" w:hAnsi="Times New Roman"/>
          <w:iCs/>
          <w:u w:val="single"/>
          <w:lang w:eastAsia="zh-CN"/>
        </w:rPr>
      </w:pPr>
      <w:r>
        <w:rPr>
          <w:rFonts w:ascii="Times New Roman" w:hAnsi="Times New Roman"/>
          <w:iCs/>
          <w:lang w:eastAsia="zh-CN"/>
        </w:rPr>
        <w:t>产</w:t>
      </w:r>
      <w:r>
        <w:rPr>
          <w:rFonts w:hint="eastAsia" w:ascii="Times New Roman" w:hAnsi="Times New Roman"/>
          <w:iCs/>
          <w:lang w:eastAsia="zh-CN"/>
        </w:rPr>
        <w:t xml:space="preserve">  </w:t>
      </w:r>
      <w:r>
        <w:rPr>
          <w:rFonts w:ascii="Times New Roman" w:hAnsi="Times New Roman"/>
          <w:iCs/>
          <w:lang w:eastAsia="zh-CN"/>
        </w:rPr>
        <w:t>品</w:t>
      </w:r>
      <w:r>
        <w:rPr>
          <w:rFonts w:hint="eastAsia" w:ascii="Times New Roman" w:hAnsi="Times New Roman"/>
          <w:iCs/>
          <w:lang w:eastAsia="zh-CN"/>
        </w:rPr>
        <w:t xml:space="preserve">  </w:t>
      </w:r>
      <w:r>
        <w:rPr>
          <w:rFonts w:ascii="Times New Roman" w:hAnsi="Times New Roman"/>
          <w:iCs/>
          <w:lang w:eastAsia="zh-CN"/>
        </w:rPr>
        <w:t>介</w:t>
      </w:r>
      <w:r>
        <w:rPr>
          <w:rFonts w:hint="eastAsia" w:ascii="Times New Roman" w:hAnsi="Times New Roman"/>
          <w:iCs/>
          <w:lang w:eastAsia="zh-CN"/>
        </w:rPr>
        <w:t xml:space="preserve">  </w:t>
      </w:r>
      <w:r>
        <w:rPr>
          <w:rFonts w:ascii="Times New Roman" w:hAnsi="Times New Roman"/>
          <w:iCs/>
          <w:lang w:eastAsia="zh-CN"/>
        </w:rPr>
        <w:t>绍：</w:t>
      </w:r>
      <w:r>
        <w:rPr>
          <w:rFonts w:hint="eastAsia" w:ascii="Times New Roman" w:hAnsi="Times New Roman"/>
          <w:iCs/>
          <w:u w:val="single"/>
          <w:lang w:eastAsia="zh-CN"/>
        </w:rPr>
        <w:t xml:space="preserve">                               </w:t>
      </w:r>
    </w:p>
    <w:p w14:paraId="2A01E3F9">
      <w:pPr>
        <w:spacing w:line="276" w:lineRule="auto"/>
        <w:rPr>
          <w:rFonts w:ascii="Times New Roman" w:hAnsi="Times New Roman"/>
          <w:iCs/>
          <w:u w:val="single"/>
          <w:lang w:eastAsia="zh-CN"/>
        </w:rPr>
      </w:pPr>
      <w:r>
        <w:rPr>
          <w:rFonts w:ascii="Times New Roman" w:hAnsi="Times New Roman"/>
          <w:iCs/>
          <w:lang w:eastAsia="zh-CN"/>
        </w:rPr>
        <w:t>产</w:t>
      </w:r>
      <w:r>
        <w:rPr>
          <w:rFonts w:hint="eastAsia" w:ascii="Times New Roman" w:hAnsi="Times New Roman"/>
          <w:iCs/>
          <w:lang w:eastAsia="zh-CN"/>
        </w:rPr>
        <w:t xml:space="preserve">  </w:t>
      </w:r>
      <w:r>
        <w:rPr>
          <w:rFonts w:ascii="Times New Roman" w:hAnsi="Times New Roman"/>
          <w:iCs/>
          <w:lang w:eastAsia="zh-CN"/>
        </w:rPr>
        <w:t>品</w:t>
      </w:r>
      <w:r>
        <w:rPr>
          <w:rFonts w:hint="eastAsia" w:ascii="Times New Roman" w:hAnsi="Times New Roman"/>
          <w:iCs/>
          <w:lang w:eastAsia="zh-CN"/>
        </w:rPr>
        <w:t xml:space="preserve">  </w:t>
      </w:r>
      <w:r>
        <w:rPr>
          <w:rFonts w:ascii="Times New Roman" w:hAnsi="Times New Roman"/>
          <w:iCs/>
          <w:lang w:eastAsia="zh-CN"/>
        </w:rPr>
        <w:t>图</w:t>
      </w:r>
      <w:r>
        <w:rPr>
          <w:rFonts w:hint="eastAsia" w:ascii="Times New Roman" w:hAnsi="Times New Roman"/>
          <w:iCs/>
          <w:lang w:eastAsia="zh-CN"/>
        </w:rPr>
        <w:t xml:space="preserve">  </w:t>
      </w:r>
      <w:r>
        <w:rPr>
          <w:rFonts w:ascii="Times New Roman" w:hAnsi="Times New Roman"/>
          <w:iCs/>
          <w:lang w:eastAsia="zh-CN"/>
        </w:rPr>
        <w:t>片：</w:t>
      </w:r>
      <w:r>
        <w:rPr>
          <w:rFonts w:hint="eastAsia" w:ascii="Times New Roman" w:hAnsi="Times New Roman"/>
          <w:iCs/>
          <w:u w:val="single"/>
          <w:lang w:eastAsia="zh-CN"/>
        </w:rPr>
        <w:t xml:space="preserve">                               </w:t>
      </w:r>
    </w:p>
    <w:p w14:paraId="2593856D">
      <w:pPr>
        <w:spacing w:line="600" w:lineRule="auto"/>
        <w:rPr>
          <w:rFonts w:ascii="Times New Roman" w:hAnsi="Times New Roman" w:eastAsia="黑体"/>
          <w:iCs/>
          <w:lang w:eastAsia="zh-CN"/>
        </w:rPr>
      </w:pPr>
      <w:r>
        <w:rPr>
          <w:rFonts w:ascii="Times New Roman" w:hAnsi="Times New Roman" w:eastAsia="黑体"/>
          <w:iCs/>
          <w:lang w:eastAsia="zh-CN"/>
        </w:rPr>
        <w:t>3、量化方法</w:t>
      </w:r>
    </w:p>
    <w:p w14:paraId="27726264">
      <w:pPr>
        <w:spacing w:line="276" w:lineRule="auto"/>
        <w:rPr>
          <w:rFonts w:ascii="Times New Roman" w:hAnsi="Times New Roman"/>
          <w:iCs/>
          <w:u w:val="single"/>
          <w:lang w:eastAsia="zh-CN"/>
        </w:rPr>
      </w:pPr>
      <w:r>
        <w:rPr>
          <w:rFonts w:ascii="Times New Roman" w:hAnsi="Times New Roman"/>
          <w:iCs/>
          <w:lang w:eastAsia="zh-CN"/>
        </w:rPr>
        <w:t>依</w:t>
      </w:r>
      <w:r>
        <w:rPr>
          <w:rFonts w:hint="eastAsia" w:ascii="Times New Roman" w:hAnsi="Times New Roman"/>
          <w:iCs/>
          <w:lang w:eastAsia="zh-CN"/>
        </w:rPr>
        <w:t xml:space="preserve">  </w:t>
      </w:r>
      <w:r>
        <w:rPr>
          <w:rFonts w:ascii="Times New Roman" w:hAnsi="Times New Roman"/>
          <w:iCs/>
          <w:lang w:eastAsia="zh-CN"/>
        </w:rPr>
        <w:t>据</w:t>
      </w:r>
      <w:r>
        <w:rPr>
          <w:rFonts w:hint="eastAsia" w:ascii="Times New Roman" w:hAnsi="Times New Roman"/>
          <w:iCs/>
          <w:lang w:eastAsia="zh-CN"/>
        </w:rPr>
        <w:t xml:space="preserve">  </w:t>
      </w:r>
      <w:r>
        <w:rPr>
          <w:rFonts w:ascii="Times New Roman" w:hAnsi="Times New Roman"/>
          <w:iCs/>
          <w:lang w:eastAsia="zh-CN"/>
        </w:rPr>
        <w:t>标</w:t>
      </w:r>
      <w:r>
        <w:rPr>
          <w:rFonts w:hint="eastAsia" w:ascii="Times New Roman" w:hAnsi="Times New Roman"/>
          <w:iCs/>
          <w:lang w:eastAsia="zh-CN"/>
        </w:rPr>
        <w:t xml:space="preserve">  </w:t>
      </w:r>
      <w:r>
        <w:rPr>
          <w:rFonts w:ascii="Times New Roman" w:hAnsi="Times New Roman"/>
          <w:iCs/>
          <w:lang w:eastAsia="zh-CN"/>
        </w:rPr>
        <w:t>准：</w:t>
      </w:r>
      <w:r>
        <w:rPr>
          <w:rFonts w:hint="eastAsia" w:ascii="Times New Roman" w:hAnsi="Times New Roman"/>
          <w:iCs/>
          <w:u w:val="single"/>
          <w:lang w:eastAsia="zh-CN"/>
        </w:rPr>
        <w:t xml:space="preserve">                               </w:t>
      </w:r>
    </w:p>
    <w:p w14:paraId="6A356E37">
      <w:pPr>
        <w:spacing w:line="600" w:lineRule="auto"/>
        <w:rPr>
          <w:rFonts w:ascii="Times New Roman" w:hAnsi="Times New Roman" w:eastAsia="黑体"/>
          <w:iCs/>
          <w:lang w:eastAsia="zh-CN"/>
        </w:rPr>
      </w:pPr>
      <w:r>
        <w:rPr>
          <w:rFonts w:ascii="Times New Roman" w:hAnsi="Times New Roman" w:eastAsia="黑体"/>
          <w:iCs/>
          <w:lang w:eastAsia="zh-CN"/>
        </w:rPr>
        <w:t>二、量化目的</w:t>
      </w:r>
    </w:p>
    <w:p w14:paraId="1ED236A8">
      <w:pPr>
        <w:spacing w:line="276" w:lineRule="auto"/>
        <w:rPr>
          <w:rFonts w:ascii="Times New Roman" w:hAnsi="Times New Roman"/>
          <w:iCs/>
          <w:u w:val="single"/>
          <w:lang w:eastAsia="zh-CN"/>
        </w:rPr>
      </w:pPr>
      <w:r>
        <w:rPr>
          <w:rFonts w:hint="eastAsia" w:ascii="Times New Roman" w:hAnsi="Times New Roman"/>
          <w:iCs/>
          <w:u w:val="single"/>
          <w:lang w:eastAsia="zh-CN"/>
        </w:rPr>
        <w:t xml:space="preserve">                                                                                            </w:t>
      </w:r>
    </w:p>
    <w:p w14:paraId="01879C7C">
      <w:pPr>
        <w:spacing w:line="600" w:lineRule="auto"/>
        <w:rPr>
          <w:rFonts w:ascii="Times New Roman" w:hAnsi="Times New Roman" w:eastAsia="黑体"/>
          <w:iCs/>
          <w:lang w:eastAsia="zh-CN"/>
        </w:rPr>
      </w:pPr>
      <w:r>
        <w:rPr>
          <w:rFonts w:ascii="Times New Roman" w:hAnsi="Times New Roman" w:eastAsia="黑体"/>
          <w:iCs/>
          <w:lang w:eastAsia="zh-CN"/>
        </w:rPr>
        <w:t>三、量化范围</w:t>
      </w:r>
    </w:p>
    <w:p w14:paraId="4A8ADF2B">
      <w:pPr>
        <w:pStyle w:val="22"/>
        <w:numPr>
          <w:ilvl w:val="0"/>
          <w:numId w:val="3"/>
        </w:numPr>
        <w:spacing w:line="600" w:lineRule="auto"/>
        <w:ind w:firstLineChars="0"/>
        <w:contextualSpacing/>
        <w:rPr>
          <w:rFonts w:ascii="Times New Roman" w:hAnsi="Times New Roman" w:eastAsia="黑体"/>
          <w:iCs/>
        </w:rPr>
      </w:pPr>
      <w:r>
        <w:rPr>
          <w:rFonts w:ascii="Times New Roman" w:hAnsi="Times New Roman" w:eastAsia="黑体"/>
          <w:iCs/>
        </w:rPr>
        <w:t>功能单位或声明单位</w:t>
      </w:r>
    </w:p>
    <w:p w14:paraId="4CA04F36">
      <w:pPr>
        <w:spacing w:line="360" w:lineRule="auto"/>
        <w:ind w:firstLine="420" w:firstLineChars="200"/>
        <w:rPr>
          <w:rFonts w:ascii="Times New Roman" w:hAnsi="Times New Roman"/>
          <w:iCs/>
          <w:lang w:eastAsia="zh-CN"/>
        </w:rPr>
      </w:pPr>
      <w:r>
        <w:rPr>
          <w:rFonts w:ascii="Times New Roman" w:hAnsi="Times New Roman"/>
          <w:iCs/>
          <w:lang w:eastAsia="zh-CN"/>
        </w:rPr>
        <w:t>以</w:t>
      </w:r>
      <w:r>
        <w:rPr>
          <w:rFonts w:hint="eastAsia" w:ascii="Times New Roman" w:hAnsi="Times New Roman"/>
          <w:iCs/>
          <w:u w:val="single"/>
          <w:lang w:eastAsia="zh-CN"/>
        </w:rPr>
        <w:t xml:space="preserve">                  </w:t>
      </w:r>
      <w:r>
        <w:rPr>
          <w:rFonts w:ascii="Times New Roman" w:hAnsi="Times New Roman"/>
          <w:iCs/>
          <w:lang w:eastAsia="zh-CN"/>
        </w:rPr>
        <w:t>为功能单位或声明单位。</w:t>
      </w:r>
    </w:p>
    <w:p w14:paraId="3D0BA0B6">
      <w:pPr>
        <w:pStyle w:val="22"/>
        <w:numPr>
          <w:ilvl w:val="0"/>
          <w:numId w:val="3"/>
        </w:numPr>
        <w:spacing w:line="600" w:lineRule="auto"/>
        <w:ind w:firstLineChars="0"/>
        <w:contextualSpacing/>
        <w:rPr>
          <w:rFonts w:ascii="Times New Roman" w:hAnsi="Times New Roman" w:eastAsia="黑体"/>
          <w:iCs/>
        </w:rPr>
      </w:pPr>
      <w:r>
        <w:rPr>
          <w:rFonts w:ascii="Times New Roman" w:hAnsi="Times New Roman" w:eastAsia="黑体"/>
          <w:iCs/>
        </w:rPr>
        <w:t>系统边界</w:t>
      </w:r>
    </w:p>
    <w:p w14:paraId="022134A5">
      <w:pPr>
        <w:spacing w:line="276" w:lineRule="auto"/>
        <w:rPr>
          <w:rFonts w:ascii="Times New Roman" w:hAnsi="Times New Roman"/>
          <w:iCs/>
          <w:lang w:eastAsia="zh-CN"/>
        </w:rPr>
      </w:pPr>
      <w:r>
        <w:rPr>
          <w:rFonts w:ascii="Times New Roman" w:hAnsi="Times New Roman"/>
          <w:iCs/>
          <w:lang w:eastAsia="zh-CN"/>
        </w:rPr>
        <w:t>口</w:t>
      </w:r>
      <w:r>
        <w:rPr>
          <w:rFonts w:hint="eastAsia" w:ascii="Times New Roman" w:hAnsi="Times New Roman"/>
          <w:iCs/>
          <w:lang w:eastAsia="zh-CN"/>
        </w:rPr>
        <w:t xml:space="preserve"> </w:t>
      </w:r>
      <w:r>
        <w:rPr>
          <w:rFonts w:ascii="Times New Roman" w:hAnsi="Times New Roman"/>
          <w:iCs/>
          <w:lang w:eastAsia="zh-CN"/>
        </w:rPr>
        <w:t>原材料获取阶段</w:t>
      </w:r>
      <w:r>
        <w:rPr>
          <w:rFonts w:hint="eastAsia" w:ascii="Times New Roman" w:hAnsi="Times New Roman"/>
          <w:iCs/>
          <w:lang w:eastAsia="zh-CN"/>
        </w:rPr>
        <w:t xml:space="preserve">    </w:t>
      </w:r>
      <w:r>
        <w:rPr>
          <w:rFonts w:ascii="Times New Roman" w:hAnsi="Times New Roman"/>
          <w:iCs/>
          <w:lang w:eastAsia="zh-CN"/>
        </w:rPr>
        <w:t>口</w:t>
      </w:r>
      <w:r>
        <w:rPr>
          <w:rFonts w:hint="eastAsia" w:ascii="Times New Roman" w:hAnsi="Times New Roman"/>
          <w:iCs/>
          <w:lang w:eastAsia="zh-CN"/>
        </w:rPr>
        <w:t xml:space="preserve"> </w:t>
      </w:r>
      <w:r>
        <w:rPr>
          <w:rFonts w:ascii="Times New Roman" w:hAnsi="Times New Roman"/>
          <w:iCs/>
          <w:lang w:eastAsia="zh-CN"/>
        </w:rPr>
        <w:t>生产阶段</w:t>
      </w:r>
      <w:r>
        <w:rPr>
          <w:rFonts w:hint="eastAsia" w:ascii="Times New Roman" w:hAnsi="Times New Roman"/>
          <w:iCs/>
          <w:lang w:eastAsia="zh-CN"/>
        </w:rPr>
        <w:t xml:space="preserve">    </w:t>
      </w:r>
      <w:r>
        <w:rPr>
          <w:rFonts w:ascii="Times New Roman" w:hAnsi="Times New Roman"/>
          <w:iCs/>
          <w:lang w:eastAsia="zh-CN"/>
        </w:rPr>
        <w:t>口</w:t>
      </w:r>
      <w:r>
        <w:rPr>
          <w:rFonts w:hint="eastAsia" w:ascii="Times New Roman" w:hAnsi="Times New Roman"/>
          <w:iCs/>
          <w:lang w:eastAsia="zh-CN"/>
        </w:rPr>
        <w:t xml:space="preserve"> </w:t>
      </w:r>
      <w:r>
        <w:rPr>
          <w:rFonts w:ascii="Times New Roman" w:hAnsi="Times New Roman"/>
          <w:iCs/>
          <w:lang w:eastAsia="zh-CN"/>
        </w:rPr>
        <w:t>运输（交付）阶段</w:t>
      </w:r>
    </w:p>
    <w:p w14:paraId="4EED5F34">
      <w:pPr>
        <w:spacing w:line="276" w:lineRule="auto"/>
        <w:rPr>
          <w:rFonts w:ascii="Times New Roman" w:hAnsi="Times New Roman"/>
          <w:iCs/>
          <w:lang w:eastAsia="zh-CN"/>
        </w:rPr>
      </w:pPr>
      <w:r>
        <w:rPr>
          <w:rFonts w:ascii="Times New Roman" w:hAnsi="Times New Roman"/>
          <w:iCs/>
          <w:lang w:eastAsia="zh-CN"/>
        </w:rPr>
        <w:t>系统边界图：</w:t>
      </w:r>
    </w:p>
    <w:p w14:paraId="036A2FC1">
      <w:pPr>
        <w:spacing w:line="276" w:lineRule="auto"/>
        <w:rPr>
          <w:rFonts w:ascii="Times New Roman" w:hAnsi="Times New Roman"/>
          <w:iCs/>
          <w:lang w:eastAsia="zh-CN"/>
        </w:rPr>
      </w:pPr>
    </w:p>
    <w:p w14:paraId="1BB6ABC6">
      <w:pPr>
        <w:spacing w:line="276" w:lineRule="auto"/>
        <w:rPr>
          <w:rFonts w:ascii="Times New Roman" w:hAnsi="Times New Roman"/>
          <w:iCs/>
          <w:lang w:eastAsia="zh-CN"/>
        </w:rPr>
      </w:pPr>
    </w:p>
    <w:p w14:paraId="49E8884C">
      <w:pPr>
        <w:spacing w:line="276" w:lineRule="auto"/>
        <w:rPr>
          <w:rFonts w:ascii="Times New Roman" w:hAnsi="Times New Roman"/>
          <w:iCs/>
          <w:lang w:eastAsia="zh-CN"/>
        </w:rPr>
      </w:pPr>
    </w:p>
    <w:p w14:paraId="78C19C61">
      <w:pPr>
        <w:spacing w:line="276" w:lineRule="auto"/>
        <w:rPr>
          <w:rFonts w:ascii="Times New Roman" w:hAnsi="Times New Roman"/>
          <w:iCs/>
          <w:lang w:eastAsia="zh-CN"/>
        </w:rPr>
      </w:pPr>
    </w:p>
    <w:p w14:paraId="36992E19">
      <w:pPr>
        <w:spacing w:line="276" w:lineRule="auto"/>
        <w:jc w:val="center"/>
        <w:rPr>
          <w:rFonts w:ascii="Times New Roman" w:hAnsi="Times New Roman" w:eastAsia="黑体"/>
          <w:iCs/>
          <w:lang w:eastAsia="zh-CN"/>
        </w:rPr>
      </w:pPr>
      <w:r>
        <w:rPr>
          <w:rFonts w:ascii="Times New Roman" w:hAnsi="Times New Roman" w:eastAsia="黑体"/>
          <w:iCs/>
          <w:lang w:eastAsia="zh-CN"/>
        </w:rPr>
        <w:t>图1 xx 产品碳足迹量化系统边界图</w:t>
      </w:r>
    </w:p>
    <w:p w14:paraId="2D8A4E79">
      <w:pPr>
        <w:spacing w:line="600" w:lineRule="auto"/>
        <w:rPr>
          <w:rFonts w:ascii="Times New Roman" w:hAnsi="Times New Roman" w:eastAsia="黑体"/>
          <w:iCs/>
          <w:lang w:eastAsia="zh-CN"/>
        </w:rPr>
      </w:pPr>
      <w:r>
        <w:rPr>
          <w:rFonts w:hint="eastAsia" w:ascii="Times New Roman" w:hAnsi="Times New Roman" w:eastAsia="黑体"/>
          <w:iCs/>
          <w:lang w:eastAsia="zh-CN"/>
        </w:rPr>
        <w:t>3.</w:t>
      </w:r>
      <w:r>
        <w:rPr>
          <w:rFonts w:ascii="Times New Roman" w:hAnsi="Times New Roman" w:eastAsia="黑体"/>
          <w:iCs/>
          <w:lang w:eastAsia="zh-CN"/>
        </w:rPr>
        <w:t>取舍准则</w:t>
      </w:r>
    </w:p>
    <w:p w14:paraId="2DF1462F">
      <w:pPr>
        <w:spacing w:line="276" w:lineRule="auto"/>
        <w:ind w:firstLine="420" w:firstLineChars="200"/>
        <w:rPr>
          <w:rFonts w:ascii="Times New Roman" w:hAnsi="Times New Roman"/>
          <w:iCs/>
          <w:u w:val="single"/>
          <w:lang w:eastAsia="zh-CN"/>
        </w:rPr>
      </w:pPr>
      <w:r>
        <w:rPr>
          <w:rFonts w:ascii="Times New Roman" w:hAnsi="Times New Roman"/>
          <w:iCs/>
          <w:lang w:eastAsia="zh-CN"/>
        </w:rPr>
        <w:t>采用的取舍准则以</w:t>
      </w:r>
      <w:r>
        <w:rPr>
          <w:rFonts w:hint="eastAsia" w:ascii="Times New Roman" w:hAnsi="Times New Roman"/>
          <w:iCs/>
          <w:u w:val="single"/>
          <w:lang w:eastAsia="zh-CN"/>
        </w:rPr>
        <w:t xml:space="preserve">                    </w:t>
      </w:r>
      <w:r>
        <w:rPr>
          <w:rFonts w:ascii="Times New Roman" w:hAnsi="Times New Roman"/>
          <w:iCs/>
          <w:lang w:eastAsia="zh-CN"/>
        </w:rPr>
        <w:t>为依据，具体规则如下：</w:t>
      </w:r>
    </w:p>
    <w:p w14:paraId="1C1E44D4">
      <w:pPr>
        <w:spacing w:line="600" w:lineRule="auto"/>
        <w:rPr>
          <w:rFonts w:ascii="Times New Roman" w:hAnsi="Times New Roman" w:eastAsia="黑体"/>
          <w:iCs/>
          <w:lang w:eastAsia="zh-CN"/>
        </w:rPr>
      </w:pPr>
      <w:r>
        <w:rPr>
          <w:rFonts w:ascii="Times New Roman" w:hAnsi="Times New Roman" w:eastAsia="黑体"/>
          <w:iCs/>
          <w:lang w:eastAsia="zh-CN"/>
        </w:rPr>
        <w:t>4.时间范围</w:t>
      </w:r>
    </w:p>
    <w:p w14:paraId="504344FE">
      <w:pPr>
        <w:spacing w:line="276" w:lineRule="auto"/>
        <w:ind w:firstLine="525" w:firstLineChars="250"/>
        <w:rPr>
          <w:rFonts w:ascii="Times New Roman" w:hAnsi="Times New Roman"/>
          <w:iCs/>
          <w:lang w:eastAsia="zh-CN"/>
        </w:rPr>
      </w:pPr>
      <w:r>
        <w:rPr>
          <w:rFonts w:hint="eastAsia" w:ascii="Times New Roman" w:hAnsi="Times New Roman"/>
          <w:iCs/>
          <w:u w:val="single"/>
          <w:lang w:eastAsia="zh-CN"/>
        </w:rPr>
        <w:t xml:space="preserve">               </w:t>
      </w:r>
      <w:r>
        <w:rPr>
          <w:rFonts w:ascii="Times New Roman" w:hAnsi="Times New Roman"/>
          <w:iCs/>
          <w:lang w:eastAsia="zh-CN"/>
        </w:rPr>
        <w:t>年度。</w:t>
      </w:r>
    </w:p>
    <w:p w14:paraId="3FBAA528">
      <w:pPr>
        <w:spacing w:line="600" w:lineRule="auto"/>
        <w:rPr>
          <w:rFonts w:ascii="Times New Roman" w:hAnsi="Times New Roman" w:eastAsia="黑体"/>
          <w:iCs/>
          <w:lang w:eastAsia="zh-CN"/>
        </w:rPr>
      </w:pPr>
      <w:r>
        <w:rPr>
          <w:rFonts w:ascii="Times New Roman" w:hAnsi="Times New Roman" w:eastAsia="黑体"/>
          <w:iCs/>
          <w:lang w:eastAsia="zh-CN"/>
        </w:rPr>
        <w:t>四、清单分析</w:t>
      </w:r>
    </w:p>
    <w:p w14:paraId="765EC40C">
      <w:pPr>
        <w:spacing w:line="480" w:lineRule="auto"/>
        <w:rPr>
          <w:rFonts w:ascii="Times New Roman" w:hAnsi="Times New Roman" w:eastAsia="黑体"/>
          <w:iCs/>
          <w:lang w:eastAsia="zh-CN"/>
        </w:rPr>
      </w:pPr>
      <w:r>
        <w:rPr>
          <w:rFonts w:hint="eastAsia" w:ascii="Times New Roman" w:hAnsi="Times New Roman" w:eastAsia="黑体"/>
          <w:iCs/>
          <w:lang w:eastAsia="zh-CN"/>
        </w:rPr>
        <w:t>1.</w:t>
      </w:r>
      <w:r>
        <w:rPr>
          <w:rFonts w:ascii="Times New Roman" w:hAnsi="Times New Roman" w:eastAsia="黑体"/>
          <w:iCs/>
          <w:lang w:eastAsia="zh-CN"/>
        </w:rPr>
        <w:t>数据来源说明</w:t>
      </w:r>
    </w:p>
    <w:p w14:paraId="2C93FC5E">
      <w:pPr>
        <w:spacing w:line="276" w:lineRule="auto"/>
        <w:rPr>
          <w:rFonts w:ascii="Times New Roman" w:hAnsi="Times New Roman"/>
          <w:iCs/>
          <w:lang w:eastAsia="zh-CN"/>
        </w:rPr>
      </w:pPr>
      <w:r>
        <w:rPr>
          <w:rFonts w:ascii="Times New Roman" w:hAnsi="Times New Roman"/>
          <w:iCs/>
          <w:lang w:eastAsia="zh-CN"/>
        </w:rPr>
        <w:t>初</w:t>
      </w:r>
      <w:r>
        <w:rPr>
          <w:rFonts w:hint="eastAsia" w:ascii="Times New Roman" w:hAnsi="Times New Roman"/>
          <w:iCs/>
          <w:lang w:eastAsia="zh-CN"/>
        </w:rPr>
        <w:t xml:space="preserve"> </w:t>
      </w:r>
      <w:r>
        <w:rPr>
          <w:rFonts w:ascii="Times New Roman" w:hAnsi="Times New Roman"/>
          <w:iCs/>
          <w:lang w:eastAsia="zh-CN"/>
        </w:rPr>
        <w:t>级</w:t>
      </w:r>
      <w:r>
        <w:rPr>
          <w:rFonts w:hint="eastAsia" w:ascii="Times New Roman" w:hAnsi="Times New Roman"/>
          <w:iCs/>
          <w:lang w:eastAsia="zh-CN"/>
        </w:rPr>
        <w:t xml:space="preserve"> </w:t>
      </w:r>
      <w:r>
        <w:rPr>
          <w:rFonts w:ascii="Times New Roman" w:hAnsi="Times New Roman"/>
          <w:iCs/>
          <w:lang w:eastAsia="zh-CN"/>
        </w:rPr>
        <w:t>数</w:t>
      </w:r>
      <w:r>
        <w:rPr>
          <w:rFonts w:hint="eastAsia" w:ascii="Times New Roman" w:hAnsi="Times New Roman"/>
          <w:iCs/>
          <w:lang w:eastAsia="zh-CN"/>
        </w:rPr>
        <w:t xml:space="preserve"> </w:t>
      </w:r>
      <w:r>
        <w:rPr>
          <w:rFonts w:ascii="Times New Roman" w:hAnsi="Times New Roman"/>
          <w:iCs/>
          <w:lang w:eastAsia="zh-CN"/>
        </w:rPr>
        <w:t>据：</w:t>
      </w:r>
      <w:r>
        <w:rPr>
          <w:rFonts w:hint="eastAsia" w:ascii="Times New Roman" w:hAnsi="Times New Roman"/>
          <w:iCs/>
          <w:u w:val="single"/>
          <w:lang w:eastAsia="zh-CN"/>
        </w:rPr>
        <w:t xml:space="preserve">            </w:t>
      </w:r>
      <w:r>
        <w:rPr>
          <w:rFonts w:ascii="Times New Roman" w:hAnsi="Times New Roman"/>
          <w:iCs/>
          <w:lang w:eastAsia="zh-CN"/>
        </w:rPr>
        <w:t>；</w:t>
      </w:r>
    </w:p>
    <w:p w14:paraId="44456D4D">
      <w:pPr>
        <w:spacing w:line="276" w:lineRule="auto"/>
        <w:rPr>
          <w:rFonts w:ascii="Times New Roman" w:hAnsi="Times New Roman"/>
          <w:iCs/>
          <w:lang w:eastAsia="zh-CN"/>
        </w:rPr>
      </w:pPr>
      <w:r>
        <w:rPr>
          <w:rFonts w:ascii="Times New Roman" w:hAnsi="Times New Roman"/>
          <w:iCs/>
          <w:lang w:eastAsia="zh-CN"/>
        </w:rPr>
        <w:t>次</w:t>
      </w:r>
      <w:r>
        <w:rPr>
          <w:rFonts w:hint="eastAsia" w:ascii="Times New Roman" w:hAnsi="Times New Roman"/>
          <w:iCs/>
          <w:lang w:eastAsia="zh-CN"/>
        </w:rPr>
        <w:t xml:space="preserve"> </w:t>
      </w:r>
      <w:r>
        <w:rPr>
          <w:rFonts w:ascii="Times New Roman" w:hAnsi="Times New Roman"/>
          <w:iCs/>
          <w:lang w:eastAsia="zh-CN"/>
        </w:rPr>
        <w:t>级</w:t>
      </w:r>
      <w:r>
        <w:rPr>
          <w:rFonts w:hint="eastAsia" w:ascii="Times New Roman" w:hAnsi="Times New Roman"/>
          <w:iCs/>
          <w:lang w:eastAsia="zh-CN"/>
        </w:rPr>
        <w:t xml:space="preserve"> </w:t>
      </w:r>
      <w:r>
        <w:rPr>
          <w:rFonts w:ascii="Times New Roman" w:hAnsi="Times New Roman"/>
          <w:iCs/>
          <w:lang w:eastAsia="zh-CN"/>
        </w:rPr>
        <w:t>数</w:t>
      </w:r>
      <w:r>
        <w:rPr>
          <w:rFonts w:hint="eastAsia" w:ascii="Times New Roman" w:hAnsi="Times New Roman"/>
          <w:iCs/>
          <w:lang w:eastAsia="zh-CN"/>
        </w:rPr>
        <w:t xml:space="preserve"> </w:t>
      </w:r>
      <w:r>
        <w:rPr>
          <w:rFonts w:ascii="Times New Roman" w:hAnsi="Times New Roman"/>
          <w:iCs/>
          <w:lang w:eastAsia="zh-CN"/>
        </w:rPr>
        <w:t>据：</w:t>
      </w:r>
      <w:r>
        <w:rPr>
          <w:rFonts w:hint="eastAsia" w:ascii="Times New Roman" w:hAnsi="Times New Roman"/>
          <w:iCs/>
          <w:u w:val="single"/>
          <w:lang w:eastAsia="zh-CN"/>
        </w:rPr>
        <w:t xml:space="preserve">            </w:t>
      </w:r>
      <w:r>
        <w:rPr>
          <w:rFonts w:ascii="Times New Roman" w:hAnsi="Times New Roman"/>
          <w:iCs/>
          <w:lang w:eastAsia="zh-CN"/>
        </w:rPr>
        <w:t>。</w:t>
      </w:r>
    </w:p>
    <w:p w14:paraId="367F03EE">
      <w:pPr>
        <w:spacing w:line="600" w:lineRule="auto"/>
        <w:rPr>
          <w:rFonts w:ascii="Times New Roman" w:hAnsi="Times New Roman" w:eastAsia="黑体"/>
          <w:iCs/>
          <w:lang w:eastAsia="zh-CN"/>
        </w:rPr>
      </w:pPr>
      <w:r>
        <w:rPr>
          <w:rFonts w:ascii="Times New Roman" w:hAnsi="Times New Roman" w:eastAsia="黑体"/>
          <w:iCs/>
          <w:lang w:eastAsia="zh-CN"/>
        </w:rPr>
        <w:t>2</w:t>
      </w:r>
      <w:r>
        <w:rPr>
          <w:rFonts w:hint="eastAsia" w:ascii="Times New Roman" w:hAnsi="Times New Roman" w:eastAsia="黑体"/>
          <w:iCs/>
          <w:lang w:eastAsia="zh-CN"/>
        </w:rPr>
        <w:t>．</w:t>
      </w:r>
      <w:r>
        <w:rPr>
          <w:rFonts w:ascii="Times New Roman" w:hAnsi="Times New Roman" w:eastAsia="黑体"/>
          <w:iCs/>
          <w:lang w:eastAsia="zh-CN"/>
        </w:rPr>
        <w:t>分配原则与程序</w:t>
      </w:r>
    </w:p>
    <w:p w14:paraId="41C69CF3">
      <w:pPr>
        <w:spacing w:line="276" w:lineRule="auto"/>
        <w:rPr>
          <w:rFonts w:ascii="Times New Roman" w:hAnsi="Times New Roman"/>
          <w:iCs/>
        </w:rPr>
      </w:pPr>
      <w:r>
        <w:rPr>
          <w:rFonts w:ascii="Times New Roman" w:hAnsi="Times New Roman"/>
          <w:iCs/>
        </w:rPr>
        <w:t>分</w:t>
      </w:r>
      <w:r>
        <w:rPr>
          <w:rFonts w:hint="eastAsia" w:ascii="Times New Roman" w:hAnsi="Times New Roman"/>
          <w:iCs/>
        </w:rPr>
        <w:t xml:space="preserve"> </w:t>
      </w:r>
      <w:r>
        <w:rPr>
          <w:rFonts w:ascii="Times New Roman" w:hAnsi="Times New Roman"/>
          <w:iCs/>
        </w:rPr>
        <w:t>配</w:t>
      </w:r>
      <w:r>
        <w:rPr>
          <w:rFonts w:hint="eastAsia" w:ascii="Times New Roman" w:hAnsi="Times New Roman"/>
          <w:iCs/>
        </w:rPr>
        <w:t xml:space="preserve"> </w:t>
      </w:r>
      <w:r>
        <w:rPr>
          <w:rFonts w:ascii="Times New Roman" w:hAnsi="Times New Roman"/>
          <w:iCs/>
        </w:rPr>
        <w:t>依</w:t>
      </w:r>
      <w:r>
        <w:rPr>
          <w:rFonts w:hint="eastAsia" w:ascii="Times New Roman" w:hAnsi="Times New Roman"/>
          <w:iCs/>
        </w:rPr>
        <w:t xml:space="preserve"> </w:t>
      </w:r>
      <w:r>
        <w:rPr>
          <w:rFonts w:ascii="Times New Roman" w:hAnsi="Times New Roman"/>
          <w:iCs/>
        </w:rPr>
        <w:t>据：</w:t>
      </w:r>
      <w:r>
        <w:rPr>
          <w:rFonts w:hint="eastAsia" w:ascii="Times New Roman" w:hAnsi="Times New Roman"/>
          <w:iCs/>
          <w:u w:val="single"/>
        </w:rPr>
        <w:t xml:space="preserve">          </w:t>
      </w:r>
      <w:r>
        <w:rPr>
          <w:rFonts w:ascii="Times New Roman" w:hAnsi="Times New Roman"/>
          <w:iCs/>
        </w:rPr>
        <w:t>；</w:t>
      </w:r>
    </w:p>
    <w:p w14:paraId="7B7FE7CC">
      <w:pPr>
        <w:spacing w:line="276" w:lineRule="auto"/>
        <w:rPr>
          <w:rFonts w:ascii="Times New Roman" w:hAnsi="Times New Roman"/>
          <w:iCs/>
        </w:rPr>
      </w:pPr>
      <w:r>
        <w:rPr>
          <w:rFonts w:ascii="Times New Roman" w:hAnsi="Times New Roman"/>
          <w:iCs/>
        </w:rPr>
        <w:t>分</w:t>
      </w:r>
      <w:r>
        <w:rPr>
          <w:rFonts w:hint="eastAsia" w:ascii="Times New Roman" w:hAnsi="Times New Roman"/>
          <w:iCs/>
        </w:rPr>
        <w:t xml:space="preserve"> </w:t>
      </w:r>
      <w:r>
        <w:rPr>
          <w:rFonts w:ascii="Times New Roman" w:hAnsi="Times New Roman"/>
          <w:iCs/>
        </w:rPr>
        <w:t>配</w:t>
      </w:r>
      <w:r>
        <w:rPr>
          <w:rFonts w:hint="eastAsia" w:ascii="Times New Roman" w:hAnsi="Times New Roman"/>
          <w:iCs/>
        </w:rPr>
        <w:t xml:space="preserve"> </w:t>
      </w:r>
      <w:r>
        <w:rPr>
          <w:rFonts w:ascii="Times New Roman" w:hAnsi="Times New Roman"/>
          <w:iCs/>
        </w:rPr>
        <w:t>程</w:t>
      </w:r>
      <w:r>
        <w:rPr>
          <w:rFonts w:hint="eastAsia" w:ascii="Times New Roman" w:hAnsi="Times New Roman"/>
          <w:iCs/>
        </w:rPr>
        <w:t xml:space="preserve"> </w:t>
      </w:r>
      <w:r>
        <w:rPr>
          <w:rFonts w:ascii="Times New Roman" w:hAnsi="Times New Roman"/>
          <w:iCs/>
        </w:rPr>
        <w:t>序：</w:t>
      </w:r>
      <w:r>
        <w:rPr>
          <w:rFonts w:hint="eastAsia" w:ascii="Times New Roman" w:hAnsi="Times New Roman"/>
          <w:iCs/>
          <w:u w:val="single"/>
        </w:rPr>
        <w:t xml:space="preserve">          </w:t>
      </w:r>
      <w:r>
        <w:rPr>
          <w:rFonts w:ascii="Times New Roman" w:hAnsi="Times New Roman"/>
          <w:iCs/>
        </w:rPr>
        <w:t>。</w:t>
      </w:r>
    </w:p>
    <w:p w14:paraId="74EC6EEC">
      <w:pPr>
        <w:spacing w:line="360" w:lineRule="auto"/>
        <w:rPr>
          <w:rFonts w:ascii="Times New Roman" w:hAnsi="Times New Roman"/>
          <w:iCs/>
          <w:lang w:eastAsia="zh-CN"/>
        </w:rPr>
      </w:pPr>
      <w:r>
        <w:rPr>
          <w:rFonts w:ascii="Times New Roman" w:hAnsi="Times New Roman"/>
          <w:iCs/>
          <w:lang w:eastAsia="zh-CN"/>
        </w:rPr>
        <w:t>具体分配情况如下：</w:t>
      </w:r>
    </w:p>
    <w:p w14:paraId="2D6850A4">
      <w:pPr>
        <w:spacing w:line="600" w:lineRule="auto"/>
        <w:rPr>
          <w:rFonts w:ascii="Times New Roman" w:hAnsi="Times New Roman" w:eastAsia="黑体"/>
          <w:iCs/>
          <w:lang w:eastAsia="zh-CN"/>
        </w:rPr>
      </w:pPr>
      <w:r>
        <w:rPr>
          <w:rFonts w:ascii="Times New Roman" w:hAnsi="Times New Roman" w:eastAsia="黑体"/>
          <w:iCs/>
          <w:lang w:eastAsia="zh-CN"/>
        </w:rPr>
        <w:t>3</w:t>
      </w:r>
      <w:r>
        <w:rPr>
          <w:rFonts w:hint="eastAsia" w:ascii="Times New Roman" w:hAnsi="Times New Roman" w:eastAsia="黑体"/>
          <w:iCs/>
          <w:lang w:eastAsia="zh-CN"/>
        </w:rPr>
        <w:t>．</w:t>
      </w:r>
      <w:r>
        <w:rPr>
          <w:rFonts w:ascii="Times New Roman" w:hAnsi="Times New Roman" w:eastAsia="黑体"/>
          <w:iCs/>
          <w:lang w:eastAsia="zh-CN"/>
        </w:rPr>
        <w:t>清单结果及计算</w:t>
      </w:r>
    </w:p>
    <w:p w14:paraId="15EA75A1">
      <w:pPr>
        <w:spacing w:line="360" w:lineRule="auto"/>
        <w:ind w:firstLine="420" w:firstLineChars="200"/>
        <w:rPr>
          <w:rFonts w:ascii="Times New Roman" w:hAnsi="Times New Roman"/>
          <w:iCs/>
          <w:lang w:eastAsia="zh-CN"/>
        </w:rPr>
      </w:pPr>
      <w:r>
        <w:rPr>
          <w:rFonts w:ascii="Times New Roman" w:hAnsi="Times New Roman"/>
          <w:iCs/>
          <w:lang w:eastAsia="zh-CN"/>
        </w:rPr>
        <w:t>生命周期各个阶段碳排放计算说明见表1。</w:t>
      </w:r>
    </w:p>
    <w:p w14:paraId="5EAF50FE">
      <w:pPr>
        <w:spacing w:before="120" w:beforeLines="50" w:after="120" w:afterLines="50" w:line="276" w:lineRule="auto"/>
        <w:jc w:val="center"/>
        <w:rPr>
          <w:rFonts w:ascii="Times New Roman" w:hAnsi="Times New Roman" w:eastAsia="黑体"/>
          <w:iCs/>
          <w:lang w:eastAsia="zh-CN"/>
        </w:rPr>
      </w:pPr>
      <w:r>
        <w:rPr>
          <w:rFonts w:ascii="Times New Roman" w:hAnsi="Times New Roman" w:eastAsia="黑体"/>
          <w:iCs/>
          <w:lang w:eastAsia="zh-CN"/>
        </w:rPr>
        <w:t xml:space="preserve">表1 </w:t>
      </w:r>
      <w:r>
        <w:rPr>
          <w:rFonts w:hint="eastAsia" w:ascii="Times New Roman" w:hAnsi="Times New Roman" w:eastAsia="黑体"/>
          <w:iCs/>
          <w:u w:val="single"/>
          <w:lang w:eastAsia="zh-CN"/>
        </w:rPr>
        <w:t xml:space="preserve">            </w:t>
      </w:r>
      <w:r>
        <w:rPr>
          <w:rFonts w:ascii="Times New Roman" w:hAnsi="Times New Roman" w:eastAsia="黑体"/>
          <w:iCs/>
          <w:lang w:eastAsia="zh-CN"/>
        </w:rPr>
        <w:t>生命周期碳排放清单说明</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6"/>
        <w:gridCol w:w="1146"/>
        <w:gridCol w:w="2098"/>
        <w:gridCol w:w="2126"/>
        <w:gridCol w:w="2544"/>
      </w:tblGrid>
      <w:tr w14:paraId="6074B47A">
        <w:tc>
          <w:tcPr>
            <w:tcW w:w="2292" w:type="dxa"/>
            <w:gridSpan w:val="2"/>
            <w:vAlign w:val="center"/>
          </w:tcPr>
          <w:p w14:paraId="06C30043">
            <w:pPr>
              <w:widowControl/>
              <w:spacing w:line="276" w:lineRule="auto"/>
              <w:jc w:val="center"/>
              <w:rPr>
                <w:rFonts w:ascii="Times New Roman" w:hAnsi="Times New Roman"/>
                <w:iCs/>
                <w:sz w:val="18"/>
                <w:szCs w:val="18"/>
              </w:rPr>
            </w:pPr>
            <w:r>
              <w:rPr>
                <w:rFonts w:hint="eastAsia" w:ascii="Times New Roman" w:hAnsi="Times New Roman"/>
                <w:iCs/>
                <w:sz w:val="18"/>
                <w:szCs w:val="18"/>
              </w:rPr>
              <w:t>生命周期阶段</w:t>
            </w:r>
          </w:p>
        </w:tc>
        <w:tc>
          <w:tcPr>
            <w:tcW w:w="2098" w:type="dxa"/>
            <w:vAlign w:val="center"/>
          </w:tcPr>
          <w:p w14:paraId="01EDB19B">
            <w:pPr>
              <w:widowControl/>
              <w:spacing w:line="276" w:lineRule="auto"/>
              <w:jc w:val="center"/>
              <w:rPr>
                <w:rFonts w:ascii="Times New Roman" w:hAnsi="Times New Roman"/>
                <w:iCs/>
                <w:sz w:val="18"/>
                <w:szCs w:val="18"/>
              </w:rPr>
            </w:pPr>
            <w:r>
              <w:rPr>
                <w:rFonts w:hint="eastAsia" w:ascii="Times New Roman" w:hAnsi="Times New Roman"/>
                <w:iCs/>
                <w:sz w:val="18"/>
                <w:szCs w:val="18"/>
              </w:rPr>
              <w:t>活动数据</w:t>
            </w:r>
          </w:p>
        </w:tc>
        <w:tc>
          <w:tcPr>
            <w:tcW w:w="2126" w:type="dxa"/>
            <w:vAlign w:val="center"/>
          </w:tcPr>
          <w:p w14:paraId="16C341AE">
            <w:pPr>
              <w:widowControl/>
              <w:spacing w:line="276" w:lineRule="auto"/>
              <w:jc w:val="center"/>
              <w:rPr>
                <w:rFonts w:ascii="Times New Roman" w:hAnsi="Times New Roman"/>
                <w:iCs/>
                <w:sz w:val="18"/>
                <w:szCs w:val="18"/>
              </w:rPr>
            </w:pPr>
            <w:r>
              <w:rPr>
                <w:rFonts w:hint="eastAsia" w:ascii="Times New Roman" w:hAnsi="Times New Roman"/>
                <w:iCs/>
                <w:sz w:val="18"/>
                <w:szCs w:val="18"/>
              </w:rPr>
              <w:t>排放因子</w:t>
            </w:r>
          </w:p>
        </w:tc>
        <w:tc>
          <w:tcPr>
            <w:tcW w:w="2544" w:type="dxa"/>
            <w:vAlign w:val="center"/>
          </w:tcPr>
          <w:p w14:paraId="5BBB76CB">
            <w:pPr>
              <w:widowControl/>
              <w:spacing w:line="276" w:lineRule="auto"/>
              <w:jc w:val="center"/>
              <w:rPr>
                <w:rFonts w:ascii="Times New Roman" w:hAnsi="Times New Roman"/>
                <w:iCs/>
                <w:sz w:val="18"/>
                <w:szCs w:val="18"/>
                <w:lang w:eastAsia="zh-CN"/>
              </w:rPr>
            </w:pPr>
            <w:r>
              <w:rPr>
                <w:rFonts w:hint="eastAsia" w:ascii="Times New Roman" w:hAnsi="Times New Roman"/>
                <w:iCs/>
                <w:sz w:val="18"/>
                <w:szCs w:val="18"/>
                <w:lang w:eastAsia="zh-CN"/>
              </w:rPr>
              <w:t>温室气体量</w:t>
            </w:r>
          </w:p>
          <w:p w14:paraId="41C93EA2">
            <w:pPr>
              <w:widowControl/>
              <w:spacing w:line="276" w:lineRule="auto"/>
              <w:jc w:val="center"/>
              <w:rPr>
                <w:rFonts w:ascii="Times New Roman" w:hAnsi="Times New Roman"/>
                <w:iCs/>
                <w:sz w:val="18"/>
                <w:szCs w:val="18"/>
                <w:lang w:eastAsia="zh-CN"/>
              </w:rPr>
            </w:pPr>
            <w:r>
              <w:rPr>
                <w:rFonts w:hint="eastAsia" w:ascii="Times New Roman" w:hAnsi="Times New Roman"/>
                <w:iCs/>
                <w:sz w:val="18"/>
                <w:szCs w:val="18"/>
                <w:lang w:eastAsia="zh-CN"/>
              </w:rPr>
              <w:t>kg/功能单位或声明单位</w:t>
            </w:r>
          </w:p>
        </w:tc>
      </w:tr>
      <w:tr w14:paraId="08D8C38C">
        <w:tc>
          <w:tcPr>
            <w:tcW w:w="2292" w:type="dxa"/>
            <w:gridSpan w:val="2"/>
            <w:vMerge w:val="restart"/>
            <w:vAlign w:val="center"/>
          </w:tcPr>
          <w:p w14:paraId="783C8E2C">
            <w:pPr>
              <w:widowControl/>
              <w:spacing w:line="276" w:lineRule="auto"/>
              <w:jc w:val="center"/>
              <w:rPr>
                <w:rFonts w:ascii="Times New Roman" w:hAnsi="Times New Roman"/>
                <w:iCs/>
                <w:sz w:val="18"/>
                <w:szCs w:val="18"/>
              </w:rPr>
            </w:pPr>
            <w:r>
              <w:rPr>
                <w:rFonts w:hint="eastAsia" w:ascii="Times New Roman" w:hAnsi="Times New Roman"/>
                <w:iCs/>
                <w:sz w:val="18"/>
                <w:szCs w:val="18"/>
              </w:rPr>
              <w:t>原材料获取</w:t>
            </w:r>
          </w:p>
        </w:tc>
        <w:tc>
          <w:tcPr>
            <w:tcW w:w="2098" w:type="dxa"/>
            <w:vAlign w:val="center"/>
          </w:tcPr>
          <w:p w14:paraId="462736BA">
            <w:pPr>
              <w:widowControl/>
              <w:spacing w:line="276" w:lineRule="auto"/>
              <w:jc w:val="center"/>
              <w:rPr>
                <w:rFonts w:ascii="Times New Roman" w:hAnsi="Times New Roman"/>
                <w:iCs/>
                <w:sz w:val="18"/>
                <w:szCs w:val="18"/>
              </w:rPr>
            </w:pPr>
          </w:p>
        </w:tc>
        <w:tc>
          <w:tcPr>
            <w:tcW w:w="2126" w:type="dxa"/>
            <w:vAlign w:val="center"/>
          </w:tcPr>
          <w:p w14:paraId="696B6A70">
            <w:pPr>
              <w:widowControl/>
              <w:spacing w:line="276" w:lineRule="auto"/>
              <w:jc w:val="center"/>
              <w:rPr>
                <w:rFonts w:ascii="Times New Roman" w:hAnsi="Times New Roman"/>
                <w:iCs/>
                <w:sz w:val="18"/>
                <w:szCs w:val="18"/>
              </w:rPr>
            </w:pPr>
          </w:p>
        </w:tc>
        <w:tc>
          <w:tcPr>
            <w:tcW w:w="2544" w:type="dxa"/>
            <w:vAlign w:val="center"/>
          </w:tcPr>
          <w:p w14:paraId="58DF47F7">
            <w:pPr>
              <w:widowControl/>
              <w:spacing w:line="276" w:lineRule="auto"/>
              <w:jc w:val="center"/>
              <w:rPr>
                <w:rFonts w:ascii="Times New Roman" w:hAnsi="Times New Roman"/>
                <w:iCs/>
                <w:sz w:val="18"/>
                <w:szCs w:val="18"/>
              </w:rPr>
            </w:pPr>
          </w:p>
        </w:tc>
      </w:tr>
      <w:tr w14:paraId="0D0E9C41">
        <w:tc>
          <w:tcPr>
            <w:tcW w:w="2292" w:type="dxa"/>
            <w:gridSpan w:val="2"/>
            <w:vMerge w:val="continue"/>
            <w:vAlign w:val="center"/>
          </w:tcPr>
          <w:p w14:paraId="7ED28C26">
            <w:pPr>
              <w:widowControl/>
              <w:spacing w:line="276" w:lineRule="auto"/>
              <w:jc w:val="center"/>
              <w:rPr>
                <w:rFonts w:ascii="Times New Roman" w:hAnsi="Times New Roman"/>
                <w:iCs/>
                <w:sz w:val="18"/>
                <w:szCs w:val="18"/>
              </w:rPr>
            </w:pPr>
          </w:p>
        </w:tc>
        <w:tc>
          <w:tcPr>
            <w:tcW w:w="2098" w:type="dxa"/>
            <w:vAlign w:val="center"/>
          </w:tcPr>
          <w:p w14:paraId="6E579A25">
            <w:pPr>
              <w:widowControl/>
              <w:spacing w:line="276" w:lineRule="auto"/>
              <w:jc w:val="center"/>
              <w:rPr>
                <w:rFonts w:ascii="Times New Roman" w:hAnsi="Times New Roman"/>
                <w:iCs/>
                <w:sz w:val="18"/>
                <w:szCs w:val="18"/>
              </w:rPr>
            </w:pPr>
          </w:p>
        </w:tc>
        <w:tc>
          <w:tcPr>
            <w:tcW w:w="2126" w:type="dxa"/>
            <w:vAlign w:val="center"/>
          </w:tcPr>
          <w:p w14:paraId="31C15F86">
            <w:pPr>
              <w:widowControl/>
              <w:spacing w:line="276" w:lineRule="auto"/>
              <w:jc w:val="center"/>
              <w:rPr>
                <w:rFonts w:ascii="Times New Roman" w:hAnsi="Times New Roman"/>
                <w:iCs/>
                <w:sz w:val="18"/>
                <w:szCs w:val="18"/>
              </w:rPr>
            </w:pPr>
          </w:p>
        </w:tc>
        <w:tc>
          <w:tcPr>
            <w:tcW w:w="2544" w:type="dxa"/>
            <w:vAlign w:val="center"/>
          </w:tcPr>
          <w:p w14:paraId="627A68AD">
            <w:pPr>
              <w:widowControl/>
              <w:spacing w:line="276" w:lineRule="auto"/>
              <w:jc w:val="center"/>
              <w:rPr>
                <w:rFonts w:ascii="Times New Roman" w:hAnsi="Times New Roman"/>
                <w:iCs/>
                <w:sz w:val="18"/>
                <w:szCs w:val="18"/>
              </w:rPr>
            </w:pPr>
          </w:p>
        </w:tc>
      </w:tr>
      <w:tr w14:paraId="008C9C03">
        <w:tc>
          <w:tcPr>
            <w:tcW w:w="2292" w:type="dxa"/>
            <w:gridSpan w:val="2"/>
            <w:vMerge w:val="restart"/>
            <w:vAlign w:val="center"/>
          </w:tcPr>
          <w:p w14:paraId="048D1035">
            <w:pPr>
              <w:widowControl/>
              <w:spacing w:line="276" w:lineRule="auto"/>
              <w:jc w:val="center"/>
              <w:rPr>
                <w:rFonts w:ascii="Times New Roman" w:hAnsi="Times New Roman"/>
                <w:iCs/>
                <w:sz w:val="18"/>
                <w:szCs w:val="18"/>
              </w:rPr>
            </w:pPr>
            <w:r>
              <w:rPr>
                <w:rFonts w:hint="eastAsia" w:ascii="Times New Roman" w:hAnsi="Times New Roman"/>
                <w:iCs/>
                <w:sz w:val="18"/>
                <w:szCs w:val="18"/>
              </w:rPr>
              <w:t>生产</w:t>
            </w:r>
          </w:p>
        </w:tc>
        <w:tc>
          <w:tcPr>
            <w:tcW w:w="2098" w:type="dxa"/>
            <w:vAlign w:val="center"/>
          </w:tcPr>
          <w:p w14:paraId="32B36346">
            <w:pPr>
              <w:widowControl/>
              <w:spacing w:line="276" w:lineRule="auto"/>
              <w:jc w:val="center"/>
              <w:rPr>
                <w:rFonts w:ascii="Times New Roman" w:hAnsi="Times New Roman"/>
                <w:iCs/>
                <w:sz w:val="18"/>
                <w:szCs w:val="18"/>
              </w:rPr>
            </w:pPr>
          </w:p>
        </w:tc>
        <w:tc>
          <w:tcPr>
            <w:tcW w:w="2126" w:type="dxa"/>
            <w:vAlign w:val="center"/>
          </w:tcPr>
          <w:p w14:paraId="26F439BD">
            <w:pPr>
              <w:widowControl/>
              <w:spacing w:line="276" w:lineRule="auto"/>
              <w:jc w:val="center"/>
              <w:rPr>
                <w:rFonts w:ascii="Times New Roman" w:hAnsi="Times New Roman"/>
                <w:iCs/>
                <w:sz w:val="18"/>
                <w:szCs w:val="18"/>
              </w:rPr>
            </w:pPr>
          </w:p>
        </w:tc>
        <w:tc>
          <w:tcPr>
            <w:tcW w:w="2544" w:type="dxa"/>
            <w:vAlign w:val="center"/>
          </w:tcPr>
          <w:p w14:paraId="0257E22D">
            <w:pPr>
              <w:widowControl/>
              <w:spacing w:line="276" w:lineRule="auto"/>
              <w:jc w:val="center"/>
              <w:rPr>
                <w:rFonts w:ascii="Times New Roman" w:hAnsi="Times New Roman"/>
                <w:iCs/>
                <w:sz w:val="18"/>
                <w:szCs w:val="18"/>
              </w:rPr>
            </w:pPr>
          </w:p>
        </w:tc>
      </w:tr>
      <w:tr w14:paraId="2144864E">
        <w:tc>
          <w:tcPr>
            <w:tcW w:w="2292" w:type="dxa"/>
            <w:gridSpan w:val="2"/>
            <w:vMerge w:val="continue"/>
            <w:vAlign w:val="center"/>
          </w:tcPr>
          <w:p w14:paraId="2D49D365">
            <w:pPr>
              <w:widowControl/>
              <w:spacing w:line="276" w:lineRule="auto"/>
              <w:jc w:val="center"/>
              <w:rPr>
                <w:rFonts w:ascii="Times New Roman" w:hAnsi="Times New Roman"/>
                <w:iCs/>
                <w:sz w:val="18"/>
                <w:szCs w:val="18"/>
              </w:rPr>
            </w:pPr>
          </w:p>
        </w:tc>
        <w:tc>
          <w:tcPr>
            <w:tcW w:w="2098" w:type="dxa"/>
            <w:vAlign w:val="center"/>
          </w:tcPr>
          <w:p w14:paraId="043F8BED">
            <w:pPr>
              <w:widowControl/>
              <w:spacing w:line="276" w:lineRule="auto"/>
              <w:jc w:val="center"/>
              <w:rPr>
                <w:rFonts w:ascii="Times New Roman" w:hAnsi="Times New Roman"/>
                <w:iCs/>
                <w:sz w:val="18"/>
                <w:szCs w:val="18"/>
              </w:rPr>
            </w:pPr>
          </w:p>
        </w:tc>
        <w:tc>
          <w:tcPr>
            <w:tcW w:w="2126" w:type="dxa"/>
            <w:vAlign w:val="center"/>
          </w:tcPr>
          <w:p w14:paraId="14E7B950">
            <w:pPr>
              <w:widowControl/>
              <w:spacing w:line="276" w:lineRule="auto"/>
              <w:jc w:val="center"/>
              <w:rPr>
                <w:rFonts w:ascii="Times New Roman" w:hAnsi="Times New Roman"/>
                <w:iCs/>
                <w:sz w:val="18"/>
                <w:szCs w:val="18"/>
              </w:rPr>
            </w:pPr>
          </w:p>
        </w:tc>
        <w:tc>
          <w:tcPr>
            <w:tcW w:w="2544" w:type="dxa"/>
            <w:vAlign w:val="center"/>
          </w:tcPr>
          <w:p w14:paraId="18BCE25B">
            <w:pPr>
              <w:widowControl/>
              <w:spacing w:line="276" w:lineRule="auto"/>
              <w:jc w:val="center"/>
              <w:rPr>
                <w:rFonts w:ascii="Times New Roman" w:hAnsi="Times New Roman"/>
                <w:iCs/>
                <w:sz w:val="18"/>
                <w:szCs w:val="18"/>
              </w:rPr>
            </w:pPr>
          </w:p>
        </w:tc>
      </w:tr>
      <w:tr w14:paraId="13843A65">
        <w:tc>
          <w:tcPr>
            <w:tcW w:w="1146" w:type="dxa"/>
            <w:vMerge w:val="restart"/>
            <w:vAlign w:val="center"/>
          </w:tcPr>
          <w:p w14:paraId="5CE113DF">
            <w:pPr>
              <w:widowControl/>
              <w:spacing w:line="276" w:lineRule="auto"/>
              <w:jc w:val="center"/>
              <w:rPr>
                <w:rFonts w:ascii="Times New Roman" w:hAnsi="Times New Roman"/>
                <w:iCs/>
                <w:sz w:val="18"/>
                <w:szCs w:val="18"/>
              </w:rPr>
            </w:pPr>
            <w:r>
              <w:rPr>
                <w:rFonts w:hint="eastAsia" w:ascii="Times New Roman" w:hAnsi="Times New Roman"/>
                <w:iCs/>
                <w:sz w:val="18"/>
                <w:szCs w:val="18"/>
              </w:rPr>
              <w:t>运输/交付</w:t>
            </w:r>
          </w:p>
        </w:tc>
        <w:tc>
          <w:tcPr>
            <w:tcW w:w="1146" w:type="dxa"/>
            <w:vAlign w:val="center"/>
          </w:tcPr>
          <w:p w14:paraId="41C436AE">
            <w:pPr>
              <w:widowControl/>
              <w:spacing w:line="276" w:lineRule="auto"/>
              <w:jc w:val="center"/>
              <w:rPr>
                <w:rFonts w:ascii="Times New Roman" w:hAnsi="Times New Roman"/>
                <w:iCs/>
                <w:sz w:val="18"/>
                <w:szCs w:val="18"/>
              </w:rPr>
            </w:pPr>
            <w:r>
              <w:rPr>
                <w:rFonts w:hint="eastAsia" w:ascii="Times New Roman" w:hAnsi="Times New Roman"/>
                <w:iCs/>
                <w:sz w:val="18"/>
                <w:szCs w:val="18"/>
              </w:rPr>
              <w:t>运输</w:t>
            </w:r>
          </w:p>
        </w:tc>
        <w:tc>
          <w:tcPr>
            <w:tcW w:w="2098" w:type="dxa"/>
            <w:vAlign w:val="center"/>
          </w:tcPr>
          <w:p w14:paraId="1F727925">
            <w:pPr>
              <w:widowControl/>
              <w:spacing w:line="276" w:lineRule="auto"/>
              <w:jc w:val="center"/>
              <w:rPr>
                <w:rFonts w:ascii="Times New Roman" w:hAnsi="Times New Roman"/>
                <w:iCs/>
                <w:sz w:val="18"/>
                <w:szCs w:val="18"/>
              </w:rPr>
            </w:pPr>
          </w:p>
        </w:tc>
        <w:tc>
          <w:tcPr>
            <w:tcW w:w="2126" w:type="dxa"/>
            <w:vAlign w:val="center"/>
          </w:tcPr>
          <w:p w14:paraId="059E424F">
            <w:pPr>
              <w:widowControl/>
              <w:spacing w:line="276" w:lineRule="auto"/>
              <w:jc w:val="center"/>
              <w:rPr>
                <w:rFonts w:ascii="Times New Roman" w:hAnsi="Times New Roman"/>
                <w:iCs/>
                <w:sz w:val="18"/>
                <w:szCs w:val="18"/>
              </w:rPr>
            </w:pPr>
          </w:p>
        </w:tc>
        <w:tc>
          <w:tcPr>
            <w:tcW w:w="2544" w:type="dxa"/>
            <w:vAlign w:val="center"/>
          </w:tcPr>
          <w:p w14:paraId="23627737">
            <w:pPr>
              <w:widowControl/>
              <w:spacing w:line="276" w:lineRule="auto"/>
              <w:jc w:val="center"/>
              <w:rPr>
                <w:rFonts w:ascii="Times New Roman" w:hAnsi="Times New Roman"/>
                <w:iCs/>
                <w:sz w:val="18"/>
                <w:szCs w:val="18"/>
              </w:rPr>
            </w:pPr>
          </w:p>
        </w:tc>
      </w:tr>
      <w:tr w14:paraId="39B71ACA">
        <w:tc>
          <w:tcPr>
            <w:tcW w:w="1146" w:type="dxa"/>
            <w:vMerge w:val="continue"/>
            <w:vAlign w:val="center"/>
          </w:tcPr>
          <w:p w14:paraId="52C0FE1F">
            <w:pPr>
              <w:widowControl/>
              <w:spacing w:line="276" w:lineRule="auto"/>
              <w:jc w:val="center"/>
              <w:rPr>
                <w:rFonts w:ascii="Times New Roman" w:hAnsi="Times New Roman"/>
                <w:iCs/>
                <w:sz w:val="18"/>
                <w:szCs w:val="18"/>
              </w:rPr>
            </w:pPr>
          </w:p>
        </w:tc>
        <w:tc>
          <w:tcPr>
            <w:tcW w:w="1146" w:type="dxa"/>
            <w:vAlign w:val="center"/>
          </w:tcPr>
          <w:p w14:paraId="50E1C566">
            <w:pPr>
              <w:widowControl/>
              <w:spacing w:line="276" w:lineRule="auto"/>
              <w:jc w:val="center"/>
              <w:rPr>
                <w:rFonts w:ascii="Times New Roman" w:hAnsi="Times New Roman"/>
                <w:iCs/>
                <w:sz w:val="18"/>
                <w:szCs w:val="18"/>
              </w:rPr>
            </w:pPr>
            <w:r>
              <w:rPr>
                <w:rFonts w:hint="eastAsia" w:ascii="Times New Roman" w:hAnsi="Times New Roman"/>
                <w:iCs/>
                <w:sz w:val="18"/>
                <w:szCs w:val="18"/>
              </w:rPr>
              <w:t>仓储</w:t>
            </w:r>
          </w:p>
        </w:tc>
        <w:tc>
          <w:tcPr>
            <w:tcW w:w="2098" w:type="dxa"/>
            <w:vAlign w:val="center"/>
          </w:tcPr>
          <w:p w14:paraId="005EC79B">
            <w:pPr>
              <w:widowControl/>
              <w:spacing w:line="276" w:lineRule="auto"/>
              <w:jc w:val="center"/>
              <w:rPr>
                <w:rFonts w:ascii="Times New Roman" w:hAnsi="Times New Roman"/>
                <w:iCs/>
                <w:sz w:val="18"/>
                <w:szCs w:val="18"/>
              </w:rPr>
            </w:pPr>
          </w:p>
        </w:tc>
        <w:tc>
          <w:tcPr>
            <w:tcW w:w="2126" w:type="dxa"/>
            <w:vAlign w:val="center"/>
          </w:tcPr>
          <w:p w14:paraId="4F1C27DA">
            <w:pPr>
              <w:widowControl/>
              <w:spacing w:line="276" w:lineRule="auto"/>
              <w:jc w:val="center"/>
              <w:rPr>
                <w:rFonts w:ascii="Times New Roman" w:hAnsi="Times New Roman"/>
                <w:iCs/>
                <w:sz w:val="18"/>
                <w:szCs w:val="18"/>
              </w:rPr>
            </w:pPr>
          </w:p>
        </w:tc>
        <w:tc>
          <w:tcPr>
            <w:tcW w:w="2544" w:type="dxa"/>
            <w:vAlign w:val="center"/>
          </w:tcPr>
          <w:p w14:paraId="0631A5ED">
            <w:pPr>
              <w:widowControl/>
              <w:spacing w:line="276" w:lineRule="auto"/>
              <w:jc w:val="center"/>
              <w:rPr>
                <w:rFonts w:ascii="Times New Roman" w:hAnsi="Times New Roman"/>
                <w:iCs/>
                <w:sz w:val="18"/>
                <w:szCs w:val="18"/>
              </w:rPr>
            </w:pPr>
          </w:p>
        </w:tc>
      </w:tr>
    </w:tbl>
    <w:p w14:paraId="408B78DF">
      <w:pPr>
        <w:spacing w:line="600" w:lineRule="auto"/>
        <w:rPr>
          <w:rFonts w:ascii="Times New Roman" w:hAnsi="Times New Roman" w:eastAsia="黑体"/>
          <w:iCs/>
          <w:lang w:eastAsia="zh-CN"/>
        </w:rPr>
      </w:pPr>
      <w:r>
        <w:rPr>
          <w:rFonts w:ascii="Times New Roman" w:hAnsi="Times New Roman" w:eastAsia="黑体"/>
          <w:iCs/>
          <w:lang w:eastAsia="zh-CN"/>
        </w:rPr>
        <w:t>4</w:t>
      </w:r>
      <w:r>
        <w:rPr>
          <w:rFonts w:hint="eastAsia" w:ascii="Times New Roman" w:hAnsi="Times New Roman" w:eastAsia="黑体"/>
          <w:iCs/>
          <w:lang w:eastAsia="zh-CN"/>
        </w:rPr>
        <w:t>．</w:t>
      </w:r>
      <w:r>
        <w:rPr>
          <w:rFonts w:ascii="Times New Roman" w:hAnsi="Times New Roman" w:eastAsia="黑体"/>
          <w:iCs/>
          <w:lang w:eastAsia="zh-CN"/>
        </w:rPr>
        <w:t>数据质量评价（可选项）</w:t>
      </w:r>
    </w:p>
    <w:p w14:paraId="41A8D369">
      <w:pPr>
        <w:spacing w:line="276" w:lineRule="auto"/>
        <w:ind w:firstLine="420" w:firstLineChars="200"/>
        <w:rPr>
          <w:rFonts w:ascii="Times New Roman" w:hAnsi="Times New Roman"/>
          <w:iCs/>
          <w:lang w:eastAsia="zh-CN"/>
        </w:rPr>
      </w:pPr>
      <w:r>
        <w:rPr>
          <w:rFonts w:ascii="Times New Roman" w:hAnsi="Times New Roman"/>
          <w:iCs/>
          <w:lang w:eastAsia="zh-CN"/>
        </w:rPr>
        <w:t>数据质量可从定性和定量两个方面对报告使用的初级数据和次级数据进行评价，具体评价内容包括数据来源、完整性、数据代表性（时间、地理、技术）和准确性。</w:t>
      </w:r>
    </w:p>
    <w:p w14:paraId="04C3392B">
      <w:pPr>
        <w:spacing w:line="600" w:lineRule="auto"/>
        <w:rPr>
          <w:rFonts w:ascii="Times New Roman" w:hAnsi="Times New Roman" w:eastAsia="黑体"/>
          <w:iCs/>
          <w:lang w:eastAsia="zh-CN"/>
        </w:rPr>
      </w:pPr>
      <w:r>
        <w:rPr>
          <w:rFonts w:ascii="Times New Roman" w:hAnsi="Times New Roman" w:eastAsia="黑体"/>
          <w:iCs/>
          <w:lang w:eastAsia="zh-CN"/>
        </w:rPr>
        <w:t>五、影响评价</w:t>
      </w:r>
    </w:p>
    <w:p w14:paraId="5074C7D0">
      <w:pPr>
        <w:spacing w:line="600" w:lineRule="auto"/>
        <w:rPr>
          <w:rFonts w:ascii="Times New Roman" w:hAnsi="Times New Roman" w:eastAsia="黑体"/>
          <w:iCs/>
          <w:lang w:eastAsia="zh-CN"/>
        </w:rPr>
      </w:pPr>
      <w:r>
        <w:rPr>
          <w:rFonts w:hint="eastAsia" w:ascii="Times New Roman" w:hAnsi="Times New Roman" w:eastAsia="黑体"/>
          <w:iCs/>
          <w:lang w:eastAsia="zh-CN"/>
        </w:rPr>
        <w:t>1.</w:t>
      </w:r>
      <w:r>
        <w:rPr>
          <w:rFonts w:ascii="Times New Roman" w:hAnsi="Times New Roman" w:eastAsia="黑体"/>
          <w:iCs/>
          <w:lang w:eastAsia="zh-CN"/>
        </w:rPr>
        <w:t>影响类型和特征化因子选择</w:t>
      </w:r>
    </w:p>
    <w:p w14:paraId="2B226250">
      <w:pPr>
        <w:spacing w:line="276" w:lineRule="auto"/>
        <w:ind w:firstLine="420" w:firstLineChars="200"/>
        <w:rPr>
          <w:rFonts w:ascii="Times New Roman" w:hAnsi="Times New Roman"/>
          <w:iCs/>
          <w:lang w:eastAsia="zh-CN"/>
        </w:rPr>
      </w:pPr>
      <w:r>
        <w:rPr>
          <w:rFonts w:ascii="Times New Roman" w:hAnsi="Times New Roman"/>
          <w:iCs/>
          <w:lang w:eastAsia="zh-CN"/>
        </w:rPr>
        <w:t>一般选择IPCC给出的100年</w:t>
      </w:r>
      <m:oMath>
        <m:r>
          <m:rPr/>
          <w:rPr>
            <w:rFonts w:ascii="Cambria Math" w:hAnsi="Cambria Math"/>
            <w:lang w:eastAsia="zh-CN"/>
          </w:rPr>
          <m:t>GWP</m:t>
        </m:r>
      </m:oMath>
      <w:r>
        <w:rPr>
          <w:rFonts w:ascii="Times New Roman" w:hAnsi="Times New Roman"/>
          <w:iCs/>
          <w:lang w:eastAsia="zh-CN"/>
        </w:rPr>
        <w:t>。</w:t>
      </w:r>
    </w:p>
    <w:p w14:paraId="6122522E">
      <w:pPr>
        <w:spacing w:line="600" w:lineRule="auto"/>
        <w:rPr>
          <w:rFonts w:ascii="Times New Roman" w:hAnsi="Times New Roman" w:eastAsia="黑体"/>
          <w:iCs/>
          <w:lang w:eastAsia="zh-CN"/>
        </w:rPr>
      </w:pPr>
      <w:r>
        <w:rPr>
          <w:rFonts w:hint="eastAsia" w:ascii="Times New Roman" w:hAnsi="Times New Roman" w:eastAsia="黑体"/>
          <w:iCs/>
          <w:lang w:eastAsia="zh-CN"/>
        </w:rPr>
        <w:t>2.</w:t>
      </w:r>
      <w:r>
        <w:rPr>
          <w:rFonts w:ascii="Times New Roman" w:hAnsi="Times New Roman" w:eastAsia="黑体"/>
          <w:iCs/>
          <w:lang w:eastAsia="zh-CN"/>
        </w:rPr>
        <w:t>产品碳足迹结果计算</w:t>
      </w:r>
    </w:p>
    <w:p w14:paraId="7CB7949C">
      <w:pPr>
        <w:spacing w:line="600" w:lineRule="auto"/>
        <w:rPr>
          <w:rFonts w:ascii="Times New Roman" w:hAnsi="Times New Roman" w:eastAsia="黑体"/>
          <w:iCs/>
          <w:lang w:eastAsia="zh-CN"/>
        </w:rPr>
      </w:pPr>
      <w:r>
        <w:rPr>
          <w:rFonts w:ascii="Times New Roman" w:hAnsi="Times New Roman" w:eastAsia="黑体"/>
          <w:iCs/>
          <w:lang w:eastAsia="zh-CN"/>
        </w:rPr>
        <w:t>六、结果解释</w:t>
      </w:r>
    </w:p>
    <w:p w14:paraId="29CD2613">
      <w:pPr>
        <w:spacing w:line="276" w:lineRule="auto"/>
        <w:rPr>
          <w:rFonts w:ascii="Times New Roman" w:hAnsi="Times New Roman" w:eastAsia="黑体"/>
          <w:iCs/>
          <w:lang w:eastAsia="zh-CN"/>
        </w:rPr>
      </w:pPr>
      <w:r>
        <w:rPr>
          <w:rFonts w:hint="eastAsia" w:ascii="Times New Roman" w:hAnsi="Times New Roman" w:eastAsia="黑体"/>
          <w:iCs/>
          <w:lang w:eastAsia="zh-CN"/>
        </w:rPr>
        <w:t>1.</w:t>
      </w:r>
      <w:r>
        <w:rPr>
          <w:rFonts w:ascii="Times New Roman" w:hAnsi="Times New Roman" w:eastAsia="黑体"/>
          <w:iCs/>
          <w:lang w:eastAsia="zh-CN"/>
        </w:rPr>
        <w:t>结果说明</w:t>
      </w:r>
    </w:p>
    <w:p w14:paraId="3E3A750E">
      <w:pPr>
        <w:spacing w:line="276" w:lineRule="auto"/>
        <w:ind w:firstLine="420" w:firstLineChars="200"/>
        <w:rPr>
          <w:rFonts w:ascii="Times New Roman" w:hAnsi="Times New Roman"/>
          <w:iCs/>
          <w:lang w:eastAsia="zh-CN"/>
        </w:rPr>
      </w:pPr>
      <w:r>
        <w:rPr>
          <w:rFonts w:hint="eastAsia" w:ascii="Times New Roman" w:hAnsi="Times New Roman"/>
          <w:iCs/>
          <w:u w:val="single"/>
          <w:lang w:eastAsia="zh-CN"/>
        </w:rPr>
        <w:t xml:space="preserve">          </w:t>
      </w:r>
      <w:r>
        <w:rPr>
          <w:rFonts w:ascii="Times New Roman" w:hAnsi="Times New Roman"/>
          <w:iCs/>
          <w:lang w:eastAsia="zh-CN"/>
        </w:rPr>
        <w:t>公司（填写产品生产者的全名）生产的</w:t>
      </w:r>
      <w:r>
        <w:rPr>
          <w:rFonts w:hint="eastAsia" w:ascii="Times New Roman" w:hAnsi="Times New Roman"/>
          <w:iCs/>
          <w:u w:val="single"/>
          <w:lang w:eastAsia="zh-CN"/>
        </w:rPr>
        <w:t xml:space="preserve">       </w:t>
      </w:r>
      <w:r>
        <w:rPr>
          <w:rFonts w:ascii="Times New Roman" w:hAnsi="Times New Roman"/>
          <w:iCs/>
          <w:lang w:eastAsia="zh-CN"/>
        </w:rPr>
        <w:t>（填写所评价的产品名称，每功能单位的产品），从</w:t>
      </w:r>
      <w:r>
        <w:rPr>
          <w:rFonts w:hint="eastAsia" w:ascii="Times New Roman" w:hAnsi="Times New Roman"/>
          <w:iCs/>
          <w:u w:val="single"/>
          <w:lang w:eastAsia="zh-CN"/>
        </w:rPr>
        <w:t xml:space="preserve">          </w:t>
      </w:r>
      <w:r>
        <w:rPr>
          <w:rFonts w:ascii="Times New Roman" w:hAnsi="Times New Roman"/>
          <w:iCs/>
          <w:lang w:eastAsia="zh-CN"/>
        </w:rPr>
        <w:t>（填写某生命周期阶段）到</w:t>
      </w:r>
      <w:r>
        <w:rPr>
          <w:rFonts w:hint="eastAsia" w:ascii="Times New Roman" w:hAnsi="Times New Roman"/>
          <w:iCs/>
          <w:u w:val="single"/>
          <w:lang w:eastAsia="zh-CN"/>
        </w:rPr>
        <w:t xml:space="preserve">           </w:t>
      </w:r>
      <w:r>
        <w:rPr>
          <w:rFonts w:ascii="Times New Roman" w:hAnsi="Times New Roman"/>
          <w:iCs/>
          <w:lang w:eastAsia="zh-CN"/>
        </w:rPr>
        <w:t>（填写某生命周期阶段）生命周期碳足迹为</w:t>
      </w:r>
      <w:r>
        <w:rPr>
          <w:rFonts w:hint="eastAsia" w:ascii="Times New Roman" w:hAnsi="Times New Roman"/>
          <w:iCs/>
          <w:u w:val="single"/>
          <w:lang w:eastAsia="zh-CN"/>
        </w:rPr>
        <w:t xml:space="preserve">       </w:t>
      </w:r>
      <w:r>
        <w:rPr>
          <w:rFonts w:ascii="Times New Roman" w:hAnsi="Times New Roman"/>
          <w:iCs/>
          <w:lang w:eastAsia="zh-CN"/>
        </w:rPr>
        <w:t>kgC</w:t>
      </w:r>
      <w:r>
        <w:rPr>
          <w:rFonts w:hint="eastAsia" w:ascii="Times New Roman" w:hAnsi="Times New Roman"/>
          <w:iCs/>
          <w:lang w:eastAsia="zh-CN"/>
        </w:rPr>
        <w:t>O</w:t>
      </w:r>
      <w:r>
        <w:rPr>
          <w:rFonts w:ascii="Times New Roman" w:hAnsi="Times New Roman"/>
          <w:iCs/>
          <w:vertAlign w:val="subscript"/>
          <w:lang w:eastAsia="zh-CN"/>
        </w:rPr>
        <w:t>2</w:t>
      </w:r>
      <w:r>
        <w:rPr>
          <w:rFonts w:ascii="Times New Roman" w:hAnsi="Times New Roman"/>
          <w:iCs/>
          <w:lang w:eastAsia="zh-CN"/>
        </w:rPr>
        <w:t>e。各生命周期阶段的温室气体排放情况如表2和图2所示。</w:t>
      </w:r>
    </w:p>
    <w:p w14:paraId="63A95EDE">
      <w:pPr>
        <w:spacing w:before="120" w:beforeLines="50" w:after="120" w:afterLines="50" w:line="276" w:lineRule="auto"/>
        <w:jc w:val="center"/>
        <w:rPr>
          <w:rFonts w:ascii="Times New Roman" w:hAnsi="Times New Roman" w:eastAsia="黑体"/>
          <w:iCs/>
          <w:lang w:eastAsia="zh-CN"/>
        </w:rPr>
      </w:pPr>
      <w:r>
        <w:rPr>
          <w:rFonts w:ascii="Times New Roman" w:hAnsi="Times New Roman" w:eastAsia="黑体"/>
          <w:iCs/>
          <w:lang w:eastAsia="zh-CN"/>
        </w:rPr>
        <w:t xml:space="preserve">表2 </w:t>
      </w:r>
      <w:r>
        <w:rPr>
          <w:rFonts w:hint="eastAsia" w:ascii="Times New Roman" w:hAnsi="Times New Roman" w:eastAsia="黑体"/>
          <w:iCs/>
          <w:lang w:eastAsia="zh-CN"/>
        </w:rPr>
        <w:t xml:space="preserve"> </w:t>
      </w:r>
      <w:r>
        <w:rPr>
          <w:rFonts w:ascii="Times New Roman" w:hAnsi="Times New Roman" w:eastAsia="黑体"/>
          <w:iCs/>
          <w:lang w:eastAsia="zh-CN"/>
        </w:rPr>
        <w:t>生命周期各阶段碳排放情况</w:t>
      </w:r>
    </w:p>
    <w:tbl>
      <w:tblPr>
        <w:tblStyle w:val="8"/>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87"/>
        <w:gridCol w:w="3121"/>
        <w:gridCol w:w="3078"/>
      </w:tblGrid>
      <w:tr w14:paraId="10E3E780">
        <w:tc>
          <w:tcPr>
            <w:tcW w:w="1662" w:type="pct"/>
            <w:vAlign w:val="center"/>
          </w:tcPr>
          <w:p w14:paraId="73A9611B">
            <w:pPr>
              <w:widowControl/>
              <w:spacing w:line="276" w:lineRule="auto"/>
              <w:jc w:val="center"/>
              <w:rPr>
                <w:rFonts w:ascii="Times New Roman" w:hAnsi="Times New Roman"/>
                <w:iCs/>
                <w:sz w:val="18"/>
                <w:szCs w:val="18"/>
              </w:rPr>
            </w:pPr>
            <w:r>
              <w:rPr>
                <w:rFonts w:hint="eastAsia" w:ascii="Times New Roman" w:hAnsi="Times New Roman"/>
                <w:iCs/>
                <w:sz w:val="18"/>
                <w:szCs w:val="18"/>
              </w:rPr>
              <w:t>生命周期阶段</w:t>
            </w:r>
          </w:p>
        </w:tc>
        <w:tc>
          <w:tcPr>
            <w:tcW w:w="1680" w:type="pct"/>
            <w:vAlign w:val="center"/>
          </w:tcPr>
          <w:p w14:paraId="43FF4FAE">
            <w:pPr>
              <w:widowControl/>
              <w:jc w:val="center"/>
              <w:rPr>
                <w:rFonts w:ascii="Times New Roman" w:hAnsi="Times New Roman"/>
                <w:sz w:val="18"/>
                <w:szCs w:val="18"/>
                <w:lang w:eastAsia="zh-CN"/>
              </w:rPr>
            </w:pPr>
            <w:r>
              <w:rPr>
                <w:rFonts w:hint="eastAsia" w:ascii="Times New Roman" w:hAnsi="Times New Roman"/>
                <w:iCs/>
                <w:sz w:val="18"/>
                <w:szCs w:val="18"/>
                <w:lang w:eastAsia="zh-CN"/>
              </w:rPr>
              <w:t>碳足迹/（kgCO</w:t>
            </w:r>
            <w:r>
              <w:rPr>
                <w:rFonts w:hint="eastAsia" w:ascii="Times New Roman" w:hAnsi="Times New Roman"/>
                <w:iCs/>
                <w:sz w:val="18"/>
                <w:szCs w:val="18"/>
                <w:vertAlign w:val="subscript"/>
                <w:lang w:eastAsia="zh-CN"/>
              </w:rPr>
              <w:t>2</w:t>
            </w:r>
            <w:r>
              <w:rPr>
                <w:rFonts w:hint="eastAsia" w:ascii="Times New Roman" w:hAnsi="Times New Roman"/>
                <w:iCs/>
                <w:sz w:val="18"/>
                <w:szCs w:val="18"/>
                <w:lang w:eastAsia="zh-CN"/>
              </w:rPr>
              <w:t>/功能单位）</w:t>
            </w:r>
          </w:p>
        </w:tc>
        <w:tc>
          <w:tcPr>
            <w:tcW w:w="1657" w:type="pct"/>
            <w:vAlign w:val="center"/>
          </w:tcPr>
          <w:p w14:paraId="34A09E41">
            <w:pPr>
              <w:widowControl/>
              <w:spacing w:line="276" w:lineRule="auto"/>
              <w:jc w:val="center"/>
              <w:rPr>
                <w:rFonts w:ascii="Times New Roman" w:hAnsi="Times New Roman"/>
                <w:iCs/>
                <w:sz w:val="18"/>
                <w:szCs w:val="18"/>
              </w:rPr>
            </w:pPr>
            <w:r>
              <w:rPr>
                <w:rFonts w:hint="eastAsia" w:ascii="Times New Roman" w:hAnsi="Times New Roman"/>
                <w:iCs/>
                <w:sz w:val="18"/>
                <w:szCs w:val="18"/>
              </w:rPr>
              <w:t>百分比%</w:t>
            </w:r>
          </w:p>
        </w:tc>
      </w:tr>
      <w:tr w14:paraId="57D96749">
        <w:tc>
          <w:tcPr>
            <w:tcW w:w="1662" w:type="pct"/>
            <w:vAlign w:val="center"/>
          </w:tcPr>
          <w:p w14:paraId="1234E2B5">
            <w:pPr>
              <w:widowControl/>
              <w:spacing w:line="276" w:lineRule="auto"/>
              <w:jc w:val="center"/>
              <w:rPr>
                <w:rFonts w:ascii="Times New Roman" w:hAnsi="Times New Roman"/>
                <w:iCs/>
                <w:sz w:val="18"/>
                <w:szCs w:val="18"/>
              </w:rPr>
            </w:pPr>
            <w:r>
              <w:rPr>
                <w:rFonts w:hint="eastAsia" w:ascii="Times New Roman" w:hAnsi="Times New Roman"/>
                <w:iCs/>
                <w:sz w:val="18"/>
                <w:szCs w:val="18"/>
              </w:rPr>
              <w:t>原材料获取</w:t>
            </w:r>
          </w:p>
        </w:tc>
        <w:tc>
          <w:tcPr>
            <w:tcW w:w="1680" w:type="pct"/>
            <w:vAlign w:val="center"/>
          </w:tcPr>
          <w:p w14:paraId="11E9FEFE">
            <w:pPr>
              <w:widowControl/>
              <w:spacing w:line="276" w:lineRule="auto"/>
              <w:jc w:val="center"/>
              <w:rPr>
                <w:rFonts w:ascii="Times New Roman" w:hAnsi="Times New Roman"/>
                <w:iCs/>
                <w:sz w:val="18"/>
                <w:szCs w:val="18"/>
              </w:rPr>
            </w:pPr>
          </w:p>
        </w:tc>
        <w:tc>
          <w:tcPr>
            <w:tcW w:w="1657" w:type="pct"/>
            <w:vAlign w:val="center"/>
          </w:tcPr>
          <w:p w14:paraId="58E80374">
            <w:pPr>
              <w:widowControl/>
              <w:spacing w:line="276" w:lineRule="auto"/>
              <w:jc w:val="center"/>
              <w:rPr>
                <w:rFonts w:ascii="Times New Roman" w:hAnsi="Times New Roman"/>
                <w:iCs/>
                <w:sz w:val="18"/>
                <w:szCs w:val="18"/>
              </w:rPr>
            </w:pPr>
          </w:p>
        </w:tc>
      </w:tr>
      <w:tr w14:paraId="3248079D">
        <w:tc>
          <w:tcPr>
            <w:tcW w:w="1662" w:type="pct"/>
            <w:vAlign w:val="center"/>
          </w:tcPr>
          <w:p w14:paraId="4A5C35CF">
            <w:pPr>
              <w:widowControl/>
              <w:spacing w:line="276" w:lineRule="auto"/>
              <w:jc w:val="center"/>
              <w:rPr>
                <w:rFonts w:ascii="Times New Roman" w:hAnsi="Times New Roman"/>
                <w:iCs/>
                <w:sz w:val="18"/>
                <w:szCs w:val="18"/>
              </w:rPr>
            </w:pPr>
            <w:r>
              <w:rPr>
                <w:rFonts w:hint="eastAsia" w:ascii="Times New Roman" w:hAnsi="Times New Roman"/>
                <w:iCs/>
                <w:sz w:val="18"/>
                <w:szCs w:val="18"/>
              </w:rPr>
              <w:t>生产</w:t>
            </w:r>
          </w:p>
        </w:tc>
        <w:tc>
          <w:tcPr>
            <w:tcW w:w="1680" w:type="pct"/>
            <w:vAlign w:val="center"/>
          </w:tcPr>
          <w:p w14:paraId="4E891B51">
            <w:pPr>
              <w:widowControl/>
              <w:spacing w:line="276" w:lineRule="auto"/>
              <w:jc w:val="center"/>
              <w:rPr>
                <w:rFonts w:ascii="Times New Roman" w:hAnsi="Times New Roman"/>
                <w:iCs/>
                <w:sz w:val="18"/>
                <w:szCs w:val="18"/>
              </w:rPr>
            </w:pPr>
          </w:p>
        </w:tc>
        <w:tc>
          <w:tcPr>
            <w:tcW w:w="1657" w:type="pct"/>
            <w:vAlign w:val="center"/>
          </w:tcPr>
          <w:p w14:paraId="7CE9D973">
            <w:pPr>
              <w:widowControl/>
              <w:spacing w:line="276" w:lineRule="auto"/>
              <w:jc w:val="center"/>
              <w:rPr>
                <w:rFonts w:ascii="Times New Roman" w:hAnsi="Times New Roman"/>
                <w:iCs/>
                <w:sz w:val="18"/>
                <w:szCs w:val="18"/>
              </w:rPr>
            </w:pPr>
          </w:p>
        </w:tc>
      </w:tr>
      <w:tr w14:paraId="1AEE9FE6">
        <w:tc>
          <w:tcPr>
            <w:tcW w:w="1662" w:type="pct"/>
            <w:vAlign w:val="center"/>
          </w:tcPr>
          <w:p w14:paraId="1058EF2D">
            <w:pPr>
              <w:widowControl/>
              <w:spacing w:line="276" w:lineRule="auto"/>
              <w:jc w:val="center"/>
              <w:rPr>
                <w:rFonts w:ascii="Times New Roman" w:hAnsi="Times New Roman"/>
                <w:iCs/>
                <w:sz w:val="18"/>
                <w:szCs w:val="18"/>
              </w:rPr>
            </w:pPr>
            <w:r>
              <w:rPr>
                <w:rFonts w:hint="eastAsia" w:ascii="Times New Roman" w:hAnsi="Times New Roman"/>
                <w:iCs/>
                <w:sz w:val="18"/>
                <w:szCs w:val="18"/>
              </w:rPr>
              <w:t>运输（交付）</w:t>
            </w:r>
          </w:p>
        </w:tc>
        <w:tc>
          <w:tcPr>
            <w:tcW w:w="1680" w:type="pct"/>
            <w:vAlign w:val="center"/>
          </w:tcPr>
          <w:p w14:paraId="3EDC3C5B">
            <w:pPr>
              <w:widowControl/>
              <w:spacing w:line="276" w:lineRule="auto"/>
              <w:jc w:val="center"/>
              <w:rPr>
                <w:rFonts w:ascii="Times New Roman" w:hAnsi="Times New Roman"/>
                <w:iCs/>
                <w:sz w:val="18"/>
                <w:szCs w:val="18"/>
              </w:rPr>
            </w:pPr>
          </w:p>
        </w:tc>
        <w:tc>
          <w:tcPr>
            <w:tcW w:w="1657" w:type="pct"/>
            <w:vAlign w:val="center"/>
          </w:tcPr>
          <w:p w14:paraId="220452F1">
            <w:pPr>
              <w:widowControl/>
              <w:spacing w:line="276" w:lineRule="auto"/>
              <w:jc w:val="center"/>
              <w:rPr>
                <w:rFonts w:ascii="Times New Roman" w:hAnsi="Times New Roman"/>
                <w:iCs/>
                <w:sz w:val="18"/>
                <w:szCs w:val="18"/>
              </w:rPr>
            </w:pPr>
          </w:p>
        </w:tc>
      </w:tr>
      <w:tr w14:paraId="58B75F79">
        <w:tc>
          <w:tcPr>
            <w:tcW w:w="1662" w:type="pct"/>
            <w:vAlign w:val="center"/>
          </w:tcPr>
          <w:p w14:paraId="4F7904CF">
            <w:pPr>
              <w:widowControl/>
              <w:spacing w:line="276" w:lineRule="auto"/>
              <w:jc w:val="center"/>
              <w:rPr>
                <w:rFonts w:ascii="Times New Roman" w:hAnsi="Times New Roman"/>
                <w:iCs/>
                <w:sz w:val="18"/>
                <w:szCs w:val="18"/>
              </w:rPr>
            </w:pPr>
            <w:r>
              <w:rPr>
                <w:rFonts w:hint="eastAsia" w:ascii="Times New Roman" w:hAnsi="Times New Roman"/>
                <w:iCs/>
                <w:sz w:val="18"/>
                <w:szCs w:val="18"/>
              </w:rPr>
              <w:t>总计</w:t>
            </w:r>
          </w:p>
        </w:tc>
        <w:tc>
          <w:tcPr>
            <w:tcW w:w="1680" w:type="pct"/>
            <w:vAlign w:val="center"/>
          </w:tcPr>
          <w:p w14:paraId="70BA5343">
            <w:pPr>
              <w:widowControl/>
              <w:spacing w:line="276" w:lineRule="auto"/>
              <w:jc w:val="center"/>
              <w:rPr>
                <w:rFonts w:ascii="Times New Roman" w:hAnsi="Times New Roman"/>
                <w:iCs/>
                <w:sz w:val="18"/>
                <w:szCs w:val="18"/>
              </w:rPr>
            </w:pPr>
          </w:p>
        </w:tc>
        <w:tc>
          <w:tcPr>
            <w:tcW w:w="1657" w:type="pct"/>
            <w:vAlign w:val="center"/>
          </w:tcPr>
          <w:p w14:paraId="371917EB">
            <w:pPr>
              <w:widowControl/>
              <w:spacing w:line="276" w:lineRule="auto"/>
              <w:jc w:val="center"/>
              <w:rPr>
                <w:rFonts w:ascii="Times New Roman" w:hAnsi="Times New Roman"/>
                <w:iCs/>
                <w:sz w:val="18"/>
                <w:szCs w:val="18"/>
              </w:rPr>
            </w:pPr>
          </w:p>
        </w:tc>
      </w:tr>
    </w:tbl>
    <w:p w14:paraId="0DD67B47">
      <w:pPr>
        <w:spacing w:line="276" w:lineRule="auto"/>
        <w:rPr>
          <w:rFonts w:ascii="Times New Roman" w:hAnsi="Times New Roman" w:eastAsia="黑体"/>
          <w:iCs/>
        </w:rPr>
      </w:pPr>
    </w:p>
    <w:p w14:paraId="78440FDB">
      <w:pPr>
        <w:spacing w:line="276" w:lineRule="auto"/>
        <w:rPr>
          <w:rFonts w:ascii="Times New Roman" w:hAnsi="Times New Roman" w:eastAsia="黑体"/>
          <w:iCs/>
        </w:rPr>
      </w:pPr>
    </w:p>
    <w:p w14:paraId="6621462F">
      <w:pPr>
        <w:spacing w:line="276" w:lineRule="auto"/>
        <w:rPr>
          <w:rFonts w:ascii="Times New Roman" w:hAnsi="Times New Roman" w:eastAsia="黑体"/>
          <w:iCs/>
        </w:rPr>
      </w:pPr>
    </w:p>
    <w:p w14:paraId="258E5C35">
      <w:pPr>
        <w:spacing w:line="276" w:lineRule="auto"/>
        <w:rPr>
          <w:rFonts w:ascii="Times New Roman" w:hAnsi="Times New Roman" w:eastAsia="黑体"/>
          <w:iCs/>
        </w:rPr>
      </w:pPr>
    </w:p>
    <w:p w14:paraId="61741CA4">
      <w:pPr>
        <w:spacing w:line="276" w:lineRule="auto"/>
        <w:rPr>
          <w:rFonts w:ascii="Times New Roman" w:hAnsi="Times New Roman" w:eastAsia="黑体"/>
          <w:iCs/>
        </w:rPr>
      </w:pPr>
    </w:p>
    <w:p w14:paraId="3E7BB30B">
      <w:pPr>
        <w:spacing w:line="276" w:lineRule="auto"/>
        <w:rPr>
          <w:rFonts w:ascii="Times New Roman" w:hAnsi="Times New Roman" w:eastAsia="黑体"/>
          <w:iCs/>
        </w:rPr>
      </w:pPr>
    </w:p>
    <w:p w14:paraId="2A908351">
      <w:pPr>
        <w:spacing w:line="276" w:lineRule="auto"/>
        <w:rPr>
          <w:rFonts w:ascii="Times New Roman" w:hAnsi="Times New Roman"/>
          <w:iCs/>
          <w:lang w:eastAsia="zh-CN"/>
        </w:rPr>
      </w:pPr>
      <w:r>
        <w:rPr>
          <w:rFonts w:ascii="Times New Roman" w:hAnsi="Times New Roman" w:eastAsia="黑体"/>
          <w:iCs/>
          <w:lang w:eastAsia="zh-CN"/>
        </w:rPr>
        <w:t>注：</w:t>
      </w:r>
      <w:r>
        <w:rPr>
          <w:rFonts w:ascii="Times New Roman" w:hAnsi="Times New Roman"/>
          <w:iCs/>
          <w:lang w:eastAsia="zh-CN"/>
        </w:rPr>
        <w:t>具体产品生命周期阶段碳排放分布图一般以饼状图或柱形图表示各生命周期阶段的碳排放情况。</w:t>
      </w:r>
    </w:p>
    <w:p w14:paraId="050A777F">
      <w:pPr>
        <w:spacing w:line="276" w:lineRule="auto"/>
        <w:jc w:val="center"/>
        <w:rPr>
          <w:rFonts w:ascii="Times New Roman" w:hAnsi="Times New Roman" w:eastAsia="黑体"/>
          <w:iCs/>
          <w:lang w:eastAsia="zh-CN"/>
        </w:rPr>
      </w:pPr>
      <w:r>
        <w:rPr>
          <w:rFonts w:ascii="Times New Roman" w:hAnsi="Times New Roman" w:eastAsia="黑体"/>
          <w:iCs/>
          <w:lang w:eastAsia="zh-CN"/>
        </w:rPr>
        <w:t>图2 xx各生命周期阶段碳排放分布图</w:t>
      </w:r>
    </w:p>
    <w:p w14:paraId="7D96F808">
      <w:pPr>
        <w:spacing w:line="600" w:lineRule="auto"/>
        <w:rPr>
          <w:rFonts w:ascii="Times New Roman" w:hAnsi="Times New Roman" w:eastAsia="黑体"/>
          <w:iCs/>
          <w:lang w:eastAsia="zh-CN"/>
        </w:rPr>
      </w:pPr>
      <w:r>
        <w:rPr>
          <w:rFonts w:hint="eastAsia" w:ascii="Times New Roman" w:hAnsi="Times New Roman" w:eastAsia="黑体"/>
          <w:iCs/>
          <w:lang w:eastAsia="zh-CN"/>
        </w:rPr>
        <w:t>2.</w:t>
      </w:r>
      <w:r>
        <w:rPr>
          <w:rFonts w:ascii="Times New Roman" w:hAnsi="Times New Roman" w:eastAsia="黑体"/>
          <w:iCs/>
          <w:lang w:eastAsia="zh-CN"/>
        </w:rPr>
        <w:t>假设和局限性说明（可选项）</w:t>
      </w:r>
    </w:p>
    <w:p w14:paraId="23B65440">
      <w:pPr>
        <w:spacing w:line="276" w:lineRule="auto"/>
        <w:ind w:firstLine="420" w:firstLineChars="200"/>
        <w:rPr>
          <w:rFonts w:ascii="Times New Roman" w:hAnsi="Times New Roman"/>
          <w:iCs/>
          <w:lang w:eastAsia="zh-CN"/>
        </w:rPr>
      </w:pPr>
      <w:r>
        <w:rPr>
          <w:rFonts w:ascii="Times New Roman" w:hAnsi="Times New Roman"/>
          <w:iCs/>
          <w:lang w:eastAsia="zh-CN"/>
        </w:rPr>
        <w:t>结合量化情况，对范围、数据选择、情景设定等相关的假设和局限进行说明。</w:t>
      </w:r>
    </w:p>
    <w:p w14:paraId="24CAF325">
      <w:pPr>
        <w:spacing w:before="240" w:beforeLines="100" w:line="600" w:lineRule="auto"/>
        <w:rPr>
          <w:rFonts w:ascii="Times New Roman" w:hAnsi="Times New Roman" w:eastAsia="黑体"/>
          <w:iCs/>
        </w:rPr>
      </w:pPr>
      <w:r>
        <w:rPr>
          <w:rFonts w:hint="eastAsia" w:ascii="Times New Roman" w:hAnsi="Times New Roman" w:eastAsia="黑体"/>
          <w:iCs/>
        </w:rPr>
        <w:t>3.</w:t>
      </w:r>
      <w:r>
        <w:rPr>
          <w:rFonts w:ascii="Times New Roman" w:hAnsi="Times New Roman" w:eastAsia="黑体"/>
          <w:iCs/>
        </w:rPr>
        <w:t>改进建议</w:t>
      </w:r>
    </w:p>
    <w:p w14:paraId="18DE8864">
      <w:pPr>
        <w:spacing w:line="414" w:lineRule="auto"/>
      </w:pPr>
      <w:r>
        <w:rPr>
          <w:rFonts w:hint="eastAsia" w:ascii="Times New Roman" w:hAnsi="Times New Roman"/>
        </w:rPr>
        <w:br w:type="page"/>
      </w:r>
    </w:p>
    <w:p w14:paraId="2C2335C7">
      <w:pPr>
        <w:spacing w:line="293" w:lineRule="auto"/>
      </w:pPr>
      <w:bookmarkStart w:id="112" w:name="bookmark47"/>
      <w:bookmarkEnd w:id="112"/>
    </w:p>
    <w:p w14:paraId="5DD2D7C7">
      <w:pPr>
        <w:pStyle w:val="2"/>
        <w:spacing w:before="65" w:line="230" w:lineRule="auto"/>
        <w:jc w:val="center"/>
        <w:outlineLvl w:val="0"/>
        <w:rPr>
          <w:sz w:val="20"/>
          <w:szCs w:val="20"/>
        </w:rPr>
      </w:pPr>
      <w:bookmarkStart w:id="113" w:name="_Toc1813"/>
      <w:r>
        <w:rPr>
          <w:sz w:val="20"/>
          <w:szCs w:val="20"/>
        </w:rPr>
        <w:t>参</w:t>
      </w:r>
      <w:r>
        <w:rPr>
          <w:spacing w:val="9"/>
          <w:sz w:val="20"/>
          <w:szCs w:val="20"/>
        </w:rPr>
        <w:t xml:space="preserve">  </w:t>
      </w:r>
      <w:r>
        <w:rPr>
          <w:sz w:val="20"/>
          <w:szCs w:val="20"/>
        </w:rPr>
        <w:t>考</w:t>
      </w:r>
      <w:r>
        <w:rPr>
          <w:spacing w:val="11"/>
          <w:sz w:val="20"/>
          <w:szCs w:val="20"/>
        </w:rPr>
        <w:t xml:space="preserve">  </w:t>
      </w:r>
      <w:r>
        <w:rPr>
          <w:sz w:val="20"/>
          <w:szCs w:val="20"/>
        </w:rPr>
        <w:t>文</w:t>
      </w:r>
      <w:r>
        <w:rPr>
          <w:spacing w:val="9"/>
          <w:sz w:val="20"/>
          <w:szCs w:val="20"/>
        </w:rPr>
        <w:t xml:space="preserve">  </w:t>
      </w:r>
      <w:r>
        <w:rPr>
          <w:sz w:val="20"/>
          <w:szCs w:val="20"/>
        </w:rPr>
        <w:t>献</w:t>
      </w:r>
      <w:bookmarkEnd w:id="113"/>
    </w:p>
    <w:p w14:paraId="7CACC7E1">
      <w:pPr>
        <w:numPr>
          <w:ilvl w:val="0"/>
          <w:numId w:val="4"/>
        </w:numPr>
        <w:spacing w:before="264" w:line="255" w:lineRule="auto"/>
        <w:ind w:left="402" w:firstLine="449"/>
        <w:rPr>
          <w:rFonts w:ascii="宋体" w:hAnsi="宋体" w:eastAsia="宋体" w:cs="宋体"/>
          <w:spacing w:val="4"/>
          <w:sz w:val="20"/>
          <w:szCs w:val="20"/>
        </w:rPr>
      </w:pPr>
      <w:r>
        <w:rPr>
          <w:rFonts w:ascii="宋体" w:hAnsi="宋体" w:eastAsia="宋体" w:cs="宋体"/>
          <w:spacing w:val="10"/>
          <w:sz w:val="20"/>
          <w:szCs w:val="20"/>
        </w:rPr>
        <w:t xml:space="preserve"> </w:t>
      </w:r>
      <w:r>
        <w:rPr>
          <w:rFonts w:ascii="宋体" w:hAnsi="宋体" w:eastAsia="宋体" w:cs="宋体"/>
          <w:sz w:val="20"/>
          <w:szCs w:val="20"/>
        </w:rPr>
        <w:t>ISO</w:t>
      </w:r>
      <w:r>
        <w:rPr>
          <w:rFonts w:ascii="宋体" w:hAnsi="宋体" w:eastAsia="宋体" w:cs="宋体"/>
          <w:spacing w:val="10"/>
          <w:sz w:val="20"/>
          <w:szCs w:val="20"/>
        </w:rPr>
        <w:t xml:space="preserve"> 14067:2018  </w:t>
      </w:r>
      <w:r>
        <w:rPr>
          <w:rFonts w:ascii="宋体" w:hAnsi="宋体" w:eastAsia="宋体" w:cs="宋体"/>
          <w:sz w:val="20"/>
          <w:szCs w:val="20"/>
        </w:rPr>
        <w:t>Greenhouse</w:t>
      </w:r>
      <w:r>
        <w:rPr>
          <w:rFonts w:ascii="宋体" w:hAnsi="宋体" w:eastAsia="宋体" w:cs="宋体"/>
          <w:spacing w:val="10"/>
          <w:sz w:val="20"/>
          <w:szCs w:val="20"/>
        </w:rPr>
        <w:t xml:space="preserve"> </w:t>
      </w:r>
      <w:r>
        <w:rPr>
          <w:rFonts w:ascii="宋体" w:hAnsi="宋体" w:eastAsia="宋体" w:cs="宋体"/>
          <w:sz w:val="20"/>
          <w:szCs w:val="20"/>
        </w:rPr>
        <w:t>gases</w:t>
      </w:r>
      <w:r>
        <w:rPr>
          <w:rFonts w:ascii="宋体" w:hAnsi="宋体" w:eastAsia="宋体" w:cs="宋体"/>
          <w:spacing w:val="10"/>
          <w:sz w:val="20"/>
          <w:szCs w:val="20"/>
        </w:rPr>
        <w:t xml:space="preserve"> - </w:t>
      </w:r>
      <w:r>
        <w:rPr>
          <w:rFonts w:ascii="宋体" w:hAnsi="宋体" w:eastAsia="宋体" w:cs="宋体"/>
          <w:sz w:val="20"/>
          <w:szCs w:val="20"/>
        </w:rPr>
        <w:t>Carbon</w:t>
      </w:r>
      <w:r>
        <w:rPr>
          <w:rFonts w:ascii="宋体" w:hAnsi="宋体" w:eastAsia="宋体" w:cs="宋体"/>
          <w:spacing w:val="10"/>
          <w:sz w:val="20"/>
          <w:szCs w:val="20"/>
        </w:rPr>
        <w:t xml:space="preserve"> </w:t>
      </w:r>
      <w:r>
        <w:rPr>
          <w:rFonts w:ascii="宋体" w:hAnsi="宋体" w:eastAsia="宋体" w:cs="宋体"/>
          <w:sz w:val="20"/>
          <w:szCs w:val="20"/>
        </w:rPr>
        <w:t>footprint</w:t>
      </w:r>
      <w:r>
        <w:rPr>
          <w:rFonts w:ascii="宋体" w:hAnsi="宋体" w:eastAsia="宋体" w:cs="宋体"/>
          <w:spacing w:val="10"/>
          <w:sz w:val="20"/>
          <w:szCs w:val="20"/>
        </w:rPr>
        <w:t xml:space="preserve"> </w:t>
      </w:r>
      <w:r>
        <w:rPr>
          <w:rFonts w:ascii="宋体" w:hAnsi="宋体" w:eastAsia="宋体" w:cs="宋体"/>
          <w:sz w:val="20"/>
          <w:szCs w:val="20"/>
        </w:rPr>
        <w:t>of</w:t>
      </w:r>
      <w:r>
        <w:rPr>
          <w:rFonts w:ascii="宋体" w:hAnsi="宋体" w:eastAsia="宋体" w:cs="宋体"/>
          <w:spacing w:val="10"/>
          <w:sz w:val="20"/>
          <w:szCs w:val="20"/>
        </w:rPr>
        <w:t xml:space="preserve"> </w:t>
      </w:r>
      <w:r>
        <w:rPr>
          <w:rFonts w:ascii="宋体" w:hAnsi="宋体" w:eastAsia="宋体" w:cs="宋体"/>
          <w:sz w:val="20"/>
          <w:szCs w:val="20"/>
        </w:rPr>
        <w:t>products</w:t>
      </w:r>
      <w:r>
        <w:rPr>
          <w:rFonts w:ascii="宋体" w:hAnsi="宋体" w:eastAsia="宋体" w:cs="宋体"/>
          <w:spacing w:val="10"/>
          <w:sz w:val="20"/>
          <w:szCs w:val="20"/>
        </w:rPr>
        <w:t xml:space="preserve"> -</w:t>
      </w:r>
      <w:r>
        <w:rPr>
          <w:rFonts w:ascii="宋体" w:hAnsi="宋体" w:eastAsia="宋体" w:cs="宋体"/>
          <w:sz w:val="20"/>
          <w:szCs w:val="20"/>
        </w:rPr>
        <w:t>Requirements</w:t>
      </w:r>
      <w:r>
        <w:rPr>
          <w:rFonts w:ascii="宋体" w:hAnsi="宋体" w:eastAsia="宋体" w:cs="宋体"/>
          <w:spacing w:val="10"/>
          <w:sz w:val="20"/>
          <w:szCs w:val="20"/>
        </w:rPr>
        <w:t xml:space="preserve"> </w:t>
      </w:r>
      <w:r>
        <w:rPr>
          <w:rFonts w:ascii="宋体" w:hAnsi="宋体" w:eastAsia="宋体" w:cs="宋体"/>
          <w:sz w:val="20"/>
          <w:szCs w:val="20"/>
        </w:rPr>
        <w:t>and</w:t>
      </w:r>
      <w:r>
        <w:rPr>
          <w:rFonts w:ascii="宋体" w:hAnsi="宋体" w:eastAsia="宋体" w:cs="宋体"/>
          <w:spacing w:val="14"/>
          <w:sz w:val="20"/>
          <w:szCs w:val="20"/>
        </w:rPr>
        <w:t xml:space="preserve"> </w:t>
      </w:r>
      <w:r>
        <w:rPr>
          <w:rFonts w:ascii="宋体" w:hAnsi="宋体" w:eastAsia="宋体" w:cs="宋体"/>
          <w:spacing w:val="4"/>
          <w:sz w:val="20"/>
          <w:szCs w:val="20"/>
        </w:rPr>
        <w:t>guidelines for quantification</w:t>
      </w:r>
    </w:p>
    <w:p w14:paraId="0B7CF3BC">
      <w:pPr>
        <w:numPr>
          <w:ilvl w:val="0"/>
          <w:numId w:val="4"/>
        </w:numPr>
        <w:spacing w:line="255" w:lineRule="auto"/>
        <w:ind w:left="403" w:firstLine="448"/>
        <w:rPr>
          <w:rFonts w:ascii="宋体" w:hAnsi="宋体" w:eastAsia="宋体" w:cs="宋体"/>
          <w:spacing w:val="4"/>
          <w:sz w:val="20"/>
          <w:szCs w:val="20"/>
          <w:lang w:eastAsia="zh-CN"/>
        </w:rPr>
      </w:pPr>
      <w:r>
        <w:rPr>
          <w:rFonts w:ascii="宋体" w:hAnsi="宋体" w:eastAsia="宋体" w:cs="宋体"/>
          <w:sz w:val="20"/>
          <w:szCs w:val="20"/>
          <w:lang w:eastAsia="zh-CN"/>
        </w:rPr>
        <w:t>GB</w:t>
      </w:r>
      <w:r>
        <w:rPr>
          <w:rFonts w:ascii="宋体" w:hAnsi="宋体" w:eastAsia="宋体" w:cs="宋体"/>
          <w:spacing w:val="7"/>
          <w:sz w:val="20"/>
          <w:szCs w:val="20"/>
          <w:lang w:eastAsia="zh-CN"/>
        </w:rPr>
        <w:t xml:space="preserve">/T </w:t>
      </w:r>
      <w:r>
        <w:rPr>
          <w:rFonts w:hint="eastAsia" w:ascii="宋体" w:hAnsi="宋体" w:eastAsia="宋体" w:cs="宋体"/>
          <w:spacing w:val="7"/>
          <w:sz w:val="20"/>
          <w:szCs w:val="20"/>
          <w:lang w:eastAsia="zh-CN"/>
        </w:rPr>
        <w:t>24067-2024</w:t>
      </w:r>
      <w:r>
        <w:rPr>
          <w:rFonts w:ascii="宋体" w:hAnsi="宋体" w:eastAsia="宋体" w:cs="宋体"/>
          <w:spacing w:val="7"/>
          <w:sz w:val="20"/>
          <w:szCs w:val="20"/>
          <w:lang w:eastAsia="zh-CN"/>
        </w:rPr>
        <w:t xml:space="preserve">  </w:t>
      </w:r>
      <w:r>
        <w:rPr>
          <w:rFonts w:hint="eastAsia" w:ascii="宋体" w:hAnsi="宋体" w:eastAsia="宋体" w:cs="宋体"/>
          <w:spacing w:val="7"/>
          <w:sz w:val="20"/>
          <w:szCs w:val="20"/>
          <w:lang w:eastAsia="zh-CN"/>
        </w:rPr>
        <w:t>温室气体 产品碳足迹 量化要求和指南</w:t>
      </w:r>
    </w:p>
    <w:p w14:paraId="539F237A">
      <w:pPr>
        <w:spacing w:before="71" w:line="226" w:lineRule="auto"/>
        <w:ind w:left="851"/>
        <w:rPr>
          <w:rFonts w:ascii="宋体" w:hAnsi="宋体" w:eastAsia="宋体" w:cs="宋体"/>
          <w:sz w:val="20"/>
          <w:szCs w:val="20"/>
          <w:lang w:eastAsia="zh-CN"/>
        </w:rPr>
      </w:pPr>
      <w:r>
        <w:rPr>
          <w:rFonts w:ascii="宋体" w:hAnsi="宋体" w:eastAsia="宋体" w:cs="宋体"/>
          <w:spacing w:val="5"/>
          <w:sz w:val="20"/>
          <w:szCs w:val="20"/>
          <w:lang w:eastAsia="zh-CN"/>
        </w:rPr>
        <w:t>[</w:t>
      </w:r>
      <w:r>
        <w:rPr>
          <w:rFonts w:hint="eastAsia" w:ascii="宋体" w:hAnsi="宋体" w:eastAsia="宋体" w:cs="宋体"/>
          <w:spacing w:val="5"/>
          <w:sz w:val="20"/>
          <w:szCs w:val="20"/>
          <w:lang w:eastAsia="zh-CN"/>
        </w:rPr>
        <w:t>3</w:t>
      </w:r>
      <w:r>
        <w:rPr>
          <w:rFonts w:ascii="宋体" w:hAnsi="宋体" w:eastAsia="宋体" w:cs="宋体"/>
          <w:spacing w:val="5"/>
          <w:sz w:val="20"/>
          <w:szCs w:val="20"/>
          <w:lang w:eastAsia="zh-CN"/>
        </w:rPr>
        <w:t xml:space="preserve">] </w:t>
      </w:r>
      <w:r>
        <w:rPr>
          <w:rFonts w:ascii="宋体" w:hAnsi="宋体" w:eastAsia="宋体" w:cs="宋体"/>
          <w:sz w:val="20"/>
          <w:szCs w:val="20"/>
          <w:lang w:eastAsia="zh-CN"/>
        </w:rPr>
        <w:t>GB</w:t>
      </w:r>
      <w:r>
        <w:rPr>
          <w:rFonts w:ascii="宋体" w:hAnsi="宋体" w:eastAsia="宋体" w:cs="宋体"/>
          <w:spacing w:val="5"/>
          <w:sz w:val="20"/>
          <w:szCs w:val="20"/>
          <w:lang w:eastAsia="zh-CN"/>
        </w:rPr>
        <w:t>/T 24040  环境管理</w:t>
      </w:r>
      <w:r>
        <w:rPr>
          <w:rFonts w:ascii="宋体" w:hAnsi="宋体" w:eastAsia="宋体" w:cs="宋体"/>
          <w:spacing w:val="32"/>
          <w:sz w:val="20"/>
          <w:szCs w:val="20"/>
          <w:lang w:eastAsia="zh-CN"/>
        </w:rPr>
        <w:t xml:space="preserve"> </w:t>
      </w:r>
      <w:r>
        <w:rPr>
          <w:rFonts w:ascii="宋体" w:hAnsi="宋体" w:eastAsia="宋体" w:cs="宋体"/>
          <w:spacing w:val="5"/>
          <w:sz w:val="20"/>
          <w:szCs w:val="20"/>
          <w:lang w:eastAsia="zh-CN"/>
        </w:rPr>
        <w:t>生命周期评价</w:t>
      </w:r>
      <w:r>
        <w:rPr>
          <w:rFonts w:ascii="宋体" w:hAnsi="宋体" w:eastAsia="宋体" w:cs="宋体"/>
          <w:spacing w:val="21"/>
          <w:sz w:val="20"/>
          <w:szCs w:val="20"/>
          <w:lang w:eastAsia="zh-CN"/>
        </w:rPr>
        <w:t xml:space="preserve"> </w:t>
      </w:r>
      <w:r>
        <w:rPr>
          <w:rFonts w:ascii="宋体" w:hAnsi="宋体" w:eastAsia="宋体" w:cs="宋体"/>
          <w:spacing w:val="5"/>
          <w:sz w:val="20"/>
          <w:szCs w:val="20"/>
          <w:lang w:eastAsia="zh-CN"/>
        </w:rPr>
        <w:t>原则与框架</w:t>
      </w:r>
    </w:p>
    <w:p w14:paraId="1B20D14B">
      <w:pPr>
        <w:spacing w:before="68" w:line="226" w:lineRule="auto"/>
        <w:ind w:left="851"/>
        <w:rPr>
          <w:rFonts w:ascii="宋体" w:hAnsi="宋体" w:eastAsia="宋体" w:cs="宋体"/>
          <w:sz w:val="20"/>
          <w:szCs w:val="20"/>
          <w:lang w:eastAsia="zh-CN"/>
        </w:rPr>
      </w:pPr>
      <w:r>
        <w:rPr>
          <w:rFonts w:ascii="宋体" w:hAnsi="宋体" w:eastAsia="宋体" w:cs="宋体"/>
          <w:spacing w:val="6"/>
          <w:sz w:val="20"/>
          <w:szCs w:val="20"/>
          <w:lang w:eastAsia="zh-CN"/>
        </w:rPr>
        <w:t>[</w:t>
      </w:r>
      <w:r>
        <w:rPr>
          <w:rFonts w:hint="eastAsia" w:ascii="宋体" w:hAnsi="宋体" w:eastAsia="宋体" w:cs="宋体"/>
          <w:spacing w:val="6"/>
          <w:sz w:val="20"/>
          <w:szCs w:val="20"/>
          <w:lang w:eastAsia="zh-CN"/>
        </w:rPr>
        <w:t>4</w:t>
      </w:r>
      <w:r>
        <w:rPr>
          <w:rFonts w:ascii="宋体" w:hAnsi="宋体" w:eastAsia="宋体" w:cs="宋体"/>
          <w:spacing w:val="6"/>
          <w:sz w:val="20"/>
          <w:szCs w:val="20"/>
          <w:lang w:eastAsia="zh-CN"/>
        </w:rPr>
        <w:t xml:space="preserve">] </w:t>
      </w:r>
      <w:r>
        <w:rPr>
          <w:rFonts w:ascii="宋体" w:hAnsi="宋体" w:eastAsia="宋体" w:cs="宋体"/>
          <w:sz w:val="20"/>
          <w:szCs w:val="20"/>
          <w:lang w:eastAsia="zh-CN"/>
        </w:rPr>
        <w:t>GB</w:t>
      </w:r>
      <w:r>
        <w:rPr>
          <w:rFonts w:ascii="宋体" w:hAnsi="宋体" w:eastAsia="宋体" w:cs="宋体"/>
          <w:spacing w:val="6"/>
          <w:sz w:val="20"/>
          <w:szCs w:val="20"/>
          <w:lang w:eastAsia="zh-CN"/>
        </w:rPr>
        <w:t>/T 24044  环境管理</w:t>
      </w:r>
      <w:r>
        <w:rPr>
          <w:rFonts w:ascii="宋体" w:hAnsi="宋体" w:eastAsia="宋体" w:cs="宋体"/>
          <w:spacing w:val="18"/>
          <w:sz w:val="20"/>
          <w:szCs w:val="20"/>
          <w:lang w:eastAsia="zh-CN"/>
        </w:rPr>
        <w:t xml:space="preserve"> </w:t>
      </w:r>
      <w:r>
        <w:rPr>
          <w:rFonts w:ascii="宋体" w:hAnsi="宋体" w:eastAsia="宋体" w:cs="宋体"/>
          <w:spacing w:val="5"/>
          <w:sz w:val="20"/>
          <w:szCs w:val="20"/>
          <w:lang w:eastAsia="zh-CN"/>
        </w:rPr>
        <w:t>生命周期评价</w:t>
      </w:r>
      <w:r>
        <w:rPr>
          <w:rFonts w:ascii="宋体" w:hAnsi="宋体" w:eastAsia="宋体" w:cs="宋体"/>
          <w:spacing w:val="17"/>
          <w:sz w:val="20"/>
          <w:szCs w:val="20"/>
          <w:lang w:eastAsia="zh-CN"/>
        </w:rPr>
        <w:t xml:space="preserve"> </w:t>
      </w:r>
      <w:r>
        <w:rPr>
          <w:rFonts w:ascii="宋体" w:hAnsi="宋体" w:eastAsia="宋体" w:cs="宋体"/>
          <w:spacing w:val="5"/>
          <w:sz w:val="20"/>
          <w:szCs w:val="20"/>
          <w:lang w:eastAsia="zh-CN"/>
        </w:rPr>
        <w:t>要求与指南</w:t>
      </w:r>
    </w:p>
    <w:sectPr>
      <w:headerReference r:id="rId12" w:type="default"/>
      <w:footerReference r:id="rId13" w:type="default"/>
      <w:pgSz w:w="11906" w:h="16839"/>
      <w:pgMar w:top="1417" w:right="1417" w:bottom="1134" w:left="1417" w:header="0" w:footer="994"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Arial">
    <w:panose1 w:val="020B0604020202090204"/>
    <w:charset w:val="00"/>
    <w:family w:val="swiss"/>
    <w:pitch w:val="default"/>
    <w:sig w:usb0="E0000AFF" w:usb1="00007843" w:usb2="00000001" w:usb3="00000000" w:csb0="400001BF" w:csb1="DFF70000"/>
  </w:font>
  <w:font w:name="微软雅黑">
    <w:altName w:val="汉仪旗黑"/>
    <w:panose1 w:val="020B0503020204020204"/>
    <w:charset w:val="86"/>
    <w:family w:val="swiss"/>
    <w:pitch w:val="default"/>
    <w:sig w:usb0="00000000" w:usb1="00000000" w:usb2="00000016" w:usb3="00000000" w:csb0="0004001F" w:csb1="00000000"/>
  </w:font>
  <w:font w:name="Cambria Math">
    <w:altName w:val="Kingsoft Math"/>
    <w:panose1 w:val="02040503050406030204"/>
    <w:charset w:val="00"/>
    <w:family w:val="roman"/>
    <w:pitch w:val="default"/>
    <w:sig w:usb0="00000000" w:usb1="00000000" w:usb2="02000000" w:usb3="00000000" w:csb0="0000019F" w:csb1="00000000"/>
  </w:font>
  <w:font w:name="汉仪书宋二KW">
    <w:panose1 w:val="00020600040101010101"/>
    <w:charset w:val="86"/>
    <w:family w:val="auto"/>
    <w:pitch w:val="default"/>
    <w:sig w:usb0="A00002BF" w:usb1="18EF7CFA" w:usb2="00000016" w:usb3="00000000" w:csb0="00040000" w:csb1="00000000"/>
  </w:font>
  <w:font w:name="汉仪中黑KW">
    <w:panose1 w:val="00020600040101010101"/>
    <w:charset w:val="86"/>
    <w:family w:val="auto"/>
    <w:pitch w:val="default"/>
    <w:sig w:usb0="A00002BF" w:usb1="18EF7CFA" w:usb2="00000016" w:usb3="00000000" w:csb0="00040000" w:csb1="00000000"/>
  </w:font>
  <w:font w:name="冬青黑体简体中文">
    <w:panose1 w:val="020B0300000000000000"/>
    <w:charset w:val="86"/>
    <w:family w:val="auto"/>
    <w:pitch w:val="default"/>
    <w:sig w:usb0="A00002BF" w:usb1="1ACF7CFA" w:usb2="00000016" w:usb3="00000000" w:csb0="00060007" w:csb1="00000000"/>
  </w:font>
  <w:font w:name="宋体-简">
    <w:panose1 w:val="02010800040101010101"/>
    <w:charset w:val="86"/>
    <w:family w:val="auto"/>
    <w:pitch w:val="default"/>
    <w:sig w:usb0="00000001" w:usb1="080F0000" w:usb2="00000000" w:usb3="00000000" w:csb0="00040000" w:csb1="00000000"/>
  </w:font>
  <w:font w:name="汉仪旗黑">
    <w:panose1 w:val="00020600040101010101"/>
    <w:charset w:val="86"/>
    <w:family w:val="auto"/>
    <w:pitch w:val="default"/>
    <w:sig w:usb0="A00002BF" w:usb1="1ACF7CFA" w:usb2="00000016" w:usb3="00000000" w:csb0="0004009F" w:csb1="DFD70000"/>
  </w:font>
  <w:font w:name="Kingsoft Math">
    <w:panose1 w:val="02040503050406030204"/>
    <w:charset w:val="00"/>
    <w:family w:val="auto"/>
    <w:pitch w:val="default"/>
    <w:sig w:usb0="80000087" w:usb1="00002068" w:usb2="00000000" w:usb3="00000000" w:csb0="2000019F" w:csb1="00000000"/>
  </w:font>
  <w:font w:name="DejaVu Math TeX Gyre">
    <w:panose1 w:val="02000503000000000000"/>
    <w:charset w:val="00"/>
    <w:family w:val="auto"/>
    <w:pitch w:val="default"/>
    <w:sig w:usb0="A10000EF" w:usb1="4201F9EE" w:usb2="02000000" w:usb3="00000000" w:csb0="60000193" w:csb1="0DD4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5FDB4B">
    <w:pPr>
      <w:spacing w:line="173" w:lineRule="auto"/>
      <w:ind w:left="9198"/>
      <w:rPr>
        <w:rFonts w:ascii="Times New Roman" w:hAnsi="Times New Roman" w:eastAsia="Times New Roman" w:cs="Times New Roman"/>
        <w:sz w:val="18"/>
        <w:szCs w:val="18"/>
      </w:rPr>
    </w:pPr>
    <w:r>
      <w:rPr>
        <w:rFonts w:ascii="Times New Roman" w:hAnsi="Times New Roman" w:eastAsia="Times New Roman" w:cs="Times New Roman"/>
        <w:sz w:val="18"/>
        <w:szCs w:val="18"/>
      </w:rPr>
      <w:t>I</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47C52D">
    <w:pPr>
      <w:spacing w:line="173" w:lineRule="auto"/>
      <w:ind w:left="112"/>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5" name="文本框 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678C416">
                          <w:pPr>
                            <w:pStyle w:val="4"/>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OxXU/0tAgAAVwQAAA4AAAAAAAAAAQAgAAAAHwEAAGRycy9lMm9Eb2MueG1sUEsFBgAAAAAG&#10;AAYAWQEAAL4FAAAAAA==&#10;">
              <v:fill on="f" focussize="0,0"/>
              <v:stroke on="f" weight="0.5pt"/>
              <v:imagedata o:title=""/>
              <o:lock v:ext="edit" aspectratio="f"/>
              <v:textbox inset="0mm,0mm,0mm,0mm" style="mso-fit-shape-to-text:t;">
                <w:txbxContent>
                  <w:p w14:paraId="2678C416">
                    <w:pPr>
                      <w:pStyle w:val="4"/>
                    </w:pPr>
                    <w:r>
                      <w:fldChar w:fldCharType="begin"/>
                    </w:r>
                    <w:r>
                      <w:instrText xml:space="preserve"> PAGE  \* MERGEFORMAT </w:instrText>
                    </w:r>
                    <w:r>
                      <w:fldChar w:fldCharType="separate"/>
                    </w:r>
                    <w:r>
                      <w:t>3</w:t>
                    </w:r>
                    <w:r>
                      <w:fldChar w:fldCharType="end"/>
                    </w:r>
                  </w:p>
                </w:txbxContent>
              </v:textbox>
            </v:shape>
          </w:pict>
        </mc:Fallback>
      </mc:AlternateContent>
    </w:r>
    <w:r>
      <w:rPr>
        <w:rFonts w:ascii="Times New Roman" w:hAnsi="Times New Roman" w:eastAsia="Times New Roman" w:cs="Times New Roman"/>
        <w:spacing w:val="-3"/>
        <w:sz w:val="18"/>
        <w:szCs w:val="18"/>
      </w:rPr>
      <w:t>II</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0036EF">
    <w:pPr>
      <w:spacing w:line="176" w:lineRule="auto"/>
      <w:ind w:left="398"/>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6" name="文本框 3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EEE7379">
                          <w:pPr>
                            <w:pStyle w:val="4"/>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SBpj0tAgAAVwQAAA4AAABkcnMvZTJvRG9jLnhtbK1UzY7TMBC+I/EO&#10;lu80aVdU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BSBpj0tAgAAVwQAAA4AAAAAAAAAAQAgAAAAHwEAAGRycy9lMm9Eb2MueG1sUEsFBgAAAAAG&#10;AAYAWQEAAL4FAAAAAA==&#10;">
              <v:fill on="f" focussize="0,0"/>
              <v:stroke on="f" weight="0.5pt"/>
              <v:imagedata o:title=""/>
              <o:lock v:ext="edit" aspectratio="f"/>
              <v:textbox inset="0mm,0mm,0mm,0mm" style="mso-fit-shape-to-text:t;">
                <w:txbxContent>
                  <w:p w14:paraId="6EEE7379">
                    <w:pPr>
                      <w:pStyle w:val="4"/>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0DB0AE">
    <w:pPr>
      <w:spacing w:line="176" w:lineRule="auto"/>
      <w:ind w:left="40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7" name="文本框 3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0C8099D">
                          <w:pPr>
                            <w:pStyle w:val="4"/>
                          </w:pPr>
                          <w:r>
                            <w:fldChar w:fldCharType="begin"/>
                          </w:r>
                          <w:r>
                            <w:instrText xml:space="preserve"> PAGE  \* MERGEFORMAT </w:instrText>
                          </w:r>
                          <w:r>
                            <w:fldChar w:fldCharType="separate"/>
                          </w:r>
                          <w:r>
                            <w:t>11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zM9X0tAgAAVwQAAA4AAABkcnMvZTJvRG9jLnhtbK1UzY7TMBC+I/EO&#10;lu80aVcs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LzM9X0tAgAAVwQAAA4AAAAAAAAAAQAgAAAAHwEAAGRycy9lMm9Eb2MueG1sUEsFBgAAAAAG&#10;AAYAWQEAAL4FAAAAAA==&#10;">
              <v:fill on="f" focussize="0,0"/>
              <v:stroke on="f" weight="0.5pt"/>
              <v:imagedata o:title=""/>
              <o:lock v:ext="edit" aspectratio="f"/>
              <v:textbox inset="0mm,0mm,0mm,0mm" style="mso-fit-shape-to-text:t;">
                <w:txbxContent>
                  <w:p w14:paraId="00C8099D">
                    <w:pPr>
                      <w:pStyle w:val="4"/>
                    </w:pPr>
                    <w:r>
                      <w:fldChar w:fldCharType="begin"/>
                    </w:r>
                    <w:r>
                      <w:instrText xml:space="preserve"> PAGE  \* MERGEFORMAT </w:instrText>
                    </w:r>
                    <w:r>
                      <w:fldChar w:fldCharType="separate"/>
                    </w:r>
                    <w:r>
                      <w:t>11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FCE42B">
    <w:pPr>
      <w:spacing w:line="176" w:lineRule="auto"/>
      <w:ind w:left="9378"/>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39" name="文本框 3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83B118D">
                          <w:pPr>
                            <w:pStyle w:val="4"/>
                          </w:pPr>
                          <w:r>
                            <w:fldChar w:fldCharType="begin"/>
                          </w:r>
                          <w:r>
                            <w:instrText xml:space="preserve"> PAGE  \* MERGEFORMAT </w:instrText>
                          </w:r>
                          <w:r>
                            <w:fldChar w:fldCharType="separate"/>
                          </w:r>
                          <w:r>
                            <w:t>18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4AZkgtAgAAVwQAAA4AAABkcnMvZTJvRG9jLnhtbK1UzY7TMBC+I/EO&#10;lu80aVesSt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I4AZkgtAgAAVwQAAA4AAAAAAAAAAQAgAAAAHwEAAGRycy9lMm9Eb2MueG1sUEsFBgAAAAAG&#10;AAYAWQEAAL4FAAAAAA==&#10;">
              <v:fill on="f" focussize="0,0"/>
              <v:stroke on="f" weight="0.5pt"/>
              <v:imagedata o:title=""/>
              <o:lock v:ext="edit" aspectratio="f"/>
              <v:textbox inset="0mm,0mm,0mm,0mm" style="mso-fit-shape-to-text:t;">
                <w:txbxContent>
                  <w:p w14:paraId="583B118D">
                    <w:pPr>
                      <w:pStyle w:val="4"/>
                    </w:pPr>
                    <w:r>
                      <w:fldChar w:fldCharType="begin"/>
                    </w:r>
                    <w:r>
                      <w:instrText xml:space="preserve"> PAGE  \* MERGEFORMAT </w:instrText>
                    </w:r>
                    <w:r>
                      <w:fldChar w:fldCharType="separate"/>
                    </w:r>
                    <w:r>
                      <w:t>18</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10F80B">
    <w:pPr>
      <w:spacing w:line="14" w:lineRule="auto"/>
      <w:rPr>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3206E4">
    <w:pPr>
      <w:jc w:val="right"/>
      <w:rPr>
        <w:spacing w:val="6"/>
        <w:position w:val="1"/>
        <w:sz w:val="20"/>
        <w:szCs w:val="20"/>
        <w:lang w:eastAsia="zh-CN"/>
      </w:rPr>
    </w:pPr>
  </w:p>
  <w:p w14:paraId="3E3F4A1F">
    <w:pPr>
      <w:jc w:val="right"/>
      <w:rPr>
        <w:spacing w:val="6"/>
        <w:position w:val="1"/>
        <w:sz w:val="20"/>
        <w:szCs w:val="20"/>
        <w:lang w:eastAsia="zh-CN"/>
      </w:rPr>
    </w:pPr>
  </w:p>
  <w:p w14:paraId="1D0B5351">
    <w:pPr>
      <w:jc w:val="right"/>
      <w:rPr>
        <w:spacing w:val="6"/>
        <w:position w:val="1"/>
        <w:sz w:val="20"/>
        <w:szCs w:val="20"/>
        <w:lang w:eastAsia="zh-CN"/>
      </w:rPr>
    </w:pPr>
  </w:p>
  <w:p w14:paraId="56880BE9">
    <w:pPr>
      <w:jc w:val="right"/>
      <w:rPr>
        <w:spacing w:val="6"/>
        <w:position w:val="1"/>
        <w:sz w:val="20"/>
        <w:szCs w:val="20"/>
        <w:lang w:eastAsia="zh-CN"/>
      </w:rPr>
    </w:pPr>
  </w:p>
  <w:p w14:paraId="3C3DE068">
    <w:pPr>
      <w:jc w:val="right"/>
      <w:rPr>
        <w:spacing w:val="6"/>
        <w:position w:val="1"/>
        <w:sz w:val="20"/>
        <w:szCs w:val="20"/>
        <w:lang w:eastAsia="zh-CN"/>
      </w:rPr>
    </w:pPr>
  </w:p>
  <w:p w14:paraId="2CD6CBCD">
    <w:pPr>
      <w:jc w:val="right"/>
    </w:pPr>
    <w:r>
      <w:rPr>
        <w:rFonts w:hint="eastAsia"/>
        <w:spacing w:val="6"/>
        <w:position w:val="1"/>
        <w:sz w:val="20"/>
        <w:szCs w:val="20"/>
        <w:lang w:eastAsia="zh-CN"/>
      </w:rPr>
      <w:t>T/XXXX XXX—2025</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91E0B1">
    <w:pPr>
      <w:pStyle w:val="2"/>
      <w:spacing w:before="65" w:line="264" w:lineRule="exact"/>
      <w:ind w:left="116"/>
      <w:jc w:val="right"/>
      <w:rPr>
        <w:spacing w:val="6"/>
        <w:position w:val="1"/>
        <w:sz w:val="20"/>
        <w:szCs w:val="20"/>
        <w:lang w:eastAsia="zh-CN"/>
      </w:rPr>
    </w:pPr>
  </w:p>
  <w:p w14:paraId="31659AFA">
    <w:pPr>
      <w:pStyle w:val="2"/>
      <w:spacing w:before="65" w:line="264" w:lineRule="exact"/>
      <w:ind w:left="116"/>
      <w:jc w:val="right"/>
      <w:rPr>
        <w:spacing w:val="6"/>
        <w:position w:val="1"/>
        <w:sz w:val="20"/>
        <w:szCs w:val="20"/>
        <w:lang w:eastAsia="zh-CN"/>
      </w:rPr>
    </w:pPr>
  </w:p>
  <w:p w14:paraId="21F736E6">
    <w:pPr>
      <w:pStyle w:val="2"/>
      <w:spacing w:before="65" w:line="264" w:lineRule="exact"/>
      <w:ind w:left="116"/>
      <w:jc w:val="right"/>
      <w:rPr>
        <w:spacing w:val="6"/>
        <w:position w:val="1"/>
        <w:sz w:val="20"/>
        <w:szCs w:val="20"/>
        <w:lang w:eastAsia="zh-CN"/>
      </w:rPr>
    </w:pPr>
  </w:p>
  <w:p w14:paraId="2401EA60">
    <w:pPr>
      <w:pStyle w:val="2"/>
      <w:spacing w:before="65" w:line="264" w:lineRule="exact"/>
      <w:ind w:left="116"/>
      <w:jc w:val="right"/>
      <w:rPr>
        <w:spacing w:val="6"/>
        <w:position w:val="1"/>
        <w:sz w:val="20"/>
        <w:szCs w:val="20"/>
        <w:lang w:eastAsia="zh-CN"/>
      </w:rPr>
    </w:pPr>
  </w:p>
  <w:p w14:paraId="78893006">
    <w:pPr>
      <w:pStyle w:val="2"/>
      <w:spacing w:before="65" w:line="264" w:lineRule="exact"/>
      <w:ind w:left="116"/>
      <w:jc w:val="right"/>
      <w:rPr>
        <w:sz w:val="20"/>
        <w:szCs w:val="20"/>
        <w:lang w:eastAsia="zh-CN"/>
      </w:rPr>
    </w:pPr>
    <w:r>
      <w:rPr>
        <w:rFonts w:hint="eastAsia"/>
        <w:spacing w:val="6"/>
        <w:position w:val="1"/>
        <w:sz w:val="20"/>
        <w:szCs w:val="20"/>
        <w:lang w:eastAsia="zh-CN"/>
      </w:rPr>
      <w:t>T/XXXX XXX—2025</w:t>
    </w:r>
  </w:p>
  <w:p w14:paraId="42045D80"/>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28CF2A">
    <w:pPr>
      <w:pStyle w:val="2"/>
      <w:spacing w:before="65" w:line="264" w:lineRule="exact"/>
      <w:jc w:val="right"/>
      <w:rPr>
        <w:spacing w:val="6"/>
        <w:position w:val="1"/>
        <w:sz w:val="20"/>
        <w:szCs w:val="20"/>
        <w:lang w:eastAsia="zh-CN"/>
      </w:rPr>
    </w:pPr>
  </w:p>
  <w:p w14:paraId="2EA06895">
    <w:pPr>
      <w:pStyle w:val="2"/>
      <w:spacing w:before="65" w:line="264" w:lineRule="exact"/>
      <w:jc w:val="right"/>
      <w:rPr>
        <w:spacing w:val="6"/>
        <w:position w:val="1"/>
        <w:sz w:val="20"/>
        <w:szCs w:val="20"/>
        <w:lang w:eastAsia="zh-CN"/>
      </w:rPr>
    </w:pPr>
  </w:p>
  <w:p w14:paraId="5AD8EC60">
    <w:pPr>
      <w:pStyle w:val="2"/>
      <w:spacing w:before="65" w:line="264" w:lineRule="exact"/>
      <w:jc w:val="right"/>
      <w:rPr>
        <w:spacing w:val="6"/>
        <w:position w:val="1"/>
        <w:sz w:val="20"/>
        <w:szCs w:val="20"/>
        <w:lang w:eastAsia="zh-CN"/>
      </w:rPr>
    </w:pPr>
  </w:p>
  <w:p w14:paraId="4EF10D52">
    <w:pPr>
      <w:pStyle w:val="2"/>
      <w:spacing w:before="65" w:line="264" w:lineRule="exact"/>
      <w:jc w:val="right"/>
      <w:rPr>
        <w:sz w:val="20"/>
        <w:szCs w:val="20"/>
        <w:lang w:eastAsia="zh-CN"/>
      </w:rPr>
    </w:pPr>
    <w:r>
      <w:rPr>
        <w:rFonts w:hint="eastAsia"/>
        <w:spacing w:val="6"/>
        <w:position w:val="1"/>
        <w:sz w:val="20"/>
        <w:szCs w:val="20"/>
        <w:lang w:eastAsia="zh-CN"/>
      </w:rPr>
      <w:t>T/XXXX XXX—2025</w:t>
    </w:r>
  </w:p>
  <w:p w14:paraId="1098D297">
    <w:pPr>
      <w:spacing w:line="14" w:lineRule="auto"/>
      <w:rPr>
        <w:sz w:val="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5479B2">
    <w:pPr>
      <w:jc w:val="right"/>
      <w:rPr>
        <w:spacing w:val="6"/>
        <w:position w:val="1"/>
        <w:sz w:val="20"/>
        <w:szCs w:val="20"/>
        <w:lang w:eastAsia="zh-CN"/>
      </w:rPr>
    </w:pPr>
  </w:p>
  <w:p w14:paraId="6DCD6C97">
    <w:pPr>
      <w:jc w:val="right"/>
      <w:rPr>
        <w:spacing w:val="6"/>
        <w:position w:val="1"/>
        <w:sz w:val="20"/>
        <w:szCs w:val="20"/>
        <w:lang w:eastAsia="zh-CN"/>
      </w:rPr>
    </w:pPr>
  </w:p>
  <w:p w14:paraId="7CCBCF45">
    <w:pPr>
      <w:jc w:val="right"/>
      <w:rPr>
        <w:spacing w:val="6"/>
        <w:position w:val="1"/>
        <w:sz w:val="20"/>
        <w:szCs w:val="20"/>
        <w:lang w:eastAsia="zh-CN"/>
      </w:rPr>
    </w:pPr>
  </w:p>
  <w:p w14:paraId="31DB71FE">
    <w:pPr>
      <w:jc w:val="right"/>
      <w:rPr>
        <w:spacing w:val="6"/>
        <w:position w:val="1"/>
        <w:sz w:val="20"/>
        <w:szCs w:val="20"/>
        <w:lang w:eastAsia="zh-CN"/>
      </w:rPr>
    </w:pPr>
  </w:p>
  <w:p w14:paraId="4AB0F4B7">
    <w:pPr>
      <w:jc w:val="right"/>
      <w:rPr>
        <w:spacing w:val="6"/>
        <w:position w:val="1"/>
        <w:sz w:val="20"/>
        <w:szCs w:val="20"/>
        <w:lang w:eastAsia="zh-CN"/>
      </w:rPr>
    </w:pPr>
  </w:p>
  <w:p w14:paraId="01A8E959">
    <w:pPr>
      <w:jc w:val="right"/>
    </w:pPr>
    <w:r>
      <w:rPr>
        <w:rFonts w:hint="eastAsia"/>
        <w:spacing w:val="6"/>
        <w:position w:val="1"/>
        <w:sz w:val="20"/>
        <w:szCs w:val="20"/>
        <w:lang w:eastAsia="zh-CN"/>
      </w:rPr>
      <w:t>T/XXXX XXX—2025</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4F760F">
    <w:pPr>
      <w:pStyle w:val="2"/>
      <w:spacing w:before="65" w:line="264" w:lineRule="exact"/>
      <w:jc w:val="right"/>
      <w:rPr>
        <w:spacing w:val="6"/>
        <w:position w:val="1"/>
        <w:sz w:val="20"/>
        <w:szCs w:val="20"/>
        <w:lang w:eastAsia="zh-CN"/>
      </w:rPr>
    </w:pPr>
  </w:p>
  <w:p w14:paraId="4370FE68">
    <w:pPr>
      <w:pStyle w:val="2"/>
      <w:spacing w:before="65" w:line="264" w:lineRule="exact"/>
      <w:jc w:val="right"/>
      <w:rPr>
        <w:spacing w:val="6"/>
        <w:position w:val="1"/>
        <w:sz w:val="20"/>
        <w:szCs w:val="20"/>
        <w:lang w:eastAsia="zh-CN"/>
      </w:rPr>
    </w:pPr>
  </w:p>
  <w:p w14:paraId="60DCB744">
    <w:pPr>
      <w:pStyle w:val="2"/>
      <w:spacing w:before="65" w:line="264" w:lineRule="exact"/>
      <w:jc w:val="right"/>
      <w:rPr>
        <w:spacing w:val="6"/>
        <w:position w:val="1"/>
        <w:sz w:val="20"/>
        <w:szCs w:val="20"/>
        <w:lang w:eastAsia="zh-CN"/>
      </w:rPr>
    </w:pPr>
  </w:p>
  <w:p w14:paraId="0E6FA397">
    <w:pPr>
      <w:pStyle w:val="2"/>
      <w:spacing w:before="65" w:line="264" w:lineRule="exact"/>
      <w:jc w:val="right"/>
    </w:pPr>
    <w:r>
      <w:rPr>
        <w:rFonts w:hint="eastAsia"/>
        <w:spacing w:val="6"/>
        <w:position w:val="1"/>
        <w:sz w:val="20"/>
        <w:szCs w:val="20"/>
        <w:lang w:eastAsia="zh-CN"/>
      </w:rPr>
      <w:t>T/XXXX XXX—2025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E5E02B2"/>
    <w:multiLevelType w:val="singleLevel"/>
    <w:tmpl w:val="FE5E02B2"/>
    <w:lvl w:ilvl="0" w:tentative="0">
      <w:start w:val="1"/>
      <w:numFmt w:val="decimal"/>
      <w:suff w:val="space"/>
      <w:lvlText w:val="[%1]"/>
      <w:lvlJc w:val="left"/>
    </w:lvl>
  </w:abstractNum>
  <w:abstractNum w:abstractNumId="1">
    <w:nsid w:val="083227BF"/>
    <w:multiLevelType w:val="multilevel"/>
    <w:tmpl w:val="083227BF"/>
    <w:lvl w:ilvl="0" w:tentative="0">
      <w:start w:val="1"/>
      <w:numFmt w:val="decimal"/>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2">
    <w:nsid w:val="657D3FBC"/>
    <w:multiLevelType w:val="multilevel"/>
    <w:tmpl w:val="657D3FBC"/>
    <w:lvl w:ilvl="0" w:tentative="0">
      <w:start w:val="1"/>
      <w:numFmt w:val="upperLetter"/>
      <w:pStyle w:val="20"/>
      <w:suff w:val="nothing"/>
      <w:lvlText w:val="附　录　%1"/>
      <w:lvlJc w:val="left"/>
      <w:pPr>
        <w:ind w:left="0" w:firstLine="0"/>
      </w:pPr>
      <w:rPr>
        <w:rFonts w:hint="eastAsia" w:ascii="黑体" w:hAnsi="Times New Roman" w:eastAsia="黑体"/>
        <w:b w:val="0"/>
        <w:i w:val="0"/>
        <w:spacing w:val="0"/>
        <w:w w:val="100"/>
        <w:sz w:val="21"/>
      </w:rPr>
    </w:lvl>
    <w:lvl w:ilvl="1" w:tentative="0">
      <w:start w:val="1"/>
      <w:numFmt w:val="decimal"/>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3">
    <w:nsid w:val="6CEA2025"/>
    <w:multiLevelType w:val="multilevel"/>
    <w:tmpl w:val="6CEA2025"/>
    <w:lvl w:ilvl="0" w:tentative="0">
      <w:start w:val="1"/>
      <w:numFmt w:val="none"/>
      <w:suff w:val="nothing"/>
      <w:lvlText w:val="%1"/>
      <w:lvlJc w:val="left"/>
      <w:pPr>
        <w:ind w:left="0" w:firstLine="0"/>
      </w:pPr>
      <w:rPr>
        <w:rFonts w:hint="eastAsia"/>
      </w:rPr>
    </w:lvl>
    <w:lvl w:ilvl="1" w:tentative="0">
      <w:start w:val="1"/>
      <w:numFmt w:val="decimal"/>
      <w:pStyle w:val="18"/>
      <w:suff w:val="nothing"/>
      <w:lvlText w:val="%1%2　"/>
      <w:lvlJc w:val="left"/>
      <w:pPr>
        <w:ind w:left="0" w:firstLine="0"/>
      </w:pPr>
      <w:rPr>
        <w:rFonts w:hint="eastAsia" w:ascii="黑体" w:eastAsia="黑体"/>
        <w:b w:val="0"/>
        <w:i w:val="0"/>
        <w:sz w:val="21"/>
      </w:rPr>
    </w:lvl>
    <w:lvl w:ilvl="2" w:tentative="0">
      <w:start w:val="1"/>
      <w:numFmt w:val="decimal"/>
      <w:pStyle w:val="17"/>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rPr>
    </w:lvl>
    <w:lvl w:ilvl="3" w:tentative="0">
      <w:start w:val="1"/>
      <w:numFmt w:val="decimal"/>
      <w:pStyle w:val="15"/>
      <w:suff w:val="nothing"/>
      <w:lvlText w:val="%1%2.%3.%4　"/>
      <w:lvlJc w:val="left"/>
      <w:pPr>
        <w:ind w:left="567" w:firstLine="0"/>
      </w:pPr>
      <w:rPr>
        <w:rFonts w:hint="eastAsia" w:ascii="黑体" w:eastAsia="黑体"/>
        <w:b w:val="0"/>
        <w:i w:val="0"/>
        <w:sz w:val="21"/>
      </w:rPr>
    </w:lvl>
    <w:lvl w:ilvl="4" w:tentative="0">
      <w:start w:val="1"/>
      <w:numFmt w:val="decimal"/>
      <w:suff w:val="nothing"/>
      <w:lvlText w:val="%1%2.%3.%4.%5　"/>
      <w:lvlJc w:val="left"/>
      <w:pPr>
        <w:ind w:left="0" w:firstLine="0"/>
      </w:pPr>
      <w:rPr>
        <w:rFonts w:hint="eastAsia" w:ascii="黑体" w:eastAsia="黑体"/>
        <w:b w:val="0"/>
        <w:i w:val="0"/>
        <w:sz w:val="21"/>
      </w:rPr>
    </w:lvl>
    <w:lvl w:ilvl="5" w:tentative="0">
      <w:start w:val="1"/>
      <w:numFmt w:val="decimal"/>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6"/>
  <w:displayBackgroundShape w:val="1"/>
  <w:documentProtection w:enforcement="0"/>
  <w:defaultTabStop w:val="420"/>
  <w:noPunctuationKerning w:val="1"/>
  <w:characterSpacingControl w:val="doNotCompress"/>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NDIwYmFjZDNmZTM3MzYwYTEyZDQzY2M1NmIzNjI3YWYifQ=="/>
  </w:docVars>
  <w:rsids>
    <w:rsidRoot w:val="000F178E"/>
    <w:rsid w:val="000F178E"/>
    <w:rsid w:val="00B92FC3"/>
    <w:rsid w:val="00D57214"/>
    <w:rsid w:val="00EB7E60"/>
    <w:rsid w:val="03D352ED"/>
    <w:rsid w:val="04CC1D57"/>
    <w:rsid w:val="0635436F"/>
    <w:rsid w:val="08264D7D"/>
    <w:rsid w:val="0F4177AE"/>
    <w:rsid w:val="12C0175C"/>
    <w:rsid w:val="17662372"/>
    <w:rsid w:val="1BEFBE33"/>
    <w:rsid w:val="222608A0"/>
    <w:rsid w:val="25CF44EA"/>
    <w:rsid w:val="28212236"/>
    <w:rsid w:val="290F02E0"/>
    <w:rsid w:val="2A100030"/>
    <w:rsid w:val="2E3461E2"/>
    <w:rsid w:val="2F041F69"/>
    <w:rsid w:val="33D45C44"/>
    <w:rsid w:val="3411315F"/>
    <w:rsid w:val="34476B80"/>
    <w:rsid w:val="34563CE8"/>
    <w:rsid w:val="34FF56AD"/>
    <w:rsid w:val="39205BF2"/>
    <w:rsid w:val="3AB17449"/>
    <w:rsid w:val="3C312273"/>
    <w:rsid w:val="3C42278D"/>
    <w:rsid w:val="430579F1"/>
    <w:rsid w:val="45B63B66"/>
    <w:rsid w:val="46F81F5C"/>
    <w:rsid w:val="499E503D"/>
    <w:rsid w:val="4AA85D85"/>
    <w:rsid w:val="4B555EB7"/>
    <w:rsid w:val="4BE807F1"/>
    <w:rsid w:val="4BF70A34"/>
    <w:rsid w:val="4DF516F1"/>
    <w:rsid w:val="51C27D36"/>
    <w:rsid w:val="55F23734"/>
    <w:rsid w:val="57AE0B41"/>
    <w:rsid w:val="5C2F46B7"/>
    <w:rsid w:val="5DBB3FB7"/>
    <w:rsid w:val="5FCF78A6"/>
    <w:rsid w:val="61280B0C"/>
    <w:rsid w:val="61677FB2"/>
    <w:rsid w:val="622A34BA"/>
    <w:rsid w:val="653B59DE"/>
    <w:rsid w:val="65622F6B"/>
    <w:rsid w:val="68550B65"/>
    <w:rsid w:val="691E364C"/>
    <w:rsid w:val="6A8853F7"/>
    <w:rsid w:val="6EDA6267"/>
    <w:rsid w:val="729A3D44"/>
    <w:rsid w:val="743903A1"/>
    <w:rsid w:val="754F1AA5"/>
    <w:rsid w:val="756B5E6B"/>
    <w:rsid w:val="75F83468"/>
    <w:rsid w:val="79AE6327"/>
    <w:rsid w:val="7BFD3595"/>
    <w:rsid w:val="7CF83334"/>
    <w:rsid w:val="7E7437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en-US" w:bidi="ar-SA"/>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Body Text"/>
    <w:basedOn w:val="1"/>
    <w:semiHidden/>
    <w:qFormat/>
    <w:uiPriority w:val="0"/>
    <w:rPr>
      <w:rFonts w:ascii="黑体" w:hAnsi="黑体" w:eastAsia="黑体" w:cs="黑体"/>
      <w:sz w:val="28"/>
      <w:szCs w:val="28"/>
    </w:rPr>
  </w:style>
  <w:style w:type="paragraph" w:styleId="3">
    <w:name w:val="toc 3"/>
    <w:basedOn w:val="1"/>
    <w:next w:val="1"/>
    <w:qFormat/>
    <w:uiPriority w:val="0"/>
    <w:pPr>
      <w:ind w:left="840" w:leftChars="400"/>
    </w:pPr>
  </w:style>
  <w:style w:type="paragraph" w:styleId="4">
    <w:name w:val="footer"/>
    <w:basedOn w:val="1"/>
    <w:qFormat/>
    <w:uiPriority w:val="0"/>
    <w:pPr>
      <w:tabs>
        <w:tab w:val="center" w:pos="4153"/>
        <w:tab w:val="right" w:pos="8306"/>
      </w:tabs>
    </w:pPr>
    <w:rPr>
      <w:sz w:val="18"/>
    </w:rPr>
  </w:style>
  <w:style w:type="paragraph" w:styleId="5">
    <w:name w:val="toc 1"/>
    <w:basedOn w:val="1"/>
    <w:next w:val="1"/>
    <w:qFormat/>
    <w:uiPriority w:val="0"/>
  </w:style>
  <w:style w:type="paragraph" w:styleId="6">
    <w:name w:val="toc 2"/>
    <w:basedOn w:val="1"/>
    <w:next w:val="1"/>
    <w:qFormat/>
    <w:uiPriority w:val="0"/>
    <w:pPr>
      <w:ind w:left="420" w:leftChars="200"/>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
    <w:name w:val="Table Normal"/>
    <w:semiHidden/>
    <w:unhideWhenUsed/>
    <w:qFormat/>
    <w:uiPriority w:val="0"/>
    <w:tblPr>
      <w:tblCellMar>
        <w:top w:w="0" w:type="dxa"/>
        <w:left w:w="0" w:type="dxa"/>
        <w:bottom w:w="0" w:type="dxa"/>
        <w:right w:w="0" w:type="dxa"/>
      </w:tblCellMar>
    </w:tblPr>
  </w:style>
  <w:style w:type="paragraph" w:customStyle="1" w:styleId="11">
    <w:name w:val="Table Text"/>
    <w:basedOn w:val="1"/>
    <w:semiHidden/>
    <w:qFormat/>
    <w:uiPriority w:val="0"/>
    <w:rPr>
      <w:rFonts w:ascii="宋体" w:hAnsi="宋体" w:eastAsia="宋体" w:cs="宋体"/>
      <w:sz w:val="14"/>
      <w:szCs w:val="14"/>
    </w:rPr>
  </w:style>
  <w:style w:type="paragraph" w:customStyle="1" w:styleId="12">
    <w:name w:val="标准文件_公式后的破折号"/>
    <w:basedOn w:val="13"/>
    <w:next w:val="13"/>
    <w:qFormat/>
    <w:uiPriority w:val="0"/>
    <w:pPr>
      <w:ind w:left="488" w:leftChars="200" w:hanging="289" w:hangingChars="290"/>
    </w:pPr>
  </w:style>
  <w:style w:type="paragraph" w:customStyle="1" w:styleId="13">
    <w:name w:val="标准文件_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4">
    <w:name w:val="标准文件_二级无标题"/>
    <w:basedOn w:val="15"/>
    <w:qFormat/>
    <w:uiPriority w:val="0"/>
    <w:pPr>
      <w:spacing w:before="0" w:beforeLines="0" w:after="0" w:afterLines="0"/>
      <w:ind w:left="567"/>
      <w:outlineLvl w:val="9"/>
    </w:pPr>
    <w:rPr>
      <w:rFonts w:ascii="宋体" w:eastAsia="宋体"/>
    </w:rPr>
  </w:style>
  <w:style w:type="paragraph" w:customStyle="1" w:styleId="15">
    <w:name w:val="标准文件_二级条标题"/>
    <w:next w:val="13"/>
    <w:qFormat/>
    <w:uiPriority w:val="0"/>
    <w:pPr>
      <w:widowControl w:val="0"/>
      <w:numPr>
        <w:ilvl w:val="3"/>
        <w:numId w:val="1"/>
      </w:numPr>
      <w:spacing w:before="50" w:beforeLines="50" w:after="50" w:afterLines="50"/>
      <w:ind w:left="283"/>
      <w:jc w:val="both"/>
      <w:outlineLvl w:val="2"/>
    </w:pPr>
    <w:rPr>
      <w:rFonts w:ascii="黑体" w:hAnsi="Times New Roman" w:eastAsia="黑体" w:cs="Times New Roman"/>
      <w:sz w:val="21"/>
      <w:lang w:val="en-US" w:eastAsia="zh-CN" w:bidi="ar-SA"/>
    </w:rPr>
  </w:style>
  <w:style w:type="paragraph" w:customStyle="1" w:styleId="16">
    <w:name w:val="一级条标题"/>
    <w:basedOn w:val="17"/>
    <w:next w:val="19"/>
    <w:qFormat/>
    <w:uiPriority w:val="0"/>
    <w:pPr>
      <w:spacing w:before="156" w:beforeLines="50" w:after="156" w:afterLines="50"/>
    </w:pPr>
    <w:rPr>
      <w:rFonts w:ascii="Times New Roman"/>
    </w:rPr>
  </w:style>
  <w:style w:type="paragraph" w:customStyle="1" w:styleId="17">
    <w:name w:val="标准文件_一级条标题"/>
    <w:basedOn w:val="18"/>
    <w:next w:val="13"/>
    <w:qFormat/>
    <w:uiPriority w:val="99"/>
    <w:pPr>
      <w:numPr>
        <w:ilvl w:val="2"/>
      </w:numPr>
      <w:spacing w:beforeLines="0" w:afterLines="0"/>
      <w:outlineLvl w:val="1"/>
    </w:pPr>
  </w:style>
  <w:style w:type="paragraph" w:customStyle="1" w:styleId="18">
    <w:name w:val="标准文件_章标题"/>
    <w:next w:val="13"/>
    <w:qFormat/>
    <w:uiPriority w:val="0"/>
    <w:pPr>
      <w:numPr>
        <w:ilvl w:val="1"/>
        <w:numId w:val="1"/>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9">
    <w:name w:val="段"/>
    <w:basedOn w:val="1"/>
    <w:qFormat/>
    <w:uiPriority w:val="0"/>
    <w:pPr>
      <w:ind w:firstLine="420" w:firstLineChars="200"/>
    </w:pPr>
    <w:rPr>
      <w:rFonts w:ascii="Times New Roman" w:hAnsi="Times New Roman"/>
    </w:rPr>
  </w:style>
  <w:style w:type="paragraph" w:customStyle="1" w:styleId="20">
    <w:name w:val="附录标题"/>
    <w:basedOn w:val="21"/>
    <w:next w:val="19"/>
    <w:qFormat/>
    <w:uiPriority w:val="0"/>
    <w:pPr>
      <w:numPr>
        <w:ilvl w:val="0"/>
        <w:numId w:val="2"/>
      </w:numPr>
      <w:tabs>
        <w:tab w:val="left" w:pos="360"/>
        <w:tab w:val="left" w:pos="6405"/>
      </w:tabs>
      <w:spacing w:after="360" w:line="360" w:lineRule="exact"/>
    </w:pPr>
  </w:style>
  <w:style w:type="paragraph" w:customStyle="1" w:styleId="21">
    <w:name w:val="附录标识"/>
    <w:basedOn w:val="1"/>
    <w:next w:val="19"/>
    <w:qFormat/>
    <w:uiPriority w:val="0"/>
    <w:pPr>
      <w:keepNext/>
      <w:shd w:val="clear" w:color="FFFFFF" w:fill="FFFFFF"/>
      <w:tabs>
        <w:tab w:val="left" w:pos="360"/>
        <w:tab w:val="left" w:pos="6405"/>
      </w:tabs>
      <w:adjustRightInd/>
      <w:spacing w:before="640" w:after="280"/>
      <w:jc w:val="center"/>
      <w:outlineLvl w:val="0"/>
    </w:pPr>
    <w:rPr>
      <w:rFonts w:ascii="黑体" w:hAnsi="Times New Roman" w:eastAsia="黑体" w:cs="Times New Roman"/>
      <w:szCs w:val="20"/>
    </w:rPr>
  </w:style>
  <w:style w:type="paragraph" w:styleId="22">
    <w:name w:val="List Paragraph"/>
    <w:basedOn w:val="1"/>
    <w:qFormat/>
    <w:uiPriority w:val="34"/>
    <w:pPr>
      <w:adjustRightInd/>
      <w:ind w:firstLine="420" w:firstLineChars="200"/>
    </w:pPr>
  </w:style>
  <w:style w:type="paragraph" w:customStyle="1" w:styleId="23">
    <w:name w:val="WPSOffice手动目录 1"/>
    <w:qFormat/>
    <w:uiPriority w:val="0"/>
    <w:rPr>
      <w:rFonts w:ascii="Arial" w:hAnsi="Arial" w:eastAsia="Arial" w:cs="Arial"/>
      <w:lang w:val="en-US" w:eastAsia="zh-CN" w:bidi="ar-SA"/>
    </w:rPr>
  </w:style>
  <w:style w:type="paragraph" w:customStyle="1" w:styleId="24">
    <w:name w:val="WPSOffice手动目录 2"/>
    <w:qFormat/>
    <w:uiPriority w:val="0"/>
    <w:pPr>
      <w:ind w:left="200" w:leftChars="200"/>
    </w:pPr>
    <w:rPr>
      <w:rFonts w:ascii="Arial" w:hAnsi="Arial" w:eastAsia="Arial" w:cs="Arial"/>
      <w:lang w:val="en-US" w:eastAsia="zh-CN" w:bidi="ar-SA"/>
    </w:rPr>
  </w:style>
  <w:style w:type="paragraph" w:customStyle="1" w:styleId="25">
    <w:name w:val="WPSOffice手动目录 3"/>
    <w:qFormat/>
    <w:uiPriority w:val="0"/>
    <w:pPr>
      <w:ind w:left="400" w:leftChars="400"/>
    </w:pPr>
    <w:rPr>
      <w:rFonts w:ascii="Arial" w:hAnsi="Arial" w:eastAsia="Arial" w:cs="Arial"/>
      <w:lang w:val="en-US" w:eastAsia="zh-CN" w:bidi="ar-SA"/>
    </w:rPr>
  </w:style>
  <w:style w:type="paragraph" w:customStyle="1" w:styleId="26">
    <w:name w:val="标准文件_术语条一"/>
    <w:basedOn w:val="27"/>
    <w:next w:val="13"/>
    <w:qFormat/>
    <w:uiPriority w:val="0"/>
  </w:style>
  <w:style w:type="paragraph" w:customStyle="1" w:styleId="27">
    <w:name w:val="标准文件_一级无标题"/>
    <w:basedOn w:val="17"/>
    <w:qFormat/>
    <w:uiPriority w:val="0"/>
    <w:pPr>
      <w:spacing w:before="0" w:after="0"/>
      <w:outlineLvl w:val="9"/>
    </w:pPr>
    <w:rPr>
      <w:rFonts w:ascii="宋体" w:eastAsia="宋体"/>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4" Type="http://schemas.openxmlformats.org/officeDocument/2006/relationships/fontTable" Target="fontTable.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image" Target="media/image7.png"/><Relationship Id="rId20" Type="http://schemas.openxmlformats.org/officeDocument/2006/relationships/image" Target="media/image6.png"/><Relationship Id="rId2" Type="http://schemas.openxmlformats.org/officeDocument/2006/relationships/settings" Target="settings.xml"/><Relationship Id="rId19" Type="http://schemas.openxmlformats.org/officeDocument/2006/relationships/image" Target="media/image5.png"/><Relationship Id="rId18" Type="http://schemas.openxmlformats.org/officeDocument/2006/relationships/image" Target="media/image4.png"/><Relationship Id="rId17" Type="http://schemas.openxmlformats.org/officeDocument/2006/relationships/image" Target="media/image3.png"/><Relationship Id="rId16" Type="http://schemas.openxmlformats.org/officeDocument/2006/relationships/image" Target="media/image2.png"/><Relationship Id="rId15" Type="http://schemas.openxmlformats.org/officeDocument/2006/relationships/image" Target="media/image1.jpeg"/><Relationship Id="rId14" Type="http://schemas.openxmlformats.org/officeDocument/2006/relationships/theme" Target="theme/theme1.xml"/><Relationship Id="rId13" Type="http://schemas.openxmlformats.org/officeDocument/2006/relationships/footer" Target="footer5.xml"/><Relationship Id="rId12" Type="http://schemas.openxmlformats.org/officeDocument/2006/relationships/header" Target="header6.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23</Pages>
  <Words>2297</Words>
  <Characters>13096</Characters>
  <Lines>109</Lines>
  <Paragraphs>30</Paragraphs>
  <TotalTime>14</TotalTime>
  <ScaleCrop>false</ScaleCrop>
  <LinksUpToDate>false</LinksUpToDate>
  <CharactersWithSpaces>15363</CharactersWithSpaces>
  <Application>WPS Office_7.4.1.8983_F1E327BC-269C-435d-A152-05C5408002CA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2023-11-07T03:58:00Z</dcterms:created>
  <dc:creator>SIYU LIU</dc:creator>
  <cp:lastModifiedBy>狂小晓</cp:lastModifiedBy>
  <dcterms:modified xsi:type="dcterms:W3CDTF">2025-06-17T10:44:49Z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2025-05-07T13:48:05Z</vt:filetime>
  </property>
  <property fmtid="{D5CDD505-2E9C-101B-9397-08002B2CF9AE}" pid="4" name="KSOTemplateDocerSaveRecord">
    <vt:lpwstr>eyJoZGlkIjoiZDg2MjMzOTYyMDVkMDBlMGM2MjFjYjFmMDdlMmE2NzMiLCJ1c2VySWQiOiIxNTE0MjM4ODM3In0=</vt:lpwstr>
  </property>
  <property fmtid="{D5CDD505-2E9C-101B-9397-08002B2CF9AE}" pid="5" name="KSOProductBuildVer">
    <vt:lpwstr>2052-7.4.1.8983</vt:lpwstr>
  </property>
  <property fmtid="{D5CDD505-2E9C-101B-9397-08002B2CF9AE}" pid="6" name="ICV">
    <vt:lpwstr>DCEDFE669E504D4AAD528F49A3726927_12</vt:lpwstr>
  </property>
</Properties>
</file>