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BF62DB">
      <w:pPr>
        <w:pStyle w:val="35"/>
        <w:framePr w:wrap="around" w:vAnchor="page" w:hAnchor="page" w:x="1785" w:y="492"/>
        <w:rPr>
          <w:b/>
          <w:bCs/>
        </w:rPr>
      </w:pPr>
      <w:r>
        <w:rPr>
          <w:rFonts w:ascii="Times New Roman"/>
          <w:b/>
          <w:bCs/>
        </w:rPr>
        <w:t>ICS</w:t>
      </w:r>
      <w:r>
        <w:rPr>
          <w:rFonts w:hint="eastAsia" w:ascii="Times New Roman"/>
          <w:b/>
          <w:bCs/>
        </w:rPr>
        <w:t xml:space="preserve"> 11</w:t>
      </w:r>
      <w:r>
        <w:rPr>
          <w:rFonts w:ascii="Times New Roman"/>
          <w:b/>
          <w:bCs/>
        </w:rPr>
        <w:t>.0</w:t>
      </w:r>
      <w:r>
        <w:rPr>
          <w:rFonts w:hint="eastAsia" w:ascii="Times New Roman"/>
          <w:b/>
          <w:bCs/>
        </w:rPr>
        <w:t>2</w:t>
      </w:r>
      <w:r>
        <w:rPr>
          <w:rFonts w:ascii="Times New Roman"/>
          <w:b/>
          <w:bCs/>
        </w:rPr>
        <w:t>0</w:t>
      </w:r>
    </w:p>
    <w:p w14:paraId="62406DA2">
      <w:pPr>
        <w:pStyle w:val="35"/>
        <w:framePr w:wrap="around" w:vAnchor="page" w:hAnchor="page" w:x="1785" w:y="492"/>
        <w:rPr>
          <w:rFonts w:ascii="Times New Roman"/>
          <w:b/>
          <w:bCs/>
        </w:rPr>
      </w:pPr>
      <w:r>
        <w:rPr>
          <w:rFonts w:hint="eastAsia" w:ascii="Times New Roman"/>
          <w:b/>
          <w:bCs/>
        </w:rPr>
        <w:t>CCS C 05</w:t>
      </w:r>
    </w:p>
    <w:p w14:paraId="5CBAC647">
      <w:pPr>
        <w:pStyle w:val="39"/>
        <w:framePr w:w="8178" w:h="856" w:hRule="exact" w:wrap="around" w:x="2055" w:y="2221"/>
        <w:rPr>
          <w:rFonts w:hint="eastAsia" w:ascii="黑体" w:hAnsi="黑体" w:eastAsia="黑体"/>
          <w:b w:val="0"/>
          <w:sz w:val="56"/>
          <w:szCs w:val="52"/>
        </w:rPr>
      </w:pPr>
      <w:r>
        <w:rPr>
          <w:rFonts w:hint="eastAsia" w:ascii="黑体" w:hAnsi="黑体" w:eastAsia="黑体"/>
          <w:b w:val="0"/>
          <w:sz w:val="56"/>
          <w:szCs w:val="52"/>
        </w:rPr>
        <w:t>团体标准</w:t>
      </w:r>
    </w:p>
    <w:tbl>
      <w:tblPr>
        <w:tblStyle w:val="11"/>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14:paraId="5DCC8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14:paraId="04557740">
            <w:pPr>
              <w:pStyle w:val="37"/>
              <w:framePr w:wrap="around" w:x="1382" w:y="3031"/>
            </w:pPr>
            <w:r>
              <w:rPr>
                <w:rFonts w:hint="eastAsia" w:ascii="Times New Roman"/>
                <w:b/>
                <w:bCs/>
                <w:lang w:val="fr-FR"/>
              </w:rPr>
              <w:t>T</w:t>
            </w:r>
            <w:r>
              <w:rPr>
                <w:rFonts w:ascii="Times New Roman"/>
                <w:b/>
                <w:bCs/>
                <w:lang w:val="fr-FR"/>
              </w:rPr>
              <w:t>/</w:t>
            </w:r>
            <w:r>
              <w:rPr>
                <w:rFonts w:hint="eastAsia" w:ascii="Times New Roman"/>
                <w:b/>
                <w:bCs/>
                <w:lang w:val="fr-FR"/>
              </w:rPr>
              <w:t>C</w:t>
            </w:r>
            <w:bookmarkStart w:id="0" w:name="StdNo1"/>
            <w:r>
              <w:rPr>
                <w:rFonts w:hint="eastAsia" w:ascii="Times New Roman"/>
                <w:b/>
                <w:bCs/>
              </w:rPr>
              <w:t>RHA</w:t>
            </w:r>
            <w:bookmarkEnd w:id="0"/>
            <w:r>
              <w:rPr>
                <w:rFonts w:hint="eastAsia" w:ascii="Times New Roman"/>
              </w:rPr>
              <w:t xml:space="preserve"> </w:t>
            </w:r>
            <w:r>
              <w:rPr>
                <w:rFonts w:hint="eastAsia"/>
              </w:rPr>
              <w:t>XXX</w:t>
            </w:r>
            <w:r>
              <w:t>—</w:t>
            </w:r>
            <w:r>
              <w:rPr>
                <w:rFonts w:hint="eastAsia"/>
              </w:rPr>
              <w:t>2025</w:t>
            </w:r>
          </w:p>
        </w:tc>
      </w:tr>
    </w:tbl>
    <w:p w14:paraId="09DCC620">
      <w:pPr>
        <w:pStyle w:val="37"/>
        <w:framePr w:wrap="around" w:x="1382" w:y="3031"/>
        <w:jc w:val="center"/>
      </w:pPr>
      <w:r>
        <w:rPr>
          <w:rFonts w:hint="eastAsia"/>
        </w:rPr>
        <w:t>————————————————————————————————————————</w:t>
      </w:r>
    </w:p>
    <w:p w14:paraId="75A97531">
      <w:pPr>
        <w:pStyle w:val="37"/>
        <w:framePr w:wrap="around" w:x="1382" w:y="3031"/>
      </w:pPr>
    </w:p>
    <w:p w14:paraId="3B8214A1">
      <w:pPr>
        <w:pStyle w:val="36"/>
        <w:keepNext/>
        <w:keepLines/>
        <w:framePr w:w="9116" w:h="4381" w:hRule="exact" w:wrap="around" w:vAnchor="page" w:hAnchor="page" w:x="1327" w:y="6897" w:anchorLock="1"/>
        <w:ind w:firstLine="0"/>
        <w:jc w:val="center"/>
        <w:outlineLvl w:val="9"/>
        <w:rPr>
          <w:rFonts w:hint="eastAsia" w:ascii="黑体" w:hAnsi="黑体" w:eastAsia="黑体" w:cs="黑体"/>
          <w:color w:val="000000"/>
          <w:sz w:val="52"/>
          <w:szCs w:val="52"/>
          <w:lang w:val="en-US" w:eastAsia="zh-CN"/>
        </w:rPr>
      </w:pPr>
      <w:bookmarkStart w:id="1" w:name="StdEnglishName"/>
      <w:r>
        <w:rPr>
          <w:rFonts w:hint="eastAsia" w:ascii="黑体" w:hAnsi="黑体" w:eastAsia="黑体" w:cs="黑体"/>
          <w:color w:val="000000"/>
          <w:sz w:val="52"/>
          <w:szCs w:val="52"/>
          <w:lang w:val="en-US" w:eastAsia="zh-CN"/>
        </w:rPr>
        <w:t>腹部提压心肺复苏技术应用规范</w:t>
      </w:r>
    </w:p>
    <w:p w14:paraId="3119741D">
      <w:pPr>
        <w:pStyle w:val="36"/>
        <w:keepNext/>
        <w:keepLines/>
        <w:framePr w:w="9116" w:h="4381" w:hRule="exact" w:wrap="around" w:vAnchor="page" w:hAnchor="page" w:x="1327" w:y="6897" w:anchorLock="1"/>
        <w:ind w:firstLine="0"/>
        <w:jc w:val="center"/>
        <w:outlineLvl w:val="9"/>
        <w:rPr>
          <w:rFonts w:hint="eastAsia" w:ascii="Times New Roman" w:hAnsi="Times New Roman" w:eastAsia="黑体" w:cs="Times New Roman"/>
          <w:color w:val="000000"/>
          <w:sz w:val="28"/>
          <w:szCs w:val="28"/>
          <w:lang w:val="en-US" w:eastAsia="zh-CN"/>
        </w:rPr>
      </w:pPr>
      <w:r>
        <w:rPr>
          <w:rFonts w:hint="eastAsia" w:ascii="Times New Roman" w:hAnsi="Times New Roman" w:eastAsia="黑体" w:cs="Times New Roman"/>
          <w:color w:val="000000"/>
          <w:sz w:val="28"/>
          <w:szCs w:val="28"/>
          <w:lang w:val="en-US" w:eastAsia="zh-CN"/>
        </w:rPr>
        <w:t xml:space="preserve">Technical </w:t>
      </w:r>
      <w:r>
        <w:rPr>
          <w:rFonts w:hint="eastAsia" w:ascii="Times New Roman" w:hAnsi="Times New Roman" w:eastAsia="黑体" w:cs="Times New Roman"/>
          <w:color w:val="000000"/>
          <w:sz w:val="28"/>
          <w:szCs w:val="28"/>
          <w:lang w:val="en-US" w:eastAsia="zh-CN"/>
        </w:rPr>
        <w:t>a</w:t>
      </w:r>
      <w:r>
        <w:rPr>
          <w:rFonts w:hint="eastAsia" w:ascii="Times New Roman" w:hAnsi="Times New Roman" w:eastAsia="黑体" w:cs="Times New Roman"/>
          <w:color w:val="000000"/>
          <w:sz w:val="28"/>
          <w:szCs w:val="28"/>
          <w:lang w:val="en-US" w:eastAsia="zh-CN"/>
        </w:rPr>
        <w:t xml:space="preserve">pplication specifications of </w:t>
      </w:r>
      <w:r>
        <w:rPr>
          <w:rFonts w:hint="eastAsia" w:ascii="Times New Roman" w:hAnsi="Times New Roman" w:eastAsia="黑体" w:cs="Times New Roman"/>
          <w:color w:val="000000"/>
          <w:sz w:val="28"/>
          <w:szCs w:val="28"/>
          <w:lang w:val="en-US" w:eastAsia="zh-CN"/>
        </w:rPr>
        <w:t>active abdominal compression</w:t>
      </w:r>
      <w:r>
        <w:rPr>
          <w:rFonts w:hint="eastAsia" w:ascii="Times New Roman" w:hAnsi="Times New Roman" w:eastAsia="黑体" w:cs="Times New Roman"/>
          <w:color w:val="000000"/>
          <w:sz w:val="28"/>
          <w:szCs w:val="28"/>
          <w:lang w:val="en-US" w:eastAsia="zh-CN"/>
        </w:rPr>
        <w:t>-decompression CPR</w:t>
      </w:r>
    </w:p>
    <w:p w14:paraId="0C75B498">
      <w:pPr>
        <w:pStyle w:val="36"/>
        <w:keepNext/>
        <w:keepLines/>
        <w:framePr w:w="9116" w:h="4381" w:hRule="exact" w:wrap="around" w:vAnchor="page" w:hAnchor="page" w:x="1327" w:y="6897" w:anchorLock="1"/>
        <w:ind w:firstLine="0"/>
        <w:jc w:val="center"/>
        <w:outlineLvl w:val="9"/>
        <w:rPr>
          <w:rFonts w:ascii="Times New Roman" w:hAnsi="Times New Roman" w:cs="Times New Roman"/>
          <w:b/>
          <w:bCs/>
          <w:color w:val="000000"/>
          <w:sz w:val="28"/>
          <w:szCs w:val="28"/>
          <w:lang w:val="en-US" w:eastAsia="zh-CN"/>
        </w:rPr>
      </w:pPr>
      <w:r>
        <w:rPr>
          <w:rFonts w:hint="eastAsia" w:ascii="宋体" w:hAnsi="宋体" w:eastAsia="宋体" w:cs="黑体"/>
          <w:color w:val="000000"/>
          <w:sz w:val="28"/>
          <w:szCs w:val="28"/>
        </w:rPr>
        <w:t>(</w:t>
      </w:r>
      <w:r>
        <w:rPr>
          <w:rFonts w:hint="eastAsia" w:cs="黑体"/>
          <w:color w:val="000000"/>
          <w:sz w:val="28"/>
          <w:szCs w:val="28"/>
          <w:lang w:val="en-US" w:eastAsia="zh-CN"/>
        </w:rPr>
        <w:t>征求意见</w:t>
      </w:r>
      <w:r>
        <w:rPr>
          <w:rFonts w:hint="eastAsia" w:ascii="宋体" w:hAnsi="宋体" w:eastAsia="宋体" w:cs="黑体"/>
          <w:color w:val="000000"/>
          <w:sz w:val="28"/>
          <w:szCs w:val="28"/>
        </w:rPr>
        <w:t>稿）</w:t>
      </w:r>
    </w:p>
    <w:p w14:paraId="1A9DD87A">
      <w:pPr>
        <w:pStyle w:val="43"/>
        <w:framePr w:w="9331" w:wrap="around" w:hAnchor="page" w:x="1353" w:y="15098"/>
      </w:pPr>
      <w:r>
        <w:rPr>
          <w:rFonts w:hint="eastAsia" w:ascii="黑体" w:hAnsi="黑体"/>
        </w:rPr>
        <w:t>202X</w:t>
      </w:r>
      <w:r>
        <w:rPr>
          <w:rFonts w:ascii="黑体" w:hAnsi="黑体"/>
        </w:rPr>
        <w:t>-</w:t>
      </w:r>
      <w:r>
        <w:rPr>
          <w:rFonts w:hint="eastAsia" w:ascii="黑体" w:hAnsi="黑体"/>
        </w:rPr>
        <w:t>XX</w:t>
      </w:r>
      <w:r>
        <w:rPr>
          <w:rFonts w:ascii="黑体" w:hAnsi="黑体"/>
        </w:rPr>
        <w:t>-</w:t>
      </w:r>
      <w:r>
        <w:rPr>
          <w:rFonts w:hint="eastAsia" w:ascii="黑体" w:hAnsi="黑体"/>
          <w:szCs w:val="22"/>
        </w:rPr>
        <w:t>XX</w:t>
      </w:r>
      <w:r>
        <w:rPr>
          <w:rFonts w:hint="eastAsia"/>
        </w:rPr>
        <w:t xml:space="preserve">发布                                     </w:t>
      </w:r>
      <w:r>
        <w:rPr>
          <w:rFonts w:hint="eastAsia" w:ascii="黑体" w:hAnsi="黑体"/>
          <w:szCs w:val="22"/>
        </w:rPr>
        <w:t>202X-XX-XX实施</w:t>
      </w:r>
      <w:r>
        <mc:AlternateContent>
          <mc:Choice Requires="wps">
            <w:drawing>
              <wp:anchor distT="0" distB="0" distL="114300" distR="114300" simplePos="0" relativeHeight="251659264" behindDoc="0" locked="1" layoutInCell="1" allowOverlap="1">
                <wp:simplePos x="0" y="0"/>
                <wp:positionH relativeFrom="margin">
                  <wp:posOffset>-280670</wp:posOffset>
                </wp:positionH>
                <wp:positionV relativeFrom="margin">
                  <wp:posOffset>8956675</wp:posOffset>
                </wp:positionV>
                <wp:extent cx="6120130" cy="0"/>
                <wp:effectExtent l="0" t="0" r="14605" b="19050"/>
                <wp:wrapSquare wrapText="bothSides"/>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1pt;margin-top:705.25pt;height:0pt;width:481.9pt;mso-position-horizontal-relative:margin;mso-position-vertical-relative:margin;mso-wrap-distance-bottom:0pt;mso-wrap-distance-left:9pt;mso-wrap-distance-right:9pt;mso-wrap-distance-top:0pt;z-index:251659264;mso-width-relative:page;mso-height-relative:page;" filled="f" stroked="t" coordsize="21600,21600" o:gfxdata="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eLOL&#10;2AAAAA0BAAAPAAAAAAAAAAEAIAAAACIAAABkcnMvZG93bnJldi54bWxQSwECFAAUAAAACACHTuJA&#10;MuttcugBAAC4AwAADgAAAAAAAAABACAAAAAnAQAAZHJzL2Uyb0RvYy54bWxQSwUGAAAAAAYABgBZ&#10;AQAAgQUAAAAA&#10;">
                <v:fill on="f" focussize="0,0"/>
                <v:stroke color="#000000" joinstyle="round"/>
                <v:imagedata o:title=""/>
                <o:lock v:ext="edit" aspectratio="f"/>
                <w10:wrap type="square"/>
                <w10:anchorlock/>
              </v:line>
            </w:pict>
          </mc:Fallback>
        </mc:AlternateContent>
      </w:r>
    </w:p>
    <w:p w14:paraId="34868F12">
      <w:pPr>
        <w:pStyle w:val="41"/>
        <w:framePr w:wrap="around"/>
        <w:rPr>
          <w:rFonts w:hint="eastAsia"/>
          <w:b/>
          <w:sz w:val="28"/>
          <w:szCs w:val="28"/>
        </w:rPr>
      </w:pPr>
      <w:r>
        <w:rPr>
          <w:rFonts w:hint="eastAsia"/>
          <w:sz w:val="28"/>
          <w:szCs w:val="28"/>
        </w:rPr>
        <w:t>中国研究型医院学会 发布</w:t>
      </w:r>
      <w:bookmarkEnd w:id="1"/>
    </w:p>
    <w:p w14:paraId="292B7BB5">
      <w:pPr>
        <w:rPr>
          <w:rFonts w:hint="eastAsia" w:eastAsia="宋体"/>
        </w:rPr>
      </w:pPr>
      <w:r>
        <w:rPr>
          <w:rFonts w:hint="eastAsia" w:eastAsia="宋体"/>
        </w:rPr>
        <w:drawing>
          <wp:anchor distT="0" distB="0" distL="114300" distR="114300" simplePos="0" relativeHeight="251663360" behindDoc="0" locked="0" layoutInCell="1" allowOverlap="1">
            <wp:simplePos x="0" y="0"/>
            <wp:positionH relativeFrom="margin">
              <wp:posOffset>4474845</wp:posOffset>
            </wp:positionH>
            <wp:positionV relativeFrom="page">
              <wp:posOffset>179070</wp:posOffset>
            </wp:positionV>
            <wp:extent cx="1187450" cy="1146810"/>
            <wp:effectExtent l="0" t="0" r="0" b="0"/>
            <wp:wrapTopAndBottom/>
            <wp:docPr id="1" name="图片 1" descr="a06827f94baeb281ac1150c54aae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06827f94baeb281ac1150c54aaec17"/>
                    <pic:cNvPicPr>
                      <a:picLocks noChangeAspect="1"/>
                    </pic:cNvPicPr>
                  </pic:nvPicPr>
                  <pic:blipFill>
                    <a:blip r:embed="rId17"/>
                    <a:stretch>
                      <a:fillRect/>
                    </a:stretch>
                  </pic:blipFill>
                  <pic:spPr>
                    <a:xfrm>
                      <a:off x="0" y="0"/>
                      <a:ext cx="1187450" cy="1146810"/>
                    </a:xfrm>
                    <a:prstGeom prst="rect">
                      <a:avLst/>
                    </a:prstGeom>
                  </pic:spPr>
                </pic:pic>
              </a:graphicData>
            </a:graphic>
          </wp:anchor>
        </w:drawing>
      </w:r>
    </w:p>
    <w:p w14:paraId="0435A440">
      <w:pPr>
        <w:spacing w:line="360" w:lineRule="auto"/>
        <w:jc w:val="center"/>
        <w:rPr>
          <w:rFonts w:hint="eastAsia" w:ascii="宋体" w:hAnsi="宋体" w:eastAsia="宋体" w:cs="Times New Roman"/>
          <w:bCs/>
          <w:sz w:val="24"/>
          <w:szCs w:val="24"/>
        </w:rPr>
      </w:pPr>
    </w:p>
    <w:p w14:paraId="18EAE865">
      <w:pPr>
        <w:spacing w:line="360" w:lineRule="auto"/>
        <w:jc w:val="center"/>
        <w:rPr>
          <w:rFonts w:hint="eastAsia" w:ascii="宋体" w:hAnsi="宋体" w:eastAsia="宋体" w:cs="Times New Roman"/>
          <w:bCs/>
          <w:sz w:val="24"/>
          <w:szCs w:val="24"/>
        </w:rPr>
      </w:pPr>
    </w:p>
    <w:p w14:paraId="06E22690">
      <w:pPr>
        <w:widowControl/>
        <w:spacing w:line="360" w:lineRule="auto"/>
        <w:jc w:val="center"/>
        <w:rPr>
          <w:rFonts w:hint="eastAsia" w:ascii="黑体" w:hAnsi="黑体" w:eastAsia="黑体" w:cs="黑体"/>
          <w:sz w:val="32"/>
          <w:szCs w:val="32"/>
        </w:rPr>
        <w:sectPr>
          <w:headerReference r:id="rId3" w:type="default"/>
          <w:footerReference r:id="rId5" w:type="default"/>
          <w:headerReference r:id="rId4" w:type="even"/>
          <w:pgSz w:w="11906" w:h="16838"/>
          <w:pgMar w:top="1100" w:right="1800" w:bottom="1100" w:left="1800" w:header="851" w:footer="992" w:gutter="0"/>
          <w:pgNumType w:fmt="upperRoman" w:start="0"/>
          <w:cols w:space="425" w:num="1"/>
          <w:titlePg/>
          <w:docGrid w:type="lines" w:linePitch="312" w:charSpace="0"/>
        </w:sectPr>
      </w:pPr>
    </w:p>
    <w:p w14:paraId="2CEE1ACF">
      <w:pPr>
        <w:widowControl/>
        <w:jc w:val="center"/>
        <w:rPr>
          <w:rFonts w:hint="eastAsia" w:ascii="黑体" w:hAnsi="黑体" w:eastAsia="黑体" w:cs="黑体"/>
          <w:sz w:val="32"/>
          <w:szCs w:val="32"/>
        </w:rPr>
      </w:pPr>
      <w:r>
        <w:rPr>
          <w:rFonts w:hint="eastAsia" w:ascii="黑体" w:hAnsi="黑体" w:eastAsia="黑体" w:cs="黑体"/>
          <w:sz w:val="32"/>
          <w:szCs w:val="32"/>
        </w:rPr>
        <w:t>目  次</w:t>
      </w:r>
    </w:p>
    <w:sdt>
      <w:sdtPr>
        <w:rPr>
          <w:rFonts w:asciiTheme="minorHAnsi" w:hAnsiTheme="minorHAnsi" w:eastAsiaTheme="minorEastAsia" w:cstheme="minorBidi"/>
          <w:color w:val="auto"/>
          <w:kern w:val="2"/>
          <w:sz w:val="21"/>
          <w:szCs w:val="22"/>
          <w:lang w:val="zh-CN"/>
        </w:rPr>
        <w:id w:val="2049646562"/>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14:paraId="5653CB7E">
          <w:pPr>
            <w:pStyle w:val="51"/>
            <w:rPr>
              <w:rFonts w:hint="eastAsia"/>
              <w:sz w:val="21"/>
              <w:szCs w:val="21"/>
            </w:rPr>
          </w:pPr>
        </w:p>
        <w:p w14:paraId="1D8A573A">
          <w:pPr>
            <w:pStyle w:val="7"/>
            <w:tabs>
              <w:tab w:val="right" w:leader="dot" w:pos="8296"/>
            </w:tabs>
            <w:rPr>
              <w:rFonts w:hint="eastAsia" w:ascii="Times New Roman" w:hAnsi="Times New Roman" w:eastAsia="宋体" w:cs="Times New Roman"/>
              <w:sz w:val="22"/>
              <w:szCs w:val="24"/>
              <w14:ligatures w14:val="standardContextual"/>
            </w:rPr>
          </w:pPr>
          <w:r>
            <w:rPr>
              <w:rFonts w:ascii="Times New Roman" w:hAnsi="Times New Roman" w:eastAsia="宋体" w:cs="Times New Roman"/>
            </w:rPr>
            <w:fldChar w:fldCharType="begin"/>
          </w:r>
          <w:r>
            <w:rPr>
              <w:rFonts w:hint="eastAsia" w:ascii="Times New Roman" w:hAnsi="Times New Roman" w:eastAsia="宋体" w:cs="Times New Roman"/>
            </w:rPr>
            <w:instrText xml:space="preserve"> TOC \o "1-3" \h \z \u </w:instrText>
          </w:r>
          <w:r>
            <w:rPr>
              <w:rFonts w:ascii="Times New Roman" w:hAnsi="Times New Roman" w:eastAsia="宋体" w:cs="Times New Roman"/>
              <w:b w:val="0"/>
              <w:bCs w:val="0"/>
              <w:lang w:val="en-US"/>
            </w:rPr>
            <w:fldChar w:fldCharType="separate"/>
          </w:r>
          <w:r>
            <w:rPr>
              <w:rStyle w:val="15"/>
              <w:rFonts w:hint="eastAsia" w:ascii="Times New Roman" w:hAnsi="Times New Roman" w:eastAsia="宋体" w:cs="Times New Roman"/>
            </w:rPr>
            <w:fldChar w:fldCharType="begin"/>
          </w:r>
          <w:r>
            <w:rPr>
              <w:rStyle w:val="15"/>
              <w:rFonts w:hint="eastAsia" w:ascii="Times New Roman" w:hAnsi="Times New Roman" w:eastAsia="宋体" w:cs="Times New Roman"/>
            </w:rPr>
            <w:instrText xml:space="preserve"> </w:instrText>
          </w:r>
          <w:r>
            <w:rPr>
              <w:rFonts w:hint="eastAsia" w:ascii="Times New Roman" w:hAnsi="Times New Roman" w:eastAsia="宋体" w:cs="Times New Roman"/>
            </w:rPr>
            <w:instrText xml:space="preserve">HYPERLINK \l "_Toc200400232"</w:instrText>
          </w:r>
          <w:r>
            <w:rPr>
              <w:rStyle w:val="15"/>
              <w:rFonts w:hint="eastAsia" w:ascii="Times New Roman" w:hAnsi="Times New Roman" w:eastAsia="宋体" w:cs="Times New Roman"/>
            </w:rPr>
            <w:instrText xml:space="preserve"> </w:instrText>
          </w:r>
          <w:r>
            <w:rPr>
              <w:rStyle w:val="15"/>
              <w:rFonts w:hint="eastAsia" w:ascii="Times New Roman" w:hAnsi="Times New Roman" w:eastAsia="宋体" w:cs="Times New Roman"/>
            </w:rPr>
            <w:fldChar w:fldCharType="separate"/>
          </w:r>
          <w:r>
            <w:rPr>
              <w:rStyle w:val="15"/>
              <w:rFonts w:hint="eastAsia" w:ascii="Times New Roman" w:hAnsi="Times New Roman" w:eastAsia="宋体" w:cs="Times New Roman"/>
            </w:rPr>
            <w:t>前言</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_Toc200400232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II</w:t>
          </w:r>
          <w:r>
            <w:rPr>
              <w:rFonts w:hint="eastAsia" w:ascii="Times New Roman" w:hAnsi="Times New Roman" w:eastAsia="宋体" w:cs="Times New Roman"/>
            </w:rPr>
            <w:fldChar w:fldCharType="end"/>
          </w:r>
          <w:r>
            <w:rPr>
              <w:rStyle w:val="15"/>
              <w:rFonts w:hint="eastAsia" w:ascii="Times New Roman" w:hAnsi="Times New Roman" w:eastAsia="宋体" w:cs="Times New Roman"/>
            </w:rPr>
            <w:fldChar w:fldCharType="end"/>
          </w:r>
        </w:p>
        <w:p w14:paraId="5F40FEF2">
          <w:pPr>
            <w:pStyle w:val="7"/>
            <w:tabs>
              <w:tab w:val="left" w:pos="230"/>
              <w:tab w:val="right" w:leader="dot" w:pos="8296"/>
            </w:tabs>
            <w:rPr>
              <w:rFonts w:hint="eastAsia" w:ascii="Times New Roman" w:hAnsi="Times New Roman" w:eastAsia="宋体" w:cs="Times New Roman"/>
              <w:sz w:val="22"/>
              <w:szCs w:val="24"/>
              <w14:ligatures w14:val="standardContextual"/>
            </w:rPr>
          </w:pPr>
          <w:r>
            <w:rPr>
              <w:rStyle w:val="15"/>
              <w:rFonts w:hint="eastAsia" w:ascii="Times New Roman" w:hAnsi="Times New Roman" w:eastAsia="宋体" w:cs="Times New Roman"/>
            </w:rPr>
            <w:fldChar w:fldCharType="begin"/>
          </w:r>
          <w:r>
            <w:rPr>
              <w:rStyle w:val="15"/>
              <w:rFonts w:hint="eastAsia" w:ascii="Times New Roman" w:hAnsi="Times New Roman" w:eastAsia="宋体" w:cs="Times New Roman"/>
            </w:rPr>
            <w:instrText xml:space="preserve"> </w:instrText>
          </w:r>
          <w:r>
            <w:rPr>
              <w:rFonts w:hint="eastAsia" w:ascii="Times New Roman" w:hAnsi="Times New Roman" w:eastAsia="宋体" w:cs="Times New Roman"/>
            </w:rPr>
            <w:instrText xml:space="preserve">HYPERLINK \l "_Toc200400233"</w:instrText>
          </w:r>
          <w:r>
            <w:rPr>
              <w:rStyle w:val="15"/>
              <w:rFonts w:hint="eastAsia" w:ascii="Times New Roman" w:hAnsi="Times New Roman" w:eastAsia="宋体" w:cs="Times New Roman"/>
            </w:rPr>
            <w:instrText xml:space="preserve"> </w:instrText>
          </w:r>
          <w:r>
            <w:rPr>
              <w:rStyle w:val="15"/>
              <w:rFonts w:hint="eastAsia" w:ascii="Times New Roman" w:hAnsi="Times New Roman" w:eastAsia="宋体" w:cs="Times New Roman"/>
            </w:rPr>
            <w:fldChar w:fldCharType="separate"/>
          </w:r>
          <w:r>
            <w:rPr>
              <w:rStyle w:val="15"/>
              <w:rFonts w:hint="eastAsia" w:ascii="Times New Roman" w:hAnsi="Times New Roman" w:eastAsia="宋体" w:cs="Times New Roman"/>
            </w:rPr>
            <w:t>1</w:t>
          </w:r>
          <w:r>
            <w:rPr>
              <w:rFonts w:hint="eastAsia" w:ascii="Times New Roman" w:hAnsi="Times New Roman" w:eastAsia="宋体" w:cs="Times New Roman"/>
              <w:sz w:val="22"/>
              <w:szCs w:val="24"/>
              <w14:ligatures w14:val="standardContextual"/>
            </w:rPr>
            <w:tab/>
          </w:r>
          <w:r>
            <w:rPr>
              <w:rStyle w:val="15"/>
              <w:rFonts w:hint="eastAsia" w:ascii="Times New Roman" w:hAnsi="Times New Roman" w:eastAsia="宋体" w:cs="Times New Roman"/>
            </w:rPr>
            <w:t>范围</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_Toc200400233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1</w:t>
          </w:r>
          <w:r>
            <w:rPr>
              <w:rFonts w:hint="eastAsia" w:ascii="Times New Roman" w:hAnsi="Times New Roman" w:eastAsia="宋体" w:cs="Times New Roman"/>
            </w:rPr>
            <w:fldChar w:fldCharType="end"/>
          </w:r>
          <w:r>
            <w:rPr>
              <w:rStyle w:val="15"/>
              <w:rFonts w:hint="eastAsia" w:ascii="Times New Roman" w:hAnsi="Times New Roman" w:eastAsia="宋体" w:cs="Times New Roman"/>
            </w:rPr>
            <w:fldChar w:fldCharType="end"/>
          </w:r>
        </w:p>
        <w:p w14:paraId="5B817091">
          <w:pPr>
            <w:pStyle w:val="7"/>
            <w:tabs>
              <w:tab w:val="left" w:pos="230"/>
              <w:tab w:val="right" w:leader="dot" w:pos="8296"/>
            </w:tabs>
            <w:rPr>
              <w:rFonts w:hint="eastAsia" w:ascii="Times New Roman" w:hAnsi="Times New Roman" w:eastAsia="宋体" w:cs="Times New Roman"/>
              <w:sz w:val="22"/>
              <w:szCs w:val="24"/>
              <w14:ligatures w14:val="standardContextual"/>
            </w:rPr>
          </w:pPr>
          <w:r>
            <w:rPr>
              <w:rStyle w:val="15"/>
              <w:rFonts w:hint="eastAsia" w:ascii="Times New Roman" w:hAnsi="Times New Roman" w:eastAsia="宋体" w:cs="Times New Roman"/>
            </w:rPr>
            <w:fldChar w:fldCharType="begin"/>
          </w:r>
          <w:r>
            <w:rPr>
              <w:rStyle w:val="15"/>
              <w:rFonts w:hint="eastAsia" w:ascii="Times New Roman" w:hAnsi="Times New Roman" w:eastAsia="宋体" w:cs="Times New Roman"/>
            </w:rPr>
            <w:instrText xml:space="preserve"> </w:instrText>
          </w:r>
          <w:r>
            <w:rPr>
              <w:rFonts w:hint="eastAsia" w:ascii="Times New Roman" w:hAnsi="Times New Roman" w:eastAsia="宋体" w:cs="Times New Roman"/>
            </w:rPr>
            <w:instrText xml:space="preserve">HYPERLINK \l "_Toc200400234"</w:instrText>
          </w:r>
          <w:r>
            <w:rPr>
              <w:rStyle w:val="15"/>
              <w:rFonts w:hint="eastAsia" w:ascii="Times New Roman" w:hAnsi="Times New Roman" w:eastAsia="宋体" w:cs="Times New Roman"/>
            </w:rPr>
            <w:instrText xml:space="preserve"> </w:instrText>
          </w:r>
          <w:r>
            <w:rPr>
              <w:rStyle w:val="15"/>
              <w:rFonts w:hint="eastAsia" w:ascii="Times New Roman" w:hAnsi="Times New Roman" w:eastAsia="宋体" w:cs="Times New Roman"/>
            </w:rPr>
            <w:fldChar w:fldCharType="separate"/>
          </w:r>
          <w:r>
            <w:rPr>
              <w:rStyle w:val="15"/>
              <w:rFonts w:hint="eastAsia" w:ascii="Times New Roman" w:hAnsi="Times New Roman" w:eastAsia="宋体" w:cs="Times New Roman"/>
            </w:rPr>
            <w:t>2</w:t>
          </w:r>
          <w:r>
            <w:rPr>
              <w:rFonts w:hint="eastAsia" w:ascii="Times New Roman" w:hAnsi="Times New Roman" w:eastAsia="宋体" w:cs="Times New Roman"/>
              <w:sz w:val="22"/>
              <w:szCs w:val="24"/>
              <w14:ligatures w14:val="standardContextual"/>
            </w:rPr>
            <w:tab/>
          </w:r>
          <w:r>
            <w:rPr>
              <w:rStyle w:val="15"/>
              <w:rFonts w:hint="eastAsia" w:ascii="Times New Roman" w:hAnsi="Times New Roman" w:eastAsia="宋体" w:cs="Times New Roman"/>
            </w:rPr>
            <w:t>规范性引用文件</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_Toc200400234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1</w:t>
          </w:r>
          <w:r>
            <w:rPr>
              <w:rFonts w:hint="eastAsia" w:ascii="Times New Roman" w:hAnsi="Times New Roman" w:eastAsia="宋体" w:cs="Times New Roman"/>
            </w:rPr>
            <w:fldChar w:fldCharType="end"/>
          </w:r>
          <w:r>
            <w:rPr>
              <w:rStyle w:val="15"/>
              <w:rFonts w:hint="eastAsia" w:ascii="Times New Roman" w:hAnsi="Times New Roman" w:eastAsia="宋体" w:cs="Times New Roman"/>
            </w:rPr>
            <w:fldChar w:fldCharType="end"/>
          </w:r>
        </w:p>
        <w:p w14:paraId="0FC83EAC">
          <w:pPr>
            <w:pStyle w:val="7"/>
            <w:tabs>
              <w:tab w:val="left" w:pos="230"/>
              <w:tab w:val="right" w:leader="dot" w:pos="8296"/>
            </w:tabs>
            <w:rPr>
              <w:rFonts w:hint="eastAsia" w:ascii="Times New Roman" w:hAnsi="Times New Roman" w:eastAsia="宋体" w:cs="Times New Roman"/>
              <w:sz w:val="22"/>
              <w:szCs w:val="24"/>
              <w14:ligatures w14:val="standardContextual"/>
            </w:rPr>
          </w:pPr>
          <w:r>
            <w:rPr>
              <w:rStyle w:val="15"/>
              <w:rFonts w:hint="eastAsia" w:ascii="Times New Roman" w:hAnsi="Times New Roman" w:eastAsia="宋体" w:cs="Times New Roman"/>
            </w:rPr>
            <w:fldChar w:fldCharType="begin"/>
          </w:r>
          <w:r>
            <w:rPr>
              <w:rStyle w:val="15"/>
              <w:rFonts w:hint="eastAsia" w:ascii="Times New Roman" w:hAnsi="Times New Roman" w:eastAsia="宋体" w:cs="Times New Roman"/>
            </w:rPr>
            <w:instrText xml:space="preserve"> </w:instrText>
          </w:r>
          <w:r>
            <w:rPr>
              <w:rFonts w:hint="eastAsia" w:ascii="Times New Roman" w:hAnsi="Times New Roman" w:eastAsia="宋体" w:cs="Times New Roman"/>
            </w:rPr>
            <w:instrText xml:space="preserve">HYPERLINK \l "_Toc200400235"</w:instrText>
          </w:r>
          <w:r>
            <w:rPr>
              <w:rStyle w:val="15"/>
              <w:rFonts w:hint="eastAsia" w:ascii="Times New Roman" w:hAnsi="Times New Roman" w:eastAsia="宋体" w:cs="Times New Roman"/>
            </w:rPr>
            <w:instrText xml:space="preserve"> </w:instrText>
          </w:r>
          <w:r>
            <w:rPr>
              <w:rStyle w:val="15"/>
              <w:rFonts w:hint="eastAsia" w:ascii="Times New Roman" w:hAnsi="Times New Roman" w:eastAsia="宋体" w:cs="Times New Roman"/>
            </w:rPr>
            <w:fldChar w:fldCharType="separate"/>
          </w:r>
          <w:r>
            <w:rPr>
              <w:rStyle w:val="15"/>
              <w:rFonts w:hint="eastAsia" w:ascii="Times New Roman" w:hAnsi="Times New Roman" w:eastAsia="宋体" w:cs="Times New Roman"/>
            </w:rPr>
            <w:t>3</w:t>
          </w:r>
          <w:r>
            <w:rPr>
              <w:rFonts w:hint="eastAsia" w:ascii="Times New Roman" w:hAnsi="Times New Roman" w:eastAsia="宋体" w:cs="Times New Roman"/>
              <w:sz w:val="22"/>
              <w:szCs w:val="24"/>
              <w14:ligatures w14:val="standardContextual"/>
            </w:rPr>
            <w:tab/>
          </w:r>
          <w:r>
            <w:rPr>
              <w:rStyle w:val="15"/>
              <w:rFonts w:hint="eastAsia" w:ascii="Times New Roman" w:hAnsi="Times New Roman" w:eastAsia="宋体" w:cs="Times New Roman"/>
            </w:rPr>
            <w:t>术语和定义</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_Toc200400235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1</w:t>
          </w:r>
          <w:r>
            <w:rPr>
              <w:rFonts w:hint="eastAsia" w:ascii="Times New Roman" w:hAnsi="Times New Roman" w:eastAsia="宋体" w:cs="Times New Roman"/>
            </w:rPr>
            <w:fldChar w:fldCharType="end"/>
          </w:r>
          <w:r>
            <w:rPr>
              <w:rStyle w:val="15"/>
              <w:rFonts w:hint="eastAsia" w:ascii="Times New Roman" w:hAnsi="Times New Roman" w:eastAsia="宋体" w:cs="Times New Roman"/>
            </w:rPr>
            <w:fldChar w:fldCharType="end"/>
          </w:r>
        </w:p>
        <w:p w14:paraId="101917B7">
          <w:pPr>
            <w:pStyle w:val="7"/>
            <w:tabs>
              <w:tab w:val="left" w:pos="230"/>
              <w:tab w:val="right" w:leader="dot" w:pos="8296"/>
            </w:tabs>
            <w:rPr>
              <w:rFonts w:hint="eastAsia" w:ascii="Times New Roman" w:hAnsi="Times New Roman" w:eastAsia="宋体" w:cs="Times New Roman"/>
              <w:sz w:val="22"/>
              <w:szCs w:val="24"/>
              <w14:ligatures w14:val="standardContextual"/>
            </w:rPr>
          </w:pPr>
          <w:r>
            <w:rPr>
              <w:rStyle w:val="15"/>
              <w:rFonts w:hint="eastAsia" w:ascii="Times New Roman" w:hAnsi="Times New Roman" w:eastAsia="宋体" w:cs="Times New Roman"/>
            </w:rPr>
            <w:fldChar w:fldCharType="begin"/>
          </w:r>
          <w:r>
            <w:rPr>
              <w:rStyle w:val="15"/>
              <w:rFonts w:hint="eastAsia" w:ascii="Times New Roman" w:hAnsi="Times New Roman" w:eastAsia="宋体" w:cs="Times New Roman"/>
            </w:rPr>
            <w:instrText xml:space="preserve"> </w:instrText>
          </w:r>
          <w:r>
            <w:rPr>
              <w:rFonts w:hint="eastAsia" w:ascii="Times New Roman" w:hAnsi="Times New Roman" w:eastAsia="宋体" w:cs="Times New Roman"/>
            </w:rPr>
            <w:instrText xml:space="preserve">HYPERLINK \l "_Toc200400236"</w:instrText>
          </w:r>
          <w:r>
            <w:rPr>
              <w:rStyle w:val="15"/>
              <w:rFonts w:hint="eastAsia" w:ascii="Times New Roman" w:hAnsi="Times New Roman" w:eastAsia="宋体" w:cs="Times New Roman"/>
            </w:rPr>
            <w:instrText xml:space="preserve"> </w:instrText>
          </w:r>
          <w:r>
            <w:rPr>
              <w:rStyle w:val="15"/>
              <w:rFonts w:hint="eastAsia" w:ascii="Times New Roman" w:hAnsi="Times New Roman" w:eastAsia="宋体" w:cs="Times New Roman"/>
            </w:rPr>
            <w:fldChar w:fldCharType="separate"/>
          </w:r>
          <w:r>
            <w:rPr>
              <w:rStyle w:val="15"/>
              <w:rFonts w:hint="eastAsia" w:ascii="Times New Roman" w:hAnsi="Times New Roman" w:eastAsia="宋体" w:cs="Times New Roman"/>
            </w:rPr>
            <w:t>4</w:t>
          </w:r>
          <w:r>
            <w:rPr>
              <w:rFonts w:hint="eastAsia" w:ascii="Times New Roman" w:hAnsi="Times New Roman" w:eastAsia="宋体" w:cs="Times New Roman"/>
              <w:sz w:val="22"/>
              <w:szCs w:val="24"/>
              <w14:ligatures w14:val="standardContextual"/>
            </w:rPr>
            <w:tab/>
          </w:r>
          <w:r>
            <w:rPr>
              <w:rStyle w:val="15"/>
              <w:rFonts w:hint="eastAsia" w:ascii="Times New Roman" w:hAnsi="Times New Roman" w:eastAsia="宋体" w:cs="Times New Roman"/>
            </w:rPr>
            <w:t>腹部提压心肺复苏标准化操作方法</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_Toc200400236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3</w:t>
          </w:r>
          <w:r>
            <w:rPr>
              <w:rFonts w:hint="eastAsia" w:ascii="Times New Roman" w:hAnsi="Times New Roman" w:eastAsia="宋体" w:cs="Times New Roman"/>
            </w:rPr>
            <w:fldChar w:fldCharType="end"/>
          </w:r>
          <w:r>
            <w:rPr>
              <w:rStyle w:val="15"/>
              <w:rFonts w:hint="eastAsia" w:ascii="Times New Roman" w:hAnsi="Times New Roman" w:eastAsia="宋体" w:cs="Times New Roman"/>
            </w:rPr>
            <w:fldChar w:fldCharType="end"/>
          </w:r>
        </w:p>
        <w:p w14:paraId="2DAF890B">
          <w:pPr>
            <w:pStyle w:val="7"/>
            <w:tabs>
              <w:tab w:val="left" w:pos="230"/>
              <w:tab w:val="right" w:leader="dot" w:pos="8296"/>
            </w:tabs>
            <w:rPr>
              <w:rFonts w:hint="eastAsia" w:ascii="Times New Roman" w:hAnsi="Times New Roman" w:eastAsia="宋体" w:cs="Times New Roman"/>
              <w:sz w:val="22"/>
              <w:szCs w:val="24"/>
              <w14:ligatures w14:val="standardContextual"/>
            </w:rPr>
          </w:pPr>
          <w:r>
            <w:rPr>
              <w:rStyle w:val="15"/>
              <w:rFonts w:hint="eastAsia" w:ascii="Times New Roman" w:hAnsi="Times New Roman" w:eastAsia="宋体" w:cs="Times New Roman"/>
            </w:rPr>
            <w:fldChar w:fldCharType="begin"/>
          </w:r>
          <w:r>
            <w:rPr>
              <w:rStyle w:val="15"/>
              <w:rFonts w:hint="eastAsia" w:ascii="Times New Roman" w:hAnsi="Times New Roman" w:eastAsia="宋体" w:cs="Times New Roman"/>
            </w:rPr>
            <w:instrText xml:space="preserve"> </w:instrText>
          </w:r>
          <w:r>
            <w:rPr>
              <w:rFonts w:hint="eastAsia" w:ascii="Times New Roman" w:hAnsi="Times New Roman" w:eastAsia="宋体" w:cs="Times New Roman"/>
            </w:rPr>
            <w:instrText xml:space="preserve">HYPERLINK \l "_Toc200400237"</w:instrText>
          </w:r>
          <w:r>
            <w:rPr>
              <w:rStyle w:val="15"/>
              <w:rFonts w:hint="eastAsia" w:ascii="Times New Roman" w:hAnsi="Times New Roman" w:eastAsia="宋体" w:cs="Times New Roman"/>
            </w:rPr>
            <w:instrText xml:space="preserve"> </w:instrText>
          </w:r>
          <w:r>
            <w:rPr>
              <w:rStyle w:val="15"/>
              <w:rFonts w:hint="eastAsia" w:ascii="Times New Roman" w:hAnsi="Times New Roman" w:eastAsia="宋体" w:cs="Times New Roman"/>
            </w:rPr>
            <w:fldChar w:fldCharType="separate"/>
          </w:r>
          <w:r>
            <w:rPr>
              <w:rStyle w:val="15"/>
              <w:rFonts w:hint="eastAsia" w:ascii="Times New Roman" w:hAnsi="Times New Roman" w:eastAsia="宋体" w:cs="Times New Roman"/>
            </w:rPr>
            <w:t>5</w:t>
          </w:r>
          <w:r>
            <w:rPr>
              <w:rFonts w:hint="eastAsia" w:ascii="Times New Roman" w:hAnsi="Times New Roman" w:eastAsia="宋体" w:cs="Times New Roman"/>
              <w:sz w:val="22"/>
              <w:szCs w:val="24"/>
              <w14:ligatures w14:val="standardContextual"/>
            </w:rPr>
            <w:tab/>
          </w:r>
          <w:r>
            <w:rPr>
              <w:rStyle w:val="15"/>
              <w:rFonts w:hint="eastAsia" w:ascii="Times New Roman" w:hAnsi="Times New Roman" w:eastAsia="宋体" w:cs="Times New Roman"/>
            </w:rPr>
            <w:t>腹部提压心肺复苏术（</w:t>
          </w:r>
          <w:r>
            <w:rPr>
              <w:rStyle w:val="15"/>
              <w:rFonts w:ascii="Times New Roman" w:hAnsi="Times New Roman" w:eastAsia="宋体" w:cs="Times New Roman"/>
            </w:rPr>
            <w:t>AACD-CPR</w:t>
          </w:r>
          <w:r>
            <w:rPr>
              <w:rStyle w:val="15"/>
              <w:rFonts w:hint="eastAsia" w:ascii="Times New Roman" w:hAnsi="Times New Roman" w:eastAsia="宋体" w:cs="Times New Roman"/>
            </w:rPr>
            <w:t>）临床效应</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_Toc200400237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5</w:t>
          </w:r>
          <w:r>
            <w:rPr>
              <w:rFonts w:hint="eastAsia" w:ascii="Times New Roman" w:hAnsi="Times New Roman" w:eastAsia="宋体" w:cs="Times New Roman"/>
            </w:rPr>
            <w:fldChar w:fldCharType="end"/>
          </w:r>
          <w:r>
            <w:rPr>
              <w:rStyle w:val="15"/>
              <w:rFonts w:hint="eastAsia" w:ascii="Times New Roman" w:hAnsi="Times New Roman" w:eastAsia="宋体" w:cs="Times New Roman"/>
            </w:rPr>
            <w:fldChar w:fldCharType="end"/>
          </w:r>
        </w:p>
        <w:p w14:paraId="4229425D">
          <w:pPr>
            <w:pStyle w:val="7"/>
            <w:tabs>
              <w:tab w:val="left" w:pos="230"/>
              <w:tab w:val="right" w:leader="dot" w:pos="8296"/>
            </w:tabs>
            <w:rPr>
              <w:rFonts w:hint="eastAsia" w:ascii="Times New Roman" w:hAnsi="Times New Roman" w:eastAsia="宋体" w:cs="Times New Roman"/>
              <w:sz w:val="22"/>
              <w:szCs w:val="24"/>
              <w14:ligatures w14:val="standardContextual"/>
            </w:rPr>
          </w:pPr>
          <w:r>
            <w:rPr>
              <w:rStyle w:val="15"/>
              <w:rFonts w:hint="eastAsia" w:ascii="Times New Roman" w:hAnsi="Times New Roman" w:eastAsia="宋体" w:cs="Times New Roman"/>
            </w:rPr>
            <w:fldChar w:fldCharType="begin"/>
          </w:r>
          <w:r>
            <w:rPr>
              <w:rStyle w:val="15"/>
              <w:rFonts w:hint="eastAsia" w:ascii="Times New Roman" w:hAnsi="Times New Roman" w:eastAsia="宋体" w:cs="Times New Roman"/>
            </w:rPr>
            <w:instrText xml:space="preserve"> </w:instrText>
          </w:r>
          <w:r>
            <w:rPr>
              <w:rFonts w:hint="eastAsia" w:ascii="Times New Roman" w:hAnsi="Times New Roman" w:eastAsia="宋体" w:cs="Times New Roman"/>
            </w:rPr>
            <w:instrText xml:space="preserve">HYPERLINK \l "_Toc200400238"</w:instrText>
          </w:r>
          <w:r>
            <w:rPr>
              <w:rStyle w:val="15"/>
              <w:rFonts w:hint="eastAsia" w:ascii="Times New Roman" w:hAnsi="Times New Roman" w:eastAsia="宋体" w:cs="Times New Roman"/>
            </w:rPr>
            <w:instrText xml:space="preserve"> </w:instrText>
          </w:r>
          <w:r>
            <w:rPr>
              <w:rStyle w:val="15"/>
              <w:rFonts w:hint="eastAsia" w:ascii="Times New Roman" w:hAnsi="Times New Roman" w:eastAsia="宋体" w:cs="Times New Roman"/>
            </w:rPr>
            <w:fldChar w:fldCharType="separate"/>
          </w:r>
          <w:r>
            <w:rPr>
              <w:rStyle w:val="15"/>
              <w:rFonts w:hint="eastAsia" w:ascii="Times New Roman" w:hAnsi="Times New Roman" w:eastAsia="宋体" w:cs="Times New Roman"/>
            </w:rPr>
            <w:t>6</w:t>
          </w:r>
          <w:r>
            <w:rPr>
              <w:rFonts w:hint="eastAsia" w:ascii="Times New Roman" w:hAnsi="Times New Roman" w:eastAsia="宋体" w:cs="Times New Roman"/>
              <w:sz w:val="22"/>
              <w:szCs w:val="24"/>
              <w14:ligatures w14:val="standardContextual"/>
            </w:rPr>
            <w:tab/>
          </w:r>
          <w:r>
            <w:rPr>
              <w:rStyle w:val="15"/>
              <w:rFonts w:hint="eastAsia" w:ascii="Times New Roman" w:hAnsi="Times New Roman" w:eastAsia="宋体" w:cs="Times New Roman"/>
            </w:rPr>
            <w:t>腹部提压心肺复苏术（</w:t>
          </w:r>
          <w:r>
            <w:rPr>
              <w:rStyle w:val="15"/>
              <w:rFonts w:ascii="Times New Roman" w:hAnsi="Times New Roman" w:eastAsia="宋体" w:cs="Times New Roman"/>
            </w:rPr>
            <w:t>AACD-CPR</w:t>
          </w:r>
          <w:r>
            <w:rPr>
              <w:rStyle w:val="15"/>
              <w:rFonts w:hint="eastAsia" w:ascii="Times New Roman" w:hAnsi="Times New Roman" w:eastAsia="宋体" w:cs="Times New Roman"/>
            </w:rPr>
            <w:t>）适应证及禁忌证</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_Toc200400238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6</w:t>
          </w:r>
          <w:r>
            <w:rPr>
              <w:rFonts w:hint="eastAsia" w:ascii="Times New Roman" w:hAnsi="Times New Roman" w:eastAsia="宋体" w:cs="Times New Roman"/>
            </w:rPr>
            <w:fldChar w:fldCharType="end"/>
          </w:r>
          <w:r>
            <w:rPr>
              <w:rStyle w:val="15"/>
              <w:rFonts w:hint="eastAsia" w:ascii="Times New Roman" w:hAnsi="Times New Roman" w:eastAsia="宋体" w:cs="Times New Roman"/>
            </w:rPr>
            <w:fldChar w:fldCharType="end"/>
          </w:r>
        </w:p>
        <w:p w14:paraId="364E6D17">
          <w:pPr>
            <w:pStyle w:val="7"/>
            <w:tabs>
              <w:tab w:val="right" w:leader="dot" w:pos="8296"/>
            </w:tabs>
            <w:rPr>
              <w:rFonts w:hint="eastAsia" w:ascii="Times New Roman" w:hAnsi="Times New Roman" w:eastAsia="宋体" w:cs="Times New Roman"/>
              <w:sz w:val="22"/>
              <w:szCs w:val="24"/>
              <w14:ligatures w14:val="standardContextual"/>
            </w:rPr>
          </w:pPr>
          <w:r>
            <w:rPr>
              <w:rStyle w:val="15"/>
              <w:rFonts w:hint="eastAsia" w:ascii="Times New Roman" w:hAnsi="Times New Roman" w:eastAsia="宋体" w:cs="Times New Roman"/>
            </w:rPr>
            <w:fldChar w:fldCharType="begin"/>
          </w:r>
          <w:r>
            <w:rPr>
              <w:rStyle w:val="15"/>
              <w:rFonts w:hint="eastAsia" w:ascii="Times New Roman" w:hAnsi="Times New Roman" w:eastAsia="宋体" w:cs="Times New Roman"/>
            </w:rPr>
            <w:instrText xml:space="preserve"> </w:instrText>
          </w:r>
          <w:r>
            <w:rPr>
              <w:rFonts w:hint="eastAsia" w:ascii="Times New Roman" w:hAnsi="Times New Roman" w:eastAsia="宋体" w:cs="Times New Roman"/>
            </w:rPr>
            <w:instrText xml:space="preserve">HYPERLINK \l "_Toc200400239"</w:instrText>
          </w:r>
          <w:r>
            <w:rPr>
              <w:rStyle w:val="15"/>
              <w:rFonts w:hint="eastAsia" w:ascii="Times New Roman" w:hAnsi="Times New Roman" w:eastAsia="宋体" w:cs="Times New Roman"/>
            </w:rPr>
            <w:instrText xml:space="preserve"> </w:instrText>
          </w:r>
          <w:r>
            <w:rPr>
              <w:rStyle w:val="15"/>
              <w:rFonts w:hint="eastAsia" w:ascii="Times New Roman" w:hAnsi="Times New Roman" w:eastAsia="宋体" w:cs="Times New Roman"/>
            </w:rPr>
            <w:fldChar w:fldCharType="separate"/>
          </w:r>
          <w:r>
            <w:rPr>
              <w:rStyle w:val="15"/>
              <w:rFonts w:hint="eastAsia" w:ascii="Times New Roman" w:hAnsi="Times New Roman" w:eastAsia="宋体" w:cs="Times New Roman"/>
              <w:bCs/>
            </w:rPr>
            <w:t>附录</w:t>
          </w:r>
          <w:r>
            <w:rPr>
              <w:rStyle w:val="15"/>
              <w:rFonts w:ascii="Times New Roman" w:hAnsi="Times New Roman" w:eastAsia="宋体" w:cs="Times New Roman"/>
              <w:bCs/>
            </w:rPr>
            <w:t>A</w:t>
          </w:r>
          <w:r>
            <w:rPr>
              <w:rStyle w:val="15"/>
              <w:rFonts w:hint="eastAsia" w:ascii="Times New Roman" w:hAnsi="Times New Roman" w:eastAsia="宋体" w:cs="Times New Roman"/>
              <w:bCs/>
            </w:rPr>
            <w:t>（规范性）腹部提压心肺复苏技术应用规范</w:t>
          </w:r>
          <w:r>
            <w:rPr>
              <w:rStyle w:val="15"/>
              <w:rFonts w:ascii="Times New Roman" w:hAnsi="Times New Roman" w:eastAsia="宋体" w:cs="Times New Roman"/>
              <w:bCs/>
            </w:rPr>
            <w:t>PPT</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_Toc200400239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7</w:t>
          </w:r>
          <w:r>
            <w:rPr>
              <w:rFonts w:hint="eastAsia" w:ascii="Times New Roman" w:hAnsi="Times New Roman" w:eastAsia="宋体" w:cs="Times New Roman"/>
            </w:rPr>
            <w:fldChar w:fldCharType="end"/>
          </w:r>
          <w:r>
            <w:rPr>
              <w:rStyle w:val="15"/>
              <w:rFonts w:hint="eastAsia" w:ascii="Times New Roman" w:hAnsi="Times New Roman" w:eastAsia="宋体" w:cs="Times New Roman"/>
            </w:rPr>
            <w:fldChar w:fldCharType="end"/>
          </w:r>
        </w:p>
        <w:p w14:paraId="79BBD83B">
          <w:pPr>
            <w:pStyle w:val="7"/>
            <w:tabs>
              <w:tab w:val="right" w:leader="dot" w:pos="8296"/>
            </w:tabs>
            <w:rPr>
              <w:rFonts w:hint="eastAsia" w:ascii="Times New Roman" w:hAnsi="Times New Roman" w:eastAsia="宋体" w:cs="Times New Roman"/>
              <w:sz w:val="22"/>
              <w:szCs w:val="24"/>
              <w14:ligatures w14:val="standardContextual"/>
            </w:rPr>
          </w:pPr>
          <w:r>
            <w:rPr>
              <w:rStyle w:val="15"/>
              <w:rFonts w:hint="eastAsia" w:ascii="Times New Roman" w:hAnsi="Times New Roman" w:eastAsia="宋体" w:cs="Times New Roman"/>
            </w:rPr>
            <w:fldChar w:fldCharType="begin"/>
          </w:r>
          <w:r>
            <w:rPr>
              <w:rStyle w:val="15"/>
              <w:rFonts w:hint="eastAsia" w:ascii="Times New Roman" w:hAnsi="Times New Roman" w:eastAsia="宋体" w:cs="Times New Roman"/>
            </w:rPr>
            <w:instrText xml:space="preserve"> </w:instrText>
          </w:r>
          <w:r>
            <w:rPr>
              <w:rFonts w:hint="eastAsia" w:ascii="Times New Roman" w:hAnsi="Times New Roman" w:eastAsia="宋体" w:cs="Times New Roman"/>
            </w:rPr>
            <w:instrText xml:space="preserve">HYPERLINK \l "_Toc200400242"</w:instrText>
          </w:r>
          <w:r>
            <w:rPr>
              <w:rStyle w:val="15"/>
              <w:rFonts w:hint="eastAsia" w:ascii="Times New Roman" w:hAnsi="Times New Roman" w:eastAsia="宋体" w:cs="Times New Roman"/>
            </w:rPr>
            <w:instrText xml:space="preserve"> </w:instrText>
          </w:r>
          <w:r>
            <w:rPr>
              <w:rStyle w:val="15"/>
              <w:rFonts w:hint="eastAsia" w:ascii="Times New Roman" w:hAnsi="Times New Roman" w:eastAsia="宋体" w:cs="Times New Roman"/>
            </w:rPr>
            <w:fldChar w:fldCharType="separate"/>
          </w:r>
          <w:r>
            <w:rPr>
              <w:rStyle w:val="15"/>
              <w:rFonts w:hint="eastAsia" w:ascii="Times New Roman" w:hAnsi="Times New Roman" w:eastAsia="宋体" w:cs="Times New Roman"/>
              <w:bCs/>
            </w:rPr>
            <w:t>参考文献</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_Toc200400242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18</w:t>
          </w:r>
          <w:r>
            <w:rPr>
              <w:rFonts w:hint="eastAsia" w:ascii="Times New Roman" w:hAnsi="Times New Roman" w:eastAsia="宋体" w:cs="Times New Roman"/>
            </w:rPr>
            <w:fldChar w:fldCharType="end"/>
          </w:r>
          <w:r>
            <w:rPr>
              <w:rStyle w:val="15"/>
              <w:rFonts w:hint="eastAsia" w:ascii="Times New Roman" w:hAnsi="Times New Roman" w:eastAsia="宋体" w:cs="Times New Roman"/>
            </w:rPr>
            <w:fldChar w:fldCharType="end"/>
          </w:r>
        </w:p>
        <w:p w14:paraId="67B27657">
          <w:pPr>
            <w:rPr>
              <w:rFonts w:hint="eastAsia" w:ascii="Times New Roman" w:hAnsi="Times New Roman" w:eastAsia="宋体" w:cs="Times New Roman"/>
            </w:rPr>
          </w:pPr>
          <w:r>
            <w:rPr>
              <w:rFonts w:ascii="Times New Roman" w:hAnsi="Times New Roman" w:eastAsia="宋体" w:cs="Times New Roman"/>
              <w:b/>
              <w:bCs/>
              <w:lang w:val="zh-CN"/>
            </w:rPr>
            <w:fldChar w:fldCharType="end"/>
          </w:r>
        </w:p>
      </w:sdtContent>
    </w:sdt>
    <w:p w14:paraId="5BF0BD43">
      <w:pPr>
        <w:pStyle w:val="7"/>
        <w:rPr>
          <w:rFonts w:hint="eastAsia" w:ascii="黑体" w:hAnsi="黑体" w:eastAsia="黑体" w:cs="黑体"/>
          <w:sz w:val="32"/>
          <w:szCs w:val="32"/>
        </w:rPr>
        <w:sectPr>
          <w:headerReference r:id="rId6" w:type="first"/>
          <w:footerReference r:id="rId9" w:type="first"/>
          <w:footerReference r:id="rId7" w:type="default"/>
          <w:footerReference r:id="rId8" w:type="even"/>
          <w:pgSz w:w="11906" w:h="16838"/>
          <w:pgMar w:top="1440" w:right="1800" w:bottom="1440" w:left="1800" w:header="851" w:footer="992" w:gutter="0"/>
          <w:pgNumType w:fmt="upperRoman" w:start="1"/>
          <w:cols w:space="425" w:num="1"/>
          <w:titlePg/>
          <w:docGrid w:type="lines" w:linePitch="312" w:charSpace="0"/>
        </w:sectPr>
      </w:pPr>
    </w:p>
    <w:p w14:paraId="3D99944C">
      <w:pPr>
        <w:pStyle w:val="7"/>
        <w:jc w:val="center"/>
        <w:outlineLvl w:val="0"/>
        <w:rPr>
          <w:rFonts w:hint="eastAsia" w:ascii="黑体" w:hAnsi="黑体" w:eastAsia="黑体" w:cs="黑体"/>
          <w:sz w:val="32"/>
          <w:szCs w:val="32"/>
        </w:rPr>
      </w:pPr>
      <w:bookmarkStart w:id="2" w:name="_Toc200400232"/>
      <w:r>
        <w:rPr>
          <w:rFonts w:hint="eastAsia" w:ascii="黑体" w:hAnsi="黑体" w:eastAsia="黑体" w:cs="黑体"/>
          <w:sz w:val="32"/>
          <w:szCs w:val="32"/>
        </w:rPr>
        <w:t>前  言</w:t>
      </w:r>
      <w:bookmarkEnd w:id="2"/>
    </w:p>
    <w:p w14:paraId="47DB0319">
      <w:pPr>
        <w:spacing w:line="360" w:lineRule="auto"/>
        <w:rPr>
          <w:rFonts w:hint="eastAsia" w:ascii="宋体" w:hAnsi="宋体" w:eastAsia="宋体" w:cs="Times New Roman"/>
          <w:sz w:val="24"/>
          <w:szCs w:val="24"/>
        </w:rPr>
      </w:pPr>
    </w:p>
    <w:p w14:paraId="3812A79B">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本文件按照GB/T 1.1</w:t>
      </w:r>
      <w:r>
        <w:rPr>
          <w:rFonts w:hint="eastAsia" w:ascii="Times New Roman" w:hAnsi="Times New Roman" w:eastAsia="宋体" w:cs="Times New Roman"/>
          <w:szCs w:val="21"/>
        </w:rPr>
        <w:t>-</w:t>
      </w:r>
      <w:r>
        <w:rPr>
          <w:rFonts w:hint="eastAsia" w:ascii="Times New Roman" w:hAnsi="Times New Roman" w:eastAsia="宋体" w:cs="Times New Roman"/>
          <w:szCs w:val="21"/>
        </w:rPr>
        <w:t>2020</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《标准化工作导则 第1部分：标准化文件的结构和起草规则》的规定起草。</w:t>
      </w:r>
    </w:p>
    <w:p w14:paraId="2982ECA2">
      <w:pPr>
        <w:pStyle w:val="46"/>
        <w:spacing w:line="240" w:lineRule="auto"/>
        <w:rPr>
          <w:rFonts w:hint="eastAsia" w:ascii="宋体" w:hAnsi="宋体" w:eastAsia="宋体" w:cs="Times New Roman"/>
          <w:szCs w:val="21"/>
        </w:rPr>
      </w:pPr>
      <w:bookmarkStart w:id="3" w:name="_Hlk200572337"/>
      <w:r>
        <w:rPr>
          <w:rFonts w:hint="eastAsia"/>
          <w:color w:val="000000" w:themeColor="text1"/>
          <w14:textFill>
            <w14:solidFill>
              <w14:schemeClr w14:val="tx1"/>
            </w14:solidFill>
          </w14:textFill>
        </w:rPr>
        <w:t>请注意</w:t>
      </w:r>
      <w:r>
        <w:rPr>
          <w:rFonts w:hint="eastAsia"/>
        </w:rPr>
        <w:t>本文件的某些内容可能涉及专利。本文件的发布机构不承担识别专利的责任。</w:t>
      </w:r>
    </w:p>
    <w:bookmarkEnd w:id="3"/>
    <w:p w14:paraId="34EDFF4F">
      <w:pPr>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本文件由中国研究型医院学会</w:t>
      </w:r>
      <w:r>
        <w:rPr>
          <w:rFonts w:hint="eastAsia" w:ascii="Times New Roman" w:hAnsi="Times New Roman" w:eastAsia="宋体" w:cs="Times New Roman"/>
          <w:color w:val="000000" w:themeColor="text1"/>
          <w:szCs w:val="21"/>
          <w14:textFill>
            <w14:solidFill>
              <w14:schemeClr w14:val="tx1"/>
            </w14:solidFill>
          </w14:textFill>
        </w:rPr>
        <w:t>心肺复苏学专业委员会</w:t>
      </w:r>
      <w:r>
        <w:rPr>
          <w:rFonts w:hint="eastAsia" w:ascii="Times New Roman" w:hAnsi="Times New Roman" w:eastAsia="宋体" w:cs="Times New Roman"/>
          <w:szCs w:val="21"/>
        </w:rPr>
        <w:t>提出。</w:t>
      </w:r>
    </w:p>
    <w:p w14:paraId="296844B4">
      <w:pPr>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本文件由中国研究型医院学会归口。</w:t>
      </w:r>
    </w:p>
    <w:p w14:paraId="32789F46">
      <w:pPr>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本文件起草单位：。</w:t>
      </w:r>
    </w:p>
    <w:p w14:paraId="19EB1FE0">
      <w:pPr>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本文件主要起草人：。</w:t>
      </w:r>
    </w:p>
    <w:p w14:paraId="6C32A525">
      <w:pPr>
        <w:ind w:firstLine="420" w:firstLineChars="200"/>
        <w:rPr>
          <w:rFonts w:hint="eastAsia" w:ascii="宋体" w:hAnsi="宋体" w:eastAsia="宋体" w:cs="Times New Roman"/>
          <w:szCs w:val="21"/>
        </w:rPr>
        <w:sectPr>
          <w:footerReference r:id="rId12" w:type="first"/>
          <w:footerReference r:id="rId10" w:type="default"/>
          <w:footerReference r:id="rId11" w:type="even"/>
          <w:pgSz w:w="11906" w:h="16838"/>
          <w:pgMar w:top="1440" w:right="1800" w:bottom="1440" w:left="1800" w:header="851" w:footer="992" w:gutter="0"/>
          <w:pgNumType w:fmt="upperRoman"/>
          <w:cols w:space="425" w:num="1"/>
          <w:docGrid w:type="lines" w:linePitch="312" w:charSpace="0"/>
        </w:sectPr>
      </w:pPr>
      <w:r>
        <w:rPr>
          <w:rFonts w:hint="eastAsia" w:ascii="宋体" w:hAnsi="宋体" w:eastAsia="宋体" w:cs="Times New Roman"/>
          <w:szCs w:val="21"/>
        </w:rPr>
        <w:br w:type="page"/>
      </w:r>
      <w:bookmarkStart w:id="18" w:name="_GoBack"/>
      <w:bookmarkEnd w:id="18"/>
    </w:p>
    <w:p w14:paraId="6DF6754C">
      <w:pPr>
        <w:spacing w:before="156" w:beforeLines="50" w:after="156" w:afterLines="50"/>
        <w:jc w:val="center"/>
        <w:rPr>
          <w:rFonts w:hint="eastAsia" w:ascii="黑体" w:hAnsi="黑体" w:eastAsia="黑体" w:cs="黑体"/>
          <w:sz w:val="28"/>
          <w:szCs w:val="28"/>
        </w:rPr>
      </w:pPr>
      <w:r>
        <w:rPr>
          <w:rFonts w:hint="eastAsia" w:ascii="黑体" w:hAnsi="黑体" w:eastAsia="黑体" w:cs="黑体"/>
          <w:sz w:val="32"/>
          <w:szCs w:val="32"/>
        </w:rPr>
        <w:t>腹部提压心肺复苏技术应用规范</w:t>
      </w:r>
    </w:p>
    <w:p w14:paraId="22FEE45D">
      <w:pPr>
        <w:pStyle w:val="17"/>
        <w:numPr>
          <w:ilvl w:val="0"/>
          <w:numId w:val="1"/>
        </w:numPr>
        <w:spacing w:before="312" w:beforeLines="100" w:after="312" w:afterLines="100"/>
        <w:ind w:firstLine="0" w:firstLineChars="0"/>
        <w:jc w:val="both"/>
        <w:outlineLvl w:val="0"/>
        <w:rPr>
          <w:rFonts w:hint="eastAsia" w:ascii="黑体" w:hAnsi="黑体" w:eastAsia="黑体"/>
          <w:b w:val="0"/>
          <w:bCs/>
        </w:rPr>
      </w:pPr>
      <w:bookmarkStart w:id="4" w:name="_Toc200400233"/>
      <w:r>
        <w:rPr>
          <w:rFonts w:hint="eastAsia" w:ascii="黑体" w:hAnsi="黑体" w:eastAsia="黑体"/>
          <w:b w:val="0"/>
          <w:bCs/>
        </w:rPr>
        <w:t>范围</w:t>
      </w:r>
      <w:bookmarkEnd w:id="4"/>
    </w:p>
    <w:p w14:paraId="278B9216">
      <w:pPr>
        <w:ind w:firstLine="420" w:firstLineChars="200"/>
        <w:jc w:val="both"/>
        <w:rPr>
          <w:rFonts w:hint="eastAsia" w:ascii="宋体" w:hAnsi="宋体" w:eastAsia="宋体" w:cs="宋体"/>
          <w:szCs w:val="21"/>
        </w:rPr>
      </w:pPr>
      <w:r>
        <w:rPr>
          <w:rFonts w:hint="eastAsia" w:ascii="宋体" w:hAnsi="宋体" w:eastAsia="宋体" w:cs="宋体"/>
          <w:szCs w:val="21"/>
        </w:rPr>
        <w:t>本文件规定了腹部提压心肺复苏的基本要求、主要机制、操作方法、适应证及禁忌证等内容。适用于对心脏呼吸骤停患者，尤其是存在胸外按压禁忌的患者进行心肺复苏救援。</w:t>
      </w:r>
    </w:p>
    <w:p w14:paraId="504B4897">
      <w:pPr>
        <w:ind w:firstLine="420" w:firstLineChars="200"/>
        <w:jc w:val="both"/>
        <w:rPr>
          <w:rFonts w:hint="eastAsia" w:ascii="宋体" w:hAnsi="宋体" w:eastAsia="宋体" w:cs="宋体"/>
          <w:szCs w:val="21"/>
        </w:rPr>
      </w:pPr>
      <w:r>
        <w:rPr>
          <w:rFonts w:hint="eastAsia" w:ascii="宋体" w:hAnsi="宋体" w:eastAsia="宋体" w:cs="宋体"/>
          <w:szCs w:val="21"/>
        </w:rPr>
        <w:t>本文件适用于各级医疗机构及多场景下专业医务人员/非医务人员开展腹部提压心肺复苏的规范化操作与培训，旨在提高心肺复苏的成功率。</w:t>
      </w:r>
    </w:p>
    <w:p w14:paraId="59D6BC56">
      <w:pPr>
        <w:pStyle w:val="17"/>
        <w:numPr>
          <w:ilvl w:val="0"/>
          <w:numId w:val="1"/>
        </w:numPr>
        <w:spacing w:before="312" w:beforeLines="100" w:after="312" w:afterLines="100"/>
        <w:ind w:firstLine="0" w:firstLineChars="0"/>
        <w:jc w:val="both"/>
        <w:outlineLvl w:val="0"/>
        <w:rPr>
          <w:rFonts w:hint="eastAsia" w:ascii="黑体" w:hAnsi="黑体" w:eastAsia="黑体"/>
          <w:b w:val="0"/>
          <w:bCs/>
        </w:rPr>
      </w:pPr>
      <w:bookmarkStart w:id="5" w:name="_Toc200400234"/>
      <w:r>
        <w:rPr>
          <w:rFonts w:hint="eastAsia" w:ascii="黑体" w:hAnsi="黑体" w:eastAsia="黑体"/>
          <w:b w:val="0"/>
          <w:bCs/>
        </w:rPr>
        <w:t>规范性引用文件</w:t>
      </w:r>
      <w:bookmarkEnd w:id="5"/>
    </w:p>
    <w:p w14:paraId="266FCF09">
      <w:pPr>
        <w:pStyle w:val="47"/>
        <w:ind w:left="0"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69FE4993">
      <w:pPr>
        <w:pStyle w:val="47"/>
        <w:ind w:left="0" w:firstLine="420" w:firstLineChars="200"/>
        <w:rPr>
          <w:rFonts w:hint="eastAsia"/>
        </w:rPr>
      </w:pPr>
      <w:r>
        <w:rPr>
          <w:rFonts w:ascii="Times New Roman" w:hAnsi="Times New Roman" w:eastAsia="宋体" w:cs="Times New Roman"/>
          <w:szCs w:val="21"/>
        </w:rPr>
        <w:t>GB9706.1-2007 医用电气设备基本安全和基本性能的通用要求</w:t>
      </w:r>
    </w:p>
    <w:p w14:paraId="1E95A930">
      <w:pPr>
        <w:pStyle w:val="17"/>
        <w:numPr>
          <w:ilvl w:val="0"/>
          <w:numId w:val="1"/>
        </w:numPr>
        <w:spacing w:before="312" w:beforeLines="100" w:after="312" w:afterLines="100"/>
        <w:ind w:firstLine="0" w:firstLineChars="0"/>
        <w:jc w:val="both"/>
        <w:outlineLvl w:val="0"/>
        <w:rPr>
          <w:rFonts w:hint="eastAsia" w:ascii="黑体" w:hAnsi="黑体" w:eastAsia="黑体"/>
          <w:b w:val="0"/>
          <w:bCs/>
        </w:rPr>
      </w:pPr>
      <w:bookmarkStart w:id="6" w:name="_Toc200400235"/>
      <w:r>
        <w:rPr>
          <w:rFonts w:hint="eastAsia" w:ascii="黑体" w:hAnsi="黑体" w:eastAsia="黑体"/>
          <w:b w:val="0"/>
          <w:bCs/>
        </w:rPr>
        <w:t>术语和定义</w:t>
      </w:r>
      <w:bookmarkEnd w:id="6"/>
    </w:p>
    <w:p w14:paraId="6E884AA9">
      <w:pPr>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下列术语和定义适用于本文件。</w:t>
      </w:r>
    </w:p>
    <w:p w14:paraId="7F8163B9">
      <w:pPr>
        <w:pStyle w:val="17"/>
        <w:numPr>
          <w:ilvl w:val="1"/>
          <w:numId w:val="1"/>
        </w:numPr>
        <w:spacing w:before="156" w:beforeLines="50" w:after="156" w:afterLines="50"/>
        <w:ind w:firstLine="0" w:firstLineChars="0"/>
        <w:rPr>
          <w:rFonts w:hint="eastAsia" w:ascii="黑体" w:hAnsi="黑体" w:eastAsia="黑体"/>
          <w:b w:val="0"/>
          <w:bCs/>
          <w:position w:val="-24"/>
        </w:rPr>
      </w:pPr>
    </w:p>
    <w:p w14:paraId="42AB09A6">
      <w:pPr>
        <w:pStyle w:val="17"/>
        <w:ind w:firstLine="420" w:firstLineChars="200"/>
        <w:rPr>
          <w:rFonts w:hint="eastAsia" w:ascii="Times New Roman" w:hAnsi="Times New Roman" w:eastAsia="黑体"/>
          <w:b w:val="0"/>
          <w:bCs/>
        </w:rPr>
      </w:pPr>
      <w:r>
        <w:rPr>
          <w:rFonts w:hint="eastAsia" w:ascii="Times New Roman" w:hAnsi="Times New Roman" w:eastAsia="黑体"/>
          <w:b w:val="0"/>
          <w:bCs/>
        </w:rPr>
        <w:t>腹部提压心肺复苏术（AACD-CPR）定义</w:t>
      </w:r>
      <w:r>
        <w:rPr>
          <w:rFonts w:hint="eastAsia" w:ascii="Times New Roman" w:hAnsi="Times New Roman" w:eastAsia="黑体"/>
          <w:b w:val="0"/>
          <w:bCs/>
        </w:rPr>
        <w:t xml:space="preserve"> </w:t>
      </w:r>
    </w:p>
    <w:p w14:paraId="35ECC57F">
      <w:pPr>
        <w:pStyle w:val="17"/>
        <w:jc w:val="both"/>
        <w:rPr>
          <w:rFonts w:hint="eastAsia" w:ascii="Times New Roman" w:hAnsi="Times New Roman"/>
        </w:rPr>
      </w:pPr>
      <w:r>
        <w:rPr>
          <w:rFonts w:hint="eastAsia" w:ascii="Times New Roman" w:hAnsi="Times New Roman"/>
        </w:rPr>
        <w:t>腹部提压心肺复苏技术是源于临床上针对心脏骤停实施传统的胸外按压心肺复苏（</w:t>
      </w:r>
      <w:r>
        <w:rPr>
          <w:rFonts w:ascii="Times New Roman" w:hAnsi="Times New Roman"/>
        </w:rPr>
        <w:t>STD-CPR</w:t>
      </w:r>
      <w:r>
        <w:rPr>
          <w:rFonts w:hint="eastAsia" w:ascii="Times New Roman" w:hAnsi="Times New Roman"/>
        </w:rPr>
        <w:t>）禁忌证的限制而产生，且在实施</w:t>
      </w:r>
      <w:r>
        <w:rPr>
          <w:rFonts w:ascii="Times New Roman" w:hAnsi="Times New Roman"/>
        </w:rPr>
        <w:t xml:space="preserve">STD-CPR </w:t>
      </w:r>
      <w:r>
        <w:rPr>
          <w:rFonts w:hint="eastAsia" w:ascii="Times New Roman" w:hAnsi="Times New Roman"/>
        </w:rPr>
        <w:t>过程中约</w:t>
      </w:r>
      <w:r>
        <w:rPr>
          <w:rFonts w:ascii="Times New Roman" w:hAnsi="Times New Roman"/>
        </w:rPr>
        <w:t>30%</w:t>
      </w:r>
      <w:r>
        <w:rPr>
          <w:rFonts w:hint="eastAsia" w:ascii="Times New Roman" w:hAnsi="Times New Roman"/>
        </w:rPr>
        <w:t>～</w:t>
      </w:r>
      <w:r>
        <w:rPr>
          <w:rFonts w:ascii="Times New Roman" w:hAnsi="Times New Roman"/>
        </w:rPr>
        <w:t>80%</w:t>
      </w:r>
      <w:r>
        <w:rPr>
          <w:rFonts w:hint="eastAsia" w:ascii="Times New Roman" w:hAnsi="Times New Roman"/>
        </w:rPr>
        <w:t>并发肋骨或胸骨骨折，骨软骨交界分离导致肺、胸膜及心脏损伤，从而限制了对</w:t>
      </w:r>
      <w:r>
        <w:rPr>
          <w:rFonts w:ascii="Times New Roman" w:hAnsi="Times New Roman"/>
        </w:rPr>
        <w:t>CA</w:t>
      </w:r>
      <w:r>
        <w:rPr>
          <w:rFonts w:hint="eastAsia" w:ascii="Times New Roman" w:hAnsi="Times New Roman"/>
        </w:rPr>
        <w:t>患者高质量</w:t>
      </w:r>
      <w:r>
        <w:rPr>
          <w:rFonts w:ascii="Times New Roman" w:hAnsi="Times New Roman"/>
        </w:rPr>
        <w:t xml:space="preserve">STD-CPR </w:t>
      </w:r>
      <w:r>
        <w:rPr>
          <w:rFonts w:hint="eastAsia" w:ascii="Times New Roman" w:hAnsi="Times New Roman"/>
        </w:rPr>
        <w:t>的实施，影响了</w:t>
      </w:r>
      <w:r>
        <w:rPr>
          <w:rFonts w:ascii="Times New Roman" w:hAnsi="Times New Roman"/>
        </w:rPr>
        <w:t>CPR</w:t>
      </w:r>
      <w:r>
        <w:rPr>
          <w:rFonts w:hint="eastAsia" w:ascii="Times New Roman" w:hAnsi="Times New Roman"/>
        </w:rPr>
        <w:t>的成功率，由此探索出“胸路不通走腹路”的新途径—腹部提压心肺复苏</w:t>
      </w:r>
      <w:r>
        <w:rPr>
          <w:rFonts w:ascii="Times New Roman" w:hAnsi="Times New Roman"/>
        </w:rPr>
        <w:t xml:space="preserve"> (AACD-CPR)</w:t>
      </w:r>
      <w:r>
        <w:rPr>
          <w:rFonts w:hint="eastAsia" w:ascii="Times New Roman" w:hAnsi="Times New Roman"/>
        </w:rPr>
        <w:t>应运而生。腹部提压心肺复苏技术是针对心脏骤停患者，运用腹部提压心肺复苏仪作用于人体中上腹部，通过主动提拉与按压使腹腔内压力发生变化，驱动胸腹之间的膈肌上下移动产生的“腹泵”机制，继而改变胸腔内容积与胸腔内外压力梯度，发挥“胸泵”“心泵”“肺泵”多泵效应，增加心排血量的同时完成体外腹式呼吸，进而实现人工循环与呼吸并举的心肺复苏技术。（见下图</w:t>
      </w:r>
      <w:r>
        <w:rPr>
          <w:rFonts w:hint="eastAsia" w:ascii="Times New Roman" w:hAnsi="Times New Roman"/>
        </w:rPr>
        <w:t>1</w:t>
      </w:r>
      <w:r>
        <w:rPr>
          <w:rFonts w:hint="eastAsia" w:ascii="Times New Roman" w:hAnsi="Times New Roman"/>
        </w:rPr>
        <w:t>）</w:t>
      </w:r>
    </w:p>
    <w:p w14:paraId="01F9B577">
      <w:pPr>
        <w:pStyle w:val="17"/>
        <w:ind w:firstLine="0" w:firstLineChars="0"/>
        <w:jc w:val="center"/>
        <w:rPr>
          <w:rFonts w:hint="eastAsia"/>
        </w:rPr>
      </w:pPr>
      <w:r>
        <w:drawing>
          <wp:inline distT="0" distB="0" distL="0" distR="0">
            <wp:extent cx="3035300" cy="2113280"/>
            <wp:effectExtent l="0" t="0" r="0" b="1270"/>
            <wp:docPr id="1980348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48958" name="图片 1"/>
                    <pic:cNvPicPr>
                      <a:picLocks noChangeAspect="1"/>
                    </pic:cNvPicPr>
                  </pic:nvPicPr>
                  <pic:blipFill>
                    <a:blip r:embed="rId18"/>
                    <a:stretch>
                      <a:fillRect/>
                    </a:stretch>
                  </pic:blipFill>
                  <pic:spPr>
                    <a:xfrm>
                      <a:off x="0" y="0"/>
                      <a:ext cx="3044461" cy="2120137"/>
                    </a:xfrm>
                    <a:prstGeom prst="rect">
                      <a:avLst/>
                    </a:prstGeom>
                  </pic:spPr>
                </pic:pic>
              </a:graphicData>
            </a:graphic>
          </wp:inline>
        </w:drawing>
      </w:r>
    </w:p>
    <w:p w14:paraId="73EBA725">
      <w:pPr>
        <w:pStyle w:val="17"/>
        <w:ind w:firstLine="0" w:firstLineChars="0"/>
        <w:jc w:val="center"/>
        <w:rPr>
          <w:rFonts w:hint="eastAsia" w:ascii="Times New Roman" w:hAnsi="Times New Roman"/>
        </w:rPr>
      </w:pPr>
      <w:r>
        <w:rPr>
          <w:rFonts w:hint="eastAsia" w:ascii="Times New Roman" w:hAnsi="Times New Roman"/>
        </w:rPr>
        <w:t>图1</w:t>
      </w:r>
    </w:p>
    <w:p w14:paraId="44506040">
      <w:pPr>
        <w:pStyle w:val="17"/>
        <w:numPr>
          <w:ilvl w:val="1"/>
          <w:numId w:val="1"/>
        </w:numPr>
        <w:spacing w:before="156" w:beforeLines="50" w:after="156" w:afterLines="50"/>
        <w:ind w:firstLine="0" w:firstLineChars="0"/>
        <w:rPr>
          <w:rFonts w:hint="eastAsia" w:ascii="黑体" w:hAnsi="黑体" w:eastAsia="黑体"/>
          <w:b w:val="0"/>
          <w:bCs/>
          <w:position w:val="-24"/>
        </w:rPr>
      </w:pPr>
    </w:p>
    <w:p w14:paraId="189CC59E">
      <w:pPr>
        <w:pStyle w:val="17"/>
        <w:ind w:firstLine="420" w:firstLineChars="200"/>
        <w:rPr>
          <w:rFonts w:hint="eastAsia" w:ascii="Times New Roman" w:hAnsi="Times New Roman" w:eastAsia="黑体"/>
          <w:b w:val="0"/>
          <w:bCs/>
        </w:rPr>
      </w:pPr>
      <w:r>
        <w:rPr>
          <w:rFonts w:hint="eastAsia" w:ascii="Times New Roman" w:hAnsi="Times New Roman" w:eastAsia="黑体"/>
          <w:b w:val="0"/>
          <w:bCs/>
        </w:rPr>
        <w:t>腹部提压心肺复苏术（AACD-CPR）机制</w:t>
      </w:r>
      <w:r>
        <w:rPr>
          <w:rFonts w:hint="eastAsia" w:ascii="Times New Roman" w:hAnsi="Times New Roman" w:eastAsia="黑体"/>
          <w:b w:val="0"/>
          <w:bCs/>
        </w:rPr>
        <w:t xml:space="preserve"> </w:t>
      </w:r>
    </w:p>
    <w:p w14:paraId="5156038E">
      <w:pPr>
        <w:pStyle w:val="17"/>
        <w:jc w:val="both"/>
        <w:rPr>
          <w:rFonts w:hint="eastAsia" w:ascii="Times New Roman" w:hAnsi="Times New Roman"/>
        </w:rPr>
      </w:pPr>
      <w:r>
        <w:rPr>
          <w:rFonts w:hint="eastAsia" w:ascii="Times New Roman" w:hAnsi="Times New Roman"/>
        </w:rPr>
        <w:t>腹部提压心肺复苏技术是通过腹部提压心肺复苏仪的吸盘吸附于心脏骤停患者的中上腹部，由抢救者手持手柄，主动提拉与按压腹部，使腹腔内压力发生变化，驱动胸腹之间的膈肌上下移动产生“腹泵”机制，继而改变胸腔内容积与胸腔内外压力梯度，发挥“胸泵”“心泵”“肺泵”多泵效应，增加心排血量的同时完成体外腹式呼吸，进而实现人工循环与呼吸并举的CPR技术。（见下图</w:t>
      </w:r>
      <w:r>
        <w:rPr>
          <w:rFonts w:hint="eastAsia" w:ascii="Times New Roman" w:hAnsi="Times New Roman"/>
        </w:rPr>
        <w:t>2和图3</w:t>
      </w:r>
      <w:r>
        <w:rPr>
          <w:rFonts w:hint="eastAsia" w:ascii="Times New Roman" w:hAnsi="Times New Roman"/>
        </w:rPr>
        <w:t>）</w:t>
      </w:r>
    </w:p>
    <w:p w14:paraId="47D1AB76">
      <w:pPr>
        <w:pStyle w:val="17"/>
        <w:ind w:firstLine="0" w:firstLineChars="0"/>
        <w:jc w:val="center"/>
        <w:rPr>
          <w:rFonts w:hint="eastAsia"/>
        </w:rPr>
      </w:pPr>
      <w:r>
        <w:drawing>
          <wp:inline distT="0" distB="0" distL="0" distR="0">
            <wp:extent cx="4545965" cy="2159000"/>
            <wp:effectExtent l="0" t="0" r="6985" b="0"/>
            <wp:docPr id="2051869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69171" name="图片 1"/>
                    <pic:cNvPicPr>
                      <a:picLocks noChangeAspect="1"/>
                    </pic:cNvPicPr>
                  </pic:nvPicPr>
                  <pic:blipFill>
                    <a:blip r:embed="rId19"/>
                    <a:srcRect b="17073"/>
                    <a:stretch>
                      <a:fillRect/>
                    </a:stretch>
                  </pic:blipFill>
                  <pic:spPr>
                    <a:xfrm>
                      <a:off x="0" y="0"/>
                      <a:ext cx="4546884" cy="2159210"/>
                    </a:xfrm>
                    <a:prstGeom prst="rect">
                      <a:avLst/>
                    </a:prstGeom>
                    <a:ln>
                      <a:noFill/>
                    </a:ln>
                  </pic:spPr>
                </pic:pic>
              </a:graphicData>
            </a:graphic>
          </wp:inline>
        </w:drawing>
      </w:r>
    </w:p>
    <w:p w14:paraId="3BB34FDC">
      <w:pPr>
        <w:pStyle w:val="17"/>
        <w:ind w:firstLine="0" w:firstLineChars="0"/>
        <w:jc w:val="center"/>
        <w:rPr>
          <w:rFonts w:hint="eastAsia" w:ascii="Times New Roman" w:hAnsi="Times New Roman"/>
        </w:rPr>
      </w:pPr>
      <w:bookmarkStart w:id="7" w:name="OLE_LINK3"/>
      <w:r>
        <w:rPr>
          <w:rFonts w:hint="eastAsia" w:ascii="Times New Roman" w:hAnsi="Times New Roman"/>
        </w:rPr>
        <w:t>图2</w:t>
      </w:r>
    </w:p>
    <w:bookmarkEnd w:id="7"/>
    <w:p w14:paraId="136B3520">
      <w:pPr>
        <w:pStyle w:val="17"/>
        <w:ind w:firstLine="0" w:firstLineChars="0"/>
        <w:jc w:val="center"/>
        <w:rPr>
          <w:rFonts w:hint="eastAsia"/>
        </w:rPr>
      </w:pPr>
      <w:r>
        <w:rPr>
          <w:rFonts w:hint="eastAsia"/>
        </w:rPr>
        <w:drawing>
          <wp:inline distT="0" distB="0" distL="0" distR="0">
            <wp:extent cx="4540250" cy="2159635"/>
            <wp:effectExtent l="0" t="0" r="0" b="0"/>
            <wp:docPr id="15766376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37641"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71877" cy="2175210"/>
                    </a:xfrm>
                    <a:prstGeom prst="rect">
                      <a:avLst/>
                    </a:prstGeom>
                    <a:noFill/>
                  </pic:spPr>
                </pic:pic>
              </a:graphicData>
            </a:graphic>
          </wp:inline>
        </w:drawing>
      </w:r>
    </w:p>
    <w:p w14:paraId="760B4C97">
      <w:pPr>
        <w:pStyle w:val="17"/>
        <w:ind w:firstLine="0" w:firstLineChars="0"/>
        <w:jc w:val="center"/>
        <w:rPr>
          <w:rFonts w:hint="eastAsia" w:ascii="Times New Roman" w:hAnsi="Times New Roman"/>
        </w:rPr>
      </w:pPr>
      <w:r>
        <w:rPr>
          <w:rFonts w:hint="eastAsia" w:ascii="Times New Roman" w:hAnsi="Times New Roman"/>
        </w:rPr>
        <w:t>图3</w:t>
      </w:r>
    </w:p>
    <w:p w14:paraId="4C38BE50">
      <w:pPr>
        <w:pStyle w:val="17"/>
        <w:numPr>
          <w:ilvl w:val="1"/>
          <w:numId w:val="1"/>
        </w:numPr>
        <w:spacing w:before="156" w:beforeLines="50" w:after="156" w:afterLines="50"/>
        <w:ind w:firstLine="0" w:firstLineChars="0"/>
        <w:rPr>
          <w:rFonts w:hint="eastAsia" w:ascii="黑体" w:hAnsi="黑体" w:eastAsia="黑体"/>
          <w:b w:val="0"/>
          <w:bCs/>
          <w:position w:val="-24"/>
        </w:rPr>
      </w:pPr>
    </w:p>
    <w:p w14:paraId="5BAB1F49">
      <w:pPr>
        <w:pStyle w:val="17"/>
        <w:ind w:firstLine="420" w:firstLineChars="200"/>
        <w:rPr>
          <w:rFonts w:hint="eastAsia" w:ascii="Times New Roman" w:hAnsi="Times New Roman" w:eastAsia="黑体"/>
          <w:b w:val="0"/>
          <w:bCs/>
        </w:rPr>
      </w:pPr>
      <w:r>
        <w:rPr>
          <w:rFonts w:hint="eastAsia" w:ascii="Times New Roman" w:hAnsi="Times New Roman" w:eastAsia="黑体"/>
          <w:b w:val="0"/>
          <w:bCs/>
        </w:rPr>
        <w:t>腹部提压心肺复苏术（AACD-CPR）方法</w:t>
      </w:r>
      <w:r>
        <w:rPr>
          <w:rFonts w:hint="eastAsia" w:ascii="Times New Roman" w:hAnsi="Times New Roman" w:eastAsia="黑体"/>
          <w:b w:val="0"/>
          <w:bCs/>
        </w:rPr>
        <w:t xml:space="preserve"> </w:t>
      </w:r>
    </w:p>
    <w:p w14:paraId="7D68AE2D">
      <w:pPr>
        <w:pStyle w:val="17"/>
        <w:jc w:val="both"/>
        <w:rPr>
          <w:rFonts w:hint="eastAsia" w:ascii="Times New Roman" w:hAnsi="Times New Roman"/>
        </w:rPr>
      </w:pPr>
      <w:r>
        <w:rPr>
          <w:rFonts w:hint="eastAsia" w:ascii="Times New Roman" w:hAnsi="Times New Roman"/>
        </w:rPr>
        <w:t>腹部提压心肺复苏操作及分类（标准化操作方法、多元化操作方法、个体化操作方法）。（见下图</w:t>
      </w:r>
      <w:r>
        <w:rPr>
          <w:rFonts w:hint="eastAsia" w:ascii="Times New Roman" w:hAnsi="Times New Roman"/>
        </w:rPr>
        <w:t>4</w:t>
      </w:r>
      <w:r>
        <w:rPr>
          <w:rFonts w:hint="eastAsia" w:ascii="Times New Roman" w:hAnsi="Times New Roman"/>
        </w:rPr>
        <w:t>）</w:t>
      </w:r>
    </w:p>
    <w:p w14:paraId="6D78E3B1">
      <w:pPr>
        <w:pStyle w:val="47"/>
        <w:numPr>
          <w:ilvl w:val="0"/>
          <w:numId w:val="0"/>
        </w:numPr>
        <w:snapToGrid w:val="0"/>
        <w:spacing w:line="360" w:lineRule="auto"/>
        <w:ind w:left="0"/>
        <w:jc w:val="center"/>
        <w:rPr>
          <w:rFonts w:hint="eastAsia"/>
          <w:position w:val="-24"/>
        </w:rPr>
      </w:pPr>
      <w:r>
        <w:drawing>
          <wp:inline distT="0" distB="0" distL="0" distR="0">
            <wp:extent cx="4905375" cy="2047875"/>
            <wp:effectExtent l="0" t="0" r="9525" b="9525"/>
            <wp:docPr id="1386518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1854" name="图片 12"/>
                    <pic:cNvPicPr>
                      <a:picLocks noChangeAspect="1" noChangeArrowheads="1"/>
                    </pic:cNvPicPr>
                  </pic:nvPicPr>
                  <pic:blipFill>
                    <a:blip r:embed="rId21">
                      <a:extLst>
                        <a:ext uri="{28A0092B-C50C-407E-A947-70E740481C1C}">
                          <a14:useLocalDpi xmlns:a14="http://schemas.microsoft.com/office/drawing/2010/main" val="0"/>
                        </a:ext>
                      </a:extLst>
                    </a:blip>
                    <a:srcRect l="290" b="9422"/>
                    <a:stretch>
                      <a:fillRect/>
                    </a:stretch>
                  </pic:blipFill>
                  <pic:spPr>
                    <a:xfrm>
                      <a:off x="0" y="0"/>
                      <a:ext cx="4905375" cy="2047875"/>
                    </a:xfrm>
                    <a:prstGeom prst="rect">
                      <a:avLst/>
                    </a:prstGeom>
                    <a:noFill/>
                    <a:ln>
                      <a:noFill/>
                    </a:ln>
                  </pic:spPr>
                </pic:pic>
              </a:graphicData>
            </a:graphic>
          </wp:inline>
        </w:drawing>
      </w:r>
    </w:p>
    <w:p w14:paraId="7659D1C9">
      <w:pPr>
        <w:pStyle w:val="47"/>
        <w:snapToGrid w:val="0"/>
        <w:ind w:left="0"/>
        <w:jc w:val="center"/>
        <w:rPr>
          <w:rFonts w:hint="eastAsia"/>
        </w:rPr>
      </w:pPr>
      <w:r>
        <w:rPr>
          <w:rFonts w:hint="eastAsia" w:ascii="Times New Roman" w:hAnsi="Times New Roman" w:eastAsia="宋体" w:cs="Times New Roman"/>
          <w:position w:val="-30"/>
          <w:sz w:val="21"/>
          <w:szCs w:val="21"/>
        </w:rPr>
        <w:t>图</w:t>
      </w:r>
      <w:r>
        <w:rPr>
          <w:rFonts w:hint="eastAsia" w:ascii="Times New Roman" w:hAnsi="Times New Roman" w:eastAsia="宋体" w:cs="Times New Roman"/>
          <w:position w:val="-30"/>
          <w:sz w:val="21"/>
          <w:szCs w:val="21"/>
        </w:rPr>
        <w:t xml:space="preserve">4 </w:t>
      </w:r>
      <w:r>
        <w:rPr>
          <w:rFonts w:hint="eastAsia" w:ascii="Times New Roman" w:hAnsi="Times New Roman" w:eastAsia="宋体" w:cs="Times New Roman"/>
          <w:position w:val="-30"/>
          <w:sz w:val="21"/>
          <w:szCs w:val="21"/>
        </w:rPr>
        <w:t>《中国心肺复苏专家共识》之腹部提压心肺复苏（AACD-CPR）操作系统分类</w:t>
      </w:r>
    </w:p>
    <w:p w14:paraId="326CAB9B">
      <w:pPr>
        <w:pStyle w:val="17"/>
        <w:numPr>
          <w:ilvl w:val="0"/>
          <w:numId w:val="1"/>
        </w:numPr>
        <w:spacing w:before="312" w:beforeLines="100" w:after="312" w:afterLines="100"/>
        <w:ind w:firstLine="0" w:firstLineChars="0"/>
        <w:jc w:val="both"/>
        <w:outlineLvl w:val="0"/>
        <w:rPr>
          <w:rFonts w:hint="eastAsia" w:ascii="黑体" w:hAnsi="黑体" w:eastAsia="黑体"/>
          <w:b w:val="0"/>
          <w:bCs/>
        </w:rPr>
      </w:pPr>
      <w:bookmarkStart w:id="8" w:name="_Toc200400236"/>
      <w:bookmarkStart w:id="9" w:name="OLE_LINK5"/>
      <w:r>
        <w:rPr>
          <w:rFonts w:hint="eastAsia" w:ascii="黑体" w:hAnsi="黑体" w:eastAsia="黑体"/>
          <w:b w:val="0"/>
          <w:bCs/>
        </w:rPr>
        <w:t>腹部提压心肺复苏标准化操作方法</w:t>
      </w:r>
      <w:bookmarkEnd w:id="8"/>
    </w:p>
    <w:bookmarkEnd w:id="9"/>
    <w:p w14:paraId="0EF6126A">
      <w:pPr>
        <w:pStyle w:val="17"/>
        <w:numPr>
          <w:ilvl w:val="1"/>
          <w:numId w:val="1"/>
        </w:numPr>
        <w:spacing w:before="156" w:beforeLines="50" w:after="156" w:afterLines="50"/>
        <w:ind w:firstLineChars="0"/>
        <w:jc w:val="left"/>
        <w:rPr>
          <w:rFonts w:ascii="黑体" w:hAnsi="黑体" w:eastAsia="黑体"/>
          <w:position w:val="-24"/>
        </w:rPr>
      </w:pPr>
      <w:r>
        <w:rPr>
          <w:rFonts w:hint="eastAsia" w:ascii="黑体" w:hAnsi="黑体" w:eastAsia="黑体"/>
          <w:position w:val="-24"/>
        </w:rPr>
        <w:t>腹部提压心肺复苏标准化操作方法</w:t>
      </w:r>
    </w:p>
    <w:p w14:paraId="209CB992">
      <w:pPr>
        <w:pStyle w:val="17"/>
        <w:jc w:val="both"/>
        <w:rPr>
          <w:rFonts w:hint="eastAsia" w:ascii="Times New Roman" w:hAnsi="Times New Roman"/>
        </w:rPr>
      </w:pPr>
      <w:r>
        <w:rPr>
          <w:rFonts w:hint="eastAsia" w:ascii="Times New Roman" w:hAnsi="Times New Roman"/>
        </w:rPr>
        <w:t>（1）1名操作者跪在患者一侧，身体中线与肚脐和剑突中点一致，双手抓紧手柄；</w:t>
      </w:r>
    </w:p>
    <w:p w14:paraId="152901A5">
      <w:pPr>
        <w:pStyle w:val="17"/>
        <w:jc w:val="both"/>
        <w:rPr>
          <w:rFonts w:hint="eastAsia" w:ascii="Times New Roman" w:hAnsi="Times New Roman"/>
        </w:rPr>
      </w:pPr>
      <w:r>
        <w:rPr>
          <w:rFonts w:hint="eastAsia" w:ascii="Times New Roman" w:hAnsi="Times New Roman"/>
        </w:rPr>
        <w:t>（2）启动仪器，将仪器放置患者的中上腹部自动吸附；</w:t>
      </w:r>
    </w:p>
    <w:p w14:paraId="3DD03104">
      <w:pPr>
        <w:pStyle w:val="17"/>
        <w:jc w:val="both"/>
        <w:rPr>
          <w:rFonts w:hint="eastAsia" w:ascii="Times New Roman" w:hAnsi="Times New Roman"/>
        </w:rPr>
      </w:pPr>
      <w:r>
        <w:rPr>
          <w:rFonts w:hint="eastAsia" w:ascii="Times New Roman" w:hAnsi="Times New Roman"/>
        </w:rPr>
        <w:t>（3）吸附完毕后，根据指示以100次/min的速率进行腹部提压；</w:t>
      </w:r>
    </w:p>
    <w:p w14:paraId="141AD66C">
      <w:pPr>
        <w:pStyle w:val="17"/>
        <w:jc w:val="both"/>
        <w:rPr>
          <w:rFonts w:hint="eastAsia" w:ascii="Times New Roman" w:hAnsi="Times New Roman"/>
        </w:rPr>
      </w:pPr>
      <w:r>
        <w:rPr>
          <w:rFonts w:hint="eastAsia" w:ascii="Times New Roman" w:hAnsi="Times New Roman"/>
        </w:rPr>
        <w:t>（4）下压力度：40</w:t>
      </w:r>
      <w:r>
        <w:rPr>
          <w:rFonts w:ascii="Times New Roman" w:hAnsi="Times New Roman"/>
        </w:rPr>
        <w:t>kg</w:t>
      </w:r>
      <w:r>
        <w:rPr>
          <w:rFonts w:hint="eastAsia" w:ascii="Times New Roman" w:hAnsi="Times New Roman"/>
        </w:rPr>
        <w:t>～50</w:t>
      </w:r>
      <w:bookmarkStart w:id="10" w:name="OLE_LINK2"/>
      <w:r>
        <w:rPr>
          <w:rFonts w:hint="eastAsia" w:ascii="Times New Roman" w:hAnsi="Times New Roman"/>
        </w:rPr>
        <w:t>kg</w:t>
      </w:r>
      <w:bookmarkEnd w:id="10"/>
      <w:r>
        <w:rPr>
          <w:rFonts w:hint="eastAsia" w:ascii="Times New Roman" w:hAnsi="Times New Roman"/>
        </w:rPr>
        <w:t>，上提力度：10</w:t>
      </w:r>
      <w:r>
        <w:rPr>
          <w:rFonts w:ascii="Times New Roman" w:hAnsi="Times New Roman"/>
        </w:rPr>
        <w:t>kg</w:t>
      </w:r>
      <w:r>
        <w:rPr>
          <w:rFonts w:hint="eastAsia" w:ascii="Times New Roman" w:hAnsi="Times New Roman"/>
        </w:rPr>
        <w:t>～30kg；</w:t>
      </w:r>
    </w:p>
    <w:p w14:paraId="43D8A748">
      <w:pPr>
        <w:pStyle w:val="17"/>
        <w:jc w:val="both"/>
        <w:rPr>
          <w:rFonts w:hint="eastAsia" w:ascii="Times New Roman" w:hAnsi="Times New Roman"/>
        </w:rPr>
      </w:pPr>
      <w:r>
        <w:rPr>
          <w:rFonts w:hint="eastAsia" w:ascii="Times New Roman" w:hAnsi="Times New Roman"/>
        </w:rPr>
        <w:t>（5）提压过程中肘关节不可弯曲；</w:t>
      </w:r>
    </w:p>
    <w:p w14:paraId="1016655B">
      <w:pPr>
        <w:pStyle w:val="17"/>
        <w:jc w:val="both"/>
        <w:rPr>
          <w:rFonts w:hint="eastAsia" w:ascii="Times New Roman" w:hAnsi="Times New Roman"/>
        </w:rPr>
      </w:pPr>
      <w:r>
        <w:rPr>
          <w:rFonts w:hint="eastAsia" w:ascii="Times New Roman" w:hAnsi="Times New Roman"/>
        </w:rPr>
        <w:t>（6）提压时面板要与患者平行，使用过程中避免前后左右晃动，垂直进行提压；</w:t>
      </w:r>
    </w:p>
    <w:p w14:paraId="46985659">
      <w:pPr>
        <w:pStyle w:val="17"/>
        <w:ind w:firstLine="420" w:firstLineChars="200"/>
        <w:jc w:val="both"/>
        <w:rPr>
          <w:rFonts w:hint="eastAsia" w:ascii="Times New Roman" w:hAnsi="Times New Roman"/>
        </w:rPr>
      </w:pPr>
      <w:r>
        <w:rPr>
          <w:rFonts w:hint="eastAsia" w:ascii="Times New Roman" w:hAnsi="Times New Roman"/>
        </w:rPr>
        <w:t>（7）操作完毕后，双手指按压吸附处皮肤，移除仪器操作完毕。AACD-CPR标准化操作方法适用于有适度空间的医疗场所。</w:t>
      </w:r>
    </w:p>
    <w:p w14:paraId="23CB9B80">
      <w:pPr>
        <w:pStyle w:val="17"/>
        <w:ind w:firstLine="0" w:firstLineChars="0"/>
        <w:jc w:val="center"/>
        <w:rPr>
          <w:rFonts w:hint="eastAsia"/>
        </w:rPr>
      </w:pPr>
      <w:r>
        <w:rPr>
          <w:rFonts w:hint="eastAsia"/>
        </w:rPr>
        <w:drawing>
          <wp:inline distT="0" distB="0" distL="0" distR="0">
            <wp:extent cx="5178425" cy="1485900"/>
            <wp:effectExtent l="0" t="0" r="3175" b="0"/>
            <wp:docPr id="4909105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1059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23274" cy="1498769"/>
                    </a:xfrm>
                    <a:prstGeom prst="rect">
                      <a:avLst/>
                    </a:prstGeom>
                    <a:noFill/>
                  </pic:spPr>
                </pic:pic>
              </a:graphicData>
            </a:graphic>
          </wp:inline>
        </w:drawing>
      </w:r>
    </w:p>
    <w:p w14:paraId="08E23A73">
      <w:pPr>
        <w:pStyle w:val="17"/>
        <w:ind w:firstLine="0" w:firstLineChars="0"/>
        <w:jc w:val="both"/>
        <w:rPr>
          <w:rFonts w:hint="eastAsia"/>
          <w:b/>
          <w:bCs w:val="0"/>
          <w:sz w:val="18"/>
          <w:szCs w:val="18"/>
        </w:rPr>
      </w:pPr>
      <w:r>
        <w:rPr>
          <w:rFonts w:hint="eastAsia" w:ascii="Times New Roman" w:hAnsi="Times New Roman"/>
          <w:b/>
          <w:bCs w:val="0"/>
          <w:sz w:val="18"/>
          <w:szCs w:val="18"/>
        </w:rPr>
        <w:t>注：</w:t>
      </w:r>
      <w:r>
        <w:rPr>
          <w:rFonts w:hint="eastAsia" w:ascii="Times New Roman" w:hAnsi="Times New Roman"/>
          <w:b w:val="0"/>
          <w:sz w:val="18"/>
          <w:szCs w:val="18"/>
        </w:rPr>
        <w:t>腹部提压心肺复苏术标准化操作方法，操作者跪在患者一侧，身体中线与肚脐和剑突中点一致，双手抓紧手柄；操作者提压过程中肘关节不可弯曲，提压时面板要与患者平行，避免前后左右晃动，垂直进行提压。</w:t>
      </w:r>
    </w:p>
    <w:p w14:paraId="1743A3FD">
      <w:pPr>
        <w:pStyle w:val="17"/>
        <w:numPr>
          <w:ilvl w:val="1"/>
          <w:numId w:val="1"/>
        </w:numPr>
        <w:spacing w:before="156" w:beforeLines="50" w:after="156" w:afterLines="50"/>
        <w:ind w:firstLine="0" w:firstLineChars="0"/>
        <w:rPr>
          <w:rFonts w:hint="eastAsia" w:ascii="黑体" w:hAnsi="黑体" w:eastAsia="黑体"/>
          <w:b w:val="0"/>
          <w:bCs/>
          <w:position w:val="-24"/>
        </w:rPr>
      </w:pPr>
      <w:r>
        <w:rPr>
          <w:rFonts w:hint="eastAsia" w:ascii="黑体" w:hAnsi="黑体" w:eastAsia="黑体"/>
          <w:b w:val="0"/>
          <w:bCs/>
          <w:position w:val="-24"/>
        </w:rPr>
        <w:t>腹部提压心肺复苏多元化操作方法</w:t>
      </w:r>
    </w:p>
    <w:p w14:paraId="602C593D">
      <w:pPr>
        <w:pStyle w:val="17"/>
        <w:jc w:val="both"/>
        <w:rPr>
          <w:rFonts w:hint="eastAsia" w:ascii="Times New Roman" w:hAnsi="Times New Roman"/>
        </w:rPr>
      </w:pPr>
      <w:r>
        <w:rPr>
          <w:rFonts w:hint="eastAsia" w:ascii="Times New Roman" w:hAnsi="Times New Roman"/>
        </w:rPr>
        <w:t>多元化是在标准化基本框架下的丰富和延伸，适用于空间受限（如直升机、灾难废墟等狭窄空间）、呼吸支持、联合胸外按压等场景。AACD-CPR多元化操作主要有头腹位、肢腹位、胸腹联合、与球囊面罩配合等方法，具体如下。</w:t>
      </w:r>
    </w:p>
    <w:p w14:paraId="08F6E6AF">
      <w:pPr>
        <w:pStyle w:val="17"/>
        <w:ind w:firstLine="422"/>
        <w:rPr>
          <w:rFonts w:hint="eastAsia" w:ascii="Times New Roman" w:hAnsi="Times New Roman"/>
          <w:b/>
          <w:bCs w:val="0"/>
        </w:rPr>
      </w:pPr>
      <w:r>
        <w:rPr>
          <w:rFonts w:hint="eastAsia" w:ascii="Times New Roman" w:hAnsi="Times New Roman"/>
          <w:b/>
          <w:bCs w:val="0"/>
        </w:rPr>
        <w:t>AACD-CPR头腹位操作方法：</w:t>
      </w:r>
    </w:p>
    <w:p w14:paraId="64DF4C32">
      <w:pPr>
        <w:pStyle w:val="17"/>
        <w:jc w:val="both"/>
        <w:rPr>
          <w:rFonts w:hint="eastAsia" w:ascii="Times New Roman" w:hAnsi="Times New Roman"/>
        </w:rPr>
      </w:pPr>
      <w:r>
        <w:rPr>
          <w:rFonts w:hint="eastAsia" w:ascii="Times New Roman" w:hAnsi="Times New Roman"/>
        </w:rPr>
        <w:t>（1）1名操作者双腿岔开跪跨在被救者的头部；</w:t>
      </w:r>
    </w:p>
    <w:p w14:paraId="0E9E12B6">
      <w:pPr>
        <w:pStyle w:val="17"/>
        <w:jc w:val="both"/>
        <w:rPr>
          <w:rFonts w:hint="eastAsia" w:ascii="Times New Roman" w:hAnsi="Times New Roman"/>
        </w:rPr>
      </w:pPr>
      <w:r>
        <w:rPr>
          <w:rFonts w:hint="eastAsia" w:ascii="Times New Roman" w:hAnsi="Times New Roman"/>
        </w:rPr>
        <w:t>（2）使被救者腹部与底板紧密连接；</w:t>
      </w:r>
    </w:p>
    <w:p w14:paraId="585455BE">
      <w:pPr>
        <w:pStyle w:val="17"/>
        <w:jc w:val="both"/>
        <w:rPr>
          <w:rFonts w:hint="eastAsia" w:ascii="Times New Roman" w:hAnsi="Times New Roman"/>
        </w:rPr>
      </w:pPr>
      <w:r>
        <w:rPr>
          <w:rFonts w:hint="eastAsia" w:ascii="Times New Roman" w:hAnsi="Times New Roman"/>
        </w:rPr>
        <w:t>（3）右手抓握仪器面板与手柄右上角，左手抓握仪器面板与手柄左下角；</w:t>
      </w:r>
    </w:p>
    <w:p w14:paraId="61863369">
      <w:pPr>
        <w:pStyle w:val="17"/>
        <w:jc w:val="both"/>
        <w:rPr>
          <w:rFonts w:hint="eastAsia" w:ascii="Times New Roman" w:hAnsi="Times New Roman"/>
        </w:rPr>
      </w:pPr>
      <w:r>
        <w:rPr>
          <w:rFonts w:hint="eastAsia" w:ascii="Times New Roman" w:hAnsi="Times New Roman"/>
        </w:rPr>
        <w:t>（4）重心前倾，两臂与面板垂直；</w:t>
      </w:r>
    </w:p>
    <w:p w14:paraId="20685F4A">
      <w:pPr>
        <w:pStyle w:val="17"/>
        <w:jc w:val="both"/>
        <w:rPr>
          <w:rFonts w:hint="eastAsia" w:ascii="Times New Roman" w:hAnsi="Times New Roman"/>
        </w:rPr>
      </w:pPr>
      <w:r>
        <w:rPr>
          <w:rFonts w:hint="eastAsia" w:ascii="Times New Roman" w:hAnsi="Times New Roman"/>
        </w:rPr>
        <w:t>（5）其余操作同AACD-CPR标准化操作方法。</w:t>
      </w:r>
    </w:p>
    <w:p w14:paraId="03E438C7">
      <w:pPr>
        <w:pStyle w:val="17"/>
        <w:rPr>
          <w:rFonts w:hint="eastAsia"/>
        </w:rPr>
      </w:pPr>
      <w:r>
        <w:rPr>
          <w:rFonts w:hint="eastAsia"/>
        </w:rPr>
        <w:drawing>
          <wp:inline distT="0" distB="0" distL="0" distR="0">
            <wp:extent cx="4974590" cy="1263650"/>
            <wp:effectExtent l="0" t="0" r="0" b="0"/>
            <wp:docPr id="423438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3868"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10477" cy="1272766"/>
                    </a:xfrm>
                    <a:prstGeom prst="rect">
                      <a:avLst/>
                    </a:prstGeom>
                    <a:noFill/>
                  </pic:spPr>
                </pic:pic>
              </a:graphicData>
            </a:graphic>
          </wp:inline>
        </w:drawing>
      </w:r>
    </w:p>
    <w:p w14:paraId="747A1440">
      <w:pPr>
        <w:pStyle w:val="17"/>
        <w:ind w:firstLine="0" w:firstLineChars="0"/>
        <w:jc w:val="both"/>
        <w:rPr>
          <w:rFonts w:hint="eastAsia" w:ascii="Times New Roman" w:hAnsi="Times New Roman"/>
          <w:b/>
          <w:bCs w:val="0"/>
          <w:sz w:val="18"/>
          <w:szCs w:val="18"/>
        </w:rPr>
      </w:pPr>
      <w:r>
        <w:rPr>
          <w:rFonts w:hint="eastAsia" w:ascii="Times New Roman" w:hAnsi="Times New Roman"/>
          <w:b/>
          <w:bCs w:val="0"/>
          <w:sz w:val="18"/>
          <w:szCs w:val="18"/>
        </w:rPr>
        <w:t>注：</w:t>
      </w:r>
      <w:r>
        <w:rPr>
          <w:rFonts w:hint="eastAsia" w:ascii="Times New Roman" w:hAnsi="Times New Roman"/>
          <w:b w:val="0"/>
          <w:bCs/>
          <w:sz w:val="18"/>
          <w:szCs w:val="18"/>
        </w:rPr>
        <w:t>腹部提压心肺复苏多元化头腹位操作方法，操作者右手抓握仪器面板与手柄右上角、左手抓握仪器面板与手柄左下角，重心前倾，两臂与面板垂直。</w:t>
      </w:r>
    </w:p>
    <w:p w14:paraId="477B1852">
      <w:pPr>
        <w:pStyle w:val="17"/>
        <w:ind w:firstLine="422"/>
        <w:rPr>
          <w:rFonts w:hint="eastAsia" w:ascii="Times New Roman" w:hAnsi="Times New Roman"/>
          <w:b/>
          <w:bCs w:val="0"/>
        </w:rPr>
      </w:pPr>
      <w:r>
        <w:rPr>
          <w:rFonts w:hint="eastAsia" w:ascii="Times New Roman" w:hAnsi="Times New Roman"/>
          <w:b/>
          <w:bCs w:val="0"/>
        </w:rPr>
        <w:t>AACD-CPR肢腹位操作方法：</w:t>
      </w:r>
    </w:p>
    <w:p w14:paraId="1FA6415E">
      <w:pPr>
        <w:pStyle w:val="17"/>
        <w:jc w:val="both"/>
        <w:rPr>
          <w:rFonts w:hint="eastAsia" w:ascii="Times New Roman" w:hAnsi="Times New Roman"/>
        </w:rPr>
      </w:pPr>
      <w:r>
        <w:rPr>
          <w:rFonts w:hint="eastAsia" w:ascii="Times New Roman" w:hAnsi="Times New Roman"/>
        </w:rPr>
        <w:t>（1）1名操作者双腿岔开跪骑在被救者的髋关节处；</w:t>
      </w:r>
    </w:p>
    <w:p w14:paraId="054D11C0">
      <w:pPr>
        <w:pStyle w:val="17"/>
        <w:jc w:val="both"/>
        <w:rPr>
          <w:rFonts w:hint="eastAsia" w:ascii="Times New Roman" w:hAnsi="Times New Roman"/>
        </w:rPr>
      </w:pPr>
      <w:r>
        <w:rPr>
          <w:rFonts w:hint="eastAsia" w:ascii="Times New Roman" w:hAnsi="Times New Roman"/>
        </w:rPr>
        <w:t>（2）将仪器放置吸附被救者腹部，与底板紧密连接；</w:t>
      </w:r>
    </w:p>
    <w:p w14:paraId="1BAE9788">
      <w:pPr>
        <w:pStyle w:val="17"/>
        <w:jc w:val="both"/>
        <w:rPr>
          <w:rFonts w:hint="eastAsia" w:ascii="Times New Roman" w:hAnsi="Times New Roman"/>
        </w:rPr>
      </w:pPr>
      <w:r>
        <w:rPr>
          <w:rFonts w:hint="eastAsia" w:ascii="Times New Roman" w:hAnsi="Times New Roman"/>
        </w:rPr>
        <w:t>（3）右手抓握仪器面板与手柄右上角，左手抓握仪器面板与手柄左下角；</w:t>
      </w:r>
    </w:p>
    <w:p w14:paraId="1ADCE849">
      <w:pPr>
        <w:pStyle w:val="17"/>
        <w:jc w:val="both"/>
        <w:rPr>
          <w:rFonts w:hint="eastAsia" w:ascii="Times New Roman" w:hAnsi="Times New Roman"/>
        </w:rPr>
      </w:pPr>
      <w:r>
        <w:rPr>
          <w:rFonts w:hint="eastAsia" w:ascii="Times New Roman" w:hAnsi="Times New Roman"/>
        </w:rPr>
        <w:t>（4）重心前倾，两臂伸直，提压时与面板垂直；</w:t>
      </w:r>
    </w:p>
    <w:p w14:paraId="7ABD94ED">
      <w:pPr>
        <w:pStyle w:val="17"/>
        <w:jc w:val="both"/>
        <w:rPr>
          <w:rFonts w:hint="eastAsia" w:ascii="Times New Roman" w:hAnsi="Times New Roman"/>
        </w:rPr>
      </w:pPr>
      <w:r>
        <w:rPr>
          <w:rFonts w:hint="eastAsia" w:ascii="Times New Roman" w:hAnsi="Times New Roman"/>
        </w:rPr>
        <w:t>（5）其余操作同AACD-CPR标准化操作方法。</w:t>
      </w:r>
    </w:p>
    <w:p w14:paraId="5607503E">
      <w:pPr>
        <w:pStyle w:val="17"/>
        <w:ind w:firstLine="0" w:firstLineChars="0"/>
        <w:rPr>
          <w:rFonts w:hint="eastAsia"/>
        </w:rPr>
      </w:pPr>
      <w:r>
        <w:rPr>
          <w:rFonts w:hint="eastAsia"/>
        </w:rPr>
        <w:drawing>
          <wp:inline distT="0" distB="0" distL="0" distR="0">
            <wp:extent cx="5274945" cy="1205865"/>
            <wp:effectExtent l="0" t="0" r="1905" b="0"/>
            <wp:docPr id="20524343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34371"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300707" cy="1211666"/>
                    </a:xfrm>
                    <a:prstGeom prst="rect">
                      <a:avLst/>
                    </a:prstGeom>
                    <a:noFill/>
                  </pic:spPr>
                </pic:pic>
              </a:graphicData>
            </a:graphic>
          </wp:inline>
        </w:drawing>
      </w:r>
    </w:p>
    <w:p w14:paraId="719E3602">
      <w:pPr>
        <w:pStyle w:val="17"/>
        <w:ind w:firstLine="0" w:firstLineChars="0"/>
        <w:jc w:val="both"/>
        <w:rPr>
          <w:rFonts w:hint="eastAsia" w:ascii="Times New Roman" w:hAnsi="Times New Roman"/>
          <w:b w:val="0"/>
          <w:bCs/>
          <w:sz w:val="18"/>
          <w:szCs w:val="18"/>
        </w:rPr>
      </w:pPr>
      <w:r>
        <w:rPr>
          <w:rFonts w:hint="eastAsia" w:ascii="Times New Roman" w:hAnsi="Times New Roman"/>
          <w:b/>
          <w:bCs w:val="0"/>
          <w:sz w:val="18"/>
          <w:szCs w:val="18"/>
        </w:rPr>
        <w:t>注：</w:t>
      </w:r>
      <w:r>
        <w:rPr>
          <w:rFonts w:hint="eastAsia" w:ascii="Times New Roman" w:hAnsi="Times New Roman"/>
          <w:b w:val="0"/>
          <w:bCs/>
          <w:sz w:val="18"/>
          <w:szCs w:val="18"/>
        </w:rPr>
        <w:t>腹部提压心肺复苏术多元化肢腹位操作方法，操作者右手抓握仪器面板与手柄右上角，左手抓握仪器面板与手柄左下角，重心前倾，两臂伸直，提压时与面板垂直。</w:t>
      </w:r>
    </w:p>
    <w:p w14:paraId="054907FD">
      <w:pPr>
        <w:pStyle w:val="17"/>
        <w:ind w:firstLine="422"/>
        <w:rPr>
          <w:rFonts w:hint="eastAsia" w:ascii="Times New Roman" w:hAnsi="Times New Roman"/>
          <w:b/>
          <w:bCs w:val="0"/>
        </w:rPr>
      </w:pPr>
      <w:r>
        <w:rPr>
          <w:rFonts w:hint="eastAsia" w:ascii="Times New Roman" w:hAnsi="Times New Roman"/>
          <w:b/>
          <w:bCs w:val="0"/>
        </w:rPr>
        <w:t>AACD-CPR胸腹联合操作方法：</w:t>
      </w:r>
    </w:p>
    <w:p w14:paraId="148E3861">
      <w:pPr>
        <w:pStyle w:val="17"/>
        <w:jc w:val="both"/>
        <w:rPr>
          <w:rFonts w:hint="eastAsia" w:ascii="Times New Roman" w:hAnsi="Times New Roman"/>
        </w:rPr>
      </w:pPr>
      <w:r>
        <w:rPr>
          <w:rFonts w:hint="eastAsia" w:ascii="Times New Roman" w:hAnsi="Times New Roman"/>
        </w:rPr>
        <w:t>（1）2名操作者相对位于患者两侧；</w:t>
      </w:r>
    </w:p>
    <w:p w14:paraId="4CC75689">
      <w:pPr>
        <w:pStyle w:val="17"/>
        <w:jc w:val="both"/>
        <w:rPr>
          <w:rFonts w:hint="eastAsia" w:ascii="Times New Roman" w:hAnsi="Times New Roman"/>
        </w:rPr>
      </w:pPr>
      <w:r>
        <w:rPr>
          <w:rFonts w:hint="eastAsia" w:ascii="Times New Roman" w:hAnsi="Times New Roman"/>
        </w:rPr>
        <w:t>（2）其中1名以标准的形式进行胸外按压：用左手掌跟紧贴患者的胸骨中下1/3处，两手重叠，左手五指翘起，双臂伸直，用上身力量连续用力按压30次（按压频率为100次/min，按压深度为胸骨下陷5</w:t>
      </w:r>
      <w:r>
        <w:rPr>
          <w:rFonts w:hint="eastAsia" w:ascii="Times New Roman" w:hAnsi="Times New Roman"/>
        </w:rPr>
        <w:t>cm</w:t>
      </w:r>
      <w:r>
        <w:rPr>
          <w:rFonts w:hint="eastAsia" w:ascii="Times New Roman" w:hAnsi="Times New Roman"/>
        </w:rPr>
        <w:t>～6</w:t>
      </w:r>
      <w:bookmarkStart w:id="11" w:name="OLE_LINK6"/>
      <w:r>
        <w:rPr>
          <w:rFonts w:hint="eastAsia" w:ascii="Times New Roman" w:hAnsi="Times New Roman"/>
        </w:rPr>
        <w:t>cm</w:t>
      </w:r>
      <w:bookmarkEnd w:id="11"/>
      <w:r>
        <w:rPr>
          <w:rFonts w:hint="eastAsia" w:ascii="Times New Roman" w:hAnsi="Times New Roman"/>
        </w:rPr>
        <w:t>，按压后保证胸骨完全回弹）；</w:t>
      </w:r>
    </w:p>
    <w:p w14:paraId="20A8EAF1">
      <w:pPr>
        <w:pStyle w:val="17"/>
        <w:jc w:val="both"/>
        <w:rPr>
          <w:rFonts w:hint="eastAsia" w:ascii="Times New Roman" w:hAnsi="Times New Roman"/>
        </w:rPr>
      </w:pPr>
      <w:r>
        <w:rPr>
          <w:rFonts w:hint="eastAsia" w:ascii="Times New Roman" w:hAnsi="Times New Roman"/>
        </w:rPr>
        <w:t>（3）另外1名将AACD-CPR仪放在患者的腹部，以AACD-CPR标准化操作方法进行操作；</w:t>
      </w:r>
    </w:p>
    <w:p w14:paraId="6EEC4FC8">
      <w:pPr>
        <w:pStyle w:val="17"/>
        <w:jc w:val="both"/>
        <w:rPr>
          <w:rFonts w:hint="eastAsia" w:ascii="Times New Roman" w:hAnsi="Times New Roman"/>
        </w:rPr>
      </w:pPr>
      <w:r>
        <w:rPr>
          <w:rFonts w:hint="eastAsia" w:ascii="Times New Roman" w:hAnsi="Times New Roman"/>
        </w:rPr>
        <w:t>（4）在胸部按压胸廓回弹时同步按压腹部，按压胸部时同步上提腹部，腹部与胸部按压频率为1∶1。</w:t>
      </w:r>
    </w:p>
    <w:p w14:paraId="4ABC156C">
      <w:pPr>
        <w:pStyle w:val="17"/>
        <w:ind w:firstLine="361"/>
        <w:rPr>
          <w:rFonts w:hint="eastAsia"/>
          <w:b/>
          <w:bCs w:val="0"/>
          <w:sz w:val="18"/>
          <w:szCs w:val="18"/>
        </w:rPr>
      </w:pPr>
      <w:r>
        <w:rPr>
          <w:rFonts w:hint="eastAsia"/>
          <w:b/>
          <w:bCs w:val="0"/>
          <w:sz w:val="18"/>
          <w:szCs w:val="18"/>
        </w:rPr>
        <w:drawing>
          <wp:inline distT="0" distB="0" distL="0" distR="0">
            <wp:extent cx="4759960" cy="1421765"/>
            <wp:effectExtent l="0" t="0" r="2540" b="6985"/>
            <wp:docPr id="5116331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33119" name="图片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788079" cy="1430701"/>
                    </a:xfrm>
                    <a:prstGeom prst="rect">
                      <a:avLst/>
                    </a:prstGeom>
                    <a:noFill/>
                  </pic:spPr>
                </pic:pic>
              </a:graphicData>
            </a:graphic>
          </wp:inline>
        </w:drawing>
      </w:r>
    </w:p>
    <w:p w14:paraId="679D14F6">
      <w:pPr>
        <w:pStyle w:val="17"/>
        <w:ind w:firstLine="0" w:firstLineChars="0"/>
        <w:jc w:val="both"/>
        <w:rPr>
          <w:rFonts w:hint="eastAsia" w:ascii="Times New Roman" w:hAnsi="Times New Roman"/>
          <w:b w:val="0"/>
          <w:bCs/>
          <w:sz w:val="18"/>
          <w:szCs w:val="18"/>
        </w:rPr>
      </w:pPr>
      <w:r>
        <w:rPr>
          <w:rFonts w:hint="eastAsia" w:ascii="Times New Roman" w:hAnsi="Times New Roman"/>
          <w:b/>
          <w:bCs w:val="0"/>
          <w:sz w:val="18"/>
          <w:szCs w:val="18"/>
        </w:rPr>
        <w:t>注：</w:t>
      </w:r>
      <w:r>
        <w:rPr>
          <w:rFonts w:hint="eastAsia" w:ascii="Times New Roman" w:hAnsi="Times New Roman"/>
          <w:b w:val="0"/>
          <w:bCs/>
          <w:sz w:val="18"/>
          <w:szCs w:val="18"/>
        </w:rPr>
        <w:t>腹部提压心肺复苏术多元化胸腹联合及与球囊面罩配合操作方法，操作者在胸部按压胸廓回弹时同步按压腹部，按压胸部时同步上提腹部，腹部与胸部按压频率为1∶1（图10A），球囊给气时，腹部上提，球囊舒张时，腹部下压。</w:t>
      </w:r>
    </w:p>
    <w:p w14:paraId="09A46656">
      <w:pPr>
        <w:pStyle w:val="17"/>
        <w:ind w:firstLine="422"/>
        <w:rPr>
          <w:rFonts w:hint="eastAsia" w:ascii="Times New Roman" w:hAnsi="Times New Roman"/>
          <w:b/>
          <w:bCs w:val="0"/>
        </w:rPr>
      </w:pPr>
      <w:r>
        <w:rPr>
          <w:rFonts w:hint="eastAsia" w:ascii="Times New Roman" w:hAnsi="Times New Roman"/>
          <w:b/>
          <w:bCs w:val="0"/>
        </w:rPr>
        <w:t>AACD-CPR与球囊面罩配合操作方法：</w:t>
      </w:r>
    </w:p>
    <w:p w14:paraId="0AAAAE73">
      <w:pPr>
        <w:pStyle w:val="17"/>
        <w:jc w:val="both"/>
        <w:rPr>
          <w:rFonts w:hint="eastAsia" w:ascii="Times New Roman" w:hAnsi="Times New Roman"/>
        </w:rPr>
      </w:pPr>
      <w:r>
        <w:rPr>
          <w:rFonts w:hint="eastAsia" w:ascii="Times New Roman" w:hAnsi="Times New Roman"/>
        </w:rPr>
        <w:t>（1）2名操作者跪于患者头侧；</w:t>
      </w:r>
    </w:p>
    <w:p w14:paraId="2D660C04">
      <w:pPr>
        <w:pStyle w:val="17"/>
        <w:jc w:val="both"/>
        <w:rPr>
          <w:rFonts w:hint="eastAsia" w:ascii="Times New Roman" w:hAnsi="Times New Roman"/>
        </w:rPr>
      </w:pPr>
      <w:r>
        <w:rPr>
          <w:rFonts w:hint="eastAsia" w:ascii="Times New Roman" w:hAnsi="Times New Roman"/>
        </w:rPr>
        <w:t>（2）其中1名以AACD-CPR标准化操作方法进行操作；</w:t>
      </w:r>
    </w:p>
    <w:p w14:paraId="71DE3D4B">
      <w:pPr>
        <w:pStyle w:val="17"/>
        <w:jc w:val="both"/>
        <w:rPr>
          <w:rFonts w:hint="eastAsia" w:ascii="Times New Roman" w:hAnsi="Times New Roman"/>
        </w:rPr>
      </w:pPr>
      <w:r>
        <w:rPr>
          <w:rFonts w:hint="eastAsia" w:ascii="Times New Roman" w:hAnsi="Times New Roman"/>
        </w:rPr>
        <w:t>（3）另1名用球囊面罩进行配合；</w:t>
      </w:r>
    </w:p>
    <w:p w14:paraId="387805F6">
      <w:pPr>
        <w:pStyle w:val="17"/>
        <w:jc w:val="both"/>
        <w:rPr>
          <w:rFonts w:hint="eastAsia"/>
        </w:rPr>
      </w:pPr>
      <w:r>
        <w:rPr>
          <w:rFonts w:hint="eastAsia" w:ascii="Times New Roman" w:hAnsi="Times New Roman"/>
          <w:bCs w:val="0"/>
        </w:rPr>
        <w:t>（4）腹部提压30次，给予2次球囊给气，每次通气＞1 s。球囊给气时，腹部上提，球囊舒张时，腹部下压。</w:t>
      </w:r>
    </w:p>
    <w:p w14:paraId="18AFE0BB">
      <w:pPr>
        <w:pStyle w:val="17"/>
        <w:numPr>
          <w:ilvl w:val="1"/>
          <w:numId w:val="1"/>
        </w:numPr>
        <w:spacing w:before="156" w:beforeLines="50" w:after="156" w:afterLines="50"/>
        <w:ind w:firstLine="0" w:firstLineChars="0"/>
        <w:rPr>
          <w:rFonts w:hint="eastAsia" w:ascii="黑体" w:hAnsi="黑体" w:eastAsia="黑体"/>
          <w:b w:val="0"/>
          <w:bCs/>
          <w:position w:val="-24"/>
        </w:rPr>
      </w:pPr>
      <w:r>
        <w:rPr>
          <w:rFonts w:hint="eastAsia" w:ascii="黑体" w:hAnsi="黑体" w:eastAsia="黑体"/>
          <w:b w:val="0"/>
          <w:bCs/>
          <w:position w:val="-24"/>
        </w:rPr>
        <w:t>腹部提压心肺复苏个体化操作方法</w:t>
      </w:r>
    </w:p>
    <w:p w14:paraId="4658E97B">
      <w:pPr>
        <w:pStyle w:val="17"/>
        <w:jc w:val="both"/>
        <w:rPr>
          <w:rFonts w:hint="eastAsia" w:ascii="Times New Roman" w:hAnsi="Times New Roman"/>
          <w:bCs w:val="0"/>
        </w:rPr>
      </w:pPr>
      <w:r>
        <w:rPr>
          <w:rFonts w:hint="eastAsia" w:ascii="Times New Roman" w:hAnsi="Times New Roman"/>
          <w:bCs w:val="0"/>
        </w:rPr>
        <w:t>个体化强调关注个体需求，本节主要探讨针对每例患者的实际情况，为其提供适情而定的个体化操作方法。AACD-CPR个体化操作方法适用于空间受限（如直升机、灾难废墟等狭窄空间）、患者无法平躺、战场复杂环境等情景。主要有站姿侧卧位、坐姿侧卧位、半卧侧卧位等，具体如下。</w:t>
      </w:r>
    </w:p>
    <w:p w14:paraId="26D0747C">
      <w:pPr>
        <w:pStyle w:val="17"/>
        <w:ind w:firstLine="422"/>
        <w:rPr>
          <w:rFonts w:hint="eastAsia" w:ascii="Times New Roman" w:hAnsi="Times New Roman"/>
          <w:b/>
          <w:bCs w:val="0"/>
        </w:rPr>
      </w:pPr>
      <w:r>
        <w:rPr>
          <w:rFonts w:hint="eastAsia" w:ascii="Times New Roman" w:hAnsi="Times New Roman"/>
          <w:b/>
          <w:bCs w:val="0"/>
        </w:rPr>
        <w:t>AACD-CPR站姿侧卧位的操作方法：</w:t>
      </w:r>
    </w:p>
    <w:p w14:paraId="3CF4E28C">
      <w:pPr>
        <w:pStyle w:val="17"/>
        <w:jc w:val="both"/>
        <w:rPr>
          <w:rFonts w:hint="eastAsia" w:ascii="Times New Roman" w:hAnsi="Times New Roman"/>
          <w:bCs/>
        </w:rPr>
      </w:pPr>
      <w:r>
        <w:rPr>
          <w:rFonts w:hint="eastAsia" w:ascii="Times New Roman" w:hAnsi="Times New Roman"/>
          <w:bCs/>
        </w:rPr>
        <w:t>（1）将患者摆放成侧卧位，后背硬物支撑；</w:t>
      </w:r>
    </w:p>
    <w:p w14:paraId="5717316B">
      <w:pPr>
        <w:pStyle w:val="17"/>
        <w:jc w:val="both"/>
        <w:rPr>
          <w:rFonts w:hint="eastAsia" w:ascii="Times New Roman" w:hAnsi="Times New Roman"/>
          <w:bCs/>
        </w:rPr>
      </w:pPr>
      <w:r>
        <w:rPr>
          <w:rFonts w:hint="eastAsia" w:ascii="Times New Roman" w:hAnsi="Times New Roman"/>
          <w:bCs/>
        </w:rPr>
        <w:t>（2）1名操作者身体呈弓步，两臂自然伸直与患者平面垂直；</w:t>
      </w:r>
    </w:p>
    <w:p w14:paraId="5C01FB02">
      <w:pPr>
        <w:pStyle w:val="17"/>
        <w:jc w:val="both"/>
        <w:rPr>
          <w:rFonts w:hint="eastAsia" w:ascii="Times New Roman" w:hAnsi="Times New Roman"/>
          <w:bCs/>
        </w:rPr>
      </w:pPr>
      <w:r>
        <w:rPr>
          <w:rFonts w:hint="eastAsia" w:ascii="Times New Roman" w:hAnsi="Times New Roman"/>
          <w:bCs/>
        </w:rPr>
        <w:t>（3）其余操作同AACD-CPR标准化操作方法。</w:t>
      </w:r>
    </w:p>
    <w:p w14:paraId="61653806">
      <w:pPr>
        <w:pStyle w:val="17"/>
        <w:ind w:firstLine="0" w:firstLineChars="0"/>
        <w:rPr>
          <w:rFonts w:hint="eastAsia"/>
          <w:b/>
          <w:bCs w:val="0"/>
        </w:rPr>
      </w:pPr>
      <w:r>
        <w:rPr>
          <w:rFonts w:hint="eastAsia"/>
          <w:b/>
          <w:bCs w:val="0"/>
        </w:rPr>
        <w:drawing>
          <wp:inline distT="0" distB="0" distL="0" distR="0">
            <wp:extent cx="5894705" cy="1026160"/>
            <wp:effectExtent l="0" t="0" r="0" b="2540"/>
            <wp:docPr id="21236387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38705"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73783" cy="1040534"/>
                    </a:xfrm>
                    <a:prstGeom prst="rect">
                      <a:avLst/>
                    </a:prstGeom>
                    <a:noFill/>
                  </pic:spPr>
                </pic:pic>
              </a:graphicData>
            </a:graphic>
          </wp:inline>
        </w:drawing>
      </w:r>
    </w:p>
    <w:p w14:paraId="79ACEC50">
      <w:pPr>
        <w:pStyle w:val="17"/>
        <w:ind w:firstLine="0" w:firstLineChars="0"/>
        <w:jc w:val="both"/>
        <w:rPr>
          <w:rFonts w:hint="eastAsia" w:ascii="Times New Roman" w:hAnsi="Times New Roman"/>
          <w:b w:val="0"/>
          <w:bCs/>
          <w:sz w:val="18"/>
          <w:szCs w:val="18"/>
        </w:rPr>
      </w:pPr>
      <w:r>
        <w:rPr>
          <w:rFonts w:hint="eastAsia" w:ascii="Times New Roman" w:hAnsi="Times New Roman"/>
          <w:b/>
          <w:bCs w:val="0"/>
          <w:sz w:val="18"/>
          <w:szCs w:val="18"/>
        </w:rPr>
        <w:t>注：</w:t>
      </w:r>
      <w:r>
        <w:rPr>
          <w:rFonts w:hint="eastAsia" w:ascii="Times New Roman" w:hAnsi="Times New Roman"/>
          <w:b w:val="0"/>
          <w:bCs/>
          <w:sz w:val="18"/>
          <w:szCs w:val="18"/>
        </w:rPr>
        <w:t>腹部提压心肺复苏个体化操作方法，站姿侧卧位，操作者身体呈弓步，两臂自然伸直与患者平面垂直；坐姿侧卧位，操作者于椅子上自然坐直，两臂自然伸直与患者平面垂直；半卧侧卧位，操作者半卧于患者正面，两臂自然伸直与患者平面垂直。</w:t>
      </w:r>
    </w:p>
    <w:p w14:paraId="7E66CBAE">
      <w:pPr>
        <w:pStyle w:val="17"/>
        <w:ind w:firstLine="422"/>
        <w:rPr>
          <w:rFonts w:hint="eastAsia" w:ascii="Times New Roman" w:hAnsi="Times New Roman"/>
          <w:b/>
          <w:bCs w:val="0"/>
        </w:rPr>
      </w:pPr>
      <w:r>
        <w:rPr>
          <w:rFonts w:hint="eastAsia" w:ascii="Times New Roman" w:hAnsi="Times New Roman"/>
          <w:b/>
          <w:bCs w:val="0"/>
        </w:rPr>
        <w:t>AACD-CPR坐姿侧卧位的操作方法：</w:t>
      </w:r>
    </w:p>
    <w:p w14:paraId="6CD9D6DA">
      <w:pPr>
        <w:pStyle w:val="17"/>
        <w:jc w:val="both"/>
        <w:rPr>
          <w:rFonts w:hint="eastAsia" w:ascii="Times New Roman" w:hAnsi="Times New Roman"/>
          <w:bCs/>
        </w:rPr>
      </w:pPr>
      <w:r>
        <w:rPr>
          <w:rFonts w:hint="eastAsia" w:ascii="Times New Roman" w:hAnsi="Times New Roman"/>
          <w:bCs/>
        </w:rPr>
        <w:t>（1）将患者摆放成侧卧位，后背硬物支撑；</w:t>
      </w:r>
    </w:p>
    <w:p w14:paraId="4ED49376">
      <w:pPr>
        <w:pStyle w:val="17"/>
        <w:jc w:val="both"/>
        <w:rPr>
          <w:rFonts w:hint="eastAsia" w:ascii="Times New Roman" w:hAnsi="Times New Roman"/>
          <w:bCs/>
        </w:rPr>
      </w:pPr>
      <w:r>
        <w:rPr>
          <w:rFonts w:hint="eastAsia" w:ascii="Times New Roman" w:hAnsi="Times New Roman"/>
          <w:bCs/>
        </w:rPr>
        <w:t>（2）1名操作者于椅子上自然坐直，两臂自然伸直与患者平面垂直；</w:t>
      </w:r>
    </w:p>
    <w:p w14:paraId="7D80E68A">
      <w:pPr>
        <w:pStyle w:val="17"/>
        <w:jc w:val="both"/>
        <w:rPr>
          <w:rFonts w:hint="eastAsia" w:ascii="Times New Roman" w:hAnsi="Times New Roman"/>
          <w:bCs/>
        </w:rPr>
      </w:pPr>
      <w:r>
        <w:rPr>
          <w:rFonts w:hint="eastAsia" w:ascii="Times New Roman" w:hAnsi="Times New Roman"/>
          <w:bCs/>
        </w:rPr>
        <w:t>（3）其余操作同AACD-CPR标准化操作方法。</w:t>
      </w:r>
    </w:p>
    <w:p w14:paraId="503F413B">
      <w:pPr>
        <w:pStyle w:val="17"/>
        <w:ind w:firstLine="422"/>
        <w:rPr>
          <w:rFonts w:hint="eastAsia" w:ascii="Times New Roman" w:hAnsi="Times New Roman"/>
          <w:b/>
          <w:bCs w:val="0"/>
        </w:rPr>
      </w:pPr>
      <w:r>
        <w:rPr>
          <w:rFonts w:hint="eastAsia" w:ascii="Times New Roman" w:hAnsi="Times New Roman"/>
          <w:b/>
          <w:bCs w:val="0"/>
        </w:rPr>
        <w:t>AACD-CPR半卧侧卧位操作方法：</w:t>
      </w:r>
    </w:p>
    <w:p w14:paraId="028AC6DF">
      <w:pPr>
        <w:pStyle w:val="17"/>
        <w:jc w:val="both"/>
        <w:rPr>
          <w:rFonts w:hint="eastAsia" w:ascii="Times New Roman" w:hAnsi="Times New Roman"/>
          <w:bCs/>
        </w:rPr>
      </w:pPr>
      <w:r>
        <w:rPr>
          <w:rFonts w:hint="eastAsia" w:ascii="Times New Roman" w:hAnsi="Times New Roman"/>
          <w:bCs/>
        </w:rPr>
        <w:t>（1）将患者摆放成侧卧位，后背硬物支撑；</w:t>
      </w:r>
    </w:p>
    <w:p w14:paraId="5F37D280">
      <w:pPr>
        <w:pStyle w:val="17"/>
        <w:jc w:val="both"/>
        <w:rPr>
          <w:rFonts w:hint="eastAsia" w:ascii="Times New Roman" w:hAnsi="Times New Roman"/>
          <w:bCs/>
        </w:rPr>
      </w:pPr>
      <w:r>
        <w:rPr>
          <w:rFonts w:hint="eastAsia" w:ascii="Times New Roman" w:hAnsi="Times New Roman"/>
          <w:bCs/>
        </w:rPr>
        <w:t>（2）1名操作者半卧于患者正面，两臂自然伸直与患者平面垂直；</w:t>
      </w:r>
    </w:p>
    <w:p w14:paraId="1401E43F">
      <w:pPr>
        <w:pStyle w:val="17"/>
        <w:jc w:val="both"/>
        <w:rPr>
          <w:rFonts w:hint="eastAsia"/>
        </w:rPr>
      </w:pPr>
      <w:r>
        <w:rPr>
          <w:rFonts w:hint="eastAsia" w:ascii="Times New Roman" w:hAnsi="Times New Roman"/>
        </w:rPr>
        <w:t>（3）其余操作同AACD-CPR标准化操作方法。</w:t>
      </w:r>
    </w:p>
    <w:p w14:paraId="328D96F3">
      <w:pPr>
        <w:pStyle w:val="17"/>
        <w:numPr>
          <w:ilvl w:val="0"/>
          <w:numId w:val="1"/>
        </w:numPr>
        <w:spacing w:before="312" w:beforeLines="100" w:after="312" w:afterLines="100"/>
        <w:ind w:left="0" w:firstLine="0" w:firstLineChars="0"/>
        <w:jc w:val="both"/>
        <w:outlineLvl w:val="0"/>
        <w:rPr>
          <w:rFonts w:hint="eastAsia" w:ascii="Times New Roman" w:hAnsi="Times New Roman" w:eastAsia="黑体"/>
          <w:b w:val="0"/>
          <w:bCs/>
        </w:rPr>
      </w:pPr>
      <w:bookmarkStart w:id="12" w:name="_Toc200400237"/>
      <w:r>
        <w:rPr>
          <w:rFonts w:hint="eastAsia" w:ascii="Times New Roman" w:hAnsi="Times New Roman" w:eastAsia="黑体"/>
          <w:b w:val="0"/>
          <w:bCs/>
        </w:rPr>
        <w:t>腹部提压心肺复苏术（AACD-CPR）临床效应</w:t>
      </w:r>
      <w:bookmarkEnd w:id="12"/>
    </w:p>
    <w:p w14:paraId="7CE4AB69">
      <w:pPr>
        <w:pStyle w:val="17"/>
        <w:jc w:val="both"/>
        <w:rPr>
          <w:rFonts w:hint="eastAsia" w:ascii="Times New Roman" w:hAnsi="Times New Roman"/>
        </w:rPr>
      </w:pPr>
      <w:r>
        <w:rPr>
          <w:rFonts w:hint="eastAsia" w:ascii="Times New Roman" w:hAnsi="Times New Roman"/>
        </w:rPr>
        <w:t>通过运用AACD-CPR的标准化、多元化、个体化临床操作方法，为高质量CPR奠定了基础，实现临床四大效应：</w:t>
      </w:r>
    </w:p>
    <w:p w14:paraId="6B90D1C1">
      <w:pPr>
        <w:pStyle w:val="17"/>
        <w:jc w:val="both"/>
        <w:rPr>
          <w:rFonts w:hint="eastAsia" w:ascii="Times New Roman" w:hAnsi="Times New Roman"/>
        </w:rPr>
      </w:pPr>
      <w:r>
        <w:rPr>
          <w:rFonts w:hint="eastAsia" w:ascii="Times New Roman" w:hAnsi="Times New Roman"/>
        </w:rPr>
        <w:t>一是开放气道的海姆立克效应。AACD-CPR按压腹部时腹腔内压力上升致膈肌上移，迅速产生较高的呼出流速以排出气道和肺内储留的异物，帮助患者畅通上下呼吸道。</w:t>
      </w:r>
    </w:p>
    <w:p w14:paraId="2DCBC7A2">
      <w:pPr>
        <w:pStyle w:val="17"/>
        <w:jc w:val="both"/>
        <w:rPr>
          <w:rFonts w:hint="eastAsia" w:ascii="Times New Roman" w:hAnsi="Times New Roman"/>
        </w:rPr>
      </w:pPr>
      <w:r>
        <w:rPr>
          <w:rFonts w:hint="eastAsia" w:ascii="Times New Roman" w:hAnsi="Times New Roman"/>
        </w:rPr>
        <w:t>二是人工呼吸的通气效应。AACD-CPR的呼吸模式在于提拉与按压腹部促使膈肌上下移动，通过改变腹腔、胸腔内压力，促使肺部完成吸气与呼气动作，充分提供氧合。</w:t>
      </w:r>
    </w:p>
    <w:p w14:paraId="7DB668B1">
      <w:pPr>
        <w:pStyle w:val="17"/>
        <w:jc w:val="both"/>
        <w:rPr>
          <w:rFonts w:hint="eastAsia" w:ascii="Times New Roman" w:hAnsi="Times New Roman"/>
        </w:rPr>
      </w:pPr>
      <w:r>
        <w:rPr>
          <w:rFonts w:hint="eastAsia" w:ascii="Times New Roman" w:hAnsi="Times New Roman"/>
        </w:rPr>
        <w:t>三是人工循环的增强效应。AACD-CPR为患者建立人工循环时，提拉与按压腹部可驱使动静脉血液回流增加，尤其是增加腹主动脉压的同时，提高了冠状动脉灌注压，增加了心排血量，建立更有效的人工循环。</w:t>
      </w:r>
    </w:p>
    <w:p w14:paraId="3C0DB073">
      <w:pPr>
        <w:pStyle w:val="17"/>
        <w:ind w:firstLine="420" w:firstLineChars="200"/>
        <w:jc w:val="both"/>
        <w:rPr>
          <w:rFonts w:hint="eastAsia"/>
        </w:rPr>
      </w:pPr>
      <w:r>
        <w:rPr>
          <w:rFonts w:hint="eastAsia" w:ascii="Times New Roman" w:hAnsi="Times New Roman"/>
          <w:bCs w:val="0"/>
        </w:rPr>
        <w:t>四是争分夺秒的时间效应。采用 AACD-CPR为患者进行复苏时，对上身的穿刺、气管插管等其他相关操作影响较小，充分提供血容量并提高了协同配合效率，同时为患者实施体外电除颤时，不需要停止按压，不影响腹部提压操作，充分为复苏赢得了宝贵时间。当心搏骤停患者无胸外按压禁忌证时可协同运用 AACD-CPR与STD-CPR技术。AACD-CPR可以对STD-CPR的抢救环节进行协同加强，提高CPR的效率和效果。当心搏骤停患者存在胸外按压禁忌证时，可运用AACD-CPR方法开放气道、协助呼吸、建立循环、放置电极贴片除颤而无需停止按压，均能在与“死神”抗争、与时间赛跑上发挥作用。</w:t>
      </w:r>
    </w:p>
    <w:p w14:paraId="4BD5C015">
      <w:pPr>
        <w:pStyle w:val="17"/>
        <w:numPr>
          <w:ilvl w:val="0"/>
          <w:numId w:val="1"/>
        </w:numPr>
        <w:spacing w:before="312" w:beforeLines="100" w:after="312" w:afterLines="100"/>
        <w:ind w:left="0" w:firstLine="0" w:firstLineChars="0"/>
        <w:jc w:val="both"/>
        <w:outlineLvl w:val="0"/>
        <w:rPr>
          <w:rFonts w:hint="eastAsia" w:ascii="Times New Roman" w:hAnsi="Times New Roman" w:eastAsia="黑体"/>
          <w:b w:val="0"/>
          <w:bCs/>
        </w:rPr>
      </w:pPr>
      <w:bookmarkStart w:id="13" w:name="_Toc200400238"/>
      <w:r>
        <w:rPr>
          <w:rFonts w:hint="eastAsia" w:ascii="Times New Roman" w:hAnsi="Times New Roman" w:eastAsia="黑体"/>
          <w:b w:val="0"/>
          <w:bCs/>
        </w:rPr>
        <w:t>腹部提压心肺复苏术（AACD-CPR）适应证及禁忌证</w:t>
      </w:r>
      <w:bookmarkEnd w:id="13"/>
    </w:p>
    <w:p w14:paraId="29CBF374">
      <w:pPr>
        <w:pStyle w:val="17"/>
        <w:numPr>
          <w:ilvl w:val="1"/>
          <w:numId w:val="1"/>
        </w:numPr>
        <w:spacing w:before="156" w:beforeLines="50" w:after="156" w:afterLines="50"/>
        <w:ind w:firstLine="0" w:firstLineChars="0"/>
        <w:rPr>
          <w:rFonts w:hint="eastAsia" w:ascii="黑体" w:hAnsi="黑体" w:eastAsia="黑体"/>
          <w:position w:val="-24"/>
        </w:rPr>
      </w:pPr>
      <w:r>
        <w:rPr>
          <w:rFonts w:hint="eastAsia" w:ascii="黑体" w:hAnsi="黑体" w:eastAsia="黑体"/>
          <w:position w:val="-24"/>
        </w:rPr>
        <w:t>适应症</w:t>
      </w:r>
    </w:p>
    <w:p w14:paraId="7D5F6309">
      <w:pPr>
        <w:pStyle w:val="17"/>
        <w:jc w:val="both"/>
        <w:rPr>
          <w:rFonts w:ascii="Times New Roman" w:hAnsi="Times New Roman"/>
          <w:position w:val="-24"/>
        </w:rPr>
      </w:pPr>
      <w:r>
        <w:rPr>
          <w:rFonts w:hint="eastAsia" w:ascii="Times New Roman" w:hAnsi="Times New Roman"/>
          <w:position w:val="-24"/>
        </w:rPr>
        <w:t>（1）</w:t>
      </w:r>
      <w:r>
        <w:rPr>
          <w:rFonts w:hint="eastAsia" w:ascii="Times New Roman" w:hAnsi="Times New Roman"/>
          <w:position w:val="-24"/>
        </w:rPr>
        <w:t>可以对胸廓不完整（胸肋骨骨折等）的心脏骤停患者实施AACD-CPR，消除既往胸外按压对胸部创伤患者的禁忌；</w:t>
      </w:r>
    </w:p>
    <w:p w14:paraId="30773F7A">
      <w:pPr>
        <w:pStyle w:val="17"/>
        <w:jc w:val="both"/>
        <w:rPr>
          <w:rFonts w:ascii="Times New Roman" w:hAnsi="Times New Roman"/>
          <w:position w:val="-24"/>
        </w:rPr>
      </w:pPr>
      <w:r>
        <w:rPr>
          <w:rFonts w:hint="eastAsia" w:ascii="Times New Roman" w:hAnsi="Times New Roman"/>
          <w:position w:val="-24"/>
        </w:rPr>
        <w:t>（2）对可进行胸外按压的胸廓完整性心脏骤停患者实施AACD-CPR协同救治，达到了胸腹联合CPR的最大化效应；</w:t>
      </w:r>
    </w:p>
    <w:p w14:paraId="396C125D">
      <w:pPr>
        <w:pStyle w:val="17"/>
        <w:jc w:val="both"/>
        <w:rPr>
          <w:rFonts w:hint="eastAsia" w:ascii="Times New Roman" w:hAnsi="Times New Roman"/>
          <w:position w:val="-24"/>
        </w:rPr>
      </w:pPr>
      <w:r>
        <w:rPr>
          <w:rFonts w:hint="eastAsia" w:ascii="Times New Roman" w:hAnsi="Times New Roman"/>
          <w:position w:val="-24"/>
        </w:rPr>
        <w:t>（3）可以驱动人体胸腹间的主要呼吸肌——膈肌完成体外腹式人工呼吸效应。</w:t>
      </w:r>
    </w:p>
    <w:p w14:paraId="7547E1B3">
      <w:pPr>
        <w:pStyle w:val="17"/>
        <w:numPr>
          <w:ilvl w:val="1"/>
          <w:numId w:val="1"/>
        </w:numPr>
        <w:spacing w:before="156" w:beforeLines="50" w:after="156" w:afterLines="50"/>
        <w:ind w:firstLineChars="0"/>
        <w:rPr>
          <w:rFonts w:hint="eastAsia" w:ascii="黑体" w:hAnsi="黑体" w:eastAsia="黑体"/>
          <w:position w:val="-24"/>
        </w:rPr>
      </w:pPr>
      <w:r>
        <w:rPr>
          <w:rFonts w:hint="eastAsia" w:ascii="黑体" w:hAnsi="黑体" w:eastAsia="黑体"/>
          <w:position w:val="-24"/>
        </w:rPr>
        <w:t>禁忌证</w:t>
      </w:r>
    </w:p>
    <w:p w14:paraId="679BC470">
      <w:pPr>
        <w:pStyle w:val="17"/>
        <w:jc w:val="both"/>
        <w:rPr>
          <w:rFonts w:hint="eastAsia" w:ascii="Times New Roman" w:hAnsi="Times New Roman"/>
          <w:position w:val="-24"/>
        </w:rPr>
      </w:pPr>
      <w:r>
        <w:rPr>
          <w:rFonts w:hint="eastAsia" w:ascii="Times New Roman" w:hAnsi="Times New Roman"/>
          <w:position w:val="-24"/>
        </w:rPr>
        <w:t>腹部外伤、腹主动脉瘤、膈肌破裂、腹腔器官出血、腹腔巨大肿物。AACD-CPR所使用的AACD-CPR仪针对成人患者设计，不适用于婴幼儿、儿童及体重＜40kg或＞150kg的患者。据相关数据显示，80%以上的心脏骤停发生于院外，面对院外无法掌控的复杂环境以及不同的病理、生理特点，把握AACD-CPR的要点和精髓，因地制宜、因人而异、因病而为地运用标准化、多元化、个体化方法是复苏成功的关键。</w:t>
      </w:r>
    </w:p>
    <w:p w14:paraId="4E44D62D">
      <w:pPr>
        <w:pStyle w:val="17"/>
        <w:ind w:firstLine="0" w:firstLineChars="0"/>
        <w:rPr>
          <w:rFonts w:hint="eastAsia"/>
          <w:b/>
          <w:bCs w:val="0"/>
        </w:rPr>
      </w:pPr>
      <w:r>
        <w:rPr>
          <w:rFonts w:hint="eastAsia"/>
          <w:b/>
          <w:bCs w:val="0"/>
        </w:rPr>
        <w:br w:type="page"/>
      </w:r>
    </w:p>
    <w:p w14:paraId="11C908AF">
      <w:pPr>
        <w:jc w:val="center"/>
        <w:outlineLvl w:val="0"/>
        <w:rPr>
          <w:rFonts w:hint="eastAsia" w:ascii="Times New Roman" w:hAnsi="Times New Roman" w:eastAsia="黑体" w:cs="Times New Roman"/>
          <w:bCs/>
          <w:szCs w:val="21"/>
        </w:rPr>
      </w:pPr>
      <w:bookmarkStart w:id="14" w:name="_Toc200400239"/>
      <w:r>
        <w:rPr>
          <w:rFonts w:hint="eastAsia" w:ascii="Times New Roman" w:hAnsi="Times New Roman" w:eastAsia="黑体" w:cs="Times New Roman"/>
          <w:bCs/>
          <w:szCs w:val="21"/>
        </w:rPr>
        <w:t>附 录 A</w:t>
      </w:r>
      <w:bookmarkEnd w:id="14"/>
    </w:p>
    <w:p w14:paraId="36B25460">
      <w:pPr>
        <w:jc w:val="center"/>
        <w:outlineLvl w:val="0"/>
        <w:rPr>
          <w:rFonts w:hint="eastAsia" w:ascii="Times New Roman" w:hAnsi="Times New Roman" w:eastAsia="黑体" w:cs="Times New Roman"/>
          <w:bCs/>
          <w:szCs w:val="21"/>
        </w:rPr>
      </w:pPr>
      <w:bookmarkStart w:id="15" w:name="_Toc200400240"/>
      <w:r>
        <w:rPr>
          <w:rFonts w:hint="eastAsia" w:ascii="Times New Roman" w:hAnsi="Times New Roman" w:eastAsia="黑体" w:cs="Times New Roman"/>
          <w:bCs/>
          <w:szCs w:val="21"/>
        </w:rPr>
        <w:t>（规范性）</w:t>
      </w:r>
      <w:bookmarkEnd w:id="15"/>
    </w:p>
    <w:p w14:paraId="725BA523">
      <w:pPr>
        <w:pStyle w:val="17"/>
        <w:ind w:firstLine="0" w:firstLineChars="0"/>
        <w:jc w:val="center"/>
        <w:outlineLvl w:val="0"/>
        <w:rPr>
          <w:rFonts w:ascii="Times New Roman" w:hAnsi="Times New Roman" w:eastAsia="黑体"/>
        </w:rPr>
      </w:pPr>
      <w:bookmarkStart w:id="16" w:name="_Toc200400241"/>
      <w:r>
        <w:rPr>
          <w:rFonts w:hint="eastAsia" w:ascii="Times New Roman" w:hAnsi="Times New Roman" w:eastAsia="黑体" w:cs="Times New Roman"/>
        </w:rPr>
        <w:t>腹部提压心肺复苏技术应用规范PPT</w:t>
      </w:r>
      <w:bookmarkEnd w:id="16"/>
    </w:p>
    <w:p w14:paraId="24ACC213">
      <w:pPr>
        <w:pStyle w:val="17"/>
        <w:ind w:firstLine="0" w:firstLineChars="0"/>
        <w:jc w:val="center"/>
        <w:outlineLvl w:val="0"/>
        <w:rPr>
          <w:rFonts w:hint="eastAsia" w:ascii="Times New Roman" w:hAnsi="Times New Roman" w:eastAsia="黑体" w:cs="Times New Roman"/>
        </w:rPr>
      </w:pPr>
    </w:p>
    <w:p w14:paraId="550CB6EF">
      <w:pPr>
        <w:pStyle w:val="17"/>
        <w:ind w:firstLine="0" w:firstLineChars="0"/>
        <w:jc w:val="center"/>
        <w:rPr>
          <w:rFonts w:hint="eastAsia" w:ascii="黑体" w:hAnsi="黑体" w:eastAsia="黑体" w:cs="黑体"/>
        </w:rPr>
      </w:pPr>
      <w:r>
        <w:rPr>
          <w:rFonts w:ascii="黑体" w:hAnsi="黑体" w:eastAsia="黑体" w:cs="黑体"/>
        </w:rPr>
        <w:drawing>
          <wp:inline distT="0" distB="0" distL="0" distR="0">
            <wp:extent cx="5245100" cy="2674620"/>
            <wp:effectExtent l="0" t="0" r="0" b="0"/>
            <wp:docPr id="11548193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19375" name="图片 2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5100" cy="2674620"/>
                    </a:xfrm>
                    <a:prstGeom prst="rect">
                      <a:avLst/>
                    </a:prstGeom>
                  </pic:spPr>
                </pic:pic>
              </a:graphicData>
            </a:graphic>
          </wp:inline>
        </w:drawing>
      </w:r>
      <w:r>
        <w:rPr>
          <w:rFonts w:ascii="黑体" w:hAnsi="黑体" w:eastAsia="黑体" w:cs="黑体"/>
        </w:rPr>
        <w:drawing>
          <wp:inline distT="0" distB="0" distL="0" distR="0">
            <wp:extent cx="5274310" cy="2636520"/>
            <wp:effectExtent l="0" t="0" r="2540" b="0"/>
            <wp:docPr id="19973394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39418" name="图片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36520"/>
                    </a:xfrm>
                    <a:prstGeom prst="rect">
                      <a:avLst/>
                    </a:prstGeom>
                  </pic:spPr>
                </pic:pic>
              </a:graphicData>
            </a:graphic>
          </wp:inline>
        </w:drawing>
      </w:r>
      <w:r>
        <w:rPr>
          <w:rFonts w:ascii="黑体" w:hAnsi="黑体" w:eastAsia="黑体" w:cs="黑体"/>
        </w:rPr>
        <w:drawing>
          <wp:inline distT="0" distB="0" distL="0" distR="0">
            <wp:extent cx="5274310" cy="2613660"/>
            <wp:effectExtent l="0" t="0" r="2540" b="0"/>
            <wp:docPr id="14517530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3038" name="图片 2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r>
        <w:rPr>
          <w:rFonts w:ascii="黑体" w:hAnsi="黑体" w:eastAsia="黑体" w:cs="黑体"/>
        </w:rPr>
        <w:drawing>
          <wp:inline distT="0" distB="0" distL="0" distR="0">
            <wp:extent cx="5274310" cy="2735580"/>
            <wp:effectExtent l="0" t="0" r="2540" b="7620"/>
            <wp:docPr id="9263226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22633" name="图片 2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735580"/>
                    </a:xfrm>
                    <a:prstGeom prst="rect">
                      <a:avLst/>
                    </a:prstGeom>
                  </pic:spPr>
                </pic:pic>
              </a:graphicData>
            </a:graphic>
          </wp:inline>
        </w:drawing>
      </w:r>
      <w:r>
        <w:rPr>
          <w:rFonts w:ascii="黑体" w:hAnsi="黑体" w:eastAsia="黑体" w:cs="黑体"/>
        </w:rPr>
        <w:drawing>
          <wp:inline distT="0" distB="0" distL="0" distR="0">
            <wp:extent cx="5274310" cy="2796540"/>
            <wp:effectExtent l="0" t="0" r="2540" b="3810"/>
            <wp:docPr id="4219691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69139" name="图片 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796540"/>
                    </a:xfrm>
                    <a:prstGeom prst="rect">
                      <a:avLst/>
                    </a:prstGeom>
                  </pic:spPr>
                </pic:pic>
              </a:graphicData>
            </a:graphic>
          </wp:inline>
        </w:drawing>
      </w:r>
      <w:r>
        <w:rPr>
          <w:rFonts w:ascii="黑体" w:hAnsi="黑体" w:eastAsia="黑体" w:cs="黑体"/>
        </w:rPr>
        <w:drawing>
          <wp:inline distT="0" distB="0" distL="0" distR="0">
            <wp:extent cx="5274310" cy="2735580"/>
            <wp:effectExtent l="0" t="0" r="2540" b="7620"/>
            <wp:docPr id="587948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4841" name="图片 2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735580"/>
                    </a:xfrm>
                    <a:prstGeom prst="rect">
                      <a:avLst/>
                    </a:prstGeom>
                  </pic:spPr>
                </pic:pic>
              </a:graphicData>
            </a:graphic>
          </wp:inline>
        </w:drawing>
      </w:r>
      <w:r>
        <w:rPr>
          <w:rFonts w:ascii="黑体" w:hAnsi="黑体" w:eastAsia="黑体" w:cs="黑体"/>
        </w:rPr>
        <w:drawing>
          <wp:inline distT="0" distB="0" distL="0" distR="0">
            <wp:extent cx="5274310" cy="2674620"/>
            <wp:effectExtent l="0" t="0" r="2540" b="0"/>
            <wp:docPr id="20632324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32421" name="图片 3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674620"/>
                    </a:xfrm>
                    <a:prstGeom prst="rect">
                      <a:avLst/>
                    </a:prstGeom>
                  </pic:spPr>
                </pic:pic>
              </a:graphicData>
            </a:graphic>
          </wp:inline>
        </w:drawing>
      </w:r>
      <w:r>
        <w:rPr>
          <w:rFonts w:ascii="黑体" w:hAnsi="黑体" w:eastAsia="黑体" w:cs="黑体"/>
        </w:rPr>
        <w:drawing>
          <wp:inline distT="0" distB="0" distL="0" distR="0">
            <wp:extent cx="5274310" cy="2735580"/>
            <wp:effectExtent l="0" t="0" r="2540" b="7620"/>
            <wp:docPr id="168410390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03908" name="图片 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735580"/>
                    </a:xfrm>
                    <a:prstGeom prst="rect">
                      <a:avLst/>
                    </a:prstGeom>
                  </pic:spPr>
                </pic:pic>
              </a:graphicData>
            </a:graphic>
          </wp:inline>
        </w:drawing>
      </w:r>
      <w:r>
        <w:rPr>
          <w:rFonts w:ascii="黑体" w:hAnsi="黑体" w:eastAsia="黑体" w:cs="黑体"/>
        </w:rPr>
        <w:drawing>
          <wp:inline distT="0" distB="0" distL="0" distR="0">
            <wp:extent cx="5274310" cy="2781300"/>
            <wp:effectExtent l="0" t="0" r="2540" b="0"/>
            <wp:docPr id="6390957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95776" name="图片 3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781300"/>
                    </a:xfrm>
                    <a:prstGeom prst="rect">
                      <a:avLst/>
                    </a:prstGeom>
                  </pic:spPr>
                </pic:pic>
              </a:graphicData>
            </a:graphic>
          </wp:inline>
        </w:drawing>
      </w:r>
      <w:r>
        <w:rPr>
          <w:rFonts w:ascii="黑体" w:hAnsi="黑体" w:eastAsia="黑体" w:cs="黑体"/>
        </w:rPr>
        <w:drawing>
          <wp:inline distT="0" distB="0" distL="0" distR="0">
            <wp:extent cx="5274310" cy="2766060"/>
            <wp:effectExtent l="0" t="0" r="2540" b="0"/>
            <wp:docPr id="6931140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14040" name="图片 3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766060"/>
                    </a:xfrm>
                    <a:prstGeom prst="rect">
                      <a:avLst/>
                    </a:prstGeom>
                  </pic:spPr>
                </pic:pic>
              </a:graphicData>
            </a:graphic>
          </wp:inline>
        </w:drawing>
      </w:r>
      <w:r>
        <w:rPr>
          <w:rFonts w:ascii="黑体" w:hAnsi="黑体" w:eastAsia="黑体" w:cs="黑体"/>
        </w:rPr>
        <w:drawing>
          <wp:inline distT="0" distB="0" distL="0" distR="0">
            <wp:extent cx="5274310" cy="2682240"/>
            <wp:effectExtent l="0" t="0" r="2540" b="3810"/>
            <wp:docPr id="12670376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37669" name="图片 3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682240"/>
                    </a:xfrm>
                    <a:prstGeom prst="rect">
                      <a:avLst/>
                    </a:prstGeom>
                  </pic:spPr>
                </pic:pic>
              </a:graphicData>
            </a:graphic>
          </wp:inline>
        </w:drawing>
      </w:r>
      <w:r>
        <w:rPr>
          <w:rFonts w:ascii="黑体" w:hAnsi="黑体" w:eastAsia="黑体" w:cs="黑体"/>
        </w:rPr>
        <w:drawing>
          <wp:inline distT="0" distB="0" distL="0" distR="0">
            <wp:extent cx="5274310" cy="2834640"/>
            <wp:effectExtent l="0" t="0" r="2540" b="3810"/>
            <wp:docPr id="6992046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04699" name="图片 3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834640"/>
                    </a:xfrm>
                    <a:prstGeom prst="rect">
                      <a:avLst/>
                    </a:prstGeom>
                  </pic:spPr>
                </pic:pic>
              </a:graphicData>
            </a:graphic>
          </wp:inline>
        </w:drawing>
      </w:r>
      <w:r>
        <w:rPr>
          <w:rFonts w:ascii="黑体" w:hAnsi="黑体" w:eastAsia="黑体" w:cs="黑体"/>
        </w:rPr>
        <w:drawing>
          <wp:inline distT="0" distB="0" distL="0" distR="0">
            <wp:extent cx="5274310" cy="2842260"/>
            <wp:effectExtent l="0" t="0" r="2540" b="0"/>
            <wp:docPr id="41084947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49472" name="图片 3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842260"/>
                    </a:xfrm>
                    <a:prstGeom prst="rect">
                      <a:avLst/>
                    </a:prstGeom>
                  </pic:spPr>
                </pic:pic>
              </a:graphicData>
            </a:graphic>
          </wp:inline>
        </w:drawing>
      </w:r>
      <w:r>
        <w:rPr>
          <w:rFonts w:ascii="黑体" w:hAnsi="黑体" w:eastAsia="黑体" w:cs="黑体"/>
        </w:rPr>
        <w:drawing>
          <wp:inline distT="0" distB="0" distL="0" distR="0">
            <wp:extent cx="5274310" cy="2720340"/>
            <wp:effectExtent l="0" t="0" r="2540" b="3810"/>
            <wp:docPr id="125219096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90969" name="图片 3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720340"/>
                    </a:xfrm>
                    <a:prstGeom prst="rect">
                      <a:avLst/>
                    </a:prstGeom>
                  </pic:spPr>
                </pic:pic>
              </a:graphicData>
            </a:graphic>
          </wp:inline>
        </w:drawing>
      </w:r>
      <w:r>
        <w:rPr>
          <w:rFonts w:ascii="黑体" w:hAnsi="黑体" w:eastAsia="黑体" w:cs="黑体"/>
        </w:rPr>
        <w:drawing>
          <wp:inline distT="0" distB="0" distL="0" distR="0">
            <wp:extent cx="5274310" cy="2827020"/>
            <wp:effectExtent l="0" t="0" r="2540" b="0"/>
            <wp:docPr id="478542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4244" name="图片 3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827020"/>
                    </a:xfrm>
                    <a:prstGeom prst="rect">
                      <a:avLst/>
                    </a:prstGeom>
                  </pic:spPr>
                </pic:pic>
              </a:graphicData>
            </a:graphic>
          </wp:inline>
        </w:drawing>
      </w:r>
      <w:r>
        <w:rPr>
          <w:rFonts w:ascii="黑体" w:hAnsi="黑体" w:eastAsia="黑体" w:cs="黑体"/>
        </w:rPr>
        <w:drawing>
          <wp:inline distT="0" distB="0" distL="0" distR="0">
            <wp:extent cx="5274310" cy="2773680"/>
            <wp:effectExtent l="0" t="0" r="2540" b="7620"/>
            <wp:docPr id="6875020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02083" name="图片 3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773680"/>
                    </a:xfrm>
                    <a:prstGeom prst="rect">
                      <a:avLst/>
                    </a:prstGeom>
                  </pic:spPr>
                </pic:pic>
              </a:graphicData>
            </a:graphic>
          </wp:inline>
        </w:drawing>
      </w:r>
      <w:r>
        <w:rPr>
          <w:rFonts w:ascii="黑体" w:hAnsi="黑体" w:eastAsia="黑体" w:cs="黑体"/>
        </w:rPr>
        <w:drawing>
          <wp:inline distT="0" distB="0" distL="0" distR="0">
            <wp:extent cx="5274310" cy="2659380"/>
            <wp:effectExtent l="0" t="0" r="2540" b="7620"/>
            <wp:docPr id="12510933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93347" name="图片 4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2659380"/>
                    </a:xfrm>
                    <a:prstGeom prst="rect">
                      <a:avLst/>
                    </a:prstGeom>
                  </pic:spPr>
                </pic:pic>
              </a:graphicData>
            </a:graphic>
          </wp:inline>
        </w:drawing>
      </w:r>
      <w:r>
        <w:rPr>
          <w:rFonts w:ascii="黑体" w:hAnsi="黑体" w:eastAsia="黑体" w:cs="黑体"/>
        </w:rPr>
        <w:drawing>
          <wp:inline distT="0" distB="0" distL="0" distR="0">
            <wp:extent cx="5274310" cy="2880360"/>
            <wp:effectExtent l="0" t="0" r="2540" b="0"/>
            <wp:docPr id="50666896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68964" name="图片 4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2880360"/>
                    </a:xfrm>
                    <a:prstGeom prst="rect">
                      <a:avLst/>
                    </a:prstGeom>
                  </pic:spPr>
                </pic:pic>
              </a:graphicData>
            </a:graphic>
          </wp:inline>
        </w:drawing>
      </w:r>
      <w:r>
        <w:rPr>
          <w:rFonts w:ascii="黑体" w:hAnsi="黑体" w:eastAsia="黑体" w:cs="黑体"/>
        </w:rPr>
        <w:drawing>
          <wp:inline distT="0" distB="0" distL="0" distR="0">
            <wp:extent cx="5274310" cy="2735580"/>
            <wp:effectExtent l="0" t="0" r="2540" b="7620"/>
            <wp:docPr id="84774207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42079" name="图片 4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2735580"/>
                    </a:xfrm>
                    <a:prstGeom prst="rect">
                      <a:avLst/>
                    </a:prstGeom>
                  </pic:spPr>
                </pic:pic>
              </a:graphicData>
            </a:graphic>
          </wp:inline>
        </w:drawing>
      </w:r>
      <w:r>
        <w:rPr>
          <w:rFonts w:ascii="黑体" w:hAnsi="黑体" w:eastAsia="黑体" w:cs="黑体"/>
        </w:rPr>
        <w:drawing>
          <wp:inline distT="0" distB="0" distL="0" distR="0">
            <wp:extent cx="5274310" cy="2842260"/>
            <wp:effectExtent l="0" t="0" r="2540" b="0"/>
            <wp:docPr id="162576625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6258" name="图片 4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2842260"/>
                    </a:xfrm>
                    <a:prstGeom prst="rect">
                      <a:avLst/>
                    </a:prstGeom>
                  </pic:spPr>
                </pic:pic>
              </a:graphicData>
            </a:graphic>
          </wp:inline>
        </w:drawing>
      </w:r>
      <w:r>
        <w:rPr>
          <w:rFonts w:ascii="黑体" w:hAnsi="黑体" w:eastAsia="黑体" w:cs="黑体"/>
        </w:rPr>
        <w:drawing>
          <wp:inline distT="0" distB="0" distL="0" distR="0">
            <wp:extent cx="5274310" cy="2781300"/>
            <wp:effectExtent l="0" t="0" r="2540" b="0"/>
            <wp:docPr id="63954117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41172" name="图片 4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781300"/>
                    </a:xfrm>
                    <a:prstGeom prst="rect">
                      <a:avLst/>
                    </a:prstGeom>
                  </pic:spPr>
                </pic:pic>
              </a:graphicData>
            </a:graphic>
          </wp:inline>
        </w:drawing>
      </w:r>
      <w:r>
        <w:rPr>
          <w:rFonts w:ascii="黑体" w:hAnsi="黑体" w:eastAsia="黑体" w:cs="黑体"/>
        </w:rPr>
        <w:drawing>
          <wp:inline distT="0" distB="0" distL="0" distR="0">
            <wp:extent cx="5274310" cy="2606040"/>
            <wp:effectExtent l="0" t="0" r="2540" b="3810"/>
            <wp:docPr id="5120051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05176" name="图片 4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2606040"/>
                    </a:xfrm>
                    <a:prstGeom prst="rect">
                      <a:avLst/>
                    </a:prstGeom>
                  </pic:spPr>
                </pic:pic>
              </a:graphicData>
            </a:graphic>
          </wp:inline>
        </w:drawing>
      </w:r>
      <w:r>
        <w:rPr>
          <w:rFonts w:ascii="黑体" w:hAnsi="黑体" w:eastAsia="黑体" w:cs="黑体"/>
        </w:rPr>
        <w:drawing>
          <wp:inline distT="0" distB="0" distL="0" distR="0">
            <wp:extent cx="5274310" cy="2651760"/>
            <wp:effectExtent l="0" t="0" r="2540" b="0"/>
            <wp:docPr id="48169144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91444" name="图片 4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2651760"/>
                    </a:xfrm>
                    <a:prstGeom prst="rect">
                      <a:avLst/>
                    </a:prstGeom>
                  </pic:spPr>
                </pic:pic>
              </a:graphicData>
            </a:graphic>
          </wp:inline>
        </w:drawing>
      </w:r>
      <w:r>
        <w:rPr>
          <w:rFonts w:ascii="黑体" w:hAnsi="黑体" w:eastAsia="黑体" w:cs="黑体"/>
        </w:rPr>
        <w:drawing>
          <wp:inline distT="0" distB="0" distL="0" distR="0">
            <wp:extent cx="5274310" cy="2727960"/>
            <wp:effectExtent l="0" t="0" r="2540" b="0"/>
            <wp:docPr id="202107412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74128" name="图片 4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2727960"/>
                    </a:xfrm>
                    <a:prstGeom prst="rect">
                      <a:avLst/>
                    </a:prstGeom>
                  </pic:spPr>
                </pic:pic>
              </a:graphicData>
            </a:graphic>
          </wp:inline>
        </w:drawing>
      </w:r>
      <w:r>
        <w:rPr>
          <w:rFonts w:ascii="黑体" w:hAnsi="黑体" w:eastAsia="黑体" w:cs="黑体"/>
        </w:rPr>
        <w:drawing>
          <wp:inline distT="0" distB="0" distL="0" distR="0">
            <wp:extent cx="5274310" cy="2705100"/>
            <wp:effectExtent l="0" t="0" r="2540" b="0"/>
            <wp:docPr id="139074773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7739" name="图片 4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2705100"/>
                    </a:xfrm>
                    <a:prstGeom prst="rect">
                      <a:avLst/>
                    </a:prstGeom>
                  </pic:spPr>
                </pic:pic>
              </a:graphicData>
            </a:graphic>
          </wp:inline>
        </w:drawing>
      </w:r>
      <w:r>
        <w:rPr>
          <w:rFonts w:ascii="黑体" w:hAnsi="黑体" w:eastAsia="黑体" w:cs="黑体"/>
        </w:rPr>
        <w:drawing>
          <wp:inline distT="0" distB="0" distL="0" distR="0">
            <wp:extent cx="5274310" cy="2621280"/>
            <wp:effectExtent l="0" t="0" r="2540" b="7620"/>
            <wp:docPr id="4940414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41450" name="图片 4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r>
        <w:rPr>
          <w:rFonts w:ascii="黑体" w:hAnsi="黑体" w:eastAsia="黑体" w:cs="黑体"/>
        </w:rPr>
        <w:drawing>
          <wp:inline distT="0" distB="0" distL="0" distR="0">
            <wp:extent cx="5274310" cy="2857500"/>
            <wp:effectExtent l="0" t="0" r="2540" b="0"/>
            <wp:docPr id="9037200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20084" name="图片 5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857500"/>
                    </a:xfrm>
                    <a:prstGeom prst="rect">
                      <a:avLst/>
                    </a:prstGeom>
                  </pic:spPr>
                </pic:pic>
              </a:graphicData>
            </a:graphic>
          </wp:inline>
        </w:drawing>
      </w:r>
      <w:r>
        <w:rPr>
          <w:rFonts w:ascii="黑体" w:hAnsi="黑体" w:eastAsia="黑体" w:cs="黑体"/>
        </w:rPr>
        <w:drawing>
          <wp:inline distT="0" distB="0" distL="0" distR="0">
            <wp:extent cx="5274310" cy="2735580"/>
            <wp:effectExtent l="0" t="0" r="2540" b="7620"/>
            <wp:docPr id="171998459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84593" name="图片 5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2735580"/>
                    </a:xfrm>
                    <a:prstGeom prst="rect">
                      <a:avLst/>
                    </a:prstGeom>
                  </pic:spPr>
                </pic:pic>
              </a:graphicData>
            </a:graphic>
          </wp:inline>
        </w:drawing>
      </w:r>
      <w:r>
        <w:rPr>
          <w:rFonts w:ascii="黑体" w:hAnsi="黑体" w:eastAsia="黑体" w:cs="黑体"/>
        </w:rPr>
        <w:drawing>
          <wp:inline distT="0" distB="0" distL="0" distR="0">
            <wp:extent cx="5274310" cy="2781300"/>
            <wp:effectExtent l="0" t="0" r="2540" b="0"/>
            <wp:docPr id="213045981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9819" name="图片 5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781300"/>
                    </a:xfrm>
                    <a:prstGeom prst="rect">
                      <a:avLst/>
                    </a:prstGeom>
                  </pic:spPr>
                </pic:pic>
              </a:graphicData>
            </a:graphic>
          </wp:inline>
        </w:drawing>
      </w:r>
      <w:r>
        <w:rPr>
          <w:rFonts w:ascii="黑体" w:hAnsi="黑体" w:eastAsia="黑体" w:cs="黑体"/>
        </w:rPr>
        <w:drawing>
          <wp:inline distT="0" distB="0" distL="0" distR="0">
            <wp:extent cx="5274310" cy="2705100"/>
            <wp:effectExtent l="0" t="0" r="2540" b="0"/>
            <wp:docPr id="210744930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49304" name="图片 5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2705100"/>
                    </a:xfrm>
                    <a:prstGeom prst="rect">
                      <a:avLst/>
                    </a:prstGeom>
                  </pic:spPr>
                </pic:pic>
              </a:graphicData>
            </a:graphic>
          </wp:inline>
        </w:drawing>
      </w:r>
      <w:r>
        <w:rPr>
          <w:rFonts w:ascii="黑体" w:hAnsi="黑体" w:eastAsia="黑体" w:cs="黑体"/>
        </w:rPr>
        <w:drawing>
          <wp:inline distT="0" distB="0" distL="0" distR="0">
            <wp:extent cx="5274310" cy="2804160"/>
            <wp:effectExtent l="0" t="0" r="2540" b="0"/>
            <wp:docPr id="184339690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96905" name="图片 5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2804160"/>
                    </a:xfrm>
                    <a:prstGeom prst="rect">
                      <a:avLst/>
                    </a:prstGeom>
                  </pic:spPr>
                </pic:pic>
              </a:graphicData>
            </a:graphic>
          </wp:inline>
        </w:drawing>
      </w:r>
    </w:p>
    <w:p w14:paraId="575AEB29">
      <w:pPr>
        <w:pStyle w:val="17"/>
        <w:ind w:firstLine="0" w:firstLineChars="0"/>
        <w:rPr>
          <w:rFonts w:hint="eastAsia" w:ascii="黑体" w:hAnsi="黑体" w:eastAsia="黑体" w:cs="黑体"/>
        </w:rPr>
      </w:pPr>
      <w:r>
        <w:rPr>
          <w:rFonts w:hint="eastAsia" w:ascii="黑体" w:hAnsi="黑体" w:eastAsia="黑体" w:cs="黑体"/>
        </w:rPr>
        <w:br w:type="page"/>
      </w:r>
    </w:p>
    <w:p w14:paraId="1396484F">
      <w:pPr>
        <w:keepNext w:val="0"/>
        <w:keepLines w:val="0"/>
        <w:pageBreakBefore w:val="0"/>
        <w:widowControl w:val="0"/>
        <w:pBdr>
          <w:bottom w:val="none" w:color="auto" w:sz="0" w:space="0"/>
        </w:pBdr>
        <w:kinsoku/>
        <w:wordWrap/>
        <w:overflowPunct/>
        <w:topLinePunct w:val="0"/>
        <w:autoSpaceDE/>
        <w:autoSpaceDN/>
        <w:bidi w:val="0"/>
        <w:adjustRightInd/>
        <w:snapToGrid/>
        <w:spacing w:before="157" w:beforeLines="50" w:after="157" w:afterLines="50"/>
        <w:ind w:firstLine="0" w:firstLineChars="0"/>
        <w:jc w:val="center"/>
        <w:textAlignment w:val="auto"/>
        <w:outlineLvl w:val="0"/>
        <w:rPr>
          <w:rFonts w:hint="eastAsia" w:ascii="黑体" w:hAnsi="黑体" w:eastAsia="黑体" w:cs="黑体"/>
          <w:b w:val="0"/>
          <w:bCs/>
          <w:szCs w:val="21"/>
        </w:rPr>
      </w:pPr>
      <w:bookmarkStart w:id="17" w:name="_Toc200400242"/>
      <w:r>
        <w:rPr>
          <w:rFonts w:hint="eastAsia" w:ascii="黑体" w:hAnsi="黑体" w:eastAsia="黑体" w:cs="黑体"/>
          <w:b w:val="0"/>
          <w:bCs/>
          <w:szCs w:val="21"/>
        </w:rPr>
        <w:t>参</w:t>
      </w:r>
      <w:r>
        <w:rPr>
          <w:rFonts w:hint="eastAsia" w:ascii="黑体" w:hAnsi="黑体" w:eastAsia="黑体" w:cs="黑体"/>
          <w:bCs/>
          <w:szCs w:val="21"/>
        </w:rPr>
        <w:t xml:space="preserve">  </w:t>
      </w:r>
      <w:r>
        <w:rPr>
          <w:rFonts w:hint="eastAsia" w:ascii="黑体" w:hAnsi="黑体" w:eastAsia="黑体" w:cs="黑体"/>
          <w:b w:val="0"/>
          <w:bCs/>
          <w:szCs w:val="21"/>
        </w:rPr>
        <w:t>考</w:t>
      </w:r>
      <w:r>
        <w:rPr>
          <w:rFonts w:hint="eastAsia" w:ascii="黑体" w:hAnsi="黑体" w:eastAsia="黑体" w:cs="黑体"/>
          <w:bCs/>
          <w:szCs w:val="21"/>
        </w:rPr>
        <w:t xml:space="preserve">  </w:t>
      </w:r>
      <w:r>
        <w:rPr>
          <w:rFonts w:hint="eastAsia" w:ascii="黑体" w:hAnsi="黑体" w:eastAsia="黑体" w:cs="黑体"/>
          <w:b w:val="0"/>
          <w:bCs/>
          <w:szCs w:val="21"/>
        </w:rPr>
        <w:t>文</w:t>
      </w:r>
      <w:r>
        <w:rPr>
          <w:rFonts w:hint="eastAsia" w:ascii="黑体" w:hAnsi="黑体" w:eastAsia="黑体" w:cs="黑体"/>
          <w:bCs/>
          <w:szCs w:val="21"/>
        </w:rPr>
        <w:t xml:space="preserve">  </w:t>
      </w:r>
      <w:r>
        <w:rPr>
          <w:rFonts w:hint="eastAsia" w:ascii="黑体" w:hAnsi="黑体" w:eastAsia="黑体" w:cs="黑体"/>
          <w:b w:val="0"/>
          <w:bCs/>
          <w:szCs w:val="21"/>
        </w:rPr>
        <w:t>献</w:t>
      </w:r>
      <w:bookmarkEnd w:id="17"/>
    </w:p>
    <w:p w14:paraId="511BDEA3">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王立祥.腹部心肺复苏学[M].北京:</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人民军医出版社, 2014.</w:t>
      </w:r>
    </w:p>
    <w:p w14:paraId="3539003D">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王立祥.中国心肺复苏生存环[J].中华危重病急救医学, 2019, 31(5): 536-538.</w:t>
      </w:r>
    </w:p>
    <w:p w14:paraId="0F0DA902">
      <w:pPr>
        <w:pStyle w:val="47"/>
        <w:numPr>
          <w:ilvl w:val="0"/>
          <w:numId w:val="2"/>
        </w:numPr>
        <w:ind w:left="0" w:firstLine="0"/>
        <w:rPr>
          <w:rFonts w:ascii="Times New Roman" w:hAnsi="Times New Roman" w:eastAsia="宋体" w:cs="Times New Roman"/>
          <w:szCs w:val="21"/>
        </w:rPr>
      </w:pPr>
      <w:r>
        <w:rPr>
          <w:rFonts w:hint="eastAsia" w:ascii="Times New Roman" w:hAnsi="Times New Roman" w:eastAsia="宋体" w:cs="Times New Roman"/>
          <w:szCs w:val="21"/>
        </w:rPr>
        <w:t>王立祥, 刘中民, 刘亮. 中国心肺复苏培训教程[M].北京</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科学出版社, 2019: 62-72.</w:t>
      </w:r>
    </w:p>
    <w:p w14:paraId="66CAE2A6">
      <w:pPr>
        <w:pStyle w:val="47"/>
        <w:numPr>
          <w:ilvl w:val="0"/>
          <w:numId w:val="2"/>
        </w:numPr>
        <w:wordWrap w:val="0"/>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王立祥,宋维,张思森.胸部按压CPR与腹部提压CPR.中华危重病急救医学杂志,2017,29(12):1057-1061.</w:t>
      </w:r>
    </w:p>
    <w:p w14:paraId="1065E6E1">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王立祥，心肺复苏王立祥观点[M].北京</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科学技术文献出版社</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2022.</w:t>
      </w:r>
    </w:p>
    <w:p w14:paraId="305700C8">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王立祥,等中国腹部提压心肺复苏协作组.腹部提压心肺复苏专家共识.中华急诊医学志,2013,22(9):957-959.</w:t>
      </w:r>
    </w:p>
    <w:p w14:paraId="14C5D798">
      <w:pPr>
        <w:pStyle w:val="47"/>
        <w:numPr>
          <w:ilvl w:val="0"/>
          <w:numId w:val="2"/>
        </w:numPr>
        <w:wordWrap w:val="0"/>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王立祥.腹部提压心肺复苏专家共识解析.中国急救复苏与灾害医学杂志,2014,9(12):1083-1085.</w:t>
      </w:r>
    </w:p>
    <w:p w14:paraId="04EC9B05">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王立祥.开创腹部提压心肺复苏"腹泵"机制研究之路.解放军医学杂志,2014,39(10):767-770.</w:t>
      </w:r>
    </w:p>
    <w:p w14:paraId="0403B628">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李鑫，刘亚华，王立祥.《中国心肺复苏专家共识》之腹部提压心肺复苏临床操作指南[J].解放军医学杂志,2019,44(6):536-540.</w:t>
      </w:r>
    </w:p>
    <w:p w14:paraId="1D6FDDDF">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王立祥,宋维,张思森,等.腹部提压心肺复苏多中心临床实验报告.中华急诊医学杂志,2017,26(3):333-336.</w:t>
      </w:r>
    </w:p>
    <w:p w14:paraId="679F7679">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陈瑞，方奕鹏，王非，王仲，腹部提压心肺复苏有效性与安全性的系统评价与Meta分析. 临床急诊杂志，2019年</w:t>
      </w:r>
      <w:r>
        <w:rPr>
          <w:rFonts w:hint="eastAsia" w:ascii="Times New Roman" w:hAnsi="Times New Roman" w:eastAsia="宋体" w:cs="Times New Roman"/>
          <w:szCs w:val="21"/>
        </w:rPr>
        <w:t>20</w:t>
      </w:r>
      <w:r>
        <w:rPr>
          <w:rFonts w:hint="eastAsia" w:ascii="Times New Roman" w:hAnsi="Times New Roman" w:eastAsia="宋体" w:cs="Times New Roman"/>
          <w:szCs w:val="21"/>
        </w:rPr>
        <w:t>卷</w:t>
      </w:r>
      <w:r>
        <w:rPr>
          <w:rFonts w:hint="eastAsia" w:ascii="Times New Roman" w:hAnsi="Times New Roman" w:eastAsia="宋体" w:cs="Times New Roman"/>
          <w:szCs w:val="21"/>
        </w:rPr>
        <w:t>2</w:t>
      </w:r>
      <w:r>
        <w:rPr>
          <w:rFonts w:hint="eastAsia" w:ascii="Times New Roman" w:hAnsi="Times New Roman" w:eastAsia="宋体" w:cs="Times New Roman"/>
          <w:szCs w:val="21"/>
        </w:rPr>
        <w:t>期</w:t>
      </w:r>
    </w:p>
    <w:p w14:paraId="6B90DE37">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王立祥,孟庆义.腹部是心肺复苏"不可或缺"之部位-论胸部与腹部心肺复苏的优势及互补.解放军医学杂志,2017,42(2):117-121.</w:t>
      </w:r>
    </w:p>
    <w:p w14:paraId="2FA9D127">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王立祥,黄子通,余涛等.腹部提压心肺复苏与高质量标准心肺复苏[J].中华危重病急救医学,2016,28(12):1057-1058.</w:t>
      </w:r>
    </w:p>
    <w:p w14:paraId="20C991AC">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季之欣,刘亚华,王立祥,腹部是心脏的第二个“家”. 中华危重病急救医学2019年4月第 31卷第4期</w:t>
      </w:r>
    </w:p>
    <w:p w14:paraId="6FE6386A">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腹部提压心肺复苏的临床应用《中华危重症病急救医学》2016；28（7）</w:t>
      </w:r>
    </w:p>
    <w:p w14:paraId="6E0F3EE7">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腹部提压心肺复苏临床效果分析《中华危重症病急救医学》2019；31（2）</w:t>
      </w:r>
    </w:p>
    <w:p w14:paraId="59ED229F">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张思森</w:t>
      </w:r>
      <w:r>
        <w:rPr>
          <w:rFonts w:hint="eastAsia" w:ascii="Times New Roman" w:hAnsi="Times New Roman" w:eastAsia="宋体" w:cs="Times New Roman"/>
          <w:szCs w:val="21"/>
        </w:rPr>
        <w:t>,</w:t>
      </w:r>
      <w:r>
        <w:rPr>
          <w:rFonts w:hint="eastAsia" w:ascii="Times New Roman" w:hAnsi="Times New Roman" w:eastAsia="宋体" w:cs="Times New Roman"/>
          <w:szCs w:val="21"/>
        </w:rPr>
        <w:t>郝义彬</w:t>
      </w:r>
      <w:r>
        <w:rPr>
          <w:rFonts w:hint="eastAsia" w:ascii="Times New Roman" w:hAnsi="Times New Roman" w:eastAsia="宋体" w:cs="Times New Roman"/>
          <w:szCs w:val="21"/>
        </w:rPr>
        <w:t>,</w:t>
      </w:r>
      <w:r>
        <w:rPr>
          <w:rFonts w:hint="eastAsia" w:ascii="Times New Roman" w:hAnsi="Times New Roman" w:eastAsia="宋体" w:cs="Times New Roman"/>
          <w:szCs w:val="21"/>
        </w:rPr>
        <w:t xml:space="preserve">王立祥,等.腹部提压心肺复苏新技术建立与临床应用[J].中国科技成果杂志，2020,21(13),48-50. </w:t>
      </w:r>
    </w:p>
    <w:p w14:paraId="79560D98">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中国研究型医院学会心肺复苏学专业委员会. 王立祥、孟庆义、余涛.2016中国心肺复苏专家共识 [J]. 中华危重病急救医学 , 2016, 28 (12): 1059-1079.</w:t>
      </w:r>
    </w:p>
    <w:p w14:paraId="75546645">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中国研究型医院学会心肺复苏学专业委员会, 中华医学会科学普及分会, 王立祥、孟庆义、余涛. 2018中国心肺复苏培训专家共识[J].中华危重病急救医学, 2018, 30(5): 385-400.</w:t>
      </w:r>
    </w:p>
    <w:p w14:paraId="41E44E31">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w:t>
      </w:r>
      <w:r>
        <w:rPr>
          <w:rFonts w:hint="eastAsia" w:ascii="Times New Roman" w:hAnsi="Times New Roman" w:eastAsia="宋体" w:cs="Times New Roman"/>
          <w:szCs w:val="21"/>
        </w:rPr>
        <w:t>,</w:t>
      </w:r>
      <w:r>
        <w:rPr>
          <w:rFonts w:hint="eastAsia" w:ascii="Times New Roman" w:hAnsi="Times New Roman" w:eastAsia="宋体" w:cs="Times New Roman"/>
          <w:szCs w:val="21"/>
        </w:rPr>
        <w:t>吕传柱</w:t>
      </w:r>
      <w:r>
        <w:rPr>
          <w:rFonts w:hint="eastAsia" w:ascii="Times New Roman" w:hAnsi="Times New Roman" w:eastAsia="宋体" w:cs="Times New Roman"/>
          <w:szCs w:val="21"/>
        </w:rPr>
        <w:t>,</w:t>
      </w:r>
      <w:r>
        <w:rPr>
          <w:rFonts w:hint="eastAsia" w:ascii="Times New Roman" w:hAnsi="Times New Roman" w:eastAsia="宋体" w:cs="Times New Roman"/>
          <w:szCs w:val="21"/>
        </w:rPr>
        <w:t>余涛.中国公众心肺复苏卫生健康指南[J].实用休克杂志(中英文)，2018,2(6):367-369.</w:t>
      </w:r>
    </w:p>
    <w:p w14:paraId="6E9881A5">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中国研究型医院学会心肺复苏学专业委员会. 新型冠状病毒肺炎相关心脏骤停患者心肺复苏专家共识[J]. 解放军医学杂志, 2020, 45(4): 345-258.</w:t>
      </w:r>
    </w:p>
    <w:p w14:paraId="6BB27A98">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刘中民，王立祥，李静. 中国心脏猝死防治救体系建设蓝皮书（2022） 中华危重病急救医学 2022年11月第34卷第11期</w:t>
      </w:r>
    </w:p>
    <w:p w14:paraId="39160989">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中国研究型医院学会心肺复苏专业委员会.米玉红 王立祥 程显声.《中国心肺复苏专家共识》静脉血栓栓塞性CA指南，中华危重病急救医学2018 年 12 月第 30 卷第 12 期 Chin Crit Care Med，December 2018，Vol.30，No.12</w:t>
      </w:r>
    </w:p>
    <w:p w14:paraId="1D78B167">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刘青,张思森,王立祥,等.腹部提压法急救复苏效果临床观察.中华危重病急救医学,2015,27(12):1011-1012.</w:t>
      </w:r>
    </w:p>
    <w:p w14:paraId="3A3A6DB9">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王立祥,等中国腹部心肺复苏协作组.经膈肌下抬挤心肺复苏共识.中华急诊医学杂志,2014,23(4):369-370.</w:t>
      </w:r>
    </w:p>
    <w:p w14:paraId="6E90199C">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马传根，皇甫超申，插入式腹部按压在心肺复苏中的应用，中国急救医学2003年9月第23卷第9期</w:t>
      </w:r>
    </w:p>
    <w:p w14:paraId="293379D9">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王立祥,李秀满,郭成成,等.腹部提压法对全麻呼吸抑制患者肺潮气量影响的观察.中华危重病急救医学,2015,27(3):221-222.</w:t>
      </w:r>
    </w:p>
    <w:p w14:paraId="36D63D32">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王娇,王立祥,马文君,等.腹主动脉反搏对腹部术中心搏骤停家兔心肺复苏效果的研究.中华危重病急救医学,2015,27(3):226-228.</w:t>
      </w:r>
    </w:p>
    <w:p w14:paraId="53F665F4">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中国研究型医院学会心肺复苏专业委员会.张重阳、李立艳、孟庆义、王立祥.中国淹溺性心脏停搏心肺复苏专家共识,中华急诊医学杂志 2020 年 8 月第 29 卷第 8 期 Chin J Emerg Med, August 2020,Vol. 29, No. 8</w:t>
      </w:r>
    </w:p>
    <w:p w14:paraId="2EB223B9">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孟庆义,王立祥.传承与发展:论中国心肺复苏之言.解放军医学杂志,2015,40(9):693-698.36.张思森,王立祥,等.腹部提压心肺复苏术在胸部创伤患者院前急救中的应用.中华卫生应急电子杂志,2015,1(2):31-33.</w:t>
      </w:r>
    </w:p>
    <w:p w14:paraId="03114122">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王立祥.加强胸外按压联合腹部提压CPR的应用性研究.中华灾害救援医学,2014,2(9):1-2.43.中国毒理学会中毒与救治专业委员会.2014年中国海蜇蛰伤救治专家共识.临床误诊误治,2014,27(10):1-5.</w:t>
      </w:r>
    </w:p>
    <w:p w14:paraId="47FC6F6C">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王立祥.建立和完善腹部心肺复苏学.中华危重病急救医学,2014,26(10):689-691.</w:t>
      </w:r>
    </w:p>
    <w:p w14:paraId="3A4B534F">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汪宏伟，张思森，沙鑫，等．PETCO2在腹部提压心肺复苏急救效果评估中的临床价值分析</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附92例报告[J/CD]</w:t>
      </w:r>
      <w:r>
        <w:rPr>
          <w:rFonts w:hint="eastAsia" w:ascii="Times New Roman" w:hAnsi="Times New Roman" w:eastAsia="宋体" w:cs="Times New Roman"/>
          <w:szCs w:val="21"/>
        </w:rPr>
        <w:t>.</w:t>
      </w:r>
      <w:r>
        <w:rPr>
          <w:rFonts w:hint="eastAsia" w:ascii="Times New Roman" w:hAnsi="Times New Roman" w:eastAsia="宋体" w:cs="Times New Roman"/>
          <w:szCs w:val="21"/>
        </w:rPr>
        <w:t>中华卫生应急电子杂志</w:t>
      </w:r>
      <w:r>
        <w:rPr>
          <w:rFonts w:hint="eastAsia" w:ascii="Times New Roman" w:hAnsi="Times New Roman" w:eastAsia="宋体" w:cs="Times New Roman"/>
          <w:szCs w:val="21"/>
        </w:rPr>
        <w:t>,</w:t>
      </w:r>
      <w:r>
        <w:rPr>
          <w:rFonts w:hint="eastAsia" w:ascii="Times New Roman" w:hAnsi="Times New Roman" w:eastAsia="宋体" w:cs="Times New Roman"/>
          <w:szCs w:val="21"/>
        </w:rPr>
        <w:t>2017</w:t>
      </w:r>
      <w:r>
        <w:rPr>
          <w:rFonts w:hint="eastAsia" w:ascii="Times New Roman" w:hAnsi="Times New Roman" w:eastAsia="宋体" w:cs="Times New Roman"/>
          <w:szCs w:val="21"/>
        </w:rPr>
        <w:t>,</w:t>
      </w:r>
      <w:r>
        <w:rPr>
          <w:rFonts w:hint="eastAsia" w:ascii="Times New Roman" w:hAnsi="Times New Roman" w:eastAsia="宋体" w:cs="Times New Roman"/>
          <w:szCs w:val="21"/>
        </w:rPr>
        <w:t>3(2)</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107-112.</w:t>
      </w:r>
    </w:p>
    <w:p w14:paraId="76C7DCB5">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姜素文,傅宝琴,韩振坤等，腹部提压心肺复苏成功抢救 84 岁心搏骤停患者. 中华危重病急救医学</w:t>
      </w:r>
      <w:r>
        <w:rPr>
          <w:rFonts w:ascii="Times New Roman" w:hAnsi="Times New Roman" w:eastAsia="宋体" w:cs="Times New Roman"/>
          <w:szCs w:val="21"/>
        </w:rPr>
        <w:t xml:space="preserve">  2017 </w:t>
      </w:r>
      <w:r>
        <w:rPr>
          <w:rFonts w:hint="eastAsia" w:ascii="Times New Roman" w:hAnsi="Times New Roman" w:eastAsia="宋体" w:cs="Times New Roman"/>
          <w:szCs w:val="21"/>
        </w:rPr>
        <w:t>年 2 月第 29 卷第 2 期</w:t>
      </w:r>
    </w:p>
    <w:p w14:paraId="6C6AF1E1">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王国涛,张思森,刘青等.腹部提压心肺复苏临床应用研究:附40例报告[J].中华急诊医学杂志,2015,24(11):1264-1267.</w:t>
      </w:r>
    </w:p>
    <w:p w14:paraId="5DCE34C1">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马立芝,王立祥,刘亚华,等.胸外按压联合腹部提压成功抢救心脏停搏1例.中华危重病急救医学,2014,26(3):198-199.</w:t>
      </w:r>
    </w:p>
    <w:p w14:paraId="4ACABF3B">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刘亚华,王立祥.采用腹部提压法成功抢救1例坠落伤并发心脏骤停患者.中国急救复苏与灾害医学杂志,2013,8(7):664-665.</w:t>
      </w:r>
    </w:p>
    <w:p w14:paraId="5F172295">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王运平,张礼,王立祥.采用腹部提压心肺复苏装置成功救治心搏骤停1例.人民军医,2013,56(1):118.</w:t>
      </w:r>
    </w:p>
    <w:p w14:paraId="15969A67">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郝玉瑜、李从圣、杨静，腹部提压心肺复苏法抢救胸廓畸形并发心搏骤停 1 例，中华卫生应急电子杂志 2019年 /月 第 5卷 第4期</w:t>
      </w:r>
    </w:p>
    <w:p w14:paraId="4DAE26F3">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王立祥,郑静晨,梁立武,等.腹部提压对合并胸肋骨骨折心搏骤停患者复苏效应观察.中华危重病急救医学,2013,25(11):694-695.</w:t>
      </w:r>
    </w:p>
    <w:p w14:paraId="2D1927B2">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王立祥,李秀满,郭成成,等.腹部提压法对全麻呼吸抑制患者肺潮气量影响的观察.中华卫生应急.2012.(8):31-33.</w:t>
      </w:r>
    </w:p>
    <w:p w14:paraId="3914B553">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李秀满,王立祥,刘亚华,等.腹部提压法对窒息性心搏骤停猪复苏效果的实验研究.中国危重病急救医学.2012,24(4):237-240.</w:t>
      </w:r>
    </w:p>
    <w:p w14:paraId="6A7D0CF0">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李会清,王立祥.经腹实施心肺复苏方法的进展.中华急诊医学杂志.2011.20(5):551-554.89.王立祥,刘亚华,李秀满,等.腹部提压心肺复苏方法对呼吸骤停猪肺通气的实验研究。中国危重病急救医学杂志.2011,23(6):368-369.</w:t>
      </w:r>
    </w:p>
    <w:p w14:paraId="5A664095">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马立芝,王立祥,李秀满,等.腹部按压心肺复苏方法对呼吸骤停猪肺通气的观察,中华临床医师杂志.2011,5(12):3623-3624.</w:t>
      </w:r>
    </w:p>
    <w:p w14:paraId="1FC87577">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李会清,王立祥,刘亚华,等.腹部提压法对心搏骤停猪血流动力学影响的实验研究.中国危重病急救医学.2011,23(10):631-632.</w:t>
      </w:r>
    </w:p>
    <w:p w14:paraId="684F07D5">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张思森,孟志剑,刘青,等.腹部提压心肺复苏术在胸部创伤患者院前急救中的应用[J].中华卫生应急杂志,2015,1(1):31-33.</w:t>
      </w:r>
    </w:p>
    <w:p w14:paraId="3AEC59A9">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李海山</w:t>
      </w:r>
      <w:r>
        <w:rPr>
          <w:rFonts w:hint="eastAsia" w:ascii="Times New Roman" w:hAnsi="Times New Roman" w:eastAsia="宋体" w:cs="Times New Roman"/>
          <w:szCs w:val="21"/>
        </w:rPr>
        <w:t>,</w:t>
      </w:r>
      <w:r>
        <w:rPr>
          <w:rFonts w:hint="eastAsia" w:ascii="Times New Roman" w:hAnsi="Times New Roman" w:eastAsia="宋体" w:cs="Times New Roman"/>
          <w:szCs w:val="21"/>
        </w:rPr>
        <w:t>季流</w:t>
      </w:r>
      <w:r>
        <w:rPr>
          <w:rFonts w:hint="eastAsia" w:ascii="Times New Roman" w:hAnsi="Times New Roman" w:eastAsia="宋体" w:cs="Times New Roman"/>
          <w:szCs w:val="21"/>
        </w:rPr>
        <w:t>,</w:t>
      </w:r>
      <w:r>
        <w:rPr>
          <w:rFonts w:hint="eastAsia" w:ascii="Times New Roman" w:hAnsi="Times New Roman" w:eastAsia="宋体" w:cs="Times New Roman"/>
          <w:szCs w:val="21"/>
        </w:rPr>
        <w:t>王菁菁，腹部提压心肺复苏在心搏骤停患者中的应用. 中华危重病急救医学</w:t>
      </w:r>
      <w:r>
        <w:rPr>
          <w:rFonts w:ascii="Times New Roman" w:hAnsi="Times New Roman" w:eastAsia="宋体" w:cs="Times New Roman"/>
          <w:szCs w:val="21"/>
        </w:rPr>
        <w:t xml:space="preserve">  2017 </w:t>
      </w:r>
      <w:r>
        <w:rPr>
          <w:rFonts w:hint="eastAsia" w:ascii="Times New Roman" w:hAnsi="Times New Roman" w:eastAsia="宋体" w:cs="Times New Roman"/>
          <w:szCs w:val="21"/>
        </w:rPr>
        <w:t>年 8 月第 29 卷第 8 期</w:t>
      </w:r>
    </w:p>
    <w:p w14:paraId="183875B9">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沙鑫</w:t>
      </w:r>
      <w:r>
        <w:rPr>
          <w:rFonts w:hint="eastAsia" w:ascii="Times New Roman" w:hAnsi="Times New Roman" w:eastAsia="宋体" w:cs="Times New Roman"/>
          <w:szCs w:val="21"/>
        </w:rPr>
        <w:t>,</w:t>
      </w:r>
      <w:r>
        <w:rPr>
          <w:rFonts w:hint="eastAsia" w:ascii="Times New Roman" w:hAnsi="Times New Roman" w:eastAsia="宋体" w:cs="Times New Roman"/>
          <w:szCs w:val="21"/>
        </w:rPr>
        <w:t>张思森</w:t>
      </w:r>
      <w:r>
        <w:rPr>
          <w:rFonts w:hint="eastAsia" w:ascii="Times New Roman" w:hAnsi="Times New Roman" w:eastAsia="宋体" w:cs="Times New Roman"/>
          <w:szCs w:val="21"/>
        </w:rPr>
        <w:t>,</w:t>
      </w:r>
      <w:r>
        <w:rPr>
          <w:rFonts w:hint="eastAsia" w:ascii="Times New Roman" w:hAnsi="Times New Roman" w:eastAsia="宋体" w:cs="Times New Roman"/>
          <w:szCs w:val="21"/>
        </w:rPr>
        <w:t>汪宏伟</w:t>
      </w:r>
      <w:r>
        <w:rPr>
          <w:rFonts w:hint="eastAsia" w:ascii="Times New Roman" w:hAnsi="Times New Roman" w:eastAsia="宋体" w:cs="Times New Roman"/>
          <w:szCs w:val="21"/>
        </w:rPr>
        <w:t>,</w:t>
      </w:r>
      <w:r>
        <w:rPr>
          <w:rFonts w:hint="eastAsia" w:ascii="Times New Roman" w:hAnsi="Times New Roman" w:eastAsia="宋体" w:cs="Times New Roman"/>
          <w:szCs w:val="21"/>
        </w:rPr>
        <w:t>等.腹部提压CPR对心搏骤停患者氧代谢及预后的影响[J]. 中华危重病急救医学杂志</w:t>
      </w:r>
      <w:r>
        <w:rPr>
          <w:rFonts w:hint="eastAsia" w:ascii="Times New Roman" w:hAnsi="Times New Roman" w:eastAsia="宋体" w:cs="Times New Roman"/>
          <w:szCs w:val="21"/>
        </w:rPr>
        <w:t>,</w:t>
      </w:r>
      <w:r>
        <w:rPr>
          <w:rFonts w:hint="eastAsia" w:ascii="Times New Roman" w:hAnsi="Times New Roman" w:eastAsia="宋体" w:cs="Times New Roman"/>
          <w:szCs w:val="21"/>
        </w:rPr>
        <w:t>2017,29(12) :1117-1121.</w:t>
      </w:r>
    </w:p>
    <w:p w14:paraId="4908FF11">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汪宏伟，沙鑫，张思森，等.PetCO2对腹部提压CPR救治效果及血清是00B蛋白对脑功能预测价值的研究[J]. 中华危重病急救医学杂志，2018,30(2) :117-122.</w:t>
      </w:r>
    </w:p>
    <w:p w14:paraId="792E063D">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岑颖欣，张思森，汪宏伟，等.TCD联合APACHEⅡ评分在腹部心肺复苏脑功能预后中的价值【J/CD】.中华卫生应急电子杂志，2018,4（1）：21-25.引用: 3</w:t>
      </w:r>
    </w:p>
    <w:p w14:paraId="75B254E8">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岑颖欣，张思森，焦宪法，等.对比腹部提压CPR与胸部按压CPR对窒息性心脏骤停患者术后脑功能预后的影响[J].中华危重病急救医学杂志，2018,30（6）：549-553.</w:t>
      </w:r>
    </w:p>
    <w:p w14:paraId="55704722">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徐彦立，张思森，张存庆，等.腹部心肺复苏创新技术临床应用效果研究[J].河南医学研究杂志</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2018</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27</w:t>
      </w:r>
      <w:r>
        <w:rPr>
          <w:rFonts w:hint="eastAsia" w:ascii="Times New Roman" w:hAnsi="Times New Roman" w:eastAsia="宋体" w:cs="Times New Roman"/>
          <w:szCs w:val="21"/>
        </w:rPr>
        <w:t>(</w:t>
      </w:r>
      <w:r>
        <w:rPr>
          <w:rFonts w:hint="eastAsia" w:ascii="Times New Roman" w:hAnsi="Times New Roman" w:eastAsia="宋体" w:cs="Times New Roman"/>
          <w:szCs w:val="21"/>
        </w:rPr>
        <w:t>5</w:t>
      </w:r>
      <w:r>
        <w:rPr>
          <w:rFonts w:hint="eastAsia" w:ascii="Times New Roman" w:hAnsi="Times New Roman" w:eastAsia="宋体" w:cs="Times New Roman"/>
          <w:szCs w:val="21"/>
        </w:rPr>
        <w:t>):</w:t>
      </w:r>
      <w:r>
        <w:rPr>
          <w:rFonts w:hint="eastAsia" w:ascii="Times New Roman" w:hAnsi="Times New Roman" w:eastAsia="宋体" w:cs="Times New Roman"/>
          <w:szCs w:val="21"/>
        </w:rPr>
        <w:t>773-775.</w:t>
      </w:r>
    </w:p>
    <w:p w14:paraId="4F65D11F">
      <w:pPr>
        <w:pStyle w:val="47"/>
        <w:numPr>
          <w:ilvl w:val="0"/>
          <w:numId w:val="2"/>
        </w:numPr>
        <w:ind w:left="0" w:firstLine="0"/>
        <w:jc w:val="both"/>
        <w:rPr>
          <w:rFonts w:hint="eastAsia" w:ascii="Times New Roman" w:hAnsi="Times New Roman" w:eastAsia="宋体" w:cs="Times New Roman"/>
          <w:szCs w:val="21"/>
        </w:rPr>
      </w:pPr>
      <w:r>
        <w:rPr>
          <w:rFonts w:hint="eastAsia" w:ascii="Times New Roman" w:hAnsi="Times New Roman" w:eastAsia="宋体" w:cs="Times New Roman"/>
          <w:szCs w:val="21"/>
        </w:rPr>
        <w:t>彭丹洋,岑颖欣,张思森,王立祥. 腹部提压心肺复苏创新技术理论与临床实践[J]. 医学争鸣,2019,02:1-5</w:t>
      </w:r>
      <w:r>
        <w:rPr>
          <w:rFonts w:hint="eastAsia" w:ascii="Times New Roman" w:hAnsi="Times New Roman" w:eastAsia="宋体" w:cs="Times New Roman"/>
          <w:szCs w:val="21"/>
        </w:rPr>
        <w:t>.</w:t>
      </w:r>
    </w:p>
    <w:p w14:paraId="46F2DD39">
      <w:pPr>
        <w:pStyle w:val="47"/>
        <w:numPr>
          <w:ilvl w:val="0"/>
          <w:numId w:val="2"/>
        </w:numPr>
        <w:ind w:left="0" w:firstLine="0"/>
        <w:rPr>
          <w:rFonts w:hint="eastAsia" w:ascii="宋体" w:hAnsi="宋体"/>
          <w:bCs/>
          <w:sz w:val="24"/>
          <w:szCs w:val="24"/>
        </w:rPr>
      </w:pPr>
      <w:r>
        <w:rPr>
          <w:rFonts w:hint="eastAsia" w:ascii="Times New Roman" w:hAnsi="Times New Roman" w:eastAsia="宋体" w:cs="Times New Roman"/>
          <w:szCs w:val="21"/>
        </w:rPr>
        <w:t>刘婷</w:t>
      </w:r>
      <w:r>
        <w:rPr>
          <w:rFonts w:hint="eastAsia" w:ascii="Times New Roman" w:hAnsi="Times New Roman" w:eastAsia="宋体" w:cs="Times New Roman"/>
          <w:szCs w:val="21"/>
        </w:rPr>
        <w:t>,</w:t>
      </w:r>
      <w:r>
        <w:rPr>
          <w:rFonts w:hint="eastAsia" w:ascii="Times New Roman" w:hAnsi="Times New Roman" w:eastAsia="宋体" w:cs="Times New Roman"/>
          <w:szCs w:val="21"/>
        </w:rPr>
        <w:t>张思森.案例式立体教学法在腹部提压心肺复苏培训中的应用研究.中华卫生应急电子杂志</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2020</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rPr>
        <w:t>5</w:t>
      </w:r>
      <w:r>
        <w:rPr>
          <w:rFonts w:hint="eastAsia" w:ascii="Times New Roman" w:hAnsi="Times New Roman" w:eastAsia="宋体" w:cs="Times New Roman"/>
          <w:szCs w:val="21"/>
        </w:rPr>
        <w:t>(</w:t>
      </w:r>
      <w:r>
        <w:rPr>
          <w:rFonts w:hint="eastAsia" w:ascii="Times New Roman" w:hAnsi="Times New Roman" w:eastAsia="宋体" w:cs="Times New Roman"/>
          <w:szCs w:val="21"/>
        </w:rPr>
        <w:t>6</w:t>
      </w:r>
      <w:r>
        <w:rPr>
          <w:rFonts w:hint="eastAsia" w:ascii="Times New Roman" w:hAnsi="Times New Roman" w:eastAsia="宋体" w:cs="Times New Roman"/>
          <w:szCs w:val="21"/>
        </w:rPr>
        <w:t>):</w:t>
      </w:r>
      <w:r>
        <w:rPr>
          <w:rFonts w:hint="eastAsia" w:ascii="Times New Roman" w:hAnsi="Times New Roman" w:eastAsia="宋体" w:cs="Times New Roman"/>
          <w:szCs w:val="21"/>
        </w:rPr>
        <w:t>355-359.</w:t>
      </w:r>
      <w:r>
        <w:rPr>
          <w:rFonts w:hint="eastAsia" w:ascii="宋体" w:hAnsi="宋体"/>
          <w:bCs/>
          <w:sz w:val="24"/>
        </w:rPr>
        <mc:AlternateContent>
          <mc:Choice Requires="wps">
            <w:drawing>
              <wp:anchor distT="0" distB="0" distL="114300" distR="114300" simplePos="0" relativeHeight="251662336" behindDoc="0" locked="0" layoutInCell="1" allowOverlap="1">
                <wp:simplePos x="0" y="0"/>
                <wp:positionH relativeFrom="column">
                  <wp:posOffset>1954530</wp:posOffset>
                </wp:positionH>
                <wp:positionV relativeFrom="page">
                  <wp:posOffset>5456555</wp:posOffset>
                </wp:positionV>
                <wp:extent cx="1371600" cy="254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1371600"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3.9pt;margin-top:429.65pt;height:0.2pt;width:108pt;mso-position-vertical-relative:page;z-index:251662336;mso-width-relative:page;mso-height-relative:page;" filled="f" stroked="t" coordsize="21600,21600" o:gfxdata="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dmwAdgA&#10;AAALAQAADwAAAAAAAAABACAAAAAiAAAAZHJzL2Rvd25yZXYueG1sUEsBAhQAFAAAAAgAh07iQIOG&#10;8jHmAQAAtgMAAA4AAAAAAAAAAQAgAAAAJwEAAGRycy9lMm9Eb2MueG1sUEsFBgAAAAAGAAYAWQEA&#10;AH8FAAAAAA==&#10;">
                <v:fill on="f" focussize="0,0"/>
                <v:stroke weight="0.5pt" color="#000000 [3200]" miterlimit="8" joinstyle="miter"/>
                <v:imagedata o:title=""/>
                <o:lock v:ext="edit" aspectratio="f"/>
              </v:line>
            </w:pict>
          </mc:Fallback>
        </mc:AlternateContent>
      </w:r>
    </w:p>
    <w:sectPr>
      <w:footerReference r:id="rId14" w:type="default"/>
      <w:headerReference r:id="rId13" w:type="even"/>
      <w:footerReference r:id="rId15"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iti SC Medium">
    <w:altName w:val="宋体"/>
    <w:panose1 w:val="00000000000000000000"/>
    <w:charset w:val="86"/>
    <w:family w:val="auto"/>
    <w:pitch w:val="default"/>
    <w:sig w:usb0="00000000" w:usb1="00000000" w:usb2="00000000" w:usb3="00000000" w:csb0="203E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F848C">
    <w:pPr>
      <w:pStyle w:val="5"/>
      <w:jc w:val="right"/>
      <w:rPr>
        <w:rFonts w:hint="eastAsia"/>
      </w:rP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1628442"/>
                          </w:sdtPr>
                          <w:sdtContent>
                            <w:p w14:paraId="234FA89E">
                              <w:pPr>
                                <w:pStyle w:val="5"/>
                                <w:jc w:val="right"/>
                                <w:rPr>
                                  <w:rFonts w:hint="eastAsia"/>
                                </w:rPr>
                              </w:pPr>
                              <w:r>
                                <w:fldChar w:fldCharType="begin"/>
                              </w:r>
                              <w:r>
                                <w:instrText xml:space="preserve">PAGE   \* MERGEFORMAT</w:instrText>
                              </w:r>
                              <w:r>
                                <w:fldChar w:fldCharType="separate"/>
                              </w:r>
                              <w:r>
                                <w:rPr>
                                  <w:lang w:val="zh-CN"/>
                                </w:rPr>
                                <w:t>15</w:t>
                              </w:r>
                              <w:r>
                                <w:fldChar w:fldCharType="end"/>
                              </w:r>
                            </w:p>
                          </w:sdtContent>
                        </w:sdt>
                        <w:p w14:paraId="42047CA8">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741628442"/>
                    </w:sdtPr>
                    <w:sdtContent>
                      <w:p w14:paraId="234FA89E">
                        <w:pPr>
                          <w:pStyle w:val="5"/>
                          <w:jc w:val="right"/>
                          <w:rPr>
                            <w:rFonts w:hint="eastAsia"/>
                          </w:rPr>
                        </w:pPr>
                        <w:r>
                          <w:fldChar w:fldCharType="begin"/>
                        </w:r>
                        <w:r>
                          <w:instrText xml:space="preserve">PAGE   \* MERGEFORMAT</w:instrText>
                        </w:r>
                        <w:r>
                          <w:fldChar w:fldCharType="separate"/>
                        </w:r>
                        <w:r>
                          <w:rPr>
                            <w:lang w:val="zh-CN"/>
                          </w:rPr>
                          <w:t>15</w:t>
                        </w:r>
                        <w:r>
                          <w:fldChar w:fldCharType="end"/>
                        </w:r>
                      </w:p>
                    </w:sdtContent>
                  </w:sdt>
                  <w:p w14:paraId="42047CA8">
                    <w:pPr>
                      <w:rPr>
                        <w:rFonts w:hint="eastAsia"/>
                      </w:rPr>
                    </w:pPr>
                  </w:p>
                </w:txbxContent>
              </v:textbox>
            </v:shape>
          </w:pict>
        </mc:Fallback>
      </mc:AlternateContent>
    </w:r>
  </w:p>
  <w:p w14:paraId="2F7CEE2A">
    <w:pPr>
      <w:pStyle w:val="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52289">
    <w:pPr>
      <w:pStyle w:val="5"/>
      <w:rPr>
        <w:rFonts w:hint="eastAsia"/>
      </w:rP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E26FD">
                          <w:pPr>
                            <w:pStyle w:val="5"/>
                            <w:rPr>
                              <w:rFonts w:hint="eastAsia"/>
                            </w:rPr>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DFE26FD">
                    <w:pPr>
                      <w:pStyle w:val="5"/>
                      <w:rPr>
                        <w:rFonts w:hint="eastAsia"/>
                      </w:rPr>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0F99E">
    <w:pPr>
      <w:pStyle w:val="5"/>
      <w:rPr>
        <w:rFonts w:hint="eastAsia"/>
      </w:rP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D6EE6">
                          <w:pPr>
                            <w:pStyle w:val="5"/>
                            <w:rPr>
                              <w:rFonts w:hint="eastAsia"/>
                            </w:rPr>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D3D6EE6">
                    <w:pPr>
                      <w:pStyle w:val="5"/>
                      <w:rPr>
                        <w:rFonts w:hint="eastAsia"/>
                      </w:rPr>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FDF96">
    <w:pPr>
      <w:pStyle w:val="5"/>
      <w:rPr>
        <w:rFonts w:hint="eastAsia"/>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7577E2">
                          <w:pPr>
                            <w:pStyle w:val="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47577E2">
                    <w:pPr>
                      <w:pStyle w:val="5"/>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ECA57">
    <w:pPr>
      <w:pStyle w:val="5"/>
      <w:jc w:val="right"/>
      <w:rPr>
        <w:rFonts w:hint="eastAsia"/>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AB3ED">
                          <w:pPr>
                            <w:pStyle w:val="5"/>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I</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0FAB3ED">
                    <w:pPr>
                      <w:pStyle w:val="5"/>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I</w:t>
                    </w:r>
                    <w:r>
                      <w:rPr>
                        <w:rFonts w:ascii="Times New Roman" w:hAnsi="Times New Roman" w:eastAsia="宋体" w:cs="Times New Roman"/>
                      </w:rPr>
                      <w:fldChar w:fldCharType="end"/>
                    </w:r>
                  </w:p>
                </w:txbxContent>
              </v:textbox>
            </v:shape>
          </w:pict>
        </mc:Fallback>
      </mc:AlternateContent>
    </w:r>
  </w:p>
  <w:p w14:paraId="5D455E05">
    <w:pPr>
      <w:pStyle w:val="5"/>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719DD">
    <w:pPr>
      <w:pStyle w:val="5"/>
      <w:rPr>
        <w:rFonts w:hint="eastAsia"/>
      </w:rP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2B855">
                          <w:pPr>
                            <w:pStyle w:val="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1F2B855">
                    <w:pPr>
                      <w:pStyle w:val="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2E986">
    <w:pPr>
      <w:pStyle w:val="5"/>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532B">
    <w:pPr>
      <w:pStyle w:val="5"/>
      <w:jc w:val="right"/>
      <w:rPr>
        <w:rFonts w:hint="eastAsia"/>
      </w:rPr>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2AB63">
                          <w:pPr>
                            <w:pStyle w:val="5"/>
                            <w:rPr>
                              <w:rFonts w:hint="eastAsia"/>
                            </w:rPr>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272AB63">
                    <w:pPr>
                      <w:pStyle w:val="5"/>
                      <w:rPr>
                        <w:rFonts w:hint="eastAsia"/>
                      </w:rPr>
                    </w:pPr>
                    <w:r>
                      <w:fldChar w:fldCharType="begin"/>
                    </w:r>
                    <w:r>
                      <w:instrText xml:space="preserve"> PAGE  \* MERGEFORMAT </w:instrText>
                    </w:r>
                    <w:r>
                      <w:fldChar w:fldCharType="separate"/>
                    </w:r>
                    <w:r>
                      <w:t>III</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5CCEA">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625CCEA">
                    <w:pPr>
                      <w:rPr>
                        <w:rFonts w:hint="eastAsia"/>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29C9D">
    <w:pPr>
      <w:pStyle w:val="5"/>
      <w:tabs>
        <w:tab w:val="clear" w:pos="4153"/>
      </w:tabs>
      <w:rPr>
        <w:rFonts w:hint="eastAsia"/>
      </w:rPr>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F0945">
                          <w:pPr>
                            <w:pStyle w:val="5"/>
                            <w:rPr>
                              <w:rFonts w:hint="eastAsia"/>
                            </w:rPr>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CBF0945">
                    <w:pPr>
                      <w:pStyle w:val="5"/>
                      <w:rPr>
                        <w:rFonts w:hint="eastAsia"/>
                      </w:rPr>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eastAsia="宋体"/>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091D1">
    <w:pPr>
      <w:pStyle w:val="6"/>
      <w:pBdr>
        <w:bottom w:val="none" w:color="auto" w:sz="0" w:space="1"/>
      </w:pBdr>
      <w:jc w:val="right"/>
      <w:rPr>
        <w:rFonts w:ascii="Times New Roman" w:hAnsi="Times New Roman" w:eastAsia="宋体" w:cs="Times New Roman"/>
      </w:rPr>
    </w:pPr>
    <w:r>
      <w:rPr>
        <w:rFonts w:ascii="Times New Roman" w:hAnsi="Times New Roman" w:eastAsia="宋体" w:cs="Times New Roman"/>
      </w:rPr>
      <w:t xml:space="preserve">T/CRHA </w:t>
    </w:r>
    <w:r>
      <w:rPr>
        <w:rFonts w:hint="eastAsia" w:ascii="Times New Roman" w:hAnsi="Times New Roman" w:eastAsia="宋体" w:cs="Times New Roman"/>
      </w:rPr>
      <w:t>XXX—</w:t>
    </w:r>
    <w:r>
      <w:rPr>
        <w:rFonts w:ascii="Times New Roman" w:hAnsi="Times New Roman" w:eastAsia="宋体" w:cs="Times New Roman"/>
      </w:rPr>
      <w:t>202</w:t>
    </w:r>
    <w:r>
      <w:rPr>
        <w:rFonts w:hint="eastAsia" w:ascii="Times New Roman" w:hAnsi="Times New Roman" w:eastAsia="宋体" w:cs="Times New Roman"/>
      </w:rPr>
      <w:t>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4E7A9">
    <w:pPr>
      <w:pStyle w:val="6"/>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0A1DC">
    <w:pPr>
      <w:pStyle w:val="6"/>
      <w:pBdr>
        <w:bottom w:val="none" w:color="auto" w:sz="0" w:space="1"/>
      </w:pBdr>
      <w:jc w:val="left"/>
      <w:rPr>
        <w:rFonts w:ascii="Times New Roman" w:hAnsi="Times New Roman" w:eastAsia="宋体" w:cs="Times New Roman"/>
        <w:lang w:val="fr-FR"/>
      </w:rPr>
    </w:pPr>
    <w:r>
      <w:rPr>
        <w:rFonts w:ascii="Times New Roman" w:hAnsi="Times New Roman" w:eastAsia="宋体" w:cs="Times New Roman"/>
        <w:b/>
        <w:bCs/>
        <w:sz w:val="21"/>
        <w:szCs w:val="21"/>
        <w:lang w:val="fr-FR"/>
      </w:rPr>
      <w:t>T/CRHA</w:t>
    </w:r>
    <w:r>
      <w:rPr>
        <w:rFonts w:ascii="Times New Roman" w:hAnsi="Times New Roman" w:eastAsia="宋体" w:cs="Times New Roman"/>
        <w:lang w:val="fr-FR"/>
      </w:rPr>
      <w:t xml:space="preserve"> </w:t>
    </w:r>
    <w:r>
      <w:rPr>
        <w:rFonts w:hint="eastAsia" w:ascii="黑体" w:hAnsi="黑体" w:eastAsia="黑体" w:cs="黑体"/>
        <w:sz w:val="21"/>
        <w:szCs w:val="21"/>
        <w:lang w:val="fr-FR"/>
      </w:rPr>
      <w:t>XXX—202X</w:t>
    </w:r>
  </w:p>
  <w:p w14:paraId="5B4E5ECB">
    <w:pPr>
      <w:rPr>
        <w:rFonts w:hint="eastAsia"/>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6CFCD">
    <w:pPr>
      <w:pStyle w:val="6"/>
      <w:pBdr>
        <w:bottom w:val="none" w:color="auto" w:sz="0" w:space="1"/>
      </w:pBdr>
      <w:jc w:val="left"/>
      <w:rPr>
        <w:rFonts w:ascii="Times New Roman" w:hAnsi="Times New Roman" w:eastAsia="宋体" w:cs="Times New Roman"/>
      </w:rPr>
    </w:pPr>
    <w:r>
      <w:rPr>
        <w:rFonts w:ascii="Times New Roman" w:hAnsi="Times New Roman" w:eastAsia="宋体" w:cs="Times New Roman"/>
      </w:rPr>
      <w:t xml:space="preserve">T/CRHA </w:t>
    </w:r>
    <w:r>
      <w:rPr>
        <w:rFonts w:hint="eastAsia" w:ascii="Times New Roman" w:hAnsi="Times New Roman" w:eastAsia="宋体" w:cs="Times New Roman"/>
      </w:rPr>
      <w:t>XXX—</w:t>
    </w:r>
    <w:r>
      <w:rPr>
        <w:rFonts w:ascii="Times New Roman" w:hAnsi="Times New Roman" w:eastAsia="宋体" w:cs="Times New Roman"/>
      </w:rPr>
      <w:t>202</w:t>
    </w:r>
    <w:r>
      <w:rPr>
        <w:rFonts w:hint="eastAsia" w:ascii="Times New Roman" w:hAnsi="Times New Roman" w:eastAsia="宋体" w:cs="Times New Roman"/>
      </w:rPr>
      <w:t>X</w:t>
    </w:r>
  </w:p>
  <w:p w14:paraId="7DFEB0DA">
    <w:pPr>
      <w:pStyle w:val="6"/>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FAAF5E"/>
    <w:multiLevelType w:val="multilevel"/>
    <w:tmpl w:val="FEFAAF5E"/>
    <w:lvl w:ilvl="0" w:tentative="0">
      <w:start w:val="1"/>
      <w:numFmt w:val="decimal"/>
      <w:lvlText w:val="%1"/>
      <w:lvlJc w:val="left"/>
      <w:pPr>
        <w:ind w:left="0" w:firstLine="0"/>
      </w:pPr>
      <w:rPr>
        <w:rFonts w:hint="default" w:ascii="黑体" w:hAnsi="黑体" w:eastAsia="黑体" w:cs="Heiti SC Medium"/>
        <w:i w:val="0"/>
        <w:szCs w:val="21"/>
      </w:rPr>
    </w:lvl>
    <w:lvl w:ilvl="1" w:tentative="0">
      <w:start w:val="1"/>
      <w:numFmt w:val="decimal"/>
      <w:lvlText w:val="%1.%2"/>
      <w:lvlJc w:val="left"/>
      <w:pPr>
        <w:ind w:left="0" w:firstLine="0"/>
      </w:pPr>
      <w:rPr>
        <w:rFonts w:hint="default" w:ascii="黑体" w:hAnsi="黑体" w:eastAsia="黑体" w:cs="黑体"/>
        <w:b w:val="0"/>
        <w:bCs w:val="0"/>
        <w:szCs w:val="21"/>
      </w:rPr>
    </w:lvl>
    <w:lvl w:ilvl="2" w:tentative="0">
      <w:start w:val="1"/>
      <w:numFmt w:val="decimal"/>
      <w:lvlText w:val="%1.%2.%3"/>
      <w:lvlJc w:val="left"/>
      <w:pPr>
        <w:ind w:left="0" w:firstLine="0"/>
      </w:pPr>
      <w:rPr>
        <w:rFonts w:hint="default" w:ascii="黑体" w:hAnsi="黑体" w:eastAsia="黑体" w:cs="黑体"/>
        <w:b w:val="0"/>
        <w:bCs w:val="0"/>
      </w:rPr>
    </w:lvl>
    <w:lvl w:ilvl="3" w:tentative="0">
      <w:start w:val="1"/>
      <w:numFmt w:val="decimal"/>
      <w:lvlText w:val="%1.%2.%3.%4"/>
      <w:lvlJc w:val="left"/>
      <w:pPr>
        <w:ind w:left="284" w:hanging="284"/>
      </w:pPr>
      <w:rPr>
        <w:rFonts w:hint="default" w:ascii="黑体" w:hAnsi="黑体" w:eastAsia="黑体" w:cs="黑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284" w:hanging="284"/>
      </w:pPr>
      <w:rPr>
        <w:rFonts w:hint="eastAsia"/>
      </w:rPr>
    </w:lvl>
    <w:lvl w:ilvl="7" w:tentative="0">
      <w:start w:val="1"/>
      <w:numFmt w:val="decimal"/>
      <w:lvlText w:val="%1.%2.%3.%4.%5.%6.%7.%8."/>
      <w:lvlJc w:val="left"/>
      <w:pPr>
        <w:ind w:left="284" w:hanging="284"/>
      </w:pPr>
      <w:rPr>
        <w:rFonts w:hint="eastAsia"/>
      </w:rPr>
    </w:lvl>
    <w:lvl w:ilvl="8" w:tentative="0">
      <w:start w:val="1"/>
      <w:numFmt w:val="decimal"/>
      <w:lvlText w:val="%1.%2.%3.%4.%5.%6.%7.%8.%9."/>
      <w:lvlJc w:val="left"/>
      <w:pPr>
        <w:ind w:left="284" w:hanging="284"/>
      </w:pPr>
      <w:rPr>
        <w:rFonts w:hint="eastAsia"/>
      </w:rPr>
    </w:lvl>
  </w:abstractNum>
  <w:abstractNum w:abstractNumId="1">
    <w:nsid w:val="36727DF4"/>
    <w:multiLevelType w:val="multilevel"/>
    <w:tmpl w:val="36727DF4"/>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FmMDJjZGU0YzYzNjgxMjg1NzBlNDNlZWZkY2IyNjM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55zesf5zzvs0eave8vaf9nvrdsvdwa5zpa&quot;&gt;Lib-2021-CZS&lt;record-ids&gt;&lt;item&gt;365&lt;/item&gt;&lt;item&gt;367&lt;/item&gt;&lt;item&gt;372&lt;/item&gt;&lt;item&gt;379&lt;/item&gt;&lt;item&gt;385&lt;/item&gt;&lt;item&gt;395&lt;/item&gt;&lt;item&gt;410&lt;/item&gt;&lt;item&gt;414&lt;/item&gt;&lt;item&gt;437&lt;/item&gt;&lt;item&gt;439&lt;/item&gt;&lt;item&gt;440&lt;/item&gt;&lt;item&gt;442&lt;/item&gt;&lt;item&gt;444&lt;/item&gt;&lt;item&gt;445&lt;/item&gt;&lt;item&gt;446&lt;/item&gt;&lt;item&gt;447&lt;/item&gt;&lt;item&gt;448&lt;/item&gt;&lt;item&gt;449&lt;/item&gt;&lt;item&gt;450&lt;/item&gt;&lt;item&gt;451&lt;/item&gt;&lt;item&gt;452&lt;/item&gt;&lt;item&gt;453&lt;/item&gt;&lt;item&gt;454&lt;/item&gt;&lt;/record-ids&gt;&lt;/item&gt;&lt;/Libraries&gt;"/>
  </w:docVars>
  <w:rsids>
    <w:rsidRoot w:val="004833E2"/>
    <w:rsid w:val="00003BAF"/>
    <w:rsid w:val="00005D15"/>
    <w:rsid w:val="00006072"/>
    <w:rsid w:val="00010792"/>
    <w:rsid w:val="000126AC"/>
    <w:rsid w:val="00013176"/>
    <w:rsid w:val="00021587"/>
    <w:rsid w:val="00023F75"/>
    <w:rsid w:val="0002453B"/>
    <w:rsid w:val="0002547B"/>
    <w:rsid w:val="0002663B"/>
    <w:rsid w:val="00027EDC"/>
    <w:rsid w:val="000304DE"/>
    <w:rsid w:val="00033458"/>
    <w:rsid w:val="000377DA"/>
    <w:rsid w:val="00041138"/>
    <w:rsid w:val="00041949"/>
    <w:rsid w:val="0005409C"/>
    <w:rsid w:val="000548DC"/>
    <w:rsid w:val="00056A60"/>
    <w:rsid w:val="0005763E"/>
    <w:rsid w:val="00057B09"/>
    <w:rsid w:val="0006275C"/>
    <w:rsid w:val="000647BE"/>
    <w:rsid w:val="00066840"/>
    <w:rsid w:val="00072491"/>
    <w:rsid w:val="00072815"/>
    <w:rsid w:val="00073AC5"/>
    <w:rsid w:val="00076263"/>
    <w:rsid w:val="000771FC"/>
    <w:rsid w:val="00081E09"/>
    <w:rsid w:val="000830A8"/>
    <w:rsid w:val="0008659B"/>
    <w:rsid w:val="000870BE"/>
    <w:rsid w:val="00095271"/>
    <w:rsid w:val="000A10B7"/>
    <w:rsid w:val="000A144A"/>
    <w:rsid w:val="000A2D37"/>
    <w:rsid w:val="000A3E0D"/>
    <w:rsid w:val="000A3FAE"/>
    <w:rsid w:val="000B12BE"/>
    <w:rsid w:val="000B54AC"/>
    <w:rsid w:val="000B5A07"/>
    <w:rsid w:val="000C032C"/>
    <w:rsid w:val="000C73CA"/>
    <w:rsid w:val="000D38BE"/>
    <w:rsid w:val="000D3B34"/>
    <w:rsid w:val="000D4494"/>
    <w:rsid w:val="000D4F6E"/>
    <w:rsid w:val="000D74F8"/>
    <w:rsid w:val="000E1B7B"/>
    <w:rsid w:val="000E24EC"/>
    <w:rsid w:val="000E2CC9"/>
    <w:rsid w:val="000E3A43"/>
    <w:rsid w:val="000E4609"/>
    <w:rsid w:val="000E506C"/>
    <w:rsid w:val="000E5DF9"/>
    <w:rsid w:val="000E674A"/>
    <w:rsid w:val="000F0451"/>
    <w:rsid w:val="000F2F90"/>
    <w:rsid w:val="00104AB0"/>
    <w:rsid w:val="00105858"/>
    <w:rsid w:val="00110C41"/>
    <w:rsid w:val="00113BFA"/>
    <w:rsid w:val="00114735"/>
    <w:rsid w:val="0011477A"/>
    <w:rsid w:val="00116438"/>
    <w:rsid w:val="0011708B"/>
    <w:rsid w:val="00121EE3"/>
    <w:rsid w:val="001248BA"/>
    <w:rsid w:val="001270E5"/>
    <w:rsid w:val="0012776E"/>
    <w:rsid w:val="001302FE"/>
    <w:rsid w:val="001354DB"/>
    <w:rsid w:val="00135D3F"/>
    <w:rsid w:val="00135F7E"/>
    <w:rsid w:val="00136B06"/>
    <w:rsid w:val="0015254C"/>
    <w:rsid w:val="00153874"/>
    <w:rsid w:val="001545CB"/>
    <w:rsid w:val="00172DF1"/>
    <w:rsid w:val="00173FC5"/>
    <w:rsid w:val="00177C9E"/>
    <w:rsid w:val="0018623D"/>
    <w:rsid w:val="00191DFD"/>
    <w:rsid w:val="00192EBC"/>
    <w:rsid w:val="00193CC8"/>
    <w:rsid w:val="00193D37"/>
    <w:rsid w:val="00193DB4"/>
    <w:rsid w:val="001A0393"/>
    <w:rsid w:val="001A22EE"/>
    <w:rsid w:val="001A2918"/>
    <w:rsid w:val="001A3586"/>
    <w:rsid w:val="001A5115"/>
    <w:rsid w:val="001A56CB"/>
    <w:rsid w:val="001A7742"/>
    <w:rsid w:val="001B2C09"/>
    <w:rsid w:val="001B6FBB"/>
    <w:rsid w:val="001E186D"/>
    <w:rsid w:val="001E275D"/>
    <w:rsid w:val="001E637A"/>
    <w:rsid w:val="001E64A9"/>
    <w:rsid w:val="001E6E82"/>
    <w:rsid w:val="001E74EF"/>
    <w:rsid w:val="001E781A"/>
    <w:rsid w:val="001F3A00"/>
    <w:rsid w:val="00201D5E"/>
    <w:rsid w:val="00206199"/>
    <w:rsid w:val="002100B3"/>
    <w:rsid w:val="00211CEC"/>
    <w:rsid w:val="002120B7"/>
    <w:rsid w:val="00214163"/>
    <w:rsid w:val="00214910"/>
    <w:rsid w:val="0021602E"/>
    <w:rsid w:val="00217F4A"/>
    <w:rsid w:val="0022139D"/>
    <w:rsid w:val="00222A03"/>
    <w:rsid w:val="002257B9"/>
    <w:rsid w:val="002262E4"/>
    <w:rsid w:val="0022631D"/>
    <w:rsid w:val="00231B51"/>
    <w:rsid w:val="0024007A"/>
    <w:rsid w:val="00243155"/>
    <w:rsid w:val="00244993"/>
    <w:rsid w:val="00244CDC"/>
    <w:rsid w:val="00245436"/>
    <w:rsid w:val="00247092"/>
    <w:rsid w:val="0025110E"/>
    <w:rsid w:val="00251F14"/>
    <w:rsid w:val="00252505"/>
    <w:rsid w:val="00252F69"/>
    <w:rsid w:val="00257E6E"/>
    <w:rsid w:val="00260405"/>
    <w:rsid w:val="00262B92"/>
    <w:rsid w:val="00264453"/>
    <w:rsid w:val="002664EC"/>
    <w:rsid w:val="002754A5"/>
    <w:rsid w:val="002774C4"/>
    <w:rsid w:val="00284BE6"/>
    <w:rsid w:val="00285401"/>
    <w:rsid w:val="00287B4E"/>
    <w:rsid w:val="0029058B"/>
    <w:rsid w:val="002A747A"/>
    <w:rsid w:val="002B2A24"/>
    <w:rsid w:val="002B3A01"/>
    <w:rsid w:val="002B4433"/>
    <w:rsid w:val="002B7DDF"/>
    <w:rsid w:val="002C5170"/>
    <w:rsid w:val="002D4EE4"/>
    <w:rsid w:val="002D7DD8"/>
    <w:rsid w:val="002E3D25"/>
    <w:rsid w:val="002E64C1"/>
    <w:rsid w:val="002E754E"/>
    <w:rsid w:val="002F2B77"/>
    <w:rsid w:val="002F34DA"/>
    <w:rsid w:val="002F7767"/>
    <w:rsid w:val="003029FB"/>
    <w:rsid w:val="00311695"/>
    <w:rsid w:val="0031175E"/>
    <w:rsid w:val="00315F43"/>
    <w:rsid w:val="00317D97"/>
    <w:rsid w:val="003256F7"/>
    <w:rsid w:val="00327512"/>
    <w:rsid w:val="00327862"/>
    <w:rsid w:val="00331CC2"/>
    <w:rsid w:val="0033219D"/>
    <w:rsid w:val="0033587F"/>
    <w:rsid w:val="003400F5"/>
    <w:rsid w:val="00343D89"/>
    <w:rsid w:val="00345620"/>
    <w:rsid w:val="00347CB2"/>
    <w:rsid w:val="00352252"/>
    <w:rsid w:val="003523E1"/>
    <w:rsid w:val="0035267F"/>
    <w:rsid w:val="003527C8"/>
    <w:rsid w:val="00356C7D"/>
    <w:rsid w:val="00360423"/>
    <w:rsid w:val="00361449"/>
    <w:rsid w:val="003639D4"/>
    <w:rsid w:val="003668B4"/>
    <w:rsid w:val="00370221"/>
    <w:rsid w:val="003703BE"/>
    <w:rsid w:val="00373ED5"/>
    <w:rsid w:val="00387294"/>
    <w:rsid w:val="00390258"/>
    <w:rsid w:val="003906E6"/>
    <w:rsid w:val="00390962"/>
    <w:rsid w:val="00392044"/>
    <w:rsid w:val="00393573"/>
    <w:rsid w:val="00393AE0"/>
    <w:rsid w:val="003979DD"/>
    <w:rsid w:val="003A3B44"/>
    <w:rsid w:val="003A4197"/>
    <w:rsid w:val="003A4C7C"/>
    <w:rsid w:val="003A4FB7"/>
    <w:rsid w:val="003B055C"/>
    <w:rsid w:val="003B2566"/>
    <w:rsid w:val="003B7750"/>
    <w:rsid w:val="003C036C"/>
    <w:rsid w:val="003C0938"/>
    <w:rsid w:val="003C1481"/>
    <w:rsid w:val="003C5E4C"/>
    <w:rsid w:val="003C76BA"/>
    <w:rsid w:val="003C7AE8"/>
    <w:rsid w:val="003D05AD"/>
    <w:rsid w:val="003D3BDD"/>
    <w:rsid w:val="003D5F18"/>
    <w:rsid w:val="003D705C"/>
    <w:rsid w:val="003D7F21"/>
    <w:rsid w:val="003E37B5"/>
    <w:rsid w:val="003E61AA"/>
    <w:rsid w:val="003E71CC"/>
    <w:rsid w:val="003F1381"/>
    <w:rsid w:val="003F2AD8"/>
    <w:rsid w:val="003F75D9"/>
    <w:rsid w:val="004065F6"/>
    <w:rsid w:val="0040710E"/>
    <w:rsid w:val="0041083D"/>
    <w:rsid w:val="004165A5"/>
    <w:rsid w:val="00417131"/>
    <w:rsid w:val="0042069E"/>
    <w:rsid w:val="004218BD"/>
    <w:rsid w:val="00422DA8"/>
    <w:rsid w:val="00425509"/>
    <w:rsid w:val="0043034C"/>
    <w:rsid w:val="00433002"/>
    <w:rsid w:val="00434575"/>
    <w:rsid w:val="00436831"/>
    <w:rsid w:val="00441A31"/>
    <w:rsid w:val="0044366C"/>
    <w:rsid w:val="004447DF"/>
    <w:rsid w:val="0045238F"/>
    <w:rsid w:val="00452FE2"/>
    <w:rsid w:val="00453FDA"/>
    <w:rsid w:val="004552E8"/>
    <w:rsid w:val="004564E4"/>
    <w:rsid w:val="00463CEE"/>
    <w:rsid w:val="004678FD"/>
    <w:rsid w:val="004728CE"/>
    <w:rsid w:val="00472C4F"/>
    <w:rsid w:val="00474290"/>
    <w:rsid w:val="00475E70"/>
    <w:rsid w:val="0048130D"/>
    <w:rsid w:val="004827C7"/>
    <w:rsid w:val="004833E2"/>
    <w:rsid w:val="0049165F"/>
    <w:rsid w:val="00493599"/>
    <w:rsid w:val="004A48C8"/>
    <w:rsid w:val="004A5FED"/>
    <w:rsid w:val="004A6F6F"/>
    <w:rsid w:val="004B3892"/>
    <w:rsid w:val="004C52AF"/>
    <w:rsid w:val="004C57D2"/>
    <w:rsid w:val="004C7695"/>
    <w:rsid w:val="004D1A69"/>
    <w:rsid w:val="004D2D0A"/>
    <w:rsid w:val="004D3B8F"/>
    <w:rsid w:val="004E1256"/>
    <w:rsid w:val="004E4111"/>
    <w:rsid w:val="004E5DB0"/>
    <w:rsid w:val="004F2091"/>
    <w:rsid w:val="004F2362"/>
    <w:rsid w:val="004F5102"/>
    <w:rsid w:val="004F78EB"/>
    <w:rsid w:val="005002C5"/>
    <w:rsid w:val="0050659A"/>
    <w:rsid w:val="00506993"/>
    <w:rsid w:val="00506E46"/>
    <w:rsid w:val="0050711B"/>
    <w:rsid w:val="00511468"/>
    <w:rsid w:val="00512B61"/>
    <w:rsid w:val="00516FA2"/>
    <w:rsid w:val="00524D29"/>
    <w:rsid w:val="00525095"/>
    <w:rsid w:val="00525AD4"/>
    <w:rsid w:val="0053058A"/>
    <w:rsid w:val="00536034"/>
    <w:rsid w:val="00537219"/>
    <w:rsid w:val="005400EA"/>
    <w:rsid w:val="005419C0"/>
    <w:rsid w:val="0054235F"/>
    <w:rsid w:val="00546117"/>
    <w:rsid w:val="00546C16"/>
    <w:rsid w:val="00562781"/>
    <w:rsid w:val="005641B7"/>
    <w:rsid w:val="005702B0"/>
    <w:rsid w:val="0057249C"/>
    <w:rsid w:val="0057395C"/>
    <w:rsid w:val="00573B86"/>
    <w:rsid w:val="00575A68"/>
    <w:rsid w:val="005824EC"/>
    <w:rsid w:val="0058363A"/>
    <w:rsid w:val="0058407E"/>
    <w:rsid w:val="00585107"/>
    <w:rsid w:val="0059091B"/>
    <w:rsid w:val="00592122"/>
    <w:rsid w:val="0059283F"/>
    <w:rsid w:val="005943A5"/>
    <w:rsid w:val="00597064"/>
    <w:rsid w:val="00597654"/>
    <w:rsid w:val="005B0F1D"/>
    <w:rsid w:val="005B12AD"/>
    <w:rsid w:val="005B1835"/>
    <w:rsid w:val="005B49DF"/>
    <w:rsid w:val="005B604B"/>
    <w:rsid w:val="005C0011"/>
    <w:rsid w:val="005C04C3"/>
    <w:rsid w:val="005C0E00"/>
    <w:rsid w:val="005C197C"/>
    <w:rsid w:val="005C32E8"/>
    <w:rsid w:val="005C6025"/>
    <w:rsid w:val="005C7387"/>
    <w:rsid w:val="005D131B"/>
    <w:rsid w:val="005D63D2"/>
    <w:rsid w:val="005D653B"/>
    <w:rsid w:val="005D7B2D"/>
    <w:rsid w:val="005D7CF6"/>
    <w:rsid w:val="005E3C6E"/>
    <w:rsid w:val="005E515E"/>
    <w:rsid w:val="005E5E1C"/>
    <w:rsid w:val="005E5F98"/>
    <w:rsid w:val="005E6163"/>
    <w:rsid w:val="005F0F3A"/>
    <w:rsid w:val="005F43C8"/>
    <w:rsid w:val="005F46DC"/>
    <w:rsid w:val="005F5DCB"/>
    <w:rsid w:val="005F7559"/>
    <w:rsid w:val="00606253"/>
    <w:rsid w:val="00611C44"/>
    <w:rsid w:val="00615DB0"/>
    <w:rsid w:val="00617CBE"/>
    <w:rsid w:val="00620574"/>
    <w:rsid w:val="00632C53"/>
    <w:rsid w:val="006333F0"/>
    <w:rsid w:val="0063386D"/>
    <w:rsid w:val="00633AF5"/>
    <w:rsid w:val="00633B40"/>
    <w:rsid w:val="0063405C"/>
    <w:rsid w:val="006367B9"/>
    <w:rsid w:val="006376F3"/>
    <w:rsid w:val="006421D1"/>
    <w:rsid w:val="00647139"/>
    <w:rsid w:val="00647B91"/>
    <w:rsid w:val="00652BCD"/>
    <w:rsid w:val="0065301E"/>
    <w:rsid w:val="00656AE6"/>
    <w:rsid w:val="006620AD"/>
    <w:rsid w:val="00670488"/>
    <w:rsid w:val="00671068"/>
    <w:rsid w:val="00677299"/>
    <w:rsid w:val="00680A19"/>
    <w:rsid w:val="00681BC9"/>
    <w:rsid w:val="00682CE5"/>
    <w:rsid w:val="006849DC"/>
    <w:rsid w:val="006862D2"/>
    <w:rsid w:val="00687E06"/>
    <w:rsid w:val="00691370"/>
    <w:rsid w:val="00692694"/>
    <w:rsid w:val="00693BC4"/>
    <w:rsid w:val="006945F7"/>
    <w:rsid w:val="006963AC"/>
    <w:rsid w:val="006972E5"/>
    <w:rsid w:val="006A6223"/>
    <w:rsid w:val="006A68DF"/>
    <w:rsid w:val="006A6C6C"/>
    <w:rsid w:val="006B03C3"/>
    <w:rsid w:val="006B1439"/>
    <w:rsid w:val="006B1F0E"/>
    <w:rsid w:val="006B7B8E"/>
    <w:rsid w:val="006C1353"/>
    <w:rsid w:val="006C496E"/>
    <w:rsid w:val="006C5897"/>
    <w:rsid w:val="006C60F7"/>
    <w:rsid w:val="006C77DE"/>
    <w:rsid w:val="006C78BD"/>
    <w:rsid w:val="006D034C"/>
    <w:rsid w:val="006D5C1C"/>
    <w:rsid w:val="006E02A6"/>
    <w:rsid w:val="006E0380"/>
    <w:rsid w:val="006E40C6"/>
    <w:rsid w:val="006E6A7A"/>
    <w:rsid w:val="006E7CFD"/>
    <w:rsid w:val="006F41C4"/>
    <w:rsid w:val="006F6546"/>
    <w:rsid w:val="006F6C5D"/>
    <w:rsid w:val="0070163A"/>
    <w:rsid w:val="007070BE"/>
    <w:rsid w:val="00711FCA"/>
    <w:rsid w:val="0071225A"/>
    <w:rsid w:val="007176F3"/>
    <w:rsid w:val="007218A2"/>
    <w:rsid w:val="0072244C"/>
    <w:rsid w:val="00725D22"/>
    <w:rsid w:val="00730FDB"/>
    <w:rsid w:val="00731871"/>
    <w:rsid w:val="00732AEA"/>
    <w:rsid w:val="0073579A"/>
    <w:rsid w:val="007361F8"/>
    <w:rsid w:val="00742B1E"/>
    <w:rsid w:val="0074349E"/>
    <w:rsid w:val="007503D2"/>
    <w:rsid w:val="007535CD"/>
    <w:rsid w:val="00754C92"/>
    <w:rsid w:val="0075609C"/>
    <w:rsid w:val="00756885"/>
    <w:rsid w:val="00760557"/>
    <w:rsid w:val="0076787C"/>
    <w:rsid w:val="00770073"/>
    <w:rsid w:val="00773291"/>
    <w:rsid w:val="00774E1D"/>
    <w:rsid w:val="00782B5E"/>
    <w:rsid w:val="00786659"/>
    <w:rsid w:val="00786BDC"/>
    <w:rsid w:val="00787609"/>
    <w:rsid w:val="00792A02"/>
    <w:rsid w:val="007964BB"/>
    <w:rsid w:val="00797BF9"/>
    <w:rsid w:val="007A4113"/>
    <w:rsid w:val="007A6239"/>
    <w:rsid w:val="007A7289"/>
    <w:rsid w:val="007B236A"/>
    <w:rsid w:val="007B238D"/>
    <w:rsid w:val="007B582A"/>
    <w:rsid w:val="007C112A"/>
    <w:rsid w:val="007C29C5"/>
    <w:rsid w:val="007C2EA9"/>
    <w:rsid w:val="007C4D39"/>
    <w:rsid w:val="007D0F89"/>
    <w:rsid w:val="007D4F08"/>
    <w:rsid w:val="007D792F"/>
    <w:rsid w:val="007D7D68"/>
    <w:rsid w:val="007E0FB8"/>
    <w:rsid w:val="007E3E71"/>
    <w:rsid w:val="007E588E"/>
    <w:rsid w:val="007E7EE7"/>
    <w:rsid w:val="007F401F"/>
    <w:rsid w:val="007F443D"/>
    <w:rsid w:val="00801891"/>
    <w:rsid w:val="00805B23"/>
    <w:rsid w:val="0080621A"/>
    <w:rsid w:val="0080715F"/>
    <w:rsid w:val="00813A2D"/>
    <w:rsid w:val="00813B00"/>
    <w:rsid w:val="00813CCB"/>
    <w:rsid w:val="00814E62"/>
    <w:rsid w:val="008168A2"/>
    <w:rsid w:val="008177AE"/>
    <w:rsid w:val="00820B03"/>
    <w:rsid w:val="008219FA"/>
    <w:rsid w:val="00821AFB"/>
    <w:rsid w:val="00822479"/>
    <w:rsid w:val="00822B1E"/>
    <w:rsid w:val="00822FBC"/>
    <w:rsid w:val="008232A0"/>
    <w:rsid w:val="0082597C"/>
    <w:rsid w:val="00825E6F"/>
    <w:rsid w:val="0082758F"/>
    <w:rsid w:val="00832AF6"/>
    <w:rsid w:val="008353FC"/>
    <w:rsid w:val="00836652"/>
    <w:rsid w:val="0083672E"/>
    <w:rsid w:val="008369FF"/>
    <w:rsid w:val="008375AB"/>
    <w:rsid w:val="008420AD"/>
    <w:rsid w:val="008449E3"/>
    <w:rsid w:val="00845B2F"/>
    <w:rsid w:val="0084793F"/>
    <w:rsid w:val="008501F2"/>
    <w:rsid w:val="0085489A"/>
    <w:rsid w:val="008553AE"/>
    <w:rsid w:val="008560D4"/>
    <w:rsid w:val="00857761"/>
    <w:rsid w:val="0086056F"/>
    <w:rsid w:val="00860685"/>
    <w:rsid w:val="00860C2B"/>
    <w:rsid w:val="00863FCC"/>
    <w:rsid w:val="008664B3"/>
    <w:rsid w:val="00871670"/>
    <w:rsid w:val="008736D9"/>
    <w:rsid w:val="008739A7"/>
    <w:rsid w:val="008762A1"/>
    <w:rsid w:val="00881D53"/>
    <w:rsid w:val="00882DDA"/>
    <w:rsid w:val="00882EC1"/>
    <w:rsid w:val="00887AA4"/>
    <w:rsid w:val="00891494"/>
    <w:rsid w:val="00891CB1"/>
    <w:rsid w:val="008920B2"/>
    <w:rsid w:val="00895010"/>
    <w:rsid w:val="00896950"/>
    <w:rsid w:val="008A07AC"/>
    <w:rsid w:val="008A0A97"/>
    <w:rsid w:val="008A4DC1"/>
    <w:rsid w:val="008A5C55"/>
    <w:rsid w:val="008A5DB2"/>
    <w:rsid w:val="008B0383"/>
    <w:rsid w:val="008B4528"/>
    <w:rsid w:val="008B58AE"/>
    <w:rsid w:val="008B5A83"/>
    <w:rsid w:val="008B65FF"/>
    <w:rsid w:val="008B7BD5"/>
    <w:rsid w:val="008C0A0A"/>
    <w:rsid w:val="008C57A8"/>
    <w:rsid w:val="008C5F0B"/>
    <w:rsid w:val="008C7770"/>
    <w:rsid w:val="008C7B4E"/>
    <w:rsid w:val="008D2276"/>
    <w:rsid w:val="008E0524"/>
    <w:rsid w:val="008E5ED9"/>
    <w:rsid w:val="008F004E"/>
    <w:rsid w:val="008F02E4"/>
    <w:rsid w:val="008F5578"/>
    <w:rsid w:val="008F71CB"/>
    <w:rsid w:val="00900796"/>
    <w:rsid w:val="00902A9C"/>
    <w:rsid w:val="009047DF"/>
    <w:rsid w:val="0090541E"/>
    <w:rsid w:val="00905491"/>
    <w:rsid w:val="00906D3A"/>
    <w:rsid w:val="009131B7"/>
    <w:rsid w:val="00913C5D"/>
    <w:rsid w:val="00914112"/>
    <w:rsid w:val="00914A77"/>
    <w:rsid w:val="00916B4A"/>
    <w:rsid w:val="00925F87"/>
    <w:rsid w:val="009309B3"/>
    <w:rsid w:val="009319AF"/>
    <w:rsid w:val="00933B31"/>
    <w:rsid w:val="0093620A"/>
    <w:rsid w:val="009417FB"/>
    <w:rsid w:val="00941E08"/>
    <w:rsid w:val="00953BEB"/>
    <w:rsid w:val="009559BA"/>
    <w:rsid w:val="00956AF5"/>
    <w:rsid w:val="0096348D"/>
    <w:rsid w:val="00966453"/>
    <w:rsid w:val="00966FDA"/>
    <w:rsid w:val="00974E52"/>
    <w:rsid w:val="00986BAD"/>
    <w:rsid w:val="0099233B"/>
    <w:rsid w:val="00993146"/>
    <w:rsid w:val="00994BB5"/>
    <w:rsid w:val="00996E5C"/>
    <w:rsid w:val="009977E5"/>
    <w:rsid w:val="00997BBE"/>
    <w:rsid w:val="009A4D49"/>
    <w:rsid w:val="009B316A"/>
    <w:rsid w:val="009B34F9"/>
    <w:rsid w:val="009B7ED1"/>
    <w:rsid w:val="009C0A1C"/>
    <w:rsid w:val="009C4D87"/>
    <w:rsid w:val="009C6404"/>
    <w:rsid w:val="009D02FA"/>
    <w:rsid w:val="009D159C"/>
    <w:rsid w:val="009D39B7"/>
    <w:rsid w:val="009D56A9"/>
    <w:rsid w:val="009D56DE"/>
    <w:rsid w:val="009E216A"/>
    <w:rsid w:val="009E2F00"/>
    <w:rsid w:val="009E40F6"/>
    <w:rsid w:val="009E57FD"/>
    <w:rsid w:val="009E6710"/>
    <w:rsid w:val="009E761A"/>
    <w:rsid w:val="009E792A"/>
    <w:rsid w:val="009E7E3D"/>
    <w:rsid w:val="009F05EF"/>
    <w:rsid w:val="009F3A5F"/>
    <w:rsid w:val="00A1116F"/>
    <w:rsid w:val="00A1166C"/>
    <w:rsid w:val="00A142CC"/>
    <w:rsid w:val="00A15B1A"/>
    <w:rsid w:val="00A16649"/>
    <w:rsid w:val="00A16E1B"/>
    <w:rsid w:val="00A17565"/>
    <w:rsid w:val="00A23B56"/>
    <w:rsid w:val="00A24727"/>
    <w:rsid w:val="00A328D6"/>
    <w:rsid w:val="00A349C8"/>
    <w:rsid w:val="00A41BFF"/>
    <w:rsid w:val="00A4287E"/>
    <w:rsid w:val="00A45393"/>
    <w:rsid w:val="00A47318"/>
    <w:rsid w:val="00A533EE"/>
    <w:rsid w:val="00A5515E"/>
    <w:rsid w:val="00A562AD"/>
    <w:rsid w:val="00A5638E"/>
    <w:rsid w:val="00A63B7D"/>
    <w:rsid w:val="00A67DE3"/>
    <w:rsid w:val="00A7062A"/>
    <w:rsid w:val="00A73985"/>
    <w:rsid w:val="00A74C0B"/>
    <w:rsid w:val="00A758C1"/>
    <w:rsid w:val="00A77ECE"/>
    <w:rsid w:val="00A82F9A"/>
    <w:rsid w:val="00A8449E"/>
    <w:rsid w:val="00A855FC"/>
    <w:rsid w:val="00A85C55"/>
    <w:rsid w:val="00A90D6F"/>
    <w:rsid w:val="00A91C1B"/>
    <w:rsid w:val="00A93C6F"/>
    <w:rsid w:val="00A944E8"/>
    <w:rsid w:val="00A96831"/>
    <w:rsid w:val="00A96ACA"/>
    <w:rsid w:val="00AA0743"/>
    <w:rsid w:val="00AA4039"/>
    <w:rsid w:val="00AA4FE3"/>
    <w:rsid w:val="00AA5879"/>
    <w:rsid w:val="00AA7737"/>
    <w:rsid w:val="00AB34D1"/>
    <w:rsid w:val="00AB638B"/>
    <w:rsid w:val="00AB7E42"/>
    <w:rsid w:val="00AC2F03"/>
    <w:rsid w:val="00AC6A90"/>
    <w:rsid w:val="00AD0063"/>
    <w:rsid w:val="00AD160F"/>
    <w:rsid w:val="00AE1A22"/>
    <w:rsid w:val="00AE2575"/>
    <w:rsid w:val="00AE5A09"/>
    <w:rsid w:val="00AE728D"/>
    <w:rsid w:val="00AF06BC"/>
    <w:rsid w:val="00AF1AF8"/>
    <w:rsid w:val="00AF3627"/>
    <w:rsid w:val="00B01B00"/>
    <w:rsid w:val="00B02FE8"/>
    <w:rsid w:val="00B03358"/>
    <w:rsid w:val="00B04673"/>
    <w:rsid w:val="00B056B0"/>
    <w:rsid w:val="00B065C4"/>
    <w:rsid w:val="00B06795"/>
    <w:rsid w:val="00B068CF"/>
    <w:rsid w:val="00B1046E"/>
    <w:rsid w:val="00B110A2"/>
    <w:rsid w:val="00B120F4"/>
    <w:rsid w:val="00B12278"/>
    <w:rsid w:val="00B1359C"/>
    <w:rsid w:val="00B2156E"/>
    <w:rsid w:val="00B22991"/>
    <w:rsid w:val="00B22A55"/>
    <w:rsid w:val="00B2632D"/>
    <w:rsid w:val="00B30BE8"/>
    <w:rsid w:val="00B32582"/>
    <w:rsid w:val="00B35A32"/>
    <w:rsid w:val="00B36BB1"/>
    <w:rsid w:val="00B410C7"/>
    <w:rsid w:val="00B41B0F"/>
    <w:rsid w:val="00B43F6E"/>
    <w:rsid w:val="00B440A9"/>
    <w:rsid w:val="00B467F0"/>
    <w:rsid w:val="00B4734E"/>
    <w:rsid w:val="00B477D4"/>
    <w:rsid w:val="00B577A8"/>
    <w:rsid w:val="00B62C00"/>
    <w:rsid w:val="00B64D06"/>
    <w:rsid w:val="00B67C87"/>
    <w:rsid w:val="00B70CD1"/>
    <w:rsid w:val="00B71CEF"/>
    <w:rsid w:val="00B7612D"/>
    <w:rsid w:val="00B80205"/>
    <w:rsid w:val="00B82E58"/>
    <w:rsid w:val="00B85BB1"/>
    <w:rsid w:val="00B85F1A"/>
    <w:rsid w:val="00B872B5"/>
    <w:rsid w:val="00B8785F"/>
    <w:rsid w:val="00B91590"/>
    <w:rsid w:val="00B931BE"/>
    <w:rsid w:val="00B9676D"/>
    <w:rsid w:val="00B96E4E"/>
    <w:rsid w:val="00B96F07"/>
    <w:rsid w:val="00B9752F"/>
    <w:rsid w:val="00B97B02"/>
    <w:rsid w:val="00BA7DB6"/>
    <w:rsid w:val="00BB0777"/>
    <w:rsid w:val="00BB0847"/>
    <w:rsid w:val="00BB57EB"/>
    <w:rsid w:val="00BB74CE"/>
    <w:rsid w:val="00BB7A0B"/>
    <w:rsid w:val="00BC09DF"/>
    <w:rsid w:val="00BC0E99"/>
    <w:rsid w:val="00BC5FDD"/>
    <w:rsid w:val="00BC70BD"/>
    <w:rsid w:val="00BC7BE5"/>
    <w:rsid w:val="00BD2124"/>
    <w:rsid w:val="00BD2127"/>
    <w:rsid w:val="00BD25F8"/>
    <w:rsid w:val="00BD2B0D"/>
    <w:rsid w:val="00BD379D"/>
    <w:rsid w:val="00BE6460"/>
    <w:rsid w:val="00BE7804"/>
    <w:rsid w:val="00BF1635"/>
    <w:rsid w:val="00BF1C4E"/>
    <w:rsid w:val="00BF1FD0"/>
    <w:rsid w:val="00BF5080"/>
    <w:rsid w:val="00BF5996"/>
    <w:rsid w:val="00BF5D82"/>
    <w:rsid w:val="00C019AD"/>
    <w:rsid w:val="00C02BEE"/>
    <w:rsid w:val="00C125CC"/>
    <w:rsid w:val="00C145DC"/>
    <w:rsid w:val="00C305CE"/>
    <w:rsid w:val="00C33380"/>
    <w:rsid w:val="00C35284"/>
    <w:rsid w:val="00C35772"/>
    <w:rsid w:val="00C361DA"/>
    <w:rsid w:val="00C41C4F"/>
    <w:rsid w:val="00C42980"/>
    <w:rsid w:val="00C432B8"/>
    <w:rsid w:val="00C44BE6"/>
    <w:rsid w:val="00C4716F"/>
    <w:rsid w:val="00C547A8"/>
    <w:rsid w:val="00C54D92"/>
    <w:rsid w:val="00C55A5E"/>
    <w:rsid w:val="00C57D9D"/>
    <w:rsid w:val="00C669A6"/>
    <w:rsid w:val="00C67A63"/>
    <w:rsid w:val="00C74316"/>
    <w:rsid w:val="00C74FAD"/>
    <w:rsid w:val="00C8003B"/>
    <w:rsid w:val="00C80209"/>
    <w:rsid w:val="00C81392"/>
    <w:rsid w:val="00C82EA3"/>
    <w:rsid w:val="00C8377A"/>
    <w:rsid w:val="00C84565"/>
    <w:rsid w:val="00C8639E"/>
    <w:rsid w:val="00C91631"/>
    <w:rsid w:val="00C933C9"/>
    <w:rsid w:val="00C94331"/>
    <w:rsid w:val="00C96D61"/>
    <w:rsid w:val="00CA0A0F"/>
    <w:rsid w:val="00CA2AB5"/>
    <w:rsid w:val="00CA35B1"/>
    <w:rsid w:val="00CB396B"/>
    <w:rsid w:val="00CB40A9"/>
    <w:rsid w:val="00CB4F35"/>
    <w:rsid w:val="00CC1FAE"/>
    <w:rsid w:val="00CC1FD6"/>
    <w:rsid w:val="00CC27BA"/>
    <w:rsid w:val="00CC3219"/>
    <w:rsid w:val="00CC54A6"/>
    <w:rsid w:val="00CC77BA"/>
    <w:rsid w:val="00CC7853"/>
    <w:rsid w:val="00CD0BD3"/>
    <w:rsid w:val="00CD0CF9"/>
    <w:rsid w:val="00CD14E7"/>
    <w:rsid w:val="00CD1D1A"/>
    <w:rsid w:val="00CD42FA"/>
    <w:rsid w:val="00CE20D1"/>
    <w:rsid w:val="00CE3D4C"/>
    <w:rsid w:val="00CE613D"/>
    <w:rsid w:val="00CF0035"/>
    <w:rsid w:val="00CF16D7"/>
    <w:rsid w:val="00CF5064"/>
    <w:rsid w:val="00CF574B"/>
    <w:rsid w:val="00CF7D5C"/>
    <w:rsid w:val="00D003E4"/>
    <w:rsid w:val="00D02D09"/>
    <w:rsid w:val="00D031C9"/>
    <w:rsid w:val="00D035B0"/>
    <w:rsid w:val="00D058BD"/>
    <w:rsid w:val="00D0653F"/>
    <w:rsid w:val="00D06AE6"/>
    <w:rsid w:val="00D138F3"/>
    <w:rsid w:val="00D151E2"/>
    <w:rsid w:val="00D1550B"/>
    <w:rsid w:val="00D167E5"/>
    <w:rsid w:val="00D224CE"/>
    <w:rsid w:val="00D23475"/>
    <w:rsid w:val="00D25A1A"/>
    <w:rsid w:val="00D26334"/>
    <w:rsid w:val="00D3029D"/>
    <w:rsid w:val="00D30C94"/>
    <w:rsid w:val="00D34670"/>
    <w:rsid w:val="00D426BC"/>
    <w:rsid w:val="00D44C91"/>
    <w:rsid w:val="00D50D97"/>
    <w:rsid w:val="00D51E17"/>
    <w:rsid w:val="00D52219"/>
    <w:rsid w:val="00D55895"/>
    <w:rsid w:val="00D56BC6"/>
    <w:rsid w:val="00D6204A"/>
    <w:rsid w:val="00D620A4"/>
    <w:rsid w:val="00D62350"/>
    <w:rsid w:val="00D64CB0"/>
    <w:rsid w:val="00D70E26"/>
    <w:rsid w:val="00D71C09"/>
    <w:rsid w:val="00D74072"/>
    <w:rsid w:val="00D81903"/>
    <w:rsid w:val="00D81C75"/>
    <w:rsid w:val="00D83260"/>
    <w:rsid w:val="00D87ADD"/>
    <w:rsid w:val="00D94F5F"/>
    <w:rsid w:val="00D95652"/>
    <w:rsid w:val="00D9567E"/>
    <w:rsid w:val="00DB7F17"/>
    <w:rsid w:val="00DC0E13"/>
    <w:rsid w:val="00DC1BFC"/>
    <w:rsid w:val="00DC43B6"/>
    <w:rsid w:val="00DC51BD"/>
    <w:rsid w:val="00DC7A56"/>
    <w:rsid w:val="00DC7E6D"/>
    <w:rsid w:val="00DD15CF"/>
    <w:rsid w:val="00DD17C6"/>
    <w:rsid w:val="00DD227F"/>
    <w:rsid w:val="00DD55DD"/>
    <w:rsid w:val="00DD6879"/>
    <w:rsid w:val="00DE0EB6"/>
    <w:rsid w:val="00DE299F"/>
    <w:rsid w:val="00DE31CD"/>
    <w:rsid w:val="00DF015E"/>
    <w:rsid w:val="00DF663D"/>
    <w:rsid w:val="00E00BFE"/>
    <w:rsid w:val="00E011BA"/>
    <w:rsid w:val="00E01280"/>
    <w:rsid w:val="00E01DD3"/>
    <w:rsid w:val="00E0339B"/>
    <w:rsid w:val="00E04D39"/>
    <w:rsid w:val="00E0660B"/>
    <w:rsid w:val="00E07C8E"/>
    <w:rsid w:val="00E16134"/>
    <w:rsid w:val="00E1642E"/>
    <w:rsid w:val="00E177A2"/>
    <w:rsid w:val="00E222C0"/>
    <w:rsid w:val="00E22B4B"/>
    <w:rsid w:val="00E267F4"/>
    <w:rsid w:val="00E312BE"/>
    <w:rsid w:val="00E32E0E"/>
    <w:rsid w:val="00E33AD8"/>
    <w:rsid w:val="00E3444A"/>
    <w:rsid w:val="00E35731"/>
    <w:rsid w:val="00E35937"/>
    <w:rsid w:val="00E35CC7"/>
    <w:rsid w:val="00E36FF4"/>
    <w:rsid w:val="00E405BC"/>
    <w:rsid w:val="00E40A0F"/>
    <w:rsid w:val="00E4121E"/>
    <w:rsid w:val="00E43BB0"/>
    <w:rsid w:val="00E44751"/>
    <w:rsid w:val="00E52592"/>
    <w:rsid w:val="00E5547E"/>
    <w:rsid w:val="00E61EBF"/>
    <w:rsid w:val="00E623F0"/>
    <w:rsid w:val="00E62CE8"/>
    <w:rsid w:val="00E65ACA"/>
    <w:rsid w:val="00E70BD7"/>
    <w:rsid w:val="00E77497"/>
    <w:rsid w:val="00E7799F"/>
    <w:rsid w:val="00E821F9"/>
    <w:rsid w:val="00E85332"/>
    <w:rsid w:val="00E86844"/>
    <w:rsid w:val="00E87234"/>
    <w:rsid w:val="00E875AB"/>
    <w:rsid w:val="00E90824"/>
    <w:rsid w:val="00E91330"/>
    <w:rsid w:val="00E95ED8"/>
    <w:rsid w:val="00EA0126"/>
    <w:rsid w:val="00EA132E"/>
    <w:rsid w:val="00EA1CA6"/>
    <w:rsid w:val="00EA42D0"/>
    <w:rsid w:val="00EA6744"/>
    <w:rsid w:val="00EA6D69"/>
    <w:rsid w:val="00EB0BEA"/>
    <w:rsid w:val="00EB3901"/>
    <w:rsid w:val="00EB6CD2"/>
    <w:rsid w:val="00EB78C2"/>
    <w:rsid w:val="00EC033F"/>
    <w:rsid w:val="00EC1EDA"/>
    <w:rsid w:val="00EC32D6"/>
    <w:rsid w:val="00EC4E98"/>
    <w:rsid w:val="00EC5C1D"/>
    <w:rsid w:val="00EC695D"/>
    <w:rsid w:val="00ED621F"/>
    <w:rsid w:val="00EE2ECE"/>
    <w:rsid w:val="00EE5689"/>
    <w:rsid w:val="00EE6617"/>
    <w:rsid w:val="00EF2A4E"/>
    <w:rsid w:val="00EF5BBF"/>
    <w:rsid w:val="00EF680F"/>
    <w:rsid w:val="00F0034D"/>
    <w:rsid w:val="00F01FE7"/>
    <w:rsid w:val="00F22547"/>
    <w:rsid w:val="00F22E0E"/>
    <w:rsid w:val="00F23836"/>
    <w:rsid w:val="00F24572"/>
    <w:rsid w:val="00F259CE"/>
    <w:rsid w:val="00F31C2A"/>
    <w:rsid w:val="00F34BCC"/>
    <w:rsid w:val="00F34F40"/>
    <w:rsid w:val="00F358F1"/>
    <w:rsid w:val="00F37817"/>
    <w:rsid w:val="00F40722"/>
    <w:rsid w:val="00F41668"/>
    <w:rsid w:val="00F427D8"/>
    <w:rsid w:val="00F43524"/>
    <w:rsid w:val="00F50D06"/>
    <w:rsid w:val="00F52BCE"/>
    <w:rsid w:val="00F52ECB"/>
    <w:rsid w:val="00F532B2"/>
    <w:rsid w:val="00F62015"/>
    <w:rsid w:val="00F63116"/>
    <w:rsid w:val="00F6686C"/>
    <w:rsid w:val="00F723C8"/>
    <w:rsid w:val="00F83532"/>
    <w:rsid w:val="00F84443"/>
    <w:rsid w:val="00F860A5"/>
    <w:rsid w:val="00F90C52"/>
    <w:rsid w:val="00F924A4"/>
    <w:rsid w:val="00F93198"/>
    <w:rsid w:val="00F94C16"/>
    <w:rsid w:val="00FA0B28"/>
    <w:rsid w:val="00FA3145"/>
    <w:rsid w:val="00FA4A60"/>
    <w:rsid w:val="00FB3CBC"/>
    <w:rsid w:val="00FB518B"/>
    <w:rsid w:val="00FC143E"/>
    <w:rsid w:val="00FC1648"/>
    <w:rsid w:val="00FC3737"/>
    <w:rsid w:val="00FC3CB9"/>
    <w:rsid w:val="00FC420A"/>
    <w:rsid w:val="00FC51AE"/>
    <w:rsid w:val="00FD072F"/>
    <w:rsid w:val="00FD3142"/>
    <w:rsid w:val="00FD794C"/>
    <w:rsid w:val="00FE39F2"/>
    <w:rsid w:val="00FE6472"/>
    <w:rsid w:val="00FE6B1E"/>
    <w:rsid w:val="00FF1E6D"/>
    <w:rsid w:val="00FF46F9"/>
    <w:rsid w:val="00FF7904"/>
    <w:rsid w:val="01041951"/>
    <w:rsid w:val="05E40C54"/>
    <w:rsid w:val="06A42377"/>
    <w:rsid w:val="07587E1D"/>
    <w:rsid w:val="0AF9CB7F"/>
    <w:rsid w:val="0F877EC3"/>
    <w:rsid w:val="117D361B"/>
    <w:rsid w:val="13836007"/>
    <w:rsid w:val="13A14AC4"/>
    <w:rsid w:val="150C03F7"/>
    <w:rsid w:val="1D5E7B70"/>
    <w:rsid w:val="1EEB7D15"/>
    <w:rsid w:val="206E0FC8"/>
    <w:rsid w:val="23B02BC5"/>
    <w:rsid w:val="25FE5651"/>
    <w:rsid w:val="26472A30"/>
    <w:rsid w:val="274779FD"/>
    <w:rsid w:val="2ACB3B4E"/>
    <w:rsid w:val="2D5D6C5F"/>
    <w:rsid w:val="2E47409D"/>
    <w:rsid w:val="34803EC8"/>
    <w:rsid w:val="34B9379B"/>
    <w:rsid w:val="35E772E4"/>
    <w:rsid w:val="3EAE7781"/>
    <w:rsid w:val="3F779754"/>
    <w:rsid w:val="3FA78228"/>
    <w:rsid w:val="413A3D72"/>
    <w:rsid w:val="43302215"/>
    <w:rsid w:val="43B12F69"/>
    <w:rsid w:val="4687467B"/>
    <w:rsid w:val="49A2495C"/>
    <w:rsid w:val="4A603B63"/>
    <w:rsid w:val="4BC13157"/>
    <w:rsid w:val="4C303B79"/>
    <w:rsid w:val="5439223A"/>
    <w:rsid w:val="553F0BCB"/>
    <w:rsid w:val="56B56D53"/>
    <w:rsid w:val="5C696B87"/>
    <w:rsid w:val="5D002955"/>
    <w:rsid w:val="5DAB167E"/>
    <w:rsid w:val="60732830"/>
    <w:rsid w:val="61452CD9"/>
    <w:rsid w:val="63DE1DF7"/>
    <w:rsid w:val="650F518F"/>
    <w:rsid w:val="678D25CA"/>
    <w:rsid w:val="68964C95"/>
    <w:rsid w:val="6C2142DB"/>
    <w:rsid w:val="6EBBEF1C"/>
    <w:rsid w:val="70120D53"/>
    <w:rsid w:val="701E08C7"/>
    <w:rsid w:val="70932323"/>
    <w:rsid w:val="74322378"/>
    <w:rsid w:val="754049A5"/>
    <w:rsid w:val="76FF0615"/>
    <w:rsid w:val="77AFCE9C"/>
    <w:rsid w:val="7ACC7DC7"/>
    <w:rsid w:val="7C7951F7"/>
    <w:rsid w:val="BD737697"/>
    <w:rsid w:val="BEF9AD9B"/>
    <w:rsid w:val="F63D405D"/>
    <w:rsid w:val="F769E095"/>
    <w:rsid w:val="FEFF4084"/>
    <w:rsid w:val="FF3E3E40"/>
    <w:rsid w:val="FFFF99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0"/>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6"/>
    <w:unhideWhenUsed/>
    <w:qFormat/>
    <w:uiPriority w:val="99"/>
    <w:pPr>
      <w:jc w:val="left"/>
    </w:pPr>
  </w:style>
  <w:style w:type="paragraph" w:styleId="4">
    <w:name w:val="Balloon Text"/>
    <w:basedOn w:val="1"/>
    <w:link w:val="28"/>
    <w:unhideWhenUsed/>
    <w:qFormat/>
    <w:uiPriority w:val="99"/>
    <w:rPr>
      <w:sz w:val="18"/>
      <w:szCs w:val="18"/>
    </w:rPr>
  </w:style>
  <w:style w:type="paragraph" w:styleId="5">
    <w:name w:val="footer"/>
    <w:basedOn w:val="1"/>
    <w:link w:val="19"/>
    <w:autoRedefine/>
    <w:unhideWhenUsed/>
    <w:qFormat/>
    <w:uiPriority w:val="99"/>
    <w:pPr>
      <w:tabs>
        <w:tab w:val="center" w:pos="4153"/>
        <w:tab w:val="right" w:pos="8306"/>
      </w:tabs>
      <w:snapToGrid w:val="0"/>
      <w:jc w:val="left"/>
    </w:pPr>
    <w:rPr>
      <w:sz w:val="18"/>
      <w:szCs w:val="18"/>
    </w:rPr>
  </w:style>
  <w:style w:type="paragraph" w:styleId="6">
    <w:name w:val="header"/>
    <w:basedOn w:val="1"/>
    <w:link w:val="1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HTML Preformatted"/>
    <w:basedOn w:val="1"/>
    <w:link w:val="30"/>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9">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annotation subject"/>
    <w:basedOn w:val="3"/>
    <w:next w:val="3"/>
    <w:link w:val="27"/>
    <w:autoRedefine/>
    <w:unhideWhenUsed/>
    <w:qFormat/>
    <w:uiPriority w:val="99"/>
    <w:rPr>
      <w:b/>
      <w:bCs/>
    </w:rPr>
  </w:style>
  <w:style w:type="table" w:styleId="12">
    <w:name w:val="Table Grid"/>
    <w:basedOn w:val="1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autoRedefine/>
    <w:qFormat/>
    <w:uiPriority w:val="20"/>
    <w:rPr>
      <w:i/>
      <w:iCs/>
    </w:rPr>
  </w:style>
  <w:style w:type="character" w:styleId="15">
    <w:name w:val="Hyperlink"/>
    <w:basedOn w:val="13"/>
    <w:autoRedefine/>
    <w:unhideWhenUsed/>
    <w:qFormat/>
    <w:uiPriority w:val="99"/>
    <w:rPr>
      <w:color w:val="0563C1" w:themeColor="hyperlink"/>
      <w:u w:val="single"/>
      <w14:textFill>
        <w14:solidFill>
          <w14:schemeClr w14:val="hlink"/>
        </w14:solidFill>
      </w14:textFill>
    </w:rPr>
  </w:style>
  <w:style w:type="character" w:styleId="16">
    <w:name w:val="annotation reference"/>
    <w:basedOn w:val="13"/>
    <w:autoRedefine/>
    <w:unhideWhenUsed/>
    <w:qFormat/>
    <w:uiPriority w:val="99"/>
    <w:rPr>
      <w:sz w:val="21"/>
      <w:szCs w:val="21"/>
    </w:rPr>
  </w:style>
  <w:style w:type="paragraph" w:customStyle="1" w:styleId="17">
    <w:name w:val="列出段落1"/>
    <w:basedOn w:val="1"/>
    <w:link w:val="21"/>
    <w:qFormat/>
    <w:uiPriority w:val="34"/>
    <w:pPr>
      <w:ind w:firstLine="420" w:firstLineChars="200"/>
      <w:jc w:val="left"/>
    </w:pPr>
    <w:rPr>
      <w:rFonts w:ascii="宋体" w:hAnsi="宋体" w:eastAsia="宋体" w:cs="Times New Roman"/>
      <w:bCs/>
      <w:szCs w:val="21"/>
    </w:rPr>
  </w:style>
  <w:style w:type="character" w:customStyle="1" w:styleId="18">
    <w:name w:val="页眉 字符"/>
    <w:basedOn w:val="13"/>
    <w:link w:val="6"/>
    <w:autoRedefine/>
    <w:qFormat/>
    <w:uiPriority w:val="99"/>
    <w:rPr>
      <w:sz w:val="18"/>
      <w:szCs w:val="18"/>
    </w:rPr>
  </w:style>
  <w:style w:type="character" w:customStyle="1" w:styleId="19">
    <w:name w:val="页脚 字符"/>
    <w:basedOn w:val="13"/>
    <w:link w:val="5"/>
    <w:autoRedefine/>
    <w:qFormat/>
    <w:uiPriority w:val="99"/>
    <w:rPr>
      <w:sz w:val="18"/>
      <w:szCs w:val="18"/>
    </w:rPr>
  </w:style>
  <w:style w:type="paragraph" w:customStyle="1" w:styleId="20">
    <w:name w:val="EndNote Bibliography Title"/>
    <w:basedOn w:val="1"/>
    <w:link w:val="22"/>
    <w:autoRedefine/>
    <w:qFormat/>
    <w:uiPriority w:val="0"/>
    <w:pPr>
      <w:jc w:val="center"/>
    </w:pPr>
    <w:rPr>
      <w:rFonts w:ascii="等线" w:hAnsi="等线" w:eastAsia="等线"/>
      <w:sz w:val="20"/>
    </w:rPr>
  </w:style>
  <w:style w:type="character" w:customStyle="1" w:styleId="21">
    <w:name w:val="列出段落 Char"/>
    <w:basedOn w:val="13"/>
    <w:link w:val="17"/>
    <w:autoRedefine/>
    <w:qFormat/>
    <w:uiPriority w:val="34"/>
    <w:rPr>
      <w:rFonts w:ascii="宋体" w:hAnsi="宋体"/>
      <w:bCs/>
      <w:kern w:val="2"/>
      <w:sz w:val="21"/>
      <w:szCs w:val="21"/>
    </w:rPr>
  </w:style>
  <w:style w:type="character" w:customStyle="1" w:styleId="22">
    <w:name w:val="EndNote Bibliography Title 字符"/>
    <w:basedOn w:val="21"/>
    <w:link w:val="20"/>
    <w:autoRedefine/>
    <w:qFormat/>
    <w:uiPriority w:val="0"/>
    <w:rPr>
      <w:rFonts w:ascii="等线" w:hAnsi="等线" w:eastAsia="等线"/>
      <w:kern w:val="2"/>
      <w:sz w:val="20"/>
      <w:szCs w:val="21"/>
    </w:rPr>
  </w:style>
  <w:style w:type="paragraph" w:customStyle="1" w:styleId="23">
    <w:name w:val="EndNote Bibliography"/>
    <w:basedOn w:val="1"/>
    <w:link w:val="24"/>
    <w:autoRedefine/>
    <w:qFormat/>
    <w:uiPriority w:val="0"/>
    <w:rPr>
      <w:rFonts w:ascii="等线" w:hAnsi="等线" w:eastAsia="等线"/>
      <w:sz w:val="20"/>
    </w:rPr>
  </w:style>
  <w:style w:type="character" w:customStyle="1" w:styleId="24">
    <w:name w:val="EndNote Bibliography 字符"/>
    <w:basedOn w:val="21"/>
    <w:link w:val="23"/>
    <w:autoRedefine/>
    <w:qFormat/>
    <w:uiPriority w:val="0"/>
    <w:rPr>
      <w:rFonts w:ascii="等线" w:hAnsi="等线" w:eastAsia="等线"/>
      <w:kern w:val="2"/>
      <w:sz w:val="20"/>
      <w:szCs w:val="21"/>
    </w:rPr>
  </w:style>
  <w:style w:type="character" w:customStyle="1" w:styleId="25">
    <w:name w:val="未处理的提及1"/>
    <w:basedOn w:val="13"/>
    <w:autoRedefine/>
    <w:unhideWhenUsed/>
    <w:qFormat/>
    <w:uiPriority w:val="99"/>
    <w:rPr>
      <w:color w:val="605E5C"/>
      <w:shd w:val="clear" w:color="auto" w:fill="E1DFDD"/>
    </w:rPr>
  </w:style>
  <w:style w:type="character" w:customStyle="1" w:styleId="26">
    <w:name w:val="批注文字 字符"/>
    <w:basedOn w:val="13"/>
    <w:link w:val="3"/>
    <w:autoRedefine/>
    <w:semiHidden/>
    <w:qFormat/>
    <w:uiPriority w:val="99"/>
  </w:style>
  <w:style w:type="character" w:customStyle="1" w:styleId="27">
    <w:name w:val="批注主题 字符"/>
    <w:basedOn w:val="26"/>
    <w:link w:val="10"/>
    <w:autoRedefine/>
    <w:semiHidden/>
    <w:qFormat/>
    <w:uiPriority w:val="99"/>
    <w:rPr>
      <w:b/>
      <w:bCs/>
    </w:rPr>
  </w:style>
  <w:style w:type="character" w:customStyle="1" w:styleId="28">
    <w:name w:val="批注框文本 字符"/>
    <w:basedOn w:val="13"/>
    <w:link w:val="4"/>
    <w:autoRedefine/>
    <w:semiHidden/>
    <w:qFormat/>
    <w:uiPriority w:val="99"/>
    <w:rPr>
      <w:sz w:val="18"/>
      <w:szCs w:val="18"/>
    </w:rPr>
  </w:style>
  <w:style w:type="paragraph" w:customStyle="1" w:styleId="29">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0">
    <w:name w:val="HTML 预设格式 字符"/>
    <w:basedOn w:val="13"/>
    <w:link w:val="8"/>
    <w:autoRedefine/>
    <w:semiHidden/>
    <w:qFormat/>
    <w:uiPriority w:val="99"/>
    <w:rPr>
      <w:rFonts w:ascii="宋体" w:hAnsi="宋体" w:eastAsia="宋体" w:cs="宋体"/>
      <w:kern w:val="0"/>
      <w:sz w:val="24"/>
      <w:szCs w:val="24"/>
    </w:rPr>
  </w:style>
  <w:style w:type="character" w:customStyle="1" w:styleId="31">
    <w:name w:val="y2iqfc"/>
    <w:basedOn w:val="13"/>
    <w:autoRedefine/>
    <w:qFormat/>
    <w:uiPriority w:val="0"/>
  </w:style>
  <w:style w:type="character" w:customStyle="1" w:styleId="32">
    <w:name w:val="inner-text-paragraph-org"/>
    <w:basedOn w:val="13"/>
    <w:autoRedefine/>
    <w:qFormat/>
    <w:uiPriority w:val="0"/>
  </w:style>
  <w:style w:type="character" w:customStyle="1" w:styleId="33">
    <w:name w:val="未处理的提及2"/>
    <w:basedOn w:val="13"/>
    <w:autoRedefine/>
    <w:unhideWhenUsed/>
    <w:qFormat/>
    <w:uiPriority w:val="99"/>
    <w:rPr>
      <w:color w:val="605E5C"/>
      <w:shd w:val="clear" w:color="auto" w:fill="E1DFDD"/>
    </w:rPr>
  </w:style>
  <w:style w:type="character" w:customStyle="1" w:styleId="34">
    <w:name w:val="列表段落 字符1"/>
    <w:basedOn w:val="13"/>
    <w:autoRedefine/>
    <w:qFormat/>
    <w:uiPriority w:val="34"/>
  </w:style>
  <w:style w:type="paragraph" w:customStyle="1" w:styleId="35">
    <w:name w:val="文献分类号"/>
    <w:autoRedefine/>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36">
    <w:name w:val="Heading #2|1"/>
    <w:basedOn w:val="1"/>
    <w:autoRedefine/>
    <w:qFormat/>
    <w:uiPriority w:val="0"/>
    <w:pPr>
      <w:spacing w:after="400"/>
      <w:ind w:hanging="780"/>
      <w:jc w:val="left"/>
      <w:outlineLvl w:val="1"/>
    </w:pPr>
    <w:rPr>
      <w:rFonts w:ascii="宋体" w:hAnsi="宋体" w:eastAsia="宋体" w:cs="宋体"/>
      <w:kern w:val="0"/>
      <w:sz w:val="40"/>
      <w:szCs w:val="40"/>
      <w:lang w:val="zh-TW" w:eastAsia="zh-TW" w:bidi="zh-TW"/>
    </w:rPr>
  </w:style>
  <w:style w:type="paragraph" w:customStyle="1" w:styleId="37">
    <w:name w:val="封面标准号2"/>
    <w:autoRedefine/>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8">
    <w:name w:val="封面标准代替信息"/>
    <w:autoRedefine/>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9">
    <w:name w:val="标准称谓"/>
    <w:next w:val="1"/>
    <w:autoRedefine/>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40">
    <w:name w:val="标准标志"/>
    <w:next w:val="1"/>
    <w:autoRedefine/>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41">
    <w:name w:val="发布部门"/>
    <w:next w:val="42"/>
    <w:autoRedefine/>
    <w:qFormat/>
    <w:uiPriority w:val="0"/>
    <w:pPr>
      <w:framePr w:w="9416" w:h="1134" w:hRule="exact" w:hSpace="125" w:vSpace="181" w:wrap="around" w:vAnchor="page" w:hAnchor="page" w:x="1294" w:y="15569" w:anchorLock="1"/>
      <w:pBdr>
        <w:top w:val="single" w:color="auto" w:sz="4" w:space="1"/>
        <w:left w:val="none" w:color="auto" w:sz="0" w:space="4"/>
        <w:bottom w:val="none" w:color="auto" w:sz="0" w:space="1"/>
        <w:right w:val="none" w:color="auto" w:sz="0" w:space="4"/>
      </w:pBdr>
      <w:jc w:val="center"/>
      <w:pPrChange w:id="0" w:author="腾 王" w:date="2025-06-04T21:32:00Z">
        <w:pPr>
          <w:framePr w:w="7938" w:h="1134" w:hRule="exact" w:hSpace="125" w:vSpace="181" w:wrap="around" w:vAnchor="page" w:hAnchor="page" w:x="2150" w:y="14630" w:anchorLock="1"/>
          <w:jc w:val="center"/>
        </w:pPr>
      </w:pPrChange>
    </w:pPr>
    <w:rPr>
      <w:rFonts w:ascii="黑体" w:hAnsi="黑体" w:eastAsia="黑体" w:cs="黑体"/>
      <w:bCs/>
      <w:spacing w:val="20"/>
      <w:sz w:val="28"/>
      <w:szCs w:val="28"/>
      <w:lang w:val="en-US" w:eastAsia="zh-CN" w:bidi="ar-SA"/>
      <w:rPrChange w:id="1" w:author="腾 王" w:date="2025-06-04T21:32:00Z">
        <w:rPr>
          <w:rFonts w:ascii="宋体" w:eastAsia="宋体"/>
          <w:b/>
          <w:spacing w:val="20"/>
          <w:w w:val="135"/>
          <w:sz w:val="28"/>
          <w:lang w:val="en-US" w:eastAsia="zh-CN" w:bidi="ar-SA"/>
        </w:rPr>
      </w:rPrChange>
    </w:rPr>
  </w:style>
  <w:style w:type="paragraph" w:customStyle="1" w:styleId="42">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43">
    <w:name w:val="其他发布日期"/>
    <w:basedOn w:val="44"/>
    <w:autoRedefine/>
    <w:qFormat/>
    <w:uiPriority w:val="0"/>
    <w:pPr>
      <w:framePr w:wrap="around" w:vAnchor="page" w:hAnchor="text" w:x="1419"/>
    </w:pPr>
  </w:style>
  <w:style w:type="paragraph" w:customStyle="1" w:styleId="44">
    <w:name w:val="发布日期"/>
    <w:autoRedefine/>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45">
    <w:name w:val="样式1"/>
    <w:basedOn w:val="1"/>
    <w:next w:val="7"/>
    <w:autoRedefine/>
    <w:qFormat/>
    <w:uiPriority w:val="0"/>
  </w:style>
  <w:style w:type="paragraph" w:customStyle="1" w:styleId="46">
    <w:name w:val="标准文件_段"/>
    <w:qFormat/>
    <w:uiPriority w:val="0"/>
    <w:pPr>
      <w:autoSpaceDE w:val="0"/>
      <w:autoSpaceDN w:val="0"/>
      <w:spacing w:line="276" w:lineRule="auto"/>
      <w:ind w:firstLine="420" w:firstLineChars="200"/>
      <w:jc w:val="both"/>
    </w:pPr>
    <w:rPr>
      <w:rFonts w:ascii="Times New Roman" w:hAnsi="Times New Roman" w:eastAsia="宋体" w:cs="Times New Roman"/>
      <w:sz w:val="21"/>
      <w:szCs w:val="21"/>
      <w:lang w:val="en-US" w:eastAsia="zh-CN" w:bidi="ar-SA"/>
    </w:rPr>
  </w:style>
  <w:style w:type="paragraph" w:styleId="47">
    <w:name w:val="List Paragraph"/>
    <w:basedOn w:val="1"/>
    <w:qFormat/>
    <w:uiPriority w:val="34"/>
    <w:pPr>
      <w:ind w:left="720"/>
      <w:contextualSpacing/>
    </w:pPr>
  </w:style>
  <w:style w:type="character" w:customStyle="1" w:styleId="48">
    <w:name w:val="Unresolved Mention"/>
    <w:basedOn w:val="13"/>
    <w:semiHidden/>
    <w:unhideWhenUsed/>
    <w:qFormat/>
    <w:uiPriority w:val="99"/>
    <w:rPr>
      <w:color w:val="605E5C"/>
      <w:shd w:val="clear" w:color="auto" w:fill="E1DFDD"/>
    </w:rPr>
  </w:style>
  <w:style w:type="paragraph" w:customStyle="1" w:styleId="49">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0">
    <w:name w:val="标题 1 字符"/>
    <w:basedOn w:val="13"/>
    <w:link w:val="2"/>
    <w:qFormat/>
    <w:uiPriority w:val="9"/>
    <w:rPr>
      <w:rFonts w:asciiTheme="minorHAnsi" w:hAnsiTheme="minorHAnsi" w:eastAsiaTheme="minorEastAsia" w:cstheme="minorBidi"/>
      <w:b/>
      <w:bCs/>
      <w:kern w:val="44"/>
      <w:sz w:val="44"/>
      <w:szCs w:val="44"/>
    </w:rPr>
  </w:style>
  <w:style w:type="paragraph" w:customStyle="1" w:styleId="5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header" Target="head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1.jpeg"/><Relationship Id="rId56" Type="http://schemas.openxmlformats.org/officeDocument/2006/relationships/image" Target="media/image40.jpeg"/><Relationship Id="rId55" Type="http://schemas.openxmlformats.org/officeDocument/2006/relationships/image" Target="media/image39.jpeg"/><Relationship Id="rId54" Type="http://schemas.openxmlformats.org/officeDocument/2006/relationships/image" Target="media/image38.jpeg"/><Relationship Id="rId53" Type="http://schemas.openxmlformats.org/officeDocument/2006/relationships/image" Target="media/image37.jpeg"/><Relationship Id="rId52" Type="http://schemas.openxmlformats.org/officeDocument/2006/relationships/image" Target="media/image36.jpeg"/><Relationship Id="rId51" Type="http://schemas.openxmlformats.org/officeDocument/2006/relationships/image" Target="media/image35.jpeg"/><Relationship Id="rId50" Type="http://schemas.openxmlformats.org/officeDocument/2006/relationships/image" Target="media/image34.jpeg"/><Relationship Id="rId5" Type="http://schemas.openxmlformats.org/officeDocument/2006/relationships/footer" Target="footer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header" Target="header2.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76F54A-ED44-47D5-9A9F-3E709C0AE1E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4773</Words>
  <Characters>5502</Characters>
  <Lines>78</Lines>
  <Paragraphs>22</Paragraphs>
  <TotalTime>2</TotalTime>
  <ScaleCrop>false</ScaleCrop>
  <LinksUpToDate>false</LinksUpToDate>
  <CharactersWithSpaces>5686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2025-06-03T05:00:00Z</dcterms:created>
  <dc:creator>Family</dc:creator>
  <cp:lastModifiedBy>J</cp:lastModifiedBy>
  <cp:lastPrinted>2021-10-22T19:40:00Z</cp:lastPrinted>
  <dcterms:modified xsi:type="dcterms:W3CDTF">2025-06-26T06:09:19Z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DE88F3A43A1D458FB77B60BA6D793E5E_13</vt:lpwstr>
  </property>
  <property fmtid="{D5CDD505-2E9C-101B-9397-08002B2CF9AE}" pid="4" name="KSOTemplateDocerSaveRecord">
    <vt:lpwstr>eyJoZGlkIjoiMTFmMDJjZGU0YzYzNjgxMjg1NzBlNDNlZWZkY2IyNjMiLCJ1c2VySWQiOiIxMzc2MzQzNjk3In0=</vt:lpwstr>
  </property>
</Properties>
</file>