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3C0D9">
      <w:pPr>
        <w:tabs>
          <w:tab w:val="left" w:pos="1995"/>
          <w:tab w:val="left" w:pos="6720"/>
        </w:tabs>
        <w:spacing w:line="300" w:lineRule="auto"/>
        <w:jc w:val="distribute"/>
        <w:rPr>
          <w:rFonts w:eastAsia="黑体"/>
          <w:bCs/>
          <w:color w:val="000000"/>
          <w:w w:val="140"/>
          <w:sz w:val="40"/>
          <w:szCs w:val="44"/>
        </w:rPr>
      </w:pPr>
    </w:p>
    <w:p w14:paraId="1C7A2112">
      <w:pPr>
        <w:tabs>
          <w:tab w:val="left" w:pos="1995"/>
          <w:tab w:val="left" w:pos="6720"/>
        </w:tabs>
        <w:spacing w:line="300" w:lineRule="auto"/>
        <w:jc w:val="distribute"/>
        <w:rPr>
          <w:rFonts w:eastAsia="黑体"/>
          <w:bCs/>
          <w:color w:val="000000"/>
          <w:w w:val="140"/>
          <w:sz w:val="40"/>
          <w:szCs w:val="44"/>
        </w:rPr>
      </w:pPr>
      <w:r>
        <w:rPr>
          <w:rFonts w:eastAsia="黑体"/>
          <w:bCs/>
          <w:color w:val="000000"/>
          <w:w w:val="140"/>
          <w:sz w:val="40"/>
          <w:szCs w:val="44"/>
        </w:rPr>
        <w:t>团体标准</w:t>
      </w:r>
    </w:p>
    <w:p w14:paraId="14537A05">
      <w:pPr>
        <w:pBdr>
          <w:bottom w:val="single" w:color="auto" w:sz="8" w:space="14"/>
        </w:pBdr>
        <w:spacing w:before="120" w:beforeLines="50" w:line="300" w:lineRule="auto"/>
        <w:jc w:val="right"/>
        <w:rPr>
          <w:rFonts w:eastAsia="黑体"/>
          <w:b/>
          <w:color w:val="000000"/>
          <w:sz w:val="28"/>
        </w:rPr>
      </w:pPr>
      <w:r>
        <w:rPr>
          <w:rFonts w:eastAsia="黑体"/>
          <w:b/>
          <w:color w:val="000000"/>
          <w:sz w:val="28"/>
        </w:rPr>
        <w:t>T/FDSA ***-202*</w:t>
      </w:r>
    </w:p>
    <w:p w14:paraId="617CDA6C">
      <w:pPr>
        <w:spacing w:line="300" w:lineRule="auto"/>
        <w:rPr>
          <w:color w:val="000000"/>
        </w:rPr>
      </w:pPr>
    </w:p>
    <w:p w14:paraId="0DD43B74">
      <w:pPr>
        <w:spacing w:line="300" w:lineRule="auto"/>
        <w:rPr>
          <w:color w:val="000000"/>
        </w:rPr>
      </w:pPr>
    </w:p>
    <w:p w14:paraId="21F978EE">
      <w:pPr>
        <w:spacing w:line="300" w:lineRule="auto"/>
        <w:rPr>
          <w:color w:val="000000"/>
        </w:rPr>
      </w:pPr>
    </w:p>
    <w:p w14:paraId="7AA1073E">
      <w:pPr>
        <w:spacing w:line="300" w:lineRule="auto"/>
        <w:rPr>
          <w:color w:val="000000"/>
        </w:rPr>
      </w:pPr>
    </w:p>
    <w:p w14:paraId="0E9FCBFD">
      <w:pPr>
        <w:spacing w:line="300" w:lineRule="auto"/>
        <w:rPr>
          <w:color w:val="000000"/>
        </w:rPr>
      </w:pPr>
      <w:r>
        <w:rPr>
          <w:color w:val="000000"/>
        </w:rPr>
        <w:t>　　　　</w:t>
      </w:r>
    </w:p>
    <w:p w14:paraId="23616322">
      <w:pPr>
        <w:spacing w:line="300" w:lineRule="auto"/>
        <w:rPr>
          <w:color w:val="000000"/>
        </w:rPr>
      </w:pPr>
    </w:p>
    <w:p w14:paraId="6A24C7FF">
      <w:pPr>
        <w:spacing w:line="300" w:lineRule="auto"/>
        <w:rPr>
          <w:color w:val="000000"/>
        </w:rPr>
      </w:pPr>
    </w:p>
    <w:p w14:paraId="201967C4">
      <w:pPr>
        <w:spacing w:line="300" w:lineRule="auto"/>
        <w:rPr>
          <w:color w:val="000000"/>
        </w:rPr>
      </w:pPr>
    </w:p>
    <w:p w14:paraId="09AE93C9">
      <w:pPr>
        <w:spacing w:line="300" w:lineRule="auto"/>
        <w:rPr>
          <w:color w:val="000000"/>
        </w:rPr>
      </w:pPr>
    </w:p>
    <w:p w14:paraId="096847BC">
      <w:pPr>
        <w:spacing w:line="300" w:lineRule="auto"/>
        <w:rPr>
          <w:color w:val="000000"/>
        </w:rPr>
      </w:pPr>
    </w:p>
    <w:p w14:paraId="0094B63E">
      <w:pPr>
        <w:spacing w:line="300" w:lineRule="auto"/>
        <w:rPr>
          <w:color w:val="000000"/>
        </w:rPr>
      </w:pPr>
    </w:p>
    <w:p w14:paraId="64200BD0">
      <w:pPr>
        <w:spacing w:line="300" w:lineRule="auto"/>
        <w:jc w:val="center"/>
        <w:rPr>
          <w:color w:val="000000"/>
        </w:rPr>
      </w:pPr>
      <w:r>
        <w:rPr>
          <w:rFonts w:hint="eastAsia" w:eastAsia="黑体"/>
          <w:bCs/>
          <w:color w:val="000000"/>
          <w:sz w:val="52"/>
          <w:szCs w:val="52"/>
        </w:rPr>
        <w:t>白酒中棕榈酸乙酯</w:t>
      </w:r>
      <w:r>
        <w:rPr>
          <w:rFonts w:hint="eastAsia" w:eastAsia="黑体"/>
          <w:bCs/>
          <w:color w:val="000000"/>
          <w:sz w:val="52"/>
          <w:szCs w:val="52"/>
          <w:lang w:val="en-US" w:eastAsia="zh-CN"/>
        </w:rPr>
        <w:t>含量</w:t>
      </w:r>
      <w:r>
        <w:rPr>
          <w:rFonts w:hint="eastAsia" w:eastAsia="黑体"/>
          <w:bCs/>
          <w:color w:val="000000"/>
          <w:sz w:val="52"/>
          <w:szCs w:val="52"/>
        </w:rPr>
        <w:t>的测定</w:t>
      </w:r>
    </w:p>
    <w:p w14:paraId="4861DF52">
      <w:pPr>
        <w:spacing w:line="300" w:lineRule="auto"/>
        <w:jc w:val="center"/>
        <w:rPr>
          <w:sz w:val="28"/>
          <w:szCs w:val="28"/>
        </w:rPr>
      </w:pPr>
      <w:r>
        <w:rPr>
          <w:rFonts w:hint="eastAsia" w:ascii="Times New Roman" w:hAnsi="Times New Roman" w:eastAsia="宋体" w:cs="宋体"/>
          <w:color w:val="000000"/>
          <w:sz w:val="24"/>
          <w:szCs w:val="18"/>
        </w:rPr>
        <w:t xml:space="preserve">Determination of Ethyl </w:t>
      </w:r>
      <w:r>
        <w:rPr>
          <w:rFonts w:hint="eastAsia" w:cs="宋体"/>
          <w:color w:val="000000"/>
          <w:sz w:val="24"/>
          <w:szCs w:val="18"/>
          <w:lang w:val="en-US" w:eastAsia="zh-CN"/>
        </w:rPr>
        <w:t>P</w:t>
      </w:r>
      <w:r>
        <w:rPr>
          <w:rFonts w:hint="eastAsia" w:ascii="Times New Roman" w:hAnsi="Times New Roman" w:eastAsia="宋体" w:cs="宋体"/>
          <w:color w:val="000000"/>
          <w:sz w:val="24"/>
          <w:szCs w:val="18"/>
        </w:rPr>
        <w:t>almitate in Baijiu</w:t>
      </w:r>
    </w:p>
    <w:p w14:paraId="58F99E5C">
      <w:pPr>
        <w:spacing w:line="300" w:lineRule="auto"/>
        <w:jc w:val="center"/>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征求意见</w:t>
      </w:r>
      <w:r>
        <w:rPr>
          <w:rFonts w:eastAsia="楷体_GB2312"/>
          <w:color w:val="000000"/>
          <w:sz w:val="32"/>
          <w:szCs w:val="32"/>
        </w:rPr>
        <w:t>稿）</w:t>
      </w:r>
    </w:p>
    <w:p w14:paraId="50545F3F">
      <w:pPr>
        <w:spacing w:line="300" w:lineRule="auto"/>
        <w:rPr>
          <w:color w:val="000000"/>
        </w:rPr>
      </w:pPr>
    </w:p>
    <w:p w14:paraId="1A2EBC45">
      <w:pPr>
        <w:spacing w:line="300" w:lineRule="auto"/>
        <w:rPr>
          <w:color w:val="000000"/>
        </w:rPr>
      </w:pPr>
    </w:p>
    <w:p w14:paraId="0DF96AA0">
      <w:pPr>
        <w:spacing w:line="300" w:lineRule="auto"/>
        <w:jc w:val="center"/>
        <w:rPr>
          <w:b/>
          <w:color w:val="000000"/>
          <w:sz w:val="28"/>
          <w:szCs w:val="28"/>
        </w:rPr>
      </w:pPr>
    </w:p>
    <w:p w14:paraId="347C4182">
      <w:pPr>
        <w:spacing w:line="300" w:lineRule="auto"/>
        <w:jc w:val="center"/>
        <w:rPr>
          <w:b/>
          <w:color w:val="000000"/>
          <w:sz w:val="28"/>
          <w:szCs w:val="28"/>
        </w:rPr>
      </w:pPr>
    </w:p>
    <w:p w14:paraId="1DE9F9B6">
      <w:pPr>
        <w:spacing w:line="300" w:lineRule="auto"/>
        <w:rPr>
          <w:color w:val="000000"/>
        </w:rPr>
      </w:pPr>
    </w:p>
    <w:p w14:paraId="341D7AA8">
      <w:pPr>
        <w:spacing w:line="300" w:lineRule="auto"/>
        <w:rPr>
          <w:color w:val="000000"/>
        </w:rPr>
      </w:pPr>
    </w:p>
    <w:p w14:paraId="69F75A11">
      <w:pPr>
        <w:spacing w:line="300" w:lineRule="auto"/>
        <w:rPr>
          <w:color w:val="000000"/>
        </w:rPr>
      </w:pPr>
    </w:p>
    <w:p w14:paraId="5147329D">
      <w:pPr>
        <w:spacing w:line="300" w:lineRule="auto"/>
        <w:rPr>
          <w:color w:val="000000"/>
        </w:rPr>
      </w:pPr>
    </w:p>
    <w:p w14:paraId="336D9537">
      <w:pPr>
        <w:spacing w:line="300" w:lineRule="auto"/>
        <w:rPr>
          <w:rFonts w:eastAsia="黑体"/>
          <w:b/>
          <w:color w:val="000000"/>
          <w:szCs w:val="21"/>
        </w:rPr>
      </w:pPr>
    </w:p>
    <w:p w14:paraId="0E023334">
      <w:pPr>
        <w:spacing w:line="300" w:lineRule="auto"/>
        <w:rPr>
          <w:rFonts w:eastAsia="黑体"/>
          <w:b/>
          <w:color w:val="000000"/>
          <w:szCs w:val="21"/>
        </w:rPr>
      </w:pPr>
    </w:p>
    <w:p w14:paraId="05730BAA">
      <w:pPr>
        <w:spacing w:line="300" w:lineRule="auto"/>
        <w:rPr>
          <w:rFonts w:eastAsia="黑体"/>
          <w:b/>
          <w:color w:val="000000"/>
          <w:szCs w:val="21"/>
        </w:rPr>
      </w:pPr>
    </w:p>
    <w:p w14:paraId="29932DF5">
      <w:pPr>
        <w:spacing w:line="300" w:lineRule="auto"/>
        <w:rPr>
          <w:rFonts w:eastAsia="黑体"/>
          <w:b/>
          <w:color w:val="000000"/>
          <w:szCs w:val="21"/>
        </w:rPr>
      </w:pPr>
    </w:p>
    <w:p w14:paraId="0E56E87F">
      <w:pPr>
        <w:spacing w:line="300" w:lineRule="auto"/>
        <w:rPr>
          <w:rFonts w:eastAsia="黑体"/>
          <w:b/>
          <w:color w:val="000000"/>
          <w:szCs w:val="21"/>
        </w:rPr>
      </w:pPr>
    </w:p>
    <w:p w14:paraId="37221778">
      <w:pPr>
        <w:spacing w:line="300" w:lineRule="auto"/>
        <w:rPr>
          <w:rFonts w:eastAsia="黑体"/>
          <w:b/>
          <w:color w:val="000000"/>
          <w:szCs w:val="21"/>
        </w:rPr>
      </w:pPr>
    </w:p>
    <w:p w14:paraId="31EB2D70">
      <w:pPr>
        <w:spacing w:line="300" w:lineRule="auto"/>
        <w:rPr>
          <w:rFonts w:eastAsia="黑体"/>
          <w:b/>
          <w:color w:val="000000"/>
          <w:szCs w:val="21"/>
        </w:rPr>
      </w:pPr>
    </w:p>
    <w:p w14:paraId="263AE92C">
      <w:pPr>
        <w:spacing w:line="300" w:lineRule="auto"/>
        <w:rPr>
          <w:color w:val="000000"/>
          <w:sz w:val="28"/>
          <w:szCs w:val="28"/>
        </w:rPr>
      </w:pPr>
    </w:p>
    <w:p w14:paraId="3D0FFB66">
      <w:pPr>
        <w:tabs>
          <w:tab w:val="left" w:pos="6405"/>
        </w:tabs>
        <w:spacing w:line="300" w:lineRule="auto"/>
        <w:jc w:val="center"/>
        <w:rPr>
          <w:rFonts w:eastAsia="黑体"/>
          <w:color w:val="000000"/>
          <w:sz w:val="24"/>
        </w:rPr>
      </w:pPr>
      <w:r>
        <w:rPr>
          <w:rFonts w:eastAsia="黑体"/>
          <w:color w:val="000000"/>
          <w:sz w:val="28"/>
        </w:rPr>
        <w:t>**-XX-XX发布</w:t>
      </w:r>
      <w:r>
        <w:rPr>
          <w:rFonts w:eastAsia="黑体"/>
          <w:color w:val="000000"/>
          <w:sz w:val="28"/>
        </w:rPr>
        <w:tab/>
      </w:r>
      <w:r>
        <w:rPr>
          <w:rFonts w:eastAsia="黑体"/>
          <w:color w:val="000000"/>
          <w:sz w:val="28"/>
        </w:rPr>
        <w:t>**-XX-XX实施</w:t>
      </w:r>
    </w:p>
    <w:p w14:paraId="292C5DA9">
      <w:pPr>
        <w:pBdr>
          <w:top w:val="single" w:color="auto" w:sz="8" w:space="10"/>
        </w:pBdr>
        <w:spacing w:line="300" w:lineRule="auto"/>
        <w:jc w:val="center"/>
        <w:rPr>
          <w:rFonts w:eastAsia="华文中宋"/>
          <w:color w:val="000000"/>
          <w:sz w:val="32"/>
          <w:szCs w:val="32"/>
        </w:rPr>
        <w:sectPr>
          <w:footerReference r:id="rId3" w:type="default"/>
          <w:footerReference r:id="rId4" w:type="even"/>
          <w:pgSz w:w="11906" w:h="16838"/>
          <w:pgMar w:top="1134" w:right="1416" w:bottom="851" w:left="1560" w:header="567" w:footer="567" w:gutter="0"/>
          <w:pgNumType w:start="1"/>
          <w:cols w:space="720" w:num="1"/>
          <w:rtlGutter w:val="1"/>
          <w:docGrid w:linePitch="312" w:charSpace="0"/>
        </w:sectPr>
      </w:pPr>
      <w:r>
        <w:rPr>
          <w:rFonts w:eastAsia="黑体"/>
          <w:color w:val="000000"/>
          <w:w w:val="120"/>
          <w:sz w:val="32"/>
          <w:szCs w:val="32"/>
        </w:rPr>
        <w:t>中国食品药品企业质量安全促进会</w:t>
      </w:r>
      <w:r>
        <w:rPr>
          <w:rFonts w:eastAsia="华文中宋"/>
          <w:color w:val="000000"/>
          <w:w w:val="120"/>
          <w:sz w:val="28"/>
          <w:szCs w:val="28"/>
        </w:rPr>
        <w:t xml:space="preserve">  发 布</w:t>
      </w:r>
    </w:p>
    <w:p w14:paraId="2611DB90">
      <w:pPr>
        <w:pStyle w:val="25"/>
        <w:rPr>
          <w:rFonts w:ascii="Times New Roman"/>
        </w:rPr>
      </w:pPr>
      <w:r>
        <w:rPr>
          <w:rFonts w:ascii="Times New Roman"/>
        </w:rPr>
        <w:t>前    言</w:t>
      </w:r>
    </w:p>
    <w:p w14:paraId="1620DB83">
      <w:pPr>
        <w:spacing w:line="360" w:lineRule="auto"/>
        <w:jc w:val="center"/>
        <w:rPr>
          <w:rFonts w:eastAsia="黑体"/>
          <w:b/>
          <w:color w:val="000000"/>
          <w:szCs w:val="21"/>
        </w:rPr>
      </w:pPr>
    </w:p>
    <w:p w14:paraId="0591ECE9">
      <w:pPr>
        <w:adjustRightInd w:val="0"/>
        <w:snapToGrid w:val="0"/>
        <w:spacing w:line="360" w:lineRule="auto"/>
        <w:ind w:firstLine="420" w:firstLineChars="200"/>
      </w:pPr>
      <w:r>
        <w:rPr>
          <w:bCs/>
          <w:szCs w:val="21"/>
        </w:rPr>
        <w:t>本文件按照GB/T 1.1-2020</w:t>
      </w:r>
      <w:r>
        <w:t>《标准化工作导则 第1部分：标准化文件的结构和起草规则》的规定起草。</w:t>
      </w:r>
    </w:p>
    <w:p w14:paraId="39215CC2">
      <w:pPr>
        <w:adjustRightInd w:val="0"/>
        <w:snapToGrid w:val="0"/>
        <w:spacing w:line="360" w:lineRule="auto"/>
        <w:ind w:firstLine="420" w:firstLineChars="200"/>
        <w:rPr>
          <w:bCs/>
          <w:szCs w:val="21"/>
        </w:rPr>
      </w:pPr>
      <w:r>
        <w:rPr>
          <w:bCs/>
          <w:szCs w:val="21"/>
        </w:rPr>
        <w:t>请注意本文件的某些内容可能涉及专利。本文件的发布机构不承担识别专利的责任。</w:t>
      </w:r>
    </w:p>
    <w:p w14:paraId="4A3A6296">
      <w:pPr>
        <w:adjustRightInd w:val="0"/>
        <w:snapToGrid w:val="0"/>
        <w:spacing w:line="360" w:lineRule="auto"/>
        <w:ind w:firstLine="420" w:firstLineChars="200"/>
        <w:rPr>
          <w:bCs/>
          <w:szCs w:val="21"/>
        </w:rPr>
      </w:pPr>
      <w:r>
        <w:rPr>
          <w:bCs/>
          <w:szCs w:val="21"/>
        </w:rPr>
        <w:t>本文件由中国食品药品企业质量安全促进会提出。</w:t>
      </w:r>
    </w:p>
    <w:p w14:paraId="3CE4FA52">
      <w:pPr>
        <w:adjustRightInd w:val="0"/>
        <w:snapToGrid w:val="0"/>
        <w:spacing w:line="360" w:lineRule="auto"/>
        <w:ind w:firstLine="420" w:firstLineChars="200"/>
        <w:rPr>
          <w:szCs w:val="21"/>
        </w:rPr>
      </w:pPr>
      <w:r>
        <w:rPr>
          <w:bCs/>
          <w:szCs w:val="21"/>
        </w:rPr>
        <w:t>本文件由中国食品药品企业质量安全促进会归口</w:t>
      </w:r>
      <w:r>
        <w:rPr>
          <w:color w:val="000000"/>
          <w:szCs w:val="21"/>
        </w:rPr>
        <w:t>。</w:t>
      </w:r>
    </w:p>
    <w:p w14:paraId="07DC36C4">
      <w:pPr>
        <w:adjustRightInd w:val="0"/>
        <w:snapToGrid w:val="0"/>
        <w:spacing w:line="360" w:lineRule="auto"/>
        <w:ind w:firstLine="420" w:firstLineChars="200"/>
        <w:rPr>
          <w:rFonts w:hint="eastAsia" w:eastAsia="宋体"/>
          <w:color w:val="FF0000"/>
          <w:szCs w:val="21"/>
          <w:lang w:eastAsia="zh-CN"/>
        </w:rPr>
      </w:pPr>
      <w:r>
        <w:rPr>
          <w:szCs w:val="21"/>
        </w:rPr>
        <w:t>本</w:t>
      </w:r>
      <w:r>
        <w:rPr>
          <w:bCs/>
          <w:szCs w:val="21"/>
        </w:rPr>
        <w:t>文件</w:t>
      </w:r>
      <w:r>
        <w:rPr>
          <w:szCs w:val="21"/>
        </w:rPr>
        <w:t>起草单位：</w:t>
      </w:r>
      <w:r>
        <w:rPr>
          <w:rFonts w:hint="eastAsia"/>
          <w:bCs/>
          <w:szCs w:val="21"/>
          <w:lang w:eastAsia="zh-CN"/>
        </w:rPr>
        <w:t>黑龙江北大仓集团有限公司</w:t>
      </w:r>
      <w:r>
        <w:rPr>
          <w:bCs/>
          <w:szCs w:val="21"/>
        </w:rPr>
        <w:t>、中轻检验认证有限公司、</w:t>
      </w:r>
      <w:r>
        <w:rPr>
          <w:rFonts w:hint="eastAsia"/>
          <w:bCs/>
          <w:szCs w:val="21"/>
          <w:lang w:eastAsia="zh-CN"/>
        </w:rPr>
        <w:t>齐齐哈尔东北酒类检测有限公司</w:t>
      </w:r>
    </w:p>
    <w:p w14:paraId="0FF59D1F">
      <w:pPr>
        <w:adjustRightInd w:val="0"/>
        <w:snapToGrid w:val="0"/>
        <w:spacing w:line="360" w:lineRule="auto"/>
        <w:ind w:firstLine="420" w:firstLineChars="200"/>
        <w:rPr>
          <w:color w:val="FF0000"/>
          <w:szCs w:val="21"/>
        </w:rPr>
      </w:pPr>
      <w:r>
        <w:rPr>
          <w:szCs w:val="21"/>
        </w:rPr>
        <w:t>本文件主要起草人：</w:t>
      </w:r>
    </w:p>
    <w:p w14:paraId="5C996BB4">
      <w:pPr>
        <w:adjustRightInd w:val="0"/>
        <w:snapToGrid w:val="0"/>
        <w:spacing w:line="360" w:lineRule="auto"/>
        <w:ind w:firstLine="420" w:firstLineChars="200"/>
        <w:rPr>
          <w:color w:val="000000"/>
          <w:szCs w:val="21"/>
        </w:rPr>
      </w:pPr>
      <w:r>
        <w:rPr>
          <w:color w:val="000000"/>
          <w:szCs w:val="21"/>
        </w:rPr>
        <w:br w:type="page"/>
      </w:r>
    </w:p>
    <w:p w14:paraId="1088F6A1">
      <w:pPr>
        <w:snapToGrid w:val="0"/>
        <w:spacing w:before="312" w:beforeLines="100" w:after="312" w:afterLines="100" w:line="300" w:lineRule="auto"/>
        <w:jc w:val="center"/>
        <w:rPr>
          <w:rFonts w:eastAsia="黑体"/>
          <w:color w:val="000000"/>
          <w:sz w:val="32"/>
          <w:szCs w:val="32"/>
        </w:rPr>
      </w:pPr>
      <w:r>
        <w:rPr>
          <w:rFonts w:hint="eastAsia" w:eastAsia="黑体"/>
          <w:color w:val="000000"/>
          <w:sz w:val="32"/>
          <w:szCs w:val="32"/>
        </w:rPr>
        <w:t>白酒中棕榈酸乙酯</w:t>
      </w:r>
      <w:r>
        <w:rPr>
          <w:rFonts w:hint="eastAsia" w:eastAsia="黑体"/>
          <w:color w:val="000000"/>
          <w:sz w:val="32"/>
          <w:szCs w:val="32"/>
          <w:lang w:val="en-US" w:eastAsia="zh-CN"/>
        </w:rPr>
        <w:t>含量</w:t>
      </w:r>
      <w:r>
        <w:rPr>
          <w:rFonts w:hint="eastAsia" w:eastAsia="黑体"/>
          <w:color w:val="000000"/>
          <w:sz w:val="32"/>
          <w:szCs w:val="32"/>
        </w:rPr>
        <w:t>的测定</w:t>
      </w:r>
    </w:p>
    <w:p w14:paraId="1AF47743">
      <w:pPr>
        <w:snapToGrid w:val="0"/>
        <w:spacing w:before="312" w:beforeLines="100" w:after="312" w:afterLines="100" w:line="300" w:lineRule="auto"/>
        <w:jc w:val="left"/>
        <w:rPr>
          <w:rFonts w:eastAsia="黑体"/>
          <w:color w:val="000000"/>
          <w:sz w:val="32"/>
          <w:szCs w:val="32"/>
        </w:rPr>
      </w:pPr>
      <w:r>
        <w:rPr>
          <w:rFonts w:eastAsia="黑体"/>
          <w:szCs w:val="21"/>
        </w:rPr>
        <w:t xml:space="preserve">1  </w:t>
      </w:r>
      <w:bookmarkStart w:id="0" w:name="_Toc282442989"/>
      <w:bookmarkStart w:id="1" w:name="_Toc282450210"/>
      <w:bookmarkStart w:id="2" w:name="_Toc293492952"/>
      <w:bookmarkStart w:id="3" w:name="_Toc308102875"/>
      <w:bookmarkStart w:id="4" w:name="_Toc308102242"/>
      <w:bookmarkStart w:id="5" w:name="_Toc294091803"/>
      <w:bookmarkStart w:id="6" w:name="_Toc262651111"/>
      <w:bookmarkStart w:id="7" w:name="_Toc282450379"/>
      <w:bookmarkStart w:id="8" w:name="_Toc282441933"/>
      <w:r>
        <w:rPr>
          <w:rFonts w:eastAsia="黑体"/>
          <w:szCs w:val="21"/>
        </w:rPr>
        <w:t>范围</w:t>
      </w:r>
      <w:bookmarkEnd w:id="0"/>
      <w:bookmarkEnd w:id="1"/>
      <w:bookmarkEnd w:id="2"/>
      <w:bookmarkEnd w:id="3"/>
      <w:bookmarkEnd w:id="4"/>
      <w:bookmarkEnd w:id="5"/>
      <w:bookmarkEnd w:id="6"/>
      <w:bookmarkEnd w:id="7"/>
      <w:bookmarkEnd w:id="8"/>
    </w:p>
    <w:p w14:paraId="2F900914">
      <w:pPr>
        <w:spacing w:line="300" w:lineRule="auto"/>
        <w:ind w:firstLine="420" w:firstLineChars="200"/>
        <w:rPr>
          <w:rFonts w:hint="eastAsia" w:eastAsia="宋体"/>
          <w:szCs w:val="21"/>
          <w:lang w:eastAsia="zh-CN"/>
        </w:rPr>
      </w:pPr>
      <w:r>
        <w:rPr>
          <w:szCs w:val="21"/>
        </w:rPr>
        <w:t>本文件规定了</w:t>
      </w:r>
      <w:r>
        <w:rPr>
          <w:rFonts w:hint="eastAsia"/>
          <w:szCs w:val="21"/>
        </w:rPr>
        <w:t>白酒中棕榈酸乙酯</w:t>
      </w:r>
      <w:r>
        <w:rPr>
          <w:rFonts w:hint="eastAsia"/>
          <w:szCs w:val="21"/>
          <w:lang w:val="en-US" w:eastAsia="zh-CN"/>
        </w:rPr>
        <w:t>含量</w:t>
      </w:r>
      <w:r>
        <w:rPr>
          <w:rFonts w:hint="eastAsia"/>
          <w:szCs w:val="21"/>
        </w:rPr>
        <w:t>的</w:t>
      </w:r>
      <w:r>
        <w:rPr>
          <w:rFonts w:hint="eastAsia"/>
          <w:szCs w:val="21"/>
          <w:lang w:val="en-US" w:eastAsia="zh-CN"/>
        </w:rPr>
        <w:t>气相色谱测定方法。</w:t>
      </w:r>
    </w:p>
    <w:p w14:paraId="43B8FF89">
      <w:pPr>
        <w:spacing w:line="300" w:lineRule="auto"/>
        <w:ind w:firstLine="420" w:firstLineChars="200"/>
        <w:rPr>
          <w:szCs w:val="21"/>
        </w:rPr>
      </w:pPr>
      <w:r>
        <w:rPr>
          <w:szCs w:val="21"/>
        </w:rPr>
        <w:t>本文件适用于</w:t>
      </w:r>
      <w:r>
        <w:rPr>
          <w:rFonts w:hint="eastAsia"/>
          <w:szCs w:val="21"/>
          <w:lang w:val="en-US" w:eastAsia="zh-CN"/>
        </w:rPr>
        <w:t>各种白酒中</w:t>
      </w:r>
      <w:r>
        <w:rPr>
          <w:rFonts w:hint="eastAsia"/>
          <w:szCs w:val="21"/>
        </w:rPr>
        <w:t>棕榈酸乙酯</w:t>
      </w:r>
      <w:r>
        <w:rPr>
          <w:rFonts w:hint="eastAsia"/>
          <w:szCs w:val="21"/>
          <w:lang w:val="en-US" w:eastAsia="zh-CN"/>
        </w:rPr>
        <w:t>含量的分析</w:t>
      </w:r>
      <w:r>
        <w:rPr>
          <w:szCs w:val="21"/>
        </w:rPr>
        <w:t>。</w:t>
      </w:r>
    </w:p>
    <w:p w14:paraId="2B2FF83F">
      <w:pPr>
        <w:spacing w:before="312" w:beforeLines="100" w:after="312" w:afterLines="100"/>
        <w:rPr>
          <w:rFonts w:eastAsia="黑体"/>
          <w:szCs w:val="21"/>
        </w:rPr>
      </w:pPr>
      <w:r>
        <w:rPr>
          <w:rFonts w:eastAsia="黑体"/>
          <w:szCs w:val="21"/>
        </w:rPr>
        <w:t xml:space="preserve">2. </w:t>
      </w:r>
      <w:bookmarkStart w:id="9" w:name="_Toc282450212"/>
      <w:bookmarkStart w:id="10" w:name="_Toc308102243"/>
      <w:bookmarkStart w:id="11" w:name="_Toc308102876"/>
      <w:bookmarkStart w:id="12" w:name="_Toc293492953"/>
      <w:bookmarkStart w:id="13" w:name="_Toc282441935"/>
      <w:bookmarkStart w:id="14" w:name="_Toc282442991"/>
      <w:bookmarkStart w:id="15" w:name="_Toc294091804"/>
      <w:bookmarkStart w:id="16" w:name="_Toc282450381"/>
      <w:r>
        <w:rPr>
          <w:rFonts w:eastAsia="黑体"/>
          <w:szCs w:val="21"/>
        </w:rPr>
        <w:t>规范性引用</w:t>
      </w:r>
      <w:bookmarkEnd w:id="9"/>
      <w:bookmarkEnd w:id="10"/>
      <w:bookmarkEnd w:id="11"/>
      <w:bookmarkEnd w:id="12"/>
      <w:bookmarkEnd w:id="13"/>
      <w:bookmarkEnd w:id="14"/>
      <w:bookmarkEnd w:id="15"/>
      <w:bookmarkEnd w:id="16"/>
      <w:r>
        <w:rPr>
          <w:rFonts w:eastAsia="黑体"/>
          <w:szCs w:val="21"/>
        </w:rPr>
        <w:t>文件</w:t>
      </w:r>
    </w:p>
    <w:p w14:paraId="6A535BAE">
      <w:pPr>
        <w:spacing w:line="300" w:lineRule="auto"/>
        <w:ind w:firstLine="420" w:firstLineChars="200"/>
      </w:pPr>
      <w:r>
        <w:t>下列文件中的条款通过本文件的引用而成为本文件的条款。凡是注日期的引用文件，仅注日期的版本适用于本文件。凡是不注日期的引用文件，其最新版本（包括所有的修改单）适用于本文件。</w:t>
      </w:r>
    </w:p>
    <w:p w14:paraId="0D139A78">
      <w:pPr>
        <w:spacing w:line="400" w:lineRule="exact"/>
        <w:ind w:firstLine="420" w:firstLineChars="200"/>
        <w:rPr>
          <w:szCs w:val="21"/>
          <w:highlight w:val="none"/>
        </w:rPr>
      </w:pPr>
      <w:r>
        <w:rPr>
          <w:szCs w:val="21"/>
          <w:highlight w:val="none"/>
        </w:rPr>
        <w:t>GB/T</w:t>
      </w:r>
      <w:r>
        <w:rPr>
          <w:rFonts w:hint="eastAsia"/>
          <w:szCs w:val="21"/>
          <w:highlight w:val="none"/>
          <w:lang w:val="en-US" w:eastAsia="zh-CN"/>
        </w:rPr>
        <w:t xml:space="preserve"> </w:t>
      </w:r>
      <w:r>
        <w:rPr>
          <w:szCs w:val="21"/>
          <w:highlight w:val="none"/>
        </w:rPr>
        <w:t>6682  分析实验室用水规格和试验方法</w:t>
      </w:r>
    </w:p>
    <w:p w14:paraId="72A8041F">
      <w:pPr>
        <w:spacing w:line="400" w:lineRule="exact"/>
        <w:ind w:firstLine="420" w:firstLineChars="200"/>
        <w:rPr>
          <w:rFonts w:hint="eastAsia"/>
          <w:szCs w:val="21"/>
          <w:lang w:val="en-US" w:eastAsia="zh-CN"/>
        </w:rPr>
      </w:pPr>
      <w:r>
        <w:rPr>
          <w:szCs w:val="21"/>
        </w:rPr>
        <w:t>GB/T</w:t>
      </w:r>
      <w:r>
        <w:rPr>
          <w:rFonts w:hint="eastAsia"/>
          <w:szCs w:val="21"/>
          <w:lang w:val="en-US" w:eastAsia="zh-CN"/>
        </w:rPr>
        <w:t xml:space="preserve"> 10345</w:t>
      </w:r>
      <w:r>
        <w:rPr>
          <w:szCs w:val="21"/>
        </w:rPr>
        <w:t xml:space="preserve"> </w:t>
      </w:r>
      <w:r>
        <w:rPr>
          <w:rFonts w:hint="eastAsia"/>
          <w:szCs w:val="21"/>
          <w:lang w:val="en-US" w:eastAsia="zh-CN"/>
        </w:rPr>
        <w:t>白酒分析方法</w:t>
      </w:r>
    </w:p>
    <w:p w14:paraId="4296A326">
      <w:pPr>
        <w:spacing w:before="312" w:beforeLines="100" w:after="312" w:afterLines="100"/>
        <w:rPr>
          <w:rFonts w:hint="default" w:eastAsia="黑体"/>
          <w:szCs w:val="21"/>
          <w:lang w:val="en-US" w:eastAsia="zh-CN"/>
        </w:rPr>
      </w:pPr>
      <w:r>
        <w:rPr>
          <w:rFonts w:eastAsia="黑体"/>
          <w:szCs w:val="21"/>
        </w:rPr>
        <w:t xml:space="preserve">3  </w:t>
      </w:r>
      <w:r>
        <w:rPr>
          <w:rFonts w:hint="eastAsia" w:eastAsia="黑体"/>
          <w:szCs w:val="21"/>
          <w:lang w:val="en-US" w:eastAsia="zh-CN"/>
        </w:rPr>
        <w:t>基本要求</w:t>
      </w:r>
    </w:p>
    <w:p w14:paraId="4CC7E99F">
      <w:pPr>
        <w:spacing w:before="156" w:beforeLines="50" w:after="156" w:afterLines="50"/>
        <w:ind w:firstLine="420" w:firstLineChars="200"/>
        <w:jc w:val="left"/>
        <w:rPr>
          <w:rFonts w:hint="eastAsia"/>
          <w:bCs/>
          <w:szCs w:val="21"/>
          <w:lang w:val="en-US" w:eastAsia="zh-CN"/>
        </w:rPr>
      </w:pPr>
      <w:r>
        <w:rPr>
          <w:rFonts w:hint="eastAsia"/>
          <w:bCs/>
          <w:szCs w:val="21"/>
          <w:lang w:val="en-US" w:eastAsia="zh-CN"/>
        </w:rPr>
        <w:t>测定样品，应做平行试验。以实测数据的算术平均值报告其分析结果，不需要按酒精度折算。</w:t>
      </w:r>
    </w:p>
    <w:p w14:paraId="1ED47461">
      <w:pPr>
        <w:spacing w:before="312" w:beforeLines="100" w:after="312" w:afterLines="100"/>
        <w:rPr>
          <w:rFonts w:hint="default" w:eastAsia="黑体"/>
          <w:lang w:val="en-US" w:eastAsia="zh-CN"/>
        </w:rPr>
      </w:pPr>
      <w:r>
        <w:rPr>
          <w:rFonts w:eastAsia="黑体"/>
        </w:rPr>
        <w:t xml:space="preserve">4  </w:t>
      </w:r>
      <w:r>
        <w:rPr>
          <w:rFonts w:hint="eastAsia" w:eastAsia="黑体"/>
          <w:lang w:val="en-US" w:eastAsia="zh-CN"/>
        </w:rPr>
        <w:t>原理</w:t>
      </w:r>
    </w:p>
    <w:p w14:paraId="71CC1436">
      <w:pPr>
        <w:spacing w:line="360" w:lineRule="auto"/>
        <w:ind w:right="23" w:rightChars="11" w:firstLine="420" w:firstLineChars="200"/>
        <w:rPr>
          <w:rFonts w:hint="eastAsia"/>
          <w:bCs/>
          <w:szCs w:val="21"/>
          <w:lang w:val="en-US" w:eastAsia="zh-CN"/>
        </w:rPr>
      </w:pPr>
      <w:r>
        <w:rPr>
          <w:rFonts w:hint="eastAsia"/>
          <w:bCs/>
          <w:szCs w:val="21"/>
          <w:lang w:val="en-US" w:eastAsia="zh-CN"/>
        </w:rPr>
        <w:t>样品被气化后，经色谱柱分离，由于被测定组分在气液两相中具有不同的分配系数，分离后的各待测组分按先后顺序流出色谱柱，进入氢火焰离子化检测器检测，根据色谱图上各组分峰的保留值与标品相对照进行定性，利用峰面积（或峰高），以内标法定量。</w:t>
      </w:r>
    </w:p>
    <w:p w14:paraId="2A2FFF1C">
      <w:pPr>
        <w:spacing w:before="312" w:beforeLines="100" w:after="312" w:afterLines="100"/>
        <w:rPr>
          <w:rFonts w:hint="default"/>
          <w:bCs/>
          <w:szCs w:val="21"/>
          <w:lang w:val="en-US" w:eastAsia="zh-CN"/>
        </w:rPr>
      </w:pPr>
      <w:r>
        <w:rPr>
          <w:rFonts w:hint="eastAsia" w:eastAsia="黑体"/>
          <w:lang w:val="en-US" w:eastAsia="zh-CN"/>
        </w:rPr>
        <w:t>5</w:t>
      </w:r>
      <w:r>
        <w:rPr>
          <w:rFonts w:eastAsia="黑体"/>
        </w:rPr>
        <w:t xml:space="preserve">  </w:t>
      </w:r>
      <w:r>
        <w:rPr>
          <w:rFonts w:hint="eastAsia" w:eastAsia="黑体"/>
          <w:lang w:val="en-US" w:eastAsia="zh-CN"/>
        </w:rPr>
        <w:t>试剂和材料</w:t>
      </w:r>
    </w:p>
    <w:p w14:paraId="5D2F7EE3">
      <w:pPr>
        <w:spacing w:before="156" w:beforeLines="50" w:after="156" w:afterLines="50"/>
        <w:jc w:val="left"/>
        <w:rPr>
          <w:rFonts w:eastAsia="黑体"/>
        </w:rPr>
      </w:pPr>
      <w:r>
        <w:rPr>
          <w:rFonts w:hint="eastAsia" w:eastAsia="黑体"/>
          <w:lang w:val="en-US" w:eastAsia="zh-CN"/>
        </w:rPr>
        <w:t>5</w:t>
      </w:r>
      <w:r>
        <w:rPr>
          <w:rFonts w:eastAsia="黑体"/>
        </w:rPr>
        <w:t xml:space="preserve">.1  </w:t>
      </w:r>
      <w:r>
        <w:rPr>
          <w:rFonts w:hint="eastAsia" w:eastAsia="黑体"/>
          <w:lang w:val="en-US" w:eastAsia="zh-CN"/>
        </w:rPr>
        <w:t>试剂</w:t>
      </w:r>
    </w:p>
    <w:p w14:paraId="2A831575">
      <w:pPr>
        <w:spacing w:before="156" w:beforeLines="50" w:after="156" w:afterLines="50"/>
        <w:jc w:val="left"/>
        <w:rPr>
          <w:rFonts w:hint="eastAsia"/>
          <w:bCs/>
          <w:szCs w:val="21"/>
          <w:lang w:val="en-US" w:eastAsia="zh-CN"/>
        </w:rPr>
      </w:pPr>
      <w:r>
        <w:rPr>
          <w:rFonts w:hint="eastAsia" w:eastAsia="黑体"/>
          <w:lang w:val="en-US" w:eastAsia="zh-CN"/>
        </w:rPr>
        <w:t>5</w:t>
      </w:r>
      <w:r>
        <w:rPr>
          <w:rFonts w:eastAsia="黑体"/>
        </w:rPr>
        <w:t>.</w:t>
      </w:r>
      <w:r>
        <w:rPr>
          <w:rFonts w:hint="eastAsia" w:eastAsia="黑体"/>
          <w:lang w:val="en-US" w:eastAsia="zh-CN"/>
        </w:rPr>
        <w:t>1</w:t>
      </w:r>
      <w:r>
        <w:rPr>
          <w:rFonts w:eastAsia="黑体"/>
        </w:rPr>
        <w:t xml:space="preserve">.1  </w:t>
      </w:r>
      <w:r>
        <w:rPr>
          <w:rFonts w:hint="eastAsia"/>
          <w:bCs/>
          <w:szCs w:val="21"/>
          <w:lang w:val="en-US" w:eastAsia="zh-CN"/>
        </w:rPr>
        <w:t>乙醇：色谱纯。</w:t>
      </w:r>
    </w:p>
    <w:p w14:paraId="60A6612B">
      <w:pPr>
        <w:spacing w:before="156" w:beforeLines="50" w:after="156" w:afterLines="50"/>
        <w:jc w:val="left"/>
        <w:rPr>
          <w:rFonts w:hint="eastAsia" w:eastAsia="黑体"/>
          <w:lang w:val="en-US" w:eastAsia="zh-CN"/>
        </w:rPr>
      </w:pPr>
      <w:r>
        <w:rPr>
          <w:rFonts w:hint="eastAsia" w:eastAsia="黑体"/>
          <w:lang w:val="en-US" w:eastAsia="zh-CN"/>
        </w:rPr>
        <w:t>5</w:t>
      </w:r>
      <w:r>
        <w:rPr>
          <w:rFonts w:eastAsia="黑体"/>
        </w:rPr>
        <w:t>.</w:t>
      </w:r>
      <w:r>
        <w:rPr>
          <w:rFonts w:hint="eastAsia" w:eastAsia="黑体"/>
          <w:lang w:val="en-US" w:eastAsia="zh-CN"/>
        </w:rPr>
        <w:t>1</w:t>
      </w:r>
      <w:r>
        <w:rPr>
          <w:rFonts w:eastAsia="黑体"/>
        </w:rPr>
        <w:t>.</w:t>
      </w:r>
      <w:r>
        <w:rPr>
          <w:rFonts w:hint="eastAsia" w:eastAsia="黑体"/>
          <w:lang w:val="en-US" w:eastAsia="zh-CN"/>
        </w:rPr>
        <w:t>2</w:t>
      </w:r>
      <w:r>
        <w:rPr>
          <w:rFonts w:eastAsia="黑体"/>
        </w:rPr>
        <w:t xml:space="preserve">  </w:t>
      </w:r>
      <w:r>
        <w:rPr>
          <w:rFonts w:hint="eastAsia"/>
          <w:bCs/>
          <w:szCs w:val="21"/>
          <w:lang w:val="en-US" w:eastAsia="zh-CN"/>
        </w:rPr>
        <w:t>棕榈酸乙酯标准物质：纯度≥99%，国家有证标准物质。</w:t>
      </w:r>
    </w:p>
    <w:p w14:paraId="766ECC27">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bCs/>
          <w:szCs w:val="21"/>
          <w:lang w:val="en-US" w:eastAsia="zh-CN"/>
        </w:rPr>
      </w:pPr>
      <w:r>
        <w:rPr>
          <w:rFonts w:hint="eastAsia" w:eastAsia="黑体"/>
          <w:lang w:val="en-US" w:eastAsia="zh-CN"/>
        </w:rPr>
        <w:t>5</w:t>
      </w:r>
      <w:r>
        <w:rPr>
          <w:rFonts w:eastAsia="黑体"/>
        </w:rPr>
        <w:t>.</w:t>
      </w:r>
      <w:r>
        <w:rPr>
          <w:rFonts w:hint="eastAsia" w:eastAsia="黑体"/>
          <w:lang w:val="en-US" w:eastAsia="zh-CN"/>
        </w:rPr>
        <w:t>1</w:t>
      </w:r>
      <w:r>
        <w:rPr>
          <w:rFonts w:eastAsia="黑体"/>
        </w:rPr>
        <w:t>.</w:t>
      </w:r>
      <w:r>
        <w:rPr>
          <w:rFonts w:hint="eastAsia" w:eastAsia="黑体"/>
          <w:lang w:val="en-US" w:eastAsia="zh-CN"/>
        </w:rPr>
        <w:t>3</w:t>
      </w:r>
      <w:r>
        <w:rPr>
          <w:rFonts w:eastAsia="黑体"/>
        </w:rPr>
        <w:t xml:space="preserve">  </w:t>
      </w:r>
      <w:r>
        <w:rPr>
          <w:rFonts w:hint="eastAsia"/>
          <w:bCs/>
          <w:szCs w:val="21"/>
          <w:lang w:val="en-US" w:eastAsia="zh-CN"/>
        </w:rPr>
        <w:t>乙酸正戊酯标准物质：纯度≥99%，国家有证标准物质，作为内标使用。</w:t>
      </w:r>
    </w:p>
    <w:p w14:paraId="2ADA85C5">
      <w:pPr>
        <w:spacing w:before="156" w:beforeLines="50" w:after="156" w:afterLines="50"/>
        <w:jc w:val="left"/>
        <w:rPr>
          <w:rFonts w:hint="eastAsia"/>
          <w:bCs/>
          <w:szCs w:val="21"/>
          <w:lang w:val="en-US" w:eastAsia="zh-CN"/>
        </w:rPr>
      </w:pPr>
      <w:r>
        <w:rPr>
          <w:rFonts w:hint="eastAsia" w:eastAsia="黑体"/>
          <w:lang w:val="en-US" w:eastAsia="zh-CN"/>
        </w:rPr>
        <w:t>5</w:t>
      </w:r>
      <w:r>
        <w:rPr>
          <w:rFonts w:eastAsia="黑体"/>
        </w:rPr>
        <w:t>.</w:t>
      </w:r>
      <w:r>
        <w:rPr>
          <w:rFonts w:hint="eastAsia" w:eastAsia="黑体"/>
          <w:lang w:val="en-US" w:eastAsia="zh-CN"/>
        </w:rPr>
        <w:t>1.4</w:t>
      </w:r>
      <w:r>
        <w:rPr>
          <w:rFonts w:eastAsia="黑体"/>
        </w:rPr>
        <w:t xml:space="preserve">  </w:t>
      </w:r>
      <w:r>
        <w:rPr>
          <w:rFonts w:hint="eastAsia"/>
          <w:bCs/>
          <w:szCs w:val="21"/>
          <w:lang w:val="en-US" w:eastAsia="zh-CN"/>
        </w:rPr>
        <w:t>乙醇溶液（50%，体积分数）：量取250 mL乙醇（5.1.1），加入250 mL水，充分混匀。</w:t>
      </w:r>
    </w:p>
    <w:p w14:paraId="54604F8E">
      <w:pPr>
        <w:spacing w:before="156" w:beforeLines="50" w:after="156" w:afterLines="50"/>
        <w:jc w:val="left"/>
        <w:rPr>
          <w:rFonts w:hint="default"/>
          <w:bCs/>
          <w:szCs w:val="21"/>
          <w:lang w:val="en-US" w:eastAsia="zh-CN"/>
        </w:rPr>
      </w:pPr>
      <w:r>
        <w:rPr>
          <w:rFonts w:hint="eastAsia"/>
          <w:bCs/>
          <w:szCs w:val="21"/>
          <w:lang w:val="en-US" w:eastAsia="zh-CN"/>
        </w:rPr>
        <w:t>5.1.5  实验用水：GB/T 6682 规定的二级水或二级以上水。</w:t>
      </w:r>
    </w:p>
    <w:p w14:paraId="5CF5E6F2">
      <w:pPr>
        <w:spacing w:before="156" w:beforeLines="50" w:after="156" w:afterLines="50"/>
        <w:jc w:val="left"/>
        <w:rPr>
          <w:rFonts w:hint="default" w:eastAsia="黑体"/>
          <w:lang w:val="en-US" w:eastAsia="zh-CN"/>
        </w:rPr>
      </w:pPr>
      <w:r>
        <w:rPr>
          <w:rFonts w:hint="eastAsia" w:eastAsia="黑体"/>
          <w:lang w:val="en-US" w:eastAsia="zh-CN"/>
        </w:rPr>
        <w:t>5</w:t>
      </w:r>
      <w:r>
        <w:rPr>
          <w:rFonts w:eastAsia="黑体"/>
        </w:rPr>
        <w:t xml:space="preserve">.2  </w:t>
      </w:r>
      <w:r>
        <w:rPr>
          <w:rFonts w:hint="eastAsia" w:eastAsia="黑体"/>
          <w:lang w:val="en-US" w:eastAsia="zh-CN"/>
        </w:rPr>
        <w:t>标准溶液</w:t>
      </w:r>
    </w:p>
    <w:p w14:paraId="2B631FF2">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bCs/>
          <w:szCs w:val="21"/>
          <w:lang w:val="en-US" w:eastAsia="zh-CN"/>
        </w:rPr>
      </w:pPr>
      <w:r>
        <w:rPr>
          <w:rFonts w:hint="eastAsia" w:eastAsia="黑体"/>
          <w:lang w:val="en-US" w:eastAsia="zh-CN"/>
        </w:rPr>
        <w:t>5</w:t>
      </w:r>
      <w:r>
        <w:rPr>
          <w:rFonts w:eastAsia="黑体"/>
        </w:rPr>
        <w:t>.</w:t>
      </w:r>
      <w:r>
        <w:rPr>
          <w:rFonts w:hint="eastAsia" w:eastAsia="黑体"/>
          <w:lang w:val="en-US" w:eastAsia="zh-CN"/>
        </w:rPr>
        <w:t>2</w:t>
      </w:r>
      <w:r>
        <w:rPr>
          <w:rFonts w:eastAsia="黑体"/>
        </w:rPr>
        <w:t>.</w:t>
      </w:r>
      <w:r>
        <w:rPr>
          <w:rFonts w:hint="eastAsia" w:eastAsia="黑体"/>
          <w:lang w:val="en-US" w:eastAsia="zh-CN"/>
        </w:rPr>
        <w:t>1</w:t>
      </w:r>
      <w:r>
        <w:rPr>
          <w:rFonts w:eastAsia="黑体"/>
        </w:rPr>
        <w:t xml:space="preserve">  </w:t>
      </w:r>
      <w:r>
        <w:rPr>
          <w:rFonts w:hint="eastAsia"/>
          <w:bCs/>
          <w:szCs w:val="21"/>
          <w:lang w:val="en-US" w:eastAsia="zh-CN"/>
        </w:rPr>
        <w:t>棕榈酸乙酯标准物质储备液（1 000 mg/L）：准确称取0.10 g（精确至1 mg）</w:t>
      </w:r>
      <w:r>
        <w:rPr>
          <w:rFonts w:eastAsia="黑体"/>
        </w:rPr>
        <w:t xml:space="preserve"> </w:t>
      </w:r>
      <w:r>
        <w:rPr>
          <w:rFonts w:hint="eastAsia"/>
          <w:bCs/>
          <w:szCs w:val="21"/>
          <w:lang w:val="en-US" w:eastAsia="zh-CN"/>
        </w:rPr>
        <w:t>棕榈酸乙酯标准物质（5.1.2），加入适量的乙醇（5.1.1）溶解，转移至100 mL容量瓶，定容，充分混匀。</w:t>
      </w:r>
    </w:p>
    <w:p w14:paraId="03511688">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bCs/>
          <w:szCs w:val="21"/>
          <w:lang w:val="en-US" w:eastAsia="zh-CN"/>
        </w:rPr>
      </w:pPr>
      <w:r>
        <w:rPr>
          <w:rFonts w:hint="eastAsia" w:eastAsia="黑体"/>
          <w:lang w:val="en-US" w:eastAsia="zh-CN"/>
        </w:rPr>
        <w:t>5</w:t>
      </w:r>
      <w:r>
        <w:rPr>
          <w:rFonts w:eastAsia="黑体"/>
        </w:rPr>
        <w:t>.</w:t>
      </w:r>
      <w:r>
        <w:rPr>
          <w:rFonts w:hint="eastAsia" w:eastAsia="黑体"/>
          <w:lang w:val="en-US" w:eastAsia="zh-CN"/>
        </w:rPr>
        <w:t>2</w:t>
      </w:r>
      <w:r>
        <w:rPr>
          <w:rFonts w:eastAsia="黑体"/>
        </w:rPr>
        <w:t>.</w:t>
      </w:r>
      <w:r>
        <w:rPr>
          <w:rFonts w:hint="eastAsia" w:eastAsia="黑体"/>
          <w:lang w:val="en-US" w:eastAsia="zh-CN"/>
        </w:rPr>
        <w:t>2</w:t>
      </w:r>
      <w:r>
        <w:rPr>
          <w:rFonts w:eastAsia="黑体"/>
        </w:rPr>
        <w:t xml:space="preserve">  </w:t>
      </w:r>
      <w:r>
        <w:rPr>
          <w:rFonts w:hint="eastAsia"/>
          <w:bCs/>
          <w:szCs w:val="21"/>
          <w:lang w:val="en-US" w:eastAsia="zh-CN"/>
        </w:rPr>
        <w:t>乙酸正戊酯标准物质储备液（2 000 mg/L）：准确称取0.20 g（精确至1 mg）</w:t>
      </w:r>
      <w:r>
        <w:rPr>
          <w:rFonts w:eastAsia="黑体"/>
        </w:rPr>
        <w:t xml:space="preserve"> </w:t>
      </w:r>
      <w:r>
        <w:rPr>
          <w:rFonts w:hint="eastAsia"/>
          <w:bCs/>
          <w:szCs w:val="21"/>
          <w:lang w:val="en-US" w:eastAsia="zh-CN"/>
        </w:rPr>
        <w:t>乙酸正戊酯标准物质（5.1.3），加入适量的乙醇溶液（50%，体积分数）（5.1.4）溶解，转移至100 mL容量瓶，定容，充分混匀。</w:t>
      </w:r>
    </w:p>
    <w:p w14:paraId="28046619">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pPr>
      <w:r>
        <w:rPr>
          <w:rFonts w:hint="eastAsia" w:eastAsia="黑体"/>
          <w:lang w:val="en-US" w:eastAsia="zh-CN"/>
        </w:rPr>
        <w:t>5</w:t>
      </w:r>
      <w:r>
        <w:rPr>
          <w:rFonts w:eastAsia="黑体"/>
        </w:rPr>
        <w:t>.</w:t>
      </w:r>
      <w:r>
        <w:rPr>
          <w:rFonts w:hint="eastAsia" w:eastAsia="黑体"/>
          <w:lang w:val="en-US" w:eastAsia="zh-CN"/>
        </w:rPr>
        <w:t>2</w:t>
      </w:r>
      <w:r>
        <w:rPr>
          <w:rFonts w:eastAsia="黑体"/>
        </w:rPr>
        <w:t>.</w:t>
      </w:r>
      <w:r>
        <w:rPr>
          <w:rFonts w:hint="eastAsia" w:eastAsia="黑体"/>
          <w:lang w:val="en-US" w:eastAsia="zh-CN"/>
        </w:rPr>
        <w:t>3</w:t>
      </w:r>
      <w:r>
        <w:rPr>
          <w:rFonts w:eastAsia="黑体"/>
        </w:rPr>
        <w:t xml:space="preserve">  </w:t>
      </w:r>
      <w:r>
        <w:rPr>
          <w:rFonts w:hint="eastAsia"/>
          <w:bCs/>
          <w:szCs w:val="21"/>
          <w:lang w:val="en-US" w:eastAsia="zh-CN"/>
        </w:rPr>
        <w:t>棕榈酸乙酯标准工作溶液：分别吸取</w:t>
      </w:r>
      <w:r>
        <w:rPr>
          <w:rFonts w:hint="eastAsia"/>
          <w:bCs/>
          <w:szCs w:val="21"/>
          <w:highlight w:val="none"/>
          <w:lang w:val="en-US" w:eastAsia="zh-CN"/>
        </w:rPr>
        <w:t>0.05 mL、0.1 mL、0.2 mL、0.5 mL、1.0 mL</w:t>
      </w:r>
      <w:r>
        <w:rPr>
          <w:rFonts w:hint="eastAsia"/>
          <w:bCs/>
          <w:szCs w:val="21"/>
          <w:lang w:val="en-US" w:eastAsia="zh-CN"/>
        </w:rPr>
        <w:t>棕榈酸乙酯标准物质储备液（5.2.1）于5个10 mL容量瓶中，然后分别加入0.1 mL乙酸正戊酯内标溶液（5.2.2）使用乙醇溶液（50%，体积分数）（5.1.4）定容，充分混匀。配制成棕榈酸乙酯为5 mg/L、10 mg/L、20 mg/L、50 mg/L、100 mg/L的系列标准工作溶液，现配现用。</w:t>
      </w:r>
    </w:p>
    <w:p w14:paraId="4310B82C">
      <w:pPr>
        <w:pStyle w:val="16"/>
        <w:spacing w:before="156" w:beforeLines="50" w:after="156" w:afterLines="50"/>
        <w:rPr>
          <w:rFonts w:hint="default" w:eastAsia="黑体"/>
          <w:kern w:val="2"/>
          <w:szCs w:val="24"/>
          <w:lang w:val="en-US" w:eastAsia="zh-CN"/>
        </w:rPr>
      </w:pPr>
      <w:r>
        <w:rPr>
          <w:kern w:val="2"/>
          <w:szCs w:val="24"/>
        </w:rPr>
        <w:t xml:space="preserve">6  </w:t>
      </w:r>
      <w:r>
        <w:rPr>
          <w:rFonts w:hint="eastAsia"/>
          <w:lang w:val="en-US" w:eastAsia="zh-CN"/>
        </w:rPr>
        <w:t>仪器设备</w:t>
      </w:r>
    </w:p>
    <w:p w14:paraId="4D4A4E49">
      <w:pPr>
        <w:spacing w:before="156" w:beforeLines="50" w:after="156" w:afterLines="50"/>
        <w:jc w:val="left"/>
        <w:rPr>
          <w:rFonts w:hint="default" w:eastAsia="黑体"/>
          <w:lang w:val="en-US" w:eastAsia="zh-CN"/>
        </w:rPr>
      </w:pPr>
      <w:r>
        <w:rPr>
          <w:rFonts w:hint="eastAsia" w:eastAsia="黑体"/>
          <w:lang w:val="en-US" w:eastAsia="zh-CN"/>
        </w:rPr>
        <w:t>6</w:t>
      </w:r>
      <w:r>
        <w:rPr>
          <w:rFonts w:eastAsia="黑体"/>
        </w:rPr>
        <w:t>.</w:t>
      </w:r>
      <w:r>
        <w:rPr>
          <w:rFonts w:hint="eastAsia" w:eastAsia="黑体"/>
          <w:lang w:val="en-US" w:eastAsia="zh-CN"/>
        </w:rPr>
        <w:t>1</w:t>
      </w:r>
      <w:r>
        <w:rPr>
          <w:rFonts w:eastAsia="黑体"/>
        </w:rPr>
        <w:t xml:space="preserve">  </w:t>
      </w:r>
      <w:r>
        <w:rPr>
          <w:rFonts w:hint="eastAsia" w:eastAsia="黑体"/>
          <w:lang w:val="en-US" w:eastAsia="zh-CN"/>
        </w:rPr>
        <w:t>气相色谱仪</w:t>
      </w:r>
    </w:p>
    <w:p w14:paraId="1B072B8E">
      <w:pPr>
        <w:pStyle w:val="17"/>
        <w:spacing w:line="360" w:lineRule="auto"/>
        <w:ind w:firstLine="420" w:firstLineChars="200"/>
        <w:rPr>
          <w:rFonts w:ascii="Times New Roman"/>
        </w:rPr>
      </w:pPr>
      <w:r>
        <w:rPr>
          <w:rFonts w:hint="eastAsia" w:ascii="Times New Roman"/>
          <w:lang w:val="en-US" w:eastAsia="zh-CN"/>
        </w:rPr>
        <w:t>配氢火焰离子化检测器（FID）</w:t>
      </w:r>
      <w:r>
        <w:rPr>
          <w:rFonts w:ascii="Times New Roman"/>
        </w:rPr>
        <w:t>。</w:t>
      </w:r>
    </w:p>
    <w:p w14:paraId="7052BD3C">
      <w:pPr>
        <w:spacing w:before="156" w:beforeLines="50" w:after="156" w:afterLines="50"/>
        <w:jc w:val="left"/>
        <w:rPr>
          <w:rFonts w:hint="eastAsia" w:eastAsia="黑体"/>
          <w:lang w:val="en-US" w:eastAsia="zh-CN"/>
        </w:rPr>
      </w:pPr>
      <w:r>
        <w:rPr>
          <w:rFonts w:hint="eastAsia" w:eastAsia="黑体"/>
          <w:lang w:val="en-US" w:eastAsia="zh-CN"/>
        </w:rPr>
        <w:t>6</w:t>
      </w:r>
      <w:r>
        <w:rPr>
          <w:rFonts w:eastAsia="黑体"/>
        </w:rPr>
        <w:t>.</w:t>
      </w:r>
      <w:r>
        <w:rPr>
          <w:rFonts w:hint="eastAsia" w:eastAsia="黑体"/>
          <w:lang w:val="en-US" w:eastAsia="zh-CN"/>
        </w:rPr>
        <w:t>2</w:t>
      </w:r>
      <w:r>
        <w:rPr>
          <w:rFonts w:eastAsia="黑体"/>
        </w:rPr>
        <w:t xml:space="preserve">  </w:t>
      </w:r>
      <w:r>
        <w:rPr>
          <w:rFonts w:hint="eastAsia" w:eastAsia="黑体"/>
          <w:lang w:val="en-US" w:eastAsia="zh-CN"/>
        </w:rPr>
        <w:t>毛细管色谱柱</w:t>
      </w:r>
    </w:p>
    <w:p w14:paraId="17906371">
      <w:pPr>
        <w:pStyle w:val="17"/>
        <w:spacing w:line="360" w:lineRule="auto"/>
        <w:ind w:firstLine="420" w:firstLineChars="200"/>
        <w:rPr>
          <w:rFonts w:hint="default" w:ascii="Times New Roman" w:eastAsia="宋体"/>
          <w:highlight w:val="none"/>
          <w:lang w:val="en-US" w:eastAsia="zh-CN"/>
        </w:rPr>
      </w:pPr>
      <w:r>
        <w:rPr>
          <w:rFonts w:hint="eastAsia" w:ascii="Times New Roman"/>
          <w:highlight w:val="none"/>
          <w:lang w:val="en-US" w:eastAsia="zh-CN"/>
        </w:rPr>
        <w:t>岛津SH-Polar D毛细管色谱柱（60 m</w:t>
      </w:r>
      <w:r>
        <w:rPr>
          <w:rFonts w:hint="default" w:ascii="Arial" w:hAnsi="Arial" w:cs="Arial"/>
          <w:highlight w:val="none"/>
          <w:lang w:val="en-US" w:eastAsia="zh-CN"/>
        </w:rPr>
        <w:t>×</w:t>
      </w:r>
      <w:r>
        <w:rPr>
          <w:rFonts w:hint="eastAsia" w:ascii="Times New Roman"/>
          <w:highlight w:val="none"/>
          <w:lang w:val="en-US" w:eastAsia="zh-CN"/>
        </w:rPr>
        <w:t>0.25 mm</w:t>
      </w:r>
      <w:r>
        <w:rPr>
          <w:rFonts w:hint="default" w:ascii="Arial" w:hAnsi="Arial" w:cs="Arial"/>
          <w:highlight w:val="none"/>
          <w:lang w:val="en-US" w:eastAsia="zh-CN"/>
        </w:rPr>
        <w:t>×</w:t>
      </w:r>
      <w:r>
        <w:rPr>
          <w:rFonts w:hint="eastAsia" w:ascii="Times New Roman"/>
          <w:highlight w:val="none"/>
          <w:lang w:val="en-US" w:eastAsia="zh-CN"/>
        </w:rPr>
        <w:t>0.25</w:t>
      </w:r>
      <w:r>
        <w:rPr>
          <w:rFonts w:hint="eastAsia" w:ascii="宋体" w:hAnsi="宋体" w:eastAsia="宋体" w:cs="宋体"/>
          <w:highlight w:val="none"/>
          <w:lang w:val="en-US" w:eastAsia="zh-CN"/>
        </w:rPr>
        <w:t>μ</w:t>
      </w:r>
      <w:r>
        <w:rPr>
          <w:rFonts w:hint="eastAsia" w:ascii="Times New Roman"/>
          <w:highlight w:val="none"/>
          <w:lang w:val="en-US" w:eastAsia="zh-CN"/>
        </w:rPr>
        <w:t>m）或其他具有同等分析效果的色谱柱。</w:t>
      </w:r>
    </w:p>
    <w:p w14:paraId="67F0AC52">
      <w:pPr>
        <w:spacing w:before="156" w:beforeLines="50" w:after="156" w:afterLines="50"/>
        <w:jc w:val="left"/>
        <w:rPr>
          <w:rFonts w:hint="default" w:eastAsia="黑体"/>
          <w:lang w:val="en-US" w:eastAsia="zh-CN"/>
        </w:rPr>
      </w:pPr>
      <w:r>
        <w:rPr>
          <w:rFonts w:hint="eastAsia" w:eastAsia="黑体"/>
          <w:lang w:val="en-US" w:eastAsia="zh-CN"/>
        </w:rPr>
        <w:t>6</w:t>
      </w:r>
      <w:r>
        <w:rPr>
          <w:rFonts w:eastAsia="黑体"/>
        </w:rPr>
        <w:t>.</w:t>
      </w:r>
      <w:r>
        <w:rPr>
          <w:rFonts w:hint="eastAsia" w:eastAsia="黑体"/>
          <w:lang w:val="en-US" w:eastAsia="zh-CN"/>
        </w:rPr>
        <w:t>3</w:t>
      </w:r>
      <w:r>
        <w:rPr>
          <w:rFonts w:eastAsia="黑体"/>
        </w:rPr>
        <w:t xml:space="preserve">  </w:t>
      </w:r>
      <w:r>
        <w:rPr>
          <w:rFonts w:hint="eastAsia" w:eastAsia="黑体"/>
          <w:lang w:val="en-US" w:eastAsia="zh-CN"/>
        </w:rPr>
        <w:t>分析天平</w:t>
      </w:r>
    </w:p>
    <w:p w14:paraId="4138486D">
      <w:pPr>
        <w:spacing w:before="156" w:beforeLines="50" w:after="156" w:afterLines="50"/>
        <w:ind w:firstLine="420" w:firstLineChars="200"/>
        <w:jc w:val="left"/>
        <w:rPr>
          <w:rFonts w:hint="eastAsia"/>
          <w:lang w:val="en-US" w:eastAsia="zh-CN"/>
        </w:rPr>
      </w:pPr>
      <w:r>
        <w:rPr>
          <w:rFonts w:hint="eastAsia"/>
          <w:lang w:val="en-US" w:eastAsia="zh-CN"/>
        </w:rPr>
        <w:t>感量为0.1 mg。</w:t>
      </w:r>
    </w:p>
    <w:p w14:paraId="7D314C8E">
      <w:pPr>
        <w:spacing w:before="156" w:beforeLines="50" w:after="156" w:afterLines="50"/>
        <w:jc w:val="left"/>
        <w:rPr>
          <w:rFonts w:hint="default" w:eastAsia="黑体"/>
          <w:lang w:val="en-US" w:eastAsia="zh-CN"/>
        </w:rPr>
      </w:pPr>
      <w:r>
        <w:rPr>
          <w:rFonts w:hint="eastAsia" w:eastAsia="黑体"/>
          <w:lang w:val="en-US" w:eastAsia="zh-CN"/>
        </w:rPr>
        <w:t>6.4</w:t>
      </w:r>
      <w:r>
        <w:rPr>
          <w:rFonts w:eastAsia="黑体"/>
        </w:rPr>
        <w:t xml:space="preserve">  </w:t>
      </w:r>
      <w:r>
        <w:rPr>
          <w:rFonts w:hint="eastAsia" w:eastAsia="黑体"/>
          <w:lang w:val="en-US" w:eastAsia="zh-CN"/>
        </w:rPr>
        <w:t>移液器</w:t>
      </w:r>
    </w:p>
    <w:p w14:paraId="4C7A5950">
      <w:pPr>
        <w:spacing w:before="156" w:beforeLines="50" w:after="156" w:afterLines="50"/>
        <w:ind w:firstLine="420" w:firstLineChars="200"/>
        <w:jc w:val="left"/>
        <w:rPr>
          <w:rFonts w:hint="eastAsia"/>
          <w:lang w:val="en-US" w:eastAsia="zh-CN"/>
        </w:rPr>
      </w:pPr>
      <w:r>
        <w:rPr>
          <w:rFonts w:hint="eastAsia"/>
          <w:lang w:val="en-US" w:eastAsia="zh-CN"/>
        </w:rPr>
        <w:t>0.1 mL-1.0 mL。</w:t>
      </w:r>
    </w:p>
    <w:p w14:paraId="74390DF6">
      <w:pPr>
        <w:spacing w:before="156" w:beforeLines="50" w:after="156" w:afterLines="50"/>
        <w:jc w:val="left"/>
        <w:rPr>
          <w:rFonts w:hint="eastAsia" w:eastAsia="黑体"/>
          <w:lang w:val="en-US" w:eastAsia="zh-CN"/>
        </w:rPr>
      </w:pPr>
      <w:r>
        <w:rPr>
          <w:rFonts w:hint="eastAsia" w:eastAsia="黑体"/>
          <w:lang w:val="en-US" w:eastAsia="zh-CN"/>
        </w:rPr>
        <w:t>6</w:t>
      </w:r>
      <w:r>
        <w:rPr>
          <w:rFonts w:eastAsia="黑体"/>
        </w:rPr>
        <w:t>.</w:t>
      </w:r>
      <w:r>
        <w:rPr>
          <w:rFonts w:hint="eastAsia" w:eastAsia="黑体"/>
          <w:lang w:val="en-US" w:eastAsia="zh-CN"/>
        </w:rPr>
        <w:t>5</w:t>
      </w:r>
      <w:r>
        <w:rPr>
          <w:rFonts w:eastAsia="黑体"/>
        </w:rPr>
        <w:t xml:space="preserve">  </w:t>
      </w:r>
      <w:r>
        <w:rPr>
          <w:rFonts w:hint="eastAsia" w:eastAsia="黑体"/>
          <w:lang w:val="en-US" w:eastAsia="zh-CN"/>
        </w:rPr>
        <w:t>微量注射器</w:t>
      </w:r>
    </w:p>
    <w:p w14:paraId="3759891C">
      <w:pPr>
        <w:spacing w:before="156" w:beforeLines="50" w:after="156" w:afterLines="50"/>
        <w:ind w:firstLine="420" w:firstLineChars="200"/>
        <w:jc w:val="left"/>
        <w:rPr>
          <w:rFonts w:hint="default"/>
          <w:lang w:val="en-US" w:eastAsia="zh-CN"/>
        </w:rPr>
      </w:pPr>
      <w:r>
        <w:rPr>
          <w:rFonts w:hint="eastAsia"/>
          <w:lang w:val="en-US" w:eastAsia="zh-CN"/>
        </w:rPr>
        <w:t>微量注射器应为10</w:t>
      </w:r>
      <w:r>
        <w:rPr>
          <w:rFonts w:hint="eastAsia" w:ascii="宋体" w:hAnsi="宋体" w:eastAsia="宋体" w:cs="宋体"/>
          <w:lang w:val="en-US" w:eastAsia="zh-CN"/>
        </w:rPr>
        <w:t>μ</w:t>
      </w:r>
      <w:r>
        <w:rPr>
          <w:rFonts w:hint="eastAsia"/>
          <w:lang w:val="en-US" w:eastAsia="zh-CN"/>
        </w:rPr>
        <w:t>L，1</w:t>
      </w:r>
      <w:r>
        <w:rPr>
          <w:rFonts w:hint="eastAsia" w:ascii="宋体" w:hAnsi="宋体" w:eastAsia="宋体" w:cs="宋体"/>
          <w:lang w:val="en-US" w:eastAsia="zh-CN"/>
        </w:rPr>
        <w:t>μ</w:t>
      </w:r>
      <w:r>
        <w:rPr>
          <w:rFonts w:hint="eastAsia"/>
          <w:lang w:val="en-US" w:eastAsia="zh-CN"/>
        </w:rPr>
        <w:t>L。</w:t>
      </w:r>
    </w:p>
    <w:p w14:paraId="5D0BB1BC">
      <w:pPr>
        <w:pStyle w:val="16"/>
        <w:spacing w:before="156" w:beforeLines="50" w:after="156" w:afterLines="50"/>
        <w:rPr>
          <w:rFonts w:hint="default" w:eastAsia="黑体"/>
          <w:kern w:val="2"/>
          <w:szCs w:val="24"/>
          <w:lang w:val="en-US" w:eastAsia="zh-CN"/>
        </w:rPr>
      </w:pPr>
      <w:r>
        <w:rPr>
          <w:rFonts w:hint="eastAsia"/>
          <w:kern w:val="2"/>
          <w:szCs w:val="24"/>
          <w:lang w:val="en-US" w:eastAsia="zh-CN"/>
        </w:rPr>
        <w:t>7</w:t>
      </w:r>
      <w:r>
        <w:rPr>
          <w:kern w:val="2"/>
          <w:szCs w:val="24"/>
        </w:rPr>
        <w:t xml:space="preserve">  </w:t>
      </w:r>
      <w:r>
        <w:rPr>
          <w:rFonts w:hint="eastAsia"/>
          <w:lang w:val="en-US" w:eastAsia="zh-CN"/>
        </w:rPr>
        <w:t>分析步骤</w:t>
      </w:r>
    </w:p>
    <w:p w14:paraId="253C8259">
      <w:pPr>
        <w:spacing w:before="156" w:beforeLines="50" w:after="156" w:afterLines="50"/>
        <w:jc w:val="left"/>
        <w:rPr>
          <w:rFonts w:hint="default" w:eastAsia="黑体"/>
          <w:lang w:val="en-US" w:eastAsia="zh-CN"/>
        </w:rPr>
      </w:pPr>
      <w:r>
        <w:rPr>
          <w:rFonts w:hint="eastAsia" w:eastAsia="黑体"/>
          <w:lang w:val="en-US" w:eastAsia="zh-CN"/>
        </w:rPr>
        <w:t>7.1</w:t>
      </w:r>
      <w:r>
        <w:rPr>
          <w:rFonts w:eastAsia="黑体"/>
        </w:rPr>
        <w:t xml:space="preserve">  </w:t>
      </w:r>
      <w:r>
        <w:rPr>
          <w:rFonts w:hint="eastAsia" w:eastAsia="黑体"/>
          <w:lang w:val="en-US" w:eastAsia="zh-CN"/>
        </w:rPr>
        <w:t>样品制备</w:t>
      </w:r>
    </w:p>
    <w:p w14:paraId="23026238">
      <w:pPr>
        <w:pStyle w:val="17"/>
        <w:spacing w:line="360" w:lineRule="auto"/>
        <w:ind w:firstLine="420" w:firstLineChars="200"/>
        <w:rPr>
          <w:rFonts w:hint="default" w:ascii="Times New Roman" w:eastAsia="宋体"/>
          <w:lang w:val="en-US" w:eastAsia="zh-CN"/>
        </w:rPr>
      </w:pPr>
      <w:r>
        <w:rPr>
          <w:rFonts w:hint="eastAsia" w:ascii="Times New Roman"/>
          <w:lang w:val="en-US" w:eastAsia="zh-CN"/>
        </w:rPr>
        <w:t>移取适量样品置于10 mL容量瓶中，加入0.1 mL内标溶液（5.1.1），使用同一样品定容，充分混匀。</w:t>
      </w:r>
    </w:p>
    <w:p w14:paraId="6A5FE775">
      <w:pPr>
        <w:spacing w:before="156" w:beforeLines="50" w:after="156" w:afterLines="50"/>
        <w:jc w:val="left"/>
        <w:rPr>
          <w:rFonts w:hint="default" w:eastAsia="黑体"/>
          <w:lang w:val="en-US" w:eastAsia="zh-CN"/>
        </w:rPr>
      </w:pPr>
      <w:r>
        <w:rPr>
          <w:rFonts w:hint="eastAsia" w:eastAsia="黑体"/>
          <w:lang w:val="en-US" w:eastAsia="zh-CN"/>
        </w:rPr>
        <w:t>7.2</w:t>
      </w:r>
      <w:r>
        <w:rPr>
          <w:rFonts w:eastAsia="黑体"/>
        </w:rPr>
        <w:t xml:space="preserve">  </w:t>
      </w:r>
      <w:r>
        <w:rPr>
          <w:rFonts w:hint="eastAsia" w:eastAsia="黑体"/>
          <w:lang w:val="en-US" w:eastAsia="zh-CN"/>
        </w:rPr>
        <w:t>色谱参考条件</w:t>
      </w:r>
    </w:p>
    <w:p w14:paraId="705CEC3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default" w:eastAsia="黑体"/>
          <w:lang w:val="en-US" w:eastAsia="zh-CN"/>
        </w:rPr>
      </w:pPr>
      <w:r>
        <w:rPr>
          <w:rFonts w:hint="eastAsia" w:eastAsia="黑体"/>
          <w:lang w:val="en-US" w:eastAsia="zh-CN"/>
        </w:rPr>
        <w:t>7</w:t>
      </w:r>
      <w:r>
        <w:rPr>
          <w:rFonts w:eastAsia="黑体"/>
        </w:rPr>
        <w:t>.</w:t>
      </w:r>
      <w:r>
        <w:rPr>
          <w:rFonts w:hint="eastAsia" w:eastAsia="黑体"/>
          <w:lang w:val="en-US" w:eastAsia="zh-CN"/>
        </w:rPr>
        <w:t>2.1</w:t>
      </w:r>
      <w:r>
        <w:rPr>
          <w:rFonts w:eastAsia="黑体"/>
        </w:rPr>
        <w:t xml:space="preserve">  </w:t>
      </w:r>
      <w:r>
        <w:rPr>
          <w:rFonts w:hint="eastAsia" w:ascii="Times New Roman" w:hAnsi="Times New Roman" w:eastAsia="宋体" w:cs="Times New Roman"/>
          <w:kern w:val="2"/>
          <w:sz w:val="21"/>
          <w:szCs w:val="22"/>
          <w:lang w:val="en-US" w:eastAsia="zh-CN" w:bidi="ar-SA"/>
        </w:rPr>
        <w:t>升温程序：</w:t>
      </w:r>
      <w:r>
        <w:rPr>
          <w:rFonts w:hint="eastAsia" w:cs="Times New Roman"/>
          <w:kern w:val="2"/>
          <w:sz w:val="21"/>
          <w:szCs w:val="22"/>
          <w:lang w:val="en-US" w:eastAsia="zh-CN" w:bidi="ar-SA"/>
        </w:rPr>
        <w:t>初温50 ℃，保持1 min，以40.0 ℃/min 升至230 ℃，保持10 min。</w:t>
      </w:r>
    </w:p>
    <w:p w14:paraId="72D0D84C">
      <w:pPr>
        <w:spacing w:before="156" w:beforeLines="50" w:after="156" w:afterLines="50"/>
        <w:jc w:val="left"/>
        <w:rPr>
          <w:rFonts w:hint="default" w:eastAsia="黑体"/>
          <w:lang w:val="en-US" w:eastAsia="zh-CN"/>
        </w:rPr>
      </w:pPr>
      <w:r>
        <w:rPr>
          <w:rFonts w:hint="eastAsia" w:eastAsia="黑体"/>
          <w:lang w:val="en-US" w:eastAsia="zh-CN"/>
        </w:rPr>
        <w:t>7</w:t>
      </w:r>
      <w:r>
        <w:rPr>
          <w:rFonts w:eastAsia="黑体"/>
        </w:rPr>
        <w:t>.</w:t>
      </w:r>
      <w:r>
        <w:rPr>
          <w:rFonts w:hint="eastAsia" w:eastAsia="黑体"/>
          <w:lang w:val="en-US" w:eastAsia="zh-CN"/>
        </w:rPr>
        <w:t>2.2</w:t>
      </w:r>
      <w:r>
        <w:rPr>
          <w:rFonts w:eastAsia="黑体"/>
        </w:rPr>
        <w:t xml:space="preserve">  </w:t>
      </w:r>
      <w:r>
        <w:rPr>
          <w:rFonts w:hint="eastAsia" w:ascii="Times New Roman" w:hAnsi="Times New Roman" w:eastAsia="宋体" w:cs="Times New Roman"/>
          <w:kern w:val="2"/>
          <w:sz w:val="21"/>
          <w:szCs w:val="22"/>
          <w:lang w:val="en-US" w:eastAsia="zh-CN" w:bidi="ar-SA"/>
        </w:rPr>
        <w:t>检测器温度：</w:t>
      </w:r>
      <w:r>
        <w:rPr>
          <w:rFonts w:hint="eastAsia" w:cs="Times New Roman"/>
          <w:kern w:val="2"/>
          <w:sz w:val="21"/>
          <w:szCs w:val="22"/>
          <w:lang w:val="en-US" w:eastAsia="zh-CN" w:bidi="ar-SA"/>
        </w:rPr>
        <w:t>250 ℃。</w:t>
      </w:r>
    </w:p>
    <w:p w14:paraId="4C568378">
      <w:pPr>
        <w:spacing w:before="156" w:beforeLines="50" w:after="156" w:afterLines="50"/>
        <w:jc w:val="left"/>
        <w:rPr>
          <w:rFonts w:hint="default" w:eastAsia="黑体"/>
          <w:lang w:val="en-US" w:eastAsia="zh-CN"/>
        </w:rPr>
      </w:pPr>
      <w:r>
        <w:rPr>
          <w:rFonts w:hint="eastAsia" w:eastAsia="黑体"/>
          <w:lang w:val="en-US" w:eastAsia="zh-CN"/>
        </w:rPr>
        <w:t>7</w:t>
      </w:r>
      <w:r>
        <w:rPr>
          <w:rFonts w:eastAsia="黑体"/>
        </w:rPr>
        <w:t>.</w:t>
      </w:r>
      <w:r>
        <w:rPr>
          <w:rFonts w:hint="eastAsia" w:eastAsia="黑体"/>
          <w:lang w:val="en-US" w:eastAsia="zh-CN"/>
        </w:rPr>
        <w:t>2.3</w:t>
      </w:r>
      <w:r>
        <w:rPr>
          <w:rFonts w:eastAsia="黑体"/>
        </w:rPr>
        <w:t xml:space="preserve">  </w:t>
      </w:r>
      <w:r>
        <w:rPr>
          <w:rFonts w:hint="eastAsia" w:ascii="Times New Roman" w:hAnsi="Times New Roman" w:eastAsia="宋体" w:cs="Times New Roman"/>
          <w:kern w:val="2"/>
          <w:sz w:val="21"/>
          <w:szCs w:val="22"/>
          <w:lang w:val="en-US" w:eastAsia="zh-CN" w:bidi="ar-SA"/>
        </w:rPr>
        <w:t>进样口温度：</w:t>
      </w:r>
      <w:r>
        <w:rPr>
          <w:rFonts w:hint="eastAsia" w:cs="Times New Roman"/>
          <w:kern w:val="2"/>
          <w:sz w:val="21"/>
          <w:szCs w:val="22"/>
          <w:lang w:val="en-US" w:eastAsia="zh-CN" w:bidi="ar-SA"/>
        </w:rPr>
        <w:t>250 ℃。</w:t>
      </w:r>
    </w:p>
    <w:p w14:paraId="53BDBCE9">
      <w:pPr>
        <w:spacing w:before="156" w:beforeLines="50" w:after="156" w:afterLines="50"/>
        <w:jc w:val="left"/>
        <w:rPr>
          <w:rFonts w:hint="default" w:eastAsia="黑体"/>
          <w:lang w:val="en-US" w:eastAsia="zh-CN"/>
        </w:rPr>
      </w:pPr>
      <w:r>
        <w:rPr>
          <w:rFonts w:hint="eastAsia" w:eastAsia="黑体"/>
          <w:lang w:val="en-US" w:eastAsia="zh-CN"/>
        </w:rPr>
        <w:t>7</w:t>
      </w:r>
      <w:r>
        <w:rPr>
          <w:rFonts w:eastAsia="黑体"/>
        </w:rPr>
        <w:t>.</w:t>
      </w:r>
      <w:r>
        <w:rPr>
          <w:rFonts w:hint="eastAsia" w:eastAsia="黑体"/>
          <w:lang w:val="en-US" w:eastAsia="zh-CN"/>
        </w:rPr>
        <w:t>2.4</w:t>
      </w:r>
      <w:r>
        <w:rPr>
          <w:rFonts w:eastAsia="黑体"/>
        </w:rPr>
        <w:t xml:space="preserve">  </w:t>
      </w:r>
      <w:r>
        <w:rPr>
          <w:rFonts w:hint="eastAsia" w:cs="Times New Roman"/>
          <w:kern w:val="2"/>
          <w:sz w:val="21"/>
          <w:szCs w:val="22"/>
          <w:lang w:val="en-US" w:eastAsia="zh-CN" w:bidi="ar-SA"/>
        </w:rPr>
        <w:t>恒流模式：1.0 mL/min。</w:t>
      </w:r>
    </w:p>
    <w:p w14:paraId="0948D386">
      <w:pPr>
        <w:spacing w:before="156" w:beforeLines="50" w:after="156" w:afterLines="50"/>
        <w:jc w:val="left"/>
        <w:rPr>
          <w:rFonts w:hint="eastAsia" w:cs="Times New Roman"/>
          <w:kern w:val="2"/>
          <w:sz w:val="21"/>
          <w:szCs w:val="22"/>
          <w:lang w:val="en-US" w:eastAsia="zh-CN" w:bidi="ar-SA"/>
        </w:rPr>
      </w:pPr>
      <w:r>
        <w:rPr>
          <w:rFonts w:hint="eastAsia" w:eastAsia="黑体"/>
          <w:lang w:val="en-US" w:eastAsia="zh-CN"/>
        </w:rPr>
        <w:t>7</w:t>
      </w:r>
      <w:r>
        <w:rPr>
          <w:rFonts w:eastAsia="黑体"/>
        </w:rPr>
        <w:t>.</w:t>
      </w:r>
      <w:r>
        <w:rPr>
          <w:rFonts w:hint="eastAsia" w:eastAsia="黑体"/>
          <w:lang w:val="en-US" w:eastAsia="zh-CN"/>
        </w:rPr>
        <w:t>2.5</w:t>
      </w:r>
      <w:r>
        <w:rPr>
          <w:rFonts w:eastAsia="黑体"/>
        </w:rPr>
        <w:t xml:space="preserve">  </w:t>
      </w:r>
      <w:r>
        <w:rPr>
          <w:rFonts w:hint="eastAsia" w:cs="Times New Roman"/>
          <w:kern w:val="2"/>
          <w:sz w:val="21"/>
          <w:szCs w:val="22"/>
          <w:lang w:val="en-US" w:eastAsia="zh-CN" w:bidi="ar-SA"/>
        </w:rPr>
        <w:t>进样量</w:t>
      </w:r>
      <w:r>
        <w:rPr>
          <w:rFonts w:hint="eastAsia" w:ascii="Times New Roman" w:hAnsi="Times New Roman" w:eastAsia="宋体" w:cs="Times New Roman"/>
          <w:kern w:val="2"/>
          <w:sz w:val="21"/>
          <w:szCs w:val="22"/>
          <w:lang w:val="en-US" w:eastAsia="zh-CN" w:bidi="ar-SA"/>
        </w:rPr>
        <w:t>：</w:t>
      </w:r>
      <w:r>
        <w:rPr>
          <w:rFonts w:hint="eastAsia" w:cs="Times New Roman"/>
          <w:kern w:val="2"/>
          <w:sz w:val="21"/>
          <w:szCs w:val="22"/>
          <w:lang w:val="en-US" w:eastAsia="zh-CN" w:bidi="ar-SA"/>
        </w:rPr>
        <w:t xml:space="preserve">1.0 </w:t>
      </w:r>
      <w:r>
        <w:rPr>
          <w:rFonts w:hint="eastAsia" w:ascii="宋体" w:hAnsi="宋体" w:eastAsia="宋体" w:cs="宋体"/>
          <w:kern w:val="2"/>
          <w:sz w:val="21"/>
          <w:szCs w:val="22"/>
          <w:lang w:val="en-US" w:eastAsia="zh-CN" w:bidi="ar-SA"/>
        </w:rPr>
        <w:t>μ</w:t>
      </w:r>
      <w:r>
        <w:rPr>
          <w:rFonts w:hint="eastAsia" w:cs="Times New Roman"/>
          <w:kern w:val="2"/>
          <w:sz w:val="21"/>
          <w:szCs w:val="22"/>
          <w:lang w:val="en-US" w:eastAsia="zh-CN" w:bidi="ar-SA"/>
        </w:rPr>
        <w:t>L。</w:t>
      </w:r>
    </w:p>
    <w:p w14:paraId="72174C2D">
      <w:pPr>
        <w:spacing w:before="156" w:beforeLines="50" w:after="156" w:afterLines="50"/>
        <w:jc w:val="left"/>
        <w:rPr>
          <w:rFonts w:hint="eastAsia" w:cs="Times New Roman"/>
          <w:kern w:val="2"/>
          <w:sz w:val="21"/>
          <w:szCs w:val="22"/>
          <w:lang w:val="en-US" w:eastAsia="zh-CN" w:bidi="ar-SA"/>
        </w:rPr>
      </w:pPr>
      <w:r>
        <w:rPr>
          <w:rFonts w:hint="eastAsia" w:eastAsia="黑体"/>
          <w:lang w:val="en-US" w:eastAsia="zh-CN"/>
        </w:rPr>
        <w:t>7</w:t>
      </w:r>
      <w:r>
        <w:rPr>
          <w:rFonts w:eastAsia="黑体"/>
        </w:rPr>
        <w:t>.</w:t>
      </w:r>
      <w:r>
        <w:rPr>
          <w:rFonts w:hint="eastAsia" w:eastAsia="黑体"/>
          <w:lang w:val="en-US" w:eastAsia="zh-CN"/>
        </w:rPr>
        <w:t>2.6</w:t>
      </w:r>
      <w:r>
        <w:rPr>
          <w:rFonts w:eastAsia="黑体"/>
        </w:rPr>
        <w:t xml:space="preserve">  </w:t>
      </w:r>
      <w:r>
        <w:rPr>
          <w:rFonts w:hint="eastAsia" w:cs="Times New Roman"/>
          <w:kern w:val="2"/>
          <w:sz w:val="21"/>
          <w:szCs w:val="22"/>
          <w:lang w:val="en-US" w:eastAsia="zh-CN" w:bidi="ar-SA"/>
        </w:rPr>
        <w:t>分流比</w:t>
      </w:r>
      <w:r>
        <w:rPr>
          <w:rFonts w:hint="eastAsia" w:ascii="Times New Roman" w:hAnsi="Times New Roman" w:eastAsia="宋体" w:cs="Times New Roman"/>
          <w:kern w:val="2"/>
          <w:sz w:val="21"/>
          <w:szCs w:val="22"/>
          <w:lang w:val="en-US" w:eastAsia="zh-CN" w:bidi="ar-SA"/>
        </w:rPr>
        <w:t>：</w:t>
      </w:r>
      <w:r>
        <w:rPr>
          <w:rFonts w:hint="eastAsia" w:cs="Times New Roman"/>
          <w:kern w:val="2"/>
          <w:sz w:val="21"/>
          <w:szCs w:val="22"/>
          <w:lang w:val="en-US" w:eastAsia="zh-CN" w:bidi="ar-SA"/>
        </w:rPr>
        <w:t>40:1。</w:t>
      </w:r>
    </w:p>
    <w:p w14:paraId="29C0D499">
      <w:pPr>
        <w:spacing w:before="156" w:beforeLines="50" w:after="156" w:afterLines="50"/>
        <w:jc w:val="left"/>
        <w:rPr>
          <w:rFonts w:hint="default" w:eastAsia="黑体"/>
          <w:lang w:val="en-US" w:eastAsia="zh-CN"/>
        </w:rPr>
      </w:pPr>
      <w:r>
        <w:rPr>
          <w:rFonts w:hint="eastAsia" w:eastAsia="黑体"/>
          <w:lang w:val="en-US" w:eastAsia="zh-CN"/>
        </w:rPr>
        <w:t>7.3</w:t>
      </w:r>
      <w:r>
        <w:rPr>
          <w:rFonts w:eastAsia="黑体"/>
        </w:rPr>
        <w:t xml:space="preserve">  </w:t>
      </w:r>
      <w:r>
        <w:rPr>
          <w:rFonts w:hint="eastAsia" w:eastAsia="黑体"/>
          <w:lang w:val="en-US" w:eastAsia="zh-CN"/>
        </w:rPr>
        <w:t>绘制标准曲线</w:t>
      </w:r>
    </w:p>
    <w:p w14:paraId="5E8E9852">
      <w:pPr>
        <w:pStyle w:val="17"/>
        <w:spacing w:line="360" w:lineRule="auto"/>
        <w:ind w:firstLine="420" w:firstLineChars="200"/>
        <w:rPr>
          <w:rFonts w:hint="default" w:ascii="Times New Roman"/>
          <w:lang w:val="en-US" w:eastAsia="zh-CN"/>
        </w:rPr>
      </w:pPr>
      <w:r>
        <w:rPr>
          <w:rFonts w:hint="eastAsia" w:ascii="Times New Roman"/>
          <w:lang w:val="en-US" w:eastAsia="zh-CN"/>
        </w:rPr>
        <w:t>移取适量的棕榈酸乙酯标准工作溶液（5.2.3），按照色谱参考条件（7.2）进行测定，以棕榈酸乙酯色谱峰的保留时间为依据进行定性，以棕榈酸乙酯与对应内标浓度的比值为横坐标，棕榈酸乙酯与对应内标峰面积的比值为纵坐标，其中棕榈酸乙酯以乙酸正戊酯为内标，绘制标准工作曲线。</w:t>
      </w:r>
    </w:p>
    <w:p w14:paraId="234A6DD3">
      <w:pPr>
        <w:spacing w:before="156" w:beforeLines="50" w:after="156" w:afterLines="50"/>
        <w:jc w:val="left"/>
        <w:rPr>
          <w:rFonts w:hint="default" w:eastAsia="黑体"/>
          <w:lang w:val="en-US" w:eastAsia="zh-CN"/>
        </w:rPr>
      </w:pPr>
      <w:r>
        <w:rPr>
          <w:rFonts w:hint="eastAsia" w:eastAsia="黑体"/>
          <w:lang w:val="en-US" w:eastAsia="zh-CN"/>
        </w:rPr>
        <w:t>7.4  样品测定</w:t>
      </w:r>
    </w:p>
    <w:p w14:paraId="54155EB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20" w:firstLineChars="200"/>
        <w:jc w:val="left"/>
        <w:textAlignment w:val="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样品制备按7.1操作，按照色谱参考条件（7.2）测定样品。由标准工作曲线得到样品中待测组分的质量浓度与对应内标的质量浓度的比值</w:t>
      </w:r>
      <w:r>
        <w:rPr>
          <w:rFonts w:hint="eastAsia" w:ascii="Times New Roman" w:hAnsi="Times New Roman" w:eastAsia="宋体" w:cs="Times New Roman"/>
          <w:i/>
          <w:iCs/>
          <w:kern w:val="2"/>
          <w:sz w:val="21"/>
          <w:szCs w:val="22"/>
          <w:lang w:val="en-US" w:eastAsia="zh-CN" w:bidi="ar-SA"/>
        </w:rPr>
        <w:t>I</w:t>
      </w:r>
      <w:r>
        <w:rPr>
          <w:rFonts w:hint="eastAsia" w:ascii="Times New Roman" w:hAnsi="Times New Roman" w:eastAsia="宋体" w:cs="Times New Roman"/>
          <w:kern w:val="2"/>
          <w:sz w:val="21"/>
          <w:szCs w:val="22"/>
          <w:lang w:val="en-US" w:eastAsia="zh-CN" w:bidi="ar-SA"/>
        </w:rPr>
        <w:t>，再根据待测组分对应内标的浓度</w:t>
      </w:r>
      <w:r>
        <w:rPr>
          <w:rFonts w:hint="default" w:ascii="Times New Roman" w:hAnsi="Times New Roman" w:eastAsia="宋体" w:cs="Times New Roman"/>
          <w:i/>
          <w:iCs/>
          <w:kern w:val="2"/>
          <w:sz w:val="21"/>
          <w:szCs w:val="22"/>
          <w:lang w:val="en-US" w:eastAsia="zh-CN" w:bidi="ar-SA"/>
        </w:rPr>
        <w:t>ρ</w:t>
      </w:r>
      <w:r>
        <w:rPr>
          <w:rFonts w:hint="eastAsia" w:ascii="Times New Roman" w:hAnsi="Times New Roman" w:eastAsia="宋体" w:cs="Times New Roman"/>
          <w:kern w:val="2"/>
          <w:sz w:val="21"/>
          <w:szCs w:val="22"/>
          <w:lang w:val="en-US" w:eastAsia="zh-CN" w:bidi="ar-SA"/>
        </w:rPr>
        <w:t>，计算样品中待测组分的含量。</w:t>
      </w:r>
      <w:r>
        <w:rPr>
          <w:rFonts w:hint="eastAsia" w:cs="Times New Roman"/>
          <w:kern w:val="2"/>
          <w:sz w:val="21"/>
          <w:szCs w:val="22"/>
          <w:lang w:val="en-US" w:eastAsia="zh-CN" w:bidi="ar-SA"/>
        </w:rPr>
        <w:t>在上述色谱条件下，棕榈酸乙酯标准色谱图见附录A 中图A.1。</w:t>
      </w:r>
    </w:p>
    <w:p w14:paraId="545DB8F7">
      <w:pPr>
        <w:spacing w:before="156" w:beforeLines="50" w:after="156" w:afterLines="50"/>
        <w:jc w:val="left"/>
        <w:rPr>
          <w:rFonts w:hint="default" w:eastAsia="黑体"/>
          <w:lang w:val="en-US" w:eastAsia="zh-CN"/>
        </w:rPr>
      </w:pPr>
      <w:r>
        <w:rPr>
          <w:rFonts w:hint="eastAsia" w:eastAsia="黑体"/>
          <w:lang w:val="en-US" w:eastAsia="zh-CN"/>
        </w:rPr>
        <w:t>7.5</w:t>
      </w:r>
      <w:r>
        <w:rPr>
          <w:rFonts w:eastAsia="黑体"/>
        </w:rPr>
        <w:t xml:space="preserve">  </w:t>
      </w:r>
      <w:r>
        <w:rPr>
          <w:rFonts w:hint="eastAsia" w:eastAsia="黑体"/>
          <w:lang w:val="en-US" w:eastAsia="zh-CN"/>
        </w:rPr>
        <w:t>结果计算</w:t>
      </w:r>
    </w:p>
    <w:p w14:paraId="3F887469">
      <w:pPr>
        <w:spacing w:before="156" w:beforeLines="50" w:after="156" w:afterLines="50"/>
        <w:ind w:firstLine="420" w:firstLineChars="200"/>
        <w:jc w:val="left"/>
        <w:rPr>
          <w:rFonts w:hint="eastAsia"/>
          <w:lang w:val="en-US" w:eastAsia="zh-CN"/>
        </w:rPr>
      </w:pPr>
      <w:r>
        <w:rPr>
          <w:rFonts w:hint="eastAsia"/>
          <w:lang w:val="en-US" w:eastAsia="zh-CN"/>
        </w:rPr>
        <w:t>样品中棕榈酸乙酯的含量按式（1）计算。</w:t>
      </w:r>
    </w:p>
    <w:p w14:paraId="1D998F24">
      <w:pPr>
        <w:widowControl/>
        <w:spacing w:line="360" w:lineRule="auto"/>
        <w:jc w:val="right"/>
        <w:rPr>
          <w:rFonts w:hint="eastAsia"/>
          <w:lang w:val="en-US" w:eastAsia="zh-CN"/>
        </w:rPr>
      </w:pPr>
      <w:r>
        <w:rPr>
          <w:rFonts w:hint="eastAsia"/>
          <w:i/>
          <w:iCs/>
          <w:lang w:val="en-US" w:eastAsia="zh-CN"/>
        </w:rPr>
        <w:t>X</w:t>
      </w:r>
      <w:r>
        <w:t>=</w:t>
      </w:r>
      <w:r>
        <w:rPr>
          <w:i/>
        </w:rPr>
        <w:t xml:space="preserve"> </w:t>
      </w:r>
      <m:oMath>
        <m:f>
          <m:fPr>
            <m:ctrlPr>
              <w:rPr>
                <w:rFonts w:ascii="Cambria Math" w:hAnsi="Cambria Math"/>
                <w:i/>
                <w:sz w:val="28"/>
                <w:szCs w:val="36"/>
              </w:rPr>
            </m:ctrlPr>
          </m:fPr>
          <m:num>
            <m:r>
              <m:rPr/>
              <w:rPr>
                <w:rFonts w:hint="default" w:ascii="Cambria Math" w:hAnsi="Cambria Math"/>
                <w:sz w:val="28"/>
                <w:szCs w:val="36"/>
                <w:lang w:val="en-US" w:eastAsia="zh-CN"/>
              </w:rPr>
              <m:t>I</m:t>
            </m:r>
            <m:r>
              <m:rPr/>
              <w:rPr>
                <w:rFonts w:ascii="Cambria Math" w:hAnsi="Cambria Math"/>
                <w:sz w:val="28"/>
                <w:szCs w:val="36"/>
                <w:lang w:val="en-US"/>
              </w:rPr>
              <m:t>×ρ</m:t>
            </m:r>
            <m:ctrlPr>
              <w:rPr>
                <w:rFonts w:ascii="Cambria Math" w:hAnsi="Cambria Math"/>
                <w:i/>
                <w:sz w:val="28"/>
                <w:szCs w:val="36"/>
              </w:rPr>
            </m:ctrlPr>
          </m:num>
          <m:den>
            <m:r>
              <m:rPr/>
              <w:rPr>
                <w:rFonts w:hint="default" w:ascii="Cambria Math" w:hAnsi="Cambria Math"/>
                <w:sz w:val="28"/>
                <w:szCs w:val="36"/>
                <w:lang w:val="en-US" w:eastAsia="zh-CN"/>
              </w:rPr>
              <m:t>1000</m:t>
            </m:r>
            <m:ctrlPr>
              <w:rPr>
                <w:rFonts w:ascii="Cambria Math" w:hAnsi="Cambria Math"/>
                <w:i/>
                <w:sz w:val="28"/>
                <w:szCs w:val="36"/>
              </w:rPr>
            </m:ctrlPr>
          </m:den>
        </m:f>
      </m:oMath>
      <w:r>
        <w:rPr>
          <w:color w:val="333333"/>
          <w:sz w:val="20"/>
          <w:szCs w:val="20"/>
          <w:shd w:val="clear" w:color="auto" w:fill="FFFFFF"/>
        </w:rPr>
        <w:t>……………………………………………………(1)</w:t>
      </w:r>
    </w:p>
    <w:p w14:paraId="7468F4CB">
      <w:pPr>
        <w:spacing w:before="156" w:beforeLines="50" w:after="156" w:afterLines="50"/>
        <w:ind w:firstLine="420" w:firstLineChars="200"/>
        <w:jc w:val="left"/>
        <w:rPr>
          <w:rFonts w:hint="eastAsia"/>
          <w:lang w:val="en-US" w:eastAsia="zh-CN"/>
        </w:rPr>
      </w:pPr>
      <w:r>
        <w:rPr>
          <w:rFonts w:hint="eastAsia"/>
          <w:lang w:val="en-US" w:eastAsia="zh-CN"/>
        </w:rPr>
        <w:t>式中：</w:t>
      </w:r>
    </w:p>
    <w:p w14:paraId="48AE2641">
      <w:pPr>
        <w:spacing w:before="156" w:beforeLines="50" w:after="156" w:afterLines="50"/>
        <w:ind w:firstLine="420" w:firstLineChars="200"/>
        <w:jc w:val="left"/>
        <w:rPr>
          <w:rFonts w:hint="eastAsia"/>
          <w:lang w:val="en-US" w:eastAsia="zh-CN"/>
        </w:rPr>
      </w:pPr>
      <w:r>
        <w:rPr>
          <w:rFonts w:hint="eastAsia"/>
          <w:i/>
          <w:iCs/>
          <w:lang w:val="en-US" w:eastAsia="zh-CN"/>
        </w:rPr>
        <w:t>X</w:t>
      </w:r>
      <w:r>
        <w:rPr>
          <w:rFonts w:hint="eastAsia"/>
          <w:lang w:val="en-US" w:eastAsia="zh-CN"/>
        </w:rPr>
        <w:t xml:space="preserve">    ——样品中棕榈酸乙酯的含量，以质量浓度表示，单位为克每升（g/L）;</w:t>
      </w:r>
    </w:p>
    <w:p w14:paraId="789213E7">
      <w:pPr>
        <w:spacing w:before="156" w:beforeLines="50" w:after="156" w:afterLines="50"/>
        <w:ind w:firstLine="420" w:firstLineChars="200"/>
        <w:jc w:val="left"/>
        <w:rPr>
          <w:rFonts w:hint="eastAsia"/>
          <w:lang w:val="en-US" w:eastAsia="zh-CN"/>
        </w:rPr>
      </w:pPr>
      <w:r>
        <w:rPr>
          <w:rFonts w:hint="eastAsia"/>
          <w:i/>
          <w:iCs/>
          <w:lang w:val="en-US" w:eastAsia="zh-CN"/>
        </w:rPr>
        <w:t>I</w:t>
      </w:r>
      <w:r>
        <w:rPr>
          <w:rFonts w:hint="eastAsia"/>
          <w:lang w:val="en-US" w:eastAsia="zh-CN"/>
        </w:rPr>
        <w:t xml:space="preserve">     ——从标准曲线得到待测液中棕榈酸乙酯浓度与对应的内标浓度的比值;</w:t>
      </w:r>
    </w:p>
    <w:p w14:paraId="7F09BCEA">
      <w:pPr>
        <w:spacing w:before="156" w:beforeLines="50" w:after="156" w:afterLines="50"/>
        <w:ind w:firstLine="420" w:firstLineChars="200"/>
        <w:jc w:val="left"/>
        <w:rPr>
          <w:rFonts w:hint="eastAsia"/>
          <w:lang w:val="en-US" w:eastAsia="zh-CN"/>
        </w:rPr>
      </w:pPr>
      <w:r>
        <w:rPr>
          <w:rFonts w:hint="default" w:ascii="Times New Roman" w:hAnsi="Times New Roman" w:cs="Times New Roman"/>
          <w:i/>
          <w:iCs/>
          <w:lang w:val="en-US" w:eastAsia="zh-CN"/>
        </w:rPr>
        <w:t>ρ</w:t>
      </w:r>
      <w:r>
        <w:rPr>
          <w:rFonts w:hint="eastAsia"/>
          <w:lang w:val="en-US" w:eastAsia="zh-CN"/>
        </w:rPr>
        <w:t xml:space="preserve">     ——棕榈酸乙酯对应内标的质量浓度，单位为毫克每升（mg/L）;</w:t>
      </w:r>
    </w:p>
    <w:p w14:paraId="407FC4CC">
      <w:pPr>
        <w:spacing w:before="156" w:beforeLines="50" w:after="156" w:afterLines="50"/>
        <w:ind w:firstLine="420" w:firstLineChars="200"/>
        <w:jc w:val="left"/>
        <w:rPr>
          <w:rFonts w:hint="eastAsia"/>
          <w:lang w:val="en-US" w:eastAsia="zh-CN"/>
        </w:rPr>
      </w:pPr>
      <w:r>
        <w:rPr>
          <w:rFonts w:hint="eastAsia"/>
          <w:lang w:val="en-US" w:eastAsia="zh-CN"/>
        </w:rPr>
        <w:t>1000  ——单位换算系数。</w:t>
      </w:r>
    </w:p>
    <w:p w14:paraId="7C0B5346">
      <w:pPr>
        <w:spacing w:before="156" w:beforeLines="50" w:after="156" w:afterLines="50"/>
        <w:ind w:firstLine="420" w:firstLineChars="200"/>
        <w:jc w:val="left"/>
        <w:rPr>
          <w:rFonts w:hint="default"/>
          <w:lang w:val="en-US" w:eastAsia="zh-CN"/>
        </w:rPr>
      </w:pPr>
      <w:r>
        <w:rPr>
          <w:rFonts w:hint="eastAsia"/>
          <w:lang w:val="en-US" w:eastAsia="zh-CN"/>
        </w:rPr>
        <w:t>计算结果表示至小数点后两位有效数字。</w:t>
      </w:r>
    </w:p>
    <w:p w14:paraId="75B54C32">
      <w:pPr>
        <w:spacing w:before="156" w:beforeLines="50" w:after="156" w:afterLines="50"/>
        <w:jc w:val="left"/>
        <w:rPr>
          <w:rFonts w:hint="default" w:eastAsia="黑体"/>
          <w:lang w:val="en-US" w:eastAsia="zh-CN"/>
        </w:rPr>
      </w:pPr>
      <w:r>
        <w:rPr>
          <w:rFonts w:hint="eastAsia" w:eastAsia="黑体"/>
          <w:lang w:val="en-US" w:eastAsia="zh-CN"/>
        </w:rPr>
        <w:t>7.6</w:t>
      </w:r>
      <w:r>
        <w:rPr>
          <w:rFonts w:eastAsia="黑体"/>
        </w:rPr>
        <w:t xml:space="preserve">  </w:t>
      </w:r>
      <w:r>
        <w:rPr>
          <w:rFonts w:hint="eastAsia" w:eastAsia="黑体"/>
          <w:lang w:val="en-US" w:eastAsia="zh-CN"/>
        </w:rPr>
        <w:t>精密度</w:t>
      </w:r>
    </w:p>
    <w:p w14:paraId="6D8FE798">
      <w:pPr>
        <w:spacing w:before="156" w:beforeLines="50" w:after="156" w:afterLines="50"/>
        <w:ind w:firstLine="420" w:firstLineChars="200"/>
        <w:jc w:val="left"/>
        <w:rPr>
          <w:bCs/>
          <w:szCs w:val="21"/>
          <w:highlight w:val="none"/>
        </w:rPr>
      </w:pPr>
      <w:r>
        <w:rPr>
          <w:rFonts w:hint="eastAsia"/>
          <w:lang w:val="en-US" w:eastAsia="zh-CN"/>
        </w:rPr>
        <w:t>在重复性条件下获得的两次独立测定结果的绝对差值，不应超过</w:t>
      </w:r>
      <w:r>
        <w:rPr>
          <w:rFonts w:hint="eastAsia"/>
          <w:highlight w:val="none"/>
          <w:lang w:val="en-US" w:eastAsia="zh-CN"/>
        </w:rPr>
        <w:t>平均值的5%。</w:t>
      </w:r>
    </w:p>
    <w:p w14:paraId="07CAF22F">
      <w:pPr>
        <w:widowControl/>
        <w:spacing w:line="360" w:lineRule="auto"/>
        <w:jc w:val="center"/>
        <w:rPr>
          <w:bCs/>
          <w:szCs w:val="21"/>
        </w:rPr>
      </w:pPr>
      <w:r>
        <w:rPr>
          <w:bCs/>
          <w:szCs w:val="21"/>
        </w:rPr>
        <w:t>────────────</w:t>
      </w:r>
    </w:p>
    <w:p w14:paraId="30CB05A9">
      <w:pPr>
        <w:rPr>
          <w:bCs/>
          <w:szCs w:val="21"/>
        </w:rPr>
      </w:pPr>
      <w:r>
        <w:rPr>
          <w:bCs/>
          <w:szCs w:val="21"/>
        </w:rPr>
        <w:br w:type="page"/>
      </w:r>
    </w:p>
    <w:p w14:paraId="04A87D2E">
      <w:pPr>
        <w:widowControl/>
        <w:jc w:val="center"/>
        <w:rPr>
          <w:rFonts w:hint="eastAsia"/>
          <w:bCs/>
          <w:szCs w:val="21"/>
          <w:lang w:val="en-US" w:eastAsia="zh-CN"/>
        </w:rPr>
      </w:pPr>
    </w:p>
    <w:p w14:paraId="3E4F6C5A">
      <w:pPr>
        <w:spacing w:before="156" w:beforeLines="50" w:after="156" w:afterLines="50"/>
        <w:jc w:val="center"/>
        <w:rPr>
          <w:rFonts w:hint="eastAsia" w:eastAsia="黑体"/>
          <w:lang w:val="en-US" w:eastAsia="zh-CN"/>
        </w:rPr>
      </w:pPr>
      <w:r>
        <w:rPr>
          <w:rFonts w:hint="eastAsia" w:eastAsia="黑体"/>
          <w:lang w:val="en-US" w:eastAsia="zh-CN"/>
        </w:rPr>
        <w:t>附   录A</w:t>
      </w:r>
    </w:p>
    <w:p w14:paraId="25CE490C">
      <w:pPr>
        <w:spacing w:before="156" w:beforeLines="50" w:after="156" w:afterLines="50"/>
        <w:jc w:val="center"/>
        <w:rPr>
          <w:rFonts w:hint="eastAsia" w:eastAsia="黑体"/>
          <w:lang w:val="en-US" w:eastAsia="zh-CN"/>
        </w:rPr>
      </w:pPr>
      <w:r>
        <w:rPr>
          <w:rFonts w:hint="eastAsia" w:eastAsia="黑体"/>
          <w:lang w:val="en-US" w:eastAsia="zh-CN"/>
        </w:rPr>
        <w:t>棕榈酸乙酯的气相色谱图</w:t>
      </w:r>
    </w:p>
    <w:p w14:paraId="19C5E7CF">
      <w:pPr>
        <w:spacing w:before="156" w:beforeLines="50" w:after="156" w:afterLines="50"/>
        <w:jc w:val="center"/>
      </w:pPr>
      <w:r>
        <w:drawing>
          <wp:inline distT="0" distB="0" distL="114300" distR="114300">
            <wp:extent cx="5720080" cy="2444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877" t="7738" r="2729" b="3058"/>
                    <a:stretch>
                      <a:fillRect/>
                    </a:stretch>
                  </pic:blipFill>
                  <pic:spPr>
                    <a:xfrm>
                      <a:off x="0" y="0"/>
                      <a:ext cx="5720080" cy="2444750"/>
                    </a:xfrm>
                    <a:prstGeom prst="rect">
                      <a:avLst/>
                    </a:prstGeom>
                    <a:noFill/>
                    <a:ln>
                      <a:noFill/>
                    </a:ln>
                  </pic:spPr>
                </pic:pic>
              </a:graphicData>
            </a:graphic>
          </wp:inline>
        </w:drawing>
      </w:r>
    </w:p>
    <w:p w14:paraId="25F07544">
      <w:pPr>
        <w:spacing w:before="156" w:beforeLines="50" w:after="156" w:afterLines="50"/>
        <w:jc w:val="center"/>
        <w:rPr>
          <w:rFonts w:hint="default" w:eastAsia="黑体"/>
          <w:lang w:val="en-US" w:eastAsia="zh-CN"/>
        </w:rPr>
      </w:pPr>
      <w:r>
        <w:rPr>
          <w:rFonts w:hint="eastAsia" w:eastAsia="黑体"/>
          <w:lang w:val="en-US" w:eastAsia="zh-CN"/>
        </w:rPr>
        <w:t>图A.1  棕榈酸乙酯标准</w:t>
      </w:r>
      <w:bookmarkStart w:id="17" w:name="_GoBack"/>
      <w:bookmarkEnd w:id="17"/>
      <w:r>
        <w:rPr>
          <w:rFonts w:hint="eastAsia" w:eastAsia="黑体"/>
          <w:lang w:val="en-US" w:eastAsia="zh-CN"/>
        </w:rPr>
        <w:t>气相色谱图</w:t>
      </w:r>
    </w:p>
    <w:sectPr>
      <w:headerReference r:id="rId5" w:type="default"/>
      <w:pgSz w:w="11906" w:h="16838"/>
      <w:pgMar w:top="56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B8B3E">
    <w:pPr>
      <w:pStyle w:val="8"/>
      <w:jc w:val="center"/>
    </w:pPr>
  </w:p>
  <w:p w14:paraId="70E9A05D">
    <w:pPr>
      <w:pStyle w:val="8"/>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5937">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 xml:space="preserve"> </w:t>
    </w:r>
    <w:r>
      <w:rPr>
        <w:rStyle w:val="14"/>
      </w:rPr>
      <w:fldChar w:fldCharType="end"/>
    </w:r>
  </w:p>
  <w:p w14:paraId="21C16E8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B9E3">
    <w:pPr>
      <w:pStyle w:val="23"/>
      <w:wordWrap w:val="0"/>
      <w:spacing w:after="120"/>
    </w:pPr>
    <w:r>
      <w:rPr>
        <w:rFonts w:hint="eastAsia"/>
      </w:rPr>
      <w:t>T</w:t>
    </w:r>
    <w:r>
      <w:t>/FDSA</w:t>
    </w:r>
    <w:r>
      <w:rPr>
        <w:rFonts w:hint="eastAsia"/>
      </w:rPr>
      <w:t xml:space="preserve"> ×××</w:t>
    </w:r>
    <w:r>
      <w:t>—</w:t>
    </w:r>
    <w:r>
      <w:rPr>
        <w:rFonts w:hint="eastAsia"/>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92C60"/>
    <w:multiLevelType w:val="multilevel"/>
    <w:tmpl w:val="68892C60"/>
    <w:lvl w:ilvl="0" w:tentative="0">
      <w:start w:val="1"/>
      <w:numFmt w:val="decimal"/>
      <w:pStyle w:val="20"/>
      <w:lvlText w:val="%1."/>
      <w:lvlJc w:val="left"/>
      <w:pPr>
        <w:tabs>
          <w:tab w:val="left" w:pos="0"/>
        </w:tabs>
        <w:ind w:left="720" w:hanging="720"/>
      </w:pPr>
      <w:rPr>
        <w:rFonts w:cs="Times New Roman"/>
      </w:rPr>
    </w:lvl>
    <w:lvl w:ilvl="1" w:tentative="0">
      <w:start w:val="1"/>
      <w:numFmt w:val="decimal"/>
      <w:pStyle w:val="19"/>
      <w:lvlText w:val="%2."/>
      <w:lvlJc w:val="left"/>
      <w:pPr>
        <w:tabs>
          <w:tab w:val="left" w:pos="0"/>
        </w:tabs>
        <w:ind w:left="1440" w:hanging="720"/>
      </w:pPr>
      <w:rPr>
        <w:rFonts w:cs="Times New Roman"/>
      </w:rPr>
    </w:lvl>
    <w:lvl w:ilvl="2" w:tentative="0">
      <w:start w:val="1"/>
      <w:numFmt w:val="decimal"/>
      <w:lvlText w:val="%3."/>
      <w:lvlJc w:val="left"/>
      <w:pPr>
        <w:tabs>
          <w:tab w:val="left" w:pos="0"/>
        </w:tabs>
        <w:ind w:left="2160" w:hanging="720"/>
      </w:pPr>
      <w:rPr>
        <w:rFonts w:cs="Times New Roman"/>
      </w:rPr>
    </w:lvl>
    <w:lvl w:ilvl="3" w:tentative="0">
      <w:start w:val="1"/>
      <w:numFmt w:val="decimal"/>
      <w:pStyle w:val="18"/>
      <w:lvlText w:val="%4."/>
      <w:lvlJc w:val="left"/>
      <w:pPr>
        <w:tabs>
          <w:tab w:val="left" w:pos="0"/>
        </w:tabs>
        <w:ind w:left="2880" w:hanging="720"/>
      </w:pPr>
      <w:rPr>
        <w:rFonts w:cs="Times New Roman"/>
      </w:rPr>
    </w:lvl>
    <w:lvl w:ilvl="4" w:tentative="0">
      <w:start w:val="1"/>
      <w:numFmt w:val="decimal"/>
      <w:lvlText w:val="%5."/>
      <w:lvlJc w:val="left"/>
      <w:pPr>
        <w:tabs>
          <w:tab w:val="left" w:pos="0"/>
        </w:tabs>
        <w:ind w:left="3600" w:hanging="720"/>
      </w:pPr>
      <w:rPr>
        <w:rFonts w:cs="Times New Roman"/>
      </w:rPr>
    </w:lvl>
    <w:lvl w:ilvl="5" w:tentative="0">
      <w:start w:val="1"/>
      <w:numFmt w:val="decimal"/>
      <w:lvlText w:val="%6."/>
      <w:lvlJc w:val="left"/>
      <w:pPr>
        <w:tabs>
          <w:tab w:val="left" w:pos="0"/>
        </w:tabs>
        <w:ind w:left="4320" w:hanging="720"/>
      </w:pPr>
      <w:rPr>
        <w:rFonts w:cs="Times New Roman"/>
      </w:rPr>
    </w:lvl>
    <w:lvl w:ilvl="6" w:tentative="0">
      <w:start w:val="1"/>
      <w:numFmt w:val="decimal"/>
      <w:lvlText w:val="%7."/>
      <w:lvlJc w:val="left"/>
      <w:pPr>
        <w:tabs>
          <w:tab w:val="left" w:pos="0"/>
        </w:tabs>
        <w:ind w:left="5040" w:hanging="720"/>
      </w:pPr>
      <w:rPr>
        <w:rFonts w:cs="Times New Roman"/>
      </w:rPr>
    </w:lvl>
    <w:lvl w:ilvl="7" w:tentative="0">
      <w:start w:val="1"/>
      <w:numFmt w:val="decimal"/>
      <w:lvlText w:val="%8."/>
      <w:lvlJc w:val="left"/>
      <w:pPr>
        <w:tabs>
          <w:tab w:val="left" w:pos="0"/>
        </w:tabs>
        <w:ind w:left="5760" w:hanging="720"/>
      </w:pPr>
      <w:rPr>
        <w:rFonts w:cs="Times New Roman"/>
      </w:rPr>
    </w:lvl>
    <w:lvl w:ilvl="8" w:tentative="0">
      <w:start w:val="1"/>
      <w:numFmt w:val="decimal"/>
      <w:lvlText w:val="%9."/>
      <w:lvlJc w:val="left"/>
      <w:pPr>
        <w:tabs>
          <w:tab w:val="left" w:pos="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0D"/>
    <w:rsid w:val="00041B97"/>
    <w:rsid w:val="000677D9"/>
    <w:rsid w:val="00083916"/>
    <w:rsid w:val="000B281A"/>
    <w:rsid w:val="000E2CBC"/>
    <w:rsid w:val="000F00A0"/>
    <w:rsid w:val="001058F3"/>
    <w:rsid w:val="0013622F"/>
    <w:rsid w:val="001C14F3"/>
    <w:rsid w:val="001D3528"/>
    <w:rsid w:val="00214E19"/>
    <w:rsid w:val="00223E5A"/>
    <w:rsid w:val="002410F7"/>
    <w:rsid w:val="00241AC6"/>
    <w:rsid w:val="00265F86"/>
    <w:rsid w:val="00277155"/>
    <w:rsid w:val="002A78FA"/>
    <w:rsid w:val="002B02AE"/>
    <w:rsid w:val="002B5B2E"/>
    <w:rsid w:val="002C25C0"/>
    <w:rsid w:val="002F651C"/>
    <w:rsid w:val="00313BBA"/>
    <w:rsid w:val="00322A1C"/>
    <w:rsid w:val="003374AA"/>
    <w:rsid w:val="0034090C"/>
    <w:rsid w:val="003659D0"/>
    <w:rsid w:val="003674D6"/>
    <w:rsid w:val="00374B9E"/>
    <w:rsid w:val="003768FD"/>
    <w:rsid w:val="003A2898"/>
    <w:rsid w:val="003D38EA"/>
    <w:rsid w:val="00456D67"/>
    <w:rsid w:val="004821F0"/>
    <w:rsid w:val="00486034"/>
    <w:rsid w:val="004945A3"/>
    <w:rsid w:val="004A28F3"/>
    <w:rsid w:val="004C5489"/>
    <w:rsid w:val="00584A32"/>
    <w:rsid w:val="00586AFC"/>
    <w:rsid w:val="00586C27"/>
    <w:rsid w:val="00590C52"/>
    <w:rsid w:val="0059580F"/>
    <w:rsid w:val="005A69EF"/>
    <w:rsid w:val="005C3096"/>
    <w:rsid w:val="005D31BF"/>
    <w:rsid w:val="005F0FFB"/>
    <w:rsid w:val="005F113D"/>
    <w:rsid w:val="005F35B6"/>
    <w:rsid w:val="00631A59"/>
    <w:rsid w:val="0063478E"/>
    <w:rsid w:val="0067628D"/>
    <w:rsid w:val="006B249B"/>
    <w:rsid w:val="006B3ECB"/>
    <w:rsid w:val="006C4016"/>
    <w:rsid w:val="006C68C5"/>
    <w:rsid w:val="006E661A"/>
    <w:rsid w:val="00701D0F"/>
    <w:rsid w:val="0072625D"/>
    <w:rsid w:val="00731C95"/>
    <w:rsid w:val="00762E47"/>
    <w:rsid w:val="0078285E"/>
    <w:rsid w:val="00792429"/>
    <w:rsid w:val="007A37C9"/>
    <w:rsid w:val="007D4FC2"/>
    <w:rsid w:val="00820986"/>
    <w:rsid w:val="00833FB4"/>
    <w:rsid w:val="00837D21"/>
    <w:rsid w:val="00840BF1"/>
    <w:rsid w:val="00840F51"/>
    <w:rsid w:val="008617B5"/>
    <w:rsid w:val="008B0E91"/>
    <w:rsid w:val="008B6DE5"/>
    <w:rsid w:val="008D2DE7"/>
    <w:rsid w:val="008E55EB"/>
    <w:rsid w:val="008F6629"/>
    <w:rsid w:val="00976407"/>
    <w:rsid w:val="009A28D3"/>
    <w:rsid w:val="009A4DB9"/>
    <w:rsid w:val="009B37AC"/>
    <w:rsid w:val="009B7381"/>
    <w:rsid w:val="009E732D"/>
    <w:rsid w:val="00A31D31"/>
    <w:rsid w:val="00A72ECB"/>
    <w:rsid w:val="00AC7904"/>
    <w:rsid w:val="00B1291B"/>
    <w:rsid w:val="00B17A28"/>
    <w:rsid w:val="00B223B3"/>
    <w:rsid w:val="00B419C7"/>
    <w:rsid w:val="00B92832"/>
    <w:rsid w:val="00BB47DA"/>
    <w:rsid w:val="00BE7724"/>
    <w:rsid w:val="00BF2BF7"/>
    <w:rsid w:val="00BF394E"/>
    <w:rsid w:val="00C01096"/>
    <w:rsid w:val="00C206EE"/>
    <w:rsid w:val="00C211C8"/>
    <w:rsid w:val="00C37D34"/>
    <w:rsid w:val="00C553DD"/>
    <w:rsid w:val="00C556E6"/>
    <w:rsid w:val="00C60E7A"/>
    <w:rsid w:val="00C871A3"/>
    <w:rsid w:val="00C92CED"/>
    <w:rsid w:val="00CA6DC0"/>
    <w:rsid w:val="00CB3C89"/>
    <w:rsid w:val="00CD368D"/>
    <w:rsid w:val="00CE7D6A"/>
    <w:rsid w:val="00CF38FB"/>
    <w:rsid w:val="00D02DDC"/>
    <w:rsid w:val="00D70475"/>
    <w:rsid w:val="00D71AFE"/>
    <w:rsid w:val="00D72179"/>
    <w:rsid w:val="00D976AD"/>
    <w:rsid w:val="00DB6982"/>
    <w:rsid w:val="00DE1D2C"/>
    <w:rsid w:val="00DE590D"/>
    <w:rsid w:val="00E2400A"/>
    <w:rsid w:val="00E65DA7"/>
    <w:rsid w:val="00EB3083"/>
    <w:rsid w:val="00EE7C58"/>
    <w:rsid w:val="00EF015D"/>
    <w:rsid w:val="00F21997"/>
    <w:rsid w:val="00F21C5E"/>
    <w:rsid w:val="00F322B7"/>
    <w:rsid w:val="00F5603C"/>
    <w:rsid w:val="00FB347C"/>
    <w:rsid w:val="00FB3989"/>
    <w:rsid w:val="091E5277"/>
    <w:rsid w:val="0B9730BE"/>
    <w:rsid w:val="12DF6E51"/>
    <w:rsid w:val="13BD3221"/>
    <w:rsid w:val="2041170E"/>
    <w:rsid w:val="20F621DE"/>
    <w:rsid w:val="2ACD3FAF"/>
    <w:rsid w:val="329D2F47"/>
    <w:rsid w:val="38B718F6"/>
    <w:rsid w:val="40844CB8"/>
    <w:rsid w:val="412E73E5"/>
    <w:rsid w:val="44835CEC"/>
    <w:rsid w:val="49317D03"/>
    <w:rsid w:val="50AC44E3"/>
    <w:rsid w:val="55222FC6"/>
    <w:rsid w:val="61686204"/>
    <w:rsid w:val="64191A38"/>
    <w:rsid w:val="655A2308"/>
    <w:rsid w:val="68A815DC"/>
    <w:rsid w:val="6A0403A9"/>
    <w:rsid w:val="6F064456"/>
    <w:rsid w:val="6FF43359"/>
    <w:rsid w:val="75775135"/>
    <w:rsid w:val="766E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Date"/>
    <w:basedOn w:val="1"/>
    <w:next w:val="1"/>
    <w:link w:val="22"/>
    <w:semiHidden/>
    <w:unhideWhenUsed/>
    <w:qFormat/>
    <w:uiPriority w:val="99"/>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annotation subject"/>
    <w:basedOn w:val="5"/>
    <w:next w:val="5"/>
    <w:link w:val="27"/>
    <w:semiHidden/>
    <w:unhideWhenUsed/>
    <w:qFormat/>
    <w:uiPriority w:val="99"/>
    <w:rPr>
      <w:b/>
      <w:bCs/>
    </w:rPr>
  </w:style>
  <w:style w:type="character" w:styleId="14">
    <w:name w:val="page number"/>
    <w:basedOn w:val="13"/>
    <w:qFormat/>
    <w:uiPriority w:val="0"/>
    <w:rPr>
      <w:rFonts w:cs="Times New Roman"/>
    </w:rPr>
  </w:style>
  <w:style w:type="character" w:styleId="15">
    <w:name w:val="annotation reference"/>
    <w:basedOn w:val="13"/>
    <w:semiHidden/>
    <w:unhideWhenUsed/>
    <w:qFormat/>
    <w:uiPriority w:val="99"/>
    <w:rPr>
      <w:sz w:val="21"/>
      <w:szCs w:val="21"/>
    </w:rPr>
  </w:style>
  <w:style w:type="paragraph" w:customStyle="1" w:styleId="16">
    <w:name w:val="一级条标题"/>
    <w:next w:val="17"/>
    <w:qFormat/>
    <w:uiPriority w:val="0"/>
    <w:pPr>
      <w:outlineLvl w:val="2"/>
    </w:pPr>
    <w:rPr>
      <w:rFonts w:ascii="Times New Roman" w:hAnsi="Times New Roman" w:eastAsia="黑体" w:cs="Times New Roman"/>
      <w:sz w:val="21"/>
      <w:lang w:val="en-US" w:eastAsia="zh-CN" w:bidi="ar-SA"/>
    </w:rPr>
  </w:style>
  <w:style w:type="paragraph" w:customStyle="1" w:styleId="17">
    <w:name w:val="段"/>
    <w:link w:val="24"/>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18">
    <w:name w:val="附录二级无"/>
    <w:basedOn w:val="1"/>
    <w:qFormat/>
    <w:uiPriority w:val="0"/>
    <w:pPr>
      <w:widowControl/>
      <w:numPr>
        <w:ilvl w:val="3"/>
        <w:numId w:val="1"/>
      </w:numPr>
      <w:wordWrap w:val="0"/>
      <w:overflowPunct w:val="0"/>
      <w:autoSpaceDE w:val="0"/>
      <w:autoSpaceDN w:val="0"/>
      <w:textAlignment w:val="baseline"/>
      <w:outlineLvl w:val="3"/>
    </w:pPr>
    <w:rPr>
      <w:rFonts w:ascii="宋体"/>
      <w:kern w:val="21"/>
      <w:szCs w:val="21"/>
    </w:rPr>
  </w:style>
  <w:style w:type="paragraph" w:customStyle="1" w:styleId="19">
    <w:name w:val="附录章标题"/>
    <w:next w:val="17"/>
    <w:qFormat/>
    <w:uiPriority w:val="0"/>
    <w:pPr>
      <w:numPr>
        <w:ilvl w:val="1"/>
        <w:numId w:val="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0">
    <w:name w:val="附录标识"/>
    <w:basedOn w:val="1"/>
    <w:next w:val="17"/>
    <w:qFormat/>
    <w:uiPriority w:val="0"/>
    <w:pPr>
      <w:keepNext/>
      <w:widowControl/>
      <w:numPr>
        <w:ilvl w:val="0"/>
        <w:numId w:val="1"/>
      </w:numPr>
      <w:shd w:val="clear" w:color="FFFFFF" w:fill="FFFFFF"/>
      <w:tabs>
        <w:tab w:val="left" w:pos="360"/>
        <w:tab w:val="left" w:pos="6405"/>
      </w:tabs>
      <w:spacing w:before="640" w:after="280"/>
      <w:ind w:left="284"/>
      <w:jc w:val="center"/>
      <w:outlineLvl w:val="0"/>
    </w:pPr>
    <w:rPr>
      <w:rFonts w:ascii="黑体" w:eastAsia="黑体"/>
      <w:kern w:val="0"/>
      <w:szCs w:val="20"/>
    </w:rPr>
  </w:style>
  <w:style w:type="character" w:styleId="21">
    <w:name w:val="Placeholder Text"/>
    <w:basedOn w:val="13"/>
    <w:qFormat/>
    <w:uiPriority w:val="0"/>
    <w:rPr>
      <w:color w:val="808080"/>
    </w:rPr>
  </w:style>
  <w:style w:type="character" w:customStyle="1" w:styleId="22">
    <w:name w:val="日期 字符"/>
    <w:basedOn w:val="13"/>
    <w:link w:val="6"/>
    <w:semiHidden/>
    <w:qFormat/>
    <w:uiPriority w:val="99"/>
    <w:rPr>
      <w:kern w:val="2"/>
      <w:sz w:val="21"/>
      <w:szCs w:val="24"/>
    </w:rPr>
  </w:style>
  <w:style w:type="paragraph" w:customStyle="1" w:styleId="2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4">
    <w:name w:val="段 Char"/>
    <w:basedOn w:val="13"/>
    <w:link w:val="17"/>
    <w:qFormat/>
    <w:uiPriority w:val="0"/>
    <w:rPr>
      <w:rFonts w:ascii="宋体"/>
      <w:kern w:val="2"/>
      <w:sz w:val="21"/>
      <w:szCs w:val="22"/>
    </w:rPr>
  </w:style>
  <w:style w:type="paragraph" w:customStyle="1" w:styleId="25">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6">
    <w:name w:val="批注文字 字符"/>
    <w:basedOn w:val="13"/>
    <w:link w:val="5"/>
    <w:semiHidden/>
    <w:qFormat/>
    <w:uiPriority w:val="99"/>
    <w:rPr>
      <w:kern w:val="2"/>
      <w:sz w:val="21"/>
      <w:szCs w:val="24"/>
    </w:rPr>
  </w:style>
  <w:style w:type="character" w:customStyle="1" w:styleId="27">
    <w:name w:val="批注主题 字符"/>
    <w:basedOn w:val="26"/>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1517</Words>
  <Characters>1915</Characters>
  <Lines>33</Lines>
  <Paragraphs>9</Paragraphs>
  <TotalTime>6</TotalTime>
  <ScaleCrop>false</ScaleCrop>
  <LinksUpToDate>false</LinksUpToDate>
  <CharactersWithSpaces>2054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2021-03-05T14:44:00Z</dcterms:created>
  <dc:creator>〖预感〗</dc:creator>
  <cp:lastModifiedBy> </cp:lastModifiedBy>
  <cp:lastPrinted>2023-04-17T10:04:00Z</cp:lastPrinted>
  <dcterms:modified xsi:type="dcterms:W3CDTF">2025-06-19T03:28:24Z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eyJoZGlkIjoiOTI5NTFjOTUwNWFjY2Y3MDUzZGE2MjZhMjIyNGZlMDQiLCJ1c2VySWQiOiIzMjExOTY4MTEifQ==</vt:lpwstr>
  </property>
  <property fmtid="{D5CDD505-2E9C-101B-9397-08002B2CF9AE}" pid="4" name="ICV">
    <vt:lpwstr>16BFABFDA7B74D5F94C7F360EEAD5485_13</vt:lpwstr>
  </property>
</Properties>
</file>