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836FA">
      <w:pPr>
        <w:jc w:val="center"/>
        <w:rPr>
          <w:b/>
          <w:sz w:val="36"/>
        </w:rPr>
      </w:pPr>
      <w:bookmarkStart w:id="9" w:name="_GoBack"/>
      <w:bookmarkEnd w:id="9"/>
      <w:r>
        <w:rPr>
          <w:rFonts w:hint="eastAsia"/>
          <w:b/>
          <w:sz w:val="36"/>
        </w:rPr>
        <w:t>《核电</w:t>
      </w:r>
      <w:r>
        <w:rPr>
          <w:rFonts w:hint="eastAsia"/>
          <w:b/>
          <w:sz w:val="36"/>
          <w:lang w:val="en-US" w:eastAsia="zh-CN"/>
        </w:rPr>
        <w:t>行业知识管理</w:t>
      </w:r>
      <w:r>
        <w:rPr>
          <w:rFonts w:hint="eastAsia"/>
          <w:b/>
          <w:sz w:val="36"/>
        </w:rPr>
        <w:t xml:space="preserve"> 第</w:t>
      </w:r>
      <w:r>
        <w:rPr>
          <w:rFonts w:hint="eastAsia"/>
          <w:b/>
          <w:sz w:val="36"/>
          <w:lang w:val="en-US" w:eastAsia="zh-CN"/>
        </w:rPr>
        <w:t>3</w:t>
      </w:r>
      <w:r>
        <w:rPr>
          <w:rFonts w:hint="eastAsia"/>
          <w:b/>
          <w:sz w:val="36"/>
        </w:rPr>
        <w:t>部分：</w:t>
      </w:r>
      <w:r>
        <w:rPr>
          <w:rFonts w:hint="eastAsia"/>
          <w:b/>
          <w:sz w:val="36"/>
          <w:lang w:val="en-US" w:eastAsia="zh-CN"/>
        </w:rPr>
        <w:t>评价</w:t>
      </w:r>
      <w:r>
        <w:rPr>
          <w:rFonts w:hint="eastAsia"/>
          <w:b/>
          <w:sz w:val="36"/>
        </w:rPr>
        <w:t>》</w:t>
      </w:r>
    </w:p>
    <w:p w14:paraId="50B366FD">
      <w:pPr>
        <w:jc w:val="center"/>
        <w:rPr>
          <w:b/>
          <w:sz w:val="36"/>
        </w:rPr>
      </w:pPr>
      <w:r>
        <w:rPr>
          <w:rFonts w:hint="eastAsia"/>
          <w:b/>
          <w:sz w:val="36"/>
        </w:rPr>
        <w:t>编制说明</w:t>
      </w:r>
    </w:p>
    <w:p w14:paraId="30CCB2FA">
      <w:pPr>
        <w:jc w:val="center"/>
        <w:rPr>
          <w:b/>
          <w:sz w:val="36"/>
        </w:rPr>
      </w:pPr>
      <w:r>
        <w:rPr>
          <w:rFonts w:hint="eastAsia"/>
          <w:b/>
          <w:sz w:val="36"/>
        </w:rPr>
        <w:t>（行业意见征求稿）</w:t>
      </w:r>
    </w:p>
    <w:p w14:paraId="1B82AEEB">
      <w:pPr>
        <w:spacing w:after="240"/>
        <w:outlineLvl w:val="0"/>
        <w:rPr>
          <w:b/>
          <w:sz w:val="28"/>
          <w:szCs w:val="28"/>
        </w:rPr>
      </w:pPr>
      <w:r>
        <w:rPr>
          <w:rFonts w:hint="eastAsia"/>
          <w:b/>
          <w:sz w:val="28"/>
          <w:szCs w:val="28"/>
        </w:rPr>
        <w:t>一、工作简况</w:t>
      </w:r>
    </w:p>
    <w:p w14:paraId="4E03FCB3">
      <w:pPr>
        <w:spacing w:after="240"/>
        <w:rPr>
          <w:b/>
        </w:rPr>
      </w:pPr>
      <w:r>
        <w:rPr>
          <w:rFonts w:hint="eastAsia"/>
          <w:b/>
        </w:rPr>
        <w:t>1、任务来源</w:t>
      </w:r>
    </w:p>
    <w:p w14:paraId="08C80256">
      <w:pPr>
        <w:ind w:firstLine="420"/>
        <w:rPr>
          <w:rFonts w:hint="eastAsi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日中国核能行业协会信息化专业委员会（以下简称“信专委”）发函</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号），该标准为一组标准系列，内容包括：</w:t>
      </w:r>
      <w:r>
        <w:rPr>
          <w:rFonts w:hint="eastAsia"/>
          <w:lang w:val="en-US" w:eastAsia="zh-CN"/>
        </w:rPr>
        <w:t>导则</w:t>
      </w:r>
      <w:r>
        <w:rPr>
          <w:rFonts w:hint="eastAsia"/>
        </w:rPr>
        <w:t>等</w:t>
      </w:r>
      <w:r>
        <w:rPr>
          <w:rFonts w:hint="eastAsia"/>
          <w:lang w:val="en-US" w:eastAsia="zh-CN"/>
        </w:rPr>
        <w:t>3</w:t>
      </w:r>
      <w:r>
        <w:rPr>
          <w:rFonts w:hint="eastAsia"/>
        </w:rPr>
        <w:t>个方面</w:t>
      </w:r>
      <w:r>
        <w:rPr>
          <w:rFonts w:hint="eastAsia"/>
          <w:lang w:val="en-US" w:eastAsia="zh-CN"/>
        </w:rPr>
        <w:t>为开展知识管理规划设计、知识资源实施分类、知识管理系统建设、运营和评价等工作提供指导和借鉴，从而推动核能企业组织开展知识管理实践提供标准参考，</w:t>
      </w:r>
      <w:r>
        <w:rPr>
          <w:rFonts w:hint="eastAsia"/>
        </w:rPr>
        <w:t>本标准名称为《核电</w:t>
      </w:r>
      <w:r>
        <w:rPr>
          <w:rFonts w:hint="eastAsia"/>
          <w:lang w:val="en-US" w:eastAsia="zh-CN"/>
        </w:rPr>
        <w:t>知识管理</w:t>
      </w:r>
      <w:r>
        <w:rPr>
          <w:rFonts w:hint="eastAsia"/>
        </w:rPr>
        <w:t xml:space="preserve"> 第</w:t>
      </w:r>
      <w:r>
        <w:rPr>
          <w:rFonts w:hint="eastAsia"/>
          <w:lang w:val="en-US" w:eastAsia="zh-CN"/>
        </w:rPr>
        <w:t>3</w:t>
      </w:r>
      <w:r>
        <w:rPr>
          <w:rFonts w:hint="eastAsia"/>
        </w:rPr>
        <w:t>部分：</w:t>
      </w:r>
      <w:r>
        <w:rPr>
          <w:rFonts w:hint="eastAsia"/>
          <w:lang w:val="en-US" w:eastAsia="zh-CN"/>
        </w:rPr>
        <w:t>评价</w:t>
      </w:r>
      <w:r>
        <w:rPr>
          <w:rFonts w:hint="eastAsia"/>
        </w:rPr>
        <w:t>》（</w:t>
      </w:r>
      <w:r>
        <w:rPr>
          <w:rFonts w:hint="eastAsia"/>
          <w:lang w:val="en-US" w:eastAsia="zh-CN"/>
        </w:rPr>
        <w:t>根据标准编制过程中专家意见对标准名称做了适应性修改</w:t>
      </w:r>
      <w:r>
        <w:rPr>
          <w:rFonts w:hint="eastAsia"/>
        </w:rPr>
        <w:t>），标准编制周期计划</w:t>
      </w:r>
      <w:r>
        <w:rPr>
          <w:rFonts w:hint="eastAsia"/>
          <w:lang w:val="en-US" w:eastAsia="zh-CN"/>
        </w:rPr>
        <w:t>18个月</w:t>
      </w:r>
      <w:r>
        <w:rPr>
          <w:rFonts w:hint="eastAsia"/>
        </w:rPr>
        <w:t>完成。</w:t>
      </w:r>
    </w:p>
    <w:p w14:paraId="2E5EEA57">
      <w:pPr>
        <w:ind w:firstLine="420"/>
      </w:pPr>
      <w:r>
        <w:rPr>
          <w:rFonts w:hint="eastAsia"/>
        </w:rPr>
        <w:t>202</w:t>
      </w:r>
      <w:r>
        <w:rPr>
          <w:rFonts w:hint="eastAsia"/>
          <w:lang w:val="en-US" w:eastAsia="zh-CN"/>
        </w:rPr>
        <w:t>4</w:t>
      </w:r>
      <w:r>
        <w:rPr>
          <w:rFonts w:hint="eastAsia"/>
        </w:rPr>
        <w:t>年中国核能行业协会召开</w:t>
      </w:r>
      <w:r>
        <w:rPr>
          <w:rFonts w:hint="eastAsia"/>
          <w:lang w:bidi="ar"/>
        </w:rPr>
        <w:t>团体标准立项评审会，</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等3项核协团标立项评审会，标准</w:t>
      </w:r>
      <w:r>
        <w:rPr>
          <w:rFonts w:hint="eastAsia"/>
        </w:rPr>
        <w:t>通过立项评审并公示（</w:t>
      </w:r>
      <w:r>
        <w:rPr>
          <w:rFonts w:hint="eastAsia"/>
          <w:lang w:val="en-US" w:eastAsia="zh-CN" w:bidi="ar"/>
        </w:rPr>
        <w:t>核协科函</w:t>
      </w:r>
      <w:r>
        <w:t>〔20</w:t>
      </w:r>
      <w:r>
        <w:rPr>
          <w:rFonts w:hint="eastAsia"/>
        </w:rPr>
        <w:t>2</w:t>
      </w:r>
      <w:r>
        <w:rPr>
          <w:rFonts w:hint="eastAsia"/>
          <w:lang w:val="en-US" w:eastAsia="zh-CN"/>
        </w:rPr>
        <w:t>4</w:t>
      </w:r>
      <w:r>
        <w:t>〕</w:t>
      </w:r>
      <w:r>
        <w:rPr>
          <w:rFonts w:hint="eastAsia"/>
          <w:lang w:val="en-US" w:eastAsia="zh-CN"/>
        </w:rPr>
        <w:t>494</w:t>
      </w:r>
      <w:r>
        <w:t>号</w:t>
      </w:r>
      <w:r>
        <w:rPr>
          <w:rFonts w:hint="eastAsia"/>
        </w:rPr>
        <w:t>）。</w:t>
      </w:r>
    </w:p>
    <w:p w14:paraId="141AD138">
      <w:pPr>
        <w:spacing w:after="240"/>
        <w:rPr>
          <w:b/>
        </w:rPr>
      </w:pPr>
      <w:r>
        <w:rPr>
          <w:rFonts w:hint="eastAsia"/>
          <w:b/>
        </w:rPr>
        <w:t>2、主要工作过程</w:t>
      </w:r>
    </w:p>
    <w:p w14:paraId="0E9520E6">
      <w:pPr>
        <w:ind w:firstLine="420"/>
        <w:jc w:val="both"/>
      </w:pPr>
      <w:r>
        <w:rPr>
          <w:rFonts w:hint="eastAsia"/>
        </w:rPr>
        <w:t>根据标准进度计划，《</w:t>
      </w:r>
      <w:r>
        <w:rPr>
          <w:rFonts w:hint="eastAsia"/>
          <w:lang w:val="en-US" w:eastAsia="zh-CN"/>
        </w:rPr>
        <w:t>评价</w:t>
      </w:r>
      <w:r>
        <w:rPr>
          <w:rFonts w:hint="eastAsia"/>
        </w:rPr>
        <w:t>》各阶段草案的完成时间安排为：202</w:t>
      </w:r>
      <w:r>
        <w:rPr>
          <w:rFonts w:hint="eastAsia"/>
          <w:lang w:val="en-US" w:eastAsia="zh-CN"/>
        </w:rPr>
        <w:t>4</w:t>
      </w:r>
      <w:r>
        <w:rPr>
          <w:rFonts w:hint="eastAsia"/>
        </w:rPr>
        <w:t>年第</w:t>
      </w:r>
      <w:r>
        <w:rPr>
          <w:rFonts w:hint="eastAsia"/>
          <w:lang w:val="en-US" w:eastAsia="zh-CN"/>
        </w:rPr>
        <w:t>一</w:t>
      </w:r>
      <w:r>
        <w:rPr>
          <w:rFonts w:hint="eastAsia"/>
        </w:rPr>
        <w:t>季度完成标准初稿；2024年第</w:t>
      </w:r>
      <w:r>
        <w:rPr>
          <w:rFonts w:hint="eastAsia"/>
          <w:lang w:val="en-US" w:eastAsia="zh-CN"/>
        </w:rPr>
        <w:t>二</w:t>
      </w:r>
      <w:r>
        <w:rPr>
          <w:rFonts w:hint="eastAsia"/>
        </w:rPr>
        <w:t>季度完成标准修改稿，形成标准征求意见稿；2024年第</w:t>
      </w:r>
      <w:r>
        <w:rPr>
          <w:rFonts w:hint="eastAsia"/>
          <w:lang w:val="en-US" w:eastAsia="zh-CN"/>
        </w:rPr>
        <w:t>三和四</w:t>
      </w:r>
      <w:r>
        <w:rPr>
          <w:rFonts w:hint="eastAsia"/>
        </w:rPr>
        <w:t>季度完成标准意见征求与标准送审；202</w:t>
      </w:r>
      <w:r>
        <w:rPr>
          <w:rFonts w:hint="eastAsia"/>
          <w:lang w:val="en-US" w:eastAsia="zh-CN"/>
        </w:rPr>
        <w:t>5</w:t>
      </w:r>
      <w:r>
        <w:rPr>
          <w:rFonts w:hint="eastAsia"/>
        </w:rPr>
        <w:t>年</w:t>
      </w:r>
      <w:r>
        <w:rPr>
          <w:rFonts w:hint="eastAsia"/>
          <w:lang w:val="en-US" w:eastAsia="zh-CN"/>
        </w:rPr>
        <w:t>4月18日前</w:t>
      </w:r>
      <w:r>
        <w:rPr>
          <w:rFonts w:hint="eastAsia"/>
        </w:rPr>
        <w:t>完成标准报批与发布。实际编制进展与预期相比有所偏差，</w:t>
      </w:r>
      <w:r>
        <w:rPr>
          <w:rFonts w:hint="eastAsia"/>
          <w:lang w:val="en-US" w:eastAsia="zh-CN"/>
        </w:rPr>
        <w:t>后续加快推进标准工作，计划2025年底前完成发布。</w:t>
      </w:r>
      <w:r>
        <w:rPr>
          <w:rFonts w:hint="eastAsia"/>
        </w:rPr>
        <w:t>描述如下：</w:t>
      </w:r>
    </w:p>
    <w:p w14:paraId="5EBF0857">
      <w:pPr>
        <w:pStyle w:val="11"/>
        <w:numPr>
          <w:ilvl w:val="0"/>
          <w:numId w:val="3"/>
        </w:numPr>
        <w:ind w:firstLineChars="0"/>
        <w:jc w:val="both"/>
        <w:rPr>
          <w:rFonts w:cs="Times New Roman" w:asciiTheme="minorEastAsia" w:hAnsiTheme="minorEastAsia"/>
          <w:b/>
          <w:bCs/>
          <w:color w:val="000000"/>
          <w:kern w:val="0"/>
        </w:rPr>
      </w:pPr>
      <w:r>
        <w:rPr>
          <w:rFonts w:hint="eastAsia" w:cs="Times New Roman" w:asciiTheme="minorEastAsia" w:hAnsiTheme="minorEastAsia"/>
          <w:b/>
          <w:bCs/>
          <w:color w:val="000000"/>
          <w:kern w:val="0"/>
        </w:rPr>
        <w:t>标准起草阶段</w:t>
      </w:r>
    </w:p>
    <w:p w14:paraId="7604D71D">
      <w:pPr>
        <w:ind w:firstLine="420"/>
        <w:jc w:val="both"/>
        <w:rPr>
          <w:rFonts w:ascii="宋体" w:hAnsi="宋体" w:eastAsia="宋体" w:cstheme="minorBidi"/>
          <w:kern w:val="2"/>
          <w:sz w:val="24"/>
          <w:szCs w:val="24"/>
          <w:lang w:bidi="ar"/>
        </w:rPr>
      </w:pPr>
      <w:r>
        <w:rPr>
          <w:rFonts w:hint="eastAsia" w:ascii="宋体" w:hAnsi="宋体" w:eastAsia="宋体" w:cstheme="minorBidi"/>
          <w:kern w:val="2"/>
          <w:sz w:val="24"/>
          <w:szCs w:val="24"/>
          <w:lang w:bidi="ar"/>
        </w:rPr>
        <w:t>在标准起草阶段，信专委组织开展了大量的前期准备工作，包括：</w:t>
      </w:r>
    </w:p>
    <w:p w14:paraId="2EFCEA4B">
      <w:pPr>
        <w:ind w:firstLine="420"/>
        <w:jc w:val="both"/>
        <w:rPr>
          <w:rFonts w:hint="eastAsia" w:cstheme="minorBidi"/>
          <w:kern w:val="2"/>
          <w:sz w:val="24"/>
          <w:szCs w:val="24"/>
          <w:lang w:val="en-US" w:eastAsia="zh-CN" w:bidi="ar"/>
        </w:rPr>
      </w:pPr>
      <w:r>
        <w:rPr>
          <w:rFonts w:ascii="宋体" w:hAnsi="宋体" w:eastAsia="宋体" w:cstheme="minorBidi"/>
          <w:kern w:val="2"/>
          <w:sz w:val="24"/>
          <w:szCs w:val="24"/>
          <w:lang w:bidi="ar"/>
        </w:rPr>
        <w:t>20</w:t>
      </w:r>
      <w:r>
        <w:rPr>
          <w:rFonts w:hint="eastAsia" w:cstheme="minorBidi"/>
          <w:kern w:val="2"/>
          <w:sz w:val="24"/>
          <w:szCs w:val="24"/>
          <w:lang w:eastAsia="zh-CN" w:bidi="ar"/>
        </w:rPr>
        <w:t>1</w:t>
      </w:r>
      <w:r>
        <w:rPr>
          <w:rFonts w:hint="eastAsia" w:cstheme="minorBidi"/>
          <w:kern w:val="2"/>
          <w:sz w:val="24"/>
          <w:szCs w:val="24"/>
          <w:lang w:val="en-US" w:eastAsia="zh-CN" w:bidi="ar"/>
        </w:rPr>
        <w:t>8</w:t>
      </w:r>
      <w:r>
        <w:rPr>
          <w:rFonts w:hint="eastAsia" w:ascii="宋体" w:hAnsi="宋体" w:eastAsia="宋体" w:cstheme="minorBidi"/>
          <w:kern w:val="2"/>
          <w:sz w:val="24"/>
          <w:szCs w:val="24"/>
          <w:lang w:bidi="ar"/>
        </w:rPr>
        <w:t>年</w:t>
      </w:r>
      <w:r>
        <w:rPr>
          <w:rFonts w:hint="eastAsia" w:cstheme="minorBidi"/>
          <w:kern w:val="2"/>
          <w:sz w:val="24"/>
          <w:szCs w:val="24"/>
          <w:lang w:val="en-US" w:eastAsia="zh-CN" w:bidi="ar"/>
        </w:rPr>
        <w:t>-2022年，每年度组织策划核能行业知识管理交流会与培训，聚集行业知识管理问题与知识管理良好实践及知识管理相关技术发展讨论与分享，促进行业知识管理思想的发展，行业人员认识到基于知识管理与数字化一体化等进行了大量探索和实践，在国际与国家标准实践应用上，需要建立行业相关的知识管理技术规范。</w:t>
      </w:r>
    </w:p>
    <w:p w14:paraId="24ED565F">
      <w:pPr>
        <w:ind w:firstLine="420"/>
        <w:jc w:val="both"/>
        <w:rPr>
          <w:rFonts w:hint="eastAsia" w:ascii="宋体" w:eastAsia="宋体"/>
          <w:sz w:val="24"/>
          <w:szCs w:val="24"/>
        </w:rPr>
      </w:pPr>
      <w:r>
        <w:rPr>
          <w:rFonts w:ascii="宋体" w:eastAsia="宋体"/>
          <w:sz w:val="24"/>
          <w:szCs w:val="24"/>
        </w:rPr>
        <w:t>202</w:t>
      </w:r>
      <w:r>
        <w:rPr>
          <w:rFonts w:hint="eastAsia"/>
          <w:sz w:val="24"/>
          <w:szCs w:val="24"/>
          <w:lang w:eastAsia="zh-CN"/>
        </w:rPr>
        <w:t>3</w:t>
      </w:r>
      <w:r>
        <w:rPr>
          <w:rFonts w:ascii="宋体" w:eastAsia="宋体"/>
          <w:sz w:val="24"/>
          <w:szCs w:val="24"/>
        </w:rPr>
        <w:t>年</w:t>
      </w:r>
      <w:r>
        <w:rPr>
          <w:rFonts w:hint="eastAsia"/>
          <w:sz w:val="24"/>
          <w:szCs w:val="24"/>
          <w:lang w:eastAsia="zh-CN"/>
        </w:rPr>
        <w:t>5</w:t>
      </w:r>
      <w:r>
        <w:rPr>
          <w:rFonts w:hint="eastAsia" w:ascii="宋体" w:eastAsia="宋体"/>
          <w:sz w:val="24"/>
          <w:szCs w:val="24"/>
        </w:rPr>
        <w:t>月</w:t>
      </w:r>
      <w:r>
        <w:rPr>
          <w:rFonts w:hint="eastAsia"/>
          <w:sz w:val="24"/>
          <w:szCs w:val="24"/>
          <w:lang w:eastAsia="zh-CN"/>
        </w:rPr>
        <w:t>1</w:t>
      </w:r>
      <w:r>
        <w:rPr>
          <w:rFonts w:hint="eastAsia"/>
          <w:sz w:val="24"/>
          <w:szCs w:val="24"/>
          <w:lang w:val="en-US" w:eastAsia="zh-CN"/>
        </w:rPr>
        <w:t>7</w:t>
      </w:r>
      <w:r>
        <w:rPr>
          <w:rFonts w:hint="eastAsia" w:ascii="宋体" w:eastAsia="宋体"/>
          <w:sz w:val="24"/>
          <w:szCs w:val="24"/>
        </w:rPr>
        <w:t>日，中国核能行业协会信息化专业委员会发文</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w:t>
      </w:r>
      <w:r>
        <w:rPr>
          <w:rFonts w:ascii="宋体" w:eastAsia="宋体"/>
          <w:sz w:val="24"/>
          <w:szCs w:val="24"/>
        </w:rPr>
        <w:t>，面向行业内外征集标准参编单位。</w:t>
      </w:r>
      <w:r>
        <w:rPr>
          <w:rFonts w:hint="eastAsia" w:ascii="宋体" w:eastAsia="宋体"/>
          <w:sz w:val="24"/>
          <w:szCs w:val="24"/>
        </w:rPr>
        <w:t>根据各单位参编确认函确定标准编写组。</w:t>
      </w:r>
    </w:p>
    <w:p w14:paraId="415E3995">
      <w:pPr>
        <w:ind w:firstLine="420"/>
        <w:jc w:val="both"/>
        <w:rPr>
          <w:rFonts w:hint="default" w:ascii="宋体" w:eastAsia="宋体"/>
          <w:sz w:val="24"/>
          <w:szCs w:val="24"/>
        </w:rPr>
      </w:pPr>
      <w:r>
        <w:rPr>
          <w:rFonts w:hint="eastAsia"/>
          <w:sz w:val="24"/>
          <w:szCs w:val="24"/>
          <w:lang w:val="en-US" w:eastAsia="zh-CN"/>
        </w:rPr>
        <w:t>2023年7月13日，</w:t>
      </w:r>
      <w:r>
        <w:rPr>
          <w:rFonts w:hint="eastAsia" w:ascii="宋体" w:eastAsia="宋体"/>
          <w:sz w:val="24"/>
          <w:szCs w:val="24"/>
        </w:rPr>
        <w:t>中国核能行业协会信息化专业委员会</w:t>
      </w:r>
      <w:r>
        <w:rPr>
          <w:rFonts w:hint="eastAsia"/>
          <w:sz w:val="24"/>
          <w:szCs w:val="24"/>
          <w:lang w:val="en-US" w:eastAsia="zh-CN"/>
        </w:rPr>
        <w:t>组织召开核能企业知识管理研讨会，汇报与交流核能行业知识管理标准编制工作，统一知识管理标准结构与工作开展思路。</w:t>
      </w:r>
    </w:p>
    <w:p w14:paraId="5198E25D">
      <w:pPr>
        <w:ind w:firstLine="480" w:firstLineChars="200"/>
        <w:rPr>
          <w:rFonts w:hint="eastAsia"/>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3</w:t>
      </w:r>
      <w:r>
        <w:rPr>
          <w:rFonts w:hint="eastAsia"/>
          <w:lang w:bidi="ar"/>
        </w:rPr>
        <w:t>月</w:t>
      </w:r>
      <w:r>
        <w:rPr>
          <w:rFonts w:hint="eastAsia"/>
          <w:lang w:val="en-US" w:eastAsia="zh-CN" w:bidi="ar"/>
        </w:rPr>
        <w:t>22</w:t>
      </w:r>
      <w:r>
        <w:rPr>
          <w:rFonts w:hint="eastAsia"/>
          <w:lang w:bidi="ar"/>
        </w:rPr>
        <w:t>日，协会团标办公室召开</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w:t>
      </w:r>
      <w:r>
        <w:rPr>
          <w:rFonts w:hint="eastAsia"/>
          <w:lang w:bidi="ar"/>
        </w:rPr>
        <w:t>，会议通过该标准立项。</w:t>
      </w:r>
    </w:p>
    <w:p w14:paraId="1CE028B5">
      <w:pPr>
        <w:ind w:firstLine="480" w:firstLineChars="200"/>
        <w:rPr>
          <w:rFonts w:hint="default" w:eastAsia="宋体"/>
          <w:lang w:val="en-US" w:eastAsia="zh-CN" w:bidi="ar"/>
        </w:rPr>
      </w:pPr>
      <w:r>
        <w:rPr>
          <w:rFonts w:hint="eastAsia"/>
          <w:lang w:val="en-US" w:eastAsia="zh-CN" w:bidi="ar"/>
        </w:rPr>
        <w:t>2024年4-8月，标准编制工作组根据立项评审会专家意见对标准内容进行修改与完善，标准组内讨论确认。</w:t>
      </w:r>
    </w:p>
    <w:p w14:paraId="39D12BC3">
      <w:pPr>
        <w:ind w:firstLine="480" w:firstLineChars="200"/>
        <w:rPr>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9</w:t>
      </w:r>
      <w:r>
        <w:rPr>
          <w:rFonts w:hint="eastAsia"/>
          <w:lang w:bidi="ar"/>
        </w:rPr>
        <w:t>月</w:t>
      </w:r>
      <w:r>
        <w:rPr>
          <w:rFonts w:hint="eastAsia"/>
          <w:lang w:val="en-US" w:eastAsia="zh-CN" w:bidi="ar"/>
        </w:rPr>
        <w:t>26</w:t>
      </w:r>
      <w:r>
        <w:rPr>
          <w:rFonts w:hint="eastAsia"/>
          <w:lang w:bidi="ar"/>
        </w:rPr>
        <w:t>日，</w:t>
      </w:r>
      <w:r>
        <w:rPr>
          <w:rFonts w:hint="eastAsia"/>
          <w:lang w:val="en-US" w:eastAsia="zh-CN" w:bidi="ar"/>
        </w:rPr>
        <w:t>协会信专委</w:t>
      </w:r>
      <w:r>
        <w:rPr>
          <w:rFonts w:hint="eastAsia"/>
          <w:lang w:bidi="ar"/>
        </w:rPr>
        <w:t>召开</w:t>
      </w:r>
      <w:r>
        <w:rPr>
          <w:rFonts w:hint="eastAsia" w:ascii="宋体" w:hAnsi="宋体" w:eastAsia="宋体"/>
          <w:lang w:val="en-US" w:eastAsia="zh-CN"/>
        </w:rPr>
        <w:t>《核电行业知识管理》团体标准工作组第一次会议</w:t>
      </w:r>
      <w:r>
        <w:rPr>
          <w:rFonts w:hint="eastAsia"/>
          <w:lang w:bidi="ar"/>
        </w:rPr>
        <w:t>，</w:t>
      </w:r>
      <w:r>
        <w:rPr>
          <w:rFonts w:hint="eastAsia"/>
          <w:lang w:val="en-US" w:eastAsia="zh-CN" w:bidi="ar"/>
        </w:rPr>
        <w:t>会议上标准主编单位汇报标准修改情况，结合其他两个标准修改情况，协同联动讨论标准中的问题与修改意见</w:t>
      </w:r>
      <w:r>
        <w:rPr>
          <w:rFonts w:hint="eastAsia"/>
          <w:lang w:bidi="ar"/>
        </w:rPr>
        <w:t>。会上提出标准编制过程中需要考虑技术先进性、应用需求</w:t>
      </w:r>
      <w:r>
        <w:rPr>
          <w:rFonts w:hint="eastAsia"/>
          <w:lang w:eastAsia="zh-CN" w:bidi="ar"/>
        </w:rPr>
        <w:t>，</w:t>
      </w:r>
      <w:r>
        <w:rPr>
          <w:rFonts w:hint="eastAsia"/>
          <w:lang w:val="en-US" w:eastAsia="zh-CN" w:bidi="ar"/>
        </w:rPr>
        <w:t>突出核行业特色，强调知识管理与核安全、绩效价值的联系等</w:t>
      </w:r>
      <w:r>
        <w:rPr>
          <w:rFonts w:hint="eastAsia"/>
          <w:lang w:bidi="ar"/>
        </w:rPr>
        <w:t>；考虑系列标准之间技术术语的一致性，各标准均用到的术语，尽可能集中到标准第一部分。注意标准内容之间的相互衔接，各有侧重。</w:t>
      </w:r>
    </w:p>
    <w:p w14:paraId="12550448">
      <w:pPr>
        <w:ind w:firstLine="480" w:firstLineChars="200"/>
        <w:rPr>
          <w:lang w:bidi="ar"/>
        </w:rPr>
      </w:pPr>
      <w:r>
        <w:rPr>
          <w:rFonts w:hint="eastAsia"/>
          <w:lang w:bidi="ar"/>
        </w:rPr>
        <w:t>2024年</w:t>
      </w:r>
      <w:r>
        <w:rPr>
          <w:rFonts w:hint="eastAsia"/>
          <w:lang w:val="en-US" w:eastAsia="zh-CN" w:bidi="ar"/>
        </w:rPr>
        <w:t>10</w:t>
      </w:r>
      <w:r>
        <w:rPr>
          <w:rFonts w:hint="eastAsia"/>
          <w:lang w:bidi="ar"/>
        </w:rPr>
        <w:t>月</w:t>
      </w:r>
      <w:r>
        <w:rPr>
          <w:rFonts w:hint="eastAsia"/>
          <w:lang w:val="en-US" w:eastAsia="zh-CN" w:bidi="ar"/>
        </w:rPr>
        <w:t>-2025年2月</w:t>
      </w:r>
      <w:r>
        <w:rPr>
          <w:rFonts w:hint="eastAsia"/>
          <w:lang w:bidi="ar"/>
        </w:rPr>
        <w:t>，</w:t>
      </w:r>
      <w:r>
        <w:rPr>
          <w:rFonts w:hint="eastAsia"/>
          <w:lang w:val="en-US" w:eastAsia="zh-CN" w:bidi="ar"/>
        </w:rPr>
        <w:t>标准编制工作组根据工作组会议的意见对标准内容进行修改与完善，标准组内讨论确认，</w:t>
      </w:r>
      <w:r>
        <w:rPr>
          <w:rFonts w:hint="eastAsia"/>
          <w:lang w:bidi="ar"/>
        </w:rPr>
        <w:t>形成标准行业征求意见稿。</w:t>
      </w:r>
    </w:p>
    <w:p w14:paraId="1C5569A6">
      <w:pPr>
        <w:pStyle w:val="11"/>
        <w:numPr>
          <w:ilvl w:val="0"/>
          <w:numId w:val="3"/>
        </w:numPr>
        <w:ind w:firstLineChars="0"/>
        <w:jc w:val="both"/>
        <w:rPr>
          <w:b/>
          <w:bCs/>
        </w:rPr>
      </w:pPr>
      <w:r>
        <w:rPr>
          <w:rFonts w:hint="eastAsia" w:cs="Times New Roman" w:asciiTheme="minorEastAsia" w:hAnsiTheme="minorEastAsia"/>
          <w:b/>
          <w:bCs/>
          <w:color w:val="000000"/>
          <w:kern w:val="0"/>
        </w:rPr>
        <w:t>征求意见阶段</w:t>
      </w:r>
    </w:p>
    <w:p w14:paraId="66BD7DA2">
      <w:pPr>
        <w:pStyle w:val="11"/>
        <w:numPr>
          <w:ilvl w:val="255"/>
          <w:numId w:val="0"/>
        </w:numPr>
        <w:ind w:left="420"/>
        <w:jc w:val="both"/>
        <w:rPr>
          <w:lang w:bidi="ar"/>
        </w:rPr>
      </w:pPr>
      <w:r>
        <w:rPr>
          <w:rFonts w:hint="eastAsia"/>
          <w:lang w:bidi="ar"/>
        </w:rPr>
        <w:t>后续补充。</w:t>
      </w:r>
    </w:p>
    <w:p w14:paraId="030A2E81">
      <w:pPr>
        <w:pStyle w:val="11"/>
        <w:numPr>
          <w:ilvl w:val="0"/>
          <w:numId w:val="3"/>
        </w:numPr>
        <w:ind w:firstLineChars="0"/>
        <w:jc w:val="both"/>
        <w:rPr>
          <w:b/>
          <w:bCs/>
        </w:rPr>
      </w:pPr>
      <w:r>
        <w:rPr>
          <w:rFonts w:hint="eastAsia" w:cs="Times New Roman" w:asciiTheme="minorEastAsia" w:hAnsiTheme="minorEastAsia"/>
          <w:b/>
          <w:bCs/>
          <w:color w:val="000000"/>
          <w:kern w:val="0"/>
        </w:rPr>
        <w:t>送审阶段</w:t>
      </w:r>
    </w:p>
    <w:p w14:paraId="32B20238">
      <w:pPr>
        <w:pStyle w:val="11"/>
        <w:numPr>
          <w:ilvl w:val="255"/>
          <w:numId w:val="0"/>
        </w:numPr>
        <w:ind w:left="420"/>
        <w:jc w:val="both"/>
        <w:rPr>
          <w:b/>
          <w:bCs/>
        </w:rPr>
      </w:pPr>
      <w:r>
        <w:rPr>
          <w:rFonts w:hint="eastAsia"/>
          <w:lang w:bidi="ar"/>
        </w:rPr>
        <w:t>后续补充。</w:t>
      </w:r>
    </w:p>
    <w:p w14:paraId="1CDCA0B0">
      <w:pPr>
        <w:pStyle w:val="11"/>
        <w:numPr>
          <w:ilvl w:val="0"/>
          <w:numId w:val="3"/>
        </w:numPr>
        <w:ind w:firstLineChars="0"/>
        <w:jc w:val="both"/>
        <w:rPr>
          <w:b/>
          <w:bCs/>
        </w:rPr>
      </w:pPr>
      <w:r>
        <w:rPr>
          <w:rFonts w:hint="eastAsia" w:cs="Times New Roman" w:asciiTheme="minorEastAsia" w:hAnsiTheme="minorEastAsia"/>
          <w:b/>
          <w:bCs/>
          <w:color w:val="000000"/>
          <w:kern w:val="0"/>
        </w:rPr>
        <w:t>标准报批阶段</w:t>
      </w:r>
    </w:p>
    <w:p w14:paraId="35BD8157">
      <w:pPr>
        <w:pStyle w:val="11"/>
        <w:numPr>
          <w:ilvl w:val="255"/>
          <w:numId w:val="0"/>
        </w:numPr>
        <w:ind w:left="420"/>
        <w:jc w:val="both"/>
      </w:pPr>
      <w:r>
        <w:rPr>
          <w:rFonts w:hint="eastAsia"/>
          <w:lang w:bidi="ar"/>
        </w:rPr>
        <w:t>后续补充。</w:t>
      </w:r>
    </w:p>
    <w:p w14:paraId="6E746357">
      <w:pPr>
        <w:rPr>
          <w:b/>
        </w:rPr>
      </w:pPr>
      <w:r>
        <w:rPr>
          <w:rFonts w:hint="eastAsia"/>
          <w:b/>
        </w:rPr>
        <w:t>3、</w:t>
      </w:r>
      <w:r>
        <w:rPr>
          <w:b/>
        </w:rPr>
        <w:t>主要参加单位和工作组成员及其所作的工作等</w:t>
      </w:r>
    </w:p>
    <w:p w14:paraId="5DB0DF98">
      <w:pPr>
        <w:ind w:firstLine="420"/>
      </w:pPr>
      <w:r>
        <w:rPr>
          <w:rFonts w:hint="eastAsia"/>
        </w:rPr>
        <w:t>本文件编制的参与单位和分工如下：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660"/>
        <w:gridCol w:w="2530"/>
      </w:tblGrid>
      <w:tr w14:paraId="34D7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106" w:type="dxa"/>
            <w:vAlign w:val="center"/>
          </w:tcPr>
          <w:p w14:paraId="6B13819B">
            <w:pPr>
              <w:jc w:val="center"/>
              <w:rPr>
                <w:rFonts w:cs="Times New Roman"/>
                <w:kern w:val="0"/>
              </w:rPr>
            </w:pPr>
            <w:r>
              <w:rPr>
                <w:rFonts w:hint="eastAsia" w:cs="Times New Roman"/>
                <w:kern w:val="0"/>
              </w:rPr>
              <w:t>单位名称</w:t>
            </w:r>
          </w:p>
        </w:tc>
        <w:tc>
          <w:tcPr>
            <w:tcW w:w="1660" w:type="dxa"/>
            <w:vAlign w:val="center"/>
          </w:tcPr>
          <w:p w14:paraId="1A896150">
            <w:pPr>
              <w:jc w:val="center"/>
              <w:rPr>
                <w:rFonts w:cs="Times New Roman"/>
                <w:kern w:val="0"/>
              </w:rPr>
            </w:pPr>
            <w:r>
              <w:rPr>
                <w:rFonts w:hint="eastAsia" w:cs="Times New Roman"/>
                <w:kern w:val="0"/>
              </w:rPr>
              <w:t>编写分工</w:t>
            </w:r>
          </w:p>
        </w:tc>
        <w:tc>
          <w:tcPr>
            <w:tcW w:w="2530" w:type="dxa"/>
            <w:vAlign w:val="center"/>
          </w:tcPr>
          <w:p w14:paraId="6BF3D446">
            <w:pPr>
              <w:jc w:val="center"/>
              <w:rPr>
                <w:rFonts w:cs="Times New Roman"/>
                <w:kern w:val="0"/>
              </w:rPr>
            </w:pPr>
            <w:r>
              <w:rPr>
                <w:rFonts w:hint="eastAsia" w:cs="Times New Roman"/>
                <w:kern w:val="0"/>
              </w:rPr>
              <w:t>主要承担工作</w:t>
            </w:r>
          </w:p>
        </w:tc>
      </w:tr>
      <w:tr w14:paraId="2731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271FC041">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福建福清核电有限公司</w:t>
            </w:r>
          </w:p>
        </w:tc>
        <w:tc>
          <w:tcPr>
            <w:tcW w:w="1660" w:type="dxa"/>
            <w:vAlign w:val="center"/>
          </w:tcPr>
          <w:p w14:paraId="5D0A20F2">
            <w:pPr>
              <w:jc w:val="center"/>
              <w:rPr>
                <w:rFonts w:cs="Times New Roman"/>
                <w:kern w:val="0"/>
              </w:rPr>
            </w:pPr>
            <w:r>
              <w:rPr>
                <w:rFonts w:hint="eastAsia" w:cs="Times New Roman"/>
                <w:kern w:val="0"/>
                <w:lang w:val="en-US" w:eastAsia="zh-CN"/>
              </w:rPr>
              <w:t>主编</w:t>
            </w:r>
            <w:r>
              <w:rPr>
                <w:rFonts w:hint="eastAsia" w:cs="Times New Roman"/>
                <w:kern w:val="0"/>
              </w:rPr>
              <w:t>单位</w:t>
            </w:r>
          </w:p>
        </w:tc>
        <w:tc>
          <w:tcPr>
            <w:tcW w:w="2530" w:type="dxa"/>
            <w:vAlign w:val="center"/>
          </w:tcPr>
          <w:p w14:paraId="77D73C40">
            <w:pPr>
              <w:jc w:val="center"/>
              <w:rPr>
                <w:rFonts w:hint="default" w:eastAsia="宋体" w:cs="Times New Roman"/>
                <w:kern w:val="0"/>
                <w:lang w:val="en-US" w:eastAsia="zh-CN"/>
              </w:rPr>
            </w:pPr>
            <w:r>
              <w:rPr>
                <w:rFonts w:hint="eastAsia" w:cs="Times New Roman"/>
                <w:kern w:val="0"/>
                <w:lang w:val="en-US" w:eastAsia="zh-CN"/>
              </w:rPr>
              <w:t>标准内容编写与确认</w:t>
            </w:r>
          </w:p>
        </w:tc>
      </w:tr>
      <w:tr w14:paraId="56F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226D65E">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同方知网数字出版技术股份有限公司</w:t>
            </w:r>
          </w:p>
        </w:tc>
        <w:tc>
          <w:tcPr>
            <w:tcW w:w="1660" w:type="dxa"/>
            <w:vAlign w:val="center"/>
          </w:tcPr>
          <w:p w14:paraId="6530D8FB">
            <w:pPr>
              <w:jc w:val="center"/>
              <w:rPr>
                <w:rFonts w:cs="Times New Roman"/>
                <w:kern w:val="0"/>
              </w:rPr>
            </w:pPr>
            <w:r>
              <w:rPr>
                <w:rFonts w:hint="eastAsia" w:cs="Times New Roman"/>
                <w:kern w:val="0"/>
                <w:lang w:val="en-US" w:eastAsia="zh-CN"/>
              </w:rPr>
              <w:t>主编</w:t>
            </w:r>
            <w:r>
              <w:rPr>
                <w:rFonts w:hint="eastAsia" w:cs="Times New Roman"/>
                <w:kern w:val="0"/>
              </w:rPr>
              <w:t>单位</w:t>
            </w:r>
          </w:p>
        </w:tc>
        <w:tc>
          <w:tcPr>
            <w:tcW w:w="2530" w:type="dxa"/>
            <w:vAlign w:val="center"/>
          </w:tcPr>
          <w:p w14:paraId="6AB62E85">
            <w:pPr>
              <w:jc w:val="center"/>
              <w:rPr>
                <w:rFonts w:hint="default" w:eastAsia="宋体" w:cs="Times New Roman"/>
                <w:kern w:val="0"/>
                <w:lang w:val="en-US" w:eastAsia="zh-CN"/>
              </w:rPr>
            </w:pPr>
            <w:r>
              <w:rPr>
                <w:rFonts w:hint="eastAsia" w:cs="Times New Roman"/>
                <w:kern w:val="0"/>
                <w:lang w:val="en-US" w:eastAsia="zh-CN"/>
              </w:rPr>
              <w:t>标准内容编写</w:t>
            </w:r>
          </w:p>
        </w:tc>
      </w:tr>
      <w:tr w14:paraId="27C6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5C0AB005">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中国核能电力股份有限公司</w:t>
            </w:r>
          </w:p>
        </w:tc>
        <w:tc>
          <w:tcPr>
            <w:tcW w:w="1660" w:type="dxa"/>
            <w:vAlign w:val="center"/>
          </w:tcPr>
          <w:p w14:paraId="595D7301">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副主编单位</w:t>
            </w:r>
          </w:p>
        </w:tc>
        <w:tc>
          <w:tcPr>
            <w:tcW w:w="2530" w:type="dxa"/>
            <w:vAlign w:val="center"/>
          </w:tcPr>
          <w:p w14:paraId="23197F74">
            <w:pPr>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标准部分内容编写</w:t>
            </w:r>
          </w:p>
        </w:tc>
      </w:tr>
      <w:tr w14:paraId="24C0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1E6CEAEF">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核电运行研究（上海）有限公司</w:t>
            </w:r>
          </w:p>
        </w:tc>
        <w:tc>
          <w:tcPr>
            <w:tcW w:w="1660" w:type="dxa"/>
            <w:vAlign w:val="center"/>
          </w:tcPr>
          <w:p w14:paraId="1538CB10">
            <w:pPr>
              <w:jc w:val="center"/>
              <w:rPr>
                <w:rFonts w:hint="eastAsia" w:ascii="宋体" w:hAnsi="宋体" w:eastAsia="宋体" w:cs="Times New Roman"/>
                <w:kern w:val="0"/>
                <w:lang w:val="en-US" w:eastAsia="zh-CN"/>
              </w:rPr>
            </w:pPr>
            <w:r>
              <w:rPr>
                <w:rFonts w:hint="eastAsia" w:cs="Times New Roman"/>
                <w:kern w:val="0"/>
                <w:lang w:val="en-US" w:eastAsia="zh-CN"/>
              </w:rPr>
              <w:t>参编</w:t>
            </w:r>
            <w:r>
              <w:rPr>
                <w:rFonts w:hint="eastAsia" w:ascii="宋体" w:hAnsi="宋体" w:eastAsia="宋体" w:cs="Times New Roman"/>
                <w:kern w:val="0"/>
                <w:lang w:val="en-US" w:eastAsia="zh-CN"/>
              </w:rPr>
              <w:t>单位</w:t>
            </w:r>
          </w:p>
        </w:tc>
        <w:tc>
          <w:tcPr>
            <w:tcW w:w="2530" w:type="dxa"/>
            <w:vAlign w:val="center"/>
          </w:tcPr>
          <w:p w14:paraId="26B8B662">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标准意见讨论</w:t>
            </w:r>
          </w:p>
        </w:tc>
      </w:tr>
      <w:tr w14:paraId="38C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15EEB0C1">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中核武汉核电运行技术股份有限公司</w:t>
            </w:r>
          </w:p>
        </w:tc>
        <w:tc>
          <w:tcPr>
            <w:tcW w:w="1660" w:type="dxa"/>
            <w:vAlign w:val="center"/>
          </w:tcPr>
          <w:p w14:paraId="3727C6DD">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参编单位</w:t>
            </w:r>
          </w:p>
        </w:tc>
        <w:tc>
          <w:tcPr>
            <w:tcW w:w="2530" w:type="dxa"/>
            <w:vAlign w:val="center"/>
          </w:tcPr>
          <w:p w14:paraId="4E52EF7F">
            <w:pPr>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标准意见讨论</w:t>
            </w:r>
          </w:p>
        </w:tc>
      </w:tr>
      <w:tr w14:paraId="7000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704A67DA">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中国宝原投资有限公司</w:t>
            </w:r>
          </w:p>
        </w:tc>
        <w:tc>
          <w:tcPr>
            <w:tcW w:w="1660" w:type="dxa"/>
            <w:vAlign w:val="center"/>
          </w:tcPr>
          <w:p w14:paraId="70C17E4A">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参编单位</w:t>
            </w:r>
          </w:p>
        </w:tc>
        <w:tc>
          <w:tcPr>
            <w:tcW w:w="2530" w:type="dxa"/>
            <w:vAlign w:val="center"/>
          </w:tcPr>
          <w:p w14:paraId="11CA1492">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标准意见讨论</w:t>
            </w:r>
          </w:p>
        </w:tc>
      </w:tr>
      <w:tr w14:paraId="390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8F156CE">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华能霞浦核电有限公司</w:t>
            </w:r>
          </w:p>
        </w:tc>
        <w:tc>
          <w:tcPr>
            <w:tcW w:w="1660" w:type="dxa"/>
            <w:vAlign w:val="center"/>
          </w:tcPr>
          <w:p w14:paraId="61D38A5E">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参编单位</w:t>
            </w:r>
          </w:p>
        </w:tc>
        <w:tc>
          <w:tcPr>
            <w:tcW w:w="2530" w:type="dxa"/>
            <w:vAlign w:val="center"/>
          </w:tcPr>
          <w:p w14:paraId="7971A80A">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标准意见讨论</w:t>
            </w:r>
          </w:p>
        </w:tc>
      </w:tr>
      <w:tr w14:paraId="0BD3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F61D4A0">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中广核工程有限公司</w:t>
            </w:r>
          </w:p>
        </w:tc>
        <w:tc>
          <w:tcPr>
            <w:tcW w:w="1660" w:type="dxa"/>
            <w:vAlign w:val="center"/>
          </w:tcPr>
          <w:p w14:paraId="57761842">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参编单位</w:t>
            </w:r>
          </w:p>
        </w:tc>
        <w:tc>
          <w:tcPr>
            <w:tcW w:w="2530" w:type="dxa"/>
            <w:vAlign w:val="center"/>
          </w:tcPr>
          <w:p w14:paraId="27E75459">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标准意见讨论</w:t>
            </w:r>
          </w:p>
        </w:tc>
      </w:tr>
      <w:tr w14:paraId="3E0D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522812C">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中国核能行业协会</w:t>
            </w:r>
          </w:p>
        </w:tc>
        <w:tc>
          <w:tcPr>
            <w:tcW w:w="1660" w:type="dxa"/>
            <w:shd w:val="clear" w:color="auto" w:fill="auto"/>
            <w:vAlign w:val="center"/>
          </w:tcPr>
          <w:p w14:paraId="70B70CC1">
            <w:pPr>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lang w:val="en-US" w:eastAsia="zh-CN"/>
              </w:rPr>
              <w:t>参编单位</w:t>
            </w:r>
          </w:p>
        </w:tc>
        <w:tc>
          <w:tcPr>
            <w:tcW w:w="2530" w:type="dxa"/>
            <w:shd w:val="clear" w:color="auto" w:fill="auto"/>
            <w:vAlign w:val="center"/>
          </w:tcPr>
          <w:p w14:paraId="7C211FAF">
            <w:pPr>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lang w:val="en-US" w:eastAsia="zh-CN"/>
              </w:rPr>
              <w:t>标准意见讨论</w:t>
            </w:r>
          </w:p>
        </w:tc>
      </w:tr>
    </w:tbl>
    <w:p w14:paraId="2CFA0AF9"/>
    <w:p w14:paraId="7565A8D3">
      <w:pPr>
        <w:outlineLvl w:val="0"/>
        <w:rPr>
          <w:b/>
          <w:sz w:val="28"/>
          <w:szCs w:val="28"/>
          <w:highlight w:val="none"/>
        </w:rPr>
      </w:pPr>
      <w:r>
        <w:rPr>
          <w:rFonts w:hint="eastAsia"/>
          <w:b/>
          <w:sz w:val="28"/>
          <w:szCs w:val="28"/>
          <w:highlight w:val="none"/>
        </w:rPr>
        <w:t>二、标准编制原则和主要内容</w:t>
      </w:r>
    </w:p>
    <w:p w14:paraId="66F22153">
      <w:pPr>
        <w:numPr>
          <w:ilvl w:val="0"/>
          <w:numId w:val="4"/>
        </w:numPr>
        <w:rPr>
          <w:b/>
        </w:rPr>
      </w:pPr>
      <w:r>
        <w:rPr>
          <w:rFonts w:hint="eastAsia"/>
          <w:b/>
        </w:rPr>
        <w:t>标准编制原则</w:t>
      </w:r>
    </w:p>
    <w:p w14:paraId="37A56628">
      <w:pPr>
        <w:ind w:firstLine="480" w:firstLineChars="200"/>
      </w:pPr>
      <w:r>
        <w:rPr>
          <w:rFonts w:hint="eastAsia"/>
          <w:color w:val="000000" w:themeColor="text1"/>
          <w14:textFill>
            <w14:solidFill>
              <w14:schemeClr w14:val="tx1"/>
            </w14:solidFill>
          </w14:textFill>
        </w:rPr>
        <w:t>本标准的编制旨在指导核电企业开展知识管理工作。本标准本着公正性、科学性、实用性的原则编制</w:t>
      </w:r>
      <w:r>
        <w:rPr>
          <w:rFonts w:hint="eastAsia"/>
        </w:rPr>
        <w:t>。</w:t>
      </w:r>
    </w:p>
    <w:p w14:paraId="1A7B5BBC">
      <w:pPr>
        <w:pStyle w:val="11"/>
        <w:numPr>
          <w:ilvl w:val="0"/>
          <w:numId w:val="5"/>
        </w:numPr>
        <w:ind w:firstLineChars="0"/>
      </w:pPr>
      <w:r>
        <w:t>公正性</w:t>
      </w:r>
    </w:p>
    <w:p w14:paraId="2529D321">
      <w:pPr>
        <w:ind w:firstLine="480" w:firstLineChars="200"/>
      </w:pPr>
      <w:r>
        <w:rPr>
          <w:color w:val="000000" w:themeColor="text1"/>
          <w14:textFill>
            <w14:solidFill>
              <w14:schemeClr w14:val="tx1"/>
            </w14:solidFill>
          </w14:textFill>
        </w:rPr>
        <w:t>本标准在实施过程中</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以掌握的事实材料为依据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尊重客观事实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不带有主观随意性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不受外界干扰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不迁就任何单位和个人的片面要求</w:t>
      </w:r>
      <w:r>
        <w:rPr>
          <w:rFonts w:hint="eastAsia"/>
        </w:rPr>
        <w:t>。</w:t>
      </w:r>
    </w:p>
    <w:p w14:paraId="52580D0A">
      <w:pPr>
        <w:pStyle w:val="11"/>
        <w:numPr>
          <w:ilvl w:val="0"/>
          <w:numId w:val="5"/>
        </w:numPr>
        <w:ind w:firstLineChars="0"/>
      </w:pPr>
      <w:r>
        <w:rPr>
          <w:rFonts w:hint="eastAsia"/>
        </w:rPr>
        <w:t>科学性</w:t>
      </w:r>
    </w:p>
    <w:p w14:paraId="48319D88">
      <w:pPr>
        <w:pStyle w:val="6"/>
        <w:snapToGrid w:val="0"/>
        <w:spacing w:before="0" w:beforeAutospacing="0" w:after="0" w:afterAutospacing="0" w:line="360" w:lineRule="auto"/>
        <w:ind w:firstLine="520"/>
        <w:jc w:val="both"/>
      </w:pPr>
      <w:r>
        <w:rPr>
          <w:rFonts w:hint="eastAsia"/>
          <w:color w:val="000000" w:themeColor="text1"/>
          <w14:textFill>
            <w14:solidFill>
              <w14:schemeClr w14:val="tx1"/>
            </w14:solidFill>
          </w14:textFill>
        </w:rPr>
        <w:t>本标准研究核电企业如何开展知识管理工作，通过对国内、外核电企业知识管理建设情况开展深入调研，明确知识管理策略，提高核电企业知识管理水平，助力实现高质量发展</w:t>
      </w:r>
      <w:r>
        <w:rPr>
          <w:rFonts w:hint="eastAsia"/>
        </w:rPr>
        <w:t>。</w:t>
      </w:r>
    </w:p>
    <w:p w14:paraId="56017A2A">
      <w:pPr>
        <w:pStyle w:val="11"/>
        <w:numPr>
          <w:ilvl w:val="0"/>
          <w:numId w:val="5"/>
        </w:numPr>
        <w:ind w:firstLineChars="0"/>
      </w:pPr>
      <w:r>
        <w:t>实用性</w:t>
      </w:r>
    </w:p>
    <w:p w14:paraId="1346CCDE">
      <w:pPr>
        <w:ind w:firstLine="420"/>
        <w:rPr>
          <w:b/>
        </w:rPr>
      </w:pPr>
      <w:r>
        <w:rPr>
          <w:rFonts w:hint="eastAsia"/>
          <w:color w:val="000000" w:themeColor="text1"/>
          <w14:textFill>
            <w14:solidFill>
              <w14:schemeClr w14:val="tx1"/>
            </w14:solidFill>
          </w14:textFill>
        </w:rPr>
        <w:t>本标准基于科学分析方法，从目标、策略原则、模型、资源、活动、支持要素六个方面进行了阐述，为核电企业开展知识管理工作提供指导和借鉴</w:t>
      </w:r>
      <w:r>
        <w:rPr>
          <w:rFonts w:hint="eastAsia"/>
        </w:rPr>
        <w:t>。</w:t>
      </w:r>
    </w:p>
    <w:p w14:paraId="6165805C">
      <w:pPr>
        <w:numPr>
          <w:ilvl w:val="0"/>
          <w:numId w:val="4"/>
        </w:numPr>
        <w:rPr>
          <w:b/>
          <w:highlight w:val="none"/>
        </w:rPr>
      </w:pPr>
      <w:r>
        <w:rPr>
          <w:rFonts w:hint="eastAsia"/>
          <w:b/>
          <w:highlight w:val="none"/>
        </w:rPr>
        <w:t>标准主要内容的依据</w:t>
      </w:r>
    </w:p>
    <w:p w14:paraId="059E044C">
      <w:pPr>
        <w:numPr>
          <w:ilvl w:val="1"/>
          <w:numId w:val="4"/>
        </w:numPr>
        <w:rPr>
          <w:b/>
          <w:highlight w:val="none"/>
        </w:rPr>
      </w:pPr>
      <w:r>
        <w:rPr>
          <w:rFonts w:hint="eastAsia"/>
          <w:b/>
          <w:highlight w:val="none"/>
        </w:rPr>
        <w:t>概述</w:t>
      </w:r>
    </w:p>
    <w:p w14:paraId="5FB4E82F">
      <w:pPr>
        <w:ind w:firstLine="480" w:firstLineChars="200"/>
        <w:rPr>
          <w:color w:val="000000" w:themeColor="text1"/>
          <w14:textFill>
            <w14:solidFill>
              <w14:schemeClr w14:val="tx1"/>
            </w14:solidFill>
          </w14:textFill>
        </w:rPr>
      </w:pPr>
      <w:bookmarkStart w:id="0" w:name="_Hlk151914248"/>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文件是T/CNEA 《核电行业知识管理》第</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部分。T/CNEA 主要包含4部分的内容：</w:t>
      </w:r>
    </w:p>
    <w:p w14:paraId="7F076FEE">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117475</wp:posOffset>
                </wp:positionV>
                <wp:extent cx="302260" cy="0"/>
                <wp:effectExtent l="0" t="4445" r="0"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9.25pt;height:0pt;width:23.8pt;z-index:251659264;mso-width-relative:page;mso-height-relative:page;" filled="f" stroked="t" coordsize="21600,21600" o:gfxdata="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991DVAAAABwEAAA8AAAAAAAAAAQAgAAAAIgAAAGRycy9kb3ducmV2LnhtbFBLAQIUABQA&#10;AAAIAIdO4kBKyJm0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第1部分：总则；</w:t>
      </w:r>
    </w:p>
    <w:p w14:paraId="53000D69">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104775</wp:posOffset>
                </wp:positionV>
                <wp:extent cx="302260" cy="0"/>
                <wp:effectExtent l="0" t="4445" r="0"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25pt;height:0pt;width:23.8pt;z-index:251660288;mso-width-relative:page;mso-height-relative:page;" filled="f" stroked="t" coordsize="21600,21600" o:gfxdata="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S1VhtQAAAAHAQAADwAAAAAAAAABACAAAAAiAAAAZHJzL2Rvd25yZXYueG1sUEsBAhQAFAAA&#10;AAgAh07iQA2JCZnzAQAAvQMAAA4AAAAAAAAAAQAgAAAAIwEAAGRycy9lMm9Eb2MueG1sUEsFBgAA&#10;AAAGAAYAWQEAAIgFA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第2部分：实施；</w:t>
      </w:r>
    </w:p>
    <w:p w14:paraId="5E8FE66F">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102235</wp:posOffset>
                </wp:positionV>
                <wp:extent cx="302260" cy="0"/>
                <wp:effectExtent l="0" t="4445" r="0" b="508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05pt;height:0pt;width:23.8pt;z-index:251661312;mso-width-relative:page;mso-height-relative:page;" filled="f" stroked="t" coordsize="21600,21600" o:gfxdata="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zp+fUAAAABwEAAA8AAAAAAAAAAQAgAAAAIgAAAGRycy9kb3ducmV2LnhtbFBLAQIUABQA&#10;AAAIAIdO4kAwtnmC9AEAAL0DAAAOAAAAAAAAAAEAIAAAACM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第3部分：评价；</w:t>
      </w:r>
    </w:p>
    <w:p w14:paraId="23DEF50F">
      <w:pPr>
        <w:pStyle w:val="12"/>
        <w:spacing w:line="360" w:lineRule="auto"/>
        <w:ind w:firstLine="480"/>
        <w:rPr>
          <w:rFonts w:hint="eastAsia" w:hAnsi="宋体" w:cstheme="minorBidi"/>
          <w:i/>
          <w:iCs/>
          <w:kern w:val="2"/>
          <w:sz w:val="24"/>
          <w:szCs w:val="24"/>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99695</wp:posOffset>
                </wp:positionV>
                <wp:extent cx="302260" cy="0"/>
                <wp:effectExtent l="0" t="4445" r="0"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7.85pt;height:0pt;width:23.8pt;z-index:251662336;mso-width-relative:page;mso-height-relative:page;" filled="f" stroked="t" coordsize="21600,21600" o:gfxdata="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p3wvVAAAABwEAAA8AAAAAAAAAAQAgAAAAIgAAAGRycy9kb3ducmV2LnhtbFBLAQIUABQA&#10;AAAIAIdO4kCDCynC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第4部分：大模型</w:t>
      </w:r>
      <w:r>
        <w:rPr>
          <w:rFonts w:hint="eastAsia" w:hAnsi="宋体" w:cstheme="minorBidi"/>
          <w:i/>
          <w:iCs/>
          <w:kern w:val="2"/>
          <w:sz w:val="24"/>
          <w:szCs w:val="24"/>
        </w:rPr>
        <w:t>。</w:t>
      </w:r>
    </w:p>
    <w:bookmarkEnd w:id="0"/>
    <w:p w14:paraId="08DB0721">
      <w:pPr>
        <w:numPr>
          <w:ilvl w:val="1"/>
          <w:numId w:val="4"/>
        </w:numPr>
        <w:rPr>
          <w:b/>
          <w:color w:val="FF0000"/>
          <w:highlight w:val="none"/>
        </w:rPr>
      </w:pPr>
      <w:r>
        <w:rPr>
          <w:rFonts w:hint="eastAsia"/>
          <w:b/>
          <w:color w:val="FF0000"/>
          <w:highlight w:val="none"/>
        </w:rPr>
        <w:t>主要技术内容说明</w:t>
      </w:r>
    </w:p>
    <w:p w14:paraId="60065A21">
      <w:pPr>
        <w:numPr>
          <w:ilvl w:val="2"/>
          <w:numId w:val="4"/>
        </w:numPr>
        <w:rPr>
          <w:b/>
          <w:color w:val="FF0000"/>
        </w:rPr>
      </w:pPr>
      <w:r>
        <w:rPr>
          <w:rFonts w:hint="eastAsia"/>
          <w:b/>
          <w:color w:val="FF0000"/>
        </w:rPr>
        <w:t>第1章 范围</w:t>
      </w:r>
    </w:p>
    <w:p w14:paraId="53267271">
      <w:pPr>
        <w:ind w:firstLine="480" w:firstLineChars="200"/>
        <w:rPr>
          <w:i/>
          <w:iCs/>
          <w:color w:val="FF0000"/>
        </w:rPr>
      </w:pPr>
      <w:r>
        <w:rPr>
          <w:rFonts w:ascii="宋体"/>
          <w:color w:val="FF0000"/>
          <w:kern w:val="0"/>
          <w:szCs w:val="21"/>
        </w:rPr>
        <w:t>本标准规定了核能行业文档知识评价的</w:t>
      </w:r>
      <w:r>
        <w:rPr>
          <w:rFonts w:hint="eastAsia" w:ascii="宋体"/>
          <w:color w:val="FF0000"/>
          <w:kern w:val="0"/>
          <w:szCs w:val="21"/>
        </w:rPr>
        <w:t>基本条件、评价原则、知识资产评价、知识管理绩效评价、评价方法和程序、评价结论</w:t>
      </w:r>
      <w:r>
        <w:rPr>
          <w:rFonts w:ascii="宋体"/>
          <w:color w:val="FF0000"/>
          <w:kern w:val="0"/>
          <w:szCs w:val="21"/>
        </w:rPr>
        <w:t>等内容</w:t>
      </w:r>
      <w:r>
        <w:rPr>
          <w:rFonts w:hint="eastAsia"/>
          <w:i/>
          <w:iCs/>
          <w:color w:val="FF0000"/>
        </w:rPr>
        <w:t>。</w:t>
      </w:r>
    </w:p>
    <w:p w14:paraId="5C013C19">
      <w:pPr>
        <w:numPr>
          <w:ilvl w:val="2"/>
          <w:numId w:val="4"/>
        </w:numPr>
        <w:rPr>
          <w:b/>
          <w:color w:val="FF0000"/>
        </w:rPr>
      </w:pPr>
      <w:r>
        <w:rPr>
          <w:rFonts w:hint="eastAsia"/>
          <w:b/>
          <w:color w:val="FF0000"/>
        </w:rPr>
        <w:t>第2章 规范性引用文件</w:t>
      </w:r>
    </w:p>
    <w:p w14:paraId="3281CEBA">
      <w:pPr>
        <w:ind w:firstLine="480" w:firstLineChars="200"/>
        <w:rPr>
          <w:rFonts w:hint="eastAsia" w:ascii="宋体"/>
          <w:color w:val="FF0000"/>
          <w:kern w:val="0"/>
          <w:szCs w:val="21"/>
        </w:rPr>
      </w:pPr>
      <w:r>
        <w:rPr>
          <w:rFonts w:hint="eastAsia" w:ascii="宋体"/>
          <w:color w:val="FF0000"/>
          <w:kern w:val="0"/>
          <w:szCs w:val="21"/>
        </w:rPr>
        <w:t>下列文件中的内容通过文中的规范性引用而构成本文件必不可少的条款。</w:t>
      </w:r>
    </w:p>
    <w:p w14:paraId="154C16A8">
      <w:pPr>
        <w:ind w:firstLine="480" w:firstLineChars="200"/>
        <w:rPr>
          <w:rFonts w:hint="eastAsia" w:ascii="宋体"/>
          <w:color w:val="FF0000"/>
          <w:kern w:val="0"/>
          <w:szCs w:val="21"/>
        </w:rPr>
      </w:pPr>
      <w:r>
        <w:rPr>
          <w:rFonts w:hint="eastAsia" w:ascii="宋体"/>
          <w:color w:val="FF0000"/>
          <w:kern w:val="0"/>
          <w:szCs w:val="21"/>
        </w:rPr>
        <w:t>GB/T 23703.1—2009 知识管理第1部分：框架</w:t>
      </w:r>
    </w:p>
    <w:p w14:paraId="7AD6346C">
      <w:pPr>
        <w:ind w:firstLine="480" w:firstLineChars="200"/>
        <w:rPr>
          <w:rFonts w:hint="eastAsia" w:ascii="宋体"/>
          <w:color w:val="FF0000"/>
          <w:kern w:val="0"/>
          <w:szCs w:val="21"/>
        </w:rPr>
      </w:pPr>
      <w:r>
        <w:rPr>
          <w:rFonts w:hint="eastAsia" w:ascii="宋体"/>
          <w:color w:val="FF0000"/>
          <w:kern w:val="0"/>
          <w:szCs w:val="21"/>
        </w:rPr>
        <w:t>GB/T 23703.2—2010 知识管理第2部分：术语</w:t>
      </w:r>
    </w:p>
    <w:p w14:paraId="1BC26B76">
      <w:pPr>
        <w:ind w:firstLine="480" w:firstLineChars="200"/>
        <w:rPr>
          <w:rFonts w:hint="eastAsia" w:ascii="宋体"/>
          <w:color w:val="FF0000"/>
          <w:kern w:val="0"/>
          <w:szCs w:val="21"/>
        </w:rPr>
      </w:pPr>
      <w:r>
        <w:rPr>
          <w:rFonts w:hint="eastAsia" w:ascii="宋体"/>
          <w:color w:val="FF0000"/>
          <w:kern w:val="0"/>
          <w:szCs w:val="21"/>
        </w:rPr>
        <w:t>GB/T 23703.3—2010 知识管理第3部分：组织文化</w:t>
      </w:r>
    </w:p>
    <w:p w14:paraId="7167E1B4">
      <w:pPr>
        <w:ind w:firstLine="480" w:firstLineChars="200"/>
        <w:rPr>
          <w:rFonts w:hint="eastAsia" w:ascii="宋体"/>
          <w:color w:val="FF0000"/>
          <w:kern w:val="0"/>
          <w:szCs w:val="21"/>
        </w:rPr>
      </w:pPr>
      <w:r>
        <w:rPr>
          <w:rFonts w:hint="eastAsia" w:ascii="宋体"/>
          <w:color w:val="FF0000"/>
          <w:kern w:val="0"/>
          <w:szCs w:val="21"/>
        </w:rPr>
        <w:t>GB/T 23703.4—2010 知识管理第4部分：知识活动</w:t>
      </w:r>
    </w:p>
    <w:p w14:paraId="37487147">
      <w:pPr>
        <w:ind w:firstLine="480" w:firstLineChars="200"/>
        <w:rPr>
          <w:rFonts w:hint="eastAsia" w:ascii="宋体"/>
          <w:color w:val="FF0000"/>
          <w:kern w:val="0"/>
          <w:szCs w:val="21"/>
        </w:rPr>
      </w:pPr>
      <w:r>
        <w:rPr>
          <w:rFonts w:hint="eastAsia" w:ascii="宋体"/>
          <w:color w:val="FF0000"/>
          <w:kern w:val="0"/>
          <w:szCs w:val="21"/>
        </w:rPr>
        <w:t>GB/T 23703.5—2010 知识管理第5部分：实施指南</w:t>
      </w:r>
    </w:p>
    <w:p w14:paraId="61A7298A">
      <w:pPr>
        <w:ind w:firstLine="480" w:firstLineChars="200"/>
        <w:rPr>
          <w:rFonts w:hint="eastAsia" w:ascii="宋体"/>
          <w:color w:val="FF0000"/>
          <w:kern w:val="0"/>
          <w:szCs w:val="21"/>
        </w:rPr>
      </w:pPr>
      <w:r>
        <w:rPr>
          <w:rFonts w:hint="eastAsia" w:ascii="宋体"/>
          <w:color w:val="FF0000"/>
          <w:kern w:val="0"/>
          <w:szCs w:val="21"/>
        </w:rPr>
        <w:t>GB/T 23703.6—2010 知识管理第6部分：评价</w:t>
      </w:r>
    </w:p>
    <w:p w14:paraId="75A0E359">
      <w:pPr>
        <w:numPr>
          <w:ilvl w:val="2"/>
          <w:numId w:val="4"/>
        </w:numPr>
        <w:rPr>
          <w:b/>
          <w:color w:val="FF0000"/>
        </w:rPr>
      </w:pPr>
      <w:r>
        <w:rPr>
          <w:rFonts w:hint="eastAsia"/>
          <w:b/>
          <w:color w:val="FF0000"/>
        </w:rPr>
        <w:t>第3章 术语和定义</w:t>
      </w:r>
    </w:p>
    <w:p w14:paraId="32543A72">
      <w:pPr>
        <w:ind w:firstLine="480" w:firstLineChars="200"/>
        <w:rPr>
          <w:rFonts w:hint="eastAsia" w:ascii="宋体"/>
          <w:color w:val="FF0000"/>
          <w:kern w:val="0"/>
          <w:szCs w:val="21"/>
        </w:rPr>
      </w:pPr>
      <w:r>
        <w:rPr>
          <w:rFonts w:hint="eastAsia" w:ascii="宋体"/>
          <w:color w:val="FF0000"/>
          <w:kern w:val="0"/>
          <w:szCs w:val="21"/>
        </w:rPr>
        <w:t>本标准中的术语及定义部分参照国家、行业标准规范中已有的相应术语给出定义。主要包括下列内容。</w:t>
      </w:r>
    </w:p>
    <w:p w14:paraId="1C8DC81A">
      <w:pPr>
        <w:ind w:firstLine="480" w:firstLineChars="200"/>
        <w:rPr>
          <w:rFonts w:hint="eastAsia" w:ascii="宋体"/>
          <w:color w:val="FF0000"/>
          <w:kern w:val="0"/>
          <w:szCs w:val="21"/>
        </w:rPr>
      </w:pPr>
      <w:r>
        <w:rPr>
          <w:rFonts w:hint="eastAsia" w:ascii="宋体"/>
          <w:color w:val="FF0000"/>
          <w:kern w:val="0"/>
          <w:szCs w:val="21"/>
        </w:rPr>
        <w:t>知识 knowledge</w:t>
      </w:r>
    </w:p>
    <w:p w14:paraId="1CB79099">
      <w:pPr>
        <w:ind w:firstLine="480" w:firstLineChars="200"/>
        <w:rPr>
          <w:rFonts w:hint="eastAsia" w:ascii="宋体"/>
          <w:color w:val="FF0000"/>
          <w:kern w:val="0"/>
          <w:szCs w:val="21"/>
        </w:rPr>
      </w:pPr>
      <w:r>
        <w:rPr>
          <w:rFonts w:hint="eastAsia" w:ascii="宋体"/>
          <w:color w:val="FF0000"/>
          <w:kern w:val="0"/>
          <w:szCs w:val="21"/>
        </w:rPr>
        <w:t>知识管理 knowledge management</w:t>
      </w:r>
    </w:p>
    <w:p w14:paraId="3EA0921B">
      <w:pPr>
        <w:ind w:firstLine="480" w:firstLineChars="200"/>
        <w:rPr>
          <w:rFonts w:hint="eastAsia" w:ascii="宋体"/>
          <w:color w:val="FF0000"/>
          <w:kern w:val="0"/>
          <w:szCs w:val="21"/>
          <w:lang w:val="en-US" w:eastAsia="zh-CN"/>
        </w:rPr>
      </w:pPr>
      <w:r>
        <w:rPr>
          <w:rFonts w:hint="eastAsia" w:ascii="宋体"/>
          <w:color w:val="FF0000"/>
          <w:kern w:val="0"/>
          <w:szCs w:val="21"/>
          <w:lang w:val="en-US" w:eastAsia="zh-CN"/>
        </w:rPr>
        <w:t>评价 evaluation</w:t>
      </w:r>
    </w:p>
    <w:p w14:paraId="44981503">
      <w:pPr>
        <w:ind w:firstLine="480" w:firstLineChars="200"/>
        <w:rPr>
          <w:rFonts w:hint="eastAsia" w:ascii="宋体"/>
          <w:color w:val="FF0000"/>
          <w:kern w:val="0"/>
          <w:szCs w:val="21"/>
          <w:lang w:val="en-US" w:eastAsia="zh-CN"/>
        </w:rPr>
      </w:pPr>
      <w:r>
        <w:rPr>
          <w:rFonts w:hint="eastAsia" w:ascii="宋体"/>
          <w:color w:val="FF0000"/>
          <w:kern w:val="0"/>
          <w:szCs w:val="21"/>
          <w:lang w:val="en-US" w:eastAsia="zh-CN"/>
        </w:rPr>
        <w:t xml:space="preserve">知识资源 </w:t>
      </w:r>
      <w:r>
        <w:rPr>
          <w:rFonts w:hint="eastAsia" w:ascii="宋体"/>
          <w:color w:val="FF0000"/>
          <w:kern w:val="0"/>
          <w:szCs w:val="21"/>
        </w:rPr>
        <w:t>knowledge</w:t>
      </w:r>
      <w:r>
        <w:rPr>
          <w:rFonts w:hint="eastAsia" w:ascii="宋体"/>
          <w:color w:val="FF0000"/>
          <w:kern w:val="0"/>
          <w:szCs w:val="21"/>
          <w:lang w:val="en-US" w:eastAsia="zh-CN"/>
        </w:rPr>
        <w:t xml:space="preserve"> resources</w:t>
      </w:r>
    </w:p>
    <w:p w14:paraId="48E5AE7F">
      <w:pPr>
        <w:ind w:firstLine="480" w:firstLineChars="200"/>
        <w:rPr>
          <w:rFonts w:hint="eastAsia" w:ascii="宋体"/>
          <w:color w:val="FF0000"/>
          <w:kern w:val="0"/>
          <w:szCs w:val="21"/>
        </w:rPr>
      </w:pPr>
      <w:r>
        <w:rPr>
          <w:rFonts w:hint="eastAsia" w:ascii="宋体"/>
          <w:color w:val="FF0000"/>
          <w:kern w:val="0"/>
          <w:szCs w:val="21"/>
        </w:rPr>
        <w:t>知识资产 knowledge assets</w:t>
      </w:r>
    </w:p>
    <w:p w14:paraId="2EDDA7E8">
      <w:pPr>
        <w:ind w:firstLine="480" w:firstLineChars="200"/>
        <w:rPr>
          <w:rFonts w:hint="eastAsia" w:ascii="宋体"/>
          <w:color w:val="FF0000"/>
          <w:kern w:val="0"/>
          <w:szCs w:val="21"/>
        </w:rPr>
      </w:pPr>
      <w:r>
        <w:rPr>
          <w:rFonts w:hint="eastAsia" w:ascii="宋体"/>
          <w:color w:val="FF0000"/>
          <w:kern w:val="0"/>
          <w:szCs w:val="21"/>
        </w:rPr>
        <w:t>显性知识 explicit knowledge</w:t>
      </w:r>
    </w:p>
    <w:p w14:paraId="30BC8C32">
      <w:pPr>
        <w:ind w:firstLine="480" w:firstLineChars="200"/>
        <w:rPr>
          <w:rFonts w:hint="eastAsia" w:hAnsi="黑体" w:cs="Times New Roman"/>
          <w:color w:val="000000"/>
          <w:kern w:val="0"/>
          <w:szCs w:val="21"/>
          <w:lang w:val="en-US" w:eastAsia="zh-CN"/>
        </w:rPr>
      </w:pPr>
      <w:r>
        <w:rPr>
          <w:rFonts w:hint="eastAsia" w:ascii="宋体"/>
          <w:color w:val="FF0000"/>
          <w:kern w:val="0"/>
          <w:szCs w:val="21"/>
        </w:rPr>
        <w:t>隐性知识 tacit knowledge</w:t>
      </w:r>
    </w:p>
    <w:p w14:paraId="295B7412">
      <w:pPr>
        <w:numPr>
          <w:ilvl w:val="2"/>
          <w:numId w:val="4"/>
        </w:numPr>
        <w:rPr>
          <w:rFonts w:hint="eastAsia"/>
          <w:b/>
          <w:color w:val="FF0000"/>
        </w:rPr>
      </w:pPr>
      <w:r>
        <w:rPr>
          <w:rFonts w:hint="eastAsia"/>
          <w:b/>
          <w:color w:val="FF0000"/>
        </w:rPr>
        <w:t>第4章 知识管理评价基本条件</w:t>
      </w:r>
    </w:p>
    <w:p w14:paraId="02653B73">
      <w:pPr>
        <w:ind w:firstLine="480" w:firstLineChars="200"/>
        <w:rPr>
          <w:b/>
          <w:color w:val="FF0000"/>
        </w:rPr>
      </w:pPr>
      <w:r>
        <w:rPr>
          <w:rFonts w:hint="eastAsia" w:ascii="宋体"/>
          <w:color w:val="FF0000"/>
          <w:kern w:val="0"/>
          <w:szCs w:val="21"/>
          <w:lang w:val="en-US" w:eastAsia="zh-CN"/>
        </w:rPr>
        <w:t>本章介绍</w:t>
      </w:r>
      <w:r>
        <w:rPr>
          <w:rFonts w:hint="eastAsia" w:ascii="宋体"/>
          <w:color w:val="FF0000"/>
          <w:kern w:val="0"/>
          <w:szCs w:val="21"/>
        </w:rPr>
        <w:t>参与知识管理评价的核能行业企业，宜具备</w:t>
      </w:r>
      <w:r>
        <w:rPr>
          <w:rFonts w:hint="eastAsia" w:ascii="宋体"/>
          <w:color w:val="FF0000"/>
          <w:kern w:val="0"/>
          <w:szCs w:val="21"/>
          <w:lang w:val="en-US" w:eastAsia="zh-CN"/>
        </w:rPr>
        <w:t>的</w:t>
      </w:r>
      <w:r>
        <w:rPr>
          <w:rFonts w:hint="eastAsia" w:ascii="宋体"/>
          <w:color w:val="FF0000"/>
          <w:kern w:val="0"/>
          <w:szCs w:val="21"/>
        </w:rPr>
        <w:t>基本条件</w:t>
      </w:r>
      <w:r>
        <w:rPr>
          <w:rFonts w:hint="eastAsia" w:ascii="宋体"/>
          <w:color w:val="FF0000"/>
          <w:kern w:val="0"/>
          <w:szCs w:val="21"/>
          <w:lang w:eastAsia="zh-CN"/>
        </w:rPr>
        <w:t>。</w:t>
      </w:r>
      <w:r>
        <w:rPr>
          <w:rFonts w:hint="eastAsia" w:ascii="宋体"/>
          <w:color w:val="FF0000"/>
          <w:kern w:val="0"/>
          <w:szCs w:val="21"/>
          <w:lang w:val="en-US" w:eastAsia="zh-CN"/>
        </w:rPr>
        <w:t>包括</w:t>
      </w:r>
      <w:r>
        <w:rPr>
          <w:rFonts w:hint="eastAsia" w:ascii="宋体"/>
          <w:color w:val="FF0000"/>
          <w:kern w:val="0"/>
          <w:szCs w:val="21"/>
        </w:rPr>
        <w:t>设有知识管理主管部门</w:t>
      </w:r>
      <w:r>
        <w:rPr>
          <w:rFonts w:hint="eastAsia" w:ascii="宋体"/>
          <w:color w:val="FF0000"/>
          <w:kern w:val="0"/>
          <w:szCs w:val="21"/>
          <w:lang w:eastAsia="zh-CN"/>
        </w:rPr>
        <w:t>、</w:t>
      </w:r>
      <w:r>
        <w:rPr>
          <w:rFonts w:hint="eastAsia" w:ascii="宋体"/>
          <w:color w:val="FF0000"/>
          <w:kern w:val="0"/>
          <w:szCs w:val="21"/>
        </w:rPr>
        <w:t>已开展知识管理工作分管知识管理的单位负责人和知识管理人员应掌握知识管理的相关知识设有专职或兼职的知识管理人员，并明确相应职责建立了支撑知识管理的系统</w:t>
      </w:r>
      <w:r>
        <w:rPr>
          <w:rFonts w:hint="eastAsia"/>
          <w:color w:val="FF0000"/>
          <w:kern w:val="0"/>
          <w:szCs w:val="21"/>
          <w:lang w:eastAsia="zh-CN"/>
        </w:rPr>
        <w:t>。</w:t>
      </w:r>
    </w:p>
    <w:p w14:paraId="137B5477">
      <w:pPr>
        <w:numPr>
          <w:ilvl w:val="2"/>
          <w:numId w:val="4"/>
        </w:numPr>
        <w:rPr>
          <w:rFonts w:hint="eastAsia"/>
          <w:b/>
          <w:color w:val="FF0000"/>
        </w:rPr>
      </w:pPr>
      <w:r>
        <w:rPr>
          <w:rFonts w:hint="eastAsia"/>
          <w:b/>
          <w:color w:val="FF0000"/>
        </w:rPr>
        <w:t>第5章 知识管理评价原则</w:t>
      </w:r>
    </w:p>
    <w:p w14:paraId="5B1F7907">
      <w:pPr>
        <w:ind w:firstLine="480" w:firstLineChars="200"/>
        <w:rPr>
          <w:rFonts w:hint="eastAsia" w:ascii="宋体"/>
          <w:color w:val="FF0000"/>
          <w:kern w:val="0"/>
          <w:szCs w:val="21"/>
          <w:lang w:val="en-US" w:eastAsia="zh-CN"/>
        </w:rPr>
      </w:pPr>
      <w:r>
        <w:rPr>
          <w:rFonts w:hint="eastAsia" w:ascii="宋体"/>
          <w:color w:val="FF0000"/>
          <w:kern w:val="0"/>
          <w:szCs w:val="21"/>
        </w:rPr>
        <w:t>本章对</w:t>
      </w:r>
      <w:r>
        <w:rPr>
          <w:rFonts w:hint="eastAsia" w:ascii="宋体"/>
          <w:color w:val="FF0000"/>
          <w:kern w:val="0"/>
          <w:szCs w:val="21"/>
          <w:lang w:val="en-US" w:eastAsia="zh-CN"/>
        </w:rPr>
        <w:t>开展知识和知识管理的评价的主要基本原则进行了介绍。包括需求导向、促进创新、注重实效等3方面。</w:t>
      </w:r>
    </w:p>
    <w:p w14:paraId="575303AD">
      <w:pPr>
        <w:ind w:firstLine="480" w:firstLineChars="200"/>
        <w:rPr>
          <w:rFonts w:hint="eastAsia" w:ascii="宋体"/>
          <w:color w:val="FF0000"/>
          <w:kern w:val="0"/>
          <w:szCs w:val="21"/>
        </w:rPr>
      </w:pPr>
      <w:r>
        <w:rPr>
          <w:rFonts w:hint="eastAsia"/>
          <w:color w:val="FF0000"/>
          <w:kern w:val="0"/>
          <w:szCs w:val="21"/>
          <w:lang w:val="en-US" w:eastAsia="zh-CN"/>
        </w:rPr>
        <w:t>1）</w:t>
      </w:r>
      <w:r>
        <w:rPr>
          <w:rFonts w:hint="eastAsia" w:ascii="宋体"/>
          <w:color w:val="FF0000"/>
          <w:kern w:val="0"/>
          <w:szCs w:val="21"/>
        </w:rPr>
        <w:t>需求导向</w:t>
      </w:r>
      <w:r>
        <w:rPr>
          <w:rFonts w:hint="eastAsia"/>
          <w:color w:val="FF0000"/>
          <w:kern w:val="0"/>
          <w:szCs w:val="21"/>
          <w:lang w:val="en-US" w:eastAsia="zh-CN"/>
        </w:rPr>
        <w:t>方面：</w:t>
      </w:r>
      <w:r>
        <w:rPr>
          <w:rFonts w:hint="eastAsia" w:ascii="宋体"/>
          <w:color w:val="FF0000"/>
          <w:kern w:val="0"/>
          <w:szCs w:val="21"/>
        </w:rPr>
        <w:t>知识的价值是相对的。不同的组织、部门、人员对知识的需求不同，知识管理方式也不尽相同，在评价知识或知识管理时，应针对特定应用领域进行评价。</w:t>
      </w:r>
    </w:p>
    <w:p w14:paraId="3FD2ED6A">
      <w:pPr>
        <w:ind w:firstLine="480" w:firstLineChars="200"/>
        <w:rPr>
          <w:rFonts w:hint="eastAsia" w:ascii="宋体"/>
          <w:color w:val="FF0000"/>
          <w:kern w:val="0"/>
          <w:szCs w:val="21"/>
        </w:rPr>
      </w:pPr>
      <w:r>
        <w:rPr>
          <w:rFonts w:hint="eastAsia"/>
          <w:color w:val="FF0000"/>
          <w:kern w:val="0"/>
          <w:szCs w:val="21"/>
          <w:lang w:val="en-US" w:eastAsia="zh-CN"/>
        </w:rPr>
        <w:t>2）</w:t>
      </w:r>
      <w:r>
        <w:rPr>
          <w:rFonts w:hint="eastAsia" w:ascii="宋体"/>
          <w:color w:val="FF0000"/>
          <w:kern w:val="0"/>
          <w:szCs w:val="21"/>
        </w:rPr>
        <w:t>促进创新</w:t>
      </w:r>
      <w:r>
        <w:rPr>
          <w:rFonts w:hint="eastAsia"/>
          <w:color w:val="FF0000"/>
          <w:kern w:val="0"/>
          <w:szCs w:val="21"/>
          <w:lang w:val="en-US" w:eastAsia="zh-CN"/>
        </w:rPr>
        <w:t>方面：</w:t>
      </w:r>
      <w:r>
        <w:rPr>
          <w:rFonts w:hint="eastAsia" w:ascii="宋体"/>
          <w:color w:val="FF0000"/>
          <w:kern w:val="0"/>
          <w:szCs w:val="21"/>
        </w:rPr>
        <w:t>知识管理促进创新，对管理创新、组织创新、产品创新、运营能力创新等都有促进作用，创新的效果可作为知识或知识里评价的重要依据。</w:t>
      </w:r>
    </w:p>
    <w:p w14:paraId="5354B34F">
      <w:pPr>
        <w:ind w:firstLine="480" w:firstLineChars="200"/>
        <w:rPr>
          <w:rFonts w:hint="eastAsia" w:ascii="宋体"/>
          <w:color w:val="FF0000"/>
          <w:kern w:val="0"/>
          <w:szCs w:val="21"/>
        </w:rPr>
      </w:pPr>
      <w:r>
        <w:rPr>
          <w:rFonts w:hint="eastAsia"/>
          <w:color w:val="FF0000"/>
          <w:kern w:val="0"/>
          <w:szCs w:val="21"/>
          <w:lang w:val="en-US" w:eastAsia="zh-CN"/>
        </w:rPr>
        <w:t>3）</w:t>
      </w:r>
      <w:r>
        <w:rPr>
          <w:rFonts w:hint="eastAsia" w:ascii="宋体"/>
          <w:color w:val="FF0000"/>
          <w:kern w:val="0"/>
          <w:szCs w:val="21"/>
        </w:rPr>
        <w:t>注重实效</w:t>
      </w:r>
      <w:r>
        <w:rPr>
          <w:rFonts w:hint="eastAsia"/>
          <w:color w:val="FF0000"/>
          <w:kern w:val="0"/>
          <w:szCs w:val="21"/>
          <w:lang w:val="en-US" w:eastAsia="zh-CN"/>
        </w:rPr>
        <w:t>方面：</w:t>
      </w:r>
      <w:r>
        <w:rPr>
          <w:rFonts w:hint="eastAsia" w:ascii="宋体"/>
          <w:color w:val="FF0000"/>
          <w:kern w:val="0"/>
          <w:szCs w:val="21"/>
        </w:rPr>
        <w:t>知识或知识管理的作用一般很难精确计量，主要通过其他活动来实现其价值。价值不是知识的内在特性，知识的价值体现在知识或知识管理的应用效果中。</w:t>
      </w:r>
    </w:p>
    <w:p w14:paraId="673E9808">
      <w:pPr>
        <w:numPr>
          <w:ilvl w:val="2"/>
          <w:numId w:val="4"/>
        </w:numPr>
        <w:rPr>
          <w:b/>
          <w:color w:val="FF0000"/>
        </w:rPr>
      </w:pPr>
      <w:r>
        <w:rPr>
          <w:rFonts w:hint="eastAsia"/>
          <w:b/>
          <w:color w:val="FF0000"/>
        </w:rPr>
        <w:t xml:space="preserve">第6章 </w:t>
      </w:r>
      <w:r>
        <w:rPr>
          <w:rFonts w:hint="eastAsia"/>
          <w:b/>
          <w:color w:val="FF0000"/>
          <w:lang w:val="en-US" w:eastAsia="zh-CN"/>
        </w:rPr>
        <w:t>知识资产评价</w:t>
      </w:r>
      <w:r>
        <w:rPr>
          <w:rFonts w:hint="eastAsia"/>
          <w:b/>
          <w:color w:val="FF0000"/>
        </w:rPr>
        <w:t xml:space="preserve"> </w:t>
      </w:r>
    </w:p>
    <w:p w14:paraId="1270FBB7">
      <w:pPr>
        <w:ind w:firstLine="480"/>
        <w:rPr>
          <w:rFonts w:hint="eastAsia" w:ascii="宋体"/>
          <w:color w:val="FF0000"/>
          <w:kern w:val="0"/>
          <w:szCs w:val="21"/>
          <w:lang w:val="en-US" w:eastAsia="zh-CN"/>
        </w:rPr>
      </w:pPr>
      <w:r>
        <w:rPr>
          <w:rFonts w:hint="eastAsia" w:ascii="宋体"/>
          <w:color w:val="FF0000"/>
          <w:kern w:val="0"/>
          <w:szCs w:val="21"/>
          <w:lang w:val="en-US" w:eastAsia="zh-CN"/>
        </w:rPr>
        <w:t>本章明确了开展知识资产评价的指标分为知识资产的系统性、知识资产的完整性、知识资产的结构性3方面。</w:t>
      </w:r>
    </w:p>
    <w:p w14:paraId="2309D897">
      <w:pPr>
        <w:ind w:firstLine="480" w:firstLineChars="200"/>
        <w:rPr>
          <w:rFonts w:hint="eastAsia"/>
          <w:color w:val="FF0000"/>
          <w:kern w:val="0"/>
          <w:szCs w:val="21"/>
          <w:lang w:val="en-US" w:eastAsia="zh-CN"/>
        </w:rPr>
      </w:pPr>
      <w:r>
        <w:rPr>
          <w:rFonts w:hint="eastAsia"/>
          <w:color w:val="FF0000"/>
          <w:kern w:val="0"/>
          <w:szCs w:val="21"/>
          <w:lang w:val="en-US" w:eastAsia="zh-CN"/>
        </w:rPr>
        <w:t>1）知识资产的系统性：评价企业是否有建立知识资产管理的相关制度和要求，从企业经营管理方面提出相应管理要求；</w:t>
      </w:r>
    </w:p>
    <w:p w14:paraId="1ACFBF9F">
      <w:pPr>
        <w:ind w:firstLine="480" w:firstLineChars="200"/>
        <w:rPr>
          <w:rFonts w:hint="eastAsia"/>
          <w:color w:val="FF0000"/>
          <w:kern w:val="0"/>
          <w:szCs w:val="21"/>
          <w:lang w:val="en-US" w:eastAsia="zh-CN"/>
        </w:rPr>
      </w:pPr>
      <w:r>
        <w:rPr>
          <w:rFonts w:hint="eastAsia"/>
          <w:color w:val="FF0000"/>
          <w:kern w:val="0"/>
          <w:szCs w:val="21"/>
          <w:lang w:val="en-US" w:eastAsia="zh-CN"/>
        </w:rPr>
        <w:t>2）知识资产完整性：评价企业或企业某领域的知识库中知识资产的完整程度。知识库是否覆盖了核能企业所需的主要知识资产；</w:t>
      </w:r>
    </w:p>
    <w:p w14:paraId="6CD9AB4F">
      <w:pPr>
        <w:ind w:firstLine="480" w:firstLineChars="200"/>
        <w:rPr>
          <w:rFonts w:hint="eastAsia"/>
          <w:color w:val="FF0000"/>
          <w:kern w:val="0"/>
          <w:szCs w:val="21"/>
          <w:lang w:val="en-US" w:eastAsia="zh-CN"/>
        </w:rPr>
      </w:pPr>
      <w:r>
        <w:rPr>
          <w:rFonts w:hint="eastAsia"/>
          <w:color w:val="FF0000"/>
          <w:kern w:val="0"/>
          <w:szCs w:val="21"/>
          <w:lang w:val="en-US" w:eastAsia="zh-CN"/>
        </w:rPr>
        <w:t>3）知识资产结构性：评价知识库中知识资产的结构化程度。知识库是否合理有序地保存核能企业需的主要知识资产。</w:t>
      </w:r>
    </w:p>
    <w:p w14:paraId="7A8D7B14">
      <w:pPr>
        <w:numPr>
          <w:ilvl w:val="2"/>
          <w:numId w:val="4"/>
        </w:numPr>
        <w:rPr>
          <w:rFonts w:hint="eastAsia"/>
          <w:b/>
          <w:color w:val="FF0000"/>
        </w:rPr>
      </w:pPr>
      <w:r>
        <w:rPr>
          <w:rFonts w:hint="eastAsia"/>
          <w:b/>
          <w:color w:val="FF0000"/>
        </w:rPr>
        <w:t xml:space="preserve">第7章 </w:t>
      </w:r>
      <w:bookmarkStart w:id="1" w:name="_Toc29029"/>
      <w:bookmarkStart w:id="2" w:name="_Toc13299"/>
      <w:r>
        <w:rPr>
          <w:rFonts w:hint="eastAsia"/>
          <w:b/>
          <w:color w:val="FF0000"/>
        </w:rPr>
        <w:t>知识管理绩效评价</w:t>
      </w:r>
      <w:bookmarkEnd w:id="1"/>
      <w:bookmarkEnd w:id="2"/>
    </w:p>
    <w:p w14:paraId="78C941A4">
      <w:pPr>
        <w:numPr>
          <w:ilvl w:val="0"/>
          <w:numId w:val="0"/>
        </w:numPr>
        <w:ind w:leftChars="0" w:firstLine="480" w:firstLineChars="200"/>
        <w:rPr>
          <w:rFonts w:hint="eastAsia"/>
          <w:color w:val="FF0000"/>
          <w:kern w:val="0"/>
          <w:szCs w:val="21"/>
          <w:lang w:val="en-US" w:eastAsia="zh-CN"/>
        </w:rPr>
      </w:pPr>
      <w:r>
        <w:rPr>
          <w:rFonts w:hint="eastAsia" w:ascii="宋体"/>
          <w:color w:val="FF0000"/>
          <w:kern w:val="0"/>
          <w:szCs w:val="21"/>
          <w:lang w:val="en-US" w:eastAsia="zh-CN"/>
        </w:rPr>
        <w:t>本章节</w:t>
      </w:r>
      <w:r>
        <w:rPr>
          <w:rFonts w:hint="eastAsia"/>
          <w:color w:val="FF0000"/>
          <w:kern w:val="0"/>
          <w:szCs w:val="21"/>
          <w:lang w:val="en-US" w:eastAsia="zh-CN"/>
        </w:rPr>
        <w:t>介绍了开展</w:t>
      </w:r>
      <w:r>
        <w:rPr>
          <w:rFonts w:hint="eastAsia" w:ascii="宋体"/>
          <w:color w:val="FF0000"/>
          <w:kern w:val="0"/>
          <w:szCs w:val="21"/>
          <w:lang w:val="en-US" w:eastAsia="zh-CN"/>
        </w:rPr>
        <w:t>知识管理绩效评价</w:t>
      </w:r>
      <w:r>
        <w:rPr>
          <w:rFonts w:hint="eastAsia"/>
          <w:color w:val="FF0000"/>
          <w:kern w:val="0"/>
          <w:szCs w:val="21"/>
          <w:lang w:val="en-US" w:eastAsia="zh-CN"/>
        </w:rPr>
        <w:t>的具体实施由</w:t>
      </w:r>
      <w:r>
        <w:rPr>
          <w:rFonts w:hint="eastAsia" w:ascii="宋体"/>
          <w:color w:val="FF0000"/>
          <w:kern w:val="0"/>
          <w:szCs w:val="21"/>
          <w:lang w:val="en-US" w:eastAsia="zh-CN"/>
        </w:rPr>
        <w:t>6个分项组成，具体包括：文化、制度、员工、内容、流程、技术</w:t>
      </w:r>
      <w:r>
        <w:rPr>
          <w:rFonts w:hint="eastAsia"/>
          <w:color w:val="FF0000"/>
          <w:kern w:val="0"/>
          <w:szCs w:val="21"/>
          <w:lang w:val="en-US" w:eastAsia="zh-CN"/>
        </w:rPr>
        <w:t>。</w:t>
      </w:r>
    </w:p>
    <w:p w14:paraId="309A887C">
      <w:pPr>
        <w:numPr>
          <w:ilvl w:val="0"/>
          <w:numId w:val="6"/>
        </w:numPr>
        <w:ind w:firstLine="480" w:firstLineChars="200"/>
        <w:rPr>
          <w:rFonts w:hint="eastAsia"/>
          <w:color w:val="FF0000"/>
          <w:kern w:val="0"/>
          <w:szCs w:val="21"/>
          <w:lang w:val="en-US" w:eastAsia="zh-CN"/>
        </w:rPr>
      </w:pPr>
      <w:r>
        <w:rPr>
          <w:rFonts w:hint="eastAsia"/>
          <w:color w:val="FF0000"/>
          <w:kern w:val="0"/>
          <w:szCs w:val="21"/>
          <w:lang w:val="en-US" w:eastAsia="zh-CN"/>
        </w:rPr>
        <w:t>文化上，从企业各级对知识管理的认知、企业的知识分享、企业核安全与学习文化、企业的知识创新文化</w:t>
      </w:r>
      <w:bookmarkStart w:id="3" w:name="OLE_LINK1"/>
      <w:r>
        <w:rPr>
          <w:rFonts w:hint="eastAsia"/>
          <w:color w:val="FF0000"/>
          <w:kern w:val="0"/>
          <w:szCs w:val="21"/>
          <w:lang w:val="en-US" w:eastAsia="zh-CN"/>
        </w:rPr>
        <w:t>4项指标进行评价。</w:t>
      </w:r>
      <w:bookmarkEnd w:id="3"/>
    </w:p>
    <w:p w14:paraId="69A25D99">
      <w:pPr>
        <w:numPr>
          <w:ilvl w:val="0"/>
          <w:numId w:val="6"/>
        </w:numPr>
        <w:ind w:firstLine="480" w:firstLineChars="200"/>
        <w:rPr>
          <w:rFonts w:hint="eastAsia"/>
          <w:color w:val="FF0000"/>
          <w:kern w:val="0"/>
          <w:szCs w:val="21"/>
          <w:lang w:val="en-US" w:eastAsia="zh-CN"/>
        </w:rPr>
      </w:pPr>
      <w:r>
        <w:rPr>
          <w:rFonts w:hint="eastAsia"/>
          <w:color w:val="FF0000"/>
          <w:kern w:val="0"/>
          <w:szCs w:val="21"/>
          <w:lang w:val="en-US" w:eastAsia="zh-CN"/>
        </w:rPr>
        <w:t>制度上，从企业知识管理战略的明晰度、企业知识管理组织机构的完备性、企业知识管理制度的完善性、企业制度体系的完善性4项指标进行评价。</w:t>
      </w:r>
    </w:p>
    <w:p w14:paraId="60AB945E">
      <w:pPr>
        <w:numPr>
          <w:ilvl w:val="0"/>
          <w:numId w:val="6"/>
        </w:numPr>
        <w:ind w:firstLine="480" w:firstLineChars="200"/>
        <w:rPr>
          <w:rFonts w:hint="eastAsia"/>
          <w:color w:val="FF0000"/>
          <w:kern w:val="0"/>
          <w:szCs w:val="21"/>
          <w:lang w:val="en-US" w:eastAsia="zh-CN"/>
        </w:rPr>
      </w:pPr>
      <w:r>
        <w:rPr>
          <w:rFonts w:hint="eastAsia"/>
          <w:color w:val="FF0000"/>
          <w:kern w:val="0"/>
          <w:szCs w:val="21"/>
          <w:lang w:val="en-US" w:eastAsia="zh-CN"/>
        </w:rPr>
        <w:t>员工上，从知识型员工的比例、员工的学习能力、员工的IT能力、员工的沟通能力、员工的知识贡献能力</w:t>
      </w:r>
      <w:bookmarkStart w:id="4" w:name="OLE_LINK2"/>
      <w:r>
        <w:rPr>
          <w:rFonts w:hint="eastAsia"/>
          <w:color w:val="FF0000"/>
          <w:kern w:val="0"/>
          <w:szCs w:val="21"/>
          <w:lang w:val="en-US" w:eastAsia="zh-CN"/>
        </w:rPr>
        <w:t>5项指标进行评价。</w:t>
      </w:r>
      <w:bookmarkEnd w:id="4"/>
    </w:p>
    <w:p w14:paraId="26A1F393">
      <w:pPr>
        <w:numPr>
          <w:ilvl w:val="0"/>
          <w:numId w:val="6"/>
        </w:numPr>
        <w:ind w:firstLine="480" w:firstLineChars="200"/>
        <w:rPr>
          <w:rFonts w:hint="eastAsia"/>
          <w:color w:val="FF0000"/>
          <w:kern w:val="0"/>
          <w:szCs w:val="21"/>
          <w:lang w:val="en-US" w:eastAsia="zh-CN"/>
        </w:rPr>
      </w:pPr>
      <w:r>
        <w:rPr>
          <w:rFonts w:hint="eastAsia"/>
          <w:color w:val="FF0000"/>
          <w:kern w:val="0"/>
          <w:szCs w:val="21"/>
          <w:lang w:val="en-US" w:eastAsia="zh-CN"/>
        </w:rPr>
        <w:t>内容上，从知识的存量、知识的质量、知识的增量、知识保护的有效性</w:t>
      </w:r>
      <w:bookmarkStart w:id="5" w:name="OLE_LINK3"/>
      <w:r>
        <w:rPr>
          <w:rFonts w:hint="eastAsia"/>
          <w:color w:val="FF0000"/>
          <w:kern w:val="0"/>
          <w:szCs w:val="21"/>
          <w:lang w:val="en-US" w:eastAsia="zh-CN"/>
        </w:rPr>
        <w:t>4项指标进行评价。</w:t>
      </w:r>
      <w:bookmarkEnd w:id="5"/>
    </w:p>
    <w:p w14:paraId="259764C1">
      <w:pPr>
        <w:numPr>
          <w:ilvl w:val="0"/>
          <w:numId w:val="6"/>
        </w:numPr>
        <w:ind w:firstLine="480" w:firstLineChars="200"/>
        <w:rPr>
          <w:rFonts w:hint="eastAsia"/>
          <w:color w:val="FF0000"/>
          <w:kern w:val="0"/>
          <w:szCs w:val="21"/>
          <w:lang w:val="en-US" w:eastAsia="zh-CN"/>
        </w:rPr>
      </w:pPr>
      <w:r>
        <w:rPr>
          <w:rFonts w:hint="eastAsia"/>
          <w:color w:val="FF0000"/>
          <w:kern w:val="0"/>
          <w:szCs w:val="21"/>
          <w:lang w:val="en-US" w:eastAsia="zh-CN"/>
        </w:rPr>
        <w:t>流程上，从知识管理流程科学明晰性、业务流程的科学明晰性、知识沉淀的及时性、知识的服务能力</w:t>
      </w:r>
      <w:bookmarkStart w:id="6" w:name="OLE_LINK4"/>
      <w:r>
        <w:rPr>
          <w:rFonts w:hint="eastAsia"/>
          <w:color w:val="FF0000"/>
          <w:kern w:val="0"/>
          <w:szCs w:val="21"/>
          <w:lang w:val="en-US" w:eastAsia="zh-CN"/>
        </w:rPr>
        <w:t>4项指标进行评价。</w:t>
      </w:r>
    </w:p>
    <w:bookmarkEnd w:id="6"/>
    <w:p w14:paraId="10E0EBB7">
      <w:pPr>
        <w:numPr>
          <w:ilvl w:val="0"/>
          <w:numId w:val="6"/>
        </w:numPr>
        <w:ind w:firstLine="480" w:firstLineChars="200"/>
        <w:rPr>
          <w:rFonts w:hint="eastAsia" w:ascii="宋体" w:hAnsi="宋体" w:eastAsia="宋体" w:cstheme="minorBidi"/>
          <w:color w:val="FF0000"/>
          <w:kern w:val="0"/>
          <w:sz w:val="24"/>
          <w:szCs w:val="21"/>
          <w:lang w:val="en-US" w:eastAsia="zh-CN" w:bidi="ar-SA"/>
        </w:rPr>
      </w:pPr>
      <w:r>
        <w:rPr>
          <w:rFonts w:hint="eastAsia"/>
          <w:color w:val="FF0000"/>
          <w:kern w:val="0"/>
          <w:szCs w:val="21"/>
          <w:lang w:val="en-US" w:eastAsia="zh-CN"/>
        </w:rPr>
        <w:t>技术上，从信息系统支撑知识管理的IT基础架构、企业业务信息系统的性能、知识管理与业务系统的集成度、技术获取能力4项指标进行评价。</w:t>
      </w:r>
    </w:p>
    <w:p w14:paraId="7764B65A">
      <w:pPr>
        <w:numPr>
          <w:ilvl w:val="2"/>
          <w:numId w:val="4"/>
        </w:numPr>
        <w:rPr>
          <w:b/>
          <w:color w:val="FF0000"/>
        </w:rPr>
      </w:pPr>
      <w:r>
        <w:rPr>
          <w:rFonts w:hint="eastAsia"/>
          <w:b/>
          <w:color w:val="FF0000"/>
        </w:rPr>
        <w:t xml:space="preserve">第8章 </w:t>
      </w:r>
      <w:bookmarkStart w:id="7" w:name="_Toc13220"/>
      <w:bookmarkStart w:id="8" w:name="_Toc4987"/>
      <w:r>
        <w:rPr>
          <w:rFonts w:hint="eastAsia"/>
          <w:b/>
          <w:color w:val="FF0000"/>
        </w:rPr>
        <w:t>评价方法和程序</w:t>
      </w:r>
      <w:bookmarkEnd w:id="7"/>
      <w:bookmarkEnd w:id="8"/>
      <w:r>
        <w:rPr>
          <w:rFonts w:hint="eastAsia"/>
          <w:b/>
          <w:color w:val="FF0000"/>
        </w:rPr>
        <w:t xml:space="preserve">  </w:t>
      </w:r>
    </w:p>
    <w:p w14:paraId="01BDD028">
      <w:pPr>
        <w:numPr>
          <w:ilvl w:val="0"/>
          <w:numId w:val="0"/>
        </w:numPr>
        <w:ind w:firstLine="480" w:firstLineChars="200"/>
        <w:rPr>
          <w:rFonts w:hint="eastAsia"/>
          <w:color w:val="FF0000"/>
          <w:kern w:val="0"/>
          <w:szCs w:val="21"/>
          <w:lang w:val="en-US" w:eastAsia="zh-CN"/>
        </w:rPr>
      </w:pPr>
      <w:r>
        <w:rPr>
          <w:rFonts w:hint="eastAsia"/>
          <w:color w:val="FF0000"/>
          <w:kern w:val="0"/>
          <w:szCs w:val="21"/>
          <w:lang w:val="en-US" w:eastAsia="zh-CN"/>
        </w:rPr>
        <w:t>本章节从评价组织、评价人员、评价方法、评价程序等方面介绍了开展评价活动的要求。</w:t>
      </w:r>
    </w:p>
    <w:p w14:paraId="33D57147">
      <w:pPr>
        <w:numPr>
          <w:ilvl w:val="2"/>
          <w:numId w:val="4"/>
        </w:numPr>
        <w:rPr>
          <w:rFonts w:hint="default"/>
          <w:b/>
          <w:color w:val="FF0000"/>
          <w:lang w:val="en-US"/>
        </w:rPr>
      </w:pPr>
      <w:r>
        <w:rPr>
          <w:rFonts w:hint="eastAsia"/>
          <w:b/>
          <w:color w:val="FF0000"/>
        </w:rPr>
        <w:t xml:space="preserve">第9章 </w:t>
      </w:r>
      <w:r>
        <w:rPr>
          <w:rFonts w:hint="eastAsia"/>
          <w:b/>
          <w:color w:val="FF0000"/>
          <w:lang w:val="en-US" w:eastAsia="zh-CN"/>
        </w:rPr>
        <w:t>评价结论</w:t>
      </w:r>
    </w:p>
    <w:p w14:paraId="1D1B178D">
      <w:pPr>
        <w:numPr>
          <w:ilvl w:val="0"/>
          <w:numId w:val="0"/>
        </w:numPr>
        <w:ind w:firstLine="480" w:firstLineChars="200"/>
        <w:rPr>
          <w:rFonts w:hint="default"/>
          <w:color w:val="FF0000"/>
          <w:kern w:val="0"/>
          <w:szCs w:val="21"/>
          <w:lang w:val="en-US" w:eastAsia="zh-CN"/>
        </w:rPr>
      </w:pPr>
      <w:r>
        <w:rPr>
          <w:rFonts w:hint="eastAsia"/>
          <w:color w:val="FF0000"/>
          <w:kern w:val="0"/>
          <w:szCs w:val="21"/>
          <w:lang w:val="en-US" w:eastAsia="zh-CN"/>
        </w:rPr>
        <w:t>本章节介绍，通过指标评分方式形成知识管理工作的评价结论，具体评分要求通过附录表进行展示。</w:t>
      </w:r>
    </w:p>
    <w:p w14:paraId="5E419720">
      <w:pPr>
        <w:rPr>
          <w:b/>
          <w:highlight w:val="none"/>
        </w:rPr>
      </w:pPr>
      <w:r>
        <w:rPr>
          <w:rFonts w:hint="eastAsia"/>
          <w:b/>
          <w:highlight w:val="none"/>
        </w:rPr>
        <w:t>3</w:t>
      </w:r>
      <w:r>
        <w:rPr>
          <w:rFonts w:hint="eastAsia"/>
          <w:b/>
          <w:highlight w:val="none"/>
        </w:rPr>
        <w:t>、解决的主要问题</w:t>
      </w:r>
    </w:p>
    <w:p w14:paraId="05840BBF">
      <w:pPr>
        <w:ind w:firstLine="480" w:firstLineChars="200"/>
        <w:rPr>
          <w:rFonts w:hint="eastAsia"/>
          <w:i/>
          <w:iCs/>
        </w:rPr>
      </w:pPr>
      <w:r>
        <w:rPr>
          <w:rFonts w:hint="eastAsia"/>
          <w:color w:val="000000" w:themeColor="text1"/>
          <w14:textFill>
            <w14:solidFill>
              <w14:schemeClr w14:val="tx1"/>
            </w14:solidFill>
          </w14:textFill>
        </w:rPr>
        <w:t>目前，我国核电行业企业知识管理实施缺乏标准指南，本标准的建立有助于促进核电行业知识管理实施的规范化和标准化，指导帮助企业明确符合核电行业发展要求的知识管理实施策略，提升核电行业知识管理水平。</w:t>
      </w:r>
    </w:p>
    <w:p w14:paraId="03FC2A40">
      <w:pPr>
        <w:outlineLvl w:val="0"/>
        <w:rPr>
          <w:b/>
          <w:sz w:val="28"/>
          <w:szCs w:val="28"/>
          <w:highlight w:val="none"/>
        </w:rPr>
      </w:pPr>
      <w:r>
        <w:rPr>
          <w:rFonts w:hint="eastAsia"/>
          <w:b/>
          <w:sz w:val="28"/>
          <w:szCs w:val="28"/>
          <w:highlight w:val="none"/>
        </w:rPr>
        <w:t>三、主要试验（或验证）情况</w:t>
      </w:r>
    </w:p>
    <w:p w14:paraId="14437B27">
      <w:pPr>
        <w:ind w:firstLine="480" w:firstLineChars="200"/>
        <w:rPr>
          <w:i w:val="0"/>
          <w:iCs w:val="0"/>
        </w:rPr>
      </w:pPr>
      <w:r>
        <w:rPr>
          <w:rFonts w:hint="eastAsia"/>
          <w:i w:val="0"/>
          <w:iCs w:val="0"/>
          <w:lang w:val="en-US" w:eastAsia="zh-CN"/>
        </w:rPr>
        <w:t>无</w:t>
      </w:r>
      <w:r>
        <w:rPr>
          <w:rFonts w:hint="eastAsia"/>
          <w:i w:val="0"/>
          <w:iCs w:val="0"/>
        </w:rPr>
        <w:t>。</w:t>
      </w:r>
    </w:p>
    <w:p w14:paraId="36163348">
      <w:pPr>
        <w:outlineLvl w:val="0"/>
        <w:rPr>
          <w:b/>
          <w:sz w:val="28"/>
          <w:szCs w:val="28"/>
        </w:rPr>
      </w:pPr>
      <w:r>
        <w:rPr>
          <w:rFonts w:hint="eastAsia"/>
          <w:b/>
          <w:sz w:val="28"/>
          <w:szCs w:val="28"/>
        </w:rPr>
        <w:t>四、标准中涉及专利的情况</w:t>
      </w:r>
    </w:p>
    <w:p w14:paraId="5C709006">
      <w:pPr>
        <w:ind w:firstLine="480" w:firstLineChars="200"/>
      </w:pPr>
      <w:r>
        <w:rPr>
          <w:rFonts w:hint="eastAsia"/>
        </w:rPr>
        <w:t>本标准的某些内容可能涉及专利。本文件的发布机构不承担识别专利的责任。</w:t>
      </w:r>
    </w:p>
    <w:p w14:paraId="771F6BAE">
      <w:pPr>
        <w:outlineLvl w:val="0"/>
        <w:rPr>
          <w:b/>
          <w:sz w:val="28"/>
          <w:szCs w:val="28"/>
          <w:highlight w:val="none"/>
        </w:rPr>
      </w:pPr>
      <w:r>
        <w:rPr>
          <w:rFonts w:hint="eastAsia"/>
          <w:b/>
          <w:sz w:val="28"/>
          <w:szCs w:val="28"/>
          <w:highlight w:val="none"/>
        </w:rPr>
        <w:t>五、预期达到的社会效益、对产业发展的作用等情况</w:t>
      </w:r>
    </w:p>
    <w:p w14:paraId="5DD2B43B">
      <w:pPr>
        <w:ind w:firstLine="480" w:firstLineChars="200"/>
        <w:outlineLvl w:val="0"/>
        <w:rPr>
          <w:rFonts w:ascii="Segoe UI" w:hAnsi="Segoe UI" w:cs="Segoe UI"/>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核电行业是技术密集和资金密集型行业，在构建现代能源安全体系、支撑经济转型升级、引领低碳发展变革及提升民生保障能力中发挥着核心枢纽作用。知识作为核电企业的战略资源，以知识的创造、积累、共享及应用为知识管理目标，旨在提升核心竞争力，推动可持续发展，培养人才，创新增效。</w:t>
      </w:r>
      <w:r>
        <w:rPr>
          <w:rFonts w:hint="eastAsia" w:ascii="Segoe UI" w:hAnsi="Segoe UI" w:cs="Segoe UI"/>
          <w:color w:val="000000" w:themeColor="text1"/>
          <w:shd w:val="clear" w:color="auto" w:fill="FFFFFF"/>
          <w14:textFill>
            <w14:solidFill>
              <w14:schemeClr w14:val="tx1"/>
            </w14:solidFill>
          </w14:textFill>
        </w:rPr>
        <w:t>同时，核电知识管理</w:t>
      </w:r>
      <w:r>
        <w:rPr>
          <w:rFonts w:ascii="Segoe UI" w:hAnsi="Segoe UI" w:cs="Segoe UI"/>
          <w:color w:val="000000" w:themeColor="text1"/>
          <w:shd w:val="clear" w:color="auto" w:fill="FFFFFF"/>
          <w14:textFill>
            <w14:solidFill>
              <w14:schemeClr w14:val="tx1"/>
            </w14:solidFill>
          </w14:textFill>
        </w:rPr>
        <w:t>将进一步激发核电行业数字化转型的活力，成为驱动核电行业创新发展的源动力，实现</w:t>
      </w:r>
      <w:r>
        <w:rPr>
          <w:rFonts w:hint="eastAsia" w:ascii="Segoe UI" w:hAnsi="Segoe UI" w:cs="Segoe UI"/>
          <w:color w:val="000000" w:themeColor="text1"/>
          <w:shd w:val="clear" w:color="auto" w:fill="FFFFFF"/>
          <w14:textFill>
            <w14:solidFill>
              <w14:schemeClr w14:val="tx1"/>
            </w14:solidFill>
          </w14:textFill>
        </w:rPr>
        <w:t>核电行业的</w:t>
      </w:r>
      <w:r>
        <w:rPr>
          <w:rFonts w:ascii="Segoe UI" w:hAnsi="Segoe UI" w:cs="Segoe UI"/>
          <w:color w:val="000000" w:themeColor="text1"/>
          <w:shd w:val="clear" w:color="auto" w:fill="FFFFFF"/>
          <w14:textFill>
            <w14:solidFill>
              <w14:schemeClr w14:val="tx1"/>
            </w14:solidFill>
          </w14:textFill>
        </w:rPr>
        <w:t>可持续发展。</w:t>
      </w:r>
    </w:p>
    <w:p w14:paraId="476BC1A2">
      <w:pPr>
        <w:outlineLvl w:val="0"/>
        <w:rPr>
          <w:b/>
          <w:sz w:val="28"/>
          <w:szCs w:val="28"/>
          <w:highlight w:val="none"/>
        </w:rPr>
      </w:pPr>
      <w:r>
        <w:rPr>
          <w:rFonts w:hint="eastAsia"/>
          <w:b/>
          <w:sz w:val="28"/>
          <w:szCs w:val="28"/>
          <w:highlight w:val="none"/>
        </w:rPr>
        <w:t>六、与国际、国外对比情况</w:t>
      </w:r>
    </w:p>
    <w:p w14:paraId="4A744FC8">
      <w:pPr>
        <w:ind w:firstLine="420"/>
        <w:rPr>
          <w:i/>
          <w:iCs/>
        </w:rPr>
      </w:pPr>
      <w:r>
        <w:rPr>
          <w:rFonts w:hint="eastAsia"/>
        </w:rPr>
        <w:t>本文件等同采用国际标准，在技术水平和内容上与国际标准一致</w:t>
      </w:r>
      <w:r>
        <w:rPr>
          <w:rFonts w:hint="eastAsia"/>
          <w:i/>
          <w:iCs/>
        </w:rPr>
        <w:t>。</w:t>
      </w:r>
    </w:p>
    <w:p w14:paraId="69BA7DF9">
      <w:pPr>
        <w:outlineLvl w:val="0"/>
        <w:rPr>
          <w:b/>
          <w:sz w:val="28"/>
          <w:szCs w:val="28"/>
          <w:highlight w:val="none"/>
        </w:rPr>
      </w:pPr>
      <w:r>
        <w:rPr>
          <w:rFonts w:hint="eastAsia"/>
          <w:b/>
          <w:sz w:val="28"/>
          <w:szCs w:val="28"/>
          <w:highlight w:val="none"/>
        </w:rPr>
        <w:t>七、在标准体系中的位置，与现行相关法律、法规、规章及标准，特别是强制性标准的协调性</w:t>
      </w:r>
    </w:p>
    <w:p w14:paraId="05298CEF">
      <w:pPr>
        <w:ind w:firstLine="420"/>
        <w:rPr>
          <w:i/>
          <w:iCs/>
        </w:rPr>
      </w:pPr>
      <w:r>
        <w:rPr>
          <w:rFonts w:hint="eastAsia"/>
        </w:rPr>
        <w:t>本文件的主要技术内容符合现行有效国家标准和行业标准的相关规定，并与现行相关法律、法规、规章及相关标准协调一致</w:t>
      </w:r>
      <w:r>
        <w:rPr>
          <w:rFonts w:hint="eastAsia"/>
          <w:i/>
          <w:iCs/>
        </w:rPr>
        <w:t>。</w:t>
      </w:r>
    </w:p>
    <w:p w14:paraId="5C9F0C12">
      <w:pPr>
        <w:outlineLvl w:val="0"/>
        <w:rPr>
          <w:b/>
          <w:sz w:val="28"/>
          <w:szCs w:val="28"/>
        </w:rPr>
      </w:pPr>
      <w:r>
        <w:rPr>
          <w:rFonts w:hint="eastAsia"/>
          <w:b/>
          <w:sz w:val="28"/>
          <w:szCs w:val="28"/>
        </w:rPr>
        <w:t>八、重大分歧意见的处理经过和依据</w:t>
      </w:r>
    </w:p>
    <w:p w14:paraId="0DC5E23B">
      <w:pPr>
        <w:ind w:firstLine="480" w:firstLineChars="200"/>
      </w:pPr>
      <w:r>
        <w:rPr>
          <w:rFonts w:hint="eastAsia"/>
        </w:rPr>
        <w:t>无。</w:t>
      </w:r>
    </w:p>
    <w:p w14:paraId="7887693C">
      <w:pPr>
        <w:outlineLvl w:val="0"/>
        <w:rPr>
          <w:b/>
          <w:sz w:val="28"/>
          <w:szCs w:val="28"/>
        </w:rPr>
      </w:pPr>
      <w:r>
        <w:rPr>
          <w:rFonts w:hint="eastAsia"/>
          <w:b/>
          <w:sz w:val="28"/>
          <w:szCs w:val="28"/>
        </w:rPr>
        <w:t>九、标准性质的建议说明</w:t>
      </w:r>
    </w:p>
    <w:p w14:paraId="16E9E7DE">
      <w:pPr>
        <w:ind w:firstLine="480" w:firstLineChars="200"/>
        <w:rPr>
          <w:i/>
        </w:rPr>
      </w:pPr>
      <w:r>
        <w:rPr>
          <w:rFonts w:hint="eastAsia"/>
        </w:rPr>
        <w:t>建议本标准的性质为团体标准。</w:t>
      </w:r>
    </w:p>
    <w:p w14:paraId="446C0402">
      <w:pPr>
        <w:outlineLvl w:val="0"/>
        <w:rPr>
          <w:b/>
          <w:sz w:val="28"/>
          <w:szCs w:val="28"/>
        </w:rPr>
      </w:pPr>
      <w:r>
        <w:rPr>
          <w:rFonts w:hint="eastAsia"/>
          <w:b/>
          <w:sz w:val="28"/>
          <w:szCs w:val="28"/>
        </w:rPr>
        <w:t>十、贯彻标准的要求和措施建议</w:t>
      </w:r>
    </w:p>
    <w:p w14:paraId="5E5E7AAE">
      <w:pPr>
        <w:ind w:firstLine="420"/>
        <w:rPr>
          <w:i/>
        </w:rPr>
      </w:pPr>
      <w:r>
        <w:rPr>
          <w:rFonts w:hint="eastAsia"/>
        </w:rPr>
        <w:t>标准发布后，编制单位将配合中国核能行业协会组织行业召开标准宣贯会，开展培训活动，促进该标准更好的贯彻实施。</w:t>
      </w:r>
    </w:p>
    <w:p w14:paraId="3D6CB105">
      <w:pPr>
        <w:outlineLvl w:val="0"/>
        <w:rPr>
          <w:b/>
          <w:sz w:val="28"/>
          <w:szCs w:val="28"/>
        </w:rPr>
      </w:pPr>
      <w:r>
        <w:rPr>
          <w:rFonts w:hint="eastAsia"/>
          <w:b/>
          <w:sz w:val="28"/>
          <w:szCs w:val="28"/>
        </w:rPr>
        <w:t>十一、废止现行相关标准的建议</w:t>
      </w:r>
    </w:p>
    <w:p w14:paraId="1B357A97">
      <w:pPr>
        <w:ind w:firstLine="420"/>
      </w:pPr>
      <w:r>
        <w:rPr>
          <w:rFonts w:hint="eastAsia"/>
        </w:rPr>
        <w:t>不涉及。</w:t>
      </w:r>
    </w:p>
    <w:p w14:paraId="0B3F94B2">
      <w:pPr>
        <w:numPr>
          <w:ilvl w:val="0"/>
          <w:numId w:val="7"/>
        </w:numPr>
        <w:outlineLvl w:val="0"/>
        <w:rPr>
          <w:b/>
          <w:sz w:val="28"/>
          <w:szCs w:val="28"/>
        </w:rPr>
      </w:pPr>
      <w:r>
        <w:rPr>
          <w:rFonts w:hint="eastAsia"/>
          <w:b/>
          <w:sz w:val="28"/>
          <w:szCs w:val="28"/>
        </w:rPr>
        <w:t>其他应予说明的事项</w:t>
      </w:r>
    </w:p>
    <w:p w14:paraId="1D89E6BB">
      <w:pPr>
        <w:ind w:firstLine="420"/>
      </w:pPr>
      <w:r>
        <w:rPr>
          <w:rFonts w:hint="eastAsia"/>
        </w:rPr>
        <w:t>无。</w:t>
      </w:r>
    </w:p>
    <w:p w14:paraId="79539E35">
      <w:pPr>
        <w:rPr>
          <w:i/>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0C698"/>
    <w:multiLevelType w:val="singleLevel"/>
    <w:tmpl w:val="CA30C698"/>
    <w:lvl w:ilvl="0" w:tentative="0">
      <w:start w:val="12"/>
      <w:numFmt w:val="chineseCounting"/>
      <w:suff w:val="nothing"/>
      <w:lvlText w:val="%1、"/>
      <w:lvlJc w:val="left"/>
      <w:rPr>
        <w:rFonts w:hint="eastAsia"/>
      </w:rPr>
    </w:lvl>
  </w:abstractNum>
  <w:abstractNum w:abstractNumId="1">
    <w:nsid w:val="FAF12FA8"/>
    <w:multiLevelType w:val="multilevel"/>
    <w:tmpl w:val="FAF12F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4CF3BD2"/>
    <w:multiLevelType w:val="multilevel"/>
    <w:tmpl w:val="04CF3BD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710" w:firstLine="0"/>
      </w:pPr>
      <w:rPr>
        <w:rFonts w:hint="eastAsia" w:ascii="黑体" w:hAnsi="Times New Roman" w:eastAsia="黑体"/>
        <w:b w:val="0"/>
        <w:i w:val="0"/>
        <w:sz w:val="21"/>
      </w:rPr>
    </w:lvl>
    <w:lvl w:ilvl="3" w:tentative="0">
      <w:start w:val="1"/>
      <w:numFmt w:val="decimal"/>
      <w:pStyle w:val="22"/>
      <w:suff w:val="nothing"/>
      <w:lvlText w:val="%1.%2.%3.%4　"/>
      <w:lvlJc w:val="left"/>
      <w:pPr>
        <w:ind w:left="1135" w:firstLine="0"/>
      </w:pPr>
      <w:rPr>
        <w:rFonts w:hint="eastAsia" w:ascii="黑体" w:hAnsi="Times New Roman" w:eastAsia="黑体"/>
        <w:b w:val="0"/>
        <w:i w:val="0"/>
        <w:sz w:val="21"/>
      </w:rPr>
    </w:lvl>
    <w:lvl w:ilvl="4" w:tentative="0">
      <w:start w:val="1"/>
      <w:numFmt w:val="decimal"/>
      <w:pStyle w:val="23"/>
      <w:suff w:val="nothing"/>
      <w:lvlText w:val="%1.%2.%3.%4.%5　"/>
      <w:lvlJc w:val="left"/>
      <w:pPr>
        <w:ind w:left="-1134" w:firstLine="0"/>
      </w:pPr>
      <w:rPr>
        <w:rFonts w:hint="eastAsia" w:ascii="黑体" w:hAnsi="Times New Roman" w:eastAsia="黑体"/>
        <w:b w:val="0"/>
        <w:i w:val="0"/>
        <w:sz w:val="21"/>
      </w:rPr>
    </w:lvl>
    <w:lvl w:ilvl="5" w:tentative="0">
      <w:start w:val="1"/>
      <w:numFmt w:val="decimal"/>
      <w:pStyle w:val="24"/>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1134" w:firstLine="0"/>
      </w:pPr>
      <w:rPr>
        <w:rFonts w:hint="eastAsia" w:ascii="黑体" w:hAnsi="Times New Roman" w:eastAsia="黑体"/>
        <w:b w:val="0"/>
        <w:i w:val="0"/>
        <w:sz w:val="21"/>
      </w:rPr>
    </w:lvl>
    <w:lvl w:ilvl="7" w:tentative="0">
      <w:start w:val="1"/>
      <w:numFmt w:val="decimal"/>
      <w:lvlText w:val="%1.%2.%3.%4.%5.%6.%7.%8"/>
      <w:lvlJc w:val="left"/>
      <w:pPr>
        <w:tabs>
          <w:tab w:val="left" w:pos="3217"/>
        </w:tabs>
        <w:ind w:left="2835" w:hanging="1418"/>
      </w:pPr>
      <w:rPr>
        <w:rFonts w:hint="eastAsia"/>
      </w:rPr>
    </w:lvl>
    <w:lvl w:ilvl="8" w:tentative="0">
      <w:start w:val="1"/>
      <w:numFmt w:val="decimal"/>
      <w:lvlText w:val="%1.%2.%3.%4.%5.%6.%7.%8.%9"/>
      <w:lvlJc w:val="left"/>
      <w:pPr>
        <w:tabs>
          <w:tab w:val="left" w:pos="3643"/>
        </w:tabs>
        <w:ind w:left="3543" w:hanging="1700"/>
      </w:pPr>
      <w:rPr>
        <w:rFonts w:hint="eastAsia"/>
      </w:rPr>
    </w:lvl>
  </w:abstractNum>
  <w:abstractNum w:abstractNumId="4">
    <w:nsid w:val="2CFA3CA7"/>
    <w:multiLevelType w:val="singleLevel"/>
    <w:tmpl w:val="2CFA3CA7"/>
    <w:lvl w:ilvl="0" w:tentative="0">
      <w:start w:val="1"/>
      <w:numFmt w:val="decimal"/>
      <w:suff w:val="nothing"/>
      <w:lvlText w:val="%1）"/>
      <w:lvlJc w:val="left"/>
    </w:lvl>
  </w:abstractNum>
  <w:abstractNum w:abstractNumId="5">
    <w:nsid w:val="44C50F90"/>
    <w:multiLevelType w:val="multilevel"/>
    <w:tmpl w:val="44C50F90"/>
    <w:lvl w:ilvl="0" w:tentative="0">
      <w:start w:val="1"/>
      <w:numFmt w:val="lowerLetter"/>
      <w:pStyle w:val="2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8C90EA5"/>
    <w:multiLevelType w:val="multilevel"/>
    <w:tmpl w:val="48C90E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zE3ZGNjOGM4MTYxMDczMjA0OGFlNDM4ODc0NjYifQ=="/>
  </w:docVars>
  <w:rsids>
    <w:rsidRoot w:val="002E1F35"/>
    <w:rsid w:val="000038CB"/>
    <w:rsid w:val="00013C95"/>
    <w:rsid w:val="00022105"/>
    <w:rsid w:val="00037A4C"/>
    <w:rsid w:val="00037C29"/>
    <w:rsid w:val="0004736B"/>
    <w:rsid w:val="0008539A"/>
    <w:rsid w:val="000B55D0"/>
    <w:rsid w:val="000C204E"/>
    <w:rsid w:val="000C2497"/>
    <w:rsid w:val="00125B2C"/>
    <w:rsid w:val="00132C00"/>
    <w:rsid w:val="00161CD2"/>
    <w:rsid w:val="001B703D"/>
    <w:rsid w:val="001B7E84"/>
    <w:rsid w:val="001D4082"/>
    <w:rsid w:val="001D6002"/>
    <w:rsid w:val="00214249"/>
    <w:rsid w:val="0024244C"/>
    <w:rsid w:val="00285F39"/>
    <w:rsid w:val="002B127F"/>
    <w:rsid w:val="002E1F35"/>
    <w:rsid w:val="002F7506"/>
    <w:rsid w:val="00316D84"/>
    <w:rsid w:val="003457E1"/>
    <w:rsid w:val="00383238"/>
    <w:rsid w:val="003C5E64"/>
    <w:rsid w:val="003E5379"/>
    <w:rsid w:val="003E590A"/>
    <w:rsid w:val="00406FDB"/>
    <w:rsid w:val="00414887"/>
    <w:rsid w:val="00426371"/>
    <w:rsid w:val="00431087"/>
    <w:rsid w:val="004656F6"/>
    <w:rsid w:val="004A02AB"/>
    <w:rsid w:val="004B0BAE"/>
    <w:rsid w:val="004C1497"/>
    <w:rsid w:val="004D12E5"/>
    <w:rsid w:val="00520FE0"/>
    <w:rsid w:val="00526B8F"/>
    <w:rsid w:val="005567F8"/>
    <w:rsid w:val="005C71A8"/>
    <w:rsid w:val="005E7729"/>
    <w:rsid w:val="00600690"/>
    <w:rsid w:val="00644FB2"/>
    <w:rsid w:val="006633BA"/>
    <w:rsid w:val="00671BBD"/>
    <w:rsid w:val="006A6B56"/>
    <w:rsid w:val="006B031A"/>
    <w:rsid w:val="006E0F94"/>
    <w:rsid w:val="006F05FC"/>
    <w:rsid w:val="0070018A"/>
    <w:rsid w:val="0070047E"/>
    <w:rsid w:val="00764E9E"/>
    <w:rsid w:val="007714FD"/>
    <w:rsid w:val="007D2A1D"/>
    <w:rsid w:val="00840694"/>
    <w:rsid w:val="00874065"/>
    <w:rsid w:val="00882EB8"/>
    <w:rsid w:val="0089736F"/>
    <w:rsid w:val="008E5C98"/>
    <w:rsid w:val="008F0708"/>
    <w:rsid w:val="008F5F5C"/>
    <w:rsid w:val="0090126E"/>
    <w:rsid w:val="00971872"/>
    <w:rsid w:val="00980A3E"/>
    <w:rsid w:val="009C2E12"/>
    <w:rsid w:val="009E19D5"/>
    <w:rsid w:val="00A33BF8"/>
    <w:rsid w:val="00A56356"/>
    <w:rsid w:val="00A740E0"/>
    <w:rsid w:val="00A77A1C"/>
    <w:rsid w:val="00A80319"/>
    <w:rsid w:val="00A92518"/>
    <w:rsid w:val="00AB25C8"/>
    <w:rsid w:val="00AB5F92"/>
    <w:rsid w:val="00AC1E52"/>
    <w:rsid w:val="00AD5D91"/>
    <w:rsid w:val="00AE1F12"/>
    <w:rsid w:val="00AE2230"/>
    <w:rsid w:val="00B164E0"/>
    <w:rsid w:val="00B24A56"/>
    <w:rsid w:val="00BA0328"/>
    <w:rsid w:val="00BA4397"/>
    <w:rsid w:val="00BC334B"/>
    <w:rsid w:val="00C02980"/>
    <w:rsid w:val="00C15E91"/>
    <w:rsid w:val="00C45025"/>
    <w:rsid w:val="00C478E3"/>
    <w:rsid w:val="00C83EC2"/>
    <w:rsid w:val="00CB603C"/>
    <w:rsid w:val="00CE2E97"/>
    <w:rsid w:val="00D22670"/>
    <w:rsid w:val="00D47D4A"/>
    <w:rsid w:val="00D76D72"/>
    <w:rsid w:val="00D849CA"/>
    <w:rsid w:val="00DA728D"/>
    <w:rsid w:val="00DB3622"/>
    <w:rsid w:val="00DC29B1"/>
    <w:rsid w:val="00E00CCC"/>
    <w:rsid w:val="00E0783F"/>
    <w:rsid w:val="00E34BAA"/>
    <w:rsid w:val="00E541F3"/>
    <w:rsid w:val="00E60F87"/>
    <w:rsid w:val="00EA00AA"/>
    <w:rsid w:val="00EC4ED0"/>
    <w:rsid w:val="00ED6ED7"/>
    <w:rsid w:val="00F11952"/>
    <w:rsid w:val="00F26158"/>
    <w:rsid w:val="00F60B7D"/>
    <w:rsid w:val="00F9397A"/>
    <w:rsid w:val="00FB6407"/>
    <w:rsid w:val="00FC274A"/>
    <w:rsid w:val="02B103E1"/>
    <w:rsid w:val="03214275"/>
    <w:rsid w:val="04627691"/>
    <w:rsid w:val="05F20206"/>
    <w:rsid w:val="064B48B8"/>
    <w:rsid w:val="084F5A7D"/>
    <w:rsid w:val="08886325"/>
    <w:rsid w:val="08B65E54"/>
    <w:rsid w:val="091560B0"/>
    <w:rsid w:val="0C69782C"/>
    <w:rsid w:val="0D9C0DC9"/>
    <w:rsid w:val="10C04DBB"/>
    <w:rsid w:val="10ED0370"/>
    <w:rsid w:val="129C5A5E"/>
    <w:rsid w:val="13856FC5"/>
    <w:rsid w:val="14F3357C"/>
    <w:rsid w:val="150B4203"/>
    <w:rsid w:val="161443B7"/>
    <w:rsid w:val="161D0664"/>
    <w:rsid w:val="16B55BFE"/>
    <w:rsid w:val="16D00F58"/>
    <w:rsid w:val="18AE06FC"/>
    <w:rsid w:val="19005C7D"/>
    <w:rsid w:val="1AC41472"/>
    <w:rsid w:val="205B1429"/>
    <w:rsid w:val="21C43504"/>
    <w:rsid w:val="23882614"/>
    <w:rsid w:val="24D16675"/>
    <w:rsid w:val="251B7E2B"/>
    <w:rsid w:val="25392AFD"/>
    <w:rsid w:val="26196381"/>
    <w:rsid w:val="26453709"/>
    <w:rsid w:val="26B50E13"/>
    <w:rsid w:val="286B46CA"/>
    <w:rsid w:val="2BBA0180"/>
    <w:rsid w:val="2BF71BF8"/>
    <w:rsid w:val="2D0D7D93"/>
    <w:rsid w:val="2DE626C9"/>
    <w:rsid w:val="2E450047"/>
    <w:rsid w:val="305C1E4A"/>
    <w:rsid w:val="32CC28A7"/>
    <w:rsid w:val="33B664B7"/>
    <w:rsid w:val="36642A72"/>
    <w:rsid w:val="37186028"/>
    <w:rsid w:val="392B7771"/>
    <w:rsid w:val="3B196C29"/>
    <w:rsid w:val="3C32553E"/>
    <w:rsid w:val="3CBC5841"/>
    <w:rsid w:val="3FBF648B"/>
    <w:rsid w:val="414A067D"/>
    <w:rsid w:val="42AF2C65"/>
    <w:rsid w:val="42D55186"/>
    <w:rsid w:val="45392FEA"/>
    <w:rsid w:val="46D31C6C"/>
    <w:rsid w:val="487C4ECD"/>
    <w:rsid w:val="49946E43"/>
    <w:rsid w:val="4A463DF6"/>
    <w:rsid w:val="4BC7291E"/>
    <w:rsid w:val="4C6A723C"/>
    <w:rsid w:val="4CF9536E"/>
    <w:rsid w:val="4EED035F"/>
    <w:rsid w:val="55A936F7"/>
    <w:rsid w:val="55F933F3"/>
    <w:rsid w:val="56B2773B"/>
    <w:rsid w:val="57BA71CB"/>
    <w:rsid w:val="57DC407E"/>
    <w:rsid w:val="5B9E60F5"/>
    <w:rsid w:val="5C4C7437"/>
    <w:rsid w:val="603A09AA"/>
    <w:rsid w:val="60461DA3"/>
    <w:rsid w:val="606E2D9E"/>
    <w:rsid w:val="608B102C"/>
    <w:rsid w:val="63EE4361"/>
    <w:rsid w:val="641F0F5B"/>
    <w:rsid w:val="66D6370C"/>
    <w:rsid w:val="67C915B4"/>
    <w:rsid w:val="68EA1144"/>
    <w:rsid w:val="6C544A78"/>
    <w:rsid w:val="6D752150"/>
    <w:rsid w:val="6E464B88"/>
    <w:rsid w:val="6E597A8C"/>
    <w:rsid w:val="6EB4353A"/>
    <w:rsid w:val="70A628F5"/>
    <w:rsid w:val="70CA469B"/>
    <w:rsid w:val="71695091"/>
    <w:rsid w:val="71733EB1"/>
    <w:rsid w:val="71811CE3"/>
    <w:rsid w:val="72946758"/>
    <w:rsid w:val="76F70951"/>
    <w:rsid w:val="78885844"/>
    <w:rsid w:val="78B36DFE"/>
    <w:rsid w:val="79B45476"/>
    <w:rsid w:val="79F81A3C"/>
    <w:rsid w:val="7A1F0F44"/>
    <w:rsid w:val="7AB26B2B"/>
    <w:rsid w:val="7E697DFC"/>
    <w:rsid w:val="7EEB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pPr>
      <w:spacing w:line="240" w:lineRule="auto"/>
    </w:pPr>
    <w:rPr>
      <w:sz w:val="18"/>
      <w:szCs w:val="18"/>
    </w:rPr>
  </w:style>
  <w:style w:type="paragraph" w:styleId="3">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4"/>
    <w:unhideWhenUsed/>
    <w:qFormat/>
    <w:uiPriority w:val="99"/>
    <w:pPr>
      <w:tabs>
        <w:tab w:val="center" w:pos="4153"/>
        <w:tab w:val="right" w:pos="8306"/>
      </w:tabs>
      <w:snapToGrid w:val="0"/>
      <w:spacing w:line="240" w:lineRule="auto"/>
      <w:jc w:val="center"/>
    </w:pPr>
    <w:rPr>
      <w:sz w:val="18"/>
      <w:szCs w:val="18"/>
    </w:rPr>
  </w:style>
  <w:style w:type="paragraph" w:styleId="5">
    <w:name w:val="toc 1"/>
    <w:basedOn w:val="1"/>
    <w:next w:val="1"/>
    <w:qFormat/>
    <w:uiPriority w:val="39"/>
    <w:pPr>
      <w:tabs>
        <w:tab w:val="left" w:pos="709"/>
        <w:tab w:val="right" w:leader="dot" w:pos="8222"/>
      </w:tabs>
      <w:ind w:right="567" w:rightChars="270"/>
    </w:pPr>
    <w:rPr>
      <w:rFonts w:ascii="Times New Roman" w:hAnsi="Times New Roman" w:cs="Times New Roman"/>
    </w:rPr>
  </w:style>
  <w:style w:type="paragraph" w:styleId="6">
    <w:name w:val="Normal (Web)"/>
    <w:basedOn w:val="1"/>
    <w:unhideWhenUsed/>
    <w:qFormat/>
    <w:uiPriority w:val="99"/>
    <w:pPr>
      <w:spacing w:before="100" w:beforeAutospacing="1" w:after="100" w:afterAutospacing="1" w:line="240" w:lineRule="auto"/>
    </w:pPr>
    <w:rPr>
      <w:rFonts w:cs="宋体"/>
      <w:kern w:val="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paragraph" w:styleId="11">
    <w:name w:val="List Paragraph"/>
    <w:basedOn w:val="1"/>
    <w:qFormat/>
    <w:uiPriority w:val="34"/>
    <w:pPr>
      <w:ind w:firstLine="420" w:firstLineChars="200"/>
    </w:pPr>
  </w:style>
  <w:style w:type="paragraph" w:customStyle="1" w:styleId="12">
    <w:name w:val="段"/>
    <w:link w:val="18"/>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ARIS TEXT"/>
    <w:basedOn w:val="1"/>
    <w:qFormat/>
    <w:locked/>
    <w:uiPriority w:val="0"/>
    <w:pPr>
      <w:spacing w:before="120" w:beforeLines="50" w:after="120" w:afterLines="50"/>
      <w:ind w:left="284"/>
    </w:pPr>
    <w:rPr>
      <w:rFonts w:ascii="Times New Roman" w:hAnsi="Times New Roman" w:cs="宋体"/>
      <w:kern w:val="0"/>
      <w:szCs w:val="21"/>
    </w:rPr>
  </w:style>
  <w:style w:type="character" w:customStyle="1" w:styleId="14">
    <w:name w:val="页眉 Char"/>
    <w:basedOn w:val="9"/>
    <w:link w:val="4"/>
    <w:qFormat/>
    <w:uiPriority w:val="99"/>
    <w:rPr>
      <w:rFonts w:ascii="宋体" w:hAnsi="宋体" w:cstheme="minorBidi"/>
      <w:kern w:val="2"/>
      <w:sz w:val="18"/>
      <w:szCs w:val="18"/>
    </w:rPr>
  </w:style>
  <w:style w:type="character" w:customStyle="1" w:styleId="15">
    <w:name w:val="页脚 Char"/>
    <w:basedOn w:val="9"/>
    <w:link w:val="3"/>
    <w:qFormat/>
    <w:uiPriority w:val="99"/>
    <w:rPr>
      <w:rFonts w:ascii="宋体" w:hAnsi="宋体" w:cstheme="minorBidi"/>
      <w:kern w:val="2"/>
      <w:sz w:val="18"/>
      <w:szCs w:val="18"/>
    </w:rPr>
  </w:style>
  <w:style w:type="paragraph" w:customStyle="1" w:styleId="16">
    <w:name w:val="修订1"/>
    <w:hidden/>
    <w:unhideWhenUsed/>
    <w:qFormat/>
    <w:uiPriority w:val="99"/>
    <w:rPr>
      <w:rFonts w:ascii="宋体" w:hAnsi="宋体" w:eastAsia="宋体" w:cstheme="minorBidi"/>
      <w:kern w:val="2"/>
      <w:sz w:val="24"/>
      <w:szCs w:val="24"/>
      <w:lang w:val="en-US" w:eastAsia="zh-CN" w:bidi="ar-SA"/>
    </w:rPr>
  </w:style>
  <w:style w:type="character" w:customStyle="1" w:styleId="17">
    <w:name w:val="批注框文本 Char"/>
    <w:basedOn w:val="9"/>
    <w:link w:val="2"/>
    <w:semiHidden/>
    <w:qFormat/>
    <w:uiPriority w:val="99"/>
    <w:rPr>
      <w:rFonts w:ascii="宋体" w:hAnsi="宋体" w:cstheme="minorBidi"/>
      <w:kern w:val="2"/>
      <w:sz w:val="18"/>
      <w:szCs w:val="18"/>
    </w:rPr>
  </w:style>
  <w:style w:type="character" w:customStyle="1" w:styleId="18">
    <w:name w:val="段 Char"/>
    <w:link w:val="12"/>
    <w:qFormat/>
    <w:uiPriority w:val="0"/>
    <w:rPr>
      <w:rFonts w:ascii="宋体"/>
      <w:sz w:val="21"/>
    </w:rPr>
  </w:style>
  <w:style w:type="paragraph" w:customStyle="1" w:styleId="19">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2"/>
    <w:qFormat/>
    <w:uiPriority w:val="0"/>
    <w:pPr>
      <w:numPr>
        <w:ilvl w:val="2"/>
      </w:numPr>
      <w:spacing w:before="50" w:after="50"/>
      <w:outlineLvl w:val="3"/>
    </w:pPr>
  </w:style>
  <w:style w:type="paragraph" w:customStyle="1" w:styleId="22">
    <w:name w:val="三级条标题"/>
    <w:basedOn w:val="21"/>
    <w:next w:val="12"/>
    <w:qFormat/>
    <w:uiPriority w:val="0"/>
    <w:pPr>
      <w:numPr>
        <w:ilvl w:val="3"/>
      </w:numPr>
      <w:outlineLvl w:val="4"/>
    </w:pPr>
  </w:style>
  <w:style w:type="paragraph" w:customStyle="1" w:styleId="23">
    <w:name w:val="四级条标题"/>
    <w:basedOn w:val="22"/>
    <w:next w:val="12"/>
    <w:qFormat/>
    <w:uiPriority w:val="0"/>
    <w:pPr>
      <w:numPr>
        <w:ilvl w:val="4"/>
      </w:numPr>
      <w:outlineLvl w:val="5"/>
    </w:pPr>
  </w:style>
  <w:style w:type="paragraph" w:customStyle="1" w:styleId="24">
    <w:name w:val="五级条标题"/>
    <w:basedOn w:val="23"/>
    <w:next w:val="12"/>
    <w:qFormat/>
    <w:uiPriority w:val="0"/>
    <w:pPr>
      <w:numPr>
        <w:ilvl w:val="5"/>
      </w:numPr>
      <w:outlineLvl w:val="6"/>
    </w:pPr>
  </w:style>
  <w:style w:type="paragraph" w:customStyle="1" w:styleId="25">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3958</Words>
  <Characters>4205</Characters>
  <Lines>38</Lines>
  <Paragraphs>10</Paragraphs>
  <TotalTime>5</TotalTime>
  <ScaleCrop>false</ScaleCrop>
  <LinksUpToDate>false</LinksUpToDate>
  <CharactersWithSpaces>4265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海的另一边</cp:lastModifiedBy>
  <dcterms:modified xsi:type="dcterms:W3CDTF">2025-05-20T09:47:49Z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E75999984297445A8854DEBF4A8A2AAF</vt:lpwstr>
  </property>
  <property fmtid="{D5CDD505-2E9C-101B-9397-08002B2CF9AE}" pid="4" name="KSOTemplateDocerSaveRecord">
    <vt:lpwstr>eyJoZGlkIjoiODRmMDhhZDZkYjg4NGI5NDkxOTI2ZDVjMDAzMTk2MWIiLCJ1c2VySWQiOiI0MzU4NjExODgifQ==</vt:lpwstr>
  </property>
</Properties>
</file>