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3A10">
      <w:pPr>
        <w:jc w:val="center"/>
        <w:rPr>
          <w:b/>
          <w:sz w:val="36"/>
        </w:rPr>
      </w:pPr>
      <w:r>
        <w:rPr>
          <w:rFonts w:hint="eastAsia"/>
          <w:b/>
          <w:sz w:val="36"/>
        </w:rPr>
        <w:t>《核电</w:t>
      </w:r>
      <w:r>
        <w:rPr>
          <w:rFonts w:hint="eastAsia"/>
          <w:b/>
          <w:sz w:val="36"/>
          <w:lang w:val="en-US" w:eastAsia="zh-CN"/>
        </w:rPr>
        <w:t>行业知识管理</w:t>
      </w:r>
      <w:r>
        <w:rPr>
          <w:rFonts w:hint="eastAsia"/>
          <w:b/>
          <w:sz w:val="36"/>
        </w:rPr>
        <w:t xml:space="preserve"> 第</w:t>
      </w:r>
      <w:r>
        <w:rPr>
          <w:rFonts w:hint="eastAsia"/>
          <w:b/>
          <w:sz w:val="36"/>
          <w:lang w:val="en-US" w:eastAsia="zh-CN"/>
        </w:rPr>
        <w:t>2</w:t>
      </w:r>
      <w:r>
        <w:rPr>
          <w:rFonts w:hint="eastAsia"/>
          <w:b/>
          <w:sz w:val="36"/>
        </w:rPr>
        <w:t>部分：</w:t>
      </w:r>
      <w:r>
        <w:rPr>
          <w:rFonts w:hint="eastAsia"/>
          <w:b/>
          <w:sz w:val="36"/>
          <w:lang w:val="en-US" w:eastAsia="zh-CN"/>
        </w:rPr>
        <w:t>实施</w:t>
      </w:r>
      <w:r>
        <w:rPr>
          <w:rFonts w:hint="eastAsia"/>
          <w:b/>
          <w:sz w:val="36"/>
        </w:rPr>
        <w:t>》</w:t>
      </w:r>
    </w:p>
    <w:p w14:paraId="1FB686B5">
      <w:pPr>
        <w:jc w:val="center"/>
        <w:rPr>
          <w:b/>
          <w:sz w:val="36"/>
        </w:rPr>
      </w:pPr>
      <w:r>
        <w:rPr>
          <w:rFonts w:hint="eastAsia"/>
          <w:b/>
          <w:sz w:val="36"/>
        </w:rPr>
        <w:t>编制说明</w:t>
      </w:r>
    </w:p>
    <w:p w14:paraId="1DBDDAB3">
      <w:pPr>
        <w:jc w:val="center"/>
        <w:rPr>
          <w:b/>
          <w:sz w:val="36"/>
        </w:rPr>
      </w:pPr>
      <w:r>
        <w:rPr>
          <w:rFonts w:hint="eastAsia"/>
          <w:b/>
          <w:sz w:val="36"/>
        </w:rPr>
        <w:t>（行业意见征求稿）</w:t>
      </w:r>
    </w:p>
    <w:p w14:paraId="6B812A2D">
      <w:pPr>
        <w:spacing w:after="240"/>
        <w:outlineLvl w:val="0"/>
        <w:rPr>
          <w:b/>
          <w:sz w:val="28"/>
          <w:szCs w:val="28"/>
        </w:rPr>
      </w:pPr>
      <w:r>
        <w:rPr>
          <w:rFonts w:hint="eastAsia"/>
          <w:b/>
          <w:sz w:val="28"/>
          <w:szCs w:val="28"/>
        </w:rPr>
        <w:t>一、工作简况</w:t>
      </w:r>
    </w:p>
    <w:p w14:paraId="5CEB9BA5">
      <w:pPr>
        <w:spacing w:after="240"/>
        <w:rPr>
          <w:b/>
        </w:rPr>
      </w:pPr>
      <w:r>
        <w:rPr>
          <w:rFonts w:hint="eastAsia"/>
          <w:b/>
        </w:rPr>
        <w:t>1、任务来源</w:t>
      </w:r>
    </w:p>
    <w:p w14:paraId="24854EEF">
      <w:pPr>
        <w:ind w:firstLine="420"/>
        <w:rPr>
          <w:rFonts w:hint="eastAsia"/>
        </w:rPr>
      </w:pPr>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日中国核能行业协会信息化专业委员会（以下简称“信专委”）发函</w:t>
      </w:r>
      <w:r>
        <w:rPr>
          <w:rFonts w:hint="eastAsia"/>
          <w:lang w:val="en-US" w:eastAsia="zh-CN"/>
        </w:rPr>
        <w:t>&lt;</w:t>
      </w:r>
      <w:r>
        <w:rPr>
          <w:rFonts w:hint="eastAsia"/>
        </w:rPr>
        <w:t>关于商请参加《核</w:t>
      </w:r>
      <w:r>
        <w:rPr>
          <w:rFonts w:hint="eastAsia"/>
          <w:lang w:val="en-US" w:eastAsia="zh-CN"/>
        </w:rPr>
        <w:t>能行业知识管理</w:t>
      </w:r>
      <w:r>
        <w:rPr>
          <w:rFonts w:hint="eastAsia"/>
        </w:rPr>
        <w:t>》标准编制工作的函</w:t>
      </w:r>
      <w:r>
        <w:rPr>
          <w:rFonts w:hint="eastAsia"/>
          <w:lang w:val="en-US" w:eastAsia="zh-CN"/>
        </w:rPr>
        <w:t>&gt;</w:t>
      </w:r>
      <w:r>
        <w:rPr>
          <w:rFonts w:hint="eastAsia"/>
        </w:rPr>
        <w:t>（核协信</w:t>
      </w:r>
      <w:r>
        <w:rPr>
          <w:rFonts w:hint="eastAsia"/>
          <w:lang w:val="en-US" w:eastAsia="zh-CN"/>
        </w:rPr>
        <w:t>息</w:t>
      </w:r>
      <w:r>
        <w:rPr>
          <w:rFonts w:hint="eastAsia"/>
        </w:rPr>
        <w:t>函〔202</w:t>
      </w:r>
      <w:r>
        <w:rPr>
          <w:rFonts w:hint="eastAsia"/>
          <w:lang w:val="en-US" w:eastAsia="zh-CN"/>
        </w:rPr>
        <w:t>3</w:t>
      </w:r>
      <w:r>
        <w:rPr>
          <w:rFonts w:hint="eastAsia"/>
        </w:rPr>
        <w:t>〕</w:t>
      </w:r>
      <w:r>
        <w:rPr>
          <w:rFonts w:hint="eastAsia"/>
          <w:lang w:val="en-US" w:eastAsia="zh-CN"/>
        </w:rPr>
        <w:t>19</w:t>
      </w:r>
      <w:r>
        <w:rPr>
          <w:rFonts w:hint="eastAsia"/>
        </w:rPr>
        <w:t>号），该标准为一组标准系列，内容包括：</w:t>
      </w:r>
      <w:r>
        <w:rPr>
          <w:rFonts w:hint="eastAsia"/>
          <w:lang w:val="en-US" w:eastAsia="zh-CN"/>
        </w:rPr>
        <w:t>导则</w:t>
      </w:r>
      <w:r>
        <w:rPr>
          <w:rFonts w:hint="eastAsia"/>
        </w:rPr>
        <w:t>等</w:t>
      </w:r>
      <w:r>
        <w:rPr>
          <w:rFonts w:hint="eastAsia"/>
          <w:lang w:val="en-US" w:eastAsia="zh-CN"/>
        </w:rPr>
        <w:t>3</w:t>
      </w:r>
      <w:r>
        <w:rPr>
          <w:rFonts w:hint="eastAsia"/>
        </w:rPr>
        <w:t>个方面</w:t>
      </w:r>
      <w:r>
        <w:rPr>
          <w:rFonts w:hint="eastAsia"/>
          <w:lang w:val="en-US" w:eastAsia="zh-CN"/>
        </w:rPr>
        <w:t>为开展知识管理规划设计、知识资源实施分类、知识管理系统建设、运营和评价等工作提供指导和借鉴，从而推动核能企业组织开展知识管理实践提供标准参考，</w:t>
      </w:r>
      <w:r>
        <w:rPr>
          <w:rFonts w:hint="eastAsia"/>
        </w:rPr>
        <w:t>本标准名称为《核电</w:t>
      </w:r>
      <w:r>
        <w:rPr>
          <w:rFonts w:hint="eastAsia"/>
          <w:lang w:val="en-US" w:eastAsia="zh-CN"/>
        </w:rPr>
        <w:t>知识管理</w:t>
      </w:r>
      <w:r>
        <w:rPr>
          <w:rFonts w:hint="eastAsia"/>
        </w:rPr>
        <w:t xml:space="preserve"> 第</w:t>
      </w:r>
      <w:r>
        <w:rPr>
          <w:rFonts w:hint="eastAsia"/>
          <w:lang w:val="en-US" w:eastAsia="zh-CN"/>
        </w:rPr>
        <w:t>2</w:t>
      </w:r>
      <w:r>
        <w:rPr>
          <w:rFonts w:hint="eastAsia"/>
        </w:rPr>
        <w:t>部分：</w:t>
      </w:r>
      <w:r>
        <w:rPr>
          <w:rFonts w:hint="eastAsia"/>
          <w:lang w:val="en-US" w:eastAsia="zh-CN"/>
        </w:rPr>
        <w:t>实施</w:t>
      </w:r>
      <w:r>
        <w:rPr>
          <w:rFonts w:hint="eastAsia"/>
        </w:rPr>
        <w:t>》（</w:t>
      </w:r>
      <w:r>
        <w:rPr>
          <w:rFonts w:hint="eastAsia"/>
          <w:lang w:val="en-US" w:eastAsia="zh-CN"/>
        </w:rPr>
        <w:t>根据标准编制过程中专家意见对标准名称做了适应性修改</w:t>
      </w:r>
      <w:r>
        <w:rPr>
          <w:rFonts w:hint="eastAsia"/>
        </w:rPr>
        <w:t>），标准编制周期计划</w:t>
      </w:r>
      <w:r>
        <w:rPr>
          <w:rFonts w:hint="eastAsia"/>
          <w:lang w:val="en-US" w:eastAsia="zh-CN"/>
        </w:rPr>
        <w:t>18个月</w:t>
      </w:r>
      <w:r>
        <w:rPr>
          <w:rFonts w:hint="eastAsia"/>
        </w:rPr>
        <w:t>完成。</w:t>
      </w:r>
    </w:p>
    <w:p w14:paraId="35F0963A">
      <w:pPr>
        <w:ind w:firstLine="420"/>
      </w:pPr>
      <w:r>
        <w:rPr>
          <w:rFonts w:hint="eastAsia"/>
        </w:rPr>
        <w:t>202</w:t>
      </w:r>
      <w:r>
        <w:rPr>
          <w:rFonts w:hint="eastAsia"/>
          <w:lang w:val="en-US" w:eastAsia="zh-CN"/>
        </w:rPr>
        <w:t>4</w:t>
      </w:r>
      <w:r>
        <w:rPr>
          <w:rFonts w:hint="eastAsia"/>
        </w:rPr>
        <w:t>年中国核能行业协会召开</w:t>
      </w:r>
      <w:r>
        <w:rPr>
          <w:rFonts w:hint="eastAsia"/>
          <w:lang w:bidi="ar"/>
        </w:rPr>
        <w:t>团体标准立项评审会，</w:t>
      </w:r>
      <w:r>
        <w:rPr>
          <w:rFonts w:hint="eastAsia"/>
        </w:rPr>
        <w:t>《</w:t>
      </w:r>
      <w:r>
        <w:rPr>
          <w:rFonts w:hint="eastAsia"/>
          <w:lang w:val="en-US" w:eastAsia="zh-CN"/>
        </w:rPr>
        <w:t>核电行业知识管理第1部分：导则</w:t>
      </w:r>
      <w:r>
        <w:rPr>
          <w:rFonts w:hint="eastAsia"/>
        </w:rPr>
        <w:t>》</w:t>
      </w:r>
      <w:r>
        <w:rPr>
          <w:rFonts w:hint="eastAsia"/>
          <w:lang w:val="en-US" w:eastAsia="zh-CN"/>
        </w:rPr>
        <w:t>等3项核协团标立项评审会，标准</w:t>
      </w:r>
      <w:r>
        <w:rPr>
          <w:rFonts w:hint="eastAsia"/>
        </w:rPr>
        <w:t>通过立项评审并公示（</w:t>
      </w:r>
      <w:r>
        <w:rPr>
          <w:rFonts w:hint="eastAsia"/>
          <w:lang w:val="en-US" w:eastAsia="zh-CN" w:bidi="ar"/>
        </w:rPr>
        <w:t>核协科函</w:t>
      </w:r>
      <w:r>
        <w:t>〔20</w:t>
      </w:r>
      <w:r>
        <w:rPr>
          <w:rFonts w:hint="eastAsia"/>
        </w:rPr>
        <w:t>2</w:t>
      </w:r>
      <w:r>
        <w:rPr>
          <w:rFonts w:hint="eastAsia"/>
          <w:lang w:val="en-US" w:eastAsia="zh-CN"/>
        </w:rPr>
        <w:t>4</w:t>
      </w:r>
      <w:r>
        <w:t>〕</w:t>
      </w:r>
      <w:r>
        <w:rPr>
          <w:rFonts w:hint="eastAsia"/>
          <w:lang w:val="en-US" w:eastAsia="zh-CN"/>
        </w:rPr>
        <w:t>494</w:t>
      </w:r>
      <w:r>
        <w:t>号</w:t>
      </w:r>
      <w:r>
        <w:rPr>
          <w:rFonts w:hint="eastAsia"/>
        </w:rPr>
        <w:t>）。</w:t>
      </w:r>
    </w:p>
    <w:p w14:paraId="557740D3">
      <w:pPr>
        <w:spacing w:after="240"/>
        <w:rPr>
          <w:b/>
        </w:rPr>
      </w:pPr>
      <w:r>
        <w:rPr>
          <w:rFonts w:hint="eastAsia"/>
          <w:b/>
        </w:rPr>
        <w:t>2、主要工作过程</w:t>
      </w:r>
    </w:p>
    <w:p w14:paraId="1DC4548B">
      <w:pPr>
        <w:ind w:firstLine="420"/>
        <w:jc w:val="both"/>
      </w:pPr>
      <w:r>
        <w:rPr>
          <w:rFonts w:hint="eastAsia"/>
        </w:rPr>
        <w:t>根据标准进度计划，《</w:t>
      </w:r>
      <w:r>
        <w:rPr>
          <w:rFonts w:hint="eastAsia"/>
          <w:lang w:val="en-US" w:eastAsia="zh-CN"/>
        </w:rPr>
        <w:t>实施</w:t>
      </w:r>
      <w:r>
        <w:rPr>
          <w:rFonts w:hint="eastAsia"/>
        </w:rPr>
        <w:t>》各阶段草案的完成时间安排为：202</w:t>
      </w:r>
      <w:r>
        <w:rPr>
          <w:rFonts w:hint="eastAsia"/>
          <w:lang w:val="en-US" w:eastAsia="zh-CN"/>
        </w:rPr>
        <w:t>4</w:t>
      </w:r>
      <w:r>
        <w:rPr>
          <w:rFonts w:hint="eastAsia"/>
        </w:rPr>
        <w:t>年第</w:t>
      </w:r>
      <w:r>
        <w:rPr>
          <w:rFonts w:hint="eastAsia"/>
          <w:lang w:val="en-US" w:eastAsia="zh-CN"/>
        </w:rPr>
        <w:t>一</w:t>
      </w:r>
      <w:r>
        <w:rPr>
          <w:rFonts w:hint="eastAsia"/>
        </w:rPr>
        <w:t>季度完成标准初稿；2024年第</w:t>
      </w:r>
      <w:r>
        <w:rPr>
          <w:rFonts w:hint="eastAsia"/>
          <w:lang w:val="en-US" w:eastAsia="zh-CN"/>
        </w:rPr>
        <w:t>二</w:t>
      </w:r>
      <w:r>
        <w:rPr>
          <w:rFonts w:hint="eastAsia"/>
        </w:rPr>
        <w:t>季度完成标准修改稿，形成标准征求意见稿；2024年第</w:t>
      </w:r>
      <w:r>
        <w:rPr>
          <w:rFonts w:hint="eastAsia"/>
          <w:lang w:val="en-US" w:eastAsia="zh-CN"/>
        </w:rPr>
        <w:t>三和四</w:t>
      </w:r>
      <w:r>
        <w:rPr>
          <w:rFonts w:hint="eastAsia"/>
        </w:rPr>
        <w:t>季度完成标准意见征求与标准送审；202</w:t>
      </w:r>
      <w:r>
        <w:rPr>
          <w:rFonts w:hint="eastAsia"/>
          <w:lang w:val="en-US" w:eastAsia="zh-CN"/>
        </w:rPr>
        <w:t>5</w:t>
      </w:r>
      <w:r>
        <w:rPr>
          <w:rFonts w:hint="eastAsia"/>
        </w:rPr>
        <w:t>年</w:t>
      </w:r>
      <w:r>
        <w:rPr>
          <w:rFonts w:hint="eastAsia"/>
          <w:lang w:val="en-US" w:eastAsia="zh-CN"/>
        </w:rPr>
        <w:t>4月18日前</w:t>
      </w:r>
      <w:r>
        <w:rPr>
          <w:rFonts w:hint="eastAsia"/>
        </w:rPr>
        <w:t>完成标准报批与发布。实际编制进展与预期相比有所偏差，</w:t>
      </w:r>
      <w:r>
        <w:rPr>
          <w:rFonts w:hint="eastAsia"/>
          <w:lang w:val="en-US" w:eastAsia="zh-CN"/>
        </w:rPr>
        <w:t>后续加快推进标准工作，计划2025年底前完成发布。</w:t>
      </w:r>
      <w:r>
        <w:rPr>
          <w:rFonts w:hint="eastAsia"/>
        </w:rPr>
        <w:t>描述如下：</w:t>
      </w:r>
    </w:p>
    <w:p w14:paraId="4EB6E3EE">
      <w:pPr>
        <w:pStyle w:val="11"/>
        <w:numPr>
          <w:ilvl w:val="0"/>
          <w:numId w:val="2"/>
        </w:numPr>
        <w:ind w:firstLineChars="0"/>
        <w:jc w:val="both"/>
        <w:rPr>
          <w:rFonts w:cs="Times New Roman" w:asciiTheme="minorEastAsia" w:hAnsiTheme="minorEastAsia"/>
          <w:b/>
          <w:bCs/>
          <w:color w:val="000000"/>
          <w:kern w:val="0"/>
        </w:rPr>
      </w:pPr>
      <w:r>
        <w:rPr>
          <w:rFonts w:hint="eastAsia" w:cs="Times New Roman" w:asciiTheme="minorEastAsia" w:hAnsiTheme="minorEastAsia"/>
          <w:b/>
          <w:bCs/>
          <w:color w:val="000000"/>
          <w:kern w:val="0"/>
        </w:rPr>
        <w:t>标准起草阶段</w:t>
      </w:r>
    </w:p>
    <w:p w14:paraId="14AE2B80">
      <w:pPr>
        <w:ind w:firstLine="420"/>
        <w:jc w:val="both"/>
        <w:rPr>
          <w:rFonts w:ascii="宋体" w:hAnsi="宋体" w:eastAsia="宋体" w:cstheme="minorBidi"/>
          <w:kern w:val="2"/>
          <w:sz w:val="24"/>
          <w:szCs w:val="24"/>
          <w:lang w:bidi="ar"/>
        </w:rPr>
      </w:pPr>
      <w:r>
        <w:rPr>
          <w:rFonts w:hint="eastAsia" w:ascii="宋体" w:hAnsi="宋体" w:eastAsia="宋体" w:cstheme="minorBidi"/>
          <w:kern w:val="2"/>
          <w:sz w:val="24"/>
          <w:szCs w:val="24"/>
          <w:lang w:bidi="ar"/>
        </w:rPr>
        <w:t>在标准起草阶段，信专委组织开展了大量的前期准备工作，包括：</w:t>
      </w:r>
    </w:p>
    <w:p w14:paraId="33750B82">
      <w:pPr>
        <w:ind w:firstLine="420"/>
        <w:jc w:val="both"/>
        <w:rPr>
          <w:rFonts w:hint="eastAsia" w:cstheme="minorBidi"/>
          <w:kern w:val="2"/>
          <w:sz w:val="24"/>
          <w:szCs w:val="24"/>
          <w:lang w:val="en-US" w:eastAsia="zh-CN" w:bidi="ar"/>
        </w:rPr>
      </w:pPr>
      <w:r>
        <w:rPr>
          <w:rFonts w:ascii="宋体" w:hAnsi="宋体" w:eastAsia="宋体" w:cstheme="minorBidi"/>
          <w:kern w:val="2"/>
          <w:sz w:val="24"/>
          <w:szCs w:val="24"/>
          <w:lang w:bidi="ar"/>
        </w:rPr>
        <w:t>20</w:t>
      </w:r>
      <w:r>
        <w:rPr>
          <w:rFonts w:hint="eastAsia" w:cstheme="minorBidi"/>
          <w:kern w:val="2"/>
          <w:sz w:val="24"/>
          <w:szCs w:val="24"/>
          <w:lang w:eastAsia="zh-CN" w:bidi="ar"/>
        </w:rPr>
        <w:t>1</w:t>
      </w:r>
      <w:r>
        <w:rPr>
          <w:rFonts w:hint="eastAsia" w:cstheme="minorBidi"/>
          <w:kern w:val="2"/>
          <w:sz w:val="24"/>
          <w:szCs w:val="24"/>
          <w:lang w:val="en-US" w:eastAsia="zh-CN" w:bidi="ar"/>
        </w:rPr>
        <w:t>8</w:t>
      </w:r>
      <w:r>
        <w:rPr>
          <w:rFonts w:hint="eastAsia" w:ascii="宋体" w:hAnsi="宋体" w:eastAsia="宋体" w:cstheme="minorBidi"/>
          <w:kern w:val="2"/>
          <w:sz w:val="24"/>
          <w:szCs w:val="24"/>
          <w:lang w:bidi="ar"/>
        </w:rPr>
        <w:t>年</w:t>
      </w:r>
      <w:r>
        <w:rPr>
          <w:rFonts w:hint="eastAsia" w:cstheme="minorBidi"/>
          <w:kern w:val="2"/>
          <w:sz w:val="24"/>
          <w:szCs w:val="24"/>
          <w:lang w:val="en-US" w:eastAsia="zh-CN" w:bidi="ar"/>
        </w:rPr>
        <w:t>-2022年，每年度组织策划核能行业知识管理交流会与培训，聚集行业知识管理问题与知识管理良好实践及知识管理相关技术发展讨论与分享，促进行业知识管理思想的发展，行业人员认识到基于知识管理与数字化一体化等进行了大量探索和实践，在国际与国家标准实践应用上，需要建立行业相关的知识管理技术规范。</w:t>
      </w:r>
    </w:p>
    <w:p w14:paraId="1ACD1C7E">
      <w:pPr>
        <w:ind w:firstLine="420"/>
        <w:jc w:val="both"/>
        <w:rPr>
          <w:rFonts w:hint="eastAsia" w:ascii="宋体" w:eastAsia="宋体"/>
          <w:sz w:val="24"/>
          <w:szCs w:val="24"/>
        </w:rPr>
      </w:pPr>
      <w:r>
        <w:rPr>
          <w:rFonts w:ascii="宋体" w:eastAsia="宋体"/>
          <w:sz w:val="24"/>
          <w:szCs w:val="24"/>
        </w:rPr>
        <w:t>202</w:t>
      </w:r>
      <w:r>
        <w:rPr>
          <w:rFonts w:hint="eastAsia"/>
          <w:sz w:val="24"/>
          <w:szCs w:val="24"/>
          <w:lang w:eastAsia="zh-CN"/>
        </w:rPr>
        <w:t>3</w:t>
      </w:r>
      <w:r>
        <w:rPr>
          <w:rFonts w:ascii="宋体" w:eastAsia="宋体"/>
          <w:sz w:val="24"/>
          <w:szCs w:val="24"/>
        </w:rPr>
        <w:t>年</w:t>
      </w:r>
      <w:r>
        <w:rPr>
          <w:rFonts w:hint="eastAsia"/>
          <w:sz w:val="24"/>
          <w:szCs w:val="24"/>
          <w:lang w:eastAsia="zh-CN"/>
        </w:rPr>
        <w:t>5</w:t>
      </w:r>
      <w:r>
        <w:rPr>
          <w:rFonts w:hint="eastAsia" w:ascii="宋体" w:eastAsia="宋体"/>
          <w:sz w:val="24"/>
          <w:szCs w:val="24"/>
        </w:rPr>
        <w:t>月</w:t>
      </w:r>
      <w:r>
        <w:rPr>
          <w:rFonts w:hint="eastAsia"/>
          <w:sz w:val="24"/>
          <w:szCs w:val="24"/>
          <w:lang w:eastAsia="zh-CN"/>
        </w:rPr>
        <w:t>1</w:t>
      </w:r>
      <w:r>
        <w:rPr>
          <w:rFonts w:hint="eastAsia"/>
          <w:sz w:val="24"/>
          <w:szCs w:val="24"/>
          <w:lang w:val="en-US" w:eastAsia="zh-CN"/>
        </w:rPr>
        <w:t>7</w:t>
      </w:r>
      <w:r>
        <w:rPr>
          <w:rFonts w:hint="eastAsia" w:ascii="宋体" w:eastAsia="宋体"/>
          <w:sz w:val="24"/>
          <w:szCs w:val="24"/>
        </w:rPr>
        <w:t>日，中国核能行业协会信息化专业委员会发文</w:t>
      </w:r>
      <w:r>
        <w:rPr>
          <w:rFonts w:hint="eastAsia"/>
          <w:lang w:val="en-US" w:eastAsia="zh-CN"/>
        </w:rPr>
        <w:t>&lt;</w:t>
      </w:r>
      <w:r>
        <w:rPr>
          <w:rFonts w:hint="eastAsia"/>
        </w:rPr>
        <w:t>关于商请参加《核</w:t>
      </w:r>
      <w:r>
        <w:rPr>
          <w:rFonts w:hint="eastAsia"/>
          <w:lang w:val="en-US" w:eastAsia="zh-CN"/>
        </w:rPr>
        <w:t>能行业知识管理</w:t>
      </w:r>
      <w:r>
        <w:rPr>
          <w:rFonts w:hint="eastAsia"/>
        </w:rPr>
        <w:t>》标准编制工作的函</w:t>
      </w:r>
      <w:r>
        <w:rPr>
          <w:rFonts w:hint="eastAsia"/>
          <w:lang w:val="en-US" w:eastAsia="zh-CN"/>
        </w:rPr>
        <w:t>&gt;</w:t>
      </w:r>
      <w:r>
        <w:rPr>
          <w:rFonts w:hint="eastAsia"/>
        </w:rPr>
        <w:t>（核协信</w:t>
      </w:r>
      <w:r>
        <w:rPr>
          <w:rFonts w:hint="eastAsia"/>
          <w:lang w:val="en-US" w:eastAsia="zh-CN"/>
        </w:rPr>
        <w:t>息</w:t>
      </w:r>
      <w:r>
        <w:rPr>
          <w:rFonts w:hint="eastAsia"/>
        </w:rPr>
        <w:t>函〔202</w:t>
      </w:r>
      <w:r>
        <w:rPr>
          <w:rFonts w:hint="eastAsia"/>
          <w:lang w:val="en-US" w:eastAsia="zh-CN"/>
        </w:rPr>
        <w:t>3</w:t>
      </w:r>
      <w:r>
        <w:rPr>
          <w:rFonts w:hint="eastAsia"/>
        </w:rPr>
        <w:t>〕</w:t>
      </w:r>
      <w:r>
        <w:rPr>
          <w:rFonts w:hint="eastAsia"/>
          <w:lang w:val="en-US" w:eastAsia="zh-CN"/>
        </w:rPr>
        <w:t>19</w:t>
      </w:r>
      <w:r>
        <w:rPr>
          <w:rFonts w:hint="eastAsia"/>
        </w:rPr>
        <w:t>号）</w:t>
      </w:r>
      <w:r>
        <w:rPr>
          <w:rFonts w:ascii="宋体" w:eastAsia="宋体"/>
          <w:sz w:val="24"/>
          <w:szCs w:val="24"/>
        </w:rPr>
        <w:t>，面向行业内外征集标准参编单位。</w:t>
      </w:r>
      <w:r>
        <w:rPr>
          <w:rFonts w:hint="eastAsia" w:ascii="宋体" w:eastAsia="宋体"/>
          <w:sz w:val="24"/>
          <w:szCs w:val="24"/>
        </w:rPr>
        <w:t>根据各单位参编确认函确定标准编写组。</w:t>
      </w:r>
    </w:p>
    <w:p w14:paraId="78CBAB42">
      <w:pPr>
        <w:ind w:firstLine="420"/>
        <w:jc w:val="both"/>
        <w:rPr>
          <w:rFonts w:hint="default" w:ascii="宋体" w:eastAsia="宋体"/>
          <w:sz w:val="24"/>
          <w:szCs w:val="24"/>
        </w:rPr>
      </w:pPr>
      <w:r>
        <w:rPr>
          <w:rFonts w:hint="eastAsia"/>
          <w:sz w:val="24"/>
          <w:szCs w:val="24"/>
          <w:lang w:val="en-US" w:eastAsia="zh-CN"/>
        </w:rPr>
        <w:t>2023年7月13日，</w:t>
      </w:r>
      <w:r>
        <w:rPr>
          <w:rFonts w:hint="eastAsia" w:ascii="宋体" w:eastAsia="宋体"/>
          <w:sz w:val="24"/>
          <w:szCs w:val="24"/>
        </w:rPr>
        <w:t>中国核能行业协会信息化专业委员会</w:t>
      </w:r>
      <w:r>
        <w:rPr>
          <w:rFonts w:hint="eastAsia"/>
          <w:sz w:val="24"/>
          <w:szCs w:val="24"/>
          <w:lang w:val="en-US" w:eastAsia="zh-CN"/>
        </w:rPr>
        <w:t>组织召开核能企业知识管理研讨会，汇报与交流核能行业知识管理标准编制工作，统一知识管理标准结构与工作开展思路。</w:t>
      </w:r>
    </w:p>
    <w:p w14:paraId="6FF7BB17">
      <w:pPr>
        <w:ind w:firstLine="480" w:firstLineChars="200"/>
        <w:rPr>
          <w:rFonts w:hint="eastAsia"/>
          <w:lang w:bidi="ar"/>
        </w:rPr>
      </w:pPr>
      <w:r>
        <w:rPr>
          <w:rFonts w:hint="eastAsia"/>
          <w:lang w:bidi="ar"/>
        </w:rPr>
        <w:t>202</w:t>
      </w:r>
      <w:r>
        <w:rPr>
          <w:rFonts w:hint="eastAsia"/>
          <w:lang w:val="en-US" w:eastAsia="zh-CN" w:bidi="ar"/>
        </w:rPr>
        <w:t>4</w:t>
      </w:r>
      <w:r>
        <w:rPr>
          <w:rFonts w:hint="eastAsia"/>
          <w:lang w:bidi="ar"/>
        </w:rPr>
        <w:t>年</w:t>
      </w:r>
      <w:r>
        <w:rPr>
          <w:rFonts w:hint="eastAsia"/>
          <w:lang w:val="en-US" w:eastAsia="zh-CN" w:bidi="ar"/>
        </w:rPr>
        <w:t>3</w:t>
      </w:r>
      <w:r>
        <w:rPr>
          <w:rFonts w:hint="eastAsia"/>
          <w:lang w:bidi="ar"/>
        </w:rPr>
        <w:t>月</w:t>
      </w:r>
      <w:r>
        <w:rPr>
          <w:rFonts w:hint="eastAsia"/>
          <w:lang w:val="en-US" w:eastAsia="zh-CN" w:bidi="ar"/>
        </w:rPr>
        <w:t>22</w:t>
      </w:r>
      <w:r>
        <w:rPr>
          <w:rFonts w:hint="eastAsia"/>
          <w:lang w:bidi="ar"/>
        </w:rPr>
        <w:t>日，协会团标办公室召开</w:t>
      </w:r>
      <w:r>
        <w:rPr>
          <w:rFonts w:hint="eastAsia"/>
        </w:rPr>
        <w:t>《</w:t>
      </w:r>
      <w:r>
        <w:rPr>
          <w:rFonts w:hint="eastAsia"/>
          <w:lang w:val="en-US" w:eastAsia="zh-CN"/>
        </w:rPr>
        <w:t>核电行业知识管理第1部分：导则</w:t>
      </w:r>
      <w:r>
        <w:rPr>
          <w:rFonts w:hint="eastAsia"/>
        </w:rPr>
        <w:t>》</w:t>
      </w:r>
      <w:r>
        <w:rPr>
          <w:rFonts w:hint="eastAsia"/>
          <w:lang w:val="en-US" w:eastAsia="zh-CN"/>
        </w:rPr>
        <w:t>等3项核协团标立项评审会</w:t>
      </w:r>
      <w:r>
        <w:rPr>
          <w:rFonts w:hint="eastAsia"/>
          <w:lang w:bidi="ar"/>
        </w:rPr>
        <w:t>，会议通过该标准立项。</w:t>
      </w:r>
    </w:p>
    <w:p w14:paraId="71CE2A89">
      <w:pPr>
        <w:ind w:firstLine="480" w:firstLineChars="200"/>
        <w:rPr>
          <w:rFonts w:hint="default" w:eastAsia="宋体"/>
          <w:lang w:val="en-US" w:eastAsia="zh-CN" w:bidi="ar"/>
        </w:rPr>
      </w:pPr>
      <w:r>
        <w:rPr>
          <w:rFonts w:hint="eastAsia"/>
          <w:lang w:val="en-US" w:eastAsia="zh-CN" w:bidi="ar"/>
        </w:rPr>
        <w:t>2024年4-8月，标准编制工作组根据立项评审会专家意见对标准内容进行修改与完善，标准组内讨论确认。</w:t>
      </w:r>
    </w:p>
    <w:p w14:paraId="3F21A694">
      <w:pPr>
        <w:ind w:firstLine="480" w:firstLineChars="200"/>
        <w:rPr>
          <w:lang w:bidi="ar"/>
        </w:rPr>
      </w:pPr>
      <w:r>
        <w:rPr>
          <w:rFonts w:hint="eastAsia"/>
          <w:lang w:bidi="ar"/>
        </w:rPr>
        <w:t>202</w:t>
      </w:r>
      <w:r>
        <w:rPr>
          <w:rFonts w:hint="eastAsia"/>
          <w:lang w:val="en-US" w:eastAsia="zh-CN" w:bidi="ar"/>
        </w:rPr>
        <w:t>4</w:t>
      </w:r>
      <w:r>
        <w:rPr>
          <w:rFonts w:hint="eastAsia"/>
          <w:lang w:bidi="ar"/>
        </w:rPr>
        <w:t>年</w:t>
      </w:r>
      <w:r>
        <w:rPr>
          <w:rFonts w:hint="eastAsia"/>
          <w:lang w:val="en-US" w:eastAsia="zh-CN" w:bidi="ar"/>
        </w:rPr>
        <w:t>9</w:t>
      </w:r>
      <w:r>
        <w:rPr>
          <w:rFonts w:hint="eastAsia"/>
          <w:lang w:bidi="ar"/>
        </w:rPr>
        <w:t>月</w:t>
      </w:r>
      <w:r>
        <w:rPr>
          <w:rFonts w:hint="eastAsia"/>
          <w:lang w:val="en-US" w:eastAsia="zh-CN" w:bidi="ar"/>
        </w:rPr>
        <w:t>26</w:t>
      </w:r>
      <w:r>
        <w:rPr>
          <w:rFonts w:hint="eastAsia"/>
          <w:lang w:bidi="ar"/>
        </w:rPr>
        <w:t>日，</w:t>
      </w:r>
      <w:r>
        <w:rPr>
          <w:rFonts w:hint="eastAsia"/>
          <w:lang w:val="en-US" w:eastAsia="zh-CN" w:bidi="ar"/>
        </w:rPr>
        <w:t>协会信专委</w:t>
      </w:r>
      <w:r>
        <w:rPr>
          <w:rFonts w:hint="eastAsia"/>
          <w:lang w:bidi="ar"/>
        </w:rPr>
        <w:t>召开</w:t>
      </w:r>
      <w:r>
        <w:rPr>
          <w:rFonts w:hint="eastAsia" w:ascii="宋体" w:hAnsi="宋体" w:eastAsia="宋体"/>
          <w:lang w:val="en-US" w:eastAsia="zh-CN"/>
        </w:rPr>
        <w:t>《核电行业知识管理》团体标准工作组第一次会议</w:t>
      </w:r>
      <w:r>
        <w:rPr>
          <w:rFonts w:hint="eastAsia"/>
          <w:lang w:bidi="ar"/>
        </w:rPr>
        <w:t>，</w:t>
      </w:r>
      <w:r>
        <w:rPr>
          <w:rFonts w:hint="eastAsia"/>
          <w:lang w:val="en-US" w:eastAsia="zh-CN" w:bidi="ar"/>
        </w:rPr>
        <w:t>会议上标准主编单位汇报标准修改情况，结合其他两个标准修改情况，协同联动讨论标准中的问题与修改意见</w:t>
      </w:r>
      <w:r>
        <w:rPr>
          <w:rFonts w:hint="eastAsia"/>
          <w:lang w:bidi="ar"/>
        </w:rPr>
        <w:t>。会上提出标准编制过程中需要考虑技术先进性、应用需求</w:t>
      </w:r>
      <w:r>
        <w:rPr>
          <w:rFonts w:hint="eastAsia"/>
          <w:lang w:eastAsia="zh-CN" w:bidi="ar"/>
        </w:rPr>
        <w:t>，</w:t>
      </w:r>
      <w:r>
        <w:rPr>
          <w:rFonts w:hint="eastAsia"/>
          <w:lang w:val="en-US" w:eastAsia="zh-CN" w:bidi="ar"/>
        </w:rPr>
        <w:t>突出核行业特色，强调知识管理与核安全、绩效价值的联系等</w:t>
      </w:r>
      <w:r>
        <w:rPr>
          <w:rFonts w:hint="eastAsia"/>
          <w:lang w:bidi="ar"/>
        </w:rPr>
        <w:t>；考虑系列标准之间技术术语的一致性，各标准均用到的术语，尽可能集中到标准第一部分。注意标准内容之间的相互衔接，各有侧重。</w:t>
      </w:r>
    </w:p>
    <w:p w14:paraId="1E603214">
      <w:pPr>
        <w:ind w:firstLine="480" w:firstLineChars="200"/>
        <w:rPr>
          <w:lang w:bidi="ar"/>
        </w:rPr>
      </w:pPr>
      <w:r>
        <w:rPr>
          <w:rFonts w:hint="eastAsia"/>
          <w:lang w:bidi="ar"/>
        </w:rPr>
        <w:t>2024年</w:t>
      </w:r>
      <w:r>
        <w:rPr>
          <w:rFonts w:hint="eastAsia"/>
          <w:lang w:val="en-US" w:eastAsia="zh-CN" w:bidi="ar"/>
        </w:rPr>
        <w:t>10</w:t>
      </w:r>
      <w:r>
        <w:rPr>
          <w:rFonts w:hint="eastAsia"/>
          <w:lang w:bidi="ar"/>
        </w:rPr>
        <w:t>月</w:t>
      </w:r>
      <w:r>
        <w:rPr>
          <w:rFonts w:hint="eastAsia"/>
          <w:lang w:val="en-US" w:eastAsia="zh-CN" w:bidi="ar"/>
        </w:rPr>
        <w:t>-2025年2月</w:t>
      </w:r>
      <w:r>
        <w:rPr>
          <w:rFonts w:hint="eastAsia"/>
          <w:lang w:bidi="ar"/>
        </w:rPr>
        <w:t>，</w:t>
      </w:r>
      <w:r>
        <w:rPr>
          <w:rFonts w:hint="eastAsia"/>
          <w:lang w:val="en-US" w:eastAsia="zh-CN" w:bidi="ar"/>
        </w:rPr>
        <w:t>标准编制工作组根据工作组会议的意见对标准内容进行修改与完善，标准组内讨论确认，</w:t>
      </w:r>
      <w:r>
        <w:rPr>
          <w:rFonts w:hint="eastAsia"/>
          <w:lang w:bidi="ar"/>
        </w:rPr>
        <w:t>形成标准行业征求意见稿。</w:t>
      </w:r>
    </w:p>
    <w:p w14:paraId="245D3653">
      <w:pPr>
        <w:pStyle w:val="11"/>
        <w:numPr>
          <w:ilvl w:val="0"/>
          <w:numId w:val="2"/>
        </w:numPr>
        <w:ind w:firstLineChars="0"/>
        <w:jc w:val="both"/>
        <w:rPr>
          <w:b/>
          <w:bCs/>
        </w:rPr>
      </w:pPr>
      <w:r>
        <w:rPr>
          <w:rFonts w:hint="eastAsia" w:cs="Times New Roman" w:asciiTheme="minorEastAsia" w:hAnsiTheme="minorEastAsia"/>
          <w:b/>
          <w:bCs/>
          <w:color w:val="000000"/>
          <w:kern w:val="0"/>
        </w:rPr>
        <w:t>征求意见阶段</w:t>
      </w:r>
    </w:p>
    <w:p w14:paraId="7CFFE783">
      <w:pPr>
        <w:pStyle w:val="11"/>
        <w:numPr>
          <w:ilvl w:val="255"/>
          <w:numId w:val="0"/>
        </w:numPr>
        <w:ind w:left="420"/>
        <w:jc w:val="both"/>
        <w:rPr>
          <w:lang w:bidi="ar"/>
        </w:rPr>
      </w:pPr>
      <w:r>
        <w:rPr>
          <w:rFonts w:hint="eastAsia"/>
          <w:lang w:bidi="ar"/>
        </w:rPr>
        <w:t>后续补充。</w:t>
      </w:r>
    </w:p>
    <w:p w14:paraId="7525D62C">
      <w:pPr>
        <w:pStyle w:val="11"/>
        <w:numPr>
          <w:ilvl w:val="0"/>
          <w:numId w:val="2"/>
        </w:numPr>
        <w:ind w:firstLineChars="0"/>
        <w:jc w:val="both"/>
        <w:rPr>
          <w:b/>
          <w:bCs/>
        </w:rPr>
      </w:pPr>
      <w:r>
        <w:rPr>
          <w:rFonts w:hint="eastAsia" w:cs="Times New Roman" w:asciiTheme="minorEastAsia" w:hAnsiTheme="minorEastAsia"/>
          <w:b/>
          <w:bCs/>
          <w:color w:val="000000"/>
          <w:kern w:val="0"/>
        </w:rPr>
        <w:t>送审阶段</w:t>
      </w:r>
    </w:p>
    <w:p w14:paraId="1840AEE6">
      <w:pPr>
        <w:pStyle w:val="11"/>
        <w:numPr>
          <w:ilvl w:val="255"/>
          <w:numId w:val="0"/>
        </w:numPr>
        <w:ind w:left="420"/>
        <w:jc w:val="both"/>
        <w:rPr>
          <w:b/>
          <w:bCs/>
        </w:rPr>
      </w:pPr>
      <w:r>
        <w:rPr>
          <w:rFonts w:hint="eastAsia"/>
          <w:lang w:bidi="ar"/>
        </w:rPr>
        <w:t>后续补充。</w:t>
      </w:r>
    </w:p>
    <w:p w14:paraId="3B2B9632">
      <w:pPr>
        <w:pStyle w:val="11"/>
        <w:numPr>
          <w:ilvl w:val="0"/>
          <w:numId w:val="2"/>
        </w:numPr>
        <w:ind w:firstLineChars="0"/>
        <w:jc w:val="both"/>
        <w:rPr>
          <w:b/>
          <w:bCs/>
        </w:rPr>
      </w:pPr>
      <w:r>
        <w:rPr>
          <w:rFonts w:hint="eastAsia" w:cs="Times New Roman" w:asciiTheme="minorEastAsia" w:hAnsiTheme="minorEastAsia"/>
          <w:b/>
          <w:bCs/>
          <w:color w:val="000000"/>
          <w:kern w:val="0"/>
        </w:rPr>
        <w:t>标准报批阶段</w:t>
      </w:r>
    </w:p>
    <w:p w14:paraId="7B4F32AB">
      <w:pPr>
        <w:pStyle w:val="11"/>
        <w:numPr>
          <w:ilvl w:val="255"/>
          <w:numId w:val="0"/>
        </w:numPr>
        <w:ind w:left="420"/>
        <w:jc w:val="both"/>
      </w:pPr>
      <w:r>
        <w:rPr>
          <w:rFonts w:hint="eastAsia"/>
          <w:lang w:bidi="ar"/>
        </w:rPr>
        <w:t>后续补充。</w:t>
      </w:r>
    </w:p>
    <w:p w14:paraId="0E9EF7BA">
      <w:pPr>
        <w:rPr>
          <w:b/>
        </w:rPr>
      </w:pPr>
      <w:r>
        <w:rPr>
          <w:rFonts w:hint="eastAsia"/>
          <w:b/>
        </w:rPr>
        <w:t>3、</w:t>
      </w:r>
      <w:r>
        <w:rPr>
          <w:b/>
        </w:rPr>
        <w:t>主要参加单位和工作组成员及其所作的工作等</w:t>
      </w:r>
    </w:p>
    <w:p w14:paraId="687431B1">
      <w:pPr>
        <w:ind w:firstLine="420"/>
      </w:pPr>
      <w:r>
        <w:rPr>
          <w:rFonts w:hint="eastAsia"/>
        </w:rPr>
        <w:t>本文件编制的参与单位和分工如下：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660"/>
        <w:gridCol w:w="2530"/>
      </w:tblGrid>
      <w:tr w14:paraId="0C48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106" w:type="dxa"/>
            <w:vAlign w:val="center"/>
          </w:tcPr>
          <w:p w14:paraId="5822DF99">
            <w:pPr>
              <w:jc w:val="center"/>
              <w:rPr>
                <w:rFonts w:cs="Times New Roman"/>
                <w:kern w:val="0"/>
              </w:rPr>
            </w:pPr>
            <w:r>
              <w:rPr>
                <w:rFonts w:hint="eastAsia" w:cs="Times New Roman"/>
                <w:kern w:val="0"/>
              </w:rPr>
              <w:t>单位名称</w:t>
            </w:r>
          </w:p>
        </w:tc>
        <w:tc>
          <w:tcPr>
            <w:tcW w:w="1660" w:type="dxa"/>
            <w:vAlign w:val="center"/>
          </w:tcPr>
          <w:p w14:paraId="181A878B">
            <w:pPr>
              <w:jc w:val="center"/>
              <w:rPr>
                <w:rFonts w:cs="Times New Roman"/>
                <w:kern w:val="0"/>
              </w:rPr>
            </w:pPr>
            <w:r>
              <w:rPr>
                <w:rFonts w:hint="eastAsia" w:cs="Times New Roman"/>
                <w:kern w:val="0"/>
              </w:rPr>
              <w:t>编写分工</w:t>
            </w:r>
          </w:p>
        </w:tc>
        <w:tc>
          <w:tcPr>
            <w:tcW w:w="2530" w:type="dxa"/>
            <w:vAlign w:val="center"/>
          </w:tcPr>
          <w:p w14:paraId="09BE5B7B">
            <w:pPr>
              <w:jc w:val="center"/>
              <w:rPr>
                <w:rFonts w:cs="Times New Roman"/>
                <w:kern w:val="0"/>
              </w:rPr>
            </w:pPr>
            <w:r>
              <w:rPr>
                <w:rFonts w:hint="eastAsia" w:cs="Times New Roman"/>
                <w:kern w:val="0"/>
              </w:rPr>
              <w:t>主要承担工作</w:t>
            </w:r>
          </w:p>
        </w:tc>
      </w:tr>
      <w:tr w14:paraId="393D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4B1BDE0A">
            <w:pPr>
              <w:jc w:val="center"/>
              <w:rPr>
                <w:rFonts w:hint="eastAsia" w:ascii="宋体" w:hAnsi="宋体" w:eastAsia="宋体" w:cs="Times New Roman"/>
                <w:kern w:val="0"/>
              </w:rPr>
            </w:pPr>
            <w:r>
              <w:rPr>
                <w:rFonts w:hint="eastAsia"/>
              </w:rPr>
              <w:t>中核国电漳州能源有限公司</w:t>
            </w:r>
          </w:p>
        </w:tc>
        <w:tc>
          <w:tcPr>
            <w:tcW w:w="1660" w:type="dxa"/>
            <w:vAlign w:val="center"/>
          </w:tcPr>
          <w:p w14:paraId="4AE3E330">
            <w:pPr>
              <w:jc w:val="center"/>
              <w:rPr>
                <w:rFonts w:cs="Times New Roman"/>
                <w:kern w:val="0"/>
              </w:rPr>
            </w:pPr>
            <w:r>
              <w:rPr>
                <w:rFonts w:hint="eastAsia" w:cs="Times New Roman"/>
                <w:kern w:val="0"/>
                <w:lang w:val="en-US" w:eastAsia="zh-CN"/>
              </w:rPr>
              <w:t>主编</w:t>
            </w:r>
            <w:r>
              <w:rPr>
                <w:rFonts w:hint="eastAsia" w:cs="Times New Roman"/>
                <w:kern w:val="0"/>
              </w:rPr>
              <w:t>单位</w:t>
            </w:r>
          </w:p>
        </w:tc>
        <w:tc>
          <w:tcPr>
            <w:tcW w:w="2530" w:type="dxa"/>
            <w:vAlign w:val="center"/>
          </w:tcPr>
          <w:p w14:paraId="73CF98B7">
            <w:pPr>
              <w:jc w:val="center"/>
              <w:rPr>
                <w:rFonts w:hint="default" w:eastAsia="宋体" w:cs="Times New Roman"/>
                <w:kern w:val="0"/>
                <w:lang w:val="en-US" w:eastAsia="zh-CN"/>
              </w:rPr>
            </w:pPr>
            <w:r>
              <w:rPr>
                <w:rFonts w:hint="eastAsia" w:cs="Times New Roman"/>
                <w:kern w:val="0"/>
                <w:lang w:val="en-US" w:eastAsia="zh-CN"/>
              </w:rPr>
              <w:t>标准内容编写与确认</w:t>
            </w:r>
          </w:p>
        </w:tc>
      </w:tr>
      <w:tr w14:paraId="6A5E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2E465C22">
            <w:pPr>
              <w:jc w:val="center"/>
              <w:rPr>
                <w:rFonts w:hint="eastAsia" w:ascii="宋体" w:hAnsi="宋体" w:eastAsia="宋体" w:cs="Times New Roman"/>
                <w:kern w:val="0"/>
              </w:rPr>
            </w:pPr>
            <w:r>
              <w:rPr>
                <w:rFonts w:hint="eastAsia"/>
              </w:rPr>
              <w:t>福建宁德核电有限公司</w:t>
            </w:r>
          </w:p>
        </w:tc>
        <w:tc>
          <w:tcPr>
            <w:tcW w:w="1660" w:type="dxa"/>
            <w:vAlign w:val="center"/>
          </w:tcPr>
          <w:p w14:paraId="25495CC7">
            <w:pPr>
              <w:jc w:val="center"/>
              <w:rPr>
                <w:rFonts w:cs="Times New Roman"/>
                <w:kern w:val="0"/>
              </w:rPr>
            </w:pPr>
            <w:r>
              <w:rPr>
                <w:rFonts w:hint="eastAsia" w:cs="Times New Roman"/>
                <w:kern w:val="0"/>
                <w:lang w:val="en-US" w:eastAsia="zh-CN"/>
              </w:rPr>
              <w:t>副主编</w:t>
            </w:r>
            <w:r>
              <w:rPr>
                <w:rFonts w:hint="eastAsia" w:cs="Times New Roman"/>
                <w:kern w:val="0"/>
              </w:rPr>
              <w:t>单位</w:t>
            </w:r>
          </w:p>
        </w:tc>
        <w:tc>
          <w:tcPr>
            <w:tcW w:w="2530" w:type="dxa"/>
            <w:vAlign w:val="center"/>
          </w:tcPr>
          <w:p w14:paraId="3FCDD827">
            <w:pPr>
              <w:jc w:val="center"/>
              <w:rPr>
                <w:rFonts w:hint="default" w:eastAsia="宋体" w:cs="Times New Roman"/>
                <w:kern w:val="0"/>
                <w:lang w:val="en-US" w:eastAsia="zh-CN"/>
              </w:rPr>
            </w:pPr>
            <w:r>
              <w:rPr>
                <w:rFonts w:hint="eastAsia" w:cs="Times New Roman"/>
                <w:kern w:val="0"/>
                <w:lang w:val="en-US" w:eastAsia="zh-CN"/>
              </w:rPr>
              <w:t>部分标准内容编写</w:t>
            </w:r>
          </w:p>
        </w:tc>
      </w:tr>
      <w:tr w14:paraId="69F2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5D2A0CB1">
            <w:pPr>
              <w:jc w:val="center"/>
              <w:rPr>
                <w:rFonts w:hint="eastAsia" w:ascii="宋体" w:hAnsi="宋体" w:eastAsia="宋体" w:cs="Times New Roman"/>
                <w:kern w:val="0"/>
              </w:rPr>
            </w:pPr>
            <w:r>
              <w:rPr>
                <w:rFonts w:hint="eastAsia"/>
              </w:rPr>
              <w:t>海南核电有限公司</w:t>
            </w:r>
          </w:p>
        </w:tc>
        <w:tc>
          <w:tcPr>
            <w:tcW w:w="1660" w:type="dxa"/>
            <w:vAlign w:val="center"/>
          </w:tcPr>
          <w:p w14:paraId="4DAD03D0">
            <w:pPr>
              <w:jc w:val="center"/>
              <w:rPr>
                <w:rFonts w:cs="Times New Roman"/>
                <w:kern w:val="0"/>
              </w:rPr>
            </w:pPr>
            <w:r>
              <w:rPr>
                <w:rFonts w:hint="eastAsia" w:cs="Times New Roman"/>
                <w:kern w:val="0"/>
              </w:rPr>
              <w:t>副</w:t>
            </w:r>
            <w:r>
              <w:rPr>
                <w:rFonts w:hint="eastAsia" w:cs="Times New Roman"/>
                <w:kern w:val="0"/>
                <w:lang w:val="en-US" w:eastAsia="zh-CN"/>
              </w:rPr>
              <w:t>主编</w:t>
            </w:r>
            <w:r>
              <w:rPr>
                <w:rFonts w:hint="eastAsia" w:cs="Times New Roman"/>
                <w:kern w:val="0"/>
              </w:rPr>
              <w:t>单位</w:t>
            </w:r>
          </w:p>
        </w:tc>
        <w:tc>
          <w:tcPr>
            <w:tcW w:w="2530" w:type="dxa"/>
            <w:vAlign w:val="center"/>
          </w:tcPr>
          <w:p w14:paraId="10704A5E">
            <w:pPr>
              <w:jc w:val="center"/>
              <w:rPr>
                <w:rFonts w:hint="default" w:eastAsia="宋体" w:cs="Times New Roman"/>
                <w:kern w:val="0"/>
                <w:sz w:val="20"/>
                <w:szCs w:val="20"/>
                <w:lang w:val="en-US" w:eastAsia="zh-CN"/>
              </w:rPr>
            </w:pPr>
            <w:r>
              <w:rPr>
                <w:rFonts w:hint="eastAsia" w:cs="Times New Roman"/>
                <w:kern w:val="0"/>
                <w:lang w:val="en-US" w:eastAsia="zh-CN"/>
              </w:rPr>
              <w:t>标准部分内容编写</w:t>
            </w:r>
          </w:p>
        </w:tc>
      </w:tr>
      <w:tr w14:paraId="4403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3DF1B65D">
            <w:pPr>
              <w:jc w:val="center"/>
              <w:rPr>
                <w:rFonts w:hint="eastAsia" w:ascii="宋体" w:hAnsi="宋体" w:eastAsia="宋体" w:cs="Times New Roman"/>
                <w:kern w:val="0"/>
              </w:rPr>
            </w:pPr>
            <w:r>
              <w:rPr>
                <w:rFonts w:hint="eastAsia"/>
              </w:rPr>
              <w:t>中国核能电力股份有限公司</w:t>
            </w:r>
          </w:p>
        </w:tc>
        <w:tc>
          <w:tcPr>
            <w:tcW w:w="1660" w:type="dxa"/>
            <w:vAlign w:val="center"/>
          </w:tcPr>
          <w:p w14:paraId="4A131774">
            <w:pPr>
              <w:jc w:val="center"/>
              <w:rPr>
                <w:rFonts w:cs="Times New Roman"/>
                <w:kern w:val="0"/>
                <w:sz w:val="20"/>
                <w:szCs w:val="20"/>
              </w:rPr>
            </w:pPr>
            <w:r>
              <w:rPr>
                <w:rFonts w:hint="eastAsia" w:cs="Times New Roman"/>
                <w:kern w:val="0"/>
              </w:rPr>
              <w:t>副</w:t>
            </w:r>
            <w:r>
              <w:rPr>
                <w:rFonts w:hint="eastAsia" w:cs="Times New Roman"/>
                <w:kern w:val="0"/>
                <w:lang w:val="en-US" w:eastAsia="zh-CN"/>
              </w:rPr>
              <w:t>主编</w:t>
            </w:r>
            <w:r>
              <w:rPr>
                <w:rFonts w:hint="eastAsia" w:cs="Times New Roman"/>
                <w:kern w:val="0"/>
              </w:rPr>
              <w:t>单位</w:t>
            </w:r>
          </w:p>
        </w:tc>
        <w:tc>
          <w:tcPr>
            <w:tcW w:w="2530" w:type="dxa"/>
            <w:vAlign w:val="center"/>
          </w:tcPr>
          <w:p w14:paraId="6319623A">
            <w:pPr>
              <w:jc w:val="center"/>
              <w:rPr>
                <w:rFonts w:cs="Times New Roman"/>
                <w:kern w:val="0"/>
                <w:sz w:val="20"/>
                <w:szCs w:val="20"/>
              </w:rPr>
            </w:pPr>
            <w:r>
              <w:rPr>
                <w:rFonts w:hint="eastAsia" w:cs="Times New Roman"/>
                <w:kern w:val="0"/>
                <w:lang w:val="en-US" w:eastAsia="zh-CN"/>
              </w:rPr>
              <w:t>标准部分内容编写</w:t>
            </w:r>
          </w:p>
        </w:tc>
      </w:tr>
      <w:tr w14:paraId="0E9E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6B6E31CA">
            <w:pPr>
              <w:jc w:val="center"/>
              <w:rPr>
                <w:rFonts w:hint="eastAsia" w:ascii="宋体" w:hAnsi="宋体" w:eastAsia="宋体" w:cs="Times New Roman"/>
                <w:kern w:val="0"/>
              </w:rPr>
            </w:pPr>
            <w:r>
              <w:rPr>
                <w:rFonts w:hint="eastAsia"/>
              </w:rPr>
              <w:t>核电运行研究（上海）有限公司</w:t>
            </w:r>
          </w:p>
        </w:tc>
        <w:tc>
          <w:tcPr>
            <w:tcW w:w="1660" w:type="dxa"/>
            <w:vAlign w:val="center"/>
          </w:tcPr>
          <w:p w14:paraId="597DE15B">
            <w:pPr>
              <w:jc w:val="center"/>
              <w:rPr>
                <w:rFonts w:cs="Times New Roman"/>
                <w:kern w:val="0"/>
              </w:rPr>
            </w:pPr>
            <w:r>
              <w:rPr>
                <w:rFonts w:hint="eastAsia" w:cs="Times New Roman"/>
                <w:kern w:val="0"/>
                <w:lang w:val="en-US" w:eastAsia="zh-CN"/>
              </w:rPr>
              <w:t>参编</w:t>
            </w:r>
            <w:r>
              <w:rPr>
                <w:rFonts w:hint="eastAsia" w:cs="Times New Roman"/>
                <w:kern w:val="0"/>
              </w:rPr>
              <w:t>单位</w:t>
            </w:r>
          </w:p>
        </w:tc>
        <w:tc>
          <w:tcPr>
            <w:tcW w:w="2530" w:type="dxa"/>
            <w:vAlign w:val="center"/>
          </w:tcPr>
          <w:p w14:paraId="23E71331">
            <w:pPr>
              <w:jc w:val="center"/>
              <w:rPr>
                <w:rFonts w:hint="default" w:eastAsia="宋体" w:cs="Times New Roman"/>
                <w:kern w:val="0"/>
                <w:lang w:val="en-US" w:eastAsia="zh-CN"/>
              </w:rPr>
            </w:pPr>
            <w:r>
              <w:rPr>
                <w:rFonts w:hint="eastAsia" w:cs="Times New Roman"/>
                <w:kern w:val="0"/>
                <w:lang w:val="en-US" w:eastAsia="zh-CN"/>
              </w:rPr>
              <w:t>标准意见讨论</w:t>
            </w:r>
          </w:p>
        </w:tc>
      </w:tr>
      <w:tr w14:paraId="493F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17AE75D0">
            <w:pPr>
              <w:jc w:val="center"/>
              <w:rPr>
                <w:rFonts w:hint="eastAsia" w:ascii="宋体" w:hAnsi="宋体" w:eastAsia="宋体" w:cs="Times New Roman"/>
                <w:kern w:val="0"/>
              </w:rPr>
            </w:pPr>
            <w:r>
              <w:rPr>
                <w:rFonts w:hint="eastAsia"/>
              </w:rPr>
              <w:t>同方知网数字出版技术股份有限公司</w:t>
            </w:r>
          </w:p>
        </w:tc>
        <w:tc>
          <w:tcPr>
            <w:tcW w:w="1660" w:type="dxa"/>
            <w:vAlign w:val="center"/>
          </w:tcPr>
          <w:p w14:paraId="5B3B5E1C">
            <w:pPr>
              <w:jc w:val="center"/>
              <w:rPr>
                <w:rFonts w:cs="Times New Roman"/>
                <w:kern w:val="0"/>
              </w:rPr>
            </w:pPr>
            <w:r>
              <w:rPr>
                <w:rFonts w:hint="eastAsia" w:cs="Times New Roman"/>
                <w:kern w:val="0"/>
                <w:lang w:val="en-US" w:eastAsia="zh-CN"/>
              </w:rPr>
              <w:t>参编</w:t>
            </w:r>
            <w:r>
              <w:rPr>
                <w:rFonts w:hint="eastAsia" w:cs="Times New Roman"/>
                <w:kern w:val="0"/>
              </w:rPr>
              <w:t>单位</w:t>
            </w:r>
          </w:p>
        </w:tc>
        <w:tc>
          <w:tcPr>
            <w:tcW w:w="2530" w:type="dxa"/>
            <w:vAlign w:val="center"/>
          </w:tcPr>
          <w:p w14:paraId="481EB110">
            <w:pPr>
              <w:jc w:val="center"/>
              <w:rPr>
                <w:rFonts w:cs="Times New Roman"/>
                <w:kern w:val="0"/>
              </w:rPr>
            </w:pPr>
            <w:r>
              <w:rPr>
                <w:rFonts w:hint="eastAsia" w:cs="Times New Roman"/>
                <w:kern w:val="0"/>
                <w:lang w:val="en-US" w:eastAsia="zh-CN"/>
              </w:rPr>
              <w:t>标准意见讨论</w:t>
            </w:r>
          </w:p>
        </w:tc>
      </w:tr>
      <w:tr w14:paraId="0F33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59397B3D">
            <w:pPr>
              <w:jc w:val="center"/>
              <w:rPr>
                <w:rFonts w:hint="eastAsia" w:ascii="宋体" w:hAnsi="宋体" w:eastAsia="宋体" w:cs="Times New Roman"/>
                <w:kern w:val="0"/>
              </w:rPr>
            </w:pPr>
            <w:r>
              <w:rPr>
                <w:rFonts w:hint="eastAsia"/>
              </w:rPr>
              <w:t>中国核动力研究设计院</w:t>
            </w:r>
          </w:p>
        </w:tc>
        <w:tc>
          <w:tcPr>
            <w:tcW w:w="1660" w:type="dxa"/>
            <w:vAlign w:val="center"/>
          </w:tcPr>
          <w:p w14:paraId="1B310041">
            <w:pPr>
              <w:jc w:val="center"/>
              <w:rPr>
                <w:rFonts w:cs="Times New Roman"/>
                <w:kern w:val="0"/>
              </w:rPr>
            </w:pPr>
            <w:r>
              <w:rPr>
                <w:rFonts w:hint="eastAsia" w:cs="Times New Roman"/>
                <w:kern w:val="0"/>
                <w:lang w:val="en-US" w:eastAsia="zh-CN"/>
              </w:rPr>
              <w:t>参编</w:t>
            </w:r>
            <w:r>
              <w:rPr>
                <w:rFonts w:hint="eastAsia" w:cs="Times New Roman"/>
                <w:kern w:val="0"/>
              </w:rPr>
              <w:t>单位</w:t>
            </w:r>
          </w:p>
        </w:tc>
        <w:tc>
          <w:tcPr>
            <w:tcW w:w="2530" w:type="dxa"/>
            <w:vAlign w:val="center"/>
          </w:tcPr>
          <w:p w14:paraId="458CA185">
            <w:pPr>
              <w:jc w:val="center"/>
              <w:rPr>
                <w:rFonts w:cs="Times New Roman"/>
                <w:kern w:val="0"/>
              </w:rPr>
            </w:pPr>
            <w:r>
              <w:rPr>
                <w:rFonts w:hint="eastAsia" w:cs="Times New Roman"/>
                <w:kern w:val="0"/>
                <w:lang w:val="en-US" w:eastAsia="zh-CN"/>
              </w:rPr>
              <w:t>标准意见讨论</w:t>
            </w:r>
          </w:p>
        </w:tc>
      </w:tr>
      <w:tr w14:paraId="5EF9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4F184C07">
            <w:pPr>
              <w:jc w:val="center"/>
              <w:rPr>
                <w:rFonts w:hint="eastAsia" w:ascii="宋体" w:hAnsi="宋体" w:eastAsia="宋体" w:cs="Times New Roman"/>
                <w:kern w:val="0"/>
                <w:lang w:val="en-US" w:eastAsia="zh-CN"/>
              </w:rPr>
            </w:pPr>
            <w:r>
              <w:rPr>
                <w:rFonts w:hint="eastAsia"/>
              </w:rPr>
              <w:t>华能霞浦核电有限公司</w:t>
            </w:r>
          </w:p>
        </w:tc>
        <w:tc>
          <w:tcPr>
            <w:tcW w:w="1660" w:type="dxa"/>
            <w:vAlign w:val="center"/>
          </w:tcPr>
          <w:p w14:paraId="16C35A1F">
            <w:pPr>
              <w:jc w:val="center"/>
              <w:rPr>
                <w:rFonts w:hint="eastAsia" w:cs="Times New Roman"/>
                <w:kern w:val="0"/>
              </w:rPr>
            </w:pPr>
            <w:r>
              <w:rPr>
                <w:rFonts w:hint="eastAsia" w:cs="Times New Roman"/>
                <w:kern w:val="0"/>
                <w:lang w:val="en-US" w:eastAsia="zh-CN"/>
              </w:rPr>
              <w:t>参编</w:t>
            </w:r>
            <w:r>
              <w:rPr>
                <w:rFonts w:hint="eastAsia" w:cs="Times New Roman"/>
                <w:kern w:val="0"/>
              </w:rPr>
              <w:t>单位</w:t>
            </w:r>
          </w:p>
        </w:tc>
        <w:tc>
          <w:tcPr>
            <w:tcW w:w="2530" w:type="dxa"/>
            <w:vAlign w:val="center"/>
          </w:tcPr>
          <w:p w14:paraId="11078E34">
            <w:pPr>
              <w:jc w:val="center"/>
              <w:rPr>
                <w:rFonts w:hint="eastAsia" w:cs="Times New Roman"/>
                <w:kern w:val="0"/>
              </w:rPr>
            </w:pPr>
            <w:r>
              <w:rPr>
                <w:rFonts w:hint="eastAsia" w:cs="Times New Roman"/>
                <w:kern w:val="0"/>
                <w:lang w:val="en-US" w:eastAsia="zh-CN"/>
              </w:rPr>
              <w:t>标准意见讨论</w:t>
            </w:r>
          </w:p>
        </w:tc>
      </w:tr>
      <w:tr w14:paraId="4628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3E9C368E">
            <w:pPr>
              <w:jc w:val="center"/>
              <w:rPr>
                <w:rFonts w:hint="eastAsia"/>
              </w:rPr>
            </w:pPr>
            <w:r>
              <w:rPr>
                <w:rFonts w:hint="eastAsia"/>
              </w:rPr>
              <w:t>中广核工程有限公司</w:t>
            </w:r>
          </w:p>
        </w:tc>
        <w:tc>
          <w:tcPr>
            <w:tcW w:w="1660" w:type="dxa"/>
            <w:shd w:val="clear" w:color="auto" w:fill="auto"/>
            <w:vAlign w:val="center"/>
          </w:tcPr>
          <w:p w14:paraId="4DA38C68">
            <w:pPr>
              <w:jc w:val="center"/>
              <w:rPr>
                <w:rFonts w:hint="eastAsia" w:ascii="宋体" w:hAnsi="宋体" w:eastAsia="宋体" w:cs="Times New Roman"/>
                <w:kern w:val="0"/>
                <w:sz w:val="24"/>
                <w:szCs w:val="24"/>
                <w:lang w:val="en-US" w:eastAsia="zh-CN" w:bidi="ar-SA"/>
              </w:rPr>
            </w:pPr>
            <w:r>
              <w:rPr>
                <w:rFonts w:hint="eastAsia" w:cs="Times New Roman"/>
                <w:kern w:val="0"/>
                <w:lang w:val="en-US" w:eastAsia="zh-CN"/>
              </w:rPr>
              <w:t>参编</w:t>
            </w:r>
            <w:r>
              <w:rPr>
                <w:rFonts w:hint="eastAsia" w:cs="Times New Roman"/>
                <w:kern w:val="0"/>
              </w:rPr>
              <w:t>单位</w:t>
            </w:r>
          </w:p>
        </w:tc>
        <w:tc>
          <w:tcPr>
            <w:tcW w:w="2530" w:type="dxa"/>
            <w:shd w:val="clear" w:color="auto" w:fill="auto"/>
            <w:vAlign w:val="center"/>
          </w:tcPr>
          <w:p w14:paraId="28EE52BB">
            <w:pPr>
              <w:jc w:val="center"/>
              <w:rPr>
                <w:rFonts w:hint="eastAsia" w:ascii="宋体" w:hAnsi="宋体" w:eastAsia="宋体" w:cs="Times New Roman"/>
                <w:kern w:val="0"/>
                <w:sz w:val="24"/>
                <w:szCs w:val="24"/>
                <w:lang w:val="en-US" w:eastAsia="zh-CN" w:bidi="ar-SA"/>
              </w:rPr>
            </w:pPr>
            <w:r>
              <w:rPr>
                <w:rFonts w:hint="eastAsia" w:cs="Times New Roman"/>
                <w:kern w:val="0"/>
                <w:lang w:val="en-US" w:eastAsia="zh-CN"/>
              </w:rPr>
              <w:t>标准意见讨论</w:t>
            </w:r>
          </w:p>
        </w:tc>
      </w:tr>
      <w:tr w14:paraId="4933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7DEF13E4">
            <w:pPr>
              <w:jc w:val="center"/>
              <w:rPr>
                <w:rFonts w:hint="eastAsia"/>
              </w:rPr>
            </w:pPr>
            <w:r>
              <w:rPr>
                <w:rFonts w:hint="eastAsia"/>
              </w:rPr>
              <w:t>上海核工程研究设计院股份有限公司</w:t>
            </w:r>
          </w:p>
        </w:tc>
        <w:tc>
          <w:tcPr>
            <w:tcW w:w="1660" w:type="dxa"/>
            <w:shd w:val="clear" w:color="auto" w:fill="auto"/>
            <w:vAlign w:val="center"/>
          </w:tcPr>
          <w:p w14:paraId="0D6266D4">
            <w:pPr>
              <w:jc w:val="center"/>
              <w:rPr>
                <w:rFonts w:hint="eastAsia" w:ascii="宋体" w:hAnsi="宋体" w:eastAsia="宋体" w:cs="Times New Roman"/>
                <w:kern w:val="0"/>
                <w:sz w:val="24"/>
                <w:szCs w:val="24"/>
                <w:lang w:val="en-US" w:eastAsia="zh-CN" w:bidi="ar-SA"/>
              </w:rPr>
            </w:pPr>
            <w:r>
              <w:rPr>
                <w:rFonts w:hint="eastAsia" w:cs="Times New Roman"/>
                <w:kern w:val="0"/>
                <w:lang w:val="en-US" w:eastAsia="zh-CN"/>
              </w:rPr>
              <w:t>参编</w:t>
            </w:r>
            <w:r>
              <w:rPr>
                <w:rFonts w:hint="eastAsia" w:cs="Times New Roman"/>
                <w:kern w:val="0"/>
              </w:rPr>
              <w:t>单位</w:t>
            </w:r>
          </w:p>
        </w:tc>
        <w:tc>
          <w:tcPr>
            <w:tcW w:w="2530" w:type="dxa"/>
            <w:shd w:val="clear" w:color="auto" w:fill="auto"/>
            <w:vAlign w:val="center"/>
          </w:tcPr>
          <w:p w14:paraId="22843C47">
            <w:pPr>
              <w:jc w:val="center"/>
              <w:rPr>
                <w:rFonts w:hint="eastAsia" w:ascii="宋体" w:hAnsi="宋体" w:eastAsia="宋体" w:cs="Times New Roman"/>
                <w:kern w:val="0"/>
                <w:sz w:val="24"/>
                <w:szCs w:val="24"/>
                <w:lang w:val="en-US" w:eastAsia="zh-CN" w:bidi="ar-SA"/>
              </w:rPr>
            </w:pPr>
            <w:r>
              <w:rPr>
                <w:rFonts w:hint="eastAsia" w:cs="Times New Roman"/>
                <w:kern w:val="0"/>
                <w:lang w:val="en-US" w:eastAsia="zh-CN"/>
              </w:rPr>
              <w:t>标准意见讨论</w:t>
            </w:r>
          </w:p>
        </w:tc>
      </w:tr>
      <w:tr w14:paraId="169D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1E05EB6F">
            <w:pPr>
              <w:jc w:val="center"/>
              <w:rPr>
                <w:rFonts w:hint="eastAsia"/>
              </w:rPr>
            </w:pPr>
            <w:r>
              <w:rPr>
                <w:rFonts w:hint="eastAsia"/>
              </w:rPr>
              <w:t>中国核能行业协会</w:t>
            </w:r>
          </w:p>
        </w:tc>
        <w:tc>
          <w:tcPr>
            <w:tcW w:w="1660" w:type="dxa"/>
            <w:shd w:val="clear" w:color="auto" w:fill="auto"/>
            <w:vAlign w:val="center"/>
          </w:tcPr>
          <w:p w14:paraId="3EDA3434">
            <w:pPr>
              <w:jc w:val="center"/>
              <w:rPr>
                <w:rFonts w:hint="eastAsia" w:ascii="宋体" w:hAnsi="宋体" w:eastAsia="宋体" w:cs="Times New Roman"/>
                <w:kern w:val="0"/>
                <w:sz w:val="24"/>
                <w:szCs w:val="24"/>
                <w:lang w:val="en-US" w:eastAsia="zh-CN" w:bidi="ar-SA"/>
              </w:rPr>
            </w:pPr>
            <w:r>
              <w:rPr>
                <w:rFonts w:hint="eastAsia" w:cs="Times New Roman"/>
                <w:kern w:val="0"/>
                <w:lang w:val="en-US" w:eastAsia="zh-CN"/>
              </w:rPr>
              <w:t>参编</w:t>
            </w:r>
            <w:r>
              <w:rPr>
                <w:rFonts w:hint="eastAsia" w:cs="Times New Roman"/>
                <w:kern w:val="0"/>
              </w:rPr>
              <w:t>单位</w:t>
            </w:r>
          </w:p>
        </w:tc>
        <w:tc>
          <w:tcPr>
            <w:tcW w:w="2530" w:type="dxa"/>
            <w:shd w:val="clear" w:color="auto" w:fill="auto"/>
            <w:vAlign w:val="center"/>
          </w:tcPr>
          <w:p w14:paraId="36F3A309">
            <w:pPr>
              <w:jc w:val="center"/>
              <w:rPr>
                <w:rFonts w:hint="eastAsia" w:ascii="宋体" w:hAnsi="宋体" w:eastAsia="宋体" w:cs="Times New Roman"/>
                <w:kern w:val="0"/>
                <w:sz w:val="24"/>
                <w:szCs w:val="24"/>
                <w:lang w:val="en-US" w:eastAsia="zh-CN" w:bidi="ar-SA"/>
              </w:rPr>
            </w:pPr>
            <w:r>
              <w:rPr>
                <w:rFonts w:hint="eastAsia" w:cs="Times New Roman"/>
                <w:kern w:val="0"/>
                <w:lang w:val="en-US" w:eastAsia="zh-CN"/>
              </w:rPr>
              <w:t>标准意见讨论</w:t>
            </w:r>
          </w:p>
        </w:tc>
      </w:tr>
    </w:tbl>
    <w:p w14:paraId="5274D646"/>
    <w:p w14:paraId="7A75E43C">
      <w:pPr>
        <w:outlineLvl w:val="0"/>
        <w:rPr>
          <w:b/>
          <w:sz w:val="28"/>
          <w:szCs w:val="28"/>
          <w:highlight w:val="none"/>
        </w:rPr>
      </w:pPr>
      <w:r>
        <w:rPr>
          <w:rFonts w:hint="eastAsia"/>
          <w:b/>
          <w:sz w:val="28"/>
          <w:szCs w:val="28"/>
          <w:highlight w:val="none"/>
        </w:rPr>
        <w:t>二、标准编制原则和主要内容</w:t>
      </w:r>
    </w:p>
    <w:p w14:paraId="375CFAE8">
      <w:pPr>
        <w:numPr>
          <w:ilvl w:val="0"/>
          <w:numId w:val="3"/>
        </w:numPr>
        <w:rPr>
          <w:b/>
        </w:rPr>
      </w:pPr>
      <w:r>
        <w:rPr>
          <w:rFonts w:hint="eastAsia"/>
          <w:b/>
        </w:rPr>
        <w:t>标准编制原则</w:t>
      </w:r>
    </w:p>
    <w:p w14:paraId="6D5FF711">
      <w:pPr>
        <w:ind w:firstLine="480" w:firstLineChars="200"/>
      </w:pPr>
      <w:r>
        <w:rPr>
          <w:rFonts w:hint="eastAsia"/>
          <w:color w:val="000000" w:themeColor="text1"/>
          <w14:textFill>
            <w14:solidFill>
              <w14:schemeClr w14:val="tx1"/>
            </w14:solidFill>
          </w14:textFill>
        </w:rPr>
        <w:t>本标准的编制旨在指导核电企业开展知识管理工作。本标准本着公正性、科学性、实用性的原则编制</w:t>
      </w:r>
      <w:r>
        <w:rPr>
          <w:rFonts w:hint="eastAsia"/>
        </w:rPr>
        <w:t>。</w:t>
      </w:r>
    </w:p>
    <w:p w14:paraId="790D154F">
      <w:pPr>
        <w:pStyle w:val="11"/>
        <w:numPr>
          <w:ilvl w:val="0"/>
          <w:numId w:val="4"/>
        </w:numPr>
        <w:ind w:firstLineChars="0"/>
      </w:pPr>
      <w:r>
        <w:t>公正性</w:t>
      </w:r>
    </w:p>
    <w:p w14:paraId="21F3B145">
      <w:pPr>
        <w:ind w:firstLine="480" w:firstLineChars="200"/>
      </w:pPr>
      <w:r>
        <w:rPr>
          <w:color w:val="000000" w:themeColor="text1"/>
          <w14:textFill>
            <w14:solidFill>
              <w14:schemeClr w14:val="tx1"/>
            </w14:solidFill>
          </w14:textFill>
        </w:rPr>
        <w:t>本标准在实施过程中</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以掌握的事实材料为依据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尊重客观事实</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不带有主观随意性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不受外界干扰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不迁就任何单位和个人的片面要求</w:t>
      </w:r>
      <w:r>
        <w:rPr>
          <w:rFonts w:hint="eastAsia"/>
        </w:rPr>
        <w:t>。</w:t>
      </w:r>
    </w:p>
    <w:p w14:paraId="0BC5F826">
      <w:pPr>
        <w:pStyle w:val="11"/>
        <w:numPr>
          <w:ilvl w:val="0"/>
          <w:numId w:val="4"/>
        </w:numPr>
        <w:ind w:firstLineChars="0"/>
      </w:pPr>
      <w:r>
        <w:rPr>
          <w:rFonts w:hint="eastAsia"/>
        </w:rPr>
        <w:t>科学性</w:t>
      </w:r>
    </w:p>
    <w:p w14:paraId="7CEC7AFD">
      <w:pPr>
        <w:pStyle w:val="6"/>
        <w:snapToGrid w:val="0"/>
        <w:spacing w:before="0" w:beforeAutospacing="0" w:after="0" w:afterAutospacing="0" w:line="360" w:lineRule="auto"/>
        <w:ind w:firstLine="520"/>
        <w:jc w:val="both"/>
      </w:pPr>
      <w:r>
        <w:rPr>
          <w:rFonts w:hint="eastAsia"/>
          <w:color w:val="000000" w:themeColor="text1"/>
          <w14:textFill>
            <w14:solidFill>
              <w14:schemeClr w14:val="tx1"/>
            </w14:solidFill>
          </w14:textFill>
        </w:rPr>
        <w:t>本标准研究核电企业如何开展知识管理工作，通过对国内、外核电企业知识管理建设情况开展深入调研，明确知识管理策略，提高核电企业知识管理水平，助力实现高质量发展</w:t>
      </w:r>
      <w:r>
        <w:rPr>
          <w:rFonts w:hint="eastAsia"/>
        </w:rPr>
        <w:t>。</w:t>
      </w:r>
    </w:p>
    <w:p w14:paraId="6BF079A5">
      <w:pPr>
        <w:pStyle w:val="11"/>
        <w:numPr>
          <w:ilvl w:val="0"/>
          <w:numId w:val="4"/>
        </w:numPr>
        <w:ind w:firstLineChars="0"/>
      </w:pPr>
      <w:r>
        <w:t>实用性</w:t>
      </w:r>
    </w:p>
    <w:p w14:paraId="4AAEBF0F">
      <w:pPr>
        <w:ind w:firstLine="420"/>
        <w:rPr>
          <w:b/>
        </w:rPr>
      </w:pPr>
      <w:r>
        <w:rPr>
          <w:rFonts w:hint="eastAsia"/>
          <w:color w:val="000000" w:themeColor="text1"/>
          <w14:textFill>
            <w14:solidFill>
              <w14:schemeClr w14:val="tx1"/>
            </w14:solidFill>
          </w14:textFill>
        </w:rPr>
        <w:t>本标准基于科学分析方法，从目标、策略原则、模型、资源、活动、支持要素六个方面进行了阐述，为核电企业开展知识管理工作提供指导和借鉴</w:t>
      </w:r>
      <w:r>
        <w:rPr>
          <w:rFonts w:hint="eastAsia"/>
        </w:rPr>
        <w:t>。</w:t>
      </w:r>
    </w:p>
    <w:p w14:paraId="0374892F">
      <w:pPr>
        <w:numPr>
          <w:ilvl w:val="0"/>
          <w:numId w:val="3"/>
        </w:numPr>
        <w:rPr>
          <w:b/>
          <w:highlight w:val="none"/>
        </w:rPr>
      </w:pPr>
      <w:r>
        <w:rPr>
          <w:rFonts w:hint="eastAsia"/>
          <w:b/>
          <w:highlight w:val="none"/>
        </w:rPr>
        <w:t>标准主要内容的依据</w:t>
      </w:r>
    </w:p>
    <w:p w14:paraId="742332F8">
      <w:pPr>
        <w:numPr>
          <w:ilvl w:val="1"/>
          <w:numId w:val="3"/>
        </w:numPr>
        <w:rPr>
          <w:b/>
          <w:highlight w:val="none"/>
        </w:rPr>
      </w:pPr>
      <w:r>
        <w:rPr>
          <w:rFonts w:hint="eastAsia"/>
          <w:b/>
          <w:highlight w:val="none"/>
        </w:rPr>
        <w:t>概述</w:t>
      </w:r>
    </w:p>
    <w:p w14:paraId="4ABDC340">
      <w:pPr>
        <w:ind w:firstLine="480" w:firstLineChars="200"/>
        <w:rPr>
          <w:color w:val="000000" w:themeColor="text1"/>
          <w14:textFill>
            <w14:solidFill>
              <w14:schemeClr w14:val="tx1"/>
            </w14:solidFill>
          </w14:textFill>
        </w:rPr>
      </w:pPr>
      <w:bookmarkStart w:id="0" w:name="_Hlk151914248"/>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文件是T/CNEA 《核电行业知识管理》第</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部分。T/CNEA 主要包含4部分的内容：</w:t>
      </w:r>
    </w:p>
    <w:p w14:paraId="298136B0">
      <w:pPr>
        <w:pStyle w:val="12"/>
        <w:spacing w:line="360" w:lineRule="auto"/>
        <w:ind w:firstLine="480"/>
        <w:rPr>
          <w:rFonts w:hAnsi="宋体" w:cstheme="minorBidi"/>
          <w:iCs/>
          <w:color w:val="000000" w:themeColor="text1"/>
          <w:kern w:val="2"/>
          <w:sz w:val="24"/>
          <w:szCs w:val="24"/>
          <w14:textFill>
            <w14:solidFill>
              <w14:schemeClr w14:val="tx1"/>
            </w14:solidFill>
          </w14:textFill>
        </w:rPr>
      </w:pPr>
      <w:r>
        <w:rPr>
          <w:rFonts w:hAnsi="宋体" w:cstheme="minorBidi"/>
          <w:iCs/>
          <w:color w:val="000000" w:themeColor="text1"/>
          <w:kern w:val="2"/>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117475</wp:posOffset>
                </wp:positionV>
                <wp:extent cx="302260" cy="0"/>
                <wp:effectExtent l="0" t="4445" r="0"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5pt;margin-top:9.25pt;height:0pt;width:23.8pt;z-index:251659264;mso-width-relative:page;mso-height-relative:page;" filled="f" stroked="t" coordsize="21600,21600" o:gfxdata="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Y991DVAAAABwEAAA8AAAAAAAAAAQAgAAAAIgAAAGRycy9kb3ducmV2LnhtbFBLAQIUABQA&#10;AAAIAIdO4kBKyJm08wEAAL0DAAAOAAAAAAAAAAEAIAAAACQBAABkcnMvZTJvRG9jLnhtbFBLBQYA&#10;AAAABgAGAFkBAACJBQAAAAA=&#10;">
                <v:fill on="f" focussize="0,0"/>
                <v:stroke color="#000000" joinstyle="round"/>
                <v:imagedata o:title=""/>
                <o:lock v:ext="edit" aspectratio="f"/>
              </v:shape>
            </w:pict>
          </mc:Fallback>
        </mc:AlternateContent>
      </w:r>
      <w:r>
        <w:rPr>
          <w:rFonts w:hint="eastAsia" w:hAnsi="宋体" w:cstheme="minorBidi"/>
          <w:iCs/>
          <w:color w:val="000000" w:themeColor="text1"/>
          <w:kern w:val="2"/>
          <w:sz w:val="24"/>
          <w:szCs w:val="24"/>
          <w14:textFill>
            <w14:solidFill>
              <w14:schemeClr w14:val="tx1"/>
            </w14:solidFill>
          </w14:textFill>
        </w:rPr>
        <w:t xml:space="preserve">     第1部分：总则；</w:t>
      </w:r>
    </w:p>
    <w:p w14:paraId="0166F35F">
      <w:pPr>
        <w:pStyle w:val="12"/>
        <w:spacing w:line="360" w:lineRule="auto"/>
        <w:ind w:firstLine="480"/>
        <w:rPr>
          <w:rFonts w:hAnsi="宋体" w:cstheme="minorBidi"/>
          <w:iCs/>
          <w:color w:val="000000" w:themeColor="text1"/>
          <w:kern w:val="2"/>
          <w:sz w:val="24"/>
          <w:szCs w:val="24"/>
          <w14:textFill>
            <w14:solidFill>
              <w14:schemeClr w14:val="tx1"/>
            </w14:solidFill>
          </w14:textFill>
        </w:rPr>
      </w:pPr>
      <w:r>
        <w:rPr>
          <w:rFonts w:hAnsi="宋体" w:cstheme="minorBidi"/>
          <w:iCs/>
          <w:color w:val="000000" w:themeColor="text1"/>
          <w:kern w:val="2"/>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278130</wp:posOffset>
                </wp:positionH>
                <wp:positionV relativeFrom="paragraph">
                  <wp:posOffset>104775</wp:posOffset>
                </wp:positionV>
                <wp:extent cx="302260" cy="0"/>
                <wp:effectExtent l="0" t="4445" r="0"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9pt;margin-top:8.25pt;height:0pt;width:23.8pt;z-index:251660288;mso-width-relative:page;mso-height-relative:page;" filled="f" stroked="t" coordsize="21600,21600" o:gfxdata="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S1VhtQAAAAHAQAADwAAAAAAAAABACAAAAAiAAAAZHJzL2Rvd25yZXYueG1sUEsBAhQAFAAA&#10;AAgAh07iQA2JCZnzAQAAvQMAAA4AAAAAAAAAAQAgAAAAIwEAAGRycy9lMm9Eb2MueG1sUEsFBgAA&#10;AAAGAAYAWQEAAIgFAAAAAA==&#10;">
                <v:fill on="f" focussize="0,0"/>
                <v:stroke color="#000000" joinstyle="round"/>
                <v:imagedata o:title=""/>
                <o:lock v:ext="edit" aspectratio="f"/>
              </v:shape>
            </w:pict>
          </mc:Fallback>
        </mc:AlternateContent>
      </w:r>
      <w:r>
        <w:rPr>
          <w:rFonts w:hint="eastAsia" w:hAnsi="宋体" w:cstheme="minorBidi"/>
          <w:iCs/>
          <w:color w:val="000000" w:themeColor="text1"/>
          <w:kern w:val="2"/>
          <w:sz w:val="24"/>
          <w:szCs w:val="24"/>
          <w14:textFill>
            <w14:solidFill>
              <w14:schemeClr w14:val="tx1"/>
            </w14:solidFill>
          </w14:textFill>
        </w:rPr>
        <w:t xml:space="preserve">     第2部分：实施；</w:t>
      </w:r>
    </w:p>
    <w:p w14:paraId="69A8F60F">
      <w:pPr>
        <w:pStyle w:val="12"/>
        <w:spacing w:line="360" w:lineRule="auto"/>
        <w:ind w:firstLine="480"/>
        <w:rPr>
          <w:rFonts w:hAnsi="宋体" w:cstheme="minorBidi"/>
          <w:iCs/>
          <w:color w:val="000000" w:themeColor="text1"/>
          <w:kern w:val="2"/>
          <w:sz w:val="24"/>
          <w:szCs w:val="24"/>
          <w14:textFill>
            <w14:solidFill>
              <w14:schemeClr w14:val="tx1"/>
            </w14:solidFill>
          </w14:textFill>
        </w:rPr>
      </w:pPr>
      <w:r>
        <w:rPr>
          <w:rFonts w:hAnsi="宋体" w:cstheme="minorBidi"/>
          <w:iCs/>
          <w:color w:val="000000" w:themeColor="text1"/>
          <w:kern w:val="2"/>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278130</wp:posOffset>
                </wp:positionH>
                <wp:positionV relativeFrom="paragraph">
                  <wp:posOffset>102235</wp:posOffset>
                </wp:positionV>
                <wp:extent cx="302260" cy="0"/>
                <wp:effectExtent l="0" t="4445" r="0" b="508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9pt;margin-top:8.05pt;height:0pt;width:23.8pt;z-index:251661312;mso-width-relative:page;mso-height-relative:page;" filled="f" stroked="t" coordsize="21600,21600" o:gfxdata="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Fzp+fUAAAABwEAAA8AAAAAAAAAAQAgAAAAIgAAAGRycy9kb3ducmV2LnhtbFBLAQIUABQA&#10;AAAIAIdO4kAwtnmC9AEAAL0DAAAOAAAAAAAAAAEAIAAAACMBAABkcnMvZTJvRG9jLnhtbFBLBQYA&#10;AAAABgAGAFkBAACJBQAAAAA=&#10;">
                <v:fill on="f" focussize="0,0"/>
                <v:stroke color="#000000" joinstyle="round"/>
                <v:imagedata o:title=""/>
                <o:lock v:ext="edit" aspectratio="f"/>
              </v:shape>
            </w:pict>
          </mc:Fallback>
        </mc:AlternateContent>
      </w:r>
      <w:r>
        <w:rPr>
          <w:rFonts w:hint="eastAsia" w:hAnsi="宋体" w:cstheme="minorBidi"/>
          <w:iCs/>
          <w:color w:val="000000" w:themeColor="text1"/>
          <w:kern w:val="2"/>
          <w:sz w:val="24"/>
          <w:szCs w:val="24"/>
          <w14:textFill>
            <w14:solidFill>
              <w14:schemeClr w14:val="tx1"/>
            </w14:solidFill>
          </w14:textFill>
        </w:rPr>
        <w:t xml:space="preserve">     第3部分：评价；</w:t>
      </w:r>
    </w:p>
    <w:p w14:paraId="22C1F3B2">
      <w:pPr>
        <w:pStyle w:val="12"/>
        <w:spacing w:line="360" w:lineRule="auto"/>
        <w:ind w:firstLine="480"/>
        <w:rPr>
          <w:rFonts w:hint="eastAsia" w:hAnsi="宋体" w:cstheme="minorBidi"/>
          <w:i/>
          <w:iCs/>
          <w:kern w:val="2"/>
          <w:sz w:val="24"/>
          <w:szCs w:val="24"/>
        </w:rPr>
      </w:pPr>
      <w:r>
        <w:rPr>
          <w:rFonts w:hAnsi="宋体" w:cstheme="minorBidi"/>
          <w:iCs/>
          <w:color w:val="000000" w:themeColor="text1"/>
          <w:kern w:val="2"/>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99695</wp:posOffset>
                </wp:positionV>
                <wp:extent cx="302260" cy="0"/>
                <wp:effectExtent l="0" t="4445" r="0" b="50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5pt;margin-top:7.85pt;height:0pt;width:23.8pt;z-index:251662336;mso-width-relative:page;mso-height-relative:page;" filled="f" stroked="t" coordsize="21600,21600" o:gfxdata="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cp3wvVAAAABwEAAA8AAAAAAAAAAQAgAAAAIgAAAGRycy9kb3ducmV2LnhtbFBLAQIUABQA&#10;AAAIAIdO4kCDCynC8wEAAL0DAAAOAAAAAAAAAAEAIAAAACQBAABkcnMvZTJvRG9jLnhtbFBLBQYA&#10;AAAABgAGAFkBAACJBQAAAAA=&#10;">
                <v:fill on="f" focussize="0,0"/>
                <v:stroke color="#000000" joinstyle="round"/>
                <v:imagedata o:title=""/>
                <o:lock v:ext="edit" aspectratio="f"/>
              </v:shape>
            </w:pict>
          </mc:Fallback>
        </mc:AlternateContent>
      </w:r>
      <w:r>
        <w:rPr>
          <w:rFonts w:hint="eastAsia" w:hAnsi="宋体" w:cstheme="minorBidi"/>
          <w:iCs/>
          <w:color w:val="000000" w:themeColor="text1"/>
          <w:kern w:val="2"/>
          <w:sz w:val="24"/>
          <w:szCs w:val="24"/>
          <w14:textFill>
            <w14:solidFill>
              <w14:schemeClr w14:val="tx1"/>
            </w14:solidFill>
          </w14:textFill>
        </w:rPr>
        <w:t xml:space="preserve">     第4部分：大模型</w:t>
      </w:r>
      <w:r>
        <w:rPr>
          <w:rFonts w:hint="eastAsia" w:hAnsi="宋体" w:cstheme="minorBidi"/>
          <w:i/>
          <w:iCs/>
          <w:kern w:val="2"/>
          <w:sz w:val="24"/>
          <w:szCs w:val="24"/>
        </w:rPr>
        <w:t>。</w:t>
      </w:r>
    </w:p>
    <w:bookmarkEnd w:id="0"/>
    <w:p w14:paraId="7F254427">
      <w:pPr>
        <w:numPr>
          <w:ilvl w:val="1"/>
          <w:numId w:val="3"/>
        </w:numPr>
        <w:rPr>
          <w:b/>
          <w:color w:val="auto"/>
          <w:highlight w:val="none"/>
        </w:rPr>
      </w:pPr>
      <w:r>
        <w:rPr>
          <w:rFonts w:hint="eastAsia"/>
          <w:b/>
          <w:color w:val="auto"/>
          <w:highlight w:val="none"/>
        </w:rPr>
        <w:t>主要技术内容说明</w:t>
      </w:r>
    </w:p>
    <w:p w14:paraId="7CFD59EC">
      <w:pPr>
        <w:numPr>
          <w:ilvl w:val="2"/>
          <w:numId w:val="3"/>
        </w:numPr>
        <w:rPr>
          <w:b/>
          <w:color w:val="auto"/>
        </w:rPr>
      </w:pPr>
      <w:r>
        <w:rPr>
          <w:rFonts w:hint="eastAsia"/>
          <w:b/>
          <w:color w:val="auto"/>
        </w:rPr>
        <w:t>第1章 范围</w:t>
      </w:r>
    </w:p>
    <w:p w14:paraId="68D035C4">
      <w:pPr>
        <w:ind w:firstLine="480" w:firstLineChars="200"/>
        <w:rPr>
          <w:rFonts w:hint="eastAsia"/>
          <w:i w:val="0"/>
          <w:iCs w:val="0"/>
          <w:color w:val="auto"/>
        </w:rPr>
      </w:pPr>
      <w:r>
        <w:rPr>
          <w:rFonts w:hint="eastAsia"/>
          <w:i w:val="0"/>
          <w:iCs w:val="0"/>
          <w:color w:val="auto"/>
        </w:rPr>
        <w:t>本文件规定了核电企业实施知识管理的实施原则、实施步骤、评估与改进。</w:t>
      </w:r>
    </w:p>
    <w:p w14:paraId="5C9F6B46">
      <w:pPr>
        <w:ind w:firstLine="480" w:firstLineChars="200"/>
        <w:rPr>
          <w:i/>
          <w:iCs/>
          <w:color w:val="auto"/>
        </w:rPr>
      </w:pPr>
      <w:r>
        <w:rPr>
          <w:rFonts w:hint="eastAsia"/>
          <w:i w:val="0"/>
          <w:iCs w:val="0"/>
          <w:color w:val="auto"/>
        </w:rPr>
        <w:t>本文件适用于指导核电行业实施知识管理。</w:t>
      </w:r>
    </w:p>
    <w:p w14:paraId="596C71EA">
      <w:pPr>
        <w:numPr>
          <w:ilvl w:val="2"/>
          <w:numId w:val="3"/>
        </w:numPr>
        <w:rPr>
          <w:b/>
          <w:color w:val="auto"/>
        </w:rPr>
      </w:pPr>
      <w:r>
        <w:rPr>
          <w:rFonts w:hint="eastAsia"/>
          <w:b/>
          <w:color w:val="auto"/>
        </w:rPr>
        <w:t>第2章 规范性引用文件</w:t>
      </w:r>
    </w:p>
    <w:p w14:paraId="5D1E7CBB">
      <w:pPr>
        <w:pStyle w:val="12"/>
        <w:spacing w:line="360" w:lineRule="auto"/>
        <w:ind w:firstLine="480"/>
        <w:rPr>
          <w:color w:val="auto"/>
        </w:rPr>
      </w:pPr>
      <w:r>
        <w:rPr>
          <w:rFonts w:hint="eastAsia" w:hAnsi="宋体" w:cstheme="minorBidi"/>
          <w:i w:val="0"/>
          <w:iCs w:val="0"/>
          <w:color w:val="auto"/>
          <w:kern w:val="2"/>
          <w:sz w:val="24"/>
          <w:szCs w:val="24"/>
        </w:rPr>
        <w:t>GB/T 23703 知识管理</w:t>
      </w:r>
    </w:p>
    <w:p w14:paraId="322A9FD0">
      <w:pPr>
        <w:numPr>
          <w:ilvl w:val="2"/>
          <w:numId w:val="3"/>
        </w:numPr>
        <w:rPr>
          <w:b/>
          <w:color w:val="auto"/>
        </w:rPr>
      </w:pPr>
      <w:r>
        <w:rPr>
          <w:rFonts w:hint="eastAsia"/>
          <w:b/>
          <w:color w:val="auto"/>
        </w:rPr>
        <w:t>第3章 术语和定义</w:t>
      </w:r>
    </w:p>
    <w:p w14:paraId="5B838336">
      <w:pPr>
        <w:ind w:firstLine="420"/>
        <w:rPr>
          <w:i w:val="0"/>
          <w:iCs w:val="0"/>
          <w:color w:val="auto"/>
        </w:rPr>
      </w:pPr>
      <w:r>
        <w:rPr>
          <w:rFonts w:hint="eastAsia"/>
          <w:i w:val="0"/>
          <w:iCs w:val="0"/>
          <w:color w:val="auto"/>
        </w:rPr>
        <w:t>GB/T 23703.2-2010界定的术语和定义适用于本文件。</w:t>
      </w:r>
    </w:p>
    <w:p w14:paraId="54AEC1C9">
      <w:pPr>
        <w:numPr>
          <w:ilvl w:val="2"/>
          <w:numId w:val="3"/>
        </w:numPr>
        <w:rPr>
          <w:b/>
          <w:color w:val="auto"/>
        </w:rPr>
      </w:pPr>
      <w:r>
        <w:rPr>
          <w:rFonts w:hint="eastAsia"/>
          <w:b/>
          <w:color w:val="auto"/>
        </w:rPr>
        <w:t>第4章 核电</w:t>
      </w:r>
      <w:r>
        <w:rPr>
          <w:rFonts w:hint="eastAsia"/>
          <w:b/>
          <w:color w:val="auto"/>
          <w:lang w:val="en-US" w:eastAsia="zh-CN"/>
        </w:rPr>
        <w:t>企业</w:t>
      </w:r>
      <w:r>
        <w:rPr>
          <w:rFonts w:hint="eastAsia"/>
          <w:b/>
          <w:color w:val="auto"/>
        </w:rPr>
        <w:t>知识管理</w:t>
      </w:r>
      <w:r>
        <w:rPr>
          <w:rFonts w:hint="eastAsia"/>
          <w:b/>
          <w:color w:val="auto"/>
          <w:lang w:val="en-US" w:eastAsia="zh-CN"/>
        </w:rPr>
        <w:t>实施原则</w:t>
      </w:r>
      <w:r>
        <w:rPr>
          <w:rFonts w:hint="eastAsia"/>
          <w:b/>
          <w:color w:val="auto"/>
        </w:rPr>
        <w:t xml:space="preserve"> </w:t>
      </w:r>
    </w:p>
    <w:p w14:paraId="2EA863F6">
      <w:pPr>
        <w:pStyle w:val="19"/>
        <w:numPr>
          <w:ilvl w:val="0"/>
          <w:numId w:val="0"/>
        </w:numPr>
        <w:spacing w:beforeLines="0" w:afterLines="0" w:line="360" w:lineRule="auto"/>
        <w:ind w:firstLine="480" w:firstLineChars="200"/>
        <w:rPr>
          <w:rFonts w:ascii="宋体" w:hAnsi="宋体" w:eastAsia="宋体" w:cstheme="minorBidi"/>
          <w:color w:val="auto"/>
          <w:kern w:val="2"/>
          <w:sz w:val="24"/>
          <w:szCs w:val="24"/>
        </w:rPr>
      </w:pPr>
      <w:r>
        <w:rPr>
          <w:rFonts w:hint="eastAsia" w:ascii="宋体" w:hAnsi="宋体" w:eastAsia="宋体" w:cstheme="minorBidi"/>
          <w:i w:val="0"/>
          <w:iCs w:val="0"/>
          <w:color w:val="auto"/>
          <w:kern w:val="2"/>
          <w:sz w:val="24"/>
          <w:szCs w:val="24"/>
        </w:rPr>
        <w:t>本章节提出了核电企业</w:t>
      </w:r>
      <w:r>
        <w:rPr>
          <w:rFonts w:hint="eastAsia" w:ascii="宋体" w:hAnsi="宋体" w:eastAsia="宋体" w:cstheme="minorBidi"/>
          <w:i w:val="0"/>
          <w:iCs w:val="0"/>
          <w:color w:val="auto"/>
          <w:kern w:val="2"/>
          <w:sz w:val="24"/>
          <w:szCs w:val="24"/>
          <w:lang w:val="en-US" w:eastAsia="zh-CN"/>
        </w:rPr>
        <w:t>实施</w:t>
      </w:r>
      <w:r>
        <w:rPr>
          <w:rFonts w:hint="eastAsia" w:ascii="宋体" w:hAnsi="宋体" w:eastAsia="宋体" w:cstheme="minorBidi"/>
          <w:i w:val="0"/>
          <w:iCs w:val="0"/>
          <w:color w:val="auto"/>
          <w:kern w:val="2"/>
          <w:sz w:val="24"/>
          <w:szCs w:val="24"/>
        </w:rPr>
        <w:t>知识管理应遵循</w:t>
      </w:r>
      <w:r>
        <w:rPr>
          <w:rFonts w:hint="eastAsia" w:ascii="宋体" w:hAnsi="宋体" w:eastAsia="宋体" w:cstheme="minorBidi"/>
          <w:i w:val="0"/>
          <w:iCs w:val="0"/>
          <w:color w:val="auto"/>
          <w:kern w:val="2"/>
          <w:sz w:val="24"/>
          <w:szCs w:val="24"/>
          <w:lang w:val="en-US" w:eastAsia="zh-CN"/>
        </w:rPr>
        <w:t>的</w:t>
      </w:r>
      <w:r>
        <w:rPr>
          <w:rFonts w:hint="eastAsia" w:ascii="宋体" w:hAnsi="宋体" w:eastAsia="宋体" w:cstheme="minorBidi"/>
          <w:i w:val="0"/>
          <w:iCs w:val="0"/>
          <w:color w:val="auto"/>
          <w:kern w:val="2"/>
          <w:sz w:val="24"/>
          <w:szCs w:val="24"/>
        </w:rPr>
        <w:t>原则</w:t>
      </w:r>
      <w:r>
        <w:rPr>
          <w:rFonts w:hint="eastAsia" w:ascii="宋体" w:hAnsi="宋体" w:eastAsia="宋体" w:cstheme="minorBidi"/>
          <w:i w:val="0"/>
          <w:iCs w:val="0"/>
          <w:color w:val="auto"/>
          <w:kern w:val="2"/>
          <w:sz w:val="24"/>
          <w:szCs w:val="24"/>
          <w:lang w:eastAsia="zh-CN"/>
        </w:rPr>
        <w:t>：</w:t>
      </w:r>
      <w:r>
        <w:rPr>
          <w:rFonts w:hint="eastAsia" w:ascii="宋体" w:hAnsi="宋体" w:eastAsia="宋体" w:cstheme="minorBidi"/>
          <w:i w:val="0"/>
          <w:iCs w:val="0"/>
          <w:color w:val="auto"/>
          <w:kern w:val="2"/>
          <w:sz w:val="24"/>
          <w:szCs w:val="24"/>
        </w:rPr>
        <w:t>领导重视，全员参与</w:t>
      </w:r>
      <w:r>
        <w:rPr>
          <w:rFonts w:hint="eastAsia" w:ascii="宋体" w:hAnsi="宋体" w:eastAsia="宋体" w:cstheme="minorBidi"/>
          <w:i w:val="0"/>
          <w:iCs w:val="0"/>
          <w:color w:val="auto"/>
          <w:kern w:val="2"/>
          <w:sz w:val="24"/>
          <w:szCs w:val="24"/>
          <w:lang w:eastAsia="zh-CN"/>
        </w:rPr>
        <w:t>；统一认识，统筹规划；创新引领，有效激励；持续改进，注意保护。</w:t>
      </w:r>
    </w:p>
    <w:p w14:paraId="4E2E1A0C">
      <w:pPr>
        <w:numPr>
          <w:ilvl w:val="2"/>
          <w:numId w:val="3"/>
        </w:numPr>
        <w:rPr>
          <w:b/>
          <w:color w:val="auto"/>
        </w:rPr>
      </w:pPr>
      <w:r>
        <w:rPr>
          <w:rFonts w:hint="eastAsia"/>
          <w:b/>
          <w:color w:val="auto"/>
        </w:rPr>
        <w:t>第5章 核电</w:t>
      </w:r>
      <w:r>
        <w:rPr>
          <w:rFonts w:hint="eastAsia"/>
          <w:b/>
          <w:color w:val="auto"/>
          <w:lang w:val="en-US" w:eastAsia="zh-CN"/>
        </w:rPr>
        <w:t>企业</w:t>
      </w:r>
      <w:r>
        <w:rPr>
          <w:rFonts w:hint="eastAsia"/>
          <w:b/>
          <w:color w:val="auto"/>
        </w:rPr>
        <w:t>知识管理</w:t>
      </w:r>
      <w:r>
        <w:rPr>
          <w:rFonts w:hint="eastAsia"/>
          <w:b/>
          <w:color w:val="auto"/>
          <w:lang w:val="en-US" w:eastAsia="zh-CN"/>
        </w:rPr>
        <w:t>实施步骤</w:t>
      </w:r>
      <w:r>
        <w:rPr>
          <w:rFonts w:hint="eastAsia"/>
          <w:b/>
          <w:color w:val="auto"/>
        </w:rPr>
        <w:t xml:space="preserve">  </w:t>
      </w:r>
    </w:p>
    <w:p w14:paraId="6531F370">
      <w:pPr>
        <w:ind w:firstLine="480"/>
        <w:rPr>
          <w:rFonts w:hint="eastAsia" w:eastAsia="宋体"/>
          <w:i w:val="0"/>
          <w:iCs w:val="0"/>
          <w:color w:val="auto"/>
          <w:lang w:eastAsia="zh-CN"/>
        </w:rPr>
      </w:pPr>
      <w:r>
        <w:rPr>
          <w:rFonts w:hint="eastAsia"/>
          <w:i w:val="0"/>
          <w:iCs w:val="0"/>
          <w:color w:val="auto"/>
        </w:rPr>
        <w:t>本章提出了核电企业实施知识管理</w:t>
      </w:r>
      <w:r>
        <w:rPr>
          <w:rFonts w:hint="eastAsia"/>
          <w:i w:val="0"/>
          <w:iCs w:val="0"/>
          <w:color w:val="auto"/>
          <w:lang w:val="en-US" w:eastAsia="zh-CN"/>
        </w:rPr>
        <w:t>的步骤</w:t>
      </w:r>
      <w:r>
        <w:rPr>
          <w:rFonts w:hint="eastAsia"/>
          <w:i w:val="0"/>
          <w:iCs w:val="0"/>
          <w:color w:val="auto"/>
          <w:lang w:eastAsia="zh-CN"/>
        </w:rPr>
        <w:t>：</w:t>
      </w:r>
      <w:r>
        <w:rPr>
          <w:rFonts w:hint="eastAsia"/>
          <w:i w:val="0"/>
          <w:iCs w:val="0"/>
          <w:color w:val="auto"/>
        </w:rPr>
        <w:t>准备阶段</w:t>
      </w:r>
      <w:r>
        <w:rPr>
          <w:rFonts w:hint="eastAsia"/>
          <w:i w:val="0"/>
          <w:iCs w:val="0"/>
          <w:color w:val="auto"/>
          <w:lang w:eastAsia="zh-CN"/>
        </w:rPr>
        <w:t>、</w:t>
      </w:r>
      <w:r>
        <w:rPr>
          <w:rFonts w:hint="eastAsia"/>
          <w:i w:val="0"/>
          <w:iCs w:val="0"/>
          <w:color w:val="auto"/>
          <w:lang w:val="en-US" w:eastAsia="zh-CN"/>
        </w:rPr>
        <w:t>实施阶段、总结阶段。</w:t>
      </w:r>
    </w:p>
    <w:p w14:paraId="54E3EBF3">
      <w:pPr>
        <w:ind w:firstLine="480"/>
        <w:rPr>
          <w:rFonts w:hint="eastAsia"/>
          <w:i w:val="0"/>
          <w:iCs w:val="0"/>
          <w:color w:val="auto"/>
          <w:lang w:eastAsia="zh-CN"/>
        </w:rPr>
      </w:pPr>
      <w:r>
        <w:rPr>
          <w:rFonts w:hint="eastAsia"/>
          <w:i w:val="0"/>
          <w:iCs w:val="0"/>
          <w:color w:val="auto"/>
        </w:rPr>
        <w:t>准备阶段</w:t>
      </w:r>
      <w:r>
        <w:rPr>
          <w:rFonts w:hint="eastAsia"/>
          <w:i w:val="0"/>
          <w:iCs w:val="0"/>
          <w:color w:val="auto"/>
          <w:lang w:eastAsia="zh-CN"/>
        </w:rPr>
        <w:t>：系统认知，明确知识管理对组织发展的意义，统一组织对知识管理的认识；需求评估，识别相关方的需求和期望、确定知识管理实施范围；实施规划，组织应根据对知识管理的系统认知和需求分析情况，并结合业务流程等多角度对组织实施知识管理进行规划。</w:t>
      </w:r>
    </w:p>
    <w:p w14:paraId="352B8BD0">
      <w:pPr>
        <w:ind w:firstLine="480"/>
        <w:rPr>
          <w:rFonts w:hint="eastAsia"/>
          <w:i w:val="0"/>
          <w:iCs w:val="0"/>
          <w:color w:val="auto"/>
          <w:lang w:val="en-US" w:eastAsia="zh-CN"/>
        </w:rPr>
      </w:pPr>
      <w:bookmarkStart w:id="1" w:name="_Toc6831"/>
      <w:bookmarkStart w:id="2" w:name="_Toc27565"/>
      <w:r>
        <w:rPr>
          <w:rFonts w:hint="eastAsia"/>
          <w:i w:val="0"/>
          <w:iCs w:val="0"/>
          <w:color w:val="auto"/>
          <w:lang w:val="en-US" w:eastAsia="zh-CN"/>
        </w:rPr>
        <w:t>实施阶段</w:t>
      </w:r>
      <w:bookmarkEnd w:id="1"/>
      <w:bookmarkEnd w:id="2"/>
      <w:r>
        <w:rPr>
          <w:rFonts w:hint="eastAsia"/>
          <w:i w:val="0"/>
          <w:iCs w:val="0"/>
          <w:color w:val="auto"/>
          <w:lang w:val="en-US" w:eastAsia="zh-CN"/>
        </w:rPr>
        <w:t>：试点，核电企业应按照实施规划选取适当的部门和流程进行知识管理实践，并从试点效果来评估知识管理规划，同时结合试点中出现的问题进行修正；推广，核电企业应通过试点不断修正知识管理规划，并将知识管理试点经验在组织内部和核电企业之间推广，以全面实现其价值；</w:t>
      </w:r>
    </w:p>
    <w:p w14:paraId="25EFB34D">
      <w:pPr>
        <w:ind w:firstLine="480"/>
        <w:rPr>
          <w:rFonts w:hint="default"/>
          <w:i w:val="0"/>
          <w:iCs w:val="0"/>
          <w:color w:val="auto"/>
          <w:lang w:val="en-US" w:eastAsia="zh-CN"/>
        </w:rPr>
      </w:pPr>
      <w:r>
        <w:rPr>
          <w:rFonts w:hint="eastAsia"/>
          <w:i w:val="0"/>
          <w:iCs w:val="0"/>
          <w:color w:val="auto"/>
          <w:lang w:val="en-US" w:eastAsia="zh-CN"/>
        </w:rPr>
        <w:t>总结阶段:知识管理制度化,核电企业应结合知识管理实施情况，建立和完善组织的知识管理体系，实现知识管理制度化；知识管理文化,核电企业应在组织范围内推行知识管理文化。</w:t>
      </w:r>
    </w:p>
    <w:p w14:paraId="17EF00AB">
      <w:pPr>
        <w:numPr>
          <w:ilvl w:val="2"/>
          <w:numId w:val="3"/>
        </w:numPr>
        <w:rPr>
          <w:b/>
          <w:color w:val="auto"/>
        </w:rPr>
      </w:pPr>
      <w:r>
        <w:rPr>
          <w:rFonts w:hint="eastAsia"/>
          <w:b/>
          <w:color w:val="auto"/>
        </w:rPr>
        <w:t xml:space="preserve">第6章 </w:t>
      </w:r>
      <w:r>
        <w:rPr>
          <w:rFonts w:hint="eastAsia"/>
          <w:b/>
          <w:color w:val="auto"/>
          <w:lang w:val="en-US" w:eastAsia="zh-CN"/>
        </w:rPr>
        <w:t>评估与改进</w:t>
      </w:r>
      <w:r>
        <w:rPr>
          <w:rFonts w:hint="eastAsia"/>
          <w:b/>
          <w:color w:val="auto"/>
        </w:rPr>
        <w:t xml:space="preserve">  </w:t>
      </w:r>
    </w:p>
    <w:p w14:paraId="4D0EB5FD">
      <w:pPr>
        <w:ind w:firstLine="480"/>
        <w:rPr>
          <w:rFonts w:hint="eastAsia"/>
          <w:i w:val="0"/>
          <w:iCs w:val="0"/>
          <w:color w:val="auto"/>
        </w:rPr>
      </w:pPr>
      <w:r>
        <w:rPr>
          <w:rFonts w:hint="eastAsia"/>
          <w:i w:val="0"/>
          <w:iCs w:val="0"/>
          <w:color w:val="auto"/>
        </w:rPr>
        <w:t>本章节明确了评估与改进是实现知识管理进入良性循环的保证。</w:t>
      </w:r>
    </w:p>
    <w:p w14:paraId="16E15DFC">
      <w:pPr>
        <w:ind w:firstLine="480"/>
        <w:rPr>
          <w:rFonts w:hint="eastAsia"/>
          <w:i w:val="0"/>
          <w:iCs w:val="0"/>
          <w:color w:val="auto"/>
          <w:lang w:eastAsia="zh-CN"/>
        </w:rPr>
      </w:pPr>
      <w:r>
        <w:rPr>
          <w:rFonts w:hint="eastAsia"/>
          <w:i w:val="0"/>
          <w:iCs w:val="0"/>
          <w:color w:val="auto"/>
        </w:rPr>
        <w:t>评估的工作重点是</w:t>
      </w:r>
      <w:r>
        <w:rPr>
          <w:rFonts w:hint="eastAsia"/>
          <w:i w:val="0"/>
          <w:iCs w:val="0"/>
          <w:color w:val="auto"/>
          <w:lang w:val="en-US" w:eastAsia="zh-CN"/>
        </w:rPr>
        <w:t>回归到</w:t>
      </w:r>
      <w:r>
        <w:rPr>
          <w:rFonts w:hint="eastAsia"/>
          <w:i w:val="0"/>
          <w:iCs w:val="0"/>
          <w:color w:val="auto"/>
        </w:rPr>
        <w:t>与</w:t>
      </w:r>
      <w:r>
        <w:rPr>
          <w:rFonts w:hint="eastAsia"/>
          <w:i w:val="0"/>
          <w:iCs w:val="0"/>
          <w:color w:val="auto"/>
          <w:lang w:val="en-US" w:eastAsia="zh-CN"/>
        </w:rPr>
        <w:t>实施规划</w:t>
      </w:r>
      <w:r>
        <w:rPr>
          <w:rFonts w:hint="eastAsia"/>
          <w:i w:val="0"/>
          <w:iCs w:val="0"/>
          <w:color w:val="auto"/>
        </w:rPr>
        <w:t>进行比较</w:t>
      </w:r>
      <w:r>
        <w:rPr>
          <w:rFonts w:hint="eastAsia"/>
          <w:i w:val="0"/>
          <w:iCs w:val="0"/>
          <w:color w:val="auto"/>
          <w:lang w:eastAsia="zh-CN"/>
        </w:rPr>
        <w:t>，</w:t>
      </w:r>
      <w:r>
        <w:rPr>
          <w:rFonts w:hint="eastAsia"/>
          <w:i w:val="0"/>
          <w:iCs w:val="0"/>
          <w:color w:val="auto"/>
        </w:rPr>
        <w:t>分析组织知识管理的效果</w:t>
      </w:r>
      <w:r>
        <w:rPr>
          <w:rFonts w:hint="eastAsia"/>
          <w:i w:val="0"/>
          <w:iCs w:val="0"/>
          <w:color w:val="auto"/>
          <w:lang w:eastAsia="zh-CN"/>
        </w:rPr>
        <w:t>，</w:t>
      </w:r>
      <w:r>
        <w:rPr>
          <w:rFonts w:hint="eastAsia"/>
          <w:i w:val="0"/>
          <w:iCs w:val="0"/>
          <w:color w:val="auto"/>
        </w:rPr>
        <w:t>找出偏差原因</w:t>
      </w:r>
      <w:r>
        <w:rPr>
          <w:rFonts w:hint="eastAsia"/>
          <w:i w:val="0"/>
          <w:iCs w:val="0"/>
          <w:color w:val="auto"/>
          <w:lang w:eastAsia="zh-CN"/>
        </w:rPr>
        <w:t>，</w:t>
      </w:r>
      <w:r>
        <w:rPr>
          <w:rFonts w:hint="eastAsia"/>
          <w:i w:val="0"/>
          <w:iCs w:val="0"/>
          <w:color w:val="auto"/>
        </w:rPr>
        <w:t>然后对</w:t>
      </w:r>
      <w:r>
        <w:rPr>
          <w:rFonts w:hint="eastAsia"/>
          <w:i w:val="0"/>
          <w:iCs w:val="0"/>
          <w:color w:val="auto"/>
          <w:lang w:val="en-US" w:eastAsia="zh-CN"/>
        </w:rPr>
        <w:t>知识管理体系</w:t>
      </w:r>
      <w:r>
        <w:rPr>
          <w:rFonts w:hint="eastAsia"/>
          <w:i w:val="0"/>
          <w:iCs w:val="0"/>
          <w:color w:val="auto"/>
        </w:rPr>
        <w:t>进行调整或者改进</w:t>
      </w:r>
      <w:r>
        <w:rPr>
          <w:rFonts w:hint="eastAsia"/>
          <w:i w:val="0"/>
          <w:iCs w:val="0"/>
          <w:color w:val="auto"/>
          <w:lang w:eastAsia="zh-CN"/>
        </w:rPr>
        <w:t>。</w:t>
      </w:r>
      <w:r>
        <w:rPr>
          <w:rFonts w:hint="eastAsia"/>
          <w:i w:val="0"/>
          <w:iCs w:val="0"/>
          <w:color w:val="auto"/>
          <w:lang w:val="en-US" w:eastAsia="zh-CN"/>
        </w:rPr>
        <w:t>核电企业</w:t>
      </w:r>
      <w:r>
        <w:rPr>
          <w:rFonts w:hint="eastAsia"/>
          <w:i w:val="0"/>
          <w:iCs w:val="0"/>
          <w:color w:val="auto"/>
        </w:rPr>
        <w:t>应</w:t>
      </w:r>
      <w:r>
        <w:rPr>
          <w:rFonts w:hint="eastAsia"/>
          <w:i w:val="0"/>
          <w:iCs w:val="0"/>
          <w:color w:val="auto"/>
          <w:lang w:val="en-US" w:eastAsia="zh-CN"/>
        </w:rPr>
        <w:t>围绕组织目标和用户需求对组织</w:t>
      </w:r>
      <w:r>
        <w:rPr>
          <w:rFonts w:hint="eastAsia"/>
          <w:i w:val="0"/>
          <w:iCs w:val="0"/>
          <w:color w:val="auto"/>
        </w:rPr>
        <w:t>知识管理体系的运行情况进行评估</w:t>
      </w:r>
      <w:r>
        <w:rPr>
          <w:rFonts w:hint="eastAsia"/>
          <w:i w:val="0"/>
          <w:iCs w:val="0"/>
          <w:color w:val="auto"/>
          <w:lang w:eastAsia="zh-CN"/>
        </w:rPr>
        <w:t>；</w:t>
      </w:r>
      <w:r>
        <w:rPr>
          <w:rFonts w:hint="eastAsia"/>
          <w:i w:val="0"/>
          <w:iCs w:val="0"/>
          <w:color w:val="auto"/>
        </w:rPr>
        <w:t>定期分析</w:t>
      </w:r>
      <w:r>
        <w:rPr>
          <w:rFonts w:hint="eastAsia"/>
          <w:i w:val="0"/>
          <w:iCs w:val="0"/>
          <w:color w:val="auto"/>
          <w:lang w:val="en-US" w:eastAsia="zh-CN"/>
        </w:rPr>
        <w:t>影响</w:t>
      </w:r>
      <w:r>
        <w:rPr>
          <w:rFonts w:hint="eastAsia"/>
          <w:i w:val="0"/>
          <w:iCs w:val="0"/>
          <w:color w:val="auto"/>
        </w:rPr>
        <w:t>知识管理体系获得预期成果能力的外部环境和内部因素</w:t>
      </w:r>
      <w:r>
        <w:rPr>
          <w:rFonts w:hint="eastAsia"/>
          <w:i w:val="0"/>
          <w:iCs w:val="0"/>
          <w:color w:val="auto"/>
          <w:lang w:eastAsia="zh-CN"/>
        </w:rPr>
        <w:t>。</w:t>
      </w:r>
    </w:p>
    <w:p w14:paraId="084D0F3F">
      <w:pPr>
        <w:ind w:firstLine="480"/>
        <w:rPr>
          <w:rFonts w:hint="eastAsia"/>
          <w:i w:val="0"/>
          <w:iCs w:val="0"/>
          <w:color w:val="auto"/>
        </w:rPr>
      </w:pPr>
      <w:r>
        <w:rPr>
          <w:rFonts w:hint="eastAsia"/>
          <w:i w:val="0"/>
          <w:iCs w:val="0"/>
          <w:color w:val="auto"/>
        </w:rPr>
        <w:t>改进是在知识管</w:t>
      </w:r>
      <w:bookmarkStart w:id="3" w:name="_GoBack"/>
      <w:bookmarkEnd w:id="3"/>
      <w:r>
        <w:rPr>
          <w:rFonts w:hint="eastAsia"/>
          <w:i w:val="0"/>
          <w:iCs w:val="0"/>
          <w:color w:val="auto"/>
        </w:rPr>
        <w:t>理体系投入应用之后，按照用户需求和环境变化,对系统运行情况及业务流程进行的日常性补充、改进和优化。当组织发生不符合项时，组织应适时对不符合项作出反应</w:t>
      </w:r>
      <w:r>
        <w:rPr>
          <w:rFonts w:hint="eastAsia"/>
          <w:i w:val="0"/>
          <w:iCs w:val="0"/>
          <w:color w:val="auto"/>
          <w:lang w:eastAsia="zh-CN"/>
        </w:rPr>
        <w:t>，</w:t>
      </w:r>
      <w:r>
        <w:rPr>
          <w:rFonts w:hint="eastAsia"/>
          <w:i w:val="0"/>
          <w:iCs w:val="0"/>
          <w:color w:val="auto"/>
        </w:rPr>
        <w:t>及时改进</w:t>
      </w:r>
      <w:r>
        <w:rPr>
          <w:rFonts w:hint="eastAsia"/>
          <w:i w:val="0"/>
          <w:iCs w:val="0"/>
          <w:color w:val="auto"/>
          <w:lang w:eastAsia="zh-CN"/>
        </w:rPr>
        <w:t>，</w:t>
      </w:r>
      <w:r>
        <w:rPr>
          <w:rFonts w:hint="eastAsia"/>
          <w:i w:val="0"/>
          <w:iCs w:val="0"/>
          <w:color w:val="auto"/>
        </w:rPr>
        <w:t>采取措施进行控制、遏制并从中吸取教训</w:t>
      </w:r>
      <w:r>
        <w:rPr>
          <w:rFonts w:hint="eastAsia"/>
          <w:i w:val="0"/>
          <w:iCs w:val="0"/>
          <w:color w:val="auto"/>
          <w:lang w:eastAsia="zh-CN"/>
        </w:rPr>
        <w:t>；</w:t>
      </w:r>
      <w:r>
        <w:rPr>
          <w:rFonts w:hint="eastAsia"/>
          <w:i w:val="0"/>
          <w:iCs w:val="0"/>
          <w:color w:val="auto"/>
        </w:rPr>
        <w:t>持续改进</w:t>
      </w:r>
      <w:r>
        <w:rPr>
          <w:rFonts w:hint="eastAsia"/>
          <w:i w:val="0"/>
          <w:iCs w:val="0"/>
          <w:color w:val="auto"/>
          <w:lang w:eastAsia="zh-CN"/>
        </w:rPr>
        <w:t>，</w:t>
      </w:r>
      <w:r>
        <w:rPr>
          <w:rFonts w:hint="eastAsia"/>
          <w:i w:val="0"/>
          <w:iCs w:val="0"/>
          <w:color w:val="auto"/>
          <w:lang w:val="en-US" w:eastAsia="zh-CN"/>
        </w:rPr>
        <w:t>核电企业应不断重复评估与改进，持续</w:t>
      </w:r>
      <w:r>
        <w:rPr>
          <w:rFonts w:hint="eastAsia"/>
          <w:i w:val="0"/>
          <w:iCs w:val="0"/>
          <w:color w:val="auto"/>
        </w:rPr>
        <w:t>改进</w:t>
      </w:r>
      <w:r>
        <w:rPr>
          <w:rFonts w:hint="eastAsia"/>
          <w:i w:val="0"/>
          <w:iCs w:val="0"/>
          <w:color w:val="auto"/>
          <w:lang w:val="en-US" w:eastAsia="zh-CN"/>
        </w:rPr>
        <w:t>组织</w:t>
      </w:r>
      <w:r>
        <w:rPr>
          <w:rFonts w:hint="eastAsia"/>
          <w:i w:val="0"/>
          <w:iCs w:val="0"/>
          <w:color w:val="auto"/>
        </w:rPr>
        <w:t>知识管理体系</w:t>
      </w:r>
      <w:r>
        <w:rPr>
          <w:rFonts w:hint="eastAsia"/>
          <w:i w:val="0"/>
          <w:iCs w:val="0"/>
          <w:color w:val="auto"/>
          <w:lang w:eastAsia="zh-CN"/>
        </w:rPr>
        <w:t>。</w:t>
      </w:r>
    </w:p>
    <w:p w14:paraId="1980F5D0">
      <w:pPr>
        <w:rPr>
          <w:b/>
          <w:highlight w:val="none"/>
        </w:rPr>
      </w:pPr>
      <w:r>
        <w:rPr>
          <w:rFonts w:hint="eastAsia"/>
          <w:b/>
          <w:highlight w:val="none"/>
        </w:rPr>
        <w:t>3、解决的主要问题</w:t>
      </w:r>
    </w:p>
    <w:p w14:paraId="06B9D2D2">
      <w:pPr>
        <w:ind w:firstLine="480" w:firstLineChars="200"/>
        <w:rPr>
          <w:rFonts w:hint="eastAsia"/>
          <w:i/>
          <w:iCs/>
        </w:rPr>
      </w:pPr>
      <w:r>
        <w:rPr>
          <w:rFonts w:hint="eastAsia"/>
          <w:color w:val="000000" w:themeColor="text1"/>
          <w14:textFill>
            <w14:solidFill>
              <w14:schemeClr w14:val="tx1"/>
            </w14:solidFill>
          </w14:textFill>
        </w:rPr>
        <w:t>目前，我国核电行业企业知识管理实施缺乏标准指南，本标准的建立有助于促进核电行业知识管理实施的规范化和标准化，指导帮助企业明确符合核电行业发展要求的知识管理实施策略，提升核电行业知识管理水平。</w:t>
      </w:r>
    </w:p>
    <w:p w14:paraId="2CE3AAC6">
      <w:pPr>
        <w:outlineLvl w:val="0"/>
        <w:rPr>
          <w:b/>
          <w:sz w:val="28"/>
          <w:szCs w:val="28"/>
          <w:highlight w:val="none"/>
        </w:rPr>
      </w:pPr>
      <w:r>
        <w:rPr>
          <w:rFonts w:hint="eastAsia"/>
          <w:b/>
          <w:sz w:val="28"/>
          <w:szCs w:val="28"/>
          <w:highlight w:val="none"/>
        </w:rPr>
        <w:t>三、主要试验（或验证）情况</w:t>
      </w:r>
    </w:p>
    <w:p w14:paraId="70B8D6F9">
      <w:pPr>
        <w:ind w:firstLine="480" w:firstLineChars="200"/>
        <w:rPr>
          <w:i w:val="0"/>
          <w:iCs w:val="0"/>
        </w:rPr>
      </w:pPr>
      <w:r>
        <w:rPr>
          <w:rFonts w:hint="eastAsia"/>
          <w:i w:val="0"/>
          <w:iCs w:val="0"/>
          <w:lang w:val="en-US" w:eastAsia="zh-CN"/>
        </w:rPr>
        <w:t>无</w:t>
      </w:r>
      <w:r>
        <w:rPr>
          <w:rFonts w:hint="eastAsia"/>
          <w:i w:val="0"/>
          <w:iCs w:val="0"/>
        </w:rPr>
        <w:t>。</w:t>
      </w:r>
    </w:p>
    <w:p w14:paraId="493BAEA4">
      <w:pPr>
        <w:outlineLvl w:val="0"/>
        <w:rPr>
          <w:b/>
          <w:sz w:val="28"/>
          <w:szCs w:val="28"/>
        </w:rPr>
      </w:pPr>
      <w:r>
        <w:rPr>
          <w:rFonts w:hint="eastAsia"/>
          <w:b/>
          <w:sz w:val="28"/>
          <w:szCs w:val="28"/>
        </w:rPr>
        <w:t>四、标准中涉及专利的情况</w:t>
      </w:r>
    </w:p>
    <w:p w14:paraId="536EA720">
      <w:pPr>
        <w:ind w:firstLine="480" w:firstLineChars="200"/>
      </w:pPr>
      <w:r>
        <w:rPr>
          <w:rFonts w:hint="eastAsia"/>
        </w:rPr>
        <w:t>本标准的某些内容可能涉及专利。本文件的发布机构不承担识别专利的责任。</w:t>
      </w:r>
    </w:p>
    <w:p w14:paraId="36C73A3F">
      <w:pPr>
        <w:outlineLvl w:val="0"/>
        <w:rPr>
          <w:b/>
          <w:sz w:val="28"/>
          <w:szCs w:val="28"/>
          <w:highlight w:val="none"/>
        </w:rPr>
      </w:pPr>
      <w:r>
        <w:rPr>
          <w:rFonts w:hint="eastAsia"/>
          <w:b/>
          <w:sz w:val="28"/>
          <w:szCs w:val="28"/>
          <w:highlight w:val="none"/>
        </w:rPr>
        <w:t>五、预期达到的社会效益、对产业发展的作用等情况</w:t>
      </w:r>
    </w:p>
    <w:p w14:paraId="028A733F">
      <w:pPr>
        <w:ind w:firstLine="480" w:firstLineChars="200"/>
        <w:outlineLvl w:val="0"/>
        <w:rPr>
          <w:rFonts w:ascii="Segoe UI" w:hAnsi="Segoe UI" w:cs="Segoe UI"/>
          <w:color w:val="000000" w:themeColor="text1"/>
          <w:shd w:val="clear" w:color="auto" w:fill="FFFFFF"/>
          <w14:textFill>
            <w14:solidFill>
              <w14:schemeClr w14:val="tx1"/>
            </w14:solidFill>
          </w14:textFill>
        </w:rPr>
      </w:pPr>
      <w:r>
        <w:rPr>
          <w:rFonts w:hint="eastAsia"/>
          <w:color w:val="000000" w:themeColor="text1"/>
          <w14:textFill>
            <w14:solidFill>
              <w14:schemeClr w14:val="tx1"/>
            </w14:solidFill>
          </w14:textFill>
        </w:rPr>
        <w:t>核电行业是技术密集和资金密集型行业，在构建现代能源安全体系、支撑经济转型升级、引领低碳发展变革及提升民生保障能力中发挥着核心枢纽作用。知识作为核电企业的战略资源，以知识的创造、积累、共享及应用为知识管理目标，旨在提升核心竞争力，推动可持续发展，培养人才，创新增效。</w:t>
      </w:r>
      <w:r>
        <w:rPr>
          <w:rFonts w:hint="eastAsia" w:ascii="Segoe UI" w:hAnsi="Segoe UI" w:cs="Segoe UI"/>
          <w:color w:val="000000" w:themeColor="text1"/>
          <w:shd w:val="clear" w:color="auto" w:fill="FFFFFF"/>
          <w14:textFill>
            <w14:solidFill>
              <w14:schemeClr w14:val="tx1"/>
            </w14:solidFill>
          </w14:textFill>
        </w:rPr>
        <w:t>同时，核电知识管理</w:t>
      </w:r>
      <w:r>
        <w:rPr>
          <w:rFonts w:ascii="Segoe UI" w:hAnsi="Segoe UI" w:cs="Segoe UI"/>
          <w:color w:val="000000" w:themeColor="text1"/>
          <w:shd w:val="clear" w:color="auto" w:fill="FFFFFF"/>
          <w14:textFill>
            <w14:solidFill>
              <w14:schemeClr w14:val="tx1"/>
            </w14:solidFill>
          </w14:textFill>
        </w:rPr>
        <w:t>将进一步激发核电行业数字化转型的活力，成为驱动核电行业创新发展的源动力，实现</w:t>
      </w:r>
      <w:r>
        <w:rPr>
          <w:rFonts w:hint="eastAsia" w:ascii="Segoe UI" w:hAnsi="Segoe UI" w:cs="Segoe UI"/>
          <w:color w:val="000000" w:themeColor="text1"/>
          <w:shd w:val="clear" w:color="auto" w:fill="FFFFFF"/>
          <w14:textFill>
            <w14:solidFill>
              <w14:schemeClr w14:val="tx1"/>
            </w14:solidFill>
          </w14:textFill>
        </w:rPr>
        <w:t>核电行业的</w:t>
      </w:r>
      <w:r>
        <w:rPr>
          <w:rFonts w:ascii="Segoe UI" w:hAnsi="Segoe UI" w:cs="Segoe UI"/>
          <w:color w:val="000000" w:themeColor="text1"/>
          <w:shd w:val="clear" w:color="auto" w:fill="FFFFFF"/>
          <w14:textFill>
            <w14:solidFill>
              <w14:schemeClr w14:val="tx1"/>
            </w14:solidFill>
          </w14:textFill>
        </w:rPr>
        <w:t>可持续发展。</w:t>
      </w:r>
    </w:p>
    <w:p w14:paraId="435F4377">
      <w:pPr>
        <w:outlineLvl w:val="0"/>
        <w:rPr>
          <w:b/>
          <w:sz w:val="28"/>
          <w:szCs w:val="28"/>
          <w:highlight w:val="none"/>
        </w:rPr>
      </w:pPr>
      <w:r>
        <w:rPr>
          <w:rFonts w:hint="eastAsia"/>
          <w:b/>
          <w:sz w:val="28"/>
          <w:szCs w:val="28"/>
          <w:highlight w:val="none"/>
        </w:rPr>
        <w:t>六、与国际、国外对比情况</w:t>
      </w:r>
    </w:p>
    <w:p w14:paraId="2BAB5DF9">
      <w:pPr>
        <w:ind w:firstLine="420"/>
        <w:rPr>
          <w:i/>
          <w:iCs/>
        </w:rPr>
      </w:pPr>
      <w:r>
        <w:rPr>
          <w:rFonts w:hint="eastAsia"/>
        </w:rPr>
        <w:t>本文件等同采用国际标准，在技术水平和内容上与国际标准一致</w:t>
      </w:r>
      <w:r>
        <w:rPr>
          <w:rFonts w:hint="eastAsia"/>
          <w:i/>
          <w:iCs/>
        </w:rPr>
        <w:t>。</w:t>
      </w:r>
    </w:p>
    <w:p w14:paraId="4896C05B">
      <w:pPr>
        <w:outlineLvl w:val="0"/>
        <w:rPr>
          <w:b/>
          <w:sz w:val="28"/>
          <w:szCs w:val="28"/>
          <w:highlight w:val="none"/>
        </w:rPr>
      </w:pPr>
      <w:r>
        <w:rPr>
          <w:rFonts w:hint="eastAsia"/>
          <w:b/>
          <w:sz w:val="28"/>
          <w:szCs w:val="28"/>
          <w:highlight w:val="none"/>
        </w:rPr>
        <w:t>七、在标准体系中的位置，与现行相关法律、法规、规章及标准，特别是强制性标准的协调性</w:t>
      </w:r>
    </w:p>
    <w:p w14:paraId="1995B1A0">
      <w:pPr>
        <w:ind w:firstLine="420"/>
        <w:rPr>
          <w:i/>
          <w:iCs/>
        </w:rPr>
      </w:pPr>
      <w:r>
        <w:rPr>
          <w:rFonts w:hint="eastAsia"/>
        </w:rPr>
        <w:t>本文件的主要技术内容符合现行有效国家标准和行业标准的相关规定，并与现行相关法律、法规、规章及相关标准协调一致</w:t>
      </w:r>
      <w:r>
        <w:rPr>
          <w:rFonts w:hint="eastAsia"/>
          <w:i/>
          <w:iCs/>
        </w:rPr>
        <w:t>。</w:t>
      </w:r>
    </w:p>
    <w:p w14:paraId="3D5F95E5">
      <w:pPr>
        <w:outlineLvl w:val="0"/>
        <w:rPr>
          <w:b/>
          <w:sz w:val="28"/>
          <w:szCs w:val="28"/>
        </w:rPr>
      </w:pPr>
      <w:r>
        <w:rPr>
          <w:rFonts w:hint="eastAsia"/>
          <w:b/>
          <w:sz w:val="28"/>
          <w:szCs w:val="28"/>
        </w:rPr>
        <w:t>八、重大分歧意见的处理经过和依据</w:t>
      </w:r>
    </w:p>
    <w:p w14:paraId="6613E5A7">
      <w:pPr>
        <w:ind w:firstLine="480" w:firstLineChars="200"/>
      </w:pPr>
      <w:r>
        <w:rPr>
          <w:rFonts w:hint="eastAsia"/>
        </w:rPr>
        <w:t>无。</w:t>
      </w:r>
    </w:p>
    <w:p w14:paraId="44940E76">
      <w:pPr>
        <w:outlineLvl w:val="0"/>
        <w:rPr>
          <w:b/>
          <w:sz w:val="28"/>
          <w:szCs w:val="28"/>
        </w:rPr>
      </w:pPr>
      <w:r>
        <w:rPr>
          <w:rFonts w:hint="eastAsia"/>
          <w:b/>
          <w:sz w:val="28"/>
          <w:szCs w:val="28"/>
        </w:rPr>
        <w:t>九、标准性质的建议说明</w:t>
      </w:r>
    </w:p>
    <w:p w14:paraId="44AE630A">
      <w:pPr>
        <w:ind w:firstLine="480" w:firstLineChars="200"/>
        <w:rPr>
          <w:i/>
        </w:rPr>
      </w:pPr>
      <w:r>
        <w:rPr>
          <w:rFonts w:hint="eastAsia"/>
        </w:rPr>
        <w:t>建议本标准的性质为团体标准。</w:t>
      </w:r>
    </w:p>
    <w:p w14:paraId="1CCED5F1">
      <w:pPr>
        <w:outlineLvl w:val="0"/>
        <w:rPr>
          <w:b/>
          <w:sz w:val="28"/>
          <w:szCs w:val="28"/>
        </w:rPr>
      </w:pPr>
      <w:r>
        <w:rPr>
          <w:rFonts w:hint="eastAsia"/>
          <w:b/>
          <w:sz w:val="28"/>
          <w:szCs w:val="28"/>
        </w:rPr>
        <w:t>十、贯彻标准的要求和措施建议</w:t>
      </w:r>
    </w:p>
    <w:p w14:paraId="7302A7F4">
      <w:pPr>
        <w:ind w:firstLine="420"/>
        <w:rPr>
          <w:i/>
        </w:rPr>
      </w:pPr>
      <w:r>
        <w:rPr>
          <w:rFonts w:hint="eastAsia"/>
        </w:rPr>
        <w:t>标准发布后，编制单位将配合中国核能行业协会组织行业召开标准宣贯会，开展培训活动，促进该标准更好的贯彻实施。</w:t>
      </w:r>
    </w:p>
    <w:p w14:paraId="65746CD8">
      <w:pPr>
        <w:outlineLvl w:val="0"/>
        <w:rPr>
          <w:b/>
          <w:sz w:val="28"/>
          <w:szCs w:val="28"/>
        </w:rPr>
      </w:pPr>
      <w:r>
        <w:rPr>
          <w:rFonts w:hint="eastAsia"/>
          <w:b/>
          <w:sz w:val="28"/>
          <w:szCs w:val="28"/>
        </w:rPr>
        <w:t>十一、废止现行相关标准的建议</w:t>
      </w:r>
    </w:p>
    <w:p w14:paraId="1A9278C9">
      <w:pPr>
        <w:ind w:firstLine="420"/>
      </w:pPr>
      <w:r>
        <w:rPr>
          <w:rFonts w:hint="eastAsia"/>
        </w:rPr>
        <w:t>不涉及。</w:t>
      </w:r>
    </w:p>
    <w:p w14:paraId="216BEB04">
      <w:pPr>
        <w:numPr>
          <w:ilvl w:val="0"/>
          <w:numId w:val="5"/>
        </w:numPr>
        <w:outlineLvl w:val="0"/>
        <w:rPr>
          <w:b/>
          <w:sz w:val="28"/>
          <w:szCs w:val="28"/>
        </w:rPr>
      </w:pPr>
      <w:r>
        <w:rPr>
          <w:rFonts w:hint="eastAsia"/>
          <w:b/>
          <w:sz w:val="28"/>
          <w:szCs w:val="28"/>
        </w:rPr>
        <w:t>其他应予说明的事项</w:t>
      </w:r>
    </w:p>
    <w:p w14:paraId="33910B5F">
      <w:pPr>
        <w:ind w:firstLine="420"/>
      </w:pPr>
      <w:r>
        <w:rPr>
          <w:rFonts w:hint="eastAsia"/>
        </w:rPr>
        <w:t>无。</w:t>
      </w:r>
    </w:p>
    <w:p w14:paraId="158ECA33">
      <w:pPr>
        <w:rPr>
          <w:i/>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0C698"/>
    <w:multiLevelType w:val="singleLevel"/>
    <w:tmpl w:val="CA30C698"/>
    <w:lvl w:ilvl="0" w:tentative="0">
      <w:start w:val="12"/>
      <w:numFmt w:val="chineseCounting"/>
      <w:suff w:val="nothing"/>
      <w:lvlText w:val="%1、"/>
      <w:lvlJc w:val="left"/>
      <w:rPr>
        <w:rFonts w:hint="eastAsia"/>
      </w:rPr>
    </w:lvl>
  </w:abstractNum>
  <w:abstractNum w:abstractNumId="1">
    <w:nsid w:val="FAF12FA8"/>
    <w:multiLevelType w:val="multilevel"/>
    <w:tmpl w:val="FAF12FA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4CF3BD2"/>
    <w:multiLevelType w:val="multilevel"/>
    <w:tmpl w:val="04CF3BD2"/>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710" w:firstLine="0"/>
      </w:pPr>
      <w:rPr>
        <w:rFonts w:hint="eastAsia" w:ascii="黑体" w:hAnsi="Times New Roman" w:eastAsia="黑体"/>
        <w:b w:val="0"/>
        <w:i w:val="0"/>
        <w:sz w:val="21"/>
      </w:rPr>
    </w:lvl>
    <w:lvl w:ilvl="3" w:tentative="0">
      <w:start w:val="1"/>
      <w:numFmt w:val="decimal"/>
      <w:pStyle w:val="22"/>
      <w:suff w:val="nothing"/>
      <w:lvlText w:val="%1.%2.%3.%4　"/>
      <w:lvlJc w:val="left"/>
      <w:pPr>
        <w:ind w:left="1135" w:firstLine="0"/>
      </w:pPr>
      <w:rPr>
        <w:rFonts w:hint="eastAsia" w:ascii="黑体" w:hAnsi="Times New Roman" w:eastAsia="黑体"/>
        <w:b w:val="0"/>
        <w:i w:val="0"/>
        <w:sz w:val="21"/>
      </w:rPr>
    </w:lvl>
    <w:lvl w:ilvl="4" w:tentative="0">
      <w:start w:val="1"/>
      <w:numFmt w:val="decimal"/>
      <w:pStyle w:val="23"/>
      <w:suff w:val="nothing"/>
      <w:lvlText w:val="%1.%2.%3.%4.%5　"/>
      <w:lvlJc w:val="left"/>
      <w:pPr>
        <w:ind w:left="-1134" w:firstLine="0"/>
      </w:pPr>
      <w:rPr>
        <w:rFonts w:hint="eastAsia" w:ascii="黑体" w:hAnsi="Times New Roman" w:eastAsia="黑体"/>
        <w:b w:val="0"/>
        <w:i w:val="0"/>
        <w:sz w:val="21"/>
      </w:rPr>
    </w:lvl>
    <w:lvl w:ilvl="5" w:tentative="0">
      <w:start w:val="1"/>
      <w:numFmt w:val="decimal"/>
      <w:pStyle w:val="24"/>
      <w:suff w:val="nothing"/>
      <w:lvlText w:val="%1.%2.%3.%4.%5.%6　"/>
      <w:lvlJc w:val="left"/>
      <w:pPr>
        <w:ind w:left="-1134" w:firstLine="0"/>
      </w:pPr>
      <w:rPr>
        <w:rFonts w:hint="eastAsia" w:ascii="黑体" w:hAnsi="Times New Roman" w:eastAsia="黑体"/>
        <w:b w:val="0"/>
        <w:i w:val="0"/>
        <w:sz w:val="21"/>
      </w:rPr>
    </w:lvl>
    <w:lvl w:ilvl="6" w:tentative="0">
      <w:start w:val="1"/>
      <w:numFmt w:val="decimal"/>
      <w:suff w:val="nothing"/>
      <w:lvlText w:val="%1%2.%3.%4.%5.%6.%7　"/>
      <w:lvlJc w:val="left"/>
      <w:pPr>
        <w:ind w:left="-1134" w:firstLine="0"/>
      </w:pPr>
      <w:rPr>
        <w:rFonts w:hint="eastAsia" w:ascii="黑体" w:hAnsi="Times New Roman" w:eastAsia="黑体"/>
        <w:b w:val="0"/>
        <w:i w:val="0"/>
        <w:sz w:val="21"/>
      </w:rPr>
    </w:lvl>
    <w:lvl w:ilvl="7" w:tentative="0">
      <w:start w:val="1"/>
      <w:numFmt w:val="decimal"/>
      <w:lvlText w:val="%1.%2.%3.%4.%5.%6.%7.%8"/>
      <w:lvlJc w:val="left"/>
      <w:pPr>
        <w:tabs>
          <w:tab w:val="left" w:pos="3217"/>
        </w:tabs>
        <w:ind w:left="2835" w:hanging="1418"/>
      </w:pPr>
      <w:rPr>
        <w:rFonts w:hint="eastAsia"/>
      </w:rPr>
    </w:lvl>
    <w:lvl w:ilvl="8" w:tentative="0">
      <w:start w:val="1"/>
      <w:numFmt w:val="decimal"/>
      <w:lvlText w:val="%1.%2.%3.%4.%5.%6.%7.%8.%9"/>
      <w:lvlJc w:val="left"/>
      <w:pPr>
        <w:tabs>
          <w:tab w:val="left" w:pos="3643"/>
        </w:tabs>
        <w:ind w:left="3543" w:hanging="1700"/>
      </w:pPr>
      <w:rPr>
        <w:rFonts w:hint="eastAsia"/>
      </w:rPr>
    </w:lvl>
  </w:abstractNum>
  <w:abstractNum w:abstractNumId="4">
    <w:nsid w:val="48C90EA5"/>
    <w:multiLevelType w:val="multilevel"/>
    <w:tmpl w:val="48C90EA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zE3ZGNjOGM4MTYxMDczMjA0OGFlNDM4ODc0NjYifQ=="/>
  </w:docVars>
  <w:rsids>
    <w:rsidRoot w:val="002E1F35"/>
    <w:rsid w:val="000038CB"/>
    <w:rsid w:val="00013C95"/>
    <w:rsid w:val="00022105"/>
    <w:rsid w:val="00037A4C"/>
    <w:rsid w:val="00037C29"/>
    <w:rsid w:val="0004736B"/>
    <w:rsid w:val="0008539A"/>
    <w:rsid w:val="000B55D0"/>
    <w:rsid w:val="000C204E"/>
    <w:rsid w:val="000C2497"/>
    <w:rsid w:val="00125B2C"/>
    <w:rsid w:val="00132C00"/>
    <w:rsid w:val="00161CD2"/>
    <w:rsid w:val="001B703D"/>
    <w:rsid w:val="001B7E84"/>
    <w:rsid w:val="001D4082"/>
    <w:rsid w:val="001D6002"/>
    <w:rsid w:val="00214249"/>
    <w:rsid w:val="0024244C"/>
    <w:rsid w:val="00285F39"/>
    <w:rsid w:val="002B127F"/>
    <w:rsid w:val="002E1F35"/>
    <w:rsid w:val="002F7506"/>
    <w:rsid w:val="00316D84"/>
    <w:rsid w:val="003457E1"/>
    <w:rsid w:val="00383238"/>
    <w:rsid w:val="003C5E64"/>
    <w:rsid w:val="003E5379"/>
    <w:rsid w:val="003E590A"/>
    <w:rsid w:val="00406FDB"/>
    <w:rsid w:val="00414887"/>
    <w:rsid w:val="00426371"/>
    <w:rsid w:val="00431087"/>
    <w:rsid w:val="004656F6"/>
    <w:rsid w:val="004A02AB"/>
    <w:rsid w:val="004B0BAE"/>
    <w:rsid w:val="004C1497"/>
    <w:rsid w:val="004D12E5"/>
    <w:rsid w:val="00520FE0"/>
    <w:rsid w:val="00526B8F"/>
    <w:rsid w:val="005567F8"/>
    <w:rsid w:val="005C71A8"/>
    <w:rsid w:val="005E7729"/>
    <w:rsid w:val="00600690"/>
    <w:rsid w:val="00644FB2"/>
    <w:rsid w:val="006633BA"/>
    <w:rsid w:val="00671BBD"/>
    <w:rsid w:val="006A6B56"/>
    <w:rsid w:val="006B031A"/>
    <w:rsid w:val="006E0F94"/>
    <w:rsid w:val="006F05FC"/>
    <w:rsid w:val="0070018A"/>
    <w:rsid w:val="0070047E"/>
    <w:rsid w:val="00764E9E"/>
    <w:rsid w:val="007714FD"/>
    <w:rsid w:val="007D2A1D"/>
    <w:rsid w:val="00840694"/>
    <w:rsid w:val="00874065"/>
    <w:rsid w:val="00882EB8"/>
    <w:rsid w:val="0089736F"/>
    <w:rsid w:val="008E5C98"/>
    <w:rsid w:val="008F0708"/>
    <w:rsid w:val="008F5F5C"/>
    <w:rsid w:val="0090126E"/>
    <w:rsid w:val="00971872"/>
    <w:rsid w:val="00980A3E"/>
    <w:rsid w:val="009C2E12"/>
    <w:rsid w:val="009E19D5"/>
    <w:rsid w:val="00A33BF8"/>
    <w:rsid w:val="00A56356"/>
    <w:rsid w:val="00A740E0"/>
    <w:rsid w:val="00A77A1C"/>
    <w:rsid w:val="00A80319"/>
    <w:rsid w:val="00A92518"/>
    <w:rsid w:val="00AB25C8"/>
    <w:rsid w:val="00AB5F92"/>
    <w:rsid w:val="00AC1E52"/>
    <w:rsid w:val="00AD5D91"/>
    <w:rsid w:val="00AE1F12"/>
    <w:rsid w:val="00AE2230"/>
    <w:rsid w:val="00B164E0"/>
    <w:rsid w:val="00B24A56"/>
    <w:rsid w:val="00BA0328"/>
    <w:rsid w:val="00BA4397"/>
    <w:rsid w:val="00BC334B"/>
    <w:rsid w:val="00C02980"/>
    <w:rsid w:val="00C15E91"/>
    <w:rsid w:val="00C45025"/>
    <w:rsid w:val="00C478E3"/>
    <w:rsid w:val="00C83EC2"/>
    <w:rsid w:val="00CB603C"/>
    <w:rsid w:val="00CE2E97"/>
    <w:rsid w:val="00D22670"/>
    <w:rsid w:val="00D47D4A"/>
    <w:rsid w:val="00D76D72"/>
    <w:rsid w:val="00D849CA"/>
    <w:rsid w:val="00DA728D"/>
    <w:rsid w:val="00DB3622"/>
    <w:rsid w:val="00DC29B1"/>
    <w:rsid w:val="00E00CCC"/>
    <w:rsid w:val="00E0783F"/>
    <w:rsid w:val="00E34BAA"/>
    <w:rsid w:val="00E541F3"/>
    <w:rsid w:val="00E60F87"/>
    <w:rsid w:val="00EA00AA"/>
    <w:rsid w:val="00EC4ED0"/>
    <w:rsid w:val="00ED6ED7"/>
    <w:rsid w:val="00F11952"/>
    <w:rsid w:val="00F26158"/>
    <w:rsid w:val="00F60B7D"/>
    <w:rsid w:val="00F9397A"/>
    <w:rsid w:val="00FB6407"/>
    <w:rsid w:val="00FC274A"/>
    <w:rsid w:val="02B103E1"/>
    <w:rsid w:val="03214275"/>
    <w:rsid w:val="0490144A"/>
    <w:rsid w:val="04DA0918"/>
    <w:rsid w:val="05F20206"/>
    <w:rsid w:val="064B48B8"/>
    <w:rsid w:val="084F5A7D"/>
    <w:rsid w:val="08886325"/>
    <w:rsid w:val="08B65E54"/>
    <w:rsid w:val="091560B0"/>
    <w:rsid w:val="0C69782C"/>
    <w:rsid w:val="0D9C0DC9"/>
    <w:rsid w:val="10C04DBB"/>
    <w:rsid w:val="10ED0370"/>
    <w:rsid w:val="129C5A5E"/>
    <w:rsid w:val="13856FC5"/>
    <w:rsid w:val="14F3357C"/>
    <w:rsid w:val="150B4203"/>
    <w:rsid w:val="15AD63B7"/>
    <w:rsid w:val="161443B7"/>
    <w:rsid w:val="161D0664"/>
    <w:rsid w:val="16B55BFE"/>
    <w:rsid w:val="16D00F58"/>
    <w:rsid w:val="18AE06FC"/>
    <w:rsid w:val="19005C7D"/>
    <w:rsid w:val="1AC41472"/>
    <w:rsid w:val="1F881244"/>
    <w:rsid w:val="205B1429"/>
    <w:rsid w:val="21A955BE"/>
    <w:rsid w:val="21C43504"/>
    <w:rsid w:val="21F93D33"/>
    <w:rsid w:val="23882614"/>
    <w:rsid w:val="24D16675"/>
    <w:rsid w:val="251B7E2B"/>
    <w:rsid w:val="25392AFD"/>
    <w:rsid w:val="26196381"/>
    <w:rsid w:val="26453709"/>
    <w:rsid w:val="26B50E13"/>
    <w:rsid w:val="286B46CA"/>
    <w:rsid w:val="2BF71BF8"/>
    <w:rsid w:val="2D0D7D93"/>
    <w:rsid w:val="2DE626C9"/>
    <w:rsid w:val="2E450047"/>
    <w:rsid w:val="305C1E4A"/>
    <w:rsid w:val="31B67FC2"/>
    <w:rsid w:val="327B3B54"/>
    <w:rsid w:val="32CC28A7"/>
    <w:rsid w:val="33B664B7"/>
    <w:rsid w:val="354E2190"/>
    <w:rsid w:val="36642A72"/>
    <w:rsid w:val="37186028"/>
    <w:rsid w:val="392B7771"/>
    <w:rsid w:val="3B196C29"/>
    <w:rsid w:val="3B6D6207"/>
    <w:rsid w:val="3C32553E"/>
    <w:rsid w:val="3CBC5841"/>
    <w:rsid w:val="3D65276D"/>
    <w:rsid w:val="3F561AF8"/>
    <w:rsid w:val="3FBF648B"/>
    <w:rsid w:val="414A067D"/>
    <w:rsid w:val="42AF2C65"/>
    <w:rsid w:val="42D55186"/>
    <w:rsid w:val="45392FEA"/>
    <w:rsid w:val="46C0262F"/>
    <w:rsid w:val="46D31C6C"/>
    <w:rsid w:val="487C4ECD"/>
    <w:rsid w:val="49946E43"/>
    <w:rsid w:val="4BC7291E"/>
    <w:rsid w:val="4C6A723C"/>
    <w:rsid w:val="4CF9536E"/>
    <w:rsid w:val="4EED035F"/>
    <w:rsid w:val="55A936F7"/>
    <w:rsid w:val="55F933F3"/>
    <w:rsid w:val="567F33AE"/>
    <w:rsid w:val="56B2773B"/>
    <w:rsid w:val="57236B81"/>
    <w:rsid w:val="5726041F"/>
    <w:rsid w:val="57BA71CB"/>
    <w:rsid w:val="57DC407E"/>
    <w:rsid w:val="5A533C21"/>
    <w:rsid w:val="5B9E60F5"/>
    <w:rsid w:val="5C4C7437"/>
    <w:rsid w:val="603A09AA"/>
    <w:rsid w:val="60461DA3"/>
    <w:rsid w:val="606E2D9E"/>
    <w:rsid w:val="608B102C"/>
    <w:rsid w:val="63EE4361"/>
    <w:rsid w:val="641F0F5B"/>
    <w:rsid w:val="66D6370C"/>
    <w:rsid w:val="67C915B4"/>
    <w:rsid w:val="68EA1144"/>
    <w:rsid w:val="6C544A78"/>
    <w:rsid w:val="6D752150"/>
    <w:rsid w:val="6E464B88"/>
    <w:rsid w:val="6E597A8C"/>
    <w:rsid w:val="6EB4353A"/>
    <w:rsid w:val="70A628F5"/>
    <w:rsid w:val="70CA469B"/>
    <w:rsid w:val="71695091"/>
    <w:rsid w:val="71811CE3"/>
    <w:rsid w:val="72946758"/>
    <w:rsid w:val="74AF6D52"/>
    <w:rsid w:val="76F70951"/>
    <w:rsid w:val="77732652"/>
    <w:rsid w:val="78885844"/>
    <w:rsid w:val="78B36DFE"/>
    <w:rsid w:val="79B45476"/>
    <w:rsid w:val="79F81A3C"/>
    <w:rsid w:val="7AB26B2B"/>
    <w:rsid w:val="7E697DFC"/>
    <w:rsid w:val="7EEB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pPr>
    <w:rPr>
      <w:rFonts w:ascii="宋体" w:hAnsi="宋体" w:eastAsia="宋体" w:cstheme="minorBidi"/>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pPr>
      <w:spacing w:line="240" w:lineRule="auto"/>
    </w:pPr>
    <w:rPr>
      <w:sz w:val="18"/>
      <w:szCs w:val="18"/>
    </w:rPr>
  </w:style>
  <w:style w:type="paragraph" w:styleId="3">
    <w:name w:val="footer"/>
    <w:basedOn w:val="1"/>
    <w:link w:val="15"/>
    <w:autoRedefine/>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4"/>
    <w:autoRedefine/>
    <w:unhideWhenUsed/>
    <w:qFormat/>
    <w:uiPriority w:val="99"/>
    <w:pPr>
      <w:tabs>
        <w:tab w:val="center" w:pos="4153"/>
        <w:tab w:val="right" w:pos="8306"/>
      </w:tabs>
      <w:snapToGrid w:val="0"/>
      <w:spacing w:line="240" w:lineRule="auto"/>
      <w:jc w:val="center"/>
    </w:pPr>
    <w:rPr>
      <w:sz w:val="18"/>
      <w:szCs w:val="18"/>
    </w:rPr>
  </w:style>
  <w:style w:type="paragraph" w:styleId="5">
    <w:name w:val="toc 1"/>
    <w:basedOn w:val="1"/>
    <w:next w:val="1"/>
    <w:autoRedefine/>
    <w:qFormat/>
    <w:uiPriority w:val="39"/>
    <w:pPr>
      <w:tabs>
        <w:tab w:val="left" w:pos="709"/>
        <w:tab w:val="right" w:leader="dot" w:pos="8222"/>
      </w:tabs>
      <w:ind w:right="567" w:rightChars="270"/>
    </w:pPr>
    <w:rPr>
      <w:rFonts w:ascii="Times New Roman" w:hAnsi="Times New Roman" w:cs="Times New Roman"/>
    </w:rPr>
  </w:style>
  <w:style w:type="paragraph" w:styleId="6">
    <w:name w:val="Normal (Web)"/>
    <w:basedOn w:val="1"/>
    <w:autoRedefine/>
    <w:unhideWhenUsed/>
    <w:qFormat/>
    <w:uiPriority w:val="99"/>
    <w:pPr>
      <w:spacing w:before="100" w:beforeAutospacing="1" w:after="100" w:afterAutospacing="1" w:line="240" w:lineRule="auto"/>
    </w:pPr>
    <w:rPr>
      <w:rFonts w:cs="宋体"/>
      <w:kern w:val="0"/>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rPr>
  </w:style>
  <w:style w:type="paragraph" w:styleId="11">
    <w:name w:val="List Paragraph"/>
    <w:basedOn w:val="1"/>
    <w:autoRedefine/>
    <w:qFormat/>
    <w:uiPriority w:val="34"/>
    <w:pPr>
      <w:ind w:firstLine="420" w:firstLineChars="200"/>
    </w:pPr>
  </w:style>
  <w:style w:type="paragraph" w:customStyle="1" w:styleId="12">
    <w:name w:val="段"/>
    <w:link w:val="18"/>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ARIS TEXT"/>
    <w:basedOn w:val="1"/>
    <w:qFormat/>
    <w:locked/>
    <w:uiPriority w:val="0"/>
    <w:pPr>
      <w:spacing w:before="120" w:beforeLines="50" w:after="120" w:afterLines="50"/>
      <w:ind w:left="284"/>
    </w:pPr>
    <w:rPr>
      <w:rFonts w:ascii="Times New Roman" w:hAnsi="Times New Roman" w:cs="宋体"/>
      <w:kern w:val="0"/>
      <w:szCs w:val="21"/>
    </w:rPr>
  </w:style>
  <w:style w:type="character" w:customStyle="1" w:styleId="14">
    <w:name w:val="页眉 Char"/>
    <w:basedOn w:val="9"/>
    <w:link w:val="4"/>
    <w:qFormat/>
    <w:uiPriority w:val="99"/>
    <w:rPr>
      <w:rFonts w:ascii="宋体" w:hAnsi="宋体" w:cstheme="minorBidi"/>
      <w:kern w:val="2"/>
      <w:sz w:val="18"/>
      <w:szCs w:val="18"/>
    </w:rPr>
  </w:style>
  <w:style w:type="character" w:customStyle="1" w:styleId="15">
    <w:name w:val="页脚 Char"/>
    <w:basedOn w:val="9"/>
    <w:link w:val="3"/>
    <w:qFormat/>
    <w:uiPriority w:val="99"/>
    <w:rPr>
      <w:rFonts w:ascii="宋体" w:hAnsi="宋体" w:cstheme="minorBidi"/>
      <w:kern w:val="2"/>
      <w:sz w:val="18"/>
      <w:szCs w:val="18"/>
    </w:rPr>
  </w:style>
  <w:style w:type="paragraph" w:customStyle="1" w:styleId="16">
    <w:name w:val="修订1"/>
    <w:autoRedefine/>
    <w:hidden/>
    <w:unhideWhenUsed/>
    <w:qFormat/>
    <w:uiPriority w:val="99"/>
    <w:rPr>
      <w:rFonts w:ascii="宋体" w:hAnsi="宋体" w:eastAsia="宋体" w:cstheme="minorBidi"/>
      <w:kern w:val="2"/>
      <w:sz w:val="24"/>
      <w:szCs w:val="24"/>
      <w:lang w:val="en-US" w:eastAsia="zh-CN" w:bidi="ar-SA"/>
    </w:rPr>
  </w:style>
  <w:style w:type="character" w:customStyle="1" w:styleId="17">
    <w:name w:val="批注框文本 Char"/>
    <w:basedOn w:val="9"/>
    <w:link w:val="2"/>
    <w:autoRedefine/>
    <w:semiHidden/>
    <w:qFormat/>
    <w:uiPriority w:val="99"/>
    <w:rPr>
      <w:rFonts w:ascii="宋体" w:hAnsi="宋体" w:cstheme="minorBidi"/>
      <w:kern w:val="2"/>
      <w:sz w:val="18"/>
      <w:szCs w:val="18"/>
    </w:rPr>
  </w:style>
  <w:style w:type="character" w:customStyle="1" w:styleId="18">
    <w:name w:val="段 Char"/>
    <w:link w:val="12"/>
    <w:autoRedefine/>
    <w:qFormat/>
    <w:uiPriority w:val="0"/>
    <w:rPr>
      <w:rFonts w:ascii="宋体"/>
      <w:sz w:val="21"/>
    </w:rPr>
  </w:style>
  <w:style w:type="paragraph" w:customStyle="1" w:styleId="19">
    <w:name w:val="一级条标题"/>
    <w:next w:val="1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章标题"/>
    <w:next w:val="1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2"/>
    <w:qFormat/>
    <w:uiPriority w:val="0"/>
    <w:pPr>
      <w:numPr>
        <w:ilvl w:val="2"/>
      </w:numPr>
      <w:spacing w:before="50" w:after="50"/>
      <w:outlineLvl w:val="3"/>
    </w:pPr>
  </w:style>
  <w:style w:type="paragraph" w:customStyle="1" w:styleId="22">
    <w:name w:val="三级条标题"/>
    <w:basedOn w:val="21"/>
    <w:next w:val="12"/>
    <w:autoRedefine/>
    <w:qFormat/>
    <w:uiPriority w:val="0"/>
    <w:pPr>
      <w:numPr>
        <w:ilvl w:val="3"/>
      </w:numPr>
      <w:outlineLvl w:val="4"/>
    </w:pPr>
  </w:style>
  <w:style w:type="paragraph" w:customStyle="1" w:styleId="23">
    <w:name w:val="四级条标题"/>
    <w:basedOn w:val="22"/>
    <w:next w:val="12"/>
    <w:autoRedefine/>
    <w:qFormat/>
    <w:uiPriority w:val="0"/>
    <w:pPr>
      <w:numPr>
        <w:ilvl w:val="4"/>
      </w:numPr>
      <w:outlineLvl w:val="5"/>
    </w:pPr>
  </w:style>
  <w:style w:type="paragraph" w:customStyle="1" w:styleId="24">
    <w:name w:val="五级条标题"/>
    <w:basedOn w:val="23"/>
    <w:next w:val="12"/>
    <w:qFormat/>
    <w:uiPriority w:val="0"/>
    <w:pPr>
      <w:numPr>
        <w:ilvl w:val="5"/>
      </w:numPr>
      <w:outlineLvl w:val="6"/>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3915</Words>
  <Characters>4037</Characters>
  <Lines>38</Lines>
  <Paragraphs>10</Paragraphs>
  <TotalTime>8</TotalTime>
  <ScaleCrop>false</ScaleCrop>
  <LinksUpToDate>false</LinksUpToDate>
  <CharactersWithSpaces>4085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2019-12-04T02:22:00Z</dcterms:created>
  <dc:creator>王炫</dc:creator>
  <cp:lastModifiedBy>海的另一边</cp:lastModifiedBy>
  <dcterms:modified xsi:type="dcterms:W3CDTF">2025-03-12T01:56:19Z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E75999984297445A8854DEBF4A8A2AAF</vt:lpwstr>
  </property>
  <property fmtid="{D5CDD505-2E9C-101B-9397-08002B2CF9AE}" pid="4" name="KSOTemplateDocerSaveRecord">
    <vt:lpwstr>eyJoZGlkIjoiODRmMDhhZDZkYjg4NGI5NDkxOTI2ZDVjMDAzMTk2MWIiLCJ1c2VySWQiOiI0MzU4NjExODgifQ==</vt:lpwstr>
  </property>
</Properties>
</file>