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1FAF4">
      <w:pPr>
        <w:pStyle w:val="120"/>
        <w:framePr w:wrap="around"/>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20.120.20</w:t>
      </w:r>
      <w:r>
        <w:fldChar w:fldCharType="end"/>
      </w:r>
      <w:bookmarkEnd w:id="0"/>
    </w:p>
    <w:p w14:paraId="45A13D71">
      <w:pPr>
        <w:pStyle w:val="120"/>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F 65</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2556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319A357F">
            <w:pPr>
              <w:pStyle w:val="120"/>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2F2A7790">
      <w:pPr>
        <w:pStyle w:val="107"/>
        <w:framePr w:wrap="around" w:y="2026"/>
        <w:rPr>
          <w:sz w:val="72"/>
          <w:szCs w:val="72"/>
        </w:rPr>
      </w:pPr>
      <w:r>
        <w:rPr>
          <w:rFonts w:hint="eastAsia"/>
          <w:sz w:val="72"/>
          <w:szCs w:val="72"/>
        </w:rPr>
        <w:t>团体标准</w:t>
      </w:r>
    </w:p>
    <w:p w14:paraId="1BD902B3">
      <w:pPr>
        <w:pStyle w:val="44"/>
        <w:framePr w:wrap="around"/>
      </w:pPr>
      <w:r>
        <w:rPr>
          <w:rFonts w:hint="eastAsia" w:ascii="Times New Roman"/>
        </w:rPr>
        <w:t>T</w:t>
      </w:r>
      <w:r>
        <w:rPr>
          <w:rFonts w:ascii="Times New Roman"/>
        </w:rPr>
        <w:t>/</w:t>
      </w:r>
      <w:r>
        <w:rPr>
          <w:rFonts w:hint="eastAsia" w:ascii="Times New Roman"/>
        </w:rPr>
        <w:t>CNEA</w:t>
      </w:r>
      <w:bookmarkStart w:id="3" w:name="StdNo1"/>
      <w:r>
        <w:rPr>
          <w:rFonts w:hint="eastAsia" w:ascii="Times New Roman"/>
        </w:rPr>
        <w:t xml:space="preserve"> </w:t>
      </w:r>
      <w:r>
        <w:fldChar w:fldCharType="begin">
          <w:ffData>
            <w:name w:val="StdNo1"/>
            <w:enabled/>
            <w:calcOnExit w:val="0"/>
            <w:textInput>
              <w:default w:val="XXXX"/>
            </w:textInput>
          </w:ffData>
        </w:fldChar>
      </w:r>
      <w:r>
        <w:instrText xml:space="preserve"> FORMTEXT </w:instrText>
      </w:r>
      <w:r>
        <w:fldChar w:fldCharType="separate"/>
      </w:r>
      <w:r>
        <w:t>XXXX</w:t>
      </w:r>
      <w:r>
        <w:fldChar w:fldCharType="end"/>
      </w:r>
      <w:bookmarkEnd w:id="3"/>
      <w:r>
        <w:t>—</w:t>
      </w:r>
      <w:bookmarkStart w:id="4"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2023</w:t>
      </w:r>
      <w:r>
        <w:fldChar w:fldCharType="end"/>
      </w:r>
      <w:bookmarkEnd w:id="4"/>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754E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B23891E">
            <w:pPr>
              <w:pStyle w:val="73"/>
              <w:framePr w:wrap="around"/>
            </w:pPr>
            <w:bookmarkStart w:id="5"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5"/>
          </w:p>
        </w:tc>
      </w:tr>
    </w:tbl>
    <w:p w14:paraId="547C37E9">
      <w:pPr>
        <w:pStyle w:val="44"/>
        <w:framePr w:wrap="around"/>
      </w:pPr>
    </w:p>
    <w:p w14:paraId="295B8626">
      <w:pPr>
        <w:pStyle w:val="44"/>
        <w:framePr w:wrap="around"/>
      </w:pPr>
    </w:p>
    <w:p w14:paraId="6A14DC05">
      <w:pPr>
        <w:pStyle w:val="75"/>
        <w:framePr w:wrap="around"/>
      </w:pPr>
      <w:bookmarkStart w:id="6"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压水堆汽轮机跳闸、反应堆不停堆操作规范</w:t>
      </w:r>
      <w:r>
        <w:fldChar w:fldCharType="end"/>
      </w:r>
      <w:bookmarkEnd w:id="6"/>
    </w:p>
    <w:p w14:paraId="32FC9F4C">
      <w:pPr>
        <w:pStyle w:val="76"/>
        <w:framePr w:wrap="around"/>
      </w:pPr>
      <w:bookmarkStart w:id="7"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S</w:t>
      </w:r>
      <w:r>
        <w:t>pecification</w:t>
      </w:r>
      <w:r>
        <w:rPr>
          <w:rFonts w:hint="eastAsia"/>
        </w:rPr>
        <w:t xml:space="preserve"> for PWR Turbine Trip and Reactor Non-stop Operation</w:t>
      </w:r>
      <w:r>
        <w:fldChar w:fldCharType="end"/>
      </w:r>
      <w:bookmarkEnd w:id="7"/>
    </w:p>
    <w:p w14:paraId="21C9DDB8">
      <w:pPr>
        <w:pStyle w:val="77"/>
        <w:framePr w:wrap="around"/>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8"/>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9D2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C20AA24">
            <w:pPr>
              <w:pStyle w:val="78"/>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14:paraId="4AAE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4663427">
            <w:pPr>
              <w:pStyle w:val="79"/>
              <w:framePr w:wrap="around"/>
            </w:pPr>
            <w:bookmarkStart w:id="10" w:name="WCRQ"/>
            <w:r>
              <w:fldChar w:fldCharType="begin">
                <w:ffData>
                  <w:name w:val="WCRQ"/>
                  <w:enabled/>
                  <w:calcOnExit w:val="0"/>
                  <w:textInput/>
                </w:ffData>
              </w:fldChar>
            </w:r>
            <w:r>
              <w:instrText xml:space="preserve"> FORMTEXT </w:instrText>
            </w:r>
            <w:r>
              <w:fldChar w:fldCharType="separate"/>
            </w:r>
            <w:r>
              <w:rPr>
                <w:rFonts w:hint="eastAsia"/>
              </w:rPr>
              <w:t>（本稿完成日期：）</w:t>
            </w:r>
            <w:r>
              <w:fldChar w:fldCharType="end"/>
            </w:r>
            <w:bookmarkEnd w:id="10"/>
          </w:p>
        </w:tc>
      </w:tr>
    </w:tbl>
    <w:p w14:paraId="0A19D397">
      <w:pPr>
        <w:pStyle w:val="127"/>
        <w:framePr w:wrap="around"/>
      </w:pPr>
      <w:bookmarkStart w:id="1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CpvjL/1wEAAKIDAAAOAAAAAAAA&#10;AAEAIAAAACUBAABkcnMvZTJvRG9jLnhtbFBLBQYAAAAABgAGAFkBAABuBQAAAAA=&#10;">
                <v:fill on="f" focussize="0,0"/>
                <v:stroke color="#000000" joinstyle="round"/>
                <v:imagedata o:title=""/>
                <o:lock v:ext="edit" aspectratio="f"/>
                <w10:anchorlock/>
              </v:line>
            </w:pict>
          </mc:Fallback>
        </mc:AlternateContent>
      </w:r>
    </w:p>
    <w:p w14:paraId="39925D65">
      <w:pPr>
        <w:pStyle w:val="128"/>
        <w:framePr w:wrap="around"/>
      </w:pPr>
      <w:bookmarkStart w:id="1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011A91C2">
      <w:pPr>
        <w:pStyle w:val="108"/>
        <w:framePr w:wrap="around"/>
      </w:pPr>
      <w:r>
        <w:rPr>
          <w:rFonts w:hint="eastAsia"/>
        </w:rPr>
        <w:t>中国核能行业协会</w:t>
      </w:r>
      <w:r>
        <w:rPr>
          <w:rFonts w:ascii="Cambria Math" w:hAnsi="Cambria Math" w:cs="Cambria Math"/>
        </w:rPr>
        <w:t>   </w:t>
      </w:r>
      <w:r>
        <w:rPr>
          <w:rStyle w:val="70"/>
          <w:rFonts w:hint="eastAsia"/>
        </w:rPr>
        <w:t>发布</w:t>
      </w:r>
    </w:p>
    <w:p w14:paraId="58558ECE">
      <w:pPr>
        <w:pStyle w:val="21"/>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HiX9cAAAAJAQAADwAAAAAAAAABACAA&#10;AAAiAAAAZHJzL2Rvd25yZXYueG1sUEsBAhQAFAAAAAgAh07iQCziP77VAQAAogMAAA4AAAAAAAAA&#10;AQAgAAAAJgEAAGRycy9lMm9Eb2MueG1sUEsFBgAAAAAGAAYAWQEAAG0FAAAAAA==&#10;">
                <v:fill on="f" focussize="0,0"/>
                <v:stroke color="#000000" joinstyle="round"/>
                <v:imagedata o:title=""/>
                <o:lock v:ext="edit" aspectratio="f"/>
              </v:line>
            </w:pict>
          </mc:Fallback>
        </mc:AlternateContent>
      </w:r>
    </w:p>
    <w:p w14:paraId="1AB6EF8E">
      <w:pPr>
        <w:pStyle w:val="47"/>
      </w:pPr>
      <w:r>
        <w:rPr>
          <w:rFonts w:hint="eastAsia"/>
        </w:rPr>
        <w:t>目</w:t>
      </w:r>
      <w:bookmarkStart w:id="16" w:name="BKML"/>
      <w:r>
        <w:rPr>
          <w:rFonts w:hAnsi="黑体"/>
        </w:rPr>
        <w:t>  </w:t>
      </w:r>
      <w:r>
        <w:rPr>
          <w:rFonts w:hint="eastAsia"/>
        </w:rPr>
        <w:t>次</w:t>
      </w:r>
      <w:bookmarkEnd w:id="16"/>
    </w:p>
    <w:p w14:paraId="2F922093">
      <w:pPr>
        <w:pStyle w:val="17"/>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"_Toc46228652" </w:instrText>
      </w:r>
      <w:r>
        <w:fldChar w:fldCharType="separate"/>
      </w:r>
      <w:r>
        <w:rPr>
          <w:rStyle w:val="35"/>
          <w:rFonts w:hint="eastAsia"/>
        </w:rPr>
        <w:t>前言</w:t>
      </w:r>
      <w:r>
        <w:tab/>
      </w:r>
      <w:r>
        <w:fldChar w:fldCharType="begin" w:fldLock="1"/>
      </w:r>
      <w:r>
        <w:instrText xml:space="preserve"> PAGEREF _Toc46228652 \h </w:instrText>
      </w:r>
      <w:r>
        <w:fldChar w:fldCharType="separate"/>
      </w:r>
      <w:r>
        <w:t>II</w:t>
      </w:r>
      <w:r>
        <w:fldChar w:fldCharType="end"/>
      </w:r>
      <w:r>
        <w:fldChar w:fldCharType="end"/>
      </w:r>
    </w:p>
    <w:p w14:paraId="0554580B">
      <w:pPr>
        <w:pStyle w:val="17"/>
        <w:spacing w:before="78" w:after="78"/>
        <w:rPr>
          <w:rFonts w:ascii="Calibri" w:hAnsi="Calibri"/>
          <w:szCs w:val="22"/>
        </w:rPr>
      </w:pPr>
      <w:r>
        <w:fldChar w:fldCharType="begin"/>
      </w:r>
      <w:r>
        <w:instrText xml:space="preserve"> HYPERLINK \l "_Toc46228653" </w:instrText>
      </w:r>
      <w:r>
        <w:fldChar w:fldCharType="separate"/>
      </w:r>
      <w:r>
        <w:rPr>
          <w:rStyle w:val="35"/>
          <w:rFonts w:hint="eastAsia"/>
        </w:rPr>
        <w:t>引言</w:t>
      </w:r>
      <w:r>
        <w:tab/>
      </w:r>
      <w:r>
        <w:fldChar w:fldCharType="begin" w:fldLock="1"/>
      </w:r>
      <w:r>
        <w:instrText xml:space="preserve"> PAGEREF _Toc46228653 \h </w:instrText>
      </w:r>
      <w:r>
        <w:fldChar w:fldCharType="separate"/>
      </w:r>
      <w:r>
        <w:t>III</w:t>
      </w:r>
      <w:r>
        <w:fldChar w:fldCharType="end"/>
      </w:r>
      <w:r>
        <w:fldChar w:fldCharType="end"/>
      </w:r>
    </w:p>
    <w:p w14:paraId="77234ADE">
      <w:pPr>
        <w:pStyle w:val="17"/>
        <w:spacing w:before="78" w:after="78"/>
        <w:rPr>
          <w:rFonts w:ascii="Calibri" w:hAnsi="Calibri"/>
          <w:szCs w:val="22"/>
        </w:rPr>
      </w:pPr>
      <w:r>
        <w:fldChar w:fldCharType="begin"/>
      </w:r>
      <w:r>
        <w:instrText xml:space="preserve"> HYPERLINK \l "_Toc46228654" </w:instrText>
      </w:r>
      <w:r>
        <w:fldChar w:fldCharType="separate"/>
      </w:r>
      <w:r>
        <w:rPr>
          <w:rStyle w:val="35"/>
        </w:rPr>
        <w:t>1</w:t>
      </w:r>
      <w:r>
        <w:rPr>
          <w:rStyle w:val="35"/>
          <w:rFonts w:hint="eastAsia"/>
        </w:rPr>
        <w:t>　范围</w:t>
      </w:r>
      <w:r>
        <w:tab/>
      </w:r>
      <w:r>
        <w:fldChar w:fldCharType="begin" w:fldLock="1"/>
      </w:r>
      <w:r>
        <w:instrText xml:space="preserve"> PAGEREF _Toc46228654 \h </w:instrText>
      </w:r>
      <w:r>
        <w:fldChar w:fldCharType="separate"/>
      </w:r>
      <w:r>
        <w:t>1</w:t>
      </w:r>
      <w:r>
        <w:fldChar w:fldCharType="end"/>
      </w:r>
      <w:r>
        <w:fldChar w:fldCharType="end"/>
      </w:r>
    </w:p>
    <w:p w14:paraId="742E3671">
      <w:pPr>
        <w:pStyle w:val="17"/>
        <w:spacing w:before="78" w:after="78"/>
        <w:rPr>
          <w:rFonts w:ascii="Calibri" w:hAnsi="Calibri"/>
          <w:szCs w:val="22"/>
        </w:rPr>
      </w:pPr>
      <w:r>
        <w:fldChar w:fldCharType="begin"/>
      </w:r>
      <w:r>
        <w:instrText xml:space="preserve"> HYPERLINK \l "_Toc46228655" </w:instrText>
      </w:r>
      <w:r>
        <w:fldChar w:fldCharType="separate"/>
      </w:r>
      <w:r>
        <w:rPr>
          <w:rStyle w:val="35"/>
        </w:rPr>
        <w:t>2</w:t>
      </w:r>
      <w:r>
        <w:rPr>
          <w:rStyle w:val="35"/>
          <w:rFonts w:hint="eastAsia"/>
        </w:rPr>
        <w:t>　规范性引用文件</w:t>
      </w:r>
      <w:r>
        <w:tab/>
      </w:r>
      <w:r>
        <w:fldChar w:fldCharType="begin" w:fldLock="1"/>
      </w:r>
      <w:r>
        <w:instrText xml:space="preserve"> PAGEREF _Toc46228655 \h </w:instrText>
      </w:r>
      <w:r>
        <w:fldChar w:fldCharType="separate"/>
      </w:r>
      <w:r>
        <w:t>1</w:t>
      </w:r>
      <w:r>
        <w:fldChar w:fldCharType="end"/>
      </w:r>
      <w:r>
        <w:fldChar w:fldCharType="end"/>
      </w:r>
    </w:p>
    <w:p w14:paraId="58EFE7EA">
      <w:pPr>
        <w:pStyle w:val="17"/>
        <w:spacing w:before="78" w:after="78"/>
        <w:rPr>
          <w:rFonts w:ascii="Calibri" w:hAnsi="Calibri"/>
          <w:szCs w:val="22"/>
        </w:rPr>
      </w:pPr>
      <w:r>
        <w:fldChar w:fldCharType="begin"/>
      </w:r>
      <w:r>
        <w:instrText xml:space="preserve"> HYPERLINK \l "_Toc46228656" </w:instrText>
      </w:r>
      <w:r>
        <w:fldChar w:fldCharType="separate"/>
      </w:r>
      <w:r>
        <w:rPr>
          <w:rStyle w:val="35"/>
        </w:rPr>
        <w:t>3</w:t>
      </w:r>
      <w:r>
        <w:rPr>
          <w:rStyle w:val="35"/>
          <w:rFonts w:hint="eastAsia"/>
        </w:rPr>
        <w:t>　术语和定义</w:t>
      </w:r>
      <w:r>
        <w:tab/>
      </w:r>
      <w:r>
        <w:fldChar w:fldCharType="begin" w:fldLock="1"/>
      </w:r>
      <w:r>
        <w:instrText xml:space="preserve"> PAGEREF _Toc46228656 \h </w:instrText>
      </w:r>
      <w:r>
        <w:fldChar w:fldCharType="separate"/>
      </w:r>
      <w:r>
        <w:t>1</w:t>
      </w:r>
      <w:r>
        <w:fldChar w:fldCharType="end"/>
      </w:r>
      <w:r>
        <w:fldChar w:fldCharType="end"/>
      </w:r>
    </w:p>
    <w:p w14:paraId="37AD5B07">
      <w:pPr>
        <w:pStyle w:val="17"/>
        <w:spacing w:before="78" w:after="78"/>
      </w:pPr>
      <w:r>
        <w:fldChar w:fldCharType="begin"/>
      </w:r>
      <w:r>
        <w:instrText xml:space="preserve"> HYPERLINK \l "_Toc46228657" </w:instrText>
      </w:r>
      <w:r>
        <w:fldChar w:fldCharType="separate"/>
      </w:r>
      <w:r>
        <w:rPr>
          <w:rStyle w:val="35"/>
        </w:rPr>
        <w:t>4</w:t>
      </w:r>
      <w:r>
        <w:rPr>
          <w:rStyle w:val="35"/>
          <w:rFonts w:hint="eastAsia"/>
        </w:rPr>
        <w:t>　运行控制规范</w:t>
      </w:r>
      <w:r>
        <w:tab/>
      </w:r>
      <w:r>
        <w:fldChar w:fldCharType="begin" w:fldLock="1"/>
      </w:r>
      <w:r>
        <w:instrText xml:space="preserve"> PAGEREF _Toc46228657 \h </w:instrText>
      </w:r>
      <w:r>
        <w:fldChar w:fldCharType="separate"/>
      </w:r>
      <w:r>
        <w:t>1</w:t>
      </w:r>
      <w:r>
        <w:fldChar w:fldCharType="end"/>
      </w:r>
      <w:r>
        <w:fldChar w:fldCharType="end"/>
      </w:r>
    </w:p>
    <w:p w14:paraId="2A0F0566">
      <w:pPr>
        <w:pStyle w:val="17"/>
        <w:spacing w:before="78" w:after="78"/>
        <w:rPr>
          <w:rFonts w:ascii="Calibri" w:hAnsi="Calibri"/>
          <w:szCs w:val="22"/>
        </w:rPr>
      </w:pPr>
      <w:r>
        <w:fldChar w:fldCharType="begin"/>
      </w:r>
      <w:r>
        <w:instrText xml:space="preserve"> HYPERLINK \l "_Toc46228660" </w:instrText>
      </w:r>
      <w:r>
        <w:fldChar w:fldCharType="separate"/>
      </w:r>
      <w:r>
        <w:rPr>
          <w:rStyle w:val="35"/>
          <w:rFonts w:hint="eastAsia"/>
        </w:rPr>
        <w:t>参考文献</w:t>
      </w:r>
      <w:r>
        <w:tab/>
      </w:r>
      <w:r>
        <w:fldChar w:fldCharType="begin" w:fldLock="1"/>
      </w:r>
      <w:r>
        <w:instrText xml:space="preserve"> PAGEREF _Toc46228660 \h </w:instrText>
      </w:r>
      <w:r>
        <w:fldChar w:fldCharType="separate"/>
      </w:r>
      <w:r>
        <w:t>4</w:t>
      </w:r>
      <w:r>
        <w:fldChar w:fldCharType="end"/>
      </w:r>
      <w:r>
        <w:fldChar w:fldCharType="end"/>
      </w:r>
    </w:p>
    <w:p w14:paraId="6A6407C0">
      <w:pPr>
        <w:pStyle w:val="21"/>
      </w:pPr>
      <w:r>
        <w:fldChar w:fldCharType="end"/>
      </w:r>
    </w:p>
    <w:p w14:paraId="5F99F6E0">
      <w:pPr>
        <w:pStyle w:val="109"/>
      </w:pPr>
      <w:bookmarkStart w:id="17" w:name="_Toc46228652"/>
      <w:r>
        <w:rPr>
          <w:rFonts w:hint="eastAsia"/>
        </w:rPr>
        <w:t>前</w:t>
      </w:r>
      <w:bookmarkStart w:id="18" w:name="BKQY"/>
      <w:r>
        <w:rPr>
          <w:rFonts w:ascii="Cambria Math" w:hAnsi="Cambria Math" w:cs="Cambria Math"/>
        </w:rPr>
        <w:t>  </w:t>
      </w:r>
      <w:r>
        <w:rPr>
          <w:rFonts w:hint="eastAsia"/>
        </w:rPr>
        <w:t>言</w:t>
      </w:r>
      <w:bookmarkEnd w:id="17"/>
      <w:bookmarkEnd w:id="18"/>
    </w:p>
    <w:p w14:paraId="1CB9365E">
      <w:pPr>
        <w:pStyle w:val="134"/>
        <w:spacing w:before="0" w:beforeAutospacing="0" w:after="0" w:afterAutospacing="0"/>
        <w:ind w:firstLine="420"/>
        <w:jc w:val="both"/>
        <w:rPr>
          <w:color w:val="000000"/>
          <w:sz w:val="21"/>
          <w:szCs w:val="21"/>
        </w:rPr>
      </w:pPr>
      <w:r>
        <w:rPr>
          <w:rFonts w:hint="eastAsia"/>
          <w:color w:val="000000"/>
          <w:sz w:val="21"/>
          <w:szCs w:val="21"/>
        </w:rPr>
        <w:t>本文件按照GB/T 1.1</w:t>
      </w:r>
      <w:r>
        <w:rPr>
          <w:rFonts w:hAnsi="Times New Roman" w:cs="Times New Roman"/>
          <w:color w:val="000000"/>
          <w:sz w:val="21"/>
          <w:szCs w:val="21"/>
        </w:rPr>
        <w:t>—</w:t>
      </w:r>
      <w:r>
        <w:rPr>
          <w:rFonts w:hint="eastAsia"/>
          <w:color w:val="000000"/>
          <w:sz w:val="21"/>
          <w:szCs w:val="21"/>
        </w:rPr>
        <w:t>2020《标准化工作导则 第1部分：标准化文件的结构和起草规则》的规定起草。</w:t>
      </w:r>
    </w:p>
    <w:p w14:paraId="60DACE0C">
      <w:pPr>
        <w:pStyle w:val="134"/>
        <w:spacing w:before="0" w:beforeAutospacing="0" w:after="0" w:afterAutospacing="0"/>
        <w:ind w:firstLine="420"/>
        <w:jc w:val="both"/>
        <w:rPr>
          <w:color w:val="000000"/>
          <w:sz w:val="21"/>
          <w:szCs w:val="21"/>
        </w:rPr>
      </w:pPr>
      <w:r>
        <w:rPr>
          <w:rFonts w:hint="eastAsia"/>
          <w:color w:val="000000"/>
          <w:sz w:val="21"/>
          <w:szCs w:val="21"/>
        </w:rPr>
        <w:t>请注意本文件的某些内容可能涉及专利。本文件的发布机构不承担识别专利的责任。</w:t>
      </w:r>
    </w:p>
    <w:p w14:paraId="1A20E2A7">
      <w:pPr>
        <w:pStyle w:val="134"/>
        <w:spacing w:before="0" w:beforeAutospacing="0" w:after="0" w:afterAutospacing="0"/>
        <w:ind w:firstLine="420"/>
        <w:jc w:val="both"/>
        <w:rPr>
          <w:color w:val="000000"/>
          <w:sz w:val="21"/>
          <w:szCs w:val="21"/>
        </w:rPr>
      </w:pPr>
      <w:r>
        <w:rPr>
          <w:rFonts w:hint="eastAsia"/>
          <w:color w:val="000000"/>
          <w:sz w:val="21"/>
          <w:szCs w:val="21"/>
        </w:rPr>
        <w:t>本文件由中国核能行业协会提出并归口，技术支持单位为上海核工程研究设计院有限公司、核工业标准化研究所、苏州热工研究院有限公司。</w:t>
      </w:r>
    </w:p>
    <w:p w14:paraId="4844EFC6">
      <w:pPr>
        <w:pStyle w:val="134"/>
        <w:spacing w:before="0" w:beforeAutospacing="0" w:after="0" w:afterAutospacing="0"/>
        <w:ind w:firstLine="420"/>
        <w:jc w:val="both"/>
        <w:rPr>
          <w:color w:val="000000"/>
          <w:sz w:val="21"/>
          <w:szCs w:val="21"/>
        </w:rPr>
      </w:pPr>
      <w:r>
        <w:rPr>
          <w:rFonts w:hint="eastAsia"/>
          <w:color w:val="000000"/>
          <w:sz w:val="21"/>
          <w:szCs w:val="21"/>
        </w:rPr>
        <w:t>本文件起草单位：福建福清核电有限公司、三门核电有限公司、江苏核电有限公司、秦山核电有限公司、中广核阳江核电有限公司、华能昌江核电有限公司、中广核台山核电有限公司。</w:t>
      </w:r>
    </w:p>
    <w:p w14:paraId="7B66AA47">
      <w:pPr>
        <w:pStyle w:val="134"/>
        <w:spacing w:before="0" w:beforeAutospacing="0" w:after="0" w:afterAutospacing="0"/>
        <w:ind w:firstLine="420"/>
        <w:jc w:val="both"/>
        <w:rPr>
          <w:color w:val="000000"/>
          <w:sz w:val="21"/>
          <w:szCs w:val="21"/>
        </w:rPr>
      </w:pPr>
      <w:r>
        <w:rPr>
          <w:rFonts w:hint="eastAsia"/>
          <w:color w:val="000000"/>
          <w:sz w:val="21"/>
          <w:szCs w:val="21"/>
        </w:rPr>
        <w:t>本文件主要起草人：陈路标、游志泽、何正飞</w:t>
      </w:r>
      <w:r>
        <w:rPr>
          <w:color w:val="000000"/>
          <w:sz w:val="21"/>
          <w:szCs w:val="21"/>
        </w:rPr>
        <w:t>、陈</w:t>
      </w:r>
      <w:r>
        <w:rPr>
          <w:rFonts w:hint="eastAsia"/>
          <w:color w:val="000000"/>
          <w:sz w:val="21"/>
          <w:szCs w:val="21"/>
        </w:rPr>
        <w:t xml:space="preserve">  </w:t>
      </w:r>
      <w:r>
        <w:rPr>
          <w:color w:val="000000"/>
          <w:sz w:val="21"/>
          <w:szCs w:val="21"/>
        </w:rPr>
        <w:t>屹</w:t>
      </w:r>
      <w:r>
        <w:rPr>
          <w:rFonts w:hint="eastAsia"/>
          <w:color w:val="000000"/>
          <w:sz w:val="21"/>
          <w:szCs w:val="21"/>
        </w:rPr>
        <w:t>、郁开权</w:t>
      </w:r>
      <w:r>
        <w:rPr>
          <w:color w:val="000000"/>
          <w:sz w:val="21"/>
          <w:szCs w:val="21"/>
        </w:rPr>
        <w:t>、班</w:t>
      </w:r>
      <w:r>
        <w:rPr>
          <w:rFonts w:hint="eastAsia"/>
          <w:color w:val="000000"/>
          <w:sz w:val="21"/>
          <w:szCs w:val="21"/>
        </w:rPr>
        <w:t xml:space="preserve">  </w:t>
      </w:r>
      <w:r>
        <w:rPr>
          <w:color w:val="000000"/>
          <w:sz w:val="21"/>
          <w:szCs w:val="21"/>
        </w:rPr>
        <w:t>钊、</w:t>
      </w:r>
      <w:r>
        <w:rPr>
          <w:rFonts w:hint="eastAsia"/>
          <w:color w:val="000000"/>
          <w:sz w:val="21"/>
          <w:szCs w:val="21"/>
        </w:rPr>
        <w:t>关文轩、陈金龙、徐庆丰。</w:t>
      </w:r>
    </w:p>
    <w:p w14:paraId="4CB77CBA">
      <w:pPr>
        <w:pStyle w:val="134"/>
        <w:spacing w:before="0" w:beforeAutospacing="0" w:after="0" w:afterAutospacing="0"/>
        <w:ind w:firstLine="420"/>
        <w:jc w:val="both"/>
        <w:rPr>
          <w:color w:val="000000"/>
          <w:sz w:val="21"/>
          <w:szCs w:val="21"/>
        </w:rPr>
      </w:pPr>
      <w:r>
        <w:rPr>
          <w:rFonts w:hint="eastAsia"/>
          <w:color w:val="000000"/>
          <w:sz w:val="21"/>
          <w:szCs w:val="21"/>
        </w:rPr>
        <w:t>本文件为首次发布。</w:t>
      </w:r>
    </w:p>
    <w:p w14:paraId="35198C29">
      <w:pPr>
        <w:pStyle w:val="21"/>
      </w:pPr>
    </w:p>
    <w:p w14:paraId="7CD2C1D3">
      <w:pPr>
        <w:pStyle w:val="21"/>
      </w:pPr>
    </w:p>
    <w:p w14:paraId="62D14A74">
      <w:pPr>
        <w:pStyle w:val="21"/>
      </w:pPr>
    </w:p>
    <w:p w14:paraId="02B929F5">
      <w:pPr>
        <w:pStyle w:val="21"/>
      </w:pPr>
    </w:p>
    <w:p w14:paraId="317DCFF5">
      <w:pPr>
        <w:pStyle w:val="21"/>
      </w:pPr>
    </w:p>
    <w:p w14:paraId="322C6865">
      <w:pPr>
        <w:pStyle w:val="21"/>
        <w:rPr>
          <w:color w:val="000000"/>
          <w:szCs w:val="21"/>
          <w:shd w:val="clear" w:color="auto" w:fill="FFFFFF"/>
        </w:rPr>
      </w:pPr>
    </w:p>
    <w:p w14:paraId="285C29B8">
      <w:pPr>
        <w:pStyle w:val="45"/>
        <w:numPr>
          <w:ilvl w:val="0"/>
          <w:numId w:val="0"/>
        </w:numPr>
        <w:ind w:left="833"/>
      </w:pPr>
    </w:p>
    <w:p w14:paraId="6BF0A0BE">
      <w:pPr>
        <w:pStyle w:val="45"/>
        <w:numPr>
          <w:ilvl w:val="0"/>
          <w:numId w:val="0"/>
        </w:numPr>
        <w:ind w:left="833"/>
      </w:pPr>
    </w:p>
    <w:p w14:paraId="64E4A815">
      <w:pPr>
        <w:pStyle w:val="45"/>
        <w:numPr>
          <w:ilvl w:val="0"/>
          <w:numId w:val="0"/>
        </w:numPr>
        <w:ind w:left="833"/>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15862CC1">
      <w:pPr>
        <w:pStyle w:val="47"/>
      </w:pPr>
      <w:bookmarkStart w:id="19" w:name="StandardName"/>
      <w:r>
        <w:rPr>
          <w:rFonts w:hint="eastAsia"/>
        </w:rPr>
        <w:t>压水堆汽轮机跳闸、反应堆不停堆操作</w:t>
      </w:r>
      <w:bookmarkEnd w:id="19"/>
      <w:r>
        <w:rPr>
          <w:rFonts w:hint="eastAsia"/>
        </w:rPr>
        <w:t>规范</w:t>
      </w:r>
    </w:p>
    <w:p w14:paraId="21DD88DB">
      <w:pPr>
        <w:pStyle w:val="42"/>
      </w:pPr>
      <w:bookmarkStart w:id="20" w:name="_Toc46228654"/>
      <w:bookmarkStart w:id="21" w:name="_Toc475687365"/>
      <w:r>
        <w:rPr>
          <w:rFonts w:hint="eastAsia"/>
        </w:rPr>
        <w:t>范围</w:t>
      </w:r>
      <w:bookmarkEnd w:id="20"/>
      <w:bookmarkEnd w:id="21"/>
    </w:p>
    <w:p w14:paraId="6F3B4AC2">
      <w:pPr>
        <w:pStyle w:val="21"/>
      </w:pPr>
      <w:r>
        <w:rPr>
          <w:rFonts w:hint="eastAsia"/>
        </w:rPr>
        <w:t>本文件适用于民用压水堆核电机组正常功率运行期间，发生汽轮机跳闸而反应堆未紧急停堆工况时的诊断、操作及干预原则，用以指导核电厂运行人员顺利将机组带到安全稳定的状态。</w:t>
      </w:r>
    </w:p>
    <w:p w14:paraId="5D3B12B3">
      <w:pPr>
        <w:pStyle w:val="21"/>
      </w:pPr>
      <w:r>
        <w:rPr>
          <w:rFonts w:hint="eastAsia"/>
        </w:rPr>
        <w:t>本文件适用于运行阶段压水堆核电厂。</w:t>
      </w:r>
    </w:p>
    <w:p w14:paraId="1A3E5212">
      <w:pPr>
        <w:pStyle w:val="42"/>
      </w:pPr>
      <w:bookmarkStart w:id="22" w:name="_Toc46228655"/>
      <w:bookmarkStart w:id="23" w:name="_Toc475687366"/>
      <w:r>
        <w:rPr>
          <w:rFonts w:hint="eastAsia"/>
        </w:rPr>
        <w:t>规范性引用文件</w:t>
      </w:r>
      <w:bookmarkEnd w:id="22"/>
      <w:bookmarkEnd w:id="23"/>
    </w:p>
    <w:p w14:paraId="7950D181">
      <w:pPr>
        <w:pStyle w:val="21"/>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5257235D">
      <w:pPr>
        <w:pStyle w:val="21"/>
        <w:rPr>
          <w:rFonts w:hAnsi="宋体"/>
          <w:color w:val="000000"/>
          <w:sz w:val="24"/>
          <w:szCs w:val="24"/>
        </w:rPr>
      </w:pPr>
      <w:r>
        <w:rPr>
          <w:rFonts w:hint="eastAsia"/>
        </w:rPr>
        <w:t>NB/T 25029-2014 核电厂汽轮机运行维护导则</w:t>
      </w:r>
    </w:p>
    <w:p w14:paraId="2590D038">
      <w:pPr>
        <w:pStyle w:val="42"/>
      </w:pPr>
      <w:bookmarkStart w:id="24" w:name="_Toc475687367"/>
      <w:bookmarkEnd w:id="24"/>
      <w:bookmarkStart w:id="25" w:name="_Toc46228656"/>
      <w:r>
        <w:rPr>
          <w:rFonts w:hint="eastAsia"/>
        </w:rPr>
        <w:t>术语和定义</w:t>
      </w:r>
      <w:bookmarkEnd w:id="25"/>
    </w:p>
    <w:p w14:paraId="573949B9">
      <w:pPr>
        <w:pStyle w:val="21"/>
        <w:ind w:firstLine="0" w:firstLineChars="0"/>
        <w:rPr>
          <w:color w:val="000000"/>
          <w:szCs w:val="21"/>
        </w:rPr>
      </w:pPr>
      <w:r>
        <w:rPr>
          <w:rFonts w:hint="eastAsia"/>
          <w:color w:val="000000"/>
          <w:szCs w:val="21"/>
        </w:rPr>
        <w:t>下列术语和定义适用于本文件。</w:t>
      </w:r>
    </w:p>
    <w:p w14:paraId="0055E82C">
      <w:pPr>
        <w:pStyle w:val="39"/>
      </w:pPr>
      <w:r>
        <w:rPr>
          <w:rFonts w:hint="eastAsia"/>
        </w:rPr>
        <w:t>停堆（Reactor Stopped）：指反应堆因保护信号动作而自动停运，或因热工水力参数恶化或运行技术规范</w:t>
      </w:r>
      <w:r>
        <w:rPr>
          <w:rFonts w:hint="eastAsia"/>
          <w:lang w:val="en-US" w:eastAsia="zh-CN"/>
        </w:rPr>
        <w:t>/技术规格书</w:t>
      </w:r>
      <w:bookmarkStart w:id="28" w:name="_GoBack"/>
      <w:bookmarkEnd w:id="28"/>
      <w:r>
        <w:rPr>
          <w:rFonts w:hint="eastAsia"/>
        </w:rPr>
        <w:t>规定需要手动停运反应堆。</w:t>
      </w:r>
    </w:p>
    <w:p w14:paraId="7BC47491">
      <w:pPr>
        <w:pStyle w:val="42"/>
      </w:pPr>
      <w:r>
        <w:rPr>
          <w:rFonts w:hint="eastAsia"/>
        </w:rPr>
        <w:t>运行控制规范</w:t>
      </w:r>
    </w:p>
    <w:p w14:paraId="3138DAC8">
      <w:pPr>
        <w:pStyle w:val="39"/>
      </w:pPr>
      <w:r>
        <w:rPr>
          <w:rFonts w:hint="eastAsia"/>
        </w:rPr>
        <w:t>总体原则</w:t>
      </w:r>
    </w:p>
    <w:p w14:paraId="1ADF2C10">
      <w:pPr>
        <w:pStyle w:val="43"/>
        <w:spacing w:before="156" w:after="156"/>
      </w:pPr>
      <w:r>
        <w:rPr>
          <w:rFonts w:hint="eastAsia"/>
        </w:rPr>
        <w:t>在反应堆功率和其他重要参数在自动控制状态下处于瞬态变化过程而未稳定的情况下，干预控制系统的自动动作是不适宜的，但应当密切监视一回路堆功率、一回路压力、稳压器水位、蒸汽旁路排放阀动作情况、除氧器压力与水位、蒸汽发生器水位等。</w:t>
      </w:r>
    </w:p>
    <w:p w14:paraId="3734BDFE">
      <w:pPr>
        <w:pStyle w:val="43"/>
        <w:spacing w:before="156" w:after="156"/>
      </w:pPr>
      <w:r>
        <w:rPr>
          <w:rFonts w:hint="eastAsia"/>
        </w:rPr>
        <w:t>为防止发电机停运后被误上电，应当采取隔离措施或投入发电机出口断路器误上电保护，避免发电机误上电风险。</w:t>
      </w:r>
    </w:p>
    <w:p w14:paraId="36EB957D">
      <w:pPr>
        <w:pStyle w:val="43"/>
        <w:spacing w:before="156" w:after="156"/>
      </w:pPr>
      <w:r>
        <w:rPr>
          <w:rFonts w:hint="eastAsia"/>
        </w:rPr>
        <w:t>若计划停机时间超过24小时，宜将蒸汽旁路排放系统控制切换至压力模式，避免蒸汽负荷意外增加，一回路过冷导致反应性增加，继而产生可能的停堆信号。</w:t>
      </w:r>
    </w:p>
    <w:p w14:paraId="5E3EBD14">
      <w:pPr>
        <w:pStyle w:val="39"/>
      </w:pPr>
      <w:r>
        <w:rPr>
          <w:rFonts w:hint="eastAsia"/>
        </w:rPr>
        <w:t>现象诊断</w:t>
      </w:r>
    </w:p>
    <w:p w14:paraId="55FE3862">
      <w:pPr>
        <w:pStyle w:val="43"/>
        <w:spacing w:before="156" w:after="156"/>
      </w:pPr>
      <w:r>
        <w:rPr>
          <w:rFonts w:hint="eastAsia"/>
        </w:rPr>
        <w:t>检查汽机跳闸指示灯亮，该指示灯表征汽机跳闸。</w:t>
      </w:r>
    </w:p>
    <w:p w14:paraId="341B45AB">
      <w:pPr>
        <w:pStyle w:val="43"/>
        <w:spacing w:before="156" w:after="156"/>
      </w:pPr>
      <w:r>
        <w:rPr>
          <w:rFonts w:hint="eastAsia"/>
        </w:rPr>
        <w:t>检查汽机安全油压力低信号出现，该信号用以确认跳机信号已产生。</w:t>
      </w:r>
    </w:p>
    <w:p w14:paraId="3F77F5DE">
      <w:pPr>
        <w:pStyle w:val="43"/>
        <w:spacing w:before="156" w:after="156"/>
      </w:pPr>
      <w:r>
        <w:rPr>
          <w:rFonts w:hint="eastAsia"/>
        </w:rPr>
        <w:t>核对汽机进汽阀已关闭。</w:t>
      </w:r>
    </w:p>
    <w:p w14:paraId="6A5F0DC2">
      <w:pPr>
        <w:pStyle w:val="43"/>
        <w:spacing w:before="156" w:after="156"/>
      </w:pPr>
      <w:r>
        <w:rPr>
          <w:rFonts w:hint="eastAsia"/>
        </w:rPr>
        <w:t>检查反应堆未停堆，停堆信号未出现。</w:t>
      </w:r>
    </w:p>
    <w:p w14:paraId="13598FDE">
      <w:pPr>
        <w:pStyle w:val="43"/>
        <w:spacing w:before="156" w:after="156"/>
      </w:pPr>
      <w:r>
        <w:rPr>
          <w:rFonts w:hint="eastAsia"/>
        </w:rPr>
        <w:t>检查停堆棒组全部</w:t>
      </w:r>
      <w:r>
        <w:t>或部分</w:t>
      </w:r>
      <w:r>
        <w:rPr>
          <w:rFonts w:hint="eastAsia"/>
        </w:rPr>
        <w:t>在堆顶，未完全落下。</w:t>
      </w:r>
    </w:p>
    <w:p w14:paraId="7241243E">
      <w:pPr>
        <w:pStyle w:val="39"/>
      </w:pPr>
      <w:r>
        <w:rPr>
          <w:rFonts w:hint="eastAsia"/>
        </w:rPr>
        <w:t>汽轮机的干预操作</w:t>
      </w:r>
    </w:p>
    <w:p w14:paraId="7A3A35AD">
      <w:pPr>
        <w:pStyle w:val="43"/>
        <w:spacing w:before="156" w:after="156"/>
      </w:pPr>
      <w:r>
        <w:rPr>
          <w:rFonts w:hint="eastAsia"/>
        </w:rPr>
        <w:t>即时干预</w:t>
      </w:r>
    </w:p>
    <w:p w14:paraId="63D1B13A">
      <w:pPr>
        <w:pStyle w:val="48"/>
        <w:spacing w:before="156" w:after="156"/>
      </w:pPr>
      <w:r>
        <w:rPr>
          <w:rFonts w:hint="eastAsia"/>
        </w:rPr>
        <w:t>确认汽轮机</w:t>
      </w:r>
      <w:r>
        <w:t>手动或保护停机信号出现</w:t>
      </w:r>
      <w:r>
        <w:rPr>
          <w:rFonts w:hint="eastAsia"/>
        </w:rPr>
        <w:t>。</w:t>
      </w:r>
    </w:p>
    <w:p w14:paraId="29EACD0E">
      <w:pPr>
        <w:pStyle w:val="48"/>
        <w:spacing w:before="156" w:after="156"/>
      </w:pPr>
      <w:r>
        <w:rPr>
          <w:rFonts w:hint="eastAsia"/>
        </w:rPr>
        <w:t>检查发电机出口断路器断开，确认发电机组与电网解列。</w:t>
      </w:r>
    </w:p>
    <w:p w14:paraId="07C81344">
      <w:pPr>
        <w:pStyle w:val="48"/>
        <w:spacing w:before="156" w:after="156"/>
      </w:pPr>
      <w:r>
        <w:rPr>
          <w:rFonts w:hint="eastAsia"/>
        </w:rPr>
        <w:t>核对汽机转速正常下降。</w:t>
      </w:r>
    </w:p>
    <w:p w14:paraId="40BA2BF3">
      <w:pPr>
        <w:pStyle w:val="48"/>
        <w:spacing w:before="156" w:after="156"/>
      </w:pPr>
      <w:r>
        <w:rPr>
          <w:rFonts w:hint="eastAsia"/>
        </w:rPr>
        <w:t>确认汽机电动润滑油泵已启动，用以向汽机提供润滑油。</w:t>
      </w:r>
    </w:p>
    <w:p w14:paraId="1BE9FC7B">
      <w:pPr>
        <w:pStyle w:val="48"/>
        <w:spacing w:before="156" w:after="156"/>
      </w:pPr>
      <w:r>
        <w:rPr>
          <w:rFonts w:hint="eastAsia"/>
        </w:rPr>
        <w:t>对于</w:t>
      </w:r>
      <w:r>
        <w:t>设置了最终功率整定值的机组，</w:t>
      </w:r>
      <w:r>
        <w:rPr>
          <w:rFonts w:hint="eastAsia"/>
        </w:rPr>
        <w:t>确认最终功率整定值已生成，其大小与初始功率水平有关。</w:t>
      </w:r>
    </w:p>
    <w:p w14:paraId="01308F23">
      <w:pPr>
        <w:pStyle w:val="48"/>
        <w:spacing w:before="156" w:after="156"/>
      </w:pPr>
      <w:r>
        <w:rPr>
          <w:rFonts w:hint="eastAsia"/>
        </w:rPr>
        <w:t>确认蒸汽旁路排放阀门正常开启，用以排出反应堆产生的多余功率。</w:t>
      </w:r>
    </w:p>
    <w:p w14:paraId="3B1EF1E7">
      <w:pPr>
        <w:pStyle w:val="48"/>
        <w:spacing w:before="156" w:after="156"/>
      </w:pPr>
      <w:r>
        <w:rPr>
          <w:rFonts w:hint="eastAsia"/>
        </w:rPr>
        <w:t>确认汽机各级抽汽逆止阀和抽汽隔离阀自动关闭，避免汽机超速和进水产生水击。</w:t>
      </w:r>
    </w:p>
    <w:p w14:paraId="1B9A6A2D">
      <w:pPr>
        <w:pStyle w:val="48"/>
        <w:spacing w:before="156" w:after="156"/>
      </w:pPr>
      <w:r>
        <w:rPr>
          <w:rFonts w:hint="eastAsia"/>
        </w:rPr>
        <w:t>确认汽机汽水分离再热系统已停运。</w:t>
      </w:r>
    </w:p>
    <w:p w14:paraId="0ECC8821">
      <w:pPr>
        <w:pStyle w:val="48"/>
        <w:spacing w:before="156" w:after="156"/>
      </w:pPr>
      <w:r>
        <w:rPr>
          <w:rFonts w:hint="eastAsia"/>
        </w:rPr>
        <w:t>确认汽轮机疏水阀已开启，确认低压缸喷淋已投入，用以避免低压缸末级叶片过热。</w:t>
      </w:r>
    </w:p>
    <w:p w14:paraId="32AD73F7">
      <w:pPr>
        <w:pStyle w:val="48"/>
        <w:spacing w:before="156" w:after="156"/>
      </w:pPr>
      <w:r>
        <w:rPr>
          <w:rFonts w:hint="eastAsia"/>
        </w:rPr>
        <w:t>确认汽机轴封系统运行正常，轴封压力正常。</w:t>
      </w:r>
    </w:p>
    <w:p w14:paraId="05C57B8F">
      <w:pPr>
        <w:pStyle w:val="48"/>
        <w:spacing w:before="156" w:after="156"/>
      </w:pPr>
      <w:r>
        <w:rPr>
          <w:rFonts w:hint="eastAsia"/>
        </w:rPr>
        <w:t>确认发电机油氢压差、水氢压差正常。</w:t>
      </w:r>
    </w:p>
    <w:p w14:paraId="5EE7447E">
      <w:pPr>
        <w:pStyle w:val="48"/>
        <w:spacing w:before="156" w:after="156"/>
      </w:pPr>
      <w:r>
        <w:rPr>
          <w:rFonts w:hint="eastAsia"/>
        </w:rPr>
        <w:t>确认汽机润滑油、顶轴油、盘车系统运行正常，润滑油、调节油压力正常。</w:t>
      </w:r>
    </w:p>
    <w:p w14:paraId="4EB14C4B">
      <w:pPr>
        <w:pStyle w:val="43"/>
        <w:spacing w:before="156" w:after="156"/>
      </w:pPr>
      <w:r>
        <w:rPr>
          <w:rFonts w:hint="eastAsia"/>
        </w:rPr>
        <w:t>稳定二回路工况</w:t>
      </w:r>
    </w:p>
    <w:p w14:paraId="04E60F1F">
      <w:pPr>
        <w:pStyle w:val="48"/>
        <w:spacing w:before="156" w:after="156"/>
      </w:pPr>
      <w:r>
        <w:rPr>
          <w:rFonts w:hint="eastAsia"/>
        </w:rPr>
        <w:t>稳定除氧器压力和水位</w:t>
      </w:r>
    </w:p>
    <w:p w14:paraId="65B863E1">
      <w:pPr>
        <w:pStyle w:val="52"/>
        <w:spacing w:before="156" w:after="156"/>
      </w:pPr>
      <w:r>
        <w:rPr>
          <w:rFonts w:hint="eastAsia"/>
        </w:rPr>
        <w:t>确认主蒸汽系统向除氧器的供汽阀门动作正常。</w:t>
      </w:r>
    </w:p>
    <w:p w14:paraId="4321CD19">
      <w:pPr>
        <w:pStyle w:val="52"/>
        <w:spacing w:before="156" w:after="156"/>
      </w:pPr>
      <w:r>
        <w:rPr>
          <w:rFonts w:hint="eastAsia"/>
        </w:rPr>
        <w:t>对于设置有保压逻辑的除氧器，应检查除氧器安全阀状态，确认安全阀在关闭状态。</w:t>
      </w:r>
    </w:p>
    <w:p w14:paraId="23C5FB5A">
      <w:pPr>
        <w:pStyle w:val="52"/>
        <w:spacing w:before="156" w:after="156"/>
      </w:pPr>
      <w:r>
        <w:rPr>
          <w:rFonts w:hint="eastAsia"/>
        </w:rPr>
        <w:t>调整除氧器压力至目标压力，并将除氧器压力控制阀置自动控制。</w:t>
      </w:r>
    </w:p>
    <w:p w14:paraId="3B07A318">
      <w:pPr>
        <w:pStyle w:val="52"/>
        <w:spacing w:before="156" w:after="156"/>
      </w:pPr>
      <w:r>
        <w:rPr>
          <w:rFonts w:hint="eastAsia"/>
        </w:rPr>
        <w:t>监视除氧器液位，确认凝汽器向除氧器供水调节阀自动动作正确。如凝汽器向除氧器供水调节阀在瞬态过程切换为手动控制，恢复除氧器水位至要求的值后，将其恢复自动。调节除氧器水位期间应避免凝结水泵因出口</w:t>
      </w:r>
      <w:r>
        <w:t>压力保护信号</w:t>
      </w:r>
      <w:r>
        <w:rPr>
          <w:rFonts w:hint="eastAsia"/>
        </w:rPr>
        <w:t>而停运。</w:t>
      </w:r>
    </w:p>
    <w:p w14:paraId="12D69DFA">
      <w:pPr>
        <w:pStyle w:val="48"/>
        <w:spacing w:before="156" w:after="156"/>
      </w:pPr>
      <w:r>
        <w:rPr>
          <w:rFonts w:hint="eastAsia"/>
        </w:rPr>
        <w:t>稳定蒸汽发生器水位</w:t>
      </w:r>
    </w:p>
    <w:p w14:paraId="4CFC6DC6">
      <w:pPr>
        <w:pStyle w:val="52"/>
        <w:spacing w:before="156" w:after="156"/>
      </w:pPr>
      <w:r>
        <w:rPr>
          <w:rFonts w:hint="eastAsia"/>
        </w:rPr>
        <w:t>观察蒸汽发生器水位趋势，对于采用立式蒸汽发生器的堆型，瞬态过程中蒸汽发生器水位将发生较大的波动。</w:t>
      </w:r>
    </w:p>
    <w:p w14:paraId="64AB0DC0">
      <w:pPr>
        <w:pStyle w:val="52"/>
        <w:spacing w:before="156" w:after="156"/>
      </w:pPr>
      <w:r>
        <w:rPr>
          <w:rFonts w:hint="eastAsia"/>
        </w:rPr>
        <w:t>检查汽水母管压差实际值与整定值，汽水母管压差实际值应与整定值接近。</w:t>
      </w:r>
      <w:r>
        <w:rPr>
          <w:rFonts w:hint="eastAsia"/>
          <w:i/>
        </w:rPr>
        <w:t>(对于未</w:t>
      </w:r>
      <w:r>
        <w:rPr>
          <w:i/>
        </w:rPr>
        <w:t>设置</w:t>
      </w:r>
      <w:r>
        <w:rPr>
          <w:rFonts w:hint="eastAsia"/>
          <w:i/>
        </w:rPr>
        <w:t>汽水压差</w:t>
      </w:r>
      <w:r>
        <w:rPr>
          <w:i/>
        </w:rPr>
        <w:t>调节系统的</w:t>
      </w:r>
      <w:r>
        <w:rPr>
          <w:rFonts w:hint="eastAsia"/>
          <w:i/>
        </w:rPr>
        <w:t>堆型</w:t>
      </w:r>
      <w:r>
        <w:rPr>
          <w:i/>
        </w:rPr>
        <w:t>，</w:t>
      </w:r>
      <w:r>
        <w:rPr>
          <w:rFonts w:hint="eastAsia"/>
          <w:i/>
        </w:rPr>
        <w:t>忽略</w:t>
      </w:r>
      <w:r>
        <w:rPr>
          <w:i/>
        </w:rPr>
        <w:t>本步骤</w:t>
      </w:r>
      <w:r>
        <w:rPr>
          <w:rFonts w:hint="eastAsia"/>
          <w:i/>
        </w:rPr>
        <w:t>)</w:t>
      </w:r>
    </w:p>
    <w:p w14:paraId="5CB3E80A">
      <w:pPr>
        <w:pStyle w:val="52"/>
        <w:spacing w:before="156" w:after="156"/>
      </w:pPr>
      <w:r>
        <w:rPr>
          <w:rFonts w:hint="eastAsia"/>
        </w:rPr>
        <w:t>检查主给水泵转速变化趋势与调节系统要求一致。汽机跳机后，反应堆功率将降低，预期主给水泵转速将下降。</w:t>
      </w:r>
      <w:r>
        <w:rPr>
          <w:rFonts w:hint="eastAsia"/>
          <w:i/>
        </w:rPr>
        <w:t>(对于未</w:t>
      </w:r>
      <w:r>
        <w:rPr>
          <w:i/>
        </w:rPr>
        <w:t>设置转速调节系统的</w:t>
      </w:r>
      <w:r>
        <w:rPr>
          <w:rFonts w:hint="eastAsia"/>
          <w:i/>
        </w:rPr>
        <w:t>堆型</w:t>
      </w:r>
      <w:r>
        <w:rPr>
          <w:i/>
        </w:rPr>
        <w:t>，</w:t>
      </w:r>
      <w:r>
        <w:rPr>
          <w:rFonts w:hint="eastAsia"/>
          <w:i/>
        </w:rPr>
        <w:t>忽略</w:t>
      </w:r>
      <w:r>
        <w:rPr>
          <w:i/>
        </w:rPr>
        <w:t>本步骤</w:t>
      </w:r>
      <w:r>
        <w:rPr>
          <w:rFonts w:hint="eastAsia"/>
          <w:i/>
        </w:rPr>
        <w:t>)</w:t>
      </w:r>
    </w:p>
    <w:p w14:paraId="4CFA9F4E">
      <w:pPr>
        <w:pStyle w:val="52"/>
        <w:spacing w:before="156" w:after="156"/>
      </w:pPr>
      <w:r>
        <w:rPr>
          <w:rFonts w:hint="eastAsia"/>
        </w:rPr>
        <w:t>改变主给水泵配置以抑制蒸汽发生器水位上涨：如主给水泵转速已降低至程序设定的最低转速，而汽水母管压差实际值大于整定值，导致蒸汽发生器水位自动调节持续上涨，手动增加主给水泵再循环阀开度以降低主给水泵出口压力；或核功率降低至一定值后，停运一台主给水泵。</w:t>
      </w:r>
      <w:r>
        <w:rPr>
          <w:rFonts w:hint="eastAsia"/>
          <w:i/>
        </w:rPr>
        <w:t>(对于未</w:t>
      </w:r>
      <w:r>
        <w:rPr>
          <w:i/>
        </w:rPr>
        <w:t>设置转速调节系统的</w:t>
      </w:r>
      <w:r>
        <w:rPr>
          <w:rFonts w:hint="eastAsia"/>
          <w:i/>
        </w:rPr>
        <w:t>堆型</w:t>
      </w:r>
      <w:r>
        <w:rPr>
          <w:i/>
        </w:rPr>
        <w:t>，</w:t>
      </w:r>
      <w:r>
        <w:rPr>
          <w:rFonts w:hint="eastAsia"/>
          <w:i/>
        </w:rPr>
        <w:t>忽略</w:t>
      </w:r>
      <w:r>
        <w:rPr>
          <w:i/>
        </w:rPr>
        <w:t>本步骤</w:t>
      </w:r>
      <w:r>
        <w:rPr>
          <w:rFonts w:hint="eastAsia"/>
          <w:i/>
        </w:rPr>
        <w:t>)</w:t>
      </w:r>
    </w:p>
    <w:p w14:paraId="3F9CA95A">
      <w:pPr>
        <w:pStyle w:val="52"/>
        <w:spacing w:before="156" w:after="156"/>
      </w:pPr>
      <w:r>
        <w:rPr>
          <w:rFonts w:hint="eastAsia"/>
        </w:rPr>
        <w:t>蒸汽发生器给水调节阀手动干预：如6.2.2.4节干预失败，考虑将蒸汽发生器给水调节阀置手动控制，避免蒸汽发生器水位继续上涨产生紧急停堆信号；蒸汽发生器水位稳定至整定值后，将给水调节阀恢复自动。</w:t>
      </w:r>
    </w:p>
    <w:p w14:paraId="63B97983">
      <w:pPr>
        <w:pStyle w:val="48"/>
        <w:spacing w:before="156" w:after="156"/>
      </w:pPr>
      <w:r>
        <w:rPr>
          <w:rFonts w:hint="eastAsia"/>
        </w:rPr>
        <w:t>稳定凝汽器水位</w:t>
      </w:r>
    </w:p>
    <w:p w14:paraId="43BCAD9D">
      <w:pPr>
        <w:pStyle w:val="52"/>
        <w:numPr>
          <w:ilvl w:val="0"/>
          <w:numId w:val="0"/>
        </w:numPr>
        <w:spacing w:before="156" w:after="156"/>
      </w:pPr>
      <w:r>
        <w:rPr>
          <w:rFonts w:hint="eastAsia"/>
        </w:rPr>
        <w:t>若凝汽器水位高，则开启凝汽器排水阀，水位正常后再关闭。</w:t>
      </w:r>
    </w:p>
    <w:p w14:paraId="20EF9250">
      <w:pPr>
        <w:pStyle w:val="48"/>
        <w:spacing w:before="156" w:after="156"/>
      </w:pPr>
      <w:r>
        <w:rPr>
          <w:rFonts w:hint="eastAsia"/>
        </w:rPr>
        <w:t>稳定后的后续操作</w:t>
      </w:r>
    </w:p>
    <w:p w14:paraId="5A317986">
      <w:pPr>
        <w:pStyle w:val="52"/>
        <w:spacing w:before="156" w:after="156"/>
      </w:pPr>
      <w:r>
        <w:rPr>
          <w:rFonts w:hint="eastAsia"/>
        </w:rPr>
        <w:t>确认汽机转速降低，顶轴油泵启动，若汽机盘车装置为电动盘车，则确认盘车电机启动。</w:t>
      </w:r>
    </w:p>
    <w:p w14:paraId="3EAB93E4">
      <w:pPr>
        <w:pStyle w:val="52"/>
        <w:spacing w:before="156" w:after="156"/>
      </w:pPr>
      <w:r>
        <w:rPr>
          <w:rFonts w:hint="eastAsia"/>
        </w:rPr>
        <w:t>确认各级加热器疏水泵自动停运。</w:t>
      </w:r>
    </w:p>
    <w:p w14:paraId="1FF2FCD6">
      <w:pPr>
        <w:pStyle w:val="52"/>
        <w:spacing w:before="156" w:after="156"/>
      </w:pPr>
      <w:r>
        <w:rPr>
          <w:rFonts w:hint="eastAsia"/>
        </w:rPr>
        <w:t>确认汽机转速降低至盘车转速后，汽机转子维持在盘车转速。若主盘车不可用，则启动辅助盘车，必要时可组织相关人员执行汽机闷缸操作。</w:t>
      </w:r>
      <w:r>
        <w:rPr>
          <w:rFonts w:hint="eastAsia"/>
          <w:i/>
        </w:rPr>
        <w:t>（对于未</w:t>
      </w:r>
      <w:r>
        <w:rPr>
          <w:i/>
        </w:rPr>
        <w:t>设置辅助盘车的堆型，忽略本步骤</w:t>
      </w:r>
      <w:r>
        <w:rPr>
          <w:rFonts w:hint="eastAsia"/>
          <w:i/>
        </w:rPr>
        <w:t>）</w:t>
      </w:r>
    </w:p>
    <w:p w14:paraId="5C62D56A">
      <w:pPr>
        <w:pStyle w:val="52"/>
        <w:spacing w:before="156" w:after="156"/>
      </w:pPr>
      <w:r>
        <w:t>确认汽机</w:t>
      </w:r>
      <w:r>
        <w:rPr>
          <w:rFonts w:hint="eastAsia"/>
        </w:rPr>
        <w:t>转子偏心度、转子位移、汽机胀差正常，汽机各轴承金属温度正常。</w:t>
      </w:r>
    </w:p>
    <w:p w14:paraId="2E85D49A">
      <w:pPr>
        <w:pStyle w:val="52"/>
        <w:spacing w:before="156" w:after="156"/>
      </w:pPr>
      <w:r>
        <w:rPr>
          <w:rFonts w:hint="eastAsia"/>
        </w:rPr>
        <w:t>确认发电机保护柜无异常报警。对于设置发电机正向低功率保护信号的机组，复归发电机正向低功率保护信号。</w:t>
      </w:r>
    </w:p>
    <w:p w14:paraId="6A21CCAE">
      <w:pPr>
        <w:pStyle w:val="52"/>
        <w:spacing w:before="156" w:after="156"/>
      </w:pPr>
      <w:r>
        <w:rPr>
          <w:rFonts w:hint="eastAsia"/>
        </w:rPr>
        <w:t>投入发电机误上电保护压板，防止发电机误上电和</w:t>
      </w:r>
      <w:r>
        <w:t>突加电压</w:t>
      </w:r>
      <w:r>
        <w:rPr>
          <w:rFonts w:hint="eastAsia"/>
        </w:rPr>
        <w:t>。</w:t>
      </w:r>
    </w:p>
    <w:p w14:paraId="18E68C24">
      <w:pPr>
        <w:pStyle w:val="52"/>
        <w:spacing w:before="156" w:after="156"/>
      </w:pPr>
      <w:r>
        <w:rPr>
          <w:rFonts w:hint="eastAsia"/>
        </w:rPr>
        <w:t>调查汽机跳机原因，准备后续操作。</w:t>
      </w:r>
    </w:p>
    <w:p w14:paraId="2C7F3C46">
      <w:pPr>
        <w:pStyle w:val="39"/>
      </w:pPr>
      <w:r>
        <w:rPr>
          <w:rFonts w:hint="eastAsia"/>
        </w:rPr>
        <w:t>反应堆的干预操作</w:t>
      </w:r>
    </w:p>
    <w:p w14:paraId="38FA4405">
      <w:pPr>
        <w:pStyle w:val="43"/>
        <w:spacing w:before="156" w:after="156"/>
      </w:pPr>
      <w:r>
        <w:rPr>
          <w:rFonts w:hint="eastAsia"/>
        </w:rPr>
        <w:t>确认最终功率整定值已正确生成；</w:t>
      </w:r>
      <w:r>
        <w:t>对于未设置最终功率整定值的堆型，确认反应堆功率</w:t>
      </w:r>
      <w:r>
        <w:rPr>
          <w:rFonts w:hint="eastAsia"/>
        </w:rPr>
        <w:t>达到</w:t>
      </w:r>
      <w:r>
        <w:t>要求值。</w:t>
      </w:r>
    </w:p>
    <w:p w14:paraId="0C1EBCA0">
      <w:pPr>
        <w:pStyle w:val="43"/>
        <w:spacing w:before="156" w:after="156"/>
      </w:pPr>
      <w:r>
        <w:rPr>
          <w:rFonts w:hint="eastAsia"/>
        </w:rPr>
        <w:t>确认控制棒正常动作。</w:t>
      </w:r>
    </w:p>
    <w:p w14:paraId="7B43C43F">
      <w:pPr>
        <w:pStyle w:val="43"/>
        <w:spacing w:before="156" w:after="156"/>
      </w:pPr>
      <w:r>
        <w:rPr>
          <w:rFonts w:hint="eastAsia"/>
        </w:rPr>
        <w:t>确认稳压器压力控制自动动作正常。</w:t>
      </w:r>
    </w:p>
    <w:p w14:paraId="547DD717">
      <w:pPr>
        <w:pStyle w:val="43"/>
        <w:spacing w:before="156" w:after="156"/>
      </w:pPr>
      <w:r>
        <w:rPr>
          <w:rFonts w:hint="eastAsia"/>
        </w:rPr>
        <w:t>确认稳压器水位控制自动动作正常。</w:t>
      </w:r>
    </w:p>
    <w:p w14:paraId="3F588963">
      <w:pPr>
        <w:pStyle w:val="43"/>
        <w:spacing w:before="156" w:after="156"/>
      </w:pPr>
      <w:r>
        <w:rPr>
          <w:rFonts w:hint="eastAsia"/>
        </w:rPr>
        <w:t>确认一回路平均温度稳定在参考温度值。</w:t>
      </w:r>
    </w:p>
    <w:p w14:paraId="190BF461">
      <w:pPr>
        <w:pStyle w:val="43"/>
        <w:spacing w:before="156" w:after="156"/>
      </w:pPr>
      <w:r>
        <w:rPr>
          <w:rFonts w:hint="eastAsia"/>
        </w:rPr>
        <w:t>确认瞬态结束后，控制棒棒位与目标棒位接近。</w:t>
      </w:r>
    </w:p>
    <w:p w14:paraId="7887F7C5">
      <w:pPr>
        <w:pStyle w:val="43"/>
        <w:spacing w:before="156" w:after="156"/>
      </w:pPr>
      <w:r>
        <w:rPr>
          <w:rFonts w:hint="eastAsia"/>
        </w:rPr>
        <w:t>确认核功率稳定在最终功率整定值附近，核功率过高可能触发反应堆停堆，功率过低可能影响蒸汽发生器水位控制。</w:t>
      </w:r>
    </w:p>
    <w:p w14:paraId="474E83B0">
      <w:pPr>
        <w:pStyle w:val="39"/>
      </w:pPr>
      <w:r>
        <w:rPr>
          <w:rFonts w:hint="eastAsia"/>
        </w:rPr>
        <w:t>氙毒控制</w:t>
      </w:r>
    </w:p>
    <w:p w14:paraId="1678F481">
      <w:pPr>
        <w:pStyle w:val="43"/>
        <w:spacing w:before="156" w:after="156"/>
      </w:pPr>
      <w:r>
        <w:rPr>
          <w:rFonts w:hint="eastAsia"/>
        </w:rPr>
        <w:t>若汽机跳闸前处于较高功率水平，由于氙毒的快速涨毒，温度调节棒在触底回升后将持续上提，为补偿氙毒的毒物效应，需进行大流量稀释。</w:t>
      </w:r>
    </w:p>
    <w:p w14:paraId="7C9F1ACB">
      <w:pPr>
        <w:pStyle w:val="43"/>
        <w:spacing w:before="156" w:after="156"/>
      </w:pPr>
      <w:r>
        <w:rPr>
          <w:rFonts w:hint="eastAsia"/>
        </w:rPr>
        <w:t>为避免违反安全准则，温度调节棒回到棒位低限以上才允许稀释。</w:t>
      </w:r>
    </w:p>
    <w:p w14:paraId="73AA5C70">
      <w:pPr>
        <w:pStyle w:val="43"/>
        <w:spacing w:before="156" w:after="156"/>
      </w:pPr>
      <w:r>
        <w:rPr>
          <w:rFonts w:hint="eastAsia"/>
        </w:rPr>
        <w:t>确认下泄流量满足大流量稀释要求。</w:t>
      </w:r>
    </w:p>
    <w:p w14:paraId="09D8C7E3">
      <w:pPr>
        <w:pStyle w:val="43"/>
        <w:spacing w:before="156" w:after="156"/>
      </w:pPr>
      <w:r>
        <w:rPr>
          <w:rFonts w:hint="eastAsia"/>
        </w:rPr>
        <w:t>启动大流量稀释，以抑制氙毒上涨和保持温度调节棒棒位在调节带范围内。</w:t>
      </w:r>
    </w:p>
    <w:p w14:paraId="6F4F15C4">
      <w:pPr>
        <w:pStyle w:val="43"/>
        <w:spacing w:before="156" w:after="156"/>
      </w:pPr>
      <w:r>
        <w:rPr>
          <w:rFonts w:hint="eastAsia"/>
        </w:rPr>
        <w:t>当氙毒效应减缓后，停止大流量稀释。</w:t>
      </w:r>
    </w:p>
    <w:p w14:paraId="00D85FBE">
      <w:pPr>
        <w:pStyle w:val="43"/>
        <w:spacing w:before="156" w:after="156"/>
      </w:pPr>
      <w:r>
        <w:rPr>
          <w:rFonts w:hint="eastAsia"/>
        </w:rPr>
        <w:t>恢复下泄流量至正常值。</w:t>
      </w:r>
    </w:p>
    <w:p w14:paraId="03569F17">
      <w:pPr>
        <w:pStyle w:val="43"/>
        <w:spacing w:before="156" w:after="156"/>
      </w:pPr>
      <w:r>
        <w:rPr>
          <w:rFonts w:hint="eastAsia"/>
        </w:rPr>
        <w:t>根据</w:t>
      </w:r>
      <w:r>
        <w:t>堆芯涨毒</w:t>
      </w:r>
      <w:r>
        <w:rPr>
          <w:rFonts w:hint="eastAsia"/>
        </w:rPr>
        <w:t>/消毒趋势，选择执行</w:t>
      </w:r>
      <w:r>
        <w:t>稀释</w:t>
      </w:r>
      <w:r>
        <w:rPr>
          <w:rFonts w:hint="eastAsia"/>
        </w:rPr>
        <w:t>/硼化</w:t>
      </w:r>
      <w:r>
        <w:t>操作。</w:t>
      </w:r>
    </w:p>
    <w:p w14:paraId="0A4BCD2E">
      <w:pPr>
        <w:pStyle w:val="39"/>
      </w:pPr>
      <w:r>
        <w:rPr>
          <w:rFonts w:hint="eastAsia"/>
        </w:rPr>
        <w:t>后续行动</w:t>
      </w:r>
    </w:p>
    <w:p w14:paraId="0637F1F8">
      <w:pPr>
        <w:pStyle w:val="43"/>
        <w:spacing w:before="156" w:after="156"/>
      </w:pPr>
      <w:r>
        <w:rPr>
          <w:rFonts w:hint="eastAsia"/>
        </w:rPr>
        <w:t>汽机冲转并网</w:t>
      </w:r>
    </w:p>
    <w:p w14:paraId="037AD55A">
      <w:pPr>
        <w:pStyle w:val="48"/>
        <w:spacing w:before="156" w:after="156"/>
      </w:pPr>
      <w:r>
        <w:rPr>
          <w:rFonts w:hint="eastAsia"/>
        </w:rPr>
        <w:t>如汽机跳机原因已查明，计划重新冲转并网，执行冲转并网相关文件进行汽机冲转并网。</w:t>
      </w:r>
    </w:p>
    <w:p w14:paraId="714300B1">
      <w:pPr>
        <w:pStyle w:val="48"/>
        <w:spacing w:before="156" w:after="156"/>
      </w:pPr>
      <w:r>
        <w:rPr>
          <w:rFonts w:hint="eastAsia"/>
        </w:rPr>
        <w:t>并网升功率时，应确认控制棒能在技术规范/技术规格书要求的时间内提至要求棒位。</w:t>
      </w:r>
    </w:p>
    <w:p w14:paraId="3D2D7676">
      <w:pPr>
        <w:pStyle w:val="43"/>
        <w:spacing w:before="156" w:after="156"/>
      </w:pPr>
      <w:r>
        <w:rPr>
          <w:rFonts w:hint="eastAsia"/>
        </w:rPr>
        <w:t>机组下行</w:t>
      </w:r>
    </w:p>
    <w:p w14:paraId="019338BD">
      <w:pPr>
        <w:pStyle w:val="52"/>
        <w:numPr>
          <w:ilvl w:val="0"/>
          <w:numId w:val="0"/>
        </w:numPr>
        <w:spacing w:before="156" w:after="156"/>
      </w:pPr>
      <w:r>
        <w:rPr>
          <w:rFonts w:hint="eastAsia"/>
        </w:rPr>
        <w:t>执行机组下行文件进行机组下行操作。</w:t>
      </w:r>
    </w:p>
    <w:p w14:paraId="0F7531BA">
      <w:pPr>
        <w:pStyle w:val="21"/>
      </w:pPr>
    </w:p>
    <w:p w14:paraId="79FD6940">
      <w:pPr>
        <w:pStyle w:val="21"/>
      </w:pPr>
    </w:p>
    <w:p w14:paraId="35284007">
      <w:pPr>
        <w:pStyle w:val="83"/>
      </w:pPr>
    </w:p>
    <w:p w14:paraId="0F19AD2B">
      <w:pPr>
        <w:pStyle w:val="68"/>
      </w:pPr>
      <w:bookmarkStart w:id="26" w:name="BKCKWX"/>
      <w:bookmarkStart w:id="27" w:name="_Toc46228660"/>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6"/>
      <w:bookmarkEnd w:id="27"/>
    </w:p>
    <w:p w14:paraId="5E582F28">
      <w:pPr>
        <w:pStyle w:val="21"/>
      </w:pPr>
    </w:p>
    <w:p w14:paraId="23651A1A">
      <w:pPr>
        <w:pStyle w:val="126"/>
        <w:framePr w:wrap="around"/>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61E6">
    <w:pPr>
      <w:pStyle w:val="6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455D">
    <w:pPr>
      <w:pStyle w:val="4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BB45">
    <w:pPr>
      <w:pStyle w:val="66"/>
    </w:pPr>
    <w:r>
      <w:t>T/CNEA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6A1A">
    <w:pPr>
      <w:pStyle w:val="41"/>
    </w:pPr>
    <w:r>
      <w:rPr>
        <w:rFonts w:hint="eastAsia"/>
      </w:rPr>
      <w:t>T</w:t>
    </w:r>
    <w:r>
      <w:t>/</w:t>
    </w:r>
    <w:r>
      <w:rPr>
        <w:rFonts w:hint="eastAsia"/>
      </w:rPr>
      <w:t>CNEA</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142"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kFYnsNWtbdG/nffad4dV8AKSywqsKvuCR3Cu6yufU+3xxDZfLe3SO81dDfacAsCM25JK3Q1qlyGmsrJqePKg==" w:salt="cPLHIzbOePeG/AA6eAXKT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MGY2OTFlM2Y4MTM1ZjcyYjA2MjJiMzM1NDEyN2MifQ=="/>
  </w:docVars>
  <w:rsids>
    <w:rsidRoot w:val="00172A27"/>
    <w:rsid w:val="00000244"/>
    <w:rsid w:val="0000185F"/>
    <w:rsid w:val="0000586F"/>
    <w:rsid w:val="00013D86"/>
    <w:rsid w:val="00013E02"/>
    <w:rsid w:val="0002143C"/>
    <w:rsid w:val="00025A65"/>
    <w:rsid w:val="00026C31"/>
    <w:rsid w:val="00027280"/>
    <w:rsid w:val="0002756E"/>
    <w:rsid w:val="000320A7"/>
    <w:rsid w:val="00035925"/>
    <w:rsid w:val="000607A3"/>
    <w:rsid w:val="00067CDF"/>
    <w:rsid w:val="00073B8B"/>
    <w:rsid w:val="00074FBE"/>
    <w:rsid w:val="00082ECC"/>
    <w:rsid w:val="00083A09"/>
    <w:rsid w:val="0009005E"/>
    <w:rsid w:val="00092857"/>
    <w:rsid w:val="000968EF"/>
    <w:rsid w:val="000A20A9"/>
    <w:rsid w:val="000A48B1"/>
    <w:rsid w:val="000B3143"/>
    <w:rsid w:val="000C6B05"/>
    <w:rsid w:val="000C6DD6"/>
    <w:rsid w:val="000C729C"/>
    <w:rsid w:val="000C73D4"/>
    <w:rsid w:val="000D3D4C"/>
    <w:rsid w:val="000D4F51"/>
    <w:rsid w:val="000D718B"/>
    <w:rsid w:val="000E0C46"/>
    <w:rsid w:val="000E6277"/>
    <w:rsid w:val="000F030C"/>
    <w:rsid w:val="000F129C"/>
    <w:rsid w:val="001056DE"/>
    <w:rsid w:val="00111A2B"/>
    <w:rsid w:val="001124C0"/>
    <w:rsid w:val="00116F24"/>
    <w:rsid w:val="00126F80"/>
    <w:rsid w:val="0013175F"/>
    <w:rsid w:val="00133122"/>
    <w:rsid w:val="001512B4"/>
    <w:rsid w:val="00152F40"/>
    <w:rsid w:val="001620A5"/>
    <w:rsid w:val="00164E53"/>
    <w:rsid w:val="0016699D"/>
    <w:rsid w:val="00172A27"/>
    <w:rsid w:val="00174530"/>
    <w:rsid w:val="00175159"/>
    <w:rsid w:val="00176208"/>
    <w:rsid w:val="0018211B"/>
    <w:rsid w:val="001840D3"/>
    <w:rsid w:val="001900F8"/>
    <w:rsid w:val="00191258"/>
    <w:rsid w:val="00192680"/>
    <w:rsid w:val="00193037"/>
    <w:rsid w:val="00193A2C"/>
    <w:rsid w:val="001A288E"/>
    <w:rsid w:val="001A7DED"/>
    <w:rsid w:val="001B2929"/>
    <w:rsid w:val="001B6DC2"/>
    <w:rsid w:val="001C149C"/>
    <w:rsid w:val="001C21AC"/>
    <w:rsid w:val="001C47BA"/>
    <w:rsid w:val="001C59EA"/>
    <w:rsid w:val="001D406C"/>
    <w:rsid w:val="001D41EE"/>
    <w:rsid w:val="001D7FFB"/>
    <w:rsid w:val="001E0380"/>
    <w:rsid w:val="001E13B1"/>
    <w:rsid w:val="001F3A19"/>
    <w:rsid w:val="002201AD"/>
    <w:rsid w:val="00234467"/>
    <w:rsid w:val="00237D8D"/>
    <w:rsid w:val="00241DA2"/>
    <w:rsid w:val="00247FEE"/>
    <w:rsid w:val="00250E7D"/>
    <w:rsid w:val="002565D5"/>
    <w:rsid w:val="002622C0"/>
    <w:rsid w:val="002705D0"/>
    <w:rsid w:val="002778AE"/>
    <w:rsid w:val="0028269A"/>
    <w:rsid w:val="00283590"/>
    <w:rsid w:val="00286973"/>
    <w:rsid w:val="00294E70"/>
    <w:rsid w:val="002A1924"/>
    <w:rsid w:val="002A7420"/>
    <w:rsid w:val="002B0F12"/>
    <w:rsid w:val="002B1308"/>
    <w:rsid w:val="002B4554"/>
    <w:rsid w:val="002C72D8"/>
    <w:rsid w:val="002D11FA"/>
    <w:rsid w:val="002E0DDF"/>
    <w:rsid w:val="002E161B"/>
    <w:rsid w:val="002E2906"/>
    <w:rsid w:val="002E3160"/>
    <w:rsid w:val="002E4101"/>
    <w:rsid w:val="002E5635"/>
    <w:rsid w:val="002E64C3"/>
    <w:rsid w:val="002E6A2C"/>
    <w:rsid w:val="002E76F4"/>
    <w:rsid w:val="002F1D8C"/>
    <w:rsid w:val="002F21DA"/>
    <w:rsid w:val="00301F39"/>
    <w:rsid w:val="00304674"/>
    <w:rsid w:val="00320CD2"/>
    <w:rsid w:val="00323DA2"/>
    <w:rsid w:val="00325926"/>
    <w:rsid w:val="0032733E"/>
    <w:rsid w:val="00327A8A"/>
    <w:rsid w:val="00336610"/>
    <w:rsid w:val="00343F73"/>
    <w:rsid w:val="00345060"/>
    <w:rsid w:val="0035323B"/>
    <w:rsid w:val="003609D2"/>
    <w:rsid w:val="00363F22"/>
    <w:rsid w:val="00375564"/>
    <w:rsid w:val="00383191"/>
    <w:rsid w:val="00386DED"/>
    <w:rsid w:val="003912E7"/>
    <w:rsid w:val="00392E43"/>
    <w:rsid w:val="00393947"/>
    <w:rsid w:val="003A1332"/>
    <w:rsid w:val="003A2275"/>
    <w:rsid w:val="003A6A4F"/>
    <w:rsid w:val="003A7088"/>
    <w:rsid w:val="003B00DF"/>
    <w:rsid w:val="003B1275"/>
    <w:rsid w:val="003B1778"/>
    <w:rsid w:val="003C11CB"/>
    <w:rsid w:val="003C75F3"/>
    <w:rsid w:val="003C78A3"/>
    <w:rsid w:val="003E1867"/>
    <w:rsid w:val="003E4DF1"/>
    <w:rsid w:val="003E5729"/>
    <w:rsid w:val="003F4EE0"/>
    <w:rsid w:val="00400D6E"/>
    <w:rsid w:val="00402153"/>
    <w:rsid w:val="00402FC1"/>
    <w:rsid w:val="00407AC0"/>
    <w:rsid w:val="004137A0"/>
    <w:rsid w:val="00425082"/>
    <w:rsid w:val="00426313"/>
    <w:rsid w:val="00431DEB"/>
    <w:rsid w:val="00446B29"/>
    <w:rsid w:val="0045282F"/>
    <w:rsid w:val="00453F9A"/>
    <w:rsid w:val="00465EB3"/>
    <w:rsid w:val="00471E91"/>
    <w:rsid w:val="00474675"/>
    <w:rsid w:val="0047470C"/>
    <w:rsid w:val="00480EE2"/>
    <w:rsid w:val="00486A08"/>
    <w:rsid w:val="004A35F9"/>
    <w:rsid w:val="004B24C1"/>
    <w:rsid w:val="004C292F"/>
    <w:rsid w:val="0050262D"/>
    <w:rsid w:val="00510280"/>
    <w:rsid w:val="00513D73"/>
    <w:rsid w:val="00514A43"/>
    <w:rsid w:val="005174E5"/>
    <w:rsid w:val="00522393"/>
    <w:rsid w:val="00522620"/>
    <w:rsid w:val="00525656"/>
    <w:rsid w:val="00530A2D"/>
    <w:rsid w:val="00534C02"/>
    <w:rsid w:val="0054264B"/>
    <w:rsid w:val="00542E76"/>
    <w:rsid w:val="00543786"/>
    <w:rsid w:val="00551D5C"/>
    <w:rsid w:val="00553029"/>
    <w:rsid w:val="005533D7"/>
    <w:rsid w:val="005703DE"/>
    <w:rsid w:val="0058464E"/>
    <w:rsid w:val="005A01CB"/>
    <w:rsid w:val="005A58FF"/>
    <w:rsid w:val="005A5EAF"/>
    <w:rsid w:val="005A64C0"/>
    <w:rsid w:val="005B3C11"/>
    <w:rsid w:val="005C1C28"/>
    <w:rsid w:val="005C5C4D"/>
    <w:rsid w:val="005C6DB5"/>
    <w:rsid w:val="005D4AC3"/>
    <w:rsid w:val="005D621B"/>
    <w:rsid w:val="005E19E7"/>
    <w:rsid w:val="005E794E"/>
    <w:rsid w:val="00606E65"/>
    <w:rsid w:val="0061716C"/>
    <w:rsid w:val="00623262"/>
    <w:rsid w:val="006243A1"/>
    <w:rsid w:val="006308CE"/>
    <w:rsid w:val="00632E56"/>
    <w:rsid w:val="00635AB6"/>
    <w:rsid w:val="00635CBA"/>
    <w:rsid w:val="0064338B"/>
    <w:rsid w:val="00646542"/>
    <w:rsid w:val="006504F4"/>
    <w:rsid w:val="00654BC9"/>
    <w:rsid w:val="006552FD"/>
    <w:rsid w:val="00655C82"/>
    <w:rsid w:val="00663AF3"/>
    <w:rsid w:val="00666B6C"/>
    <w:rsid w:val="00675A3A"/>
    <w:rsid w:val="00682682"/>
    <w:rsid w:val="00682702"/>
    <w:rsid w:val="00692368"/>
    <w:rsid w:val="006A2EBC"/>
    <w:rsid w:val="006A5EA0"/>
    <w:rsid w:val="006A5EFB"/>
    <w:rsid w:val="006A783B"/>
    <w:rsid w:val="006A7B33"/>
    <w:rsid w:val="006B4E13"/>
    <w:rsid w:val="006B75DD"/>
    <w:rsid w:val="006C6141"/>
    <w:rsid w:val="006C67E0"/>
    <w:rsid w:val="006C7ABA"/>
    <w:rsid w:val="006C7F43"/>
    <w:rsid w:val="006D0D60"/>
    <w:rsid w:val="006D1122"/>
    <w:rsid w:val="006D3C00"/>
    <w:rsid w:val="006E3675"/>
    <w:rsid w:val="006E4A7F"/>
    <w:rsid w:val="00704DF6"/>
    <w:rsid w:val="0070651C"/>
    <w:rsid w:val="007132A3"/>
    <w:rsid w:val="00716421"/>
    <w:rsid w:val="00724EFB"/>
    <w:rsid w:val="007265AD"/>
    <w:rsid w:val="00734142"/>
    <w:rsid w:val="007419C3"/>
    <w:rsid w:val="007467A7"/>
    <w:rsid w:val="007469DD"/>
    <w:rsid w:val="0074741B"/>
    <w:rsid w:val="0074759E"/>
    <w:rsid w:val="007478EA"/>
    <w:rsid w:val="0075415C"/>
    <w:rsid w:val="00763502"/>
    <w:rsid w:val="007851CD"/>
    <w:rsid w:val="0078741C"/>
    <w:rsid w:val="007913AB"/>
    <w:rsid w:val="007914F7"/>
    <w:rsid w:val="007B1625"/>
    <w:rsid w:val="007B204B"/>
    <w:rsid w:val="007B48EB"/>
    <w:rsid w:val="007B48F2"/>
    <w:rsid w:val="007B706E"/>
    <w:rsid w:val="007B71EB"/>
    <w:rsid w:val="007C2BCA"/>
    <w:rsid w:val="007C6205"/>
    <w:rsid w:val="007C686A"/>
    <w:rsid w:val="007C728E"/>
    <w:rsid w:val="007D2C53"/>
    <w:rsid w:val="007D2DA0"/>
    <w:rsid w:val="007D3D60"/>
    <w:rsid w:val="007E1980"/>
    <w:rsid w:val="007E2C28"/>
    <w:rsid w:val="007E4B76"/>
    <w:rsid w:val="007E5EA8"/>
    <w:rsid w:val="007F0CF1"/>
    <w:rsid w:val="007F12A5"/>
    <w:rsid w:val="007F4CF1"/>
    <w:rsid w:val="007F758D"/>
    <w:rsid w:val="007F7D52"/>
    <w:rsid w:val="00802DCA"/>
    <w:rsid w:val="00804EFA"/>
    <w:rsid w:val="0080654C"/>
    <w:rsid w:val="008071C6"/>
    <w:rsid w:val="00817A00"/>
    <w:rsid w:val="0082629F"/>
    <w:rsid w:val="00834C20"/>
    <w:rsid w:val="00835DB3"/>
    <w:rsid w:val="0083617B"/>
    <w:rsid w:val="008371BD"/>
    <w:rsid w:val="0084574B"/>
    <w:rsid w:val="00846CEB"/>
    <w:rsid w:val="0085030F"/>
    <w:rsid w:val="008504A8"/>
    <w:rsid w:val="00851794"/>
    <w:rsid w:val="0085282E"/>
    <w:rsid w:val="008536F3"/>
    <w:rsid w:val="00854506"/>
    <w:rsid w:val="00855919"/>
    <w:rsid w:val="008562ED"/>
    <w:rsid w:val="0087198C"/>
    <w:rsid w:val="00872C1F"/>
    <w:rsid w:val="00873413"/>
    <w:rsid w:val="00873B42"/>
    <w:rsid w:val="00874049"/>
    <w:rsid w:val="008842DE"/>
    <w:rsid w:val="008856D8"/>
    <w:rsid w:val="00892E82"/>
    <w:rsid w:val="008A5212"/>
    <w:rsid w:val="008C1B58"/>
    <w:rsid w:val="008C39AE"/>
    <w:rsid w:val="008C590D"/>
    <w:rsid w:val="008E031B"/>
    <w:rsid w:val="008E6CD6"/>
    <w:rsid w:val="008E7029"/>
    <w:rsid w:val="008E7EF6"/>
    <w:rsid w:val="008F1F98"/>
    <w:rsid w:val="008F6758"/>
    <w:rsid w:val="009040DD"/>
    <w:rsid w:val="00905B47"/>
    <w:rsid w:val="009131E3"/>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3E32"/>
    <w:rsid w:val="00A47EBB"/>
    <w:rsid w:val="00A51CDD"/>
    <w:rsid w:val="00A6730D"/>
    <w:rsid w:val="00A71625"/>
    <w:rsid w:val="00A71B9B"/>
    <w:rsid w:val="00A751C7"/>
    <w:rsid w:val="00A87844"/>
    <w:rsid w:val="00AA038C"/>
    <w:rsid w:val="00AA7A09"/>
    <w:rsid w:val="00AB3B50"/>
    <w:rsid w:val="00AC05B1"/>
    <w:rsid w:val="00AD356C"/>
    <w:rsid w:val="00AD5820"/>
    <w:rsid w:val="00AE1D73"/>
    <w:rsid w:val="00AE2318"/>
    <w:rsid w:val="00AE2914"/>
    <w:rsid w:val="00AE6AE5"/>
    <w:rsid w:val="00AE6D15"/>
    <w:rsid w:val="00AF3403"/>
    <w:rsid w:val="00AF51A5"/>
    <w:rsid w:val="00B04182"/>
    <w:rsid w:val="00B07AE3"/>
    <w:rsid w:val="00B11430"/>
    <w:rsid w:val="00B11710"/>
    <w:rsid w:val="00B2012E"/>
    <w:rsid w:val="00B353EB"/>
    <w:rsid w:val="00B439C4"/>
    <w:rsid w:val="00B4535E"/>
    <w:rsid w:val="00B52A8C"/>
    <w:rsid w:val="00B636A8"/>
    <w:rsid w:val="00B665C6"/>
    <w:rsid w:val="00B75FA0"/>
    <w:rsid w:val="00B805AF"/>
    <w:rsid w:val="00B83C30"/>
    <w:rsid w:val="00B869EC"/>
    <w:rsid w:val="00B936BA"/>
    <w:rsid w:val="00B9397A"/>
    <w:rsid w:val="00B9633D"/>
    <w:rsid w:val="00B97A78"/>
    <w:rsid w:val="00BA2EBE"/>
    <w:rsid w:val="00BB0F28"/>
    <w:rsid w:val="00BB458A"/>
    <w:rsid w:val="00BC5F77"/>
    <w:rsid w:val="00BD00D3"/>
    <w:rsid w:val="00BD1659"/>
    <w:rsid w:val="00BD2D3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190"/>
    <w:rsid w:val="00C8691C"/>
    <w:rsid w:val="00CA168A"/>
    <w:rsid w:val="00CA357E"/>
    <w:rsid w:val="00CA44F9"/>
    <w:rsid w:val="00CA4A69"/>
    <w:rsid w:val="00CC3E0C"/>
    <w:rsid w:val="00CC58D3"/>
    <w:rsid w:val="00CC784D"/>
    <w:rsid w:val="00CD6C0C"/>
    <w:rsid w:val="00D0337B"/>
    <w:rsid w:val="00D079B2"/>
    <w:rsid w:val="00D114E9"/>
    <w:rsid w:val="00D13E5E"/>
    <w:rsid w:val="00D33A79"/>
    <w:rsid w:val="00D429C6"/>
    <w:rsid w:val="00D47748"/>
    <w:rsid w:val="00D54CC3"/>
    <w:rsid w:val="00D55A6A"/>
    <w:rsid w:val="00D6041A"/>
    <w:rsid w:val="00D633EB"/>
    <w:rsid w:val="00D73401"/>
    <w:rsid w:val="00D82FF7"/>
    <w:rsid w:val="00D847FE"/>
    <w:rsid w:val="00D903D8"/>
    <w:rsid w:val="00D91635"/>
    <w:rsid w:val="00D964EA"/>
    <w:rsid w:val="00D966D0"/>
    <w:rsid w:val="00DA0C59"/>
    <w:rsid w:val="00DA3991"/>
    <w:rsid w:val="00DA45E5"/>
    <w:rsid w:val="00DB7E6C"/>
    <w:rsid w:val="00DD5A29"/>
    <w:rsid w:val="00DD5D9D"/>
    <w:rsid w:val="00DE35CB"/>
    <w:rsid w:val="00DF21E9"/>
    <w:rsid w:val="00E00F14"/>
    <w:rsid w:val="00E06386"/>
    <w:rsid w:val="00E24EB4"/>
    <w:rsid w:val="00E24FE9"/>
    <w:rsid w:val="00E31DFA"/>
    <w:rsid w:val="00E320ED"/>
    <w:rsid w:val="00E33AFB"/>
    <w:rsid w:val="00E34218"/>
    <w:rsid w:val="00E4041B"/>
    <w:rsid w:val="00E46282"/>
    <w:rsid w:val="00E5216E"/>
    <w:rsid w:val="00E607C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A30"/>
    <w:rsid w:val="00EE2BED"/>
    <w:rsid w:val="00EE374B"/>
    <w:rsid w:val="00F11BB5"/>
    <w:rsid w:val="00F1417B"/>
    <w:rsid w:val="00F34B99"/>
    <w:rsid w:val="00F520DC"/>
    <w:rsid w:val="00F52DAB"/>
    <w:rsid w:val="00F543F0"/>
    <w:rsid w:val="00F63F74"/>
    <w:rsid w:val="00F81D29"/>
    <w:rsid w:val="00F85417"/>
    <w:rsid w:val="00F86A0B"/>
    <w:rsid w:val="00F91915"/>
    <w:rsid w:val="00F91968"/>
    <w:rsid w:val="00F91C4D"/>
    <w:rsid w:val="00F92FD9"/>
    <w:rsid w:val="00FA6684"/>
    <w:rsid w:val="00FA731E"/>
    <w:rsid w:val="00FB2B38"/>
    <w:rsid w:val="00FB49D0"/>
    <w:rsid w:val="00FC1C60"/>
    <w:rsid w:val="00FC6358"/>
    <w:rsid w:val="00FD320D"/>
    <w:rsid w:val="00FE23DE"/>
    <w:rsid w:val="03FA7E76"/>
    <w:rsid w:val="047F77E3"/>
    <w:rsid w:val="048A1073"/>
    <w:rsid w:val="056F055F"/>
    <w:rsid w:val="05F74773"/>
    <w:rsid w:val="0AF97D08"/>
    <w:rsid w:val="0B440899"/>
    <w:rsid w:val="0D4506C9"/>
    <w:rsid w:val="123C7D0C"/>
    <w:rsid w:val="124E4BA2"/>
    <w:rsid w:val="158F62CF"/>
    <w:rsid w:val="161063A9"/>
    <w:rsid w:val="162E3982"/>
    <w:rsid w:val="1696661E"/>
    <w:rsid w:val="1E4F1BC4"/>
    <w:rsid w:val="1E7271AB"/>
    <w:rsid w:val="1F3C1B5B"/>
    <w:rsid w:val="22936442"/>
    <w:rsid w:val="23DF164F"/>
    <w:rsid w:val="2541068C"/>
    <w:rsid w:val="26C41D17"/>
    <w:rsid w:val="282532B7"/>
    <w:rsid w:val="299A5B23"/>
    <w:rsid w:val="2A3603E9"/>
    <w:rsid w:val="2CFD1119"/>
    <w:rsid w:val="31952667"/>
    <w:rsid w:val="35272534"/>
    <w:rsid w:val="36F21223"/>
    <w:rsid w:val="38190EF9"/>
    <w:rsid w:val="3A303654"/>
    <w:rsid w:val="40B7508E"/>
    <w:rsid w:val="42F63E58"/>
    <w:rsid w:val="43D25099"/>
    <w:rsid w:val="45617CBE"/>
    <w:rsid w:val="47CF6279"/>
    <w:rsid w:val="4AAA723E"/>
    <w:rsid w:val="4AE5010A"/>
    <w:rsid w:val="4D3D4B6D"/>
    <w:rsid w:val="4EDD1292"/>
    <w:rsid w:val="504C33D6"/>
    <w:rsid w:val="512027DB"/>
    <w:rsid w:val="52B837C6"/>
    <w:rsid w:val="55A443DA"/>
    <w:rsid w:val="56053AF8"/>
    <w:rsid w:val="56E45B07"/>
    <w:rsid w:val="57D84489"/>
    <w:rsid w:val="5D5C41C7"/>
    <w:rsid w:val="5DE97C63"/>
    <w:rsid w:val="5EF00845"/>
    <w:rsid w:val="5EFC6636"/>
    <w:rsid w:val="60B14265"/>
    <w:rsid w:val="621450DD"/>
    <w:rsid w:val="64660440"/>
    <w:rsid w:val="652F0DE7"/>
    <w:rsid w:val="6AF5160F"/>
    <w:rsid w:val="6B7F46A8"/>
    <w:rsid w:val="6F3E67F6"/>
    <w:rsid w:val="70A01F2B"/>
    <w:rsid w:val="742513EA"/>
    <w:rsid w:val="7614205F"/>
    <w:rsid w:val="76AF71DD"/>
    <w:rsid w:val="77770AF7"/>
    <w:rsid w:val="7B1D1CAE"/>
    <w:rsid w:val="7EF02F3D"/>
    <w:rsid w:val="7F1D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37"/>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8">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autoRedefine/>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autoRedefine/>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autoRedefine/>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autoRedefine/>
    <w:semiHidden/>
    <w:qFormat/>
    <w:uiPriority w:val="0"/>
    <w:rPr>
      <w:vertAlign w:val="superscript"/>
    </w:rPr>
  </w:style>
  <w:style w:type="character" w:styleId="33">
    <w:name w:val="page number"/>
    <w:autoRedefine/>
    <w:qFormat/>
    <w:uiPriority w:val="0"/>
    <w:rPr>
      <w:rFonts w:ascii="Times New Roman" w:hAnsi="Times New Roman" w:eastAsia="宋体"/>
      <w:sz w:val="18"/>
    </w:rPr>
  </w:style>
  <w:style w:type="character" w:styleId="34">
    <w:name w:val="FollowedHyperlink"/>
    <w:autoRedefine/>
    <w:qFormat/>
    <w:uiPriority w:val="0"/>
    <w:rPr>
      <w:color w:val="800080"/>
      <w:u w:val="single"/>
    </w:rPr>
  </w:style>
  <w:style w:type="character" w:styleId="35">
    <w:name w:val="Hyperlink"/>
    <w:autoRedefine/>
    <w:qFormat/>
    <w:uiPriority w:val="99"/>
    <w:rPr>
      <w:color w:val="0000FF"/>
      <w:spacing w:val="0"/>
      <w:w w:val="100"/>
      <w:szCs w:val="21"/>
      <w:u w:val="single"/>
      <w:lang w:val="en-US" w:eastAsia="zh-CN"/>
    </w:rPr>
  </w:style>
  <w:style w:type="character" w:styleId="36">
    <w:name w:val="footnote reference"/>
    <w:autoRedefine/>
    <w:semiHidden/>
    <w:qFormat/>
    <w:uiPriority w:val="0"/>
    <w:rPr>
      <w:vertAlign w:val="superscript"/>
    </w:rPr>
  </w:style>
  <w:style w:type="character" w:customStyle="1" w:styleId="37">
    <w:name w:val="批注框文本 Char"/>
    <w:link w:val="14"/>
    <w:qFormat/>
    <w:uiPriority w:val="0"/>
    <w:rPr>
      <w:kern w:val="2"/>
      <w:sz w:val="18"/>
      <w:szCs w:val="18"/>
    </w:rPr>
  </w:style>
  <w:style w:type="character" w:customStyle="1" w:styleId="38">
    <w:name w:val="段 Char"/>
    <w:link w:val="21"/>
    <w:qFormat/>
    <w:uiPriority w:val="0"/>
    <w:rPr>
      <w:rFonts w:ascii="宋体"/>
      <w:sz w:val="21"/>
      <w:lang w:val="en-US" w:eastAsia="zh-CN" w:bidi="ar-SA"/>
    </w:rPr>
  </w:style>
  <w:style w:type="paragraph" w:customStyle="1" w:styleId="39">
    <w:name w:val="一级条标题"/>
    <w:next w:val="2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Pr>
      <w:outlineLvl w:val="5"/>
    </w:pPr>
  </w:style>
  <w:style w:type="paragraph" w:customStyle="1" w:styleId="53">
    <w:name w:val="五级条标题"/>
    <w:basedOn w:val="52"/>
    <w:next w:val="21"/>
    <w:qFormat/>
    <w:uiPriority w:val="0"/>
    <w:pPr>
      <w:numPr>
        <w:ilvl w:val="5"/>
      </w:numPr>
      <w:outlineLvl w:val="6"/>
    </w:pPr>
  </w:style>
  <w:style w:type="paragraph" w:customStyle="1" w:styleId="54">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0" w:beforeLines="0" w:after="0" w:afterLines="0"/>
      <w:outlineLvl w:val="9"/>
    </w:pPr>
    <w:rPr>
      <w:rFonts w:ascii="宋体" w:eastAsia="宋体"/>
      <w:sz w:val="18"/>
      <w:szCs w:val="18"/>
    </w:rPr>
  </w:style>
  <w:style w:type="paragraph" w:customStyle="1" w:styleId="60">
    <w:name w:val="二级无"/>
    <w:basedOn w:val="43"/>
    <w:qFormat/>
    <w:uiPriority w:val="0"/>
    <w:pPr>
      <w:spacing w:before="0" w:beforeLines="0" w:after="0" w:afterLines="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autoRedefine/>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framePr w:wrap="around"/>
      <w:spacing w:before="370" w:line="400" w:lineRule="exact"/>
    </w:pPr>
    <w:rPr>
      <w:rFonts w:ascii="Times New Roman"/>
      <w:sz w:val="28"/>
      <w:szCs w:val="28"/>
    </w:rPr>
  </w:style>
  <w:style w:type="paragraph" w:customStyle="1" w:styleId="77">
    <w:name w:val="封面一致性程度标识"/>
    <w:basedOn w:val="76"/>
    <w:qFormat/>
    <w:uiPriority w:val="0"/>
    <w:pPr>
      <w:framePr w:wrap="around"/>
      <w:spacing w:before="440"/>
    </w:pPr>
    <w:rPr>
      <w:rFonts w:ascii="宋体" w:eastAsia="宋体"/>
    </w:rPr>
  </w:style>
  <w:style w:type="paragraph" w:customStyle="1" w:styleId="78">
    <w:name w:val="封面标准文稿类别"/>
    <w:basedOn w:val="77"/>
    <w:qFormat/>
    <w:uiPriority w:val="0"/>
    <w:pPr>
      <w:framePr w:wrap="around"/>
      <w:spacing w:after="160" w:line="240" w:lineRule="auto"/>
    </w:pPr>
    <w:rPr>
      <w:sz w:val="24"/>
    </w:rPr>
  </w:style>
  <w:style w:type="paragraph" w:customStyle="1" w:styleId="79">
    <w:name w:val="封面标准文稿编辑信息"/>
    <w:basedOn w:val="78"/>
    <w:qFormat/>
    <w:uiPriority w:val="0"/>
    <w:pPr>
      <w:framePr w:wrap="around"/>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0" w:beforeLines="0" w:after="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link w:val="87"/>
    <w:qFormat/>
    <w:uiPriority w:val="0"/>
    <w:rPr>
      <w:lang w:val="en-US" w:eastAsia="zh-CN" w:bidi="ar-SA"/>
    </w:rPr>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Pr>
      <w:outlineLvl w:val="4"/>
    </w:pPr>
  </w:style>
  <w:style w:type="paragraph" w:customStyle="1" w:styleId="91">
    <w:name w:val="附录三级无"/>
    <w:basedOn w:val="90"/>
    <w:qFormat/>
    <w:uiPriority w:val="0"/>
    <w:pPr>
      <w:tabs>
        <w:tab w:val="clear" w:pos="360"/>
      </w:tabs>
      <w:spacing w:before="0" w:beforeLines="0" w:after="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0" w:beforeLines="0" w:after="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Pr>
      <w:outlineLvl w:val="6"/>
    </w:pPr>
  </w:style>
  <w:style w:type="paragraph" w:customStyle="1" w:styleId="98">
    <w:name w:val="附录五级无"/>
    <w:basedOn w:val="97"/>
    <w:qFormat/>
    <w:uiPriority w:val="0"/>
    <w:pPr>
      <w:tabs>
        <w:tab w:val="clear" w:pos="360"/>
      </w:tabs>
      <w:spacing w:before="0" w:beforeLines="0" w:after="0" w:afterLines="0"/>
    </w:pPr>
    <w:rPr>
      <w:rFonts w:ascii="宋体" w:eastAsia="宋体"/>
      <w:szCs w:val="21"/>
    </w:rPr>
  </w:style>
  <w:style w:type="paragraph" w:customStyle="1" w:styleId="99">
    <w:name w:val="附录章标题"/>
    <w:next w:val="21"/>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autoSpaceDN w:val="0"/>
      <w:spacing w:before="50" w:beforeLines="50" w:after="50" w:afterLines="50"/>
      <w:outlineLvl w:val="2"/>
    </w:pPr>
  </w:style>
  <w:style w:type="paragraph" w:customStyle="1" w:styleId="101">
    <w:name w:val="附录一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wrap="around"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wrap="around"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0" w:beforeLines="0" w:after="0" w:afterLines="0"/>
    </w:pPr>
    <w:rPr>
      <w:rFonts w:ascii="宋体" w:eastAsia="宋体"/>
    </w:rPr>
  </w:style>
  <w:style w:type="paragraph" w:customStyle="1" w:styleId="111">
    <w:name w:val="实施日期"/>
    <w:basedOn w:val="72"/>
    <w:qFormat/>
    <w:uiPriority w:val="0"/>
    <w:pPr>
      <w:framePr w:wrap="around"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rPr>
  </w:style>
  <w:style w:type="paragraph" w:customStyle="1" w:styleId="115">
    <w:name w:val="四级无"/>
    <w:basedOn w:val="52"/>
    <w:qFormat/>
    <w:uiPriority w:val="0"/>
    <w:pPr>
      <w:spacing w:before="0" w:beforeLines="0" w:after="0" w:afterLines="0"/>
    </w:pPr>
    <w:rPr>
      <w:rFonts w:ascii="宋体" w:eastAsia="宋体"/>
    </w:rPr>
  </w:style>
  <w:style w:type="paragraph" w:customStyle="1" w:styleId="116">
    <w:name w:val="条文脚注"/>
    <w:basedOn w:val="22"/>
    <w:qFormat/>
    <w:uiPriority w:val="0"/>
    <w:pPr>
      <w:numPr>
        <w:numId w:val="0"/>
      </w:numPr>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0" w:beforeLines="0" w:after="0" w:afterLines="0"/>
    </w:pPr>
    <w:rPr>
      <w:rFonts w:ascii="宋体" w:eastAsia="宋体"/>
    </w:rPr>
  </w:style>
  <w:style w:type="paragraph" w:customStyle="1" w:styleId="122">
    <w:name w:val="一级无"/>
    <w:basedOn w:val="39"/>
    <w:qFormat/>
    <w:uiPriority w:val="0"/>
    <w:pPr>
      <w:spacing w:before="0" w:beforeLines="0" w:after="0" w:afterLines="0"/>
    </w:pPr>
    <w:rPr>
      <w:rFonts w:ascii="宋体" w:eastAsia="宋体"/>
    </w:rPr>
  </w:style>
  <w:style w:type="paragraph" w:customStyle="1" w:styleId="123">
    <w:name w:val="正文表标题"/>
    <w:next w:val="2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wrap="around" w:vAnchor="page" w:hAnchor="text" w:x="1419"/>
    </w:p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630"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paragraph" w:customStyle="1" w:styleId="13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Default"/>
    <w:unhideWhenUsed/>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1D552-FEB6-4F02-BFEF-7CBD4FE2FA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2808</Words>
  <Characters>2980</Characters>
  <Lines>27</Lines>
  <Paragraphs>7</Paragraphs>
  <TotalTime>128</TotalTime>
  <ScaleCrop>false</ScaleCrop>
  <LinksUpToDate>false</LinksUpToDate>
  <CharactersWithSpaces>3018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2023-10-28T08:24:00Z</dcterms:created>
  <dc:creator>CNIS</dc:creator>
  <cp:lastModifiedBy>Japhy_You</cp:lastModifiedBy>
  <cp:lastPrinted>2020-07-21T07:18:00Z</cp:lastPrinted>
  <dcterms:modified xsi:type="dcterms:W3CDTF">2025-06-13T08:05:01Z</dcterms:modified>
  <dc:title>标准名称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228916BEFEFF4E71A852859182690F7F_12</vt:lpwstr>
  </property>
  <property fmtid="{D5CDD505-2E9C-101B-9397-08002B2CF9AE}" pid="4" name="KSOTemplateDocerSaveRecord">
    <vt:lpwstr>eyJoZGlkIjoiOTVkY2UxYWQ5MmJmOGE0YTQ4M2E1NDFhM2RjMzgyOTIiLCJ1c2VySWQiOiIxMzA2ODg0NTY2In0=</vt:lpwstr>
  </property>
</Properties>
</file>