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BFA7" w14:textId="2D8A37F8" w:rsidR="0004736B" w:rsidRPr="00FB6407" w:rsidRDefault="00FB6407" w:rsidP="00186029">
      <w:pPr>
        <w:jc w:val="center"/>
        <w:rPr>
          <w:b/>
          <w:sz w:val="36"/>
        </w:rPr>
      </w:pPr>
      <w:r w:rsidRPr="00FB6407">
        <w:rPr>
          <w:rFonts w:hint="eastAsia"/>
          <w:b/>
          <w:sz w:val="36"/>
        </w:rPr>
        <w:t>《</w:t>
      </w:r>
      <w:r w:rsidR="00186029" w:rsidRPr="00186029">
        <w:rPr>
          <w:rFonts w:hint="eastAsia"/>
          <w:b/>
          <w:sz w:val="36"/>
        </w:rPr>
        <w:t>高水平放射性固体废物贮存设施运行维护指南</w:t>
      </w:r>
      <w:r w:rsidRPr="00FB6407">
        <w:rPr>
          <w:rFonts w:hint="eastAsia"/>
          <w:b/>
          <w:sz w:val="36"/>
        </w:rPr>
        <w:t>》编制说明</w:t>
      </w:r>
    </w:p>
    <w:p w14:paraId="53D1FF8D" w14:textId="1039F5A6" w:rsidR="00FB6407" w:rsidRDefault="00FB6407" w:rsidP="00FB6407">
      <w:pPr>
        <w:jc w:val="center"/>
        <w:rPr>
          <w:b/>
          <w:sz w:val="36"/>
        </w:rPr>
      </w:pPr>
      <w:r w:rsidRPr="00FB6407">
        <w:rPr>
          <w:rFonts w:hint="eastAsia"/>
          <w:b/>
          <w:sz w:val="36"/>
        </w:rPr>
        <w:t>（征求意见稿）</w:t>
      </w:r>
    </w:p>
    <w:p w14:paraId="1A919FDF" w14:textId="0F84E272" w:rsidR="00FB6407" w:rsidRPr="00A33BF8" w:rsidRDefault="00FB6407" w:rsidP="006633BA">
      <w:pPr>
        <w:outlineLvl w:val="0"/>
        <w:rPr>
          <w:b/>
          <w:sz w:val="28"/>
          <w:szCs w:val="28"/>
        </w:rPr>
      </w:pPr>
      <w:r w:rsidRPr="00A33BF8">
        <w:rPr>
          <w:rFonts w:hint="eastAsia"/>
          <w:b/>
          <w:sz w:val="28"/>
          <w:szCs w:val="28"/>
        </w:rPr>
        <w:t>一、工作简况</w:t>
      </w:r>
    </w:p>
    <w:p w14:paraId="77EFEE6D" w14:textId="317949BB" w:rsidR="00FB6407" w:rsidRPr="00B24A56" w:rsidRDefault="00FB6407" w:rsidP="00FB6407">
      <w:pPr>
        <w:rPr>
          <w:b/>
        </w:rPr>
      </w:pPr>
      <w:r w:rsidRPr="00B24A56">
        <w:rPr>
          <w:rFonts w:hint="eastAsia"/>
          <w:b/>
        </w:rPr>
        <w:t>1</w:t>
      </w:r>
      <w:r w:rsidRPr="00B24A56">
        <w:rPr>
          <w:rFonts w:hint="eastAsia"/>
          <w:b/>
        </w:rPr>
        <w:t>、任务来源</w:t>
      </w:r>
    </w:p>
    <w:p w14:paraId="54110332" w14:textId="184C338C" w:rsidR="006A6B56" w:rsidRDefault="00186029" w:rsidP="008A189D">
      <w:pPr>
        <w:ind w:firstLineChars="200" w:firstLine="480"/>
      </w:pPr>
      <w:r w:rsidRPr="00186029">
        <w:rPr>
          <w:rFonts w:hint="eastAsia"/>
        </w:rPr>
        <w:t>本标准制定任务由</w:t>
      </w:r>
      <w:r>
        <w:rPr>
          <w:rFonts w:hint="eastAsia"/>
        </w:rPr>
        <w:t>中国核能行业协会</w:t>
      </w:r>
      <w:r w:rsidRPr="00186029">
        <w:rPr>
          <w:rFonts w:hint="eastAsia"/>
        </w:rPr>
        <w:t>文件</w:t>
      </w:r>
      <w:r>
        <w:rPr>
          <w:rFonts w:hint="eastAsia"/>
        </w:rPr>
        <w:t>关于《核电厂大修运行管理指南》等</w:t>
      </w:r>
      <w:r>
        <w:rPr>
          <w:rFonts w:hint="eastAsia"/>
        </w:rPr>
        <w:t>17</w:t>
      </w:r>
      <w:r>
        <w:rPr>
          <w:rFonts w:hint="eastAsia"/>
        </w:rPr>
        <w:t>项拟立项核协团标的公示</w:t>
      </w:r>
      <w:r w:rsidRPr="00186029">
        <w:t>（</w:t>
      </w:r>
      <w:r>
        <w:rPr>
          <w:rFonts w:hint="eastAsia"/>
        </w:rPr>
        <w:t>中核协标函</w:t>
      </w:r>
      <w:r w:rsidRPr="00186029">
        <w:t>〔</w:t>
      </w:r>
      <w:r w:rsidRPr="00186029">
        <w:t>2025</w:t>
      </w:r>
      <w:r w:rsidRPr="00186029">
        <w:t>〕</w:t>
      </w:r>
      <w:r>
        <w:rPr>
          <w:rFonts w:hint="eastAsia"/>
        </w:rPr>
        <w:t>289</w:t>
      </w:r>
      <w:r w:rsidRPr="00186029">
        <w:t>号）有关要求，开展</w:t>
      </w:r>
      <w:r>
        <w:rPr>
          <w:rFonts w:hint="eastAsia"/>
        </w:rPr>
        <w:t>中国核能行业协会团体</w:t>
      </w:r>
      <w:r w:rsidRPr="00186029">
        <w:t>标准制订任务，标准计划名称为《高水平放射性固体废物贮存设施运行维护</w:t>
      </w:r>
      <w:r>
        <w:rPr>
          <w:rFonts w:hint="eastAsia"/>
        </w:rPr>
        <w:t>指南</w:t>
      </w:r>
      <w:r w:rsidRPr="00186029">
        <w:t>》，</w:t>
      </w:r>
      <w:r w:rsidR="00FB23F9">
        <w:rPr>
          <w:rFonts w:hint="eastAsia"/>
        </w:rPr>
        <w:t>主要起草单位为中核四</w:t>
      </w:r>
      <w:r w:rsidR="00FB23F9">
        <w:rPr>
          <w:rFonts w:hint="eastAsia"/>
        </w:rPr>
        <w:t>0</w:t>
      </w:r>
      <w:r w:rsidR="00FB23F9">
        <w:rPr>
          <w:rFonts w:hint="eastAsia"/>
        </w:rPr>
        <w:t>四有限公司，</w:t>
      </w:r>
      <w:r w:rsidRPr="00186029">
        <w:t>下达任务时间为</w:t>
      </w:r>
      <w:r w:rsidRPr="00186029">
        <w:t>2025-04-</w:t>
      </w:r>
      <w:r>
        <w:rPr>
          <w:rFonts w:hint="eastAsia"/>
        </w:rPr>
        <w:t>21</w:t>
      </w:r>
      <w:r w:rsidRPr="00186029">
        <w:t>，</w:t>
      </w:r>
      <w:r>
        <w:rPr>
          <w:rFonts w:hint="eastAsia"/>
        </w:rPr>
        <w:t>完成时间为</w:t>
      </w:r>
      <w:r>
        <w:rPr>
          <w:rFonts w:hint="eastAsia"/>
        </w:rPr>
        <w:t>2016</w:t>
      </w:r>
      <w:r>
        <w:rPr>
          <w:rFonts w:hint="eastAsia"/>
        </w:rPr>
        <w:t>年</w:t>
      </w:r>
      <w:r>
        <w:rPr>
          <w:rFonts w:hint="eastAsia"/>
        </w:rPr>
        <w:t>4</w:t>
      </w:r>
      <w:r>
        <w:rPr>
          <w:rFonts w:hint="eastAsia"/>
        </w:rPr>
        <w:t>月</w:t>
      </w:r>
      <w:r>
        <w:rPr>
          <w:rFonts w:hint="eastAsia"/>
        </w:rPr>
        <w:t>30</w:t>
      </w:r>
      <w:r>
        <w:rPr>
          <w:rFonts w:hint="eastAsia"/>
        </w:rPr>
        <w:t>日</w:t>
      </w:r>
      <w:r w:rsidRPr="00186029">
        <w:t>。</w:t>
      </w:r>
    </w:p>
    <w:p w14:paraId="6190752E" w14:textId="0597C42A" w:rsidR="00FB6407" w:rsidRPr="00B24A56" w:rsidRDefault="00FB6407" w:rsidP="00FB6407">
      <w:pPr>
        <w:rPr>
          <w:b/>
        </w:rPr>
      </w:pPr>
      <w:r w:rsidRPr="00B24A56">
        <w:rPr>
          <w:rFonts w:hint="eastAsia"/>
          <w:b/>
        </w:rPr>
        <w:t>2</w:t>
      </w:r>
      <w:r w:rsidRPr="00B24A56">
        <w:rPr>
          <w:rFonts w:hint="eastAsia"/>
          <w:b/>
        </w:rPr>
        <w:t>、主要工作过程</w:t>
      </w:r>
    </w:p>
    <w:p w14:paraId="77D7612C" w14:textId="32044F6B" w:rsidR="00FB23F9" w:rsidRDefault="00FB23F9" w:rsidP="00FB23F9">
      <w:r>
        <w:rPr>
          <w:rFonts w:hint="eastAsia"/>
        </w:rPr>
        <w:t>（</w:t>
      </w:r>
      <w:r>
        <w:rPr>
          <w:rFonts w:hint="eastAsia"/>
        </w:rPr>
        <w:t>1</w:t>
      </w:r>
      <w:r>
        <w:rPr>
          <w:rFonts w:hint="eastAsia"/>
        </w:rPr>
        <w:t>）前期准备：</w:t>
      </w:r>
    </w:p>
    <w:p w14:paraId="417A5BC8" w14:textId="12F5C045" w:rsidR="00FB23F9" w:rsidRDefault="00FB23F9" w:rsidP="008A189D">
      <w:pPr>
        <w:ind w:firstLineChars="200" w:firstLine="480"/>
        <w:rPr>
          <w:rFonts w:hint="eastAsia"/>
        </w:rPr>
      </w:pPr>
      <w:r w:rsidRPr="00FB23F9">
        <w:rPr>
          <w:rFonts w:hint="eastAsia"/>
        </w:rPr>
        <w:t>自上世纪五十年代，我国开始建立核工业以来，迄今为止，由核领域国家标准、核行业标准和能源行业核电标准、团体标准等构成现行有效标准</w:t>
      </w:r>
      <w:r w:rsidRPr="00FB23F9">
        <w:t>3000</w:t>
      </w:r>
      <w:r w:rsidRPr="00FB23F9">
        <w:t>多项，涉及反应堆、核燃料循环、核技术应用、核安全、核安保、辐射防护、信息化、质量与可靠性、核电前期、工程设计、设备、建造、调试、运行和退役等领域。随着我国核技术和核工程的发展与实践，相关各领域标准的制定也日趋完善。</w:t>
      </w:r>
      <w:bookmarkStart w:id="0" w:name="_Hlk199283800"/>
      <w:r w:rsidRPr="00FB23F9">
        <w:t>而在放射性废物治理领域，标准的建设相对滞后于工程实践。高水平放射性固体废物（简称</w:t>
      </w:r>
      <w:r w:rsidRPr="00FB23F9">
        <w:t>“</w:t>
      </w:r>
      <w:r w:rsidRPr="00FB23F9">
        <w:t>高放固体废物</w:t>
      </w:r>
      <w:r w:rsidRPr="00FB23F9">
        <w:t>”</w:t>
      </w:r>
      <w:r w:rsidRPr="00FB23F9">
        <w:t>）处理处置这一领域，因我国完整、成熟的工程技术还处于试验阶段，各个环</w:t>
      </w:r>
      <w:r w:rsidRPr="00FB23F9">
        <w:rPr>
          <w:rFonts w:hint="eastAsia"/>
        </w:rPr>
        <w:t>节并无相适应的标准来进行规范。因此，我国产生高放固体废物的核设施大多采取整备后暂时（约</w:t>
      </w:r>
      <w:r w:rsidRPr="00FB23F9">
        <w:t>30</w:t>
      </w:r>
      <w:r w:rsidRPr="00FB23F9">
        <w:t>～</w:t>
      </w:r>
      <w:r w:rsidRPr="00FB23F9">
        <w:t>50</w:t>
      </w:r>
      <w:r w:rsidRPr="00FB23F9">
        <w:t>年）贮存的方式，保障环境和公众的安全。《高放固体废物贮存设施运行维护</w:t>
      </w:r>
      <w:r w:rsidR="00DF21FD">
        <w:rPr>
          <w:rFonts w:hint="eastAsia"/>
        </w:rPr>
        <w:t>指南</w:t>
      </w:r>
      <w:r w:rsidRPr="00FB23F9">
        <w:t>》即是从实践应用出发，适应我国放射性固体废物处理环节的一项重要规范要求。</w:t>
      </w:r>
    </w:p>
    <w:bookmarkEnd w:id="0"/>
    <w:p w14:paraId="6CD9F351" w14:textId="725EFF70" w:rsidR="00FB6407" w:rsidRDefault="00FB23F9" w:rsidP="00FB23F9">
      <w:pPr>
        <w:ind w:firstLineChars="200" w:firstLine="480"/>
      </w:pPr>
      <w:r w:rsidRPr="00FB23F9">
        <w:t>202</w:t>
      </w:r>
      <w:r>
        <w:rPr>
          <w:rFonts w:hint="eastAsia"/>
        </w:rPr>
        <w:t>5</w:t>
      </w:r>
      <w:r w:rsidRPr="00FB23F9">
        <w:t>年</w:t>
      </w:r>
      <w:r>
        <w:rPr>
          <w:rFonts w:hint="eastAsia"/>
        </w:rPr>
        <w:t>4</w:t>
      </w:r>
      <w:r w:rsidRPr="00FB23F9">
        <w:t>月</w:t>
      </w:r>
      <w:r>
        <w:rPr>
          <w:rFonts w:hint="eastAsia"/>
        </w:rPr>
        <w:t>15</w:t>
      </w:r>
      <w:r w:rsidRPr="00FB23F9">
        <w:t>日，在</w:t>
      </w:r>
      <w:r>
        <w:rPr>
          <w:rFonts w:hint="eastAsia"/>
        </w:rPr>
        <w:t>嘉峪关培训楼</w:t>
      </w:r>
      <w:r w:rsidRPr="00FB23F9">
        <w:t>召开</w:t>
      </w:r>
      <w:r w:rsidRPr="00FB23F9">
        <w:rPr>
          <w:rFonts w:hint="eastAsia"/>
        </w:rPr>
        <w:t>参加项目答辩会，对标准编制背景、技术内容、应用价值等核心内容进行了汇报，专家针对标准草案的创新性、关键技术内容、与国际标准、强制性标准的协调性方面提出专业质询。根据专家在答辩中提出的意见进行梳理分析，结合专家意见对标准草案的技术条款、编制说明等内容进行了进一步完善，提升了标准的科学性与严谨性。</w:t>
      </w:r>
    </w:p>
    <w:p w14:paraId="455312F6" w14:textId="71B0034B" w:rsidR="00FB23F9" w:rsidRDefault="00FB23F9" w:rsidP="00FB23F9">
      <w:r>
        <w:rPr>
          <w:rFonts w:hint="eastAsia"/>
        </w:rPr>
        <w:lastRenderedPageBreak/>
        <w:t>（</w:t>
      </w:r>
      <w:r>
        <w:rPr>
          <w:rFonts w:hint="eastAsia"/>
        </w:rPr>
        <w:t>2</w:t>
      </w:r>
      <w:r>
        <w:rPr>
          <w:rFonts w:hint="eastAsia"/>
        </w:rPr>
        <w:t>）征求意见稿编制</w:t>
      </w:r>
    </w:p>
    <w:p w14:paraId="087B42B2" w14:textId="6343F74A" w:rsidR="00FB23F9" w:rsidRPr="00FB23F9" w:rsidRDefault="00FB23F9" w:rsidP="00FB23F9">
      <w:pPr>
        <w:ind w:firstLineChars="200" w:firstLine="480"/>
      </w:pPr>
      <w:r w:rsidRPr="00FB23F9">
        <w:t>2025</w:t>
      </w:r>
      <w:r w:rsidRPr="00FB23F9">
        <w:t>年</w:t>
      </w:r>
      <w:r w:rsidRPr="00FB23F9">
        <w:t>5</w:t>
      </w:r>
      <w:r w:rsidRPr="00FB23F9">
        <w:t>月</w:t>
      </w:r>
      <w:r w:rsidRPr="00FB23F9">
        <w:t>9</w:t>
      </w:r>
      <w:r w:rsidRPr="00FB23F9">
        <w:t>日，中核四</w:t>
      </w:r>
      <w:r w:rsidRPr="00FB23F9">
        <w:t>0</w:t>
      </w:r>
      <w:r w:rsidRPr="00FB23F9">
        <w:t>四有限公司第二分公司质量部组织专家召开标准草案评审会，对草案逐条审议，对专家提出的技术问题进行了修改，确保技术内容的科学性、先进性与可操作性，最终形成《标准意见征求稿》及编制说明。</w:t>
      </w:r>
    </w:p>
    <w:p w14:paraId="572E2034" w14:textId="0747FB4F" w:rsidR="00FB6407" w:rsidRPr="00B24A56" w:rsidRDefault="00FB6407" w:rsidP="00FB6407">
      <w:pPr>
        <w:rPr>
          <w:b/>
        </w:rPr>
      </w:pPr>
      <w:r w:rsidRPr="00B24A56">
        <w:rPr>
          <w:rFonts w:hint="eastAsia"/>
          <w:b/>
        </w:rPr>
        <w:t>3</w:t>
      </w:r>
      <w:r w:rsidRPr="00B24A56">
        <w:rPr>
          <w:rFonts w:hint="eastAsia"/>
          <w:b/>
        </w:rPr>
        <w:t>、</w:t>
      </w:r>
      <w:r w:rsidRPr="00B24A56">
        <w:rPr>
          <w:b/>
        </w:rPr>
        <w:t>主要参加单位和工作组成员及其所作的工作等</w:t>
      </w:r>
    </w:p>
    <w:p w14:paraId="77FCF27B" w14:textId="4829ED92" w:rsidR="00FB6407" w:rsidRDefault="00FB23F9" w:rsidP="00FB23F9">
      <w:pPr>
        <w:ind w:firstLineChars="200" w:firstLine="480"/>
      </w:pPr>
      <w:r w:rsidRPr="00FB23F9">
        <w:rPr>
          <w:rFonts w:hint="eastAsia"/>
        </w:rPr>
        <w:t>主要起草单位为中核四</w:t>
      </w:r>
      <w:r w:rsidRPr="00FB23F9">
        <w:t>0</w:t>
      </w:r>
      <w:r w:rsidRPr="00FB23F9">
        <w:t>四有限公司、核工业标准化研究所、中核四川环保工程有限公司、生态环境部核与辐射安全中心。</w:t>
      </w:r>
    </w:p>
    <w:p w14:paraId="0B8BCE56" w14:textId="17ED950C" w:rsidR="00FB23F9" w:rsidRDefault="00FB23F9" w:rsidP="00FB23F9">
      <w:pPr>
        <w:ind w:firstLineChars="200" w:firstLine="480"/>
      </w:pPr>
      <w:r>
        <w:rPr>
          <w:rFonts w:hint="eastAsia"/>
        </w:rPr>
        <w:t>主要起草人员为：李鸿伟、孙源锴、</w:t>
      </w:r>
      <w:r w:rsidR="007A44FE">
        <w:rPr>
          <w:rFonts w:hint="eastAsia"/>
        </w:rPr>
        <w:t>郭建锋</w:t>
      </w:r>
    </w:p>
    <w:p w14:paraId="424DB9F9" w14:textId="77777777" w:rsidR="007A44FE" w:rsidRPr="007A44FE" w:rsidRDefault="007A44FE" w:rsidP="007A44FE">
      <w:pPr>
        <w:widowControl w:val="0"/>
        <w:spacing w:before="50" w:after="50"/>
        <w:jc w:val="center"/>
        <w:rPr>
          <w:rFonts w:ascii="黑体" w:eastAsia="黑体" w:hAnsi="黑体" w:cs="Times New Roman"/>
        </w:rPr>
      </w:pPr>
      <w:r w:rsidRPr="007A44FE">
        <w:rPr>
          <w:rFonts w:ascii="黑体" w:eastAsia="黑体" w:hAnsi="黑体" w:cs="Times New Roman" w:hint="eastAsia"/>
        </w:rPr>
        <w:t>表1</w:t>
      </w:r>
      <w:r w:rsidRPr="007A44FE">
        <w:rPr>
          <w:rFonts w:ascii="黑体" w:eastAsia="黑体" w:hAnsi="黑体" w:cs="Times New Roman"/>
        </w:rPr>
        <w:t xml:space="preserve"> </w:t>
      </w:r>
      <w:r w:rsidRPr="007A44FE">
        <w:rPr>
          <w:rFonts w:ascii="黑体" w:eastAsia="黑体" w:hAnsi="黑体" w:cs="Times New Roman" w:hint="eastAsia"/>
        </w:rPr>
        <w:t>编制组成员及分工</w:t>
      </w:r>
    </w:p>
    <w:tbl>
      <w:tblPr>
        <w:tblStyle w:val="a8"/>
        <w:tblW w:w="4525" w:type="pct"/>
        <w:jc w:val="center"/>
        <w:tblLook w:val="04A0" w:firstRow="1" w:lastRow="0" w:firstColumn="1" w:lastColumn="0" w:noHBand="0" w:noVBand="1"/>
      </w:tblPr>
      <w:tblGrid>
        <w:gridCol w:w="844"/>
        <w:gridCol w:w="1418"/>
        <w:gridCol w:w="3686"/>
        <w:gridCol w:w="1560"/>
      </w:tblGrid>
      <w:tr w:rsidR="007A44FE" w:rsidRPr="007A44FE" w14:paraId="69611D2D" w14:textId="77777777" w:rsidTr="00F614AA">
        <w:trPr>
          <w:jc w:val="center"/>
        </w:trPr>
        <w:tc>
          <w:tcPr>
            <w:tcW w:w="562" w:type="pct"/>
            <w:vAlign w:val="center"/>
          </w:tcPr>
          <w:p w14:paraId="3AE459E7" w14:textId="77777777" w:rsidR="007A44FE" w:rsidRPr="007A44FE" w:rsidRDefault="007A44FE" w:rsidP="007A44FE">
            <w:pPr>
              <w:widowControl w:val="0"/>
              <w:spacing w:before="50" w:after="50"/>
              <w:jc w:val="center"/>
              <w:rPr>
                <w:rFonts w:ascii="黑体" w:eastAsia="黑体" w:hAnsi="黑体" w:cs="Times New Roman"/>
              </w:rPr>
            </w:pPr>
            <w:r w:rsidRPr="007A44FE">
              <w:rPr>
                <w:rFonts w:ascii="黑体" w:eastAsia="黑体" w:hAnsi="黑体" w:cs="Times New Roman" w:hint="eastAsia"/>
              </w:rPr>
              <w:t>序号</w:t>
            </w:r>
          </w:p>
        </w:tc>
        <w:tc>
          <w:tcPr>
            <w:tcW w:w="944" w:type="pct"/>
            <w:shd w:val="clear" w:color="auto" w:fill="auto"/>
            <w:vAlign w:val="center"/>
          </w:tcPr>
          <w:p w14:paraId="6559C197" w14:textId="77777777" w:rsidR="007A44FE" w:rsidRPr="007A44FE" w:rsidRDefault="007A44FE" w:rsidP="007A44FE">
            <w:pPr>
              <w:widowControl w:val="0"/>
              <w:spacing w:before="50" w:after="50"/>
              <w:jc w:val="center"/>
              <w:rPr>
                <w:rFonts w:ascii="黑体" w:eastAsia="黑体" w:hAnsi="黑体" w:cs="Times New Roman"/>
              </w:rPr>
            </w:pPr>
            <w:r w:rsidRPr="007A44FE">
              <w:rPr>
                <w:rFonts w:ascii="黑体" w:eastAsia="黑体" w:hAnsi="黑体" w:cs="Times New Roman" w:hint="eastAsia"/>
              </w:rPr>
              <w:t>姓名</w:t>
            </w:r>
          </w:p>
        </w:tc>
        <w:tc>
          <w:tcPr>
            <w:tcW w:w="2455" w:type="pct"/>
            <w:vAlign w:val="center"/>
          </w:tcPr>
          <w:p w14:paraId="3F64B36B" w14:textId="77777777" w:rsidR="007A44FE" w:rsidRPr="007A44FE" w:rsidRDefault="007A44FE" w:rsidP="007A44FE">
            <w:pPr>
              <w:widowControl w:val="0"/>
              <w:spacing w:before="50" w:after="50"/>
              <w:jc w:val="center"/>
              <w:rPr>
                <w:rFonts w:ascii="黑体" w:eastAsia="黑体" w:hAnsi="黑体" w:cs="Times New Roman"/>
              </w:rPr>
            </w:pPr>
            <w:r w:rsidRPr="007A44FE">
              <w:rPr>
                <w:rFonts w:ascii="黑体" w:eastAsia="黑体" w:hAnsi="黑体" w:cs="Times New Roman" w:hint="eastAsia"/>
              </w:rPr>
              <w:t>单位</w:t>
            </w:r>
          </w:p>
        </w:tc>
        <w:tc>
          <w:tcPr>
            <w:tcW w:w="1039" w:type="pct"/>
            <w:shd w:val="clear" w:color="auto" w:fill="auto"/>
            <w:vAlign w:val="center"/>
          </w:tcPr>
          <w:p w14:paraId="1543E97D" w14:textId="77777777" w:rsidR="007A44FE" w:rsidRPr="007A44FE" w:rsidRDefault="007A44FE" w:rsidP="007A44FE">
            <w:pPr>
              <w:widowControl w:val="0"/>
              <w:spacing w:before="50" w:after="50"/>
              <w:jc w:val="center"/>
              <w:rPr>
                <w:rFonts w:ascii="黑体" w:eastAsia="黑体" w:hAnsi="黑体" w:cs="Times New Roman"/>
              </w:rPr>
            </w:pPr>
            <w:r w:rsidRPr="007A44FE">
              <w:rPr>
                <w:rFonts w:ascii="黑体" w:eastAsia="黑体" w:hAnsi="黑体" w:cs="Times New Roman" w:hint="eastAsia"/>
              </w:rPr>
              <w:t>承担任务</w:t>
            </w:r>
          </w:p>
        </w:tc>
      </w:tr>
      <w:tr w:rsidR="007A44FE" w:rsidRPr="007A44FE" w14:paraId="42DA1D1A" w14:textId="77777777" w:rsidTr="00F614AA">
        <w:trPr>
          <w:jc w:val="center"/>
        </w:trPr>
        <w:tc>
          <w:tcPr>
            <w:tcW w:w="562" w:type="pct"/>
            <w:vAlign w:val="center"/>
          </w:tcPr>
          <w:p w14:paraId="6A3661B0" w14:textId="03C2FB93" w:rsidR="007A44FE" w:rsidRPr="007A44FE" w:rsidRDefault="007A44FE" w:rsidP="007A44FE">
            <w:pPr>
              <w:widowControl w:val="0"/>
              <w:spacing w:before="50" w:after="50"/>
              <w:jc w:val="center"/>
              <w:rPr>
                <w:rFonts w:ascii="黑体" w:eastAsia="黑体" w:hAnsi="黑体" w:cs="Times New Roman"/>
              </w:rPr>
            </w:pPr>
            <w:r>
              <w:rPr>
                <w:rFonts w:cs="Times New Roman" w:hint="eastAsia"/>
              </w:rPr>
              <w:t>1</w:t>
            </w:r>
          </w:p>
        </w:tc>
        <w:tc>
          <w:tcPr>
            <w:tcW w:w="944" w:type="pct"/>
            <w:shd w:val="clear" w:color="auto" w:fill="auto"/>
            <w:vAlign w:val="center"/>
          </w:tcPr>
          <w:p w14:paraId="434E9D11" w14:textId="4A5A49E8" w:rsidR="007A44FE" w:rsidRPr="007A44FE" w:rsidRDefault="007A44FE" w:rsidP="007A44FE">
            <w:pPr>
              <w:widowControl w:val="0"/>
              <w:spacing w:before="50" w:after="50"/>
              <w:jc w:val="center"/>
              <w:rPr>
                <w:rFonts w:ascii="黑体" w:eastAsia="黑体" w:hAnsi="黑体" w:cs="Times New Roman"/>
              </w:rPr>
            </w:pPr>
            <w:r w:rsidRPr="007A44FE">
              <w:rPr>
                <w:rFonts w:cs="Times New Roman" w:hint="eastAsia"/>
              </w:rPr>
              <w:t>李鸿伟</w:t>
            </w:r>
          </w:p>
        </w:tc>
        <w:tc>
          <w:tcPr>
            <w:tcW w:w="2455" w:type="pct"/>
            <w:vAlign w:val="center"/>
          </w:tcPr>
          <w:p w14:paraId="39EC5FE1" w14:textId="04D21663" w:rsidR="007A44FE" w:rsidRPr="007A44FE" w:rsidRDefault="007A44FE" w:rsidP="007A44FE">
            <w:pPr>
              <w:widowControl w:val="0"/>
              <w:spacing w:before="50" w:after="50"/>
              <w:jc w:val="center"/>
              <w:rPr>
                <w:rFonts w:ascii="黑体" w:eastAsia="黑体" w:hAnsi="黑体" w:cs="Times New Roman"/>
              </w:rPr>
            </w:pPr>
            <w:r w:rsidRPr="007A44FE">
              <w:rPr>
                <w:rFonts w:cs="Times New Roman" w:hint="eastAsia"/>
              </w:rPr>
              <w:t>中核四</w:t>
            </w:r>
            <w:r w:rsidRPr="007A44FE">
              <w:rPr>
                <w:rFonts w:cs="Times New Roman" w:hint="eastAsia"/>
              </w:rPr>
              <w:t>0</w:t>
            </w:r>
            <w:r w:rsidRPr="007A44FE">
              <w:rPr>
                <w:rFonts w:cs="Times New Roman" w:hint="eastAsia"/>
              </w:rPr>
              <w:t>四有限公司</w:t>
            </w:r>
          </w:p>
        </w:tc>
        <w:tc>
          <w:tcPr>
            <w:tcW w:w="1039" w:type="pct"/>
            <w:shd w:val="clear" w:color="auto" w:fill="auto"/>
            <w:vAlign w:val="center"/>
          </w:tcPr>
          <w:p w14:paraId="3C271840" w14:textId="0AB183EC" w:rsidR="007A44FE" w:rsidRPr="007A44FE" w:rsidRDefault="007A44FE" w:rsidP="007A44FE">
            <w:pPr>
              <w:widowControl w:val="0"/>
              <w:spacing w:before="50" w:after="50"/>
              <w:jc w:val="center"/>
              <w:rPr>
                <w:rFonts w:ascii="黑体" w:eastAsia="黑体" w:hAnsi="黑体" w:cs="Times New Roman"/>
              </w:rPr>
            </w:pPr>
            <w:r w:rsidRPr="007A44FE">
              <w:rPr>
                <w:rFonts w:cs="Times New Roman" w:hint="eastAsia"/>
              </w:rPr>
              <w:t>参与编制</w:t>
            </w:r>
          </w:p>
        </w:tc>
      </w:tr>
      <w:tr w:rsidR="007A44FE" w:rsidRPr="007A44FE" w14:paraId="6FA87A8E" w14:textId="77777777" w:rsidTr="00F614AA">
        <w:trPr>
          <w:jc w:val="center"/>
        </w:trPr>
        <w:tc>
          <w:tcPr>
            <w:tcW w:w="562" w:type="pct"/>
            <w:vAlign w:val="center"/>
          </w:tcPr>
          <w:p w14:paraId="4DA92D1A" w14:textId="4B0A8BB2" w:rsidR="007A44FE" w:rsidRPr="007A44FE" w:rsidRDefault="007A44FE" w:rsidP="007A44FE">
            <w:pPr>
              <w:widowControl w:val="0"/>
              <w:spacing w:before="50" w:after="50"/>
              <w:jc w:val="center"/>
              <w:rPr>
                <w:rFonts w:cs="Times New Roman"/>
              </w:rPr>
            </w:pPr>
            <w:r>
              <w:rPr>
                <w:rFonts w:cs="Times New Roman" w:hint="eastAsia"/>
              </w:rPr>
              <w:t>2</w:t>
            </w:r>
          </w:p>
        </w:tc>
        <w:tc>
          <w:tcPr>
            <w:tcW w:w="944" w:type="pct"/>
            <w:shd w:val="clear" w:color="auto" w:fill="auto"/>
            <w:vAlign w:val="center"/>
          </w:tcPr>
          <w:p w14:paraId="6E340B8B" w14:textId="77777777" w:rsidR="007A44FE" w:rsidRPr="007A44FE" w:rsidRDefault="007A44FE" w:rsidP="007A44FE">
            <w:pPr>
              <w:widowControl w:val="0"/>
              <w:spacing w:before="50" w:after="50"/>
              <w:jc w:val="center"/>
              <w:rPr>
                <w:rFonts w:cs="Times New Roman"/>
              </w:rPr>
            </w:pPr>
            <w:r w:rsidRPr="007A44FE">
              <w:rPr>
                <w:rFonts w:cs="Times New Roman" w:hint="eastAsia"/>
              </w:rPr>
              <w:t>孙源锴</w:t>
            </w:r>
          </w:p>
        </w:tc>
        <w:tc>
          <w:tcPr>
            <w:tcW w:w="2455" w:type="pct"/>
            <w:vAlign w:val="center"/>
          </w:tcPr>
          <w:p w14:paraId="5DABD02D" w14:textId="77777777" w:rsidR="007A44FE" w:rsidRPr="007A44FE" w:rsidRDefault="007A44FE" w:rsidP="007A44FE">
            <w:pPr>
              <w:widowControl w:val="0"/>
              <w:spacing w:before="50" w:after="50"/>
              <w:jc w:val="center"/>
              <w:rPr>
                <w:rFonts w:cs="Times New Roman"/>
              </w:rPr>
            </w:pPr>
            <w:r w:rsidRPr="007A44FE">
              <w:rPr>
                <w:rFonts w:cs="Times New Roman" w:hint="eastAsia"/>
              </w:rPr>
              <w:t>中核四</w:t>
            </w:r>
            <w:r w:rsidRPr="007A44FE">
              <w:rPr>
                <w:rFonts w:cs="Times New Roman" w:hint="eastAsia"/>
              </w:rPr>
              <w:t>0</w:t>
            </w:r>
            <w:r w:rsidRPr="007A44FE">
              <w:rPr>
                <w:rFonts w:cs="Times New Roman" w:hint="eastAsia"/>
              </w:rPr>
              <w:t>四有限公司</w:t>
            </w:r>
          </w:p>
        </w:tc>
        <w:tc>
          <w:tcPr>
            <w:tcW w:w="1039" w:type="pct"/>
            <w:shd w:val="clear" w:color="auto" w:fill="auto"/>
            <w:vAlign w:val="center"/>
          </w:tcPr>
          <w:p w14:paraId="235E31C8" w14:textId="77777777" w:rsidR="007A44FE" w:rsidRPr="007A44FE" w:rsidRDefault="007A44FE" w:rsidP="007A44FE">
            <w:pPr>
              <w:widowControl w:val="0"/>
              <w:spacing w:before="50" w:after="50"/>
              <w:jc w:val="center"/>
              <w:rPr>
                <w:rFonts w:cs="Times New Roman"/>
              </w:rPr>
            </w:pPr>
            <w:r w:rsidRPr="007A44FE">
              <w:rPr>
                <w:rFonts w:cs="Times New Roman" w:hint="eastAsia"/>
              </w:rPr>
              <w:t>标准编制</w:t>
            </w:r>
          </w:p>
        </w:tc>
      </w:tr>
      <w:tr w:rsidR="007A44FE" w:rsidRPr="007A44FE" w14:paraId="4F4858E8" w14:textId="77777777" w:rsidTr="00F614AA">
        <w:trPr>
          <w:jc w:val="center"/>
        </w:trPr>
        <w:tc>
          <w:tcPr>
            <w:tcW w:w="562" w:type="pct"/>
            <w:vAlign w:val="center"/>
          </w:tcPr>
          <w:p w14:paraId="2D727C91" w14:textId="3DBC2941" w:rsidR="007A44FE" w:rsidRPr="007A44FE" w:rsidRDefault="007A44FE" w:rsidP="007A44FE">
            <w:pPr>
              <w:widowControl w:val="0"/>
              <w:spacing w:before="50" w:after="50"/>
              <w:jc w:val="center"/>
              <w:rPr>
                <w:rFonts w:cs="Times New Roman"/>
              </w:rPr>
            </w:pPr>
            <w:r>
              <w:rPr>
                <w:rFonts w:cs="Times New Roman" w:hint="eastAsia"/>
              </w:rPr>
              <w:t>3</w:t>
            </w:r>
          </w:p>
        </w:tc>
        <w:tc>
          <w:tcPr>
            <w:tcW w:w="944" w:type="pct"/>
            <w:shd w:val="clear" w:color="auto" w:fill="auto"/>
            <w:vAlign w:val="center"/>
          </w:tcPr>
          <w:p w14:paraId="1C219E92" w14:textId="77777777" w:rsidR="007A44FE" w:rsidRPr="007A44FE" w:rsidRDefault="007A44FE" w:rsidP="007A44FE">
            <w:pPr>
              <w:widowControl w:val="0"/>
              <w:spacing w:before="50" w:after="50"/>
              <w:jc w:val="center"/>
              <w:rPr>
                <w:rFonts w:cs="Times New Roman"/>
              </w:rPr>
            </w:pPr>
            <w:r w:rsidRPr="007A44FE">
              <w:rPr>
                <w:rFonts w:cs="Times New Roman" w:hint="eastAsia"/>
              </w:rPr>
              <w:t>郭建锋</w:t>
            </w:r>
          </w:p>
        </w:tc>
        <w:tc>
          <w:tcPr>
            <w:tcW w:w="2455" w:type="pct"/>
            <w:vAlign w:val="center"/>
          </w:tcPr>
          <w:p w14:paraId="50CCFCFD" w14:textId="77777777" w:rsidR="007A44FE" w:rsidRPr="007A44FE" w:rsidRDefault="007A44FE" w:rsidP="007A44FE">
            <w:pPr>
              <w:widowControl w:val="0"/>
              <w:spacing w:before="50" w:after="50"/>
              <w:jc w:val="center"/>
              <w:rPr>
                <w:rFonts w:cs="Times New Roman"/>
              </w:rPr>
            </w:pPr>
            <w:r w:rsidRPr="007A44FE">
              <w:rPr>
                <w:rFonts w:cs="Times New Roman" w:hint="eastAsia"/>
              </w:rPr>
              <w:t>中核四</w:t>
            </w:r>
            <w:r w:rsidRPr="007A44FE">
              <w:rPr>
                <w:rFonts w:cs="Times New Roman" w:hint="eastAsia"/>
              </w:rPr>
              <w:t>0</w:t>
            </w:r>
            <w:r w:rsidRPr="007A44FE">
              <w:rPr>
                <w:rFonts w:cs="Times New Roman" w:hint="eastAsia"/>
              </w:rPr>
              <w:t>四有限公司</w:t>
            </w:r>
          </w:p>
        </w:tc>
        <w:tc>
          <w:tcPr>
            <w:tcW w:w="1039" w:type="pct"/>
            <w:shd w:val="clear" w:color="auto" w:fill="auto"/>
            <w:vAlign w:val="center"/>
          </w:tcPr>
          <w:p w14:paraId="6312475B" w14:textId="77777777" w:rsidR="007A44FE" w:rsidRPr="007A44FE" w:rsidRDefault="007A44FE" w:rsidP="007A44FE">
            <w:pPr>
              <w:widowControl w:val="0"/>
              <w:spacing w:before="50" w:after="50"/>
              <w:jc w:val="center"/>
              <w:rPr>
                <w:rFonts w:cs="Times New Roman"/>
              </w:rPr>
            </w:pPr>
            <w:r w:rsidRPr="007A44FE">
              <w:rPr>
                <w:rFonts w:cs="Times New Roman" w:hint="eastAsia"/>
              </w:rPr>
              <w:t>技术支持</w:t>
            </w:r>
          </w:p>
        </w:tc>
      </w:tr>
      <w:tr w:rsidR="007A44FE" w:rsidRPr="007A44FE" w14:paraId="4F14C0B2" w14:textId="77777777" w:rsidTr="00F614AA">
        <w:trPr>
          <w:jc w:val="center"/>
        </w:trPr>
        <w:tc>
          <w:tcPr>
            <w:tcW w:w="562" w:type="pct"/>
            <w:vAlign w:val="center"/>
          </w:tcPr>
          <w:p w14:paraId="258796DF" w14:textId="3721E82C"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5DB3B3A4" w14:textId="2E456434" w:rsidR="007A44FE" w:rsidRPr="007A44FE" w:rsidRDefault="007A44FE" w:rsidP="007A44FE">
            <w:pPr>
              <w:widowControl w:val="0"/>
              <w:spacing w:before="50" w:after="50"/>
              <w:jc w:val="center"/>
              <w:rPr>
                <w:rFonts w:cs="Times New Roman"/>
              </w:rPr>
            </w:pPr>
          </w:p>
        </w:tc>
        <w:tc>
          <w:tcPr>
            <w:tcW w:w="2455" w:type="pct"/>
            <w:vAlign w:val="center"/>
          </w:tcPr>
          <w:p w14:paraId="51FF711F" w14:textId="14F24B74"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4FA3843C" w14:textId="6E60DC5A" w:rsidR="007A44FE" w:rsidRPr="007A44FE" w:rsidRDefault="007A44FE" w:rsidP="007A44FE">
            <w:pPr>
              <w:widowControl w:val="0"/>
              <w:spacing w:before="50" w:after="50"/>
              <w:jc w:val="center"/>
              <w:rPr>
                <w:rFonts w:cs="Times New Roman"/>
              </w:rPr>
            </w:pPr>
          </w:p>
        </w:tc>
      </w:tr>
      <w:tr w:rsidR="007A44FE" w:rsidRPr="007A44FE" w14:paraId="5AA01208" w14:textId="77777777" w:rsidTr="00F614AA">
        <w:trPr>
          <w:jc w:val="center"/>
        </w:trPr>
        <w:tc>
          <w:tcPr>
            <w:tcW w:w="562" w:type="pct"/>
            <w:vAlign w:val="center"/>
          </w:tcPr>
          <w:p w14:paraId="6A3150C4" w14:textId="4FDACE9C"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00F462D2" w14:textId="10956F48" w:rsidR="007A44FE" w:rsidRPr="007A44FE" w:rsidRDefault="007A44FE" w:rsidP="007A44FE">
            <w:pPr>
              <w:widowControl w:val="0"/>
              <w:spacing w:before="50" w:after="50"/>
              <w:jc w:val="center"/>
              <w:rPr>
                <w:rFonts w:cs="Times New Roman"/>
              </w:rPr>
            </w:pPr>
          </w:p>
        </w:tc>
        <w:tc>
          <w:tcPr>
            <w:tcW w:w="2455" w:type="pct"/>
            <w:vAlign w:val="center"/>
          </w:tcPr>
          <w:p w14:paraId="3A7FD02E" w14:textId="4F97E0BC"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54624FE6" w14:textId="571EB1CD" w:rsidR="007A44FE" w:rsidRPr="007A44FE" w:rsidRDefault="007A44FE" w:rsidP="007A44FE">
            <w:pPr>
              <w:widowControl w:val="0"/>
              <w:spacing w:before="50" w:after="50"/>
              <w:jc w:val="center"/>
              <w:rPr>
                <w:rFonts w:cs="Times New Roman"/>
              </w:rPr>
            </w:pPr>
          </w:p>
        </w:tc>
      </w:tr>
      <w:tr w:rsidR="007A44FE" w:rsidRPr="007A44FE" w14:paraId="6113C37B" w14:textId="77777777" w:rsidTr="00F614AA">
        <w:trPr>
          <w:jc w:val="center"/>
        </w:trPr>
        <w:tc>
          <w:tcPr>
            <w:tcW w:w="562" w:type="pct"/>
            <w:vAlign w:val="center"/>
          </w:tcPr>
          <w:p w14:paraId="49E090D3" w14:textId="3E3319FE"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4720D946" w14:textId="0CEB694B" w:rsidR="007A44FE" w:rsidRPr="007A44FE" w:rsidRDefault="007A44FE" w:rsidP="007A44FE">
            <w:pPr>
              <w:widowControl w:val="0"/>
              <w:spacing w:before="50" w:after="50"/>
              <w:jc w:val="center"/>
              <w:rPr>
                <w:rFonts w:cs="Times New Roman"/>
              </w:rPr>
            </w:pPr>
          </w:p>
        </w:tc>
        <w:tc>
          <w:tcPr>
            <w:tcW w:w="2455" w:type="pct"/>
            <w:vAlign w:val="center"/>
          </w:tcPr>
          <w:p w14:paraId="523C3E7A" w14:textId="461ACB05"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6C35A54F" w14:textId="18350C05" w:rsidR="007A44FE" w:rsidRPr="007A44FE" w:rsidRDefault="007A44FE" w:rsidP="007A44FE">
            <w:pPr>
              <w:widowControl w:val="0"/>
              <w:spacing w:before="50" w:after="50"/>
              <w:jc w:val="center"/>
              <w:rPr>
                <w:rFonts w:cs="Times New Roman"/>
              </w:rPr>
            </w:pPr>
          </w:p>
        </w:tc>
      </w:tr>
      <w:tr w:rsidR="007A44FE" w:rsidRPr="007A44FE" w14:paraId="19EA3E62" w14:textId="77777777" w:rsidTr="00F614AA">
        <w:trPr>
          <w:jc w:val="center"/>
        </w:trPr>
        <w:tc>
          <w:tcPr>
            <w:tcW w:w="562" w:type="pct"/>
            <w:vAlign w:val="center"/>
          </w:tcPr>
          <w:p w14:paraId="4E3F2238" w14:textId="5B366DC4"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6710A4B2" w14:textId="459E0BC5" w:rsidR="007A44FE" w:rsidRPr="007A44FE" w:rsidRDefault="007A44FE" w:rsidP="007A44FE">
            <w:pPr>
              <w:widowControl w:val="0"/>
              <w:spacing w:before="50" w:after="50"/>
              <w:jc w:val="center"/>
              <w:rPr>
                <w:rFonts w:cs="Times New Roman"/>
              </w:rPr>
            </w:pPr>
          </w:p>
        </w:tc>
        <w:tc>
          <w:tcPr>
            <w:tcW w:w="2455" w:type="pct"/>
            <w:vAlign w:val="center"/>
          </w:tcPr>
          <w:p w14:paraId="048B1F27" w14:textId="42AEC3E5"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6836D084" w14:textId="49790482" w:rsidR="007A44FE" w:rsidRPr="007A44FE" w:rsidRDefault="007A44FE" w:rsidP="007A44FE">
            <w:pPr>
              <w:widowControl w:val="0"/>
              <w:spacing w:before="50" w:after="50"/>
              <w:jc w:val="center"/>
              <w:rPr>
                <w:rFonts w:cs="Times New Roman"/>
              </w:rPr>
            </w:pPr>
          </w:p>
        </w:tc>
      </w:tr>
      <w:tr w:rsidR="007A44FE" w:rsidRPr="007A44FE" w14:paraId="3DD30A39" w14:textId="77777777" w:rsidTr="00F614AA">
        <w:trPr>
          <w:jc w:val="center"/>
        </w:trPr>
        <w:tc>
          <w:tcPr>
            <w:tcW w:w="562" w:type="pct"/>
            <w:vAlign w:val="center"/>
          </w:tcPr>
          <w:p w14:paraId="4A67F4B1" w14:textId="077FB041"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112301E5" w14:textId="6BD28D32" w:rsidR="007A44FE" w:rsidRPr="007A44FE" w:rsidRDefault="007A44FE" w:rsidP="007A44FE">
            <w:pPr>
              <w:widowControl w:val="0"/>
              <w:spacing w:before="50" w:after="50"/>
              <w:jc w:val="center"/>
              <w:rPr>
                <w:rFonts w:cs="Times New Roman"/>
              </w:rPr>
            </w:pPr>
          </w:p>
        </w:tc>
        <w:tc>
          <w:tcPr>
            <w:tcW w:w="2455" w:type="pct"/>
            <w:vAlign w:val="center"/>
          </w:tcPr>
          <w:p w14:paraId="070C6EA2" w14:textId="5D32401D"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02FCF86C" w14:textId="521DD2F1" w:rsidR="007A44FE" w:rsidRPr="007A44FE" w:rsidRDefault="007A44FE" w:rsidP="007A44FE">
            <w:pPr>
              <w:widowControl w:val="0"/>
              <w:spacing w:before="50" w:after="50"/>
              <w:jc w:val="center"/>
              <w:rPr>
                <w:rFonts w:cs="Times New Roman"/>
              </w:rPr>
            </w:pPr>
          </w:p>
        </w:tc>
      </w:tr>
      <w:tr w:rsidR="007A44FE" w:rsidRPr="007A44FE" w14:paraId="26B3FF62" w14:textId="77777777" w:rsidTr="00F614AA">
        <w:trPr>
          <w:jc w:val="center"/>
        </w:trPr>
        <w:tc>
          <w:tcPr>
            <w:tcW w:w="562" w:type="pct"/>
            <w:vAlign w:val="center"/>
          </w:tcPr>
          <w:p w14:paraId="643BEF05" w14:textId="176FE863"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6A4D7A24" w14:textId="14157D2D" w:rsidR="007A44FE" w:rsidRPr="007A44FE" w:rsidRDefault="007A44FE" w:rsidP="007A44FE">
            <w:pPr>
              <w:widowControl w:val="0"/>
              <w:spacing w:before="50" w:after="50"/>
              <w:jc w:val="center"/>
              <w:rPr>
                <w:rFonts w:cs="Times New Roman"/>
              </w:rPr>
            </w:pPr>
          </w:p>
        </w:tc>
        <w:tc>
          <w:tcPr>
            <w:tcW w:w="2455" w:type="pct"/>
            <w:vAlign w:val="center"/>
          </w:tcPr>
          <w:p w14:paraId="3953A36D" w14:textId="3C7CA011"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58B15919" w14:textId="48994F1B" w:rsidR="007A44FE" w:rsidRPr="007A44FE" w:rsidRDefault="007A44FE" w:rsidP="007A44FE">
            <w:pPr>
              <w:widowControl w:val="0"/>
              <w:spacing w:before="50" w:after="50"/>
              <w:jc w:val="center"/>
              <w:rPr>
                <w:rFonts w:cs="Times New Roman"/>
              </w:rPr>
            </w:pPr>
          </w:p>
        </w:tc>
      </w:tr>
      <w:tr w:rsidR="007A44FE" w:rsidRPr="007A44FE" w14:paraId="5C236DB0" w14:textId="77777777" w:rsidTr="00F614AA">
        <w:trPr>
          <w:jc w:val="center"/>
        </w:trPr>
        <w:tc>
          <w:tcPr>
            <w:tcW w:w="562" w:type="pct"/>
            <w:vAlign w:val="center"/>
          </w:tcPr>
          <w:p w14:paraId="62590A46" w14:textId="7F491FBF"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0CEBF7B3" w14:textId="432F0E6C" w:rsidR="007A44FE" w:rsidRPr="007A44FE" w:rsidRDefault="007A44FE" w:rsidP="007A44FE">
            <w:pPr>
              <w:widowControl w:val="0"/>
              <w:spacing w:before="50" w:after="50"/>
              <w:jc w:val="center"/>
              <w:rPr>
                <w:rFonts w:cs="Times New Roman"/>
              </w:rPr>
            </w:pPr>
          </w:p>
        </w:tc>
        <w:tc>
          <w:tcPr>
            <w:tcW w:w="2455" w:type="pct"/>
            <w:vAlign w:val="center"/>
          </w:tcPr>
          <w:p w14:paraId="538A4074" w14:textId="2B6B01C1"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79D78558" w14:textId="3B32EAEB" w:rsidR="007A44FE" w:rsidRPr="007A44FE" w:rsidRDefault="007A44FE" w:rsidP="007A44FE">
            <w:pPr>
              <w:widowControl w:val="0"/>
              <w:spacing w:before="50" w:after="50"/>
              <w:jc w:val="center"/>
              <w:rPr>
                <w:rFonts w:cs="Times New Roman"/>
              </w:rPr>
            </w:pPr>
          </w:p>
        </w:tc>
      </w:tr>
      <w:tr w:rsidR="007A44FE" w:rsidRPr="007A44FE" w14:paraId="33C3BE6F" w14:textId="77777777" w:rsidTr="00F614AA">
        <w:trPr>
          <w:jc w:val="center"/>
        </w:trPr>
        <w:tc>
          <w:tcPr>
            <w:tcW w:w="562" w:type="pct"/>
            <w:vAlign w:val="center"/>
          </w:tcPr>
          <w:p w14:paraId="5633E85B" w14:textId="54554E6C"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2065C8B9" w14:textId="113C60AC" w:rsidR="007A44FE" w:rsidRPr="007A44FE" w:rsidRDefault="007A44FE" w:rsidP="007A44FE">
            <w:pPr>
              <w:widowControl w:val="0"/>
              <w:spacing w:before="50" w:after="50"/>
              <w:jc w:val="center"/>
              <w:rPr>
                <w:rFonts w:cs="Times New Roman"/>
              </w:rPr>
            </w:pPr>
          </w:p>
        </w:tc>
        <w:tc>
          <w:tcPr>
            <w:tcW w:w="2455" w:type="pct"/>
            <w:vAlign w:val="center"/>
          </w:tcPr>
          <w:p w14:paraId="7BD216A1" w14:textId="30D5B2E2"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45BB0BE2" w14:textId="3353CC69" w:rsidR="007A44FE" w:rsidRPr="007A44FE" w:rsidRDefault="007A44FE" w:rsidP="007A44FE">
            <w:pPr>
              <w:widowControl w:val="0"/>
              <w:spacing w:before="50" w:after="50"/>
              <w:jc w:val="center"/>
              <w:rPr>
                <w:rFonts w:cs="Times New Roman"/>
              </w:rPr>
            </w:pPr>
          </w:p>
        </w:tc>
      </w:tr>
      <w:tr w:rsidR="007A44FE" w:rsidRPr="007A44FE" w14:paraId="42EBDAA7" w14:textId="77777777" w:rsidTr="00F614AA">
        <w:trPr>
          <w:jc w:val="center"/>
        </w:trPr>
        <w:tc>
          <w:tcPr>
            <w:tcW w:w="562" w:type="pct"/>
            <w:vAlign w:val="center"/>
          </w:tcPr>
          <w:p w14:paraId="776D8049" w14:textId="1E332BB6"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3EDF7A2A" w14:textId="5BF9EE2D" w:rsidR="007A44FE" w:rsidRPr="007A44FE" w:rsidRDefault="007A44FE" w:rsidP="007A44FE">
            <w:pPr>
              <w:widowControl w:val="0"/>
              <w:spacing w:before="50" w:after="50"/>
              <w:jc w:val="center"/>
              <w:rPr>
                <w:rFonts w:cs="Times New Roman"/>
              </w:rPr>
            </w:pPr>
          </w:p>
        </w:tc>
        <w:tc>
          <w:tcPr>
            <w:tcW w:w="2455" w:type="pct"/>
            <w:vAlign w:val="center"/>
          </w:tcPr>
          <w:p w14:paraId="1E5E6AA9" w14:textId="267119DD"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272EA139" w14:textId="67AE57F4" w:rsidR="007A44FE" w:rsidRPr="007A44FE" w:rsidRDefault="007A44FE" w:rsidP="007A44FE">
            <w:pPr>
              <w:widowControl w:val="0"/>
              <w:spacing w:before="50" w:after="50"/>
              <w:jc w:val="center"/>
              <w:rPr>
                <w:rFonts w:cs="Times New Roman"/>
              </w:rPr>
            </w:pPr>
          </w:p>
        </w:tc>
      </w:tr>
      <w:tr w:rsidR="007A44FE" w:rsidRPr="007A44FE" w14:paraId="4E0CF21D" w14:textId="77777777" w:rsidTr="00F614AA">
        <w:trPr>
          <w:jc w:val="center"/>
        </w:trPr>
        <w:tc>
          <w:tcPr>
            <w:tcW w:w="562" w:type="pct"/>
            <w:vAlign w:val="center"/>
          </w:tcPr>
          <w:p w14:paraId="6D30156D" w14:textId="6443AB6B" w:rsidR="007A44FE" w:rsidRPr="007A44FE" w:rsidRDefault="007A44FE" w:rsidP="007A44FE">
            <w:pPr>
              <w:widowControl w:val="0"/>
              <w:spacing w:before="50" w:after="50"/>
              <w:jc w:val="center"/>
              <w:rPr>
                <w:rFonts w:cs="Times New Roman"/>
              </w:rPr>
            </w:pPr>
          </w:p>
        </w:tc>
        <w:tc>
          <w:tcPr>
            <w:tcW w:w="944" w:type="pct"/>
            <w:shd w:val="clear" w:color="auto" w:fill="auto"/>
            <w:vAlign w:val="center"/>
          </w:tcPr>
          <w:p w14:paraId="68B2F1DA" w14:textId="5545726D" w:rsidR="007A44FE" w:rsidRPr="007A44FE" w:rsidRDefault="007A44FE" w:rsidP="007A44FE">
            <w:pPr>
              <w:widowControl w:val="0"/>
              <w:spacing w:before="50" w:after="50"/>
              <w:jc w:val="center"/>
              <w:rPr>
                <w:rFonts w:cs="Times New Roman"/>
              </w:rPr>
            </w:pPr>
          </w:p>
        </w:tc>
        <w:tc>
          <w:tcPr>
            <w:tcW w:w="2455" w:type="pct"/>
            <w:vAlign w:val="center"/>
          </w:tcPr>
          <w:p w14:paraId="33F530C2" w14:textId="7B93197B" w:rsidR="007A44FE" w:rsidRPr="007A44FE" w:rsidRDefault="007A44FE" w:rsidP="007A44FE">
            <w:pPr>
              <w:widowControl w:val="0"/>
              <w:spacing w:before="50" w:after="50"/>
              <w:jc w:val="center"/>
              <w:rPr>
                <w:rFonts w:cs="Times New Roman"/>
              </w:rPr>
            </w:pPr>
          </w:p>
        </w:tc>
        <w:tc>
          <w:tcPr>
            <w:tcW w:w="1039" w:type="pct"/>
            <w:shd w:val="clear" w:color="auto" w:fill="auto"/>
            <w:vAlign w:val="center"/>
          </w:tcPr>
          <w:p w14:paraId="605C3FEB" w14:textId="2C20A628" w:rsidR="007A44FE" w:rsidRPr="007A44FE" w:rsidRDefault="007A44FE" w:rsidP="007A44FE">
            <w:pPr>
              <w:widowControl w:val="0"/>
              <w:spacing w:before="50" w:after="50"/>
              <w:jc w:val="center"/>
              <w:rPr>
                <w:rFonts w:cs="Times New Roman"/>
              </w:rPr>
            </w:pPr>
          </w:p>
        </w:tc>
      </w:tr>
    </w:tbl>
    <w:p w14:paraId="107B9F91" w14:textId="77777777" w:rsidR="007A44FE" w:rsidRDefault="007A44FE" w:rsidP="00FB23F9">
      <w:pPr>
        <w:ind w:firstLineChars="200" w:firstLine="480"/>
      </w:pPr>
    </w:p>
    <w:p w14:paraId="20D5FDF0" w14:textId="54832B5B" w:rsidR="00FB6407" w:rsidRPr="00A33BF8" w:rsidRDefault="00FB6407" w:rsidP="006633BA">
      <w:pPr>
        <w:outlineLvl w:val="0"/>
        <w:rPr>
          <w:b/>
          <w:sz w:val="28"/>
          <w:szCs w:val="28"/>
        </w:rPr>
      </w:pPr>
      <w:r w:rsidRPr="00A33BF8">
        <w:rPr>
          <w:rFonts w:hint="eastAsia"/>
          <w:b/>
          <w:sz w:val="28"/>
          <w:szCs w:val="28"/>
        </w:rPr>
        <w:t>二、标准编制原则和主要内容</w:t>
      </w:r>
    </w:p>
    <w:p w14:paraId="47233154" w14:textId="0F681A68" w:rsidR="00FB6407" w:rsidRPr="00B24A56" w:rsidRDefault="00FB6407" w:rsidP="00FB6407">
      <w:pPr>
        <w:rPr>
          <w:b/>
        </w:rPr>
      </w:pPr>
      <w:r w:rsidRPr="00B24A56">
        <w:rPr>
          <w:rFonts w:hint="eastAsia"/>
          <w:b/>
        </w:rPr>
        <w:t>1</w:t>
      </w:r>
      <w:r w:rsidRPr="00B24A56">
        <w:rPr>
          <w:rFonts w:hint="eastAsia"/>
          <w:b/>
        </w:rPr>
        <w:t>、标准编制原则</w:t>
      </w:r>
    </w:p>
    <w:p w14:paraId="48A1A223" w14:textId="22216A88" w:rsidR="007A44FE" w:rsidRDefault="008A189D" w:rsidP="007A44FE">
      <w:pPr>
        <w:ind w:firstLineChars="200" w:firstLine="480"/>
        <w:rPr>
          <w:iCs/>
        </w:rPr>
      </w:pPr>
      <w:r>
        <w:rPr>
          <w:rFonts w:hint="eastAsia"/>
          <w:iCs/>
        </w:rPr>
        <w:t>本标准</w:t>
      </w:r>
      <w:r w:rsidR="007A44FE" w:rsidRPr="007A44FE">
        <w:rPr>
          <w:rFonts w:hint="eastAsia"/>
          <w:iCs/>
        </w:rPr>
        <w:t>主要依据《中国核能行业协会团体标准管理办法（试行）》的相关要求，按照</w:t>
      </w:r>
      <w:r w:rsidR="007A44FE" w:rsidRPr="007A44FE">
        <w:rPr>
          <w:iCs/>
        </w:rPr>
        <w:t>GB/T 1.1—2020</w:t>
      </w:r>
      <w:r w:rsidR="007A44FE" w:rsidRPr="007A44FE">
        <w:rPr>
          <w:iCs/>
        </w:rPr>
        <w:t>《标准化工作导则第</w:t>
      </w:r>
      <w:r w:rsidR="007A44FE" w:rsidRPr="007A44FE">
        <w:rPr>
          <w:iCs/>
        </w:rPr>
        <w:t>1</w:t>
      </w:r>
      <w:r w:rsidR="007A44FE" w:rsidRPr="007A44FE">
        <w:rPr>
          <w:iCs/>
        </w:rPr>
        <w:t>部分：标准化文件的结构和起草规则》的要求进行了标准编写。</w:t>
      </w:r>
    </w:p>
    <w:p w14:paraId="7700B380" w14:textId="47BC6791" w:rsidR="00846973" w:rsidRPr="007A44FE" w:rsidRDefault="00846973" w:rsidP="00846973">
      <w:pPr>
        <w:rPr>
          <w:rFonts w:hint="eastAsia"/>
          <w:iCs/>
        </w:rPr>
      </w:pPr>
      <w:r>
        <w:rPr>
          <w:rFonts w:hint="eastAsia"/>
          <w:iCs/>
        </w:rPr>
        <w:t>（</w:t>
      </w:r>
      <w:r>
        <w:rPr>
          <w:rFonts w:hint="eastAsia"/>
          <w:iCs/>
        </w:rPr>
        <w:t>1</w:t>
      </w:r>
      <w:r>
        <w:rPr>
          <w:rFonts w:hint="eastAsia"/>
          <w:iCs/>
        </w:rPr>
        <w:t>）科学性</w:t>
      </w:r>
    </w:p>
    <w:p w14:paraId="3D5FFA2E" w14:textId="0C5607A4" w:rsidR="007A44FE" w:rsidRPr="00846973" w:rsidRDefault="00846973" w:rsidP="00846973">
      <w:pPr>
        <w:ind w:firstLineChars="200" w:firstLine="480"/>
      </w:pPr>
      <w:bookmarkStart w:id="1" w:name="_Hlk199200277"/>
      <w:r>
        <w:rPr>
          <w:rFonts w:hint="eastAsia"/>
          <w:iCs/>
        </w:rPr>
        <w:lastRenderedPageBreak/>
        <w:t>本标准是在对我国高放固体废物贮存设施运营单位进行了大量调研之后，</w:t>
      </w:r>
      <w:r w:rsidR="007A44FE" w:rsidRPr="007A44FE">
        <w:rPr>
          <w:rFonts w:hint="eastAsia"/>
          <w:iCs/>
        </w:rPr>
        <w:t>依据各高放固体废物贮存设施</w:t>
      </w:r>
      <w:r w:rsidRPr="007A44FE">
        <w:rPr>
          <w:rFonts w:hint="eastAsia"/>
          <w:iCs/>
        </w:rPr>
        <w:t>多年运行</w:t>
      </w:r>
      <w:r>
        <w:rPr>
          <w:rFonts w:hint="eastAsia"/>
          <w:iCs/>
        </w:rPr>
        <w:t>与维护的</w:t>
      </w:r>
      <w:r w:rsidRPr="007A44FE">
        <w:rPr>
          <w:rFonts w:hint="eastAsia"/>
          <w:iCs/>
        </w:rPr>
        <w:t>实践</w:t>
      </w:r>
      <w:r>
        <w:rPr>
          <w:rFonts w:hint="eastAsia"/>
          <w:iCs/>
        </w:rPr>
        <w:t>经验</w:t>
      </w:r>
      <w:r w:rsidRPr="007A44FE">
        <w:rPr>
          <w:rFonts w:hint="eastAsia"/>
          <w:iCs/>
        </w:rPr>
        <w:t>为基础，</w:t>
      </w:r>
      <w:r w:rsidRPr="00846973">
        <w:rPr>
          <w:rFonts w:hint="eastAsia"/>
          <w:iCs/>
        </w:rPr>
        <w:t>并借鉴了</w:t>
      </w:r>
      <w:r w:rsidRPr="007A44FE">
        <w:t>IAEA</w:t>
      </w:r>
      <w:r w:rsidRPr="007A44FE">
        <w:t>．</w:t>
      </w:r>
      <w:r w:rsidRPr="007A44FE">
        <w:t>WS-G</w:t>
      </w:r>
      <w:r w:rsidRPr="007A44FE">
        <w:t>－</w:t>
      </w:r>
      <w:r w:rsidRPr="007A44FE">
        <w:t>6.1(2006)</w:t>
      </w:r>
      <w:r w:rsidRPr="007A44FE">
        <w:t>《</w:t>
      </w:r>
      <w:r w:rsidRPr="007A44FE">
        <w:t>STORAGE OF RADIOACTIVE WASTE</w:t>
      </w:r>
      <w:r w:rsidRPr="007A44FE">
        <w:t>》</w:t>
      </w:r>
      <w:r>
        <w:rPr>
          <w:rFonts w:hint="eastAsia"/>
          <w:iCs/>
        </w:rPr>
        <w:t>、</w:t>
      </w:r>
      <w:r w:rsidRPr="007A44FE">
        <w:t>IAEA.STI/DOC/10/229</w:t>
      </w:r>
      <w:r w:rsidRPr="007A44FE">
        <w:t>《</w:t>
      </w:r>
      <w:r w:rsidRPr="007A44FE">
        <w:t>Handling and Storage of Conditioned High-level Wastes</w:t>
      </w:r>
      <w:r w:rsidRPr="007A44FE">
        <w:t>》</w:t>
      </w:r>
      <w:r>
        <w:rPr>
          <w:rFonts w:hint="eastAsia"/>
        </w:rPr>
        <w:t>、</w:t>
      </w:r>
      <w:r w:rsidRPr="007A44FE">
        <w:t>IAEA-TEC/DOC</w:t>
      </w:r>
      <w:r w:rsidRPr="007A44FE">
        <w:t>－</w:t>
      </w:r>
      <w:r w:rsidRPr="007A44FE">
        <w:t>680</w:t>
      </w:r>
      <w:r w:rsidRPr="007A44FE">
        <w:t>《</w:t>
      </w:r>
      <w:r w:rsidRPr="007A44FE">
        <w:t>Requirements and methods for high level waste package acceptability</w:t>
      </w:r>
      <w:r w:rsidRPr="007A44FE">
        <w:t>》</w:t>
      </w:r>
      <w:r>
        <w:rPr>
          <w:rFonts w:hint="eastAsia"/>
        </w:rPr>
        <w:t>等国际标准、</w:t>
      </w:r>
      <w:r w:rsidRPr="00846973">
        <w:rPr>
          <w:rFonts w:hint="eastAsia"/>
          <w:iCs/>
        </w:rPr>
        <w:t>同时结合我国</w:t>
      </w:r>
      <w:r>
        <w:rPr>
          <w:rFonts w:hint="eastAsia"/>
          <w:iCs/>
        </w:rPr>
        <w:t>高放固体废物贮存设施运行与维护</w:t>
      </w:r>
      <w:r w:rsidRPr="00846973">
        <w:rPr>
          <w:rFonts w:hint="eastAsia"/>
          <w:iCs/>
        </w:rPr>
        <w:t>实际情况对本团体标准进行编写。</w:t>
      </w:r>
    </w:p>
    <w:p w14:paraId="17C37B5A" w14:textId="6BBAE857" w:rsidR="008A189D" w:rsidRDefault="008A189D" w:rsidP="008A189D">
      <w:pPr>
        <w:rPr>
          <w:rFonts w:hint="eastAsia"/>
          <w:iCs/>
        </w:rPr>
      </w:pPr>
      <w:r>
        <w:rPr>
          <w:rFonts w:hint="eastAsia"/>
          <w:iCs/>
        </w:rPr>
        <w:t>（</w:t>
      </w:r>
      <w:r>
        <w:rPr>
          <w:rFonts w:hint="eastAsia"/>
          <w:iCs/>
        </w:rPr>
        <w:t>2</w:t>
      </w:r>
      <w:r>
        <w:rPr>
          <w:rFonts w:hint="eastAsia"/>
          <w:iCs/>
        </w:rPr>
        <w:t>）实用性</w:t>
      </w:r>
    </w:p>
    <w:p w14:paraId="29C42DA5" w14:textId="5CB90066" w:rsidR="008A189D" w:rsidRPr="007A44FE" w:rsidRDefault="008A189D" w:rsidP="007A44FE">
      <w:pPr>
        <w:ind w:firstLineChars="200" w:firstLine="480"/>
        <w:rPr>
          <w:rFonts w:hint="eastAsia"/>
          <w:iCs/>
        </w:rPr>
      </w:pPr>
      <w:r>
        <w:rPr>
          <w:rFonts w:hint="eastAsia"/>
          <w:iCs/>
        </w:rPr>
        <w:t>本标准提供了</w:t>
      </w:r>
      <w:r w:rsidRPr="007A44FE">
        <w:rPr>
          <w:rFonts w:hint="eastAsia"/>
          <w:iCs/>
        </w:rPr>
        <w:t>高水平放射性固体废物（简称“高放固体废物”）</w:t>
      </w:r>
      <w:r w:rsidRPr="008A189D">
        <w:rPr>
          <w:rFonts w:hint="eastAsia"/>
          <w:iCs/>
        </w:rPr>
        <w:t>贮存设施</w:t>
      </w:r>
      <w:r>
        <w:rPr>
          <w:rFonts w:hint="eastAsia"/>
          <w:iCs/>
        </w:rPr>
        <w:t>在运行与维护方面的建议与指导，包括</w:t>
      </w:r>
      <w:r w:rsidRPr="008A189D">
        <w:rPr>
          <w:rFonts w:hint="eastAsia"/>
          <w:iCs/>
        </w:rPr>
        <w:t>厂房设计、废物接收、废物贮存、运行管理、设备设施维护、辐射防护、应急、质量保证等方面</w:t>
      </w:r>
      <w:r w:rsidRPr="007A44FE">
        <w:rPr>
          <w:rFonts w:hint="eastAsia"/>
          <w:iCs/>
        </w:rPr>
        <w:t>，适用于高放固体废物贮存设施的运行管理。</w:t>
      </w:r>
      <w:r w:rsidRPr="008A189D">
        <w:rPr>
          <w:rFonts w:hint="eastAsia"/>
          <w:iCs/>
        </w:rPr>
        <w:t>使</w:t>
      </w:r>
      <w:r>
        <w:rPr>
          <w:rFonts w:hint="eastAsia"/>
          <w:iCs/>
        </w:rPr>
        <w:t>高放固体废物贮存设施的运行与维护</w:t>
      </w:r>
      <w:r w:rsidRPr="008A189D">
        <w:rPr>
          <w:rFonts w:hint="eastAsia"/>
          <w:iCs/>
        </w:rPr>
        <w:t>向科学化、合理化方向迈进，减少</w:t>
      </w:r>
      <w:r>
        <w:rPr>
          <w:rFonts w:hint="eastAsia"/>
          <w:iCs/>
        </w:rPr>
        <w:t>高放固体废物接收、贮存等各方面</w:t>
      </w:r>
      <w:r w:rsidRPr="008A189D">
        <w:rPr>
          <w:rFonts w:hint="eastAsia"/>
          <w:iCs/>
        </w:rPr>
        <w:t>的主观性、随意性，增加科学性、客观性。</w:t>
      </w:r>
    </w:p>
    <w:bookmarkEnd w:id="1"/>
    <w:p w14:paraId="00EE86BE" w14:textId="2978280D" w:rsidR="00FB6407" w:rsidRPr="00B24A56" w:rsidRDefault="00FB6407" w:rsidP="00FB6407">
      <w:pPr>
        <w:rPr>
          <w:b/>
        </w:rPr>
      </w:pPr>
      <w:r w:rsidRPr="00B24A56">
        <w:rPr>
          <w:rFonts w:hint="eastAsia"/>
          <w:b/>
        </w:rPr>
        <w:t>2</w:t>
      </w:r>
      <w:r w:rsidRPr="00B24A56">
        <w:rPr>
          <w:rFonts w:hint="eastAsia"/>
          <w:b/>
        </w:rPr>
        <w:t>、标准主要内容的依据</w:t>
      </w:r>
    </w:p>
    <w:p w14:paraId="5706C27F" w14:textId="6746974C" w:rsidR="007A44FE" w:rsidRPr="00846973" w:rsidRDefault="002F637C" w:rsidP="007A44FE">
      <w:pPr>
        <w:ind w:firstLineChars="200" w:firstLine="480"/>
      </w:pPr>
      <w:r>
        <w:rPr>
          <w:rFonts w:hint="eastAsia"/>
        </w:rPr>
        <w:t>本</w:t>
      </w:r>
      <w:r w:rsidR="00AB5F92" w:rsidRPr="00846973">
        <w:rPr>
          <w:rFonts w:hint="eastAsia"/>
        </w:rPr>
        <w:t>标准编写的格式应遵从</w:t>
      </w:r>
      <w:r w:rsidR="00AB5F92" w:rsidRPr="00846973">
        <w:t>GB/T 1.1-2009</w:t>
      </w:r>
      <w:r w:rsidR="00AB5F92" w:rsidRPr="00846973">
        <w:t>的要求，</w:t>
      </w:r>
      <w:r w:rsidR="007A44FE" w:rsidRPr="00846973">
        <w:rPr>
          <w:rFonts w:hint="eastAsia"/>
        </w:rPr>
        <w:t>标准内容以工程实践为基础，依据各单位高放固体废物贮存设施多年运行经验，</w:t>
      </w:r>
      <w:r>
        <w:rPr>
          <w:rFonts w:hint="eastAsia"/>
          <w:iCs/>
        </w:rPr>
        <w:t>提供了</w:t>
      </w:r>
      <w:r w:rsidRPr="007A44FE">
        <w:rPr>
          <w:rFonts w:hint="eastAsia"/>
          <w:iCs/>
        </w:rPr>
        <w:t>高放固体废物</w:t>
      </w:r>
      <w:r w:rsidRPr="008A189D">
        <w:rPr>
          <w:rFonts w:hint="eastAsia"/>
          <w:iCs/>
        </w:rPr>
        <w:t>贮存设施</w:t>
      </w:r>
      <w:r>
        <w:rPr>
          <w:rFonts w:hint="eastAsia"/>
          <w:iCs/>
        </w:rPr>
        <w:t>在运行与维护方面的建议与指导，</w:t>
      </w:r>
      <w:r>
        <w:rPr>
          <w:rFonts w:hint="eastAsia"/>
          <w:iCs/>
        </w:rPr>
        <w:t>主要</w:t>
      </w:r>
      <w:r>
        <w:rPr>
          <w:rFonts w:hint="eastAsia"/>
          <w:iCs/>
        </w:rPr>
        <w:t>包括</w:t>
      </w:r>
      <w:r w:rsidRPr="008A189D">
        <w:rPr>
          <w:rFonts w:hint="eastAsia"/>
          <w:iCs/>
        </w:rPr>
        <w:t>厂房设计、废物接收、废物贮存、运行管理、设备设施维护、辐射防护、应急、质量保证等方面</w:t>
      </w:r>
      <w:r w:rsidR="007A44FE" w:rsidRPr="00846973">
        <w:rPr>
          <w:rFonts w:hint="eastAsia"/>
        </w:rPr>
        <w:t>：</w:t>
      </w:r>
    </w:p>
    <w:p w14:paraId="39605BFA" w14:textId="56C82BC7" w:rsidR="007A44FE" w:rsidRPr="00846973" w:rsidRDefault="007A44FE" w:rsidP="007A44FE">
      <w:pPr>
        <w:ind w:firstLineChars="200" w:firstLine="480"/>
      </w:pPr>
      <w:r w:rsidRPr="00846973">
        <w:t>1</w:t>
      </w:r>
      <w:r w:rsidRPr="00846973">
        <w:t>）贮存设施运行及维护的基本要求：对贮存设施的运行及维护</w:t>
      </w:r>
      <w:r w:rsidR="002F637C">
        <w:rPr>
          <w:rFonts w:hint="eastAsia"/>
        </w:rPr>
        <w:t>提供</w:t>
      </w:r>
      <w:r w:rsidR="002F637C" w:rsidRPr="00846973">
        <w:t>了</w:t>
      </w:r>
      <w:r w:rsidRPr="00846973">
        <w:t>总体性、原则性的</w:t>
      </w:r>
      <w:r w:rsidR="002F637C">
        <w:rPr>
          <w:rFonts w:hint="eastAsia"/>
        </w:rPr>
        <w:t>建议与指导</w:t>
      </w:r>
      <w:r w:rsidRPr="00846973">
        <w:t>。</w:t>
      </w:r>
    </w:p>
    <w:p w14:paraId="40B5577E" w14:textId="68CE8606" w:rsidR="007A44FE" w:rsidRPr="00846973" w:rsidRDefault="007A44FE" w:rsidP="007A44FE">
      <w:pPr>
        <w:ind w:firstLineChars="200" w:firstLine="480"/>
      </w:pPr>
      <w:r w:rsidRPr="00846973">
        <w:t>2</w:t>
      </w:r>
      <w:r w:rsidRPr="00846973">
        <w:t>）贮存设施</w:t>
      </w:r>
      <w:r w:rsidR="002F637C">
        <w:rPr>
          <w:rFonts w:hint="eastAsia"/>
        </w:rPr>
        <w:t>设计</w:t>
      </w:r>
      <w:r w:rsidRPr="00846973">
        <w:t>：对贮存设施的寿命、分区、厂房通排风、贮存区贮存井（坑）等方面</w:t>
      </w:r>
      <w:r w:rsidR="002F637C">
        <w:rPr>
          <w:rFonts w:hint="eastAsia"/>
        </w:rPr>
        <w:t>提供</w:t>
      </w:r>
      <w:r w:rsidR="002F637C" w:rsidRPr="00846973">
        <w:t>了</w:t>
      </w:r>
      <w:r w:rsidR="002F637C">
        <w:rPr>
          <w:rFonts w:hint="eastAsia"/>
        </w:rPr>
        <w:t>具体建议与指导</w:t>
      </w:r>
      <w:r w:rsidRPr="00846973">
        <w:t>，确保贮存设施设计合理、质量可靠、运行符合国家相关规范要求。</w:t>
      </w:r>
    </w:p>
    <w:p w14:paraId="07EA562B" w14:textId="47CC4DD9" w:rsidR="007A44FE" w:rsidRPr="00846973" w:rsidRDefault="007A44FE" w:rsidP="007A44FE">
      <w:pPr>
        <w:ind w:firstLineChars="200" w:firstLine="480"/>
      </w:pPr>
      <w:r w:rsidRPr="00846973">
        <w:t>3</w:t>
      </w:r>
      <w:r w:rsidRPr="00846973">
        <w:t>）</w:t>
      </w:r>
      <w:r w:rsidR="002F637C">
        <w:rPr>
          <w:rFonts w:hint="eastAsia"/>
        </w:rPr>
        <w:t>高放固体废物</w:t>
      </w:r>
      <w:r w:rsidRPr="00846973">
        <w:t>接收：对废物包装、废物包内容物、送贮信息、检查项目等方面</w:t>
      </w:r>
      <w:r w:rsidR="002F637C">
        <w:rPr>
          <w:rFonts w:hint="eastAsia"/>
        </w:rPr>
        <w:t>提供</w:t>
      </w:r>
      <w:r w:rsidRPr="00846973">
        <w:t>了</w:t>
      </w:r>
      <w:r w:rsidR="002F637C">
        <w:rPr>
          <w:rFonts w:hint="eastAsia"/>
        </w:rPr>
        <w:t>具体建议与指导</w:t>
      </w:r>
      <w:r w:rsidRPr="00846973">
        <w:t>，确保所接收废物符合高放固体废物贮存设施的接收标准，废物信息记录完整，具有可追溯性。</w:t>
      </w:r>
    </w:p>
    <w:p w14:paraId="43F8577C" w14:textId="1DDB9041" w:rsidR="007A44FE" w:rsidRDefault="007A44FE" w:rsidP="007A44FE">
      <w:pPr>
        <w:ind w:firstLineChars="200" w:firstLine="480"/>
      </w:pPr>
      <w:r w:rsidRPr="00846973">
        <w:lastRenderedPageBreak/>
        <w:t>4</w:t>
      </w:r>
      <w:r w:rsidRPr="00846973">
        <w:t>）</w:t>
      </w:r>
      <w:r w:rsidR="002F637C">
        <w:rPr>
          <w:rFonts w:hint="eastAsia"/>
        </w:rPr>
        <w:t>高放固体废物</w:t>
      </w:r>
      <w:r w:rsidRPr="00846973">
        <w:t>贮存：对高放固体废物的贮存操作、贮存环境、运行记录等方面</w:t>
      </w:r>
      <w:r w:rsidR="002F637C">
        <w:rPr>
          <w:rFonts w:hint="eastAsia"/>
        </w:rPr>
        <w:t>提供了具体建议与指导</w:t>
      </w:r>
      <w:r w:rsidRPr="00846973">
        <w:t>，保证高放固体废物在贮存期间不丢失、可追溯、废物容器完整可回取，以便进一步整备、处理、运输、和处置。</w:t>
      </w:r>
    </w:p>
    <w:p w14:paraId="63999637" w14:textId="20BC3DD6" w:rsidR="002F637C" w:rsidRDefault="002F637C" w:rsidP="007A44FE">
      <w:pPr>
        <w:ind w:firstLineChars="200" w:firstLine="480"/>
      </w:pPr>
      <w:r>
        <w:rPr>
          <w:rFonts w:hint="eastAsia"/>
        </w:rPr>
        <w:t>5</w:t>
      </w:r>
      <w:r>
        <w:rPr>
          <w:rFonts w:hint="eastAsia"/>
        </w:rPr>
        <w:t>）运行管理：对高放固体废物运营单位的体系管理、人员管理、程序管理及其他方面的管理提供了具体的建议与指导，保证贮存设施运行与维护时人员、程序</w:t>
      </w:r>
      <w:r w:rsidR="00141DD2">
        <w:rPr>
          <w:rFonts w:hint="eastAsia"/>
        </w:rPr>
        <w:t>等方面的秩序。</w:t>
      </w:r>
    </w:p>
    <w:p w14:paraId="0C2D7E08" w14:textId="0567695D" w:rsidR="002F637C" w:rsidRPr="00846973" w:rsidRDefault="002F637C" w:rsidP="00141DD2">
      <w:pPr>
        <w:ind w:firstLineChars="200" w:firstLine="480"/>
        <w:rPr>
          <w:rFonts w:hint="eastAsia"/>
        </w:rPr>
      </w:pPr>
      <w:r>
        <w:rPr>
          <w:rFonts w:hint="eastAsia"/>
        </w:rPr>
        <w:t>6</w:t>
      </w:r>
      <w:r>
        <w:rPr>
          <w:rFonts w:hint="eastAsia"/>
        </w:rPr>
        <w:t>）设备设施维护：</w:t>
      </w:r>
      <w:r w:rsidR="00141DD2">
        <w:rPr>
          <w:rFonts w:hint="eastAsia"/>
        </w:rPr>
        <w:t>对高放固体废物贮存设施及设备维护提供了具体建议与指导，应</w:t>
      </w:r>
      <w:r w:rsidR="00141DD2">
        <w:rPr>
          <w:rFonts w:hint="eastAsia"/>
        </w:rPr>
        <w:t>根据计划定期维护、检查、测试贮存设施内相关设备确保设备的性能</w:t>
      </w:r>
      <w:r w:rsidR="00141DD2">
        <w:rPr>
          <w:rFonts w:hint="eastAsia"/>
        </w:rPr>
        <w:t>及</w:t>
      </w:r>
      <w:r w:rsidR="00141DD2">
        <w:rPr>
          <w:rFonts w:hint="eastAsia"/>
        </w:rPr>
        <w:t>可靠性</w:t>
      </w:r>
      <w:r w:rsidR="00141DD2">
        <w:rPr>
          <w:rFonts w:hint="eastAsia"/>
        </w:rPr>
        <w:t>，保证设施正常稳定运行，最大程度减小事故发生的概率。</w:t>
      </w:r>
    </w:p>
    <w:p w14:paraId="2940FBCD" w14:textId="77777777" w:rsidR="007A44FE" w:rsidRPr="00846973" w:rsidRDefault="007A44FE" w:rsidP="007A44FE">
      <w:pPr>
        <w:ind w:firstLineChars="200" w:firstLine="480"/>
      </w:pPr>
      <w:r w:rsidRPr="00846973">
        <w:t>5</w:t>
      </w:r>
      <w:r w:rsidRPr="00846973">
        <w:t>）辐射防护：对贮存设施运营单位应为工人、公众和环境提供的保护及造成的辐射剂量限值做了规定，保证工人、公众和环境所受辐射剂量保持在尽可能低的水平；</w:t>
      </w:r>
    </w:p>
    <w:p w14:paraId="5239DEEA" w14:textId="77777777" w:rsidR="007A44FE" w:rsidRDefault="007A44FE" w:rsidP="007A44FE">
      <w:pPr>
        <w:ind w:firstLineChars="200" w:firstLine="480"/>
      </w:pPr>
      <w:r w:rsidRPr="00846973">
        <w:t>6</w:t>
      </w:r>
      <w:r w:rsidRPr="00846973">
        <w:t>）应急：对运营单位应制定的应急准备和响应安排做了具体要求，以便在事故条件下快速做出反应；</w:t>
      </w:r>
    </w:p>
    <w:p w14:paraId="783A352A" w14:textId="11D923AA" w:rsidR="00FB6407" w:rsidRPr="00B24A56" w:rsidRDefault="0024244C" w:rsidP="007A44FE">
      <w:pPr>
        <w:rPr>
          <w:b/>
        </w:rPr>
      </w:pPr>
      <w:r w:rsidRPr="00B24A56">
        <w:rPr>
          <w:rFonts w:hint="eastAsia"/>
          <w:b/>
        </w:rPr>
        <w:t>3</w:t>
      </w:r>
      <w:r w:rsidRPr="00B24A56">
        <w:rPr>
          <w:rFonts w:hint="eastAsia"/>
          <w:b/>
        </w:rPr>
        <w:t>、解决的主要问题</w:t>
      </w:r>
    </w:p>
    <w:p w14:paraId="09C92ECB" w14:textId="235EEB97" w:rsidR="00B24A56" w:rsidRDefault="00DF21FD" w:rsidP="00DF21FD">
      <w:pPr>
        <w:ind w:firstLineChars="200" w:firstLine="480"/>
      </w:pPr>
      <w:r w:rsidRPr="00DF21FD">
        <w:rPr>
          <w:rFonts w:hint="eastAsia"/>
        </w:rPr>
        <w:t>高水平放射性固体废物（简称“高放固体废物”）处理处置这一领域，因我国完整、成熟的工程技术还处于试验阶段，各个环节并无相适应的标准来进行规范。因此，我国产生高放固体废物的核设施大多采取整备后（约</w:t>
      </w:r>
      <w:r w:rsidRPr="00DF21FD">
        <w:rPr>
          <w:rFonts w:hint="eastAsia"/>
        </w:rPr>
        <w:t>30</w:t>
      </w:r>
      <w:r w:rsidRPr="00DF21FD">
        <w:rPr>
          <w:rFonts w:hint="eastAsia"/>
        </w:rPr>
        <w:t>～</w:t>
      </w:r>
      <w:r w:rsidRPr="00DF21FD">
        <w:rPr>
          <w:rFonts w:hint="eastAsia"/>
        </w:rPr>
        <w:t>50</w:t>
      </w:r>
      <w:r w:rsidRPr="00DF21FD">
        <w:rPr>
          <w:rFonts w:hint="eastAsia"/>
        </w:rPr>
        <w:t>年）贮存的方式，保障环境和公众的安全。《高放固体废物贮存设施运行维护</w:t>
      </w:r>
      <w:r>
        <w:rPr>
          <w:rFonts w:hint="eastAsia"/>
        </w:rPr>
        <w:t>指南</w:t>
      </w:r>
      <w:r w:rsidRPr="00DF21FD">
        <w:rPr>
          <w:rFonts w:hint="eastAsia"/>
        </w:rPr>
        <w:t>》即是从实践应用出发，</w:t>
      </w:r>
      <w:r>
        <w:rPr>
          <w:rFonts w:hint="eastAsia"/>
        </w:rPr>
        <w:t>对</w:t>
      </w:r>
      <w:r>
        <w:rPr>
          <w:rFonts w:hint="eastAsia"/>
          <w:iCs/>
        </w:rPr>
        <w:t>我国高放固体废物贮存设施运营单位进行了大量调研之后，</w:t>
      </w:r>
      <w:r w:rsidRPr="007A44FE">
        <w:rPr>
          <w:rFonts w:hint="eastAsia"/>
          <w:iCs/>
        </w:rPr>
        <w:t>依据各高放固体废物贮存设施多年运行</w:t>
      </w:r>
      <w:r>
        <w:rPr>
          <w:rFonts w:hint="eastAsia"/>
          <w:iCs/>
        </w:rPr>
        <w:t>与维护的</w:t>
      </w:r>
      <w:r w:rsidRPr="007A44FE">
        <w:rPr>
          <w:rFonts w:hint="eastAsia"/>
          <w:iCs/>
        </w:rPr>
        <w:t>实践</w:t>
      </w:r>
      <w:r>
        <w:rPr>
          <w:rFonts w:hint="eastAsia"/>
          <w:iCs/>
        </w:rPr>
        <w:t>经验</w:t>
      </w:r>
      <w:r w:rsidRPr="007A44FE">
        <w:rPr>
          <w:rFonts w:hint="eastAsia"/>
          <w:iCs/>
        </w:rPr>
        <w:t>为基础，</w:t>
      </w:r>
      <w:r>
        <w:rPr>
          <w:rFonts w:hint="eastAsia"/>
          <w:iCs/>
        </w:rPr>
        <w:t>对</w:t>
      </w:r>
      <w:r w:rsidRPr="007A44FE">
        <w:rPr>
          <w:rFonts w:hint="eastAsia"/>
          <w:iCs/>
        </w:rPr>
        <w:t>高放固体废物</w:t>
      </w:r>
      <w:r w:rsidRPr="008A189D">
        <w:rPr>
          <w:rFonts w:hint="eastAsia"/>
          <w:iCs/>
        </w:rPr>
        <w:t>贮存设施</w:t>
      </w:r>
      <w:r>
        <w:rPr>
          <w:rFonts w:hint="eastAsia"/>
          <w:iCs/>
        </w:rPr>
        <w:t>在运行与维护</w:t>
      </w:r>
      <w:r>
        <w:rPr>
          <w:rFonts w:hint="eastAsia"/>
          <w:iCs/>
        </w:rPr>
        <w:t>等</w:t>
      </w:r>
      <w:r>
        <w:rPr>
          <w:rFonts w:hint="eastAsia"/>
          <w:iCs/>
        </w:rPr>
        <w:t>方面</w:t>
      </w:r>
      <w:r>
        <w:rPr>
          <w:rFonts w:hint="eastAsia"/>
          <w:iCs/>
        </w:rPr>
        <w:t>提出具体的</w:t>
      </w:r>
      <w:r>
        <w:rPr>
          <w:rFonts w:hint="eastAsia"/>
          <w:iCs/>
        </w:rPr>
        <w:t>建议与指导，主要包括</w:t>
      </w:r>
      <w:r w:rsidRPr="008A189D">
        <w:rPr>
          <w:rFonts w:hint="eastAsia"/>
          <w:iCs/>
        </w:rPr>
        <w:t>厂房设计、废物接收、废物贮存、运行管理、设备设施维护、辐射防护、应急、质量保证等方面</w:t>
      </w:r>
      <w:r>
        <w:rPr>
          <w:rFonts w:hint="eastAsia"/>
          <w:iCs/>
        </w:rPr>
        <w:t>，</w:t>
      </w:r>
      <w:r w:rsidRPr="00DF21FD">
        <w:rPr>
          <w:rFonts w:hint="eastAsia"/>
        </w:rPr>
        <w:t>适应我国放射性固体废物处理环节的一项重要规范要求。</w:t>
      </w:r>
    </w:p>
    <w:p w14:paraId="67313798" w14:textId="3CAD61AC" w:rsidR="0024244C" w:rsidRPr="00A33BF8" w:rsidRDefault="00285F39" w:rsidP="006633BA">
      <w:pPr>
        <w:outlineLvl w:val="0"/>
        <w:rPr>
          <w:b/>
          <w:sz w:val="28"/>
          <w:szCs w:val="28"/>
        </w:rPr>
      </w:pPr>
      <w:r w:rsidRPr="00A33BF8">
        <w:rPr>
          <w:rFonts w:hint="eastAsia"/>
          <w:b/>
          <w:sz w:val="28"/>
          <w:szCs w:val="28"/>
        </w:rPr>
        <w:t>三、主要试验（或验证）情况</w:t>
      </w:r>
    </w:p>
    <w:p w14:paraId="6BA52DF4" w14:textId="78C9902E" w:rsidR="004656F6" w:rsidRDefault="007A44FE" w:rsidP="00EC0575">
      <w:pPr>
        <w:ind w:firstLineChars="200" w:firstLine="480"/>
      </w:pPr>
      <w:r>
        <w:rPr>
          <w:rFonts w:hint="eastAsia"/>
        </w:rPr>
        <w:t>无</w:t>
      </w:r>
    </w:p>
    <w:p w14:paraId="2C6D0654" w14:textId="1DE749A4" w:rsidR="00285F39" w:rsidRPr="00A33BF8" w:rsidRDefault="00285F39" w:rsidP="006633BA">
      <w:pPr>
        <w:outlineLvl w:val="0"/>
        <w:rPr>
          <w:b/>
          <w:sz w:val="28"/>
          <w:szCs w:val="28"/>
        </w:rPr>
      </w:pPr>
      <w:r w:rsidRPr="00A33BF8">
        <w:rPr>
          <w:rFonts w:hint="eastAsia"/>
          <w:b/>
          <w:sz w:val="28"/>
          <w:szCs w:val="28"/>
        </w:rPr>
        <w:t>四、标准中涉及专利的情况</w:t>
      </w:r>
    </w:p>
    <w:p w14:paraId="6CE9D3B9" w14:textId="7B216356" w:rsidR="00285F39" w:rsidRPr="007A44FE" w:rsidRDefault="00520FE0" w:rsidP="00EC0575">
      <w:pPr>
        <w:ind w:firstLineChars="200" w:firstLine="480"/>
        <w:rPr>
          <w:iCs/>
        </w:rPr>
      </w:pPr>
      <w:r w:rsidRPr="007A44FE">
        <w:rPr>
          <w:rFonts w:hint="eastAsia"/>
          <w:iCs/>
        </w:rPr>
        <w:t>本标准不涉及专利问题。</w:t>
      </w:r>
    </w:p>
    <w:p w14:paraId="46A97B90" w14:textId="3AB4153C" w:rsidR="00285F39" w:rsidRPr="00A33BF8" w:rsidRDefault="00285F39" w:rsidP="006633BA">
      <w:pPr>
        <w:outlineLvl w:val="0"/>
        <w:rPr>
          <w:b/>
          <w:sz w:val="28"/>
          <w:szCs w:val="28"/>
        </w:rPr>
      </w:pPr>
      <w:r w:rsidRPr="00A33BF8">
        <w:rPr>
          <w:rFonts w:hint="eastAsia"/>
          <w:b/>
          <w:sz w:val="28"/>
          <w:szCs w:val="28"/>
        </w:rPr>
        <w:t>五、预期达到的社会效益、对产业发展的作用等情况</w:t>
      </w:r>
    </w:p>
    <w:p w14:paraId="466BE173" w14:textId="77777777" w:rsidR="007A44FE" w:rsidRDefault="007A44FE" w:rsidP="007A44FE">
      <w:pPr>
        <w:ind w:firstLineChars="200" w:firstLine="480"/>
      </w:pPr>
      <w:r>
        <w:lastRenderedPageBreak/>
        <w:t>1</w:t>
      </w:r>
      <w:r>
        <w:t>）社会效益</w:t>
      </w:r>
    </w:p>
    <w:p w14:paraId="33B4C1E9" w14:textId="77777777" w:rsidR="007A44FE" w:rsidRDefault="007A44FE" w:rsidP="007A44FE">
      <w:pPr>
        <w:ind w:firstLineChars="200" w:firstLine="480"/>
      </w:pPr>
      <w:r>
        <w:rPr>
          <w:rFonts w:hint="eastAsia"/>
        </w:rPr>
        <w:t>公共安全保障：通过规范化高放废物贮存的运行及监测要求，可有效降低高放废物贮存过程中的辐射泄漏风险，减少对工作人员的危害，保障社会公共安全；</w:t>
      </w:r>
    </w:p>
    <w:p w14:paraId="387FC5E9" w14:textId="77777777" w:rsidR="007A44FE" w:rsidRDefault="007A44FE" w:rsidP="007A44FE">
      <w:pPr>
        <w:ind w:firstLineChars="200" w:firstLine="480"/>
      </w:pPr>
      <w:r>
        <w:rPr>
          <w:rFonts w:hint="eastAsia"/>
        </w:rPr>
        <w:t>环境保护强化：规范化高放废物贮存的技术要求可确保贮存设施对地下水、土壤及大气环境的保护效能，防止放射性核素迁移扩散，维护区域生态安全；</w:t>
      </w:r>
    </w:p>
    <w:p w14:paraId="18D85350" w14:textId="77777777" w:rsidR="007A44FE" w:rsidRDefault="007A44FE" w:rsidP="007A44FE">
      <w:pPr>
        <w:ind w:firstLineChars="200" w:firstLine="480"/>
      </w:pPr>
      <w:r>
        <w:t>2</w:t>
      </w:r>
      <w:r>
        <w:t>）经济效益</w:t>
      </w:r>
    </w:p>
    <w:p w14:paraId="3E00EB78" w14:textId="77777777" w:rsidR="007A44FE" w:rsidRDefault="007A44FE" w:rsidP="007A44FE">
      <w:pPr>
        <w:ind w:firstLineChars="200" w:firstLine="480"/>
      </w:pPr>
      <w:r>
        <w:rPr>
          <w:rFonts w:hint="eastAsia"/>
        </w:rPr>
        <w:t>全周期成本优化：标准化的高放固体废物暂存可避免已贮存的废物因辐射泄漏等情况需重新包装贮存，降低贮存设施建设改造成本及再高放固体废物再贮存成本，规范化运行维护可减少年度运维费用；</w:t>
      </w:r>
    </w:p>
    <w:p w14:paraId="34F21A00" w14:textId="44563867" w:rsidR="00DC29B1" w:rsidRDefault="007A44FE" w:rsidP="007A44FE">
      <w:pPr>
        <w:ind w:firstLineChars="200" w:firstLine="480"/>
      </w:pPr>
      <w:r>
        <w:rPr>
          <w:rFonts w:hint="eastAsia"/>
        </w:rPr>
        <w:t>国际竞争力提升：通过技术标准与国际原子能机构（</w:t>
      </w:r>
      <w:r>
        <w:t>IAEA</w:t>
      </w:r>
      <w:r>
        <w:t>）导则对接，推动我国放射性废物管理技术输出。</w:t>
      </w:r>
    </w:p>
    <w:p w14:paraId="15B2CE35" w14:textId="0C562C7E" w:rsidR="00285F39" w:rsidRPr="00A33BF8" w:rsidRDefault="00F60B7D" w:rsidP="006633BA">
      <w:pPr>
        <w:outlineLvl w:val="0"/>
        <w:rPr>
          <w:b/>
          <w:sz w:val="28"/>
          <w:szCs w:val="28"/>
        </w:rPr>
      </w:pPr>
      <w:r w:rsidRPr="00A33BF8">
        <w:rPr>
          <w:rFonts w:hint="eastAsia"/>
          <w:b/>
          <w:sz w:val="28"/>
          <w:szCs w:val="28"/>
        </w:rPr>
        <w:t>六、与国际、国外对比情况</w:t>
      </w:r>
    </w:p>
    <w:p w14:paraId="48A39A33" w14:textId="77777777" w:rsidR="007A44FE" w:rsidRPr="007A44FE" w:rsidRDefault="007A44FE" w:rsidP="007A44FE">
      <w:pPr>
        <w:spacing w:before="50" w:after="50"/>
        <w:ind w:firstLineChars="200" w:firstLine="480"/>
      </w:pPr>
      <w:r w:rsidRPr="007A44FE">
        <w:rPr>
          <w:rFonts w:hint="eastAsia"/>
        </w:rPr>
        <w:t>本标准与国际标准和国外先进标准、强制性国家标准</w:t>
      </w:r>
      <w:r w:rsidRPr="007A44FE">
        <w:rPr>
          <w:rFonts w:hint="eastAsia"/>
        </w:rPr>
        <w:t>GB 14500</w:t>
      </w:r>
      <w:r w:rsidRPr="007A44FE">
        <w:rPr>
          <w:rFonts w:hint="eastAsia"/>
        </w:rPr>
        <w:t>《放射性废物管理规定》、</w:t>
      </w:r>
      <w:r w:rsidRPr="007A44FE">
        <w:t>GB 14500-2002</w:t>
      </w:r>
      <w:r w:rsidRPr="007A44FE">
        <w:t>《放射性废物管理规定》</w:t>
      </w:r>
      <w:r w:rsidRPr="007A44FE">
        <w:rPr>
          <w:rFonts w:hint="eastAsia"/>
        </w:rPr>
        <w:t>相协调</w:t>
      </w:r>
      <w:r w:rsidRPr="007A44FE">
        <w:t>。</w:t>
      </w:r>
    </w:p>
    <w:p w14:paraId="475F6BF2" w14:textId="77777777" w:rsidR="007A44FE" w:rsidRPr="007A44FE" w:rsidRDefault="007A44FE" w:rsidP="007A44FE">
      <w:pPr>
        <w:ind w:firstLineChars="200" w:firstLine="480"/>
      </w:pPr>
      <w:r w:rsidRPr="007A44FE">
        <w:t>1</w:t>
      </w:r>
      <w:r w:rsidRPr="007A44FE">
        <w:t>）</w:t>
      </w:r>
      <w:r w:rsidRPr="007A44FE">
        <w:rPr>
          <w:rFonts w:hint="eastAsia"/>
        </w:rPr>
        <w:t>国际</w:t>
      </w:r>
      <w:r w:rsidRPr="007A44FE">
        <w:t>高放废物处理处置标准现状</w:t>
      </w:r>
    </w:p>
    <w:p w14:paraId="32BCFF74" w14:textId="77777777" w:rsidR="007A44FE" w:rsidRPr="007A44FE" w:rsidRDefault="007A44FE" w:rsidP="007A44FE">
      <w:pPr>
        <w:ind w:firstLineChars="200" w:firstLine="480"/>
      </w:pPr>
      <w:r w:rsidRPr="007A44FE">
        <w:t>国际原子能机构</w:t>
      </w:r>
      <w:r w:rsidRPr="007A44FE">
        <w:t>(IAEA)</w:t>
      </w:r>
      <w:r w:rsidRPr="007A44FE">
        <w:t>是制定放射性废物安全标准的主要国际组织，其制定的标准在世界范围内得到广泛采纳。</w:t>
      </w:r>
      <w:r w:rsidRPr="007A44FE">
        <w:t>IAEA</w:t>
      </w:r>
      <w:r w:rsidRPr="007A44FE">
        <w:t>专门成立了废物安全标准顾问委员会，组织编制和审评废物安全标准。目前</w:t>
      </w:r>
      <w:r w:rsidRPr="007A44FE">
        <w:t>IAEA</w:t>
      </w:r>
      <w:r w:rsidRPr="007A44FE">
        <w:t>已经制定和正在制定的废物安全标准和相关文件有上百项，其中与高放废物处理处置相关的主要标准和技术文件涉及处置前管理基本要求、高放废液固化、固化体性能要求及相关检验方法、固体废物接收、回取、贮存以及深地质处置等。美国也制定了比较全面的放射性废物管理标准及大量文件，制定的与高放废物处置前管理相关的主要标准涉及高放废物和乏燃料的长期管理的机构框架、高放废物和乏燃料的可回取性、高放废物包可接收性的质保要求和方法等。另外国际标准化组织</w:t>
      </w:r>
      <w:r w:rsidRPr="007A44FE">
        <w:rPr>
          <w:rFonts w:hint="eastAsia"/>
        </w:rPr>
        <w:t>（</w:t>
      </w:r>
      <w:r w:rsidRPr="007A44FE">
        <w:t>ISO</w:t>
      </w:r>
      <w:r w:rsidRPr="007A44FE">
        <w:rPr>
          <w:rFonts w:hint="eastAsia"/>
        </w:rPr>
        <w:t>）</w:t>
      </w:r>
      <w:r w:rsidRPr="007A44FE">
        <w:t>也制定了</w:t>
      </w:r>
      <w:r w:rsidRPr="007A44FE">
        <w:t>2</w:t>
      </w:r>
      <w:r w:rsidRPr="007A44FE">
        <w:t>项高放废液固化相关标准。高放废物处置前管理相关标准见表</w:t>
      </w:r>
      <w:r w:rsidRPr="007A44FE">
        <w:rPr>
          <w:rFonts w:hint="eastAsia"/>
        </w:rPr>
        <w:t>2</w:t>
      </w:r>
      <w:r w:rsidRPr="007A44FE">
        <w:t>。</w:t>
      </w:r>
    </w:p>
    <w:p w14:paraId="17A0C522" w14:textId="77777777" w:rsidR="007A44FE" w:rsidRPr="0000468D" w:rsidRDefault="007A44FE" w:rsidP="007A44FE">
      <w:pPr>
        <w:keepNext/>
        <w:ind w:firstLineChars="200" w:firstLine="420"/>
        <w:jc w:val="center"/>
        <w:rPr>
          <w:rFonts w:eastAsia="黑体"/>
          <w:sz w:val="21"/>
          <w:szCs w:val="21"/>
        </w:rPr>
      </w:pPr>
      <w:r w:rsidRPr="0000468D">
        <w:rPr>
          <w:rFonts w:eastAsia="黑体"/>
          <w:sz w:val="21"/>
          <w:szCs w:val="21"/>
        </w:rPr>
        <w:t>表</w:t>
      </w:r>
      <w:r w:rsidRPr="0000468D">
        <w:rPr>
          <w:rFonts w:eastAsia="黑体" w:hint="eastAsia"/>
          <w:sz w:val="21"/>
          <w:szCs w:val="21"/>
        </w:rPr>
        <w:t>2</w:t>
      </w:r>
      <w:r w:rsidRPr="0000468D">
        <w:rPr>
          <w:rFonts w:eastAsia="黑体"/>
          <w:sz w:val="21"/>
          <w:szCs w:val="21"/>
        </w:rPr>
        <w:t xml:space="preserve"> </w:t>
      </w:r>
      <w:r w:rsidRPr="0000468D">
        <w:rPr>
          <w:rFonts w:eastAsia="黑体"/>
          <w:sz w:val="21"/>
          <w:szCs w:val="21"/>
        </w:rPr>
        <w:t>国外涉及高水平放射性废物相关标准</w:t>
      </w:r>
    </w:p>
    <w:tbl>
      <w:tblPr>
        <w:tblW w:w="8431" w:type="dxa"/>
        <w:jc w:val="center"/>
        <w:tblLayout w:type="fixed"/>
        <w:tblLook w:val="04A0" w:firstRow="1" w:lastRow="0" w:firstColumn="1" w:lastColumn="0" w:noHBand="0" w:noVBand="1"/>
      </w:tblPr>
      <w:tblGrid>
        <w:gridCol w:w="781"/>
        <w:gridCol w:w="3042"/>
        <w:gridCol w:w="4608"/>
      </w:tblGrid>
      <w:tr w:rsidR="007A44FE" w:rsidRPr="0000468D" w14:paraId="1A7F1851" w14:textId="77777777" w:rsidTr="00EC0575">
        <w:trPr>
          <w:trHeight w:hRule="exact" w:val="454"/>
          <w:tblHeader/>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617A" w14:textId="77777777" w:rsidR="007A44FE" w:rsidRPr="0000468D" w:rsidRDefault="007A44FE" w:rsidP="0000468D">
            <w:pPr>
              <w:spacing w:line="240" w:lineRule="auto"/>
              <w:jc w:val="center"/>
              <w:textAlignment w:val="center"/>
              <w:rPr>
                <w:rFonts w:eastAsia="黑体"/>
                <w:color w:val="000000"/>
                <w:sz w:val="21"/>
                <w:szCs w:val="21"/>
              </w:rPr>
            </w:pPr>
            <w:r w:rsidRPr="0000468D">
              <w:rPr>
                <w:rFonts w:eastAsia="黑体"/>
                <w:color w:val="000000"/>
                <w:kern w:val="0"/>
                <w:sz w:val="21"/>
                <w:szCs w:val="21"/>
                <w:lang w:bidi="ar"/>
              </w:rPr>
              <w:t>序号</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33AAB" w14:textId="77777777" w:rsidR="007A44FE" w:rsidRPr="0000468D" w:rsidRDefault="007A44FE" w:rsidP="0000468D">
            <w:pPr>
              <w:spacing w:line="240" w:lineRule="auto"/>
              <w:jc w:val="center"/>
              <w:textAlignment w:val="center"/>
              <w:rPr>
                <w:rFonts w:eastAsia="黑体"/>
                <w:color w:val="000000"/>
                <w:sz w:val="21"/>
                <w:szCs w:val="21"/>
              </w:rPr>
            </w:pPr>
            <w:r w:rsidRPr="0000468D">
              <w:rPr>
                <w:rFonts w:eastAsia="黑体"/>
                <w:color w:val="000000"/>
                <w:kern w:val="0"/>
                <w:sz w:val="21"/>
                <w:szCs w:val="21"/>
                <w:lang w:bidi="ar"/>
              </w:rPr>
              <w:t>编号</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E988D" w14:textId="77777777" w:rsidR="007A44FE" w:rsidRPr="0000468D" w:rsidRDefault="007A44FE" w:rsidP="0000468D">
            <w:pPr>
              <w:spacing w:line="240" w:lineRule="auto"/>
              <w:jc w:val="center"/>
              <w:textAlignment w:val="center"/>
              <w:rPr>
                <w:rFonts w:eastAsia="黑体"/>
                <w:color w:val="000000"/>
                <w:sz w:val="21"/>
                <w:szCs w:val="21"/>
              </w:rPr>
            </w:pPr>
            <w:r w:rsidRPr="0000468D">
              <w:rPr>
                <w:rFonts w:eastAsia="黑体"/>
                <w:color w:val="000000"/>
                <w:kern w:val="0"/>
                <w:sz w:val="21"/>
                <w:szCs w:val="21"/>
                <w:lang w:bidi="ar"/>
              </w:rPr>
              <w:t>名称</w:t>
            </w:r>
          </w:p>
        </w:tc>
      </w:tr>
      <w:tr w:rsidR="007A44FE" w:rsidRPr="0000468D" w14:paraId="1B6C1808"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48CA8"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4C979"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GSG</w:t>
            </w:r>
            <w:r w:rsidRPr="0000468D">
              <w:rPr>
                <w:color w:val="000000"/>
                <w:kern w:val="0"/>
                <w:sz w:val="21"/>
                <w:szCs w:val="21"/>
                <w:lang w:bidi="ar"/>
              </w:rPr>
              <w:t>－</w:t>
            </w:r>
            <w:r w:rsidRPr="0000468D">
              <w:rPr>
                <w:color w:val="000000"/>
                <w:kern w:val="0"/>
                <w:sz w:val="21"/>
                <w:szCs w:val="21"/>
                <w:lang w:bidi="ar"/>
              </w:rPr>
              <w:t>1( 2009)</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1E28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放射性废物分类</w:t>
            </w:r>
          </w:p>
        </w:tc>
      </w:tr>
      <w:tr w:rsidR="007A44FE" w:rsidRPr="0000468D" w14:paraId="28BB8C12"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2AD5F"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2</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1CD69"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GSR Part 5( 2009)</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1FBF5"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放射性废物处置前管理</w:t>
            </w:r>
          </w:p>
        </w:tc>
      </w:tr>
      <w:tr w:rsidR="007A44FE" w:rsidRPr="0000468D" w14:paraId="2EA68211"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94C81"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lastRenderedPageBreak/>
              <w:t>3</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8D306" w14:textId="4809AFBB"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GS-G</w:t>
            </w:r>
            <w:r w:rsidRPr="0000468D">
              <w:rPr>
                <w:color w:val="000000"/>
                <w:kern w:val="0"/>
                <w:sz w:val="21"/>
                <w:szCs w:val="21"/>
                <w:lang w:bidi="ar"/>
              </w:rPr>
              <w:t>－</w:t>
            </w:r>
            <w:r w:rsidRPr="0000468D">
              <w:rPr>
                <w:color w:val="000000"/>
                <w:kern w:val="0"/>
                <w:sz w:val="21"/>
                <w:szCs w:val="21"/>
                <w:lang w:bidi="ar"/>
              </w:rPr>
              <w:t>3.3(2008)</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43EB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放射性废物处理、整备、贮存管理系统</w:t>
            </w:r>
          </w:p>
        </w:tc>
      </w:tr>
      <w:tr w:rsidR="007A44FE" w:rsidRPr="0000468D" w14:paraId="0D5464F9"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979F"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4</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999C" w14:textId="4D18E761"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GSG</w:t>
            </w:r>
            <w:r w:rsidRPr="0000468D">
              <w:rPr>
                <w:color w:val="000000"/>
                <w:kern w:val="0"/>
                <w:sz w:val="21"/>
                <w:szCs w:val="21"/>
                <w:lang w:bidi="ar"/>
              </w:rPr>
              <w:t>－</w:t>
            </w:r>
            <w:r w:rsidRPr="0000468D">
              <w:rPr>
                <w:color w:val="000000"/>
                <w:kern w:val="0"/>
                <w:sz w:val="21"/>
                <w:szCs w:val="21"/>
                <w:lang w:bidi="ar"/>
              </w:rPr>
              <w:t>3(2013)</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AD044"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放射性废物处置前管理安全案例和安全评价</w:t>
            </w:r>
          </w:p>
        </w:tc>
      </w:tr>
      <w:tr w:rsidR="007A44FE" w:rsidRPr="0000468D" w14:paraId="2840A217"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254A2"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5</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5C330" w14:textId="7010BC68"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WS-G</w:t>
            </w:r>
            <w:r w:rsidRPr="0000468D">
              <w:rPr>
                <w:color w:val="000000"/>
                <w:kern w:val="0"/>
                <w:sz w:val="21"/>
                <w:szCs w:val="21"/>
                <w:lang w:bidi="ar"/>
              </w:rPr>
              <w:t>－</w:t>
            </w:r>
            <w:r w:rsidRPr="0000468D">
              <w:rPr>
                <w:color w:val="000000"/>
                <w:kern w:val="0"/>
                <w:sz w:val="21"/>
                <w:szCs w:val="21"/>
                <w:lang w:bidi="ar"/>
              </w:rPr>
              <w:t>6.1(2006)</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DD77C"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放射性废物的贮存</w:t>
            </w:r>
          </w:p>
        </w:tc>
      </w:tr>
      <w:tr w:rsidR="007A44FE" w:rsidRPr="0000468D" w14:paraId="474EF235"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7115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6</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201CB" w14:textId="55753398"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IAEA-TECDOC</w:t>
            </w:r>
            <w:r w:rsidRPr="0000468D">
              <w:rPr>
                <w:color w:val="000000"/>
                <w:kern w:val="0"/>
                <w:sz w:val="21"/>
                <w:szCs w:val="21"/>
                <w:lang w:bidi="ar"/>
              </w:rPr>
              <w:t>－</w:t>
            </w:r>
            <w:r w:rsidRPr="0000468D">
              <w:rPr>
                <w:color w:val="000000"/>
                <w:kern w:val="0"/>
                <w:sz w:val="21"/>
                <w:szCs w:val="21"/>
                <w:lang w:bidi="ar"/>
              </w:rPr>
              <w:t>1323(2002)</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B768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高放废物和乏燃料的长期管理的机构框架</w:t>
            </w:r>
          </w:p>
        </w:tc>
      </w:tr>
      <w:tr w:rsidR="007A44FE" w:rsidRPr="0000468D" w14:paraId="63B2954A"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EBB1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7</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C210B" w14:textId="683507B2"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IAEA-TECDOC</w:t>
            </w:r>
            <w:r w:rsidRPr="0000468D">
              <w:rPr>
                <w:color w:val="000000"/>
                <w:kern w:val="0"/>
                <w:sz w:val="21"/>
                <w:szCs w:val="21"/>
                <w:lang w:bidi="ar"/>
              </w:rPr>
              <w:t>－</w:t>
            </w:r>
            <w:r w:rsidRPr="0000468D">
              <w:rPr>
                <w:color w:val="000000"/>
                <w:kern w:val="0"/>
                <w:sz w:val="21"/>
                <w:szCs w:val="21"/>
                <w:lang w:bidi="ar"/>
              </w:rPr>
              <w:t>1187(2000)</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C8BF8"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高放废物和乏燃料的可回取性</w:t>
            </w:r>
          </w:p>
        </w:tc>
      </w:tr>
      <w:tr w:rsidR="007A44FE" w:rsidRPr="0000468D" w14:paraId="6D0D7A38"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61CCF"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8</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C24B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IAEA-TECDOC</w:t>
            </w:r>
            <w:r w:rsidRPr="0000468D">
              <w:rPr>
                <w:color w:val="000000"/>
                <w:kern w:val="0"/>
                <w:sz w:val="21"/>
                <w:szCs w:val="21"/>
                <w:lang w:bidi="ar"/>
              </w:rPr>
              <w:t>－</w:t>
            </w:r>
            <w:r w:rsidRPr="0000468D">
              <w:rPr>
                <w:color w:val="000000"/>
                <w:kern w:val="0"/>
                <w:sz w:val="21"/>
                <w:szCs w:val="21"/>
                <w:lang w:bidi="ar"/>
              </w:rPr>
              <w:t>680</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43F3"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高放废物包可接收性的质保要求和方法</w:t>
            </w:r>
          </w:p>
        </w:tc>
      </w:tr>
      <w:tr w:rsidR="007A44FE" w:rsidRPr="0000468D" w14:paraId="750E1B17"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6B858"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9</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E781"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STI/DOC /10 /356</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0A0B"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从高放废液中分离和利用铯和锶的可行性</w:t>
            </w:r>
          </w:p>
        </w:tc>
      </w:tr>
      <w:tr w:rsidR="007A44FE" w:rsidRPr="0000468D" w14:paraId="41AF5133"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22C0E"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10</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0E1B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STI/DOC /10 /308</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0E287"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从高放废液中分离钌、铑和钯的可行性</w:t>
            </w:r>
          </w:p>
        </w:tc>
      </w:tr>
      <w:tr w:rsidR="007A44FE" w:rsidRPr="0000468D" w14:paraId="1884227C"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AEA9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11</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7881C"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STI/DOC /10 /191</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9CC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需要冷却的高放废液的贮存和处理</w:t>
            </w:r>
          </w:p>
        </w:tc>
      </w:tr>
      <w:tr w:rsidR="007A44FE" w:rsidRPr="0000468D" w14:paraId="1F3B9442"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BBE9F"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12</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AFDB"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STI/DOC /10 /229</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3331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整备的高放废物的搬运和贮存</w:t>
            </w:r>
          </w:p>
        </w:tc>
      </w:tr>
      <w:tr w:rsidR="007A44FE" w:rsidRPr="0000468D" w14:paraId="21A22A90"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36378"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13</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BD4FA"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w:t>
            </w:r>
            <w:r w:rsidRPr="0000468D">
              <w:rPr>
                <w:color w:val="000000"/>
                <w:kern w:val="0"/>
                <w:sz w:val="21"/>
                <w:szCs w:val="21"/>
                <w:lang w:bidi="ar"/>
              </w:rPr>
              <w:t>．</w:t>
            </w:r>
            <w:r w:rsidRPr="0000468D">
              <w:rPr>
                <w:color w:val="000000"/>
                <w:kern w:val="0"/>
                <w:sz w:val="21"/>
                <w:szCs w:val="21"/>
                <w:lang w:bidi="ar"/>
              </w:rPr>
              <w:t>STI/DOC /10 /258</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64141"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废包壳和燃料端头部件的管理</w:t>
            </w:r>
          </w:p>
        </w:tc>
      </w:tr>
      <w:tr w:rsidR="007A44FE" w:rsidRPr="0000468D" w14:paraId="166CC0B2"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A8E2"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14</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6C663"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IAEA-TRS</w:t>
            </w:r>
            <w:r w:rsidRPr="0000468D">
              <w:rPr>
                <w:color w:val="000000"/>
                <w:kern w:val="0"/>
                <w:sz w:val="21"/>
                <w:szCs w:val="21"/>
                <w:lang w:bidi="ar"/>
              </w:rPr>
              <w:t>－</w:t>
            </w:r>
            <w:r w:rsidRPr="0000468D">
              <w:rPr>
                <w:color w:val="000000"/>
                <w:kern w:val="0"/>
                <w:sz w:val="21"/>
                <w:szCs w:val="21"/>
                <w:lang w:bidi="ar"/>
              </w:rPr>
              <w:t>291</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5871A"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高放废液设施排气系统的设计和运行</w:t>
            </w:r>
          </w:p>
        </w:tc>
      </w:tr>
      <w:tr w:rsidR="007A44FE" w:rsidRPr="0000468D" w14:paraId="29BD2411"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934BE"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15</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532F"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O 435. 1</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91D12"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放射性废物管理</w:t>
            </w:r>
          </w:p>
        </w:tc>
      </w:tr>
      <w:tr w:rsidR="007A44FE" w:rsidRPr="0000468D" w14:paraId="4F11AE36"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6290"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16</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059A"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M 435. 1</w:t>
            </w:r>
            <w:r w:rsidRPr="0000468D">
              <w:rPr>
                <w:color w:val="000000"/>
                <w:kern w:val="0"/>
                <w:sz w:val="21"/>
                <w:szCs w:val="21"/>
                <w:lang w:bidi="ar"/>
              </w:rPr>
              <w:t>－</w:t>
            </w:r>
            <w:r w:rsidRPr="0000468D">
              <w:rPr>
                <w:color w:val="000000"/>
                <w:kern w:val="0"/>
                <w:sz w:val="21"/>
                <w:szCs w:val="21"/>
                <w:lang w:bidi="ar"/>
              </w:rPr>
              <w:t>1</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2D63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放射性废物管理细则</w:t>
            </w:r>
          </w:p>
        </w:tc>
      </w:tr>
      <w:tr w:rsidR="007A44FE" w:rsidRPr="0000468D" w14:paraId="0CDADEAD" w14:textId="77777777" w:rsidTr="00EC0575">
        <w:trPr>
          <w:trHeight w:hRule="exact" w:val="70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3577"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17</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10CFF" w14:textId="5E8F26C0"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G 435.1</w:t>
            </w:r>
            <w:r w:rsidRPr="0000468D">
              <w:rPr>
                <w:color w:val="000000"/>
                <w:kern w:val="0"/>
                <w:sz w:val="21"/>
                <w:szCs w:val="21"/>
                <w:lang w:bidi="ar"/>
              </w:rPr>
              <w:t>－</w:t>
            </w:r>
            <w:r w:rsidRPr="0000468D">
              <w:rPr>
                <w:color w:val="000000"/>
                <w:kern w:val="0"/>
                <w:sz w:val="21"/>
                <w:szCs w:val="21"/>
                <w:lang w:bidi="ar"/>
              </w:rPr>
              <w:t xml:space="preserve">1 </w:t>
            </w:r>
            <w:r w:rsidRPr="0000468D">
              <w:rPr>
                <w:color w:val="000000"/>
                <w:kern w:val="0"/>
                <w:sz w:val="21"/>
                <w:szCs w:val="21"/>
                <w:lang w:bidi="ar"/>
              </w:rPr>
              <w:t>第</w:t>
            </w:r>
            <w:r w:rsidRPr="0000468D">
              <w:rPr>
                <w:color w:val="000000"/>
                <w:kern w:val="0"/>
                <w:sz w:val="21"/>
                <w:szCs w:val="21"/>
                <w:lang w:bidi="ar"/>
              </w:rPr>
              <w:t>2</w:t>
            </w:r>
            <w:r w:rsidRPr="0000468D">
              <w:rPr>
                <w:color w:val="000000"/>
                <w:kern w:val="0"/>
                <w:sz w:val="21"/>
                <w:szCs w:val="21"/>
                <w:lang w:bidi="ar"/>
              </w:rPr>
              <w:t>章</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C425E"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M 435. 1</w:t>
            </w:r>
            <w:r w:rsidRPr="0000468D">
              <w:rPr>
                <w:color w:val="000000"/>
                <w:kern w:val="0"/>
                <w:sz w:val="21"/>
                <w:szCs w:val="21"/>
                <w:lang w:bidi="ar"/>
              </w:rPr>
              <w:t>－</w:t>
            </w:r>
            <w:r w:rsidRPr="0000468D">
              <w:rPr>
                <w:color w:val="000000"/>
                <w:kern w:val="0"/>
                <w:sz w:val="21"/>
                <w:szCs w:val="21"/>
                <w:lang w:bidi="ar"/>
              </w:rPr>
              <w:t xml:space="preserve">1 </w:t>
            </w:r>
            <w:r w:rsidRPr="0000468D">
              <w:rPr>
                <w:color w:val="000000"/>
                <w:kern w:val="0"/>
                <w:sz w:val="21"/>
                <w:szCs w:val="21"/>
                <w:lang w:bidi="ar"/>
              </w:rPr>
              <w:t>的实施导则</w:t>
            </w:r>
            <w:r w:rsidRPr="0000468D">
              <w:rPr>
                <w:color w:val="000000"/>
                <w:kern w:val="0"/>
                <w:sz w:val="21"/>
                <w:szCs w:val="21"/>
                <w:lang w:bidi="ar"/>
              </w:rPr>
              <w:t>———</w:t>
            </w:r>
            <w:r w:rsidRPr="0000468D">
              <w:rPr>
                <w:color w:val="000000"/>
                <w:kern w:val="0"/>
                <w:sz w:val="21"/>
                <w:szCs w:val="21"/>
                <w:lang w:bidi="ar"/>
              </w:rPr>
              <w:t>高放废物管理要求</w:t>
            </w:r>
          </w:p>
        </w:tc>
      </w:tr>
      <w:tr w:rsidR="007A44FE" w:rsidRPr="0000468D" w14:paraId="40731888" w14:textId="77777777" w:rsidTr="00EC0575">
        <w:trPr>
          <w:trHeight w:hRule="exact" w:val="71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D541C"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18</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09808" w14:textId="189963BC"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G 435. 1</w:t>
            </w:r>
            <w:r w:rsidRPr="0000468D">
              <w:rPr>
                <w:color w:val="000000"/>
                <w:kern w:val="0"/>
                <w:sz w:val="21"/>
                <w:szCs w:val="21"/>
                <w:lang w:bidi="ar"/>
              </w:rPr>
              <w:t>－</w:t>
            </w:r>
            <w:r w:rsidRPr="0000468D">
              <w:rPr>
                <w:color w:val="000000"/>
                <w:kern w:val="0"/>
                <w:sz w:val="21"/>
                <w:szCs w:val="21"/>
                <w:lang w:bidi="ar"/>
              </w:rPr>
              <w:t xml:space="preserve">1 </w:t>
            </w:r>
            <w:r w:rsidRPr="0000468D">
              <w:rPr>
                <w:color w:val="000000"/>
                <w:kern w:val="0"/>
                <w:sz w:val="21"/>
                <w:szCs w:val="21"/>
                <w:lang w:bidi="ar"/>
              </w:rPr>
              <w:t>第</w:t>
            </w:r>
            <w:r w:rsidRPr="0000468D">
              <w:rPr>
                <w:color w:val="000000"/>
                <w:kern w:val="0"/>
                <w:sz w:val="21"/>
                <w:szCs w:val="21"/>
                <w:lang w:bidi="ar"/>
              </w:rPr>
              <w:t>3</w:t>
            </w:r>
            <w:r w:rsidRPr="0000468D">
              <w:rPr>
                <w:color w:val="000000"/>
                <w:kern w:val="0"/>
                <w:sz w:val="21"/>
                <w:szCs w:val="21"/>
                <w:lang w:bidi="ar"/>
              </w:rPr>
              <w:t>章</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526EC"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 M 435. 1</w:t>
            </w:r>
            <w:r w:rsidRPr="0000468D">
              <w:rPr>
                <w:color w:val="000000"/>
                <w:kern w:val="0"/>
                <w:sz w:val="21"/>
                <w:szCs w:val="21"/>
                <w:lang w:bidi="ar"/>
              </w:rPr>
              <w:t>－</w:t>
            </w:r>
            <w:r w:rsidRPr="0000468D">
              <w:rPr>
                <w:color w:val="000000"/>
                <w:kern w:val="0"/>
                <w:sz w:val="21"/>
                <w:szCs w:val="21"/>
                <w:lang w:bidi="ar"/>
              </w:rPr>
              <w:t xml:space="preserve">1 </w:t>
            </w:r>
            <w:r w:rsidRPr="0000468D">
              <w:rPr>
                <w:color w:val="000000"/>
                <w:kern w:val="0"/>
                <w:sz w:val="21"/>
                <w:szCs w:val="21"/>
                <w:lang w:bidi="ar"/>
              </w:rPr>
              <w:t>的实施导则</w:t>
            </w:r>
            <w:r w:rsidRPr="0000468D">
              <w:rPr>
                <w:color w:val="000000"/>
                <w:kern w:val="0"/>
                <w:sz w:val="21"/>
                <w:szCs w:val="21"/>
                <w:lang w:bidi="ar"/>
              </w:rPr>
              <w:t>———</w:t>
            </w:r>
            <w:r w:rsidRPr="0000468D">
              <w:rPr>
                <w:color w:val="000000"/>
                <w:kern w:val="0"/>
                <w:sz w:val="21"/>
                <w:szCs w:val="21"/>
                <w:lang w:bidi="ar"/>
              </w:rPr>
              <w:t>超铀废物管理要求</w:t>
            </w:r>
          </w:p>
        </w:tc>
      </w:tr>
      <w:tr w:rsidR="007A44FE" w:rsidRPr="0000468D" w14:paraId="564ED910" w14:textId="77777777" w:rsidTr="00EC0575">
        <w:trPr>
          <w:trHeight w:hRule="exact" w:val="45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E95B"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19</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51AA1"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DOE-RL</w:t>
            </w:r>
            <w:r w:rsidRPr="0000468D">
              <w:rPr>
                <w:color w:val="000000"/>
                <w:kern w:val="0"/>
                <w:sz w:val="21"/>
                <w:szCs w:val="21"/>
                <w:lang w:bidi="ar"/>
              </w:rPr>
              <w:t>－</w:t>
            </w:r>
            <w:r w:rsidRPr="0000468D">
              <w:rPr>
                <w:color w:val="000000"/>
                <w:kern w:val="0"/>
                <w:sz w:val="21"/>
                <w:szCs w:val="21"/>
                <w:lang w:bidi="ar"/>
              </w:rPr>
              <w:t>94</w:t>
            </w:r>
            <w:r w:rsidRPr="0000468D">
              <w:rPr>
                <w:color w:val="000000"/>
                <w:kern w:val="0"/>
                <w:sz w:val="21"/>
                <w:szCs w:val="21"/>
                <w:lang w:bidi="ar"/>
              </w:rPr>
              <w:t>－</w:t>
            </w:r>
            <w:r w:rsidRPr="0000468D">
              <w:rPr>
                <w:color w:val="000000"/>
                <w:kern w:val="0"/>
                <w:sz w:val="21"/>
                <w:szCs w:val="21"/>
                <w:lang w:bidi="ar"/>
              </w:rPr>
              <w:t>52</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B72C6"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高放废液包装设计准则</w:t>
            </w:r>
          </w:p>
        </w:tc>
      </w:tr>
      <w:tr w:rsidR="007A44FE" w:rsidRPr="0000468D" w14:paraId="53FF68B9" w14:textId="77777777" w:rsidTr="00EC0575">
        <w:trPr>
          <w:trHeight w:hRule="exact" w:val="686"/>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A316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20</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6EAAE" w14:textId="34CE6CFE"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ISO 16797:2004</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5E503"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核能－</w:t>
            </w:r>
            <w:r w:rsidRPr="0000468D">
              <w:rPr>
                <w:color w:val="000000"/>
                <w:kern w:val="0"/>
                <w:sz w:val="21"/>
                <w:szCs w:val="21"/>
                <w:lang w:bidi="ar"/>
              </w:rPr>
              <w:t xml:space="preserve">Soxhlet </w:t>
            </w:r>
            <w:r w:rsidRPr="0000468D">
              <w:rPr>
                <w:color w:val="000000"/>
                <w:kern w:val="0"/>
                <w:sz w:val="21"/>
                <w:szCs w:val="21"/>
                <w:lang w:bidi="ar"/>
              </w:rPr>
              <w:t>模式化学稳定性试验－高放废物玻璃基质</w:t>
            </w:r>
          </w:p>
        </w:tc>
      </w:tr>
      <w:tr w:rsidR="007A44FE" w:rsidRPr="0000468D" w14:paraId="3086CA94" w14:textId="77777777" w:rsidTr="00EC0575">
        <w:trPr>
          <w:trHeight w:hRule="exact" w:val="710"/>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169BC"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21</w:t>
            </w:r>
          </w:p>
        </w:tc>
        <w:tc>
          <w:tcPr>
            <w:tcW w:w="3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13B0" w14:textId="6E380C8F"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ISO 6962:2004</w:t>
            </w:r>
          </w:p>
        </w:tc>
        <w:tc>
          <w:tcPr>
            <w:tcW w:w="4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9F7DD" w14:textId="77777777" w:rsidR="007A44FE" w:rsidRPr="0000468D" w:rsidRDefault="007A44FE" w:rsidP="0000468D">
            <w:pPr>
              <w:spacing w:line="240" w:lineRule="auto"/>
              <w:jc w:val="center"/>
              <w:textAlignment w:val="center"/>
              <w:rPr>
                <w:color w:val="000000"/>
                <w:sz w:val="21"/>
                <w:szCs w:val="21"/>
              </w:rPr>
            </w:pPr>
            <w:r w:rsidRPr="0000468D">
              <w:rPr>
                <w:color w:val="000000"/>
                <w:kern w:val="0"/>
                <w:sz w:val="21"/>
                <w:szCs w:val="21"/>
                <w:lang w:bidi="ar"/>
              </w:rPr>
              <w:t>核能－测试高放废物固化体基质长期</w:t>
            </w:r>
            <w:r w:rsidRPr="0000468D">
              <w:rPr>
                <w:color w:val="000000"/>
                <w:kern w:val="0"/>
                <w:sz w:val="21"/>
                <w:szCs w:val="21"/>
                <w:lang w:bidi="ar"/>
              </w:rPr>
              <w:t xml:space="preserve"> α </w:t>
            </w:r>
            <w:r w:rsidRPr="0000468D">
              <w:rPr>
                <w:color w:val="000000"/>
                <w:kern w:val="0"/>
                <w:sz w:val="21"/>
                <w:szCs w:val="21"/>
                <w:lang w:bidi="ar"/>
              </w:rPr>
              <w:t>辐照稳定性的标准方法</w:t>
            </w:r>
          </w:p>
        </w:tc>
      </w:tr>
    </w:tbl>
    <w:p w14:paraId="3E165BD1" w14:textId="77777777" w:rsidR="007A44FE" w:rsidRDefault="007A44FE" w:rsidP="007A44FE">
      <w:pPr>
        <w:ind w:firstLineChars="200" w:firstLine="360"/>
        <w:rPr>
          <w:rFonts w:asciiTheme="minorEastAsia" w:hAnsiTheme="minorEastAsia"/>
          <w:sz w:val="18"/>
          <w:szCs w:val="18"/>
        </w:rPr>
      </w:pPr>
    </w:p>
    <w:p w14:paraId="7ACD48C6" w14:textId="77777777" w:rsidR="007A44FE" w:rsidRPr="007A44FE" w:rsidRDefault="007A44FE" w:rsidP="007A44FE">
      <w:pPr>
        <w:spacing w:before="50" w:after="50"/>
        <w:ind w:firstLineChars="200" w:firstLine="480"/>
      </w:pPr>
      <w:r w:rsidRPr="007A44FE">
        <w:t>国外相关标准标准如：</w:t>
      </w:r>
      <w:r w:rsidRPr="007A44FE">
        <w:t>IAEA</w:t>
      </w:r>
      <w:r w:rsidRPr="007A44FE">
        <w:t>．</w:t>
      </w:r>
      <w:r w:rsidRPr="007A44FE">
        <w:t>WS-G</w:t>
      </w:r>
      <w:r w:rsidRPr="007A44FE">
        <w:t>－</w:t>
      </w:r>
      <w:r w:rsidRPr="007A44FE">
        <w:t>6.1(2006)</w:t>
      </w:r>
      <w:r w:rsidRPr="007A44FE">
        <w:t>《</w:t>
      </w:r>
      <w:r w:rsidRPr="007A44FE">
        <w:t>STORAGE OF RADIOACTIVE WASTE</w:t>
      </w:r>
      <w:r w:rsidRPr="007A44FE">
        <w:t>》针对各级监管机构、操作员的职责、常见安全注意事项、废物包装要求、应急准备、设施厂房设计等内容做出了明确要求。本标准的正文逻辑及结构参考了该标准相关内容，对于高放固体废物贮存的上述环节提出了明确要求。</w:t>
      </w:r>
    </w:p>
    <w:p w14:paraId="306DCAB1" w14:textId="77777777" w:rsidR="007A44FE" w:rsidRPr="007A44FE" w:rsidRDefault="007A44FE" w:rsidP="007A44FE">
      <w:pPr>
        <w:spacing w:before="50" w:after="50"/>
        <w:ind w:firstLineChars="200" w:firstLine="480"/>
      </w:pPr>
      <w:r w:rsidRPr="007A44FE">
        <w:t>IAEA.STI/DOC/10/229</w:t>
      </w:r>
      <w:r w:rsidRPr="007A44FE">
        <w:t>《</w:t>
      </w:r>
      <w:r w:rsidRPr="007A44FE">
        <w:t>Handling and Storage of Conditioned High-level Wastes</w:t>
      </w:r>
      <w:r w:rsidRPr="007A44FE">
        <w:t>》中对高放固体废物暂存设施的结构设计、风冷降温的方式、库存指标、表面温度</w:t>
      </w:r>
      <w:r w:rsidRPr="007A44FE">
        <w:lastRenderedPageBreak/>
        <w:t>指标等提出了明确要求。对于贮存区高放废物包装体采取风冷降温的方式也是目前国内高放固体废物贮存设施的普遍做法，本标准参照该部分内容，并根据多年实际运行经验对相应贮存区废物包装体贮存工艺及相关参数进行了适应性调整。</w:t>
      </w:r>
    </w:p>
    <w:p w14:paraId="7F05BE64" w14:textId="77777777" w:rsidR="007A44FE" w:rsidRPr="007A44FE" w:rsidRDefault="007A44FE" w:rsidP="007A44FE">
      <w:pPr>
        <w:spacing w:before="50" w:after="50"/>
        <w:ind w:firstLineChars="200" w:firstLine="480"/>
      </w:pPr>
      <w:r w:rsidRPr="007A44FE">
        <w:t>IAEA-TEC/DOC</w:t>
      </w:r>
      <w:r w:rsidRPr="007A44FE">
        <w:t>－</w:t>
      </w:r>
      <w:r w:rsidRPr="007A44FE">
        <w:t>680</w:t>
      </w:r>
      <w:r w:rsidRPr="007A44FE">
        <w:t>《</w:t>
      </w:r>
      <w:r w:rsidRPr="007A44FE">
        <w:t>Requirements and methods for high level waste package acceptability</w:t>
      </w:r>
      <w:r w:rsidRPr="007A44FE">
        <w:t>》中针对送贮的高放固体废物包提出了明确要求，本标准中</w:t>
      </w:r>
      <w:r w:rsidRPr="007A44FE">
        <w:t xml:space="preserve"> 7.2</w:t>
      </w:r>
      <w:r w:rsidRPr="007A44FE">
        <w:t>节同样为废物包接收要求，参考了</w:t>
      </w:r>
      <w:r w:rsidRPr="007A44FE">
        <w:t>IAEA</w:t>
      </w:r>
      <w:r w:rsidRPr="007A44FE">
        <w:t>标准的相关内容，同时在结合国内相关标准中对废物包装的要求对本标准中废物接收要求进行了完善和补充。</w:t>
      </w:r>
    </w:p>
    <w:p w14:paraId="1A65F738" w14:textId="77777777" w:rsidR="007A44FE" w:rsidRPr="007A44FE" w:rsidRDefault="007A44FE" w:rsidP="007A44FE">
      <w:pPr>
        <w:spacing w:before="50" w:after="50"/>
        <w:ind w:firstLineChars="200" w:firstLine="480"/>
      </w:pPr>
      <w:r w:rsidRPr="007A44FE">
        <w:t>本标准是在参考国外（国际原子能机构</w:t>
      </w:r>
      <w:r w:rsidRPr="007A44FE">
        <w:t>IAEA</w:t>
      </w:r>
      <w:r w:rsidRPr="007A44FE">
        <w:t>）相关标准的基础上，结合国内已有的相关标准内容对高水平放射性固体废物的贮存管理要求进行补充和完善。</w:t>
      </w:r>
    </w:p>
    <w:p w14:paraId="54C9E09B" w14:textId="77777777" w:rsidR="007A44FE" w:rsidRPr="007A44FE" w:rsidRDefault="007A44FE" w:rsidP="007A44FE">
      <w:pPr>
        <w:spacing w:before="50" w:after="50"/>
        <w:ind w:firstLineChars="200" w:firstLine="480"/>
      </w:pPr>
      <w:r w:rsidRPr="007A44FE">
        <w:t>2</w:t>
      </w:r>
      <w:r w:rsidRPr="007A44FE">
        <w:t>）国内已发布标准情况</w:t>
      </w:r>
    </w:p>
    <w:p w14:paraId="103A39A4" w14:textId="7746C44E" w:rsidR="007A44FE" w:rsidRPr="00EC0575" w:rsidRDefault="007A44FE" w:rsidP="00EC0575">
      <w:pPr>
        <w:spacing w:before="50" w:after="50"/>
        <w:ind w:firstLineChars="200" w:firstLine="480"/>
        <w:rPr>
          <w:rFonts w:hint="eastAsia"/>
        </w:rPr>
      </w:pPr>
      <w:r w:rsidRPr="007A44FE">
        <w:t>我国的法律法规，如《中华人民共和国放射性污染防治法》、《放射性废物安全管理条例》等法律法规都明确规定了高放废物的处理、整备、运输、贮存、处置在内的所有行政和技术活动都要符合严格的标准。而目前我国绝大多数的废物处理处置标准是针对低中放废物编制的，仅存在部分较为通用的标准和极少数针对性较强的标准适用于高放废物处理处置，具体情况见表</w:t>
      </w:r>
      <w:r w:rsidRPr="007A44FE">
        <w:rPr>
          <w:rFonts w:hint="eastAsia"/>
        </w:rPr>
        <w:t>3</w:t>
      </w:r>
      <w:r w:rsidRPr="007A44FE">
        <w:t>。</w:t>
      </w:r>
    </w:p>
    <w:p w14:paraId="24C20F03" w14:textId="77777777" w:rsidR="007A44FE" w:rsidRPr="0000468D" w:rsidRDefault="007A44FE" w:rsidP="0000468D">
      <w:pPr>
        <w:spacing w:line="240" w:lineRule="auto"/>
        <w:ind w:firstLineChars="200" w:firstLine="420"/>
        <w:jc w:val="center"/>
        <w:rPr>
          <w:rFonts w:eastAsia="黑体"/>
          <w:sz w:val="21"/>
          <w:szCs w:val="21"/>
        </w:rPr>
      </w:pPr>
      <w:r w:rsidRPr="0000468D">
        <w:rPr>
          <w:rFonts w:eastAsia="黑体"/>
          <w:sz w:val="21"/>
          <w:szCs w:val="21"/>
        </w:rPr>
        <w:t>表</w:t>
      </w:r>
      <w:r w:rsidRPr="0000468D">
        <w:rPr>
          <w:rFonts w:eastAsia="黑体" w:hint="eastAsia"/>
          <w:sz w:val="21"/>
          <w:szCs w:val="21"/>
        </w:rPr>
        <w:t>3</w:t>
      </w:r>
      <w:r w:rsidRPr="0000468D">
        <w:rPr>
          <w:rFonts w:eastAsia="黑体"/>
          <w:sz w:val="21"/>
          <w:szCs w:val="21"/>
        </w:rPr>
        <w:t xml:space="preserve"> </w:t>
      </w:r>
      <w:r w:rsidRPr="0000468D">
        <w:rPr>
          <w:rFonts w:eastAsia="黑体"/>
          <w:sz w:val="21"/>
          <w:szCs w:val="21"/>
        </w:rPr>
        <w:t>国内涉及高水平放射性废物相关标准</w:t>
      </w:r>
    </w:p>
    <w:tbl>
      <w:tblPr>
        <w:tblStyle w:val="a8"/>
        <w:tblW w:w="0" w:type="auto"/>
        <w:tblLook w:val="04A0" w:firstRow="1" w:lastRow="0" w:firstColumn="1" w:lastColumn="0" w:noHBand="0" w:noVBand="1"/>
      </w:tblPr>
      <w:tblGrid>
        <w:gridCol w:w="695"/>
        <w:gridCol w:w="1952"/>
        <w:gridCol w:w="4419"/>
        <w:gridCol w:w="1230"/>
      </w:tblGrid>
      <w:tr w:rsidR="007A44FE" w:rsidRPr="0000468D" w14:paraId="46A0B54C" w14:textId="77777777" w:rsidTr="00EC0575">
        <w:trPr>
          <w:trHeight w:hRule="exact" w:val="454"/>
        </w:trPr>
        <w:tc>
          <w:tcPr>
            <w:tcW w:w="704" w:type="dxa"/>
            <w:vAlign w:val="center"/>
          </w:tcPr>
          <w:p w14:paraId="43C6B60A" w14:textId="77777777" w:rsidR="007A44FE" w:rsidRPr="0000468D" w:rsidRDefault="007A44FE" w:rsidP="0000468D">
            <w:pPr>
              <w:jc w:val="center"/>
              <w:textAlignment w:val="center"/>
              <w:rPr>
                <w:rFonts w:eastAsia="黑体"/>
                <w:color w:val="000000"/>
                <w:sz w:val="21"/>
                <w:szCs w:val="21"/>
                <w:lang w:bidi="ar"/>
              </w:rPr>
            </w:pPr>
            <w:r w:rsidRPr="0000468D">
              <w:rPr>
                <w:rFonts w:eastAsia="黑体"/>
                <w:color w:val="000000"/>
                <w:sz w:val="21"/>
                <w:szCs w:val="21"/>
                <w:lang w:bidi="ar"/>
              </w:rPr>
              <w:t>序号</w:t>
            </w:r>
          </w:p>
        </w:tc>
        <w:tc>
          <w:tcPr>
            <w:tcW w:w="1985" w:type="dxa"/>
            <w:vAlign w:val="center"/>
          </w:tcPr>
          <w:p w14:paraId="39427034" w14:textId="77777777" w:rsidR="007A44FE" w:rsidRPr="0000468D" w:rsidRDefault="007A44FE" w:rsidP="0000468D">
            <w:pPr>
              <w:jc w:val="center"/>
              <w:textAlignment w:val="center"/>
              <w:rPr>
                <w:rFonts w:eastAsia="黑体"/>
                <w:color w:val="000000"/>
                <w:sz w:val="21"/>
                <w:szCs w:val="21"/>
                <w:lang w:bidi="ar"/>
              </w:rPr>
            </w:pPr>
            <w:r w:rsidRPr="0000468D">
              <w:rPr>
                <w:rFonts w:eastAsia="黑体"/>
                <w:color w:val="000000"/>
                <w:sz w:val="21"/>
                <w:szCs w:val="21"/>
                <w:lang w:bidi="ar"/>
              </w:rPr>
              <w:t>标准号</w:t>
            </w:r>
          </w:p>
        </w:tc>
        <w:tc>
          <w:tcPr>
            <w:tcW w:w="4536" w:type="dxa"/>
            <w:vAlign w:val="center"/>
          </w:tcPr>
          <w:p w14:paraId="44D75B2C" w14:textId="77777777" w:rsidR="007A44FE" w:rsidRPr="0000468D" w:rsidRDefault="007A44FE" w:rsidP="0000468D">
            <w:pPr>
              <w:jc w:val="center"/>
              <w:textAlignment w:val="center"/>
              <w:rPr>
                <w:rFonts w:eastAsia="黑体"/>
                <w:color w:val="000000"/>
                <w:sz w:val="21"/>
                <w:szCs w:val="21"/>
                <w:lang w:bidi="ar"/>
              </w:rPr>
            </w:pPr>
            <w:r w:rsidRPr="0000468D">
              <w:rPr>
                <w:rFonts w:eastAsia="黑体"/>
                <w:color w:val="000000"/>
                <w:sz w:val="21"/>
                <w:szCs w:val="21"/>
                <w:lang w:bidi="ar"/>
              </w:rPr>
              <w:t>标准名称</w:t>
            </w:r>
          </w:p>
        </w:tc>
        <w:tc>
          <w:tcPr>
            <w:tcW w:w="1247" w:type="dxa"/>
            <w:vAlign w:val="center"/>
          </w:tcPr>
          <w:p w14:paraId="14D1907D" w14:textId="77777777" w:rsidR="007A44FE" w:rsidRPr="0000468D" w:rsidRDefault="007A44FE" w:rsidP="0000468D">
            <w:pPr>
              <w:jc w:val="center"/>
              <w:textAlignment w:val="center"/>
              <w:rPr>
                <w:rFonts w:eastAsia="黑体"/>
                <w:color w:val="000000"/>
                <w:sz w:val="21"/>
                <w:szCs w:val="21"/>
                <w:lang w:bidi="ar"/>
              </w:rPr>
            </w:pPr>
            <w:r w:rsidRPr="0000468D">
              <w:rPr>
                <w:rFonts w:eastAsia="黑体"/>
                <w:color w:val="000000"/>
                <w:sz w:val="21"/>
                <w:szCs w:val="21"/>
                <w:lang w:bidi="ar"/>
              </w:rPr>
              <w:t>发行年份</w:t>
            </w:r>
          </w:p>
        </w:tc>
      </w:tr>
      <w:tr w:rsidR="007A44FE" w:rsidRPr="0000468D" w14:paraId="7A83ED21" w14:textId="77777777" w:rsidTr="00EC0575">
        <w:trPr>
          <w:trHeight w:hRule="exact" w:val="454"/>
        </w:trPr>
        <w:tc>
          <w:tcPr>
            <w:tcW w:w="704" w:type="dxa"/>
            <w:vAlign w:val="center"/>
          </w:tcPr>
          <w:p w14:paraId="1E57ECB1" w14:textId="77777777" w:rsidR="007A44FE" w:rsidRPr="0000468D" w:rsidRDefault="007A44FE" w:rsidP="0000468D">
            <w:pPr>
              <w:jc w:val="center"/>
              <w:rPr>
                <w:bCs/>
                <w:sz w:val="21"/>
                <w:szCs w:val="21"/>
              </w:rPr>
            </w:pPr>
            <w:r w:rsidRPr="0000468D">
              <w:rPr>
                <w:bCs/>
                <w:sz w:val="21"/>
                <w:szCs w:val="21"/>
              </w:rPr>
              <w:t>1</w:t>
            </w:r>
          </w:p>
        </w:tc>
        <w:tc>
          <w:tcPr>
            <w:tcW w:w="1985" w:type="dxa"/>
            <w:vAlign w:val="center"/>
          </w:tcPr>
          <w:p w14:paraId="2E20121A" w14:textId="77777777" w:rsidR="007A44FE" w:rsidRPr="0000468D" w:rsidRDefault="007A44FE" w:rsidP="0000468D">
            <w:pPr>
              <w:jc w:val="center"/>
              <w:rPr>
                <w:bCs/>
                <w:sz w:val="21"/>
                <w:szCs w:val="21"/>
              </w:rPr>
            </w:pPr>
            <w:r w:rsidRPr="0000468D">
              <w:rPr>
                <w:bCs/>
                <w:sz w:val="21"/>
                <w:szCs w:val="21"/>
              </w:rPr>
              <w:t>EJ/T 940-1995</w:t>
            </w:r>
          </w:p>
        </w:tc>
        <w:tc>
          <w:tcPr>
            <w:tcW w:w="4536" w:type="dxa"/>
            <w:vAlign w:val="center"/>
          </w:tcPr>
          <w:p w14:paraId="1F633415" w14:textId="77777777" w:rsidR="007A44FE" w:rsidRPr="0000468D" w:rsidRDefault="007A44FE" w:rsidP="0000468D">
            <w:pPr>
              <w:jc w:val="center"/>
              <w:rPr>
                <w:bCs/>
                <w:sz w:val="21"/>
                <w:szCs w:val="21"/>
              </w:rPr>
            </w:pPr>
            <w:r w:rsidRPr="0000468D">
              <w:rPr>
                <w:bCs/>
                <w:sz w:val="21"/>
                <w:szCs w:val="21"/>
              </w:rPr>
              <w:t>核燃料后处理厂放射性废物管理技术规定</w:t>
            </w:r>
          </w:p>
        </w:tc>
        <w:tc>
          <w:tcPr>
            <w:tcW w:w="1247" w:type="dxa"/>
            <w:vAlign w:val="center"/>
          </w:tcPr>
          <w:p w14:paraId="3BD1CBCB" w14:textId="77777777" w:rsidR="007A44FE" w:rsidRPr="0000468D" w:rsidRDefault="007A44FE" w:rsidP="0000468D">
            <w:pPr>
              <w:jc w:val="center"/>
              <w:rPr>
                <w:bCs/>
                <w:sz w:val="21"/>
                <w:szCs w:val="21"/>
              </w:rPr>
            </w:pPr>
            <w:r w:rsidRPr="0000468D">
              <w:rPr>
                <w:bCs/>
                <w:sz w:val="21"/>
                <w:szCs w:val="21"/>
              </w:rPr>
              <w:t>1995</w:t>
            </w:r>
          </w:p>
        </w:tc>
      </w:tr>
      <w:tr w:rsidR="007A44FE" w:rsidRPr="0000468D" w14:paraId="6F2ADE5B" w14:textId="77777777" w:rsidTr="00EC0575">
        <w:trPr>
          <w:trHeight w:hRule="exact" w:val="454"/>
        </w:trPr>
        <w:tc>
          <w:tcPr>
            <w:tcW w:w="704" w:type="dxa"/>
            <w:vAlign w:val="center"/>
          </w:tcPr>
          <w:p w14:paraId="322D08A5" w14:textId="77777777" w:rsidR="007A44FE" w:rsidRPr="0000468D" w:rsidRDefault="007A44FE" w:rsidP="0000468D">
            <w:pPr>
              <w:jc w:val="center"/>
              <w:rPr>
                <w:bCs/>
                <w:sz w:val="21"/>
                <w:szCs w:val="21"/>
              </w:rPr>
            </w:pPr>
            <w:r w:rsidRPr="0000468D">
              <w:rPr>
                <w:bCs/>
                <w:sz w:val="21"/>
                <w:szCs w:val="21"/>
              </w:rPr>
              <w:t>2</w:t>
            </w:r>
          </w:p>
        </w:tc>
        <w:tc>
          <w:tcPr>
            <w:tcW w:w="1985" w:type="dxa"/>
            <w:vAlign w:val="center"/>
          </w:tcPr>
          <w:p w14:paraId="04B16CF3" w14:textId="77777777" w:rsidR="007A44FE" w:rsidRPr="0000468D" w:rsidRDefault="007A44FE" w:rsidP="0000468D">
            <w:pPr>
              <w:jc w:val="center"/>
              <w:rPr>
                <w:bCs/>
                <w:sz w:val="21"/>
                <w:szCs w:val="21"/>
              </w:rPr>
            </w:pPr>
            <w:r w:rsidRPr="0000468D">
              <w:rPr>
                <w:bCs/>
                <w:sz w:val="21"/>
                <w:szCs w:val="21"/>
              </w:rPr>
              <w:t>EJ/T 20012-2012</w:t>
            </w:r>
          </w:p>
        </w:tc>
        <w:tc>
          <w:tcPr>
            <w:tcW w:w="4536" w:type="dxa"/>
            <w:vAlign w:val="center"/>
          </w:tcPr>
          <w:p w14:paraId="25AD52F0" w14:textId="77777777" w:rsidR="007A44FE" w:rsidRPr="0000468D" w:rsidRDefault="007A44FE" w:rsidP="0000468D">
            <w:pPr>
              <w:jc w:val="center"/>
              <w:rPr>
                <w:bCs/>
                <w:sz w:val="21"/>
                <w:szCs w:val="21"/>
              </w:rPr>
            </w:pPr>
            <w:r w:rsidRPr="0000468D">
              <w:rPr>
                <w:bCs/>
                <w:sz w:val="21"/>
                <w:szCs w:val="21"/>
              </w:rPr>
              <w:t>高放废物处置前管理技术规定</w:t>
            </w:r>
          </w:p>
        </w:tc>
        <w:tc>
          <w:tcPr>
            <w:tcW w:w="1247" w:type="dxa"/>
            <w:vAlign w:val="center"/>
          </w:tcPr>
          <w:p w14:paraId="05537E8F" w14:textId="77777777" w:rsidR="007A44FE" w:rsidRPr="0000468D" w:rsidRDefault="007A44FE" w:rsidP="0000468D">
            <w:pPr>
              <w:jc w:val="center"/>
              <w:rPr>
                <w:bCs/>
                <w:sz w:val="21"/>
                <w:szCs w:val="21"/>
              </w:rPr>
            </w:pPr>
            <w:r w:rsidRPr="0000468D">
              <w:rPr>
                <w:bCs/>
                <w:sz w:val="21"/>
                <w:szCs w:val="21"/>
              </w:rPr>
              <w:t>2012</w:t>
            </w:r>
          </w:p>
        </w:tc>
      </w:tr>
      <w:tr w:rsidR="007A44FE" w:rsidRPr="0000468D" w14:paraId="0E14F171" w14:textId="77777777" w:rsidTr="00EC0575">
        <w:trPr>
          <w:trHeight w:hRule="exact" w:val="454"/>
        </w:trPr>
        <w:tc>
          <w:tcPr>
            <w:tcW w:w="704" w:type="dxa"/>
            <w:vAlign w:val="center"/>
          </w:tcPr>
          <w:p w14:paraId="5AA141EB" w14:textId="77777777" w:rsidR="007A44FE" w:rsidRPr="0000468D" w:rsidRDefault="007A44FE" w:rsidP="0000468D">
            <w:pPr>
              <w:jc w:val="center"/>
              <w:rPr>
                <w:bCs/>
                <w:sz w:val="21"/>
                <w:szCs w:val="21"/>
              </w:rPr>
            </w:pPr>
            <w:r w:rsidRPr="0000468D">
              <w:rPr>
                <w:bCs/>
                <w:sz w:val="21"/>
                <w:szCs w:val="21"/>
              </w:rPr>
              <w:t>3</w:t>
            </w:r>
          </w:p>
        </w:tc>
        <w:tc>
          <w:tcPr>
            <w:tcW w:w="1985" w:type="dxa"/>
            <w:vAlign w:val="center"/>
          </w:tcPr>
          <w:p w14:paraId="776AADC2" w14:textId="77777777" w:rsidR="007A44FE" w:rsidRPr="0000468D" w:rsidRDefault="007A44FE" w:rsidP="0000468D">
            <w:pPr>
              <w:jc w:val="center"/>
              <w:rPr>
                <w:bCs/>
                <w:sz w:val="21"/>
                <w:szCs w:val="21"/>
              </w:rPr>
            </w:pPr>
            <w:r w:rsidRPr="0000468D">
              <w:rPr>
                <w:bCs/>
                <w:sz w:val="21"/>
                <w:szCs w:val="21"/>
              </w:rPr>
              <w:t>GB 14500-2002</w:t>
            </w:r>
          </w:p>
        </w:tc>
        <w:tc>
          <w:tcPr>
            <w:tcW w:w="4536" w:type="dxa"/>
            <w:vAlign w:val="center"/>
          </w:tcPr>
          <w:p w14:paraId="5298E010" w14:textId="77777777" w:rsidR="007A44FE" w:rsidRPr="0000468D" w:rsidRDefault="007A44FE" w:rsidP="0000468D">
            <w:pPr>
              <w:jc w:val="center"/>
              <w:rPr>
                <w:bCs/>
                <w:sz w:val="21"/>
                <w:szCs w:val="21"/>
              </w:rPr>
            </w:pPr>
            <w:r w:rsidRPr="0000468D">
              <w:rPr>
                <w:bCs/>
                <w:sz w:val="21"/>
                <w:szCs w:val="21"/>
              </w:rPr>
              <w:t>放射性废物管理规定</w:t>
            </w:r>
          </w:p>
        </w:tc>
        <w:tc>
          <w:tcPr>
            <w:tcW w:w="1247" w:type="dxa"/>
            <w:vAlign w:val="center"/>
          </w:tcPr>
          <w:p w14:paraId="4DD8B7EE" w14:textId="77777777" w:rsidR="007A44FE" w:rsidRPr="0000468D" w:rsidRDefault="007A44FE" w:rsidP="0000468D">
            <w:pPr>
              <w:jc w:val="center"/>
              <w:rPr>
                <w:bCs/>
                <w:sz w:val="21"/>
                <w:szCs w:val="21"/>
              </w:rPr>
            </w:pPr>
            <w:r w:rsidRPr="0000468D">
              <w:rPr>
                <w:bCs/>
                <w:sz w:val="21"/>
                <w:szCs w:val="21"/>
              </w:rPr>
              <w:t>2002</w:t>
            </w:r>
          </w:p>
        </w:tc>
      </w:tr>
      <w:tr w:rsidR="007A44FE" w:rsidRPr="0000468D" w14:paraId="13B8819A" w14:textId="77777777" w:rsidTr="00EC0575">
        <w:trPr>
          <w:trHeight w:hRule="exact" w:val="454"/>
        </w:trPr>
        <w:tc>
          <w:tcPr>
            <w:tcW w:w="704" w:type="dxa"/>
            <w:vAlign w:val="center"/>
          </w:tcPr>
          <w:p w14:paraId="547F3692" w14:textId="77777777" w:rsidR="007A44FE" w:rsidRPr="0000468D" w:rsidRDefault="007A44FE" w:rsidP="0000468D">
            <w:pPr>
              <w:jc w:val="center"/>
              <w:rPr>
                <w:bCs/>
                <w:sz w:val="21"/>
                <w:szCs w:val="21"/>
              </w:rPr>
            </w:pPr>
            <w:r w:rsidRPr="0000468D">
              <w:rPr>
                <w:bCs/>
                <w:sz w:val="21"/>
                <w:szCs w:val="21"/>
              </w:rPr>
              <w:t>4</w:t>
            </w:r>
          </w:p>
        </w:tc>
        <w:tc>
          <w:tcPr>
            <w:tcW w:w="1985" w:type="dxa"/>
            <w:vAlign w:val="center"/>
          </w:tcPr>
          <w:p w14:paraId="2F5D538F" w14:textId="77777777" w:rsidR="007A44FE" w:rsidRPr="0000468D" w:rsidRDefault="007A44FE" w:rsidP="0000468D">
            <w:pPr>
              <w:jc w:val="center"/>
              <w:rPr>
                <w:bCs/>
                <w:sz w:val="21"/>
                <w:szCs w:val="21"/>
              </w:rPr>
            </w:pPr>
            <w:r w:rsidRPr="0000468D">
              <w:rPr>
                <w:bCs/>
                <w:sz w:val="21"/>
                <w:szCs w:val="21"/>
              </w:rPr>
              <w:t>GB 11929-2011</w:t>
            </w:r>
          </w:p>
        </w:tc>
        <w:tc>
          <w:tcPr>
            <w:tcW w:w="4536" w:type="dxa"/>
            <w:vAlign w:val="center"/>
          </w:tcPr>
          <w:p w14:paraId="2A5B6A98" w14:textId="77777777" w:rsidR="007A44FE" w:rsidRPr="0000468D" w:rsidRDefault="007A44FE" w:rsidP="0000468D">
            <w:pPr>
              <w:jc w:val="center"/>
              <w:rPr>
                <w:bCs/>
                <w:sz w:val="21"/>
                <w:szCs w:val="21"/>
              </w:rPr>
            </w:pPr>
            <w:r w:rsidRPr="0000468D">
              <w:rPr>
                <w:bCs/>
                <w:sz w:val="21"/>
                <w:szCs w:val="21"/>
              </w:rPr>
              <w:t>高水平放射性废液贮存厂房设计规定</w:t>
            </w:r>
          </w:p>
        </w:tc>
        <w:tc>
          <w:tcPr>
            <w:tcW w:w="1247" w:type="dxa"/>
            <w:vAlign w:val="center"/>
          </w:tcPr>
          <w:p w14:paraId="1015144D" w14:textId="77777777" w:rsidR="007A44FE" w:rsidRPr="0000468D" w:rsidRDefault="007A44FE" w:rsidP="0000468D">
            <w:pPr>
              <w:jc w:val="center"/>
              <w:rPr>
                <w:bCs/>
                <w:sz w:val="21"/>
                <w:szCs w:val="21"/>
              </w:rPr>
            </w:pPr>
            <w:r w:rsidRPr="0000468D">
              <w:rPr>
                <w:bCs/>
                <w:sz w:val="21"/>
                <w:szCs w:val="21"/>
              </w:rPr>
              <w:t>2011</w:t>
            </w:r>
          </w:p>
        </w:tc>
      </w:tr>
    </w:tbl>
    <w:p w14:paraId="2850AA31" w14:textId="77777777" w:rsidR="007A44FE" w:rsidRDefault="007A44FE" w:rsidP="007A44FE">
      <w:pPr>
        <w:ind w:firstLineChars="200" w:firstLine="360"/>
        <w:rPr>
          <w:rFonts w:asciiTheme="minorEastAsia" w:hAnsiTheme="minorEastAsia"/>
          <w:sz w:val="18"/>
          <w:szCs w:val="18"/>
        </w:rPr>
      </w:pPr>
    </w:p>
    <w:p w14:paraId="399DEAF3" w14:textId="77777777" w:rsidR="007A44FE" w:rsidRPr="007A44FE" w:rsidRDefault="007A44FE" w:rsidP="007A44FE">
      <w:pPr>
        <w:spacing w:before="50" w:after="50"/>
        <w:ind w:firstLineChars="200" w:firstLine="480"/>
      </w:pPr>
      <w:r w:rsidRPr="007A44FE">
        <w:t>如表</w:t>
      </w:r>
      <w:r w:rsidRPr="007A44FE">
        <w:t>2</w:t>
      </w:r>
      <w:r w:rsidRPr="007A44FE">
        <w:t>所示，国内涉及高水平放射性废物管理的相关标准仅有</w:t>
      </w:r>
      <w:r w:rsidRPr="007A44FE">
        <w:t>GB 11929-2011</w:t>
      </w:r>
      <w:r w:rsidRPr="007A44FE">
        <w:t>《高水平放射性废液贮存厂房设计规定》，该标准规定了乏燃料后处理产生的高放废液贮存厂房的设计过程，并不能规范高水平放射性固体废物的贮存过程。以下三项标准中部分内容涉及放射性固体废物的贮存，但并未针对高水平放射性固体废物的特点提出针对性规定：</w:t>
      </w:r>
    </w:p>
    <w:p w14:paraId="7A4B3B40" w14:textId="77777777" w:rsidR="007A44FE" w:rsidRPr="007A44FE" w:rsidRDefault="007A44FE" w:rsidP="007A44FE">
      <w:pPr>
        <w:spacing w:before="50" w:after="50"/>
        <w:ind w:firstLineChars="200" w:firstLine="480"/>
      </w:pPr>
      <w:r w:rsidRPr="007A44FE">
        <w:lastRenderedPageBreak/>
        <w:t xml:space="preserve">EJ/T 940-1995 </w:t>
      </w:r>
      <w:r w:rsidRPr="007A44FE">
        <w:t>《核燃料后处理厂放射性废物管理技术规定》涉及高水平放射性固体废物贮存的内容为：第七章固体废物的贮存中</w:t>
      </w:r>
      <w:r w:rsidRPr="007A44FE">
        <w:t xml:space="preserve">“7.1.2.1 </w:t>
      </w:r>
      <w:r w:rsidRPr="007A44FE">
        <w:t>高放固体废物和超铀废物中间贮存库的容量应该能容纳核燃料后处理厂全寿期内运行、检修所产生的全部高放固体废物和超铀废物。</w:t>
      </w:r>
      <w:r w:rsidRPr="007A44FE">
        <w:t xml:space="preserve">7.1.2.2 </w:t>
      </w:r>
      <w:r w:rsidRPr="007A44FE">
        <w:t>核燃料后处理厂营运单位应对高放固体废物和超铀废物在暂存库的暂存时间提出建议，并申报主管部门批准。该标准对高放固体废物暂存库的容量、暂存时间进行了描述。</w:t>
      </w:r>
    </w:p>
    <w:p w14:paraId="332CF153" w14:textId="77777777" w:rsidR="007A44FE" w:rsidRPr="007A44FE" w:rsidRDefault="007A44FE" w:rsidP="007A44FE">
      <w:pPr>
        <w:spacing w:before="50" w:after="50"/>
        <w:ind w:firstLineChars="200" w:firstLine="480"/>
      </w:pPr>
      <w:r w:rsidRPr="007A44FE">
        <w:t xml:space="preserve">EJ/T 20012-2012 </w:t>
      </w:r>
      <w:r w:rsidRPr="007A44FE">
        <w:t>《高放废物处置前管理技术规定》涉及高水平放射性固体废物贮存的内容为：第八章高放固体废物处置前管理中</w:t>
      </w:r>
      <w:r w:rsidRPr="007A44FE">
        <w:t>“</w:t>
      </w:r>
      <w:r w:rsidRPr="007A44FE">
        <w:t>高放固体废物贮存的目的是在其被处置前确保高放废物包的安全和可回取性。其主要措施包括应设置以下装置或系统</w:t>
      </w:r>
      <w:r w:rsidRPr="007A44FE">
        <w:rPr>
          <w:rFonts w:hint="eastAsia"/>
        </w:rPr>
        <w:t>∶</w:t>
      </w:r>
      <w:r w:rsidRPr="007A44FE">
        <w:t xml:space="preserve">a) </w:t>
      </w:r>
      <w:r w:rsidRPr="007A44FE">
        <w:t>充分有效的冷却和监测系统，防止废物包的温度超过设计规定的限值；</w:t>
      </w:r>
      <w:r w:rsidRPr="007A44FE">
        <w:t xml:space="preserve">b) </w:t>
      </w:r>
      <w:r w:rsidRPr="007A44FE">
        <w:t>能正确监测废物包破损的装置；</w:t>
      </w:r>
      <w:r w:rsidRPr="007A44FE">
        <w:t xml:space="preserve">c) </w:t>
      </w:r>
      <w:r w:rsidRPr="007A44FE">
        <w:t>安全可靠，可远距离操作和回取废物包的装置。</w:t>
      </w:r>
      <w:r w:rsidRPr="007A44FE">
        <w:t>”</w:t>
      </w:r>
      <w:r w:rsidRPr="007A44FE">
        <w:t>该标准对高放固体废物包温度、防破损及回取方面进行描述。</w:t>
      </w:r>
    </w:p>
    <w:p w14:paraId="5E32C65B" w14:textId="77777777" w:rsidR="007A44FE" w:rsidRPr="007A44FE" w:rsidRDefault="007A44FE" w:rsidP="007A44FE">
      <w:pPr>
        <w:spacing w:before="50" w:after="50"/>
        <w:ind w:firstLineChars="200" w:firstLine="480"/>
      </w:pPr>
      <w:r w:rsidRPr="007A44FE">
        <w:t xml:space="preserve">GB 14500-2002 </w:t>
      </w:r>
      <w:r w:rsidRPr="007A44FE">
        <w:t>《放射性废物管理规定》涉及高水平放射性固体废物贮存的内容为：第十二章废物的贮存中</w:t>
      </w:r>
      <w:r w:rsidRPr="007A44FE">
        <w:t xml:space="preserve">“12.2.1.1 </w:t>
      </w:r>
      <w:r w:rsidRPr="007A44FE">
        <w:t>废物应按其放射性活度和所含核素半衰期的不同分类贮存。</w:t>
      </w:r>
      <w:r w:rsidRPr="007A44FE">
        <w:t xml:space="preserve">12.2.1.2 </w:t>
      </w:r>
      <w:r w:rsidRPr="007A44FE">
        <w:t>贮存库的设计和运行应便于废物包的监视、识别、回取和管理。</w:t>
      </w:r>
      <w:r w:rsidRPr="007A44FE">
        <w:t xml:space="preserve">12.2.1.3 </w:t>
      </w:r>
      <w:r w:rsidRPr="007A44FE">
        <w:t>应根据库址的自然条件（如温度、湿度、空气中腐蚀性成分的含量）和废物特性（如侵蚀性、释热，放射性活度等）采取必需的措施（如通风、除湿、防火、防水、防震、防雷击、防撞击、屏蔽、冷却、实物保护、剂量监测等），保证在规定的贮存期限内废物的安全和容器的完好。必要时，应对废物包进行探测，以便及早发现容器损坏、放射性泄漏或容器内有气体产生。</w:t>
      </w:r>
      <w:r w:rsidRPr="007A44FE">
        <w:t xml:space="preserve">12.2.1.4 </w:t>
      </w:r>
      <w:r w:rsidRPr="007A44FE">
        <w:t>贮存库的设计应考虑适当的冗余度，以满足检修和事故工况下废物量可能增加的需求。贮存在库中废物的贮量（体积和放射性总活度）和贮存时间不得超过设计规定或审管部门的要求。对贮存含易裂变材料的废物库，应采取防核临界措施。</w:t>
      </w:r>
      <w:r w:rsidRPr="007A44FE">
        <w:t xml:space="preserve">12.2.1.5 </w:t>
      </w:r>
      <w:r w:rsidRPr="007A44FE">
        <w:t>经过贮存衰变，如果废物的放射性活度浓度达到免管或极低放的水平，经审管部门批准可分别按免管废物或极低放废物进行处理或处置。</w:t>
      </w:r>
      <w:r w:rsidRPr="007A44FE">
        <w:t xml:space="preserve">12.2.1.6 </w:t>
      </w:r>
      <w:r w:rsidRPr="007A44FE">
        <w:t>应为检修或退役中产生的大件废物设置贮存场所。贮存场所的设计应考虑废物安全和废物对场地的可能影响，以及废物回取和转运的可能性。拟送贮存场所的废物的表面剂量应达到运输规定要求。</w:t>
      </w:r>
      <w:r w:rsidRPr="007A44FE">
        <w:t xml:space="preserve">12.2.1.7 </w:t>
      </w:r>
      <w:r w:rsidRPr="007A44FE">
        <w:t>贮存库应建立废物档案和</w:t>
      </w:r>
      <w:r w:rsidRPr="007A44FE">
        <w:lastRenderedPageBreak/>
        <w:t>出入库登记制度，保证废物始终处于有效监控之下。</w:t>
      </w:r>
      <w:r w:rsidRPr="007A44FE">
        <w:t>”</w:t>
      </w:r>
      <w:r w:rsidRPr="007A44FE">
        <w:t>该标准对废物分类贮存、贮存库的设计进行了描述。</w:t>
      </w:r>
    </w:p>
    <w:p w14:paraId="6F8BA61A" w14:textId="70E5D600" w:rsidR="00F60B7D" w:rsidRPr="007A44FE" w:rsidRDefault="007A44FE" w:rsidP="00EC0575">
      <w:pPr>
        <w:spacing w:before="50" w:after="50"/>
        <w:ind w:firstLineChars="200" w:firstLine="480"/>
        <w:rPr>
          <w:rFonts w:hint="eastAsia"/>
        </w:rPr>
      </w:pPr>
      <w:r w:rsidRPr="007A44FE">
        <w:t>本标准在符合上述核行业标准要求的基础上，对于高放固体废物贮存设施运行过程中的相关技术要求（如废物包接收要求、贮存设施的运行要求）及管理要求进行了丰富和扩充。</w:t>
      </w:r>
    </w:p>
    <w:p w14:paraId="7A633A15" w14:textId="48855BBB" w:rsidR="00F60B7D" w:rsidRPr="00A33BF8" w:rsidRDefault="00F60B7D" w:rsidP="006633BA">
      <w:pPr>
        <w:outlineLvl w:val="0"/>
        <w:rPr>
          <w:b/>
          <w:sz w:val="28"/>
          <w:szCs w:val="28"/>
        </w:rPr>
      </w:pPr>
      <w:r w:rsidRPr="00A33BF8">
        <w:rPr>
          <w:rFonts w:hint="eastAsia"/>
          <w:b/>
          <w:sz w:val="28"/>
          <w:szCs w:val="28"/>
        </w:rPr>
        <w:t>七、在标准体系中的位置，与现行相关法律、法规、规章及标准，特别是强制性标准的协调性</w:t>
      </w:r>
    </w:p>
    <w:p w14:paraId="682AE825" w14:textId="512C42D0" w:rsidR="0000468D" w:rsidRPr="0000468D" w:rsidRDefault="0000468D" w:rsidP="00EC0575">
      <w:pPr>
        <w:ind w:firstLineChars="200" w:firstLine="480"/>
        <w:rPr>
          <w:iCs/>
        </w:rPr>
      </w:pPr>
      <w:r w:rsidRPr="0000468D">
        <w:rPr>
          <w:rFonts w:hint="eastAsia"/>
          <w:iCs/>
        </w:rPr>
        <w:t>本标准遵循《中华人民共和国放射性污染防治法》《放射性废物安全管理条例》《核安全法》《放射性废物管理条例》《放射性固体废物贮存和处置许可管理办法》等法规；与强制性国家标准</w:t>
      </w:r>
      <w:r w:rsidRPr="0000468D">
        <w:rPr>
          <w:iCs/>
        </w:rPr>
        <w:t>GB 14500</w:t>
      </w:r>
      <w:r w:rsidRPr="0000468D">
        <w:rPr>
          <w:iCs/>
        </w:rPr>
        <w:t>《放射性废物管理规定》、</w:t>
      </w:r>
      <w:r w:rsidRPr="0000468D">
        <w:rPr>
          <w:iCs/>
        </w:rPr>
        <w:t>GB 14500-2002</w:t>
      </w:r>
      <w:r w:rsidRPr="0000468D">
        <w:rPr>
          <w:iCs/>
        </w:rPr>
        <w:t>《放射性废物管理规定》相协调。</w:t>
      </w:r>
    </w:p>
    <w:p w14:paraId="14BF4C02" w14:textId="3CD05C75" w:rsidR="00F60B7D" w:rsidRPr="00A33BF8" w:rsidRDefault="00F60B7D" w:rsidP="006633BA">
      <w:pPr>
        <w:outlineLvl w:val="0"/>
        <w:rPr>
          <w:b/>
          <w:sz w:val="28"/>
          <w:szCs w:val="28"/>
        </w:rPr>
      </w:pPr>
      <w:r w:rsidRPr="00A33BF8">
        <w:rPr>
          <w:rFonts w:hint="eastAsia"/>
          <w:b/>
          <w:sz w:val="28"/>
          <w:szCs w:val="28"/>
        </w:rPr>
        <w:t>八、重大分歧意见的处理经过和依据</w:t>
      </w:r>
    </w:p>
    <w:p w14:paraId="3629B36E" w14:textId="2985A1C3" w:rsidR="00A740E0" w:rsidRPr="0000468D" w:rsidRDefault="00A56356" w:rsidP="00EC0575">
      <w:pPr>
        <w:ind w:firstLineChars="200" w:firstLine="480"/>
        <w:rPr>
          <w:iCs/>
        </w:rPr>
      </w:pPr>
      <w:r w:rsidRPr="0000468D">
        <w:rPr>
          <w:rFonts w:hint="eastAsia"/>
          <w:iCs/>
        </w:rPr>
        <w:t>无。</w:t>
      </w:r>
    </w:p>
    <w:p w14:paraId="363B527E" w14:textId="74B0095E" w:rsidR="00F60B7D" w:rsidRPr="00A33BF8" w:rsidRDefault="00F60B7D" w:rsidP="006633BA">
      <w:pPr>
        <w:outlineLvl w:val="0"/>
        <w:rPr>
          <w:b/>
          <w:sz w:val="28"/>
          <w:szCs w:val="28"/>
        </w:rPr>
      </w:pPr>
      <w:r w:rsidRPr="00A33BF8">
        <w:rPr>
          <w:rFonts w:hint="eastAsia"/>
          <w:b/>
          <w:sz w:val="28"/>
          <w:szCs w:val="28"/>
        </w:rPr>
        <w:t>九、标准性质的建议说明</w:t>
      </w:r>
    </w:p>
    <w:p w14:paraId="5155893C" w14:textId="069B91C8" w:rsidR="00A56356" w:rsidRPr="0000468D" w:rsidRDefault="00E0783F" w:rsidP="00EC0575">
      <w:pPr>
        <w:ind w:firstLineChars="200" w:firstLine="480"/>
      </w:pPr>
      <w:r w:rsidRPr="00A56356">
        <w:rPr>
          <w:rFonts w:hint="eastAsia"/>
        </w:rPr>
        <w:t>建议本标准的性质为团体标准。</w:t>
      </w:r>
    </w:p>
    <w:p w14:paraId="2936C706" w14:textId="0C811B80" w:rsidR="00F60B7D" w:rsidRPr="00A33BF8" w:rsidRDefault="00F60B7D" w:rsidP="006633BA">
      <w:pPr>
        <w:outlineLvl w:val="0"/>
        <w:rPr>
          <w:b/>
          <w:sz w:val="28"/>
          <w:szCs w:val="28"/>
        </w:rPr>
      </w:pPr>
      <w:r w:rsidRPr="00A33BF8">
        <w:rPr>
          <w:rFonts w:hint="eastAsia"/>
          <w:b/>
          <w:sz w:val="28"/>
          <w:szCs w:val="28"/>
        </w:rPr>
        <w:t>十、贯彻标准的要求和措施建议</w:t>
      </w:r>
    </w:p>
    <w:p w14:paraId="4F3DC53E" w14:textId="2EC4BAAB" w:rsidR="00EC0575" w:rsidRPr="00EC0575" w:rsidRDefault="0000468D" w:rsidP="00EC0575">
      <w:pPr>
        <w:ind w:firstLineChars="200" w:firstLine="480"/>
        <w:rPr>
          <w:rFonts w:hint="eastAsia"/>
          <w:iCs/>
        </w:rPr>
      </w:pPr>
      <w:r w:rsidRPr="0000468D">
        <w:rPr>
          <w:rFonts w:hint="eastAsia"/>
          <w:iCs/>
        </w:rPr>
        <w:t>本标准的目的时为了指导、规范乏燃料后处理高水平放射性固体废物的安全稳定贮存运行，包括废物包接收要求、贮存设施的运行要求等方面。因此，</w:t>
      </w:r>
      <w:r>
        <w:rPr>
          <w:rFonts w:hint="eastAsia"/>
          <w:iCs/>
        </w:rPr>
        <w:t>标准发布后，</w:t>
      </w:r>
      <w:r w:rsidRPr="0000468D">
        <w:rPr>
          <w:rFonts w:hint="eastAsia"/>
          <w:iCs/>
        </w:rPr>
        <w:t>为了使标准颁布后能够更好的实施，建议主办部门开展标准宣传、标准培训学习、标准使用经验总结及评价反馈等活动，提高标准的知悉范围和影响深度、广度</w:t>
      </w:r>
      <w:r>
        <w:rPr>
          <w:rFonts w:hint="eastAsia"/>
          <w:iCs/>
        </w:rPr>
        <w:t>，</w:t>
      </w:r>
      <w:r w:rsidRPr="0000468D">
        <w:rPr>
          <w:rFonts w:hint="eastAsia"/>
          <w:iCs/>
        </w:rPr>
        <w:t>促进该标准更好的贯彻实施</w:t>
      </w:r>
      <w:r w:rsidR="00EC0575">
        <w:rPr>
          <w:rFonts w:hint="eastAsia"/>
          <w:iCs/>
        </w:rPr>
        <w:t>。</w:t>
      </w:r>
    </w:p>
    <w:p w14:paraId="70167BE1" w14:textId="61DF5146" w:rsidR="00F60B7D" w:rsidRPr="00A33BF8" w:rsidRDefault="00F60B7D" w:rsidP="006633BA">
      <w:pPr>
        <w:outlineLvl w:val="0"/>
        <w:rPr>
          <w:b/>
          <w:sz w:val="28"/>
          <w:szCs w:val="28"/>
        </w:rPr>
      </w:pPr>
      <w:r w:rsidRPr="00A33BF8">
        <w:rPr>
          <w:rFonts w:hint="eastAsia"/>
          <w:b/>
          <w:sz w:val="28"/>
          <w:szCs w:val="28"/>
        </w:rPr>
        <w:t>十一、废止现行相关标准的建议</w:t>
      </w:r>
    </w:p>
    <w:p w14:paraId="28956847" w14:textId="14AA108A" w:rsidR="00F60B7D" w:rsidRPr="0000468D" w:rsidRDefault="0000468D" w:rsidP="00EC0575">
      <w:pPr>
        <w:ind w:firstLineChars="200" w:firstLine="480"/>
        <w:rPr>
          <w:iCs/>
        </w:rPr>
      </w:pPr>
      <w:r>
        <w:rPr>
          <w:rFonts w:hint="eastAsia"/>
          <w:iCs/>
        </w:rPr>
        <w:t>无</w:t>
      </w:r>
    </w:p>
    <w:p w14:paraId="2E27B981" w14:textId="3A82D869" w:rsidR="00F60B7D" w:rsidRPr="00A33BF8" w:rsidRDefault="00F60B7D" w:rsidP="006633BA">
      <w:pPr>
        <w:outlineLvl w:val="0"/>
        <w:rPr>
          <w:b/>
          <w:sz w:val="28"/>
          <w:szCs w:val="28"/>
        </w:rPr>
      </w:pPr>
      <w:r w:rsidRPr="00A33BF8">
        <w:rPr>
          <w:rFonts w:hint="eastAsia"/>
          <w:b/>
          <w:sz w:val="28"/>
          <w:szCs w:val="28"/>
        </w:rPr>
        <w:t>十二、其他应予说明的事项</w:t>
      </w:r>
    </w:p>
    <w:p w14:paraId="48B50C69" w14:textId="766BEB21" w:rsidR="00F60B7D" w:rsidRPr="0000468D" w:rsidRDefault="0000468D" w:rsidP="00EC0575">
      <w:pPr>
        <w:ind w:firstLineChars="200" w:firstLine="480"/>
        <w:rPr>
          <w:iCs/>
        </w:rPr>
      </w:pPr>
      <w:r>
        <w:rPr>
          <w:rFonts w:hint="eastAsia"/>
          <w:iCs/>
        </w:rPr>
        <w:t>无</w:t>
      </w:r>
    </w:p>
    <w:sectPr w:rsidR="00F60B7D" w:rsidRPr="00004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13F7" w14:textId="77777777" w:rsidR="00F84FA5" w:rsidRDefault="00F84FA5" w:rsidP="00186029">
      <w:pPr>
        <w:spacing w:line="240" w:lineRule="auto"/>
      </w:pPr>
      <w:r>
        <w:separator/>
      </w:r>
    </w:p>
  </w:endnote>
  <w:endnote w:type="continuationSeparator" w:id="0">
    <w:p w14:paraId="302DDA4C" w14:textId="77777777" w:rsidR="00F84FA5" w:rsidRDefault="00F84FA5" w:rsidP="00186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166B" w14:textId="77777777" w:rsidR="00F84FA5" w:rsidRDefault="00F84FA5" w:rsidP="00186029">
      <w:pPr>
        <w:spacing w:line="240" w:lineRule="auto"/>
      </w:pPr>
      <w:r>
        <w:separator/>
      </w:r>
    </w:p>
  </w:footnote>
  <w:footnote w:type="continuationSeparator" w:id="0">
    <w:p w14:paraId="0EC03357" w14:textId="77777777" w:rsidR="00F84FA5" w:rsidRDefault="00F84FA5" w:rsidP="001860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35"/>
    <w:rsid w:val="0000468D"/>
    <w:rsid w:val="0004736B"/>
    <w:rsid w:val="000C204E"/>
    <w:rsid w:val="00132C00"/>
    <w:rsid w:val="00141DD2"/>
    <w:rsid w:val="00161CD2"/>
    <w:rsid w:val="00186029"/>
    <w:rsid w:val="0024244C"/>
    <w:rsid w:val="00285F39"/>
    <w:rsid w:val="002E1F35"/>
    <w:rsid w:val="002F637C"/>
    <w:rsid w:val="00386D97"/>
    <w:rsid w:val="004656F6"/>
    <w:rsid w:val="00520FE0"/>
    <w:rsid w:val="006633BA"/>
    <w:rsid w:val="006A6B56"/>
    <w:rsid w:val="006E0F94"/>
    <w:rsid w:val="0070047E"/>
    <w:rsid w:val="00764E9E"/>
    <w:rsid w:val="007A44FE"/>
    <w:rsid w:val="00846973"/>
    <w:rsid w:val="008A189D"/>
    <w:rsid w:val="008F0708"/>
    <w:rsid w:val="00A33BF8"/>
    <w:rsid w:val="00A56356"/>
    <w:rsid w:val="00A740E0"/>
    <w:rsid w:val="00AB5F92"/>
    <w:rsid w:val="00AC1E52"/>
    <w:rsid w:val="00AE1F12"/>
    <w:rsid w:val="00B24A56"/>
    <w:rsid w:val="00C478E3"/>
    <w:rsid w:val="00CB603C"/>
    <w:rsid w:val="00DC29B1"/>
    <w:rsid w:val="00DF21FD"/>
    <w:rsid w:val="00E0783F"/>
    <w:rsid w:val="00EC0575"/>
    <w:rsid w:val="00F60B7D"/>
    <w:rsid w:val="00F84FA5"/>
    <w:rsid w:val="00FB23F9"/>
    <w:rsid w:val="00FB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B740B"/>
  <w15:chartTrackingRefBased/>
  <w15:docId w15:val="{B5CF94CA-8441-4F2B-A0B4-DC510E31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89D"/>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407"/>
    <w:pPr>
      <w:ind w:firstLineChars="200" w:firstLine="420"/>
    </w:pPr>
  </w:style>
  <w:style w:type="paragraph" w:styleId="a4">
    <w:name w:val="header"/>
    <w:basedOn w:val="a"/>
    <w:link w:val="a5"/>
    <w:uiPriority w:val="99"/>
    <w:unhideWhenUsed/>
    <w:rsid w:val="0018602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186029"/>
    <w:rPr>
      <w:sz w:val="18"/>
      <w:szCs w:val="18"/>
    </w:rPr>
  </w:style>
  <w:style w:type="paragraph" w:styleId="a6">
    <w:name w:val="footer"/>
    <w:basedOn w:val="a"/>
    <w:link w:val="a7"/>
    <w:uiPriority w:val="99"/>
    <w:unhideWhenUsed/>
    <w:rsid w:val="00186029"/>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186029"/>
    <w:rPr>
      <w:sz w:val="18"/>
      <w:szCs w:val="18"/>
    </w:rPr>
  </w:style>
  <w:style w:type="table" w:styleId="a8">
    <w:name w:val="Table Grid"/>
    <w:basedOn w:val="a1"/>
    <w:qFormat/>
    <w:rsid w:val="007A44FE"/>
    <w:pPr>
      <w:spacing w:line="240" w:lineRule="auto"/>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3436</Words>
  <Characters>3814</Characters>
  <Application>Microsoft Office Word</Application>
  <DocSecurity>0</DocSecurity>
  <Lines>152</Lines>
  <Paragraphs>201</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王炫</dc:creator>
  <cp:keywords/>
  <dc:description/>
  <cp:lastModifiedBy>李 鸿伟</cp:lastModifiedBy>
  <cp:revision>26</cp:revision>
  <dcterms:created xsi:type="dcterms:W3CDTF">2019-12-04T02:22:00Z</dcterms:created>
  <dcterms:modified xsi:type="dcterms:W3CDTF">2025-05-27T16:26:00Z</dcterms:modified>
</cp:coreProperties>
</file>