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095B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1A97016">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C3DC92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25.040.01"/>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25.040.01</w:t>
            </w:r>
            <w:r>
              <w:rPr>
                <w:rFonts w:ascii="黑体" w:hAnsi="黑体" w:eastAsia="黑体"/>
                <w:sz w:val="21"/>
                <w:szCs w:val="21"/>
              </w:rPr>
              <w:fldChar w:fldCharType="end"/>
            </w:r>
            <w:bookmarkEnd w:id="0"/>
          </w:p>
        </w:tc>
      </w:tr>
      <w:tr w14:paraId="3E90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FAECA9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CCA673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F9EDE7E">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0BE72C0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C 78"/>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78</w:t>
            </w:r>
            <w:r>
              <w:rPr>
                <w:rFonts w:ascii="黑体" w:hAnsi="黑体" w:eastAsia="黑体"/>
                <w:sz w:val="21"/>
                <w:szCs w:val="21"/>
              </w:rPr>
              <w:fldChar w:fldCharType="end"/>
            </w:r>
            <w:bookmarkEnd w:id="2"/>
          </w:p>
        </w:tc>
      </w:tr>
    </w:tbl>
    <w:p w14:paraId="3A264AE0">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A13438C">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43"/>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0043</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0133957">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C8B6C29">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0BC14B86">
      <w:pPr>
        <w:pStyle w:val="50"/>
        <w:framePr w:w="9639" w:h="6976" w:hRule="exact" w:hSpace="0" w:vSpace="0" w:wrap="around" w:hAnchor="page" w:y="6408"/>
        <w:jc w:val="center"/>
        <w:rPr>
          <w:rFonts w:ascii="黑体" w:hAnsi="黑体" w:eastAsia="黑体"/>
          <w:b w:val="0"/>
          <w:bCs w:val="0"/>
          <w:w w:val="100"/>
        </w:rPr>
      </w:pPr>
    </w:p>
    <w:p w14:paraId="4CFF6858">
      <w:pPr>
        <w:pStyle w:val="197"/>
        <w:framePr w:h="6974" w:hRule="exact" w:wrap="around" w:x="1419" w:anchorLock="1"/>
      </w:pPr>
      <w:r>
        <w:fldChar w:fldCharType="begin">
          <w:ffData>
            <w:name w:val="CSTD_NAME"/>
            <w:enabled/>
            <w:calcOnExit w:val="0"/>
            <w:textInput>
              <w:default w:val="特种机电设备智能安全监测与预警技术规范"/>
            </w:textInput>
          </w:ffData>
        </w:fldChar>
      </w:r>
      <w:bookmarkStart w:id="9" w:name="CSTD_NAME"/>
      <w:r>
        <w:instrText xml:space="preserve"> FORMTEXT </w:instrText>
      </w:r>
      <w:r>
        <w:fldChar w:fldCharType="separate"/>
      </w:r>
      <w:r>
        <w:t>特种机电设备智能安全监测</w:t>
      </w:r>
    </w:p>
    <w:p w14:paraId="117B00B7">
      <w:pPr>
        <w:pStyle w:val="197"/>
        <w:framePr w:h="6974" w:hRule="exact" w:wrap="around" w:x="1419" w:anchorLock="1"/>
      </w:pPr>
      <w:r>
        <w:t>与预警技术规范</w:t>
      </w:r>
      <w:r>
        <w:fldChar w:fldCharType="end"/>
      </w:r>
      <w:bookmarkEnd w:id="9"/>
    </w:p>
    <w:p w14:paraId="36D72653">
      <w:pPr>
        <w:framePr w:w="9639" w:h="6974" w:hRule="exact" w:wrap="around" w:vAnchor="page" w:hAnchor="page" w:x="1419" w:y="6408" w:anchorLock="1"/>
        <w:ind w:left="-1418"/>
      </w:pPr>
    </w:p>
    <w:p w14:paraId="76E620AE">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Technical specification for intelligent safety monitoring and early warning of special electromechanical equipment"/>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 for intelligent safety monitoring and early warning of special electromechanical equipment</w:t>
      </w:r>
      <w:r>
        <w:rPr>
          <w:rFonts w:ascii="黑体" w:hAnsi="黑体" w:eastAsia="黑体"/>
          <w:szCs w:val="28"/>
        </w:rPr>
        <w:fldChar w:fldCharType="end"/>
      </w:r>
      <w:bookmarkEnd w:id="10"/>
    </w:p>
    <w:p w14:paraId="7580ADF1">
      <w:pPr>
        <w:framePr w:w="9639" w:h="6974" w:hRule="exact" w:wrap="around" w:vAnchor="page" w:hAnchor="page" w:x="1419" w:y="6408" w:anchorLock="1"/>
        <w:spacing w:line="760" w:lineRule="exact"/>
        <w:ind w:left="-1418"/>
      </w:pPr>
    </w:p>
    <w:p w14:paraId="649DE4C5">
      <w:pPr>
        <w:pStyle w:val="125"/>
        <w:framePr w:w="9639" w:h="6974" w:hRule="exact" w:wrap="around" w:vAnchor="page" w:hAnchor="page" w:x="1419" w:y="6408" w:anchorLock="1"/>
        <w:textAlignment w:val="bottom"/>
        <w:rPr>
          <w:rFonts w:eastAsia="黑体"/>
          <w:szCs w:val="28"/>
        </w:rPr>
      </w:pPr>
    </w:p>
    <w:p w14:paraId="185E3AE7">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2066185">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9D80E98">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0B4D0FB">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3C21F73">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93D58C5">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18336D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35B88F1B">
      <w:pPr>
        <w:pStyle w:val="91"/>
        <w:spacing w:after="360"/>
      </w:pPr>
      <w:bookmarkStart w:id="21" w:name="BookMark1"/>
      <w:r>
        <w:rPr>
          <w:rFonts w:hint="eastAsia"/>
          <w:spacing w:val="320"/>
        </w:rPr>
        <w:t>目</w:t>
      </w:r>
      <w:r>
        <w:rPr>
          <w:rFonts w:hint="eastAsia"/>
        </w:rPr>
        <w:t>次</w:t>
      </w:r>
    </w:p>
    <w:p w14:paraId="0B743103">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"_Toc200374544" </w:instrText>
      </w:r>
      <w:r>
        <w:fldChar w:fldCharType="separate"/>
      </w:r>
      <w:r>
        <w:rPr>
          <w:rStyle w:val="32"/>
        </w:rPr>
        <w:t>前言</w:t>
      </w:r>
      <w:r>
        <w:tab/>
      </w:r>
      <w:r>
        <w:fldChar w:fldCharType="begin"/>
      </w:r>
      <w:r>
        <w:instrText xml:space="preserve"> PAGEREF _Toc200374544 \h </w:instrText>
      </w:r>
      <w:r>
        <w:fldChar w:fldCharType="separate"/>
      </w:r>
      <w:r>
        <w:t>III</w:t>
      </w:r>
      <w:r>
        <w:fldChar w:fldCharType="end"/>
      </w:r>
      <w:r>
        <w:fldChar w:fldCharType="end"/>
      </w:r>
    </w:p>
    <w:p w14:paraId="0388F9B7">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"_Toc200374545" </w:instrText>
      </w:r>
      <w:r>
        <w:fldChar w:fldCharType="separate"/>
      </w:r>
      <w:r>
        <w:rPr>
          <w:rStyle w:val="32"/>
        </w:rPr>
        <w:t>引言</w:t>
      </w:r>
      <w:r>
        <w:tab/>
      </w:r>
      <w:r>
        <w:fldChar w:fldCharType="begin"/>
      </w:r>
      <w:r>
        <w:instrText xml:space="preserve"> PAGEREF _Toc200374545 \h </w:instrText>
      </w:r>
      <w:r>
        <w:fldChar w:fldCharType="separate"/>
      </w:r>
      <w:r>
        <w:t>V</w:t>
      </w:r>
      <w:r>
        <w:fldChar w:fldCharType="end"/>
      </w:r>
      <w:r>
        <w:fldChar w:fldCharType="end"/>
      </w:r>
    </w:p>
    <w:p w14:paraId="38E088BE">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"_Toc200374546" </w:instrText>
      </w:r>
      <w:r>
        <w:fldChar w:fldCharType="separate"/>
      </w:r>
      <w:r>
        <w:rPr>
          <w:rStyle w:val="32"/>
        </w:rPr>
        <w:t>1  范围</w:t>
      </w:r>
      <w:r>
        <w:tab/>
      </w:r>
      <w:r>
        <w:fldChar w:fldCharType="begin"/>
      </w:r>
      <w:r>
        <w:instrText xml:space="preserve"> PAGEREF _Toc200374546 \h </w:instrText>
      </w:r>
      <w:r>
        <w:fldChar w:fldCharType="separate"/>
      </w:r>
      <w:r>
        <w:t>1</w:t>
      </w:r>
      <w:r>
        <w:fldChar w:fldCharType="end"/>
      </w:r>
      <w:r>
        <w:fldChar w:fldCharType="end"/>
      </w:r>
    </w:p>
    <w:p w14:paraId="18EAC1C2">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"_Toc200374547" </w:instrText>
      </w:r>
      <w:r>
        <w:fldChar w:fldCharType="separate"/>
      </w:r>
      <w:r>
        <w:rPr>
          <w:rStyle w:val="32"/>
        </w:rPr>
        <w:t>2  规范性引用文件</w:t>
      </w:r>
      <w:r>
        <w:tab/>
      </w:r>
      <w:r>
        <w:fldChar w:fldCharType="begin"/>
      </w:r>
      <w:r>
        <w:instrText xml:space="preserve"> PAGEREF _Toc200374547 \h </w:instrText>
      </w:r>
      <w:r>
        <w:fldChar w:fldCharType="separate"/>
      </w:r>
      <w:r>
        <w:t>1</w:t>
      </w:r>
      <w:r>
        <w:fldChar w:fldCharType="end"/>
      </w:r>
      <w:r>
        <w:fldChar w:fldCharType="end"/>
      </w:r>
    </w:p>
    <w:p w14:paraId="0117F610">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"_Toc200374548" </w:instrText>
      </w:r>
      <w:r>
        <w:fldChar w:fldCharType="separate"/>
      </w:r>
      <w:r>
        <w:rPr>
          <w:rStyle w:val="32"/>
        </w:rPr>
        <w:t>3  术语和定义</w:t>
      </w:r>
      <w:r>
        <w:tab/>
      </w:r>
      <w:r>
        <w:fldChar w:fldCharType="begin"/>
      </w:r>
      <w:r>
        <w:instrText xml:space="preserve"> PAGEREF _Toc200374548 \h </w:instrText>
      </w:r>
      <w:r>
        <w:fldChar w:fldCharType="separate"/>
      </w:r>
      <w:r>
        <w:t>1</w:t>
      </w:r>
      <w:r>
        <w:fldChar w:fldCharType="end"/>
      </w:r>
      <w:r>
        <w:fldChar w:fldCharType="end"/>
      </w:r>
    </w:p>
    <w:p w14:paraId="0F477B56">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"_Toc200374549" </w:instrText>
      </w:r>
      <w:r>
        <w:fldChar w:fldCharType="separate"/>
      </w:r>
      <w:r>
        <w:rPr>
          <w:rStyle w:val="32"/>
        </w:rPr>
        <w:t>4  总体技术要求</w:t>
      </w:r>
      <w:r>
        <w:tab/>
      </w:r>
      <w:r>
        <w:fldChar w:fldCharType="begin"/>
      </w:r>
      <w:r>
        <w:instrText xml:space="preserve"> PAGEREF _Toc200374549 \h </w:instrText>
      </w:r>
      <w:r>
        <w:fldChar w:fldCharType="separate"/>
      </w:r>
      <w:r>
        <w:t>2</w:t>
      </w:r>
      <w:r>
        <w:fldChar w:fldCharType="end"/>
      </w:r>
      <w:r>
        <w:fldChar w:fldCharType="end"/>
      </w:r>
    </w:p>
    <w:p w14:paraId="44535C93">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"_Toc200374550" </w:instrText>
      </w:r>
      <w:r>
        <w:fldChar w:fldCharType="separate"/>
      </w:r>
      <w:r>
        <w:rPr>
          <w:rStyle w:val="32"/>
        </w:rPr>
        <w:t>5  系统构成与功能模块</w:t>
      </w:r>
      <w:r>
        <w:tab/>
      </w:r>
      <w:r>
        <w:fldChar w:fldCharType="begin"/>
      </w:r>
      <w:r>
        <w:instrText xml:space="preserve"> PAGEREF _Toc200374550 \h </w:instrText>
      </w:r>
      <w:r>
        <w:fldChar w:fldCharType="separate"/>
      </w:r>
      <w:r>
        <w:t>3</w:t>
      </w:r>
      <w:r>
        <w:fldChar w:fldCharType="end"/>
      </w:r>
      <w:r>
        <w:fldChar w:fldCharType="end"/>
      </w:r>
    </w:p>
    <w:p w14:paraId="4D133992">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"_Toc200374551" </w:instrText>
      </w:r>
      <w:r>
        <w:fldChar w:fldCharType="separate"/>
      </w:r>
      <w:r>
        <w:rPr>
          <w:rStyle w:val="32"/>
        </w:rPr>
        <w:t>6  数据采集与传输</w:t>
      </w:r>
      <w:r>
        <w:tab/>
      </w:r>
      <w:r>
        <w:fldChar w:fldCharType="begin"/>
      </w:r>
      <w:r>
        <w:instrText xml:space="preserve"> PAGEREF _Toc200374551 \h </w:instrText>
      </w:r>
      <w:r>
        <w:fldChar w:fldCharType="separate"/>
      </w:r>
      <w:r>
        <w:t>4</w:t>
      </w:r>
      <w:r>
        <w:fldChar w:fldCharType="end"/>
      </w:r>
      <w:r>
        <w:fldChar w:fldCharType="end"/>
      </w:r>
    </w:p>
    <w:p w14:paraId="7594872E">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"_Toc200374552" </w:instrText>
      </w:r>
      <w:r>
        <w:fldChar w:fldCharType="separate"/>
      </w:r>
      <w:r>
        <w:rPr>
          <w:rStyle w:val="32"/>
        </w:rPr>
        <w:t>7  预警模型与响应机制</w:t>
      </w:r>
      <w:r>
        <w:tab/>
      </w:r>
      <w:r>
        <w:fldChar w:fldCharType="begin"/>
      </w:r>
      <w:r>
        <w:instrText xml:space="preserve"> PAGEREF _Toc200374552 \h </w:instrText>
      </w:r>
      <w:r>
        <w:fldChar w:fldCharType="separate"/>
      </w:r>
      <w:r>
        <w:t>5</w:t>
      </w:r>
      <w:r>
        <w:fldChar w:fldCharType="end"/>
      </w:r>
      <w:r>
        <w:fldChar w:fldCharType="end"/>
      </w:r>
    </w:p>
    <w:p w14:paraId="5E12D430">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"_Toc200374553" </w:instrText>
      </w:r>
      <w:r>
        <w:fldChar w:fldCharType="separate"/>
      </w:r>
      <w:r>
        <w:rPr>
          <w:rStyle w:val="32"/>
        </w:rPr>
        <w:t>8  系统运行与维护管理</w:t>
      </w:r>
      <w:r>
        <w:tab/>
      </w:r>
      <w:r>
        <w:fldChar w:fldCharType="begin"/>
      </w:r>
      <w:r>
        <w:instrText xml:space="preserve"> PAGEREF _Toc200374553 \h </w:instrText>
      </w:r>
      <w:r>
        <w:fldChar w:fldCharType="separate"/>
      </w:r>
      <w:r>
        <w:t>6</w:t>
      </w:r>
      <w:r>
        <w:fldChar w:fldCharType="end"/>
      </w:r>
      <w:r>
        <w:fldChar w:fldCharType="end"/>
      </w:r>
    </w:p>
    <w:p w14:paraId="1363259C">
      <w:pPr>
        <w:pStyle w:val="19"/>
        <w:tabs>
          <w:tab w:val="right" w:leader="dot" w:pos="9344"/>
        </w:tabs>
        <w:rPr>
          <w:rFonts w:asciiTheme="minorHAnsi" w:hAnsiTheme="minorHAnsi" w:eastAsiaTheme="minorEastAsia" w:cstheme="minorBidi"/>
          <w:szCs w:val="22"/>
        </w:rPr>
      </w:pPr>
      <w:r>
        <w:fldChar w:fldCharType="begin"/>
      </w:r>
      <w:r>
        <w:instrText xml:space="preserve"> HYPERLINK \l "_Toc200374554" </w:instrText>
      </w:r>
      <w:r>
        <w:fldChar w:fldCharType="separate"/>
      </w:r>
      <w:r>
        <w:rPr>
          <w:rStyle w:val="32"/>
        </w:rPr>
        <w:t>9  应用评价与效果验证</w:t>
      </w:r>
      <w:r>
        <w:tab/>
      </w:r>
      <w:r>
        <w:fldChar w:fldCharType="begin"/>
      </w:r>
      <w:r>
        <w:instrText xml:space="preserve"> PAGEREF _Toc200374554 \h </w:instrText>
      </w:r>
      <w:r>
        <w:fldChar w:fldCharType="separate"/>
      </w:r>
      <w:r>
        <w:t>7</w:t>
      </w:r>
      <w:r>
        <w:fldChar w:fldCharType="end"/>
      </w:r>
      <w:r>
        <w:fldChar w:fldCharType="end"/>
      </w:r>
    </w:p>
    <w:p w14:paraId="394385E9">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31AF91BE">
      <w:pPr>
        <w:pStyle w:val="89"/>
        <w:spacing w:before="900" w:after="360"/>
      </w:pPr>
      <w:bookmarkStart w:id="22" w:name="_Toc200374544"/>
      <w:bookmarkStart w:id="23" w:name="BookMark2"/>
      <w:r>
        <w:rPr>
          <w:spacing w:val="320"/>
        </w:rPr>
        <w:t>前</w:t>
      </w:r>
      <w:r>
        <w:t>言</w:t>
      </w:r>
      <w:bookmarkEnd w:id="22"/>
    </w:p>
    <w:p w14:paraId="3DD3B8EA">
      <w:pPr>
        <w:pStyle w:val="56"/>
        <w:spacing w:line="360" w:lineRule="auto"/>
        <w:ind w:firstLine="420"/>
      </w:pPr>
      <w:r>
        <w:rPr>
          <w:rFonts w:hint="eastAsia"/>
        </w:rPr>
        <w:t>本文件按照GB/T 1.1—2020《标准化工作导则  第1部分：标准化文件的结构和起草规则》的规定起草。</w:t>
      </w:r>
    </w:p>
    <w:p w14:paraId="37D28E1F">
      <w:pPr>
        <w:pStyle w:val="56"/>
        <w:spacing w:line="360" w:lineRule="auto"/>
        <w:ind w:firstLine="420"/>
      </w:pPr>
      <w:r>
        <w:rPr>
          <w:rFonts w:hint="eastAsia"/>
        </w:rPr>
        <w:t>请注意本文件的某些内容可能涉及专利。本文件的发布机构不承担识别专利的责任。</w:t>
      </w:r>
    </w:p>
    <w:p w14:paraId="468736C5">
      <w:pPr>
        <w:pStyle w:val="56"/>
        <w:spacing w:line="360" w:lineRule="auto"/>
        <w:ind w:firstLine="420"/>
      </w:pPr>
      <w:r>
        <w:rPr>
          <w:rFonts w:hint="eastAsia"/>
        </w:rPr>
        <w:t>本文件由西安市计量标准检测认证协会提出并归口。</w:t>
      </w:r>
    </w:p>
    <w:p w14:paraId="77799CD0">
      <w:pPr>
        <w:pStyle w:val="56"/>
        <w:spacing w:line="360" w:lineRule="auto"/>
        <w:ind w:firstLine="420"/>
      </w:pPr>
      <w:r>
        <w:rPr>
          <w:rFonts w:hint="eastAsia"/>
        </w:rPr>
        <w:t>本文件起草单位：浙江工业职业技术学院、山东大学、山西省原平市就业和人才服务中心、西继迅达电梯有限公司、信正聚力(陕西)计量检测有限公司</w:t>
      </w:r>
      <w:r>
        <w:rPr>
          <w:rFonts w:hint="eastAsia"/>
          <w:lang w:eastAsia="zh-CN"/>
        </w:rPr>
        <w:t>、</w:t>
      </w:r>
      <w:r>
        <w:rPr>
          <w:rFonts w:hint="eastAsia"/>
        </w:rPr>
        <w:t>珠海鑫链科技有限公司、杭州临安东顺机械设备安装有限公司</w:t>
      </w:r>
      <w:r>
        <w:rPr>
          <w:rFonts w:hint="eastAsia"/>
          <w:lang w:eastAsia="zh-CN"/>
        </w:rPr>
        <w:t>、</w:t>
      </w:r>
      <w:r>
        <w:rPr>
          <w:rFonts w:hint="eastAsia"/>
        </w:rPr>
        <w:t>齐鲁安替制药有限公司、广州市花都区理工职业技术学校、衡水市市政工程管理中心、湖北特种设备检验检测研究院黄冈分院、商洛职业技术学院</w:t>
      </w:r>
      <w:r>
        <w:rPr>
          <w:rFonts w:hint="eastAsia"/>
          <w:lang w:eastAsia="zh-CN"/>
        </w:rPr>
        <w:t>、连云港太瓦新能源有限公司、公诚管理咨询有限公司、河南冠宝建设工程有限公司、内乡县王店镇人民政府、河南铭鼎建筑工程有限公司</w:t>
      </w:r>
      <w:r>
        <w:rPr>
          <w:rFonts w:hint="eastAsia"/>
        </w:rPr>
        <w:t>。</w:t>
      </w:r>
    </w:p>
    <w:p w14:paraId="174E23C1">
      <w:pPr>
        <w:pStyle w:val="56"/>
        <w:spacing w:line="360" w:lineRule="auto"/>
        <w:ind w:firstLine="420"/>
      </w:pPr>
      <w:r>
        <w:rPr>
          <w:rFonts w:hint="eastAsia"/>
        </w:rPr>
        <w:t>本文件主要起草人：王卫东、侯嘉瑞、王楠、曹银涛、段江宏</w:t>
      </w:r>
      <w:r>
        <w:rPr>
          <w:rFonts w:hint="eastAsia"/>
          <w:lang w:eastAsia="zh-CN"/>
        </w:rPr>
        <w:t>、</w:t>
      </w:r>
      <w:r>
        <w:rPr>
          <w:rFonts w:hint="eastAsia"/>
        </w:rPr>
        <w:t>曹康康</w:t>
      </w:r>
      <w:r>
        <w:rPr>
          <w:rFonts w:hint="eastAsia"/>
          <w:lang w:eastAsia="zh-CN"/>
        </w:rPr>
        <w:t>、</w:t>
      </w:r>
      <w:r>
        <w:rPr>
          <w:rFonts w:hint="eastAsia"/>
        </w:rPr>
        <w:t>石超坤、杨俊伟、聂鹏程、易自强、吴承启</w:t>
      </w:r>
      <w:r>
        <w:rPr>
          <w:rFonts w:hint="eastAsia"/>
          <w:lang w:eastAsia="zh-CN"/>
        </w:rPr>
        <w:t>、解敏阳、伍升洋、季银、黄俊丽、李凯</w:t>
      </w:r>
      <w:r>
        <w:rPr>
          <w:rFonts w:hint="eastAsia"/>
        </w:rPr>
        <w:t>。</w:t>
      </w:r>
    </w:p>
    <w:p w14:paraId="4FD8877C">
      <w:pPr>
        <w:pStyle w:val="56"/>
        <w:ind w:firstLine="420"/>
      </w:pPr>
    </w:p>
    <w:p w14:paraId="43B5E067">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start="3"/>
          <w:cols w:space="425" w:num="1"/>
          <w:formProt w:val="0"/>
          <w:docGrid w:linePitch="312" w:charSpace="0"/>
        </w:sectPr>
      </w:pPr>
      <w:bookmarkStart w:id="58" w:name="_GoBack"/>
      <w:bookmarkEnd w:id="58"/>
    </w:p>
    <w:bookmarkEnd w:id="23"/>
    <w:p w14:paraId="6FDB24FD">
      <w:pPr>
        <w:pStyle w:val="89"/>
        <w:spacing w:after="360"/>
      </w:pPr>
      <w:bookmarkStart w:id="24" w:name="_Toc200374545"/>
      <w:bookmarkStart w:id="25" w:name="BookMark3"/>
      <w:r>
        <w:rPr>
          <w:spacing w:val="320"/>
        </w:rPr>
        <w:t>引</w:t>
      </w:r>
      <w:r>
        <w:t>言</w:t>
      </w:r>
      <w:bookmarkEnd w:id="24"/>
    </w:p>
    <w:p w14:paraId="45048019">
      <w:pPr>
        <w:pStyle w:val="56"/>
        <w:spacing w:line="360" w:lineRule="auto"/>
        <w:ind w:firstLine="420"/>
      </w:pPr>
      <w:r>
        <w:rPr>
          <w:rFonts w:hint="eastAsia"/>
        </w:rPr>
        <w:t>特种机电设备在工业生产、能源运输、建筑施工等领域中广泛应用，其运行状态直接关系到人员生命安全和生产系统稳定性。由于其结构复杂、运行强度高、作业环境苛刻，传统人工巡检方式难以及时、准确发现设备潜在故障，亟需依托智能监测与预警技术实现全过程风险管理。</w:t>
      </w:r>
    </w:p>
    <w:p w14:paraId="69CA27AA">
      <w:pPr>
        <w:pStyle w:val="56"/>
        <w:spacing w:line="360" w:lineRule="auto"/>
        <w:ind w:firstLine="420"/>
      </w:pPr>
      <w:r>
        <w:rPr>
          <w:rFonts w:hint="eastAsia"/>
        </w:rPr>
        <w:t>本文件围绕特种机电设备运行过程中的状态感知、智能判断和风险处置，提出了系统构成、关键参数、采集方法、数据传输、异常识别、预警响应及系统运行保障等方面的技术要求，旨在构建一套科学、高效、实用的智能安全监测与预警体系。</w:t>
      </w:r>
    </w:p>
    <w:p w14:paraId="472BB4F3">
      <w:pPr>
        <w:pStyle w:val="56"/>
        <w:spacing w:line="360" w:lineRule="auto"/>
        <w:ind w:firstLine="420"/>
      </w:pPr>
      <w:r>
        <w:rPr>
          <w:rFonts w:hint="eastAsia"/>
        </w:rPr>
        <w:t>本文件适用于以智能化手段提升特种机电设备运行安全水平的设计、建设、运维和评估全过程，为企业数字化转型与安全管理能力提升提供技术支撑和标准依据。</w:t>
      </w:r>
    </w:p>
    <w:p w14:paraId="214C0B40">
      <w:pPr>
        <w:pStyle w:val="56"/>
        <w:ind w:firstLine="420"/>
      </w:pPr>
    </w:p>
    <w:p w14:paraId="39DADA81">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fmt="upperRoman" w:start="5"/>
          <w:cols w:space="425" w:num="1"/>
          <w:formProt w:val="0"/>
          <w:docGrid w:linePitch="312" w:charSpace="0"/>
        </w:sectPr>
      </w:pPr>
    </w:p>
    <w:bookmarkEnd w:id="25"/>
    <w:p w14:paraId="11DA9AB7">
      <w:pPr>
        <w:spacing w:line="20" w:lineRule="exact"/>
        <w:jc w:val="center"/>
        <w:rPr>
          <w:rFonts w:ascii="黑体" w:hAnsi="黑体" w:eastAsia="黑体"/>
          <w:sz w:val="32"/>
          <w:szCs w:val="32"/>
        </w:rPr>
      </w:pPr>
      <w:bookmarkStart w:id="26" w:name="BookMark4"/>
    </w:p>
    <w:p w14:paraId="0A6E0718">
      <w:pPr>
        <w:spacing w:line="20" w:lineRule="exact"/>
        <w:jc w:val="center"/>
        <w:rPr>
          <w:rFonts w:ascii="黑体" w:hAnsi="黑体" w:eastAsia="黑体"/>
          <w:sz w:val="32"/>
          <w:szCs w:val="32"/>
        </w:rPr>
      </w:pPr>
    </w:p>
    <w:sdt>
      <w:sdtPr>
        <w:tag w:val="NEW_STAND_NAME"/>
        <w:id w:val="595910757"/>
        <w:lock w:val="sdtLocked"/>
        <w:placeholder>
          <w:docPart w:val="5A24B242460249879B259BB5C73AAF5D"/>
        </w:placeholder>
      </w:sdtPr>
      <w:sdtContent>
        <w:p w14:paraId="1FCB1513">
          <w:pPr>
            <w:pStyle w:val="177"/>
            <w:spacing w:after="0"/>
          </w:pPr>
          <w:bookmarkStart w:id="27" w:name="NEW_STAND_NAME"/>
          <w:r>
            <w:rPr>
              <w:rFonts w:hint="eastAsia"/>
            </w:rPr>
            <w:t>特种机电设备智能安全监测</w:t>
          </w:r>
        </w:p>
        <w:p w14:paraId="3A12E86E">
          <w:pPr>
            <w:pStyle w:val="177"/>
            <w:spacing w:before="0"/>
          </w:pPr>
          <w:r>
            <w:rPr>
              <w:rFonts w:hint="eastAsia"/>
            </w:rPr>
            <w:t>与预警技术规范</w:t>
          </w:r>
        </w:p>
      </w:sdtContent>
    </w:sdt>
    <w:bookmarkEnd w:id="27"/>
    <w:p w14:paraId="026B8D18">
      <w:pPr>
        <w:pStyle w:val="104"/>
        <w:spacing w:before="240" w:after="240" w:line="360" w:lineRule="auto"/>
      </w:pPr>
      <w:bookmarkStart w:id="28" w:name="_Toc26986771"/>
      <w:bookmarkStart w:id="29" w:name="_Toc26718930"/>
      <w:bookmarkStart w:id="30" w:name="_Toc24884211"/>
      <w:bookmarkStart w:id="31" w:name="_Toc97192964"/>
      <w:bookmarkStart w:id="32" w:name="_Toc24884218"/>
      <w:bookmarkStart w:id="33" w:name="_Toc17233333"/>
      <w:bookmarkStart w:id="34" w:name="_Toc17233325"/>
      <w:bookmarkStart w:id="35" w:name="_Toc26986530"/>
      <w:bookmarkStart w:id="36" w:name="_Toc200374546"/>
      <w:bookmarkStart w:id="37" w:name="_Toc26648465"/>
      <w:r>
        <w:rPr>
          <w:rFonts w:hint="eastAsia"/>
        </w:rPr>
        <w:t>范围</w:t>
      </w:r>
      <w:bookmarkEnd w:id="28"/>
      <w:bookmarkEnd w:id="29"/>
      <w:bookmarkEnd w:id="30"/>
      <w:bookmarkEnd w:id="31"/>
      <w:bookmarkEnd w:id="32"/>
      <w:bookmarkEnd w:id="33"/>
      <w:bookmarkEnd w:id="34"/>
      <w:bookmarkEnd w:id="35"/>
      <w:bookmarkEnd w:id="36"/>
      <w:bookmarkEnd w:id="37"/>
    </w:p>
    <w:p w14:paraId="0F9B4667">
      <w:pPr>
        <w:pStyle w:val="56"/>
        <w:spacing w:line="360" w:lineRule="auto"/>
        <w:ind w:firstLine="420"/>
      </w:pPr>
      <w:bookmarkStart w:id="38" w:name="_Toc24884219"/>
      <w:bookmarkStart w:id="39" w:name="_Toc17233334"/>
      <w:bookmarkStart w:id="40" w:name="_Toc24884212"/>
      <w:bookmarkStart w:id="41" w:name="_Toc17233326"/>
      <w:bookmarkStart w:id="42" w:name="_Toc26648466"/>
      <w:r>
        <w:rPr>
          <w:rFonts w:hint="eastAsia"/>
        </w:rPr>
        <w:t>本文件规定了特种机电设备智能安全监测与预警系统的技术要求，包括总体技术要求、系统构成与功能模块、数据采集与传输、预警模型与响应机制、系统运行与维护管理及应用评价与效果验证等方面内容。</w:t>
      </w:r>
    </w:p>
    <w:p w14:paraId="73108FFB">
      <w:pPr>
        <w:pStyle w:val="56"/>
        <w:spacing w:line="360" w:lineRule="auto"/>
        <w:ind w:firstLine="420"/>
      </w:pPr>
      <w:r>
        <w:rPr>
          <w:rFonts w:hint="eastAsia"/>
        </w:rPr>
        <w:t>本文件适用于对特种机电设备开展基于传感、通信、算法与平台联动的智能化安全监测与预警系统的规划、设计、集成、运行及评价工作。适用设备包括但不限于矿井提升机、轨道运输设备、大型起重机械、电动牵引系统、连续输送设备及其他高风险、高负荷运行的专用机电设备。</w:t>
      </w:r>
    </w:p>
    <w:p w14:paraId="5D708E37">
      <w:pPr>
        <w:pStyle w:val="104"/>
        <w:spacing w:before="240" w:after="240" w:line="360" w:lineRule="auto"/>
      </w:pPr>
      <w:bookmarkStart w:id="43" w:name="_Toc97192965"/>
      <w:bookmarkStart w:id="44" w:name="_Toc26718931"/>
      <w:bookmarkStart w:id="45" w:name="_Toc200374547"/>
      <w:bookmarkStart w:id="46" w:name="_Toc26986531"/>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06D19AC39DB44B72A8458405B434BBD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20CB277">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731F83">
      <w:pPr>
        <w:pStyle w:val="56"/>
        <w:spacing w:line="360" w:lineRule="auto"/>
        <w:ind w:firstLine="420"/>
      </w:pPr>
      <w:r>
        <w:rPr>
          <w:rFonts w:hint="eastAsia"/>
        </w:rPr>
        <w:t>GB/T 2887—2011 计算机场地通用规范</w:t>
      </w:r>
    </w:p>
    <w:p w14:paraId="3AC0F534">
      <w:pPr>
        <w:pStyle w:val="56"/>
        <w:spacing w:line="360" w:lineRule="auto"/>
        <w:ind w:firstLine="420"/>
      </w:pPr>
      <w:r>
        <w:rPr>
          <w:rFonts w:hint="eastAsia"/>
        </w:rPr>
        <w:t>GB/T 28181—2022 公共安全视频监控联网系统信息传输、交换、控制技术要求</w:t>
      </w:r>
    </w:p>
    <w:p w14:paraId="603A0CF2">
      <w:pPr>
        <w:pStyle w:val="56"/>
        <w:spacing w:line="360" w:lineRule="auto"/>
        <w:ind w:firstLine="420"/>
      </w:pPr>
      <w:r>
        <w:rPr>
          <w:rFonts w:hint="eastAsia"/>
        </w:rPr>
        <w:t xml:space="preserve">GB/T 22239—2019 信息安全技术 </w:t>
      </w:r>
      <w:r>
        <w:t xml:space="preserve"> </w:t>
      </w:r>
      <w:r>
        <w:rPr>
          <w:rFonts w:hint="eastAsia"/>
        </w:rPr>
        <w:t>网络安全等级保护基本要求</w:t>
      </w:r>
    </w:p>
    <w:p w14:paraId="7C275AF0">
      <w:pPr>
        <w:pStyle w:val="56"/>
        <w:spacing w:line="360" w:lineRule="auto"/>
        <w:ind w:firstLine="420"/>
      </w:pPr>
      <w:r>
        <w:t>GB/T 33009.1</w:t>
      </w:r>
      <w:r>
        <w:rPr>
          <w:rFonts w:hint="eastAsia"/>
        </w:rPr>
        <w:t>—</w:t>
      </w:r>
      <w:r>
        <w:t>2016</w:t>
      </w:r>
      <w:r>
        <w:rPr>
          <w:rFonts w:hint="eastAsia"/>
        </w:rPr>
        <w:t xml:space="preserve"> 工业自动化和控制系统网络安全 </w:t>
      </w:r>
      <w:r>
        <w:t xml:space="preserve"> </w:t>
      </w:r>
      <w:r>
        <w:rPr>
          <w:rFonts w:hint="eastAsia"/>
        </w:rPr>
        <w:t>集散控制系统（DCS）  第1部分：防护要求</w:t>
      </w:r>
    </w:p>
    <w:p w14:paraId="0CD8B5FB">
      <w:pPr>
        <w:pStyle w:val="104"/>
        <w:spacing w:before="240" w:after="240" w:line="360" w:lineRule="auto"/>
      </w:pPr>
      <w:bookmarkStart w:id="48" w:name="_Toc200374548"/>
      <w:bookmarkStart w:id="49" w:name="_Toc97192966"/>
      <w:r>
        <w:rPr>
          <w:rFonts w:hint="eastAsia"/>
          <w:szCs w:val="21"/>
        </w:rPr>
        <w:t>术语和定义</w:t>
      </w:r>
      <w:bookmarkEnd w:id="48"/>
      <w:bookmarkEnd w:id="49"/>
    </w:p>
    <w:sdt>
      <w:sdtPr>
        <w:id w:val="-1909835108"/>
        <w:placeholder>
          <w:docPart w:val="C68879231D55433993D55D3D8B5F26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0CA1D58">
          <w:pPr>
            <w:pStyle w:val="56"/>
            <w:spacing w:line="360" w:lineRule="auto"/>
            <w:ind w:firstLine="420"/>
          </w:pPr>
          <w:bookmarkStart w:id="50" w:name="_Toc26986532"/>
          <w:bookmarkEnd w:id="50"/>
          <w:r>
            <w:t>下列术语和定义适用于本文件。</w:t>
          </w:r>
        </w:p>
      </w:sdtContent>
    </w:sdt>
    <w:p w14:paraId="1C757D43">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特种机电设备 s</w:t>
      </w:r>
      <w:r>
        <w:rPr>
          <w:rFonts w:ascii="黑体" w:hAnsi="黑体" w:eastAsia="黑体"/>
        </w:rPr>
        <w:t>pecial electromechanical equipment</w:t>
      </w:r>
    </w:p>
    <w:p w14:paraId="62532AC9">
      <w:pPr>
        <w:pStyle w:val="56"/>
        <w:spacing w:line="360" w:lineRule="auto"/>
        <w:ind w:firstLine="420"/>
      </w:pPr>
      <w:r>
        <w:rPr>
          <w:rFonts w:hint="eastAsia"/>
        </w:rPr>
        <w:t>指在高风险、高强度或特殊环境条件下运行的专用机电类设备，具有结构复杂、动力强大、运行连续性高等特点，包括但不限于提升设备、牵引装置、起重机械、输送系统及大型动力机械等。</w:t>
      </w:r>
    </w:p>
    <w:p w14:paraId="4C49402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智能安全监测系统 </w:t>
      </w:r>
      <w:r>
        <w:rPr>
          <w:rFonts w:ascii="黑体" w:hAnsi="黑体" w:eastAsia="黑体"/>
        </w:rPr>
        <w:t>intelligent security monitoring system</w:t>
      </w:r>
    </w:p>
    <w:p w14:paraId="312FE06E">
      <w:pPr>
        <w:pStyle w:val="56"/>
        <w:spacing w:line="360" w:lineRule="auto"/>
        <w:ind w:firstLine="420"/>
      </w:pPr>
      <w:r>
        <w:rPr>
          <w:rFonts w:hint="eastAsia"/>
        </w:rPr>
        <w:t>由传感装置、数据采集单元、通信模块、数据处理平台和可视化终端组成的系统，可对特种机电设备运行状态进行实时感知、智能分析和预警响应，实现安全运行全过程管理。</w:t>
      </w:r>
    </w:p>
    <w:p w14:paraId="65123A8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状态感知 </w:t>
      </w:r>
      <w:r>
        <w:rPr>
          <w:rFonts w:ascii="黑体" w:hAnsi="黑体" w:eastAsia="黑体"/>
        </w:rPr>
        <w:t>status perception</w:t>
      </w:r>
    </w:p>
    <w:p w14:paraId="14D4BDE5">
      <w:pPr>
        <w:pStyle w:val="56"/>
        <w:spacing w:line="360" w:lineRule="auto"/>
        <w:ind w:firstLine="420"/>
      </w:pPr>
      <w:r>
        <w:rPr>
          <w:rFonts w:hint="eastAsia"/>
        </w:rPr>
        <w:t>指通过传感器和边缘计算单元，获取设备运行中的关键物理量（如振动、温度、电流、速度等）以判断其运行状态的能力。</w:t>
      </w:r>
    </w:p>
    <w:p w14:paraId="5080C091">
      <w:pPr>
        <w:pStyle w:val="104"/>
        <w:spacing w:before="240" w:after="240" w:line="360" w:lineRule="auto"/>
      </w:pPr>
      <w:bookmarkStart w:id="51" w:name="_Toc200374549"/>
      <w:r>
        <w:rPr>
          <w:rFonts w:hint="eastAsia"/>
        </w:rPr>
        <w:t>总体技术要求</w:t>
      </w:r>
      <w:bookmarkEnd w:id="51"/>
    </w:p>
    <w:p w14:paraId="766856AF">
      <w:pPr>
        <w:pStyle w:val="105"/>
        <w:spacing w:before="120" w:after="120" w:line="360" w:lineRule="auto"/>
      </w:pPr>
      <w:r>
        <w:rPr>
          <w:rFonts w:hint="eastAsia"/>
        </w:rPr>
        <w:t>系统功能要求</w:t>
      </w:r>
    </w:p>
    <w:p w14:paraId="1BD279E1">
      <w:pPr>
        <w:pStyle w:val="56"/>
        <w:spacing w:line="360" w:lineRule="auto"/>
        <w:ind w:firstLine="420"/>
      </w:pPr>
      <w:r>
        <w:rPr>
          <w:rFonts w:hint="eastAsia"/>
        </w:rPr>
        <w:t>智能安全监测与预警系统应具备以下核心功能：</w:t>
      </w:r>
    </w:p>
    <w:p w14:paraId="60B1F7ED">
      <w:pPr>
        <w:pStyle w:val="132"/>
        <w:spacing w:line="360" w:lineRule="auto"/>
      </w:pPr>
      <w:r>
        <w:rPr>
          <w:rFonts w:hint="eastAsia"/>
        </w:rPr>
        <w:t>实时数据采集与记录：能够对设备关键部件的运行状态参数进行连续、高频采集，并实现完整记录；</w:t>
      </w:r>
    </w:p>
    <w:p w14:paraId="46A2C770">
      <w:pPr>
        <w:pStyle w:val="132"/>
        <w:spacing w:line="360" w:lineRule="auto"/>
      </w:pPr>
      <w:r>
        <w:rPr>
          <w:rFonts w:hint="eastAsia"/>
        </w:rPr>
        <w:t>状态识别与诊断分析：具备多参数综合分析能力，能对正常、异常、故障状态进行智能识别；</w:t>
      </w:r>
    </w:p>
    <w:p w14:paraId="78595250">
      <w:pPr>
        <w:pStyle w:val="132"/>
        <w:spacing w:line="360" w:lineRule="auto"/>
      </w:pPr>
      <w:r>
        <w:rPr>
          <w:rFonts w:hint="eastAsia"/>
        </w:rPr>
        <w:t>分级预警与联动响应：根据不同风险等级，自动触发本地告警、远程通知或控制联动；</w:t>
      </w:r>
    </w:p>
    <w:p w14:paraId="45AC55BA">
      <w:pPr>
        <w:pStyle w:val="132"/>
        <w:spacing w:line="360" w:lineRule="auto"/>
      </w:pPr>
      <w:r>
        <w:rPr>
          <w:rFonts w:hint="eastAsia"/>
        </w:rPr>
        <w:t>历史数据查询与趋势分析：可对历史运行数据进行分类检索、可视化分析及趋势判断；</w:t>
      </w:r>
    </w:p>
    <w:p w14:paraId="5EAF9CD7">
      <w:pPr>
        <w:pStyle w:val="132"/>
        <w:spacing w:line="360" w:lineRule="auto"/>
      </w:pPr>
      <w:r>
        <w:rPr>
          <w:rFonts w:hint="eastAsia"/>
        </w:rPr>
        <w:t>权限控制与日志管理：支持多用户分级管理和操作日志追踪，保障数据使用安全与责任可溯。</w:t>
      </w:r>
    </w:p>
    <w:p w14:paraId="10205C30">
      <w:pPr>
        <w:pStyle w:val="105"/>
        <w:spacing w:before="120" w:after="120" w:line="360" w:lineRule="auto"/>
      </w:pPr>
      <w:r>
        <w:rPr>
          <w:rFonts w:hint="eastAsia"/>
        </w:rPr>
        <w:t>性能指标要求</w:t>
      </w:r>
    </w:p>
    <w:p w14:paraId="447D60CC">
      <w:pPr>
        <w:pStyle w:val="56"/>
        <w:spacing w:line="360" w:lineRule="auto"/>
        <w:ind w:firstLine="420"/>
      </w:pPr>
      <w:r>
        <w:rPr>
          <w:rFonts w:hint="eastAsia"/>
        </w:rPr>
        <w:t>系统应满足以下基本性能：</w:t>
      </w:r>
    </w:p>
    <w:p w14:paraId="63DB876B">
      <w:pPr>
        <w:pStyle w:val="132"/>
        <w:spacing w:line="360" w:lineRule="auto"/>
      </w:pPr>
      <w:r>
        <w:rPr>
          <w:rFonts w:hint="eastAsia"/>
        </w:rPr>
        <w:t>数据采集频率应根据设备特性不低于1Hz；</w:t>
      </w:r>
    </w:p>
    <w:p w14:paraId="75A3DDF6">
      <w:pPr>
        <w:pStyle w:val="132"/>
        <w:spacing w:line="360" w:lineRule="auto"/>
      </w:pPr>
      <w:r>
        <w:rPr>
          <w:rFonts w:hint="eastAsia"/>
        </w:rPr>
        <w:t>数据传输延时不应超过500ms；</w:t>
      </w:r>
    </w:p>
    <w:p w14:paraId="1C920FCA">
      <w:pPr>
        <w:pStyle w:val="132"/>
        <w:spacing w:line="360" w:lineRule="auto"/>
      </w:pPr>
      <w:r>
        <w:rPr>
          <w:rFonts w:hint="eastAsia"/>
        </w:rPr>
        <w:t>异常识别准确率应不低于95%，误报率控制在5%以内；</w:t>
      </w:r>
    </w:p>
    <w:p w14:paraId="52FB1ED2">
      <w:pPr>
        <w:pStyle w:val="132"/>
        <w:spacing w:line="360" w:lineRule="auto"/>
      </w:pPr>
      <w:r>
        <w:rPr>
          <w:rFonts w:hint="eastAsia"/>
        </w:rPr>
        <w:t>系统整体稳定性运行时间MTBF应不低于10000小时。</w:t>
      </w:r>
    </w:p>
    <w:p w14:paraId="7E546863">
      <w:pPr>
        <w:pStyle w:val="105"/>
        <w:spacing w:before="120" w:after="120" w:line="360" w:lineRule="auto"/>
      </w:pPr>
      <w:r>
        <w:rPr>
          <w:rFonts w:hint="eastAsia"/>
        </w:rPr>
        <w:t>环境适应性要求</w:t>
      </w:r>
    </w:p>
    <w:p w14:paraId="07359D7F">
      <w:pPr>
        <w:pStyle w:val="56"/>
        <w:spacing w:line="360" w:lineRule="auto"/>
        <w:ind w:firstLine="420"/>
      </w:pPr>
      <w:r>
        <w:rPr>
          <w:rFonts w:hint="eastAsia"/>
        </w:rPr>
        <w:t>系统组件应具备良好的防尘、防水、防震、防电磁干扰能力，适用于高温、高湿、多尘、振动等复杂环境条件下的长期稳定运行。</w:t>
      </w:r>
    </w:p>
    <w:p w14:paraId="0D54825D">
      <w:pPr>
        <w:pStyle w:val="105"/>
        <w:spacing w:before="120" w:after="120" w:line="360" w:lineRule="auto"/>
      </w:pPr>
      <w:r>
        <w:rPr>
          <w:rFonts w:hint="eastAsia"/>
        </w:rPr>
        <w:t>可靠性与冗余性</w:t>
      </w:r>
    </w:p>
    <w:p w14:paraId="7E19EC65">
      <w:pPr>
        <w:pStyle w:val="56"/>
        <w:spacing w:line="360" w:lineRule="auto"/>
        <w:ind w:firstLine="420"/>
      </w:pPr>
      <w:r>
        <w:rPr>
          <w:rFonts w:hint="eastAsia"/>
        </w:rPr>
        <w:t>核心数据处理单元、电源、通信链路等系统关键部位应具备双重冗余设计，防止单点故障导致功能中断。设备掉线或故障应具备自动检测和恢复机制。</w:t>
      </w:r>
    </w:p>
    <w:p w14:paraId="580A4B64">
      <w:pPr>
        <w:pStyle w:val="105"/>
        <w:spacing w:before="120" w:after="120" w:line="360" w:lineRule="auto"/>
      </w:pPr>
      <w:r>
        <w:rPr>
          <w:rFonts w:hint="eastAsia"/>
        </w:rPr>
        <w:t>信息安全要求</w:t>
      </w:r>
    </w:p>
    <w:p w14:paraId="1DFB2EDF">
      <w:pPr>
        <w:pStyle w:val="56"/>
        <w:spacing w:line="360" w:lineRule="auto"/>
        <w:ind w:firstLine="420"/>
      </w:pPr>
      <w:r>
        <w:rPr>
          <w:rFonts w:hint="eastAsia"/>
        </w:rPr>
        <w:t>系统应采用多层安全防护措施，包括数据加密传输、用户访问控制、边云隔离机制等，防止非法入侵、数据泄露和远程篡改。系统应符合信息安全等级保护基本要求。</w:t>
      </w:r>
    </w:p>
    <w:p w14:paraId="2105CB23">
      <w:pPr>
        <w:pStyle w:val="105"/>
        <w:spacing w:before="120" w:after="120" w:line="360" w:lineRule="auto"/>
      </w:pPr>
      <w:r>
        <w:rPr>
          <w:rFonts w:hint="eastAsia"/>
        </w:rPr>
        <w:t>兼容性与可扩展性</w:t>
      </w:r>
    </w:p>
    <w:p w14:paraId="4085B6A9">
      <w:pPr>
        <w:pStyle w:val="56"/>
        <w:spacing w:line="360" w:lineRule="auto"/>
        <w:ind w:firstLine="420"/>
      </w:pPr>
      <w:r>
        <w:rPr>
          <w:rFonts w:hint="eastAsia"/>
        </w:rPr>
        <w:t>系统应支持与常见工业通信协议兼容，具备良好的接口开放性和软硬件扩展能力，满足后续多设备接入与平台集成需求。</w:t>
      </w:r>
    </w:p>
    <w:p w14:paraId="3A82D66D">
      <w:pPr>
        <w:pStyle w:val="104"/>
        <w:spacing w:before="240" w:after="240" w:line="360" w:lineRule="auto"/>
      </w:pPr>
      <w:bookmarkStart w:id="52" w:name="_Toc200374550"/>
      <w:r>
        <w:rPr>
          <w:rFonts w:hint="eastAsia"/>
        </w:rPr>
        <w:t>系统构成与功能模块</w:t>
      </w:r>
      <w:bookmarkEnd w:id="52"/>
    </w:p>
    <w:p w14:paraId="4868E173">
      <w:pPr>
        <w:pStyle w:val="105"/>
        <w:spacing w:before="120" w:after="120" w:line="360" w:lineRule="auto"/>
      </w:pPr>
      <w:r>
        <w:rPr>
          <w:rFonts w:hint="eastAsia"/>
        </w:rPr>
        <w:t>系统结构层级</w:t>
      </w:r>
    </w:p>
    <w:p w14:paraId="7A9DC80C">
      <w:pPr>
        <w:pStyle w:val="56"/>
        <w:spacing w:line="360" w:lineRule="auto"/>
        <w:ind w:firstLine="420"/>
      </w:pPr>
      <w:r>
        <w:rPr>
          <w:rFonts w:hint="eastAsia"/>
        </w:rPr>
        <w:t>特种机电设备智能安全监测与预警系统应分为感知层、边缘层、传输层、平台层和应用层五个基本层级，各层级协同工作，实现设备运行数据的采集、传输、处理、分析与应用。</w:t>
      </w:r>
    </w:p>
    <w:p w14:paraId="1D573E6C">
      <w:pPr>
        <w:pStyle w:val="132"/>
        <w:spacing w:line="360" w:lineRule="auto"/>
      </w:pPr>
      <w:r>
        <w:rPr>
          <w:rFonts w:hint="eastAsia"/>
        </w:rPr>
        <w:t>感知层：由各类传感器组成，用于实时采集设备的运行参数，如振动、温度、电压、电流、转速、位移、压力等；</w:t>
      </w:r>
    </w:p>
    <w:p w14:paraId="755A9E8D">
      <w:pPr>
        <w:pStyle w:val="132"/>
        <w:spacing w:line="360" w:lineRule="auto"/>
      </w:pPr>
      <w:r>
        <w:rPr>
          <w:rFonts w:hint="eastAsia"/>
        </w:rPr>
        <w:t>边缘层：配置边缘计算设备，对原始数据进行初步处理、缓存与压缩，具备本地预警与控制联动能力；</w:t>
      </w:r>
    </w:p>
    <w:p w14:paraId="70A5FB6A">
      <w:pPr>
        <w:pStyle w:val="132"/>
        <w:spacing w:line="360" w:lineRule="auto"/>
      </w:pPr>
      <w:r>
        <w:rPr>
          <w:rFonts w:hint="eastAsia"/>
        </w:rPr>
        <w:t>传输层：依托有线或无线通信方式，将数据稳定传输至中心平台；</w:t>
      </w:r>
    </w:p>
    <w:p w14:paraId="7C668C61">
      <w:pPr>
        <w:pStyle w:val="132"/>
        <w:spacing w:line="360" w:lineRule="auto"/>
      </w:pPr>
      <w:r>
        <w:rPr>
          <w:rFonts w:hint="eastAsia"/>
        </w:rPr>
        <w:t>平台层：构建统一的数据管理平台，具备数据清洗、存储、分析、模型运算、预警分级及报表生成等能力；</w:t>
      </w:r>
    </w:p>
    <w:p w14:paraId="60FE0A3E">
      <w:pPr>
        <w:pStyle w:val="132"/>
        <w:spacing w:line="360" w:lineRule="auto"/>
      </w:pPr>
      <w:r>
        <w:rPr>
          <w:rFonts w:hint="eastAsia"/>
        </w:rPr>
        <w:t>应用层：包括网页端、移动端、可视化大屏等多种展示与操作方式，服务于调度管理、安全监管、设备运维等场景。</w:t>
      </w:r>
    </w:p>
    <w:p w14:paraId="6669CE8D">
      <w:pPr>
        <w:pStyle w:val="105"/>
        <w:spacing w:before="120" w:after="120" w:line="360" w:lineRule="auto"/>
      </w:pPr>
      <w:r>
        <w:rPr>
          <w:rFonts w:hint="eastAsia"/>
        </w:rPr>
        <w:t>系统功能模块组成</w:t>
      </w:r>
    </w:p>
    <w:p w14:paraId="0425DA22">
      <w:pPr>
        <w:pStyle w:val="56"/>
        <w:spacing w:line="360" w:lineRule="auto"/>
        <w:ind w:firstLine="420"/>
      </w:pPr>
      <w:r>
        <w:rPr>
          <w:rFonts w:hint="eastAsia"/>
        </w:rPr>
        <w:t>系统应集成以下功能模块：</w:t>
      </w:r>
    </w:p>
    <w:p w14:paraId="6D168F34">
      <w:pPr>
        <w:pStyle w:val="132"/>
        <w:spacing w:line="360" w:lineRule="auto"/>
      </w:pPr>
      <w:r>
        <w:rPr>
          <w:rFonts w:hint="eastAsia"/>
        </w:rPr>
        <w:t>实时监测模块：用于设备多点参数的同步采集、显示和存储；</w:t>
      </w:r>
    </w:p>
    <w:p w14:paraId="0657387D">
      <w:pPr>
        <w:pStyle w:val="132"/>
        <w:spacing w:line="360" w:lineRule="auto"/>
      </w:pPr>
      <w:r>
        <w:rPr>
          <w:rFonts w:hint="eastAsia"/>
        </w:rPr>
        <w:t>智能诊断模块：基于规则引擎或机器学习模型，对设备状态进行分析和故障趋势预测；</w:t>
      </w:r>
    </w:p>
    <w:p w14:paraId="45C6AF63">
      <w:pPr>
        <w:pStyle w:val="132"/>
        <w:spacing w:line="360" w:lineRule="auto"/>
      </w:pPr>
      <w:r>
        <w:rPr>
          <w:rFonts w:hint="eastAsia"/>
        </w:rPr>
        <w:t>预警发布模块：按照预设规则，自动触发预警信息并通过平台、短信、邮件或语音播报等形式通知相关责任人；</w:t>
      </w:r>
    </w:p>
    <w:p w14:paraId="1B523465">
      <w:pPr>
        <w:pStyle w:val="132"/>
        <w:spacing w:line="360" w:lineRule="auto"/>
      </w:pPr>
      <w:r>
        <w:rPr>
          <w:rFonts w:hint="eastAsia"/>
        </w:rPr>
        <w:t>联动控制模块：支持与设备控制系统对接，实现特定异常情况下的自动停机、限速、降载等联动控制；</w:t>
      </w:r>
    </w:p>
    <w:p w14:paraId="0974EC2C">
      <w:pPr>
        <w:pStyle w:val="132"/>
        <w:spacing w:line="360" w:lineRule="auto"/>
      </w:pPr>
      <w:r>
        <w:rPr>
          <w:rFonts w:hint="eastAsia"/>
        </w:rPr>
        <w:t>数据管理模块：用于分类管理原始数据、结构化数据、分析结果和历史记录，并保障数据安全性和可追溯性；</w:t>
      </w:r>
    </w:p>
    <w:p w14:paraId="204F16EC">
      <w:pPr>
        <w:pStyle w:val="132"/>
        <w:spacing w:line="360" w:lineRule="auto"/>
      </w:pPr>
      <w:r>
        <w:rPr>
          <w:rFonts w:hint="eastAsia"/>
        </w:rPr>
        <w:t>可视化与报告模块：将关键指标通过图表、趋势曲线和综合评估报告的方式展示，支持定制化导出与打印；</w:t>
      </w:r>
    </w:p>
    <w:p w14:paraId="4BF0FF10">
      <w:pPr>
        <w:pStyle w:val="132"/>
        <w:spacing w:line="360" w:lineRule="auto"/>
      </w:pPr>
      <w:r>
        <w:rPr>
          <w:rFonts w:hint="eastAsia"/>
        </w:rPr>
        <w:t>用户权限与日志模块：实现不同岗位用户的权限划分、行为日志记录及访问审计。</w:t>
      </w:r>
    </w:p>
    <w:p w14:paraId="7EDB857A">
      <w:pPr>
        <w:pStyle w:val="105"/>
        <w:spacing w:before="120" w:after="120" w:line="360" w:lineRule="auto"/>
      </w:pPr>
      <w:r>
        <w:rPr>
          <w:rFonts w:hint="eastAsia"/>
        </w:rPr>
        <w:t>系统集成要求</w:t>
      </w:r>
    </w:p>
    <w:p w14:paraId="64BD3B46">
      <w:pPr>
        <w:pStyle w:val="56"/>
        <w:spacing w:line="360" w:lineRule="auto"/>
        <w:ind w:firstLine="420"/>
      </w:pPr>
      <w:r>
        <w:rPr>
          <w:rFonts w:hint="eastAsia"/>
        </w:rPr>
        <w:t>系统各组成部分应模块化设计，支持软硬件解耦、按需部署、快速升级与第三方平台对接。边缘设备与平台间应具备协议适配能力，平台层应支持API接口或数据中台接入。</w:t>
      </w:r>
    </w:p>
    <w:p w14:paraId="635818FC">
      <w:pPr>
        <w:pStyle w:val="104"/>
        <w:spacing w:before="240" w:after="240" w:line="360" w:lineRule="auto"/>
      </w:pPr>
      <w:bookmarkStart w:id="53" w:name="_Toc200374551"/>
      <w:r>
        <w:rPr>
          <w:rFonts w:hint="eastAsia"/>
        </w:rPr>
        <w:t>数据采集与传输</w:t>
      </w:r>
      <w:bookmarkEnd w:id="53"/>
    </w:p>
    <w:p w14:paraId="45C36280">
      <w:pPr>
        <w:pStyle w:val="105"/>
        <w:spacing w:before="120" w:after="120" w:line="360" w:lineRule="auto"/>
      </w:pPr>
      <w:r>
        <w:rPr>
          <w:rFonts w:hint="eastAsia"/>
        </w:rPr>
        <w:t>数据采集内容与关键参数</w:t>
      </w:r>
    </w:p>
    <w:p w14:paraId="73A69200">
      <w:pPr>
        <w:pStyle w:val="56"/>
        <w:spacing w:line="360" w:lineRule="auto"/>
        <w:ind w:firstLine="420"/>
      </w:pPr>
      <w:r>
        <w:rPr>
          <w:rFonts w:hint="eastAsia"/>
        </w:rPr>
        <w:t>监测系统应根据特种机电设备的运行特性，选取反映安全状态和工作负载的关键参数，至少应包括以下数据类型：</w:t>
      </w:r>
    </w:p>
    <w:p w14:paraId="13771205">
      <w:pPr>
        <w:pStyle w:val="132"/>
        <w:spacing w:line="360" w:lineRule="auto"/>
      </w:pPr>
      <w:r>
        <w:rPr>
          <w:rFonts w:hint="eastAsia"/>
        </w:rPr>
        <w:t>机械类参数：振动速度、振动加速度、位移、轴承温度、润滑状态、机械冲击值等；</w:t>
      </w:r>
    </w:p>
    <w:p w14:paraId="1018724A">
      <w:pPr>
        <w:pStyle w:val="132"/>
        <w:spacing w:line="360" w:lineRule="auto"/>
      </w:pPr>
      <w:r>
        <w:rPr>
          <w:rFonts w:hint="eastAsia"/>
        </w:rPr>
        <w:t>电气类参数：电流、电压、有功功率、无功功率、频率、电能等；</w:t>
      </w:r>
    </w:p>
    <w:p w14:paraId="3686F112">
      <w:pPr>
        <w:pStyle w:val="132"/>
        <w:spacing w:line="360" w:lineRule="auto"/>
      </w:pPr>
      <w:r>
        <w:rPr>
          <w:rFonts w:hint="eastAsia"/>
        </w:rPr>
        <w:t>环境类参数：设备所在区域的温度、湿度、粉尘浓度、噪声级等；</w:t>
      </w:r>
    </w:p>
    <w:p w14:paraId="7CF39536">
      <w:pPr>
        <w:pStyle w:val="132"/>
        <w:spacing w:line="360" w:lineRule="auto"/>
      </w:pPr>
      <w:r>
        <w:rPr>
          <w:rFonts w:hint="eastAsia"/>
        </w:rPr>
        <w:t>控制状态参数：开关状态、制动状态、运行模式、报警信号、动作次数等。</w:t>
      </w:r>
    </w:p>
    <w:p w14:paraId="2B058A21">
      <w:pPr>
        <w:pStyle w:val="105"/>
        <w:spacing w:before="120" w:after="120" w:line="360" w:lineRule="auto"/>
      </w:pPr>
      <w:r>
        <w:rPr>
          <w:rFonts w:hint="eastAsia"/>
        </w:rPr>
        <w:t>数据采集频率与精度要求</w:t>
      </w:r>
    </w:p>
    <w:p w14:paraId="0E90D986">
      <w:pPr>
        <w:pStyle w:val="56"/>
        <w:spacing w:line="360" w:lineRule="auto"/>
        <w:ind w:firstLine="420"/>
      </w:pPr>
      <w:r>
        <w:rPr>
          <w:rFonts w:hint="eastAsia"/>
        </w:rPr>
        <w:t>数据采集频率应根据参数类型和设备运行速度合理设定：</w:t>
      </w:r>
    </w:p>
    <w:p w14:paraId="1DD6B3F6">
      <w:pPr>
        <w:pStyle w:val="132"/>
        <w:spacing w:line="360" w:lineRule="auto"/>
      </w:pPr>
      <w:r>
        <w:rPr>
          <w:rFonts w:hint="eastAsia"/>
        </w:rPr>
        <w:t>对于振动、冲击类高频信号，采样频率不低于1kHz；</w:t>
      </w:r>
    </w:p>
    <w:p w14:paraId="5492C7C7">
      <w:pPr>
        <w:pStyle w:val="132"/>
        <w:spacing w:line="360" w:lineRule="auto"/>
      </w:pPr>
      <w:r>
        <w:rPr>
          <w:rFonts w:hint="eastAsia"/>
        </w:rPr>
        <w:t>对于温度、电流等缓变参数，采样频率不低于1Hz；</w:t>
      </w:r>
    </w:p>
    <w:p w14:paraId="0D631818">
      <w:pPr>
        <w:pStyle w:val="132"/>
        <w:spacing w:line="360" w:lineRule="auto"/>
      </w:pPr>
      <w:r>
        <w:rPr>
          <w:rFonts w:hint="eastAsia"/>
        </w:rPr>
        <w:t>系统应支持动态调频机制，在关键状态下提升采样频率；</w:t>
      </w:r>
    </w:p>
    <w:p w14:paraId="7037F38A">
      <w:pPr>
        <w:pStyle w:val="132"/>
        <w:spacing w:line="360" w:lineRule="auto"/>
      </w:pPr>
      <w:r>
        <w:rPr>
          <w:rFonts w:hint="eastAsia"/>
        </w:rPr>
        <w:t>所有传感器测量精度应不低于±2%，并具备定期标定能力。</w:t>
      </w:r>
    </w:p>
    <w:p w14:paraId="2A59DA34">
      <w:pPr>
        <w:pStyle w:val="105"/>
        <w:spacing w:before="120" w:after="120" w:line="360" w:lineRule="auto"/>
      </w:pPr>
      <w:r>
        <w:rPr>
          <w:rFonts w:hint="eastAsia"/>
        </w:rPr>
        <w:t>采集终端布设要求</w:t>
      </w:r>
    </w:p>
    <w:p w14:paraId="5414B9E2">
      <w:pPr>
        <w:pStyle w:val="56"/>
        <w:spacing w:line="360" w:lineRule="auto"/>
        <w:ind w:firstLine="420"/>
      </w:pPr>
      <w:r>
        <w:rPr>
          <w:rFonts w:hint="eastAsia"/>
        </w:rPr>
        <w:t>传感器布设应覆盖设备主要负荷部位、关键运动节点及潜在故障源，布点应满足以下原则：</w:t>
      </w:r>
    </w:p>
    <w:p w14:paraId="4158F4CB">
      <w:pPr>
        <w:pStyle w:val="132"/>
        <w:spacing w:line="360" w:lineRule="auto"/>
      </w:pPr>
      <w:r>
        <w:rPr>
          <w:rFonts w:hint="eastAsia"/>
        </w:rPr>
        <w:t>分区布控，关键点必测；</w:t>
      </w:r>
    </w:p>
    <w:p w14:paraId="6CB8F54D">
      <w:pPr>
        <w:pStyle w:val="132"/>
        <w:spacing w:line="360" w:lineRule="auto"/>
      </w:pPr>
      <w:r>
        <w:rPr>
          <w:rFonts w:hint="eastAsia"/>
        </w:rPr>
        <w:t>安装牢固、防护可靠，具备防尘、防水、防爆能力；</w:t>
      </w:r>
    </w:p>
    <w:p w14:paraId="4945F51E">
      <w:pPr>
        <w:pStyle w:val="132"/>
        <w:spacing w:line="360" w:lineRule="auto"/>
      </w:pPr>
      <w:r>
        <w:rPr>
          <w:rFonts w:hint="eastAsia"/>
        </w:rPr>
        <w:t>配线整洁，满足电磁兼容要求；</w:t>
      </w:r>
    </w:p>
    <w:p w14:paraId="7AE769C1">
      <w:pPr>
        <w:pStyle w:val="132"/>
        <w:spacing w:line="360" w:lineRule="auto"/>
      </w:pPr>
      <w:r>
        <w:rPr>
          <w:rFonts w:hint="eastAsia"/>
        </w:rPr>
        <w:t>数据采集单元应具备本地缓存、防断电丢失功能。</w:t>
      </w:r>
    </w:p>
    <w:p w14:paraId="5F72DAB0">
      <w:pPr>
        <w:pStyle w:val="105"/>
        <w:spacing w:before="120" w:after="120" w:line="360" w:lineRule="auto"/>
      </w:pPr>
      <w:r>
        <w:rPr>
          <w:rFonts w:hint="eastAsia"/>
        </w:rPr>
        <w:t>数据传输方式与接口标准</w:t>
      </w:r>
    </w:p>
    <w:p w14:paraId="543C84E0">
      <w:pPr>
        <w:pStyle w:val="56"/>
        <w:spacing w:line="360" w:lineRule="auto"/>
        <w:ind w:firstLine="420"/>
      </w:pPr>
      <w:r>
        <w:rPr>
          <w:rFonts w:hint="eastAsia"/>
        </w:rPr>
        <w:t>系统应根据现场条件和平台结构选用稳定、低延迟的通信方式，常见方式包括：</w:t>
      </w:r>
    </w:p>
    <w:p w14:paraId="2F74A87E">
      <w:pPr>
        <w:pStyle w:val="132"/>
        <w:spacing w:line="360" w:lineRule="auto"/>
      </w:pPr>
      <w:r>
        <w:rPr>
          <w:rFonts w:hint="eastAsia"/>
        </w:rPr>
        <w:t>有线通信：工业以太网、RS485、CAN总线等；</w:t>
      </w:r>
    </w:p>
    <w:p w14:paraId="65DF31C6">
      <w:pPr>
        <w:pStyle w:val="132"/>
        <w:spacing w:line="360" w:lineRule="auto"/>
      </w:pPr>
      <w:r>
        <w:rPr>
          <w:rFonts w:hint="eastAsia"/>
        </w:rPr>
        <w:t>无线通信：Wi-Fi、4G/5G、NB-IoT、LoRa等；</w:t>
      </w:r>
    </w:p>
    <w:p w14:paraId="1FD5B26D">
      <w:pPr>
        <w:pStyle w:val="132"/>
        <w:spacing w:line="360" w:lineRule="auto"/>
      </w:pPr>
      <w:r>
        <w:rPr>
          <w:rFonts w:hint="eastAsia"/>
        </w:rPr>
        <w:t>所有通信接口应支持Modbus、OPC UA、MQTT、HTTP等主流工业通信协议，确保系统互通互联。</w:t>
      </w:r>
    </w:p>
    <w:p w14:paraId="55BA2AD9">
      <w:pPr>
        <w:pStyle w:val="105"/>
        <w:spacing w:before="120" w:after="120" w:line="360" w:lineRule="auto"/>
      </w:pPr>
      <w:r>
        <w:rPr>
          <w:rFonts w:hint="eastAsia"/>
        </w:rPr>
        <w:t>数据完整性与传输安全保障</w:t>
      </w:r>
    </w:p>
    <w:p w14:paraId="620AB01B">
      <w:pPr>
        <w:pStyle w:val="56"/>
        <w:spacing w:line="360" w:lineRule="auto"/>
        <w:ind w:firstLine="420"/>
      </w:pPr>
      <w:r>
        <w:rPr>
          <w:rFonts w:hint="eastAsia"/>
        </w:rPr>
        <w:t>系统应建立数据完整性校验机制，如采用CRC、时间戳比对、断点续传等方式，避免数据缺失、错序或篡改。对于重要监测数据，应启用加密传输，并建立端到端防篡改机制。</w:t>
      </w:r>
    </w:p>
    <w:p w14:paraId="21C8E566">
      <w:pPr>
        <w:pStyle w:val="105"/>
        <w:spacing w:before="120" w:after="120" w:line="360" w:lineRule="auto"/>
      </w:pPr>
      <w:r>
        <w:rPr>
          <w:rFonts w:hint="eastAsia"/>
        </w:rPr>
        <w:t>异常传输处理机制</w:t>
      </w:r>
    </w:p>
    <w:p w14:paraId="331548BB">
      <w:pPr>
        <w:pStyle w:val="56"/>
        <w:spacing w:line="360" w:lineRule="auto"/>
        <w:ind w:firstLine="420"/>
      </w:pPr>
      <w:r>
        <w:rPr>
          <w:rFonts w:hint="eastAsia"/>
        </w:rPr>
        <w:t>当数据中断、网络故障或采集设备失效时，系统应能自动报警并启动应急机制，如切换备用通道、缓存数据待恢复上传，确保数据连续性和风险可控性。</w:t>
      </w:r>
    </w:p>
    <w:p w14:paraId="54D7CA60">
      <w:pPr>
        <w:pStyle w:val="104"/>
        <w:spacing w:before="240" w:after="240" w:line="360" w:lineRule="auto"/>
      </w:pPr>
      <w:bookmarkStart w:id="54" w:name="_Toc200374552"/>
      <w:r>
        <w:rPr>
          <w:rFonts w:hint="eastAsia"/>
        </w:rPr>
        <w:t>预警模型与响应机制</w:t>
      </w:r>
      <w:bookmarkEnd w:id="54"/>
    </w:p>
    <w:p w14:paraId="757BB3D7">
      <w:pPr>
        <w:pStyle w:val="105"/>
        <w:spacing w:before="120" w:after="120" w:line="360" w:lineRule="auto"/>
      </w:pPr>
      <w:r>
        <w:rPr>
          <w:rFonts w:hint="eastAsia"/>
        </w:rPr>
        <w:t>预警机制总体要求</w:t>
      </w:r>
    </w:p>
    <w:p w14:paraId="25AF3FAF">
      <w:pPr>
        <w:pStyle w:val="56"/>
        <w:spacing w:line="360" w:lineRule="auto"/>
        <w:ind w:firstLine="420"/>
      </w:pPr>
      <w:r>
        <w:rPr>
          <w:rFonts w:hint="eastAsia"/>
        </w:rPr>
        <w:t>系统应具备基于监测数据的智能化预警能力，通过算法识别设备运行中的异常状态、趋势偏离或故障征兆，并实现分级响应、精准定位、及时干预，提升设备安全运行保障能力。</w:t>
      </w:r>
    </w:p>
    <w:p w14:paraId="3C7BA65B">
      <w:pPr>
        <w:pStyle w:val="105"/>
        <w:spacing w:before="120" w:after="120" w:line="360" w:lineRule="auto"/>
      </w:pPr>
      <w:r>
        <w:rPr>
          <w:rFonts w:hint="eastAsia"/>
        </w:rPr>
        <w:t>预警等级划分</w:t>
      </w:r>
    </w:p>
    <w:p w14:paraId="6EA9C128">
      <w:pPr>
        <w:pStyle w:val="56"/>
        <w:spacing w:line="360" w:lineRule="auto"/>
        <w:ind w:firstLine="420"/>
      </w:pPr>
      <w:r>
        <w:rPr>
          <w:rFonts w:hint="eastAsia"/>
        </w:rPr>
        <w:t>预警应按风险程度和响应紧急性划分为三级：</w:t>
      </w:r>
    </w:p>
    <w:p w14:paraId="73C8E3AC">
      <w:pPr>
        <w:pStyle w:val="174"/>
        <w:spacing w:line="360" w:lineRule="auto"/>
      </w:pPr>
      <w:r>
        <w:rPr>
          <w:rFonts w:hint="eastAsia"/>
        </w:rPr>
        <w:t>Ⅰ级预警（红色）：存在立即导致事故或设备损毁的极端风险，系统应立即发出强制停机信号并联动声光报警；</w:t>
      </w:r>
    </w:p>
    <w:p w14:paraId="4BA82C0A">
      <w:pPr>
        <w:pStyle w:val="174"/>
        <w:spacing w:line="360" w:lineRule="auto"/>
      </w:pPr>
      <w:r>
        <w:rPr>
          <w:rFonts w:hint="eastAsia"/>
        </w:rPr>
        <w:t>Ⅱ级预警（橙色）：存在严重隐患，短期内可能引发故障或人员伤害，应通知管理人员及时干预，并记录日志；</w:t>
      </w:r>
    </w:p>
    <w:p w14:paraId="7695B7A8">
      <w:pPr>
        <w:pStyle w:val="174"/>
        <w:spacing w:line="360" w:lineRule="auto"/>
      </w:pPr>
      <w:r>
        <w:rPr>
          <w:rFonts w:hint="eastAsia"/>
        </w:rPr>
        <w:t>Ⅲ级预警（黄色）：监测数据出现波动或早期异常，提示维护人员重点关注或安排检修。</w:t>
      </w:r>
    </w:p>
    <w:p w14:paraId="4EDC9C75">
      <w:pPr>
        <w:pStyle w:val="105"/>
        <w:spacing w:before="120" w:after="120" w:line="360" w:lineRule="auto"/>
      </w:pPr>
      <w:r>
        <w:rPr>
          <w:rFonts w:hint="eastAsia"/>
        </w:rPr>
        <w:t>阈值设置与模型构建</w:t>
      </w:r>
    </w:p>
    <w:p w14:paraId="006B1803">
      <w:pPr>
        <w:pStyle w:val="56"/>
        <w:spacing w:line="360" w:lineRule="auto"/>
        <w:ind w:firstLine="420"/>
      </w:pPr>
      <w:r>
        <w:rPr>
          <w:rFonts w:hint="eastAsia"/>
        </w:rPr>
        <w:t>系统应根据设备类型和运行特性，结合经验阈值、统计学习、人工智能等方法，建立灵活可调的预警模型。常见模型包括：</w:t>
      </w:r>
    </w:p>
    <w:p w14:paraId="309D23DE">
      <w:pPr>
        <w:pStyle w:val="132"/>
        <w:spacing w:line="360" w:lineRule="auto"/>
      </w:pPr>
      <w:r>
        <w:rPr>
          <w:rFonts w:hint="eastAsia"/>
        </w:rPr>
        <w:t>阈值比较模型：对关键参数设定上线、下限或速率阈值；</w:t>
      </w:r>
    </w:p>
    <w:p w14:paraId="1A462F4B">
      <w:pPr>
        <w:pStyle w:val="132"/>
        <w:spacing w:line="360" w:lineRule="auto"/>
      </w:pPr>
      <w:r>
        <w:rPr>
          <w:rFonts w:hint="eastAsia"/>
        </w:rPr>
        <w:t>多参数关联模型：通过指标组合判断复合异常状态；</w:t>
      </w:r>
    </w:p>
    <w:p w14:paraId="055DD9E5">
      <w:pPr>
        <w:pStyle w:val="132"/>
        <w:spacing w:line="360" w:lineRule="auto"/>
      </w:pPr>
      <w:r>
        <w:rPr>
          <w:rFonts w:hint="eastAsia"/>
        </w:rPr>
        <w:t>趋势分析模型：基于历史数据拟合趋势曲线，发现偏离行为；</w:t>
      </w:r>
    </w:p>
    <w:p w14:paraId="5A31F3D3">
      <w:pPr>
        <w:pStyle w:val="132"/>
        <w:spacing w:line="360" w:lineRule="auto"/>
      </w:pPr>
      <w:r>
        <w:rPr>
          <w:rFonts w:hint="eastAsia"/>
        </w:rPr>
        <w:t>AI智能识别模型：利用神经网络、支持向量机等方法学习故障样本，提高预测准确率。</w:t>
      </w:r>
    </w:p>
    <w:p w14:paraId="16312E5B">
      <w:pPr>
        <w:pStyle w:val="56"/>
        <w:spacing w:line="360" w:lineRule="auto"/>
        <w:ind w:firstLine="420"/>
      </w:pPr>
      <w:r>
        <w:rPr>
          <w:rFonts w:hint="eastAsia"/>
        </w:rPr>
        <w:t>模型应具备在线学习、自动调整和适应新工况能力。</w:t>
      </w:r>
    </w:p>
    <w:p w14:paraId="6DFD87EB">
      <w:pPr>
        <w:pStyle w:val="105"/>
        <w:spacing w:before="120" w:after="120" w:line="360" w:lineRule="auto"/>
      </w:pPr>
      <w:r>
        <w:rPr>
          <w:rFonts w:hint="eastAsia"/>
        </w:rPr>
        <w:t>响应流程与信息通报</w:t>
      </w:r>
    </w:p>
    <w:p w14:paraId="3254231B">
      <w:pPr>
        <w:pStyle w:val="56"/>
        <w:spacing w:line="360" w:lineRule="auto"/>
        <w:ind w:firstLine="420"/>
      </w:pPr>
      <w:r>
        <w:rPr>
          <w:rFonts w:hint="eastAsia"/>
        </w:rPr>
        <w:t>当系统检测到异常状态并触发预警后，应立即按照以下流程响应：</w:t>
      </w:r>
    </w:p>
    <w:p w14:paraId="2E4D7F16">
      <w:pPr>
        <w:pStyle w:val="132"/>
        <w:spacing w:line="360" w:lineRule="auto"/>
      </w:pPr>
      <w:r>
        <w:rPr>
          <w:rFonts w:hint="eastAsia"/>
        </w:rPr>
        <w:t>弹窗提示+声光警报+界面标识突出显示；</w:t>
      </w:r>
    </w:p>
    <w:p w14:paraId="2532C6F0">
      <w:pPr>
        <w:pStyle w:val="132"/>
        <w:spacing w:line="360" w:lineRule="auto"/>
      </w:pPr>
      <w:r>
        <w:rPr>
          <w:rFonts w:hint="eastAsia"/>
        </w:rPr>
        <w:t>自动向指定用户推送预警信息；</w:t>
      </w:r>
    </w:p>
    <w:p w14:paraId="20DEFAA3">
      <w:pPr>
        <w:pStyle w:val="132"/>
        <w:spacing w:line="360" w:lineRule="auto"/>
      </w:pPr>
      <w:r>
        <w:rPr>
          <w:rFonts w:hint="eastAsia"/>
        </w:rPr>
        <w:t>自动记录预警编号、时间、参数、部位、持续时间等关键信息；</w:t>
      </w:r>
    </w:p>
    <w:p w14:paraId="71F654B5">
      <w:pPr>
        <w:pStyle w:val="132"/>
        <w:spacing w:line="360" w:lineRule="auto"/>
      </w:pPr>
      <w:r>
        <w:rPr>
          <w:rFonts w:hint="eastAsia"/>
        </w:rPr>
        <w:t>若达到Ⅱ级以上，应生成初步故障分析报告并标注建议处置方式；</w:t>
      </w:r>
    </w:p>
    <w:p w14:paraId="6C49E819">
      <w:pPr>
        <w:pStyle w:val="132"/>
        <w:spacing w:line="360" w:lineRule="auto"/>
      </w:pPr>
      <w:r>
        <w:rPr>
          <w:rFonts w:hint="eastAsia"/>
        </w:rPr>
        <w:t>对接设备控制系统，必要时执行减速、限载或停机联动。</w:t>
      </w:r>
    </w:p>
    <w:p w14:paraId="1907822A">
      <w:pPr>
        <w:pStyle w:val="105"/>
        <w:spacing w:before="120" w:after="120" w:line="360" w:lineRule="auto"/>
      </w:pPr>
      <w:r>
        <w:rPr>
          <w:rFonts w:hint="eastAsia"/>
        </w:rPr>
        <w:t>误报与漏报控制机制</w:t>
      </w:r>
    </w:p>
    <w:p w14:paraId="50195189">
      <w:pPr>
        <w:pStyle w:val="56"/>
        <w:spacing w:line="360" w:lineRule="auto"/>
        <w:ind w:firstLine="420"/>
      </w:pPr>
      <w:r>
        <w:rPr>
          <w:rFonts w:hint="eastAsia"/>
        </w:rPr>
        <w:t>预警系统应定期评估识别准确率，并引入纠错机制，通过人工反馈、样本学习等方式降低误报率与漏报风险。</w:t>
      </w:r>
    </w:p>
    <w:p w14:paraId="6DD3CE4A">
      <w:pPr>
        <w:pStyle w:val="105"/>
        <w:spacing w:before="120" w:after="120" w:line="360" w:lineRule="auto"/>
      </w:pPr>
      <w:r>
        <w:rPr>
          <w:rFonts w:hint="eastAsia"/>
        </w:rPr>
        <w:t>预警联动与多系统协同</w:t>
      </w:r>
    </w:p>
    <w:p w14:paraId="719DEA63">
      <w:pPr>
        <w:pStyle w:val="56"/>
        <w:spacing w:line="360" w:lineRule="auto"/>
        <w:ind w:firstLine="420"/>
      </w:pPr>
      <w:r>
        <w:rPr>
          <w:rFonts w:hint="eastAsia"/>
        </w:rPr>
        <w:t>系统应支持与生产调度系统、设备控制系统、视频监控系统、消防报警系统等多平台联动，构建跨系统预警处置机制，提升整体响应效率和联防能力。</w:t>
      </w:r>
    </w:p>
    <w:p w14:paraId="7E5B58F6">
      <w:pPr>
        <w:pStyle w:val="104"/>
        <w:spacing w:before="240" w:after="240" w:line="360" w:lineRule="auto"/>
      </w:pPr>
      <w:bookmarkStart w:id="55" w:name="_Toc200374553"/>
      <w:r>
        <w:rPr>
          <w:rFonts w:hint="eastAsia"/>
        </w:rPr>
        <w:t>系统运行与维护管理</w:t>
      </w:r>
      <w:bookmarkEnd w:id="55"/>
    </w:p>
    <w:p w14:paraId="1170D1D4">
      <w:pPr>
        <w:pStyle w:val="105"/>
        <w:spacing w:before="120" w:after="120" w:line="360" w:lineRule="auto"/>
      </w:pPr>
      <w:r>
        <w:rPr>
          <w:rFonts w:hint="eastAsia"/>
        </w:rPr>
        <w:t>系统运行状态监控</w:t>
      </w:r>
    </w:p>
    <w:p w14:paraId="302E5A41">
      <w:pPr>
        <w:pStyle w:val="56"/>
        <w:spacing w:line="360" w:lineRule="auto"/>
        <w:ind w:firstLine="420"/>
      </w:pPr>
      <w:r>
        <w:rPr>
          <w:rFonts w:hint="eastAsia"/>
        </w:rPr>
        <w:t>系统应实时监控自身运行状态，包括数据采集链路、通信通道、存储模块、平台服务和用户终端等关键环节。出现通信中断、数据异常、模块故障等情况时，应自动报警并提示故障类型和位置。</w:t>
      </w:r>
    </w:p>
    <w:p w14:paraId="7CF03733">
      <w:pPr>
        <w:pStyle w:val="56"/>
        <w:spacing w:line="360" w:lineRule="auto"/>
        <w:ind w:firstLine="420"/>
      </w:pPr>
      <w:r>
        <w:rPr>
          <w:rFonts w:hint="eastAsia"/>
        </w:rPr>
        <w:t>监测平台应设有运行状态面板，展示设备在线率、传感器完好率、预警响应率、系统负载、运行时长等核心指标，供运维人员定期巡查和技术支持使用。</w:t>
      </w:r>
    </w:p>
    <w:p w14:paraId="7D8F8B28">
      <w:pPr>
        <w:pStyle w:val="105"/>
        <w:spacing w:before="120" w:after="120" w:line="360" w:lineRule="auto"/>
      </w:pPr>
      <w:r>
        <w:rPr>
          <w:rFonts w:hint="eastAsia"/>
        </w:rPr>
        <w:t>日常维护策略</w:t>
      </w:r>
    </w:p>
    <w:p w14:paraId="06DA8874">
      <w:pPr>
        <w:pStyle w:val="56"/>
        <w:spacing w:line="360" w:lineRule="auto"/>
        <w:ind w:firstLine="420"/>
      </w:pPr>
      <w:r>
        <w:rPr>
          <w:rFonts w:hint="eastAsia"/>
        </w:rPr>
        <w:t>系统维护应遵循“定期检查+异常响应+日志复审”原则，包含以下内容：</w:t>
      </w:r>
    </w:p>
    <w:p w14:paraId="1AD3F798">
      <w:pPr>
        <w:pStyle w:val="132"/>
        <w:spacing w:line="360" w:lineRule="auto"/>
      </w:pPr>
      <w:r>
        <w:rPr>
          <w:rFonts w:hint="eastAsia"/>
        </w:rPr>
        <w:t>每日例检：检查数据上传是否完整、设备状态是否在线、预警信息是否及时处理；</w:t>
      </w:r>
    </w:p>
    <w:p w14:paraId="113C875B">
      <w:pPr>
        <w:pStyle w:val="132"/>
        <w:spacing w:line="360" w:lineRule="auto"/>
      </w:pPr>
      <w:r>
        <w:rPr>
          <w:rFonts w:hint="eastAsia"/>
        </w:rPr>
        <w:t>每周巡检：核查传感器接线、电源、边缘网关运行状态及系统页面显示情况；</w:t>
      </w:r>
    </w:p>
    <w:p w14:paraId="5161EB81">
      <w:pPr>
        <w:pStyle w:val="132"/>
        <w:spacing w:line="360" w:lineRule="auto"/>
      </w:pPr>
      <w:r>
        <w:rPr>
          <w:rFonts w:hint="eastAsia"/>
        </w:rPr>
        <w:t>每月维护：校验阈值设定是否合理、系统性能是否稳定、接口对接是否正常；</w:t>
      </w:r>
    </w:p>
    <w:p w14:paraId="43EA2E98">
      <w:pPr>
        <w:pStyle w:val="132"/>
        <w:spacing w:line="360" w:lineRule="auto"/>
      </w:pPr>
      <w:r>
        <w:rPr>
          <w:rFonts w:hint="eastAsia"/>
        </w:rPr>
        <w:t>每季度测试：开展模拟预警演练，检验系统整体响应链条的可靠性与协同性。</w:t>
      </w:r>
    </w:p>
    <w:p w14:paraId="4AA0A1C6">
      <w:pPr>
        <w:pStyle w:val="105"/>
        <w:spacing w:before="120" w:after="120" w:line="360" w:lineRule="auto"/>
      </w:pPr>
      <w:r>
        <w:rPr>
          <w:rFonts w:hint="eastAsia"/>
        </w:rPr>
        <w:t>故障处理与恢复机制</w:t>
      </w:r>
    </w:p>
    <w:p w14:paraId="0F6B11E8">
      <w:pPr>
        <w:pStyle w:val="56"/>
        <w:spacing w:line="360" w:lineRule="auto"/>
        <w:ind w:firstLine="420"/>
      </w:pPr>
      <w:r>
        <w:rPr>
          <w:rFonts w:hint="eastAsia"/>
        </w:rPr>
        <w:t>一旦系统模块出现故障，应按以下流程进行处理：</w:t>
      </w:r>
    </w:p>
    <w:p w14:paraId="5F6FB876">
      <w:pPr>
        <w:pStyle w:val="132"/>
        <w:spacing w:line="360" w:lineRule="auto"/>
      </w:pPr>
      <w:r>
        <w:rPr>
          <w:rFonts w:hint="eastAsia"/>
        </w:rPr>
        <w:t>自动记录故障时间、类别与影响范围；</w:t>
      </w:r>
    </w:p>
    <w:p w14:paraId="32D8C511">
      <w:pPr>
        <w:pStyle w:val="132"/>
        <w:spacing w:line="360" w:lineRule="auto"/>
      </w:pPr>
      <w:r>
        <w:rPr>
          <w:rFonts w:hint="eastAsia"/>
        </w:rPr>
        <w:t>通知指定维护人员限时响应，并提供辅助诊断建议；</w:t>
      </w:r>
    </w:p>
    <w:p w14:paraId="2A3EFCB0">
      <w:pPr>
        <w:pStyle w:val="132"/>
        <w:spacing w:line="360" w:lineRule="auto"/>
      </w:pPr>
      <w:r>
        <w:rPr>
          <w:rFonts w:hint="eastAsia"/>
        </w:rPr>
        <w:t>故障排除后，系统应支持快速恢复原有配置与数据状态，具备断点续传与冗余切换功能；</w:t>
      </w:r>
    </w:p>
    <w:p w14:paraId="75780D7A">
      <w:pPr>
        <w:pStyle w:val="132"/>
        <w:spacing w:line="360" w:lineRule="auto"/>
      </w:pPr>
      <w:r>
        <w:rPr>
          <w:rFonts w:hint="eastAsia"/>
        </w:rPr>
        <w:t>所有故障记录应归档管理，便于追溯与分析。</w:t>
      </w:r>
    </w:p>
    <w:p w14:paraId="29A4A7E1">
      <w:pPr>
        <w:pStyle w:val="105"/>
        <w:spacing w:before="120" w:after="120" w:line="360" w:lineRule="auto"/>
      </w:pPr>
      <w:r>
        <w:rPr>
          <w:rFonts w:hint="eastAsia"/>
        </w:rPr>
        <w:t>系统升级与兼容保障</w:t>
      </w:r>
    </w:p>
    <w:p w14:paraId="2CC932EA">
      <w:pPr>
        <w:pStyle w:val="56"/>
        <w:spacing w:line="360" w:lineRule="auto"/>
        <w:ind w:firstLine="420"/>
      </w:pPr>
      <w:r>
        <w:rPr>
          <w:rFonts w:hint="eastAsia"/>
        </w:rPr>
        <w:t>系统应具备良好的可升级性，软件平台支持远程在线升级，硬件模块支持模块替换和版本扩展。升级过程应确保系统连续运行，避免业务中断。新版本应通过兼容性测试，保障历史数据与配置无缝迁移。</w:t>
      </w:r>
    </w:p>
    <w:p w14:paraId="167F052F">
      <w:pPr>
        <w:pStyle w:val="105"/>
        <w:spacing w:before="120" w:after="120" w:line="360" w:lineRule="auto"/>
      </w:pPr>
      <w:r>
        <w:rPr>
          <w:rFonts w:hint="eastAsia"/>
        </w:rPr>
        <w:t>运维人员职责与权限划分</w:t>
      </w:r>
    </w:p>
    <w:p w14:paraId="21F6A056">
      <w:pPr>
        <w:pStyle w:val="56"/>
        <w:spacing w:line="360" w:lineRule="auto"/>
        <w:ind w:firstLine="420"/>
      </w:pPr>
      <w:r>
        <w:rPr>
          <w:rFonts w:hint="eastAsia"/>
        </w:rPr>
        <w:t>系统应设立分级运维机制，包括设备管理员、数据管理员、平台管理员和安全管理员等角色。不同角色应具备对应权限，防止越权操作。所有用户操作应自动生成日志，便于后期审计和问责。</w:t>
      </w:r>
    </w:p>
    <w:p w14:paraId="61360316">
      <w:pPr>
        <w:pStyle w:val="105"/>
        <w:spacing w:before="120" w:after="120" w:line="360" w:lineRule="auto"/>
      </w:pPr>
      <w:r>
        <w:rPr>
          <w:rFonts w:hint="eastAsia"/>
        </w:rPr>
        <w:t>运维档案与制度建设</w:t>
      </w:r>
    </w:p>
    <w:p w14:paraId="3C2DD046">
      <w:pPr>
        <w:pStyle w:val="56"/>
        <w:spacing w:line="360" w:lineRule="auto"/>
        <w:ind w:firstLine="420"/>
      </w:pPr>
      <w:r>
        <w:rPr>
          <w:rFonts w:hint="eastAsia"/>
        </w:rPr>
        <w:t>系统使用单位应建立完整的运维档案，包括日常检查记录、故障处理记录、升级记录、预警日志、用户操作日志等。</w:t>
      </w:r>
    </w:p>
    <w:p w14:paraId="640CD7F1">
      <w:pPr>
        <w:pStyle w:val="104"/>
        <w:spacing w:before="240" w:after="240" w:line="360" w:lineRule="auto"/>
      </w:pPr>
      <w:bookmarkStart w:id="56" w:name="_Toc200374554"/>
      <w:r>
        <w:rPr>
          <w:rFonts w:hint="eastAsia"/>
        </w:rPr>
        <w:t>应用评价与效果验证</w:t>
      </w:r>
      <w:bookmarkEnd w:id="56"/>
    </w:p>
    <w:p w14:paraId="5BC5318F">
      <w:pPr>
        <w:pStyle w:val="105"/>
        <w:spacing w:before="120" w:after="120" w:line="360" w:lineRule="auto"/>
      </w:pPr>
      <w:r>
        <w:rPr>
          <w:rFonts w:hint="eastAsia"/>
        </w:rPr>
        <w:t>应用成效评价原则</w:t>
      </w:r>
    </w:p>
    <w:p w14:paraId="370B2234">
      <w:pPr>
        <w:pStyle w:val="56"/>
        <w:spacing w:line="360" w:lineRule="auto"/>
        <w:ind w:firstLine="420"/>
      </w:pPr>
      <w:r>
        <w:rPr>
          <w:rFonts w:hint="eastAsia"/>
        </w:rPr>
        <w:t>系统建成并投入使用后，应开展定期的应用效果评价工作，重点检验其在实际运行过程中对风险预警、隐患治理、运维效率提升等方面的实际贡献。评价应坚持科学性、系统性和实用性原则，结合定量分析与定性判断形成综合评估结论。</w:t>
      </w:r>
    </w:p>
    <w:p w14:paraId="4BD30BE7">
      <w:pPr>
        <w:pStyle w:val="105"/>
        <w:spacing w:before="120" w:after="120" w:line="360" w:lineRule="auto"/>
      </w:pPr>
      <w:r>
        <w:rPr>
          <w:rFonts w:hint="eastAsia"/>
        </w:rPr>
        <w:t>评价指标体系</w:t>
      </w:r>
    </w:p>
    <w:p w14:paraId="7A7C87D6">
      <w:pPr>
        <w:pStyle w:val="56"/>
        <w:spacing w:line="360" w:lineRule="auto"/>
        <w:ind w:firstLine="420"/>
      </w:pPr>
      <w:r>
        <w:rPr>
          <w:rFonts w:hint="eastAsia"/>
        </w:rPr>
        <w:t>应用效果评价可从以下几个维度进行：</w:t>
      </w:r>
    </w:p>
    <w:p w14:paraId="00AF546B">
      <w:pPr>
        <w:pStyle w:val="132"/>
        <w:spacing w:line="360" w:lineRule="auto"/>
      </w:pPr>
      <w:r>
        <w:rPr>
          <w:rFonts w:hint="eastAsia"/>
        </w:rPr>
        <w:t>预警准确性指标：评估预警系统识别异常的命中率、误报率和漏报率；</w:t>
      </w:r>
    </w:p>
    <w:p w14:paraId="60C5F4FE">
      <w:pPr>
        <w:pStyle w:val="132"/>
        <w:spacing w:line="360" w:lineRule="auto"/>
      </w:pPr>
      <w:r>
        <w:rPr>
          <w:rFonts w:hint="eastAsia"/>
        </w:rPr>
        <w:t>响应及时性指标：测量从异常识别到响应执行的时间间隔，是否满足应急响应要求；</w:t>
      </w:r>
    </w:p>
    <w:p w14:paraId="3AB6DF5C">
      <w:pPr>
        <w:pStyle w:val="132"/>
        <w:spacing w:line="360" w:lineRule="auto"/>
      </w:pPr>
      <w:r>
        <w:rPr>
          <w:rFonts w:hint="eastAsia"/>
        </w:rPr>
        <w:t>故障率变化指标：对比系统运行前后设备故障次数、故障停机时间及影响范围；</w:t>
      </w:r>
    </w:p>
    <w:p w14:paraId="63793DAB">
      <w:pPr>
        <w:pStyle w:val="132"/>
        <w:spacing w:line="360" w:lineRule="auto"/>
      </w:pPr>
      <w:r>
        <w:rPr>
          <w:rFonts w:hint="eastAsia"/>
        </w:rPr>
        <w:t>维保效率指标：分析维修周期、排障速度、人工巡检替代率等维度的改善情况；</w:t>
      </w:r>
    </w:p>
    <w:p w14:paraId="4F2D3416">
      <w:pPr>
        <w:pStyle w:val="132"/>
        <w:spacing w:line="360" w:lineRule="auto"/>
      </w:pPr>
      <w:r>
        <w:rPr>
          <w:rFonts w:hint="eastAsia"/>
        </w:rPr>
        <w:t>运行成本指标：衡量系统部署后是否有效降低了因故障带来的停产、维修、保险等综合成本。</w:t>
      </w:r>
    </w:p>
    <w:p w14:paraId="2EC85B41">
      <w:pPr>
        <w:pStyle w:val="105"/>
        <w:spacing w:before="120" w:after="120" w:line="360" w:lineRule="auto"/>
      </w:pPr>
      <w:r>
        <w:rPr>
          <w:rFonts w:hint="eastAsia"/>
        </w:rPr>
        <w:t>验证方法与流程</w:t>
      </w:r>
    </w:p>
    <w:p w14:paraId="57619D4F">
      <w:pPr>
        <w:pStyle w:val="56"/>
        <w:spacing w:line="360" w:lineRule="auto"/>
        <w:ind w:firstLine="420"/>
      </w:pPr>
      <w:r>
        <w:rPr>
          <w:rFonts w:hint="eastAsia"/>
        </w:rPr>
        <w:t>效果验证应采用“数据监测+现场检查+用户访谈”相结合的方式，具体流程包括：</w:t>
      </w:r>
    </w:p>
    <w:p w14:paraId="70616B4A">
      <w:pPr>
        <w:pStyle w:val="132"/>
        <w:spacing w:line="360" w:lineRule="auto"/>
      </w:pPr>
      <w:r>
        <w:rPr>
          <w:rFonts w:hint="eastAsia"/>
        </w:rPr>
        <w:t>收集系统运行日志、预警记录、历史故障统计数据；</w:t>
      </w:r>
    </w:p>
    <w:p w14:paraId="00DF3C8A">
      <w:pPr>
        <w:pStyle w:val="132"/>
        <w:spacing w:line="360" w:lineRule="auto"/>
      </w:pPr>
      <w:r>
        <w:rPr>
          <w:rFonts w:hint="eastAsia"/>
        </w:rPr>
        <w:t>对比同期人工检修与预警触发结果的一致性；</w:t>
      </w:r>
    </w:p>
    <w:p w14:paraId="2A87CA84">
      <w:pPr>
        <w:pStyle w:val="132"/>
        <w:spacing w:line="360" w:lineRule="auto"/>
      </w:pPr>
      <w:r>
        <w:rPr>
          <w:rFonts w:hint="eastAsia"/>
        </w:rPr>
        <w:t>现场查验系统设备完好率、预警响应情况及维保记录；</w:t>
      </w:r>
    </w:p>
    <w:p w14:paraId="23EFBAEE">
      <w:pPr>
        <w:pStyle w:val="132"/>
        <w:spacing w:line="360" w:lineRule="auto"/>
      </w:pPr>
      <w:r>
        <w:rPr>
          <w:rFonts w:hint="eastAsia"/>
        </w:rPr>
        <w:t>组织相关岗位用户填写满意度调查表或参加评估座谈会；</w:t>
      </w:r>
    </w:p>
    <w:p w14:paraId="27854909">
      <w:pPr>
        <w:pStyle w:val="132"/>
        <w:spacing w:line="360" w:lineRule="auto"/>
      </w:pPr>
      <w:r>
        <w:rPr>
          <w:rFonts w:hint="eastAsia"/>
        </w:rPr>
        <w:t>形成综合评估报告，提出系统优化建议或再开发方向。</w:t>
      </w:r>
    </w:p>
    <w:p w14:paraId="6F068AF9">
      <w:pPr>
        <w:pStyle w:val="105"/>
        <w:spacing w:before="120" w:after="120" w:line="360" w:lineRule="auto"/>
      </w:pPr>
      <w:r>
        <w:rPr>
          <w:rFonts w:hint="eastAsia"/>
        </w:rPr>
        <w:t>推广适应性与复制性分析</w:t>
      </w:r>
    </w:p>
    <w:p w14:paraId="690E61A6">
      <w:pPr>
        <w:pStyle w:val="56"/>
        <w:spacing w:line="360" w:lineRule="auto"/>
        <w:ind w:firstLine="420"/>
      </w:pPr>
      <w:r>
        <w:rPr>
          <w:rFonts w:hint="eastAsia"/>
        </w:rPr>
        <w:t>评价工作还应关注系统的环境适应性、行业通用性及技术可迁移性。具备以下条件的系统建议优先推广：</w:t>
      </w:r>
    </w:p>
    <w:p w14:paraId="0D7A7363">
      <w:pPr>
        <w:pStyle w:val="132"/>
        <w:spacing w:line="360" w:lineRule="auto"/>
      </w:pPr>
      <w:r>
        <w:rPr>
          <w:rFonts w:hint="eastAsia"/>
        </w:rPr>
        <w:t>支持多类型设备接入与跨平台部署；</w:t>
      </w:r>
    </w:p>
    <w:p w14:paraId="5642F0E8">
      <w:pPr>
        <w:pStyle w:val="132"/>
        <w:spacing w:line="360" w:lineRule="auto"/>
      </w:pPr>
      <w:r>
        <w:rPr>
          <w:rFonts w:hint="eastAsia"/>
        </w:rPr>
        <w:t>算法模型具备学习能力并能适应不同工况变化；</w:t>
      </w:r>
    </w:p>
    <w:p w14:paraId="45CC27B0">
      <w:pPr>
        <w:pStyle w:val="132"/>
        <w:spacing w:line="360" w:lineRule="auto"/>
      </w:pPr>
      <w:r>
        <w:rPr>
          <w:rFonts w:hint="eastAsia"/>
        </w:rPr>
        <w:t>运维工具与用户界面简洁，便于非专业人员使用；</w:t>
      </w:r>
    </w:p>
    <w:p w14:paraId="6A40B49A">
      <w:pPr>
        <w:pStyle w:val="132"/>
        <w:spacing w:line="360" w:lineRule="auto"/>
      </w:pPr>
      <w:r>
        <w:rPr>
          <w:rFonts w:hint="eastAsia"/>
        </w:rPr>
        <w:t>数据接口与通信协议开放，易于与现有生产系统对接；</w:t>
      </w:r>
    </w:p>
    <w:p w14:paraId="4B36D0C2">
      <w:pPr>
        <w:pStyle w:val="132"/>
        <w:spacing w:line="360" w:lineRule="auto"/>
      </w:pPr>
      <w:r>
        <w:rPr>
          <w:rFonts w:hint="eastAsia"/>
        </w:rPr>
        <w:t>成本合理，技术成熟，具备快速复制与规模化推广条件。</w:t>
      </w:r>
    </w:p>
    <w:p w14:paraId="695F30CD">
      <w:pPr>
        <w:pStyle w:val="105"/>
        <w:spacing w:before="120" w:after="120" w:line="360" w:lineRule="auto"/>
      </w:pPr>
      <w:r>
        <w:rPr>
          <w:rFonts w:hint="eastAsia"/>
        </w:rPr>
        <w:t>成果转化与持续优化</w:t>
      </w:r>
    </w:p>
    <w:p w14:paraId="03E013B3">
      <w:pPr>
        <w:pStyle w:val="56"/>
        <w:spacing w:line="360" w:lineRule="auto"/>
        <w:ind w:firstLine="420"/>
      </w:pPr>
      <w:r>
        <w:rPr>
          <w:rFonts w:hint="eastAsia"/>
        </w:rPr>
        <w:t>评价结论应作为系统后续版本迭代、行业案例推广、政策支持申请等重要依据。鼓励将优秀应用实践转化为管理制度、行业标准或产品解决方案，推动形成设备安全智能化管理的长效机制。</w:t>
      </w:r>
    </w:p>
    <w:bookmarkEnd w:id="26"/>
    <w:p w14:paraId="5938D1EA">
      <w:pPr>
        <w:pStyle w:val="56"/>
        <w:ind w:firstLine="0" w:firstLineChars="0"/>
        <w:jc w:val="center"/>
      </w:pPr>
      <w:bookmarkStart w:id="57" w:name="BookMark8"/>
      <w:r>
        <w:rPr>
          <w:rFonts w:hint="eastAsia"/>
        </w:rPr>
        <w:drawing>
          <wp:inline distT="0" distB="0" distL="0" distR="0">
            <wp:extent cx="1485900" cy="317500"/>
            <wp:effectExtent l="0" t="0" r="0" b="6350"/>
            <wp:docPr id="842861596" name="图片 5"/>
            <wp:cNvGraphicFramePr/>
            <a:graphic xmlns:a="http://schemas.openxmlformats.org/drawingml/2006/main">
              <a:graphicData uri="http://schemas.openxmlformats.org/drawingml/2006/picture">
                <pic:pic xmlns:pic="http://schemas.openxmlformats.org/drawingml/2006/picture">
                  <pic:nvPicPr>
                    <pic:cNvPr id="842861596" name="图片 5"/>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3" w:type="default"/>
      <w:footerReference r:id="rId25" w:type="default"/>
      <w:headerReference r:id="rId24" w:type="even"/>
      <w:footerReference r:id="rId26"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766F">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4AE5">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45329">
    <w:pPr>
      <w:pStyle w:val="51"/>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0E8B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8E5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DE63">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4A235">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A038">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2F442">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251E5">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6D425">
    <w:pPr>
      <w:pStyle w:val="51"/>
    </w:pPr>
    <w:r>
      <w:fldChar w:fldCharType="begin"/>
    </w:r>
    <w:r>
      <w:instrText xml:space="preserve"> PAGE   \* MERGEFORMAT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4C0B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8561E">
    <w:pPr>
      <w:pStyle w:val="61"/>
    </w:pPr>
    <w:r>
      <w:fldChar w:fldCharType="begin"/>
    </w:r>
    <w:r>
      <w:instrText xml:space="preserve"> STYLEREF  标准文件_文件编号  \* MERGEFORMAT </w:instrText>
    </w:r>
    <w:r>
      <w:fldChar w:fldCharType="separate"/>
    </w:r>
    <w:r>
      <w:t>T/XJBX 0043—2025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5F378">
    <w:pPr>
      <w:pStyle w:val="62"/>
    </w:pPr>
    <w:r>
      <w:fldChar w:fldCharType="begin"/>
    </w:r>
    <w:r>
      <w:instrText xml:space="preserve"> STYLEREF  标准文件_文件编号 \* MERGEFORMAT </w:instrText>
    </w:r>
    <w:r>
      <w:fldChar w:fldCharType="separate"/>
    </w:r>
    <w:r>
      <w:t>T/XJBX 0043—2025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6A6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8D9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7214">
    <w:pPr>
      <w:pStyle w:val="61"/>
    </w:pPr>
    <w:r>
      <w:fldChar w:fldCharType="begin"/>
    </w:r>
    <w:r>
      <w:instrText xml:space="preserve"> STYLEREF  标准文件_文件编号  \* MERGEFORMAT </w:instrText>
    </w:r>
    <w:r>
      <w:fldChar w:fldCharType="separate"/>
    </w:r>
    <w:r>
      <w:t>T/XJBX 0043—2025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F5510">
    <w:pPr>
      <w:pStyle w:val="62"/>
    </w:pPr>
    <w:r>
      <w:fldChar w:fldCharType="begin"/>
    </w:r>
    <w:r>
      <w:instrText xml:space="preserve"> STYLEREF  标准文件_文件编号 \* MERGEFORMAT </w:instrText>
    </w:r>
    <w:r>
      <w:fldChar w:fldCharType="separate"/>
    </w:r>
    <w:r>
      <w:t>T/XJBX 0043—2025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591C3">
    <w:pPr>
      <w:pStyle w:val="61"/>
    </w:pPr>
    <w:r>
      <w:fldChar w:fldCharType="begin"/>
    </w:r>
    <w:r>
      <w:instrText xml:space="preserve"> STYLEREF  标准文件_文件编号  \* MERGEFORMAT </w:instrText>
    </w:r>
    <w:r>
      <w:fldChar w:fldCharType="separate"/>
    </w:r>
    <w:r>
      <w:t>T/XJBX 0043—2025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782CA">
    <w:pPr>
      <w:pStyle w:val="62"/>
    </w:pPr>
    <w:r>
      <w:fldChar w:fldCharType="begin"/>
    </w:r>
    <w:r>
      <w:instrText xml:space="preserve"> STYLEREF  标准文件_文件编号 \* MERGEFORMAT </w:instrText>
    </w:r>
    <w:r>
      <w:fldChar w:fldCharType="separate"/>
    </w:r>
    <w:r>
      <w:t>T/XJBX 0043—2025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AA34">
    <w:pPr>
      <w:pStyle w:val="61"/>
    </w:pPr>
    <w:r>
      <w:fldChar w:fldCharType="begin"/>
    </w:r>
    <w:r>
      <w:instrText xml:space="preserve"> STYLEREF  标准文件_文件编号  \* MERGEFORMAT </w:instrText>
    </w:r>
    <w:r>
      <w:fldChar w:fldCharType="separate"/>
    </w:r>
    <w:r>
      <w:t>T/XJBX 0043—2025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4971">
    <w:pPr>
      <w:pStyle w:val="62"/>
    </w:pPr>
    <w:r>
      <w:fldChar w:fldCharType="begin"/>
    </w:r>
    <w:r>
      <w:instrText xml:space="preserve"> STYLEREF  标准文件_文件编号 \* MERGEFORMAT </w:instrText>
    </w:r>
    <w:r>
      <w:fldChar w:fldCharType="separate"/>
    </w:r>
    <w:r>
      <w:t>T/XJBX 0043—2025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wMzMwszQyMDIyMzdX0lEKTi0uzszPAykwqgUAZp77nCwAAAA="/>
  </w:docVars>
  <w:rsids>
    <w:rsidRoot w:val="003743E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156"/>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0FF3"/>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3A8"/>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3E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56F"/>
    <w:rsid w:val="004E1C0A"/>
    <w:rsid w:val="004E30C5"/>
    <w:rsid w:val="004E4AA5"/>
    <w:rsid w:val="004E4AEE"/>
    <w:rsid w:val="004E59E3"/>
    <w:rsid w:val="004E67C0"/>
    <w:rsid w:val="004F188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D07"/>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3A74"/>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B4A"/>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9E2"/>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9EF4C6B"/>
    <w:rsid w:val="37102824"/>
    <w:rsid w:val="62384FED"/>
    <w:rsid w:val="719A48BC"/>
    <w:rsid w:val="734D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24B242460249879B259BB5C73AAF5D"/>
        <w:style w:val=""/>
        <w:category>
          <w:name w:val="常规"/>
          <w:gallery w:val="placeholder"/>
        </w:category>
        <w:types>
          <w:type w:val="bbPlcHdr"/>
        </w:types>
        <w:behaviors>
          <w:behavior w:val="content"/>
        </w:behaviors>
        <w:description w:val=""/>
        <w:guid w:val="{1B022FD0-3EDE-4906-82C7-B1EE745D7F2C}"/>
      </w:docPartPr>
      <w:docPartBody>
        <w:p w14:paraId="69538ED8">
          <w:pPr>
            <w:pStyle w:val="5"/>
          </w:pPr>
          <w:r>
            <w:rPr>
              <w:rStyle w:val="4"/>
              <w:rFonts w:hint="eastAsia"/>
            </w:rPr>
            <w:t>单击或点击此处输入文字。</w:t>
          </w:r>
        </w:p>
      </w:docPartBody>
    </w:docPart>
    <w:docPart>
      <w:docPartPr>
        <w:name w:val="06D19AC39DB44B72A8458405B434BBDC"/>
        <w:style w:val=""/>
        <w:category>
          <w:name w:val="常规"/>
          <w:gallery w:val="placeholder"/>
        </w:category>
        <w:types>
          <w:type w:val="bbPlcHdr"/>
        </w:types>
        <w:behaviors>
          <w:behavior w:val="content"/>
        </w:behaviors>
        <w:description w:val=""/>
        <w:guid w:val="{C19C6FA6-FB0C-46CA-81F5-FA55FCA29C72}"/>
      </w:docPartPr>
      <w:docPartBody>
        <w:p w14:paraId="1560141D">
          <w:pPr>
            <w:pStyle w:val="6"/>
          </w:pPr>
          <w:r>
            <w:rPr>
              <w:rStyle w:val="4"/>
              <w:rFonts w:hint="eastAsia"/>
            </w:rPr>
            <w:t>选择一项。</w:t>
          </w:r>
        </w:p>
      </w:docPartBody>
    </w:docPart>
    <w:docPart>
      <w:docPartPr>
        <w:name w:val="C68879231D55433993D55D3D8B5F265F"/>
        <w:style w:val=""/>
        <w:category>
          <w:name w:val="常规"/>
          <w:gallery w:val="placeholder"/>
        </w:category>
        <w:types>
          <w:type w:val="bbPlcHdr"/>
        </w:types>
        <w:behaviors>
          <w:behavior w:val="content"/>
        </w:behaviors>
        <w:description w:val=""/>
        <w:guid w:val="{30710F18-3DDC-4659-A7F9-2241CA31E705}"/>
      </w:docPartPr>
      <w:docPartBody>
        <w:p w14:paraId="462F55F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64"/>
    <w:rsid w:val="00116C29"/>
    <w:rsid w:val="00A35D64"/>
    <w:rsid w:val="00CD4164"/>
    <w:rsid w:val="00F5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A24B242460249879B259BB5C73AAF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6D19AC39DB44B72A8458405B434BB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68879231D55433993D55D3D8B5F265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5783</Words>
  <Characters>6109</Characters>
  <Lines>51</Lines>
  <Paragraphs>14</Paragraphs>
  <TotalTime>50</TotalTime>
  <ScaleCrop>false</ScaleCrop>
  <LinksUpToDate>false</LinksUpToDate>
  <CharactersWithSpaces>6192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2025-06-08T14:21:00Z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2025-06-11T09:04:57Z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7B72739E76A84910BAFFF2F7E69C7DE3_12</vt:lpwstr>
  </property>
</Properties>
</file>