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9DE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571A24F0">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107F8BC">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3.16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93.160</w:t>
            </w:r>
            <w:r>
              <w:rPr>
                <w:rFonts w:ascii="黑体" w:hAnsi="黑体" w:eastAsia="黑体"/>
                <w:sz w:val="21"/>
                <w:szCs w:val="21"/>
              </w:rPr>
              <w:fldChar w:fldCharType="end"/>
            </w:r>
            <w:bookmarkEnd w:id="0"/>
          </w:p>
        </w:tc>
      </w:tr>
      <w:tr w14:paraId="52A2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6AD539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0895C7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26D9211">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10ACDCE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55"/>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55</w:t>
            </w:r>
            <w:r>
              <w:rPr>
                <w:rFonts w:ascii="黑体" w:hAnsi="黑体" w:eastAsia="黑体"/>
                <w:sz w:val="21"/>
                <w:szCs w:val="21"/>
              </w:rPr>
              <w:fldChar w:fldCharType="end"/>
            </w:r>
            <w:bookmarkEnd w:id="2"/>
          </w:p>
        </w:tc>
      </w:tr>
    </w:tbl>
    <w:p w14:paraId="3EDDC6C2">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D1ECAA7">
      <w:pPr>
        <w:pStyle w:val="195"/>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bookmarkStart w:id="6" w:name="NSTD_CODE_F"/>
      <w:r>
        <w:rPr>
          <w:rFonts w:ascii="黑体" w:hAnsi="Times New Roman" w:eastAsia="黑体" w:cs="Times New Roman"/>
          <w:bCs/>
          <w:sz w:val="28"/>
          <w:szCs w:val="28"/>
          <w:lang w:val="en-US" w:eastAsia="zh-CN" w:bidi="ar-SA"/>
        </w:rPr>
        <w:fldChar w:fldCharType="begin">
          <w:ffData>
            <w:name w:val="NSTD_CODE_F"/>
            <w:enabled/>
            <w:calcOnExit w:val="0"/>
            <w:textInput>
              <w:default w:val="0041"/>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0041</w:t>
      </w:r>
      <w:r>
        <w:rPr>
          <w:rFonts w:ascii="黑体" w:hAnsi="Times New Roman" w:eastAsia="黑体" w:cs="Times New Roman"/>
          <w:bCs/>
          <w:sz w:val="28"/>
          <w:szCs w:val="28"/>
          <w:lang w:val="en-US" w:eastAsia="zh-CN" w:bidi="ar-SA"/>
        </w:rP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01516222">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A2E5053">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4DCC4CCE">
      <w:pPr>
        <w:pStyle w:val="50"/>
        <w:framePr w:w="9639" w:h="6976" w:hRule="exact" w:hSpace="0" w:vSpace="0" w:wrap="around" w:hAnchor="page" w:y="6408"/>
        <w:jc w:val="center"/>
        <w:rPr>
          <w:rFonts w:ascii="黑体" w:hAnsi="黑体" w:eastAsia="黑体"/>
          <w:b w:val="0"/>
          <w:bCs w:val="0"/>
          <w:w w:val="100"/>
        </w:rPr>
      </w:pPr>
    </w:p>
    <w:p w14:paraId="31AB5936">
      <w:pPr>
        <w:pStyle w:val="197"/>
        <w:framePr w:h="6974" w:hRule="exact" w:wrap="around" w:x="1419" w:anchorLock="1"/>
      </w:pPr>
      <w:r>
        <w:rPr>
          <w:rFonts w:hint="eastAsia"/>
        </w:rPr>
        <w:fldChar w:fldCharType="begin">
          <w:ffData>
            <w:name w:val="CSTD_NAME"/>
            <w:enabled/>
            <w:calcOnExit w:val="0"/>
            <w:textInput>
              <w:default w:val="水利工程智慧监理数据交互与集成规范"/>
            </w:textInput>
          </w:ffData>
        </w:fldChar>
      </w:r>
      <w:bookmarkStart w:id="9" w:name="CSTD_NAME"/>
      <w:r>
        <w:rPr>
          <w:rFonts w:hint="eastAsia"/>
        </w:rPr>
        <w:instrText xml:space="preserve"> FORMTEXT </w:instrText>
      </w:r>
      <w:r>
        <w:rPr>
          <w:rFonts w:hint="eastAsia"/>
        </w:rPr>
        <w:fldChar w:fldCharType="separate"/>
      </w:r>
      <w:r>
        <w:rPr>
          <w:rFonts w:hint="eastAsia"/>
        </w:rPr>
        <w:t>水利工程智慧监理数据交互与集成规范</w:t>
      </w:r>
      <w:r>
        <w:rPr>
          <w:rFonts w:hint="eastAsia"/>
        </w:rPr>
        <w:fldChar w:fldCharType="end"/>
      </w:r>
      <w:bookmarkEnd w:id="9"/>
    </w:p>
    <w:p w14:paraId="158A2AA9">
      <w:pPr>
        <w:framePr w:w="9639" w:h="6974" w:hRule="exact" w:wrap="around" w:vAnchor="page" w:hAnchor="page" w:x="1419" w:y="6408" w:anchorLock="1"/>
        <w:ind w:left="-1418"/>
      </w:pPr>
    </w:p>
    <w:p w14:paraId="70935827">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data interaction and integration in smart supervision of water conservancy project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data interaction and integration in smart supervision of water conservancy projects</w:t>
      </w:r>
      <w:r>
        <w:rPr>
          <w:rFonts w:ascii="黑体" w:hAnsi="黑体" w:eastAsia="黑体"/>
          <w:szCs w:val="28"/>
        </w:rPr>
        <w:fldChar w:fldCharType="end"/>
      </w:r>
      <w:bookmarkEnd w:id="10"/>
    </w:p>
    <w:p w14:paraId="5FA9CA4D">
      <w:pPr>
        <w:framePr w:w="9639" w:h="6974" w:hRule="exact" w:wrap="around" w:vAnchor="page" w:hAnchor="page" w:x="1419" w:y="6408" w:anchorLock="1"/>
        <w:spacing w:line="760" w:lineRule="exact"/>
        <w:ind w:left="-1418"/>
      </w:pPr>
    </w:p>
    <w:p w14:paraId="0FC2C8D0">
      <w:pPr>
        <w:pStyle w:val="125"/>
        <w:framePr w:w="9639" w:h="6974" w:hRule="exact" w:wrap="around" w:vAnchor="page" w:hAnchor="page" w:x="1419" w:y="6408" w:anchorLock="1"/>
        <w:textAlignment w:val="bottom"/>
        <w:rPr>
          <w:rFonts w:eastAsia="黑体"/>
          <w:szCs w:val="28"/>
        </w:rPr>
      </w:pPr>
    </w:p>
    <w:p w14:paraId="3E9E8910">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2FCF8D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DE220C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710244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14C4AD4">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6DF5FBD">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计量标准检测认证协会"/>
            </w:textInput>
          </w:ffData>
        </w:fldChar>
      </w:r>
      <w:bookmarkStart w:id="20" w:name="fm"/>
      <w:r>
        <w:rPr>
          <w:rFonts w:hint="eastAsia" w:hAnsi="黑体"/>
          <w:w w:val="100"/>
          <w:sz w:val="28"/>
        </w:rPr>
        <w:instrText xml:space="preserve"> </w:instrText>
      </w:r>
      <w:r>
        <w:rPr>
          <w:rFonts w:hAnsi="黑体"/>
          <w:w w:val="100"/>
          <w:sz w:val="28"/>
        </w:rPr>
        <w:instrText xml:space="preserve">FORMTEXT</w:instrText>
      </w:r>
      <w:r>
        <w:rPr>
          <w:rFonts w:hint="eastAsia" w:hAnsi="黑体"/>
          <w:w w:val="100"/>
          <w:sz w:val="28"/>
        </w:rPr>
        <w:instrText xml:space="preserve"> </w:instrText>
      </w:r>
      <w:r>
        <w:rPr>
          <w:rFonts w:hint="eastAsia" w:hAnsi="黑体"/>
          <w:w w:val="100"/>
          <w:sz w:val="28"/>
        </w:rPr>
        <w:fldChar w:fldCharType="separate"/>
      </w:r>
      <w:r>
        <w:rPr>
          <w:rFonts w:hint="eastAsia" w:hAnsi="黑体"/>
          <w:w w:val="100"/>
          <w:sz w:val="28"/>
        </w:rPr>
        <w:t>西安市计量标准检测认证协会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2689C65">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1FEB80F2">
      <w:pPr>
        <w:pStyle w:val="91"/>
        <w:spacing w:after="360"/>
      </w:pPr>
      <w:bookmarkStart w:id="21" w:name="BookMark1"/>
      <w:r>
        <w:rPr>
          <w:rFonts w:hint="eastAsia"/>
          <w:spacing w:val="320"/>
        </w:rPr>
        <w:t>目</w:t>
      </w:r>
      <w:r>
        <w:rPr>
          <w:rFonts w:hint="eastAsia"/>
        </w:rPr>
        <w:t>次</w:t>
      </w:r>
    </w:p>
    <w:p w14:paraId="3313C67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"_Toc200396249"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_Toc200396249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18B2BBE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"_Toc200396250"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_Toc200396250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1BDF1E2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"_Toc200396251"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_Toc200396251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9948F7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"_Toc200396252"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_Toc200396252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350A52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"_Toc200396253"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_Toc200396253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7DC38E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"_Toc200396254" </w:instrText>
      </w:r>
      <w:r>
        <w:fldChar w:fldCharType="separate"/>
      </w:r>
      <w:r>
        <w:rPr>
          <w:rStyle w:val="32"/>
          <w:rFonts w:hint="eastAsia"/>
        </w:rPr>
        <w:t>4</w:t>
      </w:r>
      <w:r>
        <w:rPr>
          <w:rStyle w:val="32"/>
        </w:rPr>
        <w:t xml:space="preserve"> </w:t>
      </w:r>
      <w:r>
        <w:rPr>
          <w:rStyle w:val="32"/>
          <w:rFonts w:hint="eastAsia"/>
        </w:rPr>
        <w:t xml:space="preserve"> 总体要求</w:t>
      </w:r>
      <w:r>
        <w:rPr>
          <w:rFonts w:hint="eastAsia"/>
        </w:rPr>
        <w:tab/>
      </w:r>
      <w:r>
        <w:rPr>
          <w:rFonts w:hint="eastAsia"/>
        </w:rPr>
        <w:fldChar w:fldCharType="begin"/>
      </w:r>
      <w:r>
        <w:rPr>
          <w:rFonts w:hint="eastAsia"/>
        </w:rPr>
        <w:instrText xml:space="preserve"> </w:instrText>
      </w:r>
      <w:r>
        <w:instrText xml:space="preserve">PAGEREF _Toc200396254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6800C8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"_Toc200396255" </w:instrText>
      </w:r>
      <w:r>
        <w:fldChar w:fldCharType="separate"/>
      </w:r>
      <w:r>
        <w:rPr>
          <w:rStyle w:val="32"/>
          <w:rFonts w:hint="eastAsia"/>
        </w:rPr>
        <w:t>5</w:t>
      </w:r>
      <w:r>
        <w:rPr>
          <w:rStyle w:val="32"/>
        </w:rPr>
        <w:t xml:space="preserve"> </w:t>
      </w:r>
      <w:r>
        <w:rPr>
          <w:rStyle w:val="32"/>
          <w:rFonts w:hint="eastAsia"/>
        </w:rPr>
        <w:t xml:space="preserve"> 数据架构与交互模式</w:t>
      </w:r>
      <w:r>
        <w:rPr>
          <w:rFonts w:hint="eastAsia"/>
        </w:rPr>
        <w:tab/>
      </w:r>
      <w:r>
        <w:rPr>
          <w:rFonts w:hint="eastAsia"/>
        </w:rPr>
        <w:fldChar w:fldCharType="begin"/>
      </w:r>
      <w:r>
        <w:rPr>
          <w:rFonts w:hint="eastAsia"/>
        </w:rPr>
        <w:instrText xml:space="preserve"> </w:instrText>
      </w:r>
      <w:r>
        <w:instrText xml:space="preserve">PAGEREF _Toc200396255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96D4E4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"_Toc200396256" </w:instrText>
      </w:r>
      <w:r>
        <w:fldChar w:fldCharType="separate"/>
      </w:r>
      <w:r>
        <w:rPr>
          <w:rStyle w:val="32"/>
          <w:rFonts w:hint="eastAsia"/>
        </w:rPr>
        <w:t>6</w:t>
      </w:r>
      <w:r>
        <w:rPr>
          <w:rStyle w:val="32"/>
        </w:rPr>
        <w:t xml:space="preserve"> </w:t>
      </w:r>
      <w:r>
        <w:rPr>
          <w:rStyle w:val="32"/>
          <w:rFonts w:hint="eastAsia"/>
        </w:rPr>
        <w:t xml:space="preserve"> 数据标准与接口规范</w:t>
      </w:r>
      <w:r>
        <w:rPr>
          <w:rFonts w:hint="eastAsia"/>
        </w:rPr>
        <w:tab/>
      </w:r>
      <w:r>
        <w:rPr>
          <w:rFonts w:hint="eastAsia"/>
        </w:rPr>
        <w:fldChar w:fldCharType="begin"/>
      </w:r>
      <w:r>
        <w:rPr>
          <w:rFonts w:hint="eastAsia"/>
        </w:rPr>
        <w:instrText xml:space="preserve"> </w:instrText>
      </w:r>
      <w:r>
        <w:instrText xml:space="preserve">PAGEREF _Toc200396256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1605B8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"_Toc200396257" </w:instrText>
      </w:r>
      <w:r>
        <w:fldChar w:fldCharType="separate"/>
      </w:r>
      <w:r>
        <w:rPr>
          <w:rStyle w:val="32"/>
          <w:rFonts w:hint="eastAsia"/>
        </w:rPr>
        <w:t>7</w:t>
      </w:r>
      <w:r>
        <w:rPr>
          <w:rStyle w:val="32"/>
        </w:rPr>
        <w:t xml:space="preserve"> </w:t>
      </w:r>
      <w:r>
        <w:rPr>
          <w:rStyle w:val="32"/>
          <w:rFonts w:hint="eastAsia"/>
        </w:rPr>
        <w:t xml:space="preserve"> 智慧监理系统功能</w:t>
      </w:r>
      <w:r>
        <w:rPr>
          <w:rFonts w:hint="eastAsia"/>
        </w:rPr>
        <w:tab/>
      </w:r>
      <w:r>
        <w:rPr>
          <w:rFonts w:hint="eastAsia"/>
        </w:rPr>
        <w:fldChar w:fldCharType="begin"/>
      </w:r>
      <w:r>
        <w:rPr>
          <w:rFonts w:hint="eastAsia"/>
        </w:rPr>
        <w:instrText xml:space="preserve"> </w:instrText>
      </w:r>
      <w:r>
        <w:instrText xml:space="preserve">PAGEREF _Toc200396257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68A3EED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"_Toc200396258" </w:instrText>
      </w:r>
      <w:r>
        <w:fldChar w:fldCharType="separate"/>
      </w:r>
      <w:r>
        <w:rPr>
          <w:rStyle w:val="32"/>
          <w:rFonts w:hint="eastAsia"/>
        </w:rPr>
        <w:t>8</w:t>
      </w:r>
      <w:r>
        <w:rPr>
          <w:rStyle w:val="32"/>
        </w:rPr>
        <w:t xml:space="preserve"> </w:t>
      </w:r>
      <w:r>
        <w:rPr>
          <w:rStyle w:val="32"/>
          <w:rFonts w:hint="eastAsia"/>
        </w:rPr>
        <w:t xml:space="preserve"> 应用示范与实施建议</w:t>
      </w:r>
      <w:r>
        <w:rPr>
          <w:rFonts w:hint="eastAsia"/>
        </w:rPr>
        <w:tab/>
      </w:r>
      <w:r>
        <w:rPr>
          <w:rFonts w:hint="eastAsia"/>
        </w:rPr>
        <w:fldChar w:fldCharType="begin"/>
      </w:r>
      <w:r>
        <w:rPr>
          <w:rFonts w:hint="eastAsia"/>
        </w:rPr>
        <w:instrText xml:space="preserve"> </w:instrText>
      </w:r>
      <w:r>
        <w:instrText xml:space="preserve">PAGEREF _Toc200396258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740E425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"_Toc200396259" </w:instrText>
      </w:r>
      <w:r>
        <w:fldChar w:fldCharType="separate"/>
      </w:r>
      <w:r>
        <w:rPr>
          <w:rStyle w:val="32"/>
          <w:rFonts w:hint="eastAsia"/>
        </w:rPr>
        <w:t>9</w:t>
      </w:r>
      <w:r>
        <w:rPr>
          <w:rStyle w:val="32"/>
        </w:rPr>
        <w:t xml:space="preserve"> </w:t>
      </w:r>
      <w:r>
        <w:rPr>
          <w:rStyle w:val="32"/>
          <w:rFonts w:hint="eastAsia"/>
        </w:rPr>
        <w:t xml:space="preserve"> 安全保障与数据保护要求</w:t>
      </w:r>
      <w:r>
        <w:rPr>
          <w:rFonts w:hint="eastAsia"/>
        </w:rPr>
        <w:tab/>
      </w:r>
      <w:r>
        <w:rPr>
          <w:rFonts w:hint="eastAsia"/>
        </w:rPr>
        <w:fldChar w:fldCharType="begin"/>
      </w:r>
      <w:r>
        <w:rPr>
          <w:rFonts w:hint="eastAsia"/>
        </w:rPr>
        <w:instrText xml:space="preserve"> </w:instrText>
      </w:r>
      <w:r>
        <w:instrText xml:space="preserve">PAGEREF _Toc200396259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66D7EBAF">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5999381D">
      <w:pPr>
        <w:pStyle w:val="89"/>
        <w:spacing w:before="900" w:after="360"/>
      </w:pPr>
      <w:bookmarkStart w:id="22" w:name="_Toc200396249"/>
      <w:bookmarkStart w:id="23" w:name="BookMark2"/>
      <w:r>
        <w:rPr>
          <w:rFonts w:hint="eastAsia"/>
          <w:spacing w:val="320"/>
        </w:rPr>
        <w:t>前</w:t>
      </w:r>
      <w:r>
        <w:rPr>
          <w:rFonts w:hint="eastAsia"/>
        </w:rPr>
        <w:t>言</w:t>
      </w:r>
      <w:bookmarkEnd w:id="22"/>
    </w:p>
    <w:p w14:paraId="09C2AD04">
      <w:pPr>
        <w:pStyle w:val="56"/>
        <w:spacing w:line="360" w:lineRule="auto"/>
        <w:ind w:firstLine="420"/>
      </w:pPr>
      <w:r>
        <w:rPr>
          <w:rFonts w:hint="eastAsia"/>
        </w:rPr>
        <w:t>本文件按照GB/T 1.1—2020《标准化工作导则  第1部分：标准化文件的结构和起草规则》的规定起草。</w:t>
      </w:r>
    </w:p>
    <w:p w14:paraId="59AC4B42">
      <w:pPr>
        <w:pStyle w:val="56"/>
        <w:spacing w:line="360" w:lineRule="auto"/>
        <w:ind w:firstLine="420"/>
      </w:pPr>
      <w:r>
        <w:rPr>
          <w:rFonts w:hint="eastAsia"/>
        </w:rPr>
        <w:t>本文件由西安市计量标准检测认证协会提出并归口。</w:t>
      </w:r>
    </w:p>
    <w:p w14:paraId="62F1D1CB">
      <w:pPr>
        <w:pStyle w:val="56"/>
        <w:spacing w:line="360" w:lineRule="auto"/>
        <w:ind w:firstLine="420"/>
        <w:rPr>
          <w:rFonts w:hint="eastAsia" w:eastAsia="宋体"/>
          <w:lang w:eastAsia="zh-CN"/>
        </w:rPr>
      </w:pPr>
      <w:r>
        <w:rPr>
          <w:rFonts w:hint="eastAsia"/>
        </w:rPr>
        <w:t>本文件起草单位：江苏中源工程管理股份有限公司、黄河水利委员会三门峡库区水文水资源局、江西省科学技术信息研究所</w:t>
      </w:r>
      <w:r>
        <w:rPr>
          <w:rFonts w:hint="eastAsia"/>
          <w:lang w:eastAsia="zh-CN"/>
        </w:rPr>
        <w:t>、广州市地质调查院、江苏省工程勘测研究院有限责任公司、黄河勘测规划设计研究院有限公司、张家口市城市管理事务中心、辽宁港口集团有限公司、河南昆仑建设发展有限公司、岭煊建设有限公司、南阳永升工程检测有限公司、河南迈程建设有限公司、河南天龙检测有限公司、盛发建设有限公司、河南军屹建筑工程有限公司、中国水利水电第一工程局有限公司。</w:t>
      </w:r>
    </w:p>
    <w:p w14:paraId="6B47B0AB">
      <w:pPr>
        <w:pStyle w:val="56"/>
        <w:spacing w:line="360" w:lineRule="auto"/>
        <w:ind w:firstLine="420"/>
      </w:pPr>
      <w:r>
        <w:rPr>
          <w:rFonts w:hint="eastAsia"/>
        </w:rPr>
        <w:t>本文件主要起草人：朱斌、张鑫鑫、刘书玲、宋子龙、周鹏、韩晓峰、朱斌、于洋、徐建、杨金田、刘延召、曹驰、于会会、岳鹏华、路振星、王少盼、张翠</w:t>
      </w:r>
      <w:r>
        <w:rPr>
          <w:rFonts w:hint="eastAsia"/>
          <w:lang w:eastAsia="zh-CN"/>
        </w:rPr>
        <w:t>、潘洋、吴艳东、韩磊、白艳凤、崔红岩</w:t>
      </w:r>
      <w:r>
        <w:rPr>
          <w:rFonts w:hint="eastAsia"/>
        </w:rPr>
        <w:t>。</w:t>
      </w:r>
      <w:bookmarkStart w:id="58" w:name="_GoBack"/>
      <w:bookmarkEnd w:id="58"/>
    </w:p>
    <w:p w14:paraId="3C569B55">
      <w:pPr>
        <w:pStyle w:val="56"/>
        <w:ind w:firstLine="420"/>
      </w:pPr>
    </w:p>
    <w:p w14:paraId="24DD092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p>
    <w:bookmarkEnd w:id="23"/>
    <w:p w14:paraId="4E216735">
      <w:pPr>
        <w:pStyle w:val="89"/>
        <w:spacing w:after="360"/>
      </w:pPr>
      <w:bookmarkStart w:id="24" w:name="_Toc200396250"/>
      <w:bookmarkStart w:id="25" w:name="BookMark3"/>
      <w:r>
        <w:rPr>
          <w:rFonts w:hint="eastAsia"/>
          <w:spacing w:val="320"/>
        </w:rPr>
        <w:t>引</w:t>
      </w:r>
      <w:r>
        <w:rPr>
          <w:rFonts w:hint="eastAsia"/>
        </w:rPr>
        <w:t>言</w:t>
      </w:r>
      <w:bookmarkEnd w:id="24"/>
    </w:p>
    <w:p w14:paraId="70918549">
      <w:pPr>
        <w:pStyle w:val="56"/>
        <w:spacing w:line="360" w:lineRule="auto"/>
        <w:ind w:firstLine="420"/>
      </w:pPr>
      <w:r>
        <w:rPr>
          <w:rFonts w:hint="eastAsia"/>
        </w:rPr>
        <w:t>随着信息技术与水利工程建设深度融合，智慧监理作为推动水利工程高质量发展、提升工程监管效能的重要手段，逐渐成为行业发展的关键方向。传统监理模式在数据传输效率、信息协同能力及多系统集成方面存在一定局限，难以满足当前水利工程全生命周期、多专业协同、实时动态监管的实际需求。通过构建统一、高效、安全的监理数据交互与集成机制，可有效实现数据的全面感知、实时传输、集中管理与智能分析，为工程进度管理、质量控制、安全保障及风险预警提供有力支撑。</w:t>
      </w:r>
    </w:p>
    <w:p w14:paraId="0977CFCA">
      <w:pPr>
        <w:pStyle w:val="56"/>
        <w:spacing w:line="360" w:lineRule="auto"/>
        <w:ind w:firstLine="420"/>
      </w:pPr>
      <w:r>
        <w:rPr>
          <w:rFonts w:hint="eastAsia"/>
        </w:rPr>
        <w:t>本文件结合水利工程智慧监理的实际应用场景，立足监理业务流程，面向数据要素、系统接口、平台集成、标准对接等关键环节，提出了规范化、可操作的技术要求和管理机制。其目标是通过统一数据格式、接口协议与交互标准，打通数据孤岛，推动信息互通、业务协同和智能监管体系建设，助力构建标准化、模块化、可视化、智能化的水利工程监理新模式。</w:t>
      </w:r>
    </w:p>
    <w:p w14:paraId="2FF6F7A7">
      <w:pPr>
        <w:pStyle w:val="56"/>
        <w:spacing w:line="360" w:lineRule="auto"/>
        <w:ind w:firstLine="420"/>
      </w:pPr>
      <w:r>
        <w:rPr>
          <w:rFonts w:hint="eastAsia"/>
        </w:rPr>
        <w:t>本文件适用于新建、改扩建及运行管理阶段的水利工程智慧监理系统建设及数据管理工作，为各类参与单位在系统设计、平台建设、接口开发和数据对接过程中提供参考依据，具有良好的技术指导性与应用推广价值。</w:t>
      </w:r>
    </w:p>
    <w:p w14:paraId="44B277E2">
      <w:pPr>
        <w:pStyle w:val="56"/>
        <w:ind w:firstLine="420"/>
      </w:pPr>
    </w:p>
    <w:p w14:paraId="46CA0AC9">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2449426">
      <w:pPr>
        <w:spacing w:line="20" w:lineRule="exact"/>
        <w:jc w:val="center"/>
        <w:rPr>
          <w:rFonts w:ascii="黑体" w:hAnsi="黑体" w:eastAsia="黑体"/>
          <w:sz w:val="32"/>
          <w:szCs w:val="32"/>
        </w:rPr>
      </w:pPr>
      <w:bookmarkStart w:id="26" w:name="BookMark4"/>
    </w:p>
    <w:p w14:paraId="4BF45E41">
      <w:pPr>
        <w:spacing w:line="20" w:lineRule="exact"/>
        <w:jc w:val="center"/>
        <w:rPr>
          <w:rFonts w:ascii="黑体" w:hAnsi="黑体" w:eastAsia="黑体"/>
          <w:sz w:val="32"/>
          <w:szCs w:val="32"/>
        </w:rPr>
      </w:pPr>
    </w:p>
    <w:sdt>
      <w:sdtPr>
        <w:tag w:val="NEW_STAND_NAME"/>
        <w:id w:val="595910757"/>
        <w:lock w:val="sdtLocked"/>
        <w:placeholder>
          <w:docPart w:val="EE4C22ED7F1341F6A7394B7639A6FB6D"/>
        </w:placeholder>
      </w:sdtPr>
      <w:sdtContent>
        <w:p w14:paraId="78D0C58B">
          <w:pPr>
            <w:pStyle w:val="177"/>
          </w:pPr>
          <w:bookmarkStart w:id="27" w:name="NEW_STAND_NAME"/>
          <w:r>
            <w:rPr>
              <w:rFonts w:hint="eastAsia"/>
            </w:rPr>
            <w:t>水利工程智慧监理数据交互与集成规范</w:t>
          </w:r>
        </w:p>
      </w:sdtContent>
    </w:sdt>
    <w:bookmarkEnd w:id="27"/>
    <w:p w14:paraId="7C374ED8">
      <w:pPr>
        <w:pStyle w:val="104"/>
        <w:spacing w:before="240" w:after="240"/>
      </w:pPr>
      <w:bookmarkStart w:id="28" w:name="_Toc26986771"/>
      <w:bookmarkStart w:id="29" w:name="_Toc26648465"/>
      <w:bookmarkStart w:id="30" w:name="_Toc26718930"/>
      <w:bookmarkStart w:id="31" w:name="_Toc17233333"/>
      <w:bookmarkStart w:id="32" w:name="_Toc200396251"/>
      <w:bookmarkStart w:id="33" w:name="_Toc24884211"/>
      <w:bookmarkStart w:id="34" w:name="_Toc97192964"/>
      <w:bookmarkStart w:id="35" w:name="_Toc26986530"/>
      <w:bookmarkStart w:id="36" w:name="_Toc24884218"/>
      <w:bookmarkStart w:id="37" w:name="_Toc17233325"/>
      <w:r>
        <w:rPr>
          <w:rFonts w:hint="eastAsia"/>
        </w:rPr>
        <w:t>范围</w:t>
      </w:r>
      <w:bookmarkEnd w:id="28"/>
      <w:bookmarkEnd w:id="29"/>
      <w:bookmarkEnd w:id="30"/>
      <w:bookmarkEnd w:id="31"/>
      <w:bookmarkEnd w:id="32"/>
      <w:bookmarkEnd w:id="33"/>
      <w:bookmarkEnd w:id="34"/>
      <w:bookmarkEnd w:id="35"/>
      <w:bookmarkEnd w:id="36"/>
      <w:bookmarkEnd w:id="37"/>
    </w:p>
    <w:p w14:paraId="7BB0378D">
      <w:pPr>
        <w:pStyle w:val="56"/>
        <w:spacing w:line="360" w:lineRule="auto"/>
        <w:ind w:firstLine="420"/>
      </w:pPr>
      <w:bookmarkStart w:id="38" w:name="_Toc17233326"/>
      <w:bookmarkStart w:id="39" w:name="_Toc24884219"/>
      <w:bookmarkStart w:id="40" w:name="_Toc26648466"/>
      <w:bookmarkStart w:id="41" w:name="_Toc24884212"/>
      <w:bookmarkStart w:id="42" w:name="_Toc17233334"/>
      <w:r>
        <w:rPr>
          <w:rFonts w:hint="eastAsia"/>
        </w:rPr>
        <w:t>本文件规定了水利工程智慧监理中数据交互与集成的总体要求、数据架构与交互模式、数据标准与接口规范、智慧监理系统功能、应用示范与实施建议及安全保障与数据保护要求等内容。</w:t>
      </w:r>
    </w:p>
    <w:p w14:paraId="46A73009">
      <w:pPr>
        <w:pStyle w:val="56"/>
        <w:spacing w:line="360" w:lineRule="auto"/>
        <w:ind w:firstLine="420"/>
      </w:pPr>
      <w:r>
        <w:rPr>
          <w:rFonts w:hint="eastAsia"/>
        </w:rPr>
        <w:t>本文件适用于新建、改扩建及运行阶段的各类水利工程项目中，智慧监理系统的数据采集、交换、集成、共享与安全管理工作。各类参与单位在建设智慧监理平台及开展相关系统集成时，均可参照执行。</w:t>
      </w:r>
    </w:p>
    <w:p w14:paraId="41172495">
      <w:pPr>
        <w:pStyle w:val="104"/>
        <w:spacing w:before="240" w:after="240" w:line="360" w:lineRule="auto"/>
      </w:pPr>
      <w:bookmarkStart w:id="43" w:name="_Toc97192965"/>
      <w:bookmarkStart w:id="44" w:name="_Toc26986772"/>
      <w:bookmarkStart w:id="45" w:name="_Toc26986531"/>
      <w:bookmarkStart w:id="46" w:name="_Toc200396252"/>
      <w:bookmarkStart w:id="47" w:name="_Toc267189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8D2F21D9789145478F06746B9BC515D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FE335FB">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A9AAD75">
      <w:pPr>
        <w:pStyle w:val="56"/>
        <w:spacing w:line="360" w:lineRule="auto"/>
        <w:ind w:firstLine="420"/>
      </w:pPr>
      <w:r>
        <w:rPr>
          <w:rFonts w:hint="eastAsia"/>
        </w:rPr>
        <w:t>GB/T 50649—2023 水利水电工程节能设计规范</w:t>
      </w:r>
    </w:p>
    <w:p w14:paraId="0946AD3D">
      <w:pPr>
        <w:pStyle w:val="56"/>
        <w:spacing w:line="360" w:lineRule="auto"/>
        <w:ind w:firstLine="420"/>
      </w:pPr>
      <w:r>
        <w:rPr>
          <w:rFonts w:hint="eastAsia"/>
        </w:rPr>
        <w:t>GB 50606—2010 智能建筑工程施工规范</w:t>
      </w:r>
    </w:p>
    <w:p w14:paraId="51A4EA55">
      <w:pPr>
        <w:pStyle w:val="56"/>
        <w:spacing w:line="360" w:lineRule="auto"/>
        <w:ind w:firstLine="420"/>
      </w:pPr>
      <w:r>
        <w:rPr>
          <w:rFonts w:hint="eastAsia"/>
        </w:rPr>
        <w:t>GB 50314—2015 智能建筑设计标准</w:t>
      </w:r>
    </w:p>
    <w:p w14:paraId="605E2578">
      <w:pPr>
        <w:pStyle w:val="56"/>
        <w:spacing w:line="360" w:lineRule="auto"/>
        <w:ind w:firstLine="420"/>
      </w:pPr>
      <w:r>
        <w:rPr>
          <w:rFonts w:hint="eastAsia"/>
        </w:rPr>
        <w:t>GB/T 50326—2017 建设工程项目管理规范</w:t>
      </w:r>
    </w:p>
    <w:p w14:paraId="5AFD4216">
      <w:pPr>
        <w:pStyle w:val="104"/>
        <w:spacing w:before="240" w:after="240" w:line="360" w:lineRule="auto"/>
      </w:pPr>
      <w:bookmarkStart w:id="48" w:name="_Toc200396253"/>
      <w:bookmarkStart w:id="49" w:name="_Toc97192966"/>
      <w:r>
        <w:rPr>
          <w:rFonts w:hint="eastAsia"/>
          <w:szCs w:val="21"/>
        </w:rPr>
        <w:t>术语和定义</w:t>
      </w:r>
      <w:bookmarkEnd w:id="48"/>
      <w:bookmarkEnd w:id="49"/>
    </w:p>
    <w:sdt>
      <w:sdtPr>
        <w:id w:val="-1909835108"/>
        <w:placeholder>
          <w:docPart w:val="FB9C48BB982748DEB0BD1041E0F211F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0DD2500">
          <w:pPr>
            <w:pStyle w:val="56"/>
            <w:spacing w:line="360" w:lineRule="auto"/>
            <w:ind w:firstLine="420"/>
          </w:pPr>
          <w:bookmarkStart w:id="50" w:name="_Toc26986532"/>
          <w:bookmarkEnd w:id="50"/>
          <w:r>
            <w:t>下列术语和定义适用于本文件。</w:t>
          </w:r>
        </w:p>
      </w:sdtContent>
    </w:sdt>
    <w:p w14:paraId="4AB2FFD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智慧监理 </w:t>
      </w:r>
      <w:r>
        <w:rPr>
          <w:rFonts w:ascii="黑体" w:hAnsi="黑体" w:eastAsia="黑体"/>
        </w:rPr>
        <w:t>smart superv</w:t>
      </w:r>
      <w:r>
        <w:rPr>
          <w:rFonts w:hint="eastAsia" w:ascii="黑体" w:hAnsi="黑体" w:eastAsia="黑体"/>
        </w:rPr>
        <w:t>ision</w:t>
      </w:r>
    </w:p>
    <w:p w14:paraId="500E2962">
      <w:pPr>
        <w:pStyle w:val="56"/>
        <w:spacing w:line="360" w:lineRule="auto"/>
        <w:ind w:firstLine="420"/>
      </w:pPr>
      <w:r>
        <w:rPr>
          <w:rFonts w:hint="eastAsia"/>
        </w:rPr>
        <w:t>指基于信息技术手段，特别是物联网、人工智能、大数据等技术，对水利工程建设过程实施动态监管、数据采集与实时分析的综合管理方式。</w:t>
      </w:r>
    </w:p>
    <w:p w14:paraId="712B12F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数据交互 </w:t>
      </w:r>
      <w:r>
        <w:rPr>
          <w:rFonts w:ascii="黑体" w:hAnsi="黑体" w:eastAsia="黑体"/>
        </w:rPr>
        <w:t>data inte</w:t>
      </w:r>
      <w:r>
        <w:rPr>
          <w:rFonts w:hint="eastAsia" w:ascii="黑体" w:hAnsi="黑体" w:eastAsia="黑体"/>
        </w:rPr>
        <w:t>raction</w:t>
      </w:r>
    </w:p>
    <w:p w14:paraId="1C83AF6E">
      <w:pPr>
        <w:pStyle w:val="56"/>
        <w:spacing w:line="360" w:lineRule="auto"/>
        <w:ind w:firstLine="420"/>
      </w:pPr>
      <w:r>
        <w:rPr>
          <w:rFonts w:hint="eastAsia"/>
        </w:rPr>
        <w:t>指不同监理系统、平台或设备之间进行信息数据交换、同步、传输与调用的全过程，确保系统间信息协同与共享。</w:t>
      </w:r>
    </w:p>
    <w:p w14:paraId="7632156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数据集成 </w:t>
      </w:r>
      <w:r>
        <w:rPr>
          <w:rFonts w:ascii="黑体" w:hAnsi="黑体" w:eastAsia="黑体"/>
        </w:rPr>
        <w:t>data int</w:t>
      </w:r>
      <w:r>
        <w:rPr>
          <w:rFonts w:hint="eastAsia" w:ascii="黑体" w:hAnsi="黑体" w:eastAsia="黑体"/>
        </w:rPr>
        <w:t>egration</w:t>
      </w:r>
    </w:p>
    <w:p w14:paraId="7A6B97AF">
      <w:pPr>
        <w:pStyle w:val="56"/>
        <w:spacing w:line="360" w:lineRule="auto"/>
        <w:ind w:firstLine="420"/>
      </w:pPr>
      <w:r>
        <w:rPr>
          <w:rFonts w:hint="eastAsia"/>
        </w:rPr>
        <w:t>指将来自多个来源的水利监理相关数据统一格式、标准并进行汇总管理、分析应用的过程，保障数据的一致性与完整性。</w:t>
      </w:r>
    </w:p>
    <w:p w14:paraId="0216D98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监理数据 </w:t>
      </w:r>
      <w:r>
        <w:rPr>
          <w:rFonts w:ascii="黑体" w:hAnsi="黑体" w:eastAsia="黑体"/>
        </w:rPr>
        <w:t>supervision d</w:t>
      </w:r>
      <w:r>
        <w:rPr>
          <w:rFonts w:hint="eastAsia" w:ascii="黑体" w:hAnsi="黑体" w:eastAsia="黑体"/>
        </w:rPr>
        <w:t>ata</w:t>
      </w:r>
    </w:p>
    <w:p w14:paraId="41A4FBBF">
      <w:pPr>
        <w:pStyle w:val="56"/>
        <w:spacing w:line="360" w:lineRule="auto"/>
        <w:ind w:firstLine="420"/>
      </w:pPr>
      <w:r>
        <w:rPr>
          <w:rFonts w:hint="eastAsia"/>
        </w:rPr>
        <w:t>指水利工程在建设过程中产生的用于监理管理的各类结构化与非结构化数据，包括施工日志、图像资料、监测记录、预警数据等。</w:t>
      </w:r>
    </w:p>
    <w:p w14:paraId="3C22F6B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数据接口 </w:t>
      </w:r>
      <w:r>
        <w:rPr>
          <w:rFonts w:ascii="黑体" w:hAnsi="黑体" w:eastAsia="黑体"/>
        </w:rPr>
        <w:t>data inter</w:t>
      </w:r>
      <w:r>
        <w:rPr>
          <w:rFonts w:hint="eastAsia" w:ascii="黑体" w:hAnsi="黑体" w:eastAsia="黑体"/>
        </w:rPr>
        <w:t>face</w:t>
      </w:r>
    </w:p>
    <w:p w14:paraId="245EEA80">
      <w:pPr>
        <w:pStyle w:val="56"/>
        <w:spacing w:line="360" w:lineRule="auto"/>
        <w:ind w:firstLine="420"/>
      </w:pPr>
      <w:r>
        <w:rPr>
          <w:rFonts w:hint="eastAsia"/>
        </w:rPr>
        <w:t>指用于实现系统间信息交互的数据传输协议、标准或服务接口，常包括API、Web Service等形式。</w:t>
      </w:r>
    </w:p>
    <w:p w14:paraId="0B702CBE">
      <w:pPr>
        <w:pStyle w:val="104"/>
        <w:spacing w:before="240" w:after="240" w:line="360" w:lineRule="auto"/>
      </w:pPr>
      <w:bookmarkStart w:id="51" w:name="_Toc200396254"/>
      <w:r>
        <w:rPr>
          <w:rFonts w:hint="eastAsia"/>
        </w:rPr>
        <w:t>总体要求</w:t>
      </w:r>
      <w:bookmarkEnd w:id="51"/>
    </w:p>
    <w:p w14:paraId="7DCC583A">
      <w:pPr>
        <w:pStyle w:val="105"/>
        <w:spacing w:before="120" w:after="120" w:line="360" w:lineRule="auto"/>
      </w:pPr>
      <w:r>
        <w:rPr>
          <w:rFonts w:hint="eastAsia"/>
        </w:rPr>
        <w:t>目标定位</w:t>
      </w:r>
    </w:p>
    <w:p w14:paraId="2361A5AE">
      <w:pPr>
        <w:pStyle w:val="56"/>
        <w:spacing w:line="360" w:lineRule="auto"/>
        <w:ind w:firstLine="420"/>
      </w:pPr>
      <w:r>
        <w:rPr>
          <w:rFonts w:hint="eastAsia"/>
        </w:rPr>
        <w:t>智慧监理数据交互与集成应以提升监理数据透明度、业务协同效率和工程质量安全管控能力为核心目标，构建“标准统一、接口开放、数据互通、智能分析”的技术体系。通过数据驱动方式，实现对监理全过程的智能化管理、决策支持和风险预警。</w:t>
      </w:r>
    </w:p>
    <w:p w14:paraId="338427F4">
      <w:pPr>
        <w:pStyle w:val="105"/>
        <w:spacing w:before="120" w:after="120" w:line="360" w:lineRule="auto"/>
      </w:pPr>
      <w:r>
        <w:rPr>
          <w:rFonts w:hint="eastAsia"/>
        </w:rPr>
        <w:t>技术架构</w:t>
      </w:r>
    </w:p>
    <w:p w14:paraId="6FFD9A46">
      <w:pPr>
        <w:pStyle w:val="56"/>
        <w:spacing w:line="360" w:lineRule="auto"/>
        <w:ind w:firstLine="420"/>
      </w:pPr>
      <w:r>
        <w:rPr>
          <w:rFonts w:hint="eastAsia"/>
        </w:rPr>
        <w:t>系统架构应采用“感知层—传输层—平台层—应用层”四层设计理念，形成端到端的信息链路。各层功能应明确分工、协同运行：</w:t>
      </w:r>
    </w:p>
    <w:p w14:paraId="7AAA3299">
      <w:pPr>
        <w:pStyle w:val="132"/>
        <w:spacing w:line="360" w:lineRule="auto"/>
      </w:pPr>
      <w:r>
        <w:rPr>
          <w:rFonts w:hint="eastAsia"/>
        </w:rPr>
        <w:t>感知层：部署各类传感器、智能终端，实现施工现场数据采集；</w:t>
      </w:r>
    </w:p>
    <w:p w14:paraId="0F256076">
      <w:pPr>
        <w:pStyle w:val="132"/>
        <w:spacing w:line="360" w:lineRule="auto"/>
      </w:pPr>
      <w:r>
        <w:rPr>
          <w:rFonts w:hint="eastAsia"/>
        </w:rPr>
        <w:t>传输层：构建稳定可靠的通信网络，支持数据实时传输；</w:t>
      </w:r>
    </w:p>
    <w:p w14:paraId="15F8E3D9">
      <w:pPr>
        <w:pStyle w:val="132"/>
        <w:spacing w:line="360" w:lineRule="auto"/>
      </w:pPr>
      <w:r>
        <w:rPr>
          <w:rFonts w:hint="eastAsia"/>
        </w:rPr>
        <w:t>平台层：以数据中台为核心，实现数据汇聚、建模、治理和集成；</w:t>
      </w:r>
    </w:p>
    <w:p w14:paraId="0F1EECA2">
      <w:pPr>
        <w:pStyle w:val="132"/>
        <w:spacing w:line="360" w:lineRule="auto"/>
      </w:pPr>
      <w:r>
        <w:rPr>
          <w:rFonts w:hint="eastAsia"/>
        </w:rPr>
        <w:t>应用层：提供监理业务应用、统计分析、可视化展示和智能预警功能。</w:t>
      </w:r>
    </w:p>
    <w:p w14:paraId="3AAC1742">
      <w:pPr>
        <w:pStyle w:val="105"/>
        <w:spacing w:before="120" w:after="120" w:line="360" w:lineRule="auto"/>
      </w:pPr>
      <w:r>
        <w:rPr>
          <w:rFonts w:hint="eastAsia"/>
        </w:rPr>
        <w:t>数据标准化</w:t>
      </w:r>
    </w:p>
    <w:p w14:paraId="77051F42">
      <w:pPr>
        <w:pStyle w:val="56"/>
        <w:spacing w:line="360" w:lineRule="auto"/>
        <w:ind w:firstLine="420"/>
      </w:pPr>
      <w:r>
        <w:rPr>
          <w:rFonts w:hint="eastAsia"/>
        </w:rPr>
        <w:t>应依据统一的数据分类、命名、编码、格式、元数据等规则，对来自不同监理环节的数据进行标准化处理，确保数据的互联互通和可兼容性。数据格式推荐采用结构化格式（如JSON、XML）和非结构化文件统一封装机制。</w:t>
      </w:r>
    </w:p>
    <w:p w14:paraId="30BDE892">
      <w:pPr>
        <w:pStyle w:val="105"/>
        <w:spacing w:before="120" w:after="120" w:line="360" w:lineRule="auto"/>
      </w:pPr>
      <w:r>
        <w:rPr>
          <w:rFonts w:hint="eastAsia"/>
        </w:rPr>
        <w:t>接口开放与互联互通</w:t>
      </w:r>
    </w:p>
    <w:p w14:paraId="008FF120">
      <w:pPr>
        <w:pStyle w:val="56"/>
        <w:spacing w:line="360" w:lineRule="auto"/>
        <w:ind w:firstLine="420"/>
      </w:pPr>
      <w:r>
        <w:rPr>
          <w:rFonts w:hint="eastAsia"/>
        </w:rPr>
        <w:t>监理平台应预留标准化数据接口，支持与设计单位、施工单位、业主方、政府监管平台等信息系统的数据交换。接口应支持双向调用、身份认证、数据加密等功能。</w:t>
      </w:r>
    </w:p>
    <w:p w14:paraId="0CB5E474">
      <w:pPr>
        <w:pStyle w:val="105"/>
        <w:spacing w:before="120" w:after="120" w:line="360" w:lineRule="auto"/>
      </w:pPr>
      <w:r>
        <w:rPr>
          <w:rFonts w:hint="eastAsia"/>
        </w:rPr>
        <w:t>数据质量管理</w:t>
      </w:r>
    </w:p>
    <w:p w14:paraId="3909DD71">
      <w:pPr>
        <w:pStyle w:val="56"/>
        <w:spacing w:line="360" w:lineRule="auto"/>
        <w:ind w:firstLine="420"/>
      </w:pPr>
      <w:r>
        <w:rPr>
          <w:rFonts w:hint="eastAsia"/>
        </w:rPr>
        <w:t>应建立数据校验、清洗、修复、版本控制、数据一致性检查机制，保障数据的准确性、完整性与可追溯性。所有数据操作应记录操作日志，便于审计与责任追溯。</w:t>
      </w:r>
    </w:p>
    <w:p w14:paraId="534668A8">
      <w:pPr>
        <w:pStyle w:val="105"/>
        <w:spacing w:before="120" w:after="120" w:line="360" w:lineRule="auto"/>
      </w:pPr>
      <w:r>
        <w:rPr>
          <w:rFonts w:hint="eastAsia"/>
        </w:rPr>
        <w:t>安全与权限控制</w:t>
      </w:r>
    </w:p>
    <w:p w14:paraId="4F29E2CD">
      <w:pPr>
        <w:pStyle w:val="56"/>
        <w:spacing w:line="360" w:lineRule="auto"/>
        <w:ind w:firstLine="420"/>
      </w:pPr>
      <w:r>
        <w:rPr>
          <w:rFonts w:hint="eastAsia"/>
        </w:rPr>
        <w:t>监理数据系统应具备多级权限配置、身份鉴别、数据加密与访问控制能力，保障数据安全与系统稳定运行。应结合工程实际设置权限分级策略，防止数据泄漏和误操作。</w:t>
      </w:r>
    </w:p>
    <w:p w14:paraId="23EDA3E2">
      <w:pPr>
        <w:pStyle w:val="105"/>
        <w:spacing w:before="120" w:after="120" w:line="360" w:lineRule="auto"/>
      </w:pPr>
      <w:r>
        <w:rPr>
          <w:rFonts w:hint="eastAsia"/>
        </w:rPr>
        <w:t>生命周期管理</w:t>
      </w:r>
    </w:p>
    <w:p w14:paraId="6EB4D3E4">
      <w:pPr>
        <w:pStyle w:val="56"/>
        <w:spacing w:line="360" w:lineRule="auto"/>
        <w:ind w:firstLine="420"/>
      </w:pPr>
      <w:r>
        <w:rPr>
          <w:rFonts w:hint="eastAsia"/>
        </w:rPr>
        <w:t>从项目启动、设计、施工、验收到后期运营，监理数据应实现全生命周期管理。历史数据应合理归档，重要节点数据应支持快照存储与版本对比。</w:t>
      </w:r>
    </w:p>
    <w:p w14:paraId="4FCFC2A4">
      <w:pPr>
        <w:pStyle w:val="105"/>
        <w:spacing w:before="120" w:after="120" w:line="360" w:lineRule="auto"/>
      </w:pPr>
      <w:r>
        <w:rPr>
          <w:rFonts w:hint="eastAsia"/>
        </w:rPr>
        <w:t>组织保障与职责分工</w:t>
      </w:r>
    </w:p>
    <w:p w14:paraId="25D85692">
      <w:pPr>
        <w:pStyle w:val="56"/>
        <w:spacing w:line="360" w:lineRule="auto"/>
        <w:ind w:firstLine="420"/>
      </w:pPr>
      <w:r>
        <w:rPr>
          <w:rFonts w:hint="eastAsia"/>
        </w:rPr>
        <w:t>应明确建设单位、监理单位、技术服务商在数据交互与集成中的职责与接口要求，确保分工协同、任务明确。鼓励设立专项数据管理岗位与数据协调机制。</w:t>
      </w:r>
    </w:p>
    <w:p w14:paraId="06907575">
      <w:pPr>
        <w:pStyle w:val="104"/>
        <w:spacing w:before="240" w:after="240" w:line="360" w:lineRule="auto"/>
      </w:pPr>
      <w:bookmarkStart w:id="52" w:name="_Toc200396255"/>
      <w:r>
        <w:rPr>
          <w:rFonts w:hint="eastAsia"/>
        </w:rPr>
        <w:t>数据架构与交互模式</w:t>
      </w:r>
      <w:bookmarkEnd w:id="52"/>
    </w:p>
    <w:p w14:paraId="3E34AA4C">
      <w:pPr>
        <w:pStyle w:val="105"/>
        <w:spacing w:before="120" w:after="120" w:line="360" w:lineRule="auto"/>
      </w:pPr>
      <w:r>
        <w:rPr>
          <w:rFonts w:hint="eastAsia"/>
        </w:rPr>
        <w:t>数据分类与组织</w:t>
      </w:r>
    </w:p>
    <w:p w14:paraId="0575FFAD">
      <w:pPr>
        <w:pStyle w:val="56"/>
        <w:spacing w:line="360" w:lineRule="auto"/>
        <w:ind w:firstLine="420"/>
      </w:pPr>
      <w:r>
        <w:rPr>
          <w:rFonts w:hint="eastAsia"/>
        </w:rPr>
        <w:t>监理数据应按照功能与来源进行科学分类，以便于统一管理、处理与追溯。数据主要包括以下类别：</w:t>
      </w:r>
    </w:p>
    <w:p w14:paraId="5DB242D6">
      <w:pPr>
        <w:pStyle w:val="132"/>
        <w:spacing w:line="360" w:lineRule="auto"/>
      </w:pPr>
      <w:r>
        <w:rPr>
          <w:rFonts w:hint="eastAsia"/>
        </w:rPr>
        <w:t>工程基础数据：包括项目概况、参建单位信息、施工计划、设计图纸、技术交底等；</w:t>
      </w:r>
    </w:p>
    <w:p w14:paraId="1333A6B2">
      <w:pPr>
        <w:pStyle w:val="132"/>
        <w:spacing w:line="360" w:lineRule="auto"/>
      </w:pPr>
      <w:r>
        <w:rPr>
          <w:rFonts w:hint="eastAsia"/>
        </w:rPr>
        <w:t>监理业务数据：包括巡检记录、旁站记录、整改通知、验收记录、进度核查等；</w:t>
      </w:r>
    </w:p>
    <w:p w14:paraId="5FE3AAF0">
      <w:pPr>
        <w:pStyle w:val="132"/>
        <w:spacing w:line="360" w:lineRule="auto"/>
      </w:pPr>
      <w:r>
        <w:rPr>
          <w:rFonts w:hint="eastAsia"/>
        </w:rPr>
        <w:t>智能感知数据：包括监测仪器采集的变形、位移、水位、压力、温度等实时数据；</w:t>
      </w:r>
    </w:p>
    <w:p w14:paraId="71DB2524">
      <w:pPr>
        <w:pStyle w:val="132"/>
        <w:spacing w:line="360" w:lineRule="auto"/>
      </w:pPr>
      <w:r>
        <w:rPr>
          <w:rFonts w:hint="eastAsia"/>
        </w:rPr>
        <w:t>文档与多媒体数据：包括影像资料、音视频记录、PDF文档、报告扫描件等；</w:t>
      </w:r>
    </w:p>
    <w:p w14:paraId="72654518">
      <w:pPr>
        <w:pStyle w:val="132"/>
        <w:spacing w:line="360" w:lineRule="auto"/>
      </w:pPr>
      <w:r>
        <w:rPr>
          <w:rFonts w:hint="eastAsia"/>
        </w:rPr>
        <w:t>分析与报告数据：包括统计分析结果、风险预警、指标评价、过程报告等。</w:t>
      </w:r>
    </w:p>
    <w:p w14:paraId="7786511E">
      <w:pPr>
        <w:pStyle w:val="56"/>
        <w:spacing w:line="360" w:lineRule="auto"/>
        <w:ind w:firstLine="420"/>
      </w:pPr>
      <w:r>
        <w:rPr>
          <w:rFonts w:hint="eastAsia"/>
        </w:rPr>
        <w:t>所有数据应具备统一的元数据定义，包括数据编号、采集时间、采集设备、关联构件、数据类型、责任人员等关键信息，以支撑数据一致性与检索效率。</w:t>
      </w:r>
    </w:p>
    <w:p w14:paraId="777DE0E6">
      <w:pPr>
        <w:pStyle w:val="105"/>
        <w:spacing w:before="120" w:after="120" w:line="360" w:lineRule="auto"/>
      </w:pPr>
      <w:r>
        <w:rPr>
          <w:rFonts w:hint="eastAsia"/>
        </w:rPr>
        <w:t>数据架构模型</w:t>
      </w:r>
    </w:p>
    <w:p w14:paraId="3329CACC">
      <w:pPr>
        <w:pStyle w:val="56"/>
        <w:spacing w:line="360" w:lineRule="auto"/>
        <w:ind w:firstLine="420"/>
      </w:pPr>
      <w:r>
        <w:rPr>
          <w:rFonts w:hint="eastAsia"/>
        </w:rPr>
        <w:t>建议构建分层式数据架构，包括采集层、处理层、存储层和服务层，功能描述见表1。</w:t>
      </w:r>
    </w:p>
    <w:p w14:paraId="6555B5AB">
      <w:pPr>
        <w:pStyle w:val="112"/>
        <w:spacing w:before="120" w:after="120" w:line="360" w:lineRule="auto"/>
      </w:pPr>
      <w:r>
        <w:rPr>
          <w:rFonts w:hint="eastAsia"/>
        </w:rPr>
        <w:t>数据架构分层模型</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684"/>
        <w:gridCol w:w="6650"/>
      </w:tblGrid>
      <w:tr w14:paraId="4B1E58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684" w:type="dxa"/>
            <w:tcBorders>
              <w:top w:val="single" w:color="auto" w:sz="8" w:space="0"/>
              <w:bottom w:val="single" w:color="auto" w:sz="8" w:space="0"/>
            </w:tcBorders>
            <w:shd w:val="clear" w:color="auto" w:fill="auto"/>
          </w:tcPr>
          <w:p w14:paraId="6410BCBD">
            <w:pPr>
              <w:pStyle w:val="178"/>
            </w:pPr>
            <w:r>
              <w:rPr>
                <w:rFonts w:hint="eastAsia"/>
              </w:rPr>
              <w:t>层级</w:t>
            </w:r>
          </w:p>
        </w:tc>
        <w:tc>
          <w:tcPr>
            <w:tcW w:w="6650" w:type="dxa"/>
            <w:tcBorders>
              <w:top w:val="single" w:color="auto" w:sz="8" w:space="0"/>
              <w:bottom w:val="single" w:color="auto" w:sz="8" w:space="0"/>
            </w:tcBorders>
            <w:shd w:val="clear" w:color="auto" w:fill="auto"/>
          </w:tcPr>
          <w:p w14:paraId="71259DA9">
            <w:pPr>
              <w:pStyle w:val="178"/>
            </w:pPr>
            <w:r>
              <w:rPr>
                <w:rFonts w:hint="eastAsia"/>
              </w:rPr>
              <w:t>功能描述</w:t>
            </w:r>
          </w:p>
        </w:tc>
      </w:tr>
      <w:tr w14:paraId="17954A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Borders>
              <w:top w:val="single" w:color="auto" w:sz="8" w:space="0"/>
            </w:tcBorders>
            <w:shd w:val="clear" w:color="auto" w:fill="auto"/>
          </w:tcPr>
          <w:p w14:paraId="6623D34A">
            <w:pPr>
              <w:pStyle w:val="178"/>
            </w:pPr>
            <w:r>
              <w:rPr>
                <w:rFonts w:hint="eastAsia"/>
              </w:rPr>
              <w:t>采集层</w:t>
            </w:r>
          </w:p>
        </w:tc>
        <w:tc>
          <w:tcPr>
            <w:tcW w:w="6650" w:type="dxa"/>
            <w:tcBorders>
              <w:top w:val="single" w:color="auto" w:sz="8" w:space="0"/>
            </w:tcBorders>
            <w:shd w:val="clear" w:color="auto" w:fill="auto"/>
          </w:tcPr>
          <w:p w14:paraId="076DBA6B">
            <w:pPr>
              <w:pStyle w:val="178"/>
            </w:pPr>
            <w:r>
              <w:rPr>
                <w:rFonts w:hint="eastAsia"/>
              </w:rPr>
              <w:t>汇聚各类传感器、终端、平台接口数据，构建数据入口</w:t>
            </w:r>
          </w:p>
        </w:tc>
      </w:tr>
      <w:tr w14:paraId="715E1F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shd w:val="clear" w:color="auto" w:fill="auto"/>
          </w:tcPr>
          <w:p w14:paraId="5544C581">
            <w:pPr>
              <w:pStyle w:val="178"/>
            </w:pPr>
            <w:r>
              <w:rPr>
                <w:rFonts w:hint="eastAsia"/>
              </w:rPr>
              <w:t>处理层</w:t>
            </w:r>
          </w:p>
        </w:tc>
        <w:tc>
          <w:tcPr>
            <w:tcW w:w="6650" w:type="dxa"/>
            <w:shd w:val="clear" w:color="auto" w:fill="auto"/>
          </w:tcPr>
          <w:p w14:paraId="4A59C818">
            <w:pPr>
              <w:pStyle w:val="178"/>
            </w:pPr>
            <w:r>
              <w:rPr>
                <w:rFonts w:hint="eastAsia"/>
              </w:rPr>
              <w:t>进行数据清洗、格式转换、标识关联、单位统一等处理操作</w:t>
            </w:r>
          </w:p>
        </w:tc>
      </w:tr>
      <w:tr w14:paraId="069C55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shd w:val="clear" w:color="auto" w:fill="auto"/>
          </w:tcPr>
          <w:p w14:paraId="42EE48F5">
            <w:pPr>
              <w:pStyle w:val="178"/>
            </w:pPr>
            <w:r>
              <w:rPr>
                <w:rFonts w:hint="eastAsia"/>
              </w:rPr>
              <w:t>存储层</w:t>
            </w:r>
          </w:p>
        </w:tc>
        <w:tc>
          <w:tcPr>
            <w:tcW w:w="6650" w:type="dxa"/>
            <w:shd w:val="clear" w:color="auto" w:fill="auto"/>
          </w:tcPr>
          <w:p w14:paraId="4A71B0E6">
            <w:pPr>
              <w:pStyle w:val="178"/>
            </w:pPr>
            <w:r>
              <w:rPr>
                <w:rFonts w:hint="eastAsia"/>
              </w:rPr>
              <w:t>建立结构化数据库、对象存储系统与大数据仓库</w:t>
            </w:r>
          </w:p>
        </w:tc>
      </w:tr>
      <w:tr w14:paraId="30F1F1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shd w:val="clear" w:color="auto" w:fill="auto"/>
          </w:tcPr>
          <w:p w14:paraId="36964E0F">
            <w:pPr>
              <w:pStyle w:val="178"/>
            </w:pPr>
            <w:r>
              <w:rPr>
                <w:rFonts w:hint="eastAsia"/>
              </w:rPr>
              <w:t>服务层</w:t>
            </w:r>
          </w:p>
        </w:tc>
        <w:tc>
          <w:tcPr>
            <w:tcW w:w="6650" w:type="dxa"/>
            <w:shd w:val="clear" w:color="auto" w:fill="auto"/>
          </w:tcPr>
          <w:p w14:paraId="3F3D6253">
            <w:pPr>
              <w:pStyle w:val="178"/>
            </w:pPr>
            <w:r>
              <w:rPr>
                <w:rFonts w:hint="eastAsia"/>
              </w:rPr>
              <w:t>提供API服务、查询服务、分析服务、预警服务、可视化服务等</w:t>
            </w:r>
          </w:p>
        </w:tc>
      </w:tr>
    </w:tbl>
    <w:p w14:paraId="15DB11F4">
      <w:pPr>
        <w:pStyle w:val="105"/>
        <w:spacing w:before="120" w:after="120"/>
      </w:pPr>
      <w:r>
        <w:rPr>
          <w:rFonts w:hint="eastAsia"/>
        </w:rPr>
        <w:t>数据交互模式</w:t>
      </w:r>
    </w:p>
    <w:p w14:paraId="104C6B80">
      <w:pPr>
        <w:pStyle w:val="56"/>
        <w:spacing w:line="360" w:lineRule="auto"/>
        <w:ind w:firstLine="420"/>
      </w:pPr>
      <w:r>
        <w:rPr>
          <w:rFonts w:hint="eastAsia"/>
        </w:rPr>
        <w:t>数据交互应遵循“分布式汇聚、集中管理、统一调度、业务驱动”的模式，并支持以下几种典型交互路径：</w:t>
      </w:r>
    </w:p>
    <w:p w14:paraId="3E1D7DA1">
      <w:pPr>
        <w:pStyle w:val="132"/>
        <w:spacing w:line="360" w:lineRule="auto"/>
      </w:pPr>
      <w:r>
        <w:rPr>
          <w:rFonts w:hint="eastAsia"/>
        </w:rPr>
        <w:t>前端采集与平台上传：移动终端或传感器采集数据后自动上报至监理平台；</w:t>
      </w:r>
    </w:p>
    <w:p w14:paraId="41E0A184">
      <w:pPr>
        <w:pStyle w:val="132"/>
        <w:spacing w:line="360" w:lineRule="auto"/>
      </w:pPr>
      <w:r>
        <w:rPr>
          <w:rFonts w:hint="eastAsia"/>
        </w:rPr>
        <w:t>平台间数据互通：通过接口协议实现与施工平台、设计平台等异构系统的数据交互；</w:t>
      </w:r>
    </w:p>
    <w:p w14:paraId="7CB42896">
      <w:pPr>
        <w:pStyle w:val="132"/>
        <w:spacing w:line="360" w:lineRule="auto"/>
      </w:pPr>
      <w:r>
        <w:rPr>
          <w:rFonts w:hint="eastAsia"/>
        </w:rPr>
        <w:t>任务驱动式数据流转：基于巡检计划或问题通报自动触发数据更新、反馈与归档；</w:t>
      </w:r>
    </w:p>
    <w:p w14:paraId="7FC5E587">
      <w:pPr>
        <w:pStyle w:val="132"/>
        <w:spacing w:line="360" w:lineRule="auto"/>
      </w:pPr>
      <w:r>
        <w:rPr>
          <w:rFonts w:hint="eastAsia"/>
        </w:rPr>
        <w:t>数据分发与反馈闭环：平台根据分析结果向相关责任人推送风险提示与处置建议，并记录反馈行为。</w:t>
      </w:r>
    </w:p>
    <w:p w14:paraId="29688093">
      <w:pPr>
        <w:pStyle w:val="56"/>
        <w:spacing w:line="360" w:lineRule="auto"/>
        <w:ind w:firstLine="420"/>
      </w:pPr>
      <w:r>
        <w:rPr>
          <w:rFonts w:hint="eastAsia"/>
        </w:rPr>
        <w:t>数据交互过程中应配置身份验证机制、数据加密协议与操作日志审计机制，确保数据传输安全与合规。</w:t>
      </w:r>
    </w:p>
    <w:p w14:paraId="49562B81">
      <w:pPr>
        <w:pStyle w:val="105"/>
        <w:spacing w:before="120" w:after="120" w:line="360" w:lineRule="auto"/>
      </w:pPr>
      <w:r>
        <w:rPr>
          <w:rFonts w:hint="eastAsia"/>
        </w:rPr>
        <w:t>数据一致性与多源融合</w:t>
      </w:r>
    </w:p>
    <w:p w14:paraId="09CFC517">
      <w:pPr>
        <w:pStyle w:val="56"/>
        <w:spacing w:line="360" w:lineRule="auto"/>
        <w:ind w:firstLine="420"/>
      </w:pPr>
      <w:r>
        <w:rPr>
          <w:rFonts w:hint="eastAsia"/>
        </w:rPr>
        <w:t>面对数据来源多样化，应构建数据比对与融合策略，主要包括：</w:t>
      </w:r>
    </w:p>
    <w:p w14:paraId="688561C6">
      <w:pPr>
        <w:pStyle w:val="132"/>
        <w:spacing w:line="360" w:lineRule="auto"/>
      </w:pPr>
      <w:r>
        <w:rPr>
          <w:rFonts w:hint="eastAsia"/>
        </w:rPr>
        <w:t>时间同步机制：对比不同数据源的时间标签，校准异步信息；</w:t>
      </w:r>
    </w:p>
    <w:p w14:paraId="34FE0238">
      <w:pPr>
        <w:pStyle w:val="132"/>
        <w:spacing w:line="360" w:lineRule="auto"/>
      </w:pPr>
      <w:r>
        <w:rPr>
          <w:rFonts w:hint="eastAsia"/>
        </w:rPr>
        <w:t>冲突处理机制：同一数据项多来源时，设置优先级与可信等级；</w:t>
      </w:r>
    </w:p>
    <w:p w14:paraId="3AE3097F">
      <w:pPr>
        <w:pStyle w:val="132"/>
        <w:spacing w:line="360" w:lineRule="auto"/>
      </w:pPr>
      <w:r>
        <w:rPr>
          <w:rFonts w:hint="eastAsia"/>
        </w:rPr>
        <w:t>内容合并机制：同类数据合并存储、标签统一、重复项剔除；</w:t>
      </w:r>
    </w:p>
    <w:p w14:paraId="40060E29">
      <w:pPr>
        <w:pStyle w:val="132"/>
        <w:spacing w:line="360" w:lineRule="auto"/>
      </w:pPr>
      <w:r>
        <w:rPr>
          <w:rFonts w:hint="eastAsia"/>
        </w:rPr>
        <w:t>数据融合建模：对结构化与非结构化数据进行语义对齐、模型解析。</w:t>
      </w:r>
    </w:p>
    <w:p w14:paraId="31950A23">
      <w:pPr>
        <w:pStyle w:val="56"/>
        <w:spacing w:line="360" w:lineRule="auto"/>
        <w:ind w:firstLine="420"/>
      </w:pPr>
      <w:r>
        <w:rPr>
          <w:rFonts w:hint="eastAsia"/>
        </w:rPr>
        <w:t>建立统一标准的数据架构，规范数据分类和交互路径，确保监理信息全流程贯通、高效集成，为智慧监理提供坚实的数字支撑。</w:t>
      </w:r>
    </w:p>
    <w:p w14:paraId="19992DB6">
      <w:pPr>
        <w:pStyle w:val="104"/>
        <w:spacing w:before="240" w:after="240" w:line="360" w:lineRule="auto"/>
      </w:pPr>
      <w:bookmarkStart w:id="53" w:name="_Toc200396256"/>
      <w:r>
        <w:rPr>
          <w:rFonts w:hint="eastAsia"/>
        </w:rPr>
        <w:t>数据标准与接口规范</w:t>
      </w:r>
      <w:bookmarkEnd w:id="53"/>
    </w:p>
    <w:p w14:paraId="74C3A8B3">
      <w:pPr>
        <w:pStyle w:val="105"/>
        <w:spacing w:before="120" w:after="120" w:line="360" w:lineRule="auto"/>
      </w:pPr>
      <w:r>
        <w:rPr>
          <w:rFonts w:hint="eastAsia"/>
        </w:rPr>
        <w:t>数据标准要求</w:t>
      </w:r>
    </w:p>
    <w:p w14:paraId="112BC042">
      <w:pPr>
        <w:pStyle w:val="56"/>
        <w:spacing w:line="360" w:lineRule="auto"/>
        <w:ind w:firstLine="420"/>
      </w:pPr>
      <w:r>
        <w:rPr>
          <w:rFonts w:hint="eastAsia"/>
        </w:rPr>
        <w:t>为保障数据结构统一、语义一致，应建立全面的数据标准体系，包括：</w:t>
      </w:r>
    </w:p>
    <w:p w14:paraId="5721346E">
      <w:pPr>
        <w:pStyle w:val="132"/>
        <w:spacing w:line="360" w:lineRule="auto"/>
      </w:pPr>
      <w:r>
        <w:rPr>
          <w:rFonts w:hint="eastAsia"/>
        </w:rPr>
        <w:t>数据格式标准化：所有交换数据推荐采用 JSON 或 XML 格式，字段结构应明确，层级关系清晰；</w:t>
      </w:r>
    </w:p>
    <w:p w14:paraId="08547A3C">
      <w:pPr>
        <w:pStyle w:val="132"/>
        <w:spacing w:line="360" w:lineRule="auto"/>
      </w:pPr>
      <w:r>
        <w:rPr>
          <w:rFonts w:hint="eastAsia"/>
        </w:rPr>
        <w:t>字段定义规范化：监理数据项应统一命名方式、编码规则、数据类型和单位换算标准；</w:t>
      </w:r>
    </w:p>
    <w:p w14:paraId="181A6C50">
      <w:pPr>
        <w:pStyle w:val="132"/>
        <w:spacing w:line="360" w:lineRule="auto"/>
      </w:pPr>
      <w:r>
        <w:rPr>
          <w:rFonts w:hint="eastAsia"/>
        </w:rPr>
        <w:t>时间与坐标标准统一：所有采集数据应统一使用标准时间格式，并明确采用的地理坐标系；</w:t>
      </w:r>
    </w:p>
    <w:p w14:paraId="2088F23D">
      <w:pPr>
        <w:pStyle w:val="132"/>
        <w:spacing w:line="360" w:lineRule="auto"/>
      </w:pPr>
      <w:r>
        <w:rPr>
          <w:rFonts w:hint="eastAsia"/>
        </w:rPr>
        <w:t>关键字段约束机制：重要字段如构建单元编号、设备编号、责任人ID等应强制唯一性，禁止空值或错误匹配；</w:t>
      </w:r>
    </w:p>
    <w:p w14:paraId="6467D94C">
      <w:pPr>
        <w:pStyle w:val="132"/>
        <w:spacing w:line="360" w:lineRule="auto"/>
      </w:pPr>
      <w:r>
        <w:rPr>
          <w:rFonts w:hint="eastAsia"/>
        </w:rPr>
        <w:t>数据校验规则：定义各类字段的有效值范围、数据合法性判断与异常值剔除规则。</w:t>
      </w:r>
    </w:p>
    <w:p w14:paraId="788C9FD6">
      <w:pPr>
        <w:pStyle w:val="56"/>
        <w:spacing w:line="360" w:lineRule="auto"/>
        <w:ind w:firstLine="420"/>
      </w:pPr>
      <w:r>
        <w:rPr>
          <w:rFonts w:hint="eastAsia"/>
        </w:rPr>
        <w:t>上述要求有助于提升多系统数据融合效率，降低数据冗余和误用风险。</w:t>
      </w:r>
    </w:p>
    <w:p w14:paraId="42B7271C">
      <w:pPr>
        <w:pStyle w:val="105"/>
        <w:spacing w:before="120" w:after="120" w:line="360" w:lineRule="auto"/>
      </w:pPr>
      <w:r>
        <w:rPr>
          <w:rFonts w:hint="eastAsia"/>
        </w:rPr>
        <w:t>接口类型与调用规范</w:t>
      </w:r>
    </w:p>
    <w:p w14:paraId="07644421">
      <w:pPr>
        <w:pStyle w:val="56"/>
        <w:spacing w:line="360" w:lineRule="auto"/>
        <w:ind w:firstLine="420"/>
      </w:pPr>
      <w:r>
        <w:rPr>
          <w:rFonts w:hint="eastAsia"/>
        </w:rPr>
        <w:t>接口设计应遵循标准化、模块化和安全性原则，具备高可扩展性。主要包括以下几类接口：</w:t>
      </w:r>
    </w:p>
    <w:p w14:paraId="1C805819">
      <w:pPr>
        <w:pStyle w:val="132"/>
        <w:spacing w:line="360" w:lineRule="auto"/>
      </w:pPr>
      <w:r>
        <w:rPr>
          <w:rFonts w:hint="eastAsia"/>
        </w:rPr>
        <w:t>业务接口：用于实现监理业务处理流程的数据交互；</w:t>
      </w:r>
    </w:p>
    <w:p w14:paraId="2D1AA6B9">
      <w:pPr>
        <w:pStyle w:val="132"/>
        <w:spacing w:line="360" w:lineRule="auto"/>
      </w:pPr>
      <w:r>
        <w:rPr>
          <w:rFonts w:hint="eastAsia"/>
        </w:rPr>
        <w:t>采集接口：对接传感器、采集终端、图像设备，实现环境参数、施工行为等实时数据获取；</w:t>
      </w:r>
    </w:p>
    <w:p w14:paraId="6D0D4992">
      <w:pPr>
        <w:pStyle w:val="132"/>
        <w:spacing w:line="360" w:lineRule="auto"/>
      </w:pPr>
      <w:r>
        <w:rPr>
          <w:rFonts w:hint="eastAsia"/>
        </w:rPr>
        <w:t>查询接口：提供多维度条件检索与数据调阅功能，支持分页、排序与多条件筛选；</w:t>
      </w:r>
    </w:p>
    <w:p w14:paraId="057BD850">
      <w:pPr>
        <w:pStyle w:val="132"/>
        <w:spacing w:line="360" w:lineRule="auto"/>
      </w:pPr>
      <w:r>
        <w:rPr>
          <w:rFonts w:hint="eastAsia"/>
        </w:rPr>
        <w:t>分析接口：用于接入智能分析模块，实现风险识别、趋势预测、绩效评价等应用；</w:t>
      </w:r>
    </w:p>
    <w:p w14:paraId="044C8C85">
      <w:pPr>
        <w:pStyle w:val="132"/>
        <w:spacing w:line="360" w:lineRule="auto"/>
      </w:pPr>
      <w:r>
        <w:rPr>
          <w:rFonts w:hint="eastAsia"/>
        </w:rPr>
        <w:t>可视化接口：支持将结构化信息传递至GIS平台、三维模型平台，实现数据图形化展现。</w:t>
      </w:r>
    </w:p>
    <w:p w14:paraId="273ED0F4">
      <w:pPr>
        <w:pStyle w:val="105"/>
        <w:spacing w:before="120" w:after="120" w:line="360" w:lineRule="auto"/>
      </w:pPr>
      <w:r>
        <w:rPr>
          <w:rFonts w:hint="eastAsia"/>
        </w:rPr>
        <w:t>接口技术规范</w:t>
      </w:r>
    </w:p>
    <w:p w14:paraId="2FE2DA1D">
      <w:pPr>
        <w:pStyle w:val="56"/>
        <w:spacing w:line="360" w:lineRule="auto"/>
        <w:ind w:firstLine="420"/>
      </w:pPr>
      <w:r>
        <w:rPr>
          <w:rFonts w:hint="eastAsia"/>
        </w:rPr>
        <w:t>接口实现过程中应符合以下技术要求：</w:t>
      </w:r>
    </w:p>
    <w:p w14:paraId="33EA55AF">
      <w:pPr>
        <w:pStyle w:val="132"/>
        <w:spacing w:line="360" w:lineRule="auto"/>
      </w:pPr>
      <w:r>
        <w:rPr>
          <w:rFonts w:hint="eastAsia"/>
        </w:rPr>
        <w:t>协议标准：接口通信应支持RESTful API、WebSocket等主流标准，采用HTTPS进行加密传输；</w:t>
      </w:r>
    </w:p>
    <w:p w14:paraId="70DEDAB5">
      <w:pPr>
        <w:pStyle w:val="132"/>
        <w:spacing w:line="360" w:lineRule="auto"/>
      </w:pPr>
      <w:r>
        <w:rPr>
          <w:rFonts w:hint="eastAsia"/>
        </w:rPr>
        <w:t>数据封装：请求参数和返回结果应统一封装格式，包括状态码、消息体、错误提示等；</w:t>
      </w:r>
    </w:p>
    <w:p w14:paraId="37642BAF">
      <w:pPr>
        <w:pStyle w:val="132"/>
        <w:spacing w:line="360" w:lineRule="auto"/>
      </w:pPr>
      <w:r>
        <w:rPr>
          <w:rFonts w:hint="eastAsia"/>
        </w:rPr>
        <w:t>身份认证：接口访问应采用Token、OAuth或数字证书方式进行身份校验；</w:t>
      </w:r>
    </w:p>
    <w:p w14:paraId="48AE1EE6">
      <w:pPr>
        <w:pStyle w:val="132"/>
        <w:spacing w:line="360" w:lineRule="auto"/>
      </w:pPr>
      <w:r>
        <w:rPr>
          <w:rFonts w:hint="eastAsia"/>
        </w:rPr>
        <w:t>接口调用频控：设置接口调用频率限制、防刷机制，避免异常流量影响系统性能；</w:t>
      </w:r>
    </w:p>
    <w:p w14:paraId="01224460">
      <w:pPr>
        <w:pStyle w:val="132"/>
        <w:spacing w:line="360" w:lineRule="auto"/>
      </w:pPr>
      <w:r>
        <w:rPr>
          <w:rFonts w:hint="eastAsia"/>
        </w:rPr>
        <w:t>接口文档管理：所有接口应提供完善的接口文档，包含调用方式、字段说明、示例代码与错误码说明。</w:t>
      </w:r>
    </w:p>
    <w:p w14:paraId="647ED9CF">
      <w:pPr>
        <w:pStyle w:val="105"/>
        <w:spacing w:before="120" w:after="120" w:line="360" w:lineRule="auto"/>
      </w:pPr>
      <w:r>
        <w:rPr>
          <w:rFonts w:hint="eastAsia"/>
        </w:rPr>
        <w:t>系统集成要求</w:t>
      </w:r>
    </w:p>
    <w:p w14:paraId="7176B905">
      <w:pPr>
        <w:pStyle w:val="56"/>
        <w:spacing w:line="360" w:lineRule="auto"/>
        <w:ind w:firstLine="420"/>
      </w:pPr>
      <w:r>
        <w:rPr>
          <w:rFonts w:hint="eastAsia"/>
        </w:rPr>
        <w:t>为实现与其他系统的顺利集成，监理系统应具备如下能力：</w:t>
      </w:r>
    </w:p>
    <w:p w14:paraId="39B25CAB">
      <w:pPr>
        <w:pStyle w:val="132"/>
        <w:spacing w:line="360" w:lineRule="auto"/>
      </w:pPr>
      <w:r>
        <w:rPr>
          <w:rFonts w:hint="eastAsia"/>
        </w:rPr>
        <w:t>提供标准化对外服务接口；</w:t>
      </w:r>
    </w:p>
    <w:p w14:paraId="4E9ECE73">
      <w:pPr>
        <w:pStyle w:val="132"/>
        <w:spacing w:line="360" w:lineRule="auto"/>
      </w:pPr>
      <w:r>
        <w:rPr>
          <w:rFonts w:hint="eastAsia"/>
        </w:rPr>
        <w:t>支持异构数据映射与字段自动适配；</w:t>
      </w:r>
    </w:p>
    <w:p w14:paraId="192384FC">
      <w:pPr>
        <w:pStyle w:val="132"/>
        <w:spacing w:line="360" w:lineRule="auto"/>
      </w:pPr>
      <w:r>
        <w:rPr>
          <w:rFonts w:hint="eastAsia"/>
        </w:rPr>
        <w:t>可配置数据同步策略，如定时推送、触发更新；</w:t>
      </w:r>
    </w:p>
    <w:p w14:paraId="2F0FDCD4">
      <w:pPr>
        <w:pStyle w:val="132"/>
        <w:spacing w:line="360" w:lineRule="auto"/>
      </w:pPr>
      <w:r>
        <w:rPr>
          <w:rFonts w:hint="eastAsia"/>
        </w:rPr>
        <w:t>支持接口状态监控与日志记录，保障交互可追溯。</w:t>
      </w:r>
    </w:p>
    <w:p w14:paraId="33F0DF1F">
      <w:pPr>
        <w:pStyle w:val="104"/>
        <w:spacing w:before="240" w:after="240" w:line="360" w:lineRule="auto"/>
      </w:pPr>
      <w:bookmarkStart w:id="54" w:name="_Toc200396257"/>
      <w:r>
        <w:rPr>
          <w:rFonts w:hint="eastAsia"/>
        </w:rPr>
        <w:t>智慧监理系统功能</w:t>
      </w:r>
      <w:bookmarkEnd w:id="54"/>
    </w:p>
    <w:p w14:paraId="6FF15C8E">
      <w:pPr>
        <w:pStyle w:val="105"/>
        <w:spacing w:before="120" w:after="120" w:line="360" w:lineRule="auto"/>
      </w:pPr>
      <w:r>
        <w:rPr>
          <w:rFonts w:hint="eastAsia"/>
        </w:rPr>
        <w:t>功能模块要求</w:t>
      </w:r>
    </w:p>
    <w:p w14:paraId="1978A09C">
      <w:pPr>
        <w:pStyle w:val="56"/>
        <w:spacing w:line="360" w:lineRule="auto"/>
        <w:ind w:firstLine="420"/>
      </w:pPr>
      <w:r>
        <w:rPr>
          <w:rFonts w:hint="eastAsia"/>
        </w:rPr>
        <w:t>智慧监理系统应具备以下核心功能模块：</w:t>
      </w:r>
    </w:p>
    <w:p w14:paraId="41A4D456">
      <w:pPr>
        <w:pStyle w:val="132"/>
        <w:spacing w:line="360" w:lineRule="auto"/>
      </w:pPr>
      <w:r>
        <w:rPr>
          <w:rFonts w:hint="eastAsia"/>
        </w:rPr>
        <w:t>基础信息管理：</w:t>
      </w:r>
    </w:p>
    <w:p w14:paraId="2CEA4E5A">
      <w:pPr>
        <w:pStyle w:val="187"/>
        <w:spacing w:line="360" w:lineRule="auto"/>
      </w:pPr>
      <w:r>
        <w:rPr>
          <w:rFonts w:hint="eastAsia"/>
        </w:rPr>
        <w:t>工程概况、参建单位、监理人员、合同清单等信息建档与管理；</w:t>
      </w:r>
    </w:p>
    <w:p w14:paraId="4E48D256">
      <w:pPr>
        <w:pStyle w:val="187"/>
        <w:spacing w:line="360" w:lineRule="auto"/>
      </w:pPr>
      <w:r>
        <w:rPr>
          <w:rFonts w:hint="eastAsia"/>
        </w:rPr>
        <w:t>支持项目结构层级定义，形成统一编码体系。</w:t>
      </w:r>
    </w:p>
    <w:p w14:paraId="300A2725">
      <w:pPr>
        <w:pStyle w:val="132"/>
        <w:spacing w:line="360" w:lineRule="auto"/>
      </w:pPr>
      <w:r>
        <w:rPr>
          <w:rFonts w:hint="eastAsia"/>
        </w:rPr>
        <w:t>施工过程监理：</w:t>
      </w:r>
    </w:p>
    <w:p w14:paraId="78409197">
      <w:pPr>
        <w:pStyle w:val="187"/>
        <w:spacing w:line="360" w:lineRule="auto"/>
      </w:pPr>
      <w:r>
        <w:rPr>
          <w:rFonts w:hint="eastAsia"/>
        </w:rPr>
        <w:t>日常巡视记录、旁站监理、工序验收、问题整改等全过程信息采集；</w:t>
      </w:r>
    </w:p>
    <w:p w14:paraId="01F0D1E1">
      <w:pPr>
        <w:pStyle w:val="187"/>
        <w:spacing w:line="360" w:lineRule="auto"/>
      </w:pPr>
      <w:r>
        <w:rPr>
          <w:rFonts w:hint="eastAsia"/>
        </w:rPr>
        <w:t>内置标准表单模板，支持移动端快捷录入与拍照留存。</w:t>
      </w:r>
    </w:p>
    <w:p w14:paraId="1C0480E0">
      <w:pPr>
        <w:pStyle w:val="132"/>
        <w:spacing w:line="360" w:lineRule="auto"/>
      </w:pPr>
      <w:r>
        <w:rPr>
          <w:rFonts w:hint="eastAsia"/>
        </w:rPr>
        <w:t>监测设备接入与数据采集：</w:t>
      </w:r>
    </w:p>
    <w:p w14:paraId="2E304D6F">
      <w:pPr>
        <w:pStyle w:val="187"/>
        <w:spacing w:line="360" w:lineRule="auto"/>
      </w:pPr>
      <w:r>
        <w:rPr>
          <w:rFonts w:hint="eastAsia"/>
        </w:rPr>
        <w:t>与现场传感器、图像采集终端对接，实时采集位移、压力、沉降、流速等关键参数；</w:t>
      </w:r>
    </w:p>
    <w:p w14:paraId="32673B6B">
      <w:pPr>
        <w:pStyle w:val="187"/>
        <w:spacing w:line="360" w:lineRule="auto"/>
      </w:pPr>
      <w:r>
        <w:rPr>
          <w:rFonts w:hint="eastAsia"/>
        </w:rPr>
        <w:t>实现设备状态监控与数据预处理。</w:t>
      </w:r>
    </w:p>
    <w:p w14:paraId="09D1E731">
      <w:pPr>
        <w:pStyle w:val="132"/>
        <w:spacing w:line="360" w:lineRule="auto"/>
      </w:pPr>
      <w:r>
        <w:rPr>
          <w:rFonts w:hint="eastAsia"/>
        </w:rPr>
        <w:t>智能预警与风险分析：</w:t>
      </w:r>
    </w:p>
    <w:p w14:paraId="7496AE37">
      <w:pPr>
        <w:pStyle w:val="187"/>
        <w:spacing w:line="360" w:lineRule="auto"/>
      </w:pPr>
      <w:r>
        <w:rPr>
          <w:rFonts w:hint="eastAsia"/>
        </w:rPr>
        <w:t>基于设定阈值或算法模型，自动识别超限数据和施工异常行为；</w:t>
      </w:r>
    </w:p>
    <w:p w14:paraId="340EBD76">
      <w:pPr>
        <w:pStyle w:val="187"/>
        <w:spacing w:line="360" w:lineRule="auto"/>
      </w:pPr>
      <w:r>
        <w:rPr>
          <w:rFonts w:hint="eastAsia"/>
        </w:rPr>
        <w:t>支持可视化告警展示与责任单位通知。</w:t>
      </w:r>
    </w:p>
    <w:p w14:paraId="3DF5C7AE">
      <w:pPr>
        <w:pStyle w:val="132"/>
        <w:spacing w:line="360" w:lineRule="auto"/>
      </w:pPr>
      <w:r>
        <w:rPr>
          <w:rFonts w:hint="eastAsia"/>
        </w:rPr>
        <w:t>验收与报验管理：</w:t>
      </w:r>
    </w:p>
    <w:p w14:paraId="53BDAB74">
      <w:pPr>
        <w:pStyle w:val="187"/>
        <w:spacing w:line="360" w:lineRule="auto"/>
      </w:pPr>
      <w:r>
        <w:rPr>
          <w:rFonts w:hint="eastAsia"/>
        </w:rPr>
        <w:t>各类工程节点的报验、审批、验收流程线上管理；</w:t>
      </w:r>
    </w:p>
    <w:p w14:paraId="4D9E866A">
      <w:pPr>
        <w:pStyle w:val="187"/>
        <w:spacing w:line="360" w:lineRule="auto"/>
      </w:pPr>
      <w:r>
        <w:rPr>
          <w:rFonts w:hint="eastAsia"/>
        </w:rPr>
        <w:t>支持多角色协同操作与电子签章。</w:t>
      </w:r>
    </w:p>
    <w:p w14:paraId="3055A1C9">
      <w:pPr>
        <w:pStyle w:val="132"/>
        <w:spacing w:line="360" w:lineRule="auto"/>
      </w:pPr>
      <w:r>
        <w:rPr>
          <w:rFonts w:hint="eastAsia"/>
        </w:rPr>
        <w:t>成果归档与统计分析：</w:t>
      </w:r>
    </w:p>
    <w:p w14:paraId="22484667">
      <w:pPr>
        <w:pStyle w:val="187"/>
        <w:spacing w:line="360" w:lineRule="auto"/>
      </w:pPr>
      <w:r>
        <w:rPr>
          <w:rFonts w:hint="eastAsia"/>
        </w:rPr>
        <w:t>支持按阶段、单位、分部工程归档监理资料；</w:t>
      </w:r>
    </w:p>
    <w:p w14:paraId="2CB1BC7D">
      <w:pPr>
        <w:pStyle w:val="187"/>
        <w:spacing w:line="360" w:lineRule="auto"/>
      </w:pPr>
      <w:r>
        <w:rPr>
          <w:rFonts w:hint="eastAsia"/>
        </w:rPr>
        <w:t>提供多维统计报表、趋势图、合规率分析等数据服务。</w:t>
      </w:r>
    </w:p>
    <w:p w14:paraId="42F311B9">
      <w:pPr>
        <w:pStyle w:val="105"/>
        <w:spacing w:before="120" w:after="120" w:line="360" w:lineRule="auto"/>
      </w:pPr>
      <w:r>
        <w:rPr>
          <w:rFonts w:hint="eastAsia"/>
        </w:rPr>
        <w:t>业务流程规范</w:t>
      </w:r>
    </w:p>
    <w:p w14:paraId="61782E27">
      <w:pPr>
        <w:pStyle w:val="56"/>
        <w:spacing w:line="360" w:lineRule="auto"/>
        <w:ind w:firstLine="420"/>
      </w:pPr>
      <w:r>
        <w:rPr>
          <w:rFonts w:hint="eastAsia"/>
        </w:rPr>
        <w:t>系统应按照实际监理流程进行模块化配置，并确保业务流转顺畅：</w:t>
      </w:r>
    </w:p>
    <w:p w14:paraId="5DD07030">
      <w:pPr>
        <w:pStyle w:val="174"/>
        <w:spacing w:line="360" w:lineRule="auto"/>
      </w:pPr>
      <w:r>
        <w:rPr>
          <w:rFonts w:hint="eastAsia"/>
        </w:rPr>
        <w:t>前期准备阶段：</w:t>
      </w:r>
    </w:p>
    <w:p w14:paraId="5FDC749E">
      <w:pPr>
        <w:pStyle w:val="109"/>
        <w:spacing w:line="360" w:lineRule="auto"/>
      </w:pPr>
      <w:r>
        <w:rPr>
          <w:rFonts w:hint="eastAsia"/>
        </w:rPr>
        <w:t>项目初始化；</w:t>
      </w:r>
    </w:p>
    <w:p w14:paraId="799A9FCC">
      <w:pPr>
        <w:pStyle w:val="109"/>
        <w:spacing w:line="360" w:lineRule="auto"/>
      </w:pPr>
      <w:r>
        <w:rPr>
          <w:rFonts w:hint="eastAsia"/>
        </w:rPr>
        <w:t>监理人员配置；</w:t>
      </w:r>
    </w:p>
    <w:p w14:paraId="61470BFE">
      <w:pPr>
        <w:pStyle w:val="109"/>
        <w:spacing w:line="360" w:lineRule="auto"/>
      </w:pPr>
      <w:r>
        <w:rPr>
          <w:rFonts w:hint="eastAsia"/>
        </w:rPr>
        <w:t>单位信息登记。</w:t>
      </w:r>
    </w:p>
    <w:p w14:paraId="7B0284FA">
      <w:pPr>
        <w:pStyle w:val="174"/>
        <w:spacing w:line="360" w:lineRule="auto"/>
      </w:pPr>
      <w:r>
        <w:rPr>
          <w:rFonts w:hint="eastAsia"/>
        </w:rPr>
        <w:t>施工阶段：</w:t>
      </w:r>
    </w:p>
    <w:p w14:paraId="3580783A">
      <w:pPr>
        <w:pStyle w:val="109"/>
        <w:spacing w:line="360" w:lineRule="auto"/>
      </w:pPr>
      <w:r>
        <w:rPr>
          <w:rFonts w:hint="eastAsia"/>
        </w:rPr>
        <w:t>日常巡查；</w:t>
      </w:r>
    </w:p>
    <w:p w14:paraId="37FDD70B">
      <w:pPr>
        <w:pStyle w:val="109"/>
        <w:spacing w:line="360" w:lineRule="auto"/>
      </w:pPr>
      <w:r>
        <w:rPr>
          <w:rFonts w:hint="eastAsia"/>
        </w:rPr>
        <w:t>旁站记录；</w:t>
      </w:r>
    </w:p>
    <w:p w14:paraId="5958DD89">
      <w:pPr>
        <w:pStyle w:val="109"/>
        <w:spacing w:line="360" w:lineRule="auto"/>
      </w:pPr>
      <w:r>
        <w:rPr>
          <w:rFonts w:hint="eastAsia"/>
        </w:rPr>
        <w:t>工序报验；</w:t>
      </w:r>
    </w:p>
    <w:p w14:paraId="72D5A954">
      <w:pPr>
        <w:pStyle w:val="109"/>
        <w:spacing w:line="360" w:lineRule="auto"/>
      </w:pPr>
      <w:r>
        <w:rPr>
          <w:rFonts w:hint="eastAsia"/>
        </w:rPr>
        <w:t>验收反馈；</w:t>
      </w:r>
    </w:p>
    <w:p w14:paraId="5B874588">
      <w:pPr>
        <w:pStyle w:val="109"/>
        <w:spacing w:line="360" w:lineRule="auto"/>
      </w:pPr>
      <w:r>
        <w:rPr>
          <w:rFonts w:hint="eastAsia"/>
        </w:rPr>
        <w:t>问题整改。</w:t>
      </w:r>
    </w:p>
    <w:p w14:paraId="7270BD31">
      <w:pPr>
        <w:pStyle w:val="174"/>
        <w:spacing w:line="360" w:lineRule="auto"/>
      </w:pPr>
      <w:r>
        <w:rPr>
          <w:rFonts w:hint="eastAsia"/>
        </w:rPr>
        <w:t>风险管控阶段：</w:t>
      </w:r>
    </w:p>
    <w:p w14:paraId="1C09C8C6">
      <w:pPr>
        <w:pStyle w:val="109"/>
        <w:spacing w:line="360" w:lineRule="auto"/>
      </w:pPr>
      <w:r>
        <w:rPr>
          <w:rFonts w:hint="eastAsia"/>
        </w:rPr>
        <w:t>数据采集；</w:t>
      </w:r>
    </w:p>
    <w:p w14:paraId="19D3DA20">
      <w:pPr>
        <w:pStyle w:val="109"/>
        <w:spacing w:line="360" w:lineRule="auto"/>
      </w:pPr>
      <w:r>
        <w:rPr>
          <w:rFonts w:hint="eastAsia"/>
        </w:rPr>
        <w:t>超限识别；</w:t>
      </w:r>
    </w:p>
    <w:p w14:paraId="17929A4C">
      <w:pPr>
        <w:pStyle w:val="109"/>
        <w:spacing w:line="360" w:lineRule="auto"/>
      </w:pPr>
      <w:r>
        <w:rPr>
          <w:rFonts w:hint="eastAsia"/>
        </w:rPr>
        <w:t>自动预警；</w:t>
      </w:r>
    </w:p>
    <w:p w14:paraId="188E796A">
      <w:pPr>
        <w:pStyle w:val="109"/>
        <w:spacing w:line="360" w:lineRule="auto"/>
      </w:pPr>
      <w:r>
        <w:rPr>
          <w:rFonts w:hint="eastAsia"/>
        </w:rPr>
        <w:t>风险通报；</w:t>
      </w:r>
    </w:p>
    <w:p w14:paraId="0D946BE0">
      <w:pPr>
        <w:pStyle w:val="109"/>
        <w:spacing w:line="360" w:lineRule="auto"/>
      </w:pPr>
      <w:r>
        <w:rPr>
          <w:rFonts w:hint="eastAsia"/>
        </w:rPr>
        <w:t>后续跟踪。</w:t>
      </w:r>
    </w:p>
    <w:p w14:paraId="11FB26C7">
      <w:pPr>
        <w:pStyle w:val="174"/>
        <w:spacing w:line="360" w:lineRule="auto"/>
      </w:pPr>
      <w:r>
        <w:rPr>
          <w:rFonts w:hint="eastAsia"/>
        </w:rPr>
        <w:t>成果归档阶段：</w:t>
      </w:r>
    </w:p>
    <w:p w14:paraId="04A822AC">
      <w:pPr>
        <w:pStyle w:val="109"/>
        <w:spacing w:line="360" w:lineRule="auto"/>
      </w:pPr>
      <w:r>
        <w:rPr>
          <w:rFonts w:hint="eastAsia"/>
        </w:rPr>
        <w:t>表单归集；</w:t>
      </w:r>
    </w:p>
    <w:p w14:paraId="0E9A9DFD">
      <w:pPr>
        <w:pStyle w:val="109"/>
        <w:spacing w:line="360" w:lineRule="auto"/>
      </w:pPr>
      <w:r>
        <w:rPr>
          <w:rFonts w:hint="eastAsia"/>
        </w:rPr>
        <w:t>数据锁定；</w:t>
      </w:r>
    </w:p>
    <w:p w14:paraId="26CF7261">
      <w:pPr>
        <w:pStyle w:val="109"/>
        <w:spacing w:line="360" w:lineRule="auto"/>
      </w:pPr>
      <w:r>
        <w:rPr>
          <w:rFonts w:hint="eastAsia"/>
        </w:rPr>
        <w:t>数据归档；</w:t>
      </w:r>
    </w:p>
    <w:p w14:paraId="600C53F4">
      <w:pPr>
        <w:pStyle w:val="109"/>
        <w:spacing w:line="360" w:lineRule="auto"/>
      </w:pPr>
      <w:r>
        <w:rPr>
          <w:rFonts w:hint="eastAsia"/>
        </w:rPr>
        <w:t>项目移交。</w:t>
      </w:r>
    </w:p>
    <w:p w14:paraId="6B9C1A98">
      <w:pPr>
        <w:pStyle w:val="56"/>
        <w:spacing w:line="360" w:lineRule="auto"/>
        <w:ind w:firstLine="420"/>
      </w:pPr>
      <w:r>
        <w:rPr>
          <w:rFonts w:hint="eastAsia"/>
        </w:rPr>
        <w:t>上述业务流程应支持灵活配置，满足不同项目类型与管理模式的个性化需求。</w:t>
      </w:r>
    </w:p>
    <w:p w14:paraId="5E4BB378">
      <w:pPr>
        <w:pStyle w:val="105"/>
        <w:spacing w:before="120" w:after="120" w:line="360" w:lineRule="auto"/>
      </w:pPr>
      <w:r>
        <w:rPr>
          <w:rFonts w:hint="eastAsia"/>
        </w:rPr>
        <w:t>用户角色与权限设置</w:t>
      </w:r>
    </w:p>
    <w:p w14:paraId="4D2ABF8A">
      <w:pPr>
        <w:pStyle w:val="56"/>
        <w:spacing w:line="360" w:lineRule="auto"/>
        <w:ind w:firstLine="420"/>
      </w:pPr>
      <w:r>
        <w:rPr>
          <w:rFonts w:hint="eastAsia"/>
        </w:rPr>
        <w:t>系统应设置不同用户角色，明确职责分工，并通过权限控制机制保障系统安全性。典型角色主要权限与职责如表2所示。</w:t>
      </w:r>
    </w:p>
    <w:p w14:paraId="726E0F2C">
      <w:pPr>
        <w:pStyle w:val="112"/>
        <w:spacing w:before="120" w:after="120"/>
      </w:pPr>
      <w:r>
        <w:rPr>
          <w:rFonts w:hint="eastAsia"/>
        </w:rPr>
        <w:t>角色及其主要权限与职责</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01"/>
        <w:gridCol w:w="5233"/>
      </w:tblGrid>
      <w:tr w14:paraId="655E33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101" w:type="dxa"/>
            <w:tcBorders>
              <w:top w:val="single" w:color="auto" w:sz="8" w:space="0"/>
              <w:bottom w:val="single" w:color="auto" w:sz="8" w:space="0"/>
            </w:tcBorders>
            <w:shd w:val="clear" w:color="auto" w:fill="auto"/>
          </w:tcPr>
          <w:p w14:paraId="56A9B898">
            <w:pPr>
              <w:pStyle w:val="178"/>
            </w:pPr>
            <w:r>
              <w:rPr>
                <w:rFonts w:hint="eastAsia"/>
              </w:rPr>
              <w:t>角色名称</w:t>
            </w:r>
          </w:p>
        </w:tc>
        <w:tc>
          <w:tcPr>
            <w:tcW w:w="5233" w:type="dxa"/>
            <w:tcBorders>
              <w:top w:val="single" w:color="auto" w:sz="8" w:space="0"/>
              <w:bottom w:val="single" w:color="auto" w:sz="8" w:space="0"/>
            </w:tcBorders>
            <w:shd w:val="clear" w:color="auto" w:fill="auto"/>
          </w:tcPr>
          <w:p w14:paraId="481B9634">
            <w:pPr>
              <w:pStyle w:val="178"/>
            </w:pPr>
            <w:r>
              <w:rPr>
                <w:rFonts w:hint="eastAsia"/>
              </w:rPr>
              <w:t>主要权限与职责</w:t>
            </w:r>
          </w:p>
        </w:tc>
      </w:tr>
      <w:tr w14:paraId="303E6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01" w:type="dxa"/>
            <w:tcBorders>
              <w:top w:val="single" w:color="auto" w:sz="8" w:space="0"/>
            </w:tcBorders>
            <w:shd w:val="clear" w:color="auto" w:fill="auto"/>
          </w:tcPr>
          <w:p w14:paraId="69F6941E">
            <w:pPr>
              <w:pStyle w:val="178"/>
            </w:pPr>
            <w:r>
              <w:rPr>
                <w:rFonts w:hint="eastAsia"/>
              </w:rPr>
              <w:t>管理员</w:t>
            </w:r>
          </w:p>
        </w:tc>
        <w:tc>
          <w:tcPr>
            <w:tcW w:w="5233" w:type="dxa"/>
            <w:tcBorders>
              <w:top w:val="single" w:color="auto" w:sz="8" w:space="0"/>
            </w:tcBorders>
            <w:shd w:val="clear" w:color="auto" w:fill="auto"/>
          </w:tcPr>
          <w:p w14:paraId="339D2FC5">
            <w:pPr>
              <w:pStyle w:val="178"/>
            </w:pPr>
            <w:r>
              <w:rPr>
                <w:rFonts w:hint="eastAsia"/>
              </w:rPr>
              <w:t>用户管理、系统设置、项目初始化</w:t>
            </w:r>
          </w:p>
        </w:tc>
      </w:tr>
      <w:tr w14:paraId="3BDE7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01" w:type="dxa"/>
            <w:shd w:val="clear" w:color="auto" w:fill="auto"/>
          </w:tcPr>
          <w:p w14:paraId="6647B67F">
            <w:pPr>
              <w:pStyle w:val="178"/>
            </w:pPr>
            <w:r>
              <w:rPr>
                <w:rFonts w:hint="eastAsia"/>
              </w:rPr>
              <w:t>总监理工程师</w:t>
            </w:r>
          </w:p>
        </w:tc>
        <w:tc>
          <w:tcPr>
            <w:tcW w:w="5233" w:type="dxa"/>
            <w:shd w:val="clear" w:color="auto" w:fill="auto"/>
          </w:tcPr>
          <w:p w14:paraId="683106CB">
            <w:pPr>
              <w:pStyle w:val="178"/>
            </w:pPr>
            <w:r>
              <w:rPr>
                <w:rFonts w:hint="eastAsia"/>
              </w:rPr>
              <w:t>监督审核、流程审批、异常处理</w:t>
            </w:r>
          </w:p>
        </w:tc>
      </w:tr>
      <w:tr w14:paraId="2EBF6E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01" w:type="dxa"/>
            <w:shd w:val="clear" w:color="auto" w:fill="auto"/>
          </w:tcPr>
          <w:p w14:paraId="61D6BE36">
            <w:pPr>
              <w:pStyle w:val="178"/>
            </w:pPr>
            <w:r>
              <w:rPr>
                <w:rFonts w:hint="eastAsia"/>
              </w:rPr>
              <w:t>专业监理工程师</w:t>
            </w:r>
          </w:p>
        </w:tc>
        <w:tc>
          <w:tcPr>
            <w:tcW w:w="5233" w:type="dxa"/>
            <w:shd w:val="clear" w:color="auto" w:fill="auto"/>
          </w:tcPr>
          <w:p w14:paraId="064C0DF0">
            <w:pPr>
              <w:pStyle w:val="178"/>
            </w:pPr>
            <w:r>
              <w:rPr>
                <w:rFonts w:hint="eastAsia"/>
              </w:rPr>
              <w:t>数据填报、巡视记录、工序验收、报表生成</w:t>
            </w:r>
          </w:p>
        </w:tc>
      </w:tr>
      <w:tr w14:paraId="3A85CA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01" w:type="dxa"/>
            <w:shd w:val="clear" w:color="auto" w:fill="auto"/>
          </w:tcPr>
          <w:p w14:paraId="00FA4FF1">
            <w:pPr>
              <w:pStyle w:val="178"/>
            </w:pPr>
            <w:r>
              <w:rPr>
                <w:rFonts w:hint="eastAsia"/>
              </w:rPr>
              <w:t>施工单位</w:t>
            </w:r>
          </w:p>
        </w:tc>
        <w:tc>
          <w:tcPr>
            <w:tcW w:w="5233" w:type="dxa"/>
            <w:shd w:val="clear" w:color="auto" w:fill="auto"/>
          </w:tcPr>
          <w:p w14:paraId="1DD975B8">
            <w:pPr>
              <w:pStyle w:val="178"/>
            </w:pPr>
            <w:r>
              <w:rPr>
                <w:rFonts w:hint="eastAsia"/>
              </w:rPr>
              <w:t>报验申请、整改反馈、问题响应</w:t>
            </w:r>
          </w:p>
        </w:tc>
      </w:tr>
      <w:tr w14:paraId="5C9E48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01" w:type="dxa"/>
            <w:shd w:val="clear" w:color="auto" w:fill="auto"/>
          </w:tcPr>
          <w:p w14:paraId="39C66BC1">
            <w:pPr>
              <w:pStyle w:val="178"/>
            </w:pPr>
            <w:r>
              <w:rPr>
                <w:rFonts w:hint="eastAsia"/>
              </w:rPr>
              <w:t>业主单位</w:t>
            </w:r>
          </w:p>
        </w:tc>
        <w:tc>
          <w:tcPr>
            <w:tcW w:w="5233" w:type="dxa"/>
            <w:shd w:val="clear" w:color="auto" w:fill="auto"/>
          </w:tcPr>
          <w:p w14:paraId="0C20AD1F">
            <w:pPr>
              <w:pStyle w:val="178"/>
            </w:pPr>
            <w:r>
              <w:rPr>
                <w:rFonts w:hint="eastAsia"/>
              </w:rPr>
              <w:t>查询浏览、节点确认、进度监督</w:t>
            </w:r>
          </w:p>
        </w:tc>
      </w:tr>
    </w:tbl>
    <w:p w14:paraId="640BA730">
      <w:pPr>
        <w:pStyle w:val="187"/>
        <w:numPr>
          <w:ilvl w:val="0"/>
          <w:numId w:val="0"/>
        </w:numPr>
        <w:spacing w:before="120" w:beforeLines="50" w:line="360" w:lineRule="auto"/>
        <w:ind w:firstLine="420" w:firstLineChars="200"/>
      </w:pPr>
      <w:r>
        <w:rPr>
          <w:rFonts w:hint="eastAsia"/>
        </w:rPr>
        <w:t>通过角色配置与流程协同，实现跨单位、跨层级的数据协作与过程管控。</w:t>
      </w:r>
    </w:p>
    <w:p w14:paraId="5AB9147B">
      <w:pPr>
        <w:pStyle w:val="104"/>
        <w:spacing w:before="240" w:after="240" w:line="360" w:lineRule="auto"/>
      </w:pPr>
      <w:bookmarkStart w:id="55" w:name="_Toc200396258"/>
      <w:r>
        <w:rPr>
          <w:rFonts w:hint="eastAsia"/>
        </w:rPr>
        <w:t>应用示范与实施建议</w:t>
      </w:r>
      <w:bookmarkEnd w:id="55"/>
    </w:p>
    <w:p w14:paraId="4E49CFC1">
      <w:pPr>
        <w:pStyle w:val="105"/>
        <w:spacing w:before="120" w:after="120" w:line="360" w:lineRule="auto"/>
      </w:pPr>
      <w:r>
        <w:rPr>
          <w:rFonts w:hint="eastAsia"/>
        </w:rPr>
        <w:t>典型应用示范</w:t>
      </w:r>
    </w:p>
    <w:p w14:paraId="1A24358D">
      <w:pPr>
        <w:pStyle w:val="56"/>
        <w:spacing w:line="360" w:lineRule="auto"/>
        <w:ind w:firstLine="420"/>
      </w:pPr>
      <w:r>
        <w:rPr>
          <w:rFonts w:hint="eastAsia"/>
        </w:rPr>
        <w:t>为了实现水利工程智慧监理全过程的数据贯通与系统联动，应在信息集成与系统应用方面构建统一、高效的标准化架构。系统应具备对设计、施工、监理、验收等各阶段业务数据的集成能力，支持多源异构数据的统一接入、标准转换与结构化存储，确保工程全生命周期的信息资源有效整合与深度利用。</w:t>
      </w:r>
    </w:p>
    <w:p w14:paraId="102BB3D5">
      <w:pPr>
        <w:pStyle w:val="65"/>
        <w:spacing w:before="120" w:after="120" w:line="360" w:lineRule="auto"/>
      </w:pPr>
      <w:r>
        <w:rPr>
          <w:rFonts w:hint="eastAsia"/>
        </w:rPr>
        <w:t>数据集成方面</w:t>
      </w:r>
    </w:p>
    <w:p w14:paraId="5EEBD13B">
      <w:pPr>
        <w:pStyle w:val="56"/>
        <w:spacing w:line="360" w:lineRule="auto"/>
        <w:ind w:firstLine="420"/>
      </w:pPr>
      <w:r>
        <w:rPr>
          <w:rFonts w:hint="eastAsia"/>
        </w:rPr>
        <w:t>在数据集成方面，平台应支持来自BIM模型、GIS系统、传感器设备、视频监控、移动终端等多类型数据源的接入。应通过制定统一的数据接口规范、数据格式标准和传输协议，实现不同系统间的数据互认与高效传输。</w:t>
      </w:r>
    </w:p>
    <w:p w14:paraId="4C4999BA">
      <w:pPr>
        <w:pStyle w:val="56"/>
        <w:spacing w:line="360" w:lineRule="auto"/>
        <w:ind w:firstLine="420"/>
      </w:pPr>
      <w:r>
        <w:rPr>
          <w:rFonts w:hint="eastAsia"/>
        </w:rPr>
        <w:t>集成过程中应充分考虑数据质量控制机制，对接收数据进行完整性、准确性和一致性校验，并设有数据版本管理和历史记录追踪功能。</w:t>
      </w:r>
    </w:p>
    <w:p w14:paraId="3AA1C33A">
      <w:pPr>
        <w:pStyle w:val="65"/>
        <w:spacing w:before="120" w:after="120" w:line="360" w:lineRule="auto"/>
      </w:pPr>
      <w:r>
        <w:rPr>
          <w:rFonts w:hint="eastAsia"/>
        </w:rPr>
        <w:t>系统应用层面</w:t>
      </w:r>
    </w:p>
    <w:p w14:paraId="2631180C">
      <w:pPr>
        <w:pStyle w:val="56"/>
        <w:spacing w:line="360" w:lineRule="auto"/>
        <w:ind w:firstLine="420"/>
      </w:pPr>
      <w:r>
        <w:rPr>
          <w:rFonts w:hint="eastAsia"/>
        </w:rPr>
        <w:t>在系统应用层面，应实现监理流程全覆盖，包括施工日志记录、关键工序审核、风险预警提示、进度偏差分析等功能模块的有机集成。</w:t>
      </w:r>
    </w:p>
    <w:p w14:paraId="69CDC4C7">
      <w:pPr>
        <w:pStyle w:val="56"/>
        <w:spacing w:line="360" w:lineRule="auto"/>
        <w:ind w:firstLine="420"/>
      </w:pPr>
      <w:r>
        <w:rPr>
          <w:rFonts w:hint="eastAsia"/>
        </w:rPr>
        <w:t>平台应具备信息可视化能力，能够以图形化、报表化、流程化的方式直观展示工程进展、质量状况和监管状态，并实现按项目、时间、单位等维度的多级查询与比对分析。</w:t>
      </w:r>
    </w:p>
    <w:p w14:paraId="22F9E375">
      <w:pPr>
        <w:pStyle w:val="65"/>
        <w:spacing w:before="120" w:after="120" w:line="360" w:lineRule="auto"/>
      </w:pPr>
      <w:r>
        <w:rPr>
          <w:rFonts w:hint="eastAsia"/>
        </w:rPr>
        <w:t>其他方面</w:t>
      </w:r>
    </w:p>
    <w:p w14:paraId="088DFC52">
      <w:pPr>
        <w:pStyle w:val="56"/>
        <w:spacing w:line="360" w:lineRule="auto"/>
        <w:ind w:firstLine="420"/>
      </w:pPr>
      <w:r>
        <w:rPr>
          <w:rFonts w:hint="eastAsia"/>
        </w:rPr>
        <w:t>系统应具备可拓展性与兼容性，支持后续与智慧工地管理平台、水利工程建设管理系统、项目档案管理平台等业务系统的对接，构建统一的智慧监理生态体系。整体架构应满足模块解耦、接口开放、服务标准统一的原则，便于后期迭代升级与功能拓展。</w:t>
      </w:r>
    </w:p>
    <w:p w14:paraId="1A889A57">
      <w:pPr>
        <w:pStyle w:val="104"/>
        <w:spacing w:before="240" w:after="240" w:line="360" w:lineRule="auto"/>
      </w:pPr>
      <w:bookmarkStart w:id="56" w:name="_Toc200396259"/>
      <w:r>
        <w:rPr>
          <w:rFonts w:hint="eastAsia"/>
        </w:rPr>
        <w:t>安全保障与数据保护要求</w:t>
      </w:r>
      <w:bookmarkEnd w:id="56"/>
    </w:p>
    <w:p w14:paraId="2E82ECEA">
      <w:pPr>
        <w:pStyle w:val="105"/>
        <w:spacing w:before="120" w:after="120" w:line="360" w:lineRule="auto"/>
      </w:pPr>
      <w:r>
        <w:rPr>
          <w:rFonts w:hint="eastAsia"/>
        </w:rPr>
        <w:t>网络与平台安全</w:t>
      </w:r>
    </w:p>
    <w:p w14:paraId="6FC78AF9">
      <w:pPr>
        <w:pStyle w:val="56"/>
        <w:spacing w:line="360" w:lineRule="auto"/>
        <w:ind w:firstLine="420"/>
      </w:pPr>
      <w:r>
        <w:rPr>
          <w:rFonts w:hint="eastAsia"/>
        </w:rPr>
        <w:t>为防止系统运行中出现数据泄漏、攻击或恶意篡改等风险，应确保平台在网络架构和通信协议上具备较高的防护能力：</w:t>
      </w:r>
    </w:p>
    <w:p w14:paraId="7A59E313">
      <w:pPr>
        <w:pStyle w:val="132"/>
        <w:spacing w:line="360" w:lineRule="auto"/>
      </w:pPr>
      <w:r>
        <w:rPr>
          <w:rFonts w:hint="eastAsia"/>
        </w:rPr>
        <w:t>构建分层隔离的网络架构，关键监理数据传输应通过加密通道进行，保障数据链路安全；</w:t>
      </w:r>
    </w:p>
    <w:p w14:paraId="10E8B387">
      <w:pPr>
        <w:pStyle w:val="132"/>
        <w:spacing w:line="360" w:lineRule="auto"/>
      </w:pPr>
      <w:r>
        <w:rPr>
          <w:rFonts w:hint="eastAsia"/>
        </w:rPr>
        <w:t>平台应支持访问控制机制，限制不同角色的系统操作权限；</w:t>
      </w:r>
    </w:p>
    <w:p w14:paraId="7846EC7F">
      <w:pPr>
        <w:pStyle w:val="132"/>
        <w:spacing w:line="360" w:lineRule="auto"/>
      </w:pPr>
      <w:r>
        <w:rPr>
          <w:rFonts w:hint="eastAsia"/>
        </w:rPr>
        <w:t>所有操作日志应记录并加密备份，定期审查异常操作行为；</w:t>
      </w:r>
    </w:p>
    <w:p w14:paraId="14400D28">
      <w:pPr>
        <w:pStyle w:val="132"/>
        <w:spacing w:line="360" w:lineRule="auto"/>
      </w:pPr>
      <w:r>
        <w:rPr>
          <w:rFonts w:hint="eastAsia"/>
        </w:rPr>
        <w:t>系统应定期开展漏洞扫描和渗透测试，提升抵御外部攻击能力。</w:t>
      </w:r>
    </w:p>
    <w:p w14:paraId="1904AA77">
      <w:pPr>
        <w:pStyle w:val="105"/>
        <w:spacing w:before="120" w:after="120"/>
      </w:pPr>
      <w:r>
        <w:rPr>
          <w:rFonts w:hint="eastAsia"/>
        </w:rPr>
        <w:t>数据存储与访问权限管理</w:t>
      </w:r>
    </w:p>
    <w:p w14:paraId="630C448F">
      <w:pPr>
        <w:pStyle w:val="56"/>
        <w:spacing w:line="360" w:lineRule="auto"/>
        <w:ind w:firstLine="420"/>
      </w:pPr>
      <w:r>
        <w:rPr>
          <w:rFonts w:hint="eastAsia"/>
        </w:rPr>
        <w:t>针对水利工程智慧监理涉及的多方协同数据，应加强数据存储与访问管理：</w:t>
      </w:r>
    </w:p>
    <w:p w14:paraId="211FEAF4">
      <w:pPr>
        <w:pStyle w:val="132"/>
        <w:spacing w:line="360" w:lineRule="auto"/>
      </w:pPr>
      <w:r>
        <w:rPr>
          <w:rFonts w:hint="eastAsia"/>
        </w:rPr>
        <w:t>所有监理数据应实现分级分类管理，不同层级的数据按角色进行访问授权；</w:t>
      </w:r>
    </w:p>
    <w:p w14:paraId="79072335">
      <w:pPr>
        <w:pStyle w:val="132"/>
        <w:spacing w:line="360" w:lineRule="auto"/>
      </w:pPr>
      <w:r>
        <w:rPr>
          <w:rFonts w:hint="eastAsia"/>
        </w:rPr>
        <w:t>高敏感性数据如合同信息、验收资料、施工单位行为记录等，应独立加密存储；</w:t>
      </w:r>
    </w:p>
    <w:p w14:paraId="741CD741">
      <w:pPr>
        <w:pStyle w:val="132"/>
        <w:spacing w:line="360" w:lineRule="auto"/>
      </w:pPr>
      <w:r>
        <w:rPr>
          <w:rFonts w:hint="eastAsia"/>
        </w:rPr>
        <w:t>系统应具备权限审批和动态变更机制，确保数据可控、可审、可追溯；</w:t>
      </w:r>
    </w:p>
    <w:p w14:paraId="2DF9DCFC">
      <w:pPr>
        <w:pStyle w:val="132"/>
        <w:spacing w:line="360" w:lineRule="auto"/>
      </w:pPr>
      <w:r>
        <w:rPr>
          <w:rFonts w:hint="eastAsia"/>
        </w:rPr>
        <w:t>数据存储平台应支持本地部署与云端备份双路径，提升冗余性和可靠性。</w:t>
      </w:r>
    </w:p>
    <w:p w14:paraId="342A0F5B">
      <w:pPr>
        <w:pStyle w:val="105"/>
        <w:spacing w:before="120" w:after="120" w:line="360" w:lineRule="auto"/>
      </w:pPr>
      <w:r>
        <w:rPr>
          <w:rFonts w:hint="eastAsia"/>
        </w:rPr>
        <w:t>隐私保护与合规性控制</w:t>
      </w:r>
    </w:p>
    <w:p w14:paraId="4C9BD2E6">
      <w:pPr>
        <w:pStyle w:val="56"/>
        <w:spacing w:line="360" w:lineRule="auto"/>
        <w:ind w:firstLine="420"/>
      </w:pPr>
      <w:r>
        <w:rPr>
          <w:rFonts w:hint="eastAsia"/>
        </w:rPr>
        <w:t>在进行数据采集、存储和共享过程中，需保障相关方的隐私权，防止信息滥用：</w:t>
      </w:r>
    </w:p>
    <w:p w14:paraId="6288A2C5">
      <w:pPr>
        <w:pStyle w:val="132"/>
        <w:spacing w:line="360" w:lineRule="auto"/>
      </w:pPr>
      <w:r>
        <w:rPr>
          <w:rFonts w:hint="eastAsia"/>
        </w:rPr>
        <w:t>系统采集个人信息应限于工作管理所必需的范围，并明确告知数据用途；</w:t>
      </w:r>
    </w:p>
    <w:p w14:paraId="63C31FAB">
      <w:pPr>
        <w:pStyle w:val="132"/>
        <w:spacing w:line="360" w:lineRule="auto"/>
      </w:pPr>
      <w:r>
        <w:rPr>
          <w:rFonts w:hint="eastAsia"/>
        </w:rPr>
        <w:t>应设立数据脱敏机制，防止未经授权的用户获取完整敏感信息；</w:t>
      </w:r>
    </w:p>
    <w:p w14:paraId="3417D9EF">
      <w:pPr>
        <w:pStyle w:val="132"/>
        <w:spacing w:line="360" w:lineRule="auto"/>
      </w:pPr>
      <w:r>
        <w:rPr>
          <w:rFonts w:hint="eastAsia"/>
        </w:rPr>
        <w:t>对外接口调用应具备数据校验机制，避免非法调用和信息泄露；</w:t>
      </w:r>
    </w:p>
    <w:p w14:paraId="1B0D5051">
      <w:pPr>
        <w:pStyle w:val="132"/>
        <w:spacing w:line="360" w:lineRule="auto"/>
      </w:pPr>
      <w:r>
        <w:rPr>
          <w:rFonts w:hint="eastAsia"/>
        </w:rPr>
        <w:t>监理平台应具备日志追溯与合规审计能力，支持主管单位的常态化监管。</w:t>
      </w:r>
    </w:p>
    <w:p w14:paraId="654074CB">
      <w:pPr>
        <w:pStyle w:val="105"/>
        <w:spacing w:before="120" w:after="120" w:line="360" w:lineRule="auto"/>
      </w:pPr>
      <w:r>
        <w:rPr>
          <w:rFonts w:hint="eastAsia"/>
        </w:rPr>
        <w:t>运维与应急响应机制</w:t>
      </w:r>
    </w:p>
    <w:p w14:paraId="74CD83CF">
      <w:pPr>
        <w:pStyle w:val="56"/>
        <w:spacing w:line="360" w:lineRule="auto"/>
        <w:ind w:firstLine="420"/>
      </w:pPr>
      <w:r>
        <w:rPr>
          <w:rFonts w:hint="eastAsia"/>
        </w:rPr>
        <w:t>系统的稳定运维是保障数据流畅传输和业务持续运行的重要基础，应建立系统化的运维与应急处理机制：</w:t>
      </w:r>
    </w:p>
    <w:p w14:paraId="2B3EF762">
      <w:pPr>
        <w:pStyle w:val="132"/>
        <w:spacing w:line="360" w:lineRule="auto"/>
      </w:pPr>
      <w:r>
        <w:rPr>
          <w:rFonts w:hint="eastAsia"/>
        </w:rPr>
        <w:t>建立7×24小时监控系统运行状态的机制，确保监控设备与平台服务及时响应；</w:t>
      </w:r>
    </w:p>
    <w:p w14:paraId="3F294F4F">
      <w:pPr>
        <w:pStyle w:val="132"/>
        <w:spacing w:line="360" w:lineRule="auto"/>
      </w:pPr>
      <w:r>
        <w:rPr>
          <w:rFonts w:hint="eastAsia"/>
        </w:rPr>
        <w:t>系统应设有备份恢复机制，对突发断电、系统崩溃等情况可快速恢复；</w:t>
      </w:r>
    </w:p>
    <w:p w14:paraId="22F8EDF5">
      <w:pPr>
        <w:pStyle w:val="132"/>
        <w:spacing w:line="360" w:lineRule="auto"/>
      </w:pPr>
      <w:r>
        <w:rPr>
          <w:rFonts w:hint="eastAsia"/>
        </w:rPr>
        <w:t>运维团队应建立预警处置流程和应急预案，定期开展演练验证；</w:t>
      </w:r>
    </w:p>
    <w:p w14:paraId="6278E900">
      <w:pPr>
        <w:pStyle w:val="132"/>
        <w:spacing w:line="360" w:lineRule="auto"/>
      </w:pPr>
      <w:r>
        <w:rPr>
          <w:rFonts w:hint="eastAsia"/>
        </w:rPr>
        <w:t>更新与补丁推送应纳入统一版本管理机制，避免功能冲突或安全漏洞。</w:t>
      </w:r>
    </w:p>
    <w:bookmarkEnd w:id="26"/>
    <w:p w14:paraId="0B25E2E2">
      <w:pPr>
        <w:pStyle w:val="56"/>
        <w:ind w:firstLine="0" w:firstLineChars="0"/>
        <w:jc w:val="center"/>
      </w:pPr>
      <w:bookmarkStart w:id="57" w:name="BookMark8"/>
      <w:r>
        <w:rPr>
          <w:rFonts w:hint="eastAsia"/>
        </w:rPr>
        <w:drawing>
          <wp:inline distT="0" distB="0" distL="0" distR="0">
            <wp:extent cx="1485900" cy="317500"/>
            <wp:effectExtent l="0" t="0" r="0" b="6350"/>
            <wp:docPr id="479726511" name="图片 5"/>
            <wp:cNvGraphicFramePr/>
            <a:graphic xmlns:a="http://schemas.openxmlformats.org/drawingml/2006/main">
              <a:graphicData uri="http://schemas.openxmlformats.org/drawingml/2006/picture">
                <pic:pic xmlns:pic="http://schemas.openxmlformats.org/drawingml/2006/picture">
                  <pic:nvPicPr>
                    <pic:cNvPr id="479726511" name="图片 5"/>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91010">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7E6E4">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F79F6">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A95D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774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71825">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B45BC">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FA74B">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2F7A4">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5335A">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5EAE5">
    <w:pPr>
      <w:pStyle w:val="51"/>
    </w:pPr>
    <w:r>
      <w:fldChar w:fldCharType="begin"/>
    </w:r>
    <w:r>
      <w:instrText xml:space="preserve"> PAGE   \* MERGEFORMAT \* MERGEFORMAT </w:instrText>
    </w:r>
    <w:r>
      <w:fldChar w:fldCharType="separate"/>
    </w:r>
    <w: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D92CC">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1DE1E">
    <w:pPr>
      <w:pStyle w:val="61"/>
    </w:pPr>
    <w:r>
      <w:fldChar w:fldCharType="begin"/>
    </w:r>
    <w:r>
      <w:instrText xml:space="preserve"> STYLEREF  标准文件_文件编号  \* MERGEFORMAT </w:instrText>
    </w:r>
    <w:r>
      <w:fldChar w:fldCharType="separate"/>
    </w:r>
    <w:r>
      <w:t>T/XJBX 0041—2025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ED932">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0041—2025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59F40">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175F">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58988">
    <w:pPr>
      <w:pStyle w:val="61"/>
    </w:pPr>
    <w:r>
      <w:fldChar w:fldCharType="begin"/>
    </w:r>
    <w:r>
      <w:instrText xml:space="preserve"> STYLEREF  标准文件_文件编号  \* MERGEFORMAT </w:instrText>
    </w:r>
    <w:r>
      <w:fldChar w:fldCharType="separate"/>
    </w:r>
    <w:r>
      <w:t>T/XJBX 0041—2025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1690">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T/XJBX 0041—2025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D983">
    <w:pPr>
      <w:pStyle w:val="61"/>
    </w:pPr>
    <w:r>
      <w:fldChar w:fldCharType="begin"/>
    </w:r>
    <w:r>
      <w:instrText xml:space="preserve"> STYLEREF  标准文件_文件编号  \* MERGEFORMAT </w:instrText>
    </w:r>
    <w:r>
      <w:fldChar w:fldCharType="separate"/>
    </w:r>
    <w:r>
      <w:t>T/XJBX 0041—2025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49429">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0041—2025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27578">
    <w:pPr>
      <w:pStyle w:val="61"/>
    </w:pPr>
    <w:r>
      <w:fldChar w:fldCharType="begin"/>
    </w:r>
    <w:r>
      <w:instrText xml:space="preserve"> STYLEREF  标准文件_文件编号  \* MERGEFORMAT </w:instrText>
    </w:r>
    <w:r>
      <w:fldChar w:fldCharType="separate"/>
    </w:r>
    <w:r>
      <w:t>T/XJBX 0041—2025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182BA">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0041—2025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Y0tbQ0sDQyMTc3MTZR0lEKTi0uzszPAykwrAUAbio5ySwAAAA="/>
  </w:docVars>
  <w:rsids>
    <w:rsidRoot w:val="00CB351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084"/>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3FE"/>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F71"/>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7F57"/>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34C"/>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15E"/>
    <w:rsid w:val="00243540"/>
    <w:rsid w:val="0024497B"/>
    <w:rsid w:val="0024515B"/>
    <w:rsid w:val="00246021"/>
    <w:rsid w:val="0024666E"/>
    <w:rsid w:val="00247F52"/>
    <w:rsid w:val="00250B25"/>
    <w:rsid w:val="00250BBE"/>
    <w:rsid w:val="002515C2"/>
    <w:rsid w:val="0025194F"/>
    <w:rsid w:val="0026148A"/>
    <w:rsid w:val="00262696"/>
    <w:rsid w:val="00263D25"/>
    <w:rsid w:val="00264377"/>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15E7"/>
    <w:rsid w:val="002E2021"/>
    <w:rsid w:val="002E4D5A"/>
    <w:rsid w:val="002E6326"/>
    <w:rsid w:val="002F30E0"/>
    <w:rsid w:val="002F35E4"/>
    <w:rsid w:val="002F3730"/>
    <w:rsid w:val="002F38E1"/>
    <w:rsid w:val="002F7AF6"/>
    <w:rsid w:val="00300E63"/>
    <w:rsid w:val="00302F5F"/>
    <w:rsid w:val="0030441D"/>
    <w:rsid w:val="00306063"/>
    <w:rsid w:val="00312D8E"/>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38A"/>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6214"/>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915"/>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09A0"/>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5A7"/>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0787E"/>
    <w:rsid w:val="00B10534"/>
    <w:rsid w:val="00B113DB"/>
    <w:rsid w:val="00B11D8A"/>
    <w:rsid w:val="00B12981"/>
    <w:rsid w:val="00B147DD"/>
    <w:rsid w:val="00B14BF6"/>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12F"/>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43B"/>
    <w:rsid w:val="00CA662A"/>
    <w:rsid w:val="00CA7AFD"/>
    <w:rsid w:val="00CA7C3C"/>
    <w:rsid w:val="00CB0189"/>
    <w:rsid w:val="00CB0BA2"/>
    <w:rsid w:val="00CB1A42"/>
    <w:rsid w:val="00CB1B0C"/>
    <w:rsid w:val="00CB2C0B"/>
    <w:rsid w:val="00CB351F"/>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59EB"/>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68C2"/>
    <w:rsid w:val="00D4734F"/>
    <w:rsid w:val="00D51BF3"/>
    <w:rsid w:val="00D66846"/>
    <w:rsid w:val="00D675FB"/>
    <w:rsid w:val="00D71F25"/>
    <w:rsid w:val="00D72A9C"/>
    <w:rsid w:val="00D77031"/>
    <w:rsid w:val="00D84941"/>
    <w:rsid w:val="00D84FA1"/>
    <w:rsid w:val="00D851F0"/>
    <w:rsid w:val="00D86DB7"/>
    <w:rsid w:val="00D87BF5"/>
    <w:rsid w:val="00D90721"/>
    <w:rsid w:val="00D91DC6"/>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36A5B"/>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0444"/>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4130D2"/>
    <w:rsid w:val="161E3E50"/>
    <w:rsid w:val="3A1D3D9C"/>
    <w:rsid w:val="3CF40D6B"/>
    <w:rsid w:val="7B524F03"/>
    <w:rsid w:val="7BD20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E4C22ED7F1341F6A7394B7639A6FB6D"/>
        <w:style w:val=""/>
        <w:category>
          <w:name w:val="常规"/>
          <w:gallery w:val="placeholder"/>
        </w:category>
        <w:types>
          <w:type w:val="bbPlcHdr"/>
        </w:types>
        <w:behaviors>
          <w:behavior w:val="content"/>
        </w:behaviors>
        <w:description w:val=""/>
        <w:guid w:val="{AC3B07D9-77C8-4FE7-84EE-088A85868F73}"/>
      </w:docPartPr>
      <w:docPartBody>
        <w:p w14:paraId="7D3AD028">
          <w:pPr>
            <w:pStyle w:val="5"/>
          </w:pPr>
          <w:r>
            <w:rPr>
              <w:rStyle w:val="4"/>
              <w:rFonts w:hint="eastAsia"/>
            </w:rPr>
            <w:t>单击或点击此处输入文字。</w:t>
          </w:r>
        </w:p>
      </w:docPartBody>
    </w:docPart>
    <w:docPart>
      <w:docPartPr>
        <w:name w:val="8D2F21D9789145478F06746B9BC515DD"/>
        <w:style w:val=""/>
        <w:category>
          <w:name w:val="常规"/>
          <w:gallery w:val="placeholder"/>
        </w:category>
        <w:types>
          <w:type w:val="bbPlcHdr"/>
        </w:types>
        <w:behaviors>
          <w:behavior w:val="content"/>
        </w:behaviors>
        <w:description w:val=""/>
        <w:guid w:val="{8C205B48-76C8-4803-A129-7308E6CF752F}"/>
      </w:docPartPr>
      <w:docPartBody>
        <w:p w14:paraId="2279CFC0">
          <w:pPr>
            <w:pStyle w:val="6"/>
          </w:pPr>
          <w:r>
            <w:rPr>
              <w:rStyle w:val="4"/>
              <w:rFonts w:hint="eastAsia"/>
            </w:rPr>
            <w:t>选择一项。</w:t>
          </w:r>
        </w:p>
      </w:docPartBody>
    </w:docPart>
    <w:docPart>
      <w:docPartPr>
        <w:name w:val="FB9C48BB982748DEB0BD1041E0F211FF"/>
        <w:style w:val=""/>
        <w:category>
          <w:name w:val="常规"/>
          <w:gallery w:val="placeholder"/>
        </w:category>
        <w:types>
          <w:type w:val="bbPlcHdr"/>
        </w:types>
        <w:behaviors>
          <w:behavior w:val="content"/>
        </w:behaviors>
        <w:description w:val=""/>
        <w:guid w:val="{0B9230B9-E387-40E4-9751-24FA405CBBDD}"/>
      </w:docPartPr>
      <w:docPartBody>
        <w:p w14:paraId="311151CA">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BD"/>
    <w:rsid w:val="0024215E"/>
    <w:rsid w:val="002E15E7"/>
    <w:rsid w:val="00403ABD"/>
    <w:rsid w:val="00471F4F"/>
    <w:rsid w:val="0057368A"/>
    <w:rsid w:val="009D4996"/>
    <w:rsid w:val="00B14BF6"/>
    <w:rsid w:val="00DC1833"/>
    <w:rsid w:val="00F66239"/>
    <w:rsid w:val="00F7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EE4C22ED7F1341F6A7394B7639A6FB6D"/>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D2F21D9789145478F06746B9BC515D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FB9C48BB982748DEB0BD1041E0F211FF"/>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17</Pages>
  <Words>5781</Words>
  <Characters>6069</Characters>
  <Lines>54</Lines>
  <Paragraphs>15</Paragraphs>
  <TotalTime>79</TotalTime>
  <ScaleCrop>false</ScaleCrop>
  <LinksUpToDate>false</LinksUpToDate>
  <CharactersWithSpaces>6152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2025-06-09T12:07:00Z</dcterms:created>
  <dc:creator>韩梦莹</dc:creator>
  <dc:description>&lt;config cover="true" show_menu="true" version="1.0.0" doctype="SDKXY"&gt;_x000d_
&lt;/config&gt;</dc:description>
  <cp:lastModifiedBy>微信用户</cp:lastModifiedBy>
  <cp:lastPrinted>2021-02-02T08:22:00Z</cp:lastPrinted>
  <dcterms:modified xsi:type="dcterms:W3CDTF">2025-06-11T06:11:11Z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2052-12.1.0.21541</vt:lpwstr>
  </property>
  <property fmtid="{D5CDD505-2E9C-101B-9397-08002B2CF9AE}" pid="17" name="ICV">
    <vt:lpwstr>C51282D6630B48FB87AD7EF79EBDA4E6_12</vt:lpwstr>
  </property>
</Properties>
</file>