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0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09</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7"/>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0037</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74C4F05B">
      <w:pPr>
        <w:pStyle w:val="197"/>
        <w:framePr w:h="6974" w:hRule="exact" w:wrap="around" w:x="1419" w:anchorLock="1"/>
      </w:pPr>
      <w:r>
        <w:rPr>
          <w:rFonts w:hint="eastAsia"/>
        </w:rPr>
        <w:fldChar w:fldCharType="begin">
          <w:ffData>
            <w:name w:val="CSTD_NAME"/>
            <w:enabled/>
            <w:calcOnExit w:val="0"/>
            <w:textInput>
              <w:default w:val="道路桥梁施工安全隐患智能识别与大数据风险防控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道路桥梁施工安全隐患智能识别</w:t>
      </w:r>
    </w:p>
    <w:p w14:paraId="31AB5936">
      <w:pPr>
        <w:pStyle w:val="197"/>
        <w:framePr w:h="6974" w:hRule="exact" w:wrap="around" w:x="1419" w:anchorLock="1"/>
      </w:pPr>
      <w:r>
        <w:rPr>
          <w:rFonts w:hint="eastAsia"/>
        </w:rPr>
        <w:t>与大数据风险防控规范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intelligent identification of safety hazards and big data-based risk prevention and control in road and bridge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intelligent identification of safety hazards and big data-based risk prevention and control in road and bridge construction</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43FCED8E">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1B60CE5">
      <w:pPr>
        <w:pStyle w:val="91"/>
        <w:spacing w:after="360"/>
      </w:pPr>
      <w:bookmarkStart w:id="21" w:name="BookMark1"/>
      <w:r>
        <w:rPr>
          <w:rFonts w:hint="eastAsia"/>
          <w:spacing w:val="320"/>
        </w:rPr>
        <w:t>目</w:t>
      </w:r>
      <w:r>
        <w:rPr>
          <w:rFonts w:hint="eastAsia"/>
        </w:rPr>
        <w:t>次</w:t>
      </w:r>
    </w:p>
    <w:p w14:paraId="0091530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"_Toc200377646"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_Toc200377646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22AD62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"_Toc200377647"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_Toc200377647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066B99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"_Toc200377648"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_Toc200377648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FEA9AD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"_Toc200377649"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_Toc200377649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643F54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_Toc200377650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825EC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"_Toc200377651"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_Toc200377651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1DCA1B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"_Toc200377652" </w:instrText>
      </w:r>
      <w:r>
        <w:fldChar w:fldCharType="separate"/>
      </w:r>
      <w:r>
        <w:rPr>
          <w:rStyle w:val="32"/>
          <w:rFonts w:hint="eastAsia"/>
        </w:rPr>
        <w:t>5</w:t>
      </w:r>
      <w:r>
        <w:rPr>
          <w:rStyle w:val="32"/>
        </w:rPr>
        <w:t xml:space="preserve"> </w:t>
      </w:r>
      <w:r>
        <w:rPr>
          <w:rStyle w:val="32"/>
          <w:rFonts w:hint="eastAsia"/>
        </w:rPr>
        <w:t xml:space="preserve"> 安全隐患智能识别</w:t>
      </w:r>
      <w:r>
        <w:rPr>
          <w:rFonts w:hint="eastAsia"/>
        </w:rPr>
        <w:tab/>
      </w:r>
      <w:r>
        <w:rPr>
          <w:rFonts w:hint="eastAsia"/>
        </w:rPr>
        <w:fldChar w:fldCharType="begin"/>
      </w:r>
      <w:r>
        <w:rPr>
          <w:rFonts w:hint="eastAsia"/>
        </w:rPr>
        <w:instrText xml:space="preserve"> </w:instrText>
      </w:r>
      <w:r>
        <w:instrText xml:space="preserve">PAGEREF _Toc200377652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8347C9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"_Toc200377653" </w:instrText>
      </w:r>
      <w:r>
        <w:fldChar w:fldCharType="separate"/>
      </w:r>
      <w:r>
        <w:rPr>
          <w:rStyle w:val="32"/>
          <w:rFonts w:hint="eastAsia"/>
        </w:rPr>
        <w:t>6</w:t>
      </w:r>
      <w:r>
        <w:rPr>
          <w:rStyle w:val="32"/>
        </w:rPr>
        <w:t xml:space="preserve"> </w:t>
      </w:r>
      <w:r>
        <w:rPr>
          <w:rStyle w:val="32"/>
          <w:rFonts w:hint="eastAsia"/>
        </w:rPr>
        <w:t xml:space="preserve"> 风险等级划分与分级响应</w:t>
      </w:r>
      <w:r>
        <w:rPr>
          <w:rFonts w:hint="eastAsia"/>
        </w:rPr>
        <w:tab/>
      </w:r>
      <w:r>
        <w:rPr>
          <w:rFonts w:hint="eastAsia"/>
        </w:rPr>
        <w:fldChar w:fldCharType="begin"/>
      </w:r>
      <w:r>
        <w:rPr>
          <w:rFonts w:hint="eastAsia"/>
        </w:rPr>
        <w:instrText xml:space="preserve"> </w:instrText>
      </w:r>
      <w:r>
        <w:instrText xml:space="preserve">PAGEREF _Toc200377653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09C6C8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"_Toc200377654" </w:instrText>
      </w:r>
      <w:r>
        <w:fldChar w:fldCharType="separate"/>
      </w:r>
      <w:r>
        <w:rPr>
          <w:rStyle w:val="32"/>
          <w:rFonts w:hint="eastAsia"/>
        </w:rPr>
        <w:t>7</w:t>
      </w:r>
      <w:r>
        <w:rPr>
          <w:rStyle w:val="32"/>
        </w:rPr>
        <w:t xml:space="preserve"> </w:t>
      </w:r>
      <w:r>
        <w:rPr>
          <w:rStyle w:val="32"/>
          <w:rFonts w:hint="eastAsia"/>
        </w:rPr>
        <w:t xml:space="preserve"> 安全隐患智能识别</w:t>
      </w:r>
      <w:r>
        <w:rPr>
          <w:rFonts w:hint="eastAsia"/>
        </w:rPr>
        <w:tab/>
      </w:r>
      <w:r>
        <w:rPr>
          <w:rFonts w:hint="eastAsia"/>
        </w:rPr>
        <w:fldChar w:fldCharType="begin"/>
      </w:r>
      <w:r>
        <w:rPr>
          <w:rFonts w:hint="eastAsia"/>
        </w:rPr>
        <w:instrText xml:space="preserve"> </w:instrText>
      </w:r>
      <w:r>
        <w:instrText xml:space="preserve">PAGEREF _Toc200377654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BFCF97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"_Toc200377655" </w:instrText>
      </w:r>
      <w:r>
        <w:fldChar w:fldCharType="separate"/>
      </w:r>
      <w:r>
        <w:rPr>
          <w:rStyle w:val="32"/>
          <w:rFonts w:hint="eastAsia"/>
        </w:rPr>
        <w:t>8</w:t>
      </w:r>
      <w:r>
        <w:rPr>
          <w:rStyle w:val="32"/>
        </w:rPr>
        <w:t xml:space="preserve"> </w:t>
      </w:r>
      <w:r>
        <w:rPr>
          <w:rStyle w:val="32"/>
          <w:rFonts w:hint="eastAsia"/>
        </w:rPr>
        <w:t xml:space="preserve"> 大数据风险分析与预警</w:t>
      </w:r>
      <w:r>
        <w:rPr>
          <w:rFonts w:hint="eastAsia"/>
        </w:rPr>
        <w:tab/>
      </w:r>
      <w:r>
        <w:rPr>
          <w:rFonts w:hint="eastAsia"/>
        </w:rPr>
        <w:fldChar w:fldCharType="begin"/>
      </w:r>
      <w:r>
        <w:rPr>
          <w:rFonts w:hint="eastAsia"/>
        </w:rPr>
        <w:instrText xml:space="preserve"> </w:instrText>
      </w:r>
      <w:r>
        <w:instrText xml:space="preserve">PAGEREF _Toc200377655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2FB5C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"_Toc200377656" </w:instrText>
      </w:r>
      <w:r>
        <w:fldChar w:fldCharType="separate"/>
      </w:r>
      <w:r>
        <w:rPr>
          <w:rStyle w:val="32"/>
          <w:rFonts w:hint="eastAsia"/>
        </w:rPr>
        <w:t>9</w:t>
      </w:r>
      <w:r>
        <w:rPr>
          <w:rStyle w:val="32"/>
        </w:rPr>
        <w:t xml:space="preserve"> </w:t>
      </w:r>
      <w:r>
        <w:rPr>
          <w:rStyle w:val="32"/>
          <w:rFonts w:hint="eastAsia"/>
        </w:rPr>
        <w:t xml:space="preserve"> 安全处置与应急联动</w:t>
      </w:r>
      <w:r>
        <w:rPr>
          <w:rFonts w:hint="eastAsia"/>
        </w:rPr>
        <w:tab/>
      </w:r>
      <w:r>
        <w:rPr>
          <w:rFonts w:hint="eastAsia"/>
        </w:rPr>
        <w:fldChar w:fldCharType="begin"/>
      </w:r>
      <w:r>
        <w:rPr>
          <w:rFonts w:hint="eastAsia"/>
        </w:rPr>
        <w:instrText xml:space="preserve"> </w:instrText>
      </w:r>
      <w:r>
        <w:instrText xml:space="preserve">PAGEREF _Toc200377656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023965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"_Toc200377657" </w:instrText>
      </w:r>
      <w:r>
        <w:fldChar w:fldCharType="separate"/>
      </w:r>
      <w:r>
        <w:rPr>
          <w:rStyle w:val="32"/>
          <w:rFonts w:hint="eastAsia"/>
        </w:rPr>
        <w:t>10</w:t>
      </w:r>
      <w:r>
        <w:rPr>
          <w:rStyle w:val="32"/>
        </w:rPr>
        <w:t xml:space="preserve"> </w:t>
      </w:r>
      <w:r>
        <w:rPr>
          <w:rStyle w:val="32"/>
          <w:rFonts w:hint="eastAsia"/>
        </w:rPr>
        <w:t xml:space="preserve"> 系统运行与运维管理</w:t>
      </w:r>
      <w:r>
        <w:rPr>
          <w:rFonts w:hint="eastAsia"/>
        </w:rPr>
        <w:tab/>
      </w:r>
      <w:r>
        <w:rPr>
          <w:rFonts w:hint="eastAsia"/>
        </w:rPr>
        <w:fldChar w:fldCharType="begin"/>
      </w:r>
      <w:r>
        <w:rPr>
          <w:rFonts w:hint="eastAsia"/>
        </w:rPr>
        <w:instrText xml:space="preserve"> </w:instrText>
      </w:r>
      <w:r>
        <w:instrText xml:space="preserve">PAGEREF _Toc200377657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04A483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"_Toc200377658" </w:instrText>
      </w:r>
      <w:r>
        <w:fldChar w:fldCharType="separate"/>
      </w:r>
      <w:r>
        <w:rPr>
          <w:rStyle w:val="32"/>
          <w:rFonts w:hint="eastAsia"/>
        </w:rPr>
        <w:t>11</w:t>
      </w:r>
      <w:r>
        <w:rPr>
          <w:rStyle w:val="32"/>
        </w:rPr>
        <w:t xml:space="preserve"> </w:t>
      </w:r>
      <w:r>
        <w:rPr>
          <w:rStyle w:val="32"/>
          <w:rFonts w:hint="eastAsia"/>
        </w:rPr>
        <w:t xml:space="preserve"> 测试与验收方法</w:t>
      </w:r>
      <w:r>
        <w:rPr>
          <w:rFonts w:hint="eastAsia"/>
        </w:rPr>
        <w:tab/>
      </w:r>
      <w:r>
        <w:rPr>
          <w:rFonts w:hint="eastAsia"/>
        </w:rPr>
        <w:fldChar w:fldCharType="begin"/>
      </w:r>
      <w:r>
        <w:rPr>
          <w:rFonts w:hint="eastAsia"/>
        </w:rPr>
        <w:instrText xml:space="preserve"> </w:instrText>
      </w:r>
      <w:r>
        <w:instrText xml:space="preserve">PAGEREF _Toc200377658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CC2297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"_Toc200377659" </w:instrText>
      </w:r>
      <w:r>
        <w:fldChar w:fldCharType="separate"/>
      </w:r>
      <w:r>
        <w:rPr>
          <w:rStyle w:val="32"/>
          <w:rFonts w:hint="eastAsia"/>
        </w:rPr>
        <w:t>12</w:t>
      </w:r>
      <w:r>
        <w:rPr>
          <w:rStyle w:val="32"/>
        </w:rPr>
        <w:t xml:space="preserve"> </w:t>
      </w:r>
      <w:r>
        <w:rPr>
          <w:rStyle w:val="32"/>
          <w:rFonts w:hint="eastAsia"/>
        </w:rPr>
        <w:t xml:space="preserve"> 应用推广与后续维护</w:t>
      </w:r>
      <w:r>
        <w:rPr>
          <w:rFonts w:hint="eastAsia"/>
        </w:rPr>
        <w:tab/>
      </w:r>
      <w:r>
        <w:rPr>
          <w:rFonts w:hint="eastAsia"/>
        </w:rPr>
        <w:fldChar w:fldCharType="begin"/>
      </w:r>
      <w:r>
        <w:rPr>
          <w:rFonts w:hint="eastAsia"/>
        </w:rPr>
        <w:instrText xml:space="preserve"> </w:instrText>
      </w:r>
      <w:r>
        <w:instrText xml:space="preserve">PAGEREF _Toc200377659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4B6DCF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77646"/>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本文件起草单位：绍兴市轨道交通集团有限公司、山东省威海市公路事业发展中心、宁波景业建设有限公司、山东黄河工程集团有限公司、邹城市交通运输局、绍兴市交通运输行政执法队</w:t>
      </w:r>
      <w:r>
        <w:rPr>
          <w:rFonts w:hint="eastAsia"/>
          <w:lang w:eastAsia="zh-CN"/>
        </w:rPr>
        <w:t>、浙江绍金高速公路有限公司、瑞金市宏都检测技术开发有限公司、</w:t>
      </w:r>
      <w:r>
        <w:rPr>
          <w:rFonts w:hint="eastAsia"/>
        </w:rPr>
        <w:t>承德公路工程监理有限责任公司、辽宁省交通建设管理有限责任公司、平泉市交通运输局</w:t>
      </w:r>
      <w:r>
        <w:rPr>
          <w:rFonts w:hint="eastAsia"/>
          <w:lang w:eastAsia="zh-CN"/>
        </w:rPr>
        <w:t>、河北锐驰交通工程咨询有限公司、葛洲坝集团交通投资有限公司</w:t>
      </w:r>
      <w:r>
        <w:rPr>
          <w:rFonts w:hint="eastAsia"/>
        </w:rPr>
        <w:t>。</w:t>
      </w:r>
    </w:p>
    <w:p w14:paraId="6B47B0AB">
      <w:pPr>
        <w:pStyle w:val="56"/>
        <w:spacing w:line="360" w:lineRule="auto"/>
        <w:ind w:firstLine="420"/>
      </w:pPr>
      <w:r>
        <w:rPr>
          <w:rFonts w:hint="eastAsia"/>
        </w:rPr>
        <w:t>本文件主要起草人：方建华、黄鲁明、陈友富、赵忠举、李红焱、张博文</w:t>
      </w:r>
      <w:r>
        <w:rPr>
          <w:rFonts w:hint="eastAsia"/>
          <w:lang w:eastAsia="zh-CN"/>
        </w:rPr>
        <w:t>、冯鸣、陈步榕、</w:t>
      </w:r>
      <w:r>
        <w:rPr>
          <w:rFonts w:hint="eastAsia"/>
        </w:rPr>
        <w:t>孙志龙、李雨衡、刘一晖</w:t>
      </w:r>
      <w:r>
        <w:rPr>
          <w:rFonts w:hint="eastAsia"/>
          <w:lang w:eastAsia="zh-CN"/>
        </w:rPr>
        <w:t>、武晓琳、李阳阳、李培培、王军</w:t>
      </w:r>
      <w:r>
        <w:rPr>
          <w:rFonts w:hint="eastAsia"/>
        </w:rPr>
        <w:t>。</w:t>
      </w:r>
      <w:bookmarkStart w:id="61" w:name="_GoBack"/>
      <w:bookmarkEnd w:id="61"/>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4E216735">
      <w:pPr>
        <w:pStyle w:val="89"/>
        <w:spacing w:after="360"/>
      </w:pPr>
      <w:bookmarkStart w:id="24" w:name="_Toc200377647"/>
      <w:bookmarkStart w:id="25" w:name="BookMark3"/>
      <w:r>
        <w:rPr>
          <w:rFonts w:hint="eastAsia"/>
          <w:spacing w:val="320"/>
        </w:rPr>
        <w:t>引</w:t>
      </w:r>
      <w:r>
        <w:rPr>
          <w:rFonts w:hint="eastAsia"/>
        </w:rPr>
        <w:t>言</w:t>
      </w:r>
      <w:bookmarkEnd w:id="24"/>
    </w:p>
    <w:p w14:paraId="4095A205">
      <w:pPr>
        <w:pStyle w:val="56"/>
        <w:spacing w:line="360" w:lineRule="auto"/>
        <w:ind w:firstLine="420"/>
      </w:pPr>
      <w:r>
        <w:rPr>
          <w:rFonts w:hint="eastAsia"/>
        </w:rPr>
        <w:t>随着交通基础设施建设的持续推进，道路桥梁施工规模和复杂性不断提高，施工现场的安全管理面临诸多挑战。传统的安全隐患识别与处理手段存在滞后性和主观性，难以有效应对多源异构数据、高风险作业场景及复杂作业流程带来的不确定性。近年来，人工智能、物联网与大数据技术在工程管理领域的快速发展，为施工安全管控提供了新的手段和思路。</w:t>
      </w:r>
    </w:p>
    <w:p w14:paraId="7DA99F4E">
      <w:pPr>
        <w:pStyle w:val="56"/>
        <w:spacing w:line="360" w:lineRule="auto"/>
        <w:ind w:firstLine="420"/>
      </w:pPr>
      <w:r>
        <w:rPr>
          <w:rFonts w:hint="eastAsia"/>
        </w:rPr>
        <w:t>本文件旨在推动智能识别技术与大数据风险防控体系在道路桥梁施工过程中的标准化应用，通过构建集感知、识别、预警、处置于一体的智能化安全管理框架，实现对施工现场人员行为、机械运行、结构状态及环境条件等关键风险因素的实时监测与分析。同时，通过大数据技术手段，构建多维度、动态化的风险评估模型，提升安全管理的前瞻性和科学性。</w:t>
      </w:r>
    </w:p>
    <w:p w14:paraId="1492D0B7">
      <w:pPr>
        <w:pStyle w:val="56"/>
        <w:spacing w:line="360" w:lineRule="auto"/>
        <w:ind w:firstLine="420"/>
      </w:pPr>
      <w:r>
        <w:rPr>
          <w:rFonts w:hint="eastAsia"/>
        </w:rPr>
        <w:t>本文件的制定适应了智能建造的发展趋势，有助于提升道路桥梁施工阶段的本质安全水平，促进风险防控模式由“事后处置”向“事前预警”转变。规范内容既具有可操作性，也为行业智能化转型提供了技术基础和标准支持。</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3FA1FE6D">
          <w:pPr>
            <w:pStyle w:val="177"/>
            <w:spacing w:after="0"/>
          </w:pPr>
          <w:bookmarkStart w:id="27" w:name="NEW_STAND_NAME"/>
          <w:r>
            <w:rPr>
              <w:rFonts w:hint="eastAsia"/>
            </w:rPr>
            <w:t>道路桥梁施工安全隐患智能识别</w:t>
          </w:r>
        </w:p>
        <w:p w14:paraId="78D0C58B">
          <w:pPr>
            <w:pStyle w:val="177"/>
            <w:spacing w:before="0"/>
          </w:pPr>
          <w:r>
            <w:rPr>
              <w:rFonts w:hint="eastAsia"/>
            </w:rPr>
            <w:t>与大数据风险防控规范</w:t>
          </w:r>
        </w:p>
      </w:sdtContent>
    </w:sdt>
    <w:bookmarkEnd w:id="27"/>
    <w:p w14:paraId="7C374ED8">
      <w:pPr>
        <w:pStyle w:val="104"/>
        <w:spacing w:before="240" w:after="240" w:line="360" w:lineRule="auto"/>
      </w:pPr>
      <w:bookmarkStart w:id="28" w:name="_Toc24884211"/>
      <w:bookmarkStart w:id="29" w:name="_Toc26648465"/>
      <w:bookmarkStart w:id="30" w:name="_Toc26718930"/>
      <w:bookmarkStart w:id="31" w:name="_Toc26986771"/>
      <w:bookmarkStart w:id="32" w:name="_Toc26986530"/>
      <w:bookmarkStart w:id="33" w:name="_Toc17233325"/>
      <w:bookmarkStart w:id="34" w:name="_Toc17233333"/>
      <w:bookmarkStart w:id="35" w:name="_Toc97192964"/>
      <w:bookmarkStart w:id="36" w:name="_Toc200377648"/>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1CBE678C">
      <w:pPr>
        <w:pStyle w:val="56"/>
        <w:spacing w:line="360" w:lineRule="auto"/>
        <w:ind w:firstLine="420"/>
      </w:pPr>
      <w:bookmarkStart w:id="38" w:name="_Toc26648466"/>
      <w:bookmarkStart w:id="39" w:name="_Toc24884219"/>
      <w:bookmarkStart w:id="40" w:name="_Toc24884212"/>
      <w:bookmarkStart w:id="41" w:name="_Toc17233326"/>
      <w:bookmarkStart w:id="42" w:name="_Toc17233334"/>
      <w:r>
        <w:rPr>
          <w:rFonts w:hint="eastAsia"/>
        </w:rPr>
        <w:t>本文件规定了道路桥梁施工过程中应用智能识别与大数据技术开展安全隐患排查与风险防控的总体要求、安全隐患智能识别、风险等级划分与分级响应、安全隐患智能识别、大数据风险分析与预警、安全处置与应急联动、系统运行与运维管理、测试与验收方法及应用推广与后续维护等内容。</w:t>
      </w:r>
    </w:p>
    <w:p w14:paraId="70D89D4A">
      <w:pPr>
        <w:pStyle w:val="56"/>
        <w:spacing w:line="360" w:lineRule="auto"/>
        <w:ind w:firstLine="420"/>
      </w:pPr>
      <w:r>
        <w:rPr>
          <w:rFonts w:hint="eastAsia"/>
        </w:rPr>
        <w:t>本文件适用于新建、改建和扩建等各类道路桥梁工程施工阶段，涉及施工单位、监理单位、安全管理部门及信息化技术服务单位在实施智能安全管理与数据风险分析时的工作流程和技术应用。也可为其他交通基础设施项目的施工安全智能化管理提供参考。</w:t>
      </w:r>
    </w:p>
    <w:p w14:paraId="41172495">
      <w:pPr>
        <w:pStyle w:val="104"/>
        <w:spacing w:before="240" w:after="240" w:line="360" w:lineRule="auto"/>
      </w:pPr>
      <w:bookmarkStart w:id="43" w:name="_Toc97192965"/>
      <w:bookmarkStart w:id="44" w:name="_Toc26986531"/>
      <w:bookmarkStart w:id="45" w:name="_Toc26718931"/>
      <w:bookmarkStart w:id="46" w:name="_Toc200377649"/>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C225FC">
      <w:pPr>
        <w:pStyle w:val="56"/>
        <w:spacing w:line="360" w:lineRule="auto"/>
        <w:ind w:firstLine="420"/>
      </w:pPr>
      <w:r>
        <w:rPr>
          <w:rFonts w:hint="eastAsia"/>
        </w:rPr>
        <w:t>GB/T 35484—2021 土方机械和移动式道路施工机械  工地数据交换</w:t>
      </w:r>
    </w:p>
    <w:p w14:paraId="0989DDDA">
      <w:pPr>
        <w:pStyle w:val="56"/>
        <w:spacing w:line="360" w:lineRule="auto"/>
        <w:ind w:firstLine="420"/>
      </w:pPr>
      <w:r>
        <w:rPr>
          <w:rFonts w:hint="eastAsia"/>
        </w:rPr>
        <w:t>GB/T 39559—2020 城市轨道交通设施运营监测技术规范</w:t>
      </w:r>
    </w:p>
    <w:p w14:paraId="34A1AB73">
      <w:pPr>
        <w:pStyle w:val="56"/>
        <w:spacing w:line="360" w:lineRule="auto"/>
        <w:ind w:firstLine="420"/>
      </w:pPr>
      <w:r>
        <w:rPr>
          <w:rFonts w:hint="eastAsia"/>
        </w:rPr>
        <w:t>GB/T 36074—2019 信息技术服务  服务管理</w:t>
      </w:r>
    </w:p>
    <w:p w14:paraId="5AFD4216">
      <w:pPr>
        <w:pStyle w:val="104"/>
        <w:spacing w:before="240" w:after="240" w:line="360" w:lineRule="auto"/>
      </w:pPr>
      <w:bookmarkStart w:id="48" w:name="_Toc200377650"/>
      <w:bookmarkStart w:id="49" w:name="_Toc9719296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04DB072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智能识别 </w:t>
      </w:r>
      <w:r>
        <w:rPr>
          <w:rFonts w:ascii="黑体" w:hAnsi="黑体" w:eastAsia="黑体"/>
        </w:rPr>
        <w:t>intelligent reco</w:t>
      </w:r>
      <w:r>
        <w:rPr>
          <w:rFonts w:hint="eastAsia" w:ascii="黑体" w:hAnsi="黑体" w:eastAsia="黑体"/>
        </w:rPr>
        <w:t>gnition</w:t>
      </w:r>
    </w:p>
    <w:p w14:paraId="61AE0EB3">
      <w:pPr>
        <w:pStyle w:val="56"/>
        <w:spacing w:line="360" w:lineRule="auto"/>
        <w:ind w:firstLine="420"/>
      </w:pPr>
      <w:r>
        <w:rPr>
          <w:rFonts w:hint="eastAsia"/>
        </w:rPr>
        <w:t>基于人工智能算法，利用图像识别、语音识别、行为分析等技术手段，对施工现场人员、设备、环境等要素进行自动化感知、分析与识别的过程。</w:t>
      </w:r>
    </w:p>
    <w:p w14:paraId="032F4D0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安全隐患</w:t>
      </w:r>
      <w:r>
        <w:rPr>
          <w:rFonts w:ascii="黑体" w:hAnsi="黑体" w:eastAsia="黑体"/>
        </w:rPr>
        <w:t xml:space="preserve"> safety h</w:t>
      </w:r>
      <w:r>
        <w:rPr>
          <w:rFonts w:hint="eastAsia" w:ascii="黑体" w:hAnsi="黑体" w:eastAsia="黑体"/>
        </w:rPr>
        <w:t>azard</w:t>
      </w:r>
    </w:p>
    <w:p w14:paraId="48AA5F67">
      <w:pPr>
        <w:pStyle w:val="56"/>
        <w:spacing w:line="360" w:lineRule="auto"/>
        <w:ind w:firstLine="420"/>
      </w:pPr>
      <w:r>
        <w:rPr>
          <w:rFonts w:hint="eastAsia"/>
        </w:rPr>
        <w:t>在施工过程中可能导致人身伤害、设备损坏或环境破坏的潜在不安全状态、行为或管理缺陷。</w:t>
      </w:r>
    </w:p>
    <w:p w14:paraId="407284E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风险预警 </w:t>
      </w:r>
      <w:r>
        <w:rPr>
          <w:rFonts w:ascii="黑体" w:hAnsi="黑体" w:eastAsia="黑体"/>
        </w:rPr>
        <w:t>risk early wa</w:t>
      </w:r>
      <w:r>
        <w:rPr>
          <w:rFonts w:hint="eastAsia" w:ascii="黑体" w:hAnsi="黑体" w:eastAsia="黑体"/>
        </w:rPr>
        <w:t>rning</w:t>
      </w:r>
    </w:p>
    <w:p w14:paraId="04627708">
      <w:pPr>
        <w:pStyle w:val="56"/>
        <w:spacing w:line="360" w:lineRule="auto"/>
        <w:ind w:firstLine="420"/>
      </w:pPr>
      <w:r>
        <w:rPr>
          <w:rFonts w:hint="eastAsia"/>
        </w:rPr>
        <w:t>通过数据模型和算法对潜在安全风险进行提前识别和等级划分，并触发相应响应机制的技术手段。</w:t>
      </w:r>
    </w:p>
    <w:p w14:paraId="69BBD23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安全行为识别 </w:t>
      </w:r>
      <w:r>
        <w:rPr>
          <w:rFonts w:ascii="黑体" w:hAnsi="黑体" w:eastAsia="黑体"/>
        </w:rPr>
        <w:t>safety behavior reco</w:t>
      </w:r>
      <w:r>
        <w:rPr>
          <w:rFonts w:hint="eastAsia" w:ascii="黑体" w:hAnsi="黑体" w:eastAsia="黑体"/>
        </w:rPr>
        <w:t>gnition</w:t>
      </w:r>
    </w:p>
    <w:p w14:paraId="657B69A8">
      <w:pPr>
        <w:pStyle w:val="56"/>
        <w:spacing w:line="360" w:lineRule="auto"/>
        <w:ind w:firstLine="420"/>
      </w:pPr>
      <w:r>
        <w:rPr>
          <w:rFonts w:hint="eastAsia"/>
        </w:rPr>
        <w:t>通过视频监控、传感器等方式，对施工人员的不规范作业行为进行实时识别与判断的过程。</w:t>
      </w:r>
    </w:p>
    <w:p w14:paraId="3F696EE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多源异构数据 </w:t>
      </w:r>
      <w:r>
        <w:rPr>
          <w:rFonts w:ascii="黑体" w:hAnsi="黑体" w:eastAsia="黑体"/>
        </w:rPr>
        <w:t>multi</w:t>
      </w:r>
      <w:r>
        <w:rPr>
          <w:rFonts w:hint="eastAsia" w:ascii="黑体" w:hAnsi="黑体" w:eastAsia="黑体"/>
        </w:rPr>
        <w:t>—</w:t>
      </w:r>
      <w:r>
        <w:rPr>
          <w:rFonts w:ascii="黑体" w:hAnsi="黑体" w:eastAsia="黑体"/>
        </w:rPr>
        <w:t>source heterogeneous dat</w:t>
      </w:r>
      <w:r>
        <w:rPr>
          <w:rFonts w:hint="eastAsia" w:ascii="黑体" w:hAnsi="黑体" w:eastAsia="黑体"/>
        </w:rPr>
        <w:t>a</w:t>
      </w:r>
    </w:p>
    <w:p w14:paraId="7EE15720">
      <w:pPr>
        <w:pStyle w:val="56"/>
        <w:spacing w:line="360" w:lineRule="auto"/>
        <w:ind w:firstLine="420"/>
      </w:pPr>
      <w:r>
        <w:rPr>
          <w:rFonts w:hint="eastAsia"/>
        </w:rPr>
        <w:t>来源不同、格式不一的数据集合，如图像、视频、传感器数据、日志信息、结构监测数据等，用于构建施工安全风险分析的基础数据库。</w:t>
      </w:r>
    </w:p>
    <w:p w14:paraId="25D85692">
      <w:pPr>
        <w:pStyle w:val="104"/>
        <w:spacing w:before="240" w:after="240" w:line="360" w:lineRule="auto"/>
      </w:pPr>
      <w:bookmarkStart w:id="51" w:name="_Toc200377651"/>
      <w:r>
        <w:rPr>
          <w:rFonts w:hint="eastAsia"/>
        </w:rPr>
        <w:t>总体要求</w:t>
      </w:r>
      <w:bookmarkEnd w:id="51"/>
    </w:p>
    <w:p w14:paraId="3411B948">
      <w:pPr>
        <w:pStyle w:val="105"/>
        <w:spacing w:before="120" w:after="120" w:line="360" w:lineRule="auto"/>
      </w:pPr>
      <w:r>
        <w:rPr>
          <w:rFonts w:hint="eastAsia"/>
        </w:rPr>
        <w:t>系统构建原则</w:t>
      </w:r>
    </w:p>
    <w:p w14:paraId="26FDD7E0">
      <w:pPr>
        <w:pStyle w:val="56"/>
        <w:spacing w:line="360" w:lineRule="auto"/>
        <w:ind w:firstLine="420"/>
      </w:pPr>
      <w:r>
        <w:rPr>
          <w:rFonts w:hint="eastAsia"/>
        </w:rPr>
        <w:t>系统应按照“感知全面、识别精准、响应迅速、闭环可控”的理念进行设计，具备全场景覆盖、多模块集成、多源数据融合能力。建设过程中应遵循以下原则：</w:t>
      </w:r>
    </w:p>
    <w:p w14:paraId="4778FBBB">
      <w:pPr>
        <w:pStyle w:val="132"/>
        <w:spacing w:line="360" w:lineRule="auto"/>
      </w:pPr>
      <w:r>
        <w:rPr>
          <w:rFonts w:hint="eastAsia"/>
        </w:rPr>
        <w:t>兼容性与开放性：系统结构应具备良好的接口兼容性，便于与现有监控平台、安全管理系统、工程信息模型（BIM）等集成；</w:t>
      </w:r>
    </w:p>
    <w:p w14:paraId="3BDA3117">
      <w:pPr>
        <w:pStyle w:val="132"/>
        <w:spacing w:line="360" w:lineRule="auto"/>
      </w:pPr>
      <w:r>
        <w:rPr>
          <w:rFonts w:hint="eastAsia"/>
        </w:rPr>
        <w:t>实时性与可追溯性：应确保隐患识别与预警具有足够的时效性，关键环节全流程数据可回溯；</w:t>
      </w:r>
    </w:p>
    <w:p w14:paraId="7BC8C73C">
      <w:pPr>
        <w:pStyle w:val="132"/>
        <w:spacing w:line="360" w:lineRule="auto"/>
      </w:pPr>
      <w:r>
        <w:rPr>
          <w:rFonts w:hint="eastAsia"/>
        </w:rPr>
        <w:t>安全性与稳定性：在数据通信、访问控制、故障容错等方面，系统应具备严密的安全防护和持续运行能力。</w:t>
      </w:r>
    </w:p>
    <w:p w14:paraId="17C973B8">
      <w:pPr>
        <w:pStyle w:val="105"/>
        <w:spacing w:before="120" w:after="120" w:line="360" w:lineRule="auto"/>
      </w:pPr>
      <w:r>
        <w:rPr>
          <w:rFonts w:hint="eastAsia"/>
        </w:rPr>
        <w:t>功能模块配置</w:t>
      </w:r>
    </w:p>
    <w:p w14:paraId="2669163D">
      <w:pPr>
        <w:pStyle w:val="56"/>
        <w:spacing w:line="360" w:lineRule="auto"/>
        <w:ind w:firstLine="420"/>
      </w:pPr>
      <w:r>
        <w:rPr>
          <w:rFonts w:hint="eastAsia"/>
        </w:rPr>
        <w:t>系统应配置以下核心功能模块，以支撑施工安全管理需求：</w:t>
      </w:r>
    </w:p>
    <w:p w14:paraId="5A0EC53F">
      <w:pPr>
        <w:pStyle w:val="132"/>
        <w:spacing w:line="360" w:lineRule="auto"/>
      </w:pPr>
      <w:r>
        <w:rPr>
          <w:rFonts w:hint="eastAsia"/>
        </w:rPr>
        <w:t>现场感知模块：实现对人员、设备、材料、环境等实时采集；</w:t>
      </w:r>
    </w:p>
    <w:p w14:paraId="5878498D">
      <w:pPr>
        <w:pStyle w:val="132"/>
        <w:spacing w:line="360" w:lineRule="auto"/>
      </w:pPr>
      <w:r>
        <w:rPr>
          <w:rFonts w:hint="eastAsia"/>
        </w:rPr>
        <w:t>图像与行为识别模块：具备图像识别、安全帽识别、越线行为识别等功能；</w:t>
      </w:r>
    </w:p>
    <w:p w14:paraId="412747A2">
      <w:pPr>
        <w:pStyle w:val="132"/>
        <w:spacing w:line="360" w:lineRule="auto"/>
      </w:pPr>
      <w:r>
        <w:rPr>
          <w:rFonts w:hint="eastAsia"/>
        </w:rPr>
        <w:t>风险评估与预警模块：融合模型算法，对安全隐患进行自动识别、等级划分并发出预警；</w:t>
      </w:r>
    </w:p>
    <w:p w14:paraId="1C0A26F0">
      <w:pPr>
        <w:pStyle w:val="132"/>
        <w:spacing w:line="360" w:lineRule="auto"/>
      </w:pPr>
      <w:r>
        <w:rPr>
          <w:rFonts w:hint="eastAsia"/>
        </w:rPr>
        <w:t>大数据分析模块：对历史数据进行分析建模，为管理决策提供依据；</w:t>
      </w:r>
    </w:p>
    <w:p w14:paraId="14ECF734">
      <w:pPr>
        <w:pStyle w:val="132"/>
        <w:spacing w:line="360" w:lineRule="auto"/>
      </w:pPr>
      <w:r>
        <w:rPr>
          <w:rFonts w:hint="eastAsia"/>
        </w:rPr>
        <w:t>可视化展示模块：以图表、地图、视频联动等方式展现风险状态和应急响应。</w:t>
      </w:r>
    </w:p>
    <w:p w14:paraId="27198C45">
      <w:pPr>
        <w:pStyle w:val="105"/>
        <w:spacing w:before="120" w:after="120" w:line="360" w:lineRule="auto"/>
      </w:pPr>
      <w:r>
        <w:rPr>
          <w:rFonts w:hint="eastAsia"/>
        </w:rPr>
        <w:t>数据集成与管理要求</w:t>
      </w:r>
    </w:p>
    <w:p w14:paraId="1A26EFB0">
      <w:pPr>
        <w:pStyle w:val="56"/>
        <w:spacing w:line="360" w:lineRule="auto"/>
        <w:ind w:firstLine="420"/>
      </w:pPr>
      <w:r>
        <w:rPr>
          <w:rFonts w:hint="eastAsia"/>
        </w:rPr>
        <w:t>系统应建设统一数据平台，实现感知数据、监测数据、业务数据的融合集成，重点满足以下要求：</w:t>
      </w:r>
    </w:p>
    <w:p w14:paraId="5CD7A5AC">
      <w:pPr>
        <w:pStyle w:val="132"/>
        <w:spacing w:line="360" w:lineRule="auto"/>
      </w:pPr>
      <w:r>
        <w:rPr>
          <w:rFonts w:hint="eastAsia"/>
        </w:rPr>
        <w:t>数据标准统一，具备清晰的数据结构与标签体系；</w:t>
      </w:r>
    </w:p>
    <w:p w14:paraId="685F1632">
      <w:pPr>
        <w:pStyle w:val="132"/>
        <w:spacing w:line="360" w:lineRule="auto"/>
      </w:pPr>
      <w:r>
        <w:rPr>
          <w:rFonts w:hint="eastAsia"/>
        </w:rPr>
        <w:t>建立权限分级机制，保障数据存储、使用与共享的规范性；</w:t>
      </w:r>
    </w:p>
    <w:p w14:paraId="070B0EAB">
      <w:pPr>
        <w:pStyle w:val="132"/>
        <w:spacing w:line="360" w:lineRule="auto"/>
      </w:pPr>
      <w:r>
        <w:rPr>
          <w:rFonts w:hint="eastAsia"/>
        </w:rPr>
        <w:t>支持与外部监管、工程信息化平台的数据互通。</w:t>
      </w:r>
    </w:p>
    <w:p w14:paraId="777DE0E6">
      <w:pPr>
        <w:pStyle w:val="104"/>
        <w:spacing w:before="240" w:after="240" w:line="360" w:lineRule="auto"/>
      </w:pPr>
      <w:bookmarkStart w:id="52" w:name="_Toc200377652"/>
      <w:r>
        <w:rPr>
          <w:rFonts w:hint="eastAsia"/>
        </w:rPr>
        <w:t>安全隐患智能识别</w:t>
      </w:r>
      <w:bookmarkEnd w:id="52"/>
    </w:p>
    <w:p w14:paraId="63639C74">
      <w:pPr>
        <w:pStyle w:val="105"/>
        <w:spacing w:before="120" w:after="120" w:line="360" w:lineRule="auto"/>
      </w:pPr>
      <w:r>
        <w:rPr>
          <w:rFonts w:hint="eastAsia"/>
        </w:rPr>
        <w:t>识别对象与范围</w:t>
      </w:r>
    </w:p>
    <w:p w14:paraId="7F75FFE1">
      <w:pPr>
        <w:pStyle w:val="56"/>
        <w:spacing w:line="360" w:lineRule="auto"/>
        <w:ind w:firstLine="420"/>
      </w:pPr>
      <w:r>
        <w:rPr>
          <w:rFonts w:hint="eastAsia"/>
        </w:rPr>
        <w:t>安全隐患识别应覆盖施工全周期的关键要素，包括但不限于：</w:t>
      </w:r>
    </w:p>
    <w:p w14:paraId="5AAEF325">
      <w:pPr>
        <w:pStyle w:val="132"/>
        <w:spacing w:line="360" w:lineRule="auto"/>
      </w:pPr>
      <w:r>
        <w:rPr>
          <w:rFonts w:hint="eastAsia"/>
        </w:rPr>
        <w:t>作业人员违规行为；</w:t>
      </w:r>
    </w:p>
    <w:p w14:paraId="55825816">
      <w:pPr>
        <w:pStyle w:val="132"/>
        <w:spacing w:line="360" w:lineRule="auto"/>
      </w:pPr>
      <w:r>
        <w:rPr>
          <w:rFonts w:hint="eastAsia"/>
        </w:rPr>
        <w:t>机械设备异常运行；</w:t>
      </w:r>
    </w:p>
    <w:p w14:paraId="5D023899">
      <w:pPr>
        <w:pStyle w:val="132"/>
        <w:spacing w:line="360" w:lineRule="auto"/>
      </w:pPr>
      <w:r>
        <w:rPr>
          <w:rFonts w:hint="eastAsia"/>
        </w:rPr>
        <w:t>材料堆放与临边防护不规范；</w:t>
      </w:r>
    </w:p>
    <w:p w14:paraId="3D6DCDD9">
      <w:pPr>
        <w:pStyle w:val="132"/>
        <w:spacing w:line="360" w:lineRule="auto"/>
      </w:pPr>
      <w:r>
        <w:rPr>
          <w:rFonts w:hint="eastAsia"/>
        </w:rPr>
        <w:t>特殊作业区域（深基坑、高支模、隧道、桥梁高墩）危险源监测；</w:t>
      </w:r>
    </w:p>
    <w:p w14:paraId="75A32D77">
      <w:pPr>
        <w:pStyle w:val="132"/>
        <w:spacing w:line="360" w:lineRule="auto"/>
      </w:pPr>
      <w:r>
        <w:rPr>
          <w:rFonts w:hint="eastAsia"/>
        </w:rPr>
        <w:t>气象、地质等外部环境因素诱发的潜在安全风险。</w:t>
      </w:r>
    </w:p>
    <w:p w14:paraId="6D079AF4">
      <w:pPr>
        <w:pStyle w:val="105"/>
        <w:spacing w:before="120" w:after="120" w:line="360" w:lineRule="auto"/>
      </w:pPr>
      <w:r>
        <w:rPr>
          <w:rFonts w:hint="eastAsia"/>
        </w:rPr>
        <w:t>技术路径</w:t>
      </w:r>
    </w:p>
    <w:p w14:paraId="57D07A3A">
      <w:pPr>
        <w:pStyle w:val="56"/>
        <w:spacing w:line="360" w:lineRule="auto"/>
        <w:ind w:firstLine="420"/>
      </w:pPr>
      <w:r>
        <w:rPr>
          <w:rFonts w:hint="eastAsia"/>
        </w:rPr>
        <w:t>智能识别可结合多种技术路径展开，常见方式包括：</w:t>
      </w:r>
    </w:p>
    <w:p w14:paraId="06AB2F0C">
      <w:pPr>
        <w:pStyle w:val="132"/>
        <w:spacing w:line="360" w:lineRule="auto"/>
      </w:pPr>
      <w:r>
        <w:rPr>
          <w:rFonts w:hint="eastAsia"/>
        </w:rPr>
        <w:t>视频图像识别技术：通过部署AI摄像头，利用目标检测、行为识别等算法对人员行为与现场状态进行监测；</w:t>
      </w:r>
    </w:p>
    <w:p w14:paraId="42F90959">
      <w:pPr>
        <w:pStyle w:val="132"/>
        <w:spacing w:line="360" w:lineRule="auto"/>
      </w:pPr>
      <w:r>
        <w:rPr>
          <w:rFonts w:hint="eastAsia"/>
        </w:rPr>
        <w:t>物联网感知技术：基于传感器实时采集温度、湿度、位移、倾角、气体浓度等数据，识别异常状态；</w:t>
      </w:r>
    </w:p>
    <w:p w14:paraId="00035DBA">
      <w:pPr>
        <w:pStyle w:val="132"/>
        <w:spacing w:line="360" w:lineRule="auto"/>
      </w:pPr>
      <w:r>
        <w:rPr>
          <w:rFonts w:hint="eastAsia"/>
        </w:rPr>
        <w:t>边缘计算设备部署：在现场设置边缘计算网关，实现本地快速分析与初级预警；</w:t>
      </w:r>
    </w:p>
    <w:p w14:paraId="615539BC">
      <w:pPr>
        <w:pStyle w:val="132"/>
        <w:spacing w:line="360" w:lineRule="auto"/>
      </w:pPr>
      <w:r>
        <w:rPr>
          <w:rFonts w:hint="eastAsia"/>
        </w:rPr>
        <w:t>大数据模型训练：基于历史隐患案例库训练识别模型，提升模型在新场景下的泛化能力；</w:t>
      </w:r>
    </w:p>
    <w:p w14:paraId="7289397B">
      <w:pPr>
        <w:pStyle w:val="132"/>
        <w:spacing w:line="360" w:lineRule="auto"/>
      </w:pPr>
      <w:r>
        <w:rPr>
          <w:rFonts w:hint="eastAsia"/>
        </w:rPr>
        <w:t>多源信息融合分析：结合视频、传感器、位置与作业信息，实现跨维度风险评估。</w:t>
      </w:r>
    </w:p>
    <w:p w14:paraId="64A682DD">
      <w:pPr>
        <w:pStyle w:val="105"/>
        <w:spacing w:before="120" w:after="120" w:line="360" w:lineRule="auto"/>
      </w:pPr>
      <w:r>
        <w:rPr>
          <w:rFonts w:hint="eastAsia"/>
        </w:rPr>
        <w:t>识别准确率评估与优化</w:t>
      </w:r>
    </w:p>
    <w:p w14:paraId="62F7483A">
      <w:pPr>
        <w:pStyle w:val="56"/>
        <w:spacing w:line="360" w:lineRule="auto"/>
        <w:ind w:firstLine="420"/>
      </w:pPr>
      <w:r>
        <w:rPr>
          <w:rFonts w:hint="eastAsia"/>
        </w:rPr>
        <w:t>为确保识别结果可靠，系统应定期开展识别准确率评估，评估内容包括：</w:t>
      </w:r>
    </w:p>
    <w:p w14:paraId="22F08DBF">
      <w:pPr>
        <w:pStyle w:val="187"/>
        <w:spacing w:line="360" w:lineRule="auto"/>
      </w:pPr>
      <w:r>
        <w:rPr>
          <w:rFonts w:hint="eastAsia"/>
        </w:rPr>
        <w:t>检出率与误报率；</w:t>
      </w:r>
    </w:p>
    <w:p w14:paraId="58A748AD">
      <w:pPr>
        <w:pStyle w:val="187"/>
        <w:spacing w:line="360" w:lineRule="auto"/>
      </w:pPr>
      <w:r>
        <w:rPr>
          <w:rFonts w:hint="eastAsia"/>
        </w:rPr>
        <w:t>典型场景识别成功率；</w:t>
      </w:r>
    </w:p>
    <w:p w14:paraId="0E3A6667">
      <w:pPr>
        <w:pStyle w:val="187"/>
        <w:spacing w:line="360" w:lineRule="auto"/>
      </w:pPr>
      <w:r>
        <w:rPr>
          <w:rFonts w:hint="eastAsia"/>
        </w:rPr>
        <w:t>模型迭代周期与优化算法响应速度。</w:t>
      </w:r>
    </w:p>
    <w:p w14:paraId="3329CACC">
      <w:pPr>
        <w:pStyle w:val="56"/>
        <w:spacing w:line="360" w:lineRule="auto"/>
        <w:ind w:firstLine="420"/>
      </w:pPr>
      <w:r>
        <w:rPr>
          <w:rFonts w:hint="eastAsia"/>
        </w:rPr>
        <w:t>在评估基础上，持续迭代模型参数，优化特征提取策略，提高系统稳定性与适应性。</w:t>
      </w:r>
    </w:p>
    <w:p w14:paraId="6555B5AB">
      <w:pPr>
        <w:pStyle w:val="104"/>
        <w:spacing w:before="240" w:after="240" w:line="360" w:lineRule="auto"/>
      </w:pPr>
      <w:bookmarkStart w:id="53" w:name="_Toc200377653"/>
      <w:r>
        <w:rPr>
          <w:rFonts w:hint="eastAsia"/>
        </w:rPr>
        <w:t>风险等级划分与分级响应</w:t>
      </w:r>
      <w:bookmarkEnd w:id="53"/>
    </w:p>
    <w:p w14:paraId="1BC7DDD1">
      <w:pPr>
        <w:pStyle w:val="105"/>
        <w:spacing w:before="120" w:after="120" w:line="360" w:lineRule="auto"/>
      </w:pPr>
      <w:r>
        <w:rPr>
          <w:rFonts w:hint="eastAsia"/>
        </w:rPr>
        <w:t>风险等级划分原则</w:t>
      </w:r>
    </w:p>
    <w:p w14:paraId="73C9FCE8">
      <w:pPr>
        <w:pStyle w:val="56"/>
        <w:spacing w:line="360" w:lineRule="auto"/>
        <w:ind w:firstLine="420"/>
      </w:pPr>
      <w:r>
        <w:rPr>
          <w:rFonts w:hint="eastAsia"/>
        </w:rPr>
        <w:t>风险等级划分应综合考虑风险事件发生的可能性、影响程度与可控性，采用定性与定量相结合的方法，设定多级风险区分标准。典型划分具体内容见表1。</w:t>
      </w:r>
    </w:p>
    <w:p w14:paraId="066A5228">
      <w:pPr>
        <w:pStyle w:val="112"/>
        <w:spacing w:before="120" w:after="120" w:line="360" w:lineRule="auto"/>
      </w:pPr>
      <w:r>
        <w:rPr>
          <w:rFonts w:hint="eastAsia"/>
        </w:rPr>
        <w:t>风险等级划分表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835"/>
        <w:gridCol w:w="2551"/>
        <w:gridCol w:w="2398"/>
      </w:tblGrid>
      <w:tr w14:paraId="21B59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14:paraId="32A27A79">
            <w:pPr>
              <w:pStyle w:val="178"/>
            </w:pPr>
            <w:r>
              <w:rPr>
                <w:rFonts w:hint="eastAsia"/>
              </w:rPr>
              <w:t>风险等级</w:t>
            </w:r>
          </w:p>
        </w:tc>
        <w:tc>
          <w:tcPr>
            <w:tcW w:w="2835" w:type="dxa"/>
            <w:tcBorders>
              <w:top w:val="single" w:color="auto" w:sz="8" w:space="0"/>
              <w:bottom w:val="single" w:color="auto" w:sz="8" w:space="0"/>
            </w:tcBorders>
            <w:shd w:val="clear" w:color="auto" w:fill="auto"/>
            <w:vAlign w:val="center"/>
          </w:tcPr>
          <w:p w14:paraId="1E4130BA">
            <w:pPr>
              <w:pStyle w:val="178"/>
            </w:pPr>
            <w:r>
              <w:rPr>
                <w:rFonts w:hint="eastAsia"/>
              </w:rPr>
              <w:t>风险描述</w:t>
            </w:r>
          </w:p>
        </w:tc>
        <w:tc>
          <w:tcPr>
            <w:tcW w:w="2551" w:type="dxa"/>
            <w:tcBorders>
              <w:top w:val="single" w:color="auto" w:sz="8" w:space="0"/>
              <w:bottom w:val="single" w:color="auto" w:sz="8" w:space="0"/>
            </w:tcBorders>
            <w:shd w:val="clear" w:color="auto" w:fill="auto"/>
            <w:vAlign w:val="center"/>
          </w:tcPr>
          <w:p w14:paraId="45F70EF6">
            <w:pPr>
              <w:pStyle w:val="178"/>
            </w:pPr>
            <w:r>
              <w:rPr>
                <w:rFonts w:hint="eastAsia"/>
              </w:rPr>
              <w:t>主要特征</w:t>
            </w:r>
          </w:p>
        </w:tc>
        <w:tc>
          <w:tcPr>
            <w:tcW w:w="2398" w:type="dxa"/>
            <w:tcBorders>
              <w:top w:val="single" w:color="auto" w:sz="8" w:space="0"/>
              <w:bottom w:val="single" w:color="auto" w:sz="8" w:space="0"/>
            </w:tcBorders>
            <w:shd w:val="clear" w:color="auto" w:fill="auto"/>
            <w:vAlign w:val="center"/>
          </w:tcPr>
          <w:p w14:paraId="3205C078">
            <w:pPr>
              <w:pStyle w:val="178"/>
            </w:pPr>
            <w:r>
              <w:rPr>
                <w:rFonts w:hint="eastAsia"/>
              </w:rPr>
              <w:t>响应措施概述</w:t>
            </w:r>
          </w:p>
        </w:tc>
      </w:tr>
      <w:tr w14:paraId="61E08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14:paraId="4DAB7B13">
            <w:pPr>
              <w:pStyle w:val="178"/>
            </w:pPr>
            <w:r>
              <w:rPr>
                <w:rFonts w:hint="eastAsia"/>
              </w:rPr>
              <w:t>Ⅰ级（重大风险）</w:t>
            </w:r>
          </w:p>
        </w:tc>
        <w:tc>
          <w:tcPr>
            <w:tcW w:w="2835" w:type="dxa"/>
            <w:tcBorders>
              <w:top w:val="single" w:color="auto" w:sz="8" w:space="0"/>
            </w:tcBorders>
            <w:shd w:val="clear" w:color="auto" w:fill="auto"/>
            <w:vAlign w:val="center"/>
          </w:tcPr>
          <w:p w14:paraId="469D632A">
            <w:pPr>
              <w:pStyle w:val="178"/>
            </w:pPr>
            <w:r>
              <w:rPr>
                <w:rFonts w:hint="eastAsia"/>
              </w:rPr>
              <w:t>极易导致人员伤亡、重大财产损失或社会影响，需立即处置</w:t>
            </w:r>
          </w:p>
        </w:tc>
        <w:tc>
          <w:tcPr>
            <w:tcW w:w="2551" w:type="dxa"/>
            <w:tcBorders>
              <w:top w:val="single" w:color="auto" w:sz="8" w:space="0"/>
            </w:tcBorders>
            <w:shd w:val="clear" w:color="auto" w:fill="auto"/>
            <w:vAlign w:val="center"/>
          </w:tcPr>
          <w:p w14:paraId="1EF2253E">
            <w:pPr>
              <w:pStyle w:val="178"/>
            </w:pPr>
            <w:r>
              <w:rPr>
                <w:rFonts w:hint="eastAsia"/>
              </w:rPr>
              <w:t>现场存在高能设备失控、高空坠落、基坑失稳等典型高危情形</w:t>
            </w:r>
          </w:p>
        </w:tc>
        <w:tc>
          <w:tcPr>
            <w:tcW w:w="2398" w:type="dxa"/>
            <w:tcBorders>
              <w:top w:val="single" w:color="auto" w:sz="8" w:space="0"/>
            </w:tcBorders>
            <w:shd w:val="clear" w:color="auto" w:fill="auto"/>
            <w:vAlign w:val="center"/>
          </w:tcPr>
          <w:p w14:paraId="4A8B6CFA">
            <w:pPr>
              <w:pStyle w:val="178"/>
            </w:pPr>
            <w:r>
              <w:rPr>
                <w:rFonts w:hint="eastAsia"/>
              </w:rPr>
              <w:t>启动紧急预案，立即停工，封闭区域，上报主管单位并启动问责机制</w:t>
            </w:r>
          </w:p>
        </w:tc>
      </w:tr>
      <w:tr w14:paraId="5BB70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7DD488D3">
            <w:pPr>
              <w:pStyle w:val="178"/>
            </w:pPr>
            <w:r>
              <w:rPr>
                <w:rFonts w:hint="eastAsia"/>
              </w:rPr>
              <w:t>Ⅱ级（较大风险）</w:t>
            </w:r>
          </w:p>
        </w:tc>
        <w:tc>
          <w:tcPr>
            <w:tcW w:w="2835" w:type="dxa"/>
            <w:shd w:val="clear" w:color="auto" w:fill="auto"/>
            <w:vAlign w:val="center"/>
          </w:tcPr>
          <w:p w14:paraId="5D91F120">
            <w:pPr>
              <w:pStyle w:val="178"/>
            </w:pPr>
            <w:r>
              <w:rPr>
                <w:rFonts w:hint="eastAsia"/>
              </w:rPr>
              <w:t>可能引发人员受伤、设备损毁，或对工程进度产生显著干扰</w:t>
            </w:r>
          </w:p>
        </w:tc>
        <w:tc>
          <w:tcPr>
            <w:tcW w:w="2551" w:type="dxa"/>
            <w:shd w:val="clear" w:color="auto" w:fill="auto"/>
            <w:vAlign w:val="center"/>
          </w:tcPr>
          <w:p w14:paraId="42DC36CF">
            <w:pPr>
              <w:pStyle w:val="178"/>
            </w:pPr>
            <w:r>
              <w:rPr>
                <w:rFonts w:hint="eastAsia"/>
              </w:rPr>
              <w:t>如支护失效趋势明显、吊装作业指令异常、监测预警频繁触发等</w:t>
            </w:r>
          </w:p>
        </w:tc>
        <w:tc>
          <w:tcPr>
            <w:tcW w:w="2398" w:type="dxa"/>
            <w:shd w:val="clear" w:color="auto" w:fill="auto"/>
            <w:vAlign w:val="center"/>
          </w:tcPr>
          <w:p w14:paraId="152F8968">
            <w:pPr>
              <w:pStyle w:val="178"/>
            </w:pPr>
            <w:r>
              <w:rPr>
                <w:rFonts w:hint="eastAsia"/>
              </w:rPr>
              <w:t>限期整改，调整作业工艺，实施专人专岗盯控，汇报整改进展</w:t>
            </w:r>
          </w:p>
        </w:tc>
      </w:tr>
      <w:tr w14:paraId="15A04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17465BB0">
            <w:pPr>
              <w:pStyle w:val="178"/>
            </w:pPr>
            <w:r>
              <w:rPr>
                <w:rFonts w:hint="eastAsia"/>
              </w:rPr>
              <w:t>Ⅲ级（一般风险）</w:t>
            </w:r>
          </w:p>
        </w:tc>
        <w:tc>
          <w:tcPr>
            <w:tcW w:w="2835" w:type="dxa"/>
            <w:shd w:val="clear" w:color="auto" w:fill="auto"/>
            <w:vAlign w:val="center"/>
          </w:tcPr>
          <w:p w14:paraId="01382E42">
            <w:pPr>
              <w:pStyle w:val="178"/>
            </w:pPr>
            <w:r>
              <w:rPr>
                <w:rFonts w:hint="eastAsia"/>
              </w:rPr>
              <w:t>存在一定不规范施工行为，尚未造成实际损害，但具有积累演化风险</w:t>
            </w:r>
          </w:p>
        </w:tc>
        <w:tc>
          <w:tcPr>
            <w:tcW w:w="2551" w:type="dxa"/>
            <w:shd w:val="clear" w:color="auto" w:fill="auto"/>
            <w:vAlign w:val="center"/>
          </w:tcPr>
          <w:p w14:paraId="635339BF">
            <w:pPr>
              <w:pStyle w:val="178"/>
            </w:pPr>
            <w:r>
              <w:rPr>
                <w:rFonts w:hint="eastAsia"/>
              </w:rPr>
              <w:t>如脚手架搭设偏差、警示缺失、人员作业未穿戴防护装备等</w:t>
            </w:r>
          </w:p>
        </w:tc>
        <w:tc>
          <w:tcPr>
            <w:tcW w:w="2398" w:type="dxa"/>
            <w:shd w:val="clear" w:color="auto" w:fill="auto"/>
            <w:vAlign w:val="center"/>
          </w:tcPr>
          <w:p w14:paraId="0ADB2ED4">
            <w:pPr>
              <w:pStyle w:val="178"/>
            </w:pPr>
            <w:r>
              <w:rPr>
                <w:rFonts w:hint="eastAsia"/>
              </w:rPr>
              <w:t>记录隐患，通报责任班组，纳入现场日常管理体系</w:t>
            </w:r>
          </w:p>
        </w:tc>
      </w:tr>
      <w:tr w14:paraId="2AAFA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403DC5C0">
            <w:pPr>
              <w:pStyle w:val="178"/>
            </w:pPr>
            <w:r>
              <w:rPr>
                <w:rFonts w:hint="eastAsia"/>
              </w:rPr>
              <w:t>Ⅳ级（低风险）</w:t>
            </w:r>
          </w:p>
        </w:tc>
        <w:tc>
          <w:tcPr>
            <w:tcW w:w="2835" w:type="dxa"/>
            <w:shd w:val="clear" w:color="auto" w:fill="auto"/>
            <w:vAlign w:val="center"/>
          </w:tcPr>
          <w:p w14:paraId="1CD83DA1">
            <w:pPr>
              <w:pStyle w:val="178"/>
            </w:pPr>
            <w:r>
              <w:rPr>
                <w:rFonts w:hint="eastAsia"/>
              </w:rPr>
              <w:t>影响较轻，短期内不会造成不良后果，管理手段成熟可控</w:t>
            </w:r>
          </w:p>
        </w:tc>
        <w:tc>
          <w:tcPr>
            <w:tcW w:w="2551" w:type="dxa"/>
            <w:shd w:val="clear" w:color="auto" w:fill="auto"/>
            <w:vAlign w:val="center"/>
          </w:tcPr>
          <w:p w14:paraId="2EC10C07">
            <w:pPr>
              <w:pStyle w:val="178"/>
            </w:pPr>
            <w:r>
              <w:rPr>
                <w:rFonts w:hint="eastAsia"/>
              </w:rPr>
              <w:t>多为可预见、可控的常规问题，如轻微堆料超标、文档不完整等</w:t>
            </w:r>
          </w:p>
        </w:tc>
        <w:tc>
          <w:tcPr>
            <w:tcW w:w="2398" w:type="dxa"/>
            <w:shd w:val="clear" w:color="auto" w:fill="auto"/>
            <w:vAlign w:val="center"/>
          </w:tcPr>
          <w:p w14:paraId="3EF72768">
            <w:pPr>
              <w:pStyle w:val="178"/>
            </w:pPr>
            <w:r>
              <w:rPr>
                <w:rFonts w:hint="eastAsia"/>
              </w:rPr>
              <w:t>例行巡检跟踪，纳入教育培训，视情况优化现场管理流程</w:t>
            </w:r>
          </w:p>
        </w:tc>
      </w:tr>
    </w:tbl>
    <w:p w14:paraId="1266F819">
      <w:pPr>
        <w:pStyle w:val="105"/>
        <w:spacing w:before="120" w:after="120" w:line="360" w:lineRule="auto"/>
      </w:pPr>
      <w:r>
        <w:rPr>
          <w:rFonts w:hint="eastAsia"/>
        </w:rPr>
        <w:t>分级响应机制设定</w:t>
      </w:r>
    </w:p>
    <w:p w14:paraId="13488EC2">
      <w:pPr>
        <w:pStyle w:val="56"/>
        <w:spacing w:line="360" w:lineRule="auto"/>
        <w:ind w:firstLine="420"/>
      </w:pPr>
      <w:r>
        <w:rPr>
          <w:rFonts w:hint="eastAsia"/>
        </w:rPr>
        <w:t>系统在识别隐患后，应自动匹配风险等级并启动分级响应流程：</w:t>
      </w:r>
    </w:p>
    <w:p w14:paraId="532D1407">
      <w:pPr>
        <w:pStyle w:val="132"/>
        <w:spacing w:line="360" w:lineRule="auto"/>
      </w:pPr>
      <w:r>
        <w:rPr>
          <w:rFonts w:hint="eastAsia"/>
        </w:rPr>
        <w:t>重大风险响应机制：一旦识别为Ⅰ级风险，系统立即推送红色预警，施工单位需立刻停止相关作业，由安全管理人员第一时间赶赴现场处理，相关责任单位需在2小时内完成情况上报与初步整改措施实施；</w:t>
      </w:r>
    </w:p>
    <w:p w14:paraId="02DC131D">
      <w:pPr>
        <w:pStyle w:val="132"/>
        <w:spacing w:line="360" w:lineRule="auto"/>
      </w:pPr>
      <w:r>
        <w:rPr>
          <w:rFonts w:hint="eastAsia"/>
        </w:rPr>
        <w:t>较大风险响应机制：Ⅱ级风险触发橙色预警，要求在12小时内制定整改计划，并安排专人跟踪闭环整改进度，同时向主管部门汇报整改进展；</w:t>
      </w:r>
    </w:p>
    <w:p w14:paraId="5B51C8DC">
      <w:pPr>
        <w:pStyle w:val="132"/>
        <w:spacing w:line="360" w:lineRule="auto"/>
      </w:pPr>
      <w:r>
        <w:rPr>
          <w:rFonts w:hint="eastAsia"/>
        </w:rPr>
        <w:t>一般风险响应机制：Ⅲ级风险对应黄色提醒，纳入日常问题库，施工单位在24小时内完成现场处理并录入整改结果；</w:t>
      </w:r>
    </w:p>
    <w:p w14:paraId="180E4D56">
      <w:pPr>
        <w:pStyle w:val="132"/>
        <w:spacing w:line="360" w:lineRule="auto"/>
      </w:pPr>
      <w:r>
        <w:rPr>
          <w:rFonts w:hint="eastAsia"/>
        </w:rPr>
        <w:t>低风险响应机制：Ⅳ级风险对应蓝色记录，作为施工行为数据积累与安全教育案例使用。</w:t>
      </w:r>
    </w:p>
    <w:p w14:paraId="269742D3">
      <w:pPr>
        <w:pStyle w:val="105"/>
        <w:spacing w:before="120" w:after="120" w:line="360" w:lineRule="auto"/>
      </w:pPr>
      <w:r>
        <w:rPr>
          <w:rFonts w:hint="eastAsia"/>
        </w:rPr>
        <w:t>风险等级动态调整机制</w:t>
      </w:r>
    </w:p>
    <w:p w14:paraId="13EB6B00">
      <w:pPr>
        <w:pStyle w:val="56"/>
        <w:spacing w:line="360" w:lineRule="auto"/>
        <w:ind w:firstLine="420"/>
      </w:pPr>
      <w:r>
        <w:rPr>
          <w:rFonts w:hint="eastAsia"/>
        </w:rPr>
        <w:t>随着施工阶段推进与环境变化，系统应具备风险等级动态调整能力。通过实时数据监测、现场视频分析与历史事故对比，对相同隐患场景进行再评估，并更新等级标注与响应规则，确保管理的前瞻性与灵活性。</w:t>
      </w:r>
    </w:p>
    <w:p w14:paraId="44986568">
      <w:pPr>
        <w:pStyle w:val="104"/>
        <w:spacing w:before="240" w:after="240" w:line="360" w:lineRule="auto"/>
      </w:pPr>
      <w:bookmarkStart w:id="54" w:name="_Toc200377654"/>
      <w:r>
        <w:rPr>
          <w:rFonts w:hint="eastAsia"/>
        </w:rPr>
        <w:t>安全隐患智能识别</w:t>
      </w:r>
      <w:bookmarkEnd w:id="54"/>
    </w:p>
    <w:p w14:paraId="6E9D9A5B">
      <w:pPr>
        <w:pStyle w:val="105"/>
        <w:spacing w:before="120" w:after="120" w:line="360" w:lineRule="auto"/>
      </w:pPr>
      <w:r>
        <w:rPr>
          <w:rFonts w:hint="eastAsia"/>
        </w:rPr>
        <w:t>视频图像识别要求</w:t>
      </w:r>
    </w:p>
    <w:p w14:paraId="2F378261">
      <w:pPr>
        <w:pStyle w:val="56"/>
        <w:spacing w:line="360" w:lineRule="auto"/>
        <w:ind w:firstLine="420"/>
      </w:pPr>
      <w:r>
        <w:rPr>
          <w:rFonts w:hint="eastAsia"/>
        </w:rPr>
        <w:t>系统应通过部署智能摄像头及图像识别算法，对以下关键隐患行为实现自动识别：</w:t>
      </w:r>
    </w:p>
    <w:p w14:paraId="105AD8E8">
      <w:pPr>
        <w:pStyle w:val="187"/>
        <w:spacing w:line="360" w:lineRule="auto"/>
      </w:pPr>
      <w:r>
        <w:rPr>
          <w:rFonts w:hint="eastAsia"/>
        </w:rPr>
        <w:t>高空作业人员未佩戴安全带；</w:t>
      </w:r>
    </w:p>
    <w:p w14:paraId="18A12E5B">
      <w:pPr>
        <w:pStyle w:val="187"/>
        <w:spacing w:line="360" w:lineRule="auto"/>
      </w:pPr>
      <w:r>
        <w:rPr>
          <w:rFonts w:hint="eastAsia"/>
        </w:rPr>
        <w:t>人员擅自进入危险区域；</w:t>
      </w:r>
    </w:p>
    <w:p w14:paraId="07E7C82E">
      <w:pPr>
        <w:pStyle w:val="187"/>
        <w:spacing w:line="360" w:lineRule="auto"/>
      </w:pPr>
      <w:r>
        <w:rPr>
          <w:rFonts w:hint="eastAsia"/>
        </w:rPr>
        <w:t>吊装作业过程中人员靠近吊物；</w:t>
      </w:r>
    </w:p>
    <w:p w14:paraId="67A5293E">
      <w:pPr>
        <w:pStyle w:val="187"/>
        <w:spacing w:line="360" w:lineRule="auto"/>
      </w:pPr>
      <w:r>
        <w:rPr>
          <w:rFonts w:hint="eastAsia"/>
        </w:rPr>
        <w:t>临边防护缺失、脚手架倾斜或异常荷载；</w:t>
      </w:r>
    </w:p>
    <w:p w14:paraId="2555A518">
      <w:pPr>
        <w:pStyle w:val="187"/>
        <w:spacing w:line="360" w:lineRule="auto"/>
      </w:pPr>
      <w:r>
        <w:rPr>
          <w:rFonts w:hint="eastAsia"/>
        </w:rPr>
        <w:t>火源、电缆乱接、物料堆放混乱等场景。</w:t>
      </w:r>
    </w:p>
    <w:p w14:paraId="02E9E6BC">
      <w:pPr>
        <w:pStyle w:val="56"/>
        <w:spacing w:line="360" w:lineRule="auto"/>
        <w:ind w:firstLine="420"/>
      </w:pPr>
      <w:r>
        <w:rPr>
          <w:rFonts w:hint="eastAsia"/>
        </w:rPr>
        <w:t>识别算法应具备目标检测、行为分析、场景分割等能力，并支持边缘计算部署，以减少延迟。</w:t>
      </w:r>
    </w:p>
    <w:p w14:paraId="1C4659F8">
      <w:pPr>
        <w:pStyle w:val="105"/>
        <w:spacing w:before="120" w:after="120" w:line="360" w:lineRule="auto"/>
      </w:pPr>
      <w:r>
        <w:rPr>
          <w:rFonts w:hint="eastAsia"/>
        </w:rPr>
        <w:t>传感器数据识别要求</w:t>
      </w:r>
    </w:p>
    <w:p w14:paraId="51F6412E">
      <w:pPr>
        <w:pStyle w:val="56"/>
        <w:spacing w:line="360" w:lineRule="auto"/>
        <w:ind w:firstLine="420"/>
      </w:pPr>
      <w:r>
        <w:rPr>
          <w:rFonts w:hint="eastAsia"/>
        </w:rPr>
        <w:t>通过位移、倾角、应力、振动、气体等多种传感器采集数据，系统应实现以下识别功能：</w:t>
      </w:r>
    </w:p>
    <w:p w14:paraId="0808B431">
      <w:pPr>
        <w:pStyle w:val="132"/>
        <w:spacing w:line="360" w:lineRule="auto"/>
      </w:pPr>
      <w:r>
        <w:rPr>
          <w:rFonts w:hint="eastAsia"/>
        </w:rPr>
        <w:t>检测基坑、边坡、支护结构的变形趋势；</w:t>
      </w:r>
    </w:p>
    <w:p w14:paraId="707062D8">
      <w:pPr>
        <w:pStyle w:val="132"/>
        <w:spacing w:line="360" w:lineRule="auto"/>
      </w:pPr>
      <w:r>
        <w:rPr>
          <w:rFonts w:hint="eastAsia"/>
        </w:rPr>
        <w:t>分析结构构件受力异常或临界状态；</w:t>
      </w:r>
    </w:p>
    <w:p w14:paraId="149CF6B3">
      <w:pPr>
        <w:pStyle w:val="132"/>
        <w:spacing w:line="360" w:lineRule="auto"/>
      </w:pPr>
      <w:r>
        <w:rPr>
          <w:rFonts w:hint="eastAsia"/>
        </w:rPr>
        <w:t>识别高温、可燃气体泄漏等危险环境因子；</w:t>
      </w:r>
    </w:p>
    <w:p w14:paraId="745736B6">
      <w:pPr>
        <w:pStyle w:val="132"/>
        <w:spacing w:line="360" w:lineRule="auto"/>
      </w:pPr>
      <w:r>
        <w:rPr>
          <w:rFonts w:hint="eastAsia"/>
        </w:rPr>
        <w:t>监测大型机械运行异常、失稳或碰撞风险。</w:t>
      </w:r>
    </w:p>
    <w:p w14:paraId="740C426F">
      <w:pPr>
        <w:pStyle w:val="56"/>
        <w:spacing w:line="360" w:lineRule="auto"/>
        <w:ind w:firstLine="420"/>
      </w:pPr>
      <w:r>
        <w:rPr>
          <w:rFonts w:hint="eastAsia"/>
        </w:rPr>
        <w:t>多传感融合分析应结合历史数据，构建隐患识别模型，支持实时报警机制。</w:t>
      </w:r>
    </w:p>
    <w:p w14:paraId="40CF7572">
      <w:pPr>
        <w:pStyle w:val="105"/>
        <w:spacing w:before="120" w:after="120" w:line="360" w:lineRule="auto"/>
      </w:pPr>
      <w:r>
        <w:rPr>
          <w:rFonts w:hint="eastAsia"/>
        </w:rPr>
        <w:t>施工行为识别要求</w:t>
      </w:r>
    </w:p>
    <w:p w14:paraId="71D973C6">
      <w:pPr>
        <w:pStyle w:val="56"/>
        <w:spacing w:line="360" w:lineRule="auto"/>
        <w:ind w:firstLine="420"/>
      </w:pPr>
      <w:r>
        <w:rPr>
          <w:rFonts w:hint="eastAsia"/>
        </w:rPr>
        <w:t>结合施工计划、作业记录及现场调度信息，系统应识别以下非规范行为：</w:t>
      </w:r>
    </w:p>
    <w:p w14:paraId="05DA1DD9">
      <w:pPr>
        <w:pStyle w:val="187"/>
        <w:spacing w:line="360" w:lineRule="auto"/>
      </w:pPr>
      <w:r>
        <w:rPr>
          <w:rFonts w:hint="eastAsia"/>
        </w:rPr>
        <w:t>未授权作业；</w:t>
      </w:r>
    </w:p>
    <w:p w14:paraId="75710EFF">
      <w:pPr>
        <w:pStyle w:val="187"/>
        <w:spacing w:line="360" w:lineRule="auto"/>
      </w:pPr>
      <w:r>
        <w:rPr>
          <w:rFonts w:hint="eastAsia"/>
        </w:rPr>
        <w:t>关键工序未按规范进行交底和检查；</w:t>
      </w:r>
    </w:p>
    <w:p w14:paraId="3278ED5F">
      <w:pPr>
        <w:pStyle w:val="187"/>
        <w:spacing w:line="360" w:lineRule="auto"/>
      </w:pPr>
      <w:r>
        <w:rPr>
          <w:rFonts w:hint="eastAsia"/>
        </w:rPr>
        <w:t>工序超前或延误带来的安全隐患；</w:t>
      </w:r>
    </w:p>
    <w:p w14:paraId="34C9F9BD">
      <w:pPr>
        <w:pStyle w:val="187"/>
        <w:spacing w:line="360" w:lineRule="auto"/>
      </w:pPr>
      <w:r>
        <w:rPr>
          <w:rFonts w:hint="eastAsia"/>
        </w:rPr>
        <w:t>多工种交叉作业中的冲突风险。</w:t>
      </w:r>
    </w:p>
    <w:p w14:paraId="6A03F452">
      <w:pPr>
        <w:pStyle w:val="56"/>
        <w:spacing w:line="360" w:lineRule="auto"/>
        <w:ind w:firstLine="420"/>
      </w:pPr>
      <w:r>
        <w:rPr>
          <w:rFonts w:hint="eastAsia"/>
        </w:rPr>
        <w:t>此类识别需依赖于BIM模型、计划数据与日志行为的深度融合。</w:t>
      </w:r>
    </w:p>
    <w:p w14:paraId="63F64ECE">
      <w:pPr>
        <w:pStyle w:val="105"/>
        <w:spacing w:before="120" w:after="120" w:line="360" w:lineRule="auto"/>
      </w:pPr>
      <w:r>
        <w:rPr>
          <w:rFonts w:hint="eastAsia"/>
        </w:rPr>
        <w:t>安全隐患分级识别机制</w:t>
      </w:r>
    </w:p>
    <w:p w14:paraId="7DB0B040">
      <w:pPr>
        <w:pStyle w:val="56"/>
        <w:spacing w:line="360" w:lineRule="auto"/>
        <w:ind w:firstLine="420"/>
      </w:pPr>
      <w:r>
        <w:rPr>
          <w:rFonts w:hint="eastAsia"/>
        </w:rPr>
        <w:t>系统应对识别出的安全隐患进行自动分级，参考第6章中风险等级划分，依据以下指标进行综合评估：</w:t>
      </w:r>
    </w:p>
    <w:p w14:paraId="7E66722B">
      <w:pPr>
        <w:pStyle w:val="132"/>
        <w:spacing w:line="360" w:lineRule="auto"/>
      </w:pPr>
      <w:r>
        <w:rPr>
          <w:rFonts w:hint="eastAsia"/>
        </w:rPr>
        <w:t>危害程度；</w:t>
      </w:r>
    </w:p>
    <w:p w14:paraId="43C6F1F3">
      <w:pPr>
        <w:pStyle w:val="132"/>
        <w:spacing w:line="360" w:lineRule="auto"/>
      </w:pPr>
      <w:r>
        <w:rPr>
          <w:rFonts w:hint="eastAsia"/>
        </w:rPr>
        <w:t>影响范围；</w:t>
      </w:r>
    </w:p>
    <w:p w14:paraId="322C5DB3">
      <w:pPr>
        <w:pStyle w:val="132"/>
        <w:spacing w:line="360" w:lineRule="auto"/>
      </w:pPr>
      <w:r>
        <w:rPr>
          <w:rFonts w:hint="eastAsia"/>
        </w:rPr>
        <w:t>可控性；</w:t>
      </w:r>
    </w:p>
    <w:p w14:paraId="652A70FB">
      <w:pPr>
        <w:pStyle w:val="132"/>
        <w:spacing w:line="360" w:lineRule="auto"/>
      </w:pPr>
      <w:r>
        <w:rPr>
          <w:rFonts w:hint="eastAsia"/>
        </w:rPr>
        <w:t>历史发生频率；</w:t>
      </w:r>
    </w:p>
    <w:p w14:paraId="22899C84">
      <w:pPr>
        <w:pStyle w:val="132"/>
        <w:spacing w:line="360" w:lineRule="auto"/>
      </w:pPr>
      <w:r>
        <w:rPr>
          <w:rFonts w:hint="eastAsia"/>
        </w:rPr>
        <w:t>应对资源需求。</w:t>
      </w:r>
    </w:p>
    <w:p w14:paraId="20C7C450">
      <w:pPr>
        <w:pStyle w:val="104"/>
        <w:spacing w:before="240" w:after="240" w:line="360" w:lineRule="auto"/>
      </w:pPr>
      <w:bookmarkStart w:id="55" w:name="_Toc200377655"/>
      <w:r>
        <w:rPr>
          <w:rFonts w:hint="eastAsia"/>
        </w:rPr>
        <w:t>大数据风险分析与预警</w:t>
      </w:r>
      <w:bookmarkEnd w:id="55"/>
    </w:p>
    <w:p w14:paraId="63B85B5C">
      <w:pPr>
        <w:pStyle w:val="105"/>
        <w:spacing w:before="120" w:after="120" w:line="360" w:lineRule="auto"/>
      </w:pPr>
      <w:r>
        <w:rPr>
          <w:rFonts w:hint="eastAsia"/>
        </w:rPr>
        <w:t>风险数据整合与建模</w:t>
      </w:r>
    </w:p>
    <w:p w14:paraId="3295D4BB">
      <w:pPr>
        <w:pStyle w:val="56"/>
        <w:spacing w:line="360" w:lineRule="auto"/>
        <w:ind w:firstLine="420"/>
      </w:pPr>
      <w:r>
        <w:rPr>
          <w:rFonts w:hint="eastAsia"/>
        </w:rPr>
        <w:t>为实现科学预判和动态评估，系统应构建包括以下数据维度的综合分析模型：</w:t>
      </w:r>
    </w:p>
    <w:p w14:paraId="077C4030">
      <w:pPr>
        <w:pStyle w:val="132"/>
        <w:spacing w:line="360" w:lineRule="auto"/>
      </w:pPr>
      <w:r>
        <w:rPr>
          <w:rFonts w:hint="eastAsia"/>
        </w:rPr>
        <w:t>时序类数据：如监测传感数据、视频识别输出、环境指标等；</w:t>
      </w:r>
    </w:p>
    <w:p w14:paraId="4226CA23">
      <w:pPr>
        <w:pStyle w:val="132"/>
        <w:spacing w:line="360" w:lineRule="auto"/>
      </w:pPr>
      <w:r>
        <w:rPr>
          <w:rFonts w:hint="eastAsia"/>
        </w:rPr>
        <w:t>结构类数据：包括施工工序流程、组织架构、作业分区等；</w:t>
      </w:r>
    </w:p>
    <w:p w14:paraId="676027D6">
      <w:pPr>
        <w:pStyle w:val="132"/>
        <w:spacing w:line="360" w:lineRule="auto"/>
      </w:pPr>
      <w:r>
        <w:rPr>
          <w:rFonts w:hint="eastAsia"/>
        </w:rPr>
        <w:t>事件类数据：如安全事故记录、隐患整改记录、报警日志等；</w:t>
      </w:r>
    </w:p>
    <w:p w14:paraId="69D0538F">
      <w:pPr>
        <w:pStyle w:val="132"/>
        <w:spacing w:line="360" w:lineRule="auto"/>
      </w:pPr>
      <w:r>
        <w:rPr>
          <w:rFonts w:hint="eastAsia"/>
        </w:rPr>
        <w:t>空间类数据：结合BIM/GIS信息对风险分布进行空间映射。</w:t>
      </w:r>
    </w:p>
    <w:p w14:paraId="614DD003">
      <w:pPr>
        <w:pStyle w:val="56"/>
        <w:spacing w:line="360" w:lineRule="auto"/>
        <w:ind w:firstLine="420"/>
      </w:pPr>
      <w:r>
        <w:rPr>
          <w:rFonts w:hint="eastAsia"/>
        </w:rPr>
        <w:t>基于上述数据，应采用分类模型、回归分析、聚类算法等方法构建多维风险预测模型，实现隐患趋势评估与关键区域识别。</w:t>
      </w:r>
    </w:p>
    <w:p w14:paraId="729ED4FD">
      <w:pPr>
        <w:pStyle w:val="105"/>
        <w:spacing w:before="120" w:after="120" w:line="360" w:lineRule="auto"/>
      </w:pPr>
      <w:r>
        <w:rPr>
          <w:rFonts w:hint="eastAsia"/>
        </w:rPr>
        <w:t>风险等级评估与动态分析</w:t>
      </w:r>
    </w:p>
    <w:p w14:paraId="525DF18F">
      <w:pPr>
        <w:pStyle w:val="56"/>
        <w:spacing w:line="360" w:lineRule="auto"/>
        <w:ind w:firstLine="420"/>
      </w:pPr>
      <w:r>
        <w:rPr>
          <w:rFonts w:hint="eastAsia"/>
        </w:rPr>
        <w:t>系统应基于风险模型输出结果，综合评估当前施工现场的整体安全风险等级，具体包括：</w:t>
      </w:r>
    </w:p>
    <w:p w14:paraId="65677D91">
      <w:pPr>
        <w:pStyle w:val="132"/>
        <w:spacing w:line="360" w:lineRule="auto"/>
      </w:pPr>
      <w:r>
        <w:rPr>
          <w:rFonts w:hint="eastAsia"/>
        </w:rPr>
        <w:t>风险指标自动打分与等级划分；</w:t>
      </w:r>
    </w:p>
    <w:p w14:paraId="64126184">
      <w:pPr>
        <w:pStyle w:val="132"/>
        <w:spacing w:line="360" w:lineRule="auto"/>
      </w:pPr>
      <w:r>
        <w:rPr>
          <w:rFonts w:hint="eastAsia"/>
        </w:rPr>
        <w:t>风险时空变化趋势分析；</w:t>
      </w:r>
    </w:p>
    <w:p w14:paraId="53C58316">
      <w:pPr>
        <w:pStyle w:val="132"/>
        <w:spacing w:line="360" w:lineRule="auto"/>
      </w:pPr>
      <w:r>
        <w:rPr>
          <w:rFonts w:hint="eastAsia"/>
        </w:rPr>
        <w:t>不同工序、施工区域与设备关联风险的比较分析；</w:t>
      </w:r>
    </w:p>
    <w:p w14:paraId="2B168042">
      <w:pPr>
        <w:pStyle w:val="132"/>
        <w:spacing w:line="360" w:lineRule="auto"/>
      </w:pPr>
      <w:r>
        <w:rPr>
          <w:rFonts w:hint="eastAsia"/>
        </w:rPr>
        <w:t>高频预警点识别及异常模式分析。</w:t>
      </w:r>
    </w:p>
    <w:p w14:paraId="3BA360AF">
      <w:pPr>
        <w:pStyle w:val="56"/>
        <w:spacing w:line="360" w:lineRule="auto"/>
        <w:ind w:firstLine="420"/>
      </w:pPr>
      <w:r>
        <w:rPr>
          <w:rFonts w:hint="eastAsia"/>
        </w:rPr>
        <w:t>通过动态可视化图表、热力图等手段展示风险分布与演变趋势，辅助现场安全管理人员做出精准决策。</w:t>
      </w:r>
    </w:p>
    <w:p w14:paraId="05C0F7D6">
      <w:pPr>
        <w:pStyle w:val="105"/>
        <w:spacing w:before="120" w:after="120" w:line="360" w:lineRule="auto"/>
      </w:pPr>
      <w:r>
        <w:rPr>
          <w:rFonts w:hint="eastAsia"/>
        </w:rPr>
        <w:t>预警触发与响应机制</w:t>
      </w:r>
    </w:p>
    <w:p w14:paraId="56F0938C">
      <w:pPr>
        <w:pStyle w:val="56"/>
        <w:spacing w:line="360" w:lineRule="auto"/>
        <w:ind w:firstLine="420"/>
      </w:pPr>
      <w:r>
        <w:rPr>
          <w:rFonts w:hint="eastAsia"/>
        </w:rPr>
        <w:t>系统应具备多级预警能力，按风险等级设定分级响应机制，主要包括：</w:t>
      </w:r>
    </w:p>
    <w:p w14:paraId="0C1148A3">
      <w:pPr>
        <w:pStyle w:val="132"/>
        <w:spacing w:line="360" w:lineRule="auto"/>
      </w:pPr>
      <w:r>
        <w:rPr>
          <w:rFonts w:hint="eastAsia"/>
        </w:rPr>
        <w:t>预警分级设置：例如黄色预警（轻度异常）、橙色预警（中度风险）、红色预警（重大隐患）；</w:t>
      </w:r>
    </w:p>
    <w:p w14:paraId="6F5C919D">
      <w:pPr>
        <w:pStyle w:val="132"/>
        <w:spacing w:line="360" w:lineRule="auto"/>
      </w:pPr>
      <w:r>
        <w:rPr>
          <w:rFonts w:hint="eastAsia"/>
        </w:rPr>
        <w:t>自动通知机制：通过短信、App推送、语音广播等多通道通知相关责任人员；</w:t>
      </w:r>
    </w:p>
    <w:p w14:paraId="597EB590">
      <w:pPr>
        <w:pStyle w:val="132"/>
        <w:spacing w:line="360" w:lineRule="auto"/>
      </w:pPr>
      <w:r>
        <w:rPr>
          <w:rFonts w:hint="eastAsia"/>
        </w:rPr>
        <w:t>响应流程联动：自动启动整改任务派发、作业暂停指令、人员撤离提示等联动机制；</w:t>
      </w:r>
    </w:p>
    <w:p w14:paraId="70923F7B">
      <w:pPr>
        <w:pStyle w:val="132"/>
        <w:spacing w:line="360" w:lineRule="auto"/>
      </w:pPr>
      <w:r>
        <w:rPr>
          <w:rFonts w:hint="eastAsia"/>
        </w:rPr>
        <w:t>预警日志管理：记录预警发生、响应处置、关闭流程等全过程信息，形成可追溯链条。</w:t>
      </w:r>
    </w:p>
    <w:p w14:paraId="4CF59723">
      <w:pPr>
        <w:pStyle w:val="56"/>
        <w:spacing w:line="360" w:lineRule="auto"/>
        <w:ind w:firstLine="420"/>
      </w:pPr>
      <w:r>
        <w:rPr>
          <w:rFonts w:hint="eastAsia"/>
        </w:rPr>
        <w:t>预警机制应支持人工干预与算法优化，增强系统的灵活性与实效性。</w:t>
      </w:r>
    </w:p>
    <w:p w14:paraId="615592CF">
      <w:pPr>
        <w:pStyle w:val="104"/>
        <w:spacing w:before="240" w:after="240" w:line="360" w:lineRule="auto"/>
      </w:pPr>
      <w:bookmarkStart w:id="56" w:name="_Toc200377656"/>
      <w:r>
        <w:rPr>
          <w:rFonts w:hint="eastAsia"/>
        </w:rPr>
        <w:t>安全处置与应急联动</w:t>
      </w:r>
      <w:bookmarkEnd w:id="56"/>
    </w:p>
    <w:p w14:paraId="5BDB0549">
      <w:pPr>
        <w:pStyle w:val="105"/>
        <w:spacing w:before="120" w:after="120" w:line="360" w:lineRule="auto"/>
      </w:pPr>
      <w:r>
        <w:rPr>
          <w:rFonts w:hint="eastAsia"/>
        </w:rPr>
        <w:t>安全隐患处置流程</w:t>
      </w:r>
    </w:p>
    <w:p w14:paraId="7C66B3A2">
      <w:pPr>
        <w:pStyle w:val="56"/>
        <w:spacing w:line="360" w:lineRule="auto"/>
        <w:ind w:firstLine="420"/>
      </w:pPr>
      <w:r>
        <w:rPr>
          <w:rFonts w:hint="eastAsia"/>
        </w:rPr>
        <w:t>系统应自动触发隐患处置流程，并支持全过程信息闭环管理。关键环节包括：</w:t>
      </w:r>
    </w:p>
    <w:p w14:paraId="09D978D6">
      <w:pPr>
        <w:pStyle w:val="132"/>
        <w:spacing w:line="360" w:lineRule="auto"/>
      </w:pPr>
      <w:r>
        <w:rPr>
          <w:rFonts w:hint="eastAsia"/>
        </w:rPr>
        <w:t>识别确认：系统检测到风险事件后，自动生成隐患事件编号，定位发生位置与类别，生成待办任务；</w:t>
      </w:r>
    </w:p>
    <w:p w14:paraId="72389024">
      <w:pPr>
        <w:pStyle w:val="132"/>
        <w:spacing w:line="360" w:lineRule="auto"/>
      </w:pPr>
      <w:r>
        <w:rPr>
          <w:rFonts w:hint="eastAsia"/>
        </w:rPr>
        <w:t>责任分配：根据隐患等级和类别，自动分派至对应责任人或班组；</w:t>
      </w:r>
    </w:p>
    <w:p w14:paraId="2138FAB1">
      <w:pPr>
        <w:pStyle w:val="132"/>
        <w:spacing w:line="360" w:lineRule="auto"/>
      </w:pPr>
      <w:r>
        <w:rPr>
          <w:rFonts w:hint="eastAsia"/>
        </w:rPr>
        <w:t>现场处置：责任人按规定流程完成隐患消除，并通过移动端上传现场处理图片、处理说明等佐证材料；</w:t>
      </w:r>
    </w:p>
    <w:p w14:paraId="21F60A0E">
      <w:pPr>
        <w:pStyle w:val="132"/>
        <w:spacing w:line="360" w:lineRule="auto"/>
      </w:pPr>
      <w:r>
        <w:rPr>
          <w:rFonts w:hint="eastAsia"/>
        </w:rPr>
        <w:t>复查验证：系统或管理人员对处理结果进行复核，判断隐患是否整改闭环；</w:t>
      </w:r>
    </w:p>
    <w:p w14:paraId="6ADB33A2">
      <w:pPr>
        <w:pStyle w:val="132"/>
        <w:spacing w:line="360" w:lineRule="auto"/>
      </w:pPr>
      <w:r>
        <w:rPr>
          <w:rFonts w:hint="eastAsia"/>
        </w:rPr>
        <w:t>结果归档：处置过程及结果信息自动归档入库，形成完整的隐患处置链条。</w:t>
      </w:r>
    </w:p>
    <w:p w14:paraId="44E3637E">
      <w:pPr>
        <w:pStyle w:val="105"/>
        <w:spacing w:before="120" w:after="120" w:line="360" w:lineRule="auto"/>
      </w:pPr>
      <w:r>
        <w:rPr>
          <w:rFonts w:hint="eastAsia"/>
        </w:rPr>
        <w:t>应急响应机制</w:t>
      </w:r>
    </w:p>
    <w:p w14:paraId="626CB11D">
      <w:pPr>
        <w:pStyle w:val="56"/>
        <w:spacing w:line="360" w:lineRule="auto"/>
        <w:ind w:firstLine="420"/>
      </w:pPr>
      <w:r>
        <w:rPr>
          <w:rFonts w:hint="eastAsia"/>
        </w:rPr>
        <w:t>系统应与应急预案体系联动，建立多级响应机制，在突发情况下实现迅速联动处置。具体包括：</w:t>
      </w:r>
    </w:p>
    <w:p w14:paraId="13AD6D55">
      <w:pPr>
        <w:pStyle w:val="132"/>
        <w:spacing w:line="360" w:lineRule="auto"/>
      </w:pPr>
      <w:r>
        <w:rPr>
          <w:rFonts w:hint="eastAsia"/>
        </w:rPr>
        <w:t>应急预案数字化建模：将已有应急方案以模块化形式嵌入系统，可按风险类型（如坍塌、高空坠物、火灾等）快速调用；</w:t>
      </w:r>
    </w:p>
    <w:p w14:paraId="0C81585E">
      <w:pPr>
        <w:pStyle w:val="132"/>
        <w:spacing w:line="360" w:lineRule="auto"/>
      </w:pPr>
      <w:r>
        <w:rPr>
          <w:rFonts w:hint="eastAsia"/>
        </w:rPr>
        <w:t>多方联动通道：支持与施工总包、监理、属地监管、医疗机构等实现数据互联、信息互通；</w:t>
      </w:r>
    </w:p>
    <w:p w14:paraId="66CE56B0">
      <w:pPr>
        <w:pStyle w:val="132"/>
        <w:spacing w:line="360" w:lineRule="auto"/>
      </w:pPr>
      <w:r>
        <w:rPr>
          <w:rFonts w:hint="eastAsia"/>
        </w:rPr>
        <w:t>现场应急调度：通过可视化地图、监控联动等手段快速掌握事故现场情况，调度应急物资与人员；</w:t>
      </w:r>
    </w:p>
    <w:p w14:paraId="07D4E01E">
      <w:pPr>
        <w:pStyle w:val="132"/>
        <w:spacing w:line="360" w:lineRule="auto"/>
      </w:pPr>
      <w:r>
        <w:rPr>
          <w:rFonts w:hint="eastAsia"/>
        </w:rPr>
        <w:t>实时通信保障：系统应具备应急通信保障机制，优先保证险情信息及时送达。</w:t>
      </w:r>
    </w:p>
    <w:p w14:paraId="6C084D07">
      <w:pPr>
        <w:pStyle w:val="105"/>
        <w:spacing w:before="120" w:after="120" w:line="360" w:lineRule="auto"/>
      </w:pPr>
      <w:r>
        <w:rPr>
          <w:rFonts w:hint="eastAsia"/>
        </w:rPr>
        <w:t>应急演练与智能优化</w:t>
      </w:r>
    </w:p>
    <w:p w14:paraId="4727C3DF">
      <w:pPr>
        <w:pStyle w:val="56"/>
        <w:spacing w:line="360" w:lineRule="auto"/>
        <w:ind w:firstLine="420"/>
      </w:pPr>
      <w:r>
        <w:rPr>
          <w:rFonts w:hint="eastAsia"/>
        </w:rPr>
        <w:t>强调隐患与突发风险处置的智能化、流程化和协同化要求，构建从识别、处理、验证到优化的完整闭环机制，提升施工安全治理的响应效率与实效性：</w:t>
      </w:r>
    </w:p>
    <w:p w14:paraId="7AF00D7C">
      <w:pPr>
        <w:pStyle w:val="132"/>
        <w:spacing w:line="360" w:lineRule="auto"/>
      </w:pPr>
      <w:r>
        <w:rPr>
          <w:rFonts w:hint="eastAsia"/>
        </w:rPr>
        <w:t>演练支持：系统应提供应急演练模块，支持虚拟演练、脚本推演及结果评估，提升施工人员的协同处置能力；</w:t>
      </w:r>
    </w:p>
    <w:p w14:paraId="0EDB159F">
      <w:pPr>
        <w:pStyle w:val="132"/>
        <w:spacing w:line="360" w:lineRule="auto"/>
      </w:pPr>
      <w:r>
        <w:rPr>
          <w:rFonts w:hint="eastAsia"/>
        </w:rPr>
        <w:t>数据分析反馈：基于应急处置过程数据，可分析响应时间、资源调度效率、协同完成度等指标；</w:t>
      </w:r>
    </w:p>
    <w:p w14:paraId="387150CE">
      <w:pPr>
        <w:pStyle w:val="132"/>
        <w:spacing w:line="360" w:lineRule="auto"/>
      </w:pPr>
      <w:r>
        <w:rPr>
          <w:rFonts w:hint="eastAsia"/>
        </w:rPr>
        <w:t>持续优化：借助AI分析技术对历史事件和处置过程进行优化建议生成，不断完善应急响应模型。</w:t>
      </w:r>
    </w:p>
    <w:p w14:paraId="44E84EC2">
      <w:pPr>
        <w:pStyle w:val="104"/>
        <w:spacing w:before="240" w:after="240" w:line="360" w:lineRule="auto"/>
      </w:pPr>
      <w:bookmarkStart w:id="57" w:name="_Toc200377657"/>
      <w:r>
        <w:rPr>
          <w:rFonts w:hint="eastAsia"/>
        </w:rPr>
        <w:t>系统运行与运维管理</w:t>
      </w:r>
      <w:bookmarkEnd w:id="57"/>
    </w:p>
    <w:p w14:paraId="24E89DE0">
      <w:pPr>
        <w:pStyle w:val="105"/>
        <w:spacing w:before="120" w:after="120" w:line="360" w:lineRule="auto"/>
      </w:pPr>
      <w:r>
        <w:rPr>
          <w:rFonts w:hint="eastAsia"/>
        </w:rPr>
        <w:t>平台运行管理机制</w:t>
      </w:r>
    </w:p>
    <w:p w14:paraId="0AFD581F">
      <w:pPr>
        <w:pStyle w:val="56"/>
        <w:spacing w:line="360" w:lineRule="auto"/>
        <w:ind w:firstLine="420"/>
      </w:pPr>
      <w:r>
        <w:rPr>
          <w:rFonts w:hint="eastAsia"/>
        </w:rPr>
        <w:t>平台应由专门的运营维护机构负责运行，需明确以下管理要求：</w:t>
      </w:r>
    </w:p>
    <w:p w14:paraId="54854A0F">
      <w:pPr>
        <w:pStyle w:val="132"/>
        <w:spacing w:line="360" w:lineRule="auto"/>
      </w:pPr>
      <w:r>
        <w:rPr>
          <w:rFonts w:hint="eastAsia"/>
        </w:rPr>
        <w:t>运行策略制定：制定运行管理制度，涵盖系统启停规则、运行巡检计划、数据管理流程等；</w:t>
      </w:r>
    </w:p>
    <w:p w14:paraId="11EEEE03">
      <w:pPr>
        <w:pStyle w:val="132"/>
        <w:spacing w:line="360" w:lineRule="auto"/>
      </w:pPr>
      <w:r>
        <w:rPr>
          <w:rFonts w:hint="eastAsia"/>
        </w:rPr>
        <w:t>角色权限划分：建立分级分权的账户权限体系，区分数据上传、审核、调度、分析、导出等功能权限；</w:t>
      </w:r>
    </w:p>
    <w:p w14:paraId="162D97B3">
      <w:pPr>
        <w:pStyle w:val="132"/>
        <w:spacing w:line="360" w:lineRule="auto"/>
      </w:pPr>
      <w:r>
        <w:rPr>
          <w:rFonts w:hint="eastAsia"/>
        </w:rPr>
        <w:t>日志记录与分析：平台应自动记录操作日志、访问日志、告警日志等，并提供日志检索与追溯功能。</w:t>
      </w:r>
    </w:p>
    <w:p w14:paraId="1189A4D5">
      <w:pPr>
        <w:pStyle w:val="105"/>
        <w:spacing w:before="120" w:after="120" w:line="360" w:lineRule="auto"/>
      </w:pPr>
      <w:r>
        <w:rPr>
          <w:rFonts w:hint="eastAsia"/>
        </w:rPr>
        <w:t>数据维护与质量控制</w:t>
      </w:r>
    </w:p>
    <w:p w14:paraId="68853540">
      <w:pPr>
        <w:pStyle w:val="56"/>
        <w:spacing w:line="360" w:lineRule="auto"/>
        <w:ind w:firstLine="420"/>
      </w:pPr>
      <w:r>
        <w:rPr>
          <w:rFonts w:hint="eastAsia"/>
        </w:rPr>
        <w:t>系统应设有数据全生命周期管理流程，保障信息的准确性、完整性与可追溯性：</w:t>
      </w:r>
    </w:p>
    <w:p w14:paraId="3E276653">
      <w:pPr>
        <w:pStyle w:val="132"/>
        <w:spacing w:line="360" w:lineRule="auto"/>
      </w:pPr>
      <w:r>
        <w:rPr>
          <w:rFonts w:hint="eastAsia"/>
        </w:rPr>
        <w:t>数据校验机制：设置多重自动校验策略，包括格式规范检查、逻辑一致性校验、数值范围约束等；</w:t>
      </w:r>
    </w:p>
    <w:p w14:paraId="3183DC4D">
      <w:pPr>
        <w:pStyle w:val="132"/>
        <w:spacing w:line="360" w:lineRule="auto"/>
      </w:pPr>
      <w:r>
        <w:rPr>
          <w:rFonts w:hint="eastAsia"/>
        </w:rPr>
        <w:t>数据清洗与更新：对冗余、失效、冲突数据定期清洗，支持增量更新、批量修复等操作；</w:t>
      </w:r>
    </w:p>
    <w:p w14:paraId="6C85F493">
      <w:pPr>
        <w:pStyle w:val="132"/>
        <w:spacing w:line="360" w:lineRule="auto"/>
      </w:pPr>
      <w:r>
        <w:rPr>
          <w:rFonts w:hint="eastAsia"/>
        </w:rPr>
        <w:t>数据备份与恢复：系统应具备每日定时备份与多副本冗余存储能力，并能在数据损坏时快速恢复。</w:t>
      </w:r>
    </w:p>
    <w:p w14:paraId="4B7841AF">
      <w:pPr>
        <w:pStyle w:val="105"/>
        <w:spacing w:before="120" w:after="120" w:line="360" w:lineRule="auto"/>
      </w:pPr>
      <w:r>
        <w:rPr>
          <w:rFonts w:hint="eastAsia"/>
        </w:rPr>
        <w:t>运维保障机制</w:t>
      </w:r>
    </w:p>
    <w:p w14:paraId="0E02523E">
      <w:pPr>
        <w:pStyle w:val="56"/>
        <w:spacing w:line="360" w:lineRule="auto"/>
        <w:ind w:firstLine="420"/>
      </w:pPr>
      <w:r>
        <w:rPr>
          <w:rFonts w:hint="eastAsia"/>
        </w:rPr>
        <w:t>系统运维需涵盖软硬件全链条，并加强自动化、智能化程度，提升效率与安全水平。运维保障机制主要内容见表2。</w:t>
      </w:r>
    </w:p>
    <w:p w14:paraId="2CE26F87">
      <w:pPr>
        <w:pStyle w:val="112"/>
        <w:spacing w:before="120" w:after="120" w:line="360" w:lineRule="auto"/>
      </w:pPr>
      <w:r>
        <w:rPr>
          <w:rFonts w:hint="eastAsia"/>
        </w:rPr>
        <w:t>运维保障机制主要内容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7217"/>
      </w:tblGrid>
      <w:tr w14:paraId="0C451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4F2E852B">
            <w:pPr>
              <w:pStyle w:val="178"/>
            </w:pPr>
            <w:r>
              <w:rPr>
                <w:rFonts w:hint="eastAsia"/>
              </w:rPr>
              <w:t>运维项</w:t>
            </w:r>
          </w:p>
        </w:tc>
        <w:tc>
          <w:tcPr>
            <w:tcW w:w="7217" w:type="dxa"/>
            <w:tcBorders>
              <w:top w:val="single" w:color="auto" w:sz="8" w:space="0"/>
              <w:bottom w:val="single" w:color="auto" w:sz="8" w:space="0"/>
            </w:tcBorders>
            <w:shd w:val="clear" w:color="auto" w:fill="auto"/>
          </w:tcPr>
          <w:p w14:paraId="46B797BD">
            <w:pPr>
              <w:pStyle w:val="178"/>
            </w:pPr>
            <w:r>
              <w:rPr>
                <w:rFonts w:hint="eastAsia"/>
              </w:rPr>
              <w:t>具体内容说明</w:t>
            </w:r>
          </w:p>
        </w:tc>
      </w:tr>
      <w:tr w14:paraId="74598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tcBorders>
              <w:top w:val="single" w:color="auto" w:sz="8" w:space="0"/>
            </w:tcBorders>
            <w:shd w:val="clear" w:color="auto" w:fill="auto"/>
          </w:tcPr>
          <w:p w14:paraId="51377469">
            <w:pPr>
              <w:pStyle w:val="178"/>
            </w:pPr>
            <w:r>
              <w:rPr>
                <w:rFonts w:hint="eastAsia"/>
              </w:rPr>
              <w:t>硬件运维</w:t>
            </w:r>
          </w:p>
        </w:tc>
        <w:tc>
          <w:tcPr>
            <w:tcW w:w="7217" w:type="dxa"/>
            <w:tcBorders>
              <w:top w:val="single" w:color="auto" w:sz="8" w:space="0"/>
            </w:tcBorders>
            <w:shd w:val="clear" w:color="auto" w:fill="auto"/>
          </w:tcPr>
          <w:p w14:paraId="5779BD21">
            <w:pPr>
              <w:pStyle w:val="178"/>
            </w:pPr>
            <w:r>
              <w:rPr>
                <w:rFonts w:hint="eastAsia"/>
              </w:rPr>
              <w:t>包括服务器、摄像头、传感器、通信设备的定期检测、故障处理与设备更换记录管理</w:t>
            </w:r>
          </w:p>
        </w:tc>
      </w:tr>
      <w:tr w14:paraId="786FB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2947FF25">
            <w:pPr>
              <w:pStyle w:val="178"/>
            </w:pPr>
            <w:r>
              <w:rPr>
                <w:rFonts w:hint="eastAsia"/>
              </w:rPr>
              <w:t>软件运维</w:t>
            </w:r>
          </w:p>
        </w:tc>
        <w:tc>
          <w:tcPr>
            <w:tcW w:w="7217" w:type="dxa"/>
            <w:shd w:val="clear" w:color="auto" w:fill="auto"/>
          </w:tcPr>
          <w:p w14:paraId="4A13E61D">
            <w:pPr>
              <w:pStyle w:val="178"/>
            </w:pPr>
            <w:r>
              <w:rPr>
                <w:rFonts w:hint="eastAsia"/>
              </w:rPr>
              <w:t>包括操作系统、数据库、中间件、应用系统的补丁升级、漏洞修复与性能优化</w:t>
            </w:r>
          </w:p>
        </w:tc>
      </w:tr>
      <w:tr w14:paraId="48874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71F79743">
            <w:pPr>
              <w:pStyle w:val="178"/>
            </w:pPr>
            <w:r>
              <w:rPr>
                <w:rFonts w:hint="eastAsia"/>
              </w:rPr>
              <w:t>网络保障</w:t>
            </w:r>
          </w:p>
        </w:tc>
        <w:tc>
          <w:tcPr>
            <w:tcW w:w="7217" w:type="dxa"/>
            <w:shd w:val="clear" w:color="auto" w:fill="auto"/>
          </w:tcPr>
          <w:p w14:paraId="4272C89F">
            <w:pPr>
              <w:pStyle w:val="178"/>
            </w:pPr>
            <w:r>
              <w:rPr>
                <w:rFonts w:hint="eastAsia"/>
              </w:rPr>
              <w:t>包括带宽管理、防火墙配置、VPN接入管理、网络冗余与入侵检测系统（IDS）部署</w:t>
            </w:r>
          </w:p>
        </w:tc>
      </w:tr>
      <w:tr w14:paraId="1E243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090E9C17">
            <w:pPr>
              <w:pStyle w:val="178"/>
            </w:pPr>
            <w:r>
              <w:rPr>
                <w:rFonts w:hint="eastAsia"/>
              </w:rPr>
              <w:t>安全监测</w:t>
            </w:r>
          </w:p>
        </w:tc>
        <w:tc>
          <w:tcPr>
            <w:tcW w:w="7217" w:type="dxa"/>
            <w:shd w:val="clear" w:color="auto" w:fill="auto"/>
          </w:tcPr>
          <w:p w14:paraId="1086CAF1">
            <w:pPr>
              <w:pStyle w:val="178"/>
            </w:pPr>
            <w:r>
              <w:rPr>
                <w:rFonts w:hint="eastAsia"/>
              </w:rPr>
              <w:t>设置防病毒策略、安全事件监控、异常行为识别、攻击预警和安全加固</w:t>
            </w:r>
          </w:p>
        </w:tc>
      </w:tr>
      <w:tr w14:paraId="1824E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shd w:val="clear" w:color="auto" w:fill="auto"/>
          </w:tcPr>
          <w:p w14:paraId="6E36802B">
            <w:pPr>
              <w:pStyle w:val="178"/>
            </w:pPr>
            <w:r>
              <w:rPr>
                <w:rFonts w:hint="eastAsia"/>
              </w:rPr>
              <w:t>服务响应机制</w:t>
            </w:r>
          </w:p>
        </w:tc>
        <w:tc>
          <w:tcPr>
            <w:tcW w:w="7217" w:type="dxa"/>
            <w:shd w:val="clear" w:color="auto" w:fill="auto"/>
          </w:tcPr>
          <w:p w14:paraId="3BDFEA1B">
            <w:pPr>
              <w:pStyle w:val="178"/>
            </w:pPr>
            <w:r>
              <w:rPr>
                <w:rFonts w:hint="eastAsia"/>
              </w:rPr>
              <w:t>建立7×24小时运维值守机制，设置分级告警响应时间标准，配备应急处置预案</w:t>
            </w:r>
          </w:p>
        </w:tc>
      </w:tr>
    </w:tbl>
    <w:p w14:paraId="55998B23">
      <w:pPr>
        <w:pStyle w:val="104"/>
        <w:spacing w:before="240" w:after="240" w:line="360" w:lineRule="auto"/>
      </w:pPr>
      <w:bookmarkStart w:id="58" w:name="_Toc200377658"/>
      <w:r>
        <w:rPr>
          <w:rFonts w:hint="eastAsia"/>
        </w:rPr>
        <w:t>测试与验收方法</w:t>
      </w:r>
      <w:bookmarkEnd w:id="58"/>
    </w:p>
    <w:p w14:paraId="43B15221">
      <w:pPr>
        <w:pStyle w:val="105"/>
        <w:spacing w:before="120" w:after="120" w:line="360" w:lineRule="auto"/>
      </w:pPr>
      <w:r>
        <w:rPr>
          <w:rFonts w:hint="eastAsia"/>
        </w:rPr>
        <w:t>功能性测试</w:t>
      </w:r>
    </w:p>
    <w:p w14:paraId="04A88F03">
      <w:pPr>
        <w:pStyle w:val="56"/>
        <w:spacing w:line="360" w:lineRule="auto"/>
        <w:ind w:firstLine="420"/>
      </w:pPr>
      <w:r>
        <w:rPr>
          <w:rFonts w:hint="eastAsia"/>
        </w:rPr>
        <w:t>功能测试应覆盖系统的核心模块与主要应用场景，确保所有功能正常运行。具体包括：</w:t>
      </w:r>
    </w:p>
    <w:p w14:paraId="2EF41047">
      <w:pPr>
        <w:pStyle w:val="132"/>
        <w:spacing w:line="360" w:lineRule="auto"/>
      </w:pPr>
      <w:r>
        <w:rPr>
          <w:rFonts w:hint="eastAsia"/>
        </w:rPr>
        <w:t>安全隐患识别功能：测试图像识别、视频分析、传感器联动等模块是否能识别典型隐患；</w:t>
      </w:r>
    </w:p>
    <w:p w14:paraId="6B925E32">
      <w:pPr>
        <w:pStyle w:val="132"/>
        <w:spacing w:line="360" w:lineRule="auto"/>
      </w:pPr>
      <w:r>
        <w:rPr>
          <w:rFonts w:hint="eastAsia"/>
        </w:rPr>
        <w:t>风险评估模型：验证风险等级输出的准确性、逻辑合理性及其与实景匹配度；</w:t>
      </w:r>
    </w:p>
    <w:p w14:paraId="20C99BF8">
      <w:pPr>
        <w:pStyle w:val="132"/>
        <w:spacing w:line="360" w:lineRule="auto"/>
      </w:pPr>
      <w:r>
        <w:rPr>
          <w:rFonts w:hint="eastAsia"/>
        </w:rPr>
        <w:t>报警推送功能：测试告警触发条件是否灵敏准确，通知是否及时可靠；</w:t>
      </w:r>
    </w:p>
    <w:p w14:paraId="2270990B">
      <w:pPr>
        <w:pStyle w:val="132"/>
        <w:spacing w:line="360" w:lineRule="auto"/>
      </w:pPr>
      <w:r>
        <w:rPr>
          <w:rFonts w:hint="eastAsia"/>
        </w:rPr>
        <w:t>平台交互功能：测试系统中信息录入、查询、反馈、分析、统计等交互模块是否流畅；</w:t>
      </w:r>
    </w:p>
    <w:p w14:paraId="65440E78">
      <w:pPr>
        <w:pStyle w:val="132"/>
        <w:spacing w:line="360" w:lineRule="auto"/>
      </w:pPr>
      <w:r>
        <w:rPr>
          <w:rFonts w:hint="eastAsia"/>
        </w:rPr>
        <w:t>多端适配：验证系统在移动端、Web端、控制终端等设备上的兼容性与一致性。</w:t>
      </w:r>
    </w:p>
    <w:p w14:paraId="3E2C368B">
      <w:pPr>
        <w:pStyle w:val="105"/>
        <w:spacing w:before="120" w:after="120" w:line="360" w:lineRule="auto"/>
      </w:pPr>
      <w:r>
        <w:rPr>
          <w:rFonts w:hint="eastAsia"/>
        </w:rPr>
        <w:t>性能测试</w:t>
      </w:r>
    </w:p>
    <w:p w14:paraId="64E6B13F">
      <w:pPr>
        <w:pStyle w:val="56"/>
        <w:spacing w:line="360" w:lineRule="auto"/>
        <w:ind w:firstLine="420"/>
      </w:pPr>
      <w:r>
        <w:rPr>
          <w:rFonts w:hint="eastAsia"/>
        </w:rPr>
        <w:t>性能测试侧重于系统稳定性和响应能力，参考指标值范围见表3。</w:t>
      </w:r>
    </w:p>
    <w:p w14:paraId="77D7DC32">
      <w:pPr>
        <w:pStyle w:val="112"/>
        <w:spacing w:before="120" w:after="120" w:line="360" w:lineRule="auto"/>
      </w:pPr>
      <w:r>
        <w:rPr>
          <w:rFonts w:hint="eastAsia"/>
        </w:rPr>
        <w:t>性能测试关键指标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18"/>
        <w:gridCol w:w="5516"/>
      </w:tblGrid>
      <w:tr w14:paraId="54948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818" w:type="dxa"/>
            <w:tcBorders>
              <w:top w:val="single" w:color="auto" w:sz="8" w:space="0"/>
              <w:bottom w:val="single" w:color="auto" w:sz="8" w:space="0"/>
            </w:tcBorders>
            <w:shd w:val="clear" w:color="auto" w:fill="auto"/>
          </w:tcPr>
          <w:p w14:paraId="3AC5E075">
            <w:pPr>
              <w:pStyle w:val="178"/>
            </w:pPr>
            <w:r>
              <w:rPr>
                <w:rFonts w:hint="eastAsia"/>
              </w:rPr>
              <w:t>测试项目</w:t>
            </w:r>
          </w:p>
        </w:tc>
        <w:tc>
          <w:tcPr>
            <w:tcW w:w="5516" w:type="dxa"/>
            <w:tcBorders>
              <w:top w:val="single" w:color="auto" w:sz="8" w:space="0"/>
              <w:bottom w:val="single" w:color="auto" w:sz="8" w:space="0"/>
            </w:tcBorders>
            <w:shd w:val="clear" w:color="auto" w:fill="auto"/>
          </w:tcPr>
          <w:p w14:paraId="5440CA0F">
            <w:pPr>
              <w:pStyle w:val="178"/>
            </w:pPr>
            <w:r>
              <w:rPr>
                <w:rFonts w:hint="eastAsia"/>
              </w:rPr>
              <w:t>参考指标值范围或要求</w:t>
            </w:r>
          </w:p>
        </w:tc>
      </w:tr>
      <w:tr w14:paraId="591B0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tcBorders>
              <w:top w:val="single" w:color="auto" w:sz="8" w:space="0"/>
            </w:tcBorders>
            <w:shd w:val="clear" w:color="auto" w:fill="auto"/>
          </w:tcPr>
          <w:p w14:paraId="6224B6B4">
            <w:pPr>
              <w:pStyle w:val="178"/>
            </w:pPr>
            <w:r>
              <w:rPr>
                <w:rFonts w:hint="eastAsia"/>
              </w:rPr>
              <w:t>图像识别准确率</w:t>
            </w:r>
          </w:p>
        </w:tc>
        <w:tc>
          <w:tcPr>
            <w:tcW w:w="5516" w:type="dxa"/>
            <w:tcBorders>
              <w:top w:val="single" w:color="auto" w:sz="8" w:space="0"/>
            </w:tcBorders>
            <w:shd w:val="clear" w:color="auto" w:fill="auto"/>
          </w:tcPr>
          <w:p w14:paraId="35820C34">
            <w:pPr>
              <w:pStyle w:val="178"/>
            </w:pPr>
            <w:r>
              <w:rPr>
                <w:rFonts w:hint="eastAsia"/>
              </w:rPr>
              <w:t>≥ 90%（根据典型工况测试集）</w:t>
            </w:r>
          </w:p>
        </w:tc>
      </w:tr>
      <w:tr w14:paraId="3687D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shd w:val="clear" w:color="auto" w:fill="auto"/>
          </w:tcPr>
          <w:p w14:paraId="7CFD6BD5">
            <w:pPr>
              <w:pStyle w:val="178"/>
            </w:pPr>
            <w:r>
              <w:rPr>
                <w:rFonts w:hint="eastAsia"/>
              </w:rPr>
              <w:t>实时识别响应时延</w:t>
            </w:r>
          </w:p>
        </w:tc>
        <w:tc>
          <w:tcPr>
            <w:tcW w:w="5516" w:type="dxa"/>
            <w:shd w:val="clear" w:color="auto" w:fill="auto"/>
          </w:tcPr>
          <w:p w14:paraId="211ED2C0">
            <w:pPr>
              <w:pStyle w:val="178"/>
            </w:pPr>
            <w:r>
              <w:rPr>
                <w:rFonts w:hint="eastAsia"/>
              </w:rPr>
              <w:t>≤ 3秒（从隐患出现到报警推送）</w:t>
            </w:r>
          </w:p>
        </w:tc>
      </w:tr>
      <w:tr w14:paraId="75955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shd w:val="clear" w:color="auto" w:fill="auto"/>
          </w:tcPr>
          <w:p w14:paraId="14B7B2F3">
            <w:pPr>
              <w:pStyle w:val="178"/>
            </w:pPr>
            <w:r>
              <w:rPr>
                <w:rFonts w:hint="eastAsia"/>
              </w:rPr>
              <w:t>并发处理能力</w:t>
            </w:r>
          </w:p>
        </w:tc>
        <w:tc>
          <w:tcPr>
            <w:tcW w:w="5516" w:type="dxa"/>
            <w:shd w:val="clear" w:color="auto" w:fill="auto"/>
          </w:tcPr>
          <w:p w14:paraId="6658BE9C">
            <w:pPr>
              <w:pStyle w:val="178"/>
            </w:pPr>
            <w:r>
              <w:rPr>
                <w:rFonts w:hint="eastAsia"/>
              </w:rPr>
              <w:t>支持≥ 50路视频/数据源同时接入</w:t>
            </w:r>
          </w:p>
        </w:tc>
      </w:tr>
      <w:tr w14:paraId="2F2A4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shd w:val="clear" w:color="auto" w:fill="auto"/>
          </w:tcPr>
          <w:p w14:paraId="7D7369BF">
            <w:pPr>
              <w:pStyle w:val="178"/>
            </w:pPr>
            <w:r>
              <w:rPr>
                <w:rFonts w:hint="eastAsia"/>
              </w:rPr>
              <w:t>数据传输延迟</w:t>
            </w:r>
          </w:p>
        </w:tc>
        <w:tc>
          <w:tcPr>
            <w:tcW w:w="5516" w:type="dxa"/>
            <w:shd w:val="clear" w:color="auto" w:fill="auto"/>
          </w:tcPr>
          <w:p w14:paraId="4FACB1B5">
            <w:pPr>
              <w:pStyle w:val="178"/>
            </w:pPr>
            <w:r>
              <w:rPr>
                <w:rFonts w:hint="eastAsia"/>
              </w:rPr>
              <w:t>≤ 1秒（局域网环境下）</w:t>
            </w:r>
          </w:p>
        </w:tc>
      </w:tr>
      <w:tr w14:paraId="32D1D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shd w:val="clear" w:color="auto" w:fill="auto"/>
          </w:tcPr>
          <w:p w14:paraId="03FA05DC">
            <w:pPr>
              <w:pStyle w:val="178"/>
            </w:pPr>
            <w:r>
              <w:rPr>
                <w:rFonts w:hint="eastAsia"/>
              </w:rPr>
              <w:t>平均无故障运行时间</w:t>
            </w:r>
          </w:p>
        </w:tc>
        <w:tc>
          <w:tcPr>
            <w:tcW w:w="5516" w:type="dxa"/>
            <w:shd w:val="clear" w:color="auto" w:fill="auto"/>
          </w:tcPr>
          <w:p w14:paraId="29BF8158">
            <w:pPr>
              <w:pStyle w:val="178"/>
            </w:pPr>
            <w:r>
              <w:rPr>
                <w:rFonts w:hint="eastAsia"/>
              </w:rPr>
              <w:t>≥ 500小时</w:t>
            </w:r>
          </w:p>
        </w:tc>
      </w:tr>
    </w:tbl>
    <w:p w14:paraId="4803F6F3">
      <w:pPr>
        <w:pStyle w:val="105"/>
        <w:spacing w:before="120" w:after="120" w:line="360" w:lineRule="auto"/>
      </w:pPr>
      <w:r>
        <w:rPr>
          <w:rFonts w:hint="eastAsia"/>
        </w:rPr>
        <w:t>安全性测试</w:t>
      </w:r>
    </w:p>
    <w:p w14:paraId="5B25A410">
      <w:pPr>
        <w:pStyle w:val="56"/>
        <w:spacing w:line="360" w:lineRule="auto"/>
        <w:ind w:firstLine="420"/>
      </w:pPr>
      <w:r>
        <w:rPr>
          <w:rFonts w:hint="eastAsia"/>
        </w:rPr>
        <w:t>应对系统在面对恶意攻击、数据泄露、越权访问等威胁时的防护能力进行全面测试，内容包括：</w:t>
      </w:r>
    </w:p>
    <w:p w14:paraId="6C99BD95">
      <w:pPr>
        <w:pStyle w:val="132"/>
        <w:spacing w:line="360" w:lineRule="auto"/>
      </w:pPr>
      <w:r>
        <w:rPr>
          <w:rFonts w:hint="eastAsia"/>
        </w:rPr>
        <w:t>权限控制测试：验证系统各类账户的访问权限设置是否合理，权限边界是否清晰；</w:t>
      </w:r>
    </w:p>
    <w:p w14:paraId="7D5D9AEE">
      <w:pPr>
        <w:pStyle w:val="132"/>
        <w:spacing w:line="360" w:lineRule="auto"/>
      </w:pPr>
      <w:r>
        <w:rPr>
          <w:rFonts w:hint="eastAsia"/>
        </w:rPr>
        <w:t>加密机制测试：检查传输数据与存储数据的加密手段是否有效，如是否采用标准加密协议；</w:t>
      </w:r>
    </w:p>
    <w:p w14:paraId="24769520">
      <w:pPr>
        <w:pStyle w:val="132"/>
        <w:spacing w:line="360" w:lineRule="auto"/>
      </w:pPr>
      <w:r>
        <w:rPr>
          <w:rFonts w:hint="eastAsia"/>
        </w:rPr>
        <w:t>攻击模拟测试：通过模拟SQL注入、跨站脚本（XSS）、拒绝服务（DoS）等常见攻击方式，评估系统抵御能力；</w:t>
      </w:r>
    </w:p>
    <w:p w14:paraId="632AE28D">
      <w:pPr>
        <w:pStyle w:val="132"/>
        <w:spacing w:line="360" w:lineRule="auto"/>
      </w:pPr>
      <w:r>
        <w:rPr>
          <w:rFonts w:hint="eastAsia"/>
        </w:rPr>
        <w:t>日志审计测试：验证日志系统是否完整记录用户行为、安全事件，且具备追溯能力；</w:t>
      </w:r>
    </w:p>
    <w:p w14:paraId="2A6A5C38">
      <w:pPr>
        <w:pStyle w:val="132"/>
        <w:spacing w:line="360" w:lineRule="auto"/>
      </w:pPr>
      <w:r>
        <w:rPr>
          <w:rFonts w:hint="eastAsia"/>
        </w:rPr>
        <w:t>数据恢复测试：测试断电、误删等情况下，系统是否能快速恢复至正常运行状态。</w:t>
      </w:r>
    </w:p>
    <w:p w14:paraId="10062368">
      <w:pPr>
        <w:pStyle w:val="105"/>
        <w:spacing w:before="120" w:after="120" w:line="360" w:lineRule="auto"/>
      </w:pPr>
      <w:r>
        <w:rPr>
          <w:rFonts w:hint="eastAsia"/>
        </w:rPr>
        <w:t>验收流程</w:t>
      </w:r>
    </w:p>
    <w:p w14:paraId="5688FAB6">
      <w:pPr>
        <w:pStyle w:val="56"/>
        <w:spacing w:line="360" w:lineRule="auto"/>
        <w:ind w:firstLine="420"/>
      </w:pPr>
      <w:r>
        <w:rPr>
          <w:rFonts w:hint="eastAsia"/>
        </w:rPr>
        <w:t>系统验收应遵循“技术检查—实际演示—指标比对—报告评估”的流程，需包括以下步骤：</w:t>
      </w:r>
    </w:p>
    <w:p w14:paraId="0779DECA">
      <w:pPr>
        <w:pStyle w:val="174"/>
        <w:spacing w:line="360" w:lineRule="auto"/>
      </w:pPr>
      <w:r>
        <w:rPr>
          <w:rFonts w:hint="eastAsia"/>
        </w:rPr>
        <w:t>组织测试团队按标准方案进行功能与性能测试；</w:t>
      </w:r>
    </w:p>
    <w:p w14:paraId="5409D146">
      <w:pPr>
        <w:pStyle w:val="174"/>
        <w:spacing w:line="360" w:lineRule="auto"/>
      </w:pPr>
      <w:r>
        <w:rPr>
          <w:rFonts w:hint="eastAsia"/>
        </w:rPr>
        <w:t>撰写完整测试报告，列明各项指标达标情况；</w:t>
      </w:r>
    </w:p>
    <w:p w14:paraId="15B42344">
      <w:pPr>
        <w:pStyle w:val="174"/>
        <w:spacing w:line="360" w:lineRule="auto"/>
      </w:pPr>
      <w:r>
        <w:rPr>
          <w:rFonts w:hint="eastAsia"/>
        </w:rPr>
        <w:t>邀请第三方或用户单位代表参与系统实地演示；</w:t>
      </w:r>
    </w:p>
    <w:p w14:paraId="7C8330E4">
      <w:pPr>
        <w:pStyle w:val="174"/>
        <w:spacing w:line="360" w:lineRule="auto"/>
      </w:pPr>
      <w:r>
        <w:rPr>
          <w:rFonts w:hint="eastAsia"/>
        </w:rPr>
        <w:t>汇总评估结果，形成验收结论；</w:t>
      </w:r>
    </w:p>
    <w:p w14:paraId="666B5173">
      <w:pPr>
        <w:pStyle w:val="174"/>
        <w:spacing w:line="360" w:lineRule="auto"/>
      </w:pPr>
      <w:r>
        <w:rPr>
          <w:rFonts w:hint="eastAsia"/>
        </w:rPr>
        <w:t>验收合格后，签署交付使用确认文件。</w:t>
      </w:r>
    </w:p>
    <w:p w14:paraId="23F00922">
      <w:pPr>
        <w:pStyle w:val="56"/>
        <w:spacing w:line="360" w:lineRule="auto"/>
        <w:ind w:firstLine="420"/>
      </w:pPr>
      <w:r>
        <w:rPr>
          <w:rFonts w:hint="eastAsia"/>
        </w:rPr>
        <w:t>通过规范测试与验收流程，可确保系统投入使用后达到预期功能与质量要求，为道路桥梁施工期间的隐患识别与风险防控提供可靠技术保障。</w:t>
      </w:r>
    </w:p>
    <w:p w14:paraId="41E4C039">
      <w:pPr>
        <w:pStyle w:val="104"/>
        <w:spacing w:before="240" w:after="240" w:line="360" w:lineRule="auto"/>
      </w:pPr>
      <w:bookmarkStart w:id="59" w:name="_Toc200377659"/>
      <w:r>
        <w:rPr>
          <w:rFonts w:hint="eastAsia"/>
        </w:rPr>
        <w:t>应用推广与后续维护</w:t>
      </w:r>
      <w:bookmarkEnd w:id="59"/>
    </w:p>
    <w:p w14:paraId="0F995633">
      <w:pPr>
        <w:pStyle w:val="105"/>
        <w:spacing w:before="120" w:after="120" w:line="360" w:lineRule="auto"/>
      </w:pPr>
      <w:r>
        <w:rPr>
          <w:rFonts w:hint="eastAsia"/>
        </w:rPr>
        <w:t>推广应用策略</w:t>
      </w:r>
    </w:p>
    <w:p w14:paraId="6C6F8AB3">
      <w:pPr>
        <w:pStyle w:val="56"/>
        <w:spacing w:line="360" w:lineRule="auto"/>
        <w:ind w:firstLine="420"/>
      </w:pPr>
      <w:r>
        <w:rPr>
          <w:rFonts w:hint="eastAsia"/>
        </w:rPr>
        <w:t>推广本系统的应用应因地制宜、分类施策。通过政策推动和项目试点，鼓励施工单位、监理机构主动采用智能识别技术，逐步形成行业普及机制。优先在风险较高的高墩大跨、深基坑、高边坡等桥隧重点施工区域试点部署系统，积累应用案例后向普通桥梁、普通路段扩展。可结合系统上线同步开展岗位培训和操作演示，提升一线管理人员对系统的理解与使用能力。</w:t>
      </w:r>
    </w:p>
    <w:p w14:paraId="585394BD">
      <w:pPr>
        <w:pStyle w:val="105"/>
        <w:spacing w:before="120" w:after="120" w:line="360" w:lineRule="auto"/>
      </w:pPr>
      <w:r>
        <w:rPr>
          <w:rFonts w:hint="eastAsia"/>
        </w:rPr>
        <w:t>运维保障机制</w:t>
      </w:r>
    </w:p>
    <w:p w14:paraId="4B10A0CD">
      <w:pPr>
        <w:pStyle w:val="56"/>
        <w:spacing w:line="360" w:lineRule="auto"/>
        <w:ind w:firstLine="420"/>
      </w:pPr>
      <w:r>
        <w:rPr>
          <w:rFonts w:hint="eastAsia"/>
        </w:rPr>
        <w:t>为确保系统长期有效运行，应建立规范的运行维护机制，制定巡检计划，定期对图像识别设备、传感器、通信网络等进行检查与保养。</w:t>
      </w:r>
    </w:p>
    <w:p w14:paraId="46546D46">
      <w:pPr>
        <w:pStyle w:val="56"/>
        <w:spacing w:line="360" w:lineRule="auto"/>
        <w:ind w:firstLine="420"/>
      </w:pPr>
      <w:r>
        <w:rPr>
          <w:rFonts w:hint="eastAsia"/>
        </w:rPr>
        <w:t>应对后台风险数据库进行动态更新，清除冗余数据、补充新类型隐患样本，提升系统学习能力。</w:t>
      </w:r>
    </w:p>
    <w:p w14:paraId="5554B999">
      <w:pPr>
        <w:pStyle w:val="56"/>
        <w:spacing w:line="360" w:lineRule="auto"/>
        <w:ind w:firstLine="420"/>
      </w:pPr>
      <w:r>
        <w:rPr>
          <w:rFonts w:hint="eastAsia"/>
        </w:rPr>
        <w:t>应根据新技术发展和现场需求适时进行软件功能优化、补丁修复与算法模型升级，保持系统先进性。</w:t>
      </w:r>
    </w:p>
    <w:p w14:paraId="4C8F441F">
      <w:pPr>
        <w:pStyle w:val="56"/>
        <w:spacing w:line="360" w:lineRule="auto"/>
        <w:ind w:firstLine="420"/>
      </w:pPr>
      <w:r>
        <w:rPr>
          <w:rFonts w:hint="eastAsia"/>
        </w:rPr>
        <w:t>建议记录日常运维操作与系统异常处理过程，构建“故障定位—预警通知—技术支撑”闭环体系，并制定关键数据和识别模型的定期备份计划，建设异地容灾系统，以应对突发事件。</w:t>
      </w:r>
    </w:p>
    <w:bookmarkEnd w:id="26"/>
    <w:p w14:paraId="5DA83A18">
      <w:pPr>
        <w:pStyle w:val="56"/>
        <w:spacing w:line="360" w:lineRule="auto"/>
        <w:ind w:firstLine="0" w:firstLineChars="0"/>
        <w:jc w:val="center"/>
      </w:pPr>
      <w:bookmarkStart w:id="60" w:name="BookMark8"/>
      <w:r>
        <w:rPr>
          <w:rFonts w:hint="eastAsia"/>
        </w:rPr>
        <w:drawing>
          <wp:inline distT="0" distB="0" distL="0" distR="0">
            <wp:extent cx="1485900" cy="317500"/>
            <wp:effectExtent l="0" t="0" r="0" b="6350"/>
            <wp:docPr id="1742427325" name="图片 3"/>
            <wp:cNvGraphicFramePr/>
            <a:graphic xmlns:a="http://schemas.openxmlformats.org/drawingml/2006/main">
              <a:graphicData uri="http://schemas.openxmlformats.org/drawingml/2006/picture">
                <pic:pic xmlns:pic="http://schemas.openxmlformats.org/drawingml/2006/picture">
                  <pic:nvPicPr>
                    <pic:cNvPr id="1742427325"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43CF">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85A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3732">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6D9B">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3494">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9FC9">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6AD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B920">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8EF9">
    <w:pPr>
      <w:pStyle w:val="61"/>
    </w:pPr>
    <w:r>
      <w:fldChar w:fldCharType="begin"/>
    </w:r>
    <w:r>
      <w:instrText xml:space="preserve"> STYLEREF  标准文件_文件编号  \* MERGEFORMAT </w:instrText>
    </w:r>
    <w:r>
      <w:fldChar w:fldCharType="separate"/>
    </w:r>
    <w:r>
      <w:t>T/XJBX 0037—2025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E07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0037—2025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4BA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0037—2025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0037—2025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B92E">
    <w:pPr>
      <w:pStyle w:val="61"/>
    </w:pPr>
    <w:r>
      <w:fldChar w:fldCharType="begin"/>
    </w:r>
    <w:r>
      <w:instrText xml:space="preserve"> STYLEREF  标准文件_文件编号  \* MERGEFORMAT </w:instrText>
    </w:r>
    <w:r>
      <w:fldChar w:fldCharType="separate"/>
    </w:r>
    <w:r>
      <w:t>T/XJBX 0037—2025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E88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0037—2025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CB9F">
    <w:pPr>
      <w:pStyle w:val="61"/>
    </w:pPr>
    <w:r>
      <w:fldChar w:fldCharType="begin"/>
    </w:r>
    <w:r>
      <w:instrText xml:space="preserve"> STYLEREF  标准文件_文件编号  \* MERGEFORMAT </w:instrText>
    </w:r>
    <w:r>
      <w:fldChar w:fldCharType="separate"/>
    </w:r>
    <w:r>
      <w:t>T/XJBX 0037—2025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026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0037—2025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1561"/>
        </w:tabs>
        <w:ind w:left="156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bc0MjYzNDA0NTNV0lEKTi0uzszPAykwqgUALkMwFSw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3A0"/>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0526"/>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CDB"/>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EC7"/>
    <w:rsid w:val="00376713"/>
    <w:rsid w:val="00381815"/>
    <w:rsid w:val="003819AF"/>
    <w:rsid w:val="003820E9"/>
    <w:rsid w:val="003829CD"/>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4484"/>
    <w:rsid w:val="0045517B"/>
    <w:rsid w:val="00457D8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3E4"/>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14B"/>
    <w:rsid w:val="006D04EA"/>
    <w:rsid w:val="006D16C4"/>
    <w:rsid w:val="006D3E96"/>
    <w:rsid w:val="006D4515"/>
    <w:rsid w:val="006D4BB1"/>
    <w:rsid w:val="006D545D"/>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5A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B0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BA5"/>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04"/>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A5B"/>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427"/>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3A5458E"/>
    <w:rsid w:val="5ACD39D4"/>
    <w:rsid w:val="635D78BF"/>
    <w:rsid w:val="68A06C68"/>
    <w:rsid w:val="6AF4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tabs>
        <w:tab w:val="left" w:pos="851"/>
        <w:tab w:val="clear" w:pos="1561"/>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1309B59B">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0B33EFC8">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6677A8D7">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24215E"/>
    <w:rsid w:val="00403ABD"/>
    <w:rsid w:val="00445E7A"/>
    <w:rsid w:val="00457D80"/>
    <w:rsid w:val="00471F4F"/>
    <w:rsid w:val="00746E49"/>
    <w:rsid w:val="00B14BF6"/>
    <w:rsid w:val="00C437ED"/>
    <w:rsid w:val="00CA389F"/>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6523</Words>
  <Characters>6839</Characters>
  <Lines>63</Lines>
  <Paragraphs>17</Paragraphs>
  <TotalTime>66</TotalTime>
  <ScaleCrop>false</ScaleCrop>
  <LinksUpToDate>false</LinksUpToDate>
  <CharactersWithSpaces>6941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2025-06-09T07:30:00Z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2025-06-10T08:37:59Z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2052-12.1.0.21171</vt:lpwstr>
  </property>
  <property fmtid="{D5CDD505-2E9C-101B-9397-08002B2CF9AE}" pid="17" name="ICV">
    <vt:lpwstr>44B99A9A2D724ECAB81F4C7820624575_12</vt:lpwstr>
  </property>
</Properties>
</file>