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9DE0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71A24F0">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107F8BC">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35.240.99"/>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35.240.99</w:t>
            </w:r>
            <w:r>
              <w:rPr>
                <w:rFonts w:ascii="黑体" w:hAnsi="黑体" w:eastAsia="黑体"/>
                <w:sz w:val="21"/>
                <w:szCs w:val="21"/>
              </w:rPr>
              <w:fldChar w:fldCharType="end"/>
            </w:r>
            <w:bookmarkEnd w:id="0"/>
          </w:p>
        </w:tc>
      </w:tr>
      <w:tr w14:paraId="52A2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6AD539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0895C7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26D9211">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10ACDCE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C 53"/>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 53</w:t>
            </w:r>
            <w:r>
              <w:rPr>
                <w:rFonts w:ascii="黑体" w:hAnsi="黑体" w:eastAsia="黑体"/>
                <w:sz w:val="21"/>
                <w:szCs w:val="21"/>
              </w:rPr>
              <w:fldChar w:fldCharType="end"/>
            </w:r>
            <w:bookmarkEnd w:id="2"/>
          </w:p>
        </w:tc>
      </w:tr>
    </w:tbl>
    <w:p w14:paraId="3EDDC6C2">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D1ECAA7">
      <w:pPr>
        <w:pStyle w:val="195"/>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bookmarkStart w:id="6" w:name="NSTD_CODE_F"/>
      <w:r>
        <w:rPr>
          <w:rFonts w:ascii="黑体" w:hAnsi="Times New Roman" w:eastAsia="黑体" w:cs="Times New Roman"/>
          <w:bCs/>
          <w:sz w:val="28"/>
          <w:szCs w:val="28"/>
          <w:lang w:val="en-US" w:eastAsia="zh-CN" w:bidi="ar-SA"/>
        </w:rPr>
        <w:fldChar w:fldCharType="begin">
          <w:ffData>
            <w:name w:val="NSTD_CODE_F"/>
            <w:enabled/>
            <w:calcOnExit w:val="0"/>
            <w:textInput>
              <w:default w:val="0033"/>
            </w:textInput>
          </w:ffData>
        </w:fldChar>
      </w:r>
      <w:r>
        <w:rPr>
          <w:rFonts w:ascii="黑体" w:hAnsi="Times New Roman" w:eastAsia="黑体" w:cs="Times New Roman"/>
          <w:bCs/>
          <w:sz w:val="28"/>
          <w:szCs w:val="28"/>
          <w:lang w:val="en-US" w:eastAsia="zh-CN" w:bidi="ar-SA"/>
        </w:rPr>
        <w:instrText xml:space="preserve">FORMTEXT</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en-US" w:eastAsia="zh-CN" w:bidi="ar-SA"/>
        </w:rPr>
        <w:t>0033</w:t>
      </w:r>
      <w:r>
        <w:rPr>
          <w:rFonts w:ascii="黑体" w:hAnsi="Times New Roman" w:eastAsia="黑体" w:cs="Times New Roman"/>
          <w:bCs/>
          <w:sz w:val="28"/>
          <w:szCs w:val="28"/>
          <w:lang w:val="en-US" w:eastAsia="zh-CN" w:bidi="ar-SA"/>
        </w:rP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01516222">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A2E5053">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DCC4CCE">
      <w:pPr>
        <w:pStyle w:val="50"/>
        <w:framePr w:w="9639" w:h="6976" w:hRule="exact" w:hSpace="0" w:vSpace="0" w:wrap="around" w:hAnchor="page" w:y="6408"/>
        <w:jc w:val="center"/>
        <w:rPr>
          <w:rFonts w:ascii="黑体" w:hAnsi="黑体" w:eastAsia="黑体"/>
          <w:b w:val="0"/>
          <w:bCs w:val="0"/>
          <w:w w:val="100"/>
        </w:rPr>
      </w:pPr>
    </w:p>
    <w:p w14:paraId="31AB5936">
      <w:pPr>
        <w:pStyle w:val="197"/>
        <w:framePr w:h="6974" w:hRule="exact" w:wrap="around" w:x="1419" w:anchorLock="1"/>
      </w:pPr>
      <w:r>
        <w:rPr>
          <w:rFonts w:hint="eastAsia"/>
        </w:rPr>
        <w:fldChar w:fldCharType="begin">
          <w:ffData>
            <w:name w:val="CSTD_NAME"/>
            <w:enabled/>
            <w:calcOnExit w:val="0"/>
            <w:textInput>
              <w:default w:val="食品安全检测数据质量管理与追溯规程"/>
            </w:textInput>
          </w:ffData>
        </w:fldChar>
      </w:r>
      <w:bookmarkStart w:id="9" w:name="CSTD_NAME"/>
      <w:r>
        <w:rPr>
          <w:rFonts w:hint="eastAsia"/>
        </w:rPr>
        <w:instrText xml:space="preserve"> FORMTEXT </w:instrText>
      </w:r>
      <w:r>
        <w:rPr>
          <w:rFonts w:hint="eastAsia"/>
        </w:rPr>
        <w:fldChar w:fldCharType="separate"/>
      </w:r>
      <w:r>
        <w:rPr>
          <w:rFonts w:hint="eastAsia"/>
        </w:rPr>
        <w:t>食品安全检测数据质量管理与追溯规程</w:t>
      </w:r>
      <w:r>
        <w:rPr>
          <w:rFonts w:hint="eastAsia"/>
        </w:rPr>
        <w:fldChar w:fldCharType="end"/>
      </w:r>
      <w:bookmarkEnd w:id="9"/>
    </w:p>
    <w:p w14:paraId="158A2AA9">
      <w:pPr>
        <w:framePr w:w="9639" w:h="6974" w:hRule="exact" w:wrap="around" w:vAnchor="page" w:hAnchor="page" w:x="1419" w:y="6408" w:anchorLock="1"/>
        <w:ind w:left="-1418"/>
      </w:pPr>
    </w:p>
    <w:p w14:paraId="70935827">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Code of practice for data quality management and traceability in food safety testing"/>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Code of practice for data quality management and traceability in food safety testing</w:t>
      </w:r>
      <w:r>
        <w:rPr>
          <w:rFonts w:ascii="黑体" w:hAnsi="黑体" w:eastAsia="黑体"/>
          <w:szCs w:val="28"/>
        </w:rPr>
        <w:fldChar w:fldCharType="end"/>
      </w:r>
      <w:bookmarkEnd w:id="10"/>
    </w:p>
    <w:p w14:paraId="5FA9CA4D">
      <w:pPr>
        <w:framePr w:w="9639" w:h="6974" w:hRule="exact" w:wrap="around" w:vAnchor="page" w:hAnchor="page" w:x="1419" w:y="6408" w:anchorLock="1"/>
        <w:spacing w:line="760" w:lineRule="exact"/>
        <w:ind w:left="-1418"/>
      </w:pPr>
    </w:p>
    <w:p w14:paraId="0FC2C8D0">
      <w:pPr>
        <w:pStyle w:val="125"/>
        <w:framePr w:w="9639" w:h="6974" w:hRule="exact" w:wrap="around" w:vAnchor="page" w:hAnchor="page" w:x="1419" w:y="6408" w:anchorLock="1"/>
        <w:textAlignment w:val="bottom"/>
        <w:rPr>
          <w:rFonts w:eastAsia="黑体"/>
          <w:szCs w:val="28"/>
        </w:rPr>
      </w:pPr>
    </w:p>
    <w:p w14:paraId="3E9E8910">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2FCF8D0">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DE220C7">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710244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14C4AD4">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6DF5FBD">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计量标准检测认证协会"/>
            </w:textInput>
          </w:ffData>
        </w:fldChar>
      </w:r>
      <w:bookmarkStart w:id="20" w:name="fm"/>
      <w:r>
        <w:rPr>
          <w:rFonts w:hint="eastAsia" w:hAnsi="黑体"/>
          <w:w w:val="100"/>
          <w:sz w:val="28"/>
        </w:rPr>
        <w:instrText xml:space="preserve"> FORMTEXT </w:instrText>
      </w:r>
      <w:r>
        <w:rPr>
          <w:rFonts w:hint="eastAsia" w:hAnsi="黑体"/>
          <w:w w:val="100"/>
          <w:sz w:val="28"/>
        </w:rPr>
        <w:fldChar w:fldCharType="separate"/>
      </w:r>
      <w:r>
        <w:rPr>
          <w:rFonts w:hint="eastAsia" w:hAnsi="黑体"/>
          <w:w w:val="100"/>
          <w:sz w:val="28"/>
        </w:rPr>
        <w:t>西安市计量标准检测认证协会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2689C65">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62B21CA">
      <w:pPr>
        <w:pStyle w:val="91"/>
        <w:spacing w:after="360"/>
      </w:pPr>
      <w:bookmarkStart w:id="21" w:name="BookMark1"/>
      <w:r>
        <w:rPr>
          <w:rFonts w:hint="eastAsia"/>
          <w:spacing w:val="320"/>
        </w:rPr>
        <w:t>目</w:t>
      </w:r>
      <w:r>
        <w:rPr>
          <w:rFonts w:hint="eastAsia"/>
        </w:rPr>
        <w:t>次</w:t>
      </w:r>
    </w:p>
    <w:p w14:paraId="3315150D">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"_Toc200365318"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_Toc200365318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4AD570A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"_Toc200365319"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_Toc200365319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794ED9A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"_Toc200365320"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_Toc200365320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101D87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"_Toc200365321"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_Toc200365321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ED9B7E1">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"_Toc200365322"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_Toc200365322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16FEF2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"_Toc200365323" </w:instrText>
      </w:r>
      <w:r>
        <w:fldChar w:fldCharType="separate"/>
      </w:r>
      <w:r>
        <w:rPr>
          <w:rStyle w:val="32"/>
          <w:rFonts w:hint="eastAsia"/>
        </w:rPr>
        <w:t>4</w:t>
      </w:r>
      <w:r>
        <w:rPr>
          <w:rStyle w:val="32"/>
        </w:rPr>
        <w:t xml:space="preserve"> </w:t>
      </w:r>
      <w:r>
        <w:rPr>
          <w:rStyle w:val="32"/>
          <w:rFonts w:hint="eastAsia"/>
        </w:rPr>
        <w:t xml:space="preserve"> 总体要求</w:t>
      </w:r>
      <w:r>
        <w:rPr>
          <w:rFonts w:hint="eastAsia"/>
        </w:rPr>
        <w:tab/>
      </w:r>
      <w:r>
        <w:rPr>
          <w:rFonts w:hint="eastAsia"/>
        </w:rPr>
        <w:fldChar w:fldCharType="begin"/>
      </w:r>
      <w:r>
        <w:rPr>
          <w:rFonts w:hint="eastAsia"/>
        </w:rPr>
        <w:instrText xml:space="preserve"> </w:instrText>
      </w:r>
      <w:r>
        <w:instrText xml:space="preserve">PAGEREF _Toc200365323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5E35AE43">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"_Toc200365324" </w:instrText>
      </w:r>
      <w:r>
        <w:fldChar w:fldCharType="separate"/>
      </w:r>
      <w:r>
        <w:rPr>
          <w:rStyle w:val="32"/>
          <w:rFonts w:hint="eastAsia"/>
        </w:rPr>
        <w:t>5</w:t>
      </w:r>
      <w:r>
        <w:rPr>
          <w:rStyle w:val="32"/>
        </w:rPr>
        <w:t xml:space="preserve"> </w:t>
      </w:r>
      <w:r>
        <w:rPr>
          <w:rStyle w:val="32"/>
          <w:rFonts w:hint="eastAsia"/>
        </w:rPr>
        <w:t xml:space="preserve"> 检测数据质量控制</w:t>
      </w:r>
      <w:r>
        <w:rPr>
          <w:rFonts w:hint="eastAsia"/>
        </w:rPr>
        <w:tab/>
      </w:r>
      <w:r>
        <w:rPr>
          <w:rFonts w:hint="eastAsia"/>
        </w:rPr>
        <w:fldChar w:fldCharType="begin"/>
      </w:r>
      <w:r>
        <w:rPr>
          <w:rFonts w:hint="eastAsia"/>
        </w:rPr>
        <w:instrText xml:space="preserve"> </w:instrText>
      </w:r>
      <w:r>
        <w:instrText xml:space="preserve">PAGEREF _Toc200365324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C6B220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"_Toc200365325" </w:instrText>
      </w:r>
      <w:r>
        <w:fldChar w:fldCharType="separate"/>
      </w:r>
      <w:r>
        <w:rPr>
          <w:rStyle w:val="32"/>
          <w:rFonts w:hint="eastAsia"/>
        </w:rPr>
        <w:t>6</w:t>
      </w:r>
      <w:r>
        <w:rPr>
          <w:rStyle w:val="32"/>
        </w:rPr>
        <w:t xml:space="preserve"> </w:t>
      </w:r>
      <w:r>
        <w:rPr>
          <w:rStyle w:val="32"/>
          <w:rFonts w:hint="eastAsia"/>
        </w:rPr>
        <w:t xml:space="preserve"> 数据追溯机制</w:t>
      </w:r>
      <w:r>
        <w:rPr>
          <w:rFonts w:hint="eastAsia"/>
        </w:rPr>
        <w:tab/>
      </w:r>
      <w:r>
        <w:rPr>
          <w:rFonts w:hint="eastAsia"/>
        </w:rPr>
        <w:fldChar w:fldCharType="begin"/>
      </w:r>
      <w:r>
        <w:rPr>
          <w:rFonts w:hint="eastAsia"/>
        </w:rPr>
        <w:instrText xml:space="preserve"> </w:instrText>
      </w:r>
      <w:r>
        <w:instrText xml:space="preserve">PAGEREF _Toc200365325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505FAC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"_Toc200365326" </w:instrText>
      </w:r>
      <w:r>
        <w:fldChar w:fldCharType="separate"/>
      </w:r>
      <w:r>
        <w:rPr>
          <w:rStyle w:val="32"/>
          <w:rFonts w:hint="eastAsia"/>
        </w:rPr>
        <w:t>7</w:t>
      </w:r>
      <w:r>
        <w:rPr>
          <w:rStyle w:val="32"/>
        </w:rPr>
        <w:t xml:space="preserve"> </w:t>
      </w:r>
      <w:r>
        <w:rPr>
          <w:rStyle w:val="32"/>
          <w:rFonts w:hint="eastAsia"/>
        </w:rPr>
        <w:t xml:space="preserve"> 信息安全与权限管理</w:t>
      </w:r>
      <w:r>
        <w:rPr>
          <w:rFonts w:hint="eastAsia"/>
        </w:rPr>
        <w:tab/>
      </w:r>
      <w:r>
        <w:rPr>
          <w:rFonts w:hint="eastAsia"/>
        </w:rPr>
        <w:fldChar w:fldCharType="begin"/>
      </w:r>
      <w:r>
        <w:rPr>
          <w:rFonts w:hint="eastAsia"/>
        </w:rPr>
        <w:instrText xml:space="preserve"> </w:instrText>
      </w:r>
      <w:r>
        <w:instrText xml:space="preserve">PAGEREF _Toc200365326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11737F8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"_Toc200365327" </w:instrText>
      </w:r>
      <w:r>
        <w:fldChar w:fldCharType="separate"/>
      </w:r>
      <w:r>
        <w:rPr>
          <w:rStyle w:val="32"/>
          <w:rFonts w:hint="eastAsia"/>
        </w:rPr>
        <w:t>8</w:t>
      </w:r>
      <w:r>
        <w:rPr>
          <w:rStyle w:val="32"/>
        </w:rPr>
        <w:t xml:space="preserve"> </w:t>
      </w:r>
      <w:r>
        <w:rPr>
          <w:rStyle w:val="32"/>
          <w:rFonts w:hint="eastAsia"/>
        </w:rPr>
        <w:t xml:space="preserve"> 质量控制流程与评价指标</w:t>
      </w:r>
      <w:r>
        <w:rPr>
          <w:rFonts w:hint="eastAsia"/>
        </w:rPr>
        <w:tab/>
      </w:r>
      <w:r>
        <w:rPr>
          <w:rFonts w:hint="eastAsia"/>
        </w:rPr>
        <w:fldChar w:fldCharType="begin"/>
      </w:r>
      <w:r>
        <w:rPr>
          <w:rFonts w:hint="eastAsia"/>
        </w:rPr>
        <w:instrText xml:space="preserve"> </w:instrText>
      </w:r>
      <w:r>
        <w:instrText xml:space="preserve">PAGEREF _Toc200365327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16EF93CB">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"_Toc200365328" </w:instrText>
      </w:r>
      <w:r>
        <w:fldChar w:fldCharType="separate"/>
      </w:r>
      <w:r>
        <w:rPr>
          <w:rStyle w:val="32"/>
          <w:rFonts w:hint="eastAsia"/>
        </w:rPr>
        <w:t>9</w:t>
      </w:r>
      <w:r>
        <w:rPr>
          <w:rStyle w:val="32"/>
        </w:rPr>
        <w:t xml:space="preserve"> </w:t>
      </w:r>
      <w:r>
        <w:rPr>
          <w:rStyle w:val="32"/>
          <w:rFonts w:hint="eastAsia"/>
        </w:rPr>
        <w:t xml:space="preserve"> 追溯系统建设与运行</w:t>
      </w:r>
      <w:r>
        <w:rPr>
          <w:rFonts w:hint="eastAsia"/>
        </w:rPr>
        <w:tab/>
      </w:r>
      <w:r>
        <w:rPr>
          <w:rFonts w:hint="eastAsia"/>
        </w:rPr>
        <w:fldChar w:fldCharType="begin"/>
      </w:r>
      <w:r>
        <w:rPr>
          <w:rFonts w:hint="eastAsia"/>
        </w:rPr>
        <w:instrText xml:space="preserve"> </w:instrText>
      </w:r>
      <w:r>
        <w:instrText xml:space="preserve">PAGEREF _Toc200365328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286ED128">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5999381D">
      <w:pPr>
        <w:pStyle w:val="89"/>
        <w:spacing w:before="900" w:after="360"/>
      </w:pPr>
      <w:bookmarkStart w:id="22" w:name="_Toc200365318"/>
      <w:bookmarkStart w:id="23" w:name="BookMark2"/>
      <w:r>
        <w:rPr>
          <w:rFonts w:hint="eastAsia"/>
          <w:spacing w:val="320"/>
        </w:rPr>
        <w:t>前</w:t>
      </w:r>
      <w:r>
        <w:rPr>
          <w:rFonts w:hint="eastAsia"/>
        </w:rPr>
        <w:t>言</w:t>
      </w:r>
      <w:bookmarkEnd w:id="22"/>
    </w:p>
    <w:p w14:paraId="09C2AD04">
      <w:pPr>
        <w:pStyle w:val="56"/>
        <w:spacing w:line="360" w:lineRule="auto"/>
        <w:ind w:firstLine="420"/>
      </w:pPr>
      <w:r>
        <w:rPr>
          <w:rFonts w:hint="eastAsia"/>
        </w:rPr>
        <w:t>本文件按照GB/T 1.1—2020《标准化工作导则  第1部分：标准化文件的结构和起草规则》的规定起草。</w:t>
      </w:r>
    </w:p>
    <w:p w14:paraId="59AC4B42">
      <w:pPr>
        <w:pStyle w:val="56"/>
        <w:spacing w:line="360" w:lineRule="auto"/>
        <w:ind w:firstLine="420"/>
      </w:pPr>
      <w:r>
        <w:rPr>
          <w:rFonts w:hint="eastAsia"/>
        </w:rPr>
        <w:t>本文件由西安市计量标准检测认证协会提出并归口。</w:t>
      </w:r>
    </w:p>
    <w:p w14:paraId="62F1D1CB">
      <w:pPr>
        <w:pStyle w:val="56"/>
        <w:spacing w:line="360" w:lineRule="auto"/>
        <w:ind w:firstLine="420"/>
      </w:pPr>
      <w:r>
        <w:rPr>
          <w:rFonts w:hint="eastAsia"/>
        </w:rPr>
        <w:t>本文件起草单位：周口市产品质量检验检测中心、福建省产品质量检验研究院、邓州市产品质量检验检测中心、荣成市检验检测中心、淄博市周村区检验检测中心（淄博市周村区计量测试所）</w:t>
      </w:r>
      <w:r>
        <w:rPr>
          <w:rFonts w:hint="eastAsia"/>
          <w:lang w:eastAsia="zh-CN"/>
        </w:rPr>
        <w:t>、克什克腾旗市场监督管理局、湖北和诺生物工程股份有限公司、唐山市食品药品综合检验检测中心、招商局新疆检测技术研究院有限公司</w:t>
      </w:r>
      <w:r>
        <w:rPr>
          <w:rFonts w:hint="eastAsia"/>
        </w:rPr>
        <w:t>。</w:t>
      </w:r>
    </w:p>
    <w:p w14:paraId="6B47B0AB">
      <w:pPr>
        <w:pStyle w:val="56"/>
        <w:spacing w:line="360" w:lineRule="auto"/>
        <w:ind w:firstLine="420"/>
      </w:pPr>
      <w:r>
        <w:rPr>
          <w:rFonts w:hint="eastAsia"/>
        </w:rPr>
        <w:t>本文件主要起草人：王洋洲、林焰、曾文惠、丛柳、张英</w:t>
      </w:r>
      <w:r>
        <w:rPr>
          <w:rFonts w:hint="eastAsia"/>
          <w:lang w:eastAsia="zh-CN"/>
        </w:rPr>
        <w:t>、崔洪蛟、李芳、尹喆、郭子坤</w:t>
      </w:r>
      <w:r>
        <w:rPr>
          <w:rFonts w:hint="eastAsia"/>
        </w:rPr>
        <w:t>。</w:t>
      </w:r>
    </w:p>
    <w:p w14:paraId="3C569B55">
      <w:pPr>
        <w:pStyle w:val="56"/>
        <w:spacing w:line="360" w:lineRule="auto"/>
        <w:ind w:firstLine="420"/>
      </w:pPr>
    </w:p>
    <w:p w14:paraId="24DD092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8" w:name="_GoBack"/>
      <w:bookmarkEnd w:id="58"/>
    </w:p>
    <w:bookmarkEnd w:id="23"/>
    <w:p w14:paraId="4E216735">
      <w:pPr>
        <w:pStyle w:val="89"/>
        <w:spacing w:after="360"/>
      </w:pPr>
      <w:bookmarkStart w:id="24" w:name="_Toc200365319"/>
      <w:bookmarkStart w:id="25" w:name="BookMark3"/>
      <w:r>
        <w:rPr>
          <w:rFonts w:hint="eastAsia"/>
          <w:spacing w:val="320"/>
        </w:rPr>
        <w:t>引</w:t>
      </w:r>
      <w:r>
        <w:rPr>
          <w:rFonts w:hint="eastAsia"/>
        </w:rPr>
        <w:t>言</w:t>
      </w:r>
      <w:bookmarkEnd w:id="24"/>
    </w:p>
    <w:p w14:paraId="7462A084">
      <w:pPr>
        <w:pStyle w:val="56"/>
        <w:spacing w:line="360" w:lineRule="auto"/>
        <w:ind w:firstLine="420"/>
      </w:pPr>
      <w:r>
        <w:rPr>
          <w:rFonts w:hint="eastAsia"/>
        </w:rPr>
        <w:t>随着食品产业链条的日益复杂和公众对食品安全关注度的持续提升，食品安全检测数据的质量与可追溯性已成为保障食品质量安全的重要基础。高质量、全流程可追溯的数据不仅是监管机构决策依据的核心支撑，也是食品生产经营单位保障产品合规、建立消费者信任的关键手段。</w:t>
      </w:r>
    </w:p>
    <w:p w14:paraId="62FC3224">
      <w:pPr>
        <w:pStyle w:val="56"/>
        <w:spacing w:line="360" w:lineRule="auto"/>
        <w:ind w:firstLine="420"/>
      </w:pPr>
      <w:r>
        <w:rPr>
          <w:rFonts w:hint="eastAsia"/>
        </w:rPr>
        <w:t>当前，食品检测数据在采集、传输、存储、分析和应用等环节中，仍面临标准不一、流程分散、验证薄弱等问题，影响数据的权威性和有效性。同时，随着数字化检测手段、信息化管理平台和智能分析技术的发展，建立统一、系统的数据质量管理与追溯规程势在必行。</w:t>
      </w:r>
    </w:p>
    <w:p w14:paraId="60B4C5B8">
      <w:pPr>
        <w:pStyle w:val="56"/>
        <w:spacing w:line="360" w:lineRule="auto"/>
        <w:ind w:firstLine="420"/>
      </w:pPr>
      <w:r>
        <w:rPr>
          <w:rFonts w:hint="eastAsia"/>
        </w:rPr>
        <w:t>本文件旨在规范食品安全检测数据的生成、记录、存储、传递、验证和应用全过程，明确数据质量控制要点和追溯路径要求，提升检测数据的准确性、完整性、一致性和可用性，保障食品质量安全管理工作的科学性、规范性和可控性。</w:t>
      </w:r>
    </w:p>
    <w:p w14:paraId="1492D0B7">
      <w:pPr>
        <w:pStyle w:val="56"/>
        <w:spacing w:line="360" w:lineRule="auto"/>
        <w:ind w:firstLine="420"/>
      </w:pPr>
      <w:r>
        <w:rPr>
          <w:rFonts w:hint="eastAsia"/>
        </w:rPr>
        <w:t>本文件适用于各类食品检测实验室、第三方检测机构、食品企业质检部门及相关信息化平台，亦可为监管部门制定考核标准与技术审查提供参考依据。</w:t>
      </w:r>
    </w:p>
    <w:p w14:paraId="44B277E2">
      <w:pPr>
        <w:pStyle w:val="56"/>
        <w:ind w:firstLine="420"/>
      </w:pPr>
    </w:p>
    <w:p w14:paraId="46CA0AC9">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2449426">
      <w:pPr>
        <w:spacing w:line="20" w:lineRule="exact"/>
        <w:jc w:val="center"/>
        <w:rPr>
          <w:rFonts w:ascii="黑体" w:hAnsi="黑体" w:eastAsia="黑体"/>
          <w:sz w:val="32"/>
          <w:szCs w:val="32"/>
        </w:rPr>
      </w:pPr>
      <w:bookmarkStart w:id="26" w:name="BookMark4"/>
    </w:p>
    <w:p w14:paraId="4BF45E41">
      <w:pPr>
        <w:spacing w:line="20" w:lineRule="exact"/>
        <w:jc w:val="center"/>
        <w:rPr>
          <w:rFonts w:ascii="黑体" w:hAnsi="黑体" w:eastAsia="黑体"/>
          <w:sz w:val="32"/>
          <w:szCs w:val="32"/>
        </w:rPr>
      </w:pPr>
    </w:p>
    <w:sdt>
      <w:sdtPr>
        <w:tag w:val="NEW_STAND_NAME"/>
        <w:id w:val="595910757"/>
        <w:lock w:val="sdtLocked"/>
        <w:placeholder>
          <w:docPart w:val="EE4C22ED7F1341F6A7394B7639A6FB6D"/>
        </w:placeholder>
      </w:sdtPr>
      <w:sdtContent>
        <w:p w14:paraId="78D0C58B">
          <w:pPr>
            <w:pStyle w:val="177"/>
          </w:pPr>
          <w:bookmarkStart w:id="27" w:name="NEW_STAND_NAME"/>
          <w:r>
            <w:rPr>
              <w:rFonts w:hint="eastAsia"/>
            </w:rPr>
            <w:t>食品安全检测数据质量管理与追溯规程</w:t>
          </w:r>
        </w:p>
      </w:sdtContent>
    </w:sdt>
    <w:bookmarkEnd w:id="27"/>
    <w:p w14:paraId="7C374ED8">
      <w:pPr>
        <w:pStyle w:val="104"/>
        <w:spacing w:before="240" w:after="240"/>
      </w:pPr>
      <w:bookmarkStart w:id="28" w:name="_Toc26718930"/>
      <w:bookmarkStart w:id="29" w:name="_Toc17233333"/>
      <w:bookmarkStart w:id="30" w:name="_Toc17233325"/>
      <w:bookmarkStart w:id="31" w:name="_Toc26986530"/>
      <w:bookmarkStart w:id="32" w:name="_Toc24884218"/>
      <w:bookmarkStart w:id="33" w:name="_Toc26648465"/>
      <w:bookmarkStart w:id="34" w:name="_Toc97192964"/>
      <w:bookmarkStart w:id="35" w:name="_Toc200365320"/>
      <w:bookmarkStart w:id="36" w:name="_Toc24884211"/>
      <w:bookmarkStart w:id="37" w:name="_Toc26986771"/>
      <w:r>
        <w:rPr>
          <w:rFonts w:hint="eastAsia"/>
        </w:rPr>
        <w:t>范围</w:t>
      </w:r>
      <w:bookmarkEnd w:id="28"/>
      <w:bookmarkEnd w:id="29"/>
      <w:bookmarkEnd w:id="30"/>
      <w:bookmarkEnd w:id="31"/>
      <w:bookmarkEnd w:id="32"/>
      <w:bookmarkEnd w:id="33"/>
      <w:bookmarkEnd w:id="34"/>
      <w:bookmarkEnd w:id="35"/>
      <w:bookmarkEnd w:id="36"/>
      <w:bookmarkEnd w:id="37"/>
    </w:p>
    <w:p w14:paraId="07A66862">
      <w:pPr>
        <w:pStyle w:val="56"/>
        <w:spacing w:line="360" w:lineRule="auto"/>
        <w:ind w:firstLine="420"/>
      </w:pPr>
      <w:bookmarkStart w:id="38" w:name="_Toc24884212"/>
      <w:bookmarkStart w:id="39" w:name="_Toc17233334"/>
      <w:bookmarkStart w:id="40" w:name="_Toc24884219"/>
      <w:bookmarkStart w:id="41" w:name="_Toc17233326"/>
      <w:bookmarkStart w:id="42" w:name="_Toc26648466"/>
      <w:r>
        <w:rPr>
          <w:rFonts w:hint="eastAsia"/>
        </w:rPr>
        <w:t>本文件规定了食品安全检测数据在采集、处理、存储、传输、使用和追溯等全过程中的质量控制要求与追溯管理技术规范，涵盖检测数据质量控制、数据追溯机制、信息安全与权限管理、质量控制流程与评价指标及追溯系统建设与运行等关键环节。</w:t>
      </w:r>
    </w:p>
    <w:p w14:paraId="70D89D4A">
      <w:pPr>
        <w:pStyle w:val="56"/>
        <w:spacing w:line="360" w:lineRule="auto"/>
        <w:ind w:firstLine="420"/>
      </w:pPr>
      <w:r>
        <w:rPr>
          <w:rFonts w:hint="eastAsia"/>
        </w:rPr>
        <w:t>本文件适用于食品安全相关的理化检测、微生物检测、农兽药残留、重金属、添加剂、污染物等项目中所产生的检测数据质量管理与追溯管理工作，也适用于各类第三方检测机构、食品企业质量控制部门及其配套的信息系统。</w:t>
      </w:r>
    </w:p>
    <w:p w14:paraId="41172495">
      <w:pPr>
        <w:pStyle w:val="104"/>
        <w:spacing w:before="240" w:after="240" w:line="360" w:lineRule="auto"/>
      </w:pPr>
      <w:bookmarkStart w:id="43" w:name="_Toc97192965"/>
      <w:bookmarkStart w:id="44" w:name="_Toc26718931"/>
      <w:bookmarkStart w:id="45" w:name="_Toc200365321"/>
      <w:bookmarkStart w:id="46" w:name="_Toc26986772"/>
      <w:bookmarkStart w:id="47" w:name="_Toc269865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8D2F21D9789145478F06746B9BC515D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7B46A44">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CF14BE8">
      <w:pPr>
        <w:pStyle w:val="56"/>
        <w:spacing w:line="360" w:lineRule="auto"/>
        <w:ind w:firstLine="420"/>
      </w:pPr>
      <w:r>
        <w:rPr>
          <w:rFonts w:hint="eastAsia"/>
        </w:rPr>
        <w:t>GB/T 45222—2025 食品安全事故应急演练要求</w:t>
      </w:r>
    </w:p>
    <w:p w14:paraId="3A9AAD75">
      <w:pPr>
        <w:pStyle w:val="56"/>
        <w:spacing w:line="360" w:lineRule="auto"/>
        <w:ind w:firstLine="420"/>
      </w:pPr>
      <w:r>
        <w:rPr>
          <w:rFonts w:hint="eastAsia"/>
        </w:rPr>
        <w:t>GB/T 27405—2008 实验室质量控制规范  食品微生物检测</w:t>
      </w:r>
    </w:p>
    <w:p w14:paraId="1FB3BD8F">
      <w:pPr>
        <w:pStyle w:val="56"/>
        <w:spacing w:line="360" w:lineRule="auto"/>
        <w:ind w:firstLine="420"/>
      </w:pPr>
      <w:r>
        <w:rPr>
          <w:rFonts w:hint="eastAsia"/>
        </w:rPr>
        <w:t>GB/T 29471—2020 食品安全检测移动实验室通用技术规范</w:t>
      </w:r>
    </w:p>
    <w:p w14:paraId="5AFD4216">
      <w:pPr>
        <w:pStyle w:val="104"/>
        <w:spacing w:before="240" w:after="240" w:line="360" w:lineRule="auto"/>
      </w:pPr>
      <w:bookmarkStart w:id="48" w:name="_Toc200365322"/>
      <w:bookmarkStart w:id="49" w:name="_Toc97192966"/>
      <w:r>
        <w:rPr>
          <w:rFonts w:hint="eastAsia"/>
          <w:szCs w:val="21"/>
        </w:rPr>
        <w:t>术语和定义</w:t>
      </w:r>
      <w:bookmarkEnd w:id="48"/>
      <w:bookmarkEnd w:id="49"/>
    </w:p>
    <w:sdt>
      <w:sdtPr>
        <w:id w:val="-1909835108"/>
        <w:placeholder>
          <w:docPart w:val="FB9C48BB982748DEB0BD1041E0F211F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0DD2500">
          <w:pPr>
            <w:pStyle w:val="56"/>
            <w:spacing w:line="360" w:lineRule="auto"/>
            <w:ind w:firstLine="420"/>
          </w:pPr>
          <w:bookmarkStart w:id="50" w:name="_Toc26986532"/>
          <w:bookmarkEnd w:id="50"/>
          <w:r>
            <w:t>下列术语和定义适用于本文件。</w:t>
          </w:r>
        </w:p>
      </w:sdtContent>
    </w:sdt>
    <w:p w14:paraId="3912F1B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食品安全检测数据 </w:t>
      </w:r>
      <w:r>
        <w:rPr>
          <w:rFonts w:ascii="黑体" w:hAnsi="黑体" w:eastAsia="黑体"/>
        </w:rPr>
        <w:t>food safety testing data</w:t>
      </w:r>
    </w:p>
    <w:p w14:paraId="26CF1202">
      <w:pPr>
        <w:pStyle w:val="56"/>
        <w:spacing w:line="360" w:lineRule="auto"/>
        <w:ind w:firstLine="420"/>
      </w:pPr>
      <w:r>
        <w:rPr>
          <w:rFonts w:hint="eastAsia"/>
        </w:rPr>
        <w:t>在食品样品的理化、微生物、重金属、农残、添加剂等项目检测过程中所获得的原始记录、处理结果、分析参数与最终判定结果的集合，具有溯源性与可信性。</w:t>
      </w:r>
    </w:p>
    <w:p w14:paraId="3CD2212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数据质量 d</w:t>
      </w:r>
      <w:r>
        <w:rPr>
          <w:rFonts w:ascii="黑体" w:hAnsi="黑体" w:eastAsia="黑体"/>
        </w:rPr>
        <w:t>ata quality</w:t>
      </w:r>
    </w:p>
    <w:p w14:paraId="644E2E81">
      <w:pPr>
        <w:pStyle w:val="56"/>
        <w:spacing w:line="360" w:lineRule="auto"/>
        <w:ind w:firstLine="420"/>
      </w:pPr>
      <w:r>
        <w:rPr>
          <w:rFonts w:hint="eastAsia"/>
        </w:rPr>
        <w:t>数据在完整性、准确性、一致性、及时性、可用性等维度上满足使用要求的程度，是确保检测结果可信和可比的基础。</w:t>
      </w:r>
    </w:p>
    <w:p w14:paraId="02D8EAE6">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数据追溯 </w:t>
      </w:r>
      <w:r>
        <w:rPr>
          <w:rFonts w:ascii="黑体" w:hAnsi="黑体" w:eastAsia="黑体"/>
        </w:rPr>
        <w:t>data traceability</w:t>
      </w:r>
    </w:p>
    <w:p w14:paraId="56B82F81">
      <w:pPr>
        <w:pStyle w:val="56"/>
        <w:spacing w:line="360" w:lineRule="auto"/>
        <w:ind w:firstLine="420"/>
      </w:pPr>
      <w:r>
        <w:rPr>
          <w:rFonts w:hint="eastAsia"/>
        </w:rPr>
        <w:t>对检测数据在产生、处理、传输、存储与使用全过程中各关键节点的识别、记录与回溯能力，可支持对数据来源、处理过程和责任主体的明确追查。</w:t>
      </w:r>
    </w:p>
    <w:p w14:paraId="7E1B25BC">
      <w:pPr>
        <w:pStyle w:val="104"/>
        <w:spacing w:before="240" w:after="240" w:line="360" w:lineRule="auto"/>
      </w:pPr>
      <w:bookmarkStart w:id="51" w:name="_Toc200365323"/>
      <w:r>
        <w:rPr>
          <w:rFonts w:hint="eastAsia"/>
        </w:rPr>
        <w:t>总体要求</w:t>
      </w:r>
      <w:bookmarkEnd w:id="51"/>
    </w:p>
    <w:p w14:paraId="7283981A">
      <w:pPr>
        <w:pStyle w:val="56"/>
        <w:spacing w:line="360" w:lineRule="auto"/>
        <w:ind w:firstLine="420"/>
      </w:pPr>
      <w:r>
        <w:rPr>
          <w:rFonts w:hint="eastAsia"/>
        </w:rPr>
        <w:t>为确保食品安全检测数据具备高可靠性和可追溯性，检测机构及相关单位应建立健全覆盖全流程的数据管理制度和操作体系。该体系应充分考虑数据采集、处理、传输、存储与归档各环节的质量保障机制，确保信息在全生命周期中真实、完整、不被篡改，并具备可回溯能力。</w:t>
      </w:r>
    </w:p>
    <w:p w14:paraId="6B4FB55C">
      <w:pPr>
        <w:pStyle w:val="56"/>
        <w:spacing w:line="360" w:lineRule="auto"/>
        <w:ind w:firstLine="420"/>
      </w:pPr>
      <w:r>
        <w:rPr>
          <w:rFonts w:hint="eastAsia"/>
        </w:rPr>
        <w:t>总体要求包括以下几个方面：</w:t>
      </w:r>
    </w:p>
    <w:p w14:paraId="0FB8B2CF">
      <w:pPr>
        <w:pStyle w:val="132"/>
        <w:spacing w:line="360" w:lineRule="auto"/>
      </w:pPr>
      <w:r>
        <w:rPr>
          <w:rFonts w:hint="eastAsia"/>
        </w:rPr>
        <w:t>明确数据管理职责分工:检测单位应设立专门的质量管理岗位或机构，负责制定数据管理规程、监督数据记录合规性，并定期组织数据质量审查与培训；</w:t>
      </w:r>
    </w:p>
    <w:p w14:paraId="78985A96">
      <w:pPr>
        <w:pStyle w:val="132"/>
        <w:spacing w:line="360" w:lineRule="auto"/>
      </w:pPr>
      <w:r>
        <w:rPr>
          <w:rFonts w:hint="eastAsia"/>
        </w:rPr>
        <w:t>建立全流程信息链条;应针对样品编号、检测参数、操作人员、仪器编号、检测时间、环境条件等内容进行标准化记录，形成从样品接收到报告出具全过程的数据链条；</w:t>
      </w:r>
    </w:p>
    <w:p w14:paraId="09884DD0">
      <w:pPr>
        <w:pStyle w:val="132"/>
        <w:spacing w:line="360" w:lineRule="auto"/>
      </w:pPr>
      <w:r>
        <w:rPr>
          <w:rFonts w:hint="eastAsia"/>
        </w:rPr>
        <w:t>强化信息系统支撑能力：鼓励配置基于信息化平台的数据管理系统，实现数据自动录入、传输与备份，提升数据处理效率和一致性；</w:t>
      </w:r>
    </w:p>
    <w:p w14:paraId="0E96968E">
      <w:pPr>
        <w:pStyle w:val="132"/>
        <w:spacing w:line="360" w:lineRule="auto"/>
      </w:pPr>
      <w:r>
        <w:rPr>
          <w:rFonts w:hint="eastAsia"/>
        </w:rPr>
        <w:t>明确数据校验与审核机制：应设定数据双人复核机制、关键数据比对规则、异常数据自动识别程序，确保检测数据在存入系统前经过充分验证；</w:t>
      </w:r>
    </w:p>
    <w:p w14:paraId="0F01B133">
      <w:pPr>
        <w:pStyle w:val="132"/>
        <w:spacing w:line="360" w:lineRule="auto"/>
      </w:pPr>
      <w:r>
        <w:rPr>
          <w:rFonts w:hint="eastAsia"/>
        </w:rPr>
        <w:t>完善数据留存与追溯手段：数据存储应采用分级归档策略，保留原始记录、处理记录与修改记录，并配置可视化查询和快速回溯工具。</w:t>
      </w:r>
    </w:p>
    <w:p w14:paraId="15D3346F">
      <w:pPr>
        <w:pStyle w:val="104"/>
        <w:spacing w:before="240" w:after="240" w:line="360" w:lineRule="auto"/>
      </w:pPr>
      <w:bookmarkStart w:id="52" w:name="_Toc200365324"/>
      <w:r>
        <w:rPr>
          <w:rFonts w:hint="eastAsia"/>
        </w:rPr>
        <w:t>检测数据质量控制</w:t>
      </w:r>
      <w:bookmarkEnd w:id="52"/>
    </w:p>
    <w:p w14:paraId="628F53B9">
      <w:pPr>
        <w:pStyle w:val="105"/>
        <w:spacing w:before="120" w:after="120" w:line="360" w:lineRule="auto"/>
      </w:pPr>
      <w:r>
        <w:rPr>
          <w:rFonts w:hint="eastAsia"/>
        </w:rPr>
        <w:t>数据采集与记录</w:t>
      </w:r>
    </w:p>
    <w:p w14:paraId="2F8BD266">
      <w:pPr>
        <w:pStyle w:val="56"/>
        <w:spacing w:line="360" w:lineRule="auto"/>
        <w:ind w:firstLine="420"/>
      </w:pPr>
      <w:r>
        <w:rPr>
          <w:rFonts w:hint="eastAsia"/>
        </w:rPr>
        <w:t>数据采集阶段是保障食品安全检测数据质量的起点，要求以规范化流程和可溯源机制确保记录的准确性与完整性。</w:t>
      </w:r>
    </w:p>
    <w:p w14:paraId="5D3CEAC3">
      <w:pPr>
        <w:pStyle w:val="56"/>
        <w:spacing w:line="360" w:lineRule="auto"/>
        <w:ind w:firstLine="420"/>
      </w:pPr>
      <w:r>
        <w:rPr>
          <w:rFonts w:hint="eastAsia"/>
        </w:rPr>
        <w:t>应按照统一格式填写原始记录表，记录样品编号、来源、检测方法、设备型号、操作者信息等关键要素。</w:t>
      </w:r>
    </w:p>
    <w:p w14:paraId="7AF3716A">
      <w:pPr>
        <w:pStyle w:val="56"/>
        <w:spacing w:line="360" w:lineRule="auto"/>
        <w:ind w:firstLine="420"/>
      </w:pPr>
      <w:r>
        <w:rPr>
          <w:rFonts w:hint="eastAsia"/>
        </w:rPr>
        <w:t>推荐使用自动采集设备，如联网分析仪器、实验数据直采平台等，减少人工干预带来的偏差。</w:t>
      </w:r>
    </w:p>
    <w:p w14:paraId="5135E5B1">
      <w:pPr>
        <w:pStyle w:val="56"/>
        <w:spacing w:line="360" w:lineRule="auto"/>
        <w:ind w:firstLine="420"/>
      </w:pPr>
      <w:r>
        <w:rPr>
          <w:rFonts w:hint="eastAsia"/>
        </w:rPr>
        <w:t>每一条数据应附带时间戳和操作人标识，所有信息应同步上传至数据管理系统并留存原始副本。</w:t>
      </w:r>
    </w:p>
    <w:p w14:paraId="38470C28">
      <w:pPr>
        <w:pStyle w:val="105"/>
        <w:spacing w:before="120" w:after="120" w:line="360" w:lineRule="auto"/>
      </w:pPr>
      <w:r>
        <w:rPr>
          <w:rFonts w:hint="eastAsia"/>
        </w:rPr>
        <w:t>数据处理与转录</w:t>
      </w:r>
    </w:p>
    <w:p w14:paraId="547CD41F">
      <w:pPr>
        <w:pStyle w:val="56"/>
        <w:spacing w:line="360" w:lineRule="auto"/>
        <w:ind w:firstLine="420"/>
      </w:pPr>
      <w:r>
        <w:rPr>
          <w:rFonts w:hint="eastAsia"/>
        </w:rPr>
        <w:t>在数据处理过程中，应确保计算、换算、整理、判定等流程的规范性和透明性，防止人为篡改或逻辑错误。</w:t>
      </w:r>
    </w:p>
    <w:p w14:paraId="53E29A1A">
      <w:pPr>
        <w:pStyle w:val="132"/>
        <w:numPr>
          <w:ilvl w:val="0"/>
          <w:numId w:val="0"/>
        </w:numPr>
        <w:spacing w:line="360" w:lineRule="auto"/>
        <w:ind w:left="851" w:hanging="426"/>
      </w:pPr>
      <w:r>
        <w:rPr>
          <w:rFonts w:hint="eastAsia"/>
        </w:rPr>
        <w:t>检测结果的计算依据、公式参数与单位转换方式应有明确说明，并保留计算中间值记录。</w:t>
      </w:r>
    </w:p>
    <w:p w14:paraId="7E4EAAB8">
      <w:pPr>
        <w:pStyle w:val="132"/>
        <w:numPr>
          <w:ilvl w:val="0"/>
          <w:numId w:val="0"/>
        </w:numPr>
        <w:spacing w:line="360" w:lineRule="auto"/>
        <w:ind w:left="851" w:hanging="426"/>
      </w:pPr>
      <w:r>
        <w:rPr>
          <w:rFonts w:hint="eastAsia"/>
        </w:rPr>
        <w:t>原始记录不得随意涂改，任何修改必须通过信息系统留痕，经授权人员签字或审阅确认。</w:t>
      </w:r>
    </w:p>
    <w:p w14:paraId="12231349">
      <w:pPr>
        <w:pStyle w:val="132"/>
        <w:numPr>
          <w:ilvl w:val="0"/>
          <w:numId w:val="0"/>
        </w:numPr>
        <w:spacing w:line="360" w:lineRule="auto"/>
        <w:ind w:left="851" w:hanging="426"/>
      </w:pPr>
      <w:r>
        <w:rPr>
          <w:rFonts w:hint="eastAsia"/>
        </w:rPr>
        <w:t>应定期对转录数据进行比对复核，确保纸质记录与电子系统内容保持一致。</w:t>
      </w:r>
    </w:p>
    <w:p w14:paraId="4421CF18">
      <w:pPr>
        <w:pStyle w:val="105"/>
        <w:spacing w:before="120" w:after="120" w:line="360" w:lineRule="auto"/>
      </w:pPr>
      <w:r>
        <w:rPr>
          <w:rFonts w:hint="eastAsia"/>
        </w:rPr>
        <w:t>数据审核与复核</w:t>
      </w:r>
    </w:p>
    <w:p w14:paraId="6012A422">
      <w:pPr>
        <w:pStyle w:val="56"/>
        <w:spacing w:line="360" w:lineRule="auto"/>
        <w:ind w:firstLine="420"/>
      </w:pPr>
      <w:r>
        <w:rPr>
          <w:rFonts w:hint="eastAsia"/>
        </w:rPr>
        <w:t>数据审核与复核制度应贯穿于检测流程中，通过多层级、多方式的审查机制保障数据可靠性。</w:t>
      </w:r>
    </w:p>
    <w:p w14:paraId="2A2A413B">
      <w:pPr>
        <w:pStyle w:val="132"/>
        <w:numPr>
          <w:ilvl w:val="0"/>
          <w:numId w:val="0"/>
        </w:numPr>
        <w:spacing w:line="360" w:lineRule="auto"/>
        <w:ind w:left="851" w:hanging="426"/>
      </w:pPr>
      <w:r>
        <w:rPr>
          <w:rFonts w:hint="eastAsia"/>
        </w:rPr>
        <w:t>应建立双人或多人复核制度，关键项目应由具备资质的审核人员交叉验证。</w:t>
      </w:r>
    </w:p>
    <w:p w14:paraId="739A056E">
      <w:pPr>
        <w:pStyle w:val="132"/>
        <w:numPr>
          <w:ilvl w:val="0"/>
          <w:numId w:val="0"/>
        </w:numPr>
        <w:spacing w:line="360" w:lineRule="auto"/>
        <w:ind w:left="851" w:hanging="426"/>
      </w:pPr>
      <w:r>
        <w:rPr>
          <w:rFonts w:hint="eastAsia"/>
        </w:rPr>
        <w:t>关键指标数据应设置上下限值或逻辑判断规则，结合系统自动校验功能，及时发现异常。</w:t>
      </w:r>
    </w:p>
    <w:p w14:paraId="08EA205B">
      <w:pPr>
        <w:pStyle w:val="132"/>
        <w:numPr>
          <w:ilvl w:val="0"/>
          <w:numId w:val="0"/>
        </w:numPr>
        <w:spacing w:line="360" w:lineRule="auto"/>
        <w:ind w:left="851" w:hanging="426"/>
      </w:pPr>
      <w:r>
        <w:rPr>
          <w:rFonts w:hint="eastAsia"/>
        </w:rPr>
        <w:t>所有复核操作应记录人员、时间与复核内容，并形成完整审核报告归档。</w:t>
      </w:r>
    </w:p>
    <w:p w14:paraId="1490C6F7">
      <w:pPr>
        <w:pStyle w:val="105"/>
        <w:spacing w:before="120" w:after="120" w:line="360" w:lineRule="auto"/>
      </w:pPr>
      <w:r>
        <w:rPr>
          <w:rFonts w:hint="eastAsia"/>
        </w:rPr>
        <w:t>数据一致性保障</w:t>
      </w:r>
    </w:p>
    <w:p w14:paraId="112DA090">
      <w:pPr>
        <w:pStyle w:val="56"/>
        <w:spacing w:line="360" w:lineRule="auto"/>
        <w:ind w:firstLine="420"/>
      </w:pPr>
      <w:r>
        <w:rPr>
          <w:rFonts w:hint="eastAsia"/>
        </w:rPr>
        <w:t>保证数据一致性是跨平台比对与追溯的前提，应从标准、编码与结构三个方面统筹建设。</w:t>
      </w:r>
    </w:p>
    <w:p w14:paraId="1C20BF45">
      <w:pPr>
        <w:pStyle w:val="132"/>
        <w:numPr>
          <w:ilvl w:val="0"/>
          <w:numId w:val="0"/>
        </w:numPr>
        <w:spacing w:line="360" w:lineRule="auto"/>
        <w:ind w:left="851" w:hanging="426"/>
      </w:pPr>
      <w:r>
        <w:rPr>
          <w:rFonts w:hint="eastAsia"/>
        </w:rPr>
        <w:t>应统一数据字段的命名规范、单位换算标准与取值范围，避免信息歧义。</w:t>
      </w:r>
    </w:p>
    <w:p w14:paraId="223C5917">
      <w:pPr>
        <w:pStyle w:val="132"/>
        <w:numPr>
          <w:ilvl w:val="0"/>
          <w:numId w:val="0"/>
        </w:numPr>
        <w:spacing w:line="360" w:lineRule="auto"/>
        <w:ind w:left="851" w:hanging="426"/>
      </w:pPr>
      <w:r>
        <w:rPr>
          <w:rFonts w:hint="eastAsia"/>
        </w:rPr>
        <w:t>系统接口应支持结构化数据传输，采用一致的数据格式。</w:t>
      </w:r>
    </w:p>
    <w:p w14:paraId="3105B0D9">
      <w:pPr>
        <w:pStyle w:val="132"/>
        <w:numPr>
          <w:ilvl w:val="0"/>
          <w:numId w:val="0"/>
        </w:numPr>
        <w:spacing w:line="360" w:lineRule="auto"/>
        <w:ind w:left="851" w:hanging="426"/>
      </w:pPr>
      <w:r>
        <w:rPr>
          <w:rFonts w:hint="eastAsia"/>
        </w:rPr>
        <w:t>对外部系统或平台数据同步应设置校验机制，确保接口对接过程中的字段匹配与数据无误。</w:t>
      </w:r>
    </w:p>
    <w:p w14:paraId="3311C9AE">
      <w:pPr>
        <w:pStyle w:val="105"/>
        <w:spacing w:before="120" w:after="120" w:line="360" w:lineRule="auto"/>
      </w:pPr>
      <w:r>
        <w:rPr>
          <w:rFonts w:hint="eastAsia"/>
        </w:rPr>
        <w:t>数据完整性与防篡改</w:t>
      </w:r>
    </w:p>
    <w:p w14:paraId="4C72D940">
      <w:pPr>
        <w:pStyle w:val="56"/>
        <w:spacing w:line="360" w:lineRule="auto"/>
        <w:ind w:firstLine="420"/>
      </w:pPr>
      <w:r>
        <w:rPr>
          <w:rFonts w:hint="eastAsia"/>
        </w:rPr>
        <w:t>为确保检测数据真实可信，应建立健全的数据完整性控制机制与篡改防护体系。</w:t>
      </w:r>
    </w:p>
    <w:p w14:paraId="7C704845">
      <w:pPr>
        <w:pStyle w:val="132"/>
        <w:numPr>
          <w:ilvl w:val="0"/>
          <w:numId w:val="0"/>
        </w:numPr>
        <w:spacing w:line="360" w:lineRule="auto"/>
        <w:ind w:left="425"/>
      </w:pPr>
      <w:r>
        <w:rPr>
          <w:rFonts w:hint="eastAsia"/>
        </w:rPr>
        <w:t>每条检测数据应自动生成哈希值或数字摘要，定期进行完整性校验。</w:t>
      </w:r>
    </w:p>
    <w:p w14:paraId="37BE6EFE">
      <w:pPr>
        <w:pStyle w:val="132"/>
        <w:numPr>
          <w:ilvl w:val="0"/>
          <w:numId w:val="0"/>
        </w:numPr>
        <w:spacing w:line="360" w:lineRule="auto"/>
        <w:ind w:left="851" w:hanging="426"/>
      </w:pPr>
      <w:r>
        <w:rPr>
          <w:rFonts w:hint="eastAsia"/>
        </w:rPr>
        <w:t>检测系统应设定不同操作权限，关键环节应启用双重身份验证与日志记录。</w:t>
      </w:r>
    </w:p>
    <w:p w14:paraId="777DE0E6">
      <w:pPr>
        <w:pStyle w:val="132"/>
        <w:numPr>
          <w:ilvl w:val="0"/>
          <w:numId w:val="0"/>
        </w:numPr>
        <w:spacing w:line="360" w:lineRule="auto"/>
        <w:ind w:left="851" w:hanging="426"/>
      </w:pPr>
      <w:r>
        <w:rPr>
          <w:rFonts w:hint="eastAsia"/>
        </w:rPr>
        <w:t>所有数据变更记录应存入独立备份区，支持回溯历史版本并审计修改行为。</w:t>
      </w:r>
    </w:p>
    <w:p w14:paraId="07EA52C3">
      <w:pPr>
        <w:pStyle w:val="104"/>
        <w:spacing w:before="240" w:after="240"/>
      </w:pPr>
      <w:bookmarkStart w:id="53" w:name="_Toc200365325"/>
      <w:r>
        <w:rPr>
          <w:rFonts w:hint="eastAsia"/>
        </w:rPr>
        <w:t>数据追溯机制</w:t>
      </w:r>
      <w:bookmarkEnd w:id="53"/>
    </w:p>
    <w:p w14:paraId="4375ADB3">
      <w:pPr>
        <w:pStyle w:val="105"/>
        <w:spacing w:before="120" w:after="120"/>
      </w:pPr>
      <w:r>
        <w:rPr>
          <w:rFonts w:hint="eastAsia"/>
        </w:rPr>
        <w:t>追溯系统建设要求</w:t>
      </w:r>
    </w:p>
    <w:p w14:paraId="149581F9">
      <w:pPr>
        <w:pStyle w:val="56"/>
        <w:spacing w:line="360" w:lineRule="auto"/>
        <w:ind w:firstLine="420"/>
      </w:pPr>
      <w:r>
        <w:rPr>
          <w:rFonts w:hint="eastAsia"/>
        </w:rPr>
        <w:t>食品安全检测数据的可追溯性依赖于一个结构合理、功能完备的信息系统，该系统应实现从样品接收到结果发布全过程的数据闭环管理。</w:t>
      </w:r>
    </w:p>
    <w:p w14:paraId="33640BDD">
      <w:pPr>
        <w:pStyle w:val="56"/>
        <w:spacing w:line="360" w:lineRule="auto"/>
        <w:ind w:firstLine="420"/>
      </w:pPr>
      <w:r>
        <w:rPr>
          <w:rFonts w:hint="eastAsia"/>
        </w:rPr>
        <w:t>应建立基于样品全生命周期的信息化追溯系统，涵盖样品采集、流转、检测、审核、发布等关键流程，确保所有数据节点在系统内均有记录可查。</w:t>
      </w:r>
    </w:p>
    <w:p w14:paraId="39572BC1">
      <w:pPr>
        <w:pStyle w:val="56"/>
        <w:spacing w:line="360" w:lineRule="auto"/>
        <w:ind w:firstLine="420"/>
      </w:pPr>
      <w:r>
        <w:rPr>
          <w:rFonts w:hint="eastAsia"/>
        </w:rPr>
        <w:t>系统应具备可配置的查询接口和多维搜索功能，可通过样品编号、检测项目、时间节点等字段精准检索目标信息。</w:t>
      </w:r>
    </w:p>
    <w:p w14:paraId="1F5072E5">
      <w:pPr>
        <w:pStyle w:val="56"/>
        <w:spacing w:line="360" w:lineRule="auto"/>
        <w:ind w:firstLine="420"/>
      </w:pPr>
      <w:r>
        <w:rPr>
          <w:rFonts w:hint="eastAsia"/>
        </w:rPr>
        <w:t>应设置日志记录机制，对各操作环节生成的数据信息进行连续性跟踪，并自动标注时间与操作用户。</w:t>
      </w:r>
    </w:p>
    <w:p w14:paraId="0256978F">
      <w:pPr>
        <w:pStyle w:val="56"/>
        <w:spacing w:line="360" w:lineRule="auto"/>
        <w:ind w:firstLine="420"/>
      </w:pPr>
      <w:r>
        <w:rPr>
          <w:rFonts w:hint="eastAsia"/>
        </w:rPr>
        <w:t>通过系统化平台建设，可为后续的数据追责、风险回溯与合规评估提供有力支撑。</w:t>
      </w:r>
    </w:p>
    <w:p w14:paraId="736DB871">
      <w:pPr>
        <w:pStyle w:val="105"/>
        <w:spacing w:before="120" w:after="120" w:line="360" w:lineRule="auto"/>
      </w:pPr>
      <w:r>
        <w:rPr>
          <w:rFonts w:hint="eastAsia"/>
        </w:rPr>
        <w:t>追溯关键节点识别与标记</w:t>
      </w:r>
    </w:p>
    <w:p w14:paraId="5349C2D5">
      <w:pPr>
        <w:pStyle w:val="56"/>
        <w:spacing w:line="360" w:lineRule="auto"/>
        <w:ind w:firstLine="420"/>
      </w:pPr>
      <w:r>
        <w:rPr>
          <w:rFonts w:hint="eastAsia"/>
        </w:rPr>
        <w:t>有效的追溯机制应对检测流程中影响结果准确性和安全性的节点进行重点标记，并明确数据生成和流转的时序关系。</w:t>
      </w:r>
    </w:p>
    <w:p w14:paraId="3721945C">
      <w:pPr>
        <w:pStyle w:val="56"/>
        <w:spacing w:line="360" w:lineRule="auto"/>
        <w:ind w:firstLine="420"/>
      </w:pPr>
      <w:r>
        <w:rPr>
          <w:rFonts w:hint="eastAsia"/>
        </w:rPr>
        <w:t>应将样品接收登记、检测准备、样品测试、数据录入、结果审核与报告发布等关键操作节点统一设定为系统标识点。</w:t>
      </w:r>
    </w:p>
    <w:p w14:paraId="68497EFE">
      <w:pPr>
        <w:pStyle w:val="56"/>
        <w:spacing w:line="360" w:lineRule="auto"/>
        <w:ind w:firstLine="420"/>
      </w:pPr>
      <w:r>
        <w:rPr>
          <w:rFonts w:hint="eastAsia"/>
        </w:rPr>
        <w:t>各节点应实现数据的唯一编码和数字签名绑定，确保节点数据具有不可伪造性，并具备时间标记功能以建立因果链条。</w:t>
      </w:r>
    </w:p>
    <w:p w14:paraId="32E9047B">
      <w:pPr>
        <w:pStyle w:val="56"/>
        <w:spacing w:line="360" w:lineRule="auto"/>
        <w:ind w:firstLine="420"/>
      </w:pPr>
      <w:r>
        <w:rPr>
          <w:rFonts w:hint="eastAsia"/>
        </w:rPr>
        <w:t>每一关键节点生成的数据应与上游信息实现自动关联，确保数据链完整闭环，便于问题定位与全程回放。</w:t>
      </w:r>
    </w:p>
    <w:p w14:paraId="16BFF63C">
      <w:pPr>
        <w:pStyle w:val="56"/>
        <w:spacing w:line="360" w:lineRule="auto"/>
        <w:ind w:firstLine="420"/>
      </w:pPr>
      <w:r>
        <w:rPr>
          <w:rFonts w:hint="eastAsia"/>
        </w:rPr>
        <w:t>通过明确标识关键节点，有助于构建结构清晰、逻辑闭合的追溯路径体系。</w:t>
      </w:r>
    </w:p>
    <w:p w14:paraId="4ACB3422">
      <w:pPr>
        <w:pStyle w:val="105"/>
        <w:spacing w:before="120" w:after="120" w:line="360" w:lineRule="auto"/>
      </w:pPr>
      <w:r>
        <w:rPr>
          <w:rFonts w:hint="eastAsia"/>
        </w:rPr>
        <w:t>数据留存与版本管理</w:t>
      </w:r>
    </w:p>
    <w:p w14:paraId="709BE506">
      <w:pPr>
        <w:pStyle w:val="56"/>
        <w:spacing w:line="360" w:lineRule="auto"/>
        <w:ind w:firstLine="420"/>
      </w:pPr>
      <w:r>
        <w:rPr>
          <w:rFonts w:hint="eastAsia"/>
        </w:rPr>
        <w:t>确保数据的历史可追溯性与完整性，必须制定科学的数据留存策略并配套版本控制管理机制。</w:t>
      </w:r>
    </w:p>
    <w:p w14:paraId="5B56CCB2">
      <w:pPr>
        <w:pStyle w:val="56"/>
        <w:spacing w:line="360" w:lineRule="auto"/>
        <w:ind w:firstLine="420"/>
      </w:pPr>
      <w:r>
        <w:rPr>
          <w:rFonts w:hint="eastAsia"/>
        </w:rPr>
        <w:t>检测数据应分类分级保存，重要项目不得低于规定保存年限，且应确保在保存期内可用、可查、可恢复。</w:t>
      </w:r>
    </w:p>
    <w:p w14:paraId="59C276C3">
      <w:pPr>
        <w:pStyle w:val="56"/>
        <w:spacing w:line="360" w:lineRule="auto"/>
        <w:ind w:firstLine="420"/>
      </w:pPr>
      <w:r>
        <w:rPr>
          <w:rFonts w:hint="eastAsia"/>
        </w:rPr>
        <w:t>每次数据修改、修正、追加说明等操作均应自动生成新版本并标识操作用户、修改内容与修改时间，原始版本需永久保留且可回溯。</w:t>
      </w:r>
    </w:p>
    <w:p w14:paraId="4E94619D">
      <w:pPr>
        <w:pStyle w:val="56"/>
        <w:spacing w:line="360" w:lineRule="auto"/>
        <w:ind w:firstLine="420"/>
      </w:pPr>
      <w:r>
        <w:rPr>
          <w:rFonts w:hint="eastAsia"/>
        </w:rPr>
        <w:t>系统应支持版本比对功能，帮助用户识别不同版本之间的关键差异，并提供历史版本调用与审计回放功能。</w:t>
      </w:r>
    </w:p>
    <w:p w14:paraId="7AA88D35">
      <w:pPr>
        <w:pStyle w:val="56"/>
        <w:spacing w:line="360" w:lineRule="auto"/>
        <w:ind w:firstLine="420"/>
      </w:pPr>
      <w:r>
        <w:rPr>
          <w:rFonts w:hint="eastAsia"/>
        </w:rPr>
        <w:t>科学的留存与版本管理措施有助于维护数据真实性，并增强质量追责与事后溯源能力。</w:t>
      </w:r>
    </w:p>
    <w:p w14:paraId="7EAD7F26">
      <w:pPr>
        <w:pStyle w:val="105"/>
        <w:spacing w:before="120" w:after="120" w:line="360" w:lineRule="auto"/>
      </w:pPr>
      <w:r>
        <w:rPr>
          <w:rFonts w:hint="eastAsia"/>
        </w:rPr>
        <w:t>多平台追溯集成能力</w:t>
      </w:r>
    </w:p>
    <w:p w14:paraId="60F3C040">
      <w:pPr>
        <w:pStyle w:val="56"/>
        <w:spacing w:line="360" w:lineRule="auto"/>
        <w:ind w:firstLine="420"/>
      </w:pPr>
      <w:r>
        <w:rPr>
          <w:rFonts w:hint="eastAsia"/>
        </w:rPr>
        <w:t>在多系统协同应用场景下，构建具备高兼容性和集成能力的数据追溯架构成为必要条件。</w:t>
      </w:r>
    </w:p>
    <w:p w14:paraId="1DDC7179">
      <w:pPr>
        <w:pStyle w:val="56"/>
        <w:spacing w:line="360" w:lineRule="auto"/>
        <w:ind w:firstLine="420"/>
      </w:pPr>
      <w:r>
        <w:rPr>
          <w:rFonts w:hint="eastAsia"/>
        </w:rPr>
        <w:t>应支持与样品采集平台、实验设备管理系统、数据分析平台、监管系统等外部系统的数据接口集成，确保关键数据流通顺畅。</w:t>
      </w:r>
    </w:p>
    <w:p w14:paraId="0DE8B188">
      <w:pPr>
        <w:pStyle w:val="56"/>
        <w:spacing w:line="360" w:lineRule="auto"/>
        <w:ind w:firstLine="420"/>
      </w:pPr>
      <w:r>
        <w:rPr>
          <w:rFonts w:hint="eastAsia"/>
        </w:rPr>
        <w:t>不同平台之间应采用统一编码规则、结构化数据格式与可扩展传输协议，以减少信息传递过程中的失真与延误。</w:t>
      </w:r>
    </w:p>
    <w:p w14:paraId="24880CE8">
      <w:pPr>
        <w:pStyle w:val="56"/>
        <w:spacing w:line="360" w:lineRule="auto"/>
        <w:ind w:firstLine="420"/>
      </w:pPr>
      <w:r>
        <w:rPr>
          <w:rFonts w:hint="eastAsia"/>
        </w:rPr>
        <w:t>建议建立标准化数据桥接服务与统一身份识别模块，提升跨平台数据一致性与信息追溯效率。</w:t>
      </w:r>
    </w:p>
    <w:p w14:paraId="3329CACC">
      <w:pPr>
        <w:pStyle w:val="56"/>
        <w:spacing w:line="360" w:lineRule="auto"/>
        <w:ind w:firstLine="420"/>
      </w:pPr>
      <w:r>
        <w:rPr>
          <w:rFonts w:hint="eastAsia"/>
        </w:rPr>
        <w:t>提升系统的互联互通能力，是实现多方共建共享、全过程监管的关键路径。</w:t>
      </w:r>
    </w:p>
    <w:p w14:paraId="685E80DC">
      <w:pPr>
        <w:pStyle w:val="104"/>
        <w:spacing w:before="240" w:after="240" w:line="360" w:lineRule="auto"/>
      </w:pPr>
      <w:bookmarkStart w:id="54" w:name="_Toc200365326"/>
      <w:r>
        <w:rPr>
          <w:rFonts w:hint="eastAsia"/>
        </w:rPr>
        <w:t>信息安全与权限管理</w:t>
      </w:r>
      <w:bookmarkEnd w:id="54"/>
    </w:p>
    <w:p w14:paraId="150A67DE">
      <w:pPr>
        <w:pStyle w:val="105"/>
        <w:spacing w:before="120" w:after="120" w:line="360" w:lineRule="auto"/>
      </w:pPr>
      <w:r>
        <w:rPr>
          <w:rFonts w:hint="eastAsia"/>
        </w:rPr>
        <w:t>权限控制与角色管理</w:t>
      </w:r>
    </w:p>
    <w:p w14:paraId="4B3F6B37">
      <w:pPr>
        <w:pStyle w:val="56"/>
        <w:spacing w:line="360" w:lineRule="auto"/>
        <w:ind w:firstLine="420"/>
      </w:pPr>
      <w:r>
        <w:rPr>
          <w:rFonts w:hint="eastAsia"/>
        </w:rPr>
        <w:t>权限控制是保障系统安全运行的第一道防线。应依据检测流程中不同用户的职责设定多层级的角色权限体系，做到“最小授权原则”和“操作可审计”。</w:t>
      </w:r>
    </w:p>
    <w:p w14:paraId="515CAD31">
      <w:pPr>
        <w:pStyle w:val="56"/>
        <w:spacing w:line="360" w:lineRule="auto"/>
        <w:ind w:firstLine="420"/>
      </w:pPr>
      <w:r>
        <w:rPr>
          <w:rFonts w:hint="eastAsia"/>
        </w:rPr>
        <w:t>典型角色应包括但不限于系统管理员、检测人员、审核人员、数据分析人员和监管访问者，不同角色对数据的查看、编辑、导出、审批等操作应有明确的权限边界。此外，应支持定期权限审核与手动调整，避免因岗位变化导致的权限滥用或冗余。</w:t>
      </w:r>
    </w:p>
    <w:p w14:paraId="4FD0F7AC">
      <w:pPr>
        <w:pStyle w:val="56"/>
        <w:spacing w:line="360" w:lineRule="auto"/>
        <w:ind w:firstLine="420"/>
      </w:pPr>
      <w:r>
        <w:rPr>
          <w:rFonts w:hint="eastAsia"/>
        </w:rPr>
        <w:t>系统还应设置权限操作日志，自动记录每一项用户行为及其对应的时间与数据内容，实现行为可追踪与权限行为可问责。</w:t>
      </w:r>
    </w:p>
    <w:p w14:paraId="71F1A6EB">
      <w:pPr>
        <w:pStyle w:val="105"/>
        <w:spacing w:before="120" w:after="120" w:line="360" w:lineRule="auto"/>
      </w:pPr>
      <w:r>
        <w:rPr>
          <w:rFonts w:hint="eastAsia"/>
        </w:rPr>
        <w:t>数据传输与存储加密</w:t>
      </w:r>
    </w:p>
    <w:p w14:paraId="5E9D8C9D">
      <w:pPr>
        <w:pStyle w:val="56"/>
        <w:spacing w:line="360" w:lineRule="auto"/>
        <w:ind w:firstLine="420"/>
      </w:pPr>
      <w:r>
        <w:rPr>
          <w:rFonts w:hint="eastAsia"/>
        </w:rPr>
        <w:t>在数据传输过程中，应采用安全传输协议保障端到端的加密链路，同时结合数据摘要、数字签名等手段，验证数据完整性、防止中途篡改。</w:t>
      </w:r>
    </w:p>
    <w:p w14:paraId="70AAB5E2">
      <w:pPr>
        <w:pStyle w:val="56"/>
        <w:spacing w:line="360" w:lineRule="auto"/>
        <w:ind w:firstLine="420"/>
      </w:pPr>
      <w:r>
        <w:rPr>
          <w:rFonts w:hint="eastAsia"/>
        </w:rPr>
        <w:t>对于存储环节，应建立基于敏感级别的数据加密策略。原始检测数据、个人标识信息、关键分析结果等应采用高强度加密算法进行分区加密，并定期进行密钥轮换和权限校验。非结构化数据如图像、报告附件等可采用链下存储与链上摘要的方式确保安全。</w:t>
      </w:r>
    </w:p>
    <w:p w14:paraId="75E7E5AB">
      <w:pPr>
        <w:pStyle w:val="56"/>
        <w:spacing w:line="360" w:lineRule="auto"/>
        <w:ind w:firstLine="420"/>
      </w:pPr>
      <w:r>
        <w:rPr>
          <w:rFonts w:hint="eastAsia"/>
        </w:rPr>
        <w:t>通过传输与存储两个环节的同步防护，能够大幅度降低数据泄露和非法访问的风险。</w:t>
      </w:r>
    </w:p>
    <w:p w14:paraId="5766BF11">
      <w:pPr>
        <w:pStyle w:val="105"/>
        <w:spacing w:before="120" w:after="120" w:line="360" w:lineRule="auto"/>
      </w:pPr>
      <w:r>
        <w:rPr>
          <w:rFonts w:hint="eastAsia"/>
        </w:rPr>
        <w:t>访问行为监控与异常响应</w:t>
      </w:r>
    </w:p>
    <w:p w14:paraId="1BBCCE56">
      <w:pPr>
        <w:pStyle w:val="56"/>
        <w:spacing w:line="360" w:lineRule="auto"/>
        <w:ind w:firstLine="420"/>
      </w:pPr>
      <w:r>
        <w:rPr>
          <w:rFonts w:hint="eastAsia"/>
        </w:rPr>
        <w:t>为防范系统滥用和潜在攻击，必须建立对用户访问行为的动态监测机制。系统应记录所有登录行为、数据访问路径、操作频率、下载行为等，并形成可检索的行为日志。</w:t>
      </w:r>
    </w:p>
    <w:p w14:paraId="20F9B341">
      <w:pPr>
        <w:pStyle w:val="56"/>
        <w:spacing w:line="360" w:lineRule="auto"/>
        <w:ind w:firstLine="420"/>
      </w:pPr>
      <w:r>
        <w:rPr>
          <w:rFonts w:hint="eastAsia"/>
        </w:rPr>
        <w:t>当系统检测到异常行为，应立即触发预警机制并执行应急处理措施，如临时冻结账户、通知管理员、启动双重身份验证等。</w:t>
      </w:r>
    </w:p>
    <w:p w14:paraId="1370C22A">
      <w:pPr>
        <w:pStyle w:val="56"/>
        <w:spacing w:line="360" w:lineRule="auto"/>
        <w:ind w:firstLine="420"/>
      </w:pPr>
      <w:r>
        <w:rPr>
          <w:rFonts w:hint="eastAsia"/>
        </w:rPr>
        <w:t>应支持与安全审计系统联动，对风险事件进行分类归档与分析，形成闭环的响应体系。</w:t>
      </w:r>
    </w:p>
    <w:p w14:paraId="4ACE8FC4">
      <w:pPr>
        <w:pStyle w:val="56"/>
        <w:spacing w:line="360" w:lineRule="auto"/>
        <w:ind w:firstLine="420"/>
      </w:pPr>
      <w:r>
        <w:rPr>
          <w:rFonts w:hint="eastAsia"/>
        </w:rPr>
        <w:t>通过全过程的访问监控与动态响应管理，确保系统始终处于受控和可溯状态，提升整体风险防控能力。</w:t>
      </w:r>
    </w:p>
    <w:p w14:paraId="55C4F861">
      <w:pPr>
        <w:pStyle w:val="104"/>
        <w:spacing w:before="240" w:after="240" w:line="360" w:lineRule="auto"/>
      </w:pPr>
      <w:bookmarkStart w:id="55" w:name="_Toc200365327"/>
      <w:r>
        <w:rPr>
          <w:rFonts w:hint="eastAsia"/>
        </w:rPr>
        <w:t>质量控制流程与评价指标</w:t>
      </w:r>
      <w:bookmarkEnd w:id="55"/>
    </w:p>
    <w:p w14:paraId="02A1A502">
      <w:pPr>
        <w:pStyle w:val="105"/>
        <w:spacing w:before="120" w:after="120" w:line="360" w:lineRule="auto"/>
      </w:pPr>
      <w:r>
        <w:rPr>
          <w:rFonts w:hint="eastAsia"/>
        </w:rPr>
        <w:t>数据质量控制流程</w:t>
      </w:r>
    </w:p>
    <w:p w14:paraId="61B6D079">
      <w:pPr>
        <w:pStyle w:val="56"/>
        <w:spacing w:line="360" w:lineRule="auto"/>
        <w:ind w:firstLine="420"/>
      </w:pPr>
      <w:r>
        <w:rPr>
          <w:rFonts w:hint="eastAsia"/>
        </w:rPr>
        <w:t>食品安全检测数据的质量控制应覆盖数据采集、传输、处理、存储、审核与发布等各个环节，形成闭环管理。</w:t>
      </w:r>
    </w:p>
    <w:p w14:paraId="7314D13F">
      <w:pPr>
        <w:pStyle w:val="132"/>
        <w:spacing w:line="360" w:lineRule="auto"/>
      </w:pPr>
      <w:r>
        <w:rPr>
          <w:rFonts w:hint="eastAsia"/>
        </w:rPr>
        <w:t>前端采集控制：制定统一采集标准，确保采集方式一致、采样频率合理、仪器状态正常，杜绝数据源头偏差；</w:t>
      </w:r>
    </w:p>
    <w:p w14:paraId="6EBF543E">
      <w:pPr>
        <w:pStyle w:val="132"/>
        <w:spacing w:line="360" w:lineRule="auto"/>
      </w:pPr>
      <w:r>
        <w:rPr>
          <w:rFonts w:hint="eastAsia"/>
        </w:rPr>
        <w:t>过程监控机制：引入实时监测与自动校验技术，对数据格式、字段完整性、值域范围等进行在线校验；</w:t>
      </w:r>
    </w:p>
    <w:p w14:paraId="3D0FBA92">
      <w:pPr>
        <w:pStyle w:val="132"/>
        <w:spacing w:line="360" w:lineRule="auto"/>
      </w:pPr>
      <w:r>
        <w:rPr>
          <w:rFonts w:hint="eastAsia"/>
        </w:rPr>
        <w:t>人工复核制度：关键数据项应由专人进行复核，设定修改日志功能，保证数据变更过程可追溯；</w:t>
      </w:r>
    </w:p>
    <w:p w14:paraId="5B7701D9">
      <w:pPr>
        <w:pStyle w:val="132"/>
        <w:spacing w:line="360" w:lineRule="auto"/>
      </w:pPr>
      <w:r>
        <w:rPr>
          <w:rFonts w:hint="eastAsia"/>
        </w:rPr>
        <w:t>版本与归档管理：系统应支持数据版本控制，对每次数据更新进行归档和差异记录，保障历史记录可查；</w:t>
      </w:r>
    </w:p>
    <w:p w14:paraId="7F8EDB96">
      <w:pPr>
        <w:pStyle w:val="132"/>
        <w:spacing w:line="360" w:lineRule="auto"/>
      </w:pPr>
      <w:r>
        <w:rPr>
          <w:rFonts w:hint="eastAsia"/>
        </w:rPr>
        <w:t>异常处理机制：一旦发现数据缺失、重复、超限或逻辑冲突等异常，应自动触发标记，并提供人工介入通道。</w:t>
      </w:r>
    </w:p>
    <w:p w14:paraId="0AE57087">
      <w:pPr>
        <w:pStyle w:val="105"/>
        <w:spacing w:before="120" w:after="120" w:line="360" w:lineRule="auto"/>
      </w:pPr>
      <w:r>
        <w:rPr>
          <w:rFonts w:hint="eastAsia"/>
        </w:rPr>
        <w:t>数据质量评价指标体系</w:t>
      </w:r>
    </w:p>
    <w:p w14:paraId="7A71A279">
      <w:pPr>
        <w:pStyle w:val="56"/>
        <w:spacing w:line="360" w:lineRule="auto"/>
        <w:ind w:firstLine="420"/>
      </w:pPr>
      <w:r>
        <w:rPr>
          <w:rFonts w:hint="eastAsia"/>
        </w:rPr>
        <w:t>为了全面评估检测数据的管理水平与使用效果，应构建结构化的质量评价指标体系，涵盖完整性、准确性、时效性、一致性等关键维度。质量评价核心指标体系见表1。</w:t>
      </w:r>
    </w:p>
    <w:p w14:paraId="32400D07">
      <w:pPr>
        <w:pStyle w:val="112"/>
        <w:spacing w:before="120" w:after="120"/>
      </w:pPr>
      <w:r>
        <w:rPr>
          <w:rFonts w:hint="eastAsia"/>
        </w:rPr>
        <w:t>数据质量评价核心指标体系</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4"/>
        <w:gridCol w:w="5098"/>
        <w:gridCol w:w="3112"/>
      </w:tblGrid>
      <w:tr w14:paraId="2FEDD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top w:val="single" w:color="auto" w:sz="8" w:space="0"/>
              <w:bottom w:val="single" w:color="auto" w:sz="8" w:space="0"/>
            </w:tcBorders>
            <w:shd w:val="clear" w:color="auto" w:fill="auto"/>
          </w:tcPr>
          <w:p w14:paraId="78856847">
            <w:pPr>
              <w:pStyle w:val="178"/>
            </w:pPr>
            <w:r>
              <w:rPr>
                <w:rFonts w:hint="eastAsia"/>
              </w:rPr>
              <w:t>指标名称</w:t>
            </w:r>
          </w:p>
        </w:tc>
        <w:tc>
          <w:tcPr>
            <w:tcW w:w="5098" w:type="dxa"/>
            <w:tcBorders>
              <w:top w:val="single" w:color="auto" w:sz="8" w:space="0"/>
              <w:bottom w:val="single" w:color="auto" w:sz="8" w:space="0"/>
            </w:tcBorders>
            <w:shd w:val="clear" w:color="auto" w:fill="auto"/>
          </w:tcPr>
          <w:p w14:paraId="30FE5F8F">
            <w:pPr>
              <w:pStyle w:val="178"/>
            </w:pPr>
            <w:r>
              <w:rPr>
                <w:rFonts w:hint="eastAsia"/>
              </w:rPr>
              <w:t>指标内容说明</w:t>
            </w:r>
          </w:p>
        </w:tc>
        <w:tc>
          <w:tcPr>
            <w:tcW w:w="3112" w:type="dxa"/>
            <w:tcBorders>
              <w:top w:val="single" w:color="auto" w:sz="8" w:space="0"/>
              <w:bottom w:val="single" w:color="auto" w:sz="8" w:space="0"/>
            </w:tcBorders>
            <w:shd w:val="clear" w:color="auto" w:fill="auto"/>
          </w:tcPr>
          <w:p w14:paraId="29A4BCDA">
            <w:pPr>
              <w:pStyle w:val="178"/>
            </w:pPr>
            <w:r>
              <w:rPr>
                <w:rFonts w:hint="eastAsia"/>
              </w:rPr>
              <w:t>评价方法</w:t>
            </w:r>
          </w:p>
        </w:tc>
      </w:tr>
      <w:tr w14:paraId="74D76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8" w:space="0"/>
            </w:tcBorders>
            <w:shd w:val="clear" w:color="auto" w:fill="auto"/>
          </w:tcPr>
          <w:p w14:paraId="517BF7D0">
            <w:pPr>
              <w:pStyle w:val="178"/>
            </w:pPr>
            <w:r>
              <w:rPr>
                <w:rFonts w:hint="eastAsia"/>
              </w:rPr>
              <w:t>完整性</w:t>
            </w:r>
          </w:p>
        </w:tc>
        <w:tc>
          <w:tcPr>
            <w:tcW w:w="5098" w:type="dxa"/>
            <w:tcBorders>
              <w:top w:val="single" w:color="auto" w:sz="8" w:space="0"/>
            </w:tcBorders>
            <w:shd w:val="clear" w:color="auto" w:fill="auto"/>
          </w:tcPr>
          <w:p w14:paraId="1BDEBBD5">
            <w:pPr>
              <w:pStyle w:val="178"/>
            </w:pPr>
            <w:r>
              <w:rPr>
                <w:rFonts w:hint="eastAsia"/>
              </w:rPr>
              <w:t>所有必填字段是否填写完整，无缺项</w:t>
            </w:r>
          </w:p>
        </w:tc>
        <w:tc>
          <w:tcPr>
            <w:tcW w:w="3112" w:type="dxa"/>
            <w:tcBorders>
              <w:top w:val="single" w:color="auto" w:sz="8" w:space="0"/>
            </w:tcBorders>
            <w:shd w:val="clear" w:color="auto" w:fill="auto"/>
          </w:tcPr>
          <w:p w14:paraId="4AD8A8FA">
            <w:pPr>
              <w:pStyle w:val="178"/>
            </w:pPr>
            <w:r>
              <w:rPr>
                <w:rFonts w:hint="eastAsia"/>
              </w:rPr>
              <w:t>缺失率统计</w:t>
            </w:r>
          </w:p>
        </w:tc>
      </w:tr>
      <w:tr w14:paraId="04BF22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078D593F">
            <w:pPr>
              <w:pStyle w:val="178"/>
            </w:pPr>
            <w:r>
              <w:rPr>
                <w:rFonts w:hint="eastAsia"/>
              </w:rPr>
              <w:t>准确性</w:t>
            </w:r>
          </w:p>
        </w:tc>
        <w:tc>
          <w:tcPr>
            <w:tcW w:w="5098" w:type="dxa"/>
            <w:shd w:val="clear" w:color="auto" w:fill="auto"/>
          </w:tcPr>
          <w:p w14:paraId="54A5825A">
            <w:pPr>
              <w:pStyle w:val="178"/>
            </w:pPr>
            <w:r>
              <w:rPr>
                <w:rFonts w:hint="eastAsia"/>
              </w:rPr>
              <w:t>数据是否符合事实与检测结果，有无输入性误差</w:t>
            </w:r>
          </w:p>
        </w:tc>
        <w:tc>
          <w:tcPr>
            <w:tcW w:w="3112" w:type="dxa"/>
            <w:shd w:val="clear" w:color="auto" w:fill="auto"/>
          </w:tcPr>
          <w:p w14:paraId="6C86A6EF">
            <w:pPr>
              <w:pStyle w:val="178"/>
            </w:pPr>
            <w:r>
              <w:rPr>
                <w:rFonts w:hint="eastAsia"/>
              </w:rPr>
              <w:t>抽样复核比对</w:t>
            </w:r>
          </w:p>
        </w:tc>
      </w:tr>
      <w:tr w14:paraId="40EED5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 w:hRule="atLeast"/>
          <w:jc w:val="center"/>
        </w:trPr>
        <w:tc>
          <w:tcPr>
            <w:tcW w:w="1124" w:type="dxa"/>
            <w:shd w:val="clear" w:color="auto" w:fill="auto"/>
          </w:tcPr>
          <w:p w14:paraId="33A5DAD3">
            <w:pPr>
              <w:pStyle w:val="178"/>
            </w:pPr>
            <w:r>
              <w:rPr>
                <w:rFonts w:hint="eastAsia"/>
              </w:rPr>
              <w:t>一致性</w:t>
            </w:r>
          </w:p>
        </w:tc>
        <w:tc>
          <w:tcPr>
            <w:tcW w:w="5098" w:type="dxa"/>
            <w:shd w:val="clear" w:color="auto" w:fill="auto"/>
          </w:tcPr>
          <w:p w14:paraId="7CC8A2C5">
            <w:pPr>
              <w:pStyle w:val="178"/>
            </w:pPr>
            <w:r>
              <w:rPr>
                <w:rFonts w:hint="eastAsia"/>
              </w:rPr>
              <w:t>多源数据间是否逻辑一致，数据结构是否统一</w:t>
            </w:r>
          </w:p>
        </w:tc>
        <w:tc>
          <w:tcPr>
            <w:tcW w:w="3112" w:type="dxa"/>
            <w:shd w:val="clear" w:color="auto" w:fill="auto"/>
          </w:tcPr>
          <w:p w14:paraId="381962C4">
            <w:pPr>
              <w:pStyle w:val="178"/>
            </w:pPr>
            <w:r>
              <w:rPr>
                <w:rFonts w:hint="eastAsia"/>
              </w:rPr>
              <w:t>数据比对、一致性检测工具</w:t>
            </w:r>
          </w:p>
        </w:tc>
      </w:tr>
      <w:tr w14:paraId="62AF96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25739B0C">
            <w:pPr>
              <w:pStyle w:val="178"/>
            </w:pPr>
            <w:r>
              <w:rPr>
                <w:rFonts w:hint="eastAsia"/>
              </w:rPr>
              <w:t>及时性</w:t>
            </w:r>
          </w:p>
        </w:tc>
        <w:tc>
          <w:tcPr>
            <w:tcW w:w="5098" w:type="dxa"/>
            <w:shd w:val="clear" w:color="auto" w:fill="auto"/>
          </w:tcPr>
          <w:p w14:paraId="5F0FF473">
            <w:pPr>
              <w:pStyle w:val="178"/>
            </w:pPr>
            <w:r>
              <w:rPr>
                <w:rFonts w:hint="eastAsia"/>
              </w:rPr>
              <w:t>数据上传是否符合规定时间要求，是否存在延迟</w:t>
            </w:r>
          </w:p>
        </w:tc>
        <w:tc>
          <w:tcPr>
            <w:tcW w:w="3112" w:type="dxa"/>
            <w:shd w:val="clear" w:color="auto" w:fill="auto"/>
          </w:tcPr>
          <w:p w14:paraId="0221B87F">
            <w:pPr>
              <w:pStyle w:val="178"/>
            </w:pPr>
            <w:r>
              <w:rPr>
                <w:rFonts w:hint="eastAsia"/>
              </w:rPr>
              <w:t>时间戳分析、上传延时率</w:t>
            </w:r>
          </w:p>
        </w:tc>
      </w:tr>
      <w:tr w14:paraId="62BBE5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051ABB93">
            <w:pPr>
              <w:pStyle w:val="178"/>
            </w:pPr>
            <w:r>
              <w:rPr>
                <w:rFonts w:hint="eastAsia"/>
              </w:rPr>
              <w:t>可追溯性</w:t>
            </w:r>
          </w:p>
        </w:tc>
        <w:tc>
          <w:tcPr>
            <w:tcW w:w="5098" w:type="dxa"/>
            <w:shd w:val="clear" w:color="auto" w:fill="auto"/>
          </w:tcPr>
          <w:p w14:paraId="6D9AAFA5">
            <w:pPr>
              <w:pStyle w:val="178"/>
            </w:pPr>
            <w:r>
              <w:rPr>
                <w:rFonts w:hint="eastAsia"/>
              </w:rPr>
              <w:t>数据修改记录是否完整、是否能回溯至原始操作人员及时间</w:t>
            </w:r>
          </w:p>
        </w:tc>
        <w:tc>
          <w:tcPr>
            <w:tcW w:w="3112" w:type="dxa"/>
            <w:shd w:val="clear" w:color="auto" w:fill="auto"/>
          </w:tcPr>
          <w:p w14:paraId="62514473">
            <w:pPr>
              <w:pStyle w:val="178"/>
            </w:pPr>
            <w:r>
              <w:rPr>
                <w:rFonts w:hint="eastAsia"/>
              </w:rPr>
              <w:t>操作日志比对与历史版本回溯能力分析</w:t>
            </w:r>
          </w:p>
        </w:tc>
      </w:tr>
    </w:tbl>
    <w:p w14:paraId="60C16CAB">
      <w:pPr>
        <w:pStyle w:val="56"/>
        <w:spacing w:before="120" w:beforeLines="50" w:line="360" w:lineRule="auto"/>
        <w:ind w:firstLine="420"/>
      </w:pPr>
      <w:r>
        <w:rPr>
          <w:rFonts w:hint="eastAsia"/>
        </w:rPr>
        <w:t>设置上述指标后，可按季度或项目周期开展数据质量评价工作，并结合评分权重进行等级划分，促进持续改进与内部审计。</w:t>
      </w:r>
    </w:p>
    <w:p w14:paraId="3B3B83EF">
      <w:pPr>
        <w:pStyle w:val="104"/>
        <w:spacing w:before="240" w:after="240" w:line="360" w:lineRule="auto"/>
      </w:pPr>
      <w:bookmarkStart w:id="56" w:name="_Toc200365328"/>
      <w:r>
        <w:rPr>
          <w:rFonts w:hint="eastAsia"/>
        </w:rPr>
        <w:t>追溯系统建设与运行</w:t>
      </w:r>
      <w:bookmarkEnd w:id="56"/>
    </w:p>
    <w:p w14:paraId="141CD1A5">
      <w:pPr>
        <w:pStyle w:val="105"/>
        <w:spacing w:before="120" w:after="120" w:line="360" w:lineRule="auto"/>
      </w:pPr>
      <w:r>
        <w:rPr>
          <w:rFonts w:hint="eastAsia"/>
        </w:rPr>
        <w:t>系统架构设计要求</w:t>
      </w:r>
    </w:p>
    <w:p w14:paraId="30A35938">
      <w:pPr>
        <w:pStyle w:val="56"/>
        <w:spacing w:line="360" w:lineRule="auto"/>
        <w:ind w:firstLine="420"/>
      </w:pPr>
      <w:r>
        <w:rPr>
          <w:rFonts w:hint="eastAsia"/>
        </w:rPr>
        <w:t>追溯系统架构应具备分层设计思路，确保数据采集、处理、存储、展示等环节相互独立、接口清晰：</w:t>
      </w:r>
    </w:p>
    <w:p w14:paraId="4845EBA2">
      <w:pPr>
        <w:pStyle w:val="187"/>
        <w:spacing w:line="360" w:lineRule="auto"/>
      </w:pPr>
      <w:r>
        <w:rPr>
          <w:rFonts w:hint="eastAsia"/>
        </w:rPr>
        <w:t>感知层：负责现场采样设备、检测仪器、扫码器等前端信息的实时采集；</w:t>
      </w:r>
    </w:p>
    <w:p w14:paraId="2FE4B727">
      <w:pPr>
        <w:pStyle w:val="187"/>
        <w:spacing w:line="360" w:lineRule="auto"/>
      </w:pPr>
      <w:r>
        <w:rPr>
          <w:rFonts w:hint="eastAsia"/>
        </w:rPr>
        <w:t>传输层：通过有线或无线网络将数据安全传输至平台，支持主备冗余链路；</w:t>
      </w:r>
    </w:p>
    <w:p w14:paraId="3188CA3A">
      <w:pPr>
        <w:pStyle w:val="187"/>
        <w:spacing w:line="360" w:lineRule="auto"/>
      </w:pPr>
      <w:r>
        <w:rPr>
          <w:rFonts w:hint="eastAsia"/>
        </w:rPr>
        <w:t>平台层：实现数据清洗、结构化处理、元数据关联、数据上链等核心处理功能；</w:t>
      </w:r>
    </w:p>
    <w:p w14:paraId="37786CD3">
      <w:pPr>
        <w:pStyle w:val="187"/>
        <w:spacing w:line="360" w:lineRule="auto"/>
      </w:pPr>
      <w:r>
        <w:rPr>
          <w:rFonts w:hint="eastAsia"/>
        </w:rPr>
        <w:t>展示层：向终端用户提供信息查询、历史轨迹、检测详情等可视化展示功能。</w:t>
      </w:r>
    </w:p>
    <w:p w14:paraId="1B15B1D5">
      <w:pPr>
        <w:pStyle w:val="105"/>
        <w:spacing w:before="120" w:after="120" w:line="360" w:lineRule="auto"/>
      </w:pPr>
      <w:r>
        <w:rPr>
          <w:rFonts w:hint="eastAsia"/>
        </w:rPr>
        <w:t>系统建设技术要点</w:t>
      </w:r>
    </w:p>
    <w:p w14:paraId="2A53E81C">
      <w:pPr>
        <w:pStyle w:val="56"/>
        <w:spacing w:line="360" w:lineRule="auto"/>
        <w:ind w:firstLine="420"/>
      </w:pPr>
      <w:r>
        <w:rPr>
          <w:rFonts w:hint="eastAsia"/>
        </w:rPr>
        <w:t>为确保追溯系统具备高可靠性与扩展性，应重点关注以下技术要点：</w:t>
      </w:r>
    </w:p>
    <w:p w14:paraId="3C7DBC4A">
      <w:pPr>
        <w:pStyle w:val="132"/>
        <w:spacing w:line="360" w:lineRule="auto"/>
      </w:pPr>
      <w:r>
        <w:rPr>
          <w:rFonts w:hint="eastAsia"/>
        </w:rPr>
        <w:t>采用模块化设计，便于后续扩展功能模块；</w:t>
      </w:r>
    </w:p>
    <w:p w14:paraId="1835C8EA">
      <w:pPr>
        <w:pStyle w:val="132"/>
        <w:spacing w:line="360" w:lineRule="auto"/>
      </w:pPr>
      <w:r>
        <w:rPr>
          <w:rFonts w:hint="eastAsia"/>
        </w:rPr>
        <w:t>支持标准数据接口协议，便于与监管平台和企业系统对接；</w:t>
      </w:r>
    </w:p>
    <w:p w14:paraId="03ACC91E">
      <w:pPr>
        <w:pStyle w:val="132"/>
        <w:spacing w:line="360" w:lineRule="auto"/>
      </w:pPr>
      <w:r>
        <w:rPr>
          <w:rFonts w:hint="eastAsia"/>
        </w:rPr>
        <w:t>应具备脱网可运行能力，确保关键场景下数据采集不中断；</w:t>
      </w:r>
    </w:p>
    <w:p w14:paraId="6637422B">
      <w:pPr>
        <w:pStyle w:val="132"/>
        <w:spacing w:line="360" w:lineRule="auto"/>
      </w:pPr>
      <w:r>
        <w:rPr>
          <w:rFonts w:hint="eastAsia"/>
        </w:rPr>
        <w:t>具备高并发承载能力与数据灾备机制，提升系统稳定性。</w:t>
      </w:r>
    </w:p>
    <w:p w14:paraId="1C003347">
      <w:pPr>
        <w:pStyle w:val="105"/>
        <w:spacing w:before="120" w:after="120" w:line="360" w:lineRule="auto"/>
      </w:pPr>
      <w:r>
        <w:rPr>
          <w:rFonts w:hint="eastAsia"/>
        </w:rPr>
        <w:t>运行维护与更新机制</w:t>
      </w:r>
    </w:p>
    <w:p w14:paraId="4EBBFEF0">
      <w:pPr>
        <w:pStyle w:val="56"/>
        <w:spacing w:line="360" w:lineRule="auto"/>
        <w:ind w:firstLine="420"/>
      </w:pPr>
      <w:r>
        <w:rPr>
          <w:rFonts w:hint="eastAsia"/>
        </w:rPr>
        <w:t>系统运行阶段需建立规范的运维流程，确保追溯数据的连续性与平台长期稳定可用：</w:t>
      </w:r>
    </w:p>
    <w:p w14:paraId="58D65A61">
      <w:pPr>
        <w:pStyle w:val="132"/>
        <w:spacing w:line="360" w:lineRule="auto"/>
      </w:pPr>
      <w:r>
        <w:rPr>
          <w:rFonts w:hint="eastAsia"/>
        </w:rPr>
        <w:t>定期巡检软硬件运行状态，及时发现并排查故障隐患；</w:t>
      </w:r>
    </w:p>
    <w:p w14:paraId="2B3154EA">
      <w:pPr>
        <w:pStyle w:val="132"/>
        <w:spacing w:line="360" w:lineRule="auto"/>
      </w:pPr>
      <w:r>
        <w:rPr>
          <w:rFonts w:hint="eastAsia"/>
        </w:rPr>
        <w:t>设置自动告警与日志记录机制，对传输异常、数据缺失等问题即时响应；</w:t>
      </w:r>
    </w:p>
    <w:p w14:paraId="15F41054">
      <w:pPr>
        <w:pStyle w:val="132"/>
        <w:spacing w:line="360" w:lineRule="auto"/>
      </w:pPr>
      <w:r>
        <w:rPr>
          <w:rFonts w:hint="eastAsia"/>
        </w:rPr>
        <w:t>根据业务需求和政策变化，适时升级系统功能与安全策略；</w:t>
      </w:r>
    </w:p>
    <w:p w14:paraId="18F5D1C9">
      <w:pPr>
        <w:pStyle w:val="132"/>
        <w:spacing w:line="360" w:lineRule="auto"/>
      </w:pPr>
      <w:r>
        <w:rPr>
          <w:rFonts w:hint="eastAsia"/>
        </w:rPr>
        <w:t>制定系统应急预案与数据恢复机制，提升应对突发事件的能力。</w:t>
      </w:r>
    </w:p>
    <w:p w14:paraId="2EE09791">
      <w:pPr>
        <w:pStyle w:val="132"/>
        <w:numPr>
          <w:ilvl w:val="0"/>
          <w:numId w:val="0"/>
        </w:numPr>
        <w:spacing w:line="360" w:lineRule="auto"/>
        <w:ind w:left="425"/>
      </w:pPr>
      <w:r>
        <w:rPr>
          <w:rFonts w:hint="eastAsia"/>
        </w:rPr>
        <w:t>追溯系统各层级的运行维护要点如表2所示。</w:t>
      </w:r>
    </w:p>
    <w:p w14:paraId="44400A1B">
      <w:pPr>
        <w:pStyle w:val="112"/>
        <w:spacing w:before="120" w:after="120"/>
      </w:pPr>
      <w:r>
        <w:rPr>
          <w:rFonts w:hint="eastAsia"/>
        </w:rPr>
        <w:t>系统层级运行维护要点表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3402"/>
        <w:gridCol w:w="3815"/>
      </w:tblGrid>
      <w:tr w14:paraId="2DA0B6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shd w:val="clear" w:color="auto" w:fill="auto"/>
          </w:tcPr>
          <w:p w14:paraId="1B51D859">
            <w:pPr>
              <w:pStyle w:val="178"/>
            </w:pPr>
            <w:r>
              <w:rPr>
                <w:rFonts w:hint="eastAsia"/>
              </w:rPr>
              <w:t>系统层级</w:t>
            </w:r>
          </w:p>
        </w:tc>
        <w:tc>
          <w:tcPr>
            <w:tcW w:w="3402" w:type="dxa"/>
            <w:tcBorders>
              <w:top w:val="single" w:color="auto" w:sz="8" w:space="0"/>
              <w:bottom w:val="single" w:color="auto" w:sz="8" w:space="0"/>
            </w:tcBorders>
            <w:shd w:val="clear" w:color="auto" w:fill="auto"/>
          </w:tcPr>
          <w:p w14:paraId="2DE5A0AE">
            <w:pPr>
              <w:pStyle w:val="178"/>
            </w:pPr>
            <w:r>
              <w:rPr>
                <w:rFonts w:hint="eastAsia"/>
              </w:rPr>
              <w:t>维护重点</w:t>
            </w:r>
          </w:p>
        </w:tc>
        <w:tc>
          <w:tcPr>
            <w:tcW w:w="3815" w:type="dxa"/>
            <w:tcBorders>
              <w:top w:val="single" w:color="auto" w:sz="8" w:space="0"/>
              <w:bottom w:val="single" w:color="auto" w:sz="8" w:space="0"/>
            </w:tcBorders>
            <w:shd w:val="clear" w:color="auto" w:fill="auto"/>
          </w:tcPr>
          <w:p w14:paraId="5D51FE96">
            <w:pPr>
              <w:pStyle w:val="178"/>
            </w:pPr>
            <w:r>
              <w:rPr>
                <w:rFonts w:hint="eastAsia"/>
              </w:rPr>
              <w:t>典型内容示例</w:t>
            </w:r>
          </w:p>
        </w:tc>
      </w:tr>
      <w:tr w14:paraId="1AA525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shd w:val="clear" w:color="auto" w:fill="auto"/>
          </w:tcPr>
          <w:p w14:paraId="09809030">
            <w:pPr>
              <w:pStyle w:val="178"/>
            </w:pPr>
            <w:r>
              <w:rPr>
                <w:rFonts w:hint="eastAsia"/>
              </w:rPr>
              <w:t>感知层</w:t>
            </w:r>
          </w:p>
        </w:tc>
        <w:tc>
          <w:tcPr>
            <w:tcW w:w="3402" w:type="dxa"/>
            <w:tcBorders>
              <w:top w:val="single" w:color="auto" w:sz="8" w:space="0"/>
            </w:tcBorders>
            <w:shd w:val="clear" w:color="auto" w:fill="auto"/>
          </w:tcPr>
          <w:p w14:paraId="24282DB9">
            <w:pPr>
              <w:pStyle w:val="178"/>
            </w:pPr>
            <w:r>
              <w:rPr>
                <w:rFonts w:hint="eastAsia"/>
              </w:rPr>
              <w:t>设备校准与采样稳定性</w:t>
            </w:r>
          </w:p>
        </w:tc>
        <w:tc>
          <w:tcPr>
            <w:tcW w:w="3815" w:type="dxa"/>
            <w:tcBorders>
              <w:top w:val="single" w:color="auto" w:sz="8" w:space="0"/>
            </w:tcBorders>
            <w:shd w:val="clear" w:color="auto" w:fill="auto"/>
          </w:tcPr>
          <w:p w14:paraId="346ED319">
            <w:pPr>
              <w:pStyle w:val="178"/>
            </w:pPr>
            <w:r>
              <w:rPr>
                <w:rFonts w:hint="eastAsia"/>
              </w:rPr>
              <w:t>检测仪器校准记录、采样频率设定</w:t>
            </w:r>
          </w:p>
        </w:tc>
      </w:tr>
      <w:tr w14:paraId="2C884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tcPr>
          <w:p w14:paraId="4C8D00B4">
            <w:pPr>
              <w:pStyle w:val="178"/>
            </w:pPr>
            <w:r>
              <w:rPr>
                <w:rFonts w:hint="eastAsia"/>
              </w:rPr>
              <w:t>传输层</w:t>
            </w:r>
          </w:p>
        </w:tc>
        <w:tc>
          <w:tcPr>
            <w:tcW w:w="3402" w:type="dxa"/>
            <w:shd w:val="clear" w:color="auto" w:fill="auto"/>
          </w:tcPr>
          <w:p w14:paraId="5860E450">
            <w:pPr>
              <w:pStyle w:val="178"/>
            </w:pPr>
            <w:r>
              <w:rPr>
                <w:rFonts w:hint="eastAsia"/>
              </w:rPr>
              <w:t>网络稳定性与传输加密</w:t>
            </w:r>
          </w:p>
        </w:tc>
        <w:tc>
          <w:tcPr>
            <w:tcW w:w="3815" w:type="dxa"/>
            <w:shd w:val="clear" w:color="auto" w:fill="auto"/>
          </w:tcPr>
          <w:p w14:paraId="1823B29F">
            <w:pPr>
              <w:pStyle w:val="178"/>
            </w:pPr>
            <w:r>
              <w:rPr>
                <w:rFonts w:hint="eastAsia"/>
              </w:rPr>
              <w:t>VPN连接状态、数据压缩与加密机制</w:t>
            </w:r>
          </w:p>
        </w:tc>
      </w:tr>
      <w:tr w14:paraId="5909D3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tcPr>
          <w:p w14:paraId="02AFE1FD">
            <w:pPr>
              <w:pStyle w:val="178"/>
            </w:pPr>
            <w:r>
              <w:rPr>
                <w:rFonts w:hint="eastAsia"/>
              </w:rPr>
              <w:t>平台层</w:t>
            </w:r>
          </w:p>
        </w:tc>
        <w:tc>
          <w:tcPr>
            <w:tcW w:w="3402" w:type="dxa"/>
            <w:shd w:val="clear" w:color="auto" w:fill="auto"/>
          </w:tcPr>
          <w:p w14:paraId="307D4F00">
            <w:pPr>
              <w:pStyle w:val="178"/>
            </w:pPr>
            <w:r>
              <w:rPr>
                <w:rFonts w:hint="eastAsia"/>
              </w:rPr>
              <w:t>数据处理正确性与功能更新</w:t>
            </w:r>
          </w:p>
        </w:tc>
        <w:tc>
          <w:tcPr>
            <w:tcW w:w="3815" w:type="dxa"/>
            <w:shd w:val="clear" w:color="auto" w:fill="auto"/>
          </w:tcPr>
          <w:p w14:paraId="524C6D4C">
            <w:pPr>
              <w:pStyle w:val="178"/>
            </w:pPr>
            <w:r>
              <w:rPr>
                <w:rFonts w:hint="eastAsia"/>
              </w:rPr>
              <w:t>数据异常处理模块、接口日志管理</w:t>
            </w:r>
          </w:p>
        </w:tc>
      </w:tr>
      <w:tr w14:paraId="79807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tcPr>
          <w:p w14:paraId="68F93102">
            <w:pPr>
              <w:pStyle w:val="178"/>
            </w:pPr>
            <w:r>
              <w:rPr>
                <w:rFonts w:hint="eastAsia"/>
              </w:rPr>
              <w:t>展示层</w:t>
            </w:r>
          </w:p>
        </w:tc>
        <w:tc>
          <w:tcPr>
            <w:tcW w:w="3402" w:type="dxa"/>
            <w:shd w:val="clear" w:color="auto" w:fill="auto"/>
          </w:tcPr>
          <w:p w14:paraId="3ADA0ADE">
            <w:pPr>
              <w:pStyle w:val="178"/>
            </w:pPr>
            <w:r>
              <w:rPr>
                <w:rFonts w:hint="eastAsia"/>
              </w:rPr>
              <w:t>信息完整性与用户可用性</w:t>
            </w:r>
          </w:p>
        </w:tc>
        <w:tc>
          <w:tcPr>
            <w:tcW w:w="3815" w:type="dxa"/>
            <w:shd w:val="clear" w:color="auto" w:fill="auto"/>
          </w:tcPr>
          <w:p w14:paraId="59DFCB20">
            <w:pPr>
              <w:pStyle w:val="178"/>
            </w:pPr>
            <w:r>
              <w:rPr>
                <w:rFonts w:hint="eastAsia"/>
              </w:rPr>
              <w:t>展示字段规范、访问权限分级</w:t>
            </w:r>
          </w:p>
        </w:tc>
      </w:tr>
      <w:bookmarkEnd w:id="26"/>
    </w:tbl>
    <w:p w14:paraId="63461CC0">
      <w:pPr>
        <w:pStyle w:val="132"/>
        <w:numPr>
          <w:ilvl w:val="0"/>
          <w:numId w:val="0"/>
        </w:numPr>
        <w:ind w:left="425"/>
        <w:jc w:val="center"/>
      </w:pPr>
      <w:bookmarkStart w:id="57" w:name="BookMark8"/>
      <w:r>
        <w:rPr>
          <w:rFonts w:hint="eastAsia"/>
        </w:rPr>
        <w:drawing>
          <wp:inline distT="0" distB="0" distL="0" distR="0">
            <wp:extent cx="1485900" cy="317500"/>
            <wp:effectExtent l="0" t="0" r="0" b="6350"/>
            <wp:docPr id="278602541" name="图片 3"/>
            <wp:cNvGraphicFramePr/>
            <a:graphic xmlns:a="http://schemas.openxmlformats.org/drawingml/2006/main">
              <a:graphicData uri="http://schemas.openxmlformats.org/drawingml/2006/picture">
                <pic:pic xmlns:pic="http://schemas.openxmlformats.org/drawingml/2006/picture">
                  <pic:nvPicPr>
                    <pic:cNvPr id="278602541"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772CE">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051C1">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7426B">
    <w:pPr>
      <w:pStyle w:val="51"/>
    </w:pPr>
    <w:r>
      <w:fldChar w:fldCharType="begin"/>
    </w:r>
    <w:r>
      <w:instrText xml:space="preserve"> PAGE   \* MERGEFORMAT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A95D8">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B774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71825">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AA09D">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61E0A">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D7B9E">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9DF26">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2D426">
    <w:pPr>
      <w:pStyle w:val="51"/>
    </w:pPr>
    <w:r>
      <w:fldChar w:fldCharType="begin"/>
    </w:r>
    <w:r>
      <w:instrText xml:space="preserve"> PAGE   \* MERGEFORMAT \* MERGEFORMAT </w:instrText>
    </w:r>
    <w:r>
      <w:fldChar w:fldCharType="separate"/>
    </w:r>
    <w: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D92CC">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C84EA">
    <w:pPr>
      <w:pStyle w:val="61"/>
    </w:pPr>
    <w:r>
      <w:fldChar w:fldCharType="begin"/>
    </w:r>
    <w:r>
      <w:instrText xml:space="preserve"> STYLEREF  标准文件_文件编号  \* MERGEFORMAT </w:instrText>
    </w:r>
    <w:r>
      <w:fldChar w:fldCharType="separate"/>
    </w:r>
    <w:r>
      <w:t>T/XJBX 0033—2025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0AF99">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0033—2025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C49E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6175F">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58988">
    <w:pPr>
      <w:pStyle w:val="61"/>
    </w:pPr>
    <w:r>
      <w:fldChar w:fldCharType="begin"/>
    </w:r>
    <w:r>
      <w:instrText xml:space="preserve"> STYLEREF  标准文件_文件编号  \* MERGEFORMAT </w:instrText>
    </w:r>
    <w:r>
      <w:fldChar w:fldCharType="separate"/>
    </w:r>
    <w:r>
      <w:t>T/XJBX 0033—2025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1690">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T/XJBX 0033—2025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56E0">
    <w:pPr>
      <w:pStyle w:val="61"/>
    </w:pPr>
    <w:r>
      <w:fldChar w:fldCharType="begin"/>
    </w:r>
    <w:r>
      <w:instrText xml:space="preserve"> STYLEREF  标准文件_文件编号  \* MERGEFORMAT </w:instrText>
    </w:r>
    <w:r>
      <w:fldChar w:fldCharType="separate"/>
    </w:r>
    <w:r>
      <w:t>T/XJBX 0033—2025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D7D26">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0033—2025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B6A56">
    <w:pPr>
      <w:pStyle w:val="61"/>
    </w:pPr>
    <w:r>
      <w:fldChar w:fldCharType="begin"/>
    </w:r>
    <w:r>
      <w:instrText xml:space="preserve"> STYLEREF  标准文件_文件编号  \* MERGEFORMAT </w:instrText>
    </w:r>
    <w:r>
      <w:fldChar w:fldCharType="separate"/>
    </w:r>
    <w:r>
      <w:t>T/XJBX 0033—2025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60097">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T/XJBX 0033—2025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Y0NTEyMjAxMze3sDBQ0lEKTi0uzszPAykwqgUAn5/n5iwAAAA="/>
  </w:docVars>
  <w:rsids>
    <w:rsidRoot w:val="00CB351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768"/>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DE2"/>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295C"/>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C6347"/>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69C6"/>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6214"/>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8DD"/>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0C75"/>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54A1"/>
    <w:rsid w:val="007959E8"/>
    <w:rsid w:val="00795E9C"/>
    <w:rsid w:val="007A0521"/>
    <w:rsid w:val="007A2E12"/>
    <w:rsid w:val="007A3475"/>
    <w:rsid w:val="007A37A6"/>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A6E"/>
    <w:rsid w:val="00997BF1"/>
    <w:rsid w:val="009A089C"/>
    <w:rsid w:val="009A09A0"/>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DC0"/>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2BE0"/>
    <w:rsid w:val="00AE37E5"/>
    <w:rsid w:val="00AE5EB4"/>
    <w:rsid w:val="00AF0C18"/>
    <w:rsid w:val="00AF47C5"/>
    <w:rsid w:val="00AF5398"/>
    <w:rsid w:val="00B049AF"/>
    <w:rsid w:val="00B07242"/>
    <w:rsid w:val="00B10534"/>
    <w:rsid w:val="00B113DB"/>
    <w:rsid w:val="00B11D8A"/>
    <w:rsid w:val="00B12981"/>
    <w:rsid w:val="00B147DD"/>
    <w:rsid w:val="00B14BF6"/>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43CB"/>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51F"/>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44D4"/>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94C5F77"/>
    <w:rsid w:val="25DF1444"/>
    <w:rsid w:val="76147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E4C22ED7F1341F6A7394B7639A6FB6D"/>
        <w:style w:val=""/>
        <w:category>
          <w:name w:val="常规"/>
          <w:gallery w:val="placeholder"/>
        </w:category>
        <w:types>
          <w:type w:val="bbPlcHdr"/>
        </w:types>
        <w:behaviors>
          <w:behavior w:val="content"/>
        </w:behaviors>
        <w:description w:val=""/>
        <w:guid w:val="{AC3B07D9-77C8-4FE7-84EE-088A85868F73}"/>
      </w:docPartPr>
      <w:docPartBody>
        <w:p w14:paraId="24FC4ED2">
          <w:pPr>
            <w:pStyle w:val="5"/>
          </w:pPr>
          <w:r>
            <w:rPr>
              <w:rStyle w:val="4"/>
              <w:rFonts w:hint="eastAsia"/>
            </w:rPr>
            <w:t>单击或点击此处输入文字。</w:t>
          </w:r>
        </w:p>
      </w:docPartBody>
    </w:docPart>
    <w:docPart>
      <w:docPartPr>
        <w:name w:val="8D2F21D9789145478F06746B9BC515DD"/>
        <w:style w:val=""/>
        <w:category>
          <w:name w:val="常规"/>
          <w:gallery w:val="placeholder"/>
        </w:category>
        <w:types>
          <w:type w:val="bbPlcHdr"/>
        </w:types>
        <w:behaviors>
          <w:behavior w:val="content"/>
        </w:behaviors>
        <w:description w:val=""/>
        <w:guid w:val="{8C205B48-76C8-4803-A129-7308E6CF752F}"/>
      </w:docPartPr>
      <w:docPartBody>
        <w:p w14:paraId="5893DC37">
          <w:pPr>
            <w:pStyle w:val="6"/>
          </w:pPr>
          <w:r>
            <w:rPr>
              <w:rStyle w:val="4"/>
              <w:rFonts w:hint="eastAsia"/>
            </w:rPr>
            <w:t>选择一项。</w:t>
          </w:r>
        </w:p>
      </w:docPartBody>
    </w:docPart>
    <w:docPart>
      <w:docPartPr>
        <w:name w:val="FB9C48BB982748DEB0BD1041E0F211FF"/>
        <w:style w:val=""/>
        <w:category>
          <w:name w:val="常规"/>
          <w:gallery w:val="placeholder"/>
        </w:category>
        <w:types>
          <w:type w:val="bbPlcHdr"/>
        </w:types>
        <w:behaviors>
          <w:behavior w:val="content"/>
        </w:behaviors>
        <w:description w:val=""/>
        <w:guid w:val="{0B9230B9-E387-40E4-9751-24FA405CBBDD}"/>
      </w:docPartPr>
      <w:docPartBody>
        <w:p w14:paraId="2C80928E">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BD"/>
    <w:rsid w:val="00136E4A"/>
    <w:rsid w:val="003C6347"/>
    <w:rsid w:val="00403ABD"/>
    <w:rsid w:val="00421B9C"/>
    <w:rsid w:val="009D1088"/>
    <w:rsid w:val="00B14BF6"/>
    <w:rsid w:val="00F37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E4C22ED7F1341F6A7394B7639A6FB6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8D2F21D9789145478F06746B9BC515D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FB9C48BB982748DEB0BD1041E0F211F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15</Pages>
  <Words>5485</Words>
  <Characters>5670</Characters>
  <Lines>50</Lines>
  <Paragraphs>14</Paragraphs>
  <TotalTime>57</TotalTime>
  <ScaleCrop>false</ScaleCrop>
  <LinksUpToDate>false</LinksUpToDate>
  <CharactersWithSpaces>5745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2025-06-09T04:08:00Z</dcterms:created>
  <dc:creator>韩梦莹</dc:creator>
  <dc:description>&lt;config cover="true" show_menu="true" version="1.0.0" doctype="SDKXY"&gt;_x000d_
&lt;/config&gt;</dc:description>
  <cp:lastModifiedBy>微信用户</cp:lastModifiedBy>
  <cp:lastPrinted>2021-02-02T08:22:00Z</cp:lastPrinted>
  <dcterms:modified xsi:type="dcterms:W3CDTF">2025-06-10T08:19:55Z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2052-12.1.0.21171</vt:lpwstr>
  </property>
  <property fmtid="{D5CDD505-2E9C-101B-9397-08002B2CF9AE}" pid="17" name="ICV">
    <vt:lpwstr>823BAC02191D4E01A273D4B1BB099601_12</vt:lpwstr>
  </property>
</Properties>
</file>