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2BF10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BB5E5AD">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C38D930">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35.240.99"/>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35.240.99</w:t>
            </w:r>
            <w:r>
              <w:rPr>
                <w:rFonts w:ascii="黑体" w:hAnsi="黑体" w:eastAsia="黑体"/>
                <w:sz w:val="21"/>
                <w:szCs w:val="21"/>
              </w:rPr>
              <w:fldChar w:fldCharType="end"/>
            </w:r>
            <w:bookmarkEnd w:id="0"/>
          </w:p>
        </w:tc>
      </w:tr>
      <w:tr w14:paraId="5DB87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7C99CA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90E581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6C8AEF61">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2656744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L 79"/>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L 79</w:t>
            </w:r>
            <w:r>
              <w:rPr>
                <w:rFonts w:ascii="黑体" w:hAnsi="黑体" w:eastAsia="黑体"/>
                <w:sz w:val="21"/>
                <w:szCs w:val="21"/>
              </w:rPr>
              <w:fldChar w:fldCharType="end"/>
            </w:r>
            <w:bookmarkEnd w:id="2"/>
          </w:p>
        </w:tc>
      </w:tr>
    </w:tbl>
    <w:p w14:paraId="07CC8FF1">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4DBAC2C1">
      <w:pPr>
        <w:pStyle w:val="195"/>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bookmarkStart w:id="6" w:name="NSTD_CODE_F"/>
      <w:r>
        <w:rPr>
          <w:rFonts w:ascii="黑体" w:hAnsi="Times New Roman" w:eastAsia="黑体" w:cs="Times New Roman"/>
          <w:bCs/>
          <w:sz w:val="28"/>
          <w:szCs w:val="28"/>
          <w:lang w:val="en-US" w:eastAsia="zh-CN" w:bidi="ar-SA"/>
        </w:rPr>
        <w:fldChar w:fldCharType="begin">
          <w:ffData>
            <w:name w:val="NSTD_CODE_F"/>
            <w:enabled/>
            <w:calcOnExit w:val="0"/>
            <w:textInput>
              <w:default w:val="0030"/>
            </w:textInput>
          </w:ffData>
        </w:fldChar>
      </w:r>
      <w:r>
        <w:rPr>
          <w:rFonts w:ascii="黑体" w:hAnsi="Times New Roman" w:eastAsia="黑体" w:cs="Times New Roman"/>
          <w:bCs/>
          <w:sz w:val="28"/>
          <w:szCs w:val="28"/>
          <w:lang w:val="en-US" w:eastAsia="zh-CN" w:bidi="ar-SA"/>
        </w:rPr>
        <w:instrText xml:space="preserve">FORMTEXT</w:instrText>
      </w:r>
      <w:r>
        <w:rPr>
          <w:rFonts w:ascii="黑体" w:hAnsi="Times New Roman" w:eastAsia="黑体" w:cs="Times New Roman"/>
          <w:bCs/>
          <w:sz w:val="28"/>
          <w:szCs w:val="28"/>
          <w:lang w:val="en-US" w:eastAsia="zh-CN" w:bidi="ar-SA"/>
        </w:rPr>
        <w:fldChar w:fldCharType="separate"/>
      </w:r>
      <w:r>
        <w:rPr>
          <w:rFonts w:ascii="黑体" w:hAnsi="Times New Roman" w:eastAsia="黑体" w:cs="Times New Roman"/>
          <w:bCs/>
          <w:sz w:val="28"/>
          <w:szCs w:val="28"/>
          <w:lang w:val="en-US" w:eastAsia="zh-CN" w:bidi="ar-SA"/>
        </w:rPr>
        <w:t>0030</w:t>
      </w:r>
      <w:r>
        <w:rPr>
          <w:rFonts w:ascii="黑体" w:hAnsi="Times New Roman" w:eastAsia="黑体" w:cs="Times New Roman"/>
          <w:bCs/>
          <w:sz w:val="28"/>
          <w:szCs w:val="28"/>
          <w:lang w:val="en-US" w:eastAsia="zh-CN" w:bidi="ar-SA"/>
        </w:rP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10CE346B">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1BD993A">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1AC344A">
      <w:pPr>
        <w:pStyle w:val="50"/>
        <w:framePr w:w="9639" w:h="6976" w:hRule="exact" w:hSpace="0" w:vSpace="0" w:wrap="around" w:hAnchor="page" w:y="6408"/>
        <w:jc w:val="center"/>
        <w:rPr>
          <w:rFonts w:ascii="黑体" w:hAnsi="黑体" w:eastAsia="黑体"/>
          <w:b w:val="0"/>
          <w:bCs w:val="0"/>
          <w:w w:val="100"/>
        </w:rPr>
      </w:pPr>
    </w:p>
    <w:p w14:paraId="765EDC23">
      <w:pPr>
        <w:pStyle w:val="197"/>
        <w:framePr w:h="6974" w:hRule="exact" w:wrap="around" w:x="1419" w:anchorLock="1"/>
      </w:pPr>
      <w:r>
        <w:rPr>
          <w:rFonts w:hint="eastAsia"/>
        </w:rPr>
        <w:fldChar w:fldCharType="begin">
          <w:ffData>
            <w:name w:val="CSTD_NAME"/>
            <w:enabled/>
            <w:calcOnExit w:val="0"/>
            <w:textInput>
              <w:default w:val="农产品质量安全区块链追溯技术应用指南"/>
            </w:textInput>
          </w:ffData>
        </w:fldChar>
      </w:r>
      <w:bookmarkStart w:id="9" w:name="CSTD_NAME"/>
      <w:r>
        <w:rPr>
          <w:rFonts w:hint="eastAsia"/>
        </w:rPr>
        <w:instrText xml:space="preserve"> FORMTEXT </w:instrText>
      </w:r>
      <w:r>
        <w:rPr>
          <w:rFonts w:hint="eastAsia"/>
        </w:rPr>
        <w:fldChar w:fldCharType="separate"/>
      </w:r>
      <w:r>
        <w:rPr>
          <w:rFonts w:hint="eastAsia"/>
        </w:rPr>
        <w:t>农产品质量安全区块链追溯技术应用指南</w:t>
      </w:r>
      <w:r>
        <w:rPr>
          <w:rFonts w:hint="eastAsia"/>
        </w:rPr>
        <w:fldChar w:fldCharType="end"/>
      </w:r>
      <w:bookmarkEnd w:id="9"/>
    </w:p>
    <w:p w14:paraId="3030223A">
      <w:pPr>
        <w:framePr w:w="9639" w:h="6974" w:hRule="exact" w:wrap="around" w:vAnchor="page" w:hAnchor="page" w:x="1419" w:y="6408" w:anchorLock="1"/>
        <w:ind w:left="-1418"/>
      </w:pPr>
    </w:p>
    <w:p w14:paraId="419DDA1F">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Guidelines for the application of blockchain traceability technology in agricultural product quality and safety"/>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Guidelines for the application of blockchain traceability technology in agricultural product quality and safety</w:t>
      </w:r>
      <w:r>
        <w:rPr>
          <w:rFonts w:ascii="黑体" w:hAnsi="黑体" w:eastAsia="黑体"/>
          <w:szCs w:val="28"/>
        </w:rPr>
        <w:fldChar w:fldCharType="end"/>
      </w:r>
      <w:bookmarkEnd w:id="10"/>
    </w:p>
    <w:p w14:paraId="5FC5A2F0">
      <w:pPr>
        <w:framePr w:w="9639" w:h="6974" w:hRule="exact" w:wrap="around" w:vAnchor="page" w:hAnchor="page" w:x="1419" w:y="6408" w:anchorLock="1"/>
        <w:spacing w:line="760" w:lineRule="exact"/>
        <w:ind w:left="-1418"/>
      </w:pPr>
    </w:p>
    <w:p w14:paraId="3C08BC8F">
      <w:pPr>
        <w:pStyle w:val="125"/>
        <w:framePr w:w="9639" w:h="6974" w:hRule="exact" w:wrap="around" w:vAnchor="page" w:hAnchor="page" w:x="1419" w:y="6408" w:anchorLock="1"/>
        <w:textAlignment w:val="bottom"/>
        <w:rPr>
          <w:rFonts w:eastAsia="黑体"/>
          <w:szCs w:val="28"/>
        </w:rPr>
      </w:pPr>
    </w:p>
    <w:p w14:paraId="36369EF4">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87CCAC8">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67C5A30">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B9C9CC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2369699">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33C1013">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计量标准检测认证协会"/>
            </w:textInput>
          </w:ffData>
        </w:fldChar>
      </w:r>
      <w:bookmarkStart w:id="20" w:name="fm"/>
      <w:r>
        <w:rPr>
          <w:rFonts w:hint="eastAsia" w:hAnsi="黑体"/>
          <w:w w:val="100"/>
          <w:sz w:val="28"/>
        </w:rPr>
        <w:instrText xml:space="preserve"> </w:instrText>
      </w:r>
      <w:r>
        <w:rPr>
          <w:rFonts w:hAnsi="黑体"/>
          <w:w w:val="100"/>
          <w:sz w:val="28"/>
        </w:rPr>
        <w:instrText xml:space="preserve">FORMTEXT</w:instrText>
      </w:r>
      <w:r>
        <w:rPr>
          <w:rFonts w:hint="eastAsia" w:hAnsi="黑体"/>
          <w:w w:val="100"/>
          <w:sz w:val="28"/>
        </w:rPr>
        <w:instrText xml:space="preserve"> </w:instrText>
      </w:r>
      <w:r>
        <w:rPr>
          <w:rFonts w:hint="eastAsia" w:hAnsi="黑体"/>
          <w:w w:val="100"/>
          <w:sz w:val="28"/>
        </w:rPr>
        <w:fldChar w:fldCharType="separate"/>
      </w:r>
      <w:r>
        <w:rPr>
          <w:rFonts w:hint="eastAsia" w:hAnsi="黑体"/>
          <w:w w:val="100"/>
          <w:sz w:val="28"/>
        </w:rPr>
        <w:t>西安市计量标准检测认证协会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2416DFD">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80688E6">
      <w:pPr>
        <w:pStyle w:val="91"/>
        <w:spacing w:after="360"/>
      </w:pPr>
      <w:bookmarkStart w:id="21" w:name="BookMark1"/>
      <w:r>
        <w:rPr>
          <w:rFonts w:hint="eastAsia"/>
          <w:spacing w:val="320"/>
        </w:rPr>
        <w:t>目</w:t>
      </w:r>
      <w:r>
        <w:rPr>
          <w:rFonts w:hint="eastAsia"/>
        </w:rPr>
        <w:t>次</w:t>
      </w:r>
    </w:p>
    <w:p w14:paraId="7CE152F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"_Toc200357923"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_Toc200357923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6B38F09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"_Toc200357924"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_Toc200357924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0273FFC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"_Toc200357925"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_Toc200357925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727F3B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"_Toc200357926"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_Toc200357926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2BDBAC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"_Toc200357927"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_Toc200357927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3B43CF7">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"_Toc200357928" </w:instrText>
      </w:r>
      <w:r>
        <w:fldChar w:fldCharType="separate"/>
      </w:r>
      <w:r>
        <w:rPr>
          <w:rStyle w:val="32"/>
          <w:rFonts w:hint="eastAsia"/>
        </w:rPr>
        <w:t>4</w:t>
      </w:r>
      <w:r>
        <w:rPr>
          <w:rStyle w:val="32"/>
        </w:rPr>
        <w:t xml:space="preserve"> </w:t>
      </w:r>
      <w:r>
        <w:rPr>
          <w:rStyle w:val="32"/>
          <w:rFonts w:hint="eastAsia"/>
        </w:rPr>
        <w:t xml:space="preserve"> 总体架构</w:t>
      </w:r>
      <w:r>
        <w:rPr>
          <w:rFonts w:hint="eastAsia"/>
        </w:rPr>
        <w:tab/>
      </w:r>
      <w:r>
        <w:rPr>
          <w:rFonts w:hint="eastAsia"/>
        </w:rPr>
        <w:fldChar w:fldCharType="begin"/>
      </w:r>
      <w:r>
        <w:rPr>
          <w:rFonts w:hint="eastAsia"/>
        </w:rPr>
        <w:instrText xml:space="preserve"> </w:instrText>
      </w:r>
      <w:r>
        <w:instrText xml:space="preserve">PAGEREF _Toc200357928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4939831">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"_Toc200357929" </w:instrText>
      </w:r>
      <w:r>
        <w:fldChar w:fldCharType="separate"/>
      </w:r>
      <w:r>
        <w:rPr>
          <w:rStyle w:val="32"/>
          <w:rFonts w:hint="eastAsia"/>
        </w:rPr>
        <w:t>5</w:t>
      </w:r>
      <w:r>
        <w:rPr>
          <w:rStyle w:val="32"/>
        </w:rPr>
        <w:t xml:space="preserve"> </w:t>
      </w:r>
      <w:r>
        <w:rPr>
          <w:rStyle w:val="32"/>
          <w:rFonts w:hint="eastAsia"/>
        </w:rPr>
        <w:t xml:space="preserve"> 数据上链规范</w:t>
      </w:r>
      <w:r>
        <w:rPr>
          <w:rFonts w:hint="eastAsia"/>
        </w:rPr>
        <w:tab/>
      </w:r>
      <w:r>
        <w:rPr>
          <w:rFonts w:hint="eastAsia"/>
        </w:rPr>
        <w:fldChar w:fldCharType="begin"/>
      </w:r>
      <w:r>
        <w:rPr>
          <w:rFonts w:hint="eastAsia"/>
        </w:rPr>
        <w:instrText xml:space="preserve"> </w:instrText>
      </w:r>
      <w:r>
        <w:instrText xml:space="preserve">PAGEREF _Toc200357929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D4235B7">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"_Toc200357930" </w:instrText>
      </w:r>
      <w:r>
        <w:fldChar w:fldCharType="separate"/>
      </w:r>
      <w:r>
        <w:rPr>
          <w:rStyle w:val="32"/>
          <w:rFonts w:hint="eastAsia"/>
        </w:rPr>
        <w:t>6</w:t>
      </w:r>
      <w:r>
        <w:rPr>
          <w:rStyle w:val="32"/>
        </w:rPr>
        <w:t xml:space="preserve"> </w:t>
      </w:r>
      <w:r>
        <w:rPr>
          <w:rStyle w:val="32"/>
          <w:rFonts w:hint="eastAsia"/>
        </w:rPr>
        <w:t xml:space="preserve"> 区块链平台部署</w:t>
      </w:r>
      <w:r>
        <w:rPr>
          <w:rFonts w:hint="eastAsia"/>
        </w:rPr>
        <w:tab/>
      </w:r>
      <w:r>
        <w:rPr>
          <w:rFonts w:hint="eastAsia"/>
        </w:rPr>
        <w:fldChar w:fldCharType="begin"/>
      </w:r>
      <w:r>
        <w:rPr>
          <w:rFonts w:hint="eastAsia"/>
        </w:rPr>
        <w:instrText xml:space="preserve"> </w:instrText>
      </w:r>
      <w:r>
        <w:instrText xml:space="preserve">PAGEREF _Toc200357930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601383D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"_Toc200357931" </w:instrText>
      </w:r>
      <w:r>
        <w:fldChar w:fldCharType="separate"/>
      </w:r>
      <w:r>
        <w:rPr>
          <w:rStyle w:val="32"/>
          <w:rFonts w:hint="eastAsia"/>
        </w:rPr>
        <w:t>7</w:t>
      </w:r>
      <w:r>
        <w:rPr>
          <w:rStyle w:val="32"/>
        </w:rPr>
        <w:t xml:space="preserve"> </w:t>
      </w:r>
      <w:r>
        <w:rPr>
          <w:rStyle w:val="32"/>
          <w:rFonts w:hint="eastAsia"/>
        </w:rPr>
        <w:t xml:space="preserve"> 应用功能与接口</w:t>
      </w:r>
      <w:r>
        <w:rPr>
          <w:rFonts w:hint="eastAsia"/>
        </w:rPr>
        <w:tab/>
      </w:r>
      <w:r>
        <w:rPr>
          <w:rFonts w:hint="eastAsia"/>
        </w:rPr>
        <w:fldChar w:fldCharType="begin"/>
      </w:r>
      <w:r>
        <w:rPr>
          <w:rFonts w:hint="eastAsia"/>
        </w:rPr>
        <w:instrText xml:space="preserve"> </w:instrText>
      </w:r>
      <w:r>
        <w:instrText xml:space="preserve">PAGEREF _Toc200357931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67B6EC6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"_Toc200357932" </w:instrText>
      </w:r>
      <w:r>
        <w:fldChar w:fldCharType="separate"/>
      </w:r>
      <w:r>
        <w:rPr>
          <w:rStyle w:val="32"/>
          <w:rFonts w:hint="eastAsia"/>
        </w:rPr>
        <w:t>8</w:t>
      </w:r>
      <w:r>
        <w:rPr>
          <w:rStyle w:val="32"/>
        </w:rPr>
        <w:t xml:space="preserve"> </w:t>
      </w:r>
      <w:r>
        <w:rPr>
          <w:rStyle w:val="32"/>
          <w:rFonts w:hint="eastAsia"/>
        </w:rPr>
        <w:t xml:space="preserve"> 信息展示与可视化</w:t>
      </w:r>
      <w:r>
        <w:rPr>
          <w:rFonts w:hint="eastAsia"/>
        </w:rPr>
        <w:tab/>
      </w:r>
      <w:r>
        <w:rPr>
          <w:rFonts w:hint="eastAsia"/>
        </w:rPr>
        <w:fldChar w:fldCharType="begin"/>
      </w:r>
      <w:r>
        <w:rPr>
          <w:rFonts w:hint="eastAsia"/>
        </w:rPr>
        <w:instrText xml:space="preserve"> </w:instrText>
      </w:r>
      <w:r>
        <w:instrText xml:space="preserve">PAGEREF _Toc200357932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6F984F4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"_Toc200357933" </w:instrText>
      </w:r>
      <w:r>
        <w:fldChar w:fldCharType="separate"/>
      </w:r>
      <w:r>
        <w:rPr>
          <w:rStyle w:val="32"/>
          <w:rFonts w:hint="eastAsia"/>
        </w:rPr>
        <w:t>9</w:t>
      </w:r>
      <w:r>
        <w:rPr>
          <w:rStyle w:val="32"/>
        </w:rPr>
        <w:t xml:space="preserve"> </w:t>
      </w:r>
      <w:r>
        <w:rPr>
          <w:rStyle w:val="32"/>
          <w:rFonts w:hint="eastAsia"/>
        </w:rPr>
        <w:t xml:space="preserve"> 安全与合规要求</w:t>
      </w:r>
      <w:r>
        <w:rPr>
          <w:rFonts w:hint="eastAsia"/>
        </w:rPr>
        <w:tab/>
      </w:r>
      <w:r>
        <w:rPr>
          <w:rFonts w:hint="eastAsia"/>
        </w:rPr>
        <w:fldChar w:fldCharType="begin"/>
      </w:r>
      <w:r>
        <w:rPr>
          <w:rFonts w:hint="eastAsia"/>
        </w:rPr>
        <w:instrText xml:space="preserve"> </w:instrText>
      </w:r>
      <w:r>
        <w:instrText xml:space="preserve">PAGEREF _Toc200357933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ADCF0B4">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5A71DCCB">
      <w:pPr>
        <w:pStyle w:val="89"/>
        <w:spacing w:before="900" w:after="360"/>
      </w:pPr>
      <w:bookmarkStart w:id="22" w:name="_Toc200357923"/>
      <w:bookmarkStart w:id="23" w:name="BookMark2"/>
      <w:r>
        <w:rPr>
          <w:rFonts w:hint="eastAsia"/>
          <w:spacing w:val="320"/>
        </w:rPr>
        <w:t>前</w:t>
      </w:r>
      <w:r>
        <w:rPr>
          <w:rFonts w:hint="eastAsia"/>
        </w:rPr>
        <w:t>言</w:t>
      </w:r>
      <w:bookmarkEnd w:id="22"/>
    </w:p>
    <w:p w14:paraId="158BC000">
      <w:pPr>
        <w:pStyle w:val="56"/>
        <w:spacing w:line="360" w:lineRule="auto"/>
        <w:ind w:firstLine="420"/>
      </w:pPr>
      <w:r>
        <w:rPr>
          <w:rFonts w:hint="eastAsia"/>
        </w:rPr>
        <w:t>本文件按照GB/T 1.1—2020《标准化工作导则  第1部分：标准化文件的结构和起草规则》的规定起草。</w:t>
      </w:r>
    </w:p>
    <w:p w14:paraId="3F495D2B">
      <w:pPr>
        <w:pStyle w:val="56"/>
        <w:spacing w:line="360" w:lineRule="auto"/>
        <w:ind w:firstLine="420"/>
      </w:pPr>
      <w:r>
        <w:rPr>
          <w:rFonts w:hint="eastAsia"/>
        </w:rPr>
        <w:t>本文件由西安市计量标准检测认证协会提出并归口。</w:t>
      </w:r>
    </w:p>
    <w:p w14:paraId="0A5AD1FE">
      <w:pPr>
        <w:pStyle w:val="56"/>
        <w:spacing w:line="360" w:lineRule="auto"/>
        <w:ind w:firstLine="420"/>
      </w:pPr>
      <w:r>
        <w:rPr>
          <w:rFonts w:hint="eastAsia"/>
        </w:rPr>
        <w:t>本文件起草单位：平乡县农业农村局、辛集市农业经济发展中心、上海市金山区漕泾镇农业农村服务中心、崇信县畜牧兽医中心、岢岚县农业产业发展中心、杭州创高农业开发有限公司</w:t>
      </w:r>
      <w:r>
        <w:rPr>
          <w:rFonts w:hint="eastAsia"/>
          <w:lang w:eastAsia="zh-CN"/>
        </w:rPr>
        <w:t>、唐山市食品药品综合检验检测中心、</w:t>
      </w:r>
      <w:r>
        <w:rPr>
          <w:rFonts w:hint="eastAsia"/>
        </w:rPr>
        <w:t>温泉县安格里格镇人民政府农业发展服务中心</w:t>
      </w:r>
      <w:r>
        <w:rPr>
          <w:rFonts w:hint="eastAsia"/>
          <w:lang w:eastAsia="zh-CN"/>
        </w:rPr>
        <w:t>、河南昊琦科技有限公司、</w:t>
      </w:r>
      <w:bookmarkStart w:id="58" w:name="_GoBack"/>
      <w:bookmarkEnd w:id="58"/>
      <w:r>
        <w:rPr>
          <w:rFonts w:hint="eastAsia"/>
          <w:lang w:eastAsia="zh-CN"/>
        </w:rPr>
        <w:t>甘肃省武威市农业科学研究院</w:t>
      </w:r>
      <w:r>
        <w:rPr>
          <w:rFonts w:hint="eastAsia"/>
        </w:rPr>
        <w:t>。</w:t>
      </w:r>
    </w:p>
    <w:p w14:paraId="085557F9">
      <w:pPr>
        <w:pStyle w:val="56"/>
        <w:spacing w:line="360" w:lineRule="auto"/>
        <w:ind w:firstLine="420"/>
      </w:pPr>
      <w:r>
        <w:rPr>
          <w:rFonts w:hint="eastAsia"/>
        </w:rPr>
        <w:t>本文件主要起草人：刘捷、胡晓薇、孙佳艺、王海龙、韩花、丁建丰</w:t>
      </w:r>
      <w:r>
        <w:rPr>
          <w:rFonts w:hint="eastAsia"/>
          <w:lang w:eastAsia="zh-CN"/>
        </w:rPr>
        <w:t>、尹喆、</w:t>
      </w:r>
      <w:r>
        <w:rPr>
          <w:rFonts w:hint="eastAsia"/>
        </w:rPr>
        <w:t>刘咏玲</w:t>
      </w:r>
      <w:r>
        <w:rPr>
          <w:rFonts w:hint="eastAsia"/>
          <w:lang w:eastAsia="zh-CN"/>
        </w:rPr>
        <w:t>、刘磊、高怀庆</w:t>
      </w:r>
      <w:r>
        <w:rPr>
          <w:rFonts w:hint="eastAsia"/>
        </w:rPr>
        <w:t>。</w:t>
      </w:r>
    </w:p>
    <w:p w14:paraId="5A3B83AD">
      <w:pPr>
        <w:pStyle w:val="56"/>
        <w:ind w:firstLine="420"/>
      </w:pPr>
    </w:p>
    <w:p w14:paraId="1527B184">
      <w:pPr>
        <w:pStyle w:val="56"/>
        <w:ind w:firstLine="420"/>
        <w:sectPr>
          <w:pgSz w:w="11906" w:h="16838"/>
          <w:pgMar w:top="1928" w:right="1134" w:bottom="1134" w:left="1134" w:header="1418" w:footer="1134" w:gutter="284"/>
          <w:pgNumType w:fmt="upperRoman" w:start="3"/>
          <w:cols w:space="425" w:num="1"/>
          <w:formProt w:val="0"/>
          <w:docGrid w:linePitch="312" w:charSpace="0"/>
        </w:sectPr>
      </w:pPr>
    </w:p>
    <w:bookmarkEnd w:id="23"/>
    <w:p w14:paraId="0C39DE72">
      <w:pPr>
        <w:pStyle w:val="89"/>
        <w:spacing w:after="360"/>
      </w:pPr>
      <w:bookmarkStart w:id="24" w:name="_Toc200357924"/>
      <w:bookmarkStart w:id="25" w:name="BookMark3"/>
      <w:r>
        <w:rPr>
          <w:rFonts w:hint="eastAsia"/>
          <w:spacing w:val="320"/>
        </w:rPr>
        <w:t>引</w:t>
      </w:r>
      <w:r>
        <w:rPr>
          <w:rFonts w:hint="eastAsia"/>
        </w:rPr>
        <w:t>言</w:t>
      </w:r>
      <w:bookmarkEnd w:id="24"/>
    </w:p>
    <w:p w14:paraId="72C7A3D8">
      <w:pPr>
        <w:pStyle w:val="56"/>
        <w:spacing w:line="360" w:lineRule="auto"/>
        <w:ind w:firstLine="420"/>
      </w:pPr>
      <w:r>
        <w:rPr>
          <w:rFonts w:hint="eastAsia"/>
        </w:rPr>
        <w:t>农产品质量安全关系国计民生，传统追溯体系普遍存在信息不对称、数据可信度低、信息孤岛等问题，难以满足新时代高质量发展的监管需求。区块链技术通过去中心化、防篡改、可验证等特性，能有效提升追溯信息的真实性与可核查性，推动农产品质量安全治理能力现代化。</w:t>
      </w:r>
    </w:p>
    <w:p w14:paraId="6A5454DF">
      <w:pPr>
        <w:pStyle w:val="56"/>
        <w:spacing w:line="360" w:lineRule="auto"/>
        <w:ind w:firstLine="420"/>
      </w:pPr>
      <w:r>
        <w:rPr>
          <w:rFonts w:hint="eastAsia"/>
        </w:rPr>
        <w:t>然而，目前区块链在农业领域的应用仍面临技术架构不统一、数据采集质量参差不齐、系统集成难度大等问题，迫切需要统一的技术标准与应用指南。本文件结合区块链技术特性与农业生产实际，提出以“多主体上链+可信数据采集+分布式共享+合规监管”为核心的技术架构与应用要求，为智慧农业和现代农业监管体系建设提供参考依据。</w:t>
      </w:r>
    </w:p>
    <w:p w14:paraId="5C8E2D5F">
      <w:pPr>
        <w:pStyle w:val="56"/>
        <w:spacing w:line="360" w:lineRule="auto"/>
        <w:ind w:firstLine="420"/>
      </w:pPr>
    </w:p>
    <w:p w14:paraId="4ED17FB2">
      <w:pPr>
        <w:pStyle w:val="56"/>
        <w:ind w:firstLine="420"/>
        <w:sectPr>
          <w:pgSz w:w="11906" w:h="16838"/>
          <w:pgMar w:top="1928" w:right="1134" w:bottom="1134" w:left="1134" w:header="1418" w:footer="1134" w:gutter="284"/>
          <w:pgNumType w:fmt="upperRoman" w:start="5"/>
          <w:cols w:space="425" w:num="1"/>
          <w:formProt w:val="0"/>
          <w:docGrid w:linePitch="312" w:charSpace="0"/>
        </w:sectPr>
      </w:pPr>
    </w:p>
    <w:bookmarkEnd w:id="25"/>
    <w:p w14:paraId="13255F85">
      <w:pPr>
        <w:spacing w:line="20" w:lineRule="exact"/>
        <w:jc w:val="center"/>
        <w:rPr>
          <w:rFonts w:ascii="黑体" w:hAnsi="黑体" w:eastAsia="黑体"/>
          <w:sz w:val="32"/>
          <w:szCs w:val="32"/>
        </w:rPr>
      </w:pPr>
      <w:bookmarkStart w:id="26" w:name="BookMark4"/>
    </w:p>
    <w:p w14:paraId="1BCE30A2">
      <w:pPr>
        <w:spacing w:line="20" w:lineRule="exact"/>
        <w:jc w:val="center"/>
        <w:rPr>
          <w:rFonts w:ascii="黑体" w:hAnsi="黑体" w:eastAsia="黑体"/>
          <w:sz w:val="32"/>
          <w:szCs w:val="32"/>
        </w:rPr>
      </w:pPr>
    </w:p>
    <w:sdt>
      <w:sdtPr>
        <w:tag w:val="NEW_STAND_NAME"/>
        <w:id w:val="595910757"/>
        <w:lock w:val="sdtLocked"/>
        <w:placeholder>
          <w:docPart w:val="ADC2C5CF06834D088069212347B4660A"/>
        </w:placeholder>
      </w:sdtPr>
      <w:sdtContent>
        <w:p w14:paraId="502C7CFC">
          <w:pPr>
            <w:pStyle w:val="177"/>
          </w:pPr>
          <w:bookmarkStart w:id="27" w:name="NEW_STAND_NAME"/>
          <w:r>
            <w:rPr>
              <w:rFonts w:hint="eastAsia"/>
            </w:rPr>
            <w:t>农产品质量安全区块链追溯技术应用指南</w:t>
          </w:r>
        </w:p>
      </w:sdtContent>
    </w:sdt>
    <w:bookmarkEnd w:id="27"/>
    <w:p w14:paraId="55C3A9FC">
      <w:pPr>
        <w:pStyle w:val="104"/>
        <w:spacing w:before="240" w:after="240" w:line="360" w:lineRule="auto"/>
      </w:pPr>
      <w:bookmarkStart w:id="28" w:name="_Toc97192964"/>
      <w:bookmarkStart w:id="29" w:name="_Toc26648465"/>
      <w:bookmarkStart w:id="30" w:name="_Toc26986771"/>
      <w:bookmarkStart w:id="31" w:name="_Toc200357925"/>
      <w:bookmarkStart w:id="32" w:name="_Toc17233333"/>
      <w:bookmarkStart w:id="33" w:name="_Toc24884218"/>
      <w:bookmarkStart w:id="34" w:name="_Toc24884211"/>
      <w:bookmarkStart w:id="35" w:name="_Toc26718930"/>
      <w:bookmarkStart w:id="36" w:name="_Toc17233325"/>
      <w:bookmarkStart w:id="37" w:name="_Toc26986530"/>
      <w:r>
        <w:rPr>
          <w:rFonts w:hint="eastAsia"/>
        </w:rPr>
        <w:t>范围</w:t>
      </w:r>
      <w:bookmarkEnd w:id="28"/>
      <w:bookmarkEnd w:id="29"/>
      <w:bookmarkEnd w:id="30"/>
      <w:bookmarkEnd w:id="31"/>
      <w:bookmarkEnd w:id="32"/>
      <w:bookmarkEnd w:id="33"/>
      <w:bookmarkEnd w:id="34"/>
      <w:bookmarkEnd w:id="35"/>
      <w:bookmarkEnd w:id="36"/>
      <w:bookmarkEnd w:id="37"/>
    </w:p>
    <w:p w14:paraId="6D9BA0A4">
      <w:pPr>
        <w:spacing w:line="360" w:lineRule="auto"/>
        <w:ind w:firstLine="420" w:firstLineChars="200"/>
        <w:rPr>
          <w:rFonts w:ascii="宋体" w:hAnsi="Times New Roman"/>
          <w:kern w:val="0"/>
          <w:szCs w:val="20"/>
        </w:rPr>
      </w:pPr>
      <w:bookmarkStart w:id="38" w:name="_Toc26648466"/>
      <w:bookmarkStart w:id="39" w:name="_Toc17233326"/>
      <w:bookmarkStart w:id="40" w:name="_Toc24884212"/>
      <w:bookmarkStart w:id="41" w:name="_Toc17233334"/>
      <w:bookmarkStart w:id="42" w:name="_Toc24884219"/>
      <w:r>
        <w:rPr>
          <w:rFonts w:hint="eastAsia" w:ascii="宋体" w:hAnsi="Times New Roman"/>
          <w:kern w:val="0"/>
          <w:szCs w:val="20"/>
        </w:rPr>
        <w:t>本文件规定了基于区块链的农产品质量安全追溯技术的总体架构、数据上链规范、区块链平台部署、应用功能与接口、信息展示与可视化及安全与合规要求等内容。</w:t>
      </w:r>
    </w:p>
    <w:p w14:paraId="36762D19">
      <w:pPr>
        <w:spacing w:line="360" w:lineRule="auto"/>
        <w:ind w:firstLine="420" w:firstLineChars="200"/>
        <w:rPr>
          <w:rFonts w:ascii="宋体" w:hAnsi="Times New Roman"/>
          <w:kern w:val="0"/>
          <w:szCs w:val="20"/>
        </w:rPr>
      </w:pPr>
      <w:r>
        <w:rPr>
          <w:rFonts w:hint="eastAsia" w:ascii="宋体" w:hAnsi="Times New Roman"/>
          <w:kern w:val="0"/>
          <w:szCs w:val="20"/>
        </w:rPr>
        <w:t>本文件适用于种植、养殖、加工、仓储、流通等环节中农产品质量追溯系统的规划、设计、实施与评价。</w:t>
      </w:r>
    </w:p>
    <w:p w14:paraId="6292F1BA">
      <w:pPr>
        <w:pStyle w:val="104"/>
        <w:spacing w:before="240" w:after="240" w:line="360" w:lineRule="auto"/>
      </w:pPr>
      <w:bookmarkStart w:id="43" w:name="_Toc97192965"/>
      <w:bookmarkStart w:id="44" w:name="_Toc200357926"/>
      <w:bookmarkStart w:id="45" w:name="_Toc26986772"/>
      <w:bookmarkStart w:id="46" w:name="_Toc26986531"/>
      <w:bookmarkStart w:id="47" w:name="_Toc267189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BE25AF06B480431D94AD3AB1D8587B7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A506428">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DF35A30">
      <w:pPr>
        <w:pStyle w:val="56"/>
        <w:spacing w:line="360" w:lineRule="auto"/>
        <w:ind w:firstLine="420"/>
      </w:pPr>
      <w:r>
        <w:rPr>
          <w:rFonts w:hint="eastAsia"/>
        </w:rPr>
        <w:t>GB/T 45547—2025 食品生产追溯体系通用技术规范</w:t>
      </w:r>
    </w:p>
    <w:p w14:paraId="6C58639E">
      <w:pPr>
        <w:pStyle w:val="56"/>
        <w:spacing w:line="360" w:lineRule="auto"/>
        <w:ind w:firstLine="420"/>
      </w:pPr>
      <w:r>
        <w:rPr>
          <w:rFonts w:hint="eastAsia"/>
        </w:rPr>
        <w:t>GB/T 43575—2023 区块链和分布式记账技术 系统测试规范</w:t>
      </w:r>
    </w:p>
    <w:p w14:paraId="391F287A">
      <w:pPr>
        <w:pStyle w:val="56"/>
        <w:spacing w:line="360" w:lineRule="auto"/>
        <w:ind w:firstLine="420"/>
      </w:pPr>
      <w:r>
        <w:rPr>
          <w:rFonts w:hint="eastAsia"/>
        </w:rPr>
        <w:t>GB/T 26407—2011 初级农产品安全区域化管理体系  要求</w:t>
      </w:r>
    </w:p>
    <w:p w14:paraId="7B6090E8">
      <w:pPr>
        <w:pStyle w:val="104"/>
        <w:spacing w:before="240" w:after="240" w:line="360" w:lineRule="auto"/>
      </w:pPr>
      <w:bookmarkStart w:id="48" w:name="_Toc97192966"/>
      <w:bookmarkStart w:id="49" w:name="_Toc200357927"/>
      <w:r>
        <w:rPr>
          <w:rFonts w:hint="eastAsia"/>
          <w:szCs w:val="21"/>
        </w:rPr>
        <w:t>术语和定义</w:t>
      </w:r>
      <w:bookmarkEnd w:id="48"/>
      <w:bookmarkEnd w:id="49"/>
    </w:p>
    <w:sdt>
      <w:sdtPr>
        <w:id w:val="-1909835108"/>
        <w:placeholder>
          <w:docPart w:val="D42D0BE05FD54CA1A79254476EA610A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2A40426">
          <w:pPr>
            <w:pStyle w:val="56"/>
            <w:spacing w:line="360" w:lineRule="auto"/>
            <w:ind w:firstLine="420"/>
          </w:pPr>
          <w:bookmarkStart w:id="50" w:name="_Toc26986532"/>
          <w:bookmarkEnd w:id="50"/>
          <w:r>
            <w:t>下列术语和定义适用于本文件。</w:t>
          </w:r>
        </w:p>
      </w:sdtContent>
    </w:sdt>
    <w:p w14:paraId="0587D350">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区块链 blockchain</w:t>
      </w:r>
    </w:p>
    <w:p w14:paraId="46C254D7">
      <w:pPr>
        <w:pStyle w:val="56"/>
        <w:spacing w:line="360" w:lineRule="auto"/>
        <w:ind w:firstLine="420"/>
      </w:pPr>
      <w:r>
        <w:rPr>
          <w:rFonts w:hint="eastAsia"/>
        </w:rPr>
        <w:t>分布式账本技术，通过时间戳、加密算法等手段保障数据在多节点间同步存储、难以篡改与可追溯。</w:t>
      </w:r>
    </w:p>
    <w:p w14:paraId="5F1B4629">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农产品追溯 agricultural product traceability</w:t>
      </w:r>
    </w:p>
    <w:p w14:paraId="345F79FF">
      <w:pPr>
        <w:pStyle w:val="56"/>
        <w:spacing w:line="360" w:lineRule="auto"/>
        <w:ind w:firstLine="420"/>
      </w:pPr>
      <w:r>
        <w:rPr>
          <w:rFonts w:hint="eastAsia"/>
        </w:rPr>
        <w:t>对农产品在生产、加工、仓储、运输、销售等环节的信息进行全流程记录、查询与验证的过程。</w:t>
      </w:r>
    </w:p>
    <w:p w14:paraId="72FAEF21">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上链 on-chain</w:t>
      </w:r>
    </w:p>
    <w:p w14:paraId="1FB4AF2A">
      <w:pPr>
        <w:pStyle w:val="56"/>
        <w:spacing w:line="360" w:lineRule="auto"/>
        <w:ind w:firstLine="420"/>
      </w:pPr>
      <w:r>
        <w:rPr>
          <w:rFonts w:hint="eastAsia"/>
        </w:rPr>
        <w:t>指采集的关键业务数据经格式处理和验真后被存储至区块链账本的过程。</w:t>
      </w:r>
    </w:p>
    <w:p w14:paraId="200CD15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溯源码 traceability code</w:t>
      </w:r>
    </w:p>
    <w:p w14:paraId="26C8ABD6">
      <w:pPr>
        <w:pStyle w:val="56"/>
        <w:spacing w:line="360" w:lineRule="auto"/>
        <w:ind w:firstLine="420"/>
      </w:pPr>
      <w:r>
        <w:rPr>
          <w:rFonts w:hint="eastAsia"/>
        </w:rPr>
        <w:t>用于标识单品批次并关联全部追溯信息的唯一二维码或NFC标签。</w:t>
      </w:r>
    </w:p>
    <w:p w14:paraId="5204803E">
      <w:pPr>
        <w:pStyle w:val="104"/>
        <w:spacing w:before="240" w:after="240" w:line="360" w:lineRule="auto"/>
      </w:pPr>
      <w:bookmarkStart w:id="51" w:name="_Toc200357928"/>
      <w:r>
        <w:rPr>
          <w:rFonts w:hint="eastAsia"/>
        </w:rPr>
        <w:t>总体架构</w:t>
      </w:r>
      <w:bookmarkEnd w:id="51"/>
    </w:p>
    <w:p w14:paraId="11B8AF9B">
      <w:pPr>
        <w:pStyle w:val="105"/>
        <w:spacing w:before="120" w:after="120" w:line="360" w:lineRule="auto"/>
      </w:pPr>
      <w:r>
        <w:rPr>
          <w:rFonts w:hint="eastAsia"/>
        </w:rPr>
        <w:t>系统组成</w:t>
      </w:r>
    </w:p>
    <w:p w14:paraId="7535820E">
      <w:pPr>
        <w:pStyle w:val="56"/>
        <w:spacing w:line="360" w:lineRule="auto"/>
        <w:ind w:firstLine="420"/>
      </w:pPr>
      <w:r>
        <w:rPr>
          <w:rFonts w:hint="eastAsia"/>
        </w:rPr>
        <w:t>农产品区块链追溯系统应包含：可信数据采集端、区块链平台、业务接口中台、可视化展示系统与监管接入模块等。</w:t>
      </w:r>
    </w:p>
    <w:p w14:paraId="328F17E8">
      <w:pPr>
        <w:pStyle w:val="105"/>
        <w:spacing w:before="120" w:after="120" w:line="360" w:lineRule="auto"/>
      </w:pPr>
      <w:r>
        <w:rPr>
          <w:rFonts w:hint="eastAsia"/>
        </w:rPr>
        <w:t>技术架构</w:t>
      </w:r>
    </w:p>
    <w:p w14:paraId="294006FD">
      <w:pPr>
        <w:pStyle w:val="56"/>
        <w:spacing w:line="360" w:lineRule="auto"/>
        <w:ind w:firstLine="420"/>
      </w:pPr>
      <w:r>
        <w:rPr>
          <w:rFonts w:hint="eastAsia"/>
        </w:rPr>
        <w:t>推荐采用“数据采集端+区块链中枢+应用层”的三层架构。区块链平台可采用联盟链部署，结合多方节点共识、数据分片存储、链下数据索引机制。</w:t>
      </w:r>
    </w:p>
    <w:p w14:paraId="1858E1F1">
      <w:pPr>
        <w:pStyle w:val="105"/>
        <w:spacing w:before="120" w:after="120" w:line="360" w:lineRule="auto"/>
      </w:pPr>
      <w:r>
        <w:rPr>
          <w:rFonts w:hint="eastAsia"/>
        </w:rPr>
        <w:t>参与节点类型</w:t>
      </w:r>
    </w:p>
    <w:p w14:paraId="24E09FB6">
      <w:pPr>
        <w:pStyle w:val="56"/>
        <w:spacing w:line="360" w:lineRule="auto"/>
        <w:ind w:firstLine="420"/>
      </w:pPr>
      <w:r>
        <w:rPr>
          <w:rFonts w:hint="eastAsia"/>
        </w:rPr>
        <w:t>追溯参与主体与节点角色应对应，如表1所示。</w:t>
      </w:r>
    </w:p>
    <w:p w14:paraId="251CB1D0">
      <w:pPr>
        <w:pStyle w:val="112"/>
        <w:spacing w:before="120" w:after="120" w:line="360" w:lineRule="auto"/>
      </w:pPr>
      <w:r>
        <w:rPr>
          <w:rFonts w:hint="eastAsia"/>
        </w:rPr>
        <w:t>典型追溯参与主体与节点角色分类表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509A70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3110" w:type="dxa"/>
            <w:tcBorders>
              <w:top w:val="single" w:color="auto" w:sz="8" w:space="0"/>
              <w:bottom w:val="single" w:color="auto" w:sz="8" w:space="0"/>
            </w:tcBorders>
            <w:shd w:val="clear" w:color="auto" w:fill="auto"/>
          </w:tcPr>
          <w:p w14:paraId="41D58106">
            <w:pPr>
              <w:pStyle w:val="178"/>
            </w:pPr>
            <w:r>
              <w:rPr>
                <w:rFonts w:hint="eastAsia"/>
              </w:rPr>
              <w:t>主体类别</w:t>
            </w:r>
          </w:p>
        </w:tc>
        <w:tc>
          <w:tcPr>
            <w:tcW w:w="3112" w:type="dxa"/>
            <w:tcBorders>
              <w:top w:val="single" w:color="auto" w:sz="8" w:space="0"/>
              <w:bottom w:val="single" w:color="auto" w:sz="8" w:space="0"/>
            </w:tcBorders>
            <w:shd w:val="clear" w:color="auto" w:fill="auto"/>
          </w:tcPr>
          <w:p w14:paraId="36C3A556">
            <w:pPr>
              <w:pStyle w:val="178"/>
            </w:pPr>
            <w:r>
              <w:rPr>
                <w:rFonts w:hint="eastAsia"/>
              </w:rPr>
              <w:t>区块链节点角色</w:t>
            </w:r>
          </w:p>
        </w:tc>
        <w:tc>
          <w:tcPr>
            <w:tcW w:w="3112" w:type="dxa"/>
            <w:tcBorders>
              <w:top w:val="single" w:color="auto" w:sz="8" w:space="0"/>
              <w:bottom w:val="single" w:color="auto" w:sz="8" w:space="0"/>
            </w:tcBorders>
            <w:shd w:val="clear" w:color="auto" w:fill="auto"/>
          </w:tcPr>
          <w:p w14:paraId="0AAAAC23">
            <w:pPr>
              <w:pStyle w:val="178"/>
            </w:pPr>
            <w:r>
              <w:rPr>
                <w:rFonts w:hint="eastAsia"/>
              </w:rPr>
              <w:t>数据内容</w:t>
            </w:r>
          </w:p>
        </w:tc>
      </w:tr>
      <w:tr w14:paraId="6219BE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tcPr>
          <w:p w14:paraId="4FE0FB34">
            <w:pPr>
              <w:pStyle w:val="178"/>
            </w:pPr>
            <w:r>
              <w:rPr>
                <w:rFonts w:hint="eastAsia"/>
              </w:rPr>
              <w:t>农业主体</w:t>
            </w:r>
          </w:p>
        </w:tc>
        <w:tc>
          <w:tcPr>
            <w:tcW w:w="3112" w:type="dxa"/>
            <w:tcBorders>
              <w:top w:val="single" w:color="auto" w:sz="8" w:space="0"/>
            </w:tcBorders>
            <w:shd w:val="clear" w:color="auto" w:fill="auto"/>
          </w:tcPr>
          <w:p w14:paraId="0511E4BE">
            <w:pPr>
              <w:pStyle w:val="178"/>
            </w:pPr>
            <w:r>
              <w:rPr>
                <w:rFonts w:hint="eastAsia"/>
              </w:rPr>
              <w:t>数据提交节点</w:t>
            </w:r>
          </w:p>
        </w:tc>
        <w:tc>
          <w:tcPr>
            <w:tcW w:w="3112" w:type="dxa"/>
            <w:tcBorders>
              <w:top w:val="single" w:color="auto" w:sz="8" w:space="0"/>
            </w:tcBorders>
            <w:shd w:val="clear" w:color="auto" w:fill="auto"/>
          </w:tcPr>
          <w:p w14:paraId="1A810140">
            <w:pPr>
              <w:pStyle w:val="178"/>
            </w:pPr>
            <w:r>
              <w:rPr>
                <w:rFonts w:hint="eastAsia"/>
              </w:rPr>
              <w:t>生产日志、投入品记录等</w:t>
            </w:r>
          </w:p>
        </w:tc>
      </w:tr>
      <w:tr w14:paraId="4E2608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tcPr>
          <w:p w14:paraId="10BC9449">
            <w:pPr>
              <w:pStyle w:val="178"/>
            </w:pPr>
            <w:r>
              <w:rPr>
                <w:rFonts w:hint="eastAsia"/>
              </w:rPr>
              <w:t>加工流通企业</w:t>
            </w:r>
          </w:p>
        </w:tc>
        <w:tc>
          <w:tcPr>
            <w:tcW w:w="3112" w:type="dxa"/>
            <w:shd w:val="clear" w:color="auto" w:fill="auto"/>
          </w:tcPr>
          <w:p w14:paraId="2D916021">
            <w:pPr>
              <w:pStyle w:val="178"/>
            </w:pPr>
            <w:r>
              <w:rPr>
                <w:rFonts w:hint="eastAsia"/>
              </w:rPr>
              <w:t>业务处理节点</w:t>
            </w:r>
          </w:p>
        </w:tc>
        <w:tc>
          <w:tcPr>
            <w:tcW w:w="3112" w:type="dxa"/>
            <w:shd w:val="clear" w:color="auto" w:fill="auto"/>
          </w:tcPr>
          <w:p w14:paraId="3D21A0E3">
            <w:pPr>
              <w:pStyle w:val="178"/>
            </w:pPr>
            <w:r>
              <w:rPr>
                <w:rFonts w:hint="eastAsia"/>
              </w:rPr>
              <w:t>加工批次、运输轨迹等</w:t>
            </w:r>
          </w:p>
        </w:tc>
      </w:tr>
      <w:tr w14:paraId="037D8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tcPr>
          <w:p w14:paraId="2423964B">
            <w:pPr>
              <w:pStyle w:val="178"/>
            </w:pPr>
            <w:r>
              <w:rPr>
                <w:rFonts w:hint="eastAsia"/>
              </w:rPr>
              <w:t>监管部门</w:t>
            </w:r>
          </w:p>
        </w:tc>
        <w:tc>
          <w:tcPr>
            <w:tcW w:w="3112" w:type="dxa"/>
            <w:shd w:val="clear" w:color="auto" w:fill="auto"/>
          </w:tcPr>
          <w:p w14:paraId="04497924">
            <w:pPr>
              <w:pStyle w:val="178"/>
            </w:pPr>
            <w:r>
              <w:rPr>
                <w:rFonts w:hint="eastAsia"/>
              </w:rPr>
              <w:t>联盟节点与监管节点</w:t>
            </w:r>
          </w:p>
        </w:tc>
        <w:tc>
          <w:tcPr>
            <w:tcW w:w="3112" w:type="dxa"/>
            <w:shd w:val="clear" w:color="auto" w:fill="auto"/>
          </w:tcPr>
          <w:p w14:paraId="11B90EE8">
            <w:pPr>
              <w:pStyle w:val="178"/>
            </w:pPr>
            <w:r>
              <w:rPr>
                <w:rFonts w:hint="eastAsia"/>
              </w:rPr>
              <w:t>验证规则、审计记录</w:t>
            </w:r>
          </w:p>
        </w:tc>
      </w:tr>
      <w:tr w14:paraId="075694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tcPr>
          <w:p w14:paraId="03077967">
            <w:pPr>
              <w:pStyle w:val="178"/>
            </w:pPr>
            <w:r>
              <w:rPr>
                <w:rFonts w:hint="eastAsia"/>
              </w:rPr>
              <w:t>消费者</w:t>
            </w:r>
          </w:p>
        </w:tc>
        <w:tc>
          <w:tcPr>
            <w:tcW w:w="3112" w:type="dxa"/>
            <w:shd w:val="clear" w:color="auto" w:fill="auto"/>
          </w:tcPr>
          <w:p w14:paraId="50C91306">
            <w:pPr>
              <w:pStyle w:val="178"/>
            </w:pPr>
            <w:r>
              <w:rPr>
                <w:rFonts w:hint="eastAsia"/>
              </w:rPr>
              <w:t>查询节点（只读）</w:t>
            </w:r>
          </w:p>
        </w:tc>
        <w:tc>
          <w:tcPr>
            <w:tcW w:w="3112" w:type="dxa"/>
            <w:shd w:val="clear" w:color="auto" w:fill="auto"/>
          </w:tcPr>
          <w:p w14:paraId="4CEBA645">
            <w:pPr>
              <w:pStyle w:val="178"/>
            </w:pPr>
            <w:r>
              <w:rPr>
                <w:rFonts w:hint="eastAsia"/>
              </w:rPr>
              <w:t>产品信息、防伪信息等</w:t>
            </w:r>
          </w:p>
        </w:tc>
      </w:tr>
    </w:tbl>
    <w:p w14:paraId="74BD7E2B">
      <w:pPr>
        <w:pStyle w:val="104"/>
        <w:spacing w:before="240" w:after="240" w:line="360" w:lineRule="auto"/>
      </w:pPr>
      <w:bookmarkStart w:id="52" w:name="_Toc200357929"/>
      <w:r>
        <w:rPr>
          <w:rFonts w:hint="eastAsia"/>
        </w:rPr>
        <w:t>数据上链规范</w:t>
      </w:r>
      <w:bookmarkEnd w:id="52"/>
    </w:p>
    <w:p w14:paraId="249E32BB">
      <w:pPr>
        <w:pStyle w:val="105"/>
        <w:spacing w:before="120" w:after="120" w:line="360" w:lineRule="auto"/>
      </w:pPr>
      <w:r>
        <w:rPr>
          <w:rFonts w:hint="eastAsia"/>
        </w:rPr>
        <w:t>上链数据内容</w:t>
      </w:r>
    </w:p>
    <w:p w14:paraId="0AB87E3B">
      <w:pPr>
        <w:pStyle w:val="56"/>
        <w:spacing w:line="360" w:lineRule="auto"/>
        <w:ind w:firstLine="420"/>
      </w:pPr>
      <w:r>
        <w:rPr>
          <w:rFonts w:hint="eastAsia"/>
        </w:rPr>
        <w:t>上链数据应全面覆盖农产品从生产到销售的关键环节，确保追溯信息链条完整、真实。建议包括以下核心字段：</w:t>
      </w:r>
    </w:p>
    <w:p w14:paraId="46A4C936">
      <w:pPr>
        <w:pStyle w:val="187"/>
        <w:spacing w:line="360" w:lineRule="auto"/>
      </w:pPr>
      <w:r>
        <w:rPr>
          <w:rFonts w:hint="eastAsia"/>
        </w:rPr>
        <w:t>农产品基础信息（名称、批次编号、类别编码等）；</w:t>
      </w:r>
    </w:p>
    <w:p w14:paraId="26A25D05">
      <w:pPr>
        <w:pStyle w:val="187"/>
        <w:spacing w:line="360" w:lineRule="auto"/>
      </w:pPr>
      <w:r>
        <w:rPr>
          <w:rFonts w:hint="eastAsia"/>
        </w:rPr>
        <w:t>来源信息（种植地块、养殖单元、地理位置坐标）；</w:t>
      </w:r>
    </w:p>
    <w:p w14:paraId="07A93E78">
      <w:pPr>
        <w:pStyle w:val="187"/>
        <w:spacing w:line="360" w:lineRule="auto"/>
      </w:pPr>
      <w:r>
        <w:rPr>
          <w:rFonts w:hint="eastAsia"/>
        </w:rPr>
        <w:t>农事活动记录（播种、施肥、用药、灌溉等时间与内容）；</w:t>
      </w:r>
    </w:p>
    <w:p w14:paraId="3DE1EDAD">
      <w:pPr>
        <w:pStyle w:val="187"/>
        <w:spacing w:line="360" w:lineRule="auto"/>
      </w:pPr>
      <w:r>
        <w:rPr>
          <w:rFonts w:hint="eastAsia"/>
        </w:rPr>
        <w:t>加工处理信息（加工工艺、车间编号、关键参数）；</w:t>
      </w:r>
    </w:p>
    <w:p w14:paraId="6BC170DB">
      <w:pPr>
        <w:pStyle w:val="187"/>
        <w:spacing w:line="360" w:lineRule="auto"/>
      </w:pPr>
      <w:r>
        <w:rPr>
          <w:rFonts w:hint="eastAsia"/>
        </w:rPr>
        <w:t>流通节点信息（出库、运输、分拣、入库等时间与位置）；</w:t>
      </w:r>
    </w:p>
    <w:p w14:paraId="409CDC13">
      <w:pPr>
        <w:pStyle w:val="187"/>
        <w:spacing w:line="360" w:lineRule="auto"/>
      </w:pPr>
      <w:r>
        <w:rPr>
          <w:rFonts w:hint="eastAsia"/>
        </w:rPr>
        <w:t>品控检测信息（监测项目、结果、机构信息）；</w:t>
      </w:r>
    </w:p>
    <w:p w14:paraId="72452C09">
      <w:pPr>
        <w:pStyle w:val="187"/>
        <w:spacing w:line="360" w:lineRule="auto"/>
      </w:pPr>
      <w:r>
        <w:rPr>
          <w:rFonts w:hint="eastAsia"/>
        </w:rPr>
        <w:t>销售信息（销售渠道、上架时间、仓储温湿数据）。</w:t>
      </w:r>
    </w:p>
    <w:p w14:paraId="640CF431">
      <w:pPr>
        <w:pStyle w:val="56"/>
        <w:spacing w:line="360" w:lineRule="auto"/>
        <w:ind w:firstLine="420"/>
      </w:pPr>
      <w:r>
        <w:rPr>
          <w:rFonts w:hint="eastAsia"/>
        </w:rPr>
        <w:t>应确保每类数据来源清晰、采集时间可追溯，满足全链条可视化需求。</w:t>
      </w:r>
    </w:p>
    <w:p w14:paraId="1DCB46D4">
      <w:pPr>
        <w:pStyle w:val="105"/>
        <w:spacing w:before="120" w:after="120" w:line="360" w:lineRule="auto"/>
      </w:pPr>
      <w:r>
        <w:rPr>
          <w:rFonts w:hint="eastAsia"/>
        </w:rPr>
        <w:t>数据标准格式</w:t>
      </w:r>
    </w:p>
    <w:p w14:paraId="6989B1F0">
      <w:pPr>
        <w:pStyle w:val="56"/>
        <w:spacing w:line="360" w:lineRule="auto"/>
        <w:ind w:firstLine="420"/>
      </w:pPr>
      <w:r>
        <w:rPr>
          <w:rFonts w:hint="eastAsia"/>
        </w:rPr>
        <w:t>所有上链数据应采用结构化统一格式，以提升系统兼容性与数据解析效率：</w:t>
      </w:r>
    </w:p>
    <w:p w14:paraId="50E049F6">
      <w:pPr>
        <w:pStyle w:val="132"/>
        <w:spacing w:line="360" w:lineRule="auto"/>
      </w:pPr>
      <w:r>
        <w:rPr>
          <w:rFonts w:hint="eastAsia"/>
        </w:rPr>
        <w:t>使用轻量化结构如 JSON，具备字段自描述性与可扩展性；</w:t>
      </w:r>
    </w:p>
    <w:p w14:paraId="6B57E2E5">
      <w:pPr>
        <w:pStyle w:val="132"/>
        <w:spacing w:line="360" w:lineRule="auto"/>
      </w:pPr>
      <w:r>
        <w:rPr>
          <w:rFonts w:hint="eastAsia"/>
        </w:rPr>
        <w:t>每条数据应含有唯一标识码、采集时间戳、上链节点标识与签名摘要等基础元信息；</w:t>
      </w:r>
    </w:p>
    <w:p w14:paraId="4929F3A4">
      <w:pPr>
        <w:pStyle w:val="132"/>
        <w:spacing w:line="360" w:lineRule="auto"/>
      </w:pPr>
      <w:r>
        <w:rPr>
          <w:rFonts w:hint="eastAsia"/>
        </w:rPr>
        <w:t>应定义统一的字段命名规范、数据单位与编码标准，确保不同系统间数据一致性；</w:t>
      </w:r>
    </w:p>
    <w:p w14:paraId="1A68E213">
      <w:pPr>
        <w:pStyle w:val="132"/>
        <w:spacing w:line="360" w:lineRule="auto"/>
      </w:pPr>
      <w:r>
        <w:rPr>
          <w:rFonts w:hint="eastAsia"/>
        </w:rPr>
        <w:t>为适应异构设备输入，应提供格式转换中间层或接口工具。</w:t>
      </w:r>
    </w:p>
    <w:p w14:paraId="08242442">
      <w:pPr>
        <w:pStyle w:val="105"/>
        <w:spacing w:before="120" w:after="120" w:line="360" w:lineRule="auto"/>
      </w:pPr>
      <w:r>
        <w:rPr>
          <w:rFonts w:hint="eastAsia"/>
        </w:rPr>
        <w:t>数据采集要求</w:t>
      </w:r>
    </w:p>
    <w:p w14:paraId="079BD357">
      <w:pPr>
        <w:pStyle w:val="56"/>
        <w:spacing w:line="360" w:lineRule="auto"/>
        <w:ind w:firstLine="420"/>
      </w:pPr>
      <w:r>
        <w:rPr>
          <w:rFonts w:hint="eastAsia"/>
        </w:rPr>
        <w:t>应优先采集原始、客观、可自动化获取的数据，提升溯源信息可信度：</w:t>
      </w:r>
    </w:p>
    <w:p w14:paraId="3826D953">
      <w:pPr>
        <w:pStyle w:val="132"/>
        <w:spacing w:line="360" w:lineRule="auto"/>
      </w:pPr>
      <w:r>
        <w:rPr>
          <w:rFonts w:hint="eastAsia"/>
        </w:rPr>
        <w:t>推荐部署RFID、条码/二维码扫描器、图像采集终端等智能设备，实现过程无感化采集；</w:t>
      </w:r>
    </w:p>
    <w:p w14:paraId="604131D5">
      <w:pPr>
        <w:pStyle w:val="132"/>
        <w:spacing w:line="360" w:lineRule="auto"/>
      </w:pPr>
      <w:r>
        <w:rPr>
          <w:rFonts w:hint="eastAsia"/>
        </w:rPr>
        <w:t>传感器与边缘设备应自动采集温度、湿度、位置等环境数据，减少人为干预；</w:t>
      </w:r>
    </w:p>
    <w:p w14:paraId="628EA48A">
      <w:pPr>
        <w:pStyle w:val="132"/>
        <w:spacing w:line="360" w:lineRule="auto"/>
      </w:pPr>
      <w:r>
        <w:rPr>
          <w:rFonts w:hint="eastAsia"/>
        </w:rPr>
        <w:t>对于人工填写数据应设有录入权限限制、审查流程与修改记录机制；</w:t>
      </w:r>
    </w:p>
    <w:p w14:paraId="6D8FB018">
      <w:pPr>
        <w:pStyle w:val="132"/>
        <w:spacing w:line="360" w:lineRule="auto"/>
      </w:pPr>
      <w:r>
        <w:rPr>
          <w:rFonts w:hint="eastAsia"/>
        </w:rPr>
        <w:t>所有采集设备应进行编号登记与状态监控，确保长期稳定运行。</w:t>
      </w:r>
    </w:p>
    <w:p w14:paraId="51D0742C">
      <w:pPr>
        <w:pStyle w:val="105"/>
        <w:spacing w:before="120" w:after="120" w:line="360" w:lineRule="auto"/>
      </w:pPr>
      <w:r>
        <w:rPr>
          <w:rFonts w:hint="eastAsia"/>
        </w:rPr>
        <w:t>数据签名与验真</w:t>
      </w:r>
    </w:p>
    <w:p w14:paraId="11C1C964">
      <w:pPr>
        <w:pStyle w:val="56"/>
        <w:spacing w:line="360" w:lineRule="auto"/>
        <w:ind w:firstLine="420"/>
      </w:pPr>
      <w:r>
        <w:rPr>
          <w:rFonts w:hint="eastAsia"/>
        </w:rPr>
        <w:t>为保障数据来源可信与内容不可篡改，应实现节点级加密签名机制：</w:t>
      </w:r>
    </w:p>
    <w:p w14:paraId="08672408">
      <w:pPr>
        <w:pStyle w:val="132"/>
        <w:spacing w:line="360" w:lineRule="auto"/>
      </w:pPr>
      <w:r>
        <w:rPr>
          <w:rFonts w:hint="eastAsia"/>
        </w:rPr>
        <w:t>每个节点对其产生的数据执行数字签名操作，签名密钥应由平台分发与管理；</w:t>
      </w:r>
    </w:p>
    <w:p w14:paraId="19291B4B">
      <w:pPr>
        <w:pStyle w:val="132"/>
        <w:spacing w:line="360" w:lineRule="auto"/>
      </w:pPr>
      <w:r>
        <w:rPr>
          <w:rFonts w:hint="eastAsia"/>
        </w:rPr>
        <w:t>签名信息应附于数据包并一并上链，由上层平台进行验证解析；</w:t>
      </w:r>
    </w:p>
    <w:p w14:paraId="436A42F1">
      <w:pPr>
        <w:pStyle w:val="132"/>
        <w:spacing w:line="360" w:lineRule="auto"/>
      </w:pPr>
      <w:r>
        <w:rPr>
          <w:rFonts w:hint="eastAsia"/>
        </w:rPr>
        <w:t>平台需具备验签模块，对签名有效性、来源合法性进行自动审核；</w:t>
      </w:r>
    </w:p>
    <w:p w14:paraId="4505A170">
      <w:pPr>
        <w:pStyle w:val="132"/>
        <w:spacing w:line="360" w:lineRule="auto"/>
      </w:pPr>
      <w:r>
        <w:rPr>
          <w:rFonts w:hint="eastAsia"/>
        </w:rPr>
        <w:t>一旦发现签名错误或来源异常，应立即标记并触发报警机制，禁止该数据上链。</w:t>
      </w:r>
    </w:p>
    <w:p w14:paraId="52E31398">
      <w:pPr>
        <w:pStyle w:val="104"/>
        <w:spacing w:before="240" w:after="240" w:line="360" w:lineRule="auto"/>
      </w:pPr>
      <w:bookmarkStart w:id="53" w:name="_Toc200357930"/>
      <w:r>
        <w:rPr>
          <w:rFonts w:hint="eastAsia"/>
        </w:rPr>
        <w:t>区块链平台部署</w:t>
      </w:r>
      <w:bookmarkEnd w:id="53"/>
    </w:p>
    <w:p w14:paraId="6C739026">
      <w:pPr>
        <w:pStyle w:val="105"/>
        <w:spacing w:before="120" w:after="120" w:line="360" w:lineRule="auto"/>
      </w:pPr>
      <w:r>
        <w:rPr>
          <w:rFonts w:hint="eastAsia"/>
        </w:rPr>
        <w:t>联盟链配置</w:t>
      </w:r>
    </w:p>
    <w:p w14:paraId="286DEB28">
      <w:pPr>
        <w:pStyle w:val="56"/>
        <w:spacing w:line="360" w:lineRule="auto"/>
        <w:ind w:firstLine="420"/>
      </w:pPr>
      <w:r>
        <w:rPr>
          <w:rFonts w:hint="eastAsia"/>
        </w:rPr>
        <w:t>建议采用支持Fabric、FISCO BCOS等主流开源框架的联盟链，设定合理的共识算法。</w:t>
      </w:r>
    </w:p>
    <w:p w14:paraId="734F3188">
      <w:pPr>
        <w:pStyle w:val="105"/>
        <w:spacing w:before="120" w:after="120" w:line="360" w:lineRule="auto"/>
      </w:pPr>
      <w:r>
        <w:rPr>
          <w:rFonts w:hint="eastAsia"/>
        </w:rPr>
        <w:t>链上数据结构</w:t>
      </w:r>
    </w:p>
    <w:p w14:paraId="402C1B94">
      <w:pPr>
        <w:pStyle w:val="56"/>
        <w:spacing w:line="360" w:lineRule="auto"/>
        <w:ind w:firstLine="420"/>
      </w:pPr>
      <w:r>
        <w:rPr>
          <w:rFonts w:hint="eastAsia"/>
        </w:rPr>
        <w:t>采用链式结构对交易进行编号存储，利用 Merkle 树进行哈希压缩，形成不可篡改链条。</w:t>
      </w:r>
    </w:p>
    <w:p w14:paraId="3F782100">
      <w:pPr>
        <w:pStyle w:val="105"/>
        <w:spacing w:before="120" w:after="120" w:line="360" w:lineRule="auto"/>
      </w:pPr>
      <w:r>
        <w:rPr>
          <w:rFonts w:hint="eastAsia"/>
        </w:rPr>
        <w:t>链下存储机制</w:t>
      </w:r>
    </w:p>
    <w:p w14:paraId="79E0AA0E">
      <w:pPr>
        <w:pStyle w:val="56"/>
        <w:spacing w:line="360" w:lineRule="auto"/>
        <w:ind w:firstLine="420"/>
      </w:pPr>
      <w:r>
        <w:rPr>
          <w:rFonts w:hint="eastAsia"/>
        </w:rPr>
        <w:t>对无法高效上链的非结构化大数据应采用链上+链下协同机制：</w:t>
      </w:r>
    </w:p>
    <w:p w14:paraId="10F825CE">
      <w:pPr>
        <w:pStyle w:val="132"/>
        <w:spacing w:line="360" w:lineRule="auto"/>
      </w:pPr>
      <w:r>
        <w:rPr>
          <w:rFonts w:hint="eastAsia"/>
        </w:rPr>
        <w:t>图片、视频、音频及大文档文件应存储于分布式链下存储系统中（如对象存储或IPFS）；</w:t>
      </w:r>
    </w:p>
    <w:p w14:paraId="131801BA">
      <w:pPr>
        <w:pStyle w:val="132"/>
        <w:spacing w:line="360" w:lineRule="auto"/>
      </w:pPr>
      <w:r>
        <w:rPr>
          <w:rFonts w:hint="eastAsia"/>
        </w:rPr>
        <w:t>链上仅存储对应文件的哈希摘要值与访问路径，作为引用凭证；</w:t>
      </w:r>
    </w:p>
    <w:p w14:paraId="77FC8272">
      <w:pPr>
        <w:pStyle w:val="132"/>
        <w:spacing w:line="360" w:lineRule="auto"/>
      </w:pPr>
      <w:r>
        <w:rPr>
          <w:rFonts w:hint="eastAsia"/>
        </w:rPr>
        <w:t>对链下文件的修改应自动触发链上引用更新并保留历史版本信息；</w:t>
      </w:r>
    </w:p>
    <w:p w14:paraId="7E96DB08">
      <w:pPr>
        <w:pStyle w:val="132"/>
        <w:spacing w:line="360" w:lineRule="auto"/>
      </w:pPr>
      <w:r>
        <w:rPr>
          <w:rFonts w:hint="eastAsia"/>
        </w:rPr>
        <w:t>平台应配置存储访问权限、下载日志与访问审计机制。</w:t>
      </w:r>
    </w:p>
    <w:p w14:paraId="33B020B6">
      <w:pPr>
        <w:pStyle w:val="104"/>
        <w:spacing w:before="240" w:after="240" w:line="360" w:lineRule="auto"/>
      </w:pPr>
      <w:bookmarkStart w:id="54" w:name="_Toc200357931"/>
      <w:r>
        <w:rPr>
          <w:rFonts w:hint="eastAsia"/>
        </w:rPr>
        <w:t>应用功能与接口</w:t>
      </w:r>
      <w:bookmarkEnd w:id="54"/>
    </w:p>
    <w:p w14:paraId="06E3B0F9">
      <w:pPr>
        <w:pStyle w:val="105"/>
        <w:spacing w:before="120" w:after="120" w:line="360" w:lineRule="auto"/>
      </w:pPr>
      <w:r>
        <w:rPr>
          <w:rFonts w:hint="eastAsia"/>
        </w:rPr>
        <w:t>功能模块</w:t>
      </w:r>
    </w:p>
    <w:p w14:paraId="78F5C991">
      <w:pPr>
        <w:pStyle w:val="56"/>
        <w:spacing w:line="360" w:lineRule="auto"/>
        <w:ind w:firstLine="420"/>
      </w:pPr>
      <w:r>
        <w:rPr>
          <w:rFonts w:hint="eastAsia"/>
        </w:rPr>
        <w:t>区块链溯源系统应具备以下核心业务功能模块：</w:t>
      </w:r>
    </w:p>
    <w:p w14:paraId="0482C402">
      <w:pPr>
        <w:pStyle w:val="187"/>
        <w:spacing w:line="360" w:lineRule="auto"/>
      </w:pPr>
      <w:r>
        <w:rPr>
          <w:rFonts w:hint="eastAsia"/>
        </w:rPr>
        <w:t>数据采集与录入：支持多源数据接入、格式标准化与实时数据同步；</w:t>
      </w:r>
    </w:p>
    <w:p w14:paraId="2E36202D">
      <w:pPr>
        <w:pStyle w:val="187"/>
        <w:spacing w:line="360" w:lineRule="auto"/>
      </w:pPr>
      <w:r>
        <w:rPr>
          <w:rFonts w:hint="eastAsia"/>
        </w:rPr>
        <w:t>上链校验与签名：自动完成数据合法性验证、签名加密与上链确认流程；</w:t>
      </w:r>
    </w:p>
    <w:p w14:paraId="75F5D139">
      <w:pPr>
        <w:pStyle w:val="187"/>
        <w:spacing w:line="360" w:lineRule="auto"/>
      </w:pPr>
      <w:r>
        <w:rPr>
          <w:rFonts w:hint="eastAsia"/>
        </w:rPr>
        <w:t>信息可视化展示：多维度展示溯源数据，包括追溯链、采集点地图与时间线；</w:t>
      </w:r>
    </w:p>
    <w:p w14:paraId="291E21D0">
      <w:pPr>
        <w:pStyle w:val="187"/>
        <w:spacing w:line="360" w:lineRule="auto"/>
      </w:pPr>
      <w:r>
        <w:rPr>
          <w:rFonts w:hint="eastAsia"/>
        </w:rPr>
        <w:t>二维码/身份标识生成：为每一批次产品生成唯一标识码用于消费者追溯；</w:t>
      </w:r>
    </w:p>
    <w:p w14:paraId="25732268">
      <w:pPr>
        <w:pStyle w:val="187"/>
        <w:spacing w:line="360" w:lineRule="auto"/>
      </w:pPr>
      <w:r>
        <w:rPr>
          <w:rFonts w:hint="eastAsia"/>
        </w:rPr>
        <w:t>数据预警与异常分析：识别缺失、冲突、异常操作等风险数据，提示运营人员；</w:t>
      </w:r>
    </w:p>
    <w:p w14:paraId="6809058A">
      <w:pPr>
        <w:pStyle w:val="187"/>
        <w:spacing w:line="360" w:lineRule="auto"/>
      </w:pPr>
      <w:r>
        <w:rPr>
          <w:rFonts w:hint="eastAsia"/>
        </w:rPr>
        <w:t>统计报表与查询分析：支持按时间、节点、批次等维度生成运行报表与趋势图。</w:t>
      </w:r>
    </w:p>
    <w:p w14:paraId="05E7BAD6">
      <w:pPr>
        <w:pStyle w:val="105"/>
        <w:spacing w:before="120" w:after="120" w:line="360" w:lineRule="auto"/>
      </w:pPr>
      <w:r>
        <w:rPr>
          <w:rFonts w:hint="eastAsia"/>
        </w:rPr>
        <w:t>接口开放性</w:t>
      </w:r>
    </w:p>
    <w:p w14:paraId="10D1FE09">
      <w:pPr>
        <w:pStyle w:val="56"/>
        <w:spacing w:line="360" w:lineRule="auto"/>
        <w:ind w:firstLine="420"/>
      </w:pPr>
      <w:r>
        <w:rPr>
          <w:rFonts w:hint="eastAsia"/>
        </w:rPr>
        <w:t>系统应支持与多类业务系统的数据互通，具体要求如下：</w:t>
      </w:r>
    </w:p>
    <w:p w14:paraId="476ED8A8">
      <w:pPr>
        <w:pStyle w:val="132"/>
        <w:spacing w:line="360" w:lineRule="auto"/>
      </w:pPr>
      <w:r>
        <w:rPr>
          <w:rFonts w:hint="eastAsia"/>
        </w:rPr>
        <w:t>提供RESTful、WebSocket等标准API，支持数据拉取、推送、验证与查询；</w:t>
      </w:r>
    </w:p>
    <w:p w14:paraId="32C36745">
      <w:pPr>
        <w:pStyle w:val="132"/>
        <w:spacing w:line="360" w:lineRule="auto"/>
      </w:pPr>
      <w:r>
        <w:rPr>
          <w:rFonts w:hint="eastAsia"/>
        </w:rPr>
        <w:t>具备跨平台兼容能力，支持与农业信息平台、检测系统、物流平台、监管平台等对接；</w:t>
      </w:r>
    </w:p>
    <w:p w14:paraId="56AF6FF2">
      <w:pPr>
        <w:pStyle w:val="132"/>
        <w:spacing w:line="360" w:lineRule="auto"/>
      </w:pPr>
      <w:r>
        <w:rPr>
          <w:rFonts w:hint="eastAsia"/>
        </w:rPr>
        <w:t>所有接口应具备访问权限控制与日志记录功能，确保系统边界安全；</w:t>
      </w:r>
    </w:p>
    <w:p w14:paraId="25F756EC">
      <w:pPr>
        <w:pStyle w:val="132"/>
        <w:spacing w:line="360" w:lineRule="auto"/>
      </w:pPr>
      <w:r>
        <w:rPr>
          <w:rFonts w:hint="eastAsia"/>
        </w:rPr>
        <w:t>可配置数据同步频率与接口速率限流参数，避免接口滥用或系统负载过高。</w:t>
      </w:r>
    </w:p>
    <w:p w14:paraId="321AB848">
      <w:pPr>
        <w:pStyle w:val="105"/>
        <w:spacing w:before="120" w:after="120" w:line="360" w:lineRule="auto"/>
      </w:pPr>
      <w:r>
        <w:rPr>
          <w:rFonts w:hint="eastAsia"/>
        </w:rPr>
        <w:t>移动端访问</w:t>
      </w:r>
    </w:p>
    <w:p w14:paraId="2FB649DB">
      <w:pPr>
        <w:pStyle w:val="56"/>
        <w:spacing w:line="360" w:lineRule="auto"/>
        <w:ind w:firstLine="420"/>
      </w:pPr>
      <w:r>
        <w:rPr>
          <w:rFonts w:hint="eastAsia"/>
        </w:rPr>
        <w:t>为提高使用便捷性与参与率，应提供跨平台移动访问入口：</w:t>
      </w:r>
    </w:p>
    <w:p w14:paraId="431F4A78">
      <w:pPr>
        <w:pStyle w:val="132"/>
        <w:spacing w:line="360" w:lineRule="auto"/>
      </w:pPr>
      <w:r>
        <w:rPr>
          <w:rFonts w:hint="eastAsia"/>
        </w:rPr>
        <w:t>提供微信小程序、App或H5应用，支持扫码查询、录入与追溯信息浏览；</w:t>
      </w:r>
    </w:p>
    <w:p w14:paraId="0AD47E00">
      <w:pPr>
        <w:pStyle w:val="132"/>
        <w:spacing w:line="360" w:lineRule="auto"/>
      </w:pPr>
      <w:r>
        <w:rPr>
          <w:rFonts w:hint="eastAsia"/>
        </w:rPr>
        <w:t>支持企业端扫码采集、远程提交与设备配置操作；</w:t>
      </w:r>
    </w:p>
    <w:p w14:paraId="37C0313F">
      <w:pPr>
        <w:pStyle w:val="132"/>
        <w:spacing w:line="360" w:lineRule="auto"/>
      </w:pPr>
      <w:r>
        <w:rPr>
          <w:rFonts w:hint="eastAsia"/>
        </w:rPr>
        <w:t>为监管部门提供巡查助手，支持地图巡查、批次追踪与异常上报；</w:t>
      </w:r>
    </w:p>
    <w:p w14:paraId="461C6EE2">
      <w:pPr>
        <w:pStyle w:val="132"/>
        <w:spacing w:line="360" w:lineRule="auto"/>
      </w:pPr>
      <w:r>
        <w:rPr>
          <w:rFonts w:hint="eastAsia"/>
        </w:rPr>
        <w:t>支持离线缓存与断网补传机制，保障弱网场景可用性。</w:t>
      </w:r>
    </w:p>
    <w:p w14:paraId="05331FB7">
      <w:pPr>
        <w:pStyle w:val="104"/>
        <w:spacing w:before="240" w:after="240" w:line="360" w:lineRule="auto"/>
      </w:pPr>
      <w:bookmarkStart w:id="55" w:name="_Toc200357932"/>
      <w:r>
        <w:rPr>
          <w:rFonts w:hint="eastAsia"/>
        </w:rPr>
        <w:t>信息展示与可视化</w:t>
      </w:r>
      <w:bookmarkEnd w:id="55"/>
    </w:p>
    <w:p w14:paraId="15546E6C">
      <w:pPr>
        <w:pStyle w:val="105"/>
        <w:spacing w:before="120" w:after="120" w:line="360" w:lineRule="auto"/>
      </w:pPr>
      <w:r>
        <w:rPr>
          <w:rFonts w:hint="eastAsia"/>
        </w:rPr>
        <w:t>产品溯源码展示内容</w:t>
      </w:r>
    </w:p>
    <w:p w14:paraId="7A57B4D9">
      <w:pPr>
        <w:pStyle w:val="56"/>
        <w:spacing w:line="360" w:lineRule="auto"/>
        <w:ind w:firstLine="420"/>
      </w:pPr>
      <w:r>
        <w:rPr>
          <w:rFonts w:hint="eastAsia"/>
        </w:rPr>
        <w:t>产品字段名称应有相对应的描述信息，具体如表2所示。</w:t>
      </w:r>
    </w:p>
    <w:p w14:paraId="5E9C1708">
      <w:pPr>
        <w:pStyle w:val="112"/>
        <w:spacing w:before="120" w:after="120" w:line="360" w:lineRule="auto"/>
      </w:pPr>
      <w:r>
        <w:rPr>
          <w:rFonts w:hint="eastAsia"/>
        </w:rPr>
        <w:t>产品溯源码展示字段表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14:paraId="31B6E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tcPr>
          <w:p w14:paraId="02A41B2D">
            <w:pPr>
              <w:pStyle w:val="178"/>
            </w:pPr>
            <w:r>
              <w:rPr>
                <w:rFonts w:hint="eastAsia"/>
              </w:rPr>
              <w:t>字段名称</w:t>
            </w:r>
          </w:p>
        </w:tc>
        <w:tc>
          <w:tcPr>
            <w:tcW w:w="4667" w:type="dxa"/>
            <w:tcBorders>
              <w:top w:val="single" w:color="auto" w:sz="8" w:space="0"/>
              <w:bottom w:val="single" w:color="auto" w:sz="8" w:space="0"/>
            </w:tcBorders>
            <w:shd w:val="clear" w:color="auto" w:fill="auto"/>
          </w:tcPr>
          <w:p w14:paraId="6CB332F6">
            <w:pPr>
              <w:pStyle w:val="178"/>
            </w:pPr>
            <w:r>
              <w:rPr>
                <w:rFonts w:hint="eastAsia"/>
              </w:rPr>
              <w:t>描述信息</w:t>
            </w:r>
          </w:p>
        </w:tc>
      </w:tr>
      <w:tr w14:paraId="3DD679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tcBorders>
            <w:shd w:val="clear" w:color="auto" w:fill="auto"/>
          </w:tcPr>
          <w:p w14:paraId="50F8CAC5">
            <w:pPr>
              <w:pStyle w:val="178"/>
            </w:pPr>
            <w:r>
              <w:rPr>
                <w:rFonts w:hint="eastAsia"/>
              </w:rPr>
              <w:t>品名</w:t>
            </w:r>
          </w:p>
        </w:tc>
        <w:tc>
          <w:tcPr>
            <w:tcW w:w="4667" w:type="dxa"/>
            <w:tcBorders>
              <w:top w:val="single" w:color="auto" w:sz="8" w:space="0"/>
            </w:tcBorders>
            <w:shd w:val="clear" w:color="auto" w:fill="auto"/>
          </w:tcPr>
          <w:p w14:paraId="7387DA81">
            <w:pPr>
              <w:pStyle w:val="178"/>
            </w:pPr>
            <w:r>
              <w:rPr>
                <w:rFonts w:hint="eastAsia"/>
              </w:rPr>
              <w:t>农产品商品名称</w:t>
            </w:r>
          </w:p>
        </w:tc>
      </w:tr>
      <w:tr w14:paraId="4CBA4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14:paraId="67F1C0FA">
            <w:pPr>
              <w:pStyle w:val="178"/>
            </w:pPr>
            <w:r>
              <w:rPr>
                <w:rFonts w:hint="eastAsia"/>
              </w:rPr>
              <w:t>来源地</w:t>
            </w:r>
          </w:p>
        </w:tc>
        <w:tc>
          <w:tcPr>
            <w:tcW w:w="4667" w:type="dxa"/>
            <w:shd w:val="clear" w:color="auto" w:fill="auto"/>
          </w:tcPr>
          <w:p w14:paraId="4085166E">
            <w:pPr>
              <w:pStyle w:val="178"/>
            </w:pPr>
            <w:r>
              <w:rPr>
                <w:rFonts w:hint="eastAsia"/>
              </w:rPr>
              <w:t>产地名称、地块编号或基地编码</w:t>
            </w:r>
          </w:p>
        </w:tc>
      </w:tr>
      <w:tr w14:paraId="16ABAF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14:paraId="21E04026">
            <w:pPr>
              <w:pStyle w:val="178"/>
            </w:pPr>
            <w:r>
              <w:rPr>
                <w:rFonts w:hint="eastAsia"/>
              </w:rPr>
              <w:t>采收时间</w:t>
            </w:r>
          </w:p>
        </w:tc>
        <w:tc>
          <w:tcPr>
            <w:tcW w:w="4667" w:type="dxa"/>
            <w:shd w:val="clear" w:color="auto" w:fill="auto"/>
          </w:tcPr>
          <w:p w14:paraId="3309B684">
            <w:pPr>
              <w:pStyle w:val="178"/>
            </w:pPr>
            <w:r>
              <w:rPr>
                <w:rFonts w:hint="eastAsia"/>
              </w:rPr>
              <w:t>最新一批采摘或生产时间</w:t>
            </w:r>
          </w:p>
        </w:tc>
      </w:tr>
      <w:tr w14:paraId="2E35B5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14:paraId="53689D42">
            <w:pPr>
              <w:pStyle w:val="178"/>
            </w:pPr>
            <w:r>
              <w:rPr>
                <w:rFonts w:hint="eastAsia"/>
              </w:rPr>
              <w:t>检测报告</w:t>
            </w:r>
          </w:p>
        </w:tc>
        <w:tc>
          <w:tcPr>
            <w:tcW w:w="4667" w:type="dxa"/>
            <w:shd w:val="clear" w:color="auto" w:fill="auto"/>
          </w:tcPr>
          <w:p w14:paraId="6F65C4A4">
            <w:pPr>
              <w:pStyle w:val="178"/>
            </w:pPr>
            <w:r>
              <w:rPr>
                <w:rFonts w:hint="eastAsia"/>
              </w:rPr>
              <w:t>第三方或平台内检测数据展示链接</w:t>
            </w:r>
          </w:p>
        </w:tc>
      </w:tr>
      <w:tr w14:paraId="0E17BA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14:paraId="5D7AF537">
            <w:pPr>
              <w:pStyle w:val="178"/>
            </w:pPr>
            <w:r>
              <w:rPr>
                <w:rFonts w:hint="eastAsia"/>
              </w:rPr>
              <w:t>全程轨迹</w:t>
            </w:r>
          </w:p>
        </w:tc>
        <w:tc>
          <w:tcPr>
            <w:tcW w:w="4667" w:type="dxa"/>
            <w:shd w:val="clear" w:color="auto" w:fill="auto"/>
          </w:tcPr>
          <w:p w14:paraId="511E2FAC">
            <w:pPr>
              <w:pStyle w:val="178"/>
            </w:pPr>
            <w:r>
              <w:rPr>
                <w:rFonts w:hint="eastAsia"/>
              </w:rPr>
              <w:t>各节点时间、环节、操作信息链</w:t>
            </w:r>
          </w:p>
        </w:tc>
      </w:tr>
    </w:tbl>
    <w:p w14:paraId="7E9BD94D">
      <w:pPr>
        <w:pStyle w:val="105"/>
        <w:spacing w:before="120" w:after="120"/>
      </w:pPr>
      <w:r>
        <w:rPr>
          <w:rFonts w:hint="eastAsia"/>
        </w:rPr>
        <w:t>展示方式</w:t>
      </w:r>
    </w:p>
    <w:p w14:paraId="3BEC4D91">
      <w:pPr>
        <w:pStyle w:val="56"/>
        <w:spacing w:line="360" w:lineRule="auto"/>
        <w:ind w:firstLine="420"/>
      </w:pPr>
      <w:r>
        <w:rPr>
          <w:rFonts w:hint="eastAsia"/>
        </w:rPr>
        <w:t>信息展示应突出可读性、透明度与交互性，采用多形式呈现：</w:t>
      </w:r>
    </w:p>
    <w:p w14:paraId="0D9F4BE7">
      <w:pPr>
        <w:pStyle w:val="187"/>
        <w:spacing w:line="360" w:lineRule="auto"/>
      </w:pPr>
      <w:r>
        <w:rPr>
          <w:rFonts w:hint="eastAsia"/>
        </w:rPr>
        <w:t>地图轨迹展示：以地理信息可视化方式展示各环节位置与流转路径；</w:t>
      </w:r>
    </w:p>
    <w:p w14:paraId="45192977">
      <w:pPr>
        <w:pStyle w:val="187"/>
        <w:spacing w:line="360" w:lineRule="auto"/>
      </w:pPr>
      <w:r>
        <w:rPr>
          <w:rFonts w:hint="eastAsia"/>
        </w:rPr>
        <w:t>流程链图展示：构建从采收到销售的完整业务流程图，标注时间与状态；</w:t>
      </w:r>
    </w:p>
    <w:p w14:paraId="6C2A1FBF">
      <w:pPr>
        <w:pStyle w:val="187"/>
        <w:spacing w:line="360" w:lineRule="auto"/>
      </w:pPr>
      <w:r>
        <w:rPr>
          <w:rFonts w:hint="eastAsia"/>
        </w:rPr>
        <w:t>多批次对比图：支持对比不同时间、批次、来源产品的关键指标变化。</w:t>
      </w:r>
    </w:p>
    <w:p w14:paraId="4B2B2B1F">
      <w:pPr>
        <w:pStyle w:val="56"/>
        <w:spacing w:line="360" w:lineRule="auto"/>
        <w:ind w:firstLine="420"/>
      </w:pPr>
      <w:r>
        <w:rPr>
          <w:rFonts w:hint="eastAsia"/>
        </w:rPr>
        <w:t>消费端展示界面应简洁直观，支持扫码即查，兼容多语言版本。</w:t>
      </w:r>
    </w:p>
    <w:p w14:paraId="04E91A97">
      <w:pPr>
        <w:pStyle w:val="104"/>
        <w:spacing w:before="240" w:after="240" w:line="360" w:lineRule="auto"/>
      </w:pPr>
      <w:bookmarkStart w:id="56" w:name="_Toc200357933"/>
      <w:r>
        <w:rPr>
          <w:rFonts w:hint="eastAsia"/>
        </w:rPr>
        <w:t>安全与合规要求</w:t>
      </w:r>
      <w:bookmarkEnd w:id="56"/>
    </w:p>
    <w:p w14:paraId="7DADD217">
      <w:pPr>
        <w:pStyle w:val="105"/>
        <w:spacing w:before="120" w:after="120" w:line="360" w:lineRule="auto"/>
      </w:pPr>
      <w:r>
        <w:rPr>
          <w:rFonts w:hint="eastAsia"/>
        </w:rPr>
        <w:t>权限控制机制</w:t>
      </w:r>
    </w:p>
    <w:p w14:paraId="1061C840">
      <w:pPr>
        <w:pStyle w:val="56"/>
        <w:spacing w:line="360" w:lineRule="auto"/>
        <w:ind w:firstLine="420"/>
      </w:pPr>
      <w:r>
        <w:rPr>
          <w:rFonts w:hint="eastAsia"/>
        </w:rPr>
        <w:t>系统应建立多层级数据访问与写入权限控制机制：</w:t>
      </w:r>
    </w:p>
    <w:p w14:paraId="076392F8">
      <w:pPr>
        <w:pStyle w:val="132"/>
        <w:spacing w:line="360" w:lineRule="auto"/>
      </w:pPr>
      <w:r>
        <w:rPr>
          <w:rFonts w:hint="eastAsia"/>
        </w:rPr>
        <w:t>每类节点应分配专属数据权限（只读/可写/审核/管理等），防止越权访问；</w:t>
      </w:r>
    </w:p>
    <w:p w14:paraId="21AC5636">
      <w:pPr>
        <w:pStyle w:val="132"/>
        <w:spacing w:line="360" w:lineRule="auto"/>
      </w:pPr>
      <w:r>
        <w:rPr>
          <w:rFonts w:hint="eastAsia"/>
        </w:rPr>
        <w:t>上链操作必须由具备认证资质的主体完成，并保留完整操作记录；</w:t>
      </w:r>
    </w:p>
    <w:p w14:paraId="61E8FD36">
      <w:pPr>
        <w:pStyle w:val="132"/>
        <w:spacing w:line="360" w:lineRule="auto"/>
      </w:pPr>
      <w:r>
        <w:rPr>
          <w:rFonts w:hint="eastAsia"/>
        </w:rPr>
        <w:t>应设立审批流与角色分级制度，对新增节点与异常操作进行核验与授权管理。</w:t>
      </w:r>
    </w:p>
    <w:p w14:paraId="3503777C">
      <w:pPr>
        <w:pStyle w:val="105"/>
        <w:spacing w:before="120" w:after="120" w:line="360" w:lineRule="auto"/>
      </w:pPr>
      <w:r>
        <w:rPr>
          <w:rFonts w:hint="eastAsia"/>
        </w:rPr>
        <w:t>数据加密与备份</w:t>
      </w:r>
    </w:p>
    <w:p w14:paraId="610BA23E">
      <w:pPr>
        <w:pStyle w:val="56"/>
        <w:spacing w:line="360" w:lineRule="auto"/>
        <w:ind w:firstLine="420"/>
      </w:pPr>
      <w:r>
        <w:rPr>
          <w:rFonts w:hint="eastAsia"/>
        </w:rPr>
        <w:t>系统需具备完整的数据安全保障措施：</w:t>
      </w:r>
    </w:p>
    <w:p w14:paraId="63B85641">
      <w:pPr>
        <w:pStyle w:val="132"/>
        <w:spacing w:line="360" w:lineRule="auto"/>
      </w:pPr>
      <w:r>
        <w:rPr>
          <w:rFonts w:hint="eastAsia"/>
        </w:rPr>
        <w:t>所有上链数据应采用多重加密方式，防止非法访问与窃取；</w:t>
      </w:r>
    </w:p>
    <w:p w14:paraId="5DFE8662">
      <w:pPr>
        <w:pStyle w:val="132"/>
        <w:spacing w:line="360" w:lineRule="auto"/>
      </w:pPr>
      <w:r>
        <w:rPr>
          <w:rFonts w:hint="eastAsia"/>
        </w:rPr>
        <w:t>设有自动化定期备份计划，覆盖链数据、链下数据与操作日志；</w:t>
      </w:r>
    </w:p>
    <w:p w14:paraId="3CA97FA9">
      <w:pPr>
        <w:pStyle w:val="132"/>
        <w:spacing w:line="360" w:lineRule="auto"/>
      </w:pPr>
      <w:r>
        <w:rPr>
          <w:rFonts w:hint="eastAsia"/>
        </w:rPr>
        <w:t>应设置灾备方案，包括冷备份节点与远程镜像，确保突发情况下数据可恢复；</w:t>
      </w:r>
    </w:p>
    <w:p w14:paraId="259F94CF">
      <w:pPr>
        <w:pStyle w:val="132"/>
        <w:spacing w:line="360" w:lineRule="auto"/>
      </w:pPr>
      <w:r>
        <w:rPr>
          <w:rFonts w:hint="eastAsia"/>
        </w:rPr>
        <w:t>关键操作应留存日志并支持溯源审计。</w:t>
      </w:r>
    </w:p>
    <w:p w14:paraId="4200FB51">
      <w:pPr>
        <w:pStyle w:val="105"/>
        <w:spacing w:before="120" w:after="120" w:line="360" w:lineRule="auto"/>
      </w:pPr>
      <w:r>
        <w:rPr>
          <w:rFonts w:hint="eastAsia"/>
        </w:rPr>
        <w:t>合规性要求</w:t>
      </w:r>
    </w:p>
    <w:p w14:paraId="459DEF3A">
      <w:pPr>
        <w:pStyle w:val="56"/>
        <w:spacing w:line="360" w:lineRule="auto"/>
        <w:ind w:firstLine="420"/>
      </w:pPr>
      <w:r>
        <w:rPr>
          <w:rFonts w:hint="eastAsia"/>
        </w:rPr>
        <w:t>要求如下：</w:t>
      </w:r>
    </w:p>
    <w:p w14:paraId="3AB623E0">
      <w:pPr>
        <w:pStyle w:val="132"/>
        <w:spacing w:line="360" w:lineRule="auto"/>
      </w:pPr>
      <w:r>
        <w:rPr>
          <w:rFonts w:hint="eastAsia"/>
        </w:rPr>
        <w:t>系统在设计与运营过程中应尊重数据权属、安全管理和用户隐私：</w:t>
      </w:r>
    </w:p>
    <w:p w14:paraId="09792E84">
      <w:pPr>
        <w:pStyle w:val="132"/>
        <w:spacing w:line="360" w:lineRule="auto"/>
      </w:pPr>
      <w:r>
        <w:rPr>
          <w:rFonts w:hint="eastAsia"/>
        </w:rPr>
        <w:t>明确数据归属、采集目的、处理方式及保留期限；</w:t>
      </w:r>
    </w:p>
    <w:p w14:paraId="7F0274C1">
      <w:pPr>
        <w:pStyle w:val="132"/>
        <w:spacing w:line="360" w:lineRule="auto"/>
      </w:pPr>
      <w:r>
        <w:rPr>
          <w:rFonts w:hint="eastAsia"/>
        </w:rPr>
        <w:t>应设置用户信息脱敏处理机制，对涉及个人或敏感数据设定访问控制；</w:t>
      </w:r>
    </w:p>
    <w:p w14:paraId="4520D9DD">
      <w:pPr>
        <w:pStyle w:val="132"/>
        <w:spacing w:line="360" w:lineRule="auto"/>
      </w:pPr>
      <w:r>
        <w:rPr>
          <w:rFonts w:hint="eastAsia"/>
        </w:rPr>
        <w:t>建议建立数据授权发布机制，确保追溯数据使用行为符合公平、公正、透明原则；</w:t>
      </w:r>
    </w:p>
    <w:p w14:paraId="3DA21EA1">
      <w:pPr>
        <w:pStyle w:val="132"/>
        <w:spacing w:line="360" w:lineRule="auto"/>
      </w:pPr>
      <w:r>
        <w:rPr>
          <w:rFonts w:hint="eastAsia"/>
        </w:rPr>
        <w:t>应对系统进行定期安全评估与运营行为监督，提升治理效能。</w:t>
      </w:r>
    </w:p>
    <w:bookmarkEnd w:id="26"/>
    <w:p w14:paraId="5621D991">
      <w:pPr>
        <w:pStyle w:val="56"/>
        <w:ind w:firstLine="0" w:firstLineChars="0"/>
        <w:jc w:val="center"/>
      </w:pPr>
      <w:bookmarkStart w:id="57" w:name="BookMark8"/>
      <w:r>
        <w:drawing>
          <wp:inline distT="0" distB="0" distL="0" distR="0">
            <wp:extent cx="1485900" cy="317500"/>
            <wp:effectExtent l="0" t="0" r="0" b="6350"/>
            <wp:docPr id="1486862237" name="图片 1"/>
            <wp:cNvGraphicFramePr/>
            <a:graphic xmlns:a="http://schemas.openxmlformats.org/drawingml/2006/main">
              <a:graphicData uri="http://schemas.openxmlformats.org/drawingml/2006/picture">
                <pic:pic xmlns:pic="http://schemas.openxmlformats.org/drawingml/2006/picture">
                  <pic:nvPicPr>
                    <pic:cNvPr id="1486862237"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footerReference r:id="rId13" w:type="default"/>
      <w:footerReference r:id="rId14" w:type="even"/>
      <w:pgSz w:w="11906" w:h="16838"/>
      <w:pgMar w:top="1928" w:right="1134" w:bottom="1134" w:left="1134" w:header="1418" w:footer="1134" w:gutter="284"/>
      <w:pgNumType w:fmt="decimal"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7B89F">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36A10">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DB844">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5913C">
    <w:pPr>
      <w:pStyle w:val="17"/>
    </w:pPr>
    <w:r>
      <w:fldChar w:fldCharType="begin"/>
    </w:r>
    <w:r>
      <w:instrText xml:space="preserve">PAGE   \* MERGEFORMAT</w:instrText>
    </w:r>
    <w:r>
      <w:fldChar w:fldCharType="separate"/>
    </w:r>
    <w:r>
      <w:rPr>
        <w:lang w:val="zh-CN"/>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E805A">
    <w:pPr>
      <w:pStyle w:val="5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403FD">
                          <w:pPr>
                            <w:pStyle w:val="52"/>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5403FD">
                    <w:pPr>
                      <w:pStyle w:val="52"/>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EAA43">
    <w:pPr>
      <w:pStyle w:val="17"/>
    </w:pPr>
    <w:r>
      <w:rPr>
        <w:sz w:val="18"/>
      </w:rPr>
      <mc:AlternateContent>
        <mc:Choice Requires="wps">
          <w:drawing>
            <wp:anchor distT="0" distB="0" distL="114300" distR="114300" simplePos="0" relativeHeight="251660288" behindDoc="0" locked="0" layoutInCell="1" allowOverlap="1">
              <wp:simplePos x="0" y="0"/>
              <wp:positionH relativeFrom="margin">
                <wp:posOffset>66040</wp:posOffset>
              </wp:positionH>
              <wp:positionV relativeFrom="paragraph">
                <wp:posOffset>9525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9F1EF">
                          <w:pPr>
                            <w:pStyle w:val="17"/>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2pt;margin-top:0.75pt;height:144pt;width:144pt;mso-position-horizontal-relative:margin;mso-wrap-style:none;z-index:251660288;mso-width-relative:page;mso-height-relative:page;" filled="f" stroked="f" coordsize="21600,21600" o:gfxdata="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3Ayqd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5BF9F1EF">
                    <w:pPr>
                      <w:pStyle w:val="17"/>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149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EC4D8">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2BE42">
    <w:pPr>
      <w:pStyle w:val="61"/>
      <w:pBdr>
        <w:bottom w:val="none" w:color="auto" w:sz="0" w:space="0"/>
      </w:pBdr>
    </w:pPr>
    <w:r>
      <w:fldChar w:fldCharType="begin"/>
    </w:r>
    <w:r>
      <w:instrText xml:space="preserve"> STYLEREF  标准文件_文件编号  \* MERGEFORMAT </w:instrText>
    </w:r>
    <w:r>
      <w:fldChar w:fldCharType="separate"/>
    </w:r>
    <w:r>
      <w:t>T/XJBX 0030—2025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64839">
    <w:pPr>
      <w:pStyle w:val="18"/>
      <w:pBdr>
        <w:bottom w:val="none" w:color="auto" w:sz="0" w:space="0"/>
      </w:pBdr>
      <w:tabs>
        <w:tab w:val="left" w:pos="387"/>
      </w:tabs>
      <w:jc w:val="left"/>
      <w:rPr>
        <w:rFonts w:hint="eastAsia" w:eastAsia="宋体"/>
        <w:lang w:eastAsia="zh-CN"/>
      </w:rPr>
    </w:pPr>
    <w:r>
      <w:rPr>
        <w:sz w:val="21"/>
        <w:szCs w:val="21"/>
      </w:rPr>
      <w:fldChar w:fldCharType="begin"/>
    </w:r>
    <w:r>
      <w:rPr>
        <w:sz w:val="21"/>
        <w:szCs w:val="21"/>
      </w:rPr>
      <w:instrText xml:space="preserve"> STYLEREF  标准文件_文件编号  \* MERGEFORMAT </w:instrText>
    </w:r>
    <w:r>
      <w:rPr>
        <w:sz w:val="21"/>
        <w:szCs w:val="21"/>
      </w:rPr>
      <w:fldChar w:fldCharType="separate"/>
    </w:r>
    <w:r>
      <w:rPr>
        <w:sz w:val="21"/>
        <w:szCs w:val="21"/>
      </w:rPr>
      <w:t>T/XJBX 0030—2025</w:t>
    </w:r>
    <w:r>
      <w:rPr>
        <w:sz w:val="21"/>
        <w:szCs w:val="21"/>
      </w:rPr>
      <w:fldChar w:fldCharType="end"/>
    </w: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Y0NTYyMTYxMDExMDZV0lEKTi0uzszPAykwqgUAWQtpoSwAAAA="/>
  </w:docVars>
  <w:rsids>
    <w:rsidRoot w:val="0035030B"/>
    <w:rsid w:val="0000040A"/>
    <w:rsid w:val="00000A94"/>
    <w:rsid w:val="00001972"/>
    <w:rsid w:val="00001D9A"/>
    <w:rsid w:val="00007B3A"/>
    <w:rsid w:val="000107E0"/>
    <w:rsid w:val="00011FDE"/>
    <w:rsid w:val="00012FFD"/>
    <w:rsid w:val="00014162"/>
    <w:rsid w:val="0001433F"/>
    <w:rsid w:val="00014340"/>
    <w:rsid w:val="00016A9C"/>
    <w:rsid w:val="00022184"/>
    <w:rsid w:val="00022762"/>
    <w:rsid w:val="000238E0"/>
    <w:rsid w:val="000249DB"/>
    <w:rsid w:val="0002595E"/>
    <w:rsid w:val="0002759C"/>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3A5E"/>
    <w:rsid w:val="002253A1"/>
    <w:rsid w:val="00225CF8"/>
    <w:rsid w:val="002265E3"/>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30B"/>
    <w:rsid w:val="00350D1D"/>
    <w:rsid w:val="00352C83"/>
    <w:rsid w:val="00352F1A"/>
    <w:rsid w:val="0036107C"/>
    <w:rsid w:val="003615D2"/>
    <w:rsid w:val="0036429C"/>
    <w:rsid w:val="00364A53"/>
    <w:rsid w:val="003654CB"/>
    <w:rsid w:val="00365AA9"/>
    <w:rsid w:val="00365F86"/>
    <w:rsid w:val="00365F87"/>
    <w:rsid w:val="00366E89"/>
    <w:rsid w:val="003705F4"/>
    <w:rsid w:val="00370677"/>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E7D1A"/>
    <w:rsid w:val="003F0841"/>
    <w:rsid w:val="003F23D3"/>
    <w:rsid w:val="003F3F08"/>
    <w:rsid w:val="003F49F1"/>
    <w:rsid w:val="003F6272"/>
    <w:rsid w:val="00400E72"/>
    <w:rsid w:val="00401400"/>
    <w:rsid w:val="00404869"/>
    <w:rsid w:val="00405884"/>
    <w:rsid w:val="00407D39"/>
    <w:rsid w:val="0041477A"/>
    <w:rsid w:val="004167A3"/>
    <w:rsid w:val="004267C6"/>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3EFB"/>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6E5"/>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630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1D4F"/>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17"/>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0FC"/>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8F6"/>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692"/>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A7F47"/>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720"/>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243"/>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1D6A"/>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5C88"/>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4899"/>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D6843F3"/>
    <w:rsid w:val="3057642D"/>
    <w:rsid w:val="47B02968"/>
    <w:rsid w:val="743109A4"/>
    <w:rsid w:val="7E227BB4"/>
    <w:rsid w:val="7FFE7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DC2C5CF06834D088069212347B4660A"/>
        <w:style w:val=""/>
        <w:category>
          <w:name w:val="常规"/>
          <w:gallery w:val="placeholder"/>
        </w:category>
        <w:types>
          <w:type w:val="bbPlcHdr"/>
        </w:types>
        <w:behaviors>
          <w:behavior w:val="content"/>
        </w:behaviors>
        <w:description w:val=""/>
        <w:guid w:val="{5FB8244A-0DF5-4262-9FF3-5E1A09BD1702}"/>
      </w:docPartPr>
      <w:docPartBody>
        <w:p w14:paraId="4338E765">
          <w:pPr>
            <w:pStyle w:val="5"/>
          </w:pPr>
          <w:r>
            <w:rPr>
              <w:rStyle w:val="4"/>
              <w:rFonts w:hint="eastAsia"/>
            </w:rPr>
            <w:t>单击或点击此处输入文字。</w:t>
          </w:r>
        </w:p>
      </w:docPartBody>
    </w:docPart>
    <w:docPart>
      <w:docPartPr>
        <w:name w:val="BE25AF06B480431D94AD3AB1D8587B75"/>
        <w:style w:val=""/>
        <w:category>
          <w:name w:val="常规"/>
          <w:gallery w:val="placeholder"/>
        </w:category>
        <w:types>
          <w:type w:val="bbPlcHdr"/>
        </w:types>
        <w:behaviors>
          <w:behavior w:val="content"/>
        </w:behaviors>
        <w:description w:val=""/>
        <w:guid w:val="{0F9DCC91-C8E7-4672-94F1-EF74F3882539}"/>
      </w:docPartPr>
      <w:docPartBody>
        <w:p w14:paraId="491473B1">
          <w:pPr>
            <w:pStyle w:val="6"/>
          </w:pPr>
          <w:r>
            <w:rPr>
              <w:rStyle w:val="4"/>
              <w:rFonts w:hint="eastAsia"/>
            </w:rPr>
            <w:t>选择一项。</w:t>
          </w:r>
        </w:p>
      </w:docPartBody>
    </w:docPart>
    <w:docPart>
      <w:docPartPr>
        <w:name w:val="D42D0BE05FD54CA1A79254476EA610AC"/>
        <w:style w:val=""/>
        <w:category>
          <w:name w:val="常规"/>
          <w:gallery w:val="placeholder"/>
        </w:category>
        <w:types>
          <w:type w:val="bbPlcHdr"/>
        </w:types>
        <w:behaviors>
          <w:behavior w:val="content"/>
        </w:behaviors>
        <w:description w:val=""/>
        <w:guid w:val="{59204040-E702-41FB-BE1E-1E0CA4BB5F5B}"/>
      </w:docPartPr>
      <w:docPartBody>
        <w:p w14:paraId="77D0005C">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01"/>
    <w:rsid w:val="001647F4"/>
    <w:rsid w:val="003B3B50"/>
    <w:rsid w:val="004267C6"/>
    <w:rsid w:val="00483EFB"/>
    <w:rsid w:val="00557E01"/>
    <w:rsid w:val="005851F0"/>
    <w:rsid w:val="008D1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DC2C5CF06834D088069212347B4660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BE25AF06B480431D94AD3AB1D8587B75"/>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D42D0BE05FD54CA1A79254476EA610A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13</Pages>
  <Words>3661</Words>
  <Characters>3936</Characters>
  <Lines>36</Lines>
  <Paragraphs>10</Paragraphs>
  <TotalTime>6</TotalTime>
  <ScaleCrop>false</ScaleCrop>
  <LinksUpToDate>false</LinksUpToDate>
  <CharactersWithSpaces>4016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2025-06-09T02:39:00Z</dcterms:created>
  <dc:creator>韩梦莹</dc:creator>
  <dc:description>&lt;config cover="true" show_menu="true" version="1.0.0" doctype="SDKXY"&gt;_x000d_
&lt;/config&gt;</dc:description>
  <cp:lastModifiedBy>微信用户</cp:lastModifiedBy>
  <cp:lastPrinted>2021-02-02T08:22:00Z</cp:lastPrinted>
  <dcterms:modified xsi:type="dcterms:W3CDTF">2025-06-11T02:22:14Z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eyJoZGlkIjoiYjU3OWNmZWNhOTU1OGIzZjViZTdhZWJmNzZlMzNmYTYiLCJ1c2VySWQiOiIxNDE1OTEzOTEwIn0=</vt:lpwstr>
  </property>
  <property fmtid="{D5CDD505-2E9C-101B-9397-08002B2CF9AE}" pid="15" name="KSOProductBuildVer">
    <vt:lpwstr>2052-12.1.0.21541</vt:lpwstr>
  </property>
  <property fmtid="{D5CDD505-2E9C-101B-9397-08002B2CF9AE}" pid="16" name="ICV">
    <vt:lpwstr>03203A7E24084BA28E5F5AE5CFFF9EA5_12</vt:lpwstr>
  </property>
</Properties>
</file>