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639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F44918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490131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03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13.030.20</w:t>
            </w:r>
            <w:r>
              <w:rPr>
                <w:rFonts w:ascii="黑体" w:hAnsi="黑体" w:eastAsia="黑体"/>
                <w:sz w:val="21"/>
                <w:szCs w:val="21"/>
              </w:rPr>
              <w:fldChar w:fldCharType="end"/>
            </w:r>
            <w:bookmarkEnd w:id="0"/>
          </w:p>
        </w:tc>
      </w:tr>
      <w:tr w14:paraId="39AC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09E02C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F037A3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8DE30D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XJBX</w:t>
                  </w:r>
                  <w:r>
                    <w:fldChar w:fldCharType="end"/>
                  </w:r>
                  <w:bookmarkEnd w:id="1"/>
                </w:p>
              </w:tc>
            </w:tr>
          </w:tbl>
          <w:p w14:paraId="7373B9C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41"/>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41</w:t>
            </w:r>
            <w:r>
              <w:rPr>
                <w:rFonts w:ascii="黑体" w:hAnsi="黑体" w:eastAsia="黑体"/>
                <w:sz w:val="21"/>
                <w:szCs w:val="21"/>
              </w:rPr>
              <w:fldChar w:fldCharType="end"/>
            </w:r>
            <w:bookmarkEnd w:id="2"/>
          </w:p>
        </w:tc>
      </w:tr>
    </w:tbl>
    <w:p w14:paraId="1FF5CB6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389240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XJBX</w:t>
      </w:r>
      <w:r>
        <w:fldChar w:fldCharType="end"/>
      </w:r>
      <w:bookmarkEnd w:id="5"/>
      <w:r>
        <w:t xml:space="preserve"> </w:t>
      </w:r>
      <w:bookmarkStart w:id="6" w:name="NSTD_CODE_F"/>
      <w:r>
        <w:rPr>
          <w:rFonts w:hint="eastAsia" w:ascii="黑体" w:hAnsi="Times New Roman" w:eastAsia="黑体" w:cs="Times New Roman"/>
          <w:bCs/>
          <w:sz w:val="28"/>
          <w:szCs w:val="28"/>
          <w:lang w:val="en-US" w:eastAsia="zh-CN" w:bidi="ar-SA"/>
        </w:rPr>
        <w:fldChar w:fldCharType="begin">
          <w:ffData>
            <w:name w:val="NSTD_CODE_F"/>
            <w:enabled/>
            <w:calcOnExit w:val="0"/>
            <w:textInput>
              <w:default w:val="0028"/>
            </w:textInput>
          </w:ffData>
        </w:fldChar>
      </w:r>
      <w:r>
        <w:rPr>
          <w:rFonts w:hint="eastAsia" w:ascii="黑体" w:hAnsi="Times New Roman" w:eastAsia="黑体" w:cs="Times New Roman"/>
          <w:bCs/>
          <w:sz w:val="28"/>
          <w:szCs w:val="28"/>
          <w:lang w:val="en-US" w:eastAsia="zh-CN" w:bidi="ar-SA"/>
        </w:rPr>
        <w:instrText xml:space="preserve">FORMTEXT</w:instrText>
      </w:r>
      <w:r>
        <w:rPr>
          <w:rFonts w:hint="eastAsia" w:ascii="黑体" w:hAnsi="Times New Roman" w:eastAsia="黑体" w:cs="Times New Roman"/>
          <w:bCs/>
          <w:sz w:val="28"/>
          <w:szCs w:val="28"/>
          <w:lang w:val="en-US" w:eastAsia="zh-CN" w:bidi="ar-SA"/>
        </w:rPr>
        <w:fldChar w:fldCharType="separate"/>
      </w:r>
      <w:r>
        <w:rPr>
          <w:rFonts w:hint="eastAsia" w:ascii="黑体" w:hAnsi="Times New Roman" w:eastAsia="黑体" w:cs="Times New Roman"/>
          <w:bCs/>
          <w:sz w:val="28"/>
          <w:szCs w:val="28"/>
          <w:lang w:val="en-US" w:eastAsia="zh-CN" w:bidi="ar-SA"/>
        </w:rPr>
        <w:t>0028</w:t>
      </w:r>
      <w:r>
        <w:rPr>
          <w:rFonts w:hint="eastAsia"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2F390DAB">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ACE382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144C301E">
      <w:pPr>
        <w:pStyle w:val="50"/>
        <w:framePr w:w="9639" w:h="6976" w:hRule="exact" w:hSpace="0" w:vSpace="0" w:wrap="around" w:hAnchor="page" w:y="6408"/>
        <w:jc w:val="center"/>
        <w:rPr>
          <w:rFonts w:ascii="黑体" w:hAnsi="黑体" w:eastAsia="黑体"/>
          <w:b w:val="0"/>
          <w:bCs w:val="0"/>
          <w:w w:val="100"/>
        </w:rPr>
      </w:pPr>
    </w:p>
    <w:p w14:paraId="49DEB87A">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生活污水资源化利用技术指南</w:t>
      </w:r>
      <w:r>
        <w:fldChar w:fldCharType="end"/>
      </w:r>
      <w:bookmarkEnd w:id="9"/>
    </w:p>
    <w:p w14:paraId="00580866">
      <w:pPr>
        <w:framePr w:w="9639" w:h="6974" w:hRule="exact" w:wrap="around" w:vAnchor="page" w:hAnchor="page" w:x="1419" w:y="6408" w:anchorLock="1"/>
        <w:ind w:left="-1418"/>
      </w:pPr>
    </w:p>
    <w:p w14:paraId="4C46EFFE">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Technical guidelines for resource utilization of domestic wastewater"/>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guidelines for resource utilization of domestic wastewater</w:t>
      </w:r>
      <w:r>
        <w:rPr>
          <w:rFonts w:ascii="黑体" w:hAnsi="黑体" w:eastAsia="黑体"/>
          <w:szCs w:val="28"/>
        </w:rPr>
        <w:fldChar w:fldCharType="end"/>
      </w:r>
      <w:bookmarkEnd w:id="10"/>
    </w:p>
    <w:p w14:paraId="5871D34B">
      <w:pPr>
        <w:framePr w:w="9639" w:h="6974" w:hRule="exact" w:wrap="around" w:vAnchor="page" w:hAnchor="page" w:x="1419" w:y="6408" w:anchorLock="1"/>
        <w:spacing w:line="760" w:lineRule="exact"/>
        <w:ind w:left="-1418"/>
      </w:pPr>
    </w:p>
    <w:p w14:paraId="21C3BB51">
      <w:pPr>
        <w:pStyle w:val="125"/>
        <w:framePr w:w="9639" w:h="6974" w:hRule="exact" w:wrap="around" w:vAnchor="page" w:hAnchor="page" w:x="1419" w:y="6408" w:anchorLock="1"/>
        <w:textAlignment w:val="bottom"/>
        <w:rPr>
          <w:rFonts w:eastAsia="黑体"/>
          <w:szCs w:val="28"/>
        </w:rPr>
      </w:pPr>
    </w:p>
    <w:p w14:paraId="6CF5C87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C17BC3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59B8A8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B1E380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1576BD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1D0B2AF">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E63910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7A72D5C">
      <w:pPr>
        <w:pStyle w:val="91"/>
        <w:spacing w:after="360"/>
      </w:pPr>
      <w:bookmarkStart w:id="21" w:name="BookMark1"/>
      <w:r>
        <w:rPr>
          <w:rFonts w:hint="eastAsia"/>
          <w:spacing w:val="320"/>
        </w:rPr>
        <w:t>目</w:t>
      </w:r>
      <w:r>
        <w:rPr>
          <w:rFonts w:hint="eastAsia"/>
        </w:rPr>
        <w:t>次</w:t>
      </w:r>
    </w:p>
    <w:p w14:paraId="392024C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"_Toc200352476"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_Toc200352476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130810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"_Toc200352477"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_Toc200352477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5CD19D2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"_Toc200352478"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_Toc200352478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086342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"_Toc200352479"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_Toc200352479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78AF62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"_Toc200352480"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_Toc200352480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913506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"_Toc200352481" </w:instrText>
      </w:r>
      <w:r>
        <w:fldChar w:fldCharType="separate"/>
      </w:r>
      <w:r>
        <w:rPr>
          <w:rStyle w:val="32"/>
          <w:rFonts w:hint="eastAsia"/>
        </w:rPr>
        <w:t>4</w:t>
      </w:r>
      <w:r>
        <w:rPr>
          <w:rStyle w:val="32"/>
        </w:rPr>
        <w:t xml:space="preserve"> </w:t>
      </w:r>
      <w:r>
        <w:rPr>
          <w:rStyle w:val="32"/>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_Toc200352481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500456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"_Toc200352482" </w:instrText>
      </w:r>
      <w:r>
        <w:fldChar w:fldCharType="separate"/>
      </w:r>
      <w:r>
        <w:rPr>
          <w:rStyle w:val="32"/>
          <w:rFonts w:hint="eastAsia"/>
        </w:rPr>
        <w:t>5</w:t>
      </w:r>
      <w:r>
        <w:rPr>
          <w:rStyle w:val="32"/>
        </w:rPr>
        <w:t xml:space="preserve"> </w:t>
      </w:r>
      <w:r>
        <w:rPr>
          <w:rStyle w:val="32"/>
          <w:rFonts w:hint="eastAsia"/>
        </w:rPr>
        <w:t xml:space="preserve"> 工艺路线与分类</w:t>
      </w:r>
      <w:r>
        <w:rPr>
          <w:rFonts w:hint="eastAsia"/>
        </w:rPr>
        <w:tab/>
      </w:r>
      <w:r>
        <w:rPr>
          <w:rFonts w:hint="eastAsia"/>
        </w:rPr>
        <w:fldChar w:fldCharType="begin"/>
      </w:r>
      <w:r>
        <w:rPr>
          <w:rFonts w:hint="eastAsia"/>
        </w:rPr>
        <w:instrText xml:space="preserve"> </w:instrText>
      </w:r>
      <w:r>
        <w:instrText xml:space="preserve">PAGEREF _Toc200352482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6734CE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"_Toc200352483" </w:instrText>
      </w:r>
      <w:r>
        <w:fldChar w:fldCharType="separate"/>
      </w:r>
      <w:r>
        <w:rPr>
          <w:rStyle w:val="32"/>
          <w:rFonts w:hint="eastAsia"/>
        </w:rPr>
        <w:t>6</w:t>
      </w:r>
      <w:r>
        <w:rPr>
          <w:rStyle w:val="32"/>
        </w:rPr>
        <w:t xml:space="preserve"> </w:t>
      </w:r>
      <w:r>
        <w:rPr>
          <w:rStyle w:val="32"/>
          <w:rFonts w:hint="eastAsia"/>
        </w:rPr>
        <w:t xml:space="preserve"> 关键技术</w:t>
      </w:r>
      <w:r>
        <w:rPr>
          <w:rFonts w:hint="eastAsia"/>
        </w:rPr>
        <w:tab/>
      </w:r>
      <w:r>
        <w:rPr>
          <w:rFonts w:hint="eastAsia"/>
        </w:rPr>
        <w:fldChar w:fldCharType="begin"/>
      </w:r>
      <w:r>
        <w:rPr>
          <w:rFonts w:hint="eastAsia"/>
        </w:rPr>
        <w:instrText xml:space="preserve"> </w:instrText>
      </w:r>
      <w:r>
        <w:instrText xml:space="preserve">PAGEREF _Toc200352483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05ABEA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"_Toc200352484" </w:instrText>
      </w:r>
      <w:r>
        <w:fldChar w:fldCharType="separate"/>
      </w:r>
      <w:r>
        <w:rPr>
          <w:rStyle w:val="32"/>
          <w:rFonts w:hint="eastAsia"/>
        </w:rPr>
        <w:t>7</w:t>
      </w:r>
      <w:r>
        <w:rPr>
          <w:rStyle w:val="32"/>
        </w:rPr>
        <w:t xml:space="preserve"> </w:t>
      </w:r>
      <w:r>
        <w:rPr>
          <w:rStyle w:val="32"/>
          <w:rFonts w:hint="eastAsia"/>
        </w:rPr>
        <w:t xml:space="preserve"> 运行与管理</w:t>
      </w:r>
      <w:r>
        <w:rPr>
          <w:rFonts w:hint="eastAsia"/>
        </w:rPr>
        <w:tab/>
      </w:r>
      <w:r>
        <w:rPr>
          <w:rFonts w:hint="eastAsia"/>
        </w:rPr>
        <w:fldChar w:fldCharType="begin"/>
      </w:r>
      <w:r>
        <w:rPr>
          <w:rFonts w:hint="eastAsia"/>
        </w:rPr>
        <w:instrText xml:space="preserve"> </w:instrText>
      </w:r>
      <w:r>
        <w:instrText xml:space="preserve">PAGEREF _Toc200352484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451842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"_Toc200352485" </w:instrText>
      </w:r>
      <w:r>
        <w:fldChar w:fldCharType="separate"/>
      </w:r>
      <w:r>
        <w:rPr>
          <w:rStyle w:val="32"/>
          <w:rFonts w:hint="eastAsia"/>
        </w:rPr>
        <w:t>8</w:t>
      </w:r>
      <w:r>
        <w:rPr>
          <w:rStyle w:val="32"/>
        </w:rPr>
        <w:t xml:space="preserve"> </w:t>
      </w:r>
      <w:r>
        <w:rPr>
          <w:rStyle w:val="32"/>
          <w:rFonts w:hint="eastAsia"/>
        </w:rPr>
        <w:t xml:space="preserve"> 效益评估方法</w:t>
      </w:r>
      <w:r>
        <w:rPr>
          <w:rFonts w:hint="eastAsia"/>
        </w:rPr>
        <w:tab/>
      </w:r>
      <w:r>
        <w:rPr>
          <w:rFonts w:hint="eastAsia"/>
        </w:rPr>
        <w:fldChar w:fldCharType="begin"/>
      </w:r>
      <w:r>
        <w:rPr>
          <w:rFonts w:hint="eastAsia"/>
        </w:rPr>
        <w:instrText xml:space="preserve"> </w:instrText>
      </w:r>
      <w:r>
        <w:instrText xml:space="preserve">PAGEREF _Toc200352485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647CAC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"_Toc200352486" </w:instrText>
      </w:r>
      <w:r>
        <w:fldChar w:fldCharType="separate"/>
      </w:r>
      <w:r>
        <w:rPr>
          <w:rStyle w:val="32"/>
          <w:rFonts w:hint="eastAsia"/>
        </w:rPr>
        <w:t>9</w:t>
      </w:r>
      <w:r>
        <w:rPr>
          <w:rStyle w:val="32"/>
        </w:rPr>
        <w:t xml:space="preserve"> </w:t>
      </w:r>
      <w:r>
        <w:rPr>
          <w:rStyle w:val="32"/>
          <w:rFonts w:hint="eastAsia"/>
        </w:rPr>
        <w:t xml:space="preserve"> 推广应用建议</w:t>
      </w:r>
      <w:r>
        <w:rPr>
          <w:rFonts w:hint="eastAsia"/>
        </w:rPr>
        <w:tab/>
      </w:r>
      <w:r>
        <w:rPr>
          <w:rFonts w:hint="eastAsia"/>
        </w:rPr>
        <w:fldChar w:fldCharType="begin"/>
      </w:r>
      <w:r>
        <w:rPr>
          <w:rFonts w:hint="eastAsia"/>
        </w:rPr>
        <w:instrText xml:space="preserve"> </w:instrText>
      </w:r>
      <w:r>
        <w:instrText xml:space="preserve">PAGEREF _Toc200352486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9EE563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11DAEC4B">
      <w:pPr>
        <w:pStyle w:val="89"/>
        <w:spacing w:before="900" w:after="360"/>
      </w:pPr>
      <w:bookmarkStart w:id="22" w:name="_Toc200352476"/>
      <w:bookmarkStart w:id="23" w:name="BookMark2"/>
      <w:r>
        <w:rPr>
          <w:rFonts w:hint="eastAsia"/>
          <w:spacing w:val="320"/>
        </w:rPr>
        <w:t>前</w:t>
      </w:r>
      <w:r>
        <w:rPr>
          <w:rFonts w:hint="eastAsia"/>
        </w:rPr>
        <w:t>言</w:t>
      </w:r>
      <w:bookmarkEnd w:id="22"/>
    </w:p>
    <w:p w14:paraId="701C3AA3">
      <w:pPr>
        <w:pStyle w:val="56"/>
        <w:spacing w:line="360" w:lineRule="auto"/>
        <w:ind w:firstLine="420"/>
      </w:pPr>
      <w:r>
        <w:rPr>
          <w:rFonts w:hint="eastAsia"/>
        </w:rPr>
        <w:t>本文件按照GB/T 1.1—2020《标准化工作导则  第1部分：标准化文件的结构和起草规则》的规定起草。</w:t>
      </w:r>
    </w:p>
    <w:p w14:paraId="0173E1B5">
      <w:pPr>
        <w:pStyle w:val="56"/>
        <w:spacing w:line="360" w:lineRule="auto"/>
        <w:ind w:firstLine="420"/>
      </w:pPr>
      <w:r>
        <w:rPr>
          <w:rFonts w:hint="eastAsia"/>
        </w:rPr>
        <w:t>本文件由西安市计量标准检测认证协会提出并归口。</w:t>
      </w:r>
    </w:p>
    <w:p w14:paraId="72F7CD98">
      <w:pPr>
        <w:pStyle w:val="56"/>
        <w:spacing w:line="360" w:lineRule="auto"/>
        <w:ind w:firstLine="420"/>
      </w:pPr>
      <w:r>
        <w:rPr>
          <w:rFonts w:hint="eastAsia"/>
        </w:rPr>
        <w:t>本文件起草单位：山东新汇建设集团有限公司、山东省济南市天桥区水务服务中心、浙江新中环建筑设计有限公司、无锡市科泓环境工程技术有限责任公司、沧州市水利工程质量技术中心</w:t>
      </w:r>
      <w:r>
        <w:rPr>
          <w:rFonts w:hint="eastAsia"/>
          <w:lang w:eastAsia="zh-CN"/>
        </w:rPr>
        <w:t>、重庆许耀城文化传播有限公司</w:t>
      </w:r>
      <w:r>
        <w:rPr>
          <w:rFonts w:hint="eastAsia"/>
        </w:rPr>
        <w:t>。</w:t>
      </w:r>
    </w:p>
    <w:p w14:paraId="63F84A5F">
      <w:pPr>
        <w:pStyle w:val="56"/>
        <w:spacing w:line="360" w:lineRule="auto"/>
        <w:ind w:firstLine="420"/>
      </w:pPr>
      <w:r>
        <w:rPr>
          <w:rFonts w:hint="eastAsia"/>
        </w:rPr>
        <w:t>本文件主要起草人：丁志刚、杜晓燕、房元、王正兰、张丽莉</w:t>
      </w:r>
      <w:r>
        <w:rPr>
          <w:rFonts w:hint="eastAsia"/>
          <w:lang w:eastAsia="zh-CN"/>
        </w:rPr>
        <w:t>、许耀城</w:t>
      </w:r>
      <w:r>
        <w:rPr>
          <w:rFonts w:hint="eastAsia"/>
        </w:rPr>
        <w:t>。</w:t>
      </w:r>
      <w:bookmarkStart w:id="58" w:name="_GoBack"/>
      <w:bookmarkEnd w:id="58"/>
    </w:p>
    <w:p w14:paraId="1876E10D">
      <w:pPr>
        <w:pStyle w:val="56"/>
        <w:ind w:firstLine="420"/>
      </w:pPr>
    </w:p>
    <w:p w14:paraId="5DBB78DE">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p>
    <w:bookmarkEnd w:id="23"/>
    <w:p w14:paraId="70B67038">
      <w:pPr>
        <w:pStyle w:val="89"/>
        <w:spacing w:after="360"/>
      </w:pPr>
      <w:bookmarkStart w:id="24" w:name="_Toc200352477"/>
      <w:bookmarkStart w:id="25" w:name="BookMark3"/>
      <w:r>
        <w:rPr>
          <w:rFonts w:hint="eastAsia"/>
          <w:spacing w:val="320"/>
        </w:rPr>
        <w:t>引</w:t>
      </w:r>
      <w:r>
        <w:rPr>
          <w:rFonts w:hint="eastAsia"/>
        </w:rPr>
        <w:t>言</w:t>
      </w:r>
      <w:bookmarkEnd w:id="24"/>
    </w:p>
    <w:p w14:paraId="4D6A6575">
      <w:pPr>
        <w:pStyle w:val="56"/>
        <w:spacing w:line="360" w:lineRule="auto"/>
        <w:ind w:firstLine="420"/>
      </w:pPr>
      <w:r>
        <w:rPr>
          <w:rFonts w:hint="eastAsia"/>
        </w:rPr>
        <w:t>随着人口集中与城镇化进程加快，生活污水排放量持续增长，水体污染问题日益突出。传统污水处理方式侧重达标排放，资源回收利用水平较低，造成水资源浪费与能耗上升。推动生活污水的资源化利用，是缓解水资源短缺、实现绿色循环发展与“双碳”目标的重要路径。</w:t>
      </w:r>
    </w:p>
    <w:p w14:paraId="6FB31766">
      <w:pPr>
        <w:pStyle w:val="56"/>
        <w:spacing w:line="360" w:lineRule="auto"/>
        <w:ind w:firstLine="420"/>
      </w:pPr>
      <w:r>
        <w:rPr>
          <w:rFonts w:hint="eastAsia"/>
        </w:rPr>
        <w:t>本文件聚焦生活污水中可再利用水资源、能源和营养物质等潜力，通过规范工艺选择、技术集成与运行管理，为城乡生活污水资源化利用提供系统化技术指南。本文件适用于市政社区、农村聚落、园区单位等多类场景，旨在提升污水治理水平与资源综合利用效益。</w:t>
      </w:r>
    </w:p>
    <w:p w14:paraId="76AFCEBB">
      <w:pPr>
        <w:pStyle w:val="56"/>
        <w:ind w:firstLine="420"/>
      </w:pPr>
    </w:p>
    <w:p w14:paraId="14886713">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0CC0A9BF">
      <w:pPr>
        <w:spacing w:line="20" w:lineRule="exact"/>
        <w:jc w:val="center"/>
        <w:rPr>
          <w:rFonts w:ascii="黑体" w:hAnsi="黑体" w:eastAsia="黑体"/>
          <w:sz w:val="32"/>
          <w:szCs w:val="32"/>
        </w:rPr>
      </w:pPr>
      <w:bookmarkStart w:id="26" w:name="BookMark4"/>
    </w:p>
    <w:p w14:paraId="563CBED4">
      <w:pPr>
        <w:spacing w:line="20" w:lineRule="exact"/>
        <w:jc w:val="center"/>
        <w:rPr>
          <w:rFonts w:ascii="黑体" w:hAnsi="黑体" w:eastAsia="黑体"/>
          <w:sz w:val="32"/>
          <w:szCs w:val="32"/>
        </w:rPr>
      </w:pPr>
    </w:p>
    <w:sdt>
      <w:sdtPr>
        <w:tag w:val="NEW_STAND_NAME"/>
        <w:id w:val="595910757"/>
        <w:lock w:val="sdtLocked"/>
        <w:placeholder>
          <w:docPart w:val="B8FC4FD7CCD94F8E8EAFBCEFCAB683BD"/>
        </w:placeholder>
      </w:sdtPr>
      <w:sdtContent>
        <w:p w14:paraId="7371BEED">
          <w:pPr>
            <w:pStyle w:val="177"/>
            <w:spacing w:before="240" w:beforeLines="100" w:after="528" w:afterLines="220"/>
          </w:pPr>
          <w:bookmarkStart w:id="27" w:name="NEW_STAND_NAME"/>
          <w:r>
            <w:rPr>
              <w:rFonts w:hint="eastAsia"/>
            </w:rPr>
            <w:t>生活污水资源化利用技术指南</w:t>
          </w:r>
        </w:p>
      </w:sdtContent>
    </w:sdt>
    <w:bookmarkEnd w:id="27"/>
    <w:p w14:paraId="6DB68A39">
      <w:pPr>
        <w:pStyle w:val="104"/>
        <w:spacing w:before="240" w:after="240"/>
      </w:pPr>
      <w:bookmarkStart w:id="28" w:name="_Toc97192964"/>
      <w:bookmarkStart w:id="29" w:name="_Toc24884211"/>
      <w:bookmarkStart w:id="30" w:name="_Toc26718930"/>
      <w:bookmarkStart w:id="31" w:name="_Toc26986771"/>
      <w:bookmarkStart w:id="32" w:name="_Toc200352478"/>
      <w:bookmarkStart w:id="33" w:name="_Toc26648465"/>
      <w:bookmarkStart w:id="34" w:name="_Toc17233325"/>
      <w:bookmarkStart w:id="35" w:name="_Toc17233333"/>
      <w:bookmarkStart w:id="36" w:name="_Toc24884218"/>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49087F49">
      <w:pPr>
        <w:pStyle w:val="56"/>
        <w:spacing w:line="360" w:lineRule="auto"/>
        <w:ind w:firstLine="420"/>
      </w:pPr>
      <w:bookmarkStart w:id="38" w:name="_Toc24884212"/>
      <w:bookmarkStart w:id="39" w:name="_Toc17233326"/>
      <w:bookmarkStart w:id="40" w:name="_Toc17233334"/>
      <w:bookmarkStart w:id="41" w:name="_Toc24884219"/>
      <w:bookmarkStart w:id="42" w:name="_Toc26648466"/>
      <w:r>
        <w:rPr>
          <w:rFonts w:hint="eastAsia"/>
        </w:rPr>
        <w:t>本文件规定了生活污水资源化利用的总体要求、工艺路线与分类、关键技术、运行与管理、效益评估方法和推广应用建议。</w:t>
      </w:r>
    </w:p>
    <w:p w14:paraId="0EE19DED">
      <w:pPr>
        <w:pStyle w:val="56"/>
        <w:spacing w:line="360" w:lineRule="auto"/>
        <w:ind w:firstLine="420"/>
      </w:pPr>
      <w:r>
        <w:rPr>
          <w:rFonts w:hint="eastAsia"/>
        </w:rPr>
        <w:t>本文件适用于城乡生活污水资源化利用工程的设计、建设、运行和管理，不适用于工业废水或含有特殊污染物的排水处理。</w:t>
      </w:r>
    </w:p>
    <w:p w14:paraId="00745243">
      <w:pPr>
        <w:pStyle w:val="104"/>
        <w:spacing w:before="240" w:after="240" w:line="360" w:lineRule="auto"/>
      </w:pPr>
      <w:bookmarkStart w:id="43" w:name="_Toc26718931"/>
      <w:bookmarkStart w:id="44" w:name="_Toc97192965"/>
      <w:bookmarkStart w:id="45" w:name="_Toc26986772"/>
      <w:bookmarkStart w:id="46" w:name="_Toc26986531"/>
      <w:bookmarkStart w:id="47" w:name="_Toc20035247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6A34E317940719D9B594B88805D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9847A8F">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5E657D">
      <w:pPr>
        <w:pStyle w:val="56"/>
        <w:spacing w:line="360" w:lineRule="auto"/>
        <w:ind w:firstLine="420"/>
      </w:pPr>
      <w:r>
        <w:t>GB 50335</w:t>
      </w:r>
      <w:r>
        <w:rPr>
          <w:rFonts w:hint="eastAsia"/>
        </w:rPr>
        <w:t>—</w:t>
      </w:r>
      <w:r>
        <w:t>2016</w:t>
      </w:r>
      <w:r>
        <w:rPr>
          <w:rFonts w:hint="eastAsia"/>
        </w:rPr>
        <w:t xml:space="preserve"> 城镇污水再生利用工程设计规范</w:t>
      </w:r>
    </w:p>
    <w:p w14:paraId="58280E7A">
      <w:pPr>
        <w:pStyle w:val="56"/>
        <w:spacing w:line="360" w:lineRule="auto"/>
        <w:ind w:firstLine="420"/>
      </w:pPr>
      <w:r>
        <w:rPr>
          <w:rFonts w:hint="eastAsia"/>
        </w:rPr>
        <w:t>GB/T 34173—2017 城镇排水与污水处理服务</w:t>
      </w:r>
    </w:p>
    <w:p w14:paraId="526851D3">
      <w:pPr>
        <w:pStyle w:val="104"/>
        <w:spacing w:before="240" w:after="240" w:line="360" w:lineRule="auto"/>
      </w:pPr>
      <w:bookmarkStart w:id="48" w:name="_Toc97192966"/>
      <w:bookmarkStart w:id="49" w:name="_Toc200352480"/>
      <w:r>
        <w:rPr>
          <w:rFonts w:hint="eastAsia"/>
          <w:szCs w:val="21"/>
        </w:rPr>
        <w:t>术语和定义</w:t>
      </w:r>
      <w:bookmarkEnd w:id="48"/>
      <w:bookmarkEnd w:id="49"/>
    </w:p>
    <w:sdt>
      <w:sdtPr>
        <w:id w:val="-1909835108"/>
        <w:placeholder>
          <w:docPart w:val="96399E7AF6484C73A969C6F6794E33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717F2E8">
          <w:pPr>
            <w:pStyle w:val="56"/>
            <w:spacing w:line="360" w:lineRule="auto"/>
            <w:ind w:firstLine="420"/>
          </w:pPr>
          <w:bookmarkStart w:id="50" w:name="_Toc26986532"/>
          <w:bookmarkEnd w:id="50"/>
          <w:r>
            <w:t>下列术语和定义适用于本文件。</w:t>
          </w:r>
        </w:p>
      </w:sdtContent>
    </w:sdt>
    <w:p w14:paraId="64277D9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生活污水 domestic sewage</w:t>
      </w:r>
    </w:p>
    <w:p w14:paraId="5A098489">
      <w:pPr>
        <w:pStyle w:val="56"/>
        <w:spacing w:line="360" w:lineRule="auto"/>
        <w:ind w:firstLine="420"/>
      </w:pPr>
      <w:r>
        <w:rPr>
          <w:rFonts w:hint="eastAsia"/>
        </w:rPr>
        <w:t>来自居民生活的排水，包括厨房、洗涤、沐浴、厕所排水等，不含工业或农业污染源。</w:t>
      </w:r>
    </w:p>
    <w:p w14:paraId="1F2F6C7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资源化利用 resource utilization</w:t>
      </w:r>
    </w:p>
    <w:p w14:paraId="7961DC8F">
      <w:pPr>
        <w:pStyle w:val="56"/>
        <w:spacing w:line="360" w:lineRule="auto"/>
        <w:ind w:firstLine="420"/>
      </w:pPr>
      <w:r>
        <w:rPr>
          <w:rFonts w:hint="eastAsia"/>
        </w:rPr>
        <w:t>指将污水中的水、能量、营养物等进行提取、转化和再利用的过程。</w:t>
      </w:r>
    </w:p>
    <w:p w14:paraId="45668DB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污水源热能利用 wastewater-source heat energy utilization</w:t>
      </w:r>
    </w:p>
    <w:p w14:paraId="3CCE6D4C">
      <w:pPr>
        <w:pStyle w:val="56"/>
        <w:spacing w:line="360" w:lineRule="auto"/>
        <w:ind w:firstLine="420"/>
      </w:pPr>
      <w:r>
        <w:rPr>
          <w:rFonts w:hint="eastAsia"/>
        </w:rPr>
        <w:t>指利用污水中蕴含的低位热能进行供热、供冷等能源回收过程。</w:t>
      </w:r>
    </w:p>
    <w:p w14:paraId="5A860A55">
      <w:pPr>
        <w:pStyle w:val="104"/>
        <w:spacing w:before="240" w:after="240" w:line="360" w:lineRule="auto"/>
      </w:pPr>
      <w:bookmarkStart w:id="51" w:name="_Toc200352481"/>
      <w:r>
        <w:rPr>
          <w:rFonts w:hint="eastAsia"/>
        </w:rPr>
        <w:t>总体要求</w:t>
      </w:r>
      <w:bookmarkEnd w:id="51"/>
    </w:p>
    <w:p w14:paraId="63474767">
      <w:pPr>
        <w:pStyle w:val="105"/>
        <w:spacing w:before="120" w:after="120" w:line="360" w:lineRule="auto"/>
      </w:pPr>
      <w:r>
        <w:rPr>
          <w:rFonts w:hint="eastAsia"/>
        </w:rPr>
        <w:t>设计原则</w:t>
      </w:r>
    </w:p>
    <w:p w14:paraId="408B232B">
      <w:pPr>
        <w:pStyle w:val="56"/>
        <w:spacing w:line="360" w:lineRule="auto"/>
        <w:ind w:firstLine="420"/>
      </w:pPr>
      <w:r>
        <w:rPr>
          <w:rFonts w:hint="eastAsia"/>
        </w:rPr>
        <w:t>资源化利用应坚持“因地制宜、分类处理、协同回收、生态友好”的技术原则，结合水质、水量及需求选择合理路径。</w:t>
      </w:r>
    </w:p>
    <w:p w14:paraId="50F67EEF">
      <w:pPr>
        <w:pStyle w:val="105"/>
        <w:spacing w:before="120" w:after="120" w:line="360" w:lineRule="auto"/>
      </w:pPr>
      <w:r>
        <w:rPr>
          <w:rFonts w:hint="eastAsia"/>
        </w:rPr>
        <w:t>系统构建</w:t>
      </w:r>
    </w:p>
    <w:p w14:paraId="1B70893E">
      <w:pPr>
        <w:pStyle w:val="56"/>
        <w:spacing w:line="360" w:lineRule="auto"/>
        <w:ind w:firstLine="420"/>
      </w:pPr>
      <w:r>
        <w:rPr>
          <w:rFonts w:hint="eastAsia"/>
        </w:rPr>
        <w:t>应建立“污水收集—预处理—资源提取—回用利用—监测评估”的闭环系统，保障运行稳定、产出安全与经济可行。</w:t>
      </w:r>
    </w:p>
    <w:p w14:paraId="0F58307E">
      <w:pPr>
        <w:pStyle w:val="105"/>
        <w:spacing w:before="120" w:after="120" w:line="360" w:lineRule="auto"/>
      </w:pPr>
      <w:r>
        <w:rPr>
          <w:rFonts w:hint="eastAsia"/>
        </w:rPr>
        <w:t>安全控制</w:t>
      </w:r>
    </w:p>
    <w:p w14:paraId="4549016E">
      <w:pPr>
        <w:pStyle w:val="56"/>
        <w:spacing w:line="360" w:lineRule="auto"/>
        <w:ind w:firstLine="420"/>
      </w:pPr>
      <w:r>
        <w:rPr>
          <w:rFonts w:hint="eastAsia"/>
        </w:rPr>
        <w:t>应设置防护措施，确保处理过程中无二次污染，水质达标并可追溯。</w:t>
      </w:r>
    </w:p>
    <w:p w14:paraId="368B8A13">
      <w:pPr>
        <w:pStyle w:val="104"/>
        <w:spacing w:before="240" w:after="240" w:line="360" w:lineRule="auto"/>
      </w:pPr>
      <w:bookmarkStart w:id="52" w:name="_Toc200352482"/>
      <w:r>
        <w:rPr>
          <w:rFonts w:hint="eastAsia"/>
        </w:rPr>
        <w:t>工艺路线与分类</w:t>
      </w:r>
      <w:bookmarkEnd w:id="52"/>
    </w:p>
    <w:p w14:paraId="223CD3D8">
      <w:pPr>
        <w:pStyle w:val="105"/>
        <w:spacing w:before="120" w:after="120" w:line="360" w:lineRule="auto"/>
      </w:pPr>
      <w:r>
        <w:rPr>
          <w:rFonts w:hint="eastAsia"/>
        </w:rPr>
        <w:t>水资源回用路径</w:t>
      </w:r>
    </w:p>
    <w:p w14:paraId="1297D040">
      <w:pPr>
        <w:pStyle w:val="56"/>
        <w:spacing w:line="360" w:lineRule="auto"/>
        <w:ind w:firstLine="420"/>
      </w:pPr>
      <w:r>
        <w:rPr>
          <w:rFonts w:hint="eastAsia"/>
        </w:rPr>
        <w:t>根据用途划分为景观用水、冲厕补水、绿化灌溉、道路清洗、工业冷却等，分别选用膜分离、A²/O、MBR等工艺。</w:t>
      </w:r>
    </w:p>
    <w:p w14:paraId="209810E1">
      <w:pPr>
        <w:pStyle w:val="105"/>
        <w:spacing w:before="120" w:after="120" w:line="360" w:lineRule="auto"/>
      </w:pPr>
      <w:r>
        <w:rPr>
          <w:rFonts w:hint="eastAsia"/>
        </w:rPr>
        <w:t>能源回收路径</w:t>
      </w:r>
    </w:p>
    <w:p w14:paraId="04CC5764">
      <w:pPr>
        <w:pStyle w:val="56"/>
        <w:spacing w:line="360" w:lineRule="auto"/>
        <w:ind w:firstLine="420"/>
      </w:pPr>
      <w:r>
        <w:rPr>
          <w:rFonts w:hint="eastAsia"/>
        </w:rPr>
        <w:t>可通过厌氧消化回收沼气、污水源热泵系统回收低位热能，用于供暖、热水或发电。</w:t>
      </w:r>
    </w:p>
    <w:p w14:paraId="1A5B2CF3">
      <w:pPr>
        <w:pStyle w:val="105"/>
        <w:spacing w:before="120" w:after="120" w:line="360" w:lineRule="auto"/>
      </w:pPr>
      <w:r>
        <w:rPr>
          <w:rFonts w:hint="eastAsia"/>
        </w:rPr>
        <w:t>营养物回收路径</w:t>
      </w:r>
    </w:p>
    <w:p w14:paraId="5643CD3B">
      <w:pPr>
        <w:pStyle w:val="56"/>
        <w:spacing w:line="360" w:lineRule="auto"/>
        <w:ind w:firstLine="420"/>
      </w:pPr>
      <w:r>
        <w:rPr>
          <w:rFonts w:hint="eastAsia"/>
        </w:rPr>
        <w:t>采用化学沉淀、生物吸附等方法从污泥或出水中提取氮磷，用于有机肥、土壤调理剂等。</w:t>
      </w:r>
    </w:p>
    <w:p w14:paraId="0724817C">
      <w:pPr>
        <w:pStyle w:val="56"/>
        <w:spacing w:line="360" w:lineRule="auto"/>
        <w:ind w:firstLine="420"/>
      </w:pPr>
      <w:r>
        <w:rPr>
          <w:rFonts w:hint="eastAsia"/>
        </w:rPr>
        <w:t>具体资源化路径适配工艺及适用场景见表1。</w:t>
      </w:r>
    </w:p>
    <w:p w14:paraId="4B1BADF6">
      <w:pPr>
        <w:pStyle w:val="112"/>
        <w:spacing w:before="120" w:after="120" w:line="360" w:lineRule="auto"/>
      </w:pPr>
      <w:r>
        <w:rPr>
          <w:rFonts w:hint="eastAsia"/>
        </w:rPr>
        <w:t>不同资源化路径适配工艺及适用场景一览表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2552"/>
        <w:gridCol w:w="1984"/>
        <w:gridCol w:w="3107"/>
      </w:tblGrid>
      <w:tr w14:paraId="7E5DF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shd w:val="clear" w:color="auto" w:fill="auto"/>
          </w:tcPr>
          <w:p w14:paraId="74FB8774">
            <w:pPr>
              <w:pStyle w:val="178"/>
            </w:pPr>
            <w:r>
              <w:rPr>
                <w:rFonts w:hint="eastAsia"/>
              </w:rPr>
              <w:t>资源化类型</w:t>
            </w:r>
          </w:p>
        </w:tc>
        <w:tc>
          <w:tcPr>
            <w:tcW w:w="2552" w:type="dxa"/>
            <w:tcBorders>
              <w:top w:val="single" w:color="auto" w:sz="8" w:space="0"/>
              <w:bottom w:val="single" w:color="auto" w:sz="8" w:space="0"/>
            </w:tcBorders>
            <w:shd w:val="clear" w:color="auto" w:fill="auto"/>
          </w:tcPr>
          <w:p w14:paraId="70886912">
            <w:pPr>
              <w:pStyle w:val="178"/>
            </w:pPr>
            <w:r>
              <w:rPr>
                <w:rFonts w:hint="eastAsia"/>
              </w:rPr>
              <w:t>工艺技术路径</w:t>
            </w:r>
          </w:p>
        </w:tc>
        <w:tc>
          <w:tcPr>
            <w:tcW w:w="1984" w:type="dxa"/>
            <w:tcBorders>
              <w:top w:val="single" w:color="auto" w:sz="8" w:space="0"/>
              <w:bottom w:val="single" w:color="auto" w:sz="8" w:space="0"/>
            </w:tcBorders>
            <w:shd w:val="clear" w:color="auto" w:fill="auto"/>
          </w:tcPr>
          <w:p w14:paraId="3C33C22A">
            <w:pPr>
              <w:pStyle w:val="178"/>
            </w:pPr>
            <w:r>
              <w:rPr>
                <w:rFonts w:hint="eastAsia"/>
              </w:rPr>
              <w:t>主要回收产物</w:t>
            </w:r>
          </w:p>
        </w:tc>
        <w:tc>
          <w:tcPr>
            <w:tcW w:w="3107" w:type="dxa"/>
            <w:tcBorders>
              <w:top w:val="single" w:color="auto" w:sz="8" w:space="0"/>
              <w:bottom w:val="single" w:color="auto" w:sz="8" w:space="0"/>
            </w:tcBorders>
            <w:shd w:val="clear" w:color="auto" w:fill="auto"/>
          </w:tcPr>
          <w:p w14:paraId="28AC8B05">
            <w:pPr>
              <w:pStyle w:val="178"/>
            </w:pPr>
            <w:r>
              <w:rPr>
                <w:rFonts w:hint="eastAsia"/>
              </w:rPr>
              <w:t>适用场景</w:t>
            </w:r>
          </w:p>
        </w:tc>
      </w:tr>
      <w:tr w14:paraId="11C97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shd w:val="clear" w:color="auto" w:fill="auto"/>
          </w:tcPr>
          <w:p w14:paraId="75C311CD">
            <w:pPr>
              <w:pStyle w:val="178"/>
            </w:pPr>
            <w:r>
              <w:rPr>
                <w:rFonts w:hint="eastAsia"/>
              </w:rPr>
              <w:t>水资源回用</w:t>
            </w:r>
          </w:p>
        </w:tc>
        <w:tc>
          <w:tcPr>
            <w:tcW w:w="2552" w:type="dxa"/>
            <w:tcBorders>
              <w:top w:val="single" w:color="auto" w:sz="8" w:space="0"/>
            </w:tcBorders>
            <w:shd w:val="clear" w:color="auto" w:fill="auto"/>
          </w:tcPr>
          <w:p w14:paraId="578EE8D2">
            <w:pPr>
              <w:pStyle w:val="178"/>
            </w:pPr>
            <w:r>
              <w:rPr>
                <w:rFonts w:hint="eastAsia"/>
              </w:rPr>
              <w:t>A²/O、MBR、膜滤组合</w:t>
            </w:r>
          </w:p>
        </w:tc>
        <w:tc>
          <w:tcPr>
            <w:tcW w:w="1984" w:type="dxa"/>
            <w:tcBorders>
              <w:top w:val="single" w:color="auto" w:sz="8" w:space="0"/>
            </w:tcBorders>
            <w:shd w:val="clear" w:color="auto" w:fill="auto"/>
          </w:tcPr>
          <w:p w14:paraId="2086AA2A">
            <w:pPr>
              <w:pStyle w:val="178"/>
            </w:pPr>
            <w:r>
              <w:rPr>
                <w:rFonts w:hint="eastAsia"/>
              </w:rPr>
              <w:t>再生水</w:t>
            </w:r>
          </w:p>
        </w:tc>
        <w:tc>
          <w:tcPr>
            <w:tcW w:w="3107" w:type="dxa"/>
            <w:tcBorders>
              <w:top w:val="single" w:color="auto" w:sz="8" w:space="0"/>
            </w:tcBorders>
            <w:shd w:val="clear" w:color="auto" w:fill="auto"/>
          </w:tcPr>
          <w:p w14:paraId="693AD9FB">
            <w:pPr>
              <w:pStyle w:val="178"/>
            </w:pPr>
            <w:r>
              <w:rPr>
                <w:rFonts w:hint="eastAsia"/>
              </w:rPr>
              <w:t>城市小区、工业园、景区</w:t>
            </w:r>
          </w:p>
        </w:tc>
      </w:tr>
      <w:tr w14:paraId="156BF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tcPr>
          <w:p w14:paraId="783611A2">
            <w:pPr>
              <w:pStyle w:val="178"/>
            </w:pPr>
            <w:r>
              <w:rPr>
                <w:rFonts w:hint="eastAsia"/>
              </w:rPr>
              <w:t>能源回收</w:t>
            </w:r>
          </w:p>
        </w:tc>
        <w:tc>
          <w:tcPr>
            <w:tcW w:w="2552" w:type="dxa"/>
            <w:shd w:val="clear" w:color="auto" w:fill="auto"/>
          </w:tcPr>
          <w:p w14:paraId="4D4F739B">
            <w:pPr>
              <w:pStyle w:val="178"/>
            </w:pPr>
            <w:r>
              <w:rPr>
                <w:rFonts w:hint="eastAsia"/>
              </w:rPr>
              <w:t>厌氧消化、污水源热泵</w:t>
            </w:r>
          </w:p>
        </w:tc>
        <w:tc>
          <w:tcPr>
            <w:tcW w:w="1984" w:type="dxa"/>
            <w:shd w:val="clear" w:color="auto" w:fill="auto"/>
          </w:tcPr>
          <w:p w14:paraId="7C12CF9B">
            <w:pPr>
              <w:pStyle w:val="178"/>
            </w:pPr>
            <w:r>
              <w:rPr>
                <w:rFonts w:hint="eastAsia"/>
              </w:rPr>
              <w:t>沼气、低位热能</w:t>
            </w:r>
          </w:p>
        </w:tc>
        <w:tc>
          <w:tcPr>
            <w:tcW w:w="3107" w:type="dxa"/>
            <w:shd w:val="clear" w:color="auto" w:fill="auto"/>
          </w:tcPr>
          <w:p w14:paraId="78B36664">
            <w:pPr>
              <w:pStyle w:val="178"/>
            </w:pPr>
            <w:r>
              <w:rPr>
                <w:rFonts w:hint="eastAsia"/>
              </w:rPr>
              <w:t>污水厂、寒冷地区建筑供暖系统</w:t>
            </w:r>
          </w:p>
        </w:tc>
      </w:tr>
      <w:tr w14:paraId="614FB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tcPr>
          <w:p w14:paraId="6A2AF430">
            <w:pPr>
              <w:pStyle w:val="178"/>
            </w:pPr>
            <w:r>
              <w:rPr>
                <w:rFonts w:hint="eastAsia"/>
              </w:rPr>
              <w:t>营养物回收</w:t>
            </w:r>
          </w:p>
        </w:tc>
        <w:tc>
          <w:tcPr>
            <w:tcW w:w="2552" w:type="dxa"/>
            <w:shd w:val="clear" w:color="auto" w:fill="auto"/>
          </w:tcPr>
          <w:p w14:paraId="0CE6D3C5">
            <w:pPr>
              <w:pStyle w:val="178"/>
            </w:pPr>
            <w:r>
              <w:rPr>
                <w:rFonts w:hint="eastAsia"/>
              </w:rPr>
              <w:t>化学沉淀、生物吸附</w:t>
            </w:r>
          </w:p>
        </w:tc>
        <w:tc>
          <w:tcPr>
            <w:tcW w:w="1984" w:type="dxa"/>
            <w:shd w:val="clear" w:color="auto" w:fill="auto"/>
          </w:tcPr>
          <w:p w14:paraId="0E56E97D">
            <w:pPr>
              <w:pStyle w:val="178"/>
            </w:pPr>
            <w:r>
              <w:rPr>
                <w:rFonts w:hint="eastAsia"/>
              </w:rPr>
              <w:t>磷酸盐、氮肥</w:t>
            </w:r>
          </w:p>
        </w:tc>
        <w:tc>
          <w:tcPr>
            <w:tcW w:w="3107" w:type="dxa"/>
            <w:shd w:val="clear" w:color="auto" w:fill="auto"/>
          </w:tcPr>
          <w:p w14:paraId="37480760">
            <w:pPr>
              <w:pStyle w:val="178"/>
            </w:pPr>
            <w:r>
              <w:rPr>
                <w:rFonts w:hint="eastAsia"/>
              </w:rPr>
              <w:t>农村集中处理站、有机肥料生产企业</w:t>
            </w:r>
          </w:p>
        </w:tc>
      </w:tr>
    </w:tbl>
    <w:p w14:paraId="22C5B55A">
      <w:pPr>
        <w:pStyle w:val="104"/>
        <w:spacing w:before="240" w:after="240" w:line="360" w:lineRule="auto"/>
      </w:pPr>
      <w:bookmarkStart w:id="53" w:name="_Toc200352483"/>
      <w:r>
        <w:rPr>
          <w:rFonts w:hint="eastAsia"/>
        </w:rPr>
        <w:t>关键技术</w:t>
      </w:r>
      <w:bookmarkEnd w:id="53"/>
    </w:p>
    <w:p w14:paraId="15CAFB11">
      <w:pPr>
        <w:pStyle w:val="105"/>
        <w:spacing w:before="120" w:after="120" w:line="360" w:lineRule="auto"/>
      </w:pPr>
      <w:r>
        <w:rPr>
          <w:rFonts w:hint="eastAsia"/>
        </w:rPr>
        <w:t>预处理技术</w:t>
      </w:r>
    </w:p>
    <w:p w14:paraId="270E6596">
      <w:pPr>
        <w:pStyle w:val="56"/>
        <w:spacing w:line="360" w:lineRule="auto"/>
        <w:ind w:firstLine="420"/>
      </w:pPr>
      <w:r>
        <w:rPr>
          <w:rFonts w:hint="eastAsia"/>
        </w:rPr>
        <w:t>应设格栅、沉砂池、调节池等单元，保障后续工艺水质稳定。</w:t>
      </w:r>
    </w:p>
    <w:p w14:paraId="5A2BAC39">
      <w:pPr>
        <w:pStyle w:val="105"/>
        <w:spacing w:before="120" w:after="120" w:line="360" w:lineRule="auto"/>
      </w:pPr>
      <w:r>
        <w:rPr>
          <w:rFonts w:hint="eastAsia"/>
        </w:rPr>
        <w:t>主体处理技术</w:t>
      </w:r>
    </w:p>
    <w:p w14:paraId="587AF453">
      <w:pPr>
        <w:pStyle w:val="56"/>
        <w:spacing w:line="360" w:lineRule="auto"/>
        <w:ind w:firstLine="420"/>
      </w:pPr>
      <w:r>
        <w:rPr>
          <w:rFonts w:hint="eastAsia"/>
        </w:rPr>
        <w:t>工艺应满足去除COD、氨氮、总磷等指标的技术要求，常见技术包括A²/O、SBR、MBR、氧化沟。</w:t>
      </w:r>
    </w:p>
    <w:p w14:paraId="032769EF">
      <w:pPr>
        <w:pStyle w:val="105"/>
        <w:spacing w:before="120" w:after="120" w:line="360" w:lineRule="auto"/>
      </w:pPr>
      <w:r>
        <w:rPr>
          <w:rFonts w:hint="eastAsia"/>
        </w:rPr>
        <w:t>资源提取技术</w:t>
      </w:r>
    </w:p>
    <w:p w14:paraId="1A17B3F1">
      <w:pPr>
        <w:pStyle w:val="56"/>
        <w:spacing w:line="360" w:lineRule="auto"/>
        <w:ind w:firstLine="420"/>
      </w:pPr>
      <w:r>
        <w:rPr>
          <w:rFonts w:hint="eastAsia"/>
        </w:rPr>
        <w:t>采用膜分离、吸附、气提、热交换等技术从处理单元或污泥中提取可利用资源。</w:t>
      </w:r>
    </w:p>
    <w:p w14:paraId="46E826CF">
      <w:pPr>
        <w:pStyle w:val="105"/>
        <w:spacing w:before="120" w:after="120" w:line="360" w:lineRule="auto"/>
      </w:pPr>
      <w:r>
        <w:rPr>
          <w:rFonts w:hint="eastAsia"/>
        </w:rPr>
        <w:t>末端利用与安全保障</w:t>
      </w:r>
    </w:p>
    <w:p w14:paraId="02253B5C">
      <w:pPr>
        <w:pStyle w:val="56"/>
        <w:spacing w:line="360" w:lineRule="auto"/>
        <w:ind w:firstLine="420"/>
      </w:pPr>
      <w:r>
        <w:rPr>
          <w:rFonts w:hint="eastAsia"/>
        </w:rPr>
        <w:t>回用水应进行消毒处理，满足相应用途水质要求。</w:t>
      </w:r>
    </w:p>
    <w:p w14:paraId="4DFD269C">
      <w:pPr>
        <w:pStyle w:val="104"/>
        <w:spacing w:before="240" w:after="240" w:line="360" w:lineRule="auto"/>
      </w:pPr>
      <w:bookmarkStart w:id="54" w:name="_Toc200352484"/>
      <w:r>
        <w:rPr>
          <w:rFonts w:hint="eastAsia"/>
        </w:rPr>
        <w:t>运行与管理</w:t>
      </w:r>
      <w:bookmarkEnd w:id="54"/>
    </w:p>
    <w:p w14:paraId="03BF1A0C">
      <w:pPr>
        <w:pStyle w:val="105"/>
        <w:spacing w:before="120" w:after="120" w:line="360" w:lineRule="auto"/>
      </w:pPr>
      <w:r>
        <w:rPr>
          <w:rFonts w:hint="eastAsia"/>
        </w:rPr>
        <w:t>运行监控</w:t>
      </w:r>
    </w:p>
    <w:p w14:paraId="5556FD00">
      <w:pPr>
        <w:pStyle w:val="56"/>
        <w:spacing w:line="360" w:lineRule="auto"/>
        <w:ind w:firstLine="420"/>
      </w:pPr>
      <w:r>
        <w:rPr>
          <w:rFonts w:hint="eastAsia"/>
        </w:rPr>
        <w:t>应设在线监测仪表，对水质、水量、能耗进行实时监控，发现异常及时报警并处理。</w:t>
      </w:r>
    </w:p>
    <w:p w14:paraId="53490D9B">
      <w:pPr>
        <w:pStyle w:val="105"/>
        <w:spacing w:before="120" w:after="120" w:line="360" w:lineRule="auto"/>
      </w:pPr>
      <w:r>
        <w:rPr>
          <w:rFonts w:hint="eastAsia"/>
        </w:rPr>
        <w:t>运维管理制度</w:t>
      </w:r>
    </w:p>
    <w:p w14:paraId="349BD2FE">
      <w:pPr>
        <w:pStyle w:val="56"/>
        <w:spacing w:line="360" w:lineRule="auto"/>
        <w:ind w:firstLine="420"/>
      </w:pPr>
      <w:r>
        <w:rPr>
          <w:rFonts w:hint="eastAsia"/>
        </w:rPr>
        <w:t>应建立标准操作规程与岗位职责清单，强化培训与考核，确保运行安全。</w:t>
      </w:r>
    </w:p>
    <w:p w14:paraId="116BF12F">
      <w:pPr>
        <w:pStyle w:val="105"/>
        <w:spacing w:before="120" w:after="120" w:line="360" w:lineRule="auto"/>
      </w:pPr>
      <w:r>
        <w:rPr>
          <w:rFonts w:hint="eastAsia"/>
        </w:rPr>
        <w:t>风险防控与应急响应</w:t>
      </w:r>
    </w:p>
    <w:p w14:paraId="6962F39D">
      <w:pPr>
        <w:pStyle w:val="56"/>
        <w:spacing w:line="360" w:lineRule="auto"/>
        <w:ind w:firstLine="420"/>
      </w:pPr>
      <w:r>
        <w:rPr>
          <w:rFonts w:hint="eastAsia"/>
        </w:rPr>
        <w:t>应制定污染物超标、设备故障等应急预案，配备应急处理装置与物资。</w:t>
      </w:r>
    </w:p>
    <w:p w14:paraId="381A2521">
      <w:pPr>
        <w:pStyle w:val="104"/>
        <w:spacing w:before="240" w:after="240" w:line="360" w:lineRule="auto"/>
      </w:pPr>
      <w:bookmarkStart w:id="55" w:name="_Toc200352485"/>
      <w:r>
        <w:rPr>
          <w:rFonts w:hint="eastAsia"/>
        </w:rPr>
        <w:t>效益评估方法</w:t>
      </w:r>
      <w:bookmarkEnd w:id="55"/>
    </w:p>
    <w:p w14:paraId="5E0F3FE6">
      <w:pPr>
        <w:pStyle w:val="105"/>
        <w:spacing w:before="120" w:after="120" w:line="360" w:lineRule="auto"/>
      </w:pPr>
      <w:r>
        <w:rPr>
          <w:rFonts w:hint="eastAsia"/>
        </w:rPr>
        <w:t>资源回收率评估</w:t>
      </w:r>
    </w:p>
    <w:p w14:paraId="0A133D64">
      <w:pPr>
        <w:pStyle w:val="56"/>
        <w:spacing w:line="360" w:lineRule="auto"/>
        <w:ind w:firstLine="420"/>
      </w:pPr>
      <w:r>
        <w:rPr>
          <w:rFonts w:hint="eastAsia"/>
        </w:rPr>
        <w:t>根据出水水量、回用率、能源产出量、养分提取量等指标计算回收率。</w:t>
      </w:r>
    </w:p>
    <w:p w14:paraId="2DF3E40E">
      <w:pPr>
        <w:pStyle w:val="105"/>
        <w:spacing w:before="120" w:after="120" w:line="360" w:lineRule="auto"/>
      </w:pPr>
      <w:r>
        <w:rPr>
          <w:rFonts w:hint="eastAsia"/>
        </w:rPr>
        <w:t>环境效益评估</w:t>
      </w:r>
    </w:p>
    <w:p w14:paraId="1FDC0486">
      <w:pPr>
        <w:pStyle w:val="56"/>
        <w:spacing w:line="360" w:lineRule="auto"/>
        <w:ind w:firstLine="420"/>
      </w:pPr>
      <w:r>
        <w:rPr>
          <w:rFonts w:hint="eastAsia"/>
        </w:rPr>
        <w:t>环境效益评估应结合项目运行前后对比分析，重点评估以下指标：</w:t>
      </w:r>
    </w:p>
    <w:p w14:paraId="44ABED31">
      <w:pPr>
        <w:pStyle w:val="132"/>
        <w:spacing w:line="360" w:lineRule="auto"/>
      </w:pPr>
      <w:r>
        <w:rPr>
          <w:rFonts w:hint="eastAsia"/>
        </w:rPr>
        <w:t>污染物削减总量：包括生活污水中</w:t>
      </w:r>
      <w:r>
        <w:t>COD</w:t>
      </w:r>
      <w:r>
        <w:rPr>
          <w:rFonts w:hint="eastAsia"/>
        </w:rPr>
        <w:t>、</w:t>
      </w:r>
      <w:r>
        <w:t>BOD₅</w:t>
      </w:r>
      <w:r>
        <w:rPr>
          <w:rFonts w:hint="eastAsia"/>
        </w:rPr>
        <w:t>、氨氮、总磷、总氮等主要污染因子的削减量，依据出水水质监测数据与处理量核算；</w:t>
      </w:r>
    </w:p>
    <w:p w14:paraId="1EB9D01A">
      <w:pPr>
        <w:pStyle w:val="132"/>
        <w:spacing w:line="360" w:lineRule="auto"/>
      </w:pPr>
      <w:r>
        <w:rPr>
          <w:rFonts w:hint="eastAsia"/>
        </w:rPr>
        <w:t>碳减排效益：综合考虑污水资源化处理过程中能源消耗减少、污泥减量、沼气</w:t>
      </w:r>
      <w:r>
        <w:t>/</w:t>
      </w:r>
      <w:r>
        <w:rPr>
          <w:rFonts w:hint="eastAsia"/>
        </w:rPr>
        <w:t>再生能源利用等因素，估算年均温室气体减排当量（单位：</w:t>
      </w:r>
      <w:r>
        <w:t>tCO₂-eq</w:t>
      </w:r>
      <w:r>
        <w:rPr>
          <w:rFonts w:hint="eastAsia"/>
        </w:rPr>
        <w:t>）；</w:t>
      </w:r>
    </w:p>
    <w:p w14:paraId="6999E519">
      <w:pPr>
        <w:pStyle w:val="132"/>
        <w:spacing w:line="360" w:lineRule="auto"/>
      </w:pPr>
      <w:r>
        <w:rPr>
          <w:rFonts w:hint="eastAsia"/>
        </w:rPr>
        <w:t>水资源替代率：评估回用水在农业灌溉、绿化补水、市政杂用等方面对常规水资源的替代比例，量化节水效应；</w:t>
      </w:r>
    </w:p>
    <w:p w14:paraId="0080C1E9">
      <w:pPr>
        <w:pStyle w:val="132"/>
        <w:spacing w:line="360" w:lineRule="auto"/>
      </w:pPr>
      <w:r>
        <w:rPr>
          <w:rFonts w:hint="eastAsia"/>
        </w:rPr>
        <w:t>生态系统影响：如对周边水体水质改善、地下水补给恢复、生物多样性提升等正向影响的辅助性定性描述或监测支持。</w:t>
      </w:r>
    </w:p>
    <w:p w14:paraId="7D32FF47">
      <w:pPr>
        <w:pStyle w:val="105"/>
        <w:spacing w:before="120" w:after="120" w:line="360" w:lineRule="auto"/>
      </w:pPr>
      <w:r>
        <w:rPr>
          <w:rFonts w:hint="eastAsia"/>
        </w:rPr>
        <w:t>经济效益评估</w:t>
      </w:r>
    </w:p>
    <w:p w14:paraId="4BDC74BB">
      <w:pPr>
        <w:pStyle w:val="56"/>
        <w:spacing w:line="360" w:lineRule="auto"/>
        <w:ind w:firstLine="420"/>
      </w:pPr>
      <w:r>
        <w:rPr>
          <w:rFonts w:hint="eastAsia"/>
        </w:rPr>
        <w:t>经济效益评估应从全生命周期成本与产出两个维度出发，参考以下内容：</w:t>
      </w:r>
    </w:p>
    <w:p w14:paraId="663AA739">
      <w:pPr>
        <w:pStyle w:val="132"/>
        <w:spacing w:line="360" w:lineRule="auto"/>
      </w:pPr>
      <w:r>
        <w:rPr>
          <w:rFonts w:hint="eastAsia"/>
        </w:rPr>
        <w:t>单位处理成本：以“元/吨水”或“元/立方米再生资源”计量，评估系统运行的成本效率；</w:t>
      </w:r>
    </w:p>
    <w:p w14:paraId="4BB7E145">
      <w:pPr>
        <w:pStyle w:val="132"/>
        <w:spacing w:line="360" w:lineRule="auto"/>
      </w:pPr>
      <w:r>
        <w:rPr>
          <w:rFonts w:hint="eastAsia"/>
        </w:rPr>
        <w:t>运营费用节约：分析资源化利用后对传统污水处理、污泥处置、供水与排水系统运维等方面的成本节约，包括能源、药剂、人工等方面的开支减少；</w:t>
      </w:r>
    </w:p>
    <w:p w14:paraId="765E38C7">
      <w:pPr>
        <w:pStyle w:val="132"/>
        <w:spacing w:line="360" w:lineRule="auto"/>
      </w:pPr>
      <w:r>
        <w:rPr>
          <w:rFonts w:hint="eastAsia"/>
        </w:rPr>
        <w:t>资源产品销售收益：如再生水销售、肥料化产物或沼气能源的市场收益，需明确收益来源与测算依据；</w:t>
      </w:r>
    </w:p>
    <w:p w14:paraId="1D0C51CC">
      <w:pPr>
        <w:pStyle w:val="132"/>
        <w:spacing w:line="360" w:lineRule="auto"/>
      </w:pPr>
      <w:r>
        <w:rPr>
          <w:rFonts w:hint="eastAsia"/>
        </w:rPr>
        <w:t>投资回收期与年化收益率：通过财务模型评估项目总投资回收周期、净现值（NPV）与内部收益率（IRR）等指标，判断其经济可行性与资金效益；</w:t>
      </w:r>
    </w:p>
    <w:p w14:paraId="1428BAE9">
      <w:pPr>
        <w:pStyle w:val="132"/>
        <w:spacing w:line="360" w:lineRule="auto"/>
      </w:pPr>
      <w:r>
        <w:rPr>
          <w:rFonts w:hint="eastAsia"/>
        </w:rPr>
        <w:t>政策激励与附加价值：可纳入财政补贴、节能减排积分、绿色信贷支持或生态补偿收入等间接经济收益。</w:t>
      </w:r>
    </w:p>
    <w:p w14:paraId="32A1A6AF">
      <w:pPr>
        <w:pStyle w:val="104"/>
        <w:spacing w:before="240" w:after="240" w:line="360" w:lineRule="auto"/>
      </w:pPr>
      <w:bookmarkStart w:id="56" w:name="_Toc200352486"/>
      <w:r>
        <w:rPr>
          <w:rFonts w:hint="eastAsia"/>
        </w:rPr>
        <w:t>推广应用建议</w:t>
      </w:r>
      <w:bookmarkEnd w:id="56"/>
    </w:p>
    <w:p w14:paraId="7E844C94">
      <w:pPr>
        <w:pStyle w:val="105"/>
        <w:spacing w:before="120" w:after="120" w:line="360" w:lineRule="auto"/>
      </w:pPr>
      <w:r>
        <w:rPr>
          <w:rFonts w:hint="eastAsia"/>
        </w:rPr>
        <w:t>典型场景适配路径</w:t>
      </w:r>
    </w:p>
    <w:p w14:paraId="7B24E395">
      <w:pPr>
        <w:pStyle w:val="56"/>
        <w:spacing w:line="360" w:lineRule="auto"/>
        <w:ind w:firstLine="420"/>
      </w:pPr>
      <w:r>
        <w:rPr>
          <w:rFonts w:hint="eastAsia"/>
        </w:rPr>
        <w:t>生活污水资源化利用应因地制宜，构建多元化技术路径和模式，典型场景包括但不限于：</w:t>
      </w:r>
    </w:p>
    <w:p w14:paraId="632D2994">
      <w:pPr>
        <w:pStyle w:val="132"/>
        <w:spacing w:line="360" w:lineRule="auto"/>
      </w:pPr>
      <w:r>
        <w:rPr>
          <w:rFonts w:hint="eastAsia"/>
        </w:rPr>
        <w:t>农村集中处理模式：适用于行政村或自然村规模集中的地区，采用生态处理（人工湿地、氧化塘）与厌氧-好氧组合工艺，优先实现农田灌溉与清洁用水替代，推动种养循环利用；</w:t>
      </w:r>
    </w:p>
    <w:p w14:paraId="774E4038">
      <w:pPr>
        <w:pStyle w:val="132"/>
        <w:spacing w:line="360" w:lineRule="auto"/>
      </w:pPr>
      <w:r>
        <w:rPr>
          <w:rFonts w:hint="eastAsia"/>
        </w:rPr>
        <w:t>城市小区微型回用模式：面向城市居住区、办公园区等，构建MBR+消毒等紧凑型处理单元，用于绿化浇洒、道路冲洗、景观补水，具备占地小、智能运行、用户侧部署等特点；</w:t>
      </w:r>
    </w:p>
    <w:p w14:paraId="4DCEBEDE">
      <w:pPr>
        <w:pStyle w:val="132"/>
        <w:spacing w:line="360" w:lineRule="auto"/>
      </w:pPr>
      <w:r>
        <w:rPr>
          <w:rFonts w:hint="eastAsia"/>
        </w:rPr>
        <w:t>园区能源耦合利用模式：适用于农业产业园、食品加工区，结合厌氧消化与污水源热泵等技术，实现污水处理与能源提取协同，形成热、电、气多联供系统，提高整体资源化水平；</w:t>
      </w:r>
    </w:p>
    <w:p w14:paraId="0F7D3041">
      <w:pPr>
        <w:pStyle w:val="132"/>
        <w:spacing w:line="360" w:lineRule="auto"/>
      </w:pPr>
      <w:r>
        <w:rPr>
          <w:rFonts w:hint="eastAsia"/>
        </w:rPr>
        <w:t>高原寒区保温处理模式：针对寒冷地区污水处理运行困难的问题，采用被动太阳能温室、保温构筑物、低温膜材料等技术保障系统运行与资源利用；</w:t>
      </w:r>
    </w:p>
    <w:p w14:paraId="347AD522">
      <w:pPr>
        <w:pStyle w:val="132"/>
        <w:spacing w:line="360" w:lineRule="auto"/>
      </w:pPr>
      <w:r>
        <w:rPr>
          <w:rFonts w:hint="eastAsia"/>
        </w:rPr>
        <w:t>景区与学校分布式模式：以低负荷、高标准回用为导向，部署一体化净化装置或移动模块，支持旅游景区、教学单位等对再生水就地回用需求。</w:t>
      </w:r>
    </w:p>
    <w:p w14:paraId="685CDA4D">
      <w:pPr>
        <w:pStyle w:val="105"/>
        <w:spacing w:before="120" w:after="120" w:line="360" w:lineRule="auto"/>
      </w:pPr>
      <w:r>
        <w:rPr>
          <w:rFonts w:hint="eastAsia"/>
        </w:rPr>
        <w:t>政策与激励建议</w:t>
      </w:r>
    </w:p>
    <w:p w14:paraId="0A1CB81F">
      <w:pPr>
        <w:pStyle w:val="56"/>
        <w:spacing w:line="360" w:lineRule="auto"/>
        <w:ind w:firstLine="420"/>
      </w:pPr>
      <w:r>
        <w:rPr>
          <w:rFonts w:hint="eastAsia"/>
        </w:rPr>
        <w:t>为促进生活污水资源化利用的推广应用，建议从以下方面完善政策和制度保障：</w:t>
      </w:r>
    </w:p>
    <w:p w14:paraId="071F5214">
      <w:pPr>
        <w:pStyle w:val="132"/>
        <w:spacing w:line="360" w:lineRule="auto"/>
      </w:pPr>
      <w:r>
        <w:rPr>
          <w:rFonts w:hint="eastAsia"/>
        </w:rPr>
        <w:t>财政支持与补贴机制：出台专项资金支持农村污水资源化项目建设，对再生水利用、能源回收、肥料化产品给予运营补贴与产出奖励，激励企业参与积极性；</w:t>
      </w:r>
    </w:p>
    <w:p w14:paraId="2792EBE8">
      <w:pPr>
        <w:pStyle w:val="132"/>
        <w:spacing w:line="360" w:lineRule="auto"/>
      </w:pPr>
      <w:r>
        <w:rPr>
          <w:rFonts w:hint="eastAsia"/>
        </w:rPr>
        <w:t>纳入绿色发展指标体系：将资源化利用率、再生水使用量、碳减排量等指标纳入农业绿色发展、生态文明考核体系，增强地方政府的政策推动力；</w:t>
      </w:r>
    </w:p>
    <w:p w14:paraId="6966BA0E">
      <w:pPr>
        <w:pStyle w:val="132"/>
        <w:spacing w:line="360" w:lineRule="auto"/>
      </w:pPr>
      <w:r>
        <w:rPr>
          <w:rFonts w:hint="eastAsia"/>
        </w:rPr>
        <w:t>建立第三方专业运营机制：引导专业化企业承担污水资源化项目的投资、建设与运维，通过“政府引导+企业运营+农户受益”的PPP等模式，增强可持续运行能力；</w:t>
      </w:r>
    </w:p>
    <w:p w14:paraId="0A781C40">
      <w:pPr>
        <w:pStyle w:val="132"/>
        <w:spacing w:line="360" w:lineRule="auto"/>
      </w:pPr>
      <w:r>
        <w:rPr>
          <w:rFonts w:hint="eastAsia"/>
        </w:rPr>
        <w:t>拓展碳交易与环保积分机制：鼓励资源化利用项目参与碳交易市场和绿色金融机制，将其纳入自愿减排、碳账户或节能量评价体系，增强经济激励效应；</w:t>
      </w:r>
    </w:p>
    <w:p w14:paraId="4D2F9BA8">
      <w:pPr>
        <w:pStyle w:val="132"/>
        <w:spacing w:line="360" w:lineRule="auto"/>
      </w:pPr>
      <w:r>
        <w:rPr>
          <w:rFonts w:hint="eastAsia"/>
        </w:rPr>
        <w:t>加强标准与认证体系建设：制定回用水质标准、肥料化产物质量要求与资源产品标签管理规范，推动追溯体系建设与绿色产品认证。</w:t>
      </w:r>
    </w:p>
    <w:p w14:paraId="017000AA">
      <w:pPr>
        <w:pStyle w:val="105"/>
        <w:spacing w:before="120" w:after="120" w:line="360" w:lineRule="auto"/>
      </w:pPr>
      <w:r>
        <w:rPr>
          <w:rFonts w:hint="eastAsia"/>
        </w:rPr>
        <w:t>技术迭代与科研方向</w:t>
      </w:r>
    </w:p>
    <w:p w14:paraId="09C6AF9D">
      <w:pPr>
        <w:pStyle w:val="56"/>
        <w:spacing w:line="360" w:lineRule="auto"/>
        <w:ind w:firstLine="420"/>
      </w:pPr>
      <w:r>
        <w:rPr>
          <w:rFonts w:hint="eastAsia"/>
        </w:rPr>
        <w:t>为持续提升生活污水资源化利用效率与智能化水平，建议聚焦以下前沿方向开展研发与技术储备：</w:t>
      </w:r>
    </w:p>
    <w:p w14:paraId="591EC4EC">
      <w:pPr>
        <w:pStyle w:val="132"/>
        <w:spacing w:line="360" w:lineRule="auto"/>
      </w:pPr>
      <w:r>
        <w:rPr>
          <w:rFonts w:hint="eastAsia"/>
        </w:rPr>
        <w:t>膜分离与集成技术优化：开发抗污染性强、低能耗、可更换的先进膜材料，推动纳滤/反渗透/电驱动膜组合应用，提高资源提取精度与稳定性；</w:t>
      </w:r>
    </w:p>
    <w:p w14:paraId="11D77F1E">
      <w:pPr>
        <w:pStyle w:val="132"/>
        <w:spacing w:line="360" w:lineRule="auto"/>
      </w:pPr>
      <w:r>
        <w:rPr>
          <w:rFonts w:hint="eastAsia"/>
        </w:rPr>
        <w:t>能量协同与碳减排系统开发：构建“污水-污泥-有机废弃物”耦合处理平台，开发低碳能量回收路径，提高系统碳中和能力；</w:t>
      </w:r>
    </w:p>
    <w:p w14:paraId="5B34A49B">
      <w:pPr>
        <w:pStyle w:val="132"/>
        <w:spacing w:line="360" w:lineRule="auto"/>
      </w:pPr>
      <w:r>
        <w:rPr>
          <w:rFonts w:hint="eastAsia"/>
        </w:rPr>
        <w:t>人工智能+智能运维平台建设：依托边缘计算与AI算法，建设智慧感知网络，实现对水质、水量、能耗、运行状态的预测分析与故障预警，推动全流程无人值守与能效最优调度；</w:t>
      </w:r>
    </w:p>
    <w:p w14:paraId="2712F10A">
      <w:pPr>
        <w:pStyle w:val="132"/>
        <w:spacing w:line="360" w:lineRule="auto"/>
      </w:pPr>
      <w:r>
        <w:rPr>
          <w:rFonts w:hint="eastAsia"/>
        </w:rPr>
        <w:t>数字孪生与多源数据融合：构建基于动态监测的数字孪生模型，支持资源化项目全生命周期设计优化、运行评估与动态决策；</w:t>
      </w:r>
    </w:p>
    <w:p w14:paraId="244D212A">
      <w:pPr>
        <w:pStyle w:val="132"/>
        <w:spacing w:line="360" w:lineRule="auto"/>
      </w:pPr>
      <w:r>
        <w:rPr>
          <w:rFonts w:hint="eastAsia"/>
        </w:rPr>
        <w:t>资源产品高值化与安全控制研究：探索基于再生水的工业冷却、土壤调理剂、绿色建筑回用等高附加值应用场景，提升资源产品市场竞争力与风险防控能力。</w:t>
      </w:r>
    </w:p>
    <w:bookmarkEnd w:id="26"/>
    <w:p w14:paraId="551CE832">
      <w:pPr>
        <w:pStyle w:val="56"/>
        <w:ind w:firstLine="0" w:firstLineChars="0"/>
        <w:jc w:val="center"/>
      </w:pPr>
      <w:bookmarkStart w:id="57" w:name="BookMark8"/>
      <w:r>
        <w:rPr>
          <w:rFonts w:hint="eastAsia"/>
        </w:rPr>
        <w:drawing>
          <wp:inline distT="0" distB="0" distL="0" distR="0">
            <wp:extent cx="1485900" cy="317500"/>
            <wp:effectExtent l="0" t="0" r="0" b="6350"/>
            <wp:docPr id="329531615" name="图片 5"/>
            <wp:cNvGraphicFramePr/>
            <a:graphic xmlns:a="http://schemas.openxmlformats.org/drawingml/2006/main">
              <a:graphicData uri="http://schemas.openxmlformats.org/drawingml/2006/picture">
                <pic:pic xmlns:pic="http://schemas.openxmlformats.org/drawingml/2006/picture">
                  <pic:nvPicPr>
                    <pic:cNvPr id="329531615"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771E">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CAD5">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01F82">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227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E0C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7B6F">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AFBF">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7079">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CF2C">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C5B0">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5D7B">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003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7B0F">
    <w:pPr>
      <w:pStyle w:val="61"/>
    </w:pPr>
    <w:r>
      <w:fldChar w:fldCharType="begin"/>
    </w:r>
    <w:r>
      <w:instrText xml:space="preserve"> STYLEREF  标准文件_文件编号  \* MERGEFORMAT </w:instrText>
    </w:r>
    <w:r>
      <w:fldChar w:fldCharType="separate"/>
    </w:r>
    <w:r>
      <w:t>T/XJBX 0028—2025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9C73">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0028—2025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592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8CC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073B">
    <w:pPr>
      <w:pStyle w:val="61"/>
    </w:pPr>
    <w:r>
      <w:fldChar w:fldCharType="begin"/>
    </w:r>
    <w:r>
      <w:instrText xml:space="preserve"> STYLEREF  标准文件_文件编号  \* MERGEFORMAT </w:instrText>
    </w:r>
    <w:r>
      <w:fldChar w:fldCharType="separate"/>
    </w:r>
    <w:r>
      <w:t>T/XJBX 0028—2025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3A23">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0028—2025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7267">
    <w:pPr>
      <w:pStyle w:val="61"/>
    </w:pPr>
    <w:r>
      <w:fldChar w:fldCharType="begin"/>
    </w:r>
    <w:r>
      <w:instrText xml:space="preserve"> STYLEREF  标准文件_文件编号  \* MERGEFORMAT </w:instrText>
    </w:r>
    <w:r>
      <w:fldChar w:fldCharType="separate"/>
    </w:r>
    <w:r>
      <w:t>T/XJBX 0028—2025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06A5">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0028—2025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DE77">
    <w:pPr>
      <w:pStyle w:val="61"/>
    </w:pPr>
    <w:r>
      <w:fldChar w:fldCharType="begin"/>
    </w:r>
    <w:r>
      <w:instrText xml:space="preserve"> STYLEREF  标准文件_文件编号  \* MERGEFORMAT </w:instrText>
    </w:r>
    <w:r>
      <w:fldChar w:fldCharType="separate"/>
    </w:r>
    <w:r>
      <w:t>T/XJBX 0028—2025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5880">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0028—2025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TS2MDQwMja3MDRR0lEKTi0uzszPAykwqgUAy5Bw9iwAAAA="/>
  </w:docVars>
  <w:rsids>
    <w:rsidRoot w:val="000D25E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89C"/>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5E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96A"/>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1D66"/>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317"/>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3246"/>
    <w:rsid w:val="00445574"/>
    <w:rsid w:val="004467FB"/>
    <w:rsid w:val="00452D6B"/>
    <w:rsid w:val="00454484"/>
    <w:rsid w:val="0045517B"/>
    <w:rsid w:val="004616FF"/>
    <w:rsid w:val="00463B77"/>
    <w:rsid w:val="00463C7B"/>
    <w:rsid w:val="00464337"/>
    <w:rsid w:val="004644A6"/>
    <w:rsid w:val="004659BD"/>
    <w:rsid w:val="00470775"/>
    <w:rsid w:val="004746B1"/>
    <w:rsid w:val="0047583F"/>
    <w:rsid w:val="00475DE8"/>
    <w:rsid w:val="00481C44"/>
    <w:rsid w:val="00483EF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A2E"/>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362"/>
    <w:rsid w:val="00655D4F"/>
    <w:rsid w:val="00656D29"/>
    <w:rsid w:val="006640E5"/>
    <w:rsid w:val="006646F1"/>
    <w:rsid w:val="00664929"/>
    <w:rsid w:val="00664F62"/>
    <w:rsid w:val="006655E1"/>
    <w:rsid w:val="00672060"/>
    <w:rsid w:val="00672BFD"/>
    <w:rsid w:val="00675890"/>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BC8"/>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419"/>
    <w:rsid w:val="007F0ED8"/>
    <w:rsid w:val="007F0F63"/>
    <w:rsid w:val="007F75CE"/>
    <w:rsid w:val="008013A4"/>
    <w:rsid w:val="008027CE"/>
    <w:rsid w:val="00802F42"/>
    <w:rsid w:val="00804383"/>
    <w:rsid w:val="00804BB7"/>
    <w:rsid w:val="00804D41"/>
    <w:rsid w:val="00810257"/>
    <w:rsid w:val="008104F5"/>
    <w:rsid w:val="00811072"/>
    <w:rsid w:val="00811369"/>
    <w:rsid w:val="0081497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D52"/>
    <w:rsid w:val="0083716D"/>
    <w:rsid w:val="008373D3"/>
    <w:rsid w:val="00840617"/>
    <w:rsid w:val="00840F84"/>
    <w:rsid w:val="00842A47"/>
    <w:rsid w:val="00843C13"/>
    <w:rsid w:val="00843DEF"/>
    <w:rsid w:val="008454F8"/>
    <w:rsid w:val="0085173A"/>
    <w:rsid w:val="008603CE"/>
    <w:rsid w:val="00861467"/>
    <w:rsid w:val="008620FC"/>
    <w:rsid w:val="008627A5"/>
    <w:rsid w:val="00863E05"/>
    <w:rsid w:val="00865ACA"/>
    <w:rsid w:val="00865D28"/>
    <w:rsid w:val="00865F85"/>
    <w:rsid w:val="00867C10"/>
    <w:rsid w:val="00870439"/>
    <w:rsid w:val="00870DA1"/>
    <w:rsid w:val="00875D93"/>
    <w:rsid w:val="00883F93"/>
    <w:rsid w:val="00884DB3"/>
    <w:rsid w:val="00885A9D"/>
    <w:rsid w:val="008864F6"/>
    <w:rsid w:val="0089049D"/>
    <w:rsid w:val="00891877"/>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4B6"/>
    <w:rsid w:val="00977D02"/>
    <w:rsid w:val="00977FF9"/>
    <w:rsid w:val="009809BB"/>
    <w:rsid w:val="0098364B"/>
    <w:rsid w:val="009908A3"/>
    <w:rsid w:val="009911AF"/>
    <w:rsid w:val="00991875"/>
    <w:rsid w:val="00991F92"/>
    <w:rsid w:val="00992985"/>
    <w:rsid w:val="00993037"/>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B05"/>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C47"/>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784"/>
    <w:rsid w:val="00AD0AEF"/>
    <w:rsid w:val="00AD11B7"/>
    <w:rsid w:val="00AD1A94"/>
    <w:rsid w:val="00AD1C05"/>
    <w:rsid w:val="00AD4126"/>
    <w:rsid w:val="00AD421C"/>
    <w:rsid w:val="00AD44FA"/>
    <w:rsid w:val="00AE070A"/>
    <w:rsid w:val="00AE101C"/>
    <w:rsid w:val="00AE2A69"/>
    <w:rsid w:val="00AE37E5"/>
    <w:rsid w:val="00AE5EB4"/>
    <w:rsid w:val="00AE7E7D"/>
    <w:rsid w:val="00AF0C18"/>
    <w:rsid w:val="00AF38C9"/>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5D2"/>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E3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21C"/>
    <w:rsid w:val="00D126F5"/>
    <w:rsid w:val="00D1489E"/>
    <w:rsid w:val="00D20737"/>
    <w:rsid w:val="00D21E81"/>
    <w:rsid w:val="00D223DE"/>
    <w:rsid w:val="00D25E37"/>
    <w:rsid w:val="00D2661A"/>
    <w:rsid w:val="00D27582"/>
    <w:rsid w:val="00D27EC4"/>
    <w:rsid w:val="00D32719"/>
    <w:rsid w:val="00D33333"/>
    <w:rsid w:val="00D352A2"/>
    <w:rsid w:val="00D4162B"/>
    <w:rsid w:val="00D41AA3"/>
    <w:rsid w:val="00D42A0C"/>
    <w:rsid w:val="00D4514F"/>
    <w:rsid w:val="00D451E2"/>
    <w:rsid w:val="00D45E89"/>
    <w:rsid w:val="00D45E8D"/>
    <w:rsid w:val="00D466AE"/>
    <w:rsid w:val="00D4734F"/>
    <w:rsid w:val="00D51BF3"/>
    <w:rsid w:val="00D66846"/>
    <w:rsid w:val="00D675FB"/>
    <w:rsid w:val="00D71F25"/>
    <w:rsid w:val="00D72A9C"/>
    <w:rsid w:val="00D731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D13"/>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1E8C"/>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7E9"/>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06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FA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35C2DA6"/>
    <w:rsid w:val="489D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FC4FD7CCD94F8E8EAFBCEFCAB683BD"/>
        <w:style w:val=""/>
        <w:category>
          <w:name w:val="常规"/>
          <w:gallery w:val="placeholder"/>
        </w:category>
        <w:types>
          <w:type w:val="bbPlcHdr"/>
        </w:types>
        <w:behaviors>
          <w:behavior w:val="content"/>
        </w:behaviors>
        <w:description w:val=""/>
        <w:guid w:val="{20E41338-1AFD-43DA-A59D-768E716F757A}"/>
      </w:docPartPr>
      <w:docPartBody>
        <w:p w14:paraId="678CC132">
          <w:pPr>
            <w:pStyle w:val="5"/>
          </w:pPr>
          <w:r>
            <w:rPr>
              <w:rStyle w:val="4"/>
              <w:rFonts w:hint="eastAsia"/>
            </w:rPr>
            <w:t>单击或点击此处输入文字。</w:t>
          </w:r>
        </w:p>
      </w:docPartBody>
    </w:docPart>
    <w:docPart>
      <w:docPartPr>
        <w:name w:val="0656A34E317940719D9B594B88805D9E"/>
        <w:style w:val=""/>
        <w:category>
          <w:name w:val="常规"/>
          <w:gallery w:val="placeholder"/>
        </w:category>
        <w:types>
          <w:type w:val="bbPlcHdr"/>
        </w:types>
        <w:behaviors>
          <w:behavior w:val="content"/>
        </w:behaviors>
        <w:description w:val=""/>
        <w:guid w:val="{7DC685D5-81EA-4AAB-8F15-8E73BA8A7E3D}"/>
      </w:docPartPr>
      <w:docPartBody>
        <w:p w14:paraId="75EBD6C8">
          <w:pPr>
            <w:pStyle w:val="6"/>
          </w:pPr>
          <w:r>
            <w:rPr>
              <w:rStyle w:val="4"/>
              <w:rFonts w:hint="eastAsia"/>
            </w:rPr>
            <w:t>选择一项。</w:t>
          </w:r>
        </w:p>
      </w:docPartBody>
    </w:docPart>
    <w:docPart>
      <w:docPartPr>
        <w:name w:val="96399E7AF6484C73A969C6F6794E33B4"/>
        <w:style w:val=""/>
        <w:category>
          <w:name w:val="常规"/>
          <w:gallery w:val="placeholder"/>
        </w:category>
        <w:types>
          <w:type w:val="bbPlcHdr"/>
        </w:types>
        <w:behaviors>
          <w:behavior w:val="content"/>
        </w:behaviors>
        <w:description w:val=""/>
        <w:guid w:val="{C3DACC8E-4503-4C22-8F80-3A66E72122AD}"/>
      </w:docPartPr>
      <w:docPartBody>
        <w:p w14:paraId="017AF832">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53"/>
    <w:rsid w:val="00022180"/>
    <w:rsid w:val="00036853"/>
    <w:rsid w:val="00137055"/>
    <w:rsid w:val="00200A88"/>
    <w:rsid w:val="00483BB4"/>
    <w:rsid w:val="00483EFB"/>
    <w:rsid w:val="004D656E"/>
    <w:rsid w:val="00691BFE"/>
    <w:rsid w:val="008037D2"/>
    <w:rsid w:val="0093754F"/>
    <w:rsid w:val="00B416AB"/>
    <w:rsid w:val="00D1221C"/>
    <w:rsid w:val="00D7319C"/>
    <w:rsid w:val="00E55A44"/>
    <w:rsid w:val="00E56D13"/>
    <w:rsid w:val="00EB5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8FC4FD7CCD94F8E8EAFBCEFCAB683B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656A34E317940719D9B594B88805D9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96399E7AF6484C73A969C6F6794E33B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3456</Words>
  <Characters>3686</Characters>
  <Lines>34</Lines>
  <Paragraphs>9</Paragraphs>
  <TotalTime>54</TotalTime>
  <ScaleCrop>false</ScaleCrop>
  <LinksUpToDate>false</LinksUpToDate>
  <CharactersWithSpaces>3752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2025-06-09T00:34:00Z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2025-06-11T03:08:15Z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40B55E2DFFF34FA29849BD26F0053690_12</vt:lpwstr>
  </property>
</Properties>
</file>