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33BD0">
      <w:pPr>
        <w:jc w:val="center"/>
        <w:rPr>
          <w:color w:val="000000" w:themeColor="text1"/>
          <w:sz w:val="36"/>
          <w:szCs w:val="32"/>
          <w14:textFill>
            <w14:solidFill>
              <w14:schemeClr w14:val="tx1"/>
            </w14:solidFill>
          </w14:textFill>
        </w:rPr>
      </w:pPr>
      <w:r>
        <w:rPr>
          <w:rFonts w:hint="eastAsia"/>
          <w:color w:val="000000" w:themeColor="text1"/>
          <w:sz w:val="36"/>
          <w:szCs w:val="32"/>
          <w14:textFill>
            <w14:solidFill>
              <w14:schemeClr w14:val="tx1"/>
            </w14:solidFill>
          </w14:textFill>
        </w:rPr>
        <w:t>《</w:t>
      </w:r>
      <w:r>
        <w:rPr>
          <w:rFonts w:hint="eastAsia"/>
          <w:color w:val="000000" w:themeColor="text1"/>
          <w:sz w:val="36"/>
          <w:szCs w:val="32"/>
          <w:lang w:eastAsia="zh-CN"/>
          <w14:textFill>
            <w14:solidFill>
              <w14:schemeClr w14:val="tx1"/>
            </w14:solidFill>
          </w14:textFill>
        </w:rPr>
        <w:t>塑料制品中1-己烯含量和迁移量的测定</w:t>
      </w:r>
      <w:r>
        <w:rPr>
          <w:rFonts w:hint="eastAsia"/>
          <w:color w:val="000000" w:themeColor="text1"/>
          <w:sz w:val="36"/>
          <w:szCs w:val="32"/>
          <w14:textFill>
            <w14:solidFill>
              <w14:schemeClr w14:val="tx1"/>
            </w14:solidFill>
          </w14:textFill>
        </w:rPr>
        <w:t>》团体标准编制说明</w:t>
      </w:r>
    </w:p>
    <w:p w14:paraId="2B0A6591">
      <w:pPr>
        <w:spacing w:line="580" w:lineRule="exact"/>
        <w:rPr>
          <w:rFonts w:asci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w:t>
      </w:r>
      <w:r>
        <w:rPr>
          <w:rFonts w:hint="eastAsia" w:ascii="Times New Roman" w:cs="Times New Roman"/>
          <w:b/>
          <w:bCs/>
          <w:color w:val="000000" w:themeColor="text1"/>
          <w:sz w:val="28"/>
          <w:szCs w:val="28"/>
          <w14:textFill>
            <w14:solidFill>
              <w14:schemeClr w14:val="tx1"/>
            </w14:solidFill>
          </w14:textFill>
        </w:rPr>
        <w:t xml:space="preserve"> </w:t>
      </w:r>
      <w:r>
        <w:rPr>
          <w:rFonts w:ascii="Times New Roman" w:cs="Times New Roman"/>
          <w:b/>
          <w:bCs/>
          <w:color w:val="000000" w:themeColor="text1"/>
          <w:sz w:val="28"/>
          <w:szCs w:val="28"/>
          <w14:textFill>
            <w14:solidFill>
              <w14:schemeClr w14:val="tx1"/>
            </w14:solidFill>
          </w14:textFill>
        </w:rPr>
        <w:t>项目背景</w:t>
      </w:r>
    </w:p>
    <w:p w14:paraId="13930570">
      <w:pPr>
        <w:widowControl/>
        <w:spacing w:line="360" w:lineRule="auto"/>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2016年，国家卫计委发布了《食品安全国家标准 食品接触材料及制品通用安全要求》等53项食品安全国家标准。新标准相比较已有原标准对食品接触材料范围及添加剂检验等做了更为清晰的界定。但随着新产品标准对食品接触材料及制品的起始物及添加剂要求更严格具体，方法标准的配套</w:t>
      </w:r>
      <w:r>
        <w:rPr>
          <w:rFonts w:hint="eastAsia" w:ascii="Times New Roman" w:hAnsi="Times New Roman" w:eastAsia="宋体" w:cs="Times New Roman"/>
          <w:color w:val="000000"/>
          <w:kern w:val="0"/>
          <w:sz w:val="28"/>
          <w:szCs w:val="28"/>
        </w:rPr>
        <w:t>还在完善之中</w:t>
      </w:r>
      <w:r>
        <w:rPr>
          <w:rFonts w:ascii="Times New Roman" w:hAnsi="Times New Roman" w:eastAsia="宋体" w:cs="Times New Roman"/>
          <w:color w:val="000000"/>
          <w:kern w:val="0"/>
          <w:sz w:val="28"/>
          <w:szCs w:val="28"/>
        </w:rPr>
        <w:t>。</w:t>
      </w:r>
    </w:p>
    <w:p w14:paraId="1F7B8603">
      <w:pPr>
        <w:widowControl/>
        <w:spacing w:line="360" w:lineRule="auto"/>
        <w:ind w:firstLine="560" w:firstLineChars="200"/>
        <w:jc w:val="left"/>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欧盟(</w:t>
      </w:r>
      <w:r>
        <w:rPr>
          <w:rFonts w:hint="eastAsia" w:ascii="Times New Roman" w:hAnsi="Times New Roman" w:eastAsia="宋体" w:cs="Times New Roman"/>
          <w:color w:val="000000"/>
          <w:kern w:val="0"/>
          <w:sz w:val="28"/>
          <w:szCs w:val="28"/>
          <w:lang w:val="en-US" w:eastAsia="zh-CN"/>
        </w:rPr>
        <w:t>EU</w:t>
      </w:r>
      <w:r>
        <w:rPr>
          <w:rFonts w:hint="eastAsia" w:ascii="Times New Roman" w:hAnsi="Times New Roman" w:eastAsia="宋体" w:cs="Times New Roman"/>
          <w:color w:val="000000"/>
          <w:kern w:val="0"/>
          <w:sz w:val="28"/>
          <w:szCs w:val="28"/>
        </w:rPr>
        <w:t xml:space="preserve">) </w:t>
      </w:r>
      <w:r>
        <w:rPr>
          <w:rFonts w:hint="eastAsia" w:ascii="Times New Roman" w:hAnsi="Times New Roman" w:eastAsia="宋体" w:cs="Times New Roman"/>
          <w:color w:val="000000"/>
          <w:kern w:val="0"/>
          <w:sz w:val="28"/>
          <w:szCs w:val="28"/>
          <w:lang w:val="en-US" w:eastAsia="zh-CN"/>
        </w:rPr>
        <w:t>NO</w:t>
      </w:r>
      <w:r>
        <w:rPr>
          <w:rFonts w:hint="eastAsia" w:ascii="Times New Roman" w:hAnsi="Times New Roman" w:eastAsia="宋体" w:cs="Times New Roman"/>
          <w:color w:val="000000"/>
          <w:kern w:val="0"/>
          <w:sz w:val="28"/>
          <w:szCs w:val="28"/>
        </w:rPr>
        <w:t xml:space="preserve"> 10/2011《预期接触食品的塑料材料及制品》</w:t>
      </w:r>
      <w:r>
        <w:rPr>
          <w:rFonts w:hint="eastAsia" w:ascii="Times New Roman" w:hAnsi="Times New Roman" w:eastAsia="宋体" w:cs="Times New Roman"/>
          <w:color w:val="000000"/>
          <w:kern w:val="0"/>
          <w:sz w:val="28"/>
          <w:szCs w:val="28"/>
          <w:lang w:eastAsia="zh-CN"/>
        </w:rPr>
        <w:t>规定</w:t>
      </w:r>
      <w:r>
        <w:rPr>
          <w:rFonts w:hint="eastAsia" w:ascii="Times New Roman" w:hAnsi="Times New Roman" w:eastAsia="宋体" w:cs="Times New Roman"/>
          <w:color w:val="000000"/>
          <w:kern w:val="0"/>
          <w:sz w:val="28"/>
          <w:szCs w:val="28"/>
          <w:lang w:val="en-US" w:eastAsia="zh-CN"/>
        </w:rPr>
        <w:t>1-己烯</w:t>
      </w:r>
      <w:r>
        <w:rPr>
          <w:rFonts w:hint="eastAsia" w:ascii="Times New Roman" w:hAnsi="Times New Roman" w:eastAsia="宋体" w:cs="Times New Roman"/>
          <w:color w:val="000000"/>
          <w:kern w:val="0"/>
          <w:sz w:val="28"/>
          <w:szCs w:val="28"/>
        </w:rPr>
        <w:t>用作塑料单体或其他起始物，SML为3mg/kg</w:t>
      </w:r>
      <w:r>
        <w:rPr>
          <w:rFonts w:hint="eastAsia" w:ascii="Times New Roman" w:hAnsi="Times New Roman" w:eastAsia="宋体" w:cs="Times New Roman"/>
          <w:color w:val="000000"/>
          <w:kern w:val="0"/>
          <w:sz w:val="28"/>
          <w:szCs w:val="28"/>
          <w:lang w:eastAsia="zh-CN"/>
        </w:rPr>
        <w:t>；韩国MFDS《食品用器具、容器和包装的标准与规范》（2022）规定作为</w:t>
      </w:r>
      <w:r>
        <w:rPr>
          <w:rFonts w:hint="eastAsia" w:ascii="Times New Roman" w:hAnsi="Times New Roman" w:eastAsia="宋体" w:cs="Times New Roman"/>
          <w:color w:val="000000"/>
          <w:kern w:val="0"/>
          <w:sz w:val="28"/>
          <w:szCs w:val="28"/>
          <w:lang w:val="en-US" w:eastAsia="zh-CN"/>
        </w:rPr>
        <w:t>PE塑料单体中1-己烯</w:t>
      </w:r>
      <w:r>
        <w:rPr>
          <w:rFonts w:hint="eastAsia" w:ascii="Times New Roman" w:hAnsi="Times New Roman" w:eastAsia="宋体" w:cs="Times New Roman"/>
          <w:color w:val="000000"/>
          <w:kern w:val="0"/>
          <w:sz w:val="28"/>
          <w:szCs w:val="28"/>
        </w:rPr>
        <w:t>SML为3mg/kg</w:t>
      </w:r>
      <w:r>
        <w:rPr>
          <w:rFonts w:hint="eastAsia" w:ascii="Times New Roman" w:hAnsi="Times New Roman" w:eastAsia="宋体" w:cs="Times New Roman"/>
          <w:color w:val="000000"/>
          <w:kern w:val="0"/>
          <w:sz w:val="28"/>
          <w:szCs w:val="28"/>
          <w:lang w:val="en-US" w:eastAsia="zh-CN"/>
        </w:rPr>
        <w:t>；美国FDA 21 CFR 177.1960《氯乙烯-1-己烯共聚物》：作为氯乙烯-1-己烯共聚物的原料，共聚物中的单体成分≤3%；中国</w:t>
      </w:r>
      <w:r>
        <w:rPr>
          <w:rFonts w:ascii="Times New Roman" w:hAnsi="Times New Roman" w:eastAsia="宋体" w:cs="Times New Roman"/>
          <w:color w:val="000000"/>
          <w:kern w:val="0"/>
          <w:sz w:val="28"/>
          <w:szCs w:val="28"/>
        </w:rPr>
        <w:t>GB 4806.6-2016《食品安全国家标准 食品接触用塑料树脂》规定编号为101的聚乙烯（PE）制品需要检测</w:t>
      </w:r>
      <w:r>
        <w:rPr>
          <w:rFonts w:hint="eastAsia" w:ascii="Times New Roman" w:hAnsi="Times New Roman" w:eastAsia="宋体" w:cs="Times New Roman"/>
          <w:color w:val="000000"/>
          <w:kern w:val="0"/>
          <w:sz w:val="28"/>
          <w:szCs w:val="28"/>
        </w:rPr>
        <w:t>1-</w:t>
      </w:r>
      <w:r>
        <w:rPr>
          <w:rFonts w:ascii="Times New Roman" w:hAnsi="Times New Roman" w:eastAsia="宋体" w:cs="Times New Roman"/>
          <w:color w:val="000000"/>
          <w:kern w:val="0"/>
          <w:sz w:val="28"/>
          <w:szCs w:val="28"/>
        </w:rPr>
        <w:t>己烯、</w:t>
      </w:r>
      <w:r>
        <w:rPr>
          <w:rFonts w:hint="eastAsia" w:ascii="Times New Roman" w:hAnsi="Times New Roman" w:eastAsia="宋体" w:cs="Times New Roman"/>
          <w:color w:val="000000"/>
          <w:kern w:val="0"/>
          <w:sz w:val="28"/>
          <w:szCs w:val="28"/>
        </w:rPr>
        <w:t>1-</w:t>
      </w:r>
      <w:r>
        <w:rPr>
          <w:rFonts w:ascii="Times New Roman" w:hAnsi="Times New Roman" w:eastAsia="宋体" w:cs="Times New Roman"/>
          <w:color w:val="000000"/>
          <w:kern w:val="0"/>
          <w:sz w:val="28"/>
          <w:szCs w:val="28"/>
        </w:rPr>
        <w:t>辛烯、乙酸乙烯酯等特定迁移量，规定了聚乙烯（PE）类产品中起始物1-己烯迁移量不得超过3 mg/kg。而</w:t>
      </w:r>
      <w:r>
        <w:rPr>
          <w:rFonts w:hint="eastAsia" w:ascii="Times New Roman" w:hAnsi="Times New Roman" w:eastAsia="宋体" w:cs="Times New Roman"/>
          <w:color w:val="000000"/>
          <w:kern w:val="0"/>
          <w:sz w:val="28"/>
          <w:szCs w:val="28"/>
          <w:lang w:eastAsia="zh-CN"/>
        </w:rPr>
        <w:t>塑料</w:t>
      </w:r>
      <w:r>
        <w:rPr>
          <w:rFonts w:ascii="Times New Roman" w:hAnsi="Times New Roman" w:eastAsia="宋体" w:cs="Times New Roman"/>
          <w:color w:val="000000"/>
          <w:kern w:val="0"/>
          <w:sz w:val="28"/>
          <w:szCs w:val="28"/>
        </w:rPr>
        <w:t>制品中1-己烯迁移量目前国内无检验方法标准，包括行业标准及地方标准。</w:t>
      </w:r>
    </w:p>
    <w:p w14:paraId="21EACFFE">
      <w:pPr>
        <w:widowControl/>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sz w:val="28"/>
          <w:szCs w:val="28"/>
        </w:rPr>
        <w:t>南京市产品质量监督检验院（南京市质量发展与先进技术应用研究院）</w:t>
      </w:r>
      <w:r>
        <w:rPr>
          <w:rFonts w:hint="eastAsia" w:ascii="Times New Roman" w:hAnsi="Times New Roman" w:eastAsia="宋体" w:cs="Times New Roman"/>
          <w:color w:val="auto"/>
          <w:kern w:val="0"/>
          <w:sz w:val="28"/>
          <w:szCs w:val="28"/>
          <w:lang w:eastAsia="zh-CN"/>
        </w:rPr>
        <w:t>根据本省</w:t>
      </w:r>
      <w:r>
        <w:rPr>
          <w:rFonts w:ascii="Times New Roman" w:hAnsi="Times New Roman" w:eastAsia="宋体" w:cs="Times New Roman"/>
          <w:color w:val="auto"/>
          <w:kern w:val="0"/>
          <w:sz w:val="28"/>
          <w:szCs w:val="28"/>
        </w:rPr>
        <w:t>多家聚乙烯材料及制品生产企业对于1-己烯迁移量有检测需求，而目前无可用的方法标准依据，无法对聚乙烯类</w:t>
      </w:r>
      <w:r>
        <w:rPr>
          <w:rFonts w:hint="eastAsia" w:ascii="Times New Roman" w:hAnsi="Times New Roman" w:eastAsia="宋体" w:cs="Times New Roman"/>
          <w:color w:val="auto"/>
          <w:kern w:val="0"/>
          <w:sz w:val="28"/>
          <w:szCs w:val="28"/>
          <w:lang w:eastAsia="zh-CN"/>
        </w:rPr>
        <w:t>塑料</w:t>
      </w:r>
      <w:r>
        <w:rPr>
          <w:rFonts w:ascii="Times New Roman" w:hAnsi="Times New Roman" w:eastAsia="宋体" w:cs="Times New Roman"/>
          <w:color w:val="auto"/>
          <w:kern w:val="0"/>
          <w:sz w:val="28"/>
          <w:szCs w:val="28"/>
        </w:rPr>
        <w:t>制品的有害物质进行全面检测监管，存在安全监管风险。</w:t>
      </w:r>
    </w:p>
    <w:p w14:paraId="591EC3DA">
      <w:pPr>
        <w:widowControl/>
        <w:spacing w:line="360" w:lineRule="auto"/>
        <w:ind w:firstLine="560" w:firstLineChars="200"/>
        <w:jc w:val="left"/>
        <w:rPr>
          <w:rFonts w:hint="eastAsia" w:ascii="Times New Roman" w:cs="Times New Roman"/>
          <w:b/>
          <w:bCs/>
          <w:color w:val="000000" w:themeColor="text1"/>
          <w:sz w:val="28"/>
          <w:szCs w:val="28"/>
          <w14:textFill>
            <w14:solidFill>
              <w14:schemeClr w14:val="tx1"/>
            </w14:solidFill>
          </w14:textFill>
        </w:rPr>
      </w:pPr>
      <w:r>
        <w:rPr>
          <w:rFonts w:hint="eastAsia" w:ascii="Times New Roman" w:hAnsi="Times New Roman" w:eastAsia="宋体" w:cs="Times New Roman"/>
          <w:color w:val="auto"/>
          <w:kern w:val="0"/>
          <w:sz w:val="28"/>
          <w:szCs w:val="28"/>
          <w:lang w:eastAsia="zh-CN"/>
        </w:rPr>
        <w:t>通过前期研究基础，开发了</w:t>
      </w:r>
      <w:r>
        <w:rPr>
          <w:rFonts w:hint="eastAsia" w:ascii="Times New Roman" w:hAnsi="Times New Roman" w:eastAsia="宋体" w:cs="Times New Roman"/>
          <w:color w:val="auto"/>
          <w:kern w:val="0"/>
          <w:sz w:val="28"/>
          <w:szCs w:val="28"/>
          <w:lang w:val="en-US" w:eastAsia="zh-CN"/>
        </w:rPr>
        <w:t>2种不同的检测</w:t>
      </w:r>
      <w:r>
        <w:rPr>
          <w:rFonts w:hint="eastAsia" w:ascii="Times New Roman" w:hAnsi="Times New Roman" w:eastAsia="宋体" w:cs="Times New Roman"/>
          <w:color w:val="auto"/>
          <w:kern w:val="0"/>
          <w:sz w:val="28"/>
          <w:szCs w:val="28"/>
          <w:lang w:eastAsia="zh-CN"/>
        </w:rPr>
        <w:t>方法，并对方法进行方法学验证，申请南京市市场监督管理局科技项目</w:t>
      </w:r>
      <w:r>
        <w:rPr>
          <w:rFonts w:hint="eastAsia" w:ascii="Times New Roman" w:hAnsi="Times New Roman" w:eastAsia="宋体" w:cs="Times New Roman"/>
          <w:color w:val="auto"/>
          <w:kern w:val="0"/>
          <w:sz w:val="28"/>
          <w:szCs w:val="28"/>
          <w:lang w:val="en-US" w:eastAsia="zh-CN"/>
        </w:rPr>
        <w:t>1项：《食品接触材料聚乙烯中添加剂1-己烯迁移规律的研究》，项目编号Kj2022007，现已完成结题。</w:t>
      </w:r>
    </w:p>
    <w:p w14:paraId="6A5D1664">
      <w:pPr>
        <w:spacing w:line="580" w:lineRule="exact"/>
        <w:rPr>
          <w:rFonts w:ascii="Times New Roman" w:cs="Times New Roman"/>
          <w:b/>
          <w:bCs/>
          <w:color w:val="000000" w:themeColor="text1"/>
          <w:sz w:val="28"/>
          <w:szCs w:val="28"/>
          <w14:textFill>
            <w14:solidFill>
              <w14:schemeClr w14:val="tx1"/>
            </w14:solidFill>
          </w14:textFill>
        </w:rPr>
      </w:pPr>
      <w:r>
        <w:rPr>
          <w:rFonts w:hint="eastAsia" w:ascii="Times New Roman" w:cs="Times New Roman"/>
          <w:b/>
          <w:bCs/>
          <w:color w:val="000000" w:themeColor="text1"/>
          <w:sz w:val="28"/>
          <w:szCs w:val="28"/>
          <w14:textFill>
            <w14:solidFill>
              <w14:schemeClr w14:val="tx1"/>
            </w14:solidFill>
          </w14:textFill>
        </w:rPr>
        <w:t>2 项目来源</w:t>
      </w:r>
    </w:p>
    <w:p w14:paraId="31EB62E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cs="Times New Roman" w:eastAsiaTheme="minorEastAsia"/>
          <w:b w:val="0"/>
          <w:bCs w:val="0"/>
          <w:color w:val="000000" w:themeColor="text1"/>
          <w:sz w:val="28"/>
          <w:szCs w:val="28"/>
          <w:lang w:eastAsia="zh-CN"/>
          <w14:textFill>
            <w14:solidFill>
              <w14:schemeClr w14:val="tx1"/>
            </w14:solidFill>
          </w14:textFill>
        </w:rPr>
      </w:pPr>
      <w:r>
        <w:rPr>
          <w:rFonts w:hint="eastAsia" w:ascii="宋体" w:hAnsi="宋体" w:eastAsia="宋体"/>
          <w:kern w:val="0"/>
          <w:sz w:val="28"/>
          <w:szCs w:val="28"/>
        </w:rPr>
        <w:t>为提升</w:t>
      </w:r>
      <w:r>
        <w:rPr>
          <w:rFonts w:hint="eastAsia" w:ascii="宋体" w:hAnsi="宋体" w:eastAsia="宋体"/>
          <w:kern w:val="0"/>
          <w:sz w:val="28"/>
          <w:szCs w:val="28"/>
          <w:lang w:eastAsia="zh-CN"/>
        </w:rPr>
        <w:t>塑料</w:t>
      </w:r>
      <w:r>
        <w:rPr>
          <w:rFonts w:hint="eastAsia" w:ascii="宋体" w:hAnsi="宋体" w:eastAsia="宋体"/>
          <w:kern w:val="0"/>
          <w:sz w:val="28"/>
          <w:szCs w:val="28"/>
        </w:rPr>
        <w:t>制品质量标准水平，为</w:t>
      </w:r>
      <w:r>
        <w:rPr>
          <w:rFonts w:hint="eastAsia" w:ascii="宋体" w:hAnsi="宋体" w:eastAsia="宋体"/>
          <w:kern w:val="0"/>
          <w:sz w:val="28"/>
          <w:szCs w:val="28"/>
          <w:lang w:eastAsia="zh-CN"/>
        </w:rPr>
        <w:t>塑料</w:t>
      </w:r>
      <w:r>
        <w:rPr>
          <w:rFonts w:hint="eastAsia" w:ascii="宋体" w:hAnsi="宋体" w:eastAsia="宋体"/>
          <w:kern w:val="0"/>
          <w:sz w:val="28"/>
          <w:szCs w:val="28"/>
        </w:rPr>
        <w:t>制品</w:t>
      </w:r>
      <w:r>
        <w:rPr>
          <w:rFonts w:hint="eastAsia" w:ascii="宋体" w:hAnsi="宋体" w:eastAsia="宋体"/>
          <w:kern w:val="0"/>
          <w:sz w:val="28"/>
          <w:szCs w:val="28"/>
          <w:lang w:eastAsia="zh-CN"/>
        </w:rPr>
        <w:t>中</w:t>
      </w:r>
      <w:r>
        <w:rPr>
          <w:rFonts w:hint="eastAsia" w:ascii="宋体" w:hAnsi="宋体" w:eastAsia="宋体"/>
          <w:kern w:val="0"/>
          <w:sz w:val="28"/>
          <w:szCs w:val="28"/>
        </w:rPr>
        <w:t>1-己烯迁移量提供检测依据，制定了《</w:t>
      </w:r>
      <w:r>
        <w:rPr>
          <w:rFonts w:hint="eastAsia" w:ascii="宋体" w:hAnsi="宋体" w:eastAsia="宋体"/>
          <w:kern w:val="0"/>
          <w:sz w:val="28"/>
          <w:szCs w:val="28"/>
          <w:lang w:eastAsia="zh-CN"/>
        </w:rPr>
        <w:t>塑料制品中1-己烯含量和迁移量的测定</w:t>
      </w:r>
      <w:r>
        <w:rPr>
          <w:rFonts w:hint="eastAsia" w:ascii="宋体" w:hAnsi="宋体" w:eastAsia="宋体"/>
          <w:kern w:val="0"/>
          <w:sz w:val="28"/>
          <w:szCs w:val="28"/>
        </w:rPr>
        <w:t>》团体标准。经南京市产品质量监督检验院（南京市质量发展与先进技术应用研究院）申请，</w:t>
      </w:r>
      <w:r>
        <w:rPr>
          <w:rFonts w:hint="eastAsia" w:ascii="宋体" w:hAnsi="宋体" w:eastAsia="宋体"/>
          <w:kern w:val="0"/>
          <w:sz w:val="28"/>
          <w:szCs w:val="28"/>
          <w:lang w:eastAsia="zh-CN"/>
        </w:rPr>
        <w:t>立项</w:t>
      </w:r>
      <w:r>
        <w:rPr>
          <w:rFonts w:hint="eastAsia" w:ascii="宋体" w:hAnsi="宋体" w:eastAsia="宋体"/>
          <w:kern w:val="0"/>
          <w:sz w:val="28"/>
          <w:szCs w:val="28"/>
        </w:rPr>
        <w:t>《</w:t>
      </w:r>
      <w:r>
        <w:rPr>
          <w:rFonts w:hint="eastAsia" w:ascii="宋体" w:hAnsi="宋体" w:eastAsia="宋体"/>
          <w:kern w:val="0"/>
          <w:sz w:val="28"/>
          <w:szCs w:val="28"/>
          <w:lang w:eastAsia="zh-CN"/>
        </w:rPr>
        <w:t>塑料制品中1-己烯含量和迁移量的测定</w:t>
      </w:r>
      <w:r>
        <w:rPr>
          <w:rFonts w:hint="eastAsia" w:ascii="宋体" w:hAnsi="宋体" w:eastAsia="宋体"/>
          <w:kern w:val="0"/>
          <w:sz w:val="28"/>
          <w:szCs w:val="28"/>
        </w:rPr>
        <w:t>》</w:t>
      </w:r>
      <w:r>
        <w:rPr>
          <w:rFonts w:hint="eastAsia" w:ascii="宋体" w:hAnsi="宋体" w:eastAsia="宋体"/>
          <w:kern w:val="0"/>
          <w:sz w:val="28"/>
          <w:szCs w:val="28"/>
          <w:lang w:eastAsia="zh-CN"/>
        </w:rPr>
        <w:t>团体标准的制定</w:t>
      </w:r>
      <w:r>
        <w:rPr>
          <w:rFonts w:hint="eastAsia" w:ascii="Times New Roman" w:cs="Times New Roman"/>
          <w:b w:val="0"/>
          <w:bCs w:val="0"/>
          <w:color w:val="000000" w:themeColor="text1"/>
          <w:sz w:val="28"/>
          <w:szCs w:val="28"/>
          <w:lang w:eastAsia="zh-CN"/>
          <w14:textFill>
            <w14:solidFill>
              <w14:schemeClr w14:val="tx1"/>
            </w14:solidFill>
          </w14:textFill>
        </w:rPr>
        <w:t>。</w:t>
      </w:r>
    </w:p>
    <w:p w14:paraId="40AC34BA">
      <w:pPr>
        <w:spacing w:line="580" w:lineRule="exact"/>
        <w:rPr>
          <w:rFonts w:ascii="Times New Roman" w:cs="Times New Roman"/>
          <w:b/>
          <w:bCs/>
          <w:color w:val="000000" w:themeColor="text1"/>
          <w:sz w:val="28"/>
          <w:szCs w:val="28"/>
          <w14:textFill>
            <w14:solidFill>
              <w14:schemeClr w14:val="tx1"/>
            </w14:solidFill>
          </w14:textFill>
        </w:rPr>
      </w:pPr>
      <w:r>
        <w:rPr>
          <w:rFonts w:hint="eastAsia" w:ascii="Times New Roman" w:cs="Times New Roman"/>
          <w:b/>
          <w:bCs/>
          <w:color w:val="000000" w:themeColor="text1"/>
          <w:sz w:val="28"/>
          <w:szCs w:val="28"/>
          <w14:textFill>
            <w14:solidFill>
              <w14:schemeClr w14:val="tx1"/>
            </w14:solidFill>
          </w14:textFill>
        </w:rPr>
        <w:t>3 标准制定工作概况</w:t>
      </w:r>
    </w:p>
    <w:p w14:paraId="296F9CE3">
      <w:pPr>
        <w:spacing w:line="580" w:lineRule="exact"/>
        <w:rPr>
          <w:rFonts w:asci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14:textFill>
            <w14:solidFill>
              <w14:schemeClr w14:val="tx1"/>
            </w14:solidFill>
          </w14:textFill>
        </w:rPr>
        <w:t>3.1 标准制定相关单位及人员</w:t>
      </w:r>
    </w:p>
    <w:p w14:paraId="14D4BDB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14:textFill>
            <w14:solidFill>
              <w14:schemeClr w14:val="tx1"/>
            </w14:solidFill>
          </w14:textFill>
        </w:rPr>
        <w:t>本文件由江苏省质量协会提出并归口。</w:t>
      </w:r>
    </w:p>
    <w:p w14:paraId="6838CF7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14:textFill>
            <w14:solidFill>
              <w14:schemeClr w14:val="tx1"/>
            </w14:solidFill>
          </w14:textFill>
        </w:rPr>
        <w:t>本文件起草单位：南京市产品质量监督检验院（南京市质量发展与先进技术应用研究院）。</w:t>
      </w:r>
    </w:p>
    <w:p w14:paraId="015CCBBE">
      <w:pPr>
        <w:spacing w:line="360" w:lineRule="auto"/>
        <w:ind w:firstLine="560" w:firstLineChars="200"/>
        <w:outlineLvl w:val="0"/>
        <w:rPr>
          <w:rFonts w:hint="default" w:ascii="Times New Roman" w:cs="Times New Roman"/>
          <w:color w:val="000000" w:themeColor="text1"/>
          <w:sz w:val="28"/>
          <w:szCs w:val="28"/>
          <w:lang w:val="en-US" w:eastAsia="zh-CN"/>
          <w14:textFill>
            <w14:solidFill>
              <w14:schemeClr w14:val="tx1"/>
            </w14:solidFill>
          </w14:textFill>
        </w:rPr>
      </w:pPr>
      <w:r>
        <w:rPr>
          <w:rFonts w:hint="eastAsia" w:ascii="Times New Roman" w:cs="Times New Roman"/>
          <w:color w:val="000000" w:themeColor="text1"/>
          <w:sz w:val="28"/>
          <w:szCs w:val="28"/>
          <w14:textFill>
            <w14:solidFill>
              <w14:schemeClr w14:val="tx1"/>
            </w14:solidFill>
          </w14:textFill>
        </w:rPr>
        <w:t>根据标准化工作程序，本文件主要起草人和分工主要如下：</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229"/>
        <w:gridCol w:w="2388"/>
        <w:gridCol w:w="4126"/>
      </w:tblGrid>
      <w:tr w14:paraId="2500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EC2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序号</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69C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起草人</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705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sz w:val="28"/>
                <w:szCs w:val="28"/>
                <w:u w:val="none"/>
              </w:rPr>
              <w:t>工作单位</w:t>
            </w: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F2D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主要工作</w:t>
            </w:r>
          </w:p>
        </w:tc>
      </w:tr>
      <w:tr w14:paraId="61FF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FF8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5D3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李宁</w:t>
            </w:r>
          </w:p>
        </w:tc>
        <w:tc>
          <w:tcPr>
            <w:tcW w:w="1401" w:type="pct"/>
            <w:vMerge w:val="restart"/>
            <w:tcBorders>
              <w:top w:val="single" w:color="000000" w:sz="4" w:space="0"/>
              <w:left w:val="single" w:color="000000" w:sz="4" w:space="0"/>
              <w:right w:val="single" w:color="000000" w:sz="4" w:space="0"/>
            </w:tcBorders>
            <w:shd w:val="clear" w:color="auto" w:fill="auto"/>
            <w:vAlign w:val="center"/>
          </w:tcPr>
          <w:p w14:paraId="7640FFB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南京市产品质量监督检验院（南京市质量发展与先进技术应用研究院）</w:t>
            </w: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63D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项目负责人、负责项目整体管理</w:t>
            </w:r>
          </w:p>
        </w:tc>
      </w:tr>
      <w:tr w14:paraId="35AB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B10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894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魏珍珍</w:t>
            </w:r>
          </w:p>
        </w:tc>
        <w:tc>
          <w:tcPr>
            <w:tcW w:w="1401" w:type="pct"/>
            <w:vMerge w:val="continue"/>
            <w:tcBorders>
              <w:left w:val="single" w:color="000000" w:sz="4" w:space="0"/>
              <w:right w:val="single" w:color="000000" w:sz="4" w:space="0"/>
            </w:tcBorders>
            <w:shd w:val="clear" w:color="auto" w:fill="auto"/>
            <w:vAlign w:val="center"/>
          </w:tcPr>
          <w:p w14:paraId="51F0EA66">
            <w:pPr>
              <w:jc w:val="center"/>
              <w:rPr>
                <w:rFonts w:hint="default" w:ascii="Times New Roman" w:hAnsi="Times New Roman" w:eastAsia="宋体" w:cs="Times New Roman"/>
                <w:i w:val="0"/>
                <w:iCs w:val="0"/>
                <w:color w:val="000000"/>
                <w:sz w:val="28"/>
                <w:szCs w:val="28"/>
                <w:u w:val="none"/>
              </w:rPr>
            </w:pP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372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标准文件编制、方法开发与验证</w:t>
            </w:r>
          </w:p>
        </w:tc>
      </w:tr>
      <w:tr w14:paraId="54BB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B71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F2C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刘娜</w:t>
            </w:r>
          </w:p>
        </w:tc>
        <w:tc>
          <w:tcPr>
            <w:tcW w:w="1401" w:type="pct"/>
            <w:vMerge w:val="continue"/>
            <w:tcBorders>
              <w:left w:val="single" w:color="000000" w:sz="4" w:space="0"/>
              <w:right w:val="single" w:color="000000" w:sz="4" w:space="0"/>
            </w:tcBorders>
            <w:shd w:val="clear" w:color="auto" w:fill="auto"/>
            <w:vAlign w:val="center"/>
          </w:tcPr>
          <w:p w14:paraId="2006BAF9">
            <w:pPr>
              <w:jc w:val="center"/>
              <w:rPr>
                <w:rFonts w:hint="default" w:ascii="Times New Roman" w:hAnsi="Times New Roman" w:eastAsia="宋体" w:cs="Times New Roman"/>
                <w:i w:val="0"/>
                <w:iCs w:val="0"/>
                <w:color w:val="000000"/>
                <w:sz w:val="28"/>
                <w:szCs w:val="28"/>
                <w:u w:val="none"/>
              </w:rPr>
            </w:pP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D7AF">
            <w:pPr>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方法开发与验证</w:t>
            </w:r>
          </w:p>
        </w:tc>
      </w:tr>
      <w:tr w14:paraId="628F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4CB5">
            <w:pPr>
              <w:jc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3594">
            <w:pPr>
              <w:jc w:val="center"/>
              <w:rPr>
                <w:rFonts w:hint="eastAsia" w:ascii="Times New Roman" w:hAnsi="Times New Roman" w:eastAsia="宋体" w:cs="Times New Roman"/>
                <w:i w:val="0"/>
                <w:iCs w:val="0"/>
                <w:color w:val="000000"/>
                <w:sz w:val="28"/>
                <w:szCs w:val="28"/>
                <w:u w:val="none"/>
                <w:lang w:eastAsia="zh-CN"/>
              </w:rPr>
            </w:pPr>
            <w:r>
              <w:rPr>
                <w:rFonts w:hint="eastAsia" w:ascii="Times New Roman" w:hAnsi="Times New Roman" w:eastAsia="宋体" w:cs="Times New Roman"/>
                <w:i w:val="0"/>
                <w:iCs w:val="0"/>
                <w:color w:val="000000"/>
                <w:sz w:val="28"/>
                <w:szCs w:val="28"/>
                <w:u w:val="none"/>
                <w:lang w:eastAsia="zh-CN"/>
              </w:rPr>
              <w:t>刘晓萌</w:t>
            </w:r>
          </w:p>
        </w:tc>
        <w:tc>
          <w:tcPr>
            <w:tcW w:w="1401" w:type="pct"/>
            <w:vMerge w:val="continue"/>
            <w:tcBorders>
              <w:left w:val="single" w:color="000000" w:sz="4" w:space="0"/>
              <w:bottom w:val="single" w:color="000000" w:sz="4" w:space="0"/>
              <w:right w:val="single" w:color="000000" w:sz="4" w:space="0"/>
            </w:tcBorders>
            <w:shd w:val="clear" w:color="auto" w:fill="auto"/>
            <w:noWrap/>
            <w:vAlign w:val="center"/>
          </w:tcPr>
          <w:p w14:paraId="739B6C2A">
            <w:pPr>
              <w:jc w:val="center"/>
              <w:rPr>
                <w:rFonts w:hint="default" w:ascii="Times New Roman" w:hAnsi="Times New Roman" w:eastAsia="宋体" w:cs="Times New Roman"/>
                <w:i w:val="0"/>
                <w:iCs w:val="0"/>
                <w:color w:val="000000"/>
                <w:sz w:val="28"/>
                <w:szCs w:val="28"/>
                <w:u w:val="none"/>
              </w:rPr>
            </w:pP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9327">
            <w:pPr>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方法开发与验证</w:t>
            </w:r>
          </w:p>
        </w:tc>
      </w:tr>
    </w:tbl>
    <w:p w14:paraId="598780F5">
      <w:pPr>
        <w:spacing w:line="580" w:lineRule="exact"/>
        <w:rPr>
          <w:rFonts w:asci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14:textFill>
            <w14:solidFill>
              <w14:schemeClr w14:val="tx1"/>
            </w14:solidFill>
          </w14:textFill>
        </w:rPr>
        <w:t>3.2 主要工作过程</w:t>
      </w:r>
    </w:p>
    <w:p w14:paraId="4DED0144">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cs="Times New Roman"/>
          <w:sz w:val="28"/>
          <w:szCs w:val="28"/>
        </w:rPr>
        <w:t>本标准的编制工作从</w:t>
      </w:r>
      <w:r>
        <w:rPr>
          <w:rFonts w:hint="default" w:ascii="Times New Roman" w:hAnsi="Times New Roman" w:cs="Times New Roman"/>
          <w:color w:val="000000" w:themeColor="text1"/>
          <w:sz w:val="28"/>
          <w:szCs w:val="28"/>
          <w14:textFill>
            <w14:solidFill>
              <w14:schemeClr w14:val="tx1"/>
            </w14:solidFill>
          </w14:textFill>
        </w:rPr>
        <w:t>202</w:t>
      </w:r>
      <w:r>
        <w:rPr>
          <w:rFonts w:hint="eastAsia" w:ascii="Times New Roman" w:hAnsi="Times New Roman" w:cs="Times New Roman"/>
          <w:color w:val="000000" w:themeColor="text1"/>
          <w:sz w:val="28"/>
          <w:szCs w:val="28"/>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sz w:val="28"/>
          <w:szCs w:val="28"/>
        </w:rPr>
        <w:t>开始，立即组织单位有关技术人员组成标准起草小组</w:t>
      </w:r>
      <w:r>
        <w:rPr>
          <w:rFonts w:hint="default" w:ascii="Times New Roman" w:hAnsi="Times New Roman" w:cs="Times New Roman"/>
          <w:sz w:val="28"/>
          <w:szCs w:val="28"/>
          <w:lang w:eastAsia="zh-CN"/>
        </w:rPr>
        <w:t>，</w:t>
      </w:r>
      <w:r>
        <w:rPr>
          <w:rFonts w:hint="default" w:ascii="Times New Roman" w:hAnsi="Times New Roman" w:cs="Times New Roman"/>
          <w:sz w:val="28"/>
          <w:szCs w:val="28"/>
        </w:rPr>
        <w:t>由</w:t>
      </w:r>
      <w:r>
        <w:rPr>
          <w:rFonts w:hint="default" w:ascii="Times New Roman" w:hAnsi="Times New Roman" w:eastAsia="宋体" w:cs="Times New Roman"/>
          <w:color w:val="auto"/>
          <w:sz w:val="28"/>
          <w:szCs w:val="28"/>
        </w:rPr>
        <w:t>南京市产品质量监督检验院（南京市质量发展与先进技术应用研究院）</w:t>
      </w:r>
      <w:r>
        <w:rPr>
          <w:rFonts w:hint="default" w:ascii="Times New Roman" w:hAnsi="Times New Roman" w:eastAsia="宋体" w:cs="Times New Roman"/>
          <w:color w:val="auto"/>
          <w:sz w:val="28"/>
          <w:szCs w:val="28"/>
          <w:lang w:eastAsia="zh-CN"/>
        </w:rPr>
        <w:t>标准所</w:t>
      </w:r>
      <w:r>
        <w:rPr>
          <w:rFonts w:hint="default" w:ascii="Times New Roman" w:hAnsi="Times New Roman" w:cs="Times New Roman"/>
          <w:sz w:val="28"/>
          <w:szCs w:val="28"/>
        </w:rPr>
        <w:t>具体承担。本标准制定严格按照GB/T 1.1-20</w:t>
      </w:r>
      <w:r>
        <w:rPr>
          <w:rFonts w:hint="default" w:ascii="Times New Roman" w:hAnsi="Times New Roman" w:cs="Times New Roman"/>
          <w:sz w:val="28"/>
          <w:szCs w:val="28"/>
          <w:lang w:val="en-US" w:eastAsia="zh-CN"/>
        </w:rPr>
        <w:t xml:space="preserve">20 </w:t>
      </w:r>
      <w:r>
        <w:rPr>
          <w:rFonts w:hint="default" w:ascii="Times New Roman" w:hAnsi="Times New Roman" w:cs="Times New Roman"/>
          <w:sz w:val="28"/>
          <w:szCs w:val="28"/>
        </w:rPr>
        <w:t>《标准化工作导则 第1部分：标准化文件的结构和起草规则</w:t>
      </w:r>
      <w:r>
        <w:rPr>
          <w:rFonts w:hint="default" w:ascii="Times New Roman" w:hAnsi="Times New Roman" w:eastAsia="宋体" w:cs="Times New Roman"/>
          <w:sz w:val="28"/>
          <w:szCs w:val="28"/>
        </w:rPr>
        <w:t>》要求进行。</w:t>
      </w:r>
    </w:p>
    <w:p w14:paraId="10A6D556">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2024.01-2024.0</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 xml:space="preserve"> 成立标准起草小组，明确了各参与单位和人员职责分工、研制计划、时间进度安排。根据标准研制的重点、框架以及现行国标基础，起草小组调研相关市场，了解用户需求、产品实际使用效果，对相应指标做了提升和完善。</w:t>
      </w:r>
    </w:p>
    <w:p w14:paraId="47241786">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2024.0</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-2024.</w:t>
      </w:r>
      <w:r>
        <w:rPr>
          <w:rFonts w:hint="eastAsia" w:ascii="Times New Roman" w:hAnsi="Times New Roman" w:eastAsia="宋体" w:cs="Times New Roman"/>
          <w:sz w:val="28"/>
          <w:szCs w:val="28"/>
          <w:lang w:val="en-US" w:eastAsia="zh-CN"/>
        </w:rPr>
        <w:t>12</w:t>
      </w:r>
      <w:r>
        <w:rPr>
          <w:rFonts w:hint="default" w:ascii="Times New Roman" w:hAnsi="Times New Roman" w:eastAsia="宋体" w:cs="Times New Roman"/>
          <w:sz w:val="28"/>
          <w:szCs w:val="28"/>
        </w:rPr>
        <w:t xml:space="preserve"> 起草小组对收集的资料进行整理研讨，根据调研内容进行标准草案框架构建，同时严格按照标准制修订的流程开展标准制修订工作。</w:t>
      </w:r>
    </w:p>
    <w:p w14:paraId="335FDD49">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.0</w:t>
      </w: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.0</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CN"/>
        </w:rPr>
        <w:t xml:space="preserve"> 编制组成员通过探究性试验，优化顶空条件、色谱条件等，确定了试验方案。编制组成员对试验方案进行反复确证研究，包括精密度试验、回收率试验、实际样品检测，确定了最终试验方案。项目组成员经过多次讨论修改，初步形成</w:t>
      </w:r>
      <w:r>
        <w:rPr>
          <w:rFonts w:hint="default" w:ascii="Times New Roman" w:hAnsi="Times New Roman" w:eastAsia="宋体" w:cs="Times New Roman"/>
          <w:sz w:val="28"/>
          <w:szCs w:val="28"/>
        </w:rPr>
        <w:t>团体标准草案</w:t>
      </w:r>
      <w:r>
        <w:rPr>
          <w:rFonts w:hint="default" w:ascii="Times New Roman" w:hAnsi="Times New Roman" w:eastAsia="宋体" w:cs="Times New Roman"/>
          <w:sz w:val="28"/>
          <w:szCs w:val="28"/>
          <w:lang w:val="en-US" w:eastAsia="zh-CN"/>
        </w:rPr>
        <w:t>。</w:t>
      </w:r>
    </w:p>
    <w:p w14:paraId="27A57F44">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06</w:t>
      </w:r>
      <w:r>
        <w:rPr>
          <w:rFonts w:hint="default"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val="en-US" w:eastAsia="zh-CN"/>
        </w:rPr>
        <w:t>协会</w:t>
      </w:r>
      <w:r>
        <w:rPr>
          <w:rFonts w:hint="default" w:ascii="Times New Roman" w:hAnsi="Times New Roman" w:eastAsia="宋体" w:cs="Times New Roman"/>
          <w:sz w:val="28"/>
          <w:szCs w:val="28"/>
          <w:lang w:val="en-US" w:eastAsia="zh-CN"/>
        </w:rPr>
        <w:t>就标准草案征求检验机构</w:t>
      </w:r>
      <w:r>
        <w:rPr>
          <w:rFonts w:hint="eastAsia" w:ascii="Times New Roman" w:hAnsi="Times New Roman" w:eastAsia="宋体" w:cs="Times New Roman"/>
          <w:sz w:val="28"/>
          <w:szCs w:val="28"/>
          <w:lang w:val="en-US" w:eastAsia="zh-CN"/>
        </w:rPr>
        <w:t>、企业等</w:t>
      </w:r>
      <w:r>
        <w:rPr>
          <w:rFonts w:hint="default" w:ascii="Times New Roman" w:hAnsi="Times New Roman" w:eastAsia="宋体" w:cs="Times New Roman"/>
          <w:sz w:val="28"/>
          <w:szCs w:val="28"/>
          <w:lang w:val="en-US" w:eastAsia="zh-CN"/>
        </w:rPr>
        <w:t>相关技术专家的意见，</w:t>
      </w:r>
      <w:r>
        <w:rPr>
          <w:rFonts w:hint="eastAsia" w:ascii="Times New Roman" w:hAnsi="Times New Roman" w:eastAsia="宋体" w:cs="Times New Roman"/>
          <w:sz w:val="28"/>
          <w:szCs w:val="28"/>
          <w:lang w:val="en-US" w:eastAsia="zh-CN"/>
        </w:rPr>
        <w:t>形成</w:t>
      </w:r>
      <w:r>
        <w:rPr>
          <w:rFonts w:hint="default" w:ascii="Times New Roman" w:hAnsi="Times New Roman" w:eastAsia="宋体" w:cs="Times New Roman"/>
          <w:sz w:val="28"/>
          <w:szCs w:val="28"/>
          <w:lang w:val="en-US" w:eastAsia="zh-CN"/>
        </w:rPr>
        <w:t>征求意见</w:t>
      </w:r>
      <w:r>
        <w:rPr>
          <w:rFonts w:hint="eastAsia" w:ascii="Times New Roman" w:hAnsi="Times New Roman" w:eastAsia="宋体" w:cs="Times New Roman"/>
          <w:sz w:val="28"/>
          <w:szCs w:val="28"/>
          <w:lang w:val="en-US" w:eastAsia="zh-CN"/>
        </w:rPr>
        <w:t>稿</w:t>
      </w:r>
      <w:r>
        <w:rPr>
          <w:rFonts w:hint="default" w:ascii="Times New Roman" w:hAnsi="Times New Roman" w:eastAsia="宋体" w:cs="Times New Roman"/>
          <w:sz w:val="28"/>
          <w:szCs w:val="28"/>
          <w:lang w:val="en-US" w:eastAsia="zh-CN"/>
        </w:rPr>
        <w:t>。</w:t>
      </w:r>
    </w:p>
    <w:p w14:paraId="700412F2">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4 标准编制原则、主要内容及确定依据</w:t>
      </w:r>
    </w:p>
    <w:p w14:paraId="6757D17C">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4.1 编制原则</w:t>
      </w:r>
    </w:p>
    <w:p w14:paraId="4AF3ECBC">
      <w:pPr>
        <w:pStyle w:val="11"/>
        <w:spacing w:line="360" w:lineRule="auto"/>
        <w:ind w:firstLine="482"/>
        <w:rPr>
          <w:b w:val="0"/>
          <w:bCs/>
          <w:sz w:val="28"/>
          <w:szCs w:val="28"/>
        </w:rPr>
      </w:pPr>
      <w:r>
        <w:rPr>
          <w:rFonts w:hint="eastAsia"/>
          <w:b w:val="0"/>
          <w:bCs/>
          <w:sz w:val="28"/>
          <w:szCs w:val="28"/>
          <w:lang w:val="en-US" w:eastAsia="zh-CN"/>
        </w:rPr>
        <w:t xml:space="preserve">4.1.1 </w:t>
      </w:r>
      <w:r>
        <w:rPr>
          <w:b w:val="0"/>
          <w:bCs/>
          <w:sz w:val="28"/>
          <w:szCs w:val="28"/>
        </w:rPr>
        <w:t>实用性原则</w:t>
      </w:r>
    </w:p>
    <w:p w14:paraId="1F959F87">
      <w:pPr>
        <w:pStyle w:val="11"/>
        <w:spacing w:line="360" w:lineRule="auto"/>
        <w:ind w:firstLine="480"/>
        <w:rPr>
          <w:sz w:val="28"/>
          <w:szCs w:val="28"/>
        </w:rPr>
      </w:pPr>
      <w:r>
        <w:rPr>
          <w:rFonts w:hint="eastAsia"/>
          <w:sz w:val="28"/>
          <w:szCs w:val="28"/>
        </w:rPr>
        <w:t>本文件适用于</w:t>
      </w:r>
      <w:bookmarkStart w:id="0" w:name="_Hlk164695753"/>
      <w:r>
        <w:rPr>
          <w:rFonts w:hint="eastAsia"/>
          <w:sz w:val="28"/>
          <w:szCs w:val="28"/>
        </w:rPr>
        <w:t>食品接触材料及制品中1-已烯迁移量的测定。</w:t>
      </w:r>
      <w:bookmarkEnd w:id="0"/>
      <w:r>
        <w:rPr>
          <w:rFonts w:hint="eastAsia"/>
          <w:sz w:val="28"/>
          <w:szCs w:val="28"/>
        </w:rPr>
        <w:t>文件内容简单明了，便于生产者进行实验检测和相关论证，具有良好的可操作性和指导性。</w:t>
      </w:r>
    </w:p>
    <w:p w14:paraId="3C45626B">
      <w:pPr>
        <w:pStyle w:val="11"/>
        <w:spacing w:line="360" w:lineRule="auto"/>
        <w:ind w:firstLine="482"/>
        <w:rPr>
          <w:b/>
          <w:sz w:val="28"/>
          <w:szCs w:val="28"/>
        </w:rPr>
      </w:pPr>
      <w:r>
        <w:rPr>
          <w:rFonts w:hint="eastAsia"/>
          <w:b w:val="0"/>
          <w:bCs/>
          <w:sz w:val="28"/>
          <w:szCs w:val="28"/>
          <w:lang w:val="en-US" w:eastAsia="zh-CN"/>
        </w:rPr>
        <w:t xml:space="preserve">4.1.2 </w:t>
      </w:r>
      <w:r>
        <w:rPr>
          <w:rFonts w:hint="eastAsia"/>
          <w:b w:val="0"/>
          <w:bCs/>
          <w:sz w:val="28"/>
          <w:szCs w:val="28"/>
        </w:rPr>
        <w:t>规范性原则</w:t>
      </w:r>
    </w:p>
    <w:p w14:paraId="65D14BB7">
      <w:pPr>
        <w:pStyle w:val="11"/>
        <w:spacing w:line="360" w:lineRule="auto"/>
        <w:ind w:firstLine="480"/>
        <w:rPr>
          <w:sz w:val="28"/>
          <w:szCs w:val="28"/>
        </w:rPr>
      </w:pPr>
      <w:r>
        <w:rPr>
          <w:sz w:val="28"/>
          <w:szCs w:val="28"/>
        </w:rPr>
        <w:t>本</w:t>
      </w:r>
      <w:r>
        <w:rPr>
          <w:rFonts w:hint="eastAsia"/>
          <w:sz w:val="28"/>
          <w:szCs w:val="28"/>
        </w:rPr>
        <w:t>文件</w:t>
      </w:r>
      <w:r>
        <w:rPr>
          <w:sz w:val="28"/>
          <w:szCs w:val="28"/>
        </w:rPr>
        <w:t>以国家、省颁布实施的《中华人民共和国标准化法》、《中华人民共和国标准化法实施条例》等法律法规为准则，严格按照GB/T 1.1-20</w:t>
      </w:r>
      <w:r>
        <w:rPr>
          <w:rFonts w:hint="eastAsia"/>
          <w:sz w:val="28"/>
          <w:szCs w:val="28"/>
        </w:rPr>
        <w:t>20《标准化工作导则 第1部分：标准化文件的结构和起草规则》的规定起草</w:t>
      </w:r>
      <w:r>
        <w:rPr>
          <w:sz w:val="28"/>
          <w:szCs w:val="28"/>
        </w:rPr>
        <w:t>。文本的编排</w:t>
      </w:r>
      <w:r>
        <w:rPr>
          <w:rFonts w:hint="eastAsia"/>
          <w:sz w:val="28"/>
          <w:szCs w:val="28"/>
        </w:rPr>
        <w:t>也</w:t>
      </w:r>
      <w:r>
        <w:rPr>
          <w:sz w:val="28"/>
          <w:szCs w:val="28"/>
        </w:rPr>
        <w:t>采用</w:t>
      </w:r>
      <w:r>
        <w:rPr>
          <w:rFonts w:hint="eastAsia"/>
          <w:sz w:val="28"/>
          <w:szCs w:val="28"/>
        </w:rPr>
        <w:t>我国的</w:t>
      </w:r>
      <w:r>
        <w:rPr>
          <w:sz w:val="28"/>
          <w:szCs w:val="28"/>
        </w:rPr>
        <w:t>标准编写模板SET 2020进行排版，确保标准文本的规范性。</w:t>
      </w:r>
    </w:p>
    <w:p w14:paraId="3E212EED">
      <w:pPr>
        <w:pStyle w:val="11"/>
        <w:spacing w:line="360" w:lineRule="auto"/>
        <w:ind w:firstLine="482"/>
        <w:rPr>
          <w:b/>
          <w:sz w:val="28"/>
          <w:szCs w:val="28"/>
        </w:rPr>
      </w:pPr>
      <w:r>
        <w:rPr>
          <w:rFonts w:hint="eastAsia"/>
          <w:b w:val="0"/>
          <w:bCs/>
          <w:sz w:val="28"/>
          <w:szCs w:val="28"/>
          <w:lang w:val="en-US" w:eastAsia="zh-CN"/>
        </w:rPr>
        <w:t xml:space="preserve">4.1.3 </w:t>
      </w:r>
      <w:r>
        <w:rPr>
          <w:rFonts w:hint="eastAsia"/>
          <w:b/>
          <w:sz w:val="28"/>
          <w:szCs w:val="28"/>
        </w:rPr>
        <w:t>科学性原则</w:t>
      </w:r>
    </w:p>
    <w:p w14:paraId="3F48E8F9">
      <w:pPr>
        <w:spacing w:line="580" w:lineRule="exact"/>
        <w:rPr>
          <w:rFonts w:hint="eastAsia"/>
          <w:sz w:val="28"/>
          <w:szCs w:val="28"/>
        </w:rPr>
      </w:pPr>
      <w:r>
        <w:rPr>
          <w:rFonts w:hint="eastAsia"/>
          <w:sz w:val="28"/>
          <w:szCs w:val="28"/>
        </w:rPr>
        <w:t>以各类文献报道和标准起草小组成员的研究成果为依据，确定食品接触材料及制品中1-已烯迁移量的测定的最优方法，如</w:t>
      </w:r>
      <w:r>
        <w:rPr>
          <w:rFonts w:hint="eastAsia"/>
          <w:sz w:val="28"/>
          <w:szCs w:val="28"/>
          <w:lang w:eastAsia="zh-CN"/>
        </w:rPr>
        <w:t>顶空条件</w:t>
      </w:r>
      <w:r>
        <w:rPr>
          <w:rFonts w:hint="eastAsia"/>
          <w:sz w:val="28"/>
          <w:szCs w:val="28"/>
        </w:rPr>
        <w:t>、</w:t>
      </w:r>
      <w:r>
        <w:rPr>
          <w:rFonts w:hint="eastAsia"/>
          <w:sz w:val="28"/>
          <w:szCs w:val="28"/>
          <w:lang w:eastAsia="zh-CN"/>
        </w:rPr>
        <w:t>色谱条件</w:t>
      </w:r>
      <w:r>
        <w:rPr>
          <w:rFonts w:hint="eastAsia"/>
          <w:sz w:val="28"/>
          <w:szCs w:val="28"/>
        </w:rPr>
        <w:t>、</w:t>
      </w:r>
      <w:r>
        <w:rPr>
          <w:rFonts w:hint="eastAsia"/>
          <w:sz w:val="28"/>
          <w:szCs w:val="28"/>
          <w:lang w:eastAsia="zh-CN"/>
        </w:rPr>
        <w:t>方法学验证</w:t>
      </w:r>
      <w:r>
        <w:rPr>
          <w:rFonts w:hint="eastAsia"/>
          <w:sz w:val="28"/>
          <w:szCs w:val="28"/>
        </w:rPr>
        <w:t>的优化，以确保本文件具有科学性、准确性。</w:t>
      </w:r>
    </w:p>
    <w:p w14:paraId="75619191">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4.2 主要内容及确定依据</w:t>
      </w:r>
    </w:p>
    <w:p w14:paraId="3B1A5020">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4.2.1 内容框架</w:t>
      </w:r>
    </w:p>
    <w:p w14:paraId="02EA906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14:textFill>
            <w14:solidFill>
              <w14:schemeClr w14:val="tx1"/>
            </w14:solidFill>
          </w14:textFill>
        </w:rPr>
      </w:pPr>
      <w:bookmarkStart w:id="1" w:name="_Toc24884219"/>
      <w:bookmarkStart w:id="2" w:name="_Toc24884212"/>
      <w:bookmarkStart w:id="3" w:name="_Toc17233326"/>
      <w:bookmarkStart w:id="4" w:name="_Toc26648466"/>
      <w:bookmarkStart w:id="5" w:name="_Toc17233334"/>
      <w:r>
        <w:rPr>
          <w:rFonts w:hint="eastAsia" w:ascii="Times New Roman" w:hAnsi="Times New Roman" w:cs="Times New Roman"/>
          <w:color w:val="000000" w:themeColor="text1"/>
          <w:sz w:val="28"/>
          <w:szCs w:val="28"/>
          <w14:textFill>
            <w14:solidFill>
              <w14:schemeClr w14:val="tx1"/>
            </w14:solidFill>
          </w14:textFill>
        </w:rPr>
        <w:t>本文件规定了食品接触材料及制品中1-己烯迁移量的测定方法。</w:t>
      </w:r>
    </w:p>
    <w:p w14:paraId="4773E64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本文件适用于食品接触材料及制品中1-已烯迁移量的测定。</w:t>
      </w:r>
      <w:bookmarkEnd w:id="1"/>
      <w:bookmarkEnd w:id="2"/>
      <w:bookmarkEnd w:id="3"/>
      <w:bookmarkEnd w:id="4"/>
      <w:bookmarkEnd w:id="5"/>
    </w:p>
    <w:p w14:paraId="222045C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eastAsiaTheme="minorEastAsia"/>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本标准内容框架包括：原理、试剂和材料、仪器和设备、分析步骤、分析结果的表述、精密度、检出限和定量限及附录。</w:t>
      </w:r>
    </w:p>
    <w:p w14:paraId="14F4D9F0">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4.2.2 引用和参考的标准</w:t>
      </w:r>
      <w:bookmarkStart w:id="6" w:name="OLE_LINK23"/>
    </w:p>
    <w:bookmarkEnd w:id="6"/>
    <w:p w14:paraId="6A4070B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GB/T 1.1-2020</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《标准化工作导则  第1部分：标准化文件的结构和起草规则》</w:t>
      </w:r>
    </w:p>
    <w:p w14:paraId="502F1FD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GB 31604.1</w:t>
      </w:r>
      <w:r>
        <w:rPr>
          <w:rFonts w:hint="eastAsia" w:ascii="Times New Roman" w:hAnsi="Times New Roman" w:cs="Times New Roman"/>
          <w:color w:val="000000" w:themeColor="text1"/>
          <w:sz w:val="28"/>
          <w:szCs w:val="28"/>
          <w:lang w:val="en-US" w:eastAsia="zh-CN"/>
          <w14:textFill>
            <w14:solidFill>
              <w14:schemeClr w14:val="tx1"/>
            </w14:solidFill>
          </w14:textFill>
        </w:rPr>
        <w:t>-2023 《食品安全国家标准 食品接触材料及制品迁移试验通则》</w:t>
      </w:r>
    </w:p>
    <w:p w14:paraId="0691125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GB 4806.1-2016 《食品接触材料及制品通用安全要求》</w:t>
      </w:r>
    </w:p>
    <w:p w14:paraId="32BCAEF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GB 4806.7-2023 《食品接触用塑料材料及制品》</w:t>
      </w:r>
    </w:p>
    <w:p w14:paraId="3F59F49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GB 5009.156-2016</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《食品安全国家标准食品接触材料及制品迁移试验预处理方法通则》</w:t>
      </w:r>
    </w:p>
    <w:p w14:paraId="7833057B">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4.2.3 主要内容的确定（主要技术指标及其确定依据）</w:t>
      </w:r>
    </w:p>
    <w:p w14:paraId="2B51223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欧盟(EU) NO 10/2011《预期接触食品的塑料材料及制品》、韩国MFDS《食品用器具、容器和包装的标准与规范》（2022）规及我国国家标准GB 9685、GB 4806.6、GB 4806.7、GB 4806.8等法规中均规定了“1-己烯特定</w:t>
      </w:r>
      <w:bookmarkStart w:id="7" w:name="_GoBack"/>
      <w:bookmarkEnd w:id="7"/>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迁移量”的限量要求，限量指标为3 mg/kg。</w:t>
      </w:r>
    </w:p>
    <w:p w14:paraId="55885E2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通过前期检测方法的开发等研究基础，对方法进行方法学验证，申请南京市市场监督管理局科技项目1项：《食品接触材料聚乙烯中添加剂1-己烯迁移规律的研究》，项目编号Kj2022007，现已完成结题，在此项目的研究基础之上，对本标准中的检出限、定量限、精密度、稳定性以及实际样品的测试均进行方法学验证。</w:t>
      </w:r>
    </w:p>
    <w:p w14:paraId="63AB3049">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5 标准先进性体现</w:t>
      </w:r>
    </w:p>
    <w:p w14:paraId="644EB10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我国国家标准法规中规定了“1-己烯特定迁移量”的限量要求，限量指标为3 mg/kg。但国内尚无食品包装材料中1-己烯迁移量的检测法标准；欧盟食品接触材料的指令中有限量要求：3mg/kg(1-己烯特定迁移量)，国外也尚无食品接触材料及制品中测定1-己烯迁移量的方法标准，未检索到其他相关国际法规标准的规定。</w:t>
      </w:r>
    </w:p>
    <w:p w14:paraId="2DF095F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本标准的制定是弥补了标准的缺失，完善食品相关产品的标准体系，为检测水平的提高和质量监督管理提供技术支撑。</w:t>
      </w:r>
    </w:p>
    <w:p w14:paraId="67567C03">
      <w:pPr>
        <w:spacing w:line="580" w:lineRule="exact"/>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6 与现行相关法律、法规、规章及相关标准的协调性</w:t>
      </w:r>
    </w:p>
    <w:p w14:paraId="7BE07F97">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6.1 目前国内执行的标准</w:t>
      </w:r>
    </w:p>
    <w:p w14:paraId="611923E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目前国内暂无相关标准。</w:t>
      </w:r>
    </w:p>
    <w:p w14:paraId="0021857A">
      <w:pPr>
        <w:spacing w:line="58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6.2 标准协调性</w:t>
      </w:r>
    </w:p>
    <w:p w14:paraId="0AFFF61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本标准与现行法律、法规和强制性标准没有冲突。</w:t>
      </w:r>
    </w:p>
    <w:p w14:paraId="23C6790F">
      <w:pPr>
        <w:spacing w:line="580" w:lineRule="exact"/>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7 社会和经济效益</w:t>
      </w:r>
    </w:p>
    <w:p w14:paraId="23C6DFC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填补了塑料材质中</w:t>
      </w:r>
      <w:r>
        <w:rPr>
          <w:rFonts w:hint="eastAsia" w:ascii="宋体" w:hAnsi="宋体" w:eastAsia="宋体" w:cs="Times New Roman"/>
          <w:color w:val="000000" w:themeColor="text1"/>
          <w:sz w:val="28"/>
          <w:szCs w:val="28"/>
          <w:lang w:val="en-US" w:eastAsia="zh-CN"/>
          <w14:textFill>
            <w14:solidFill>
              <w14:schemeClr w14:val="tx1"/>
            </w14:solidFill>
          </w14:textFill>
        </w:rPr>
        <w:t>1-己烯</w:t>
      </w:r>
      <w:r>
        <w:rPr>
          <w:rFonts w:hint="eastAsia" w:ascii="宋体" w:hAnsi="宋体" w:eastAsia="宋体" w:cs="Times New Roman"/>
          <w:color w:val="000000" w:themeColor="text1"/>
          <w:sz w:val="28"/>
          <w:szCs w:val="28"/>
          <w:lang w:eastAsia="zh-CN"/>
          <w14:textFill>
            <w14:solidFill>
              <w14:schemeClr w14:val="tx1"/>
            </w14:solidFill>
          </w14:textFill>
        </w:rPr>
        <w:t>缺少</w:t>
      </w:r>
      <w:r>
        <w:rPr>
          <w:rFonts w:hint="eastAsia" w:ascii="宋体" w:hAnsi="宋体" w:eastAsia="宋体" w:cs="Times New Roman"/>
          <w:color w:val="000000" w:themeColor="text1"/>
          <w:sz w:val="28"/>
          <w:szCs w:val="28"/>
          <w:lang w:val="en-US" w:eastAsia="zh-CN"/>
          <w14:textFill>
            <w14:solidFill>
              <w14:schemeClr w14:val="tx1"/>
            </w14:solidFill>
          </w14:textFill>
        </w:rPr>
        <w:t>相关检验方法的标准空白，统一技术标准降低企业因法规不明确导致的风险，减少技术壁垒，为国家标准的制定提供技术支撑，为质量监管提供科学、实用、有效的技术支撑，为政府监管相关产品行业提供科学的评价方法。</w:t>
      </w:r>
    </w:p>
    <w:p w14:paraId="112C4D4D">
      <w:pPr>
        <w:spacing w:line="580" w:lineRule="exact"/>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8 重大分歧意见的处理经过和依据</w:t>
      </w:r>
    </w:p>
    <w:p w14:paraId="0F8AA8F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本标准起草至今无重大分歧意见。</w:t>
      </w:r>
    </w:p>
    <w:p w14:paraId="30F49BEE">
      <w:pPr>
        <w:spacing w:line="580" w:lineRule="exact"/>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9 贯彻标准的要求和措施建议</w:t>
      </w:r>
    </w:p>
    <w:p w14:paraId="5B9B5DF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lang w:eastAsia="zh-CN"/>
          <w14:textFill>
            <w14:solidFill>
              <w14:schemeClr w14:val="tx1"/>
            </w14:solidFill>
          </w14:textFill>
        </w:rPr>
        <w:t>本团体标准建议以推荐性标准形式实施。标准实施日期为正式发布后开始。建议组织标准宣贯，在全省行业内宣传和执行此标准。</w:t>
      </w:r>
    </w:p>
    <w:p w14:paraId="5B627BEB">
      <w:pPr>
        <w:spacing w:line="580" w:lineRule="exact"/>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10 其他应予说明的事项</w:t>
      </w:r>
    </w:p>
    <w:p w14:paraId="48A8A39F">
      <w:pPr>
        <w:spacing w:line="580" w:lineRule="exact"/>
        <w:ind w:firstLine="560" w:firstLineChars="200"/>
        <w:rPr>
          <w:rFonts w:hint="eastAsia" w:ascii="Times New Roman" w:hAnsi="Times New Roman" w:cs="Times New Roman" w:eastAsiaTheme="minorEastAsia"/>
          <w:b w:val="0"/>
          <w:bCs w:val="0"/>
          <w:color w:val="000000" w:themeColor="text1"/>
          <w:sz w:val="28"/>
          <w:szCs w:val="28"/>
          <w:lang w:eastAsia="zh-CN"/>
          <w14:textFill>
            <w14:solidFill>
              <w14:schemeClr w14:val="tx1"/>
            </w14:solidFill>
          </w14:textFill>
        </w:rPr>
      </w:pPr>
      <w:r>
        <w:rPr>
          <w:rFonts w:hint="eastAsia" w:ascii="Times New Roman" w:hAnsi="Times New Roman" w:cs="Times New Roman"/>
          <w:b w:val="0"/>
          <w:bCs w:val="0"/>
          <w:color w:val="000000" w:themeColor="text1"/>
          <w:sz w:val="28"/>
          <w:szCs w:val="28"/>
          <w:lang w:eastAsia="zh-CN"/>
          <w14:textFill>
            <w14:solidFill>
              <w14:schemeClr w14:val="tx1"/>
            </w14:solidFill>
          </w14:textFill>
        </w:rPr>
        <w:t>无</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183405"/>
      <w:docPartObj>
        <w:docPartGallery w:val="autotext"/>
      </w:docPartObj>
    </w:sdtPr>
    <w:sdtContent>
      <w:p w14:paraId="03A4C8FB">
        <w:pPr>
          <w:pStyle w:val="3"/>
          <w:jc w:val="center"/>
        </w:pPr>
        <w:r>
          <w:fldChar w:fldCharType="begin"/>
        </w:r>
        <w:r>
          <w:instrText xml:space="preserve">PAGE   \* MERGEFORMAT</w:instrText>
        </w:r>
        <w:r>
          <w:fldChar w:fldCharType="separate"/>
        </w:r>
        <w:r>
          <w:rPr>
            <w:lang w:val="zh-CN"/>
          </w:rPr>
          <w:t>10</w:t>
        </w:r>
        <w:r>
          <w:fldChar w:fldCharType="end"/>
        </w:r>
      </w:p>
    </w:sdtContent>
  </w:sdt>
  <w:p w14:paraId="63BF024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4"/>
      <w:suff w:val="nothing"/>
      <w:lvlText w:val="%1"/>
      <w:lvlJc w:val="left"/>
      <w:pPr>
        <w:ind w:left="0" w:firstLine="0"/>
      </w:pPr>
      <w:rPr>
        <w:rFonts w:hint="eastAsia"/>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pStyle w:val="2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8"/>
      <w:suff w:val="nothing"/>
      <w:lvlText w:val="%1%2.%3.%4　"/>
      <w:lvlJc w:val="left"/>
      <w:pPr>
        <w:ind w:left="0" w:firstLine="0"/>
      </w:pPr>
      <w:rPr>
        <w:rFonts w:hint="eastAsia" w:ascii="黑体" w:eastAsia="黑体"/>
        <w:b w:val="0"/>
        <w:i w:val="0"/>
        <w:sz w:val="21"/>
      </w:rPr>
    </w:lvl>
    <w:lvl w:ilvl="4" w:tentative="0">
      <w:start w:val="1"/>
      <w:numFmt w:val="decimal"/>
      <w:pStyle w:val="19"/>
      <w:suff w:val="nothing"/>
      <w:lvlText w:val="%1%2.%3.%4.%5　"/>
      <w:lvlJc w:val="left"/>
      <w:pPr>
        <w:ind w:left="142" w:firstLine="0"/>
      </w:pPr>
      <w:rPr>
        <w:rFonts w:hint="eastAsia" w:ascii="黑体" w:eastAsia="黑体"/>
        <w:b w:val="0"/>
        <w:i w:val="0"/>
        <w:sz w:val="21"/>
      </w:rPr>
    </w:lvl>
    <w:lvl w:ilvl="5" w:tentative="0">
      <w:start w:val="1"/>
      <w:numFmt w:val="decimal"/>
      <w:pStyle w:val="20"/>
      <w:suff w:val="nothing"/>
      <w:lvlText w:val="%1%2.%3.%4.%5.%6　"/>
      <w:lvlJc w:val="left"/>
      <w:pPr>
        <w:ind w:left="0" w:firstLine="0"/>
      </w:pPr>
      <w:rPr>
        <w:rFonts w:hint="eastAsia" w:ascii="黑体" w:eastAsia="黑体"/>
        <w:b w:val="0"/>
        <w:i w:val="0"/>
        <w:sz w:val="21"/>
      </w:rPr>
    </w:lvl>
    <w:lvl w:ilvl="6" w:tentative="0">
      <w:start w:val="1"/>
      <w:numFmt w:val="decimal"/>
      <w:pStyle w:val="2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F1"/>
    <w:rsid w:val="0000311C"/>
    <w:rsid w:val="00025D34"/>
    <w:rsid w:val="00034007"/>
    <w:rsid w:val="000456EC"/>
    <w:rsid w:val="000637B9"/>
    <w:rsid w:val="00065A63"/>
    <w:rsid w:val="000666A7"/>
    <w:rsid w:val="00072172"/>
    <w:rsid w:val="00072BB4"/>
    <w:rsid w:val="0008244F"/>
    <w:rsid w:val="000925C3"/>
    <w:rsid w:val="000A0CC7"/>
    <w:rsid w:val="000A20E7"/>
    <w:rsid w:val="000B037F"/>
    <w:rsid w:val="000C5D84"/>
    <w:rsid w:val="000E282B"/>
    <w:rsid w:val="000E3A02"/>
    <w:rsid w:val="000E452F"/>
    <w:rsid w:val="000F6ACF"/>
    <w:rsid w:val="0011551A"/>
    <w:rsid w:val="001216D1"/>
    <w:rsid w:val="001367F8"/>
    <w:rsid w:val="00140556"/>
    <w:rsid w:val="00144563"/>
    <w:rsid w:val="001451F4"/>
    <w:rsid w:val="00156CF9"/>
    <w:rsid w:val="00157572"/>
    <w:rsid w:val="001651BC"/>
    <w:rsid w:val="001774BD"/>
    <w:rsid w:val="001806B8"/>
    <w:rsid w:val="001822A9"/>
    <w:rsid w:val="00195DE7"/>
    <w:rsid w:val="001A4B11"/>
    <w:rsid w:val="001B33EC"/>
    <w:rsid w:val="001B710B"/>
    <w:rsid w:val="001C00D4"/>
    <w:rsid w:val="001C0263"/>
    <w:rsid w:val="001C3861"/>
    <w:rsid w:val="001D63DF"/>
    <w:rsid w:val="001E4E0F"/>
    <w:rsid w:val="001F50C8"/>
    <w:rsid w:val="002022F3"/>
    <w:rsid w:val="00206A0C"/>
    <w:rsid w:val="002102AB"/>
    <w:rsid w:val="00213286"/>
    <w:rsid w:val="00221B26"/>
    <w:rsid w:val="0023372D"/>
    <w:rsid w:val="00234066"/>
    <w:rsid w:val="00240E71"/>
    <w:rsid w:val="00251D6E"/>
    <w:rsid w:val="00255582"/>
    <w:rsid w:val="0026699D"/>
    <w:rsid w:val="0027605B"/>
    <w:rsid w:val="002778B2"/>
    <w:rsid w:val="00280226"/>
    <w:rsid w:val="0028504D"/>
    <w:rsid w:val="002A6B83"/>
    <w:rsid w:val="002C64DD"/>
    <w:rsid w:val="002D1288"/>
    <w:rsid w:val="002D2E51"/>
    <w:rsid w:val="002D4253"/>
    <w:rsid w:val="002E176E"/>
    <w:rsid w:val="002E1A1F"/>
    <w:rsid w:val="002E4372"/>
    <w:rsid w:val="002E4DF1"/>
    <w:rsid w:val="002E6A55"/>
    <w:rsid w:val="002F68AF"/>
    <w:rsid w:val="003004E1"/>
    <w:rsid w:val="00306644"/>
    <w:rsid w:val="00310337"/>
    <w:rsid w:val="003103C9"/>
    <w:rsid w:val="0032377F"/>
    <w:rsid w:val="003266F4"/>
    <w:rsid w:val="0033348A"/>
    <w:rsid w:val="0034329C"/>
    <w:rsid w:val="003456BB"/>
    <w:rsid w:val="003639EC"/>
    <w:rsid w:val="00367E07"/>
    <w:rsid w:val="00384D48"/>
    <w:rsid w:val="003E26A7"/>
    <w:rsid w:val="003E4586"/>
    <w:rsid w:val="003F30FC"/>
    <w:rsid w:val="00402B84"/>
    <w:rsid w:val="00403B7D"/>
    <w:rsid w:val="00411BF5"/>
    <w:rsid w:val="00417F13"/>
    <w:rsid w:val="00426196"/>
    <w:rsid w:val="00430AE8"/>
    <w:rsid w:val="00433026"/>
    <w:rsid w:val="0045015C"/>
    <w:rsid w:val="00452965"/>
    <w:rsid w:val="00457432"/>
    <w:rsid w:val="00461953"/>
    <w:rsid w:val="004652AA"/>
    <w:rsid w:val="00473112"/>
    <w:rsid w:val="00475250"/>
    <w:rsid w:val="00476CA9"/>
    <w:rsid w:val="004B0E69"/>
    <w:rsid w:val="004B7829"/>
    <w:rsid w:val="004C7709"/>
    <w:rsid w:val="004D3CBC"/>
    <w:rsid w:val="004F14D9"/>
    <w:rsid w:val="004F2549"/>
    <w:rsid w:val="004F79E2"/>
    <w:rsid w:val="00511E21"/>
    <w:rsid w:val="00537A58"/>
    <w:rsid w:val="00551049"/>
    <w:rsid w:val="005722C4"/>
    <w:rsid w:val="00592D64"/>
    <w:rsid w:val="005B0943"/>
    <w:rsid w:val="005B4C5D"/>
    <w:rsid w:val="005C325C"/>
    <w:rsid w:val="005C4CBE"/>
    <w:rsid w:val="005D5C85"/>
    <w:rsid w:val="005D7D43"/>
    <w:rsid w:val="005E08AB"/>
    <w:rsid w:val="005E5DE5"/>
    <w:rsid w:val="005E795C"/>
    <w:rsid w:val="005F6A13"/>
    <w:rsid w:val="00610262"/>
    <w:rsid w:val="0061308D"/>
    <w:rsid w:val="00615751"/>
    <w:rsid w:val="00624058"/>
    <w:rsid w:val="00626917"/>
    <w:rsid w:val="00637A98"/>
    <w:rsid w:val="00637EA6"/>
    <w:rsid w:val="006622EC"/>
    <w:rsid w:val="00666553"/>
    <w:rsid w:val="00666D8A"/>
    <w:rsid w:val="00671444"/>
    <w:rsid w:val="0067779D"/>
    <w:rsid w:val="00683B41"/>
    <w:rsid w:val="006844C8"/>
    <w:rsid w:val="006B603B"/>
    <w:rsid w:val="006C0E95"/>
    <w:rsid w:val="006C5462"/>
    <w:rsid w:val="006C7122"/>
    <w:rsid w:val="006E1538"/>
    <w:rsid w:val="006E16C3"/>
    <w:rsid w:val="006F1FAE"/>
    <w:rsid w:val="006F383D"/>
    <w:rsid w:val="00700FC6"/>
    <w:rsid w:val="00707F7A"/>
    <w:rsid w:val="007235EE"/>
    <w:rsid w:val="00752D93"/>
    <w:rsid w:val="00752DDF"/>
    <w:rsid w:val="00775038"/>
    <w:rsid w:val="00793F2B"/>
    <w:rsid w:val="007A4785"/>
    <w:rsid w:val="007E6AC0"/>
    <w:rsid w:val="007F02B5"/>
    <w:rsid w:val="007F0996"/>
    <w:rsid w:val="0080480F"/>
    <w:rsid w:val="008145D0"/>
    <w:rsid w:val="008166E1"/>
    <w:rsid w:val="00823257"/>
    <w:rsid w:val="0083740D"/>
    <w:rsid w:val="00840535"/>
    <w:rsid w:val="00842BD8"/>
    <w:rsid w:val="00853631"/>
    <w:rsid w:val="00867369"/>
    <w:rsid w:val="0087472F"/>
    <w:rsid w:val="00874E38"/>
    <w:rsid w:val="00886794"/>
    <w:rsid w:val="00887D84"/>
    <w:rsid w:val="008939D4"/>
    <w:rsid w:val="008A0E3F"/>
    <w:rsid w:val="008A2278"/>
    <w:rsid w:val="008A74A0"/>
    <w:rsid w:val="008C3C1E"/>
    <w:rsid w:val="008C73F9"/>
    <w:rsid w:val="008D07CC"/>
    <w:rsid w:val="008D730B"/>
    <w:rsid w:val="008E6524"/>
    <w:rsid w:val="008E71DB"/>
    <w:rsid w:val="008F3A45"/>
    <w:rsid w:val="00907677"/>
    <w:rsid w:val="00920286"/>
    <w:rsid w:val="00923FAF"/>
    <w:rsid w:val="00924B85"/>
    <w:rsid w:val="00926458"/>
    <w:rsid w:val="00936496"/>
    <w:rsid w:val="009376D1"/>
    <w:rsid w:val="0095010C"/>
    <w:rsid w:val="009534B8"/>
    <w:rsid w:val="009615AE"/>
    <w:rsid w:val="009642D5"/>
    <w:rsid w:val="00985C6E"/>
    <w:rsid w:val="00991E54"/>
    <w:rsid w:val="009A60A1"/>
    <w:rsid w:val="009C4F52"/>
    <w:rsid w:val="009E1DB2"/>
    <w:rsid w:val="009F1F5C"/>
    <w:rsid w:val="009F3EC8"/>
    <w:rsid w:val="009F5CDB"/>
    <w:rsid w:val="00A25850"/>
    <w:rsid w:val="00A26323"/>
    <w:rsid w:val="00A31FE1"/>
    <w:rsid w:val="00A3721F"/>
    <w:rsid w:val="00A40D4D"/>
    <w:rsid w:val="00A4522F"/>
    <w:rsid w:val="00A7251B"/>
    <w:rsid w:val="00A7426E"/>
    <w:rsid w:val="00A930A0"/>
    <w:rsid w:val="00AB2D39"/>
    <w:rsid w:val="00AC6BB1"/>
    <w:rsid w:val="00AD1E68"/>
    <w:rsid w:val="00AD32F1"/>
    <w:rsid w:val="00AD5AB7"/>
    <w:rsid w:val="00AF5821"/>
    <w:rsid w:val="00B03612"/>
    <w:rsid w:val="00B131B0"/>
    <w:rsid w:val="00B1582A"/>
    <w:rsid w:val="00B161AB"/>
    <w:rsid w:val="00B24B57"/>
    <w:rsid w:val="00B30038"/>
    <w:rsid w:val="00B50EF5"/>
    <w:rsid w:val="00B740AA"/>
    <w:rsid w:val="00B87D6C"/>
    <w:rsid w:val="00BB0B73"/>
    <w:rsid w:val="00BC5E60"/>
    <w:rsid w:val="00BC61ED"/>
    <w:rsid w:val="00BC654E"/>
    <w:rsid w:val="00C20987"/>
    <w:rsid w:val="00C27BF7"/>
    <w:rsid w:val="00C3153B"/>
    <w:rsid w:val="00C36F29"/>
    <w:rsid w:val="00C6432F"/>
    <w:rsid w:val="00C6709D"/>
    <w:rsid w:val="00C673BF"/>
    <w:rsid w:val="00C7369C"/>
    <w:rsid w:val="00C75E61"/>
    <w:rsid w:val="00C82029"/>
    <w:rsid w:val="00CA51E0"/>
    <w:rsid w:val="00CC628D"/>
    <w:rsid w:val="00CD11F9"/>
    <w:rsid w:val="00CE4101"/>
    <w:rsid w:val="00D046BD"/>
    <w:rsid w:val="00D04F6E"/>
    <w:rsid w:val="00D07989"/>
    <w:rsid w:val="00D10DD3"/>
    <w:rsid w:val="00D24AAB"/>
    <w:rsid w:val="00D3167F"/>
    <w:rsid w:val="00D4272F"/>
    <w:rsid w:val="00D45802"/>
    <w:rsid w:val="00D552C1"/>
    <w:rsid w:val="00D6614A"/>
    <w:rsid w:val="00D677DC"/>
    <w:rsid w:val="00D72D64"/>
    <w:rsid w:val="00D85F32"/>
    <w:rsid w:val="00DA7037"/>
    <w:rsid w:val="00DB3CF8"/>
    <w:rsid w:val="00DB56C5"/>
    <w:rsid w:val="00DD2F4E"/>
    <w:rsid w:val="00DE5993"/>
    <w:rsid w:val="00E0240B"/>
    <w:rsid w:val="00E106C2"/>
    <w:rsid w:val="00E162A1"/>
    <w:rsid w:val="00E1753E"/>
    <w:rsid w:val="00E257D9"/>
    <w:rsid w:val="00E33082"/>
    <w:rsid w:val="00E371A5"/>
    <w:rsid w:val="00E37C7C"/>
    <w:rsid w:val="00E457BE"/>
    <w:rsid w:val="00E8257F"/>
    <w:rsid w:val="00E905D9"/>
    <w:rsid w:val="00E95412"/>
    <w:rsid w:val="00E96712"/>
    <w:rsid w:val="00E9767F"/>
    <w:rsid w:val="00EA18C2"/>
    <w:rsid w:val="00EA2D4E"/>
    <w:rsid w:val="00EA3622"/>
    <w:rsid w:val="00EC64F6"/>
    <w:rsid w:val="00ED0EE4"/>
    <w:rsid w:val="00ED277C"/>
    <w:rsid w:val="00EE3C84"/>
    <w:rsid w:val="00EE7E21"/>
    <w:rsid w:val="00F064CE"/>
    <w:rsid w:val="00F31F81"/>
    <w:rsid w:val="00F44641"/>
    <w:rsid w:val="00F46208"/>
    <w:rsid w:val="00F46D0B"/>
    <w:rsid w:val="00F61537"/>
    <w:rsid w:val="00F62D47"/>
    <w:rsid w:val="00F765E7"/>
    <w:rsid w:val="00FA3D67"/>
    <w:rsid w:val="00FB0F75"/>
    <w:rsid w:val="00FB5F1A"/>
    <w:rsid w:val="00FB6919"/>
    <w:rsid w:val="02BD75DA"/>
    <w:rsid w:val="03AC38D7"/>
    <w:rsid w:val="061B11E8"/>
    <w:rsid w:val="07677AD1"/>
    <w:rsid w:val="09E65607"/>
    <w:rsid w:val="0A2C0C06"/>
    <w:rsid w:val="0D8B7595"/>
    <w:rsid w:val="0FCF7645"/>
    <w:rsid w:val="110B680B"/>
    <w:rsid w:val="12F9273B"/>
    <w:rsid w:val="1767603B"/>
    <w:rsid w:val="1AC612CA"/>
    <w:rsid w:val="1B010554"/>
    <w:rsid w:val="1C746B04"/>
    <w:rsid w:val="1D795467"/>
    <w:rsid w:val="1E2342C3"/>
    <w:rsid w:val="1E832A83"/>
    <w:rsid w:val="20C75D9C"/>
    <w:rsid w:val="21556A61"/>
    <w:rsid w:val="22162FAC"/>
    <w:rsid w:val="222F70DD"/>
    <w:rsid w:val="22C759AB"/>
    <w:rsid w:val="26C54B2C"/>
    <w:rsid w:val="29AE665D"/>
    <w:rsid w:val="2BF67536"/>
    <w:rsid w:val="2C4209CD"/>
    <w:rsid w:val="2F234F43"/>
    <w:rsid w:val="2F552023"/>
    <w:rsid w:val="33592B13"/>
    <w:rsid w:val="34741452"/>
    <w:rsid w:val="348D003D"/>
    <w:rsid w:val="3BC35CE2"/>
    <w:rsid w:val="3C9809F8"/>
    <w:rsid w:val="412D10FA"/>
    <w:rsid w:val="41B1600A"/>
    <w:rsid w:val="484752C1"/>
    <w:rsid w:val="49FD1143"/>
    <w:rsid w:val="4B9F32EE"/>
    <w:rsid w:val="4C0D64AA"/>
    <w:rsid w:val="4CD46FC7"/>
    <w:rsid w:val="4F2A7373"/>
    <w:rsid w:val="544607AB"/>
    <w:rsid w:val="56FC5F10"/>
    <w:rsid w:val="58112E7E"/>
    <w:rsid w:val="5B323837"/>
    <w:rsid w:val="5CFA4828"/>
    <w:rsid w:val="5D7243BE"/>
    <w:rsid w:val="5DA12EF6"/>
    <w:rsid w:val="610142BD"/>
    <w:rsid w:val="61F925CA"/>
    <w:rsid w:val="631065ED"/>
    <w:rsid w:val="6382262A"/>
    <w:rsid w:val="65202952"/>
    <w:rsid w:val="68456DDE"/>
    <w:rsid w:val="68582403"/>
    <w:rsid w:val="6C0B7539"/>
    <w:rsid w:val="70013F75"/>
    <w:rsid w:val="71996ED4"/>
    <w:rsid w:val="750B3FCF"/>
    <w:rsid w:val="766C7226"/>
    <w:rsid w:val="76872831"/>
    <w:rsid w:val="7CFC1437"/>
    <w:rsid w:val="7E0C7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szCs w:val="20"/>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333333"/>
      <w:u w:val="none"/>
    </w:rPr>
  </w:style>
  <w:style w:type="character" w:styleId="10">
    <w:name w:val="Hyperlink"/>
    <w:basedOn w:val="8"/>
    <w:semiHidden/>
    <w:unhideWhenUsed/>
    <w:qFormat/>
    <w:uiPriority w:val="99"/>
    <w:rPr>
      <w:color w:val="333333"/>
      <w:u w:val="none"/>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basedOn w:val="8"/>
    <w:link w:val="11"/>
    <w:qFormat/>
    <w:uiPriority w:val="0"/>
    <w:rPr>
      <w:rFonts w:ascii="宋体" w:hAnsi="Times New Roman" w:eastAsia="宋体" w:cs="Times New Roman"/>
      <w:kern w:val="0"/>
      <w:szCs w:val="20"/>
    </w:rPr>
  </w:style>
  <w:style w:type="character" w:customStyle="1" w:styleId="13">
    <w:name w:val="页眉 字符"/>
    <w:basedOn w:val="8"/>
    <w:link w:val="4"/>
    <w:qFormat/>
    <w:uiPriority w:val="99"/>
    <w:rPr>
      <w:sz w:val="18"/>
      <w:szCs w:val="18"/>
    </w:rPr>
  </w:style>
  <w:style w:type="character" w:customStyle="1" w:styleId="14">
    <w:name w:val="页脚 字符"/>
    <w:basedOn w:val="8"/>
    <w:link w:val="3"/>
    <w:qFormat/>
    <w:uiPriority w:val="99"/>
    <w:rPr>
      <w:sz w:val="18"/>
      <w:szCs w:val="18"/>
    </w:rPr>
  </w:style>
  <w:style w:type="character" w:customStyle="1" w:styleId="15">
    <w:name w:val="批注文字 字符"/>
    <w:link w:val="2"/>
    <w:qFormat/>
    <w:uiPriority w:val="0"/>
    <w:rPr>
      <w:kern w:val="2"/>
      <w:sz w:val="21"/>
    </w:rPr>
  </w:style>
  <w:style w:type="character" w:customStyle="1" w:styleId="16">
    <w:name w:val="批注文字 Char"/>
    <w:basedOn w:val="8"/>
    <w:semiHidden/>
    <w:qFormat/>
    <w:uiPriority w:val="99"/>
    <w:rPr>
      <w:kern w:val="2"/>
      <w:sz w:val="21"/>
      <w:szCs w:val="22"/>
    </w:rPr>
  </w:style>
  <w:style w:type="paragraph" w:styleId="17">
    <w:name w:val="List Paragraph"/>
    <w:basedOn w:val="1"/>
    <w:qFormat/>
    <w:uiPriority w:val="99"/>
    <w:pPr>
      <w:ind w:firstLine="420" w:firstLineChars="200"/>
    </w:pPr>
  </w:style>
  <w:style w:type="paragraph" w:customStyle="1" w:styleId="18">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9">
    <w:name w:val="标准文件_三级条标题"/>
    <w:basedOn w:val="18"/>
    <w:next w:val="1"/>
    <w:qFormat/>
    <w:uiPriority w:val="0"/>
    <w:pPr>
      <w:widowControl/>
      <w:numPr>
        <w:ilvl w:val="4"/>
      </w:numPr>
      <w:outlineLvl w:val="3"/>
    </w:pPr>
  </w:style>
  <w:style w:type="paragraph" w:customStyle="1" w:styleId="20">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1">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2">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3">
    <w:name w:val="标准文件_一级条标题"/>
    <w:basedOn w:val="22"/>
    <w:next w:val="1"/>
    <w:qFormat/>
    <w:uiPriority w:val="0"/>
    <w:pPr>
      <w:numPr>
        <w:ilvl w:val="2"/>
      </w:numPr>
      <w:spacing w:before="50" w:beforeLines="50" w:after="50" w:afterLines="50"/>
      <w:outlineLvl w:val="1"/>
    </w:pPr>
  </w:style>
  <w:style w:type="paragraph" w:customStyle="1" w:styleId="24">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5">
    <w:name w:val="标准文件_三级无标题"/>
    <w:basedOn w:val="19"/>
    <w:qFormat/>
    <w:uiPriority w:val="0"/>
    <w:pPr>
      <w:spacing w:before="0" w:beforeLines="0" w:after="0" w:afterLines="0"/>
      <w:outlineLvl w:val="9"/>
    </w:pPr>
    <w:rPr>
      <w:rFonts w:ascii="宋体" w:eastAsia="宋体"/>
    </w:rPr>
  </w:style>
  <w:style w:type="paragraph" w:customStyle="1" w:styleId="26">
    <w:name w:val="三级条标题"/>
    <w:basedOn w:val="27"/>
    <w:next w:val="11"/>
    <w:qFormat/>
    <w:uiPriority w:val="0"/>
    <w:pPr>
      <w:outlineLvl w:val="4"/>
    </w:pPr>
  </w:style>
  <w:style w:type="paragraph" w:customStyle="1" w:styleId="27">
    <w:name w:val="二级条标题"/>
    <w:basedOn w:val="1"/>
    <w:next w:val="11"/>
    <w:qFormat/>
    <w:uiPriority w:val="0"/>
    <w:pPr>
      <w:widowControl/>
      <w:spacing w:before="50" w:beforeLines="50" w:after="50" w:afterLines="50"/>
      <w:jc w:val="left"/>
      <w:outlineLvl w:val="3"/>
    </w:pPr>
    <w:rPr>
      <w:rFonts w:ascii="黑体" w:hAnsi="Times New Roman" w:eastAsia="黑体" w:cs="Times New Roman"/>
      <w:kern w:val="0"/>
      <w:szCs w:val="21"/>
    </w:rPr>
  </w:style>
  <w:style w:type="paragraph" w:customStyle="1" w:styleId="28">
    <w:name w:val="字母编号列项（一级）"/>
    <w:qFormat/>
    <w:uiPriority w:val="0"/>
    <w:pPr>
      <w:ind w:left="840" w:leftChars="200" w:hanging="420" w:hangingChars="200"/>
      <w:jc w:val="both"/>
    </w:pPr>
    <w:rPr>
      <w:rFonts w:ascii="宋体" w:hAnsi="宋体" w:eastAsia="宋体" w:cs="Times New Roman"/>
      <w:sz w:val="21"/>
      <w:szCs w:val="21"/>
      <w:lang w:val="en-US" w:eastAsia="zh-CN" w:bidi="ar-SA"/>
    </w:rPr>
  </w:style>
  <w:style w:type="paragraph" w:customStyle="1" w:styleId="2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2969</Words>
  <Characters>3317</Characters>
  <Lines>2</Lines>
  <Paragraphs>1</Paragraphs>
  <TotalTime>0</TotalTime>
  <ScaleCrop>false</ScaleCrop>
  <LinksUpToDate>false</LinksUpToDate>
  <CharactersWithSpaces>3379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2021-09-29T07:06:00Z</dcterms:created>
  <dc:creator>gyb1</dc:creator>
  <cp:lastModifiedBy>Cherish</cp:lastModifiedBy>
  <cp:lastPrinted>2020-08-18T02:54:00Z</cp:lastPrinted>
  <dcterms:modified xsi:type="dcterms:W3CDTF">2025-06-04T05:49:38Z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BB3231D529D741F8B07074DEEEAAF6AA_13</vt:lpwstr>
  </property>
  <property fmtid="{D5CDD505-2E9C-101B-9397-08002B2CF9AE}" pid="4" name="KSOTemplateDocerSaveRecord">
    <vt:lpwstr>eyJoZGlkIjoiYzA2NWNiYzU2OGY0NjY5NDIzZTcwMTg0NWJjMWJiNjMiLCJ1c2VySWQiOiI1NjY1OTU2MDEifQ==</vt:lpwstr>
  </property>
</Properties>
</file>