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0F9A4">
      <w:pPr>
        <w:spacing w:before="167"/>
        <w:jc w:val="center"/>
        <w:outlineLvl w:val="0"/>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pacing w:val="8"/>
          <w:sz w:val="40"/>
          <w:szCs w:val="40"/>
          <w:lang w:eastAsia="zh-CN"/>
        </w:rPr>
        <w:t>《</w:t>
      </w:r>
      <w:r>
        <w:rPr>
          <w:rFonts w:hint="eastAsia" w:ascii="方正小标宋简体" w:hAnsi="方正小标宋简体" w:eastAsia="方正小标宋简体" w:cs="方正小标宋简体"/>
          <w:spacing w:val="8"/>
          <w:sz w:val="40"/>
          <w:szCs w:val="40"/>
          <w:lang w:val="en-US" w:eastAsia="zh-CN"/>
        </w:rPr>
        <w:t>基于汉信码的进口食品全链追溯应用规范</w:t>
      </w:r>
      <w:r>
        <w:rPr>
          <w:rFonts w:hint="eastAsia" w:ascii="方正小标宋简体" w:hAnsi="方正小标宋简体" w:eastAsia="方正小标宋简体" w:cs="方正小标宋简体"/>
          <w:spacing w:val="8"/>
          <w:sz w:val="40"/>
          <w:szCs w:val="40"/>
          <w:lang w:eastAsia="zh-CN"/>
        </w:rPr>
        <w:t>》</w:t>
      </w:r>
      <w:r>
        <w:rPr>
          <w:rFonts w:hint="eastAsia" w:ascii="方正小标宋简体" w:hAnsi="方正小标宋简体" w:eastAsia="方正小标宋简体" w:cs="方正小标宋简体"/>
          <w:spacing w:val="8"/>
          <w:sz w:val="40"/>
          <w:szCs w:val="40"/>
          <w:lang w:val="en-US" w:eastAsia="zh-CN"/>
        </w:rPr>
        <w:t>团体标准</w:t>
      </w:r>
      <w:r>
        <w:rPr>
          <w:rFonts w:ascii="方正小标宋简体" w:hAnsi="方正小标宋简体" w:eastAsia="方正小标宋简体" w:cs="方正小标宋简体"/>
          <w:spacing w:val="8"/>
          <w:sz w:val="40"/>
          <w:szCs w:val="40"/>
        </w:rPr>
        <w:t>编制说明</w:t>
      </w:r>
    </w:p>
    <w:p w14:paraId="174F17FB">
      <w:pPr>
        <w:spacing w:line="285" w:lineRule="auto"/>
        <w:rPr>
          <w:rFonts w:ascii="Arial"/>
          <w:sz w:val="21"/>
        </w:rPr>
      </w:pPr>
    </w:p>
    <w:p w14:paraId="09E1DD1F">
      <w:pPr>
        <w:spacing w:line="285" w:lineRule="auto"/>
        <w:rPr>
          <w:rFonts w:ascii="Arial"/>
          <w:sz w:val="21"/>
        </w:rPr>
      </w:pPr>
    </w:p>
    <w:p w14:paraId="0019CC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default"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一、项目背景</w:t>
      </w:r>
    </w:p>
    <w:p w14:paraId="069A94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1、背景</w:t>
      </w:r>
    </w:p>
    <w:p w14:paraId="578FBAAD">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近年来，我国进口食品贸易呈现数量增长快、来源更加广泛、品种覆盖齐全，局部进口食品已成为国内市场重要的供给来源。2022年，我国进口食品总量同比增长36.5%，近5年来年均进口食品贸易额增长率为5.7%。建立进口食品追溯系统，实现进口食品跟踪和追溯对于保障进口食品全链路可视化追溯、实现全面监控安全隐患，确保进口食品监管落实，保障人民群众身体健康和生命安全具有非常重要的意义。</w:t>
      </w:r>
    </w:p>
    <w:p w14:paraId="56D61AEE">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2020年底至今，中国物品编码中心以全球二维码迁移计划（简称“GM2D”）为契机，在全国范围内持续推动商品二维码在各领域的应用。二维码相比于条形码，具有数据承载量大、解析速度快、安全系数高等优势，其中二维码信息容载量最大数据可达1850个字符，是条形码的30倍。为商品换发“二代身份证”，对全球商品生产、流通结算具有重要意义。浙江省积极响应，以数字化改革理念为先进引导，充分利用省内的国际大港和进出口贸易的区位优势，聚焦进口食品贸易，率先开展以进口食品为主的进出口商品GM2D应用试点，通过重构现有进口食品追溯二维码编码体系，迭代升级“GM2D在线”，做深赋码场景，做优仓储、流通、消费全链用码场景，探索打造“GM2D+”新模式新业态，更好助力商贸便利化、平台企业治理和区域品牌提升。2022年9月，在宁波率先启动进口食品GM2D应用场景并发布首张进口红酒单品码，为进口食品质量安全数字监管打开了新局面，也为进口食品贸易高质量发展提供了新机遇。以宁波为例，2025年已实现跨境进口商品溯源码全品类覆盖，进口红酒、进口美妆、中东欧进口商品溯源码推广应用。截至2025年2月，宁波市进口商品GM2D转码赋码量已超1.6亿个，涉及进口奶粉、葡萄酒、保健品、化妆品、母婴用品等536个品种，其中跨境贸易商品涉及婴幼儿配方食品、保健食品及洗护用品等532个品类16262万个码，一般贸易商品涉及奶粉、饮料等29个品类230万个码。</w:t>
      </w:r>
    </w:p>
    <w:p w14:paraId="5307C127">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为推动进口商品数字化管理经验的全面推广和复制，在贯彻执行相关法律法规及政策性管理措施的同时，还需要通过制定标准提供技术支持。如何利用标准化手段提供必要的支持，既是规范进口食品追溯二维码应用的重要需求，也是保障进口食品来源可溯、责任可究的重要方式。</w:t>
      </w:r>
    </w:p>
    <w:p w14:paraId="17D32D6E">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val="en-US" w:eastAsia="zh-CN"/>
        </w:rPr>
        <w:t>2、必要性</w:t>
      </w:r>
    </w:p>
    <w:p w14:paraId="09B6AB66">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仿宋" w:hAnsi="仿宋" w:eastAsia="仿宋" w:cs="仿宋"/>
          <w:color w:val="auto"/>
          <w:spacing w:val="6"/>
          <w:sz w:val="32"/>
          <w:szCs w:val="32"/>
          <w:lang w:val="en-US" w:eastAsia="zh-CN"/>
        </w:rPr>
      </w:pPr>
      <w:r>
        <w:rPr>
          <w:rFonts w:hint="eastAsia" w:ascii="仿宋" w:hAnsi="仿宋" w:eastAsia="仿宋" w:cs="仿宋"/>
          <w:color w:val="auto"/>
          <w:spacing w:val="6"/>
          <w:sz w:val="32"/>
          <w:szCs w:val="32"/>
          <w:lang w:val="en-US" w:eastAsia="zh-CN"/>
        </w:rPr>
        <w:t>针对进口食品追溯二维码应用发展过程中存在的追溯信息链不全面、信息内容不统一、信息采集和分享不规范等不完善问题，项目组特开展基于“汉信码”的进口食品进口食品全链追溯应用规范标准研制。一是加强进口食品安全监管。强化进口食品追溯二维码的应用管理，是推动进口食品全链路监管，实现进口食品风险预警和管控，促进商品标准化、产品数字化、物流自动化、结算智能化提升的有效手段。二是为高质量发展提供技术支持。通过标准的制定，推动进口食品原产地、海运、报关、仓储、流通、消费环节信息追溯管理，有效强化重点民生领域质量管控，充分发挥“标准化+”的最大价值。通过探索符合国家标准的二维码在更大范围落地应用。三是规范国际贸易产业发展。推进进口商品数字赋能，致力于进口食品的追溯信息共享互通，为提升进口食品追溯管理能力，促贸易便利化，营造放心消费环境，带动产业链上下游实现降本增效和数字化转型等方面提供基础支持。立足已有经验、着眼长远，引领行业领域标准化发展，为其他领域开展二维码应用推广提供参考，增强发展后劲。</w:t>
      </w:r>
    </w:p>
    <w:p w14:paraId="44376C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二、工作简况</w:t>
      </w:r>
    </w:p>
    <w:p w14:paraId="043E75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1、任务来源</w:t>
      </w:r>
    </w:p>
    <w:p w14:paraId="5C810178">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64" w:firstLineChars="200"/>
        <w:jc w:val="both"/>
        <w:textAlignment w:val="baseline"/>
        <w:rPr>
          <w:rFonts w:hint="eastAsia" w:ascii="黑体" w:hAnsi="Times New Roman" w:eastAsia="黑体" w:cs="Times New Roman"/>
          <w:snapToGrid/>
          <w:kern w:val="2"/>
          <w:sz w:val="32"/>
          <w:szCs w:val="32"/>
          <w:lang w:val="en-US" w:eastAsia="zh-CN"/>
        </w:rPr>
      </w:pPr>
      <w:r>
        <w:rPr>
          <w:rFonts w:hint="eastAsia" w:ascii="仿宋" w:hAnsi="仿宋" w:eastAsia="仿宋" w:cs="仿宋"/>
          <w:color w:val="auto"/>
          <w:spacing w:val="6"/>
          <w:sz w:val="32"/>
          <w:szCs w:val="32"/>
          <w:lang w:val="en-US" w:eastAsia="zh-CN"/>
        </w:rPr>
        <w:t>本文件由宁波市市场监督管理局提出，由中国条码技术与应用协会归口，经中国条码技术与应用协会批准下达立项（文件号：中条协〔2025〕4号），立项项目名称为《基于汉信码的进口食品全链追溯应用规范》。</w:t>
      </w:r>
    </w:p>
    <w:p w14:paraId="25EB96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default"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2、主要工作过程</w:t>
      </w:r>
    </w:p>
    <w:p w14:paraId="38848DFA">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（1）标准调研</w:t>
      </w:r>
    </w:p>
    <w:p w14:paraId="3395C01C">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草组在进口食品监管、进口食品追溯、二维码应用等方面具备大量的工作基础，前期调研了宁波市进口食品追溯管理的经验，以宁波地区为例，2025年已实现跨境进口商品溯源码全品类覆盖，进口红酒、进口美妆、中东欧进口商品溯源码推广应用。截至2025年2月，宁波市进口商品GM2D转码赋码量已超1.6亿个，涉及进口奶粉、葡萄酒、保健品、化妆品、母婴用品等536个品种，其中跨境贸易商品涉及婴幼儿配方食品、保健食品及洗护用品等532个品类16262万个码，一般贸易商品涉及奶粉、饮料等29个品类230万个码。</w:t>
      </w:r>
    </w:p>
    <w:p w14:paraId="3D27151D">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（2）标准立项阶段</w:t>
      </w:r>
    </w:p>
    <w:p w14:paraId="6F8F7845">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16日，中国条码技术与应用协会在北京市组织召开《进口食品追溯二维码应用规范》团体标准立项评审会。评审组由来自科研院所、高等院校等5位专家组成。评审专家听取了标准起草组对标准立项必要性和标准草案内容的介绍，经对标准立项材料进行评审。一致同意本标准立项，认为本标准的立项有助于加强进口食品安全监管、规范国际贸易产业发展，推动进口食品二维码应用规范化。同时，专家组提出修改建议，起草组组织对文本进行修改，主要修改如下：</w:t>
      </w:r>
    </w:p>
    <w:p w14:paraId="2788DEB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line="580" w:lineRule="exact"/>
        <w:ind w:left="0" w:leftChars="0" w:right="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调整标准名称为《基于汉信码的进口食品全链追溯应用规范》；</w:t>
      </w:r>
    </w:p>
    <w:p w14:paraId="73265435">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line="580" w:lineRule="exact"/>
        <w:ind w:left="0" w:leftChars="0" w:right="0" w:rightChars="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增加“追溯”“汉信码”“追溯体系”的术语；</w:t>
      </w:r>
    </w:p>
    <w:p w14:paraId="1C92800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line="580" w:lineRule="exact"/>
        <w:ind w:left="0" w:leftChars="0" w:right="0" w:rightChars="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第四章“溯源体系”改为“追溯体系”，内容相应调整。</w:t>
      </w:r>
    </w:p>
    <w:p w14:paraId="4BC96A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三、编制原则和主要技术内容</w:t>
      </w:r>
    </w:p>
    <w:p w14:paraId="12132F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1、编制原则</w:t>
      </w:r>
    </w:p>
    <w:p w14:paraId="4D174949">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标准制定过程中充分参考了《GS1通用规范》内容，标准按照 GB/T1.1—2020《标准化工作导则 第1部分:标准化文件的结构和起草规则》、GB/T 20000.1-2014《标准化工作指南 第1部分：标准化和相关活动的通用术语》、GB/T 20000.2-2009《标准化工作指南 第2部分：采用国际标准》和 GB/T 20001《标准编写规则》 等进行，使标准更严谨、更规范。</w:t>
      </w:r>
    </w:p>
    <w:p w14:paraId="107676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2、主要技术内容</w:t>
      </w:r>
    </w:p>
    <w:p w14:paraId="05ABEA2E">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本文件适用于进口食品溯源中二维码的应用。标准主要技术内容包括：追溯体系、二维码信息内容、二维码信息处置、二维码标识等内容。</w:t>
      </w:r>
    </w:p>
    <w:p w14:paraId="70977DB1">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标准草案包括7个章节，其中第4-7章节为标准的核心内容。</w:t>
      </w:r>
    </w:p>
    <w:p w14:paraId="6F0AE1E7">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——第四章：追溯体系。规定了进口食品追溯的体系结构以及参与方内容。</w:t>
      </w:r>
    </w:p>
    <w:p w14:paraId="52426C8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——第五章：信息内容。规定了不同应用场景下追溯二维码信息内容。</w:t>
      </w:r>
      <w:bookmarkStart w:id="0" w:name="_GoBack"/>
      <w:bookmarkEnd w:id="0"/>
    </w:p>
    <w:p w14:paraId="422B45ED">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——第六章：信息处置。规定了追溯信息基本要求、信息采集和信息应用。</w:t>
      </w:r>
    </w:p>
    <w:p w14:paraId="361FBC08">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——第七章：信息标识。规定了二维码标识的基本要求、码制、尺寸、位置、识读环境等内容。</w:t>
      </w:r>
    </w:p>
    <w:p w14:paraId="7D8EE0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四、 与有关的现行法律、法规和相关国家标准、行业标准、地方标准的重复性、协调性</w:t>
      </w:r>
    </w:p>
    <w:p w14:paraId="6D43600D">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本文件与有关现行法律、法规和强制性国家标准保持一致，与现行各级标准相协调。</w:t>
      </w:r>
    </w:p>
    <w:p w14:paraId="3472B7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五、重大分歧意见的处理经过和依据</w:t>
      </w:r>
    </w:p>
    <w:p w14:paraId="2FF4265F">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本文件在修订过程中未出现过重大分歧。</w:t>
      </w:r>
    </w:p>
    <w:p w14:paraId="4470C6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六、预期效益及贯彻实施标准的要求和措施建议</w:t>
      </w:r>
    </w:p>
    <w:p w14:paraId="1CA281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1、预期效益</w:t>
      </w:r>
    </w:p>
    <w:p w14:paraId="08A1B427">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更有效地控制进口食品风险，保障消费者的饮食安全，引导大众吃地更安全放心；及时响应处置进口食品安全风险事件，避免事件恶化升级所造成的负面舆论扩散等不良影响。二是体现政府在食品安全事业中核心的监管与引导地位，使费者与企业获得更好的服务，收获更高的社会满意度，从而提高政府监管公信力。三是改变以往食品安全领域政府单向主导、风险信息管理后置的现象，通过平台培养出社会全员参与、协同共治的良性生态，多方信息汇集，长远造福人民身体健康。</w:t>
      </w:r>
    </w:p>
    <w:p w14:paraId="3AFF65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2、贯彻实施标准的要求和措施建议</w:t>
      </w:r>
    </w:p>
    <w:p w14:paraId="3FEF45F2">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为保证本文件的贯彻实施，主管部门可通过举办培训班、讲座等形式，进行标准宣贯，帮助相关方了解基本内容和要求，并将实施过程中出现的问题和好的改进意见反馈到起草组以便进一步修订完善。</w:t>
      </w:r>
    </w:p>
    <w:p w14:paraId="595B2C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0" w:leftChars="0" w:firstLine="672" w:firstLineChars="200"/>
        <w:textAlignment w:val="baseline"/>
        <w:outlineLvl w:val="2"/>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八、其他应予说明的事项</w:t>
      </w:r>
    </w:p>
    <w:p w14:paraId="7F508594">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both"/>
        <w:textAlignment w:val="baseline"/>
        <w:rPr>
          <w:rFonts w:ascii="Arial"/>
          <w:sz w:val="21"/>
        </w:rPr>
      </w:pPr>
      <w:r>
        <w:rPr>
          <w:rFonts w:hint="eastAsia" w:ascii="仿宋_GB2312" w:hAnsi="仿宋_GB2312" w:eastAsia="仿宋_GB2312" w:cs="仿宋_GB2312"/>
          <w:sz w:val="32"/>
          <w:szCs w:val="32"/>
          <w:lang w:val="en-US" w:eastAsia="zh-CN"/>
        </w:rPr>
        <w:t>无。</w:t>
      </w:r>
    </w:p>
    <w:p w14:paraId="2A54A3CE">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标准起草组</w:t>
      </w:r>
    </w:p>
    <w:p w14:paraId="44A5E454">
      <w:pPr>
        <w:keepNext w:val="0"/>
        <w:keepLines w:val="0"/>
        <w:pageBreakBefore w:val="0"/>
        <w:widowControl/>
        <w:kinsoku w:val="0"/>
        <w:wordWrap/>
        <w:overflowPunct/>
        <w:topLinePunct w:val="0"/>
        <w:autoSpaceDE w:val="0"/>
        <w:autoSpaceDN w:val="0"/>
        <w:bidi w:val="0"/>
        <w:adjustRightInd w:val="0"/>
        <w:snapToGrid w:val="0"/>
        <w:spacing w:before="0" w:line="580" w:lineRule="exact"/>
        <w:ind w:right="0" w:firstLine="640" w:firstLineChars="20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2025年5月30日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BA73">
    <w:pPr>
      <w:spacing w:line="179" w:lineRule="auto"/>
      <w:ind w:left="407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5C89E"/>
    <w:multiLevelType w:val="singleLevel"/>
    <w:tmpl w:val="73C5C89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80553"/>
    <w:rsid w:val="026C4FD1"/>
    <w:rsid w:val="03D35307"/>
    <w:rsid w:val="07CC1A54"/>
    <w:rsid w:val="111156C1"/>
    <w:rsid w:val="1AF33C19"/>
    <w:rsid w:val="1DBC69B5"/>
    <w:rsid w:val="21F12252"/>
    <w:rsid w:val="21F14748"/>
    <w:rsid w:val="27E32A7D"/>
    <w:rsid w:val="29F6344C"/>
    <w:rsid w:val="2B14398C"/>
    <w:rsid w:val="33447BA7"/>
    <w:rsid w:val="37C93D50"/>
    <w:rsid w:val="3973681E"/>
    <w:rsid w:val="43876ADE"/>
    <w:rsid w:val="5012408F"/>
    <w:rsid w:val="50F3095D"/>
    <w:rsid w:val="53A56FC8"/>
    <w:rsid w:val="5B480553"/>
    <w:rsid w:val="66D63C10"/>
    <w:rsid w:val="6B1C101E"/>
    <w:rsid w:val="6E2214E9"/>
    <w:rsid w:val="6EE669BA"/>
    <w:rsid w:val="712A3947"/>
    <w:rsid w:val="716562BC"/>
    <w:rsid w:val="7349576A"/>
    <w:rsid w:val="79554E68"/>
    <w:rsid w:val="7C6D4277"/>
    <w:rsid w:val="7C7952FA"/>
    <w:rsid w:val="7DE0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pPr>
    <w:rPr>
      <w:rFonts w:ascii="Times New Roman" w:hAnsi="Times New Roman" w:eastAsia="仿宋" w:cs="宋体"/>
      <w:sz w:val="21"/>
      <w:szCs w:val="24"/>
    </w:r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2867</Words>
  <Characters>3006</Characters>
  <Lines>0</Lines>
  <Paragraphs>0</Paragraphs>
  <TotalTime>4</TotalTime>
  <ScaleCrop>false</ScaleCrop>
  <LinksUpToDate>false</LinksUpToDate>
  <CharactersWithSpaces>3073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2025-03-26T08:16:00Z</dcterms:created>
  <dc:creator>橙子</dc:creator>
  <cp:lastModifiedBy>橙子</cp:lastModifiedBy>
  <dcterms:modified xsi:type="dcterms:W3CDTF">2025-06-04T07:46:44Z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35638AF4E1524C51BBFEF9E20FFBCAFB_11</vt:lpwstr>
  </property>
  <property fmtid="{D5CDD505-2E9C-101B-9397-08002B2CF9AE}" pid="4" name="KSOTemplateDocerSaveRecord">
    <vt:lpwstr>eyJoZGlkIjoiZWUxY2EwMzk2ZmRiYWZmMTRhMWQzY2I5MmJkNTFiMGYiLCJ1c2VySWQiOiI0NjQ1NTQyOTkifQ==</vt:lpwstr>
  </property>
</Properties>
</file>