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2370F">
      <w:pPr>
        <w:pStyle w:val="35"/>
        <w:rPr>
          <w:rFonts w:hint="eastAsia"/>
          <w:highlight w:val="none"/>
        </w:rPr>
      </w:pPr>
      <w:r>
        <w:rPr>
          <w:rFonts w:hint="eastAsia"/>
          <w:highlight w:val="none"/>
        </w:rPr>
        <w:t>团体标准</w:t>
      </w:r>
    </w:p>
    <w:p w14:paraId="14872826">
      <w:pPr>
        <w:pStyle w:val="35"/>
        <w:rPr>
          <w:rFonts w:hint="eastAsia"/>
          <w:highlight w:val="none"/>
        </w:rPr>
      </w:pPr>
      <w:r>
        <w:rPr>
          <w:rFonts w:hint="eastAsia"/>
          <w:highlight w:val="none"/>
        </w:rPr>
        <w:t>《团餐食材供应链数智化平台建设规范》</w:t>
      </w:r>
    </w:p>
    <w:p w14:paraId="201BEA49">
      <w:pPr>
        <w:pStyle w:val="35"/>
        <w:rPr>
          <w:rFonts w:hint="eastAsia"/>
          <w:highlight w:val="none"/>
        </w:rPr>
      </w:pPr>
      <w:r>
        <w:rPr>
          <w:rFonts w:hint="eastAsia"/>
          <w:highlight w:val="none"/>
        </w:rPr>
        <w:t>（征求意见稿）</w:t>
      </w:r>
    </w:p>
    <w:p w14:paraId="69F7BA00">
      <w:pPr>
        <w:pStyle w:val="35"/>
        <w:rPr>
          <w:rFonts w:hint="eastAsia"/>
          <w:highlight w:val="none"/>
        </w:rPr>
      </w:pPr>
      <w:r>
        <w:rPr>
          <w:rFonts w:hint="eastAsia"/>
          <w:highlight w:val="none"/>
        </w:rPr>
        <w:t>编制说明</w:t>
      </w:r>
    </w:p>
    <w:p w14:paraId="5FA776C7">
      <w:pPr>
        <w:spacing w:before="133" w:line="215" w:lineRule="auto"/>
        <w:ind w:firstLine="720"/>
        <w:jc w:val="center"/>
        <w:rPr>
          <w:rFonts w:hint="eastAsia" w:ascii="方正小标宋简体" w:hAnsi="方正小标宋简体" w:eastAsia="方正小标宋简体" w:cs="方正小标宋简体"/>
          <w:bCs/>
          <w:sz w:val="36"/>
          <w:szCs w:val="36"/>
          <w:highlight w:val="none"/>
          <w:lang w:val="zh-CN"/>
        </w:rPr>
      </w:pPr>
    </w:p>
    <w:p w14:paraId="368495E6">
      <w:pPr>
        <w:pStyle w:val="42"/>
        <w:ind w:firstLine="640"/>
        <w:rPr>
          <w:highlight w:val="none"/>
        </w:rPr>
      </w:pPr>
      <w:r>
        <w:rPr>
          <w:rFonts w:hint="eastAsia"/>
          <w:highlight w:val="none"/>
        </w:rPr>
        <w:t>编制背景</w:t>
      </w:r>
    </w:p>
    <w:p w14:paraId="177757B9">
      <w:pPr>
        <w:pStyle w:val="37"/>
        <w:rPr>
          <w:highlight w:val="none"/>
        </w:rPr>
      </w:pPr>
      <w:r>
        <w:rPr>
          <w:rFonts w:hint="eastAsia"/>
          <w:highlight w:val="none"/>
        </w:rPr>
        <w:t>标准名称及编号</w:t>
      </w:r>
    </w:p>
    <w:p w14:paraId="586D0C67">
      <w:pPr>
        <w:ind w:firstLine="640"/>
        <w:rPr>
          <w:highlight w:val="none"/>
        </w:rPr>
      </w:pPr>
      <w:r>
        <w:rPr>
          <w:rFonts w:hint="eastAsia"/>
          <w:highlight w:val="none"/>
        </w:rPr>
        <w:t>标准名称：团餐食材供应链数智化平台建设规范</w:t>
      </w:r>
    </w:p>
    <w:p w14:paraId="6A81AE19">
      <w:pPr>
        <w:ind w:firstLine="640"/>
        <w:rPr>
          <w:highlight w:val="none"/>
        </w:rPr>
      </w:pPr>
      <w:r>
        <w:rPr>
          <w:rFonts w:hint="eastAsia"/>
          <w:highlight w:val="none"/>
        </w:rPr>
        <w:t>标准编号：T/GXCUA  XX</w:t>
      </w:r>
      <w:r>
        <w:rPr>
          <w:highlight w:val="none"/>
        </w:rPr>
        <w:t>-202</w:t>
      </w:r>
      <w:r>
        <w:rPr>
          <w:rFonts w:hint="eastAsia"/>
          <w:highlight w:val="none"/>
        </w:rPr>
        <w:t>5</w:t>
      </w:r>
    </w:p>
    <w:p w14:paraId="0C00D764">
      <w:pPr>
        <w:ind w:firstLine="640"/>
        <w:rPr>
          <w:highlight w:val="none"/>
        </w:rPr>
      </w:pPr>
      <w:r>
        <w:rPr>
          <w:rFonts w:hint="eastAsia"/>
          <w:highlight w:val="none"/>
        </w:rPr>
        <w:t>本标准为首次发布。</w:t>
      </w:r>
    </w:p>
    <w:p w14:paraId="1753D6CC">
      <w:pPr>
        <w:pStyle w:val="37"/>
        <w:rPr>
          <w:highlight w:val="none"/>
        </w:rPr>
      </w:pPr>
      <w:r>
        <w:rPr>
          <w:rFonts w:hint="eastAsia"/>
          <w:highlight w:val="none"/>
        </w:rPr>
        <w:t>任务来源</w:t>
      </w:r>
    </w:p>
    <w:p w14:paraId="0663FDD2">
      <w:pPr>
        <w:ind w:firstLine="640"/>
        <w:rPr>
          <w:highlight w:val="none"/>
        </w:rPr>
      </w:pPr>
      <w:bookmarkStart w:id="0" w:name="_Hlk144053442"/>
      <w:r>
        <w:rPr>
          <w:highlight w:val="none"/>
        </w:rPr>
        <w:t>202</w:t>
      </w:r>
      <w:r>
        <w:rPr>
          <w:rFonts w:hint="eastAsia"/>
          <w:highlight w:val="none"/>
        </w:rPr>
        <w:t>5</w:t>
      </w:r>
      <w:r>
        <w:rPr>
          <w:highlight w:val="none"/>
        </w:rPr>
        <w:t>年</w:t>
      </w:r>
      <w:r>
        <w:rPr>
          <w:rFonts w:hint="eastAsia"/>
          <w:highlight w:val="none"/>
        </w:rPr>
        <w:t>5</w:t>
      </w:r>
      <w:r>
        <w:rPr>
          <w:highlight w:val="none"/>
        </w:rPr>
        <w:t>月</w:t>
      </w:r>
      <w:r>
        <w:rPr>
          <w:rFonts w:hint="eastAsia"/>
          <w:highlight w:val="none"/>
        </w:rPr>
        <w:t>15</w:t>
      </w:r>
      <w:r>
        <w:rPr>
          <w:highlight w:val="none"/>
        </w:rPr>
        <w:t>日广西计算机用户协会下发团体标准</w:t>
      </w:r>
      <w:r>
        <w:rPr>
          <w:rFonts w:hint="eastAsia"/>
          <w:highlight w:val="none"/>
        </w:rPr>
        <w:t>《</w:t>
      </w:r>
      <w:bookmarkEnd w:id="0"/>
      <w:r>
        <w:rPr>
          <w:rFonts w:hint="eastAsia"/>
          <w:highlight w:val="none"/>
        </w:rPr>
        <w:t>团餐食材供应链数智化平台建设规范》</w:t>
      </w:r>
      <w:r>
        <w:rPr>
          <w:highlight w:val="none"/>
        </w:rPr>
        <w:t>立项通知，由</w:t>
      </w:r>
      <w:r>
        <w:rPr>
          <w:rFonts w:hint="eastAsia"/>
          <w:highlight w:val="none"/>
        </w:rPr>
        <w:t>广西交投供应链科技有限公司牵头</w:t>
      </w:r>
      <w:r>
        <w:rPr>
          <w:highlight w:val="none"/>
        </w:rPr>
        <w:t>起草的该项团体标准正式立项。</w:t>
      </w:r>
    </w:p>
    <w:p w14:paraId="450D0D1F">
      <w:pPr>
        <w:pStyle w:val="42"/>
        <w:ind w:firstLine="640"/>
        <w:rPr>
          <w:highlight w:val="none"/>
        </w:rPr>
      </w:pPr>
      <w:r>
        <w:rPr>
          <w:rFonts w:hint="eastAsia"/>
          <w:highlight w:val="none"/>
        </w:rPr>
        <w:t>编制目的和意义</w:t>
      </w:r>
    </w:p>
    <w:p w14:paraId="20BD4212">
      <w:pPr>
        <w:ind w:firstLine="640"/>
        <w:rPr>
          <w:highlight w:val="none"/>
        </w:rPr>
      </w:pPr>
      <w:r>
        <w:rPr>
          <w:rFonts w:hint="eastAsia"/>
          <w:highlight w:val="none"/>
        </w:rPr>
        <w:t>（一）目的</w:t>
      </w:r>
    </w:p>
    <w:p w14:paraId="179C5DEB">
      <w:pPr>
        <w:numPr>
          <w:ilvl w:val="0"/>
          <w:numId w:val="8"/>
        </w:numPr>
        <w:ind w:firstLine="640"/>
        <w:rPr>
          <w:highlight w:val="none"/>
        </w:rPr>
      </w:pPr>
      <w:r>
        <w:rPr>
          <w:rFonts w:hint="eastAsia"/>
          <w:highlight w:val="none"/>
        </w:rPr>
        <w:t>响应国家数字化转型战略要求‌</w:t>
      </w:r>
    </w:p>
    <w:p w14:paraId="64CBCEBF">
      <w:pPr>
        <w:ind w:firstLine="640"/>
        <w:rPr>
          <w:highlight w:val="none"/>
        </w:rPr>
      </w:pPr>
      <w:r>
        <w:rPr>
          <w:rFonts w:hint="eastAsia"/>
          <w:highlight w:val="none"/>
        </w:rPr>
        <w:t>团餐食材供应链作为传统行业的重要组成部分，其数智化平台建设符合国家推动数字经济与实体经济融合的战略方向。2020年，国家发展改革委、中央网信办印发《关于推进“上云用数赋智”行动 培育新经济发展实施方案》的通知，明确指出进一步加快产业数字化转型，以数字化平台为依托，构建“生产服务+商业模式+金融服务”数字化生态，形成数字经济新实体，充分发掘新内需。2021年，国务院办公厅印发《“十四五”数字经济发展规划》，明确提出要推动数字技术与实体经济深度融合，加快传统产业的数字化转型，要推动供应链数字化，提升产业链协同效率，支持企业通过数字化手段优化供应链管理。</w:t>
      </w:r>
    </w:p>
    <w:p w14:paraId="79C74F13">
      <w:pPr>
        <w:numPr>
          <w:ilvl w:val="0"/>
          <w:numId w:val="8"/>
        </w:numPr>
        <w:ind w:firstLine="640"/>
        <w:rPr>
          <w:highlight w:val="none"/>
        </w:rPr>
      </w:pPr>
      <w:r>
        <w:rPr>
          <w:rFonts w:hint="eastAsia"/>
          <w:highlight w:val="none"/>
        </w:rPr>
        <w:t>适配区域发展需求</w:t>
      </w:r>
    </w:p>
    <w:p w14:paraId="6E317600">
      <w:pPr>
        <w:ind w:firstLine="0" w:firstLineChars="0"/>
        <w:rPr>
          <w:highlight w:val="none"/>
        </w:rPr>
      </w:pPr>
      <w:r>
        <w:rPr>
          <w:rFonts w:hint="eastAsia"/>
          <w:highlight w:val="none"/>
        </w:rPr>
        <w:t>适配</w:t>
      </w:r>
      <w:r>
        <w:rPr>
          <w:highlight w:val="none"/>
        </w:rPr>
        <w:t>广西壮族自治区人民政府办公厅印发</w:t>
      </w:r>
      <w:r>
        <w:rPr>
          <w:rFonts w:hint="eastAsia"/>
          <w:highlight w:val="none"/>
        </w:rPr>
        <w:t>的</w:t>
      </w:r>
      <w:r>
        <w:rPr>
          <w:highlight w:val="none"/>
        </w:rPr>
        <w:t>《广西促进平台经济规范健康发展实施方案》</w:t>
      </w:r>
      <w:r>
        <w:rPr>
          <w:rFonts w:hint="eastAsia"/>
          <w:highlight w:val="none"/>
        </w:rPr>
        <w:t>及</w:t>
      </w:r>
      <w:r>
        <w:rPr>
          <w:highlight w:val="none"/>
        </w:rPr>
        <w:t>《广西强商贸扩内需促消费行动方案（2022—2025年）》</w:t>
      </w:r>
      <w:r>
        <w:rPr>
          <w:rFonts w:hint="eastAsia"/>
          <w:highlight w:val="none"/>
        </w:rPr>
        <w:t>，明确提出积极发展“互联网+服务业”及</w:t>
      </w:r>
      <w:r>
        <w:rPr>
          <w:highlight w:val="none"/>
        </w:rPr>
        <w:t>要鼓励数字化赋能餐饮业，推动线上线下融合发展，延长餐饮产业上下游供应链，推动餐饮业转型发展。</w:t>
      </w:r>
    </w:p>
    <w:p w14:paraId="7A88BFA1">
      <w:pPr>
        <w:numPr>
          <w:ilvl w:val="0"/>
          <w:numId w:val="8"/>
        </w:numPr>
        <w:ind w:firstLine="640"/>
        <w:rPr>
          <w:highlight w:val="none"/>
        </w:rPr>
      </w:pPr>
      <w:r>
        <w:rPr>
          <w:rFonts w:hint="eastAsia"/>
          <w:highlight w:val="none"/>
        </w:rPr>
        <w:t>引领产业发展方向</w:t>
      </w:r>
    </w:p>
    <w:p w14:paraId="6B2C7766">
      <w:pPr>
        <w:ind w:firstLine="640"/>
        <w:rPr>
          <w:highlight w:val="none"/>
        </w:rPr>
      </w:pPr>
      <w:r>
        <w:rPr>
          <w:highlight w:val="none"/>
        </w:rPr>
        <w:t>团餐，也称为团体膳食，是一种为群体消费者提供集体就餐服务的餐饮模式。它不仅承载着满足大众集体用餐需求的重要使命，还以其独特的经营模式和广泛的覆盖范围，在餐饮市场中占据了显著的一席之地。近年来，随着社会经济的发展和人们生活节奏的加快，团餐市场规模持续扩大，其影响力日益凸显，现已稳稳占据了整个餐饮市场三分之一左右的份额，成为了推动餐饮行业发展的重要力量。截至2023年，中国团餐行业市场规模达22350亿元，同比增长22.94%。</w:t>
      </w:r>
    </w:p>
    <w:p w14:paraId="23ED8442">
      <w:pPr>
        <w:numPr>
          <w:ilvl w:val="0"/>
          <w:numId w:val="8"/>
        </w:numPr>
        <w:ind w:firstLine="640"/>
        <w:rPr>
          <w:highlight w:val="none"/>
        </w:rPr>
      </w:pPr>
      <w:r>
        <w:rPr>
          <w:rFonts w:hint="eastAsia"/>
          <w:highlight w:val="none"/>
        </w:rPr>
        <w:t>解决行业痛点</w:t>
      </w:r>
    </w:p>
    <w:p w14:paraId="69F7A9B9">
      <w:pPr>
        <w:ind w:firstLine="640"/>
        <w:rPr>
          <w:highlight w:val="none"/>
        </w:rPr>
      </w:pPr>
      <w:r>
        <w:rPr>
          <w:rFonts w:hint="eastAsia"/>
          <w:highlight w:val="none"/>
        </w:rPr>
        <w:t>制定《团餐食材供应链数智化平台建设规范》的目的是为团餐食材供应链企业提供一套科学、系统、可操作的数智化平台建设规范，帮助企业实现供应链全流程的数字化、智能化管理。通过该标准，企业能够更好地整合资源、优化流程、提升效率，从而在激烈的市场竞争中保持优势。</w:t>
      </w:r>
    </w:p>
    <w:p w14:paraId="5D36FE90">
      <w:pPr>
        <w:ind w:firstLine="640"/>
        <w:rPr>
          <w:highlight w:val="none"/>
        </w:rPr>
      </w:pPr>
      <w:r>
        <w:rPr>
          <w:rFonts w:hint="eastAsia"/>
          <w:highlight w:val="none"/>
        </w:rPr>
        <w:t>（二）意义‌</w:t>
      </w:r>
    </w:p>
    <w:p w14:paraId="21D0CAC8">
      <w:pPr>
        <w:numPr>
          <w:ilvl w:val="0"/>
          <w:numId w:val="9"/>
        </w:numPr>
        <w:ind w:firstLine="640"/>
        <w:rPr>
          <w:highlight w:val="none"/>
        </w:rPr>
      </w:pPr>
      <w:r>
        <w:rPr>
          <w:rFonts w:hint="eastAsia"/>
          <w:highlight w:val="none"/>
        </w:rPr>
        <w:t>提升行业标准化水平</w:t>
      </w:r>
    </w:p>
    <w:p w14:paraId="620026C8">
      <w:pPr>
        <w:ind w:firstLine="640"/>
        <w:rPr>
          <w:highlight w:val="none"/>
        </w:rPr>
      </w:pPr>
      <w:r>
        <w:rPr>
          <w:rFonts w:hint="eastAsia"/>
          <w:highlight w:val="none"/>
        </w:rPr>
        <w:t>团餐食材供应链行业涉及多个环节，包括采购、仓储、物流、配送等，各个环节的数字化水平参差不齐。通过制定统一的数智化平台建设标准，能够推动行业整体向标准化、规范化方向发展，减少企业在数字化转型过程中的试错成本。</w:t>
      </w:r>
    </w:p>
    <w:p w14:paraId="3ADCB57A">
      <w:pPr>
        <w:numPr>
          <w:ilvl w:val="0"/>
          <w:numId w:val="9"/>
        </w:numPr>
        <w:ind w:firstLine="640"/>
        <w:rPr>
          <w:highlight w:val="none"/>
        </w:rPr>
      </w:pPr>
      <w:r>
        <w:rPr>
          <w:rFonts w:hint="eastAsia"/>
          <w:highlight w:val="none"/>
        </w:rPr>
        <w:t>提高供应链管理效率</w:t>
      </w:r>
    </w:p>
    <w:p w14:paraId="402AD599">
      <w:pPr>
        <w:ind w:firstLine="640"/>
        <w:rPr>
          <w:highlight w:val="none"/>
        </w:rPr>
      </w:pPr>
      <w:r>
        <w:rPr>
          <w:rFonts w:hint="eastAsia"/>
          <w:highlight w:val="none"/>
        </w:rPr>
        <w:t>数智化平台能够实现供应链全流程的自动化、智能化管理，减少人为干预，降低错误率，提升运营效率。通过该标准，企业可以更好地利用大数据、人工智能等技术手段，优化供应链管理流程，提升整体运营效率。</w:t>
      </w:r>
    </w:p>
    <w:p w14:paraId="465124F9">
      <w:pPr>
        <w:numPr>
          <w:ilvl w:val="0"/>
          <w:numId w:val="9"/>
        </w:numPr>
        <w:ind w:firstLine="640"/>
        <w:rPr>
          <w:highlight w:val="none"/>
        </w:rPr>
      </w:pPr>
      <w:r>
        <w:rPr>
          <w:rFonts w:hint="eastAsia"/>
          <w:highlight w:val="none"/>
        </w:rPr>
        <w:t>增强数据安全与合规性</w:t>
      </w:r>
    </w:p>
    <w:p w14:paraId="32044EDB">
      <w:pPr>
        <w:ind w:firstLine="640"/>
        <w:rPr>
          <w:highlight w:val="none"/>
        </w:rPr>
      </w:pPr>
      <w:r>
        <w:rPr>
          <w:rFonts w:hint="eastAsia"/>
          <w:highlight w:val="none"/>
        </w:rPr>
        <w:t>随着数据在供应链管理中的重要性日益凸显，数据安全和合规性成为企业关注的重点。该标准为企业提供了供应链数据安全管理的标准规范，帮助企业建立完善的数据安全防护机制，确保数据在存储、传输、交互过程中的安全性。</w:t>
      </w:r>
    </w:p>
    <w:p w14:paraId="6A51FEB3">
      <w:pPr>
        <w:numPr>
          <w:ilvl w:val="0"/>
          <w:numId w:val="9"/>
        </w:numPr>
        <w:ind w:firstLine="640"/>
        <w:rPr>
          <w:highlight w:val="none"/>
        </w:rPr>
      </w:pPr>
      <w:r>
        <w:rPr>
          <w:rFonts w:hint="eastAsia"/>
          <w:highlight w:val="none"/>
        </w:rPr>
        <w:t>促进企业间的协同合作</w:t>
      </w:r>
    </w:p>
    <w:p w14:paraId="66A4FC61">
      <w:pPr>
        <w:ind w:firstLine="640"/>
        <w:rPr>
          <w:highlight w:val="none"/>
        </w:rPr>
      </w:pPr>
      <w:r>
        <w:rPr>
          <w:rFonts w:hint="eastAsia"/>
          <w:highlight w:val="none"/>
        </w:rPr>
        <w:t>通过统一的数智化平台建设标准，不同企业之间的系统兼容性将得到提升，促进企业间的数据共享和协同合作。通过标准的实施，有助于构建更加高效、透明的供应链生态系统，推动整个行业的协同发展。</w:t>
      </w:r>
    </w:p>
    <w:p w14:paraId="62730FE5">
      <w:pPr>
        <w:pStyle w:val="42"/>
        <w:ind w:firstLine="640"/>
        <w:rPr>
          <w:highlight w:val="none"/>
        </w:rPr>
      </w:pPr>
      <w:r>
        <w:rPr>
          <w:rFonts w:hint="eastAsia"/>
          <w:highlight w:val="none"/>
        </w:rPr>
        <w:t>标准起草单位及标准编制工作组</w:t>
      </w:r>
    </w:p>
    <w:p w14:paraId="7335AB4A">
      <w:pPr>
        <w:ind w:firstLine="640"/>
        <w:rPr>
          <w:highlight w:val="none"/>
        </w:rPr>
      </w:pPr>
      <w:r>
        <w:rPr>
          <w:rFonts w:hint="eastAsia"/>
          <w:highlight w:val="none"/>
        </w:rPr>
        <w:t>本标准由广西交投供应链科技有限公司发起，得到</w:t>
      </w:r>
      <w:r>
        <w:rPr>
          <w:rFonts w:hint="eastAsia"/>
          <w:highlight w:val="none"/>
        </w:rPr>
        <w:t>供应商、服务对象、运输单位、学校、市场监管部门等</w:t>
      </w:r>
      <w:r>
        <w:rPr>
          <w:rFonts w:hint="eastAsia"/>
          <w:highlight w:val="none"/>
        </w:rPr>
        <w:t>相关单位的支持，起草单位包括：广西交投供应链科技有限公司、XXX等。</w:t>
      </w:r>
    </w:p>
    <w:p w14:paraId="6CF933AF">
      <w:pPr>
        <w:ind w:firstLine="640"/>
        <w:rPr>
          <w:highlight w:val="none"/>
        </w:rPr>
      </w:pPr>
      <w:r>
        <w:rPr>
          <w:rFonts w:hint="eastAsia"/>
          <w:highlight w:val="none"/>
        </w:rPr>
        <w:t>为使标准制定更合理，更具可操作性，由广西交投供应链科技有限公司发起组建标准编制工作组，由标准起草单位抽调技术骨干负责标准编制工作。标准工作组成员包括标准化领域技术人员、信息化领域技术人员和金融领域的管理人员，确保了标准编制的规范化。起草人为XXX。</w:t>
      </w:r>
    </w:p>
    <w:p w14:paraId="2F40BFE1">
      <w:pPr>
        <w:pStyle w:val="42"/>
        <w:ind w:firstLine="640"/>
        <w:rPr>
          <w:highlight w:val="none"/>
        </w:rPr>
      </w:pPr>
      <w:r>
        <w:rPr>
          <w:rFonts w:hint="eastAsia"/>
          <w:highlight w:val="none"/>
        </w:rPr>
        <w:t>标准编制原则和依据</w:t>
      </w:r>
      <w:bookmarkStart w:id="8" w:name="_GoBack"/>
      <w:bookmarkEnd w:id="8"/>
    </w:p>
    <w:p w14:paraId="620DE597">
      <w:pPr>
        <w:pStyle w:val="37"/>
        <w:numPr>
          <w:ilvl w:val="0"/>
          <w:numId w:val="10"/>
        </w:numPr>
        <w:rPr>
          <w:highlight w:val="none"/>
        </w:rPr>
      </w:pPr>
      <w:r>
        <w:rPr>
          <w:highlight w:val="none"/>
        </w:rPr>
        <w:t>编制原则</w:t>
      </w:r>
    </w:p>
    <w:p w14:paraId="4A2DBD4D">
      <w:pPr>
        <w:ind w:firstLine="640"/>
        <w:rPr>
          <w:highlight w:val="none"/>
        </w:rPr>
      </w:pPr>
      <w:r>
        <w:rPr>
          <w:rFonts w:hint="eastAsia"/>
          <w:highlight w:val="none"/>
        </w:rPr>
        <w:t>标准内容的编制坚持以下原则：</w:t>
      </w:r>
    </w:p>
    <w:p w14:paraId="57C41EF1">
      <w:pPr>
        <w:pStyle w:val="39"/>
        <w:rPr>
          <w:highlight w:val="none"/>
        </w:rPr>
      </w:pPr>
      <w:r>
        <w:rPr>
          <w:rFonts w:hint="eastAsia"/>
          <w:highlight w:val="none"/>
        </w:rPr>
        <w:t>规范性原则</w:t>
      </w:r>
    </w:p>
    <w:p w14:paraId="19E3F9F1">
      <w:pPr>
        <w:ind w:firstLine="640"/>
        <w:rPr>
          <w:highlight w:val="none"/>
        </w:rPr>
      </w:pPr>
      <w:r>
        <w:rPr>
          <w:rFonts w:hint="eastAsia"/>
          <w:highlight w:val="none"/>
        </w:rPr>
        <w:t>标准的用语、格式等本文件严格按照GB/T 1.1—2020《标准化工作导则  第1部分：标准化文件的结构和起草规则》编写本标准的内容，保证标准的编写质量。</w:t>
      </w:r>
    </w:p>
    <w:p w14:paraId="59F845BA">
      <w:pPr>
        <w:pStyle w:val="39"/>
        <w:rPr>
          <w:highlight w:val="none"/>
        </w:rPr>
      </w:pPr>
      <w:r>
        <w:rPr>
          <w:rFonts w:hint="eastAsia"/>
          <w:highlight w:val="none"/>
        </w:rPr>
        <w:t>可操作性原则</w:t>
      </w:r>
    </w:p>
    <w:p w14:paraId="2497CCBC">
      <w:pPr>
        <w:ind w:firstLine="640"/>
        <w:rPr>
          <w:highlight w:val="none"/>
        </w:rPr>
      </w:pPr>
      <w:r>
        <w:rPr>
          <w:rFonts w:hint="eastAsia"/>
          <w:highlight w:val="none"/>
        </w:rPr>
        <w:t>本标准在制定过程中，注重了规范的可操作性。通过对团餐食材供应链数智化平台各环节的深入剖析，将技术要求、功能实现、管理流程等细化为具体、明确的条款，确保实施者能够清晰地理解并执行。同时，标准中引入了多种成熟的信息技术和管理方法，如大数据、人工智能、物联网等，为平台的建设提供了切实可行的技术方案，增强了标准的实用性和落地性。</w:t>
      </w:r>
    </w:p>
    <w:p w14:paraId="6E960BCE">
      <w:pPr>
        <w:pStyle w:val="39"/>
        <w:rPr>
          <w:highlight w:val="none"/>
        </w:rPr>
      </w:pPr>
      <w:r>
        <w:rPr>
          <w:rFonts w:hint="eastAsia"/>
          <w:highlight w:val="none"/>
        </w:rPr>
        <w:t>结合实际原则</w:t>
      </w:r>
    </w:p>
    <w:p w14:paraId="0D4FD0EE">
      <w:pPr>
        <w:ind w:firstLine="640"/>
        <w:rPr>
          <w:rFonts w:hint="eastAsia" w:ascii="楷体_GB2312" w:hAnsi="楷体_GB2312" w:eastAsia="楷体_GB2312" w:cs="楷体_GB2312"/>
          <w:spacing w:val="-2"/>
          <w:position w:val="1"/>
          <w:highlight w:val="none"/>
        </w:rPr>
      </w:pPr>
      <w:r>
        <w:rPr>
          <w:rFonts w:hint="eastAsia"/>
          <w:highlight w:val="none"/>
        </w:rPr>
        <w:t>本规范紧密结合了团餐食材供应链数智化平台的实际需求和行业特点。在制定过程中，充分考虑了团餐行业的业务流程、管理模式、信息化水平等实际情况，确保规范内容既符合行业发展趋势，又能有效指导平台的建设和管理。同时，规范还注重了兼容性和开放性，支持主流技术标准和第三方系统对接，便于企业在现有基础上进行升级和改造，降低了实施成本，提高了标准的适用性和推广价值。</w:t>
      </w:r>
    </w:p>
    <w:p w14:paraId="4A0EEDF0">
      <w:pPr>
        <w:pStyle w:val="37"/>
        <w:rPr>
          <w:highlight w:val="none"/>
        </w:rPr>
      </w:pPr>
      <w:r>
        <w:rPr>
          <w:rFonts w:hint="eastAsia"/>
          <w:highlight w:val="none"/>
        </w:rPr>
        <w:t>编制依据</w:t>
      </w:r>
    </w:p>
    <w:p w14:paraId="39CAE1DC">
      <w:pPr>
        <w:ind w:firstLine="640"/>
        <w:rPr>
          <w:highlight w:val="none"/>
        </w:rPr>
      </w:pPr>
      <w:r>
        <w:rPr>
          <w:highlight w:val="none"/>
        </w:rPr>
        <w:t>本标准严格按照GB/T 1.1</w:t>
      </w:r>
      <w:r>
        <w:rPr>
          <w:rFonts w:hint="eastAsia"/>
          <w:highlight w:val="none"/>
        </w:rPr>
        <w:t>—</w:t>
      </w:r>
      <w:r>
        <w:rPr>
          <w:highlight w:val="none"/>
        </w:rPr>
        <w:t>2020《标准化工作导则  第1部分：标准化文件的结构和起草规则》的</w:t>
      </w:r>
      <w:r>
        <w:rPr>
          <w:rFonts w:hint="eastAsia"/>
          <w:highlight w:val="none"/>
        </w:rPr>
        <w:t>规则</w:t>
      </w:r>
      <w:r>
        <w:rPr>
          <w:highlight w:val="none"/>
        </w:rPr>
        <w:t>起草</w:t>
      </w:r>
      <w:r>
        <w:rPr>
          <w:rFonts w:hint="eastAsia"/>
          <w:highlight w:val="none"/>
        </w:rPr>
        <w:t>，标准主要内容参考以下标准内容的基础上：</w:t>
      </w:r>
    </w:p>
    <w:p w14:paraId="37478E50">
      <w:pPr>
        <w:ind w:firstLine="640"/>
        <w:rPr>
          <w:highlight w:val="none"/>
        </w:rPr>
      </w:pPr>
      <w:r>
        <w:rPr>
          <w:rFonts w:hint="eastAsia"/>
          <w:highlight w:val="none"/>
        </w:rPr>
        <w:t>GB 3165 食品安全国家标准 餐饮服务通用卫生规范</w:t>
      </w:r>
    </w:p>
    <w:p w14:paraId="4F2B6149">
      <w:pPr>
        <w:ind w:firstLine="640"/>
        <w:rPr>
          <w:highlight w:val="none"/>
        </w:rPr>
      </w:pPr>
      <w:r>
        <w:rPr>
          <w:rFonts w:hint="eastAsia"/>
          <w:highlight w:val="none"/>
        </w:rPr>
        <w:t>GB 14881 食品安全国家标准 食品生产通用卫生规范</w:t>
      </w:r>
    </w:p>
    <w:p w14:paraId="4E401FA3">
      <w:pPr>
        <w:ind w:firstLine="640"/>
        <w:rPr>
          <w:highlight w:val="none"/>
        </w:rPr>
      </w:pPr>
      <w:r>
        <w:rPr>
          <w:rFonts w:hint="eastAsia"/>
          <w:highlight w:val="none"/>
        </w:rPr>
        <w:t>GB 15629.11  信息技术 系统间远程通信和信息交换 局域网和城域网 特定要求 第11部分：无线局域网媒体访问控制和物理层规范</w:t>
      </w:r>
    </w:p>
    <w:p w14:paraId="0D0A7C32">
      <w:pPr>
        <w:ind w:firstLine="640"/>
        <w:rPr>
          <w:highlight w:val="none"/>
        </w:rPr>
      </w:pPr>
      <w:r>
        <w:rPr>
          <w:rFonts w:hint="eastAsia"/>
          <w:highlight w:val="none"/>
        </w:rPr>
        <w:t>GB/T 18233.1  信息技术 用户建筑群通用布缆 第1部分：通用要求</w:t>
      </w:r>
    </w:p>
    <w:p w14:paraId="664B44AE">
      <w:pPr>
        <w:ind w:firstLine="640"/>
        <w:rPr>
          <w:highlight w:val="none"/>
        </w:rPr>
      </w:pPr>
      <w:r>
        <w:rPr>
          <w:rFonts w:hint="eastAsia"/>
          <w:highlight w:val="none"/>
        </w:rPr>
        <w:t>GB/T 20271  信息安全技术 信息系统通用安全技术要求</w:t>
      </w:r>
    </w:p>
    <w:p w14:paraId="7096C217">
      <w:pPr>
        <w:ind w:firstLine="640"/>
        <w:rPr>
          <w:highlight w:val="none"/>
        </w:rPr>
      </w:pPr>
      <w:r>
        <w:rPr>
          <w:rFonts w:hint="eastAsia"/>
          <w:highlight w:val="none"/>
        </w:rPr>
        <w:t>GB/T 20988  信息安全技术 信息系统灾难恢复规范</w:t>
      </w:r>
    </w:p>
    <w:p w14:paraId="62A0E85C">
      <w:pPr>
        <w:ind w:firstLine="640"/>
        <w:rPr>
          <w:highlight w:val="none"/>
        </w:rPr>
      </w:pPr>
      <w:r>
        <w:rPr>
          <w:rFonts w:hint="eastAsia"/>
          <w:highlight w:val="none"/>
        </w:rPr>
        <w:t>GB/T 22239  信息安全技术 网络安全等级保护基本要求</w:t>
      </w:r>
    </w:p>
    <w:p w14:paraId="51FF02F0">
      <w:pPr>
        <w:ind w:firstLine="640"/>
        <w:rPr>
          <w:highlight w:val="none"/>
        </w:rPr>
      </w:pPr>
      <w:r>
        <w:rPr>
          <w:rFonts w:hint="eastAsia"/>
          <w:highlight w:val="none"/>
        </w:rPr>
        <w:t>GB/T 25068.1  信息技术 安全技术 网络安全 第1部分：综述和概念</w:t>
      </w:r>
    </w:p>
    <w:p w14:paraId="3F209225">
      <w:pPr>
        <w:ind w:firstLine="640"/>
        <w:rPr>
          <w:highlight w:val="none"/>
        </w:rPr>
      </w:pPr>
      <w:r>
        <w:rPr>
          <w:rFonts w:hint="eastAsia"/>
          <w:highlight w:val="none"/>
        </w:rPr>
        <w:t>GB/T 28448  信息安全技术 网络安全等级保护测评要求</w:t>
      </w:r>
    </w:p>
    <w:p w14:paraId="5F9370ED">
      <w:pPr>
        <w:ind w:firstLine="640"/>
        <w:rPr>
          <w:highlight w:val="none"/>
        </w:rPr>
      </w:pPr>
      <w:r>
        <w:rPr>
          <w:rFonts w:hint="eastAsia"/>
          <w:highlight w:val="none"/>
        </w:rPr>
        <w:t>GB/T 28452  信息安全技术 应用软件系统通用安全技术要求</w:t>
      </w:r>
    </w:p>
    <w:p w14:paraId="36602BFC">
      <w:pPr>
        <w:ind w:firstLine="640"/>
        <w:rPr>
          <w:highlight w:val="none"/>
        </w:rPr>
      </w:pPr>
      <w:r>
        <w:rPr>
          <w:rFonts w:hint="eastAsia"/>
          <w:highlight w:val="none"/>
        </w:rPr>
        <w:t xml:space="preserve">GB/T 28827.1  信息技术服务 运行维护 第1部分：通用要求 </w:t>
      </w:r>
    </w:p>
    <w:p w14:paraId="22842E00">
      <w:pPr>
        <w:ind w:firstLine="640"/>
        <w:rPr>
          <w:highlight w:val="none"/>
        </w:rPr>
      </w:pPr>
      <w:r>
        <w:rPr>
          <w:rFonts w:hint="eastAsia"/>
          <w:highlight w:val="none"/>
        </w:rPr>
        <w:t>GB/T 28827.2  信息技术服务 运行维护 第2部分：交付规范</w:t>
      </w:r>
    </w:p>
    <w:p w14:paraId="43E58C78">
      <w:pPr>
        <w:ind w:firstLine="640"/>
        <w:rPr>
          <w:highlight w:val="none"/>
        </w:rPr>
      </w:pPr>
      <w:r>
        <w:rPr>
          <w:rFonts w:hint="eastAsia"/>
          <w:highlight w:val="none"/>
        </w:rPr>
        <w:t>GB/T 28827.3  信息技术服务 运行维护 第3部分：应急响应规范</w:t>
      </w:r>
    </w:p>
    <w:p w14:paraId="584AA299">
      <w:pPr>
        <w:ind w:firstLine="640"/>
        <w:rPr>
          <w:highlight w:val="none"/>
        </w:rPr>
      </w:pPr>
      <w:r>
        <w:rPr>
          <w:rFonts w:hint="eastAsia"/>
          <w:highlight w:val="none"/>
        </w:rPr>
        <w:t>GB/T 35273  信息安全技术 个人信息安全规范</w:t>
      </w:r>
    </w:p>
    <w:p w14:paraId="424C9A9A">
      <w:pPr>
        <w:ind w:firstLine="640"/>
        <w:rPr>
          <w:highlight w:val="none"/>
        </w:rPr>
      </w:pPr>
      <w:r>
        <w:rPr>
          <w:rFonts w:hint="eastAsia"/>
          <w:highlight w:val="none"/>
        </w:rPr>
        <w:t>GB/T 38158  重要产品追溯 追溯体系通用要求</w:t>
      </w:r>
    </w:p>
    <w:p w14:paraId="0FD3E9AE">
      <w:pPr>
        <w:ind w:firstLine="640"/>
        <w:rPr>
          <w:highlight w:val="none"/>
        </w:rPr>
      </w:pPr>
      <w:r>
        <w:rPr>
          <w:rFonts w:hint="eastAsia"/>
          <w:highlight w:val="none"/>
        </w:rPr>
        <w:t>SB/T 10856  团餐管理服务规范</w:t>
      </w:r>
    </w:p>
    <w:p w14:paraId="4FB8629F">
      <w:pPr>
        <w:ind w:firstLine="0" w:firstLineChars="0"/>
        <w:rPr>
          <w:highlight w:val="none"/>
        </w:rPr>
      </w:pPr>
      <w:r>
        <w:rPr>
          <w:rFonts w:hint="eastAsia"/>
          <w:highlight w:val="none"/>
        </w:rPr>
        <w:t>结合广西交投供应链科技有限公司等参编单位在团餐食材供应链数智化平台的实践情况确定，并征求相关专家意见后起草制定。</w:t>
      </w:r>
    </w:p>
    <w:p w14:paraId="6FAC4041">
      <w:pPr>
        <w:pStyle w:val="42"/>
        <w:ind w:firstLine="640"/>
        <w:rPr>
          <w:highlight w:val="none"/>
        </w:rPr>
      </w:pPr>
      <w:r>
        <w:rPr>
          <w:rFonts w:hint="eastAsia"/>
          <w:highlight w:val="none"/>
        </w:rPr>
        <w:t>标准编制过程</w:t>
      </w:r>
    </w:p>
    <w:p w14:paraId="3E29FD4B">
      <w:pPr>
        <w:pStyle w:val="37"/>
        <w:numPr>
          <w:ilvl w:val="0"/>
          <w:numId w:val="11"/>
        </w:numPr>
        <w:rPr>
          <w:highlight w:val="none"/>
        </w:rPr>
      </w:pPr>
      <w:bookmarkStart w:id="1" w:name="_Hlk144064619"/>
      <w:r>
        <w:rPr>
          <w:rFonts w:hint="eastAsia"/>
          <w:highlight w:val="none"/>
        </w:rPr>
        <w:t>标准编制</w:t>
      </w:r>
      <w:bookmarkStart w:id="2" w:name="_Hlk144052840"/>
      <w:r>
        <w:rPr>
          <w:rFonts w:hint="eastAsia"/>
          <w:highlight w:val="none"/>
        </w:rPr>
        <w:t>筹备</w:t>
      </w:r>
      <w:bookmarkEnd w:id="2"/>
      <w:r>
        <w:rPr>
          <w:rFonts w:hint="eastAsia"/>
          <w:highlight w:val="none"/>
        </w:rPr>
        <w:t>工作</w:t>
      </w:r>
    </w:p>
    <w:p w14:paraId="6BE6ED80">
      <w:pPr>
        <w:ind w:firstLine="640"/>
        <w:rPr>
          <w:highlight w:val="none"/>
        </w:rPr>
      </w:pPr>
      <w:r>
        <w:rPr>
          <w:rFonts w:hint="eastAsia"/>
          <w:highlight w:val="none"/>
        </w:rPr>
        <w:t>2025年3月，成立标准编制筹备工作组并召开标准启动会，就制定标准预研工作任务进行了分解部署。</w:t>
      </w:r>
    </w:p>
    <w:p w14:paraId="15323DBD">
      <w:pPr>
        <w:pStyle w:val="37"/>
        <w:rPr>
          <w:highlight w:val="none"/>
        </w:rPr>
      </w:pPr>
      <w:r>
        <w:rPr>
          <w:rFonts w:hint="eastAsia"/>
          <w:highlight w:val="none"/>
        </w:rPr>
        <w:t>预研阶段</w:t>
      </w:r>
    </w:p>
    <w:p w14:paraId="4377476A">
      <w:pPr>
        <w:pStyle w:val="39"/>
        <w:numPr>
          <w:ilvl w:val="0"/>
          <w:numId w:val="12"/>
        </w:numPr>
        <w:ind w:left="0" w:firstLine="640"/>
        <w:rPr>
          <w:highlight w:val="none"/>
        </w:rPr>
      </w:pPr>
      <w:r>
        <w:rPr>
          <w:rFonts w:hint="eastAsia"/>
          <w:highlight w:val="none"/>
        </w:rPr>
        <w:t>2025年4月，收集相关国家标准、行业标准以及团餐食材供应链数智化平台的问题，对标准编制项目进行必要性和可行性分析。</w:t>
      </w:r>
    </w:p>
    <w:p w14:paraId="51FB797C">
      <w:pPr>
        <w:pStyle w:val="39"/>
        <w:rPr>
          <w:highlight w:val="none"/>
        </w:rPr>
      </w:pPr>
      <w:r>
        <w:rPr>
          <w:rFonts w:hint="eastAsia"/>
          <w:highlight w:val="none"/>
        </w:rPr>
        <w:t>编制《团体标准制修订项目申报书》，并向广西计算机用户协会提交立项申请。</w:t>
      </w:r>
    </w:p>
    <w:bookmarkEnd w:id="1"/>
    <w:p w14:paraId="37706AEE">
      <w:pPr>
        <w:pStyle w:val="37"/>
        <w:rPr>
          <w:highlight w:val="none"/>
        </w:rPr>
      </w:pPr>
      <w:bookmarkStart w:id="3" w:name="_Hlk144064665"/>
      <w:r>
        <w:rPr>
          <w:rFonts w:hint="eastAsia"/>
          <w:highlight w:val="none"/>
        </w:rPr>
        <w:t>标准立项阶段</w:t>
      </w:r>
    </w:p>
    <w:p w14:paraId="6EC300FA">
      <w:pPr>
        <w:ind w:firstLine="640"/>
        <w:rPr>
          <w:highlight w:val="none"/>
        </w:rPr>
      </w:pPr>
      <w:r>
        <w:rPr>
          <w:highlight w:val="none"/>
        </w:rPr>
        <w:t>202</w:t>
      </w:r>
      <w:r>
        <w:rPr>
          <w:rFonts w:hint="eastAsia"/>
          <w:highlight w:val="none"/>
        </w:rPr>
        <w:t>5</w:t>
      </w:r>
      <w:r>
        <w:rPr>
          <w:highlight w:val="none"/>
        </w:rPr>
        <w:t>年</w:t>
      </w:r>
      <w:r>
        <w:rPr>
          <w:rFonts w:hint="eastAsia"/>
          <w:highlight w:val="none"/>
        </w:rPr>
        <w:t>5</w:t>
      </w:r>
      <w:r>
        <w:rPr>
          <w:highlight w:val="none"/>
        </w:rPr>
        <w:t>月</w:t>
      </w:r>
      <w:r>
        <w:rPr>
          <w:rFonts w:hint="eastAsia"/>
          <w:highlight w:val="none"/>
        </w:rPr>
        <w:t>15</w:t>
      </w:r>
      <w:r>
        <w:rPr>
          <w:highlight w:val="none"/>
        </w:rPr>
        <w:t>日</w:t>
      </w:r>
      <w:r>
        <w:rPr>
          <w:rFonts w:hint="eastAsia"/>
          <w:highlight w:val="none"/>
        </w:rPr>
        <w:t>，团体标准</w:t>
      </w:r>
      <w:r>
        <w:rPr>
          <w:highlight w:val="none"/>
        </w:rPr>
        <w:t>《</w:t>
      </w:r>
      <w:r>
        <w:rPr>
          <w:rFonts w:hint="eastAsia"/>
          <w:highlight w:val="none"/>
        </w:rPr>
        <w:t>团餐食材供应链数智化平台建设规范</w:t>
      </w:r>
      <w:r>
        <w:rPr>
          <w:highlight w:val="none"/>
        </w:rPr>
        <w:t>》</w:t>
      </w:r>
      <w:r>
        <w:rPr>
          <w:rFonts w:hint="eastAsia"/>
          <w:highlight w:val="none"/>
        </w:rPr>
        <w:t>正式立项。</w:t>
      </w:r>
    </w:p>
    <w:bookmarkEnd w:id="3"/>
    <w:p w14:paraId="4A0972D4">
      <w:pPr>
        <w:pStyle w:val="37"/>
        <w:rPr>
          <w:highlight w:val="none"/>
        </w:rPr>
      </w:pPr>
      <w:r>
        <w:rPr>
          <w:rFonts w:hint="eastAsia"/>
          <w:highlight w:val="none"/>
        </w:rPr>
        <w:t>成立标准编制工作组</w:t>
      </w:r>
    </w:p>
    <w:p w14:paraId="6786FA2B">
      <w:pPr>
        <w:ind w:firstLine="640"/>
        <w:rPr>
          <w:highlight w:val="none"/>
        </w:rPr>
      </w:pPr>
      <w:bookmarkStart w:id="4" w:name="_Hlk144064724"/>
      <w:r>
        <w:rPr>
          <w:highlight w:val="none"/>
        </w:rPr>
        <w:t>202</w:t>
      </w:r>
      <w:r>
        <w:rPr>
          <w:rFonts w:hint="eastAsia"/>
          <w:highlight w:val="none"/>
        </w:rPr>
        <w:t>5</w:t>
      </w:r>
      <w:r>
        <w:rPr>
          <w:highlight w:val="none"/>
        </w:rPr>
        <w:t>年</w:t>
      </w:r>
      <w:r>
        <w:rPr>
          <w:rFonts w:hint="eastAsia"/>
          <w:highlight w:val="none"/>
        </w:rPr>
        <w:t>3</w:t>
      </w:r>
      <w:r>
        <w:rPr>
          <w:highlight w:val="none"/>
        </w:rPr>
        <w:t>月，召开组建起草工作组专题会,成立了标准编制工作组，制定了起草编写方案与进度安排，明确任务职责，确定工作技术路线，开展团体标准的编制工作：</w:t>
      </w:r>
    </w:p>
    <w:p w14:paraId="40382494">
      <w:pPr>
        <w:ind w:firstLine="640"/>
        <w:rPr>
          <w:highlight w:val="none"/>
        </w:rPr>
      </w:pPr>
      <w:r>
        <w:rPr>
          <w:rFonts w:hint="eastAsia"/>
          <w:highlight w:val="none"/>
        </w:rPr>
        <w:t>标准编制工作组下设调研组、草案编写组、标准实施组：</w:t>
      </w:r>
    </w:p>
    <w:p w14:paraId="44E01D41">
      <w:pPr>
        <w:pStyle w:val="39"/>
        <w:numPr>
          <w:ilvl w:val="0"/>
          <w:numId w:val="13"/>
        </w:numPr>
        <w:ind w:left="0" w:firstLine="640"/>
        <w:rPr>
          <w:highlight w:val="none"/>
        </w:rPr>
      </w:pPr>
      <w:r>
        <w:rPr>
          <w:highlight w:val="none"/>
        </w:rPr>
        <w:t>调研组负责国内有关</w:t>
      </w:r>
      <w:r>
        <w:rPr>
          <w:rFonts w:hint="eastAsia"/>
          <w:highlight w:val="none"/>
        </w:rPr>
        <w:t>团餐食材供应链数智化平台</w:t>
      </w:r>
      <w:r>
        <w:rPr>
          <w:highlight w:val="none"/>
        </w:rPr>
        <w:t>文献资料的查询、收集和整理工作，</w:t>
      </w:r>
      <w:r>
        <w:rPr>
          <w:rFonts w:hint="eastAsia"/>
          <w:highlight w:val="none"/>
        </w:rPr>
        <w:t>梳理现有研究</w:t>
      </w:r>
      <w:r>
        <w:rPr>
          <w:highlight w:val="none"/>
        </w:rPr>
        <w:t>对</w:t>
      </w:r>
      <w:r>
        <w:rPr>
          <w:rFonts w:hint="eastAsia"/>
          <w:highlight w:val="none"/>
        </w:rPr>
        <w:t>团餐食材供应链数智化平台</w:t>
      </w:r>
      <w:r>
        <w:rPr>
          <w:highlight w:val="none"/>
        </w:rPr>
        <w:t>研究情况和目前</w:t>
      </w:r>
      <w:r>
        <w:rPr>
          <w:rFonts w:hint="eastAsia"/>
          <w:highlight w:val="none"/>
        </w:rPr>
        <w:t>区内实际情况</w:t>
      </w:r>
      <w:r>
        <w:rPr>
          <w:highlight w:val="none"/>
        </w:rPr>
        <w:t>。</w:t>
      </w:r>
    </w:p>
    <w:p w14:paraId="64CF1822">
      <w:pPr>
        <w:pStyle w:val="39"/>
        <w:rPr>
          <w:highlight w:val="none"/>
        </w:rPr>
      </w:pPr>
      <w:r>
        <w:rPr>
          <w:highlight w:val="none"/>
        </w:rPr>
        <w:t>草案编写组负责起草标准草案、征求意见稿和标准编制说明、送审稿</w:t>
      </w:r>
      <w:r>
        <w:rPr>
          <w:rFonts w:hint="eastAsia"/>
          <w:highlight w:val="none"/>
        </w:rPr>
        <w:t>和</w:t>
      </w:r>
      <w:r>
        <w:rPr>
          <w:highlight w:val="none"/>
        </w:rPr>
        <w:t>编制说明的编写工作，包括后期网上征求意见，召开征求意见会、</w:t>
      </w:r>
      <w:r>
        <w:rPr>
          <w:rFonts w:hint="eastAsia"/>
          <w:highlight w:val="none"/>
        </w:rPr>
        <w:t>技术审查会</w:t>
      </w:r>
      <w:r>
        <w:rPr>
          <w:highlight w:val="none"/>
        </w:rPr>
        <w:t>以及标准的不断修改和完善。</w:t>
      </w:r>
    </w:p>
    <w:p w14:paraId="77DDC22A">
      <w:pPr>
        <w:pStyle w:val="39"/>
        <w:rPr>
          <w:highlight w:val="none"/>
        </w:rPr>
      </w:pPr>
      <w:r>
        <w:rPr>
          <w:highlight w:val="none"/>
        </w:rPr>
        <w:t>标准实施组负责团体标准发布后，组织相关</w:t>
      </w:r>
      <w:r>
        <w:rPr>
          <w:rFonts w:hint="eastAsia"/>
          <w:highlight w:val="none"/>
        </w:rPr>
        <w:t>主体</w:t>
      </w:r>
      <w:r>
        <w:rPr>
          <w:highlight w:val="none"/>
        </w:rPr>
        <w:t>开展标准宣贯培训会，对标准进行详细解读，并根据标准对</w:t>
      </w:r>
      <w:r>
        <w:rPr>
          <w:rFonts w:hint="eastAsia"/>
          <w:highlight w:val="none"/>
        </w:rPr>
        <w:t>科技项目管理数据监测与评价</w:t>
      </w:r>
      <w:r>
        <w:rPr>
          <w:highlight w:val="none"/>
        </w:rPr>
        <w:t>进行规范化管理，为切实保障管理有效，并对标准实施情况进行总结分析，不断对标准提出修正意见。</w:t>
      </w:r>
    </w:p>
    <w:bookmarkEnd w:id="4"/>
    <w:p w14:paraId="116EC217">
      <w:pPr>
        <w:pStyle w:val="37"/>
        <w:rPr>
          <w:highlight w:val="none"/>
        </w:rPr>
      </w:pPr>
      <w:bookmarkStart w:id="5" w:name="_Hlk144064797"/>
      <w:bookmarkStart w:id="6" w:name="_Hlk144064788"/>
      <w:r>
        <w:rPr>
          <w:rFonts w:hint="eastAsia"/>
          <w:highlight w:val="none"/>
        </w:rPr>
        <w:t>理论研究阶段</w:t>
      </w:r>
    </w:p>
    <w:bookmarkEnd w:id="5"/>
    <w:p w14:paraId="6118B782">
      <w:pPr>
        <w:ind w:firstLine="640"/>
        <w:rPr>
          <w:highlight w:val="none"/>
        </w:rPr>
      </w:pPr>
      <w:bookmarkStart w:id="7" w:name="_Hlk144064810"/>
      <w:r>
        <w:rPr>
          <w:rFonts w:hint="eastAsia"/>
          <w:highlight w:val="none"/>
        </w:rPr>
        <w:t>标准编制工作组成立后，对团餐食材供应链数智化平台进行了深入的调查研究，收集了区内外相关的材料、相关标准和国外技术资料</w:t>
      </w:r>
      <w:r>
        <w:rPr>
          <w:highlight w:val="none"/>
        </w:rPr>
        <w:t>,主要有：</w:t>
      </w:r>
    </w:p>
    <w:bookmarkEnd w:id="6"/>
    <w:p w14:paraId="0C44D730">
      <w:pPr>
        <w:numPr>
          <w:ilvl w:val="0"/>
          <w:numId w:val="14"/>
        </w:numPr>
        <w:ind w:firstLine="640"/>
        <w:rPr>
          <w:highlight w:val="none"/>
        </w:rPr>
      </w:pPr>
      <w:r>
        <w:rPr>
          <w:rFonts w:hint="eastAsia"/>
          <w:highlight w:val="none"/>
        </w:rPr>
        <w:t>国内政策与标准文献</w:t>
      </w:r>
    </w:p>
    <w:p w14:paraId="48000190">
      <w:pPr>
        <w:ind w:firstLine="640"/>
        <w:rPr>
          <w:highlight w:val="none"/>
        </w:rPr>
      </w:pPr>
      <w:r>
        <w:rPr>
          <w:rFonts w:hint="eastAsia"/>
          <w:highlight w:val="none"/>
        </w:rPr>
        <w:t>全面梳理了中国人民银行等六部委《关于规范供应链金融业务的通知》中关于供应链数字化管理的政策导向。</w:t>
      </w:r>
    </w:p>
    <w:p w14:paraId="4348C2D6">
      <w:pPr>
        <w:ind w:firstLine="640"/>
        <w:rPr>
          <w:highlight w:val="none"/>
        </w:rPr>
      </w:pPr>
      <w:r>
        <w:rPr>
          <w:rFonts w:hint="eastAsia"/>
          <w:highlight w:val="none"/>
        </w:rPr>
        <w:t>重点参考了《信息化和工业化融合管理体系供应链数字化管理指南》（GB/T 23050-2022）国家标准的技术框架。</w:t>
      </w:r>
    </w:p>
    <w:p w14:paraId="59675732">
      <w:pPr>
        <w:ind w:firstLine="640"/>
        <w:rPr>
          <w:highlight w:val="none"/>
        </w:rPr>
      </w:pPr>
      <w:r>
        <w:rPr>
          <w:rFonts w:hint="eastAsia"/>
          <w:highlight w:val="none"/>
        </w:rPr>
        <w:t>研究了《供应链金融服务企业分类与评估指标》（T/CFLP0051-2022）的行业评估体系。</w:t>
      </w:r>
    </w:p>
    <w:p w14:paraId="6C88EFA1">
      <w:pPr>
        <w:ind w:firstLine="640"/>
        <w:rPr>
          <w:highlight w:val="none"/>
        </w:rPr>
      </w:pPr>
    </w:p>
    <w:p w14:paraId="5C5DE4DA">
      <w:pPr>
        <w:ind w:firstLine="0" w:firstLineChars="0"/>
        <w:rPr>
          <w:highlight w:val="none"/>
        </w:rPr>
      </w:pPr>
    </w:p>
    <w:p w14:paraId="192178A8">
      <w:pPr>
        <w:ind w:firstLine="640"/>
        <w:rPr>
          <w:highlight w:val="none"/>
        </w:rPr>
      </w:pPr>
    </w:p>
    <w:p w14:paraId="341E895E">
      <w:pPr>
        <w:numPr>
          <w:ilvl w:val="0"/>
          <w:numId w:val="14"/>
        </w:numPr>
        <w:ind w:firstLine="640"/>
        <w:rPr>
          <w:highlight w:val="none"/>
        </w:rPr>
      </w:pPr>
      <w:r>
        <w:rPr>
          <w:rFonts w:hint="eastAsia"/>
          <w:highlight w:val="none"/>
        </w:rPr>
        <w:t>规范性引用文件</w:t>
      </w:r>
    </w:p>
    <w:p w14:paraId="1288A7CE">
      <w:pPr>
        <w:ind w:firstLine="640"/>
        <w:rPr>
          <w:highlight w:val="none"/>
        </w:rPr>
      </w:pPr>
      <w:r>
        <w:rPr>
          <w:rFonts w:hint="eastAsia"/>
          <w:highlight w:val="none"/>
        </w:rPr>
        <w:t>GB 3165 《食品安全国家标准 餐饮服务通用卫生规范》：本标准规定了团餐食材供应链数智化平台在运营管理中应遵守的食品安全卫生要求，确保食材从集采到配送的全链条符合食品安全标准。</w:t>
      </w:r>
    </w:p>
    <w:p w14:paraId="1F9A3658">
      <w:pPr>
        <w:ind w:firstLine="640"/>
        <w:rPr>
          <w:highlight w:val="none"/>
        </w:rPr>
      </w:pPr>
      <w:r>
        <w:rPr>
          <w:rFonts w:hint="eastAsia"/>
          <w:highlight w:val="none"/>
        </w:rPr>
        <w:t>GB 14881 《食品安全国家标准 食品生产通用卫生规范》：同样适用于平台对食材供应链的管理，特别是在统一集采中心和配送服务管理系统中，对食材的品控检测、仓储管理等环节提出了具体的卫生要求。</w:t>
      </w:r>
    </w:p>
    <w:p w14:paraId="7A23A3C2">
      <w:pPr>
        <w:ind w:firstLine="640"/>
        <w:rPr>
          <w:highlight w:val="none"/>
        </w:rPr>
      </w:pPr>
      <w:r>
        <w:rPr>
          <w:rFonts w:hint="eastAsia"/>
          <w:highlight w:val="none"/>
        </w:rPr>
        <w:t>GB 15629.11《信息技术 系统间远程通信和信息交换 局域网和城域网 特定要求 第11部分：无线局域网媒体访问控制和物理层规范》：该标准规定了平台基础设施层中网络设备的选型、布缆、组网等要求，确保平台网络通信的稳定性和安全性。</w:t>
      </w:r>
    </w:p>
    <w:p w14:paraId="444E48DB">
      <w:pPr>
        <w:ind w:firstLine="640"/>
        <w:rPr>
          <w:highlight w:val="none"/>
        </w:rPr>
      </w:pPr>
      <w:r>
        <w:rPr>
          <w:rFonts w:hint="eastAsia"/>
          <w:highlight w:val="none"/>
        </w:rPr>
        <w:t>GB/T 18233.1  信息技术 用户建筑群通用布缆 第1部分：通用要求</w:t>
      </w:r>
    </w:p>
    <w:p w14:paraId="0A4DCB4F">
      <w:pPr>
        <w:ind w:firstLine="640"/>
        <w:rPr>
          <w:highlight w:val="none"/>
        </w:rPr>
      </w:pPr>
      <w:r>
        <w:rPr>
          <w:rFonts w:hint="eastAsia"/>
          <w:highlight w:val="none"/>
        </w:rPr>
        <w:t>GB/T 20271 《信息安全技术 信息系统通用安全技术要求》：</w:t>
      </w:r>
    </w:p>
    <w:p w14:paraId="657D4FB1">
      <w:pPr>
        <w:ind w:firstLine="640"/>
        <w:rPr>
          <w:highlight w:val="none"/>
        </w:rPr>
      </w:pPr>
      <w:r>
        <w:rPr>
          <w:rFonts w:hint="eastAsia"/>
          <w:highlight w:val="none"/>
        </w:rPr>
        <w:t>本标准为平台的安全可控提供了基本框架，包括网络安全、系统安全和数据安全等方面的要求。</w:t>
      </w:r>
    </w:p>
    <w:p w14:paraId="136729C5">
      <w:pPr>
        <w:ind w:firstLine="640"/>
        <w:rPr>
          <w:highlight w:val="none"/>
        </w:rPr>
      </w:pPr>
      <w:r>
        <w:rPr>
          <w:rFonts w:hint="eastAsia"/>
          <w:highlight w:val="none"/>
        </w:rPr>
        <w:t>GB/T 22239《信息安全技术 网络安全等级保护基本要求》：规定了平台应达到的网络安全等级保护要求，确保平台在面对网络安全威胁时具备足够的防护能力。</w:t>
      </w:r>
    </w:p>
    <w:p w14:paraId="77BA36B1">
      <w:pPr>
        <w:ind w:firstLine="640"/>
        <w:rPr>
          <w:highlight w:val="none"/>
        </w:rPr>
      </w:pPr>
      <w:r>
        <w:rPr>
          <w:rFonts w:hint="eastAsia"/>
          <w:highlight w:val="none"/>
        </w:rPr>
        <w:t>GB/T 35273 《信息安全技术 个人信息安全规范》：在平台对用户数据进行管理时，必须遵守本规范，确保用户数据的隐私保护和账户安全。</w:t>
      </w:r>
    </w:p>
    <w:p w14:paraId="3DD1131F">
      <w:pPr>
        <w:ind w:firstLine="640"/>
        <w:rPr>
          <w:highlight w:val="none"/>
        </w:rPr>
      </w:pPr>
      <w:r>
        <w:rPr>
          <w:rFonts w:hint="eastAsia"/>
          <w:highlight w:val="none"/>
        </w:rPr>
        <w:t>GB/T 25068.1《信息技术 安全技术 网络安全 第1部分：综述和概念》：为平台网络安全的设计和实施提供了基础性的指导，帮助理解和界定网络安全的相关概念和范畴。</w:t>
      </w:r>
    </w:p>
    <w:p w14:paraId="18D7589E">
      <w:pPr>
        <w:ind w:firstLine="640"/>
        <w:rPr>
          <w:highlight w:val="none"/>
        </w:rPr>
      </w:pPr>
      <w:r>
        <w:rPr>
          <w:rFonts w:hint="eastAsia"/>
          <w:highlight w:val="none"/>
        </w:rPr>
        <w:t>GB/T 28448 《信息安全技术 网络安全等级保护测评要求》：详细规定了网络安全等级保护的测评方法和流程，确保平台能够通过相应的等级保护测评，验证其安全性能。</w:t>
      </w:r>
    </w:p>
    <w:p w14:paraId="186F5C66">
      <w:pPr>
        <w:ind w:firstLine="640"/>
        <w:rPr>
          <w:highlight w:val="none"/>
        </w:rPr>
      </w:pPr>
      <w:r>
        <w:rPr>
          <w:rFonts w:hint="eastAsia"/>
          <w:highlight w:val="none"/>
        </w:rPr>
        <w:t>GB/T 28452 《信息安全技术 应用软件系统通用安全技术要求》：针对平台中的应用软件系统，提出了通用的安全技术要求，确保软件系统的安全性、稳定性和可靠性。</w:t>
      </w:r>
    </w:p>
    <w:p w14:paraId="033874F9">
      <w:pPr>
        <w:ind w:firstLine="640"/>
        <w:rPr>
          <w:highlight w:val="none"/>
        </w:rPr>
      </w:pPr>
      <w:r>
        <w:rPr>
          <w:rFonts w:hint="eastAsia"/>
          <w:highlight w:val="none"/>
        </w:rPr>
        <w:t>GB/T 28827.1《信息技术服务 运行维护 第1部分：通用要求》、GB/T 28827.2《信息技术服务 运行维护 第2部分：交付规范》、GB/T 28827.3《信息技术服务 运行维护 第3部分：应急响应规范》：这一系列标准规定了平台运行、交付、维护及应急响应的要求，确保平台能够持续稳定运行。</w:t>
      </w:r>
    </w:p>
    <w:p w14:paraId="27EC259D">
      <w:pPr>
        <w:ind w:firstLine="640"/>
        <w:rPr>
          <w:highlight w:val="none"/>
        </w:rPr>
      </w:pPr>
      <w:r>
        <w:rPr>
          <w:rFonts w:hint="eastAsia"/>
          <w:highlight w:val="none"/>
        </w:rPr>
        <w:t>GB/T 20988《信息安全技术 信息系统灾难恢复规范》：规定了平台在遭遇灾难性事件时，应具备的数据恢复能力，确保平台业务连续性。</w:t>
      </w:r>
    </w:p>
    <w:p w14:paraId="296BB182">
      <w:pPr>
        <w:ind w:firstLine="640"/>
        <w:rPr>
          <w:highlight w:val="none"/>
        </w:rPr>
      </w:pPr>
      <w:r>
        <w:rPr>
          <w:rFonts w:hint="eastAsia"/>
          <w:highlight w:val="none"/>
        </w:rPr>
        <w:t>GB/T 38158《重要产品追溯 追溯体系通用要求》：在平台食材溯源体系的建设中，应遵循本标准的要求，确保食材全链条信息的可追溯性。</w:t>
      </w:r>
    </w:p>
    <w:p w14:paraId="23859EEC">
      <w:pPr>
        <w:ind w:firstLine="640"/>
        <w:rPr>
          <w:highlight w:val="none"/>
        </w:rPr>
      </w:pPr>
      <w:r>
        <w:rPr>
          <w:rFonts w:hint="eastAsia"/>
          <w:highlight w:val="none"/>
        </w:rPr>
        <w:t>SB/T 10856《团餐管理服务规范》：作为团餐行业的指导性标准，本标准为团餐食材供应链数智化平台的建设和管理提供了重要的参考依据，特别是在术语和定义、运营管理要求等方面，确保了平台与团餐行业管理标准的一致性。</w:t>
      </w:r>
    </w:p>
    <w:p w14:paraId="582E7D47">
      <w:pPr>
        <w:ind w:firstLine="640"/>
        <w:rPr>
          <w:highlight w:val="none"/>
        </w:rPr>
      </w:pPr>
      <w:r>
        <w:rPr>
          <w:rFonts w:hint="eastAsia"/>
          <w:highlight w:val="none"/>
        </w:rPr>
        <w:t>工作组系统梳理了以上与团餐食材供应链、数智化平台建设相关的标准和规范，为标准的编制提供了坚实的理论基础和技术支撑。</w:t>
      </w:r>
    </w:p>
    <w:p w14:paraId="0A88F9D1">
      <w:pPr>
        <w:numPr>
          <w:ilvl w:val="0"/>
          <w:numId w:val="14"/>
        </w:numPr>
        <w:ind w:firstLine="640"/>
        <w:rPr>
          <w:highlight w:val="none"/>
        </w:rPr>
      </w:pPr>
      <w:r>
        <w:rPr>
          <w:rFonts w:hint="eastAsia"/>
          <w:highlight w:val="none"/>
        </w:rPr>
        <w:t>行业实践案例</w:t>
      </w:r>
    </w:p>
    <w:p w14:paraId="43E4856B">
      <w:pPr>
        <w:ind w:firstLine="640"/>
        <w:rPr>
          <w:highlight w:val="none"/>
        </w:rPr>
      </w:pPr>
      <w:r>
        <w:rPr>
          <w:rFonts w:hint="eastAsia"/>
          <w:highlight w:val="none"/>
        </w:rPr>
        <w:t>分析了广西交投供应链科技有限公司在团餐食材供应链数智化平台的实践经验。</w:t>
      </w:r>
    </w:p>
    <w:p w14:paraId="30DF2015">
      <w:pPr>
        <w:ind w:firstLine="640"/>
        <w:rPr>
          <w:highlight w:val="none"/>
        </w:rPr>
      </w:pPr>
      <w:r>
        <w:rPr>
          <w:rFonts w:hint="eastAsia"/>
          <w:highlight w:val="none"/>
        </w:rPr>
        <w:t>借鉴了浙江团餐产业大会发布的"数智科技与团餐融合"最新实践成果。</w:t>
      </w:r>
    </w:p>
    <w:p w14:paraId="7ADE80AB">
      <w:pPr>
        <w:ind w:firstLine="640"/>
        <w:rPr>
          <w:highlight w:val="none"/>
        </w:rPr>
      </w:pPr>
      <w:r>
        <w:rPr>
          <w:rFonts w:hint="eastAsia"/>
          <w:highlight w:val="none"/>
        </w:rPr>
        <w:t>研究了建发物流参与编制的《供应链金融监管仓业务规范》业务模型。</w:t>
      </w:r>
    </w:p>
    <w:p w14:paraId="44FB256B">
      <w:pPr>
        <w:ind w:firstLine="640"/>
        <w:rPr>
          <w:highlight w:val="none"/>
        </w:rPr>
      </w:pPr>
      <w:r>
        <w:rPr>
          <w:rFonts w:hint="eastAsia"/>
          <w:highlight w:val="none"/>
        </w:rPr>
        <w:t>对上述资料进行了大量的研究分析、资料查证工作后，确定了标准的制定原则；起草单位和相关人员有着丰富的团餐食材供应链数智化平台管理的经验，为标准的起草奠定了基础。</w:t>
      </w:r>
      <w:r>
        <w:rPr>
          <w:highlight w:val="none"/>
        </w:rPr>
        <w:t xml:space="preserve"> </w:t>
      </w:r>
    </w:p>
    <w:p w14:paraId="71D7591A">
      <w:pPr>
        <w:ind w:firstLine="640"/>
        <w:rPr>
          <w:highlight w:val="none"/>
        </w:rPr>
      </w:pPr>
      <w:r>
        <w:rPr>
          <w:rFonts w:hint="eastAsia"/>
          <w:highlight w:val="none"/>
        </w:rPr>
        <w:t>起草工作组进一步研究了目前国内团餐食材供应链数智化平台管理的现状，梳理了标准分类的可能性，明确了编制要求和指标，为标准的具体起草明确了方向。</w:t>
      </w:r>
    </w:p>
    <w:bookmarkEnd w:id="7"/>
    <w:p w14:paraId="6D82357A">
      <w:pPr>
        <w:pStyle w:val="37"/>
        <w:rPr>
          <w:highlight w:val="none"/>
        </w:rPr>
      </w:pPr>
      <w:r>
        <w:rPr>
          <w:rFonts w:hint="eastAsia"/>
          <w:highlight w:val="none"/>
        </w:rPr>
        <w:t>编制标准草案</w:t>
      </w:r>
    </w:p>
    <w:p w14:paraId="374A6D0D">
      <w:pPr>
        <w:ind w:firstLine="640"/>
        <w:rPr>
          <w:highlight w:val="none"/>
        </w:rPr>
      </w:pPr>
      <w:r>
        <w:rPr>
          <w:rFonts w:hint="eastAsia"/>
          <w:highlight w:val="none"/>
        </w:rPr>
        <w:t>2025年3月，广西计算机用户协会对标准提出单位相关成员进行了 GB/T 1.1-2020 《标准化工作导则 第1部分：标准化文件的结构和起草规则》的讲解。在前期预研工作的基础上，确定了标准的适用范围、相关术语和技术内容，形成了团体标准草案。</w:t>
      </w:r>
    </w:p>
    <w:p w14:paraId="3D465C92">
      <w:pPr>
        <w:pStyle w:val="37"/>
        <w:rPr>
          <w:highlight w:val="none"/>
        </w:rPr>
      </w:pPr>
      <w:r>
        <w:rPr>
          <w:rFonts w:hint="eastAsia"/>
          <w:highlight w:val="none"/>
        </w:rPr>
        <w:t>组织召开标准内部研讨会，编制完成标准讨论稿</w:t>
      </w:r>
    </w:p>
    <w:p w14:paraId="4F5A2681">
      <w:pPr>
        <w:ind w:firstLine="640"/>
        <w:rPr>
          <w:highlight w:val="none"/>
        </w:rPr>
      </w:pPr>
      <w:r>
        <w:rPr>
          <w:highlight w:val="none"/>
        </w:rPr>
        <w:t>202</w:t>
      </w:r>
      <w:r>
        <w:rPr>
          <w:rFonts w:hint="eastAsia"/>
          <w:highlight w:val="none"/>
        </w:rPr>
        <w:t>5</w:t>
      </w:r>
      <w:r>
        <w:rPr>
          <w:highlight w:val="none"/>
        </w:rPr>
        <w:t>年</w:t>
      </w:r>
      <w:r>
        <w:rPr>
          <w:rFonts w:hint="eastAsia"/>
          <w:highlight w:val="none"/>
        </w:rPr>
        <w:t>4-5</w:t>
      </w:r>
      <w:r>
        <w:rPr>
          <w:highlight w:val="none"/>
        </w:rPr>
        <w:t>月</w:t>
      </w:r>
      <w:r>
        <w:rPr>
          <w:rFonts w:hint="eastAsia"/>
          <w:highlight w:val="none"/>
        </w:rPr>
        <w:t>，标准编制工作组就草案初稿</w:t>
      </w:r>
      <w:r>
        <w:rPr>
          <w:highlight w:val="none"/>
        </w:rPr>
        <w:t>开展了多次内部</w:t>
      </w:r>
      <w:r>
        <w:rPr>
          <w:rFonts w:hint="eastAsia"/>
          <w:highlight w:val="none"/>
        </w:rPr>
        <w:t>研</w:t>
      </w:r>
      <w:r>
        <w:rPr>
          <w:highlight w:val="none"/>
        </w:rPr>
        <w:t>论，并</w:t>
      </w:r>
      <w:r>
        <w:rPr>
          <w:rFonts w:hint="eastAsia"/>
          <w:highlight w:val="none"/>
        </w:rPr>
        <w:t>多次</w:t>
      </w:r>
      <w:r>
        <w:rPr>
          <w:highlight w:val="none"/>
        </w:rPr>
        <w:t>对标准进行修改和完善，形成了</w:t>
      </w:r>
      <w:r>
        <w:rPr>
          <w:rFonts w:hint="eastAsia"/>
          <w:highlight w:val="none"/>
        </w:rPr>
        <w:t>标准讨论稿</w:t>
      </w:r>
      <w:r>
        <w:rPr>
          <w:highlight w:val="none"/>
        </w:rPr>
        <w:t>。</w:t>
      </w:r>
    </w:p>
    <w:p w14:paraId="5083F80E">
      <w:pPr>
        <w:pStyle w:val="37"/>
        <w:rPr>
          <w:highlight w:val="none"/>
        </w:rPr>
      </w:pPr>
      <w:r>
        <w:rPr>
          <w:rFonts w:hint="eastAsia"/>
          <w:highlight w:val="none"/>
        </w:rPr>
        <w:t>组织召开标准内部评审会，修订完成征求意见稿</w:t>
      </w:r>
    </w:p>
    <w:p w14:paraId="71D01F14">
      <w:pPr>
        <w:ind w:firstLine="640"/>
        <w:rPr>
          <w:highlight w:val="none"/>
        </w:rPr>
      </w:pPr>
      <w:r>
        <w:rPr>
          <w:highlight w:val="none"/>
        </w:rPr>
        <w:t>202</w:t>
      </w:r>
      <w:r>
        <w:rPr>
          <w:rFonts w:hint="eastAsia"/>
          <w:highlight w:val="none"/>
        </w:rPr>
        <w:t>5</w:t>
      </w:r>
      <w:r>
        <w:rPr>
          <w:highlight w:val="none"/>
        </w:rPr>
        <w:t>年</w:t>
      </w:r>
      <w:r>
        <w:rPr>
          <w:rFonts w:hint="eastAsia"/>
          <w:highlight w:val="none"/>
        </w:rPr>
        <w:t>6</w:t>
      </w:r>
      <w:r>
        <w:rPr>
          <w:highlight w:val="none"/>
        </w:rPr>
        <w:t>月，</w:t>
      </w:r>
      <w:r>
        <w:rPr>
          <w:rFonts w:hint="eastAsia"/>
          <w:highlight w:val="none"/>
        </w:rPr>
        <w:t>标准编制工作组就</w:t>
      </w:r>
      <w:r>
        <w:rPr>
          <w:highlight w:val="none"/>
        </w:rPr>
        <w:t>讨论稿</w:t>
      </w:r>
      <w:r>
        <w:rPr>
          <w:rFonts w:hint="eastAsia"/>
          <w:highlight w:val="none"/>
        </w:rPr>
        <w:t>召开内部评审会议，根据评审意见，</w:t>
      </w:r>
      <w:r>
        <w:rPr>
          <w:highlight w:val="none"/>
        </w:rPr>
        <w:t>完善并形成了标准征求意见稿。</w:t>
      </w:r>
    </w:p>
    <w:p w14:paraId="584534FB">
      <w:pPr>
        <w:pStyle w:val="42"/>
        <w:ind w:firstLine="640"/>
        <w:rPr>
          <w:highlight w:val="none"/>
        </w:rPr>
      </w:pPr>
      <w:r>
        <w:rPr>
          <w:rFonts w:hint="eastAsia"/>
          <w:highlight w:val="none"/>
        </w:rPr>
        <w:t>各项内容的确定和依据说明</w:t>
      </w:r>
    </w:p>
    <w:p w14:paraId="720E5E9E">
      <w:pPr>
        <w:ind w:firstLine="640"/>
        <w:rPr>
          <w:highlight w:val="none"/>
        </w:rPr>
      </w:pPr>
      <w:r>
        <w:rPr>
          <w:rFonts w:hint="eastAsia"/>
          <w:highlight w:val="none"/>
        </w:rPr>
        <w:t>本文件界定了团餐食材供应链数智化平台术语和定义，规定了团餐食材供应链数智化平台的基本要求、总体架构、功能要求、</w:t>
      </w:r>
      <w:r>
        <w:rPr>
          <w:rFonts w:hint="eastAsia"/>
          <w:highlight w:val="none"/>
        </w:rPr>
        <w:t>运营</w:t>
      </w:r>
      <w:r>
        <w:rPr>
          <w:rFonts w:hint="eastAsia"/>
          <w:highlight w:val="none"/>
        </w:rPr>
        <w:t>管理要求、评价改进等内容。</w:t>
      </w:r>
    </w:p>
    <w:p w14:paraId="268A712A">
      <w:pPr>
        <w:pStyle w:val="37"/>
        <w:numPr>
          <w:ilvl w:val="0"/>
          <w:numId w:val="15"/>
        </w:numPr>
        <w:rPr>
          <w:highlight w:val="none"/>
        </w:rPr>
      </w:pPr>
      <w:r>
        <w:rPr>
          <w:rFonts w:hint="eastAsia"/>
          <w:highlight w:val="none"/>
        </w:rPr>
        <w:t>基本要求</w:t>
      </w:r>
    </w:p>
    <w:p w14:paraId="28241E64">
      <w:pPr>
        <w:numPr>
          <w:ilvl w:val="0"/>
          <w:numId w:val="16"/>
        </w:numPr>
        <w:ind w:firstLine="640"/>
        <w:rPr>
          <w:highlight w:val="none"/>
        </w:rPr>
      </w:pPr>
      <w:r>
        <w:rPr>
          <w:rFonts w:hint="eastAsia"/>
          <w:highlight w:val="none"/>
        </w:rPr>
        <w:t>安全可控</w:t>
      </w:r>
    </w:p>
    <w:p w14:paraId="0CAEBCC5">
      <w:pPr>
        <w:ind w:firstLine="640" w:firstLineChars="200"/>
        <w:rPr>
          <w:highlight w:val="none"/>
        </w:rPr>
      </w:pPr>
      <w:r>
        <w:rPr>
          <w:rFonts w:hint="eastAsia"/>
          <w:highlight w:val="none"/>
        </w:rPr>
        <w:t>依据GB/T 20271《信息安全技术 信息系统通用安全技术要求》GB/T 22239《信息安全技术 网络安全等级保护基本要求》、GB/T 28448《信息安全技术 网络安全等级保护测评要求》、GB/T 20988《信息安全技术 信息系统灾难恢复规范》、GB/T 35273《信息安全技术 个人信息安全规范》等标准，结合起草单位的工作实际，确定平台在网络安全、系统安全、数据安全等方面相关要求，确保平台运行的安全可控。</w:t>
      </w:r>
    </w:p>
    <w:p w14:paraId="268C8E43">
      <w:pPr>
        <w:ind w:firstLine="0" w:firstLineChars="0"/>
        <w:jc w:val="center"/>
        <w:rPr>
          <w:highlight w:val="none"/>
        </w:rPr>
      </w:pPr>
      <w:r>
        <w:rPr>
          <w:highlight w:val="none"/>
        </w:rPr>
        <w:drawing>
          <wp:inline distT="0" distB="0" distL="114300" distR="114300">
            <wp:extent cx="5235575" cy="3464560"/>
            <wp:effectExtent l="19050" t="19050" r="22225" b="215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41478" cy="3468098"/>
                    </a:xfrm>
                    <a:prstGeom prst="rect">
                      <a:avLst/>
                    </a:prstGeom>
                    <a:noFill/>
                    <a:ln>
                      <a:solidFill>
                        <a:schemeClr val="tx1"/>
                      </a:solidFill>
                    </a:ln>
                  </pic:spPr>
                </pic:pic>
              </a:graphicData>
            </a:graphic>
          </wp:inline>
        </w:drawing>
      </w:r>
      <w:r>
        <w:rPr>
          <w:highlight w:val="none"/>
        </w:rPr>
        <w:drawing>
          <wp:inline distT="0" distB="0" distL="114300" distR="114300">
            <wp:extent cx="5756910" cy="1278255"/>
            <wp:effectExtent l="9525" t="9525" r="12065" b="203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756910" cy="1278255"/>
                    </a:xfrm>
                    <a:prstGeom prst="rect">
                      <a:avLst/>
                    </a:prstGeom>
                    <a:noFill/>
                    <a:ln>
                      <a:solidFill>
                        <a:schemeClr val="tx1"/>
                      </a:solidFill>
                    </a:ln>
                  </pic:spPr>
                </pic:pic>
              </a:graphicData>
            </a:graphic>
          </wp:inline>
        </w:drawing>
      </w:r>
      <w:r>
        <w:rPr>
          <w:highlight w:val="none"/>
        </w:rPr>
        <w:drawing>
          <wp:inline distT="0" distB="0" distL="114300" distR="114300">
            <wp:extent cx="5754370" cy="1202690"/>
            <wp:effectExtent l="9525" t="9525" r="14605" b="196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754370" cy="1202690"/>
                    </a:xfrm>
                    <a:prstGeom prst="rect">
                      <a:avLst/>
                    </a:prstGeom>
                    <a:noFill/>
                    <a:ln>
                      <a:solidFill>
                        <a:schemeClr val="tx1"/>
                      </a:solidFill>
                    </a:ln>
                  </pic:spPr>
                </pic:pic>
              </a:graphicData>
            </a:graphic>
          </wp:inline>
        </w:drawing>
      </w:r>
    </w:p>
    <w:p w14:paraId="793A58C2">
      <w:pPr>
        <w:ind w:firstLine="0" w:firstLineChars="0"/>
        <w:rPr>
          <w:highlight w:val="none"/>
        </w:rPr>
      </w:pPr>
      <w:r>
        <w:rPr>
          <w:highlight w:val="none"/>
        </w:rPr>
        <w:drawing>
          <wp:inline distT="0" distB="0" distL="114300" distR="114300">
            <wp:extent cx="5753100" cy="2760345"/>
            <wp:effectExtent l="9525" t="9525" r="15875" b="1143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753100" cy="2760345"/>
                    </a:xfrm>
                    <a:prstGeom prst="rect">
                      <a:avLst/>
                    </a:prstGeom>
                    <a:noFill/>
                    <a:ln>
                      <a:solidFill>
                        <a:schemeClr val="tx1"/>
                      </a:solidFill>
                    </a:ln>
                  </pic:spPr>
                </pic:pic>
              </a:graphicData>
            </a:graphic>
          </wp:inline>
        </w:drawing>
      </w:r>
    </w:p>
    <w:p w14:paraId="4E6C0210">
      <w:pPr>
        <w:ind w:firstLine="0" w:firstLineChars="0"/>
        <w:rPr>
          <w:highlight w:val="none"/>
        </w:rPr>
      </w:pPr>
      <w:r>
        <w:rPr>
          <w:highlight w:val="none"/>
        </w:rPr>
        <w:drawing>
          <wp:inline distT="0" distB="0" distL="114300" distR="114300">
            <wp:extent cx="5752465" cy="1243330"/>
            <wp:effectExtent l="9525" t="9525" r="16510" b="171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752465" cy="1243330"/>
                    </a:xfrm>
                    <a:prstGeom prst="rect">
                      <a:avLst/>
                    </a:prstGeom>
                    <a:noFill/>
                    <a:ln>
                      <a:solidFill>
                        <a:schemeClr val="tx1"/>
                      </a:solidFill>
                    </a:ln>
                  </pic:spPr>
                </pic:pic>
              </a:graphicData>
            </a:graphic>
          </wp:inline>
        </w:drawing>
      </w:r>
    </w:p>
    <w:p w14:paraId="2097F5C2">
      <w:pPr>
        <w:ind w:firstLine="0" w:firstLineChars="0"/>
        <w:rPr>
          <w:highlight w:val="none"/>
        </w:rPr>
      </w:pPr>
      <w:r>
        <w:rPr>
          <w:highlight w:val="none"/>
        </w:rPr>
        <w:drawing>
          <wp:inline distT="0" distB="0" distL="114300" distR="114300">
            <wp:extent cx="5755640" cy="3481070"/>
            <wp:effectExtent l="9525" t="9525" r="13335" b="1460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755640" cy="3481070"/>
                    </a:xfrm>
                    <a:prstGeom prst="rect">
                      <a:avLst/>
                    </a:prstGeom>
                    <a:noFill/>
                    <a:ln>
                      <a:solidFill>
                        <a:schemeClr val="tx1"/>
                      </a:solidFill>
                    </a:ln>
                  </pic:spPr>
                </pic:pic>
              </a:graphicData>
            </a:graphic>
          </wp:inline>
        </w:drawing>
      </w:r>
    </w:p>
    <w:p w14:paraId="00BBD412">
      <w:pPr>
        <w:ind w:firstLine="0" w:firstLineChars="0"/>
        <w:rPr>
          <w:highlight w:val="none"/>
        </w:rPr>
      </w:pPr>
    </w:p>
    <w:p w14:paraId="40C359AE">
      <w:pPr>
        <w:numPr>
          <w:ilvl w:val="0"/>
          <w:numId w:val="16"/>
        </w:numPr>
        <w:ind w:firstLine="640"/>
        <w:rPr>
          <w:highlight w:val="none"/>
        </w:rPr>
      </w:pPr>
      <w:r>
        <w:rPr>
          <w:rFonts w:hint="eastAsia"/>
          <w:highlight w:val="none"/>
        </w:rPr>
        <w:t>行业适配</w:t>
      </w:r>
    </w:p>
    <w:p w14:paraId="21544952">
      <w:pPr>
        <w:ind w:firstLine="640"/>
        <w:rPr>
          <w:highlight w:val="none"/>
        </w:rPr>
      </w:pPr>
      <w:r>
        <w:rPr>
          <w:rFonts w:hint="eastAsia"/>
          <w:highlight w:val="none"/>
        </w:rPr>
        <w:t>依据团餐行业的业务特点和管理需求，结合起草单位的工作实践，确定平台能服务和补充团餐食材供应链的业务，实现分类标准化管理，并针对不同地域的不同学校提供差异化服务。</w:t>
      </w:r>
    </w:p>
    <w:p w14:paraId="398D9D51">
      <w:pPr>
        <w:numPr>
          <w:ilvl w:val="0"/>
          <w:numId w:val="16"/>
        </w:numPr>
        <w:ind w:firstLine="640"/>
        <w:rPr>
          <w:highlight w:val="none"/>
        </w:rPr>
      </w:pPr>
      <w:r>
        <w:rPr>
          <w:rFonts w:hint="eastAsia"/>
          <w:highlight w:val="none"/>
        </w:rPr>
        <w:t>兼容开放</w:t>
      </w:r>
    </w:p>
    <w:p w14:paraId="08D8EDB1">
      <w:pPr>
        <w:ind w:firstLine="640"/>
        <w:rPr>
          <w:highlight w:val="none"/>
        </w:rPr>
      </w:pPr>
      <w:r>
        <w:rPr>
          <w:rFonts w:hint="eastAsia"/>
          <w:highlight w:val="none"/>
        </w:rPr>
        <w:t>依据主流技术应用和行业发展趋势，确定平台支持主流API及定制化接口协议，适配ERP/财务等第三方系统数据互通，采用微服务架构，支持智能硬件及多终端数据采集接入的要求，确保平台的兼容性和开放性。</w:t>
      </w:r>
    </w:p>
    <w:p w14:paraId="05235ACC">
      <w:pPr>
        <w:pStyle w:val="37"/>
        <w:numPr>
          <w:ilvl w:val="0"/>
          <w:numId w:val="15"/>
        </w:numPr>
        <w:rPr>
          <w:highlight w:val="none"/>
        </w:rPr>
      </w:pPr>
      <w:r>
        <w:rPr>
          <w:rFonts w:hint="eastAsia"/>
          <w:highlight w:val="none"/>
        </w:rPr>
        <w:t>总体架构</w:t>
      </w:r>
    </w:p>
    <w:p w14:paraId="385F0021">
      <w:pPr>
        <w:ind w:firstLine="640"/>
        <w:rPr>
          <w:highlight w:val="none"/>
        </w:rPr>
      </w:pPr>
      <w:r>
        <w:rPr>
          <w:rFonts w:hint="eastAsia"/>
          <w:highlight w:val="none"/>
        </w:rPr>
        <w:t>总体架构的确定参考了信息系统架构设计的通用原则，结合团餐食材供应链数智化平台的特点，自下而上划分为基础设施层、业务数据层、基础系统层、场景应用层、应用展示层。每层的功能和要求均依据相关标准和行业实践进行细化。</w:t>
      </w:r>
    </w:p>
    <w:p w14:paraId="2F94B86C">
      <w:pPr>
        <w:ind w:firstLine="640"/>
        <w:rPr>
          <w:highlight w:val="none"/>
        </w:rPr>
      </w:pPr>
      <w:r>
        <w:rPr>
          <w:rFonts w:hint="eastAsia"/>
          <w:highlight w:val="none"/>
        </w:rPr>
        <w:t>基础设施层参照GB/T 18233.1、GB 15629.11、GB/T 25068.1、GB/T 28452的内容确定技术要求。</w:t>
      </w:r>
    </w:p>
    <w:p w14:paraId="7D1F5156">
      <w:pPr>
        <w:ind w:firstLine="640"/>
        <w:rPr>
          <w:highlight w:val="none"/>
        </w:rPr>
      </w:pPr>
      <w:r>
        <w:rPr>
          <w:rFonts w:hint="eastAsia"/>
          <w:highlight w:val="none"/>
        </w:rPr>
        <w:t>业务数据层、基础系统层、场景应用层、应用展示层，根据团餐食材供应链数智化平台的功能需要，以及起草单位的工作实践，确定技术内容。</w:t>
      </w:r>
    </w:p>
    <w:p w14:paraId="7773D72E">
      <w:pPr>
        <w:ind w:firstLine="640"/>
        <w:rPr>
          <w:highlight w:val="none"/>
        </w:rPr>
      </w:pPr>
      <w:r>
        <w:rPr>
          <w:rFonts w:hint="eastAsia"/>
          <w:highlight w:val="none"/>
        </w:rPr>
        <w:t>安全运行保障参照GB/T 28827.1、GB/T 28827.2、GB/T 28827.3的要求而确定。</w:t>
      </w:r>
    </w:p>
    <w:p w14:paraId="3212F8A5">
      <w:pPr>
        <w:pStyle w:val="37"/>
        <w:rPr>
          <w:highlight w:val="none"/>
        </w:rPr>
      </w:pPr>
      <w:r>
        <w:rPr>
          <w:rFonts w:hint="eastAsia"/>
          <w:highlight w:val="none"/>
        </w:rPr>
        <w:t>功能要求</w:t>
      </w:r>
    </w:p>
    <w:p w14:paraId="1CD9B260">
      <w:pPr>
        <w:ind w:firstLine="640"/>
        <w:rPr>
          <w:highlight w:val="none"/>
        </w:rPr>
      </w:pPr>
      <w:r>
        <w:rPr>
          <w:rFonts w:hint="eastAsia"/>
          <w:highlight w:val="none"/>
        </w:rPr>
        <w:t>1. 基础系统层</w:t>
      </w:r>
    </w:p>
    <w:p w14:paraId="580884BA">
      <w:pPr>
        <w:ind w:firstLine="640"/>
        <w:rPr>
          <w:highlight w:val="none"/>
        </w:rPr>
      </w:pPr>
      <w:r>
        <w:rPr>
          <w:rFonts w:hint="eastAsia"/>
          <w:highlight w:val="none"/>
        </w:rPr>
        <w:t>‌以团餐食材供应链数智化平台基础功能需求为出发点，以国标安全框架（GB/T 20271/22239）为底线，叠加行业最佳实践（如智能算法、区块链），并结合起草单位的工作实践和现有平台的操作规范，确定了基础系统层身份认证、用户管理</w:t>
      </w:r>
      <w:r>
        <w:rPr>
          <w:rFonts w:ascii="Courier New" w:hAnsi="Courier New" w:cs="Courier New"/>
          <w:highlight w:val="none"/>
        </w:rPr>
        <w:t>‌</w:t>
      </w:r>
      <w:r>
        <w:rPr>
          <w:rFonts w:hint="eastAsia" w:ascii="Courier New" w:hAnsi="Courier New" w:cs="Courier New"/>
          <w:highlight w:val="none"/>
        </w:rPr>
        <w:t>、</w:t>
      </w:r>
      <w:r>
        <w:rPr>
          <w:rFonts w:hint="eastAsia"/>
          <w:highlight w:val="none"/>
        </w:rPr>
        <w:t>权限管理、日志管理</w:t>
      </w:r>
      <w:r>
        <w:rPr>
          <w:rFonts w:ascii="Courier New" w:hAnsi="Courier New" w:cs="Courier New"/>
          <w:highlight w:val="none"/>
        </w:rPr>
        <w:t>‌</w:t>
      </w:r>
      <w:r>
        <w:rPr>
          <w:rFonts w:hint="eastAsia" w:ascii="Courier New" w:hAnsi="Courier New" w:cs="Courier New"/>
          <w:highlight w:val="none"/>
        </w:rPr>
        <w:t>等方面的内容。</w:t>
      </w:r>
    </w:p>
    <w:p w14:paraId="5A1DDCED">
      <w:pPr>
        <w:ind w:firstLine="640"/>
        <w:rPr>
          <w:highlight w:val="none"/>
        </w:rPr>
      </w:pPr>
      <w:r>
        <w:rPr>
          <w:rFonts w:hint="eastAsia"/>
          <w:highlight w:val="none"/>
        </w:rPr>
        <w:t>2. 场景应用层</w:t>
      </w:r>
    </w:p>
    <w:p w14:paraId="0BDC0444">
      <w:pPr>
        <w:ind w:firstLine="640"/>
        <w:rPr>
          <w:highlight w:val="none"/>
        </w:rPr>
      </w:pPr>
      <w:r>
        <w:rPr>
          <w:rFonts w:hint="eastAsia"/>
          <w:highlight w:val="none"/>
        </w:rPr>
        <w:t>‌食材供应链大数据中心、统一集采中心、配送服务管理系统是团餐食材供应链数智化平台核心3个子系统：</w:t>
      </w:r>
    </w:p>
    <w:p w14:paraId="0EDD25DF">
      <w:pPr>
        <w:ind w:firstLine="640"/>
        <w:rPr>
          <w:highlight w:val="none"/>
        </w:rPr>
      </w:pPr>
      <w:r>
        <w:rPr>
          <w:rFonts w:hint="eastAsia"/>
          <w:highlight w:val="none"/>
        </w:rPr>
        <w:t>食材供应链大数据中心：具体包括销售管理、价格发布管理、配送商管理、智能经营分析、需求汇总、统计报表、用户管理和商品管理等功能。这一子系统主要是基于食材配送管理系统对配送商和供应商的供需数据进行汇总、分析和智能匹配。</w:t>
      </w:r>
    </w:p>
    <w:p w14:paraId="33A5E3BD">
      <w:pPr>
        <w:ind w:firstLine="640"/>
        <w:rPr>
          <w:highlight w:val="none"/>
        </w:rPr>
      </w:pPr>
      <w:r>
        <w:rPr>
          <w:rFonts w:hint="eastAsia"/>
          <w:highlight w:val="none"/>
        </w:rPr>
        <w:t>统一集采中心：是一个集中化、专业化的采购管理模块，负责整合和优化团餐企业所需的各类食材和物资的采购流程。具体包括供应商管理、统一采购管理、供应商网页端/APP小程序、线上遴选招投标、产地信息管理、食材溯源等功能模块。</w:t>
      </w:r>
    </w:p>
    <w:p w14:paraId="423B050E">
      <w:pPr>
        <w:ind w:firstLine="640"/>
        <w:rPr>
          <w:rFonts w:hint="eastAsia"/>
          <w:highlight w:val="none"/>
        </w:rPr>
      </w:pPr>
      <w:r>
        <w:rPr>
          <w:rFonts w:hint="eastAsia"/>
          <w:highlight w:val="none"/>
        </w:rPr>
        <w:t>全流程配送服务管理平台。是一个将食品安全监管贯穿食材配送全业务流程的配送服务管理平台，是项目实现全过程安全监管、供应链金融和服务团餐食材配送企业等的重要工具。其主要特点是借助云计算、物联网、大数据等多种将食品安全监管贯穿从供应商到交付过程全过程。</w:t>
      </w:r>
    </w:p>
    <w:p w14:paraId="158C3F2C">
      <w:pPr>
        <w:ind w:firstLine="640"/>
        <w:rPr>
          <w:highlight w:val="none"/>
        </w:rPr>
      </w:pPr>
      <w:r>
        <w:rPr>
          <w:rFonts w:hint="eastAsia"/>
          <w:highlight w:val="none"/>
        </w:rPr>
        <w:t>‌起草单位根据这3个子系统的功能要求，结合工作实践和行业最佳体验确定了他们的技术要求。</w:t>
      </w:r>
    </w:p>
    <w:p w14:paraId="40603069">
      <w:pPr>
        <w:pStyle w:val="37"/>
        <w:rPr>
          <w:highlight w:val="none"/>
        </w:rPr>
      </w:pPr>
      <w:r>
        <w:rPr>
          <w:rFonts w:hint="eastAsia"/>
          <w:highlight w:val="none"/>
        </w:rPr>
        <w:t>运营</w:t>
      </w:r>
      <w:r>
        <w:rPr>
          <w:rFonts w:hint="eastAsia"/>
          <w:highlight w:val="none"/>
        </w:rPr>
        <w:t>管理要求</w:t>
      </w:r>
    </w:p>
    <w:p w14:paraId="0ED6E6AF">
      <w:pPr>
        <w:ind w:firstLine="640"/>
        <w:rPr>
          <w:highlight w:val="none"/>
        </w:rPr>
      </w:pPr>
      <w:r>
        <w:rPr>
          <w:rFonts w:hint="eastAsia"/>
          <w:highlight w:val="none"/>
        </w:rPr>
        <w:t>依据GB 14881、GB 3165、SB/T 10856等标准，对平台在食品安全、卫生规范等方面提出相关要求。</w:t>
      </w:r>
    </w:p>
    <w:p w14:paraId="56333E8E">
      <w:pPr>
        <w:ind w:firstLine="640"/>
        <w:rPr>
          <w:rFonts w:hint="eastAsia"/>
          <w:highlight w:val="none"/>
        </w:rPr>
      </w:pPr>
      <w:r>
        <w:rPr>
          <w:rFonts w:hint="eastAsia"/>
          <w:highlight w:val="none"/>
        </w:rPr>
        <w:t>并紧扣食品安全（GB 14881/3165）、IT服务连续性（GB/T 28827系列）、系统安全（GB/T 20271、GB/T 35273），对制度、人员、系统安全、数据安全、系统维护等方面提出更详细的内容。</w:t>
      </w:r>
    </w:p>
    <w:p w14:paraId="3D74795F">
      <w:pPr>
        <w:pStyle w:val="37"/>
        <w:rPr>
          <w:highlight w:val="none"/>
        </w:rPr>
      </w:pPr>
      <w:r>
        <w:rPr>
          <w:rFonts w:hint="eastAsia"/>
          <w:highlight w:val="none"/>
        </w:rPr>
        <w:t>评价改进</w:t>
      </w:r>
    </w:p>
    <w:p w14:paraId="38611697">
      <w:pPr>
        <w:ind w:firstLine="640"/>
        <w:rPr>
          <w:highlight w:val="none"/>
        </w:rPr>
      </w:pPr>
      <w:r>
        <w:rPr>
          <w:rFonts w:hint="eastAsia"/>
          <w:highlight w:val="none"/>
        </w:rPr>
        <w:t>1. 评价要求</w:t>
      </w:r>
    </w:p>
    <w:p w14:paraId="7FAC79F7">
      <w:pPr>
        <w:ind w:firstLine="640"/>
        <w:rPr>
          <w:highlight w:val="none"/>
        </w:rPr>
      </w:pPr>
      <w:r>
        <w:rPr>
          <w:rFonts w:hint="eastAsia"/>
          <w:highlight w:val="none"/>
        </w:rPr>
        <w:t>依据团餐行业数智化转型的目标和要求，对建设内容、运行流程的合理性和实用性、运行管理满意度等进行评价，确保平台的有效运行和持续改进。</w:t>
      </w:r>
    </w:p>
    <w:p w14:paraId="16CFF424">
      <w:pPr>
        <w:ind w:firstLine="640"/>
        <w:rPr>
          <w:highlight w:val="none"/>
        </w:rPr>
      </w:pPr>
      <w:r>
        <w:rPr>
          <w:rFonts w:hint="eastAsia"/>
          <w:highlight w:val="none"/>
        </w:rPr>
        <w:t>2. 改进要求</w:t>
      </w:r>
    </w:p>
    <w:p w14:paraId="42D5C2D9">
      <w:pPr>
        <w:ind w:firstLine="640"/>
        <w:rPr>
          <w:highlight w:val="none"/>
        </w:rPr>
      </w:pPr>
      <w:r>
        <w:rPr>
          <w:rFonts w:hint="eastAsia"/>
          <w:highlight w:val="none"/>
        </w:rPr>
        <w:t>根据评价结果和反馈意见，提出改进意见和建议，制定改进措施并及时整改，实现平台的持续优化和升级。</w:t>
      </w:r>
    </w:p>
    <w:p w14:paraId="1DA0DA66">
      <w:pPr>
        <w:pStyle w:val="42"/>
        <w:ind w:firstLine="640"/>
        <w:rPr>
          <w:highlight w:val="none"/>
        </w:rPr>
      </w:pPr>
      <w:r>
        <w:rPr>
          <w:rFonts w:hint="eastAsia"/>
          <w:highlight w:val="none"/>
        </w:rPr>
        <w:t>与国外、国内同类标准水平的比较</w:t>
      </w:r>
    </w:p>
    <w:p w14:paraId="718E0FEC">
      <w:pPr>
        <w:pStyle w:val="9"/>
        <w:rPr>
          <w:highlight w:val="none"/>
        </w:rPr>
      </w:pPr>
      <w:r>
        <w:rPr>
          <w:rFonts w:hint="eastAsia"/>
          <w:highlight w:val="none"/>
        </w:rPr>
        <w:t>经查，截止目前，与团餐食材供应链企业、供应链数智化平台、数智化平台建设、数字化平台建设有关的国家标准、地方标准、团体标准有：</w:t>
      </w:r>
    </w:p>
    <w:p w14:paraId="31E0CC44">
      <w:pPr>
        <w:pStyle w:val="9"/>
        <w:rPr>
          <w:highlight w:val="none"/>
        </w:rPr>
      </w:pPr>
      <w:r>
        <w:rPr>
          <w:rFonts w:hint="eastAsia"/>
          <w:highlight w:val="none"/>
        </w:rPr>
        <w:t>《GB/T 23031.2-2023  工业互联网平台 应用实施指南 第2部分：数字化管理》主要针对工业互联网平台在数字化管理方面，本标准主要针对第三产业（服务业）</w:t>
      </w:r>
    </w:p>
    <w:p w14:paraId="15FF79AD">
      <w:pPr>
        <w:pStyle w:val="9"/>
        <w:rPr>
          <w:highlight w:val="none"/>
        </w:rPr>
      </w:pPr>
      <w:r>
        <w:rPr>
          <w:rFonts w:hint="eastAsia"/>
          <w:highlight w:val="none"/>
        </w:rPr>
        <w:t>《DB 3306/T 046-2022  城镇燃气管理平台数字化建设规范》主要针对城镇燃气管理方面，本标准主要针对团餐食材服务仿麦呢。</w:t>
      </w:r>
    </w:p>
    <w:p w14:paraId="3EE72D2F">
      <w:pPr>
        <w:pStyle w:val="9"/>
        <w:rPr>
          <w:highlight w:val="none"/>
        </w:rPr>
      </w:pPr>
      <w:r>
        <w:rPr>
          <w:rFonts w:hint="eastAsia"/>
          <w:highlight w:val="none"/>
        </w:rPr>
        <w:t>《DB 3501/T 005-2022  工业（产业）园区数字化公共服务平台建设导则》《DB 14/T 2936—2023  能源监管服务数字化平台通用要求》、《DB 3205/T 1112-2024  基层市场监管 数字化监管平台建设指南》《T/CASMES 171-2023基层医疗废物数智化体系建设与管理规范》等虽然都是数字化平台、服务、管理方面，然而都不是准对团餐食材方面的标准。</w:t>
      </w:r>
    </w:p>
    <w:p w14:paraId="45BD2B68">
      <w:pPr>
        <w:ind w:firstLine="640"/>
        <w:rPr>
          <w:highlight w:val="none"/>
        </w:rPr>
      </w:pPr>
      <w:r>
        <w:rPr>
          <w:rFonts w:hint="eastAsia"/>
          <w:highlight w:val="none"/>
        </w:rPr>
        <w:t>无相关行业标准。</w:t>
      </w:r>
    </w:p>
    <w:p w14:paraId="05370BA1">
      <w:pPr>
        <w:ind w:firstLine="640"/>
        <w:rPr>
          <w:highlight w:val="none"/>
        </w:rPr>
      </w:pPr>
      <w:r>
        <w:rPr>
          <w:rFonts w:hint="eastAsia"/>
          <w:highlight w:val="none"/>
        </w:rPr>
        <w:t>国内外尚无针对团餐食材供应链数智化平台建设规范的标准。</w:t>
      </w:r>
    </w:p>
    <w:p w14:paraId="2BC5C09C">
      <w:pPr>
        <w:pStyle w:val="42"/>
        <w:ind w:firstLine="640"/>
        <w:rPr>
          <w:highlight w:val="none"/>
        </w:rPr>
      </w:pPr>
      <w:r>
        <w:rPr>
          <w:rFonts w:hint="eastAsia"/>
          <w:highlight w:val="none"/>
        </w:rPr>
        <w:t>与有关现行法律法规、标准的关系</w:t>
      </w:r>
    </w:p>
    <w:p w14:paraId="5C7ADF16">
      <w:pPr>
        <w:pStyle w:val="9"/>
        <w:rPr>
          <w:highlight w:val="none"/>
        </w:rPr>
      </w:pPr>
      <w:r>
        <w:rPr>
          <w:rFonts w:hint="eastAsia"/>
          <w:highlight w:val="none"/>
        </w:rPr>
        <w:t>本标准在国家标准GB 3165《食品安全国家标准 餐饮服务通用卫生规范》、GB 14881《食品安全国家标准 食品生产通用卫生规范》、GB 15629.11《信息技术 系统间远程通信和信息交换 局域网和城域网 特定要求 第11部分：无线局域网媒体访问控制和物理层规范》等的基础上，结合《广西强商贸扩内需促消费行动方案（2022—2025年）》、SB/T 10856《团餐管理服务规范》等相关政策及行业规定，提出了团餐食材供应链数智化平台建设规范。本标准符合我国现行法律法规的相关规定，与其他相关标准无矛盾和不协调的情况。</w:t>
      </w:r>
    </w:p>
    <w:p w14:paraId="70CD3498">
      <w:pPr>
        <w:pStyle w:val="42"/>
        <w:ind w:firstLine="640"/>
        <w:rPr>
          <w:highlight w:val="none"/>
        </w:rPr>
      </w:pPr>
      <w:r>
        <w:rPr>
          <w:rFonts w:hint="eastAsia"/>
          <w:highlight w:val="none"/>
        </w:rPr>
        <w:t>涉及专利情况</w:t>
      </w:r>
    </w:p>
    <w:p w14:paraId="0B6790C0">
      <w:pPr>
        <w:pStyle w:val="9"/>
        <w:rPr>
          <w:highlight w:val="none"/>
        </w:rPr>
      </w:pPr>
      <w:r>
        <w:rPr>
          <w:rFonts w:hint="eastAsia"/>
          <w:highlight w:val="none"/>
        </w:rPr>
        <w:t>无</w:t>
      </w:r>
    </w:p>
    <w:p w14:paraId="1F28CE06">
      <w:pPr>
        <w:pStyle w:val="42"/>
        <w:ind w:firstLine="640"/>
        <w:rPr>
          <w:highlight w:val="none"/>
        </w:rPr>
      </w:pPr>
      <w:r>
        <w:rPr>
          <w:rFonts w:hint="eastAsia"/>
          <w:highlight w:val="none"/>
        </w:rPr>
        <w:t>其他应予说明的事项</w:t>
      </w:r>
    </w:p>
    <w:p w14:paraId="7B747F76">
      <w:pPr>
        <w:pStyle w:val="9"/>
        <w:rPr>
          <w:sz w:val="28"/>
          <w:szCs w:val="28"/>
          <w:highlight w:val="none"/>
        </w:rPr>
      </w:pPr>
      <w:r>
        <w:rPr>
          <w:rFonts w:hint="eastAsia"/>
          <w:highlight w:val="none"/>
        </w:rPr>
        <w:t>无</w:t>
      </w:r>
    </w:p>
    <w:sectPr>
      <w:headerReference r:id="rId7" w:type="first"/>
      <w:footerReference r:id="rId10" w:type="first"/>
      <w:headerReference r:id="rId5" w:type="default"/>
      <w:footerReference r:id="rId8" w:type="default"/>
      <w:headerReference r:id="rId6" w:type="even"/>
      <w:footerReference r:id="rId9" w:type="even"/>
      <w:pgSz w:w="11906" w:h="16839"/>
      <w:pgMar w:top="850" w:right="1417" w:bottom="850" w:left="1417" w:header="0" w:footer="1247" w:gutter="0"/>
      <w:cols w:space="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A4A9">
    <w:pPr>
      <w:pStyle w:val="6"/>
      <w:ind w:firstLine="360"/>
      <w:jc w:val="center"/>
    </w:pPr>
    <w:r>
      <w:rPr>
        <w:rFonts w:hint="eastAsia"/>
      </w:rPr>
      <w:t>—</w:t>
    </w:r>
    <w:sdt>
      <w:sdtPr>
        <w:id w:val="2029752364"/>
      </w:sdtPr>
      <w:sdtContent>
        <w:r>
          <w:rPr>
            <w:sz w:val="21"/>
            <w:szCs w:val="32"/>
          </w:rPr>
          <w:fldChar w:fldCharType="begin"/>
        </w:r>
        <w:r>
          <w:rPr>
            <w:sz w:val="21"/>
            <w:szCs w:val="32"/>
          </w:rPr>
          <w:instrText xml:space="preserve">PAGE   \* MERGEFORMAT</w:instrText>
        </w:r>
        <w:r>
          <w:rPr>
            <w:sz w:val="21"/>
            <w:szCs w:val="32"/>
          </w:rPr>
          <w:fldChar w:fldCharType="separate"/>
        </w:r>
        <w:r>
          <w:rPr>
            <w:sz w:val="21"/>
            <w:szCs w:val="32"/>
          </w:rPr>
          <w:t>5</w:t>
        </w:r>
        <w:r>
          <w:rPr>
            <w:sz w:val="21"/>
            <w:szCs w:val="32"/>
          </w:rPr>
          <w:fldChar w:fldCharType="end"/>
        </w:r>
      </w:sdtContent>
    </w:sdt>
    <w:r>
      <w:rPr>
        <w:rFonts w:hint="eastAsia"/>
      </w:rPr>
      <w:t>—</w:t>
    </w:r>
  </w:p>
  <w:p w14:paraId="0AA89F5F">
    <w:pPr>
      <w:spacing w:line="14" w:lineRule="auto"/>
      <w:ind w:firstLine="40"/>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6BD5">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D08F9">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0F3E">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0806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E9A67">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D6C2D"/>
    <w:multiLevelType w:val="singleLevel"/>
    <w:tmpl w:val="C76D6C2D"/>
    <w:lvl w:ilvl="0" w:tentative="0">
      <w:start w:val="1"/>
      <w:numFmt w:val="decimal"/>
      <w:suff w:val="nothing"/>
      <w:lvlText w:val="%1．"/>
      <w:lvlJc w:val="left"/>
      <w:pPr>
        <w:ind w:left="0" w:firstLine="400"/>
      </w:pPr>
      <w:rPr>
        <w:rFonts w:hint="default"/>
      </w:rPr>
    </w:lvl>
  </w:abstractNum>
  <w:abstractNum w:abstractNumId="1">
    <w:nsid w:val="F082ED0E"/>
    <w:multiLevelType w:val="singleLevel"/>
    <w:tmpl w:val="F082ED0E"/>
    <w:lvl w:ilvl="0" w:tentative="0">
      <w:start w:val="1"/>
      <w:numFmt w:val="decimal"/>
      <w:suff w:val="nothing"/>
      <w:lvlText w:val="%1．"/>
      <w:lvlJc w:val="left"/>
      <w:pPr>
        <w:ind w:left="0" w:firstLine="400"/>
      </w:pPr>
      <w:rPr>
        <w:rFonts w:hint="default"/>
      </w:rPr>
    </w:lvl>
  </w:abstractNum>
  <w:abstractNum w:abstractNumId="2">
    <w:nsid w:val="119912A3"/>
    <w:multiLevelType w:val="singleLevel"/>
    <w:tmpl w:val="119912A3"/>
    <w:lvl w:ilvl="0" w:tentative="0">
      <w:start w:val="1"/>
      <w:numFmt w:val="decimal"/>
      <w:lvlText w:val="%1."/>
      <w:lvlJc w:val="left"/>
      <w:pPr>
        <w:tabs>
          <w:tab w:val="left" w:pos="312"/>
        </w:tabs>
      </w:pPr>
    </w:lvl>
  </w:abstractNum>
  <w:abstractNum w:abstractNumId="3">
    <w:nsid w:val="2AF3799E"/>
    <w:multiLevelType w:val="singleLevel"/>
    <w:tmpl w:val="2AF3799E"/>
    <w:lvl w:ilvl="0" w:tentative="0">
      <w:start w:val="1"/>
      <w:numFmt w:val="decimal"/>
      <w:suff w:val="nothing"/>
      <w:lvlText w:val="%1．"/>
      <w:lvlJc w:val="left"/>
      <w:pPr>
        <w:ind w:left="0" w:firstLine="400"/>
      </w:pPr>
      <w:rPr>
        <w:rFonts w:hint="default"/>
      </w:rPr>
    </w:lvl>
  </w:abstractNum>
  <w:abstractNum w:abstractNumId="4">
    <w:nsid w:val="2C5917C3"/>
    <w:multiLevelType w:val="multilevel"/>
    <w:tmpl w:val="2C5917C3"/>
    <w:lvl w:ilvl="0" w:tentative="0">
      <w:start w:val="1"/>
      <w:numFmt w:val="none"/>
      <w:pStyle w:val="31"/>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33"/>
      <w:lvlText w:val=""/>
      <w:lvlJc w:val="left"/>
      <w:pPr>
        <w:ind w:left="851" w:hanging="431"/>
      </w:pPr>
      <w:rPr>
        <w:rFonts w:hint="default" w:ascii="Symbol" w:hAnsi="Symbol"/>
        <w:sz w:val="21"/>
      </w:rPr>
    </w:lvl>
    <w:lvl w:ilvl="2" w:tentative="0">
      <w:start w:val="1"/>
      <w:numFmt w:val="bullet"/>
      <w:pStyle w:val="3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5">
    <w:nsid w:val="3EDD5CEA"/>
    <w:multiLevelType w:val="multilevel"/>
    <w:tmpl w:val="3EDD5CEA"/>
    <w:lvl w:ilvl="0" w:tentative="0">
      <w:start w:val="1"/>
      <w:numFmt w:val="chineseCountingThousand"/>
      <w:pStyle w:val="42"/>
      <w:lvlText w:val="%1、"/>
      <w:lvlJc w:val="left"/>
      <w:pPr>
        <w:ind w:left="1080" w:hanging="440"/>
      </w:p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6">
    <w:nsid w:val="44C50F90"/>
    <w:multiLevelType w:val="multilevel"/>
    <w:tmpl w:val="44C50F90"/>
    <w:lvl w:ilvl="0" w:tentative="0">
      <w:start w:val="1"/>
      <w:numFmt w:val="lowerLetter"/>
      <w:pStyle w:val="22"/>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624120B7"/>
    <w:multiLevelType w:val="multilevel"/>
    <w:tmpl w:val="624120B7"/>
    <w:lvl w:ilvl="0" w:tentative="0">
      <w:start w:val="1"/>
      <w:numFmt w:val="decimal"/>
      <w:pStyle w:val="39"/>
      <w:lvlText w:val="%1."/>
      <w:lvlJc w:val="left"/>
      <w:pPr>
        <w:ind w:left="1080" w:hanging="440"/>
      </w:pPr>
      <w:rPr>
        <w:rFonts w:hint="eastAsia"/>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8">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9"/>
      <w:suff w:val="nothing"/>
      <w:lvlText w:val="%1%2　"/>
      <w:lvlJc w:val="left"/>
      <w:pPr>
        <w:ind w:left="0" w:firstLine="0"/>
      </w:pPr>
      <w:rPr>
        <w:rFonts w:hint="eastAsia" w:ascii="黑体" w:eastAsia="黑体"/>
        <w:b w:val="0"/>
        <w:i w:val="0"/>
        <w:sz w:val="21"/>
      </w:rPr>
    </w:lvl>
    <w:lvl w:ilvl="2" w:tentative="0">
      <w:start w:val="1"/>
      <w:numFmt w:val="decimal"/>
      <w:pStyle w:val="1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25"/>
      <w:suff w:val="nothing"/>
      <w:lvlText w:val="%1%2.%3.%4　"/>
      <w:lvlJc w:val="left"/>
      <w:pPr>
        <w:ind w:left="0" w:firstLine="0"/>
      </w:pPr>
      <w:rPr>
        <w:rFonts w:hint="eastAsia" w:ascii="黑体" w:eastAsia="黑体"/>
        <w:b w:val="0"/>
        <w:i w:val="0"/>
        <w:sz w:val="21"/>
      </w:rPr>
    </w:lvl>
    <w:lvl w:ilvl="4" w:tentative="0">
      <w:start w:val="1"/>
      <w:numFmt w:val="decimal"/>
      <w:pStyle w:val="24"/>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DA77571"/>
    <w:multiLevelType w:val="multilevel"/>
    <w:tmpl w:val="6DA77571"/>
    <w:lvl w:ilvl="0" w:tentative="0">
      <w:start w:val="1"/>
      <w:numFmt w:val="decimal"/>
      <w:pStyle w:val="41"/>
      <w:lvlText w:val="（%1）"/>
      <w:lvlJc w:val="left"/>
      <w:pPr>
        <w:ind w:left="1083" w:hanging="44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abstractNum w:abstractNumId="10">
    <w:nsid w:val="77971FBD"/>
    <w:multiLevelType w:val="multilevel"/>
    <w:tmpl w:val="77971FBD"/>
    <w:lvl w:ilvl="0" w:tentative="0">
      <w:start w:val="1"/>
      <w:numFmt w:val="japaneseCounting"/>
      <w:pStyle w:val="37"/>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8"/>
  </w:num>
  <w:num w:numId="2">
    <w:abstractNumId w:val="6"/>
  </w:num>
  <w:num w:numId="3">
    <w:abstractNumId w:val="4"/>
  </w:num>
  <w:num w:numId="4">
    <w:abstractNumId w:val="10"/>
  </w:num>
  <w:num w:numId="5">
    <w:abstractNumId w:val="7"/>
  </w:num>
  <w:num w:numId="6">
    <w:abstractNumId w:val="9"/>
  </w:num>
  <w:num w:numId="7">
    <w:abstractNumId w:val="5"/>
  </w:num>
  <w:num w:numId="8">
    <w:abstractNumId w:val="1"/>
  </w:num>
  <w:num w:numId="9">
    <w:abstractNumId w:val="0"/>
  </w:num>
  <w:num w:numId="10">
    <w:abstractNumId w:val="10"/>
    <w:lvlOverride w:ilvl="0">
      <w:startOverride w:val="1"/>
    </w:lvlOverride>
  </w:num>
  <w:num w:numId="11">
    <w:abstractNumId w:val="10"/>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3"/>
  </w:num>
  <w:num w:numId="15">
    <w:abstractNumId w:val="10"/>
    <w:lvlOverride w:ilvl="0">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2ODAzN2FiNTYxYzZhMWU2ZDQ0OWRlMjkxYTNjZTkifQ=="/>
  </w:docVars>
  <w:rsids>
    <w:rsidRoot w:val="00324A8A"/>
    <w:rsid w:val="000407D0"/>
    <w:rsid w:val="000572CD"/>
    <w:rsid w:val="00073950"/>
    <w:rsid w:val="000C115D"/>
    <w:rsid w:val="000F54B8"/>
    <w:rsid w:val="00101C6A"/>
    <w:rsid w:val="00125307"/>
    <w:rsid w:val="00153573"/>
    <w:rsid w:val="00186327"/>
    <w:rsid w:val="00195F28"/>
    <w:rsid w:val="001B2F89"/>
    <w:rsid w:val="001E5D0B"/>
    <w:rsid w:val="001E7356"/>
    <w:rsid w:val="002173C0"/>
    <w:rsid w:val="002225BA"/>
    <w:rsid w:val="00237F66"/>
    <w:rsid w:val="00266277"/>
    <w:rsid w:val="002763EE"/>
    <w:rsid w:val="00281A60"/>
    <w:rsid w:val="002928B8"/>
    <w:rsid w:val="00295812"/>
    <w:rsid w:val="002C32E7"/>
    <w:rsid w:val="002F6792"/>
    <w:rsid w:val="00304742"/>
    <w:rsid w:val="0031657D"/>
    <w:rsid w:val="0032358B"/>
    <w:rsid w:val="00323E15"/>
    <w:rsid w:val="00324A8A"/>
    <w:rsid w:val="0038601F"/>
    <w:rsid w:val="00387C42"/>
    <w:rsid w:val="003A3151"/>
    <w:rsid w:val="003A586E"/>
    <w:rsid w:val="003B2563"/>
    <w:rsid w:val="003E1236"/>
    <w:rsid w:val="003F1485"/>
    <w:rsid w:val="003F6F41"/>
    <w:rsid w:val="00410A08"/>
    <w:rsid w:val="0041557D"/>
    <w:rsid w:val="0043178D"/>
    <w:rsid w:val="00452FD0"/>
    <w:rsid w:val="00456A25"/>
    <w:rsid w:val="00457455"/>
    <w:rsid w:val="004B2C54"/>
    <w:rsid w:val="005426D2"/>
    <w:rsid w:val="00546B21"/>
    <w:rsid w:val="00595F16"/>
    <w:rsid w:val="0059756E"/>
    <w:rsid w:val="005A72AF"/>
    <w:rsid w:val="005C61A2"/>
    <w:rsid w:val="005D4052"/>
    <w:rsid w:val="00613D0B"/>
    <w:rsid w:val="00632460"/>
    <w:rsid w:val="00650291"/>
    <w:rsid w:val="006552FF"/>
    <w:rsid w:val="006B0FE3"/>
    <w:rsid w:val="006D0A21"/>
    <w:rsid w:val="00751DAB"/>
    <w:rsid w:val="00751EAD"/>
    <w:rsid w:val="00752BB2"/>
    <w:rsid w:val="0078471F"/>
    <w:rsid w:val="007A497C"/>
    <w:rsid w:val="007A54B9"/>
    <w:rsid w:val="007E6F09"/>
    <w:rsid w:val="00821C55"/>
    <w:rsid w:val="00851CA1"/>
    <w:rsid w:val="0086206F"/>
    <w:rsid w:val="00897FE8"/>
    <w:rsid w:val="008C0134"/>
    <w:rsid w:val="008D4A8A"/>
    <w:rsid w:val="008F1611"/>
    <w:rsid w:val="008F5632"/>
    <w:rsid w:val="0090351C"/>
    <w:rsid w:val="00910A77"/>
    <w:rsid w:val="009508D4"/>
    <w:rsid w:val="00950F11"/>
    <w:rsid w:val="009566F2"/>
    <w:rsid w:val="009670A8"/>
    <w:rsid w:val="009A40E8"/>
    <w:rsid w:val="009A57E1"/>
    <w:rsid w:val="009B49EE"/>
    <w:rsid w:val="009B7210"/>
    <w:rsid w:val="009C18CB"/>
    <w:rsid w:val="009C7B22"/>
    <w:rsid w:val="009D1764"/>
    <w:rsid w:val="009E4E1C"/>
    <w:rsid w:val="00A20AF2"/>
    <w:rsid w:val="00A42081"/>
    <w:rsid w:val="00A87298"/>
    <w:rsid w:val="00A927FD"/>
    <w:rsid w:val="00AA502A"/>
    <w:rsid w:val="00AB447D"/>
    <w:rsid w:val="00AB47A7"/>
    <w:rsid w:val="00AE4693"/>
    <w:rsid w:val="00B8471B"/>
    <w:rsid w:val="00B86813"/>
    <w:rsid w:val="00BC710B"/>
    <w:rsid w:val="00BD395E"/>
    <w:rsid w:val="00BE13B1"/>
    <w:rsid w:val="00C06C9E"/>
    <w:rsid w:val="00C12BF0"/>
    <w:rsid w:val="00C22C85"/>
    <w:rsid w:val="00C549B8"/>
    <w:rsid w:val="00C67876"/>
    <w:rsid w:val="00C73840"/>
    <w:rsid w:val="00C83B19"/>
    <w:rsid w:val="00CD61DE"/>
    <w:rsid w:val="00CD6E36"/>
    <w:rsid w:val="00D044F4"/>
    <w:rsid w:val="00D076BA"/>
    <w:rsid w:val="00D1081A"/>
    <w:rsid w:val="00D24C92"/>
    <w:rsid w:val="00D37F78"/>
    <w:rsid w:val="00D5264A"/>
    <w:rsid w:val="00D75798"/>
    <w:rsid w:val="00D775AD"/>
    <w:rsid w:val="00D967F3"/>
    <w:rsid w:val="00DC00C2"/>
    <w:rsid w:val="00DC3544"/>
    <w:rsid w:val="00DF6527"/>
    <w:rsid w:val="00E124FE"/>
    <w:rsid w:val="00E257B4"/>
    <w:rsid w:val="00E2776C"/>
    <w:rsid w:val="00E31BE7"/>
    <w:rsid w:val="00E32CD1"/>
    <w:rsid w:val="00E7307E"/>
    <w:rsid w:val="00E74A29"/>
    <w:rsid w:val="00E76925"/>
    <w:rsid w:val="00EC49E4"/>
    <w:rsid w:val="00EE3C15"/>
    <w:rsid w:val="00F30C9E"/>
    <w:rsid w:val="00F446A1"/>
    <w:rsid w:val="00F652D3"/>
    <w:rsid w:val="00F74BC7"/>
    <w:rsid w:val="00F924AE"/>
    <w:rsid w:val="00FB1BE4"/>
    <w:rsid w:val="00FC55CC"/>
    <w:rsid w:val="00FF15D7"/>
    <w:rsid w:val="03F97169"/>
    <w:rsid w:val="09E216CB"/>
    <w:rsid w:val="0AB2661B"/>
    <w:rsid w:val="0CFA08F3"/>
    <w:rsid w:val="0DABE72B"/>
    <w:rsid w:val="0EF32DBE"/>
    <w:rsid w:val="0F8A35F8"/>
    <w:rsid w:val="0F9EB2FB"/>
    <w:rsid w:val="0FDCA6AA"/>
    <w:rsid w:val="1576646A"/>
    <w:rsid w:val="19F4792E"/>
    <w:rsid w:val="19F7F4B0"/>
    <w:rsid w:val="1C9D02B6"/>
    <w:rsid w:val="1F5FFE77"/>
    <w:rsid w:val="1FCFE02A"/>
    <w:rsid w:val="20BD15D1"/>
    <w:rsid w:val="23FA1FE5"/>
    <w:rsid w:val="26838F93"/>
    <w:rsid w:val="29AFC4EA"/>
    <w:rsid w:val="2DBA2BCC"/>
    <w:rsid w:val="2DBF37C1"/>
    <w:rsid w:val="2EFEE72B"/>
    <w:rsid w:val="2EFF6628"/>
    <w:rsid w:val="2FFEE69E"/>
    <w:rsid w:val="30110DE2"/>
    <w:rsid w:val="30EB1633"/>
    <w:rsid w:val="32D635E7"/>
    <w:rsid w:val="3322571F"/>
    <w:rsid w:val="34265985"/>
    <w:rsid w:val="349F24DE"/>
    <w:rsid w:val="34A8100A"/>
    <w:rsid w:val="34FF6137"/>
    <w:rsid w:val="35DFFAB1"/>
    <w:rsid w:val="37762510"/>
    <w:rsid w:val="37A40E2A"/>
    <w:rsid w:val="388F3F76"/>
    <w:rsid w:val="39C73E39"/>
    <w:rsid w:val="3A987656"/>
    <w:rsid w:val="3B763929"/>
    <w:rsid w:val="3DFF6674"/>
    <w:rsid w:val="3F7F9F51"/>
    <w:rsid w:val="3FD3073B"/>
    <w:rsid w:val="3FD77D8F"/>
    <w:rsid w:val="3FE7BEC7"/>
    <w:rsid w:val="3FF7ACB6"/>
    <w:rsid w:val="3FFAD93F"/>
    <w:rsid w:val="40387CC5"/>
    <w:rsid w:val="40E45634"/>
    <w:rsid w:val="4100148C"/>
    <w:rsid w:val="437736C5"/>
    <w:rsid w:val="43A7E112"/>
    <w:rsid w:val="4508780E"/>
    <w:rsid w:val="45C96F88"/>
    <w:rsid w:val="47236183"/>
    <w:rsid w:val="47981849"/>
    <w:rsid w:val="48081DAD"/>
    <w:rsid w:val="493556E9"/>
    <w:rsid w:val="499128D2"/>
    <w:rsid w:val="4A897825"/>
    <w:rsid w:val="4B3948F9"/>
    <w:rsid w:val="4BAF2B3E"/>
    <w:rsid w:val="4C6C1F07"/>
    <w:rsid w:val="4EC420CC"/>
    <w:rsid w:val="4F665603"/>
    <w:rsid w:val="4FDF714A"/>
    <w:rsid w:val="50B276B8"/>
    <w:rsid w:val="522D1654"/>
    <w:rsid w:val="53B6348F"/>
    <w:rsid w:val="53D106EA"/>
    <w:rsid w:val="53EF9D71"/>
    <w:rsid w:val="55136098"/>
    <w:rsid w:val="56C6D0EE"/>
    <w:rsid w:val="573F50C0"/>
    <w:rsid w:val="57F7BD4B"/>
    <w:rsid w:val="58773E1E"/>
    <w:rsid w:val="5AAD4397"/>
    <w:rsid w:val="5BE60E00"/>
    <w:rsid w:val="5C79051F"/>
    <w:rsid w:val="5D0127E4"/>
    <w:rsid w:val="5D550989"/>
    <w:rsid w:val="5E5B1BD6"/>
    <w:rsid w:val="5E604C26"/>
    <w:rsid w:val="5F2FAEDB"/>
    <w:rsid w:val="5F7F646F"/>
    <w:rsid w:val="5FFE28E3"/>
    <w:rsid w:val="60917251"/>
    <w:rsid w:val="624E1DB3"/>
    <w:rsid w:val="63640346"/>
    <w:rsid w:val="63D00091"/>
    <w:rsid w:val="63ED0801"/>
    <w:rsid w:val="63FF82C6"/>
    <w:rsid w:val="65BA264C"/>
    <w:rsid w:val="66DF0012"/>
    <w:rsid w:val="67EFE2B0"/>
    <w:rsid w:val="696E178E"/>
    <w:rsid w:val="69FFBD34"/>
    <w:rsid w:val="6ADF6CD8"/>
    <w:rsid w:val="6C3F07BC"/>
    <w:rsid w:val="6DCD415F"/>
    <w:rsid w:val="6E7D8720"/>
    <w:rsid w:val="6E7F5219"/>
    <w:rsid w:val="6F3F562E"/>
    <w:rsid w:val="6FBFC6EF"/>
    <w:rsid w:val="6FD2E2CC"/>
    <w:rsid w:val="6FEF8633"/>
    <w:rsid w:val="6FF6950F"/>
    <w:rsid w:val="70B14858"/>
    <w:rsid w:val="717F45B6"/>
    <w:rsid w:val="719E4CCE"/>
    <w:rsid w:val="71E16625"/>
    <w:rsid w:val="72DB1C73"/>
    <w:rsid w:val="739F7726"/>
    <w:rsid w:val="73E50500"/>
    <w:rsid w:val="73F753C1"/>
    <w:rsid w:val="73FBF74B"/>
    <w:rsid w:val="74EE481B"/>
    <w:rsid w:val="75244157"/>
    <w:rsid w:val="766ABE26"/>
    <w:rsid w:val="76EB29E0"/>
    <w:rsid w:val="76F123A0"/>
    <w:rsid w:val="76FF1A2F"/>
    <w:rsid w:val="77FD94BE"/>
    <w:rsid w:val="77FFAB7D"/>
    <w:rsid w:val="78D80870"/>
    <w:rsid w:val="78E6436C"/>
    <w:rsid w:val="78EF1912"/>
    <w:rsid w:val="78FA7304"/>
    <w:rsid w:val="79FE3DE6"/>
    <w:rsid w:val="7A1254B4"/>
    <w:rsid w:val="7AFD9D3F"/>
    <w:rsid w:val="7BAF3792"/>
    <w:rsid w:val="7BAFB592"/>
    <w:rsid w:val="7BFFB82B"/>
    <w:rsid w:val="7C377B57"/>
    <w:rsid w:val="7D5EC6DE"/>
    <w:rsid w:val="7EE8C267"/>
    <w:rsid w:val="7EF33C7C"/>
    <w:rsid w:val="7EF358B8"/>
    <w:rsid w:val="7EF7E8FE"/>
    <w:rsid w:val="7EFD50C1"/>
    <w:rsid w:val="7F7318A7"/>
    <w:rsid w:val="7F7FA74A"/>
    <w:rsid w:val="7F9B036F"/>
    <w:rsid w:val="7FB1E6C2"/>
    <w:rsid w:val="7FBF3484"/>
    <w:rsid w:val="7FBF937B"/>
    <w:rsid w:val="7FDFA066"/>
    <w:rsid w:val="7FEDE3A4"/>
    <w:rsid w:val="7FF731D3"/>
    <w:rsid w:val="7FF859FF"/>
    <w:rsid w:val="7FF92077"/>
    <w:rsid w:val="7FFD364F"/>
    <w:rsid w:val="7FFD7492"/>
    <w:rsid w:val="7FFF8FA0"/>
    <w:rsid w:val="7FFFB88B"/>
    <w:rsid w:val="8FBF3444"/>
    <w:rsid w:val="8FD752FD"/>
    <w:rsid w:val="995FC764"/>
    <w:rsid w:val="9B765071"/>
    <w:rsid w:val="9FFB7282"/>
    <w:rsid w:val="A3F70A10"/>
    <w:rsid w:val="A76DE34A"/>
    <w:rsid w:val="AF7FF728"/>
    <w:rsid w:val="B37928A7"/>
    <w:rsid w:val="B6FE2413"/>
    <w:rsid w:val="B70FD86E"/>
    <w:rsid w:val="B7FF5B79"/>
    <w:rsid w:val="B97063F6"/>
    <w:rsid w:val="BB571826"/>
    <w:rsid w:val="BBE9840F"/>
    <w:rsid w:val="BDBDCE26"/>
    <w:rsid w:val="BDD369F6"/>
    <w:rsid w:val="BDDF4B3D"/>
    <w:rsid w:val="BEEE085C"/>
    <w:rsid w:val="BF67B802"/>
    <w:rsid w:val="BFD66EA2"/>
    <w:rsid w:val="BFFF2AA8"/>
    <w:rsid w:val="BFFF5DA2"/>
    <w:rsid w:val="CBC27634"/>
    <w:rsid w:val="CD7FC2B2"/>
    <w:rsid w:val="D3BFBC62"/>
    <w:rsid w:val="D4F7F4D2"/>
    <w:rsid w:val="D793A4EC"/>
    <w:rsid w:val="D96F0623"/>
    <w:rsid w:val="DB6F7D40"/>
    <w:rsid w:val="DBBF4324"/>
    <w:rsid w:val="DBCF7811"/>
    <w:rsid w:val="DBE76A20"/>
    <w:rsid w:val="DC7F9167"/>
    <w:rsid w:val="DEEFBB10"/>
    <w:rsid w:val="DEF5DBBE"/>
    <w:rsid w:val="DEFF3B02"/>
    <w:rsid w:val="DF5F13C6"/>
    <w:rsid w:val="DFCB813E"/>
    <w:rsid w:val="DFCD1FBB"/>
    <w:rsid w:val="E3BB721B"/>
    <w:rsid w:val="E54FFBFD"/>
    <w:rsid w:val="E55E91EF"/>
    <w:rsid w:val="E57BC07C"/>
    <w:rsid w:val="E77DAEA8"/>
    <w:rsid w:val="E7BFB9EF"/>
    <w:rsid w:val="E7DF916A"/>
    <w:rsid w:val="E7EEE60E"/>
    <w:rsid w:val="EA3E6AFB"/>
    <w:rsid w:val="EB7D946C"/>
    <w:rsid w:val="EDFE8FF7"/>
    <w:rsid w:val="EE7F6196"/>
    <w:rsid w:val="EF4BEBF7"/>
    <w:rsid w:val="EFE80619"/>
    <w:rsid w:val="EFFF86AF"/>
    <w:rsid w:val="F2FFAD62"/>
    <w:rsid w:val="F385ABE1"/>
    <w:rsid w:val="F3BF6059"/>
    <w:rsid w:val="F53A1228"/>
    <w:rsid w:val="F5AFCEB5"/>
    <w:rsid w:val="F6EF5543"/>
    <w:rsid w:val="F7957AA8"/>
    <w:rsid w:val="F7AE4140"/>
    <w:rsid w:val="F7CED371"/>
    <w:rsid w:val="F7F953CB"/>
    <w:rsid w:val="F91B5078"/>
    <w:rsid w:val="F96D33D3"/>
    <w:rsid w:val="FADC3AA6"/>
    <w:rsid w:val="FB6B1A42"/>
    <w:rsid w:val="FBBBD67C"/>
    <w:rsid w:val="FBD73921"/>
    <w:rsid w:val="FBEDF62B"/>
    <w:rsid w:val="FD371DE0"/>
    <w:rsid w:val="FD52A57E"/>
    <w:rsid w:val="FDF996D7"/>
    <w:rsid w:val="FDFF9D03"/>
    <w:rsid w:val="FDFFB1B8"/>
    <w:rsid w:val="FF5F09A1"/>
    <w:rsid w:val="FF7F4257"/>
    <w:rsid w:val="FF96B1CA"/>
    <w:rsid w:val="FFA927EC"/>
    <w:rsid w:val="FFBF1602"/>
    <w:rsid w:val="FFCC16A1"/>
    <w:rsid w:val="FFD768AF"/>
    <w:rsid w:val="FFE79144"/>
    <w:rsid w:val="FFEDEDDD"/>
    <w:rsid w:val="FFF24741"/>
    <w:rsid w:val="FFF5C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qFormat/>
    <w:uiPriority w:val="9"/>
    <w:pPr>
      <w:autoSpaceDE w:val="0"/>
      <w:autoSpaceDN w:val="0"/>
      <w:spacing w:before="54"/>
      <w:ind w:left="148"/>
      <w:jc w:val="left"/>
      <w:outlineLvl w:val="0"/>
    </w:pPr>
    <w:rPr>
      <w:rFonts w:ascii="黑体" w:hAnsi="黑体" w:eastAsia="黑体" w:cs="黑体"/>
      <w:kern w:val="0"/>
      <w:szCs w:val="32"/>
      <w:lang w:val="zh-CN" w:bidi="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annotation text"/>
    <w:basedOn w:val="1"/>
    <w:qFormat/>
    <w:uiPriority w:val="0"/>
    <w:pPr>
      <w:jc w:val="left"/>
    </w:pPr>
  </w:style>
  <w:style w:type="paragraph" w:styleId="5">
    <w:name w:val="Body Text"/>
    <w:basedOn w:val="1"/>
    <w:qFormat/>
    <w:uiPriority w:val="0"/>
    <w:pPr>
      <w:spacing w:after="120"/>
    </w:pPr>
  </w:style>
  <w:style w:type="paragraph" w:styleId="6">
    <w:name w:val="footer"/>
    <w:basedOn w:val="1"/>
    <w:link w:val="16"/>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able of figures"/>
    <w:basedOn w:val="1"/>
    <w:next w:val="1"/>
    <w:qFormat/>
    <w:uiPriority w:val="99"/>
    <w:pPr>
      <w:ind w:left="200" w:leftChars="200" w:hanging="200" w:hangingChars="200"/>
    </w:pPr>
  </w:style>
  <w:style w:type="paragraph" w:styleId="9">
    <w:name w:val="Body Text First Indent"/>
    <w:qFormat/>
    <w:uiPriority w:val="0"/>
    <w:pPr>
      <w:ind w:firstLine="640" w:firstLineChars="200"/>
      <w:jc w:val="both"/>
    </w:pPr>
    <w:rPr>
      <w:rFonts w:ascii="Times New Roman" w:hAnsi="Times New Roman" w:eastAsia="仿宋_GB2312" w:cs="Times New Roman"/>
      <w:kern w:val="2"/>
      <w:sz w:val="32"/>
      <w:szCs w:val="22"/>
      <w:lang w:val="en-US" w:eastAsia="zh-CN" w:bidi="ar-SA"/>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图表文字"/>
    <w:basedOn w:val="1"/>
    <w:qFormat/>
    <w:uiPriority w:val="0"/>
    <w:pPr>
      <w:snapToGrid w:val="0"/>
      <w:contextualSpacing/>
    </w:pPr>
    <w:rPr>
      <w:rFonts w:ascii="仿宋_GB2312" w:hAnsi="仿宋_GB2312" w:cs="Arial Unicode MS"/>
      <w:color w:val="000000"/>
      <w:sz w:val="24"/>
      <w:szCs w:val="32"/>
      <w:lang w:bidi="en-US"/>
    </w:rPr>
  </w:style>
  <w:style w:type="paragraph" w:customStyle="1" w:styleId="14">
    <w:name w:val="Body text|1"/>
    <w:basedOn w:val="1"/>
    <w:qFormat/>
    <w:uiPriority w:val="0"/>
    <w:pPr>
      <w:spacing w:line="451" w:lineRule="auto"/>
      <w:ind w:firstLine="400"/>
    </w:pPr>
    <w:rPr>
      <w:rFonts w:ascii="宋体" w:hAnsi="宋体" w:eastAsia="宋体" w:cs="宋体"/>
      <w:szCs w:val="28"/>
      <w:lang w:val="zh-TW" w:eastAsia="zh-TW" w:bidi="zh-TW"/>
    </w:rPr>
  </w:style>
  <w:style w:type="table" w:customStyle="1" w:styleId="15">
    <w:name w:val="Table Normal"/>
    <w:semiHidden/>
    <w:unhideWhenUsed/>
    <w:qFormat/>
    <w:uiPriority w:val="2"/>
    <w:tblPr>
      <w:tblCellMar>
        <w:top w:w="0" w:type="dxa"/>
        <w:left w:w="0" w:type="dxa"/>
        <w:bottom w:w="0" w:type="dxa"/>
        <w:right w:w="0" w:type="dxa"/>
      </w:tblCellMar>
    </w:tblPr>
  </w:style>
  <w:style w:type="character" w:customStyle="1" w:styleId="16">
    <w:name w:val="页脚 字符"/>
    <w:basedOn w:val="12"/>
    <w:link w:val="6"/>
    <w:qFormat/>
    <w:uiPriority w:val="99"/>
    <w:rPr>
      <w:rFonts w:ascii="仿宋" w:hAnsi="仿宋" w:eastAsia="仿宋" w:cstheme="minorBidi"/>
      <w:kern w:val="2"/>
      <w:sz w:val="18"/>
      <w:szCs w:val="24"/>
    </w:rPr>
  </w:style>
  <w:style w:type="paragraph" w:styleId="17">
    <w:name w:val="List Paragraph"/>
    <w:basedOn w:val="1"/>
    <w:qFormat/>
    <w:uiPriority w:val="34"/>
    <w:pPr>
      <w:ind w:firstLine="420"/>
    </w:pPr>
  </w:style>
  <w:style w:type="paragraph" w:customStyle="1" w:styleId="18">
    <w:name w:val="标准文件_一级条标题"/>
    <w:basedOn w:val="19"/>
    <w:next w:val="20"/>
    <w:qFormat/>
    <w:uiPriority w:val="0"/>
    <w:pPr>
      <w:numPr>
        <w:ilvl w:val="2"/>
      </w:numPr>
      <w:spacing w:before="50" w:beforeLines="50" w:after="50" w:afterLines="50"/>
      <w:outlineLvl w:val="1"/>
    </w:pPr>
  </w:style>
  <w:style w:type="paragraph" w:customStyle="1" w:styleId="19">
    <w:name w:val="标准文件_章标题"/>
    <w:next w:val="20"/>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20">
    <w:name w:val="标准文件_段"/>
    <w:link w:val="2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
    <w:name w:val="Table Paragraph"/>
    <w:basedOn w:val="1"/>
    <w:qFormat/>
    <w:uiPriority w:val="1"/>
    <w:pPr>
      <w:autoSpaceDE w:val="0"/>
      <w:autoSpaceDN w:val="0"/>
      <w:jc w:val="left"/>
    </w:pPr>
    <w:rPr>
      <w:rFonts w:ascii="宋体" w:hAnsi="宋体" w:eastAsia="宋体" w:cs="宋体"/>
      <w:kern w:val="0"/>
      <w:sz w:val="22"/>
      <w:lang w:val="zh-CN" w:bidi="zh-CN"/>
    </w:rPr>
  </w:style>
  <w:style w:type="paragraph" w:customStyle="1" w:styleId="22">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 w:type="paragraph" w:customStyle="1" w:styleId="23">
    <w:name w:val="标准文件_三级无标题"/>
    <w:basedOn w:val="24"/>
    <w:qFormat/>
    <w:uiPriority w:val="0"/>
    <w:pPr>
      <w:spacing w:before="0" w:beforeLines="0" w:after="0" w:afterLines="0"/>
      <w:outlineLvl w:val="9"/>
    </w:pPr>
    <w:rPr>
      <w:rFonts w:ascii="宋体" w:eastAsia="宋体"/>
    </w:rPr>
  </w:style>
  <w:style w:type="paragraph" w:customStyle="1" w:styleId="24">
    <w:name w:val="标准文件_三级条标题"/>
    <w:basedOn w:val="25"/>
    <w:next w:val="1"/>
    <w:qFormat/>
    <w:uiPriority w:val="0"/>
    <w:pPr>
      <w:widowControl/>
      <w:numPr>
        <w:ilvl w:val="4"/>
      </w:numPr>
      <w:outlineLvl w:val="3"/>
    </w:pPr>
  </w:style>
  <w:style w:type="paragraph" w:customStyle="1" w:styleId="25">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6">
    <w:name w:val="修订1"/>
    <w:hidden/>
    <w:unhideWhenUsed/>
    <w:qFormat/>
    <w:uiPriority w:val="99"/>
    <w:rPr>
      <w:rFonts w:ascii="仿宋" w:hAnsi="仿宋" w:eastAsia="仿宋" w:cstheme="minorBidi"/>
      <w:kern w:val="2"/>
      <w:sz w:val="28"/>
      <w:szCs w:val="24"/>
      <w:lang w:val="en-US" w:eastAsia="zh-CN" w:bidi="ar-SA"/>
    </w:rPr>
  </w:style>
  <w:style w:type="paragraph" w:customStyle="1" w:styleId="27">
    <w:name w:val="修订2"/>
    <w:hidden/>
    <w:unhideWhenUsed/>
    <w:qFormat/>
    <w:uiPriority w:val="99"/>
    <w:rPr>
      <w:rFonts w:ascii="仿宋" w:hAnsi="仿宋" w:eastAsia="仿宋" w:cstheme="minorBidi"/>
      <w:kern w:val="2"/>
      <w:sz w:val="28"/>
      <w:szCs w:val="24"/>
      <w:lang w:val="en-US" w:eastAsia="zh-CN" w:bidi="ar-SA"/>
    </w:rPr>
  </w:style>
  <w:style w:type="character" w:customStyle="1" w:styleId="28">
    <w:name w:val="标准文件_段 Char"/>
    <w:link w:val="20"/>
    <w:qFormat/>
    <w:uiPriority w:val="0"/>
    <w:rPr>
      <w:rFonts w:ascii="宋体"/>
      <w:sz w:val="21"/>
    </w:rPr>
  </w:style>
  <w:style w:type="paragraph" w:customStyle="1" w:styleId="29">
    <w:name w:val="标准文件_数字编号列项（二级）"/>
    <w:qFormat/>
    <w:uiPriority w:val="0"/>
    <w:pPr>
      <w:tabs>
        <w:tab w:val="left" w:pos="1276"/>
      </w:tabs>
      <w:ind w:left="1276" w:hanging="425"/>
      <w:jc w:val="both"/>
    </w:pPr>
    <w:rPr>
      <w:rFonts w:ascii="宋体" w:hAnsi="Times New Roman" w:eastAsia="宋体" w:cs="Times New Roman"/>
      <w:sz w:val="21"/>
      <w:lang w:val="en-US" w:eastAsia="zh-CN" w:bidi="ar-SA"/>
    </w:rPr>
  </w:style>
  <w:style w:type="paragraph" w:customStyle="1" w:styleId="30">
    <w:name w:val="标准文件_术语条一"/>
    <w:basedOn w:val="1"/>
    <w:next w:val="20"/>
    <w:qFormat/>
    <w:uiPriority w:val="0"/>
    <w:pPr>
      <w:widowControl/>
      <w:ind w:hanging="425"/>
    </w:pPr>
    <w:rPr>
      <w:rFonts w:ascii="宋体" w:eastAsia="宋体"/>
      <w:kern w:val="0"/>
      <w:sz w:val="21"/>
      <w:szCs w:val="20"/>
    </w:rPr>
  </w:style>
  <w:style w:type="paragraph" w:customStyle="1" w:styleId="31">
    <w:name w:val="标准文件_一级项"/>
    <w:qFormat/>
    <w:uiPriority w:val="0"/>
    <w:pPr>
      <w:numPr>
        <w:ilvl w:val="0"/>
        <w:numId w:val="3"/>
      </w:numPr>
    </w:pPr>
    <w:rPr>
      <w:rFonts w:ascii="宋体" w:hAnsi="Times New Roman" w:eastAsia="宋体" w:cs="Times New Roman"/>
      <w:sz w:val="21"/>
      <w:lang w:val="en-US" w:eastAsia="zh-CN" w:bidi="ar-SA"/>
    </w:rPr>
  </w:style>
  <w:style w:type="paragraph" w:customStyle="1" w:styleId="32">
    <w:name w:val="标准文件_三级项"/>
    <w:basedOn w:val="1"/>
    <w:qFormat/>
    <w:uiPriority w:val="0"/>
    <w:pPr>
      <w:numPr>
        <w:ilvl w:val="2"/>
        <w:numId w:val="3"/>
      </w:numPr>
      <w:adjustRightInd w:val="0"/>
      <w:spacing w:line="536870612" w:lineRule="auto"/>
    </w:pPr>
    <w:rPr>
      <w:rFonts w:eastAsia="宋体"/>
      <w:sz w:val="21"/>
      <w:szCs w:val="21"/>
    </w:rPr>
  </w:style>
  <w:style w:type="paragraph" w:customStyle="1" w:styleId="33">
    <w:name w:val="标准文件_二级项2"/>
    <w:basedOn w:val="20"/>
    <w:qFormat/>
    <w:uiPriority w:val="0"/>
    <w:pPr>
      <w:numPr>
        <w:ilvl w:val="1"/>
        <w:numId w:val="3"/>
      </w:numPr>
      <w:ind w:firstLine="0" w:firstLineChars="0"/>
    </w:pPr>
  </w:style>
  <w:style w:type="paragraph" w:customStyle="1" w:styleId="34">
    <w:name w:val="修订3"/>
    <w:hidden/>
    <w:unhideWhenUsed/>
    <w:qFormat/>
    <w:uiPriority w:val="99"/>
    <w:rPr>
      <w:rFonts w:ascii="仿宋" w:hAnsi="仿宋" w:eastAsia="仿宋" w:cstheme="minorBidi"/>
      <w:kern w:val="2"/>
      <w:sz w:val="28"/>
      <w:szCs w:val="24"/>
      <w:lang w:val="en-US" w:eastAsia="zh-CN" w:bidi="ar-SA"/>
    </w:rPr>
  </w:style>
  <w:style w:type="paragraph" w:customStyle="1" w:styleId="35">
    <w:name w:val="标题 方正小标宋体 小二"/>
    <w:link w:val="36"/>
    <w:qFormat/>
    <w:uiPriority w:val="0"/>
    <w:pPr>
      <w:jc w:val="center"/>
    </w:pPr>
    <w:rPr>
      <w:rFonts w:ascii="方正小标宋简体" w:hAnsi="方正小标宋简体" w:eastAsia="方正小标宋简体" w:cs="Times New Roman"/>
      <w:kern w:val="2"/>
      <w:sz w:val="36"/>
      <w:szCs w:val="32"/>
      <w:lang w:val="en-US" w:eastAsia="zh-CN" w:bidi="ar-SA"/>
    </w:rPr>
  </w:style>
  <w:style w:type="character" w:customStyle="1" w:styleId="36">
    <w:name w:val="标题 方正小标宋体 小二 Char"/>
    <w:link w:val="35"/>
    <w:qFormat/>
    <w:uiPriority w:val="0"/>
    <w:rPr>
      <w:rFonts w:ascii="方正小标宋简体" w:hAnsi="方正小标宋简体" w:eastAsia="方正小标宋简体"/>
      <w:kern w:val="2"/>
      <w:sz w:val="36"/>
      <w:szCs w:val="32"/>
    </w:rPr>
  </w:style>
  <w:style w:type="paragraph" w:customStyle="1" w:styleId="37">
    <w:name w:val="二级目录 楷体 三号"/>
    <w:link w:val="38"/>
    <w:qFormat/>
    <w:uiPriority w:val="0"/>
    <w:pPr>
      <w:numPr>
        <w:ilvl w:val="0"/>
        <w:numId w:val="4"/>
      </w:numPr>
      <w:outlineLvl w:val="1"/>
    </w:pPr>
    <w:rPr>
      <w:rFonts w:ascii="楷体_GB2312" w:hAnsi="Times New Roman" w:eastAsia="楷体_GB2312" w:cs="仿宋"/>
      <w:kern w:val="2"/>
      <w:sz w:val="32"/>
      <w:szCs w:val="32"/>
      <w:lang w:val="en-US" w:eastAsia="zh-CN" w:bidi="ar-SA"/>
      <w14:ligatures w14:val="standardContextual"/>
    </w:rPr>
  </w:style>
  <w:style w:type="character" w:customStyle="1" w:styleId="38">
    <w:name w:val="二级目录 楷体 三号 Char"/>
    <w:link w:val="37"/>
    <w:qFormat/>
    <w:uiPriority w:val="0"/>
    <w:rPr>
      <w:rFonts w:ascii="楷体_GB2312" w:eastAsia="楷体_GB2312" w:cs="仿宋"/>
      <w:kern w:val="2"/>
      <w:sz w:val="32"/>
      <w:szCs w:val="32"/>
      <w14:ligatures w14:val="standardContextual"/>
    </w:rPr>
  </w:style>
  <w:style w:type="paragraph" w:customStyle="1" w:styleId="39">
    <w:name w:val="三级标题"/>
    <w:link w:val="40"/>
    <w:qFormat/>
    <w:uiPriority w:val="0"/>
    <w:pPr>
      <w:numPr>
        <w:ilvl w:val="0"/>
        <w:numId w:val="5"/>
      </w:numPr>
      <w:ind w:left="0" w:firstLine="640" w:firstLineChars="200"/>
      <w:outlineLvl w:val="2"/>
    </w:pPr>
    <w:rPr>
      <w:rFonts w:ascii="Times New Roman" w:hAnsi="Times New Roman" w:eastAsia="仿宋_GB2312" w:cs="Times New Roman"/>
      <w:kern w:val="2"/>
      <w:sz w:val="32"/>
      <w:szCs w:val="32"/>
      <w:lang w:val="en-US" w:eastAsia="zh-CN" w:bidi="ar-SA"/>
    </w:rPr>
  </w:style>
  <w:style w:type="character" w:customStyle="1" w:styleId="40">
    <w:name w:val="三级标题 字符"/>
    <w:basedOn w:val="12"/>
    <w:link w:val="39"/>
    <w:qFormat/>
    <w:uiPriority w:val="0"/>
    <w:rPr>
      <w:rFonts w:eastAsia="仿宋_GB2312"/>
      <w:kern w:val="2"/>
      <w:sz w:val="32"/>
      <w:szCs w:val="32"/>
    </w:rPr>
  </w:style>
  <w:style w:type="paragraph" w:customStyle="1" w:styleId="41">
    <w:name w:val="四级标题"/>
    <w:qFormat/>
    <w:uiPriority w:val="0"/>
    <w:pPr>
      <w:numPr>
        <w:ilvl w:val="0"/>
        <w:numId w:val="6"/>
      </w:numPr>
      <w:ind w:firstLine="200" w:firstLineChars="200"/>
      <w:outlineLvl w:val="3"/>
    </w:pPr>
    <w:rPr>
      <w:rFonts w:ascii="Times New Roman" w:hAnsi="Times New Roman" w:eastAsia="仿宋_GB2312" w:cs="Times New Roman"/>
      <w:bCs/>
      <w:kern w:val="2"/>
      <w:sz w:val="32"/>
      <w:szCs w:val="22"/>
      <w:lang w:val="en-US" w:eastAsia="zh-CN" w:bidi="ar-SA"/>
    </w:rPr>
  </w:style>
  <w:style w:type="paragraph" w:customStyle="1" w:styleId="42">
    <w:name w:val="一级标题，黑体三号"/>
    <w:link w:val="43"/>
    <w:qFormat/>
    <w:uiPriority w:val="0"/>
    <w:pPr>
      <w:numPr>
        <w:ilvl w:val="0"/>
        <w:numId w:val="7"/>
      </w:numPr>
      <w:ind w:left="0" w:firstLine="200" w:firstLineChars="200"/>
      <w:outlineLvl w:val="0"/>
    </w:pPr>
    <w:rPr>
      <w:rFonts w:ascii="Times New Roman" w:hAnsi="Times New Roman" w:eastAsia="黑体" w:cs="仿宋"/>
      <w:kern w:val="2"/>
      <w:sz w:val="32"/>
      <w:szCs w:val="32"/>
      <w:lang w:val="en-US" w:eastAsia="zh-CN" w:bidi="ar-SA"/>
      <w14:ligatures w14:val="standardContextual"/>
    </w:rPr>
  </w:style>
  <w:style w:type="character" w:customStyle="1" w:styleId="43">
    <w:name w:val="一级标题，黑体三号 Char"/>
    <w:link w:val="42"/>
    <w:qFormat/>
    <w:uiPriority w:val="0"/>
    <w:rPr>
      <w:rFonts w:eastAsia="黑体" w:cs="仿宋"/>
      <w:kern w:val="2"/>
      <w:sz w:val="32"/>
      <w:szCs w:val="32"/>
      <w14:ligatures w14:val="standardContextual"/>
    </w:rPr>
  </w:style>
  <w:style w:type="paragraph" w:customStyle="1" w:styleId="44">
    <w:name w:val="正文 无"/>
    <w:qFormat/>
    <w:uiPriority w:val="0"/>
    <w:rPr>
      <w:rFonts w:ascii="Times New Roman" w:hAnsi="Times New Roman" w:eastAsia="仿宋_GB2312" w:cs="Times New Roman"/>
      <w:kern w:val="2"/>
      <w:sz w:val="32"/>
      <w:szCs w:val="22"/>
      <w:lang w:val="en-US" w:eastAsia="zh-CN" w:bidi="ar-SA"/>
    </w:rPr>
  </w:style>
  <w:style w:type="paragraph" w:customStyle="1" w:styleId="45">
    <w:name w:val="Revision"/>
    <w:hidden/>
    <w:unhideWhenUsed/>
    <w:qFormat/>
    <w:uiPriority w:val="99"/>
    <w:rPr>
      <w:rFonts w:ascii="Times New Roman" w:hAnsi="Times New Roman"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7162</Words>
  <Characters>7726</Characters>
  <Lines>63</Lines>
  <Paragraphs>17</Paragraphs>
  <TotalTime>52</TotalTime>
  <ScaleCrop>false</ScaleCrop>
  <LinksUpToDate>false</LinksUpToDate>
  <CharactersWithSpaces>7901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2025-06-01T01:00:00Z</dcterms:created>
  <dc:creator>Administrator</dc:creator>
  <cp:lastModifiedBy>本地帐户2020</cp:lastModifiedBy>
  <cp:lastPrinted>2023-08-26T10:39:00Z</cp:lastPrinted>
  <dcterms:modified xsi:type="dcterms:W3CDTF">2025-06-04T02:05:42Z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635D120436814250B64B772923EDCEEE_13</vt:lpwstr>
  </property>
  <property fmtid="{D5CDD505-2E9C-101B-9397-08002B2CF9AE}" pid="4" name="KSOTemplateDocerSaveRecord">
    <vt:lpwstr>eyJoZGlkIjoiNWQyNjcxOGVjZTRjNTJkYThhYmE0M2ZhMzRjMWZkOTQifQ==</vt:lpwstr>
  </property>
</Properties>
</file>