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1B3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05DF3A">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9515EE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35.240.01</w:t>
            </w:r>
            <w:r>
              <w:rPr>
                <w:rFonts w:ascii="黑体" w:hAnsi="黑体" w:eastAsia="黑体"/>
                <w:sz w:val="21"/>
                <w:szCs w:val="21"/>
              </w:rPr>
              <w:fldChar w:fldCharType="end"/>
            </w:r>
            <w:bookmarkEnd w:id="0"/>
          </w:p>
        </w:tc>
      </w:tr>
      <w:tr w14:paraId="6A51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03A45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9B26C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AC59A05">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GXCUA</w:t>
                  </w:r>
                  <w:r>
                    <w:fldChar w:fldCharType="end"/>
                  </w:r>
                  <w:bookmarkEnd w:id="1"/>
                </w:p>
              </w:tc>
            </w:tr>
          </w:tbl>
          <w:p w14:paraId="4CFB935F">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 70</w:t>
            </w:r>
            <w:r>
              <w:rPr>
                <w:rFonts w:ascii="黑体" w:hAnsi="黑体" w:eastAsia="黑体"/>
                <w:sz w:val="21"/>
                <w:szCs w:val="21"/>
              </w:rPr>
              <w:t>     </w:t>
            </w:r>
            <w:r>
              <w:rPr>
                <w:rFonts w:ascii="黑体" w:hAnsi="黑体" w:eastAsia="黑体"/>
                <w:sz w:val="21"/>
                <w:szCs w:val="21"/>
              </w:rPr>
              <w:fldChar w:fldCharType="end"/>
            </w:r>
            <w:bookmarkEnd w:id="2"/>
          </w:p>
        </w:tc>
      </w:tr>
    </w:tbl>
    <w:p w14:paraId="568A119A">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9D2329D">
      <w:pPr>
        <w:pStyle w:val="198"/>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GXCUA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FEC7990">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E0082E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AB6A01">
      <w:pPr>
        <w:pStyle w:val="53"/>
        <w:framePr w:w="9639" w:h="6976" w:hRule="exact" w:hSpace="0" w:vSpace="0" w:wrap="around" w:hAnchor="page" w:y="6408"/>
        <w:jc w:val="center"/>
        <w:rPr>
          <w:rFonts w:ascii="黑体" w:hAnsi="黑体" w:eastAsia="黑体"/>
          <w:b w:val="0"/>
          <w:bCs w:val="0"/>
          <w:w w:val="100"/>
        </w:rPr>
      </w:pPr>
    </w:p>
    <w:p w14:paraId="7F0E9322">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Hlk198116772"/>
      <w:r>
        <w:t>团餐食材供应链数智化平台建设规范</w:t>
      </w:r>
      <w:bookmarkEnd w:id="10"/>
      <w:r>
        <w:fldChar w:fldCharType="end"/>
      </w:r>
      <w:bookmarkEnd w:id="9"/>
    </w:p>
    <w:p w14:paraId="6D2F7955">
      <w:pPr>
        <w:framePr w:w="9639" w:h="6974" w:hRule="exact" w:wrap="around" w:vAnchor="page" w:hAnchor="page" w:x="1419" w:y="6408" w:anchorLock="1"/>
        <w:ind w:left="-1418"/>
      </w:pPr>
    </w:p>
    <w:p w14:paraId="514EA6FE">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1"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w:t>
      </w:r>
      <w:r>
        <w:rPr>
          <w:rFonts w:hint="eastAsia" w:ascii="黑体" w:hAnsi="黑体" w:eastAsia="黑体"/>
          <w:szCs w:val="28"/>
        </w:rPr>
        <w:t xml:space="preserve"> for building a </w:t>
      </w:r>
      <w:r>
        <w:rPr>
          <w:rFonts w:ascii="黑体" w:hAnsi="黑体" w:eastAsia="黑体"/>
          <w:szCs w:val="28"/>
        </w:rPr>
        <w:t>d</w:t>
      </w:r>
      <w:r>
        <w:rPr>
          <w:rFonts w:hint="eastAsia" w:ascii="黑体" w:hAnsi="黑体" w:eastAsia="黑体"/>
          <w:szCs w:val="28"/>
        </w:rPr>
        <w:t xml:space="preserve">igital </w:t>
      </w:r>
      <w:r>
        <w:rPr>
          <w:rFonts w:ascii="黑体" w:hAnsi="黑体" w:eastAsia="黑体"/>
          <w:szCs w:val="28"/>
        </w:rPr>
        <w:t>p</w:t>
      </w:r>
      <w:r>
        <w:rPr>
          <w:rFonts w:hint="eastAsia" w:ascii="黑体" w:hAnsi="黑体" w:eastAsia="黑体"/>
          <w:szCs w:val="28"/>
        </w:rPr>
        <w:t xml:space="preserve">latform for </w:t>
      </w:r>
      <w:r>
        <w:rPr>
          <w:rFonts w:ascii="黑体" w:hAnsi="黑体" w:eastAsia="黑体"/>
          <w:szCs w:val="28"/>
        </w:rPr>
        <w:t>g</w:t>
      </w:r>
      <w:r>
        <w:rPr>
          <w:rFonts w:hint="eastAsia" w:ascii="黑体" w:hAnsi="黑体" w:eastAsia="黑体"/>
          <w:szCs w:val="28"/>
        </w:rPr>
        <w:t xml:space="preserve">roup </w:t>
      </w:r>
      <w:r>
        <w:rPr>
          <w:rFonts w:ascii="黑体" w:hAnsi="黑体" w:eastAsia="黑体"/>
          <w:szCs w:val="28"/>
        </w:rPr>
        <w:t>m</w:t>
      </w:r>
      <w:r>
        <w:rPr>
          <w:rFonts w:hint="eastAsia" w:ascii="黑体" w:hAnsi="黑体" w:eastAsia="黑体"/>
          <w:szCs w:val="28"/>
        </w:rPr>
        <w:t xml:space="preserve">eal </w:t>
      </w:r>
      <w:r>
        <w:rPr>
          <w:rFonts w:ascii="黑体" w:hAnsi="黑体" w:eastAsia="黑体"/>
          <w:szCs w:val="28"/>
        </w:rPr>
        <w:t>i</w:t>
      </w:r>
      <w:r>
        <w:rPr>
          <w:rFonts w:hint="eastAsia" w:ascii="黑体" w:hAnsi="黑体" w:eastAsia="黑体"/>
          <w:szCs w:val="28"/>
        </w:rPr>
        <w:t xml:space="preserve">ngredient </w:t>
      </w:r>
      <w:r>
        <w:rPr>
          <w:rFonts w:ascii="黑体" w:hAnsi="黑体" w:eastAsia="黑体"/>
          <w:szCs w:val="28"/>
        </w:rPr>
        <w:t>s</w:t>
      </w:r>
      <w:r>
        <w:rPr>
          <w:rFonts w:hint="eastAsia" w:ascii="黑体" w:hAnsi="黑体" w:eastAsia="黑体"/>
          <w:szCs w:val="28"/>
        </w:rPr>
        <w:t xml:space="preserve">upply </w:t>
      </w:r>
      <w:r>
        <w:rPr>
          <w:rFonts w:ascii="黑体" w:hAnsi="黑体" w:eastAsia="黑体"/>
          <w:szCs w:val="28"/>
        </w:rPr>
        <w:t>c</w:t>
      </w:r>
      <w:r>
        <w:rPr>
          <w:rFonts w:hint="eastAsia" w:ascii="黑体" w:hAnsi="黑体" w:eastAsia="黑体"/>
          <w:szCs w:val="28"/>
        </w:rPr>
        <w:t>hain</w:t>
      </w:r>
      <w:r>
        <w:rPr>
          <w:rFonts w:ascii="黑体" w:hAnsi="黑体" w:eastAsia="黑体"/>
          <w:szCs w:val="28"/>
        </w:rPr>
        <w:fldChar w:fldCharType="end"/>
      </w:r>
      <w:bookmarkEnd w:id="11"/>
    </w:p>
    <w:p w14:paraId="51693484">
      <w:pPr>
        <w:framePr w:w="9639" w:h="6974" w:hRule="exact" w:wrap="around" w:vAnchor="page" w:hAnchor="page" w:x="1419" w:y="6408" w:anchorLock="1"/>
        <w:spacing w:line="760" w:lineRule="exact"/>
        <w:ind w:left="-1418"/>
      </w:pPr>
    </w:p>
    <w:p w14:paraId="4C10886A">
      <w:pPr>
        <w:pStyle w:val="128"/>
        <w:framePr w:w="9639" w:h="6974" w:hRule="exact" w:wrap="around" w:vAnchor="page" w:hAnchor="page" w:x="1419" w:y="6408" w:anchorLock="1"/>
        <w:textAlignment w:val="bottom"/>
        <w:rPr>
          <w:rFonts w:eastAsia="黑体"/>
          <w:szCs w:val="28"/>
        </w:rPr>
      </w:pPr>
    </w:p>
    <w:p w14:paraId="314E29E5">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EA9F270">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78C667A9">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E83A857">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4BDE0BD0">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0780E4B">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广西计算机用户协会</w:t>
      </w:r>
      <w:r>
        <w:rPr>
          <w:rFonts w:hAnsi="黑体"/>
          <w:w w:val="100"/>
          <w:sz w:val="28"/>
        </w:rPr>
        <w:fldChar w:fldCharType="end"/>
      </w:r>
      <w:bookmarkEnd w:id="21"/>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38C9240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9588770">
      <w:pPr>
        <w:pStyle w:val="92"/>
        <w:spacing w:before="560" w:after="360"/>
      </w:pPr>
      <w:bookmarkStart w:id="22" w:name="BookMark2"/>
      <w:r>
        <w:rPr>
          <w:rFonts w:hint="eastAsia"/>
          <w:spacing w:val="320"/>
        </w:rPr>
        <w:t>前</w:t>
      </w:r>
      <w:r>
        <w:rPr>
          <w:rFonts w:hint="eastAsia"/>
        </w:rPr>
        <w:t>言</w:t>
      </w:r>
    </w:p>
    <w:p w14:paraId="34FDF94D">
      <w:pPr>
        <w:pStyle w:val="59"/>
        <w:ind w:firstLine="420"/>
      </w:pPr>
      <w:r>
        <w:rPr>
          <w:rFonts w:hint="eastAsia"/>
        </w:rPr>
        <w:t>本文件按照GB/T 1.1—2020《标准化工作导则  第1部分：标准化文件的结构和起草规则》的规定起草。</w:t>
      </w:r>
    </w:p>
    <w:p w14:paraId="4C87A0D0">
      <w:pPr>
        <w:pStyle w:val="59"/>
        <w:ind w:firstLine="420"/>
      </w:pPr>
      <w:r>
        <w:rPr>
          <w:rFonts w:hint="eastAsia"/>
        </w:rPr>
        <w:t>请注意本文件的某些内容可能涉及专利。本文件的发布机构不承担识别专利的责任。</w:t>
      </w:r>
    </w:p>
    <w:p w14:paraId="5DCE9254">
      <w:pPr>
        <w:pStyle w:val="59"/>
        <w:ind w:firstLine="420"/>
      </w:pPr>
      <w:r>
        <w:rPr>
          <w:rFonts w:hint="eastAsia"/>
        </w:rPr>
        <w:t>本文件由××××提出。</w:t>
      </w:r>
    </w:p>
    <w:p w14:paraId="52E1307C">
      <w:pPr>
        <w:pStyle w:val="59"/>
        <w:ind w:firstLine="420"/>
      </w:pPr>
      <w:r>
        <w:rPr>
          <w:rFonts w:hint="eastAsia"/>
        </w:rPr>
        <w:t>本文件由××××归口。</w:t>
      </w:r>
    </w:p>
    <w:p w14:paraId="461D9A41">
      <w:pPr>
        <w:pStyle w:val="59"/>
        <w:ind w:firstLine="420"/>
      </w:pPr>
      <w:r>
        <w:rPr>
          <w:rFonts w:hint="eastAsia"/>
        </w:rPr>
        <w:t>本文件起草单位：</w:t>
      </w:r>
    </w:p>
    <w:p w14:paraId="4885CF54">
      <w:pPr>
        <w:pStyle w:val="59"/>
        <w:ind w:firstLine="420"/>
      </w:pPr>
      <w:r>
        <w:rPr>
          <w:rFonts w:hint="eastAsia"/>
        </w:rPr>
        <w:t>本文件主要起草人：</w:t>
      </w:r>
    </w:p>
    <w:p w14:paraId="5FF8BF0A">
      <w:pPr>
        <w:pStyle w:val="59"/>
        <w:ind w:firstLine="420"/>
      </w:pPr>
    </w:p>
    <w:p w14:paraId="1B611AE6">
      <w:pPr>
        <w:pStyle w:val="59"/>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2"/>
    <w:p w14:paraId="1777A651">
      <w:pPr>
        <w:spacing w:line="20" w:lineRule="exact"/>
        <w:jc w:val="center"/>
        <w:rPr>
          <w:rFonts w:ascii="黑体" w:hAnsi="黑体" w:eastAsia="黑体"/>
          <w:sz w:val="32"/>
          <w:szCs w:val="32"/>
        </w:rPr>
      </w:pPr>
      <w:bookmarkStart w:id="23" w:name="BookMark4"/>
    </w:p>
    <w:p w14:paraId="64342460">
      <w:pPr>
        <w:spacing w:line="20" w:lineRule="exact"/>
        <w:jc w:val="center"/>
        <w:rPr>
          <w:rFonts w:ascii="黑体" w:hAnsi="黑体" w:eastAsia="黑体"/>
          <w:sz w:val="32"/>
          <w:szCs w:val="32"/>
        </w:rPr>
      </w:pPr>
    </w:p>
    <w:sdt>
      <w:sdtPr>
        <w:tag w:val="NEW_STAND_NAME"/>
        <w:id w:val="595910757"/>
        <w:lock w:val="sdtLocked"/>
        <w:placeholder>
          <w:docPart w:val="01D26B2114E2498FBE368BFDC16F1351"/>
        </w:placeholder>
      </w:sdtPr>
      <w:sdtContent>
        <w:p w14:paraId="3F64647F">
          <w:pPr>
            <w:pStyle w:val="180"/>
            <w:spacing w:before="2" w:beforeLines="1" w:after="528" w:afterLines="220"/>
          </w:pPr>
          <w:bookmarkStart w:id="24" w:name="NEW_STAND_NAME"/>
          <w:r>
            <w:rPr>
              <w:rFonts w:hint="eastAsia"/>
            </w:rPr>
            <w:t>团餐食材供应链数智化平台建设规范</w:t>
          </w:r>
        </w:p>
      </w:sdtContent>
    </w:sdt>
    <w:bookmarkEnd w:id="24"/>
    <w:p w14:paraId="09702C04">
      <w:pPr>
        <w:pStyle w:val="107"/>
        <w:spacing w:before="240" w:after="240"/>
      </w:pPr>
      <w:bookmarkStart w:id="25" w:name="_Toc97192964"/>
      <w:bookmarkStart w:id="26" w:name="_Toc26986530"/>
      <w:bookmarkStart w:id="27" w:name="_Toc26648465"/>
      <w:bookmarkStart w:id="28" w:name="_Toc17233325"/>
      <w:bookmarkStart w:id="29" w:name="_Toc17233333"/>
      <w:bookmarkStart w:id="30" w:name="_Toc24884218"/>
      <w:bookmarkStart w:id="31" w:name="_Toc26718930"/>
      <w:bookmarkStart w:id="32" w:name="_Toc24884211"/>
      <w:bookmarkStart w:id="33" w:name="_Toc26986771"/>
      <w:r>
        <w:rPr>
          <w:rFonts w:hint="eastAsia"/>
        </w:rPr>
        <w:t>范围</w:t>
      </w:r>
      <w:bookmarkEnd w:id="25"/>
      <w:bookmarkEnd w:id="26"/>
      <w:bookmarkEnd w:id="27"/>
      <w:bookmarkEnd w:id="28"/>
      <w:bookmarkEnd w:id="29"/>
      <w:bookmarkEnd w:id="30"/>
      <w:bookmarkEnd w:id="31"/>
      <w:bookmarkEnd w:id="32"/>
      <w:bookmarkEnd w:id="33"/>
    </w:p>
    <w:p w14:paraId="2D4A2982">
      <w:pPr>
        <w:pStyle w:val="59"/>
        <w:ind w:firstLine="420"/>
      </w:pPr>
      <w:bookmarkStart w:id="34" w:name="_Toc24884219"/>
      <w:bookmarkStart w:id="35" w:name="_Toc17233334"/>
      <w:bookmarkStart w:id="36" w:name="_Toc26648466"/>
      <w:bookmarkStart w:id="37" w:name="_Toc24884212"/>
      <w:bookmarkStart w:id="38" w:name="_Toc17233326"/>
      <w:r>
        <w:t>本文件</w:t>
      </w:r>
      <w:bookmarkStart w:id="39" w:name="_Hlk194231601"/>
      <w:r>
        <w:rPr>
          <w:rFonts w:hint="eastAsia"/>
        </w:rPr>
        <w:t>界定了</w:t>
      </w:r>
      <w:bookmarkStart w:id="40" w:name="_Hlk193708690"/>
      <w:r>
        <w:t>团餐食材供应链数智化</w:t>
      </w:r>
      <w:bookmarkEnd w:id="40"/>
      <w:r>
        <w:t>平台</w:t>
      </w:r>
      <w:r>
        <w:rPr>
          <w:rFonts w:hint="eastAsia"/>
        </w:rPr>
        <w:t>术语和定义</w:t>
      </w:r>
      <w:bookmarkEnd w:id="39"/>
      <w:r>
        <w:rPr>
          <w:rFonts w:hint="eastAsia"/>
        </w:rPr>
        <w:t>，</w:t>
      </w:r>
      <w:r>
        <w:t>规定了团餐食材供应链数智化平台</w:t>
      </w:r>
      <w:r>
        <w:rPr>
          <w:rFonts w:hint="eastAsia"/>
        </w:rPr>
        <w:t>的基本</w:t>
      </w:r>
      <w:r>
        <w:t>要求、总体架构、功能要求、管理要求、评价改进。</w:t>
      </w:r>
    </w:p>
    <w:p w14:paraId="0AF5BDEA">
      <w:pPr>
        <w:pStyle w:val="59"/>
        <w:ind w:firstLine="420"/>
      </w:pPr>
      <w:r>
        <w:t>本文件适用于团餐食材供应链数智化平台的建设和管理。</w:t>
      </w:r>
    </w:p>
    <w:p w14:paraId="73B97CB4">
      <w:pPr>
        <w:pStyle w:val="107"/>
        <w:spacing w:before="240" w:after="240"/>
      </w:pPr>
      <w:bookmarkStart w:id="41" w:name="_Toc26718931"/>
      <w:bookmarkStart w:id="42" w:name="_Toc97192965"/>
      <w:bookmarkStart w:id="43" w:name="_Toc26986772"/>
      <w:bookmarkStart w:id="44" w:name="_Toc26986531"/>
      <w:r>
        <w:rPr>
          <w:rFonts w:hint="eastAsia"/>
        </w:rPr>
        <w:t>规范性引用文件</w:t>
      </w:r>
      <w:bookmarkEnd w:id="34"/>
      <w:bookmarkEnd w:id="35"/>
      <w:bookmarkEnd w:id="36"/>
      <w:bookmarkEnd w:id="37"/>
      <w:bookmarkEnd w:id="38"/>
      <w:bookmarkEnd w:id="41"/>
      <w:bookmarkEnd w:id="42"/>
      <w:bookmarkEnd w:id="43"/>
      <w:bookmarkEnd w:id="44"/>
    </w:p>
    <w:sdt>
      <w:sdtPr>
        <w:rPr>
          <w:rFonts w:hint="eastAsia"/>
        </w:rPr>
        <w:id w:val="715848253"/>
        <w:placeholder>
          <w:docPart w:val="681E45DF08E940B4AAA922733A3C3F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4AD1D9A">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16A10C">
      <w:pPr>
        <w:pStyle w:val="59"/>
        <w:ind w:firstLine="420"/>
        <w:rPr>
          <w:rStyle w:val="34"/>
          <w:rFonts w:hAnsi="宋体"/>
        </w:rPr>
      </w:pPr>
      <w:bookmarkStart w:id="45" w:name="_Toc97192966"/>
      <w:r>
        <w:rPr>
          <w:rStyle w:val="34"/>
          <w:rFonts w:hint="eastAsia" w:hAnsi="宋体"/>
        </w:rPr>
        <w:t>GB 3165 食品安全国家标准 餐饮服务通用卫生规范</w:t>
      </w:r>
    </w:p>
    <w:p w14:paraId="5CF141A5">
      <w:pPr>
        <w:pStyle w:val="59"/>
        <w:ind w:firstLine="420"/>
        <w:rPr>
          <w:rFonts w:ascii="宋体" w:hAnsi="宋体"/>
        </w:rPr>
      </w:pPr>
      <w:r>
        <w:rPr>
          <w:rFonts w:hint="eastAsia" w:ascii="宋体" w:hAnsi="宋体"/>
        </w:rPr>
        <w:t>GB 14881 食品安全国家标准 食品生产通用卫生规范</w:t>
      </w:r>
    </w:p>
    <w:p w14:paraId="684F92BD">
      <w:pPr>
        <w:pStyle w:val="59"/>
        <w:ind w:firstLine="420"/>
        <w:rPr>
          <w:rStyle w:val="34"/>
          <w:rFonts w:hAnsi="宋体"/>
        </w:rPr>
      </w:pPr>
      <w:r>
        <w:rPr>
          <w:rFonts w:hint="eastAsia" w:ascii="宋体" w:hAnsi="宋体"/>
        </w:rPr>
        <w:t xml:space="preserve">GB 15629.11  </w:t>
      </w:r>
      <w:r>
        <w:fldChar w:fldCharType="begin"/>
      </w:r>
      <w:r>
        <w:instrText xml:space="preserve"> HYPERLINK "https://std.samr.gov.cn/gb/search/gbDetailed?id=71F772D80100D3A7E05397BE0A0AB82A" \t "_blank" </w:instrText>
      </w:r>
      <w:r>
        <w:fldChar w:fldCharType="separate"/>
      </w:r>
      <w:r>
        <w:rPr>
          <w:rStyle w:val="34"/>
          <w:rFonts w:hAnsi="宋体"/>
        </w:rPr>
        <w:t>信息技术</w:t>
      </w:r>
      <w:r>
        <w:rPr>
          <w:rStyle w:val="34"/>
          <w:rFonts w:hint="eastAsia" w:hAnsi="宋体"/>
        </w:rPr>
        <w:t xml:space="preserve"> </w:t>
      </w:r>
      <w:r>
        <w:rPr>
          <w:rStyle w:val="34"/>
          <w:rFonts w:hAnsi="宋体"/>
        </w:rPr>
        <w:t>系统间远程通信和信息交换</w:t>
      </w:r>
      <w:r>
        <w:rPr>
          <w:rStyle w:val="34"/>
          <w:rFonts w:hint="eastAsia" w:hAnsi="宋体"/>
        </w:rPr>
        <w:t xml:space="preserve"> </w:t>
      </w:r>
      <w:r>
        <w:rPr>
          <w:rStyle w:val="34"/>
          <w:rFonts w:hAnsi="宋体"/>
        </w:rPr>
        <w:t>局域网和城域网</w:t>
      </w:r>
      <w:r>
        <w:rPr>
          <w:rStyle w:val="34"/>
          <w:rFonts w:hint="eastAsia" w:hAnsi="宋体"/>
        </w:rPr>
        <w:t xml:space="preserve"> </w:t>
      </w:r>
      <w:r>
        <w:rPr>
          <w:rStyle w:val="34"/>
          <w:rFonts w:hAnsi="宋体"/>
        </w:rPr>
        <w:t>特定要求</w:t>
      </w:r>
      <w:r>
        <w:rPr>
          <w:rStyle w:val="34"/>
          <w:rFonts w:hint="eastAsia" w:hAnsi="宋体"/>
        </w:rPr>
        <w:t xml:space="preserve"> </w:t>
      </w:r>
      <w:r>
        <w:rPr>
          <w:rStyle w:val="34"/>
          <w:rFonts w:hAnsi="宋体"/>
        </w:rPr>
        <w:t>第11部分：无线局域网媒体访问控制和物理层规范</w:t>
      </w:r>
      <w:r>
        <w:rPr>
          <w:rStyle w:val="34"/>
          <w:rFonts w:hAnsi="宋体"/>
        </w:rPr>
        <w:fldChar w:fldCharType="end"/>
      </w:r>
    </w:p>
    <w:p w14:paraId="4FBD4A6E">
      <w:pPr>
        <w:pStyle w:val="59"/>
        <w:ind w:firstLine="420"/>
        <w:rPr>
          <w:rFonts w:ascii="宋体" w:hAnsi="宋体"/>
        </w:rPr>
      </w:pPr>
      <w:r>
        <w:rPr>
          <w:rFonts w:hint="eastAsia" w:ascii="宋体" w:hAnsi="宋体"/>
        </w:rPr>
        <w:t>GB/T 18233.1  信息技术 用户建筑群通用布缆 第1部分：通用要求</w:t>
      </w:r>
    </w:p>
    <w:p w14:paraId="6E51A06B">
      <w:pPr>
        <w:pStyle w:val="59"/>
        <w:ind w:firstLine="420"/>
        <w:rPr>
          <w:rStyle w:val="34"/>
          <w:rFonts w:hAnsi="宋体"/>
        </w:rPr>
      </w:pPr>
      <w:r>
        <w:rPr>
          <w:rStyle w:val="34"/>
          <w:rFonts w:hint="eastAsia" w:hAnsi="宋体"/>
        </w:rPr>
        <w:t xml:space="preserve">GB/T </w:t>
      </w:r>
      <w:bookmarkStart w:id="46" w:name="OLE_LINK3"/>
      <w:r>
        <w:rPr>
          <w:rStyle w:val="34"/>
          <w:rFonts w:hint="eastAsia" w:hAnsi="宋体"/>
        </w:rPr>
        <w:t>20271</w:t>
      </w:r>
      <w:bookmarkEnd w:id="46"/>
      <w:r>
        <w:rPr>
          <w:rStyle w:val="34"/>
          <w:rFonts w:hint="eastAsia" w:hAnsi="宋体"/>
        </w:rPr>
        <w:t xml:space="preserve">  信息安全技术 信息系统通用安全技术要求</w:t>
      </w:r>
    </w:p>
    <w:p w14:paraId="4C84240E">
      <w:pPr>
        <w:pStyle w:val="59"/>
        <w:ind w:firstLine="420"/>
        <w:rPr>
          <w:rStyle w:val="34"/>
          <w:rFonts w:hAnsi="宋体"/>
        </w:rPr>
      </w:pPr>
      <w:r>
        <w:rPr>
          <w:rStyle w:val="34"/>
          <w:rFonts w:hint="eastAsia" w:hAnsi="宋体"/>
        </w:rPr>
        <w:t xml:space="preserve">GB/T 20988  </w:t>
      </w:r>
      <w:r>
        <w:fldChar w:fldCharType="begin"/>
      </w:r>
      <w:r>
        <w:instrText xml:space="preserve"> HYPERLINK "https://std.samr.gov.cn/gb/search/gbDetailed?id=71F772D788E1D3A7E05397BE0A0AB82A" \t "_blank" </w:instrText>
      </w:r>
      <w:r>
        <w:fldChar w:fldCharType="separate"/>
      </w:r>
      <w:r>
        <w:rPr>
          <w:rStyle w:val="34"/>
          <w:rFonts w:hAnsi="宋体"/>
        </w:rPr>
        <w:t>信息安全技术 信息系统灾难恢复规范</w:t>
      </w:r>
      <w:r>
        <w:rPr>
          <w:rStyle w:val="34"/>
          <w:rFonts w:hAnsi="宋体"/>
        </w:rPr>
        <w:fldChar w:fldCharType="end"/>
      </w:r>
    </w:p>
    <w:p w14:paraId="0467F83E">
      <w:pPr>
        <w:pStyle w:val="59"/>
        <w:ind w:firstLine="420"/>
        <w:rPr>
          <w:rStyle w:val="34"/>
          <w:rFonts w:hAnsi="宋体"/>
        </w:rPr>
      </w:pPr>
      <w:r>
        <w:rPr>
          <w:rStyle w:val="34"/>
          <w:rFonts w:hint="eastAsia" w:hAnsi="宋体"/>
        </w:rPr>
        <w:t xml:space="preserve">GB/T 22239  </w:t>
      </w:r>
      <w:r>
        <w:fldChar w:fldCharType="begin"/>
      </w:r>
      <w:r>
        <w:instrText xml:space="preserve"> HYPERLINK "https://std.samr.gov.cn/gb/search/gbDetailed?id=88F4E6DA63434198E05397BE0A0ADE2D" \t "_blank" </w:instrText>
      </w:r>
      <w:r>
        <w:fldChar w:fldCharType="separate"/>
      </w:r>
      <w:r>
        <w:rPr>
          <w:rStyle w:val="34"/>
          <w:rFonts w:hAnsi="宋体"/>
        </w:rPr>
        <w:t>信息安全技术 网络安全等级保护基本要求</w:t>
      </w:r>
      <w:r>
        <w:rPr>
          <w:rStyle w:val="34"/>
          <w:rFonts w:hAnsi="宋体"/>
        </w:rPr>
        <w:fldChar w:fldCharType="end"/>
      </w:r>
    </w:p>
    <w:p w14:paraId="58BFCE15">
      <w:pPr>
        <w:pStyle w:val="59"/>
        <w:ind w:firstLine="420"/>
        <w:rPr>
          <w:rFonts w:ascii="宋体" w:hAnsi="宋体"/>
        </w:rPr>
      </w:pPr>
      <w:r>
        <w:rPr>
          <w:rFonts w:hint="eastAsia" w:ascii="宋体" w:hAnsi="宋体"/>
        </w:rPr>
        <w:t xml:space="preserve">GB/T 25068.1  </w:t>
      </w:r>
      <w:r>
        <w:fldChar w:fldCharType="begin"/>
      </w:r>
      <w:r>
        <w:instrText xml:space="preserve"> HYPERLINK "https://std.samr.gov.cn/gb/search/gbDetailed?id=B4C25880C47C1CB3E05397BE0A0A92D0" \t "_blank" </w:instrText>
      </w:r>
      <w:r>
        <w:fldChar w:fldCharType="separate"/>
      </w:r>
      <w:r>
        <w:rPr>
          <w:rStyle w:val="34"/>
          <w:rFonts w:hAnsi="宋体"/>
        </w:rPr>
        <w:t>信息技术 安全技术 网络安全 第1部分：综述和概念</w:t>
      </w:r>
      <w:r>
        <w:rPr>
          <w:rStyle w:val="34"/>
          <w:rFonts w:hAnsi="宋体"/>
        </w:rPr>
        <w:fldChar w:fldCharType="end"/>
      </w:r>
    </w:p>
    <w:p w14:paraId="7688E362">
      <w:pPr>
        <w:pStyle w:val="59"/>
        <w:ind w:firstLine="420"/>
        <w:rPr>
          <w:rStyle w:val="34"/>
          <w:rFonts w:hAnsi="宋体"/>
        </w:rPr>
      </w:pPr>
      <w:r>
        <w:rPr>
          <w:rStyle w:val="34"/>
          <w:rFonts w:hint="eastAsia" w:hAnsi="宋体"/>
        </w:rPr>
        <w:t xml:space="preserve">GB/T 28448  </w:t>
      </w:r>
      <w:r>
        <w:fldChar w:fldCharType="begin"/>
      </w:r>
      <w:r>
        <w:instrText xml:space="preserve"> HYPERLINK "https://std.samr.gov.cn/gb/search/gbDetailed?id=88F4E6DA63424198E05397BE0A0ADE2D" \t "_blank" </w:instrText>
      </w:r>
      <w:r>
        <w:fldChar w:fldCharType="separate"/>
      </w:r>
      <w:r>
        <w:rPr>
          <w:rStyle w:val="34"/>
          <w:rFonts w:hAnsi="宋体"/>
        </w:rPr>
        <w:t>信息安全技术 网络安全等级保护测评要求</w:t>
      </w:r>
      <w:r>
        <w:rPr>
          <w:rStyle w:val="34"/>
          <w:rFonts w:hAnsi="宋体"/>
        </w:rPr>
        <w:fldChar w:fldCharType="end"/>
      </w:r>
    </w:p>
    <w:p w14:paraId="729B416A">
      <w:pPr>
        <w:pStyle w:val="59"/>
        <w:ind w:firstLine="420"/>
        <w:rPr>
          <w:rFonts w:ascii="宋体" w:hAnsi="宋体"/>
        </w:rPr>
      </w:pPr>
      <w:r>
        <w:rPr>
          <w:rStyle w:val="34"/>
          <w:rFonts w:hint="eastAsia" w:hAnsi="宋体"/>
        </w:rPr>
        <w:t xml:space="preserve">GB/T 28452  </w:t>
      </w:r>
      <w:r>
        <w:fldChar w:fldCharType="begin"/>
      </w:r>
      <w:r>
        <w:instrText xml:space="preserve"> HYPERLINK "https://std.samr.gov.cn/gb/search/gbDetailed?id=71F772D7E415D3A7E05397BE0A0AB82A" \t "_blank" </w:instrText>
      </w:r>
      <w:r>
        <w:fldChar w:fldCharType="separate"/>
      </w:r>
      <w:r>
        <w:rPr>
          <w:rStyle w:val="34"/>
          <w:rFonts w:hAnsi="宋体"/>
        </w:rPr>
        <w:t>信息安全技术 应用软件系统通用安全技术要求</w:t>
      </w:r>
      <w:r>
        <w:rPr>
          <w:rStyle w:val="34"/>
          <w:rFonts w:hAnsi="宋体"/>
        </w:rPr>
        <w:fldChar w:fldCharType="end"/>
      </w:r>
    </w:p>
    <w:p w14:paraId="4E7D0277">
      <w:pPr>
        <w:pStyle w:val="59"/>
        <w:ind w:firstLine="420"/>
        <w:rPr>
          <w:rStyle w:val="34"/>
          <w:rFonts w:hAnsi="宋体"/>
        </w:rPr>
      </w:pPr>
      <w:r>
        <w:rPr>
          <w:rStyle w:val="34"/>
          <w:rFonts w:hint="eastAsia" w:hAnsi="宋体"/>
        </w:rPr>
        <w:t xml:space="preserve">GB/T 28827.1  </w:t>
      </w:r>
      <w:r>
        <w:fldChar w:fldCharType="begin"/>
      </w:r>
      <w:r>
        <w:instrText xml:space="preserve"> HYPERLINK "https://std.samr.gov.cn/gb/search/gbDetailed?id=EB58F4DA925DB2A2E05397BE0A0A7D33" \t "_blank" </w:instrText>
      </w:r>
      <w:r>
        <w:fldChar w:fldCharType="separate"/>
      </w:r>
      <w:r>
        <w:rPr>
          <w:rStyle w:val="34"/>
          <w:rFonts w:hAnsi="宋体"/>
        </w:rPr>
        <w:t xml:space="preserve">信息技术服务 运行维护 第1部分：通用要求 </w:t>
      </w:r>
      <w:r>
        <w:rPr>
          <w:rStyle w:val="34"/>
          <w:rFonts w:hAnsi="宋体"/>
        </w:rPr>
        <w:fldChar w:fldCharType="end"/>
      </w:r>
    </w:p>
    <w:p w14:paraId="2CD46FAA">
      <w:pPr>
        <w:pStyle w:val="59"/>
        <w:ind w:firstLine="420"/>
        <w:rPr>
          <w:rStyle w:val="34"/>
          <w:rFonts w:hAnsi="宋体"/>
        </w:rPr>
      </w:pPr>
      <w:r>
        <w:rPr>
          <w:rStyle w:val="34"/>
          <w:rFonts w:hint="eastAsia" w:hAnsi="宋体"/>
        </w:rPr>
        <w:t xml:space="preserve">GB/T 28827.2  </w:t>
      </w:r>
      <w:r>
        <w:fldChar w:fldCharType="begin"/>
      </w:r>
      <w:r>
        <w:instrText xml:space="preserve"> HYPERLINK "https://std.samr.gov.cn/gb/search/gbDetailed?id=71F772D7E169D3A7E05397BE0A0AB82A" \t "_blank" </w:instrText>
      </w:r>
      <w:r>
        <w:fldChar w:fldCharType="separate"/>
      </w:r>
      <w:r>
        <w:rPr>
          <w:rStyle w:val="34"/>
          <w:rFonts w:hAnsi="宋体"/>
        </w:rPr>
        <w:t>信息技术服务 运行维护 第2部分：交付规范</w:t>
      </w:r>
      <w:r>
        <w:rPr>
          <w:rStyle w:val="34"/>
          <w:rFonts w:hAnsi="宋体"/>
        </w:rPr>
        <w:fldChar w:fldCharType="end"/>
      </w:r>
    </w:p>
    <w:p w14:paraId="7C881E7C">
      <w:pPr>
        <w:pStyle w:val="59"/>
        <w:ind w:firstLine="420"/>
        <w:rPr>
          <w:rStyle w:val="34"/>
          <w:rFonts w:hAnsi="宋体"/>
        </w:rPr>
      </w:pPr>
      <w:r>
        <w:rPr>
          <w:rStyle w:val="34"/>
          <w:rFonts w:hint="eastAsia" w:hAnsi="宋体"/>
        </w:rPr>
        <w:t xml:space="preserve">GB/T 28827.3  </w:t>
      </w:r>
      <w:r>
        <w:fldChar w:fldCharType="begin"/>
      </w:r>
      <w:r>
        <w:instrText xml:space="preserve"> HYPERLINK "https://std.samr.gov.cn/gb/search/gbDetailed?id=71F772D7E43FD3A7E05397BE0A0AB82A" \t "_blank" </w:instrText>
      </w:r>
      <w:r>
        <w:fldChar w:fldCharType="separate"/>
      </w:r>
      <w:r>
        <w:rPr>
          <w:rStyle w:val="34"/>
          <w:rFonts w:hAnsi="宋体"/>
        </w:rPr>
        <w:t>信息技术服务 运行维护 第3部分：应急响应规范</w:t>
      </w:r>
      <w:r>
        <w:rPr>
          <w:rStyle w:val="34"/>
          <w:rFonts w:hAnsi="宋体"/>
        </w:rPr>
        <w:fldChar w:fldCharType="end"/>
      </w:r>
    </w:p>
    <w:p w14:paraId="0A594716">
      <w:pPr>
        <w:pStyle w:val="59"/>
        <w:ind w:firstLine="420"/>
        <w:rPr>
          <w:rStyle w:val="34"/>
          <w:rFonts w:hAnsi="宋体"/>
        </w:rPr>
      </w:pPr>
      <w:r>
        <w:rPr>
          <w:rStyle w:val="34"/>
          <w:rFonts w:hint="eastAsia" w:hAnsi="宋体"/>
        </w:rPr>
        <w:t xml:space="preserve">GB/T 35273  </w:t>
      </w:r>
      <w:r>
        <w:fldChar w:fldCharType="begin"/>
      </w:r>
      <w:r>
        <w:instrText xml:space="preserve"> HYPERLINK "https://std.samr.gov.cn/gb/search/gbDetailed?id=A0280129495AEBB4E05397BE0A0AB6FE" \t "_blank" </w:instrText>
      </w:r>
      <w:r>
        <w:fldChar w:fldCharType="separate"/>
      </w:r>
      <w:r>
        <w:rPr>
          <w:rStyle w:val="34"/>
          <w:rFonts w:hAnsi="宋体"/>
        </w:rPr>
        <w:t>信息安全技术 个人信息安全规范</w:t>
      </w:r>
      <w:r>
        <w:rPr>
          <w:rStyle w:val="34"/>
          <w:rFonts w:hAnsi="宋体"/>
        </w:rPr>
        <w:fldChar w:fldCharType="end"/>
      </w:r>
    </w:p>
    <w:p w14:paraId="64C7DC0E">
      <w:pPr>
        <w:pStyle w:val="59"/>
        <w:ind w:firstLine="420"/>
        <w:rPr>
          <w:rStyle w:val="34"/>
          <w:rFonts w:hAnsi="宋体"/>
        </w:rPr>
      </w:pPr>
      <w:r>
        <w:rPr>
          <w:rStyle w:val="34"/>
          <w:rFonts w:hint="eastAsia" w:hAnsi="宋体"/>
        </w:rPr>
        <w:t>GB/T 38158</w:t>
      </w:r>
      <w:r>
        <w:rPr>
          <w:rStyle w:val="34"/>
          <w:rFonts w:hAnsi="宋体"/>
        </w:rPr>
        <w:t xml:space="preserve">  </w:t>
      </w:r>
      <w:r>
        <w:rPr>
          <w:rStyle w:val="34"/>
          <w:rFonts w:hint="eastAsia" w:hAnsi="宋体"/>
        </w:rPr>
        <w:t>重要产品追溯 追溯体系通用要求</w:t>
      </w:r>
    </w:p>
    <w:p w14:paraId="1C660FBB">
      <w:pPr>
        <w:pStyle w:val="59"/>
        <w:ind w:firstLine="420"/>
        <w:rPr>
          <w:rFonts w:ascii="宋体" w:hAnsi="宋体"/>
        </w:rPr>
      </w:pPr>
      <w:r>
        <w:rPr>
          <w:rFonts w:hint="eastAsia" w:ascii="宋体" w:hAnsi="宋体"/>
        </w:rPr>
        <w:t>SB/T 10856  团餐管理服务规范</w:t>
      </w:r>
    </w:p>
    <w:p w14:paraId="0EAFA2C4">
      <w:pPr>
        <w:pStyle w:val="107"/>
        <w:spacing w:before="240" w:after="240"/>
      </w:pPr>
      <w:r>
        <w:rPr>
          <w:rFonts w:hint="eastAsia"/>
          <w:szCs w:val="21"/>
        </w:rPr>
        <w:t>术语和定义</w:t>
      </w:r>
      <w:bookmarkEnd w:id="45"/>
    </w:p>
    <w:sdt>
      <w:sdtPr>
        <w:rPr>
          <w:rFonts w:ascii="宋体" w:hAnsi="宋体"/>
        </w:rPr>
        <w:id w:val="-1909835108"/>
        <w:placeholder>
          <w:docPart w:val="4F1C16E14B6348158B59F4E62A12EDC2"/>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rPr>
      </w:sdtEndPr>
      <w:sdtContent>
        <w:p w14:paraId="7D924991">
          <w:pPr>
            <w:pStyle w:val="59"/>
            <w:ind w:firstLine="420"/>
          </w:pPr>
          <w:bookmarkStart w:id="47" w:name="_Toc26986532"/>
          <w:bookmarkEnd w:id="47"/>
          <w:r>
            <w:rPr>
              <w:rFonts w:ascii="宋体" w:hAnsi="宋体"/>
            </w:rPr>
            <w:t>SB/T 10856界定的术语和定义适用于本文件。</w:t>
          </w:r>
        </w:p>
      </w:sdtContent>
    </w:sdt>
    <w:p w14:paraId="4154914F">
      <w:pPr>
        <w:pStyle w:val="226"/>
        <w:ind w:left="420" w:hanging="420" w:hangingChars="200"/>
        <w:rPr>
          <w:rFonts w:ascii="黑体" w:hAnsi="黑体" w:eastAsia="黑体"/>
        </w:rPr>
      </w:pPr>
    </w:p>
    <w:p w14:paraId="075EC150">
      <w:pPr>
        <w:pStyle w:val="226"/>
        <w:numPr>
          <w:ilvl w:val="0"/>
          <w:numId w:val="0"/>
        </w:numPr>
        <w:ind w:left="420"/>
        <w:rPr>
          <w:rFonts w:hint="eastAsia" w:ascii="黑体" w:hAnsi="黑体" w:eastAsia="黑体"/>
        </w:rPr>
      </w:pPr>
      <w:r>
        <w:rPr>
          <w:rFonts w:hint="eastAsia" w:ascii="黑体" w:hAnsi="黑体" w:eastAsia="黑体"/>
        </w:rPr>
        <w:t xml:space="preserve">供应链 </w:t>
      </w:r>
      <w:r>
        <w:rPr>
          <w:rFonts w:ascii="黑体" w:hAnsi="黑体" w:eastAsia="黑体"/>
        </w:rPr>
        <w:t>supply chain</w:t>
      </w:r>
    </w:p>
    <w:p w14:paraId="32CC6FA0">
      <w:pPr>
        <w:pStyle w:val="59"/>
        <w:ind w:firstLine="420"/>
      </w:pPr>
      <w:r>
        <w:rPr>
          <w:rFonts w:hint="eastAsia"/>
        </w:rPr>
        <w:t>生产及流通过程中，围绕核心企业，将所涉及的原材料供应商、制造商、分销商、零售商直到最终用户等成员通过上游和或下游成员链接所形成的网链结构。</w:t>
      </w:r>
    </w:p>
    <w:p w14:paraId="7B90AE87">
      <w:pPr>
        <w:pStyle w:val="59"/>
        <w:ind w:firstLine="420"/>
      </w:pPr>
      <w:r>
        <w:rPr>
          <w:rFonts w:hint="eastAsia"/>
        </w:rPr>
        <w:t>[来源</w:t>
      </w:r>
      <w:r>
        <w:t>GB/Z 26337.1-2010</w:t>
      </w:r>
      <w:r>
        <w:rPr>
          <w:rFonts w:hint="eastAsia"/>
        </w:rPr>
        <w:t>，3.1.1]</w:t>
      </w:r>
    </w:p>
    <w:p w14:paraId="2B5B5442">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食材供应链</w:t>
      </w:r>
      <w:bookmarkStart w:id="48" w:name="OLE_LINK2"/>
      <w:r>
        <w:rPr>
          <w:rFonts w:hint="eastAsia" w:ascii="黑体" w:hAnsi="黑体" w:eastAsia="黑体"/>
        </w:rPr>
        <w:t xml:space="preserve">  </w:t>
      </w:r>
      <w:bookmarkStart w:id="49" w:name="_Hlk198104929"/>
      <w:r>
        <w:rPr>
          <w:rFonts w:ascii="黑体" w:hAnsi="黑体" w:eastAsia="黑体"/>
        </w:rPr>
        <w:t>supply chain</w:t>
      </w:r>
      <w:bookmarkEnd w:id="49"/>
    </w:p>
    <w:p w14:paraId="45F3F809">
      <w:pPr>
        <w:pStyle w:val="59"/>
        <w:ind w:firstLine="420"/>
        <w:rPr>
          <w:highlight w:val="none"/>
        </w:rPr>
      </w:pPr>
      <w:r>
        <w:rPr>
          <w:rFonts w:hint="eastAsia"/>
          <w:highlight w:val="none"/>
        </w:rPr>
        <w:t>指从食材的统一集采、检验、仓储到运输的全链条系统，核心在于保障食品新鲜安全与高效流通，涉及冷链物流、保质期管理等要求。</w:t>
      </w:r>
    </w:p>
    <w:p w14:paraId="4984F50C">
      <w:pPr>
        <w:pStyle w:val="226"/>
        <w:ind w:left="420" w:hanging="420" w:hangingChars="200"/>
        <w:rPr>
          <w:rFonts w:ascii="黑体" w:hAnsi="黑体" w:eastAsia="黑体"/>
        </w:rPr>
      </w:pPr>
      <w:r>
        <w:rPr>
          <w:rFonts w:ascii="黑体" w:hAnsi="黑体" w:eastAsia="黑体"/>
        </w:rPr>
        <w:br w:type="textWrapping"/>
      </w:r>
      <w:r>
        <w:rPr>
          <w:rFonts w:ascii="黑体" w:hAnsi="黑体" w:eastAsia="黑体"/>
        </w:rPr>
        <w:t>数智化平台</w:t>
      </w:r>
      <w:bookmarkEnd w:id="48"/>
      <w:r>
        <w:rPr>
          <w:rFonts w:hint="eastAsia" w:ascii="黑体" w:hAnsi="黑体" w:eastAsia="黑体"/>
        </w:rPr>
        <w:t xml:space="preserve">  d</w:t>
      </w:r>
      <w:r>
        <w:rPr>
          <w:rFonts w:ascii="黑体" w:hAnsi="黑体" w:eastAsia="黑体"/>
        </w:rPr>
        <w:t>igitized platform</w:t>
      </w:r>
    </w:p>
    <w:p w14:paraId="3758A08F">
      <w:pPr>
        <w:pStyle w:val="59"/>
        <w:ind w:firstLine="420"/>
      </w:pPr>
      <w:r>
        <w:t>通过大数据、人工智能、物联网等技术手段，实现团餐食材供应链全流程数字化、智能化的管理平台。</w:t>
      </w:r>
      <w:bookmarkStart w:id="52" w:name="_GoBack"/>
      <w:bookmarkEnd w:id="52"/>
    </w:p>
    <w:p w14:paraId="645292CA">
      <w:pPr>
        <w:pStyle w:val="107"/>
        <w:spacing w:before="240" w:after="240"/>
      </w:pPr>
      <w:r>
        <w:rPr>
          <w:rFonts w:hint="eastAsia"/>
        </w:rPr>
        <w:t>基本</w:t>
      </w:r>
      <w:r>
        <w:t>要求</w:t>
      </w:r>
    </w:p>
    <w:p w14:paraId="33280D61">
      <w:pPr>
        <w:pStyle w:val="108"/>
        <w:spacing w:before="120" w:after="120"/>
      </w:pPr>
      <w:r>
        <w:t>安全可控</w:t>
      </w:r>
    </w:p>
    <w:p w14:paraId="229603CD">
      <w:pPr>
        <w:pStyle w:val="59"/>
        <w:ind w:firstLine="420"/>
      </w:pPr>
      <w:r>
        <w:rPr>
          <w:rFonts w:hint="eastAsia"/>
        </w:rPr>
        <w:t>包括但不限于：</w:t>
      </w:r>
    </w:p>
    <w:p w14:paraId="579944D8">
      <w:pPr>
        <w:pStyle w:val="135"/>
      </w:pPr>
      <w:r>
        <w:rPr>
          <w:rFonts w:hint="eastAsia"/>
        </w:rPr>
        <w:t>网络安全、系统安全、数据安全符合GB/T 20271 的要求；</w:t>
      </w:r>
    </w:p>
    <w:p w14:paraId="2DF2FA9F">
      <w:pPr>
        <w:pStyle w:val="135"/>
      </w:pPr>
      <w:r>
        <w:rPr>
          <w:rFonts w:hint="eastAsia"/>
        </w:rPr>
        <w:t>网络安全等级保护应达到GB/T 22239的第三级安全要求，其测评符合GB/T 28448 的要求；</w:t>
      </w:r>
    </w:p>
    <w:p w14:paraId="5D856BAB">
      <w:pPr>
        <w:pStyle w:val="135"/>
      </w:pPr>
      <w:r>
        <w:rPr>
          <w:rFonts w:hint="eastAsia"/>
        </w:rPr>
        <w:t>对数据资源进行用本地或异地备份，备份数据恢复应符合GB/T 20988 的要求；</w:t>
      </w:r>
    </w:p>
    <w:p w14:paraId="62806B04">
      <w:pPr>
        <w:pStyle w:val="135"/>
      </w:pPr>
      <w:r>
        <w:rPr>
          <w:rFonts w:hint="eastAsia"/>
        </w:rPr>
        <w:t>用户数据隐私保护符合GB/T 35273的要求，账户信息应采用安全加密机制。</w:t>
      </w:r>
    </w:p>
    <w:p w14:paraId="4AD104E6">
      <w:pPr>
        <w:pStyle w:val="108"/>
        <w:spacing w:before="120" w:after="120"/>
        <w:rPr>
          <w:rStyle w:val="31"/>
          <w:rFonts w:ascii="Segoe UI" w:hAnsi="Segoe UI" w:cs="Segoe UI"/>
          <w:b w:val="0"/>
          <w:bCs w:val="0"/>
          <w:color w:val="404040"/>
        </w:rPr>
      </w:pPr>
      <w:r>
        <w:rPr>
          <w:rStyle w:val="31"/>
          <w:rFonts w:hint="eastAsia" w:ascii="Segoe UI" w:hAnsi="Segoe UI" w:cs="Segoe UI"/>
          <w:b w:val="0"/>
          <w:bCs w:val="0"/>
          <w:color w:val="404040"/>
        </w:rPr>
        <w:t>行业适配</w:t>
      </w:r>
    </w:p>
    <w:p w14:paraId="38B7051D">
      <w:pPr>
        <w:pStyle w:val="59"/>
        <w:ind w:firstLine="420"/>
      </w:pPr>
      <w:r>
        <w:rPr>
          <w:rFonts w:hint="default"/>
          <w:lang w:eastAsia="zh-CN"/>
        </w:rPr>
        <w:t>能够有效服务和补充团餐食材供应链的业务，实现分类标准化管理，并根据不同地域的各类学校需求，提供个性化的差异化服务。</w:t>
      </w:r>
      <w:r>
        <w:rPr>
          <w:rFonts w:hint="eastAsia"/>
        </w:rPr>
        <w:t>。</w:t>
      </w:r>
    </w:p>
    <w:p w14:paraId="25B7B9F8">
      <w:pPr>
        <w:pStyle w:val="108"/>
        <w:spacing w:before="120" w:after="120"/>
        <w:rPr>
          <w:rStyle w:val="31"/>
          <w:rFonts w:ascii="Segoe UI" w:hAnsi="Segoe UI" w:cs="Segoe UI"/>
          <w:b w:val="0"/>
          <w:bCs w:val="0"/>
          <w:color w:val="404040"/>
        </w:rPr>
      </w:pPr>
      <w:r>
        <w:rPr>
          <w:rStyle w:val="31"/>
          <w:rFonts w:hint="eastAsia" w:ascii="Segoe UI" w:hAnsi="Segoe UI" w:cs="Segoe UI"/>
          <w:b w:val="0"/>
          <w:bCs w:val="0"/>
          <w:color w:val="404040"/>
        </w:rPr>
        <w:t>兼容开放</w:t>
      </w:r>
    </w:p>
    <w:p w14:paraId="19DA771B">
      <w:pPr>
        <w:pStyle w:val="59"/>
        <w:ind w:firstLine="420"/>
      </w:pPr>
      <w:r>
        <w:rPr>
          <w:rFonts w:hint="eastAsia"/>
        </w:rPr>
        <w:t>包括但不限于：</w:t>
      </w:r>
    </w:p>
    <w:p w14:paraId="718CE600">
      <w:pPr>
        <w:pStyle w:val="135"/>
      </w:pPr>
      <w:r>
        <w:rPr>
          <w:rFonts w:hint="eastAsia"/>
        </w:rPr>
        <w:t>支持主流</w:t>
      </w:r>
      <w:r>
        <w:t>应用程序编程接口</w:t>
      </w:r>
      <w:r>
        <w:rPr>
          <w:rFonts w:hint="eastAsia"/>
        </w:rPr>
        <w:t>（</w:t>
      </w:r>
      <w:r>
        <w:t>Application Programming Interface</w:t>
      </w:r>
      <w:r>
        <w:rPr>
          <w:rFonts w:hint="eastAsia"/>
        </w:rPr>
        <w:t>，API）及定制化接口协议，适配</w:t>
      </w:r>
      <w:r>
        <w:t>企业资源计划</w:t>
      </w:r>
      <w:r>
        <w:rPr>
          <w:rFonts w:hint="eastAsia"/>
        </w:rPr>
        <w:t>（</w:t>
      </w:r>
      <w:r>
        <w:t>Enterprise Resource Planning</w:t>
      </w:r>
      <w:r>
        <w:rPr>
          <w:rFonts w:hint="eastAsia"/>
        </w:rPr>
        <w:t>，ERP）/财务等第三方系统数据互通，保障跨平台协作效率；</w:t>
      </w:r>
    </w:p>
    <w:p w14:paraId="3B762356">
      <w:pPr>
        <w:pStyle w:val="135"/>
      </w:pPr>
      <w:r>
        <w:rPr>
          <w:rFonts w:hint="eastAsia"/>
        </w:rPr>
        <w:t>采用微服务架构，可按企业需求增减功能模块，支持插件式扩展、云服务或私有化布署；</w:t>
      </w:r>
    </w:p>
    <w:p w14:paraId="2FE48AA4">
      <w:pPr>
        <w:pStyle w:val="135"/>
      </w:pPr>
      <w:r>
        <w:rPr>
          <w:rFonts w:hint="eastAsia"/>
        </w:rPr>
        <w:t>支持智能硬件及多终端数据采集接入。</w:t>
      </w:r>
    </w:p>
    <w:p w14:paraId="30F1E65F">
      <w:pPr>
        <w:pStyle w:val="107"/>
        <w:spacing w:before="240" w:after="240"/>
      </w:pPr>
      <w:r>
        <w:t>总体架构</w:t>
      </w:r>
    </w:p>
    <w:p w14:paraId="289DA159">
      <w:pPr>
        <w:pStyle w:val="108"/>
        <w:spacing w:before="120" w:after="120"/>
        <w:rPr>
          <w:color w:val="000000" w:themeColor="text1"/>
          <w14:textFill>
            <w14:solidFill>
              <w14:schemeClr w14:val="tx1"/>
            </w14:solidFill>
          </w14:textFill>
        </w:rPr>
      </w:pPr>
      <w:r>
        <w:rPr>
          <w:color w:val="000000" w:themeColor="text1"/>
          <w14:textFill>
            <w14:solidFill>
              <w14:schemeClr w14:val="tx1"/>
            </w14:solidFill>
          </w14:textFill>
        </w:rPr>
        <w:t>基础架构</w:t>
      </w:r>
    </w:p>
    <w:p w14:paraId="3C701585">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平台</w:t>
      </w:r>
      <w:r>
        <w:t>架构</w:t>
      </w:r>
      <w:r>
        <w:rPr>
          <w:rFonts w:hint="eastAsia"/>
        </w:rPr>
        <w:t>应自下而上，</w:t>
      </w:r>
      <w:r>
        <w:t>由</w:t>
      </w:r>
      <w:r>
        <w:rPr>
          <w:rFonts w:hint="eastAsia"/>
        </w:rPr>
        <w:t>基础设施层</w:t>
      </w:r>
      <w:r>
        <w:t>、</w:t>
      </w:r>
      <w:r>
        <w:rPr>
          <w:rFonts w:hint="eastAsia"/>
        </w:rPr>
        <w:t>业务</w:t>
      </w:r>
      <w:r>
        <w:t>数据层、</w:t>
      </w:r>
      <w:r>
        <w:rPr>
          <w:rFonts w:hint="eastAsia"/>
        </w:rPr>
        <w:t>基础系统层</w:t>
      </w:r>
      <w:r>
        <w:t>、</w:t>
      </w:r>
      <w:r>
        <w:rPr>
          <w:rFonts w:hint="eastAsia"/>
        </w:rPr>
        <w:t>场景应用层、应用展示层</w:t>
      </w:r>
      <w:r>
        <w:t>组成</w:t>
      </w:r>
      <w:r>
        <w:rPr>
          <w:color w:val="000000" w:themeColor="text1"/>
          <w14:textFill>
            <w14:solidFill>
              <w14:schemeClr w14:val="tx1"/>
            </w14:solidFill>
          </w14:textFill>
        </w:rPr>
        <w:t>。</w:t>
      </w:r>
    </w:p>
    <w:p w14:paraId="71F06E15">
      <w:pPr>
        <w:pStyle w:val="108"/>
        <w:spacing w:before="120" w:after="120"/>
      </w:pPr>
      <w:r>
        <w:rPr>
          <w:rFonts w:hint="eastAsia"/>
        </w:rPr>
        <w:t>基础设施层</w:t>
      </w:r>
    </w:p>
    <w:p w14:paraId="2FBC123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符合以下要求：</w:t>
      </w:r>
    </w:p>
    <w:p w14:paraId="5D149CAE">
      <w:pPr>
        <w:pStyle w:val="177"/>
      </w:pPr>
      <w:r>
        <w:rPr>
          <w:rFonts w:hint="eastAsia"/>
        </w:rPr>
        <w:t>为上层提供信息化设施支撑；</w:t>
      </w:r>
    </w:p>
    <w:p w14:paraId="37858016">
      <w:pPr>
        <w:pStyle w:val="177"/>
      </w:pPr>
      <w:r>
        <w:rPr>
          <w:rFonts w:hint="eastAsia"/>
        </w:rPr>
        <w:t>网络设备、结构、布缆、组网等符合GB/T 18233.1、GB 15629.11的要求；</w:t>
      </w:r>
    </w:p>
    <w:p w14:paraId="7ACB95FA">
      <w:pPr>
        <w:pStyle w:val="177"/>
      </w:pPr>
      <w:r>
        <w:rPr>
          <w:rFonts w:hint="eastAsia"/>
        </w:rPr>
        <w:t>主机、存储、安全设备符合GB/T 25068.1、GB/T 28452的要求。</w:t>
      </w:r>
    </w:p>
    <w:p w14:paraId="6F457EB2">
      <w:pPr>
        <w:pStyle w:val="108"/>
        <w:spacing w:before="120" w:after="120"/>
      </w:pPr>
      <w:r>
        <w:rPr>
          <w:rFonts w:hint="eastAsia"/>
        </w:rPr>
        <w:t>业务数据层</w:t>
      </w:r>
    </w:p>
    <w:p w14:paraId="1E3C78F3">
      <w:pPr>
        <w:pStyle w:val="168"/>
      </w:pPr>
      <w:r>
        <w:rPr>
          <w:rFonts w:hint="eastAsia"/>
        </w:rPr>
        <w:t>业务数据包括但不限于订单数据、采购数据、仓库数据、配送数据、结算数据。</w:t>
      </w:r>
    </w:p>
    <w:p w14:paraId="08A571AF">
      <w:pPr>
        <w:pStyle w:val="168"/>
      </w:pPr>
      <w:r>
        <w:rPr>
          <w:rFonts w:hint="eastAsia"/>
          <w:highlight w:val="none"/>
        </w:rPr>
        <w:t>宜</w:t>
      </w:r>
      <w:r>
        <w:rPr>
          <w:rFonts w:hint="eastAsia"/>
        </w:rPr>
        <w:t>采用</w:t>
      </w:r>
      <w:r>
        <w:rPr>
          <w:rFonts w:ascii="Arial" w:hAnsi="Arial" w:cs="Arial"/>
          <w:color w:val="333333"/>
          <w:sz w:val="20"/>
          <w:shd w:val="clear" w:color="auto" w:fill="FFFFFF"/>
        </w:rPr>
        <w:t>国</w:t>
      </w:r>
      <w:r>
        <w:t>产信创数据库</w:t>
      </w:r>
      <w:r>
        <w:rPr>
          <w:rFonts w:hint="eastAsia"/>
        </w:rPr>
        <w:t>对业务数</w:t>
      </w:r>
      <w:r>
        <w:rPr>
          <w:rFonts w:hint="eastAsia"/>
          <w:shd w:val="clear" w:color="auto" w:fill="FFFFFF"/>
        </w:rPr>
        <w:t>据进行处理</w:t>
      </w:r>
      <w:r>
        <w:rPr>
          <w:rFonts w:hint="eastAsia"/>
        </w:rPr>
        <w:t>。</w:t>
      </w:r>
    </w:p>
    <w:p w14:paraId="4E06F0C2">
      <w:pPr>
        <w:pStyle w:val="108"/>
        <w:spacing w:before="120" w:after="120"/>
      </w:pPr>
      <w:r>
        <w:rPr>
          <w:rFonts w:hint="eastAsia"/>
        </w:rPr>
        <w:t>基础系统层</w:t>
      </w:r>
    </w:p>
    <w:p w14:paraId="7B4F266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基础系统层功能包括身份认证、用户管理、权限管理、日志管理。</w:t>
      </w:r>
    </w:p>
    <w:p w14:paraId="26822FA4">
      <w:pPr>
        <w:pStyle w:val="108"/>
        <w:spacing w:before="120" w:after="120"/>
      </w:pPr>
      <w:r>
        <w:rPr>
          <w:rFonts w:hint="eastAsia"/>
        </w:rPr>
        <w:t>场景应用层</w:t>
      </w:r>
    </w:p>
    <w:p w14:paraId="6B6A6CC9">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场景应用层包括</w:t>
      </w:r>
      <w:r>
        <w:rPr>
          <w:rFonts w:hint="eastAsia" w:ascii="默认字体" w:eastAsia="默认字体"/>
          <w:color w:val="000000"/>
          <w:szCs w:val="21"/>
          <w:shd w:val="clear" w:color="auto" w:fill="F8F9FA"/>
        </w:rPr>
        <w:t>食材供应链大数据中心、配送服务管理系统、统一集采中心3大功能模块</w:t>
      </w:r>
      <w:r>
        <w:rPr>
          <w:rFonts w:hint="eastAsia"/>
          <w:color w:val="000000" w:themeColor="text1"/>
          <w14:textFill>
            <w14:solidFill>
              <w14:schemeClr w14:val="tx1"/>
            </w14:solidFill>
          </w14:textFill>
        </w:rPr>
        <w:t>。</w:t>
      </w:r>
    </w:p>
    <w:p w14:paraId="6CDC3C6D">
      <w:pPr>
        <w:pStyle w:val="108"/>
        <w:spacing w:before="120" w:after="120"/>
      </w:pPr>
      <w:r>
        <w:rPr>
          <w:rFonts w:hint="eastAsia"/>
        </w:rPr>
        <w:t>应用展示层</w:t>
      </w:r>
    </w:p>
    <w:p w14:paraId="1FAC40A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应用展示层包括用户端和管理端。用户端应具有用户端口，为政府、企业等不同角色提供功能服务。管理端应具有管理人员、业务人员、专业技术人员端口，通过平台履行职责。</w:t>
      </w:r>
    </w:p>
    <w:p w14:paraId="2E38A840">
      <w:pPr>
        <w:pStyle w:val="108"/>
        <w:spacing w:before="120" w:after="120"/>
      </w:pPr>
      <w:r>
        <w:rPr>
          <w:rFonts w:hint="eastAsia"/>
        </w:rPr>
        <w:t>安全运行保障</w:t>
      </w:r>
    </w:p>
    <w:p w14:paraId="13A4EC6F">
      <w:pPr>
        <w:pStyle w:val="59"/>
        <w:ind w:firstLine="420"/>
      </w:pPr>
      <w:r>
        <w:rPr>
          <w:rFonts w:hint="eastAsia"/>
        </w:rPr>
        <w:t>平台运行、交付、维护应急响应符合GB/T 28827.1、GB/T 28827.2、GB/T 28827.3的要求。</w:t>
      </w:r>
    </w:p>
    <w:p w14:paraId="6E7ECE6F">
      <w:pPr>
        <w:pStyle w:val="107"/>
        <w:spacing w:before="240" w:after="240"/>
      </w:pPr>
      <w:bookmarkStart w:id="50" w:name="_Hlk198116756"/>
      <w:r>
        <w:t>功能要求</w:t>
      </w:r>
    </w:p>
    <w:p w14:paraId="7F6E2F5B">
      <w:pPr>
        <w:pStyle w:val="108"/>
        <w:spacing w:before="120" w:after="120"/>
      </w:pPr>
      <w:r>
        <w:rPr>
          <w:rFonts w:hint="eastAsia"/>
        </w:rPr>
        <w:t>基础系统层</w:t>
      </w:r>
    </w:p>
    <w:p w14:paraId="3272B3BB">
      <w:pPr>
        <w:pStyle w:val="68"/>
        <w:spacing w:before="120" w:after="120"/>
      </w:pPr>
      <w:r>
        <w:rPr>
          <w:rFonts w:hint="eastAsia"/>
        </w:rPr>
        <w:t>身份认证</w:t>
      </w:r>
    </w:p>
    <w:p w14:paraId="6B283DF3">
      <w:pPr>
        <w:pStyle w:val="167"/>
      </w:pPr>
      <w:r>
        <w:rPr>
          <w:rFonts w:hint="eastAsia"/>
        </w:rPr>
        <w:t>为用户提供统一的认证门户和用户认证管理，具备信息资源访问的单点登录功能。</w:t>
      </w:r>
    </w:p>
    <w:p w14:paraId="7E88CF72">
      <w:pPr>
        <w:pStyle w:val="167"/>
      </w:pPr>
      <w:r>
        <w:rPr>
          <w:rFonts w:hint="eastAsia"/>
        </w:rPr>
        <w:t>根据用户应用的实际需要，提供不同强度的认证方式，包括但不限于静态口令、一次性口令、数字证书、动态口令以及生物特征等认证方式。</w:t>
      </w:r>
    </w:p>
    <w:p w14:paraId="1EF83B4A">
      <w:pPr>
        <w:pStyle w:val="167"/>
      </w:pPr>
      <w:r>
        <w:rPr>
          <w:rFonts w:hint="eastAsia"/>
        </w:rPr>
        <w:t>宜采用以下方法进行身份认证：</w:t>
      </w:r>
    </w:p>
    <w:p w14:paraId="22B76908">
      <w:pPr>
        <w:pStyle w:val="135"/>
      </w:pPr>
      <w:r>
        <w:rPr>
          <w:rFonts w:hint="eastAsia"/>
        </w:rPr>
        <w:t>生物特征动态验证：通过人工智能驱动的活体检测（如人脸识别、指纹识别、声纹识别）；</w:t>
      </w:r>
    </w:p>
    <w:p w14:paraId="7408B57E">
      <w:pPr>
        <w:pStyle w:val="135"/>
      </w:pPr>
      <w:r>
        <w:rPr>
          <w:rFonts w:hint="eastAsia"/>
        </w:rPr>
        <w:t>行为生物识别：利用机器学习分析用户操作习惯（如鼠标移动、输入速度）实现无感知二次验证。</w:t>
      </w:r>
    </w:p>
    <w:p w14:paraId="618B470B">
      <w:pPr>
        <w:pStyle w:val="68"/>
        <w:spacing w:before="120" w:after="120"/>
      </w:pPr>
      <w:r>
        <w:rPr>
          <w:rFonts w:hint="eastAsia"/>
        </w:rPr>
        <w:t>用户管理</w:t>
      </w:r>
    </w:p>
    <w:p w14:paraId="373149F0">
      <w:pPr>
        <w:pStyle w:val="167"/>
      </w:pPr>
      <w:r>
        <w:rPr>
          <w:rFonts w:hint="eastAsia"/>
        </w:rPr>
        <w:t>应支持对行政监管部门用户、订餐用户、供应商用户、业务人员用户等进行分类管理。</w:t>
      </w:r>
    </w:p>
    <w:p w14:paraId="78EE46F6">
      <w:pPr>
        <w:pStyle w:val="167"/>
      </w:pPr>
      <w:r>
        <w:rPr>
          <w:rFonts w:hint="eastAsia"/>
        </w:rPr>
        <w:t>通过平台进行账号密码策略、密码强度、生存周期的设定,为用户提供统一集中的账号管理,对被管理资源账号的创建、删除及同步等开展账号生命周期管理。</w:t>
      </w:r>
    </w:p>
    <w:p w14:paraId="0CE42119">
      <w:pPr>
        <w:pStyle w:val="167"/>
      </w:pPr>
      <w:r>
        <w:rPr>
          <w:rFonts w:hint="eastAsia"/>
        </w:rPr>
        <w:t>宜基于用户行为日志（登录频率、操作模式）智能风险评分，通过机器学习动态评估账号风险等级，自动触发异常告警或冻结账号。</w:t>
      </w:r>
    </w:p>
    <w:p w14:paraId="68255635">
      <w:pPr>
        <w:pStyle w:val="68"/>
        <w:spacing w:before="120" w:after="120"/>
      </w:pPr>
      <w:r>
        <w:rPr>
          <w:rFonts w:hint="eastAsia"/>
        </w:rPr>
        <w:t>权限管理</w:t>
      </w:r>
    </w:p>
    <w:p w14:paraId="7B691F6B">
      <w:pPr>
        <w:pStyle w:val="59"/>
        <w:ind w:firstLine="420"/>
      </w:pPr>
      <w:r>
        <w:rPr>
          <w:rFonts w:hint="eastAsia"/>
        </w:rPr>
        <w:t>应对用户的资源访问权限进行集中控制，具备不同角色的访问权限控制功能。</w:t>
      </w:r>
    </w:p>
    <w:p w14:paraId="0AE748DB">
      <w:pPr>
        <w:pStyle w:val="68"/>
        <w:spacing w:before="120" w:after="120"/>
      </w:pPr>
      <w:r>
        <w:rPr>
          <w:rFonts w:hint="eastAsia"/>
        </w:rPr>
        <w:t>日志管理</w:t>
      </w:r>
    </w:p>
    <w:p w14:paraId="65E2AC22">
      <w:pPr>
        <w:pStyle w:val="167"/>
      </w:pPr>
      <w:r>
        <w:rPr>
          <w:rFonts w:hint="eastAsia"/>
        </w:rPr>
        <w:t>将用户所有的操作日志集中记录、管理和分析，通过集中审计数据进行数据挖掘，开展事后安全事故责任认定。</w:t>
      </w:r>
    </w:p>
    <w:p w14:paraId="156FFC57">
      <w:pPr>
        <w:pStyle w:val="167"/>
        <w:rPr>
          <w:rFonts w:hAnsi="宋体" w:cs="宋体"/>
        </w:rPr>
      </w:pPr>
      <w:r>
        <w:rPr>
          <w:rFonts w:hint="eastAsia" w:hAnsi="宋体" w:cs="宋体"/>
        </w:rPr>
        <w:t>宜</w:t>
      </w:r>
      <w:r>
        <w:rPr>
          <w:rFonts w:hint="eastAsia" w:hAnsi="宋体" w:cs="宋体"/>
          <w:shd w:val="clear" w:color="auto" w:fill="FFFFFF"/>
        </w:rPr>
        <w:t>利用自然语言处理（NLP）和时序分析，自动识别异常操作（如高频删除、非工作时间访问），并生成预警报告。</w:t>
      </w:r>
    </w:p>
    <w:p w14:paraId="3D7C1B0C">
      <w:pPr>
        <w:pStyle w:val="167"/>
      </w:pPr>
      <w:r>
        <w:rPr>
          <w:rFonts w:hint="eastAsia"/>
        </w:rPr>
        <w:t>宜通过人工智能算法压缩冗余日志数据，降低存储成本。</w:t>
      </w:r>
    </w:p>
    <w:p w14:paraId="468FE478">
      <w:pPr>
        <w:pStyle w:val="108"/>
        <w:spacing w:before="120" w:after="120"/>
      </w:pPr>
      <w:r>
        <w:rPr>
          <w:rFonts w:hint="eastAsia"/>
        </w:rPr>
        <w:t>场景应用层</w:t>
      </w:r>
    </w:p>
    <w:p w14:paraId="51992F98">
      <w:pPr>
        <w:pStyle w:val="68"/>
        <w:spacing w:before="120" w:after="120"/>
      </w:pPr>
      <w:r>
        <w:rPr>
          <w:rFonts w:hint="eastAsia"/>
        </w:rPr>
        <w:t>功能框架</w:t>
      </w:r>
    </w:p>
    <w:p w14:paraId="36F934D4">
      <w:pPr>
        <w:pStyle w:val="59"/>
        <w:ind w:firstLine="420"/>
      </w:pPr>
      <w:r>
        <w:rPr>
          <w:rFonts w:hint="eastAsia"/>
        </w:rPr>
        <w:t>场景应用层功能架构见图2。</w:t>
      </w:r>
    </w:p>
    <w:p w14:paraId="70C364A3">
      <w:pPr>
        <w:pStyle w:val="59"/>
        <w:ind w:firstLine="0" w:firstLineChars="0"/>
        <w:jc w:val="center"/>
      </w:pPr>
      <w:r>
        <w:drawing>
          <wp:inline distT="0" distB="0" distL="0" distR="0">
            <wp:extent cx="6052185" cy="3276600"/>
            <wp:effectExtent l="0" t="0" r="5715" b="0"/>
            <wp:docPr id="1881834387"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4387" name="图片 2" descr="图示&#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076339" cy="3289564"/>
                    </a:xfrm>
                    <a:prstGeom prst="rect">
                      <a:avLst/>
                    </a:prstGeom>
                    <a:noFill/>
                    <a:ln>
                      <a:noFill/>
                    </a:ln>
                  </pic:spPr>
                </pic:pic>
              </a:graphicData>
            </a:graphic>
          </wp:inline>
        </w:drawing>
      </w:r>
    </w:p>
    <w:p w14:paraId="5B89D3FD">
      <w:pPr>
        <w:pStyle w:val="117"/>
        <w:spacing w:before="120" w:after="120"/>
      </w:pPr>
      <w:r>
        <w:rPr>
          <w:rFonts w:hint="eastAsia"/>
        </w:rPr>
        <w:t>功能架构</w:t>
      </w:r>
    </w:p>
    <w:p w14:paraId="63B08AB6">
      <w:pPr>
        <w:pStyle w:val="68"/>
        <w:spacing w:before="120" w:after="120"/>
      </w:pPr>
      <w:r>
        <w:rPr>
          <w:rFonts w:hint="eastAsia"/>
        </w:rPr>
        <w:t>食材供应链大数据中心</w:t>
      </w:r>
    </w:p>
    <w:p w14:paraId="7E89C922">
      <w:pPr>
        <w:pStyle w:val="97"/>
        <w:spacing w:before="120" w:after="120"/>
      </w:pPr>
      <w:r>
        <w:rPr>
          <w:rFonts w:hint="eastAsia"/>
        </w:rPr>
        <w:t>统计报表</w:t>
      </w:r>
    </w:p>
    <w:p w14:paraId="7D75951F">
      <w:pPr>
        <w:pStyle w:val="170"/>
      </w:pPr>
      <w:r>
        <w:rPr>
          <w:rFonts w:hint="eastAsia"/>
        </w:rPr>
        <w:t>具备按照时间维度(年、月)对各类业务数据进行收集、整理、分析、可视化呈现，并自动生成报表的功能。</w:t>
      </w:r>
    </w:p>
    <w:p w14:paraId="1C3BB175">
      <w:pPr>
        <w:pStyle w:val="170"/>
      </w:pPr>
      <w:r>
        <w:rPr>
          <w:rFonts w:hint="eastAsia"/>
        </w:rPr>
        <w:t>宜具备以下功能：</w:t>
      </w:r>
    </w:p>
    <w:p w14:paraId="2ECCAA93">
      <w:pPr>
        <w:pStyle w:val="135"/>
      </w:pPr>
      <w:r>
        <w:rPr>
          <w:rFonts w:hint="eastAsia"/>
        </w:rPr>
        <w:t>数据智能清洗：利用NLP和规则引擎自动修复脏数据（如商品名称不一致、重复条目）；</w:t>
      </w:r>
    </w:p>
    <w:p w14:paraId="1EB167D8">
      <w:pPr>
        <w:pStyle w:val="135"/>
      </w:pPr>
      <w:r>
        <w:rPr>
          <w:rFonts w:hint="eastAsia"/>
        </w:rPr>
        <w:t>知识图谱构建：基于供应链上下游关系（供应商-配送商-客户），构建动态知识图谱，辅助决策分析。</w:t>
      </w:r>
    </w:p>
    <w:p w14:paraId="2D93FA2A">
      <w:pPr>
        <w:pStyle w:val="97"/>
        <w:spacing w:before="120" w:after="120"/>
      </w:pPr>
      <w:r>
        <w:rPr>
          <w:rFonts w:hint="eastAsia"/>
        </w:rPr>
        <w:t>智能经营分析</w:t>
      </w:r>
    </w:p>
    <w:p w14:paraId="5849650C">
      <w:pPr>
        <w:pStyle w:val="170"/>
      </w:pPr>
      <w:r>
        <w:rPr>
          <w:rFonts w:hint="eastAsia"/>
        </w:rPr>
        <w:t>具备通过建立数据分析模型，预测市场趋势、客户需求变化、销售业绩的功能。</w:t>
      </w:r>
    </w:p>
    <w:p w14:paraId="4E11E2FA">
      <w:pPr>
        <w:pStyle w:val="170"/>
      </w:pPr>
      <w:r>
        <w:rPr>
          <w:rFonts w:hint="eastAsia"/>
        </w:rPr>
        <w:t>宜具备以下功能：</w:t>
      </w:r>
    </w:p>
    <w:p w14:paraId="00DBF22F">
      <w:pPr>
        <w:pStyle w:val="135"/>
      </w:pPr>
      <w:r>
        <w:rPr>
          <w:rFonts w:hint="eastAsia"/>
        </w:rPr>
        <w:t>需求预测模型：通过时间序列分析（ARIMA、LSTM）预测区域客户需求，优化采购和库存计划；</w:t>
      </w:r>
    </w:p>
    <w:p w14:paraId="0C3B4D87">
      <w:pPr>
        <w:pStyle w:val="135"/>
      </w:pPr>
      <w:r>
        <w:rPr>
          <w:rFonts w:hint="eastAsia"/>
        </w:rPr>
        <w:t>销售动态定价：结合市场供需、历史数据，利用强化学习实现价格自动调整，提升利润率。</w:t>
      </w:r>
    </w:p>
    <w:p w14:paraId="7723C35B">
      <w:pPr>
        <w:pStyle w:val="97"/>
        <w:spacing w:before="120" w:after="120"/>
      </w:pPr>
      <w:r>
        <w:rPr>
          <w:rFonts w:hint="eastAsia"/>
        </w:rPr>
        <w:t>销售管理</w:t>
      </w:r>
    </w:p>
    <w:p w14:paraId="7F13C04C">
      <w:pPr>
        <w:pStyle w:val="170"/>
      </w:pPr>
      <w:r>
        <w:rPr>
          <w:rFonts w:hint="eastAsia"/>
        </w:rPr>
        <w:t>包含但不限于：</w:t>
      </w:r>
    </w:p>
    <w:p w14:paraId="220DB728">
      <w:pPr>
        <w:pStyle w:val="135"/>
      </w:pPr>
      <w:r>
        <w:rPr>
          <w:rFonts w:hint="eastAsia"/>
        </w:rPr>
        <w:t>销售订单的创建、处理、跟踪与管理；</w:t>
      </w:r>
    </w:p>
    <w:p w14:paraId="5FF636B1">
      <w:pPr>
        <w:pStyle w:val="135"/>
      </w:pPr>
      <w:r>
        <w:rPr>
          <w:rFonts w:hint="eastAsia"/>
        </w:rPr>
        <w:t>客户信息管理；</w:t>
      </w:r>
    </w:p>
    <w:p w14:paraId="0F5430A7">
      <w:pPr>
        <w:pStyle w:val="135"/>
      </w:pPr>
      <w:r>
        <w:rPr>
          <w:rFonts w:hint="eastAsia"/>
        </w:rPr>
        <w:t>销售合同管理。</w:t>
      </w:r>
    </w:p>
    <w:p w14:paraId="4771B3EB">
      <w:pPr>
        <w:pStyle w:val="170"/>
      </w:pPr>
      <w:r>
        <w:rPr>
          <w:rFonts w:hint="eastAsia"/>
        </w:rPr>
        <w:t>宜具备以下功能：</w:t>
      </w:r>
    </w:p>
    <w:p w14:paraId="09DD99E3">
      <w:pPr>
        <w:pStyle w:val="135"/>
      </w:pPr>
      <w:r>
        <w:rPr>
          <w:rFonts w:hint="eastAsia"/>
        </w:rPr>
        <w:t>智能推荐系统：基于客户历史订单和偏好，通过协同过滤算法推荐关联商品（如搭配食材）；</w:t>
      </w:r>
    </w:p>
    <w:p w14:paraId="68DD2859">
      <w:pPr>
        <w:pStyle w:val="135"/>
      </w:pPr>
      <w:r>
        <w:rPr>
          <w:rFonts w:hint="eastAsia"/>
        </w:rPr>
        <w:t>合同风险识别：利用NLP解析合同文本，自动识别条款漏洞或法律风险。</w:t>
      </w:r>
    </w:p>
    <w:p w14:paraId="4F2FEFD1">
      <w:pPr>
        <w:pStyle w:val="97"/>
        <w:spacing w:before="120" w:after="120"/>
      </w:pPr>
      <w:r>
        <w:rPr>
          <w:rFonts w:hint="eastAsia"/>
        </w:rPr>
        <w:t>需求汇总</w:t>
      </w:r>
    </w:p>
    <w:p w14:paraId="106D15D6">
      <w:pPr>
        <w:pStyle w:val="59"/>
        <w:ind w:firstLine="420"/>
      </w:pPr>
      <w:r>
        <w:rPr>
          <w:rFonts w:hint="eastAsia"/>
          <w:shd w:val="clear" w:color="auto" w:fill="FFFFFF"/>
        </w:rPr>
        <w:t>应具备收集来自不同渠道的需求信息，并进行分类、整理和汇总的功能。</w:t>
      </w:r>
    </w:p>
    <w:p w14:paraId="7D094A10">
      <w:pPr>
        <w:pStyle w:val="97"/>
        <w:spacing w:before="120" w:after="120"/>
      </w:pPr>
      <w:r>
        <w:rPr>
          <w:rFonts w:hint="eastAsia"/>
        </w:rPr>
        <w:t>配送商管理</w:t>
      </w:r>
    </w:p>
    <w:p w14:paraId="50922474">
      <w:pPr>
        <w:pStyle w:val="59"/>
        <w:ind w:firstLine="420"/>
        <w:rPr>
          <w:shd w:val="clear" w:color="auto" w:fill="FFFFFF"/>
        </w:rPr>
      </w:pPr>
      <w:r>
        <w:rPr>
          <w:rFonts w:hint="eastAsia"/>
        </w:rPr>
        <w:t>具备对</w:t>
      </w:r>
      <w:r>
        <w:rPr>
          <w:rFonts w:hint="eastAsia"/>
          <w:shd w:val="clear" w:color="auto" w:fill="FFFFFF"/>
        </w:rPr>
        <w:t>配送商的信息进行管理的功能，包括但不限于：</w:t>
      </w:r>
    </w:p>
    <w:p w14:paraId="15360483">
      <w:pPr>
        <w:pStyle w:val="135"/>
      </w:pPr>
      <w:r>
        <w:rPr>
          <w:rFonts w:hint="eastAsia"/>
          <w:shd w:val="clear" w:color="auto" w:fill="FFFFFF"/>
        </w:rPr>
        <w:t>配送商的资质审核；</w:t>
      </w:r>
    </w:p>
    <w:p w14:paraId="637918AE">
      <w:pPr>
        <w:pStyle w:val="135"/>
      </w:pPr>
      <w:r>
        <w:rPr>
          <w:rFonts w:hint="eastAsia"/>
          <w:shd w:val="clear" w:color="auto" w:fill="FFFFFF"/>
        </w:rPr>
        <w:t>合作协议签订；</w:t>
      </w:r>
    </w:p>
    <w:p w14:paraId="669EEB1C">
      <w:pPr>
        <w:pStyle w:val="135"/>
      </w:pPr>
      <w:r>
        <w:rPr>
          <w:rFonts w:hint="eastAsia"/>
          <w:shd w:val="clear" w:color="auto" w:fill="FFFFFF"/>
        </w:rPr>
        <w:t>服务质量评估：</w:t>
      </w:r>
      <w:r>
        <w:rPr>
          <w:rFonts w:ascii="Segoe UI" w:hAnsi="Segoe UI" w:cs="Segoe UI"/>
          <w:color w:val="404040"/>
          <w:shd w:val="clear" w:color="auto" w:fill="FFFFFF"/>
        </w:rPr>
        <w:t>通过配送时效、客户投诉数据训练模型，自动生成配送商KPI评分，支持优胜劣汰决策</w:t>
      </w:r>
      <w:r>
        <w:rPr>
          <w:rFonts w:hint="eastAsia"/>
          <w:shd w:val="clear" w:color="auto" w:fill="FFFFFF"/>
        </w:rPr>
        <w:t>。</w:t>
      </w:r>
    </w:p>
    <w:p w14:paraId="7F6D37A7">
      <w:pPr>
        <w:pStyle w:val="97"/>
        <w:spacing w:before="120" w:after="120"/>
      </w:pPr>
      <w:r>
        <w:rPr>
          <w:rFonts w:hint="eastAsia"/>
        </w:rPr>
        <w:t>价格发布</w:t>
      </w:r>
    </w:p>
    <w:p w14:paraId="444B2A96">
      <w:pPr>
        <w:pStyle w:val="59"/>
        <w:ind w:firstLine="420"/>
        <w:rPr>
          <w:shd w:val="clear" w:color="auto" w:fill="FFFFFF"/>
        </w:rPr>
      </w:pPr>
      <w:r>
        <w:rPr>
          <w:rFonts w:hint="eastAsia"/>
        </w:rPr>
        <w:t>能对团餐食材</w:t>
      </w:r>
      <w:r>
        <w:rPr>
          <w:rFonts w:hint="eastAsia"/>
          <w:shd w:val="clear" w:color="auto" w:fill="FFFFFF"/>
        </w:rPr>
        <w:t>商品价格进行发布和管理，并能对价格变化进行记录和跟踪。</w:t>
      </w:r>
    </w:p>
    <w:p w14:paraId="5698E485">
      <w:pPr>
        <w:pStyle w:val="97"/>
        <w:spacing w:before="120" w:after="120"/>
      </w:pPr>
      <w:r>
        <w:rPr>
          <w:rFonts w:hint="eastAsia"/>
        </w:rPr>
        <w:t>商品管理</w:t>
      </w:r>
    </w:p>
    <w:p w14:paraId="184682C6">
      <w:pPr>
        <w:pStyle w:val="59"/>
        <w:ind w:firstLine="420"/>
      </w:pPr>
      <w:r>
        <w:rPr>
          <w:rFonts w:hint="eastAsia"/>
        </w:rPr>
        <w:t>具备对团餐食材</w:t>
      </w:r>
      <w:r>
        <w:rPr>
          <w:rFonts w:hint="eastAsia"/>
          <w:shd w:val="clear" w:color="auto" w:fill="FFFFFF"/>
        </w:rPr>
        <w:t>商品信息管理的功能，商品信息包括但不限于基本信息（名称、规格、价格、库存等）、商品图片、商品描述等</w:t>
      </w:r>
      <w:r>
        <w:rPr>
          <w:rFonts w:hint="eastAsia"/>
        </w:rPr>
        <w:t>。</w:t>
      </w:r>
    </w:p>
    <w:p w14:paraId="1A760341">
      <w:pPr>
        <w:pStyle w:val="68"/>
        <w:spacing w:before="120" w:after="120"/>
      </w:pPr>
      <w:r>
        <w:rPr>
          <w:rFonts w:hint="eastAsia"/>
        </w:rPr>
        <w:t>统一集采中心</w:t>
      </w:r>
    </w:p>
    <w:p w14:paraId="2A0CA96C">
      <w:pPr>
        <w:pStyle w:val="97"/>
        <w:spacing w:before="120" w:after="120"/>
      </w:pPr>
      <w:r>
        <w:rPr>
          <w:rFonts w:hint="eastAsia"/>
        </w:rPr>
        <w:t>食材溯源</w:t>
      </w:r>
    </w:p>
    <w:p w14:paraId="52E8748C">
      <w:pPr>
        <w:pStyle w:val="170"/>
      </w:pPr>
      <w:r>
        <w:rPr>
          <w:rFonts w:hint="eastAsia"/>
        </w:rPr>
        <w:t>溯源体系应</w:t>
      </w:r>
      <w:r>
        <w:rPr>
          <w:rFonts w:hint="eastAsia"/>
          <w:lang w:val="en-US" w:eastAsia="zh-CN"/>
        </w:rPr>
        <w:t>符合</w:t>
      </w:r>
      <w:r>
        <w:rPr>
          <w:rStyle w:val="34"/>
          <w:rFonts w:hint="eastAsia" w:hAnsi="宋体"/>
        </w:rPr>
        <w:t>GB/T 38158的要求。</w:t>
      </w:r>
    </w:p>
    <w:p w14:paraId="3A189B5C">
      <w:pPr>
        <w:pStyle w:val="170"/>
      </w:pPr>
      <w:r>
        <w:rPr>
          <w:rFonts w:hint="eastAsia"/>
        </w:rPr>
        <w:t>应按SB/T 10856要求，能全流程品控信息智能整合、数据上链、实时追踪，信息包括但不限于：食材名称、食材数量、订单客户、送达日期、供应商信息、食材来源、品质检测报告、食材处理。</w:t>
      </w:r>
    </w:p>
    <w:p w14:paraId="7B0F569E">
      <w:pPr>
        <w:pStyle w:val="170"/>
      </w:pPr>
      <w:r>
        <w:rPr>
          <w:shd w:val="clear" w:color="auto" w:fill="FFFFFF"/>
        </w:rPr>
        <w:t>若发生食安问题，</w:t>
      </w:r>
      <w:r>
        <w:rPr>
          <w:rFonts w:hint="eastAsia"/>
          <w:shd w:val="clear" w:color="auto" w:fill="FFFFFF"/>
        </w:rPr>
        <w:t>可</w:t>
      </w:r>
      <w:r>
        <w:rPr>
          <w:shd w:val="clear" w:color="auto" w:fill="FFFFFF"/>
        </w:rPr>
        <w:t>通过图神经网络快速定位问题环节（如供应商、运输节点）。</w:t>
      </w:r>
    </w:p>
    <w:p w14:paraId="7F01AD39">
      <w:pPr>
        <w:pStyle w:val="170"/>
        <w:rPr>
          <w:shd w:val="clear" w:color="auto" w:fill="FFFFFF"/>
        </w:rPr>
      </w:pPr>
      <w:r>
        <w:rPr>
          <w:rFonts w:hint="eastAsia"/>
        </w:rPr>
        <w:t>宜</w:t>
      </w:r>
      <w:r>
        <w:rPr>
          <w:shd w:val="clear" w:color="auto" w:fill="FFFFFF"/>
        </w:rPr>
        <w:t>结合图像识别（CV）自动验证食材检测报告真伪，并通过区块链记录不可篡改的溯源数据。</w:t>
      </w:r>
    </w:p>
    <w:p w14:paraId="033149D3">
      <w:pPr>
        <w:pStyle w:val="97"/>
        <w:spacing w:before="120" w:after="120"/>
      </w:pPr>
      <w:r>
        <w:rPr>
          <w:rFonts w:hint="eastAsia"/>
        </w:rPr>
        <w:t>统一采购管理</w:t>
      </w:r>
    </w:p>
    <w:p w14:paraId="643247A5">
      <w:pPr>
        <w:pStyle w:val="170"/>
      </w:pPr>
      <w:r>
        <w:rPr>
          <w:rFonts w:hint="eastAsia"/>
        </w:rPr>
        <w:t>应按具备集中采购规划与执行和对采购流程进行全程管控的功能，包括但不限于：</w:t>
      </w:r>
    </w:p>
    <w:p w14:paraId="0204C1E3">
      <w:pPr>
        <w:pStyle w:val="135"/>
      </w:pPr>
      <w:r>
        <w:rPr>
          <w:rFonts w:hint="eastAsia"/>
          <w:shd w:val="clear" w:color="auto" w:fill="FFFFFF"/>
        </w:rPr>
        <w:t>采购申请的审核；</w:t>
      </w:r>
    </w:p>
    <w:p w14:paraId="21F2FB86">
      <w:pPr>
        <w:pStyle w:val="135"/>
      </w:pPr>
      <w:r>
        <w:rPr>
          <w:rFonts w:hint="eastAsia"/>
          <w:shd w:val="clear" w:color="auto" w:fill="FFFFFF"/>
        </w:rPr>
        <w:t>供应商选择；</w:t>
      </w:r>
    </w:p>
    <w:p w14:paraId="76064427">
      <w:pPr>
        <w:pStyle w:val="135"/>
      </w:pPr>
      <w:r>
        <w:rPr>
          <w:rFonts w:hint="eastAsia"/>
          <w:shd w:val="clear" w:color="auto" w:fill="FFFFFF"/>
        </w:rPr>
        <w:t>采购订单的生成与跟踪；</w:t>
      </w:r>
    </w:p>
    <w:p w14:paraId="571FB87E">
      <w:pPr>
        <w:pStyle w:val="135"/>
      </w:pPr>
      <w:r>
        <w:rPr>
          <w:rFonts w:hint="eastAsia"/>
          <w:shd w:val="clear" w:color="auto" w:fill="FFFFFF"/>
        </w:rPr>
        <w:t>收货验收；</w:t>
      </w:r>
    </w:p>
    <w:p w14:paraId="6F0B65E9">
      <w:pPr>
        <w:pStyle w:val="135"/>
      </w:pPr>
      <w:r>
        <w:rPr>
          <w:rFonts w:hint="eastAsia"/>
          <w:shd w:val="clear" w:color="auto" w:fill="FFFFFF"/>
        </w:rPr>
        <w:t>采购结算。</w:t>
      </w:r>
    </w:p>
    <w:p w14:paraId="5D8D88FE">
      <w:pPr>
        <w:pStyle w:val="170"/>
        <w:rPr>
          <w:shd w:val="clear" w:color="auto" w:fill="FFFFFF"/>
        </w:rPr>
      </w:pPr>
      <w:r>
        <w:rPr>
          <w:rFonts w:hint="eastAsia"/>
          <w:shd w:val="clear" w:color="auto" w:fill="FFFFFF"/>
        </w:rPr>
        <w:t>宜具备以下功能：</w:t>
      </w:r>
    </w:p>
    <w:p w14:paraId="440AB526">
      <w:pPr>
        <w:pStyle w:val="135"/>
      </w:pPr>
      <w:r>
        <w:rPr>
          <w:rFonts w:hint="eastAsia"/>
        </w:rPr>
        <w:t>供应商智能匹配：基于历史合作数据、价格波动、交货准时率，通过聚类算法推荐最优供应商；</w:t>
      </w:r>
    </w:p>
    <w:p w14:paraId="35A9026F">
      <w:pPr>
        <w:pStyle w:val="135"/>
      </w:pPr>
      <w:r>
        <w:rPr>
          <w:rFonts w:hint="eastAsia"/>
        </w:rPr>
        <w:t>采购风险预警：利用时序分析预测原材料价格波动，提前生成备货建议。</w:t>
      </w:r>
    </w:p>
    <w:p w14:paraId="253059A4">
      <w:pPr>
        <w:pStyle w:val="97"/>
        <w:spacing w:before="120" w:after="120"/>
      </w:pPr>
      <w:r>
        <w:rPr>
          <w:rFonts w:hint="eastAsia"/>
        </w:rPr>
        <w:t>遴选招投标</w:t>
      </w:r>
    </w:p>
    <w:p w14:paraId="774E9A2E">
      <w:pPr>
        <w:pStyle w:val="59"/>
        <w:ind w:firstLine="420"/>
      </w:pPr>
      <w:r>
        <w:rPr>
          <w:rFonts w:hint="eastAsia"/>
        </w:rPr>
        <w:t>能</w:t>
      </w:r>
      <w:r>
        <w:t>依托数智化平台实现全流程电子化，</w:t>
      </w:r>
      <w:r>
        <w:rPr>
          <w:rFonts w:hint="eastAsia"/>
        </w:rPr>
        <w:t>实现包括但不限于</w:t>
      </w:r>
      <w:r>
        <w:t>公开招标、竞争性谈判</w:t>
      </w:r>
      <w:r>
        <w:rPr>
          <w:rFonts w:hint="eastAsia"/>
        </w:rPr>
        <w:t>的功能。</w:t>
      </w:r>
    </w:p>
    <w:p w14:paraId="6D911CDB">
      <w:pPr>
        <w:pStyle w:val="97"/>
        <w:spacing w:before="120" w:after="120"/>
      </w:pPr>
      <w:r>
        <w:rPr>
          <w:rFonts w:hint="eastAsia"/>
        </w:rPr>
        <w:t>供应商端</w:t>
      </w:r>
    </w:p>
    <w:p w14:paraId="649F10C0">
      <w:pPr>
        <w:pStyle w:val="59"/>
        <w:ind w:firstLine="420"/>
      </w:pPr>
      <w:r>
        <w:rPr>
          <w:rFonts w:hint="eastAsia"/>
        </w:rPr>
        <w:t>包括但不限于：</w:t>
      </w:r>
    </w:p>
    <w:p w14:paraId="16C01090">
      <w:pPr>
        <w:pStyle w:val="135"/>
      </w:pPr>
      <w:r>
        <w:rPr>
          <w:rFonts w:hint="eastAsia"/>
        </w:rPr>
        <w:t>供应商信息管理，包括注册、维护信息；</w:t>
      </w:r>
    </w:p>
    <w:p w14:paraId="1D4C3F6B">
      <w:pPr>
        <w:pStyle w:val="135"/>
      </w:pPr>
      <w:r>
        <w:rPr>
          <w:rFonts w:hint="eastAsia"/>
        </w:rPr>
        <w:t>订单管理，能接收企业的订单、反馈和通知。</w:t>
      </w:r>
    </w:p>
    <w:p w14:paraId="5DDB1083">
      <w:pPr>
        <w:pStyle w:val="97"/>
        <w:spacing w:before="120" w:after="120"/>
      </w:pPr>
      <w:r>
        <w:rPr>
          <w:rFonts w:hint="eastAsia"/>
        </w:rPr>
        <w:t>供应商管理</w:t>
      </w:r>
    </w:p>
    <w:p w14:paraId="6E5A7E86">
      <w:pPr>
        <w:pStyle w:val="59"/>
        <w:ind w:firstLine="420"/>
      </w:pPr>
      <w:r>
        <w:rPr>
          <w:rFonts w:hint="eastAsia"/>
        </w:rPr>
        <w:t>具备</w:t>
      </w:r>
      <w:r>
        <w:rPr>
          <w:rFonts w:hint="eastAsia"/>
          <w:shd w:val="clear" w:color="auto" w:fill="FFFFFF"/>
        </w:rPr>
        <w:t>对供应商的基本信息、资质证书、产品质量、交货能力、售后服务等进行管理和智能评估的功能。</w:t>
      </w:r>
    </w:p>
    <w:p w14:paraId="25E6A17E">
      <w:pPr>
        <w:pStyle w:val="68"/>
        <w:spacing w:before="120" w:after="120"/>
      </w:pPr>
      <w:r>
        <w:rPr>
          <w:rFonts w:hint="eastAsia"/>
        </w:rPr>
        <w:t>配送服务管理系统</w:t>
      </w:r>
    </w:p>
    <w:p w14:paraId="5F4D80EF">
      <w:pPr>
        <w:pStyle w:val="97"/>
        <w:spacing w:before="120" w:after="120"/>
      </w:pPr>
      <w:r>
        <w:rPr>
          <w:rFonts w:hint="eastAsia"/>
        </w:rPr>
        <w:t>采购管理</w:t>
      </w:r>
    </w:p>
    <w:p w14:paraId="3F4FBE96">
      <w:pPr>
        <w:pStyle w:val="59"/>
        <w:ind w:firstLine="420"/>
      </w:pPr>
      <w:r>
        <w:rPr>
          <w:rFonts w:hint="eastAsia"/>
        </w:rPr>
        <w:t>包括但不限于：</w:t>
      </w:r>
    </w:p>
    <w:p w14:paraId="05F68F56">
      <w:pPr>
        <w:pStyle w:val="135"/>
      </w:pPr>
      <w:r>
        <w:rPr>
          <w:rFonts w:hint="eastAsia"/>
        </w:rPr>
        <w:t>符合《餐饮服务食品米购索证索票管理规定》的要求</w:t>
      </w:r>
      <w:r>
        <w:rPr>
          <w:rFonts w:hint="eastAsia"/>
          <w:lang w:eastAsia="zh-CN"/>
        </w:rPr>
        <w:t>；</w:t>
      </w:r>
    </w:p>
    <w:p w14:paraId="64A24E20">
      <w:pPr>
        <w:pStyle w:val="135"/>
      </w:pPr>
      <w:r>
        <w:rPr>
          <w:rFonts w:hint="eastAsia"/>
        </w:rPr>
        <w:t>根据企业的生产和销售需求，制定采购计划；</w:t>
      </w:r>
    </w:p>
    <w:p w14:paraId="52DAA87C">
      <w:pPr>
        <w:pStyle w:val="135"/>
      </w:pPr>
      <w:r>
        <w:rPr>
          <w:rFonts w:hint="eastAsia"/>
        </w:rPr>
        <w:t>对供应商进行评估和选择，并建立供应商数据库；</w:t>
      </w:r>
    </w:p>
    <w:p w14:paraId="6A7EC2DE">
      <w:pPr>
        <w:pStyle w:val="135"/>
      </w:pPr>
      <w:r>
        <w:rPr>
          <w:rFonts w:hint="eastAsia"/>
        </w:rPr>
        <w:t>采购过程管理，包括采购订单的生成、跟踪和执行。</w:t>
      </w:r>
    </w:p>
    <w:p w14:paraId="236B1604">
      <w:pPr>
        <w:pStyle w:val="97"/>
        <w:spacing w:before="120" w:after="120"/>
      </w:pPr>
      <w:r>
        <w:rPr>
          <w:rFonts w:hint="eastAsia"/>
        </w:rPr>
        <w:t>仓储管理</w:t>
      </w:r>
    </w:p>
    <w:p w14:paraId="5C16A63B">
      <w:pPr>
        <w:pStyle w:val="59"/>
        <w:ind w:firstLine="420"/>
        <w:rPr>
          <w:shd w:val="clear" w:color="auto" w:fill="FFFFFF"/>
        </w:rPr>
      </w:pPr>
      <w:r>
        <w:rPr>
          <w:rFonts w:hint="eastAsia"/>
        </w:rPr>
        <w:t>具备对仓库内的货物</w:t>
      </w:r>
      <w:r>
        <w:rPr>
          <w:rFonts w:hint="eastAsia"/>
          <w:shd w:val="clear" w:color="auto" w:fill="FFFFFF"/>
        </w:rPr>
        <w:t>入库、存储、出库等环节的实时数据监控和自动库存盘点的功能。</w:t>
      </w:r>
    </w:p>
    <w:p w14:paraId="52924685">
      <w:pPr>
        <w:pStyle w:val="97"/>
        <w:spacing w:before="120" w:after="120"/>
      </w:pPr>
      <w:r>
        <w:rPr>
          <w:rFonts w:hint="eastAsia"/>
        </w:rPr>
        <w:t>配送管理</w:t>
      </w:r>
    </w:p>
    <w:p w14:paraId="15654912">
      <w:pPr>
        <w:pStyle w:val="59"/>
        <w:ind w:firstLine="420"/>
      </w:pPr>
      <w:r>
        <w:rPr>
          <w:rFonts w:hint="eastAsia"/>
        </w:rPr>
        <w:t>包括但不限于：</w:t>
      </w:r>
    </w:p>
    <w:p w14:paraId="05370197">
      <w:pPr>
        <w:pStyle w:val="135"/>
        <w:rPr>
          <w:shd w:val="clear" w:color="auto" w:fill="FFFFFF"/>
        </w:rPr>
      </w:pPr>
      <w:r>
        <w:rPr>
          <w:rFonts w:hint="eastAsia"/>
          <w:shd w:val="clear" w:color="auto" w:fill="FFFFFF"/>
        </w:rPr>
        <w:t>智能优化配送路线：</w:t>
      </w:r>
      <w:r>
        <w:rPr>
          <w:rFonts w:ascii="Segoe UI" w:hAnsi="Segoe UI" w:cs="Segoe UI"/>
          <w:color w:val="404040"/>
          <w:shd w:val="clear" w:color="auto" w:fill="FFFFFF"/>
        </w:rPr>
        <w:t>集成实时交通、天气数据，通过遗传算法或强化学习优化配送路线，降低运输成本</w:t>
      </w:r>
      <w:r>
        <w:rPr>
          <w:rFonts w:hint="eastAsia"/>
          <w:shd w:val="clear" w:color="auto" w:fill="FFFFFF"/>
        </w:rPr>
        <w:t>；</w:t>
      </w:r>
    </w:p>
    <w:p w14:paraId="4FD4882E">
      <w:pPr>
        <w:pStyle w:val="135"/>
        <w:rPr>
          <w:shd w:val="clear" w:color="auto" w:fill="FFFFFF"/>
        </w:rPr>
      </w:pPr>
      <w:r>
        <w:rPr>
          <w:rFonts w:hint="eastAsia"/>
          <w:shd w:val="clear" w:color="auto" w:fill="FFFFFF"/>
        </w:rPr>
        <w:t>智能选择的运输方式和配送合作伙伴；</w:t>
      </w:r>
    </w:p>
    <w:p w14:paraId="49E0A9FE">
      <w:pPr>
        <w:pStyle w:val="135"/>
      </w:pPr>
      <w:r>
        <w:rPr>
          <w:rFonts w:hint="eastAsia"/>
          <w:shd w:val="clear" w:color="auto" w:fill="FFFFFF"/>
        </w:rPr>
        <w:t>实时跟踪货物的运输状态</w:t>
      </w:r>
    </w:p>
    <w:p w14:paraId="1C980502">
      <w:pPr>
        <w:pStyle w:val="135"/>
      </w:pPr>
      <w:r>
        <w:rPr>
          <w:rFonts w:hint="eastAsia"/>
          <w:shd w:val="clear" w:color="auto" w:fill="FFFFFF"/>
        </w:rPr>
        <w:t>温控异常预警：</w:t>
      </w:r>
      <w:r>
        <w:rPr>
          <w:rFonts w:ascii="Segoe UI" w:hAnsi="Segoe UI" w:cs="Segoe UI"/>
          <w:color w:val="404040"/>
          <w:shd w:val="clear" w:color="auto" w:fill="FFFFFF"/>
        </w:rPr>
        <w:t>在冷链运输中，通过</w:t>
      </w:r>
      <w:r>
        <w:rPr>
          <w:rFonts w:hint="eastAsia" w:ascii="Segoe UI" w:hAnsi="Segoe UI" w:cs="Segoe UI"/>
          <w:color w:val="404040"/>
          <w:shd w:val="clear" w:color="auto" w:fill="FFFFFF"/>
        </w:rPr>
        <w:t>物联网</w:t>
      </w:r>
      <w:r>
        <w:rPr>
          <w:rFonts w:ascii="Segoe UI" w:hAnsi="Segoe UI" w:cs="Segoe UI"/>
          <w:color w:val="404040"/>
          <w:shd w:val="clear" w:color="auto" w:fill="FFFFFF"/>
        </w:rPr>
        <w:t>传感器+</w:t>
      </w:r>
      <w:r>
        <w:rPr>
          <w:rFonts w:hint="eastAsia" w:ascii="Segoe UI" w:hAnsi="Segoe UI" w:cs="Segoe UI"/>
          <w:color w:val="404040"/>
          <w:shd w:val="clear" w:color="auto" w:fill="FFFFFF"/>
        </w:rPr>
        <w:t>人工智能</w:t>
      </w:r>
      <w:r>
        <w:rPr>
          <w:rFonts w:ascii="Segoe UI" w:hAnsi="Segoe UI" w:cs="Segoe UI"/>
          <w:color w:val="404040"/>
          <w:shd w:val="clear" w:color="auto" w:fill="FFFFFF"/>
        </w:rPr>
        <w:t>预测温度波动风险，提前触发应急措施</w:t>
      </w:r>
      <w:r>
        <w:rPr>
          <w:rFonts w:hint="eastAsia"/>
          <w:shd w:val="clear" w:color="auto" w:fill="FFFFFF"/>
        </w:rPr>
        <w:t>。</w:t>
      </w:r>
    </w:p>
    <w:p w14:paraId="6B614220">
      <w:pPr>
        <w:pStyle w:val="97"/>
        <w:spacing w:before="120" w:after="120"/>
      </w:pPr>
      <w:r>
        <w:rPr>
          <w:rFonts w:hint="eastAsia"/>
        </w:rPr>
        <w:t>品控检测</w:t>
      </w:r>
    </w:p>
    <w:p w14:paraId="421FAC17">
      <w:pPr>
        <w:pStyle w:val="59"/>
        <w:ind w:firstLine="420"/>
        <w:rPr>
          <w:shd w:val="clear" w:color="auto" w:fill="FFFFFF"/>
        </w:rPr>
      </w:pPr>
      <w:r>
        <w:rPr>
          <w:rFonts w:hint="eastAsia"/>
        </w:rPr>
        <w:t>能对</w:t>
      </w:r>
      <w:r>
        <w:rPr>
          <w:rFonts w:hint="eastAsia"/>
          <w:shd w:val="clear" w:color="auto" w:fill="FFFFFF"/>
        </w:rPr>
        <w:t>团餐食材品控检测全流程信息的智能跟踪，包括检测人员、检测时间、检测标准、检测流程、检测结果。</w:t>
      </w:r>
    </w:p>
    <w:p w14:paraId="2B0B25FC">
      <w:pPr>
        <w:pStyle w:val="59"/>
        <w:ind w:firstLine="420"/>
      </w:pPr>
      <w:r>
        <w:rPr>
          <w:rFonts w:hint="eastAsia"/>
          <w:shd w:val="clear" w:color="auto" w:fill="FFFFFF"/>
        </w:rPr>
        <w:t>宜能利用计算机视觉（如YOLO模型）自动检测食材外观（如霉变、破损），替代人工抽检。</w:t>
      </w:r>
    </w:p>
    <w:p w14:paraId="65338682">
      <w:pPr>
        <w:pStyle w:val="97"/>
        <w:spacing w:before="120" w:after="120"/>
      </w:pPr>
      <w:r>
        <w:rPr>
          <w:rFonts w:hint="eastAsia"/>
        </w:rPr>
        <w:t>结算管理</w:t>
      </w:r>
    </w:p>
    <w:p w14:paraId="17FBD43D">
      <w:pPr>
        <w:pStyle w:val="59"/>
        <w:ind w:firstLine="420"/>
        <w:rPr>
          <w:shd w:val="clear" w:color="auto" w:fill="FFFFFF"/>
        </w:rPr>
      </w:pPr>
      <w:r>
        <w:rPr>
          <w:rFonts w:hint="eastAsia"/>
        </w:rPr>
        <w:t>应能对</w:t>
      </w:r>
      <w:r>
        <w:rPr>
          <w:rFonts w:hint="eastAsia"/>
          <w:shd w:val="clear" w:color="auto" w:fill="FFFFFF"/>
        </w:rPr>
        <w:t>销售、采购、物流等</w:t>
      </w:r>
      <w:r>
        <w:rPr>
          <w:rFonts w:hint="eastAsia"/>
        </w:rPr>
        <w:t>自动</w:t>
      </w:r>
      <w:r>
        <w:rPr>
          <w:rFonts w:hint="eastAsia"/>
          <w:shd w:val="clear" w:color="auto" w:fill="FFFFFF"/>
        </w:rPr>
        <w:t>进行财务结算，并生成财务报表。</w:t>
      </w:r>
    </w:p>
    <w:p w14:paraId="49F9918D">
      <w:pPr>
        <w:pStyle w:val="59"/>
        <w:ind w:firstLine="420"/>
      </w:pPr>
      <w:r>
        <w:rPr>
          <w:rFonts w:hint="eastAsia"/>
        </w:rPr>
        <w:t>宜能利用大数据、智能算法技术实现财务数据分析与风险控制。</w:t>
      </w:r>
    </w:p>
    <w:p w14:paraId="018326C7">
      <w:pPr>
        <w:pStyle w:val="97"/>
        <w:spacing w:before="120" w:after="120"/>
      </w:pPr>
      <w:r>
        <w:rPr>
          <w:rFonts w:hint="eastAsia"/>
        </w:rPr>
        <w:t>可视化监管中心</w:t>
      </w:r>
    </w:p>
    <w:p w14:paraId="7A068A54">
      <w:pPr>
        <w:pStyle w:val="59"/>
        <w:ind w:firstLine="420"/>
        <w:rPr>
          <w:shd w:val="clear" w:color="auto" w:fill="FFFFFF"/>
        </w:rPr>
      </w:pPr>
      <w:r>
        <w:rPr>
          <w:rFonts w:hint="eastAsia"/>
          <w:shd w:val="clear" w:color="auto" w:fill="FFFFFF"/>
        </w:rPr>
        <w:t>能实时展示的运营状况，对销售、采购、仓储、配送等关键指标进行实时监控，包括：</w:t>
      </w:r>
    </w:p>
    <w:p w14:paraId="1AE71065">
      <w:pPr>
        <w:pStyle w:val="135"/>
      </w:pPr>
      <w:r>
        <w:rPr>
          <w:rFonts w:hint="eastAsia"/>
        </w:rPr>
        <w:t>智能仪表盘：通过AutoML自动生成关键指标（如库存周转率、配送准时率）的可视化图表，支持语音交互查询</w:t>
      </w:r>
      <w:r>
        <w:rPr>
          <w:rFonts w:hint="eastAsia"/>
          <w:lang w:eastAsia="zh-CN"/>
        </w:rPr>
        <w:t>；</w:t>
      </w:r>
    </w:p>
    <w:p w14:paraId="69D3CB71">
      <w:pPr>
        <w:pStyle w:val="135"/>
      </w:pPr>
      <w:r>
        <w:rPr>
          <w:rFonts w:hint="eastAsia"/>
        </w:rPr>
        <w:t>实时异常监控：利用流数据处理技术即时捕捉运营异常（如订单激增、库存短缺），并推送告警。</w:t>
      </w:r>
    </w:p>
    <w:bookmarkEnd w:id="50"/>
    <w:p w14:paraId="65A19D0B">
      <w:pPr>
        <w:pStyle w:val="107"/>
        <w:spacing w:before="240" w:after="240"/>
      </w:pPr>
      <w:r>
        <w:rPr>
          <w:rFonts w:hint="eastAsia"/>
        </w:rPr>
        <w:t>运营</w:t>
      </w:r>
      <w:r>
        <w:t>管理要求</w:t>
      </w:r>
    </w:p>
    <w:p w14:paraId="38C33BE7">
      <w:pPr>
        <w:pStyle w:val="108"/>
        <w:spacing w:before="120" w:after="120"/>
      </w:pPr>
      <w:r>
        <w:rPr>
          <w:rFonts w:hint="eastAsia"/>
        </w:rPr>
        <w:t>一般要求</w:t>
      </w:r>
    </w:p>
    <w:p w14:paraId="50D14594">
      <w:pPr>
        <w:pStyle w:val="59"/>
        <w:ind w:firstLine="420"/>
        <w:rPr>
          <w:rStyle w:val="34"/>
          <w:rFonts w:hAnsi="宋体"/>
        </w:rPr>
      </w:pPr>
      <w:r>
        <w:rPr>
          <w:rFonts w:hint="eastAsia"/>
        </w:rPr>
        <w:t>应符合</w:t>
      </w:r>
      <w:r>
        <w:t>GB 14881</w:t>
      </w:r>
      <w:r>
        <w:rPr>
          <w:rFonts w:hint="eastAsia"/>
        </w:rPr>
        <w:t>、</w:t>
      </w:r>
      <w:r>
        <w:rPr>
          <w:rStyle w:val="34"/>
          <w:rFonts w:hint="eastAsia" w:hAnsi="宋体"/>
        </w:rPr>
        <w:t>GB 3165、</w:t>
      </w:r>
      <w:r>
        <w:rPr>
          <w:rFonts w:hint="eastAsia" w:ascii="宋体" w:hAnsi="宋体"/>
        </w:rPr>
        <w:t>SB/T 10856的</w:t>
      </w:r>
      <w:r>
        <w:rPr>
          <w:rStyle w:val="34"/>
          <w:rFonts w:hint="eastAsia" w:hAnsi="宋体"/>
        </w:rPr>
        <w:t>规定。</w:t>
      </w:r>
    </w:p>
    <w:p w14:paraId="0412AE61">
      <w:pPr>
        <w:pStyle w:val="108"/>
        <w:spacing w:before="120" w:after="120"/>
      </w:pPr>
      <w:r>
        <w:t>制度要求</w:t>
      </w:r>
    </w:p>
    <w:p w14:paraId="77CD788C">
      <w:pPr>
        <w:pStyle w:val="59"/>
        <w:ind w:firstLine="420"/>
      </w:pPr>
      <w:r>
        <w:rPr>
          <w:rFonts w:hint="eastAsia"/>
        </w:rPr>
        <w:t>包括但不限于：</w:t>
      </w:r>
    </w:p>
    <w:p w14:paraId="5BB86A9F">
      <w:pPr>
        <w:pStyle w:val="135"/>
      </w:pPr>
      <w:r>
        <w:t>制定平台相应的服务管理和工作制度，明确管理人员、专业人员的职能职责</w:t>
      </w:r>
      <w:r>
        <w:rPr>
          <w:rFonts w:hint="eastAsia"/>
        </w:rPr>
        <w:t>；</w:t>
      </w:r>
    </w:p>
    <w:p w14:paraId="4CDF361E">
      <w:pPr>
        <w:pStyle w:val="135"/>
      </w:pPr>
      <w:r>
        <w:t>制定平台相应的考核、评价制度，对平台运营管理进行监管</w:t>
      </w:r>
      <w:r>
        <w:rPr>
          <w:rFonts w:hint="eastAsia"/>
          <w:lang w:eastAsia="zh-CN"/>
        </w:rPr>
        <w:t>；</w:t>
      </w:r>
    </w:p>
    <w:p w14:paraId="2A2C0D5E">
      <w:pPr>
        <w:pStyle w:val="135"/>
      </w:pPr>
      <w:r>
        <w:t>建立平台运行的意见收集和处理等考核评价制度。</w:t>
      </w:r>
    </w:p>
    <w:p w14:paraId="77099B46">
      <w:pPr>
        <w:pStyle w:val="108"/>
        <w:spacing w:before="120" w:after="120"/>
      </w:pPr>
      <w:r>
        <w:t>人员管理</w:t>
      </w:r>
    </w:p>
    <w:p w14:paraId="5BCF99E2">
      <w:pPr>
        <w:pStyle w:val="59"/>
        <w:ind w:firstLine="420"/>
      </w:pPr>
      <w:r>
        <w:rPr>
          <w:rFonts w:hint="eastAsia"/>
        </w:rPr>
        <w:t>包括但不限于：</w:t>
      </w:r>
    </w:p>
    <w:p w14:paraId="4696BB40">
      <w:pPr>
        <w:pStyle w:val="135"/>
      </w:pPr>
      <w:r>
        <w:t>配备运营团队、客户服务人员，以及平台运维人员，确保平台运营安全可靠，提供每天不低于8</w:t>
      </w:r>
      <w:r>
        <w:rPr>
          <w:rFonts w:hint="eastAsia"/>
          <w:vertAlign w:val="superscript"/>
        </w:rPr>
        <w:t xml:space="preserve"> </w:t>
      </w:r>
      <w:r>
        <w:rPr>
          <w:rFonts w:hint="eastAsia"/>
        </w:rPr>
        <w:t>h</w:t>
      </w:r>
      <w:r>
        <w:t>的在线人工服务</w:t>
      </w:r>
      <w:r>
        <w:rPr>
          <w:rFonts w:hint="eastAsia"/>
        </w:rPr>
        <w:t>；</w:t>
      </w:r>
    </w:p>
    <w:p w14:paraId="1F9A529B">
      <w:pPr>
        <w:pStyle w:val="135"/>
      </w:pPr>
      <w:r>
        <w:t>制定年度培训计划，组织开展数字化、信息化等相关专业知识、技能的培训。</w:t>
      </w:r>
    </w:p>
    <w:p w14:paraId="7E5FBB4D">
      <w:pPr>
        <w:pStyle w:val="108"/>
        <w:spacing w:before="120" w:after="120"/>
      </w:pPr>
      <w:r>
        <w:rPr>
          <w:rFonts w:hint="eastAsia"/>
        </w:rPr>
        <w:t>系统</w:t>
      </w:r>
      <w:r>
        <w:t>安全</w:t>
      </w:r>
    </w:p>
    <w:p w14:paraId="7C9E9B3C">
      <w:pPr>
        <w:pStyle w:val="59"/>
        <w:ind w:firstLine="420"/>
      </w:pPr>
      <w:r>
        <w:rPr>
          <w:rFonts w:hint="eastAsia"/>
        </w:rPr>
        <w:t>包括但不限于：</w:t>
      </w:r>
    </w:p>
    <w:p w14:paraId="39A1859D">
      <w:pPr>
        <w:pStyle w:val="135"/>
      </w:pPr>
      <w:r>
        <w:t>建立安全响应和反馈机制，受理安全性相关提示、咨询和建议</w:t>
      </w:r>
      <w:r>
        <w:rPr>
          <w:rFonts w:hint="eastAsia"/>
        </w:rPr>
        <w:t>；</w:t>
      </w:r>
    </w:p>
    <w:p w14:paraId="048FAFA1">
      <w:pPr>
        <w:pStyle w:val="135"/>
      </w:pPr>
      <w:r>
        <w:t>配备防火墙、入侵检测系统等安全设备，防止外部入侵，保证信息平台和数据安全</w:t>
      </w:r>
      <w:r>
        <w:rPr>
          <w:rFonts w:hint="eastAsia"/>
        </w:rPr>
        <w:t>；</w:t>
      </w:r>
    </w:p>
    <w:p w14:paraId="175173EE">
      <w:pPr>
        <w:pStyle w:val="135"/>
      </w:pPr>
      <w:r>
        <w:t>建立信息安全事件应急预案，发生信息安全事件时能快速恢复数据和系统运行。</w:t>
      </w:r>
    </w:p>
    <w:p w14:paraId="2AD92D08">
      <w:pPr>
        <w:pStyle w:val="108"/>
        <w:spacing w:before="120" w:after="120"/>
      </w:pPr>
      <w:r>
        <w:t>数据</w:t>
      </w:r>
      <w:r>
        <w:rPr>
          <w:rFonts w:hint="eastAsia"/>
        </w:rPr>
        <w:t>安全</w:t>
      </w:r>
    </w:p>
    <w:p w14:paraId="5D263272">
      <w:pPr>
        <w:pStyle w:val="59"/>
        <w:ind w:firstLine="420"/>
      </w:pPr>
      <w:r>
        <w:rPr>
          <w:rFonts w:hint="eastAsia"/>
        </w:rPr>
        <w:t>包括但不限于：</w:t>
      </w:r>
    </w:p>
    <w:p w14:paraId="68A14EE4">
      <w:pPr>
        <w:pStyle w:val="135"/>
      </w:pPr>
      <w:r>
        <w:t>建立数据安全防护机制，确保数据信息安全有效，网络安全、信息安全保障工作应符合GB/T 20271、GB/T 35273的要求</w:t>
      </w:r>
      <w:r>
        <w:rPr>
          <w:rFonts w:hint="eastAsia"/>
          <w:lang w:eastAsia="zh-CN"/>
        </w:rPr>
        <w:t>；</w:t>
      </w:r>
    </w:p>
    <w:p w14:paraId="0F5C6982">
      <w:pPr>
        <w:pStyle w:val="135"/>
      </w:pPr>
      <w:r>
        <w:t>建立数据存储、传输、交互的安全策略，定期评估数据存储、数据通信的安全性，定期对数据进行备份，对关键数据应采用容灾备份。</w:t>
      </w:r>
    </w:p>
    <w:p w14:paraId="67484A2F">
      <w:pPr>
        <w:pStyle w:val="108"/>
        <w:spacing w:before="120" w:after="120"/>
      </w:pPr>
      <w:r>
        <w:t>系统维护</w:t>
      </w:r>
    </w:p>
    <w:p w14:paraId="0A79EA77">
      <w:pPr>
        <w:pStyle w:val="59"/>
        <w:ind w:firstLine="420"/>
      </w:pPr>
      <w:r>
        <w:rPr>
          <w:rFonts w:hint="eastAsia"/>
        </w:rPr>
        <w:t>包括但不限于：</w:t>
      </w:r>
    </w:p>
    <w:p w14:paraId="5B52E27C">
      <w:pPr>
        <w:pStyle w:val="135"/>
      </w:pPr>
      <w:r>
        <w:t>应定期开展平台系统维护，维护频率每月不低于1次</w:t>
      </w:r>
      <w:r>
        <w:rPr>
          <w:rFonts w:hint="eastAsia"/>
        </w:rPr>
        <w:t>；</w:t>
      </w:r>
    </w:p>
    <w:p w14:paraId="15C7A117">
      <w:pPr>
        <w:pStyle w:val="135"/>
      </w:pPr>
      <w:r>
        <w:t>应定期监控平台软硬件设备的运行状态，监控频率每周不低于1次，实时升级、更新软件版本。</w:t>
      </w:r>
    </w:p>
    <w:p w14:paraId="267BB45E">
      <w:pPr>
        <w:pStyle w:val="107"/>
        <w:spacing w:before="240" w:after="240"/>
      </w:pPr>
      <w:r>
        <w:t>评价改进</w:t>
      </w:r>
    </w:p>
    <w:p w14:paraId="72C338C9">
      <w:pPr>
        <w:pStyle w:val="165"/>
      </w:pPr>
      <w:r>
        <w:t>对建设内容、运行流程的合理性和实用性、运行管理满意度开展自我评价工作。</w:t>
      </w:r>
    </w:p>
    <w:p w14:paraId="46667187">
      <w:pPr>
        <w:pStyle w:val="165"/>
      </w:pPr>
      <w:r>
        <w:t>根据评价结果和反馈意见，提出改进意见和建议，制定改进措施并及时整改，实现</w:t>
      </w:r>
      <w:r>
        <w:rPr>
          <w:rFonts w:hint="eastAsia"/>
        </w:rPr>
        <w:t>平台</w:t>
      </w:r>
      <w:r>
        <w:t>的持续改进。</w:t>
      </w:r>
    </w:p>
    <w:p w14:paraId="1B8F9884">
      <w:pPr>
        <w:pStyle w:val="59"/>
        <w:ind w:firstLine="420"/>
      </w:pPr>
    </w:p>
    <w:bookmarkEnd w:id="23"/>
    <w:p w14:paraId="331A0167">
      <w:pPr>
        <w:pStyle w:val="59"/>
        <w:ind w:firstLine="0" w:firstLineChars="0"/>
        <w:jc w:val="center"/>
      </w:pPr>
      <w:bookmarkStart w:id="51" w:name="BookMark8"/>
      <w:r>
        <w:drawing>
          <wp:inline distT="0" distB="0" distL="0" distR="0">
            <wp:extent cx="1485900" cy="317500"/>
            <wp:effectExtent l="0" t="0" r="0" b="6350"/>
            <wp:docPr id="1158828134" name="图片 1"/>
            <wp:cNvGraphicFramePr/>
            <a:graphic xmlns:a="http://schemas.openxmlformats.org/drawingml/2006/main">
              <a:graphicData uri="http://schemas.openxmlformats.org/drawingml/2006/picture">
                <pic:pic xmlns:pic="http://schemas.openxmlformats.org/drawingml/2006/picture">
                  <pic:nvPicPr>
                    <pic:cNvPr id="1158828134"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默认字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62C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40D2">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7D8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653B">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F038">
    <w:pPr>
      <w:pStyle w:val="54"/>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FAFD">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9715">
    <w:pPr>
      <w:pStyle w:val="54"/>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A49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14C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CFD3">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D90A">
    <w:pPr>
      <w:pStyle w:val="64"/>
    </w:pPr>
    <w:r>
      <w:fldChar w:fldCharType="begin"/>
    </w:r>
    <w:r>
      <w:instrText xml:space="preserve"> STYLEREF  标准文件_文件编号  \* MERGEFORMAT </w:instrText>
    </w:r>
    <w:r>
      <w:fldChar w:fldCharType="separate"/>
    </w:r>
    <w:r>
      <w:t>T/GXCUA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2824">
    <w:pPr>
      <w:pStyle w:val="65"/>
    </w:pPr>
    <w:r>
      <w:fldChar w:fldCharType="begin"/>
    </w:r>
    <w:r>
      <w:instrText xml:space="preserve"> STYLEREF  标准文件_文件编号 \* MERGEFORMAT </w:instrText>
    </w:r>
    <w:r>
      <w:fldChar w:fldCharType="separate"/>
    </w:r>
    <w:r>
      <w:t>T/GXCUA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970B">
    <w:pPr>
      <w:pStyle w:val="64"/>
    </w:pPr>
    <w:r>
      <w:fldChar w:fldCharType="begin"/>
    </w:r>
    <w:r>
      <w:instrText xml:space="preserve"> STYLEREF  标准文件_文件编号  \* MERGEFORMAT </w:instrText>
    </w:r>
    <w:r>
      <w:fldChar w:fldCharType="separate"/>
    </w:r>
    <w:r>
      <w:t>T/GXCUA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4DC8">
    <w:pPr>
      <w:pStyle w:val="65"/>
    </w:pPr>
    <w:r>
      <w:fldChar w:fldCharType="begin"/>
    </w:r>
    <w:r>
      <w:instrText xml:space="preserve"> STYLEREF  标准文件_文件编号 \* MERGEFORMAT </w:instrText>
    </w:r>
    <w:r>
      <w:fldChar w:fldCharType="separate"/>
    </w:r>
    <w:r>
      <w:t>T/GXCUA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419"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C"/>
    <w:rsid w:val="0000040A"/>
    <w:rsid w:val="00000A94"/>
    <w:rsid w:val="00001972"/>
    <w:rsid w:val="00001D9A"/>
    <w:rsid w:val="00002D44"/>
    <w:rsid w:val="00007B3A"/>
    <w:rsid w:val="000107E0"/>
    <w:rsid w:val="00010B79"/>
    <w:rsid w:val="00011FDE"/>
    <w:rsid w:val="00012FFD"/>
    <w:rsid w:val="00014162"/>
    <w:rsid w:val="00014340"/>
    <w:rsid w:val="00016A9C"/>
    <w:rsid w:val="00022184"/>
    <w:rsid w:val="00022762"/>
    <w:rsid w:val="000238E0"/>
    <w:rsid w:val="000249DB"/>
    <w:rsid w:val="0002595E"/>
    <w:rsid w:val="000303C3"/>
    <w:rsid w:val="000311F3"/>
    <w:rsid w:val="0003126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062"/>
    <w:rsid w:val="0006357D"/>
    <w:rsid w:val="00067E1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E7"/>
    <w:rsid w:val="000A0B60"/>
    <w:rsid w:val="000A0EB8"/>
    <w:rsid w:val="000A19FC"/>
    <w:rsid w:val="000A296B"/>
    <w:rsid w:val="000A7311"/>
    <w:rsid w:val="000B060F"/>
    <w:rsid w:val="000B1592"/>
    <w:rsid w:val="000B1FF2"/>
    <w:rsid w:val="000B3CDA"/>
    <w:rsid w:val="000B6A0B"/>
    <w:rsid w:val="000B72D0"/>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041"/>
    <w:rsid w:val="000F06E1"/>
    <w:rsid w:val="000F0E3C"/>
    <w:rsid w:val="000F19D5"/>
    <w:rsid w:val="000F4050"/>
    <w:rsid w:val="000F4AEA"/>
    <w:rsid w:val="000F67E9"/>
    <w:rsid w:val="00100C39"/>
    <w:rsid w:val="00104926"/>
    <w:rsid w:val="00113B1E"/>
    <w:rsid w:val="00113CA1"/>
    <w:rsid w:val="0011711C"/>
    <w:rsid w:val="001225E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137"/>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DA4"/>
    <w:rsid w:val="00176DFD"/>
    <w:rsid w:val="0018131A"/>
    <w:rsid w:val="001852C9"/>
    <w:rsid w:val="001854E0"/>
    <w:rsid w:val="00187A0B"/>
    <w:rsid w:val="00190087"/>
    <w:rsid w:val="001913C4"/>
    <w:rsid w:val="00191C9E"/>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2F6"/>
    <w:rsid w:val="001C7FEA"/>
    <w:rsid w:val="001D03E1"/>
    <w:rsid w:val="001D0499"/>
    <w:rsid w:val="001D0BBE"/>
    <w:rsid w:val="001D0E35"/>
    <w:rsid w:val="001D0ED4"/>
    <w:rsid w:val="001D212F"/>
    <w:rsid w:val="001D29D7"/>
    <w:rsid w:val="001D2DE7"/>
    <w:rsid w:val="001D411C"/>
    <w:rsid w:val="001D621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C69"/>
    <w:rsid w:val="00243540"/>
    <w:rsid w:val="00243C2B"/>
    <w:rsid w:val="0024497B"/>
    <w:rsid w:val="0024515B"/>
    <w:rsid w:val="00246021"/>
    <w:rsid w:val="0024666E"/>
    <w:rsid w:val="00247F52"/>
    <w:rsid w:val="00250B25"/>
    <w:rsid w:val="00250BBE"/>
    <w:rsid w:val="002515C2"/>
    <w:rsid w:val="0025194F"/>
    <w:rsid w:val="00255B8B"/>
    <w:rsid w:val="00255C3C"/>
    <w:rsid w:val="00257B79"/>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77E"/>
    <w:rsid w:val="002927E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249"/>
    <w:rsid w:val="002E6326"/>
    <w:rsid w:val="002F30E0"/>
    <w:rsid w:val="002F3196"/>
    <w:rsid w:val="002F35E4"/>
    <w:rsid w:val="002F3730"/>
    <w:rsid w:val="002F38E1"/>
    <w:rsid w:val="002F7AF6"/>
    <w:rsid w:val="00300E63"/>
    <w:rsid w:val="00302F5F"/>
    <w:rsid w:val="0030441D"/>
    <w:rsid w:val="00306063"/>
    <w:rsid w:val="00313B85"/>
    <w:rsid w:val="00317988"/>
    <w:rsid w:val="00320A28"/>
    <w:rsid w:val="003221B4"/>
    <w:rsid w:val="0032258D"/>
    <w:rsid w:val="00322E62"/>
    <w:rsid w:val="00324D13"/>
    <w:rsid w:val="00324EDD"/>
    <w:rsid w:val="00331F50"/>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424"/>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49C"/>
    <w:rsid w:val="003A3D9C"/>
    <w:rsid w:val="003A4077"/>
    <w:rsid w:val="003A4AA7"/>
    <w:rsid w:val="003B09AD"/>
    <w:rsid w:val="003B1F18"/>
    <w:rsid w:val="003B4AC0"/>
    <w:rsid w:val="003B4E5C"/>
    <w:rsid w:val="003B5BF0"/>
    <w:rsid w:val="003B60BF"/>
    <w:rsid w:val="003B6BE3"/>
    <w:rsid w:val="003C010C"/>
    <w:rsid w:val="003C0A6C"/>
    <w:rsid w:val="003C14D2"/>
    <w:rsid w:val="003C14F8"/>
    <w:rsid w:val="003C4A6B"/>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495"/>
    <w:rsid w:val="003F23D3"/>
    <w:rsid w:val="003F3F08"/>
    <w:rsid w:val="003F49F1"/>
    <w:rsid w:val="003F4A00"/>
    <w:rsid w:val="003F6272"/>
    <w:rsid w:val="00400E72"/>
    <w:rsid w:val="00401400"/>
    <w:rsid w:val="004015B8"/>
    <w:rsid w:val="00404869"/>
    <w:rsid w:val="00405884"/>
    <w:rsid w:val="00407D39"/>
    <w:rsid w:val="0041477A"/>
    <w:rsid w:val="004167A3"/>
    <w:rsid w:val="00420131"/>
    <w:rsid w:val="00423C7A"/>
    <w:rsid w:val="00427F5A"/>
    <w:rsid w:val="00432971"/>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EAD"/>
    <w:rsid w:val="00470775"/>
    <w:rsid w:val="00470E5F"/>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904"/>
    <w:rsid w:val="004A2B4E"/>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62"/>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8F7"/>
    <w:rsid w:val="005039BC"/>
    <w:rsid w:val="005043BB"/>
    <w:rsid w:val="00504A3D"/>
    <w:rsid w:val="00505767"/>
    <w:rsid w:val="005073F0"/>
    <w:rsid w:val="00510A7B"/>
    <w:rsid w:val="00512F6E"/>
    <w:rsid w:val="00513038"/>
    <w:rsid w:val="00514174"/>
    <w:rsid w:val="00516088"/>
    <w:rsid w:val="00516B0B"/>
    <w:rsid w:val="005220EC"/>
    <w:rsid w:val="00523F95"/>
    <w:rsid w:val="00524109"/>
    <w:rsid w:val="00524D65"/>
    <w:rsid w:val="00525B16"/>
    <w:rsid w:val="00530A8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CA4"/>
    <w:rsid w:val="00573D9E"/>
    <w:rsid w:val="0057740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100"/>
    <w:rsid w:val="005C29B8"/>
    <w:rsid w:val="005C5F21"/>
    <w:rsid w:val="005C7156"/>
    <w:rsid w:val="005C71F7"/>
    <w:rsid w:val="005D0C75"/>
    <w:rsid w:val="005D334F"/>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6C8"/>
    <w:rsid w:val="00604784"/>
    <w:rsid w:val="00606419"/>
    <w:rsid w:val="00607D29"/>
    <w:rsid w:val="00612952"/>
    <w:rsid w:val="00614CC1"/>
    <w:rsid w:val="00615A9D"/>
    <w:rsid w:val="00617387"/>
    <w:rsid w:val="006202E2"/>
    <w:rsid w:val="006205D6"/>
    <w:rsid w:val="006252D8"/>
    <w:rsid w:val="006259BC"/>
    <w:rsid w:val="0062636B"/>
    <w:rsid w:val="00632182"/>
    <w:rsid w:val="00632AE0"/>
    <w:rsid w:val="00633C17"/>
    <w:rsid w:val="00634D9E"/>
    <w:rsid w:val="00636E3E"/>
    <w:rsid w:val="006370E1"/>
    <w:rsid w:val="006379F7"/>
    <w:rsid w:val="00637E4D"/>
    <w:rsid w:val="00640620"/>
    <w:rsid w:val="00641A1F"/>
    <w:rsid w:val="00642F06"/>
    <w:rsid w:val="00645904"/>
    <w:rsid w:val="00651ACB"/>
    <w:rsid w:val="00651C47"/>
    <w:rsid w:val="00652AB2"/>
    <w:rsid w:val="00653FED"/>
    <w:rsid w:val="00654EC0"/>
    <w:rsid w:val="0065525B"/>
    <w:rsid w:val="00655D4F"/>
    <w:rsid w:val="00656D29"/>
    <w:rsid w:val="006575EF"/>
    <w:rsid w:val="00663B56"/>
    <w:rsid w:val="006640E5"/>
    <w:rsid w:val="006646F1"/>
    <w:rsid w:val="00664929"/>
    <w:rsid w:val="00664F62"/>
    <w:rsid w:val="006655E1"/>
    <w:rsid w:val="00672060"/>
    <w:rsid w:val="0067282C"/>
    <w:rsid w:val="00672BFD"/>
    <w:rsid w:val="006770F4"/>
    <w:rsid w:val="00677A84"/>
    <w:rsid w:val="0068026D"/>
    <w:rsid w:val="00680A27"/>
    <w:rsid w:val="006816A4"/>
    <w:rsid w:val="006819B8"/>
    <w:rsid w:val="006840A6"/>
    <w:rsid w:val="006850CD"/>
    <w:rsid w:val="00685AAB"/>
    <w:rsid w:val="0068686F"/>
    <w:rsid w:val="00692445"/>
    <w:rsid w:val="00693962"/>
    <w:rsid w:val="006A07AA"/>
    <w:rsid w:val="006A25E5"/>
    <w:rsid w:val="006A2B46"/>
    <w:rsid w:val="006A336D"/>
    <w:rsid w:val="006A37B9"/>
    <w:rsid w:val="006A3D27"/>
    <w:rsid w:val="006B119A"/>
    <w:rsid w:val="006B2672"/>
    <w:rsid w:val="006B54BF"/>
    <w:rsid w:val="006B5F44"/>
    <w:rsid w:val="006B5F90"/>
    <w:rsid w:val="006B62E4"/>
    <w:rsid w:val="006B7C9A"/>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D33"/>
    <w:rsid w:val="00722FBF"/>
    <w:rsid w:val="00722FC2"/>
    <w:rsid w:val="00724E1B"/>
    <w:rsid w:val="00725949"/>
    <w:rsid w:val="00727FA2"/>
    <w:rsid w:val="007302AE"/>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A6E"/>
    <w:rsid w:val="00764EA6"/>
    <w:rsid w:val="00765C43"/>
    <w:rsid w:val="00765EFB"/>
    <w:rsid w:val="007671CA"/>
    <w:rsid w:val="00767C61"/>
    <w:rsid w:val="0077008A"/>
    <w:rsid w:val="007704D3"/>
    <w:rsid w:val="00773C1F"/>
    <w:rsid w:val="00774DA4"/>
    <w:rsid w:val="00776599"/>
    <w:rsid w:val="0078114B"/>
    <w:rsid w:val="00781DD2"/>
    <w:rsid w:val="00783ECF"/>
    <w:rsid w:val="0078413A"/>
    <w:rsid w:val="007952F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5FA"/>
    <w:rsid w:val="007B68EA"/>
    <w:rsid w:val="007B7453"/>
    <w:rsid w:val="007C2D89"/>
    <w:rsid w:val="007C4593"/>
    <w:rsid w:val="007C5309"/>
    <w:rsid w:val="007C6069"/>
    <w:rsid w:val="007D06C4"/>
    <w:rsid w:val="007D1352"/>
    <w:rsid w:val="007D2508"/>
    <w:rsid w:val="007D346A"/>
    <w:rsid w:val="007D6518"/>
    <w:rsid w:val="007D6A6C"/>
    <w:rsid w:val="007D76BD"/>
    <w:rsid w:val="007E0BF1"/>
    <w:rsid w:val="007F0ED8"/>
    <w:rsid w:val="007F0F63"/>
    <w:rsid w:val="007F533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424"/>
    <w:rsid w:val="008209E6"/>
    <w:rsid w:val="00821D19"/>
    <w:rsid w:val="00823303"/>
    <w:rsid w:val="008233B2"/>
    <w:rsid w:val="00823A9F"/>
    <w:rsid w:val="00823C85"/>
    <w:rsid w:val="00825138"/>
    <w:rsid w:val="008269DD"/>
    <w:rsid w:val="00830621"/>
    <w:rsid w:val="0083348C"/>
    <w:rsid w:val="008373D3"/>
    <w:rsid w:val="008404BC"/>
    <w:rsid w:val="00840617"/>
    <w:rsid w:val="00840F84"/>
    <w:rsid w:val="00842A47"/>
    <w:rsid w:val="00843C13"/>
    <w:rsid w:val="00843DEF"/>
    <w:rsid w:val="008454F8"/>
    <w:rsid w:val="0085173A"/>
    <w:rsid w:val="00851FC2"/>
    <w:rsid w:val="00856426"/>
    <w:rsid w:val="008603CE"/>
    <w:rsid w:val="008620FC"/>
    <w:rsid w:val="008627A5"/>
    <w:rsid w:val="00863133"/>
    <w:rsid w:val="00863E05"/>
    <w:rsid w:val="00865ACA"/>
    <w:rsid w:val="00865D28"/>
    <w:rsid w:val="00865F85"/>
    <w:rsid w:val="00867C10"/>
    <w:rsid w:val="00870439"/>
    <w:rsid w:val="00870DA1"/>
    <w:rsid w:val="00881D22"/>
    <w:rsid w:val="008838D5"/>
    <w:rsid w:val="00883F93"/>
    <w:rsid w:val="00884DB3"/>
    <w:rsid w:val="00885A9D"/>
    <w:rsid w:val="008864F6"/>
    <w:rsid w:val="0089049D"/>
    <w:rsid w:val="0089145A"/>
    <w:rsid w:val="008928C9"/>
    <w:rsid w:val="008930CB"/>
    <w:rsid w:val="00893647"/>
    <w:rsid w:val="008938DC"/>
    <w:rsid w:val="00893FD1"/>
    <w:rsid w:val="00894836"/>
    <w:rsid w:val="00895172"/>
    <w:rsid w:val="00895680"/>
    <w:rsid w:val="00896DFF"/>
    <w:rsid w:val="0089762C"/>
    <w:rsid w:val="008A173B"/>
    <w:rsid w:val="008A1893"/>
    <w:rsid w:val="008A3E11"/>
    <w:rsid w:val="008A57E6"/>
    <w:rsid w:val="008A6D6D"/>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4C6A"/>
    <w:rsid w:val="008C619A"/>
    <w:rsid w:val="008D016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252"/>
    <w:rsid w:val="008F70BD"/>
    <w:rsid w:val="008F788F"/>
    <w:rsid w:val="008F7EA2"/>
    <w:rsid w:val="0090222B"/>
    <w:rsid w:val="00902722"/>
    <w:rsid w:val="009027BC"/>
    <w:rsid w:val="00904612"/>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FA8"/>
    <w:rsid w:val="0095609D"/>
    <w:rsid w:val="009569F2"/>
    <w:rsid w:val="00957E23"/>
    <w:rsid w:val="00960F1E"/>
    <w:rsid w:val="009610DC"/>
    <w:rsid w:val="00961490"/>
    <w:rsid w:val="0096381A"/>
    <w:rsid w:val="00965E04"/>
    <w:rsid w:val="009674AD"/>
    <w:rsid w:val="00970CDC"/>
    <w:rsid w:val="00975727"/>
    <w:rsid w:val="00975A64"/>
    <w:rsid w:val="00977010"/>
    <w:rsid w:val="00977D02"/>
    <w:rsid w:val="00977FF9"/>
    <w:rsid w:val="009809BB"/>
    <w:rsid w:val="0098364B"/>
    <w:rsid w:val="009846BA"/>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5AF"/>
    <w:rsid w:val="009B09E0"/>
    <w:rsid w:val="009B0BC5"/>
    <w:rsid w:val="009B1247"/>
    <w:rsid w:val="009B6029"/>
    <w:rsid w:val="009B6971"/>
    <w:rsid w:val="009C27F1"/>
    <w:rsid w:val="009C3152"/>
    <w:rsid w:val="009C3257"/>
    <w:rsid w:val="009C4CFA"/>
    <w:rsid w:val="009C5070"/>
    <w:rsid w:val="009C5A54"/>
    <w:rsid w:val="009D112C"/>
    <w:rsid w:val="009D1385"/>
    <w:rsid w:val="009D47FA"/>
    <w:rsid w:val="009D4C5B"/>
    <w:rsid w:val="009D50D2"/>
    <w:rsid w:val="009D6BCA"/>
    <w:rsid w:val="009E0F62"/>
    <w:rsid w:val="009E3E5D"/>
    <w:rsid w:val="009E4A58"/>
    <w:rsid w:val="009E5146"/>
    <w:rsid w:val="009E5A2D"/>
    <w:rsid w:val="009E5AB2"/>
    <w:rsid w:val="009E6219"/>
    <w:rsid w:val="009F03B3"/>
    <w:rsid w:val="00A0096C"/>
    <w:rsid w:val="00A0151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B01"/>
    <w:rsid w:val="00A30EFC"/>
    <w:rsid w:val="00A31984"/>
    <w:rsid w:val="00A32D73"/>
    <w:rsid w:val="00A3367B"/>
    <w:rsid w:val="00A33C67"/>
    <w:rsid w:val="00A3597D"/>
    <w:rsid w:val="00A36DD1"/>
    <w:rsid w:val="00A4006C"/>
    <w:rsid w:val="00A40091"/>
    <w:rsid w:val="00A4030F"/>
    <w:rsid w:val="00A4043D"/>
    <w:rsid w:val="00A41C79"/>
    <w:rsid w:val="00A41CB5"/>
    <w:rsid w:val="00A42CDF"/>
    <w:rsid w:val="00A4452E"/>
    <w:rsid w:val="00A4472C"/>
    <w:rsid w:val="00A44979"/>
    <w:rsid w:val="00A44E69"/>
    <w:rsid w:val="00A4661E"/>
    <w:rsid w:val="00A55BD6"/>
    <w:rsid w:val="00A55D50"/>
    <w:rsid w:val="00A57142"/>
    <w:rsid w:val="00A648CD"/>
    <w:rsid w:val="00A6537A"/>
    <w:rsid w:val="00A6722B"/>
    <w:rsid w:val="00A67866"/>
    <w:rsid w:val="00A70B07"/>
    <w:rsid w:val="00A71B36"/>
    <w:rsid w:val="00A723F8"/>
    <w:rsid w:val="00A77825"/>
    <w:rsid w:val="00A77CCB"/>
    <w:rsid w:val="00A83D8D"/>
    <w:rsid w:val="00A8446B"/>
    <w:rsid w:val="00A8473F"/>
    <w:rsid w:val="00A862D6"/>
    <w:rsid w:val="00A8715E"/>
    <w:rsid w:val="00A9295B"/>
    <w:rsid w:val="00A93B09"/>
    <w:rsid w:val="00A952D7"/>
    <w:rsid w:val="00A9589C"/>
    <w:rsid w:val="00A963F7"/>
    <w:rsid w:val="00A96AD8"/>
    <w:rsid w:val="00A97656"/>
    <w:rsid w:val="00AA052C"/>
    <w:rsid w:val="00AA1E45"/>
    <w:rsid w:val="00AA4286"/>
    <w:rsid w:val="00AA456B"/>
    <w:rsid w:val="00AA57F5"/>
    <w:rsid w:val="00AA61B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0EA"/>
    <w:rsid w:val="00AE070A"/>
    <w:rsid w:val="00AE101C"/>
    <w:rsid w:val="00AE2A69"/>
    <w:rsid w:val="00AE37E5"/>
    <w:rsid w:val="00AE5EB4"/>
    <w:rsid w:val="00AF0C18"/>
    <w:rsid w:val="00AF47C5"/>
    <w:rsid w:val="00AF5398"/>
    <w:rsid w:val="00AF7694"/>
    <w:rsid w:val="00B049AF"/>
    <w:rsid w:val="00B07242"/>
    <w:rsid w:val="00B10534"/>
    <w:rsid w:val="00B113DB"/>
    <w:rsid w:val="00B11D8A"/>
    <w:rsid w:val="00B12981"/>
    <w:rsid w:val="00B144BF"/>
    <w:rsid w:val="00B147DD"/>
    <w:rsid w:val="00B156FD"/>
    <w:rsid w:val="00B21F61"/>
    <w:rsid w:val="00B23B7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711"/>
    <w:rsid w:val="00B52120"/>
    <w:rsid w:val="00B54ABC"/>
    <w:rsid w:val="00B56DF4"/>
    <w:rsid w:val="00B56FBE"/>
    <w:rsid w:val="00B60ACF"/>
    <w:rsid w:val="00B623F1"/>
    <w:rsid w:val="00B62B58"/>
    <w:rsid w:val="00B65149"/>
    <w:rsid w:val="00B66567"/>
    <w:rsid w:val="00B66F52"/>
    <w:rsid w:val="00B66FE5"/>
    <w:rsid w:val="00B72880"/>
    <w:rsid w:val="00B758BF"/>
    <w:rsid w:val="00B77EC8"/>
    <w:rsid w:val="00B827A6"/>
    <w:rsid w:val="00B831CE"/>
    <w:rsid w:val="00B86677"/>
    <w:rsid w:val="00B87131"/>
    <w:rsid w:val="00B92854"/>
    <w:rsid w:val="00B939B1"/>
    <w:rsid w:val="00B94838"/>
    <w:rsid w:val="00B96D40"/>
    <w:rsid w:val="00B97386"/>
    <w:rsid w:val="00BA178E"/>
    <w:rsid w:val="00BA263B"/>
    <w:rsid w:val="00BA42B2"/>
    <w:rsid w:val="00BA58D4"/>
    <w:rsid w:val="00BA5B9E"/>
    <w:rsid w:val="00BA6AC5"/>
    <w:rsid w:val="00BA6B4C"/>
    <w:rsid w:val="00BA7C9A"/>
    <w:rsid w:val="00BB5F8F"/>
    <w:rsid w:val="00BB657A"/>
    <w:rsid w:val="00BC1A4E"/>
    <w:rsid w:val="00BC5DC7"/>
    <w:rsid w:val="00BC6B8B"/>
    <w:rsid w:val="00BC73D8"/>
    <w:rsid w:val="00BD4FC6"/>
    <w:rsid w:val="00BD52D7"/>
    <w:rsid w:val="00BD5AD2"/>
    <w:rsid w:val="00BD654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11F"/>
    <w:rsid w:val="00C21540"/>
    <w:rsid w:val="00C21906"/>
    <w:rsid w:val="00C21BFA"/>
    <w:rsid w:val="00C24C8D"/>
    <w:rsid w:val="00C25FE2"/>
    <w:rsid w:val="00C26B53"/>
    <w:rsid w:val="00C279B2"/>
    <w:rsid w:val="00C317BE"/>
    <w:rsid w:val="00C33E50"/>
    <w:rsid w:val="00C34C20"/>
    <w:rsid w:val="00C35A3E"/>
    <w:rsid w:val="00C42130"/>
    <w:rsid w:val="00C423A4"/>
    <w:rsid w:val="00C423E3"/>
    <w:rsid w:val="00C44BF5"/>
    <w:rsid w:val="00C475C0"/>
    <w:rsid w:val="00C521D6"/>
    <w:rsid w:val="00C55232"/>
    <w:rsid w:val="00C553A4"/>
    <w:rsid w:val="00C55A06"/>
    <w:rsid w:val="00C55D03"/>
    <w:rsid w:val="00C601BC"/>
    <w:rsid w:val="00C62609"/>
    <w:rsid w:val="00C6329F"/>
    <w:rsid w:val="00C63340"/>
    <w:rsid w:val="00C643F9"/>
    <w:rsid w:val="00C64E95"/>
    <w:rsid w:val="00C668FD"/>
    <w:rsid w:val="00C71372"/>
    <w:rsid w:val="00C72410"/>
    <w:rsid w:val="00C7287F"/>
    <w:rsid w:val="00C80CB8"/>
    <w:rsid w:val="00C819F8"/>
    <w:rsid w:val="00C8248C"/>
    <w:rsid w:val="00C84E33"/>
    <w:rsid w:val="00C86D6F"/>
    <w:rsid w:val="00C87D76"/>
    <w:rsid w:val="00C905FC"/>
    <w:rsid w:val="00C92D03"/>
    <w:rsid w:val="00C9319C"/>
    <w:rsid w:val="00C9435D"/>
    <w:rsid w:val="00C94DF2"/>
    <w:rsid w:val="00C96741"/>
    <w:rsid w:val="00CA0013"/>
    <w:rsid w:val="00CA2D1B"/>
    <w:rsid w:val="00CA30D8"/>
    <w:rsid w:val="00CA375D"/>
    <w:rsid w:val="00CA662A"/>
    <w:rsid w:val="00CA7AFD"/>
    <w:rsid w:val="00CA7C3C"/>
    <w:rsid w:val="00CB0189"/>
    <w:rsid w:val="00CB0BA2"/>
    <w:rsid w:val="00CB1A42"/>
    <w:rsid w:val="00CB1B0C"/>
    <w:rsid w:val="00CB2C0B"/>
    <w:rsid w:val="00CB3FE2"/>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DDE"/>
    <w:rsid w:val="00CF048A"/>
    <w:rsid w:val="00CF155A"/>
    <w:rsid w:val="00CF2947"/>
    <w:rsid w:val="00CF686F"/>
    <w:rsid w:val="00CF6E60"/>
    <w:rsid w:val="00CF7BCA"/>
    <w:rsid w:val="00D002F3"/>
    <w:rsid w:val="00D008FD"/>
    <w:rsid w:val="00D0321C"/>
    <w:rsid w:val="00D03397"/>
    <w:rsid w:val="00D035EC"/>
    <w:rsid w:val="00D04F98"/>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2E4"/>
    <w:rsid w:val="00D66846"/>
    <w:rsid w:val="00D675FB"/>
    <w:rsid w:val="00D71F25"/>
    <w:rsid w:val="00D72A9C"/>
    <w:rsid w:val="00D77031"/>
    <w:rsid w:val="00D84941"/>
    <w:rsid w:val="00D84FA1"/>
    <w:rsid w:val="00D851F0"/>
    <w:rsid w:val="00D86DB7"/>
    <w:rsid w:val="00D87BF5"/>
    <w:rsid w:val="00D90721"/>
    <w:rsid w:val="00D91230"/>
    <w:rsid w:val="00D926D0"/>
    <w:rsid w:val="00D93030"/>
    <w:rsid w:val="00D950E1"/>
    <w:rsid w:val="00D952A6"/>
    <w:rsid w:val="00D96B34"/>
    <w:rsid w:val="00D97F99"/>
    <w:rsid w:val="00DA1E08"/>
    <w:rsid w:val="00DA24F8"/>
    <w:rsid w:val="00DA28E8"/>
    <w:rsid w:val="00DA38D3"/>
    <w:rsid w:val="00DA3932"/>
    <w:rsid w:val="00DA3AFC"/>
    <w:rsid w:val="00DA64F8"/>
    <w:rsid w:val="00DA6C15"/>
    <w:rsid w:val="00DB01AA"/>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0C4"/>
    <w:rsid w:val="00DD6BCC"/>
    <w:rsid w:val="00DE0A4B"/>
    <w:rsid w:val="00DE2410"/>
    <w:rsid w:val="00DE2939"/>
    <w:rsid w:val="00DE6E81"/>
    <w:rsid w:val="00DE703F"/>
    <w:rsid w:val="00DE7595"/>
    <w:rsid w:val="00DF1961"/>
    <w:rsid w:val="00DF44DE"/>
    <w:rsid w:val="00DF7F44"/>
    <w:rsid w:val="00E00E2C"/>
    <w:rsid w:val="00E01138"/>
    <w:rsid w:val="00E02DFB"/>
    <w:rsid w:val="00E030F9"/>
    <w:rsid w:val="00E0311A"/>
    <w:rsid w:val="00E03138"/>
    <w:rsid w:val="00E06404"/>
    <w:rsid w:val="00E10ACE"/>
    <w:rsid w:val="00E11A85"/>
    <w:rsid w:val="00E12495"/>
    <w:rsid w:val="00E1355E"/>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BB0"/>
    <w:rsid w:val="00E60C63"/>
    <w:rsid w:val="00E62FF9"/>
    <w:rsid w:val="00E635D6"/>
    <w:rsid w:val="00E639BC"/>
    <w:rsid w:val="00E664CC"/>
    <w:rsid w:val="00E70388"/>
    <w:rsid w:val="00E70F92"/>
    <w:rsid w:val="00E74313"/>
    <w:rsid w:val="00E74C54"/>
    <w:rsid w:val="00E7578D"/>
    <w:rsid w:val="00E76440"/>
    <w:rsid w:val="00E77A03"/>
    <w:rsid w:val="00E822E8"/>
    <w:rsid w:val="00E82554"/>
    <w:rsid w:val="00E82606"/>
    <w:rsid w:val="00E831C1"/>
    <w:rsid w:val="00E846C8"/>
    <w:rsid w:val="00E84957"/>
    <w:rsid w:val="00E84A55"/>
    <w:rsid w:val="00E85BFF"/>
    <w:rsid w:val="00E85F88"/>
    <w:rsid w:val="00E90391"/>
    <w:rsid w:val="00E906C2"/>
    <w:rsid w:val="00E9311F"/>
    <w:rsid w:val="00E934D1"/>
    <w:rsid w:val="00E945F1"/>
    <w:rsid w:val="00E94AF0"/>
    <w:rsid w:val="00E95D13"/>
    <w:rsid w:val="00E95DD3"/>
    <w:rsid w:val="00E969D5"/>
    <w:rsid w:val="00EA0A5B"/>
    <w:rsid w:val="00EA58D1"/>
    <w:rsid w:val="00EA61BC"/>
    <w:rsid w:val="00EA681A"/>
    <w:rsid w:val="00EA735B"/>
    <w:rsid w:val="00EB1E69"/>
    <w:rsid w:val="00EB2086"/>
    <w:rsid w:val="00EB31ED"/>
    <w:rsid w:val="00EB5EDF"/>
    <w:rsid w:val="00EB60FE"/>
    <w:rsid w:val="00EB74DB"/>
    <w:rsid w:val="00EC0A21"/>
    <w:rsid w:val="00EC5359"/>
    <w:rsid w:val="00EC562A"/>
    <w:rsid w:val="00ED067A"/>
    <w:rsid w:val="00ED2B50"/>
    <w:rsid w:val="00EE0350"/>
    <w:rsid w:val="00EE0719"/>
    <w:rsid w:val="00EE0E80"/>
    <w:rsid w:val="00EE208A"/>
    <w:rsid w:val="00EE613F"/>
    <w:rsid w:val="00EE7295"/>
    <w:rsid w:val="00EE7869"/>
    <w:rsid w:val="00EF054A"/>
    <w:rsid w:val="00EF3235"/>
    <w:rsid w:val="00EF7E72"/>
    <w:rsid w:val="00F06D37"/>
    <w:rsid w:val="00F07B9D"/>
    <w:rsid w:val="00F07E03"/>
    <w:rsid w:val="00F11586"/>
    <w:rsid w:val="00F1183B"/>
    <w:rsid w:val="00F11C9F"/>
    <w:rsid w:val="00F12263"/>
    <w:rsid w:val="00F1409D"/>
    <w:rsid w:val="00F14214"/>
    <w:rsid w:val="00F1562E"/>
    <w:rsid w:val="00F157A9"/>
    <w:rsid w:val="00F16F00"/>
    <w:rsid w:val="00F24C58"/>
    <w:rsid w:val="00F25BB6"/>
    <w:rsid w:val="00F26B7E"/>
    <w:rsid w:val="00F27A3B"/>
    <w:rsid w:val="00F32780"/>
    <w:rsid w:val="00F33817"/>
    <w:rsid w:val="00F41316"/>
    <w:rsid w:val="00F420D5"/>
    <w:rsid w:val="00F451EA"/>
    <w:rsid w:val="00F45447"/>
    <w:rsid w:val="00F456C6"/>
    <w:rsid w:val="00F4577B"/>
    <w:rsid w:val="00F46496"/>
    <w:rsid w:val="00F474D0"/>
    <w:rsid w:val="00F50179"/>
    <w:rsid w:val="00F5121B"/>
    <w:rsid w:val="00F515EE"/>
    <w:rsid w:val="00F517F2"/>
    <w:rsid w:val="00F5314F"/>
    <w:rsid w:val="00F56511"/>
    <w:rsid w:val="00F6194E"/>
    <w:rsid w:val="00F623AC"/>
    <w:rsid w:val="00F6412A"/>
    <w:rsid w:val="00F65893"/>
    <w:rsid w:val="00F66474"/>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F8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CF0"/>
    <w:rsid w:val="00FF7E39"/>
    <w:rsid w:val="0131400C"/>
    <w:rsid w:val="0BB869C0"/>
    <w:rsid w:val="0D3C1346"/>
    <w:rsid w:val="0F6A0418"/>
    <w:rsid w:val="10FF1D02"/>
    <w:rsid w:val="124656E7"/>
    <w:rsid w:val="12942D0C"/>
    <w:rsid w:val="133C549C"/>
    <w:rsid w:val="13D356F1"/>
    <w:rsid w:val="19C50371"/>
    <w:rsid w:val="1A8B191C"/>
    <w:rsid w:val="25633CE3"/>
    <w:rsid w:val="2C8C2B04"/>
    <w:rsid w:val="2D9C4F6B"/>
    <w:rsid w:val="31054E60"/>
    <w:rsid w:val="31F6028F"/>
    <w:rsid w:val="3A913EC8"/>
    <w:rsid w:val="420B0B75"/>
    <w:rsid w:val="47DE55F6"/>
    <w:rsid w:val="4F234726"/>
    <w:rsid w:val="526B77A4"/>
    <w:rsid w:val="5443706B"/>
    <w:rsid w:val="59F4108A"/>
    <w:rsid w:val="5B6F0815"/>
    <w:rsid w:val="5C400BC3"/>
    <w:rsid w:val="65642EFF"/>
    <w:rsid w:val="656A6E1E"/>
    <w:rsid w:val="678B4F7B"/>
    <w:rsid w:val="67916875"/>
    <w:rsid w:val="6BFB0A5C"/>
    <w:rsid w:val="781C54C5"/>
    <w:rsid w:val="7CD6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Times New Roman"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style>
  <w:style w:type="paragraph" w:customStyle="1" w:styleId="192">
    <w:name w:val="标准文件_一级项2"/>
    <w:basedOn w:val="59"/>
    <w:qFormat/>
    <w:uiPriority w:val="0"/>
    <w:pPr>
      <w:numPr>
        <w:ilvl w:val="0"/>
        <w:numId w:val="31"/>
      </w:numPr>
      <w:spacing w:line="300" w:lineRule="exact"/>
      <w:ind w:firstLineChars="0"/>
    </w:p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character" w:customStyle="1" w:styleId="236">
    <w:name w:val="未处理的提及1"/>
    <w:basedOn w:val="30"/>
    <w:semiHidden/>
    <w:unhideWhenUsed/>
    <w:qFormat/>
    <w:uiPriority w:val="99"/>
    <w:rPr>
      <w:color w:val="605E5C"/>
      <w:shd w:val="clear" w:color="auto" w:fill="E1DFDD"/>
    </w:r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D26B2114E2498FBE368BFDC16F1351"/>
        <w:style w:val=""/>
        <w:category>
          <w:name w:val="常规"/>
          <w:gallery w:val="placeholder"/>
        </w:category>
        <w:types>
          <w:type w:val="bbPlcHdr"/>
        </w:types>
        <w:behaviors>
          <w:behavior w:val="content"/>
        </w:behaviors>
        <w:description w:val=""/>
        <w:guid w:val="{1E832741-E07B-43EB-8D36-1F6E5B62C38A}"/>
      </w:docPartPr>
      <w:docPartBody>
        <w:p w14:paraId="53FCEA26">
          <w:pPr>
            <w:pStyle w:val="5"/>
          </w:pPr>
          <w:r>
            <w:rPr>
              <w:rStyle w:val="4"/>
              <w:rFonts w:hint="eastAsia"/>
            </w:rPr>
            <w:t>单击或点击此处输入文字。</w:t>
          </w:r>
        </w:p>
      </w:docPartBody>
    </w:docPart>
    <w:docPart>
      <w:docPartPr>
        <w:name w:val="681E45DF08E940B4AAA922733A3C3F4F"/>
        <w:style w:val=""/>
        <w:category>
          <w:name w:val="常规"/>
          <w:gallery w:val="placeholder"/>
        </w:category>
        <w:types>
          <w:type w:val="bbPlcHdr"/>
        </w:types>
        <w:behaviors>
          <w:behavior w:val="content"/>
        </w:behaviors>
        <w:description w:val=""/>
        <w:guid w:val="{E7F5603B-F583-4B95-BAD2-59E6ABF97C23}"/>
      </w:docPartPr>
      <w:docPartBody>
        <w:p w14:paraId="7D39AA0D">
          <w:pPr>
            <w:pStyle w:val="6"/>
          </w:pPr>
          <w:r>
            <w:rPr>
              <w:rStyle w:val="4"/>
              <w:rFonts w:hint="eastAsia"/>
            </w:rPr>
            <w:t>选择一项。</w:t>
          </w:r>
        </w:p>
      </w:docPartBody>
    </w:docPart>
    <w:docPart>
      <w:docPartPr>
        <w:name w:val="4F1C16E14B6348158B59F4E62A12EDC2"/>
        <w:style w:val=""/>
        <w:category>
          <w:name w:val="常规"/>
          <w:gallery w:val="placeholder"/>
        </w:category>
        <w:types>
          <w:type w:val="bbPlcHdr"/>
        </w:types>
        <w:behaviors>
          <w:behavior w:val="content"/>
        </w:behaviors>
        <w:description w:val=""/>
        <w:guid w:val="{BF52E14C-DD5A-4731-A1B3-1CB35B00F227}"/>
      </w:docPartPr>
      <w:docPartBody>
        <w:p w14:paraId="620B665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7C"/>
    <w:rsid w:val="00057470"/>
    <w:rsid w:val="00157137"/>
    <w:rsid w:val="00206D34"/>
    <w:rsid w:val="00254591"/>
    <w:rsid w:val="00255B8B"/>
    <w:rsid w:val="002E6249"/>
    <w:rsid w:val="004015B8"/>
    <w:rsid w:val="004106A3"/>
    <w:rsid w:val="00420131"/>
    <w:rsid w:val="004372D1"/>
    <w:rsid w:val="004D45BD"/>
    <w:rsid w:val="004E2B26"/>
    <w:rsid w:val="00532EA7"/>
    <w:rsid w:val="00543F1C"/>
    <w:rsid w:val="00554173"/>
    <w:rsid w:val="005A15E3"/>
    <w:rsid w:val="005C5180"/>
    <w:rsid w:val="00662F57"/>
    <w:rsid w:val="00663FA8"/>
    <w:rsid w:val="0068686F"/>
    <w:rsid w:val="006B537C"/>
    <w:rsid w:val="007527C1"/>
    <w:rsid w:val="00813A71"/>
    <w:rsid w:val="00820424"/>
    <w:rsid w:val="00856426"/>
    <w:rsid w:val="00955FA8"/>
    <w:rsid w:val="009B40EE"/>
    <w:rsid w:val="009B717A"/>
    <w:rsid w:val="00B270D6"/>
    <w:rsid w:val="00C13A19"/>
    <w:rsid w:val="00C53B7C"/>
    <w:rsid w:val="00CB3FE2"/>
    <w:rsid w:val="00D04F98"/>
    <w:rsid w:val="00D44DBF"/>
    <w:rsid w:val="00D622E4"/>
    <w:rsid w:val="00DD5FB2"/>
    <w:rsid w:val="00E12C8D"/>
    <w:rsid w:val="00F07BDD"/>
    <w:rsid w:val="00F1562E"/>
    <w:rsid w:val="00F8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D26B2114E2498FBE368BFDC16F135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81E45DF08E940B4AAA922733A3C3F4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F1C16E14B6348158B59F4E62A12EDC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11</Pages>
  <Words>1343</Words>
  <Characters>1737</Characters>
  <Lines>47</Lines>
  <Paragraphs>13</Paragraphs>
  <TotalTime>2</TotalTime>
  <ScaleCrop>false</ScaleCrop>
  <LinksUpToDate>false</LinksUpToDate>
  <CharactersWithSpaces>1859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2025-05-16T06:54:00Z</dcterms:created>
  <dc:creator>Admin</dc:creator>
  <cp:lastModifiedBy>本地帐户2020</cp:lastModifiedBy>
  <cp:lastPrinted>2021-02-02T08:22:00Z</cp:lastPrinted>
  <dcterms:modified xsi:type="dcterms:W3CDTF">2025-06-06T03:22:09Z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eyJoZGlkIjoiNWQyNjcxOGVjZTRjNTJkYThhYmE0M2ZhMzRjMWZkOTQifQ==</vt:lpwstr>
  </property>
  <property fmtid="{D5CDD505-2E9C-101B-9397-08002B2CF9AE}" pid="15" name="KSOProductBuildVer">
    <vt:lpwstr>2052-12.1.0.21171</vt:lpwstr>
  </property>
  <property fmtid="{D5CDD505-2E9C-101B-9397-08002B2CF9AE}" pid="16" name="ICV">
    <vt:lpwstr>757313E6570A4D31BD3979CD624CD7E6_13</vt:lpwstr>
  </property>
  <property fmtid="{D5CDD505-2E9C-101B-9397-08002B2CF9AE}" pid="17" name="DoublePage">
    <vt:lpwstr>true</vt:lpwstr>
  </property>
</Properties>
</file>