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7D8E" w14:textId="5FA48997" w:rsidR="00DD666C" w:rsidRPr="005B76A0" w:rsidRDefault="00084B34" w:rsidP="005B3DEF">
      <w:pPr>
        <w:spacing w:line="360" w:lineRule="auto"/>
        <w:contextualSpacing/>
        <w:jc w:val="center"/>
        <w:rPr>
          <w:b/>
          <w:sz w:val="32"/>
          <w:szCs w:val="32"/>
        </w:rPr>
      </w:pPr>
      <w:r w:rsidRPr="005B76A0">
        <w:rPr>
          <w:b/>
          <w:sz w:val="32"/>
          <w:szCs w:val="32"/>
        </w:rPr>
        <w:t>《</w:t>
      </w:r>
      <w:r w:rsidR="00091416">
        <w:rPr>
          <w:rFonts w:hint="eastAsia"/>
          <w:b/>
          <w:sz w:val="32"/>
          <w:szCs w:val="32"/>
        </w:rPr>
        <w:t>燕窝制品</w:t>
      </w:r>
      <w:r w:rsidRPr="005B76A0">
        <w:rPr>
          <w:rFonts w:hint="eastAsia"/>
          <w:b/>
          <w:sz w:val="32"/>
          <w:szCs w:val="32"/>
        </w:rPr>
        <w:t>制造</w:t>
      </w:r>
      <w:r w:rsidRPr="005B76A0">
        <w:rPr>
          <w:b/>
          <w:sz w:val="32"/>
          <w:szCs w:val="32"/>
        </w:rPr>
        <w:t>业</w:t>
      </w:r>
      <w:r w:rsidRPr="005B76A0">
        <w:rPr>
          <w:rFonts w:hint="eastAsia"/>
          <w:b/>
          <w:sz w:val="32"/>
          <w:szCs w:val="32"/>
        </w:rPr>
        <w:t>绿色</w:t>
      </w:r>
      <w:r w:rsidRPr="005B76A0">
        <w:rPr>
          <w:b/>
          <w:sz w:val="32"/>
          <w:szCs w:val="32"/>
        </w:rPr>
        <w:t>工厂评价要求》</w:t>
      </w:r>
      <w:r w:rsidRPr="005B76A0">
        <w:rPr>
          <w:rFonts w:hint="eastAsia"/>
          <w:b/>
          <w:sz w:val="32"/>
          <w:szCs w:val="32"/>
        </w:rPr>
        <w:t>团体</w:t>
      </w:r>
      <w:r w:rsidRPr="005B76A0">
        <w:rPr>
          <w:b/>
          <w:sz w:val="32"/>
          <w:szCs w:val="32"/>
        </w:rPr>
        <w:t>标准编制说明</w:t>
      </w:r>
    </w:p>
    <w:p w14:paraId="32A89A16" w14:textId="486A6BC2" w:rsidR="00DD666C" w:rsidRPr="005B76A0" w:rsidRDefault="00084B34">
      <w:pPr>
        <w:spacing w:line="360" w:lineRule="auto"/>
        <w:ind w:firstLine="482"/>
        <w:contextualSpacing/>
        <w:jc w:val="center"/>
        <w:rPr>
          <w:b/>
          <w:sz w:val="32"/>
          <w:szCs w:val="32"/>
        </w:rPr>
      </w:pPr>
      <w:r w:rsidRPr="005B76A0">
        <w:rPr>
          <w:rFonts w:hint="eastAsia"/>
          <w:b/>
          <w:sz w:val="28"/>
          <w:szCs w:val="28"/>
        </w:rPr>
        <w:t>（</w:t>
      </w:r>
      <w:r w:rsidR="005B3DEF">
        <w:rPr>
          <w:rFonts w:hint="eastAsia"/>
          <w:b/>
          <w:sz w:val="28"/>
          <w:szCs w:val="28"/>
        </w:rPr>
        <w:t>征求意见</w:t>
      </w:r>
      <w:r w:rsidRPr="005B76A0">
        <w:rPr>
          <w:rFonts w:hint="eastAsia"/>
          <w:b/>
          <w:sz w:val="28"/>
          <w:szCs w:val="28"/>
        </w:rPr>
        <w:t>稿）</w:t>
      </w:r>
    </w:p>
    <w:p w14:paraId="092C0E3E" w14:textId="77777777" w:rsidR="00DD666C" w:rsidRPr="005B76A0" w:rsidRDefault="00084B34" w:rsidP="00646FC3">
      <w:pPr>
        <w:pStyle w:val="1"/>
        <w:rPr>
          <w:rFonts w:hint="eastAsia"/>
        </w:rPr>
      </w:pPr>
      <w:r w:rsidRPr="005B76A0">
        <w:t>一、工作简况</w:t>
      </w:r>
    </w:p>
    <w:p w14:paraId="7A2B289A" w14:textId="77777777" w:rsidR="00DD666C" w:rsidRPr="005B76A0" w:rsidRDefault="00084B34" w:rsidP="00646FC3">
      <w:pPr>
        <w:pStyle w:val="2"/>
      </w:pPr>
      <w:r w:rsidRPr="005B76A0">
        <w:t>1</w:t>
      </w:r>
      <w:r w:rsidRPr="005B76A0">
        <w:t>、任务来源</w:t>
      </w:r>
    </w:p>
    <w:p w14:paraId="1009B073" w14:textId="5DD8AF19" w:rsidR="0085764C" w:rsidRPr="005B76A0" w:rsidRDefault="0085764C" w:rsidP="0085764C">
      <w:pPr>
        <w:spacing w:line="360" w:lineRule="auto"/>
        <w:ind w:firstLine="480"/>
        <w:contextualSpacing/>
      </w:pPr>
      <w:r w:rsidRPr="005B76A0">
        <w:rPr>
          <w:rFonts w:hint="eastAsia"/>
        </w:rPr>
        <w:t>工信部《工业绿色发展规划</w:t>
      </w:r>
      <w:r w:rsidR="00236773" w:rsidRPr="005B76A0">
        <w:rPr>
          <w:rFonts w:hint="eastAsia"/>
        </w:rPr>
        <w:t>（</w:t>
      </w:r>
      <w:r w:rsidRPr="005B76A0">
        <w:rPr>
          <w:rFonts w:hint="eastAsia"/>
        </w:rPr>
        <w:t>2016-2020</w:t>
      </w:r>
      <w:r w:rsidRPr="005B76A0">
        <w:rPr>
          <w:rFonts w:hint="eastAsia"/>
        </w:rPr>
        <w:t>年</w:t>
      </w:r>
      <w:r w:rsidR="00236773" w:rsidRPr="005B76A0">
        <w:rPr>
          <w:rFonts w:hint="eastAsia"/>
        </w:rPr>
        <w:t>）</w:t>
      </w:r>
      <w:r w:rsidRPr="005B76A0">
        <w:rPr>
          <w:rFonts w:hint="eastAsia"/>
        </w:rPr>
        <w:t>》提出实施绿色制造工程，加快构建绿色制造体系，大力发展绿色制造产业，推动绿色产品、绿色工厂、绿色园区和绿色供应链全面发展，建立健全工业绿色发展长效机制。《中国制造</w:t>
      </w:r>
      <w:r w:rsidRPr="005B76A0">
        <w:rPr>
          <w:rFonts w:hint="eastAsia"/>
        </w:rPr>
        <w:t>2025</w:t>
      </w:r>
      <w:r w:rsidRPr="005B76A0">
        <w:rPr>
          <w:rFonts w:hint="eastAsia"/>
        </w:rPr>
        <w:t>》将“全面推动绿色制造”作为九大战略重点和任务之一，提出“制定绿色产品、绿色工厂、绿色园区、绿色企业标准体系，开展绿色评价。”工厂是推进绿色发展、实施绿色制造的主体，创建绿色工厂作为构建绿色制造体系的关键一环，也是促进工业各行业结构优化、转型升级、提质增效的重要途径。对绿色工厂进行评价，有助于在行业内树立标杆，引导和规范工厂实施绿色制造，主动承担绿色发展的社会责任。</w:t>
      </w:r>
    </w:p>
    <w:p w14:paraId="710F00E1" w14:textId="4F8D0B83" w:rsidR="00DD666C" w:rsidRPr="005B76A0" w:rsidRDefault="00084B34">
      <w:pPr>
        <w:spacing w:line="360" w:lineRule="auto"/>
        <w:ind w:firstLine="480"/>
        <w:contextualSpacing/>
      </w:pPr>
      <w:r w:rsidRPr="005B76A0">
        <w:t>根据</w:t>
      </w:r>
      <w:r w:rsidRPr="005B76A0">
        <w:t>202</w:t>
      </w:r>
      <w:r w:rsidR="005B3DEF">
        <w:t>3</w:t>
      </w:r>
      <w:r w:rsidRPr="005B76A0">
        <w:t>年中国轻工联合会团体标准计划（中轻联综合〔</w:t>
      </w:r>
      <w:r w:rsidRPr="005B76A0">
        <w:t>202</w:t>
      </w:r>
      <w:r w:rsidR="005B3DEF">
        <w:t>3</w:t>
      </w:r>
      <w:r w:rsidRPr="005B76A0">
        <w:t>〕</w:t>
      </w:r>
      <w:r w:rsidRPr="005B76A0">
        <w:t>1</w:t>
      </w:r>
      <w:r w:rsidR="005B3DEF">
        <w:t>97</w:t>
      </w:r>
      <w:r w:rsidRPr="005B76A0">
        <w:t>号），《</w:t>
      </w:r>
      <w:r w:rsidR="00091416">
        <w:rPr>
          <w:rFonts w:hint="eastAsia"/>
        </w:rPr>
        <w:t>燕窝制品</w:t>
      </w:r>
      <w:r w:rsidRPr="005B76A0">
        <w:t>制造业绿色工厂评价要求》（计划号：</w:t>
      </w:r>
      <w:r w:rsidRPr="005B76A0">
        <w:t>202</w:t>
      </w:r>
      <w:r w:rsidR="005B3DEF">
        <w:t>3</w:t>
      </w:r>
      <w:r w:rsidRPr="005B76A0">
        <w:t>02</w:t>
      </w:r>
      <w:r w:rsidR="0066527C">
        <w:rPr>
          <w:rFonts w:hint="eastAsia"/>
        </w:rPr>
        <w:t>5</w:t>
      </w:r>
      <w:r w:rsidRPr="005B76A0">
        <w:t>）团体标准被列入制定计划。归口单位为中国轻工联合会，主要起草单位包括</w:t>
      </w:r>
      <w:r w:rsidR="00883D1D">
        <w:rPr>
          <w:rFonts w:hint="eastAsia"/>
          <w:szCs w:val="21"/>
        </w:rPr>
        <w:t>厦门市燕之屋丝浓生物科技有限公司</w:t>
      </w:r>
      <w:r w:rsidR="005B3DEF" w:rsidRPr="005B3DEF">
        <w:rPr>
          <w:rFonts w:hint="eastAsia"/>
        </w:rPr>
        <w:t>、</w:t>
      </w:r>
      <w:r w:rsidR="00000E45" w:rsidRPr="005B76A0">
        <w:rPr>
          <w:rFonts w:hint="eastAsia"/>
        </w:rPr>
        <w:t>中国食品发酵工业研究院有限公司</w:t>
      </w:r>
      <w:r w:rsidR="00DF42C7" w:rsidRPr="005B76A0">
        <w:t>等</w:t>
      </w:r>
      <w:r w:rsidR="000208CA" w:rsidRPr="005B76A0">
        <w:rPr>
          <w:rFonts w:hint="eastAsia"/>
        </w:rPr>
        <w:t>。</w:t>
      </w:r>
    </w:p>
    <w:p w14:paraId="4A27119D" w14:textId="04261668" w:rsidR="00646FC3" w:rsidRPr="005B76A0" w:rsidRDefault="00B53AA6" w:rsidP="00646FC3">
      <w:pPr>
        <w:pStyle w:val="2"/>
      </w:pPr>
      <w:r w:rsidRPr="005B76A0">
        <w:rPr>
          <w:rFonts w:hint="eastAsia"/>
        </w:rPr>
        <w:t>2</w:t>
      </w:r>
      <w:r w:rsidR="00646FC3" w:rsidRPr="005B76A0">
        <w:rPr>
          <w:rFonts w:hint="eastAsia"/>
        </w:rPr>
        <w:t>、行业</w:t>
      </w:r>
      <w:r w:rsidR="006D6125" w:rsidRPr="005B76A0">
        <w:rPr>
          <w:rFonts w:hint="eastAsia"/>
        </w:rPr>
        <w:t>概况</w:t>
      </w:r>
    </w:p>
    <w:p w14:paraId="5826153C" w14:textId="77777777" w:rsidR="00DF22BF" w:rsidRDefault="00DF22BF" w:rsidP="00DF22BF">
      <w:pPr>
        <w:spacing w:line="360" w:lineRule="auto"/>
        <w:ind w:firstLine="480"/>
        <w:contextualSpacing/>
        <w:rPr>
          <w:color w:val="000000"/>
        </w:rPr>
      </w:pPr>
      <w:r>
        <w:rPr>
          <w:rFonts w:hint="eastAsia"/>
          <w:color w:val="000000"/>
        </w:rPr>
        <w:t>燕窝制品行业是我国的新型健康产业，近年来，随着居民经济水平的提高和健康理念的发展，我国燕窝市场规模增长迅速，</w:t>
      </w:r>
      <w:r>
        <w:rPr>
          <w:rFonts w:hint="eastAsia"/>
          <w:color w:val="000000"/>
        </w:rPr>
        <w:t>2017</w:t>
      </w:r>
      <w:r>
        <w:rPr>
          <w:rFonts w:hint="eastAsia"/>
          <w:color w:val="000000"/>
        </w:rPr>
        <w:t>年为</w:t>
      </w:r>
      <w:r>
        <w:rPr>
          <w:rFonts w:hint="eastAsia"/>
          <w:color w:val="000000"/>
        </w:rPr>
        <w:t>129</w:t>
      </w:r>
      <w:r>
        <w:rPr>
          <w:rFonts w:hint="eastAsia"/>
          <w:color w:val="000000"/>
        </w:rPr>
        <w:t>亿，到</w:t>
      </w:r>
      <w:r>
        <w:rPr>
          <w:rFonts w:hint="eastAsia"/>
          <w:color w:val="000000"/>
        </w:rPr>
        <w:t>2020</w:t>
      </w:r>
      <w:r>
        <w:rPr>
          <w:rFonts w:hint="eastAsia"/>
          <w:color w:val="000000"/>
        </w:rPr>
        <w:t>年开始就突破了</w:t>
      </w:r>
      <w:r>
        <w:rPr>
          <w:rFonts w:hint="eastAsia"/>
          <w:color w:val="000000"/>
        </w:rPr>
        <w:t>400</w:t>
      </w:r>
      <w:r>
        <w:rPr>
          <w:rFonts w:hint="eastAsia"/>
          <w:color w:val="000000"/>
        </w:rPr>
        <w:t>亿元，年增长率</w:t>
      </w:r>
      <w:r>
        <w:rPr>
          <w:rFonts w:hint="eastAsia"/>
          <w:color w:val="000000"/>
        </w:rPr>
        <w:t>33%</w:t>
      </w:r>
      <w:r>
        <w:rPr>
          <w:rFonts w:hint="eastAsia"/>
          <w:color w:val="000000"/>
        </w:rPr>
        <w:t>（《</w:t>
      </w:r>
      <w:r>
        <w:rPr>
          <w:rFonts w:hint="eastAsia"/>
          <w:color w:val="000000"/>
        </w:rPr>
        <w:t>2020</w:t>
      </w:r>
      <w:r>
        <w:rPr>
          <w:rFonts w:hint="eastAsia"/>
          <w:color w:val="000000"/>
        </w:rPr>
        <w:t>燕窝行业白皮书》）；越来越多的燕窝品牌涌入市场，截至</w:t>
      </w:r>
      <w:r>
        <w:rPr>
          <w:rFonts w:hint="eastAsia"/>
          <w:color w:val="000000"/>
        </w:rPr>
        <w:t>2021</w:t>
      </w:r>
      <w:r>
        <w:rPr>
          <w:rFonts w:hint="eastAsia"/>
          <w:color w:val="000000"/>
        </w:rPr>
        <w:t>年，燕窝商标注册数已经高达</w:t>
      </w:r>
      <w:r>
        <w:rPr>
          <w:rFonts w:hint="eastAsia"/>
          <w:color w:val="000000"/>
        </w:rPr>
        <w:t>867</w:t>
      </w:r>
      <w:r>
        <w:rPr>
          <w:rFonts w:hint="eastAsia"/>
          <w:color w:val="000000"/>
        </w:rPr>
        <w:t>。从产品类型来看，为了迎合消费者越来越多元化的需求，燕窝制品不再局限于干燕窝品类，开始向即食型燕窝的方向发展。此外，食用燕窝的进口量也逐年增加，从</w:t>
      </w:r>
      <w:r>
        <w:rPr>
          <w:rFonts w:hint="eastAsia"/>
          <w:color w:val="000000"/>
        </w:rPr>
        <w:t>2014-2023</w:t>
      </w:r>
      <w:r>
        <w:rPr>
          <w:rFonts w:hint="eastAsia"/>
          <w:color w:val="000000"/>
        </w:rPr>
        <w:t>年，</w:t>
      </w:r>
      <w:r>
        <w:rPr>
          <w:rFonts w:hint="eastAsia"/>
          <w:color w:val="000000"/>
        </w:rPr>
        <w:t>10</w:t>
      </w:r>
      <w:r>
        <w:rPr>
          <w:rFonts w:hint="eastAsia"/>
          <w:color w:val="000000"/>
        </w:rPr>
        <w:t>年间纳入</w:t>
      </w:r>
      <w:r>
        <w:rPr>
          <w:rFonts w:hint="eastAsia"/>
          <w:color w:val="000000"/>
        </w:rPr>
        <w:t>CAIQ</w:t>
      </w:r>
      <w:r>
        <w:rPr>
          <w:rFonts w:hint="eastAsia"/>
          <w:color w:val="000000"/>
        </w:rPr>
        <w:t>溯源的食用燕窝进口量增长了</w:t>
      </w:r>
      <w:r>
        <w:rPr>
          <w:rFonts w:hint="eastAsia"/>
          <w:color w:val="000000"/>
        </w:rPr>
        <w:t>179.9</w:t>
      </w:r>
      <w:r>
        <w:rPr>
          <w:rFonts w:hint="eastAsia"/>
          <w:color w:val="000000"/>
        </w:rPr>
        <w:t>倍，主要进口国是马来西亚和印度尼西亚，这一方面显示出国内市场对燕窝持续增长的需求，另一方面也说明国内企业将会面临更多的挑战。</w:t>
      </w:r>
    </w:p>
    <w:p w14:paraId="3B44C38E" w14:textId="0B72543B" w:rsidR="00D24060" w:rsidRPr="005B76A0" w:rsidRDefault="00DF22BF" w:rsidP="0050697B">
      <w:pPr>
        <w:spacing w:line="360" w:lineRule="auto"/>
        <w:ind w:firstLineChars="196" w:firstLine="470"/>
        <w:contextualSpacing/>
      </w:pPr>
      <w:r>
        <w:rPr>
          <w:rFonts w:hint="eastAsia"/>
          <w:color w:val="000000"/>
        </w:rPr>
        <w:lastRenderedPageBreak/>
        <w:t>年轻人消费时会为环境友好型品牌多支付</w:t>
      </w:r>
      <w:r>
        <w:rPr>
          <w:rFonts w:hint="eastAsia"/>
          <w:color w:val="000000"/>
        </w:rPr>
        <w:t>10%-20%</w:t>
      </w:r>
      <w:r>
        <w:rPr>
          <w:rFonts w:hint="eastAsia"/>
          <w:color w:val="000000"/>
        </w:rPr>
        <w:t>的溢价。在市场规模扩张和消费观念转变的双重作用下，越来越多的燕窝企业开始关注环境影响，主动入局“绿色赛道”，</w:t>
      </w:r>
      <w:r w:rsidR="00A1265E" w:rsidRPr="005B76A0">
        <w:rPr>
          <w:rFonts w:hint="eastAsia"/>
        </w:rPr>
        <w:t>对</w:t>
      </w:r>
      <w:r>
        <w:rPr>
          <w:rFonts w:hint="eastAsia"/>
        </w:rPr>
        <w:t>燕窝制品</w:t>
      </w:r>
      <w:r w:rsidR="0050697B">
        <w:rPr>
          <w:rFonts w:hint="eastAsia"/>
        </w:rPr>
        <w:t>生产</w:t>
      </w:r>
      <w:r w:rsidR="009137D1" w:rsidRPr="005B76A0">
        <w:rPr>
          <w:rFonts w:hint="eastAsia"/>
        </w:rPr>
        <w:t>企业</w:t>
      </w:r>
      <w:r w:rsidR="00A1265E" w:rsidRPr="005B76A0">
        <w:rPr>
          <w:rFonts w:hint="eastAsia"/>
        </w:rPr>
        <w:t>的食品质量</w:t>
      </w:r>
      <w:r w:rsidR="004C4EA0" w:rsidRPr="005B76A0">
        <w:rPr>
          <w:rFonts w:hint="eastAsia"/>
        </w:rPr>
        <w:t>安全</w:t>
      </w:r>
      <w:r w:rsidR="00A1265E" w:rsidRPr="005B76A0">
        <w:rPr>
          <w:rFonts w:hint="eastAsia"/>
        </w:rPr>
        <w:t>把控</w:t>
      </w:r>
      <w:r w:rsidR="003818CD" w:rsidRPr="005B76A0">
        <w:rPr>
          <w:rFonts w:hint="eastAsia"/>
        </w:rPr>
        <w:t>能力</w:t>
      </w:r>
      <w:r w:rsidR="00A1265E" w:rsidRPr="005B76A0">
        <w:rPr>
          <w:rFonts w:hint="eastAsia"/>
        </w:rPr>
        <w:t>和</w:t>
      </w:r>
      <w:r w:rsidR="003818CD" w:rsidRPr="005B76A0">
        <w:rPr>
          <w:rFonts w:hint="eastAsia"/>
        </w:rPr>
        <w:t>低碳生产水平</w:t>
      </w:r>
      <w:r w:rsidR="0050697B">
        <w:rPr>
          <w:rFonts w:hint="eastAsia"/>
        </w:rPr>
        <w:t>也提出</w:t>
      </w:r>
      <w:r w:rsidR="009137D1" w:rsidRPr="005B76A0">
        <w:rPr>
          <w:rFonts w:hint="eastAsia"/>
        </w:rPr>
        <w:t>更高要求</w:t>
      </w:r>
      <w:r w:rsidR="004C4EA0" w:rsidRPr="005B76A0">
        <w:rPr>
          <w:rFonts w:hint="eastAsia"/>
        </w:rPr>
        <w:t>。</w:t>
      </w:r>
      <w:r w:rsidR="003818CD" w:rsidRPr="005B76A0">
        <w:rPr>
          <w:rFonts w:hint="eastAsia"/>
        </w:rPr>
        <w:t>在此背景下，</w:t>
      </w:r>
      <w:r w:rsidR="00B011BF" w:rsidRPr="005B76A0">
        <w:rPr>
          <w:rFonts w:hint="eastAsia"/>
        </w:rPr>
        <w:t>亟需</w:t>
      </w:r>
      <w:r w:rsidR="00D24060" w:rsidRPr="005B76A0">
        <w:rPr>
          <w:rFonts w:hint="eastAsia"/>
        </w:rPr>
        <w:t>开展</w:t>
      </w:r>
      <w:r>
        <w:rPr>
          <w:rFonts w:hint="eastAsia"/>
        </w:rPr>
        <w:t>燕窝制品</w:t>
      </w:r>
      <w:r w:rsidR="00D24060" w:rsidRPr="005B76A0">
        <w:rPr>
          <w:rFonts w:hint="eastAsia"/>
        </w:rPr>
        <w:t>制造业</w:t>
      </w:r>
      <w:r w:rsidR="00D24060" w:rsidRPr="005B76A0">
        <w:t>绿色工厂评价</w:t>
      </w:r>
      <w:r w:rsidR="00B011BF" w:rsidRPr="005B76A0">
        <w:rPr>
          <w:rFonts w:hint="eastAsia"/>
        </w:rPr>
        <w:t>，引导企业、规范市场，</w:t>
      </w:r>
      <w:r w:rsidR="00B011BF" w:rsidRPr="005B76A0">
        <w:t>促进我国</w:t>
      </w:r>
      <w:r>
        <w:rPr>
          <w:rFonts w:hint="eastAsia"/>
        </w:rPr>
        <w:t>燕窝制品</w:t>
      </w:r>
      <w:r w:rsidR="00B011BF" w:rsidRPr="005B76A0">
        <w:rPr>
          <w:rFonts w:hint="eastAsia"/>
        </w:rPr>
        <w:t>产业</w:t>
      </w:r>
      <w:r w:rsidR="00B011BF" w:rsidRPr="005B76A0">
        <w:t>的可持续发展。</w:t>
      </w:r>
    </w:p>
    <w:p w14:paraId="67A1A73B" w14:textId="0B50D4B4" w:rsidR="00DD666C" w:rsidRPr="005B76A0" w:rsidRDefault="00646FC3" w:rsidP="00646FC3">
      <w:pPr>
        <w:pStyle w:val="2"/>
      </w:pPr>
      <w:r w:rsidRPr="005B76A0">
        <w:t>3</w:t>
      </w:r>
      <w:r w:rsidR="00084B34" w:rsidRPr="005B76A0">
        <w:t>、主要工作过程</w:t>
      </w:r>
    </w:p>
    <w:p w14:paraId="3F996710" w14:textId="77777777" w:rsidR="00DD666C" w:rsidRPr="005B76A0" w:rsidRDefault="00084B34">
      <w:pPr>
        <w:spacing w:line="360" w:lineRule="auto"/>
        <w:ind w:firstLine="480"/>
        <w:contextualSpacing/>
      </w:pPr>
      <w:r w:rsidRPr="005B76A0">
        <w:t>1</w:t>
      </w:r>
      <w:r w:rsidRPr="005B76A0">
        <w:rPr>
          <w:rFonts w:hint="eastAsia"/>
        </w:rPr>
        <w:t>）预研阶段</w:t>
      </w:r>
    </w:p>
    <w:p w14:paraId="7B13A87A" w14:textId="4D854007" w:rsidR="00DD666C" w:rsidRPr="005B76A0" w:rsidRDefault="00084B34">
      <w:pPr>
        <w:spacing w:line="360" w:lineRule="auto"/>
        <w:ind w:firstLine="480"/>
        <w:contextualSpacing/>
      </w:pPr>
      <w:r w:rsidRPr="005B76A0">
        <w:rPr>
          <w:rFonts w:hint="eastAsia"/>
        </w:rPr>
        <w:t>根据第二次全国污染源普查调研数据，并结合《工业绿色发展规划（</w:t>
      </w:r>
      <w:r w:rsidRPr="005B76A0">
        <w:rPr>
          <w:rFonts w:hint="eastAsia"/>
        </w:rPr>
        <w:t xml:space="preserve">2016-2020 </w:t>
      </w:r>
      <w:r w:rsidRPr="005B76A0">
        <w:rPr>
          <w:rFonts w:hint="eastAsia"/>
        </w:rPr>
        <w:t>年）》以及</w:t>
      </w:r>
      <w:r w:rsidRPr="005B76A0">
        <w:t>201</w:t>
      </w:r>
      <w:r w:rsidR="0085764C" w:rsidRPr="005B76A0">
        <w:t>8</w:t>
      </w:r>
      <w:r w:rsidRPr="005B76A0">
        <w:t>年</w:t>
      </w:r>
      <w:r w:rsidRPr="005B76A0">
        <w:rPr>
          <w:rFonts w:hint="eastAsia"/>
        </w:rPr>
        <w:t>发布的</w:t>
      </w:r>
      <w:r w:rsidRPr="005B76A0">
        <w:t>《绿色</w:t>
      </w:r>
      <w:r w:rsidR="0085764C" w:rsidRPr="005B76A0">
        <w:rPr>
          <w:rFonts w:hint="eastAsia"/>
        </w:rPr>
        <w:t>工厂</w:t>
      </w:r>
      <w:r w:rsidRPr="005B76A0">
        <w:t>评价通则》国家标准</w:t>
      </w:r>
      <w:r w:rsidRPr="005B76A0">
        <w:rPr>
          <w:rFonts w:hint="eastAsia"/>
        </w:rPr>
        <w:t>，制定</w:t>
      </w:r>
      <w:r w:rsidR="00F33A66">
        <w:rPr>
          <w:rFonts w:hint="eastAsia"/>
        </w:rPr>
        <w:t>罐头</w:t>
      </w:r>
      <w:r w:rsidRPr="005B76A0">
        <w:rPr>
          <w:rFonts w:hint="eastAsia"/>
        </w:rPr>
        <w:t>行业</w:t>
      </w:r>
      <w:r w:rsidRPr="005B76A0">
        <w:t>绿色</w:t>
      </w:r>
      <w:r w:rsidR="0085764C" w:rsidRPr="005B76A0">
        <w:rPr>
          <w:rFonts w:hint="eastAsia"/>
        </w:rPr>
        <w:t>工厂</w:t>
      </w:r>
      <w:r w:rsidRPr="005B76A0">
        <w:t>评价标准体系。</w:t>
      </w:r>
      <w:r w:rsidR="00F33A66" w:rsidRPr="00F33A66">
        <w:rPr>
          <w:rFonts w:hint="eastAsia"/>
        </w:rPr>
        <w:t>燕窝制品作为高附加值罐头食品，推行绿色制造，推广清洁高效生产工艺，降低产品制造能耗、物耗，提升终端用能产品能效，加快建立统一的绿色产品标准、认证、标识体系尤为重要</w:t>
      </w:r>
      <w:r w:rsidRPr="005B76A0">
        <w:rPr>
          <w:rFonts w:hint="eastAsia"/>
        </w:rPr>
        <w:t>。</w:t>
      </w:r>
    </w:p>
    <w:p w14:paraId="3C333E17" w14:textId="77777777" w:rsidR="00DD666C" w:rsidRPr="005B76A0" w:rsidRDefault="00084B34">
      <w:pPr>
        <w:spacing w:line="360" w:lineRule="auto"/>
        <w:ind w:firstLine="480"/>
        <w:contextualSpacing/>
      </w:pPr>
      <w:r w:rsidRPr="005B76A0">
        <w:rPr>
          <w:rFonts w:hint="eastAsia"/>
        </w:rPr>
        <w:t>2</w:t>
      </w:r>
      <w:r w:rsidRPr="005B76A0">
        <w:rPr>
          <w:rFonts w:hint="eastAsia"/>
        </w:rPr>
        <w:t>）起草阶段</w:t>
      </w:r>
    </w:p>
    <w:p w14:paraId="14E1D63E" w14:textId="6203FD07" w:rsidR="00DD666C" w:rsidRPr="005B76A0" w:rsidRDefault="00084B34">
      <w:pPr>
        <w:spacing w:line="440" w:lineRule="exact"/>
        <w:ind w:firstLineChars="200" w:firstLine="480"/>
        <w:rPr>
          <w:kern w:val="0"/>
        </w:rPr>
      </w:pPr>
      <w:r w:rsidRPr="005B76A0">
        <w:rPr>
          <w:rFonts w:hint="eastAsia"/>
        </w:rPr>
        <w:t>标准立项后，</w:t>
      </w:r>
      <w:r w:rsidRPr="00883D1D">
        <w:t>202</w:t>
      </w:r>
      <w:r w:rsidR="00883D1D" w:rsidRPr="00883D1D">
        <w:rPr>
          <w:rFonts w:hint="eastAsia"/>
        </w:rPr>
        <w:t>4</w:t>
      </w:r>
      <w:r w:rsidRPr="00883D1D">
        <w:rPr>
          <w:rFonts w:hint="eastAsia"/>
        </w:rPr>
        <w:t>年</w:t>
      </w:r>
      <w:r w:rsidR="00883D1D" w:rsidRPr="00883D1D">
        <w:rPr>
          <w:rFonts w:hint="eastAsia"/>
        </w:rPr>
        <w:t>4</w:t>
      </w:r>
      <w:r w:rsidRPr="00883D1D">
        <w:rPr>
          <w:rFonts w:hint="eastAsia"/>
        </w:rPr>
        <w:t>月</w:t>
      </w:r>
      <w:r w:rsidRPr="005B76A0">
        <w:rPr>
          <w:rFonts w:hint="eastAsia"/>
        </w:rPr>
        <w:t>，由牵头单位中国食品</w:t>
      </w:r>
      <w:r w:rsidRPr="005B76A0">
        <w:t>发</w:t>
      </w:r>
      <w:r w:rsidRPr="005B76A0">
        <w:rPr>
          <w:rFonts w:hint="eastAsia"/>
        </w:rPr>
        <w:t>酵</w:t>
      </w:r>
      <w:r w:rsidRPr="005B76A0">
        <w:t>研究院有限公司</w:t>
      </w:r>
      <w:r w:rsidRPr="00883D1D">
        <w:rPr>
          <w:rFonts w:hint="eastAsia"/>
        </w:rPr>
        <w:t>采取线上</w:t>
      </w:r>
      <w:r w:rsidRPr="00883D1D">
        <w:rPr>
          <w:rFonts w:hint="eastAsia"/>
        </w:rPr>
        <w:t>+</w:t>
      </w:r>
      <w:r w:rsidRPr="00883D1D">
        <w:rPr>
          <w:rFonts w:hint="eastAsia"/>
        </w:rPr>
        <w:t>线下</w:t>
      </w:r>
      <w:r w:rsidRPr="005B76A0">
        <w:rPr>
          <w:rFonts w:hint="eastAsia"/>
        </w:rPr>
        <w:t>形式组织召开了《</w:t>
      </w:r>
      <w:r w:rsidR="00091416">
        <w:rPr>
          <w:rFonts w:hint="eastAsia"/>
        </w:rPr>
        <w:t>燕窝制品</w:t>
      </w:r>
      <w:r w:rsidRPr="005B76A0">
        <w:rPr>
          <w:rFonts w:hint="eastAsia"/>
        </w:rPr>
        <w:t>制造业绿色工厂评价要求》团体标准第一次起草工作会议，会议主要确定了标准制定思路，工作计划安排，时间节点及任务分工。</w:t>
      </w:r>
      <w:r w:rsidRPr="005B76A0">
        <w:rPr>
          <w:rFonts w:hint="eastAsia"/>
          <w:kern w:val="0"/>
        </w:rPr>
        <w:t>同时，与会代表对标准征求意见讨论稿进行了</w:t>
      </w:r>
      <w:r w:rsidR="00EF24CE">
        <w:rPr>
          <w:rFonts w:hint="eastAsia"/>
          <w:kern w:val="0"/>
        </w:rPr>
        <w:t>充分</w:t>
      </w:r>
      <w:r w:rsidRPr="005B76A0">
        <w:rPr>
          <w:rFonts w:hint="eastAsia"/>
          <w:kern w:val="0"/>
        </w:rPr>
        <w:t>讨论，提出多项修改意见和建议。会后工作组就不完善的数据进行了进一步的调研，并完善标准文本和标准说明，形成征求意见稿。</w:t>
      </w:r>
    </w:p>
    <w:p w14:paraId="04AA8ABE" w14:textId="3506FC12" w:rsidR="00A71080" w:rsidRPr="005B76A0" w:rsidRDefault="004B5FF2" w:rsidP="00883D1D">
      <w:pPr>
        <w:spacing w:line="360" w:lineRule="auto"/>
        <w:ind w:firstLine="480"/>
        <w:contextualSpacing/>
      </w:pPr>
      <w:r w:rsidRPr="005B76A0">
        <w:rPr>
          <w:rFonts w:hint="eastAsia"/>
        </w:rPr>
        <w:t>3</w:t>
      </w:r>
      <w:r w:rsidRPr="005B76A0">
        <w:rPr>
          <w:rFonts w:hint="eastAsia"/>
        </w:rPr>
        <w:t>）征求意见阶段</w:t>
      </w:r>
    </w:p>
    <w:p w14:paraId="0379D63B" w14:textId="09E2FB82" w:rsidR="00DD666C" w:rsidRPr="005B76A0" w:rsidRDefault="004B5FF2" w:rsidP="004B5FF2">
      <w:pPr>
        <w:spacing w:line="360" w:lineRule="auto"/>
        <w:ind w:firstLine="480"/>
        <w:contextualSpacing/>
      </w:pPr>
      <w:bookmarkStart w:id="0" w:name="_Toc23770160"/>
      <w:r w:rsidRPr="005B76A0">
        <w:rPr>
          <w:rFonts w:hint="eastAsia"/>
        </w:rPr>
        <w:t>4</w:t>
      </w:r>
      <w:r w:rsidRPr="005B76A0">
        <w:rPr>
          <w:rFonts w:hint="eastAsia"/>
        </w:rPr>
        <w:t>）</w:t>
      </w:r>
      <w:r w:rsidRPr="005B76A0">
        <w:t>审查阶段</w:t>
      </w:r>
    </w:p>
    <w:p w14:paraId="741C5186" w14:textId="623402F4" w:rsidR="00DD666C" w:rsidRPr="005B76A0" w:rsidRDefault="004B5FF2" w:rsidP="004B5FF2">
      <w:pPr>
        <w:spacing w:line="360" w:lineRule="auto"/>
        <w:ind w:firstLine="480"/>
        <w:contextualSpacing/>
      </w:pPr>
      <w:r w:rsidRPr="005B76A0">
        <w:rPr>
          <w:rFonts w:hint="eastAsia"/>
        </w:rPr>
        <w:t>5</w:t>
      </w:r>
      <w:r w:rsidRPr="005B76A0">
        <w:rPr>
          <w:rFonts w:hint="eastAsia"/>
        </w:rPr>
        <w:t>）</w:t>
      </w:r>
      <w:r w:rsidRPr="005B76A0">
        <w:t>报批阶段</w:t>
      </w:r>
    </w:p>
    <w:p w14:paraId="7D707571" w14:textId="6ADD5FEC" w:rsidR="00DD666C" w:rsidRPr="005B76A0" w:rsidRDefault="00830F2F" w:rsidP="00830F2F">
      <w:pPr>
        <w:pStyle w:val="2"/>
      </w:pPr>
      <w:r w:rsidRPr="005B76A0">
        <w:t>4</w:t>
      </w:r>
      <w:r w:rsidR="00084B34" w:rsidRPr="005B76A0">
        <w:t>、主要起草单位及起草人所做的工作</w:t>
      </w:r>
    </w:p>
    <w:p w14:paraId="5E566251" w14:textId="2932F0D7" w:rsidR="00DD666C" w:rsidRPr="005B76A0" w:rsidRDefault="00084B34">
      <w:pPr>
        <w:spacing w:line="360" w:lineRule="auto"/>
        <w:ind w:firstLineChars="196" w:firstLine="470"/>
        <w:contextualSpacing/>
      </w:pPr>
      <w:bookmarkStart w:id="1" w:name="_Hlk57290058"/>
      <w:r w:rsidRPr="005B76A0">
        <w:rPr>
          <w:rFonts w:hint="eastAsia"/>
        </w:rPr>
        <w:t>本标准</w:t>
      </w:r>
      <w:r w:rsidR="003B5BC8" w:rsidRPr="005B76A0">
        <w:rPr>
          <w:rFonts w:hint="eastAsia"/>
        </w:rPr>
        <w:t>要单位成员</w:t>
      </w:r>
      <w:r w:rsidR="00003000">
        <w:rPr>
          <w:rFonts w:hint="eastAsia"/>
        </w:rPr>
        <w:t>：</w:t>
      </w:r>
      <w:r w:rsidR="00003000">
        <w:rPr>
          <w:rFonts w:hint="eastAsia"/>
        </w:rPr>
        <w:t>暂略</w:t>
      </w:r>
      <w:r w:rsidRPr="005B76A0">
        <w:rPr>
          <w:rFonts w:hint="eastAsia"/>
        </w:rPr>
        <w:t>。</w:t>
      </w:r>
    </w:p>
    <w:p w14:paraId="3306976A" w14:textId="3B8B881F" w:rsidR="00DD666C" w:rsidRPr="005B76A0" w:rsidRDefault="00084B34">
      <w:pPr>
        <w:spacing w:line="360" w:lineRule="auto"/>
        <w:ind w:firstLineChars="196" w:firstLine="470"/>
        <w:contextualSpacing/>
      </w:pPr>
      <w:r w:rsidRPr="005B76A0">
        <w:rPr>
          <w:rFonts w:hint="eastAsia"/>
        </w:rPr>
        <w:t>主要成员：</w:t>
      </w:r>
      <w:r w:rsidR="00003000">
        <w:rPr>
          <w:rFonts w:hint="eastAsia"/>
        </w:rPr>
        <w:t>暂略</w:t>
      </w:r>
      <w:r w:rsidR="00000E45" w:rsidRPr="005B76A0">
        <w:rPr>
          <w:rFonts w:hint="eastAsia"/>
        </w:rPr>
        <w:t>。</w:t>
      </w:r>
    </w:p>
    <w:p w14:paraId="1EEB9D1E" w14:textId="224E2540" w:rsidR="00DD666C" w:rsidRPr="005B76A0" w:rsidRDefault="00084B34">
      <w:pPr>
        <w:spacing w:line="360" w:lineRule="auto"/>
        <w:ind w:firstLineChars="200" w:firstLine="480"/>
        <w:contextualSpacing/>
        <w:rPr>
          <w:b/>
        </w:rPr>
      </w:pPr>
      <w:r w:rsidRPr="005B76A0">
        <w:rPr>
          <w:rFonts w:hint="eastAsia"/>
        </w:rPr>
        <w:t>所做的工作：</w:t>
      </w:r>
      <w:r w:rsidR="00003000">
        <w:rPr>
          <w:rFonts w:hint="eastAsia"/>
        </w:rPr>
        <w:t>暂略</w:t>
      </w:r>
      <w:r w:rsidRPr="005B76A0">
        <w:rPr>
          <w:rFonts w:hint="eastAsia"/>
        </w:rPr>
        <w:t>。</w:t>
      </w:r>
      <w:bookmarkEnd w:id="1"/>
    </w:p>
    <w:bookmarkEnd w:id="0"/>
    <w:p w14:paraId="24E4E9A5" w14:textId="77777777" w:rsidR="00264AEB" w:rsidRPr="005B76A0" w:rsidRDefault="00264AEB" w:rsidP="00646FC3">
      <w:pPr>
        <w:pStyle w:val="1"/>
        <w:rPr>
          <w:rFonts w:hint="eastAsia"/>
        </w:rPr>
      </w:pPr>
      <w:r w:rsidRPr="005B76A0">
        <w:t>二、标准编制原则</w:t>
      </w:r>
    </w:p>
    <w:p w14:paraId="6753D7F3" w14:textId="039C37ED"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2016</w:t>
      </w:r>
      <w:r w:rsidRPr="005B76A0">
        <w:rPr>
          <w:rFonts w:hint="eastAsia"/>
          <w:kern w:val="0"/>
        </w:rPr>
        <w:t>年</w:t>
      </w:r>
      <w:r w:rsidRPr="005B76A0">
        <w:rPr>
          <w:rFonts w:hint="eastAsia"/>
          <w:kern w:val="0"/>
        </w:rPr>
        <w:t>9</w:t>
      </w:r>
      <w:r w:rsidRPr="005B76A0">
        <w:rPr>
          <w:rFonts w:hint="eastAsia"/>
          <w:kern w:val="0"/>
        </w:rPr>
        <w:t>月</w:t>
      </w:r>
      <w:r w:rsidRPr="005B76A0">
        <w:rPr>
          <w:rFonts w:hint="eastAsia"/>
          <w:kern w:val="0"/>
        </w:rPr>
        <w:t>7</w:t>
      </w:r>
      <w:r w:rsidRPr="005B76A0">
        <w:rPr>
          <w:rFonts w:hint="eastAsia"/>
          <w:kern w:val="0"/>
        </w:rPr>
        <w:t>日，</w:t>
      </w:r>
      <w:r w:rsidRPr="005B76A0">
        <w:rPr>
          <w:kern w:val="0"/>
        </w:rPr>
        <w:t>工业和信息化部、国家标准化管理委员会组织颁布了《绿色</w:t>
      </w:r>
      <w:r w:rsidRPr="005B76A0">
        <w:rPr>
          <w:kern w:val="0"/>
        </w:rPr>
        <w:lastRenderedPageBreak/>
        <w:t>制造标准体系建设指南》（工信部联节</w:t>
      </w:r>
      <w:r w:rsidRPr="005B76A0">
        <w:rPr>
          <w:rFonts w:ascii="宋体" w:hAnsi="宋体" w:hint="eastAsia"/>
        </w:rPr>
        <w:t>〔</w:t>
      </w:r>
      <w:r w:rsidRPr="005B76A0">
        <w:rPr>
          <w:rFonts w:hint="eastAsia"/>
        </w:rPr>
        <w:t>20</w:t>
      </w:r>
      <w:r w:rsidRPr="005B76A0">
        <w:t>16</w:t>
      </w:r>
      <w:r w:rsidRPr="005B76A0">
        <w:rPr>
          <w:rFonts w:ascii="宋体" w:hAnsi="宋体" w:hint="eastAsia"/>
        </w:rPr>
        <w:t>〕</w:t>
      </w:r>
      <w:r w:rsidRPr="005B76A0">
        <w:rPr>
          <w:kern w:val="0"/>
        </w:rPr>
        <w:t>304</w:t>
      </w:r>
      <w:r w:rsidRPr="005B76A0">
        <w:rPr>
          <w:kern w:val="0"/>
        </w:rPr>
        <w:t>号）</w:t>
      </w:r>
      <w:r w:rsidRPr="005B76A0">
        <w:rPr>
          <w:rFonts w:hint="eastAsia"/>
          <w:kern w:val="0"/>
        </w:rPr>
        <w:t>，其中要求考虑工厂生产运行的资源消耗和环境排放，按照工厂生产业务流程建设子体系，主要包括绿色工厂规划、资源节约、能源节约、清洁生产、废物利用、温室气体和污染物排放等方面的标准。同年</w:t>
      </w:r>
      <w:r w:rsidRPr="005B76A0">
        <w:rPr>
          <w:rFonts w:hint="eastAsia"/>
          <w:kern w:val="0"/>
        </w:rPr>
        <w:t>9</w:t>
      </w:r>
      <w:r w:rsidRPr="005B76A0">
        <w:rPr>
          <w:rFonts w:hint="eastAsia"/>
          <w:kern w:val="0"/>
        </w:rPr>
        <w:t>月</w:t>
      </w:r>
      <w:r w:rsidRPr="005B76A0">
        <w:rPr>
          <w:rFonts w:hint="eastAsia"/>
          <w:kern w:val="0"/>
        </w:rPr>
        <w:t>20</w:t>
      </w:r>
      <w:r w:rsidRPr="005B76A0">
        <w:rPr>
          <w:rFonts w:hint="eastAsia"/>
          <w:kern w:val="0"/>
        </w:rPr>
        <w:t>日，</w:t>
      </w:r>
      <w:r w:rsidRPr="005B76A0">
        <w:rPr>
          <w:kern w:val="0"/>
        </w:rPr>
        <w:t>工信部发布了《工业和信息化部办公厅关于开展绿色制造体系建设的通知》（工信厅节函</w:t>
      </w:r>
      <w:r w:rsidRPr="005B76A0">
        <w:rPr>
          <w:rFonts w:ascii="宋体" w:hAnsi="宋体" w:hint="eastAsia"/>
        </w:rPr>
        <w:t>〔</w:t>
      </w:r>
      <w:r w:rsidRPr="005B76A0">
        <w:rPr>
          <w:rFonts w:hint="eastAsia"/>
        </w:rPr>
        <w:t>20</w:t>
      </w:r>
      <w:r w:rsidRPr="005B76A0">
        <w:t>16</w:t>
      </w:r>
      <w:r w:rsidRPr="005B76A0">
        <w:rPr>
          <w:rFonts w:ascii="宋体" w:hAnsi="宋体" w:hint="eastAsia"/>
        </w:rPr>
        <w:t>〕</w:t>
      </w:r>
      <w:r w:rsidRPr="005B76A0">
        <w:rPr>
          <w:kern w:val="0"/>
        </w:rPr>
        <w:t>586</w:t>
      </w:r>
      <w:r w:rsidRPr="005B76A0">
        <w:rPr>
          <w:kern w:val="0"/>
        </w:rPr>
        <w:t>号），</w:t>
      </w:r>
      <w:r w:rsidRPr="005B76A0">
        <w:rPr>
          <w:rFonts w:hint="eastAsia"/>
          <w:kern w:val="0"/>
        </w:rPr>
        <w:t>绿色工厂是制造业的生产单元，是绿色制造的实施主体，属于绿色制造体系的核心支撑单元，侧重于生产过程的绿色化。</w:t>
      </w:r>
      <w:r w:rsidRPr="005B76A0">
        <w:rPr>
          <w:rFonts w:hint="eastAsia"/>
          <w:kern w:val="0"/>
        </w:rPr>
        <w:t>2018</w:t>
      </w:r>
      <w:r w:rsidRPr="005B76A0">
        <w:rPr>
          <w:rFonts w:hint="eastAsia"/>
          <w:kern w:val="0"/>
        </w:rPr>
        <w:t>年</w:t>
      </w:r>
      <w:r w:rsidRPr="005B76A0">
        <w:rPr>
          <w:rFonts w:hint="eastAsia"/>
          <w:kern w:val="0"/>
        </w:rPr>
        <w:t>5</w:t>
      </w:r>
      <w:r w:rsidRPr="005B76A0">
        <w:rPr>
          <w:rFonts w:hint="eastAsia"/>
          <w:kern w:val="0"/>
        </w:rPr>
        <w:t>月</w:t>
      </w:r>
      <w:r w:rsidRPr="005B76A0">
        <w:rPr>
          <w:rFonts w:hint="eastAsia"/>
          <w:kern w:val="0"/>
        </w:rPr>
        <w:t>18</w:t>
      </w:r>
      <w:r w:rsidRPr="005B76A0">
        <w:rPr>
          <w:rFonts w:hint="eastAsia"/>
          <w:kern w:val="0"/>
        </w:rPr>
        <w:t>日，工信部发布了《绿色工厂评价通则》（</w:t>
      </w:r>
      <w:r w:rsidRPr="005B76A0">
        <w:rPr>
          <w:rFonts w:hint="eastAsia"/>
          <w:kern w:val="0"/>
        </w:rPr>
        <w:t>GB/T 36132</w:t>
      </w:r>
      <w:r w:rsidR="006E7C07" w:rsidRPr="005B76A0">
        <w:rPr>
          <w:rFonts w:hint="eastAsia"/>
          <w:kern w:val="0"/>
        </w:rPr>
        <w:t>—</w:t>
      </w:r>
      <w:r w:rsidRPr="005B76A0">
        <w:rPr>
          <w:rFonts w:hint="eastAsia"/>
          <w:kern w:val="0"/>
        </w:rPr>
        <w:t>2018</w:t>
      </w:r>
      <w:r w:rsidRPr="005B76A0">
        <w:rPr>
          <w:rFonts w:hint="eastAsia"/>
          <w:kern w:val="0"/>
        </w:rPr>
        <w:t>）。该标准明确了绿色工厂</w:t>
      </w:r>
      <w:r w:rsidR="00493C10">
        <w:rPr>
          <w:rFonts w:hint="eastAsia"/>
          <w:kern w:val="0"/>
        </w:rPr>
        <w:t>的</w:t>
      </w:r>
      <w:r w:rsidRPr="005B76A0">
        <w:rPr>
          <w:rFonts w:hint="eastAsia"/>
          <w:kern w:val="0"/>
        </w:rPr>
        <w:t>术语</w:t>
      </w:r>
      <w:r w:rsidR="00493C10">
        <w:rPr>
          <w:rFonts w:hint="eastAsia"/>
          <w:kern w:val="0"/>
        </w:rPr>
        <w:t>和</w:t>
      </w:r>
      <w:r w:rsidRPr="005B76A0">
        <w:rPr>
          <w:rFonts w:hint="eastAsia"/>
          <w:kern w:val="0"/>
        </w:rPr>
        <w:t>定义，从基本要求、基础设施、管理体系、能源</w:t>
      </w:r>
      <w:r w:rsidR="00493C10">
        <w:rPr>
          <w:rFonts w:hint="eastAsia"/>
          <w:kern w:val="0"/>
        </w:rPr>
        <w:t>与</w:t>
      </w:r>
      <w:r w:rsidRPr="005B76A0">
        <w:rPr>
          <w:rFonts w:hint="eastAsia"/>
          <w:kern w:val="0"/>
        </w:rPr>
        <w:t>资源投入、产品、环境排放、绩效等方面，按照“</w:t>
      </w:r>
      <w:r w:rsidR="00493C10">
        <w:rPr>
          <w:rFonts w:hint="eastAsia"/>
          <w:kern w:val="0"/>
        </w:rPr>
        <w:t>用地</w:t>
      </w:r>
      <w:r w:rsidRPr="005B76A0">
        <w:rPr>
          <w:rFonts w:hint="eastAsia"/>
          <w:kern w:val="0"/>
        </w:rPr>
        <w:t>集约化、原料无害化、生产洁净化、废物资源化、能源低碳化”的原则，建立了绿色工厂系统评价指标体系，提出了绿色工厂评价通用要求。标准的发布有利于引导广大企业创建绿色工厂，推动工业绿色转型升级，实现绿色发展。</w:t>
      </w:r>
    </w:p>
    <w:p w14:paraId="169074C6" w14:textId="77777777"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依据以上文件和标准要求，本标准编制过程中，主要体现如下原则：</w:t>
      </w:r>
    </w:p>
    <w:p w14:paraId="3EDC8E32" w14:textId="3214F510"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1</w:t>
      </w:r>
      <w:r w:rsidRPr="005B76A0">
        <w:rPr>
          <w:rFonts w:hint="eastAsia"/>
          <w:kern w:val="0"/>
        </w:rPr>
        <w:t>）协调性原则：与</w:t>
      </w:r>
      <w:r w:rsidR="00091416">
        <w:rPr>
          <w:rFonts w:hint="eastAsia"/>
        </w:rPr>
        <w:t>燕窝制品</w:t>
      </w:r>
      <w:r w:rsidRPr="005B76A0">
        <w:rPr>
          <w:rFonts w:hint="eastAsia"/>
        </w:rPr>
        <w:t>制造</w:t>
      </w:r>
      <w:r w:rsidRPr="005B76A0">
        <w:t>相关</w:t>
      </w:r>
      <w:r w:rsidRPr="005B76A0">
        <w:rPr>
          <w:rFonts w:hint="eastAsia"/>
        </w:rPr>
        <w:t>的</w:t>
      </w:r>
      <w:r w:rsidRPr="005B76A0">
        <w:t>法律、法规、国家与行业标准等的兼容和协调一致，有利于标准的执行</w:t>
      </w:r>
      <w:r w:rsidRPr="005B76A0">
        <w:rPr>
          <w:rFonts w:hint="eastAsia"/>
        </w:rPr>
        <w:t>。</w:t>
      </w:r>
    </w:p>
    <w:p w14:paraId="2E47EBD5" w14:textId="4A5C1876"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2</w:t>
      </w:r>
      <w:r w:rsidRPr="005B76A0">
        <w:rPr>
          <w:rFonts w:hint="eastAsia"/>
          <w:kern w:val="0"/>
        </w:rPr>
        <w:t>）规范性原则：</w:t>
      </w:r>
      <w:r w:rsidRPr="005B76A0">
        <w:t>所述内容具有规范性、科学性、合理性和可行性</w:t>
      </w:r>
      <w:r w:rsidRPr="005B76A0">
        <w:rPr>
          <w:rFonts w:hint="eastAsia"/>
        </w:rPr>
        <w:t>，</w:t>
      </w:r>
      <w:r w:rsidRPr="005B76A0">
        <w:rPr>
          <w:kern w:val="0"/>
        </w:rPr>
        <w:t>涉及的指标力求实用和可操作，尽量选取</w:t>
      </w:r>
      <w:r w:rsidR="00091416">
        <w:rPr>
          <w:rFonts w:hint="eastAsia"/>
          <w:kern w:val="0"/>
        </w:rPr>
        <w:t>燕窝制品</w:t>
      </w:r>
      <w:r w:rsidRPr="005B76A0">
        <w:rPr>
          <w:kern w:val="0"/>
        </w:rPr>
        <w:t>行业常用指标，便于企业和</w:t>
      </w:r>
      <w:r w:rsidRPr="005B76A0">
        <w:rPr>
          <w:rFonts w:hint="eastAsia"/>
          <w:kern w:val="0"/>
        </w:rPr>
        <w:t>第三方评价</w:t>
      </w:r>
      <w:r w:rsidRPr="005B76A0">
        <w:rPr>
          <w:kern w:val="0"/>
        </w:rPr>
        <w:t>人员的理解和掌握。</w:t>
      </w:r>
    </w:p>
    <w:p w14:paraId="182F11CA" w14:textId="44FA96FD"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3</w:t>
      </w:r>
      <w:r w:rsidRPr="005B76A0">
        <w:rPr>
          <w:rFonts w:hint="eastAsia"/>
          <w:kern w:val="0"/>
        </w:rPr>
        <w:t>）激励性原则：加快推进</w:t>
      </w:r>
      <w:r w:rsidR="00091416">
        <w:rPr>
          <w:rFonts w:hint="eastAsia"/>
          <w:kern w:val="0"/>
        </w:rPr>
        <w:t>燕窝制品</w:t>
      </w:r>
      <w:r w:rsidRPr="005B76A0">
        <w:rPr>
          <w:rFonts w:hint="eastAsia"/>
          <w:kern w:val="0"/>
        </w:rPr>
        <w:t>行业的绿色制造，激励企业向“</w:t>
      </w:r>
      <w:r w:rsidR="00493C10">
        <w:rPr>
          <w:rFonts w:hint="eastAsia"/>
          <w:kern w:val="0"/>
        </w:rPr>
        <w:t>用地</w:t>
      </w:r>
      <w:r w:rsidRPr="005B76A0">
        <w:rPr>
          <w:rFonts w:hint="eastAsia"/>
          <w:kern w:val="0"/>
        </w:rPr>
        <w:t>集约化、原料无害化、生产洁净化、废物资源化、能源低碳化”方向发展。</w:t>
      </w:r>
    </w:p>
    <w:p w14:paraId="60CA29D4" w14:textId="16C86E6B"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4</w:t>
      </w:r>
      <w:r w:rsidRPr="005B76A0">
        <w:rPr>
          <w:rFonts w:hint="eastAsia"/>
          <w:kern w:val="0"/>
        </w:rPr>
        <w:t>）创新性原则：按照已有的国家及地方的相关标准要求，充分结合</w:t>
      </w:r>
      <w:r w:rsidR="00091416">
        <w:rPr>
          <w:rFonts w:hint="eastAsia"/>
          <w:kern w:val="0"/>
        </w:rPr>
        <w:t>燕窝制品</w:t>
      </w:r>
      <w:r w:rsidRPr="005B76A0">
        <w:rPr>
          <w:rFonts w:hint="eastAsia"/>
          <w:kern w:val="0"/>
        </w:rPr>
        <w:t>行业特点，在评价要求体系中能创新的反映行业绿色工厂建设的领先水平。</w:t>
      </w:r>
    </w:p>
    <w:p w14:paraId="32EFC509" w14:textId="480D0CC6" w:rsidR="00264AEB" w:rsidRPr="005B76A0" w:rsidRDefault="00264AEB" w:rsidP="00261631">
      <w:pPr>
        <w:pStyle w:val="1"/>
        <w:rPr>
          <w:rFonts w:hint="eastAsia"/>
        </w:rPr>
      </w:pPr>
      <w:r w:rsidRPr="005B76A0">
        <w:rPr>
          <w:rFonts w:hint="eastAsia"/>
        </w:rPr>
        <w:t>三</w:t>
      </w:r>
      <w:r w:rsidRPr="005B76A0">
        <w:t>、标准主要内容的确定</w:t>
      </w:r>
    </w:p>
    <w:p w14:paraId="72379ED0" w14:textId="1AA04F47" w:rsidR="00DD666C" w:rsidRPr="005B76A0" w:rsidRDefault="007C24ED" w:rsidP="00646FC3">
      <w:pPr>
        <w:pStyle w:val="3"/>
        <w:ind w:left="480"/>
      </w:pPr>
      <w:bookmarkStart w:id="2" w:name="_Toc23770164"/>
      <w:bookmarkStart w:id="3" w:name="_Toc23770175"/>
      <w:r w:rsidRPr="005B76A0">
        <w:t>3.</w:t>
      </w:r>
      <w:r w:rsidR="00084B34" w:rsidRPr="005B76A0">
        <w:rPr>
          <w:rFonts w:hint="eastAsia"/>
        </w:rPr>
        <w:t>1</w:t>
      </w:r>
      <w:r w:rsidR="00084B34" w:rsidRPr="005B76A0">
        <w:t>适用范围</w:t>
      </w:r>
      <w:bookmarkEnd w:id="2"/>
    </w:p>
    <w:p w14:paraId="44F7A5D9" w14:textId="2A5C8B99" w:rsidR="00EF24CE" w:rsidRPr="00EF24CE" w:rsidRDefault="00EF24CE" w:rsidP="00EF24CE">
      <w:pPr>
        <w:pStyle w:val="afffffffc"/>
        <w:spacing w:line="440" w:lineRule="exact"/>
        <w:ind w:firstLine="480"/>
        <w:rPr>
          <w:rFonts w:ascii="Times New Roman"/>
          <w:sz w:val="24"/>
          <w:szCs w:val="24"/>
        </w:rPr>
      </w:pPr>
      <w:bookmarkStart w:id="4" w:name="OLE_LINK1"/>
      <w:r w:rsidRPr="00EF24CE">
        <w:rPr>
          <w:rFonts w:ascii="Times New Roman" w:hint="eastAsia"/>
          <w:sz w:val="24"/>
          <w:szCs w:val="24"/>
        </w:rPr>
        <w:t>本文件确立了</w:t>
      </w:r>
      <w:r w:rsidR="00091416">
        <w:rPr>
          <w:rFonts w:ascii="Times New Roman" w:hint="eastAsia"/>
          <w:sz w:val="24"/>
          <w:szCs w:val="24"/>
        </w:rPr>
        <w:t>燕窝制品</w:t>
      </w:r>
      <w:r w:rsidRPr="00EF24CE">
        <w:rPr>
          <w:rFonts w:ascii="Times New Roman" w:hint="eastAsia"/>
          <w:sz w:val="24"/>
          <w:szCs w:val="24"/>
        </w:rPr>
        <w:t>制造业绿色工厂的评价总则和评价程序，规定了评价要求和评价报告的内容。</w:t>
      </w:r>
    </w:p>
    <w:p w14:paraId="1D31939A" w14:textId="47ED687C" w:rsidR="00222CD6" w:rsidRPr="00222CD6" w:rsidRDefault="00EF24CE" w:rsidP="00ED0E01">
      <w:pPr>
        <w:pStyle w:val="afffffffc"/>
        <w:spacing w:line="440" w:lineRule="exact"/>
        <w:ind w:firstLine="480"/>
        <w:rPr>
          <w:rFonts w:ascii="Times New Roman"/>
          <w:sz w:val="24"/>
          <w:szCs w:val="24"/>
        </w:rPr>
      </w:pPr>
      <w:r w:rsidRPr="00EF24CE">
        <w:rPr>
          <w:rFonts w:ascii="Times New Roman" w:hint="eastAsia"/>
          <w:sz w:val="24"/>
          <w:szCs w:val="24"/>
        </w:rPr>
        <w:t>本文件适用于</w:t>
      </w:r>
      <w:r w:rsidR="00ED0E01">
        <w:rPr>
          <w:rFonts w:ascii="Times New Roman" w:hint="eastAsia"/>
          <w:sz w:val="24"/>
          <w:szCs w:val="24"/>
        </w:rPr>
        <w:t>燕窝制品生产企业的绿色工厂评价</w:t>
      </w:r>
      <w:r w:rsidR="00222CD6">
        <w:rPr>
          <w:rFonts w:ascii="Times New Roman" w:hint="eastAsia"/>
          <w:sz w:val="24"/>
          <w:szCs w:val="24"/>
        </w:rPr>
        <w:t>。</w:t>
      </w:r>
    </w:p>
    <w:p w14:paraId="01054B98" w14:textId="20BD5BED" w:rsidR="00DD666C" w:rsidRPr="005B76A0" w:rsidRDefault="007C24ED" w:rsidP="00F45026">
      <w:pPr>
        <w:pStyle w:val="3"/>
        <w:ind w:left="480"/>
      </w:pPr>
      <w:bookmarkStart w:id="5" w:name="_Toc23770165"/>
      <w:bookmarkEnd w:id="4"/>
      <w:r w:rsidRPr="005B76A0">
        <w:t>3.</w:t>
      </w:r>
      <w:r w:rsidR="00084B34" w:rsidRPr="005B76A0">
        <w:rPr>
          <w:rFonts w:hint="eastAsia"/>
        </w:rPr>
        <w:t>2</w:t>
      </w:r>
      <w:r w:rsidR="00084B34" w:rsidRPr="005B76A0">
        <w:rPr>
          <w:rFonts w:hint="eastAsia"/>
        </w:rPr>
        <w:t>规范性引用文件</w:t>
      </w:r>
      <w:bookmarkEnd w:id="5"/>
    </w:p>
    <w:p w14:paraId="4331ACCF" w14:textId="77777777"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给出了本标准引用的有关文件，主要包括相关污染物排放标准、能源和水</w:t>
      </w:r>
      <w:r w:rsidRPr="005B76A0">
        <w:rPr>
          <w:rFonts w:hint="eastAsia"/>
          <w:kern w:val="0"/>
        </w:rPr>
        <w:lastRenderedPageBreak/>
        <w:t>计量器具配备和管理通则、环境、质量、能源及职业健康安全管理体系要求、产品生态设计通则、能源消耗限额、环境标志产品技术要求、绿色设计产品评价技术规范、清洁生产评价指标体系等。</w:t>
      </w:r>
    </w:p>
    <w:p w14:paraId="63BF4994" w14:textId="0A41C05A" w:rsidR="00DD666C" w:rsidRPr="005B76A0" w:rsidRDefault="007C24ED" w:rsidP="00F45026">
      <w:pPr>
        <w:pStyle w:val="3"/>
        <w:ind w:left="480"/>
      </w:pPr>
      <w:bookmarkStart w:id="6" w:name="_Toc23770166"/>
      <w:r w:rsidRPr="005B76A0">
        <w:t>3.</w:t>
      </w:r>
      <w:r w:rsidR="00084B34" w:rsidRPr="005B76A0">
        <w:rPr>
          <w:rFonts w:hint="eastAsia"/>
        </w:rPr>
        <w:t>3</w:t>
      </w:r>
      <w:r w:rsidR="00084B34" w:rsidRPr="005B76A0">
        <w:rPr>
          <w:rFonts w:hint="eastAsia"/>
        </w:rPr>
        <w:t>术语和定义</w:t>
      </w:r>
      <w:bookmarkEnd w:id="6"/>
    </w:p>
    <w:p w14:paraId="3C76A9E7" w14:textId="2B31FE2C" w:rsidR="00DD666C" w:rsidRPr="005B76A0" w:rsidRDefault="00084B34" w:rsidP="00335641">
      <w:pPr>
        <w:autoSpaceDE w:val="0"/>
        <w:autoSpaceDN w:val="0"/>
        <w:adjustRightInd w:val="0"/>
        <w:spacing w:line="440" w:lineRule="exact"/>
        <w:ind w:firstLineChars="200" w:firstLine="480"/>
        <w:rPr>
          <w:kern w:val="0"/>
        </w:rPr>
      </w:pPr>
      <w:r w:rsidRPr="005B76A0">
        <w:rPr>
          <w:kern w:val="0"/>
        </w:rPr>
        <w:t>给出了</w:t>
      </w:r>
      <w:r w:rsidR="003523BB">
        <w:rPr>
          <w:rFonts w:hint="eastAsia"/>
          <w:kern w:val="0"/>
        </w:rPr>
        <w:t>食用燕窝、</w:t>
      </w:r>
      <w:r w:rsidR="00091416">
        <w:rPr>
          <w:rFonts w:hint="eastAsia"/>
        </w:rPr>
        <w:t>燕窝制品</w:t>
      </w:r>
      <w:r w:rsidR="00DE2570" w:rsidRPr="005B76A0">
        <w:rPr>
          <w:rFonts w:hint="eastAsia"/>
        </w:rPr>
        <w:t>、</w:t>
      </w:r>
      <w:r w:rsidRPr="005B76A0">
        <w:rPr>
          <w:rFonts w:hint="eastAsia"/>
          <w:kern w:val="0"/>
        </w:rPr>
        <w:t>绿色工厂</w:t>
      </w:r>
      <w:r w:rsidRPr="005B76A0">
        <w:rPr>
          <w:kern w:val="0"/>
        </w:rPr>
        <w:t>、</w:t>
      </w:r>
      <w:r w:rsidRPr="005B76A0">
        <w:rPr>
          <w:rFonts w:hint="eastAsia"/>
          <w:kern w:val="0"/>
        </w:rPr>
        <w:t>绿色设计</w:t>
      </w:r>
      <w:r w:rsidR="000B3759" w:rsidRPr="005B76A0">
        <w:rPr>
          <w:rFonts w:hint="eastAsia"/>
          <w:kern w:val="0"/>
        </w:rPr>
        <w:t>（生态设计）、</w:t>
      </w:r>
      <w:r w:rsidR="003523BB">
        <w:rPr>
          <w:rFonts w:hint="eastAsia"/>
          <w:kern w:val="0"/>
        </w:rPr>
        <w:t>绿色设计产品（生态设计产品）、</w:t>
      </w:r>
      <w:r w:rsidR="000B3759" w:rsidRPr="005B76A0">
        <w:rPr>
          <w:rFonts w:hint="eastAsia"/>
          <w:kern w:val="0"/>
        </w:rPr>
        <w:t>相关方</w:t>
      </w:r>
      <w:r w:rsidR="008B5BD9" w:rsidRPr="005B76A0">
        <w:rPr>
          <w:rFonts w:hint="eastAsia"/>
          <w:kern w:val="0"/>
        </w:rPr>
        <w:t>等</w:t>
      </w:r>
      <w:r w:rsidR="00493C10">
        <w:rPr>
          <w:rFonts w:hint="eastAsia"/>
          <w:kern w:val="0"/>
        </w:rPr>
        <w:t>术语和</w:t>
      </w:r>
      <w:r w:rsidRPr="005B76A0">
        <w:rPr>
          <w:kern w:val="0"/>
        </w:rPr>
        <w:t>定义。</w:t>
      </w:r>
      <w:r w:rsidR="00DE2570" w:rsidRPr="005B76A0">
        <w:rPr>
          <w:rFonts w:hint="eastAsia"/>
        </w:rPr>
        <w:t>在确定“</w:t>
      </w:r>
      <w:r w:rsidR="003523BB">
        <w:rPr>
          <w:rFonts w:hint="eastAsia"/>
        </w:rPr>
        <w:t>食用燕窝</w:t>
      </w:r>
      <w:r w:rsidR="00DE2570" w:rsidRPr="005B76A0">
        <w:rPr>
          <w:rFonts w:hint="eastAsia"/>
        </w:rPr>
        <w:t>”</w:t>
      </w:r>
      <w:r w:rsidR="003523BB">
        <w:rPr>
          <w:rFonts w:hint="eastAsia"/>
        </w:rPr>
        <w:t>“燕窝制品”</w:t>
      </w:r>
      <w:r w:rsidR="00DE2570" w:rsidRPr="005B76A0">
        <w:rPr>
          <w:rFonts w:hint="eastAsia"/>
        </w:rPr>
        <w:t>的定义时，参考了</w:t>
      </w:r>
      <w:r w:rsidR="003523BB">
        <w:rPr>
          <w:rFonts w:hint="eastAsia"/>
        </w:rPr>
        <w:t>QB</w:t>
      </w:r>
      <w:r w:rsidR="00EF24CE">
        <w:t>/</w:t>
      </w:r>
      <w:r w:rsidR="00EF24CE" w:rsidRPr="00EF24CE">
        <w:rPr>
          <w:rFonts w:hint="eastAsia"/>
        </w:rPr>
        <w:t>T</w:t>
      </w:r>
      <w:r w:rsidR="003523BB">
        <w:rPr>
          <w:rFonts w:hint="eastAsia"/>
        </w:rPr>
        <w:t xml:space="preserve"> 5916-2023</w:t>
      </w:r>
      <w:r w:rsidR="00EF24CE">
        <w:rPr>
          <w:rFonts w:hint="eastAsia"/>
        </w:rPr>
        <w:t>《</w:t>
      </w:r>
      <w:r w:rsidR="003523BB">
        <w:rPr>
          <w:rFonts w:hint="eastAsia"/>
        </w:rPr>
        <w:t>燕窝制品</w:t>
      </w:r>
      <w:r w:rsidR="00EF24CE">
        <w:rPr>
          <w:rFonts w:hint="eastAsia"/>
        </w:rPr>
        <w:t>》</w:t>
      </w:r>
      <w:r w:rsidR="00DE2570" w:rsidRPr="005B76A0">
        <w:rPr>
          <w:rFonts w:hint="eastAsia"/>
        </w:rPr>
        <w:t>。</w:t>
      </w:r>
      <w:r w:rsidRPr="005B76A0">
        <w:rPr>
          <w:kern w:val="0"/>
        </w:rPr>
        <w:t>在确定</w:t>
      </w:r>
      <w:r w:rsidR="00DE2570" w:rsidRPr="005B76A0">
        <w:rPr>
          <w:rFonts w:hint="eastAsia"/>
          <w:kern w:val="0"/>
        </w:rPr>
        <w:t>“绿色工厂”</w:t>
      </w:r>
      <w:r w:rsidRPr="005B76A0">
        <w:rPr>
          <w:kern w:val="0"/>
        </w:rPr>
        <w:t>的定义时，参考了《</w:t>
      </w:r>
      <w:r w:rsidRPr="005B76A0">
        <w:rPr>
          <w:rFonts w:hint="eastAsia"/>
          <w:kern w:val="0"/>
        </w:rPr>
        <w:t>绿色工厂评价通则</w:t>
      </w:r>
      <w:r w:rsidRPr="005B76A0">
        <w:rPr>
          <w:kern w:val="0"/>
        </w:rPr>
        <w:t>》（</w:t>
      </w:r>
      <w:r w:rsidRPr="005B76A0">
        <w:rPr>
          <w:kern w:val="0"/>
        </w:rPr>
        <w:t>GB/T 36132</w:t>
      </w:r>
      <w:r w:rsidR="00493C10">
        <w:rPr>
          <w:kern w:val="0"/>
        </w:rPr>
        <w:t>-2018</w:t>
      </w:r>
      <w:r w:rsidRPr="005B76A0">
        <w:rPr>
          <w:kern w:val="0"/>
        </w:rPr>
        <w:t>）。在确定</w:t>
      </w:r>
      <w:r w:rsidR="00DE2570" w:rsidRPr="005B76A0">
        <w:rPr>
          <w:rFonts w:hint="eastAsia"/>
          <w:kern w:val="0"/>
        </w:rPr>
        <w:t>“绿色设计（生态设计）”“绿色设计产品（生态设计产品）”</w:t>
      </w:r>
      <w:r w:rsidRPr="005B76A0">
        <w:rPr>
          <w:kern w:val="0"/>
        </w:rPr>
        <w:t>的定义时，参考了《</w:t>
      </w:r>
      <w:r w:rsidRPr="005B76A0">
        <w:rPr>
          <w:rFonts w:hint="eastAsia"/>
          <w:kern w:val="0"/>
        </w:rPr>
        <w:t>生态设计产品评价通则</w:t>
      </w:r>
      <w:r w:rsidRPr="005B76A0">
        <w:rPr>
          <w:kern w:val="0"/>
        </w:rPr>
        <w:t>》</w:t>
      </w:r>
      <w:r w:rsidRPr="005B76A0">
        <w:rPr>
          <w:rFonts w:hint="eastAsia"/>
          <w:kern w:val="0"/>
        </w:rPr>
        <w:t>（</w:t>
      </w:r>
      <w:r w:rsidRPr="005B76A0">
        <w:rPr>
          <w:rFonts w:hint="eastAsia"/>
          <w:kern w:val="0"/>
        </w:rPr>
        <w:t xml:space="preserve">GB/T </w:t>
      </w:r>
      <w:r w:rsidRPr="005B76A0">
        <w:t>32161</w:t>
      </w:r>
      <w:r w:rsidR="00493C10">
        <w:t>-2015</w:t>
      </w:r>
      <w:r w:rsidRPr="005B76A0">
        <w:rPr>
          <w:rFonts w:hint="eastAsia"/>
          <w:kern w:val="0"/>
        </w:rPr>
        <w:t>）。</w:t>
      </w:r>
      <w:r w:rsidR="000B3759" w:rsidRPr="005B76A0">
        <w:rPr>
          <w:rFonts w:hint="eastAsia"/>
          <w:kern w:val="0"/>
        </w:rPr>
        <w:t>在确定</w:t>
      </w:r>
      <w:r w:rsidR="00DE2570" w:rsidRPr="005B76A0">
        <w:rPr>
          <w:rFonts w:hint="eastAsia"/>
          <w:kern w:val="0"/>
        </w:rPr>
        <w:t>“相关方”</w:t>
      </w:r>
      <w:r w:rsidR="000B3759" w:rsidRPr="005B76A0">
        <w:rPr>
          <w:rFonts w:hint="eastAsia"/>
          <w:kern w:val="0"/>
        </w:rPr>
        <w:t>的定义时参考了《绿色工厂评价通则》（</w:t>
      </w:r>
      <w:r w:rsidR="000B3759" w:rsidRPr="005B76A0">
        <w:rPr>
          <w:kern w:val="0"/>
        </w:rPr>
        <w:t>GB/T 36132</w:t>
      </w:r>
      <w:r w:rsidR="00493C10">
        <w:rPr>
          <w:kern w:val="0"/>
        </w:rPr>
        <w:t>-2018</w:t>
      </w:r>
      <w:r w:rsidR="000B3759" w:rsidRPr="005B76A0">
        <w:rPr>
          <w:rFonts w:hint="eastAsia"/>
          <w:kern w:val="0"/>
        </w:rPr>
        <w:t>）</w:t>
      </w:r>
      <w:r w:rsidR="008300EF" w:rsidRPr="005B76A0">
        <w:rPr>
          <w:kern w:val="0"/>
        </w:rPr>
        <w:t>。</w:t>
      </w:r>
    </w:p>
    <w:p w14:paraId="2F60D56A" w14:textId="4DBAD0E6" w:rsidR="00DD666C" w:rsidRPr="005B76A0" w:rsidRDefault="007C24ED" w:rsidP="00F45026">
      <w:pPr>
        <w:pStyle w:val="3"/>
        <w:ind w:left="480"/>
      </w:pPr>
      <w:bookmarkStart w:id="7" w:name="_Toc23770167"/>
      <w:r w:rsidRPr="005B76A0">
        <w:t>3.</w:t>
      </w:r>
      <w:r w:rsidR="00084B34" w:rsidRPr="005B76A0">
        <w:rPr>
          <w:rFonts w:hint="eastAsia"/>
        </w:rPr>
        <w:t>4</w:t>
      </w:r>
      <w:r w:rsidR="00084B34" w:rsidRPr="005B76A0">
        <w:rPr>
          <w:rFonts w:hint="eastAsia"/>
        </w:rPr>
        <w:t>评价总则</w:t>
      </w:r>
      <w:bookmarkEnd w:id="7"/>
    </w:p>
    <w:p w14:paraId="30E81CD3" w14:textId="22F7E3DF" w:rsidR="00DD666C" w:rsidRPr="005B76A0" w:rsidRDefault="00091416" w:rsidP="008900F3">
      <w:pPr>
        <w:spacing w:line="360" w:lineRule="auto"/>
        <w:ind w:firstLineChars="200" w:firstLine="480"/>
        <w:rPr>
          <w:kern w:val="0"/>
        </w:rPr>
      </w:pPr>
      <w:r>
        <w:rPr>
          <w:rFonts w:hint="eastAsia"/>
          <w:kern w:val="0"/>
        </w:rPr>
        <w:t>燕窝制品</w:t>
      </w:r>
      <w:r w:rsidR="00084B34" w:rsidRPr="005B76A0">
        <w:rPr>
          <w:rFonts w:hint="eastAsia"/>
        </w:rPr>
        <w:t>制造业</w:t>
      </w:r>
      <w:r w:rsidR="00084B34" w:rsidRPr="005B76A0">
        <w:rPr>
          <w:kern w:val="0"/>
        </w:rPr>
        <w:t>绿色工厂评价指标体系</w:t>
      </w:r>
      <w:r w:rsidR="00084B34" w:rsidRPr="005B76A0">
        <w:rPr>
          <w:rFonts w:hint="eastAsia"/>
          <w:kern w:val="0"/>
        </w:rPr>
        <w:t>与</w:t>
      </w:r>
      <w:r w:rsidR="00084B34" w:rsidRPr="005B76A0">
        <w:rPr>
          <w:kern w:val="0"/>
        </w:rPr>
        <w:t>《</w:t>
      </w:r>
      <w:r w:rsidR="00084B34" w:rsidRPr="005B76A0">
        <w:rPr>
          <w:rFonts w:hint="eastAsia"/>
          <w:kern w:val="0"/>
        </w:rPr>
        <w:t>绿色工厂评价通则</w:t>
      </w:r>
      <w:r w:rsidR="00084B34" w:rsidRPr="005B76A0">
        <w:rPr>
          <w:kern w:val="0"/>
        </w:rPr>
        <w:t>》（</w:t>
      </w:r>
      <w:r w:rsidR="00084B34" w:rsidRPr="005B76A0">
        <w:rPr>
          <w:kern w:val="0"/>
        </w:rPr>
        <w:t>GB/T 36132</w:t>
      </w:r>
      <w:r w:rsidR="00084B34" w:rsidRPr="005B76A0">
        <w:rPr>
          <w:kern w:val="0"/>
        </w:rPr>
        <w:t>）</w:t>
      </w:r>
      <w:r w:rsidR="00084B34" w:rsidRPr="005B76A0">
        <w:rPr>
          <w:rFonts w:hint="eastAsia"/>
          <w:kern w:val="0"/>
        </w:rPr>
        <w:t>中规定的内容保持一致，</w:t>
      </w:r>
      <w:r w:rsidR="00084B34" w:rsidRPr="005B76A0">
        <w:rPr>
          <w:kern w:val="0"/>
        </w:rPr>
        <w:t>包括基本要求、基础设施、管理体系、能源资源投入、产品、环境排放和绩效</w:t>
      </w:r>
      <w:r w:rsidR="00084B34" w:rsidRPr="005B76A0">
        <w:rPr>
          <w:rFonts w:hint="eastAsia"/>
          <w:kern w:val="0"/>
        </w:rPr>
        <w:t>，</w:t>
      </w:r>
      <w:r>
        <w:rPr>
          <w:rFonts w:hint="eastAsia"/>
          <w:kern w:val="0"/>
        </w:rPr>
        <w:t>燕窝制品</w:t>
      </w:r>
      <w:r w:rsidR="00E075EA" w:rsidRPr="005B76A0">
        <w:rPr>
          <w:rFonts w:hint="eastAsia"/>
        </w:rPr>
        <w:t>制造业</w:t>
      </w:r>
      <w:r w:rsidR="00084B34" w:rsidRPr="005B76A0">
        <w:rPr>
          <w:rFonts w:hint="eastAsia"/>
          <w:kern w:val="0"/>
        </w:rPr>
        <w:t>在进行绿色工厂评价时，应从以上</w:t>
      </w:r>
      <w:r w:rsidR="00084B34" w:rsidRPr="005B76A0">
        <w:rPr>
          <w:rFonts w:hint="eastAsia"/>
          <w:kern w:val="0"/>
        </w:rPr>
        <w:t>7</w:t>
      </w:r>
      <w:r w:rsidR="00084B34" w:rsidRPr="005B76A0">
        <w:rPr>
          <w:rFonts w:hint="eastAsia"/>
          <w:kern w:val="0"/>
        </w:rPr>
        <w:t>个方面进行综合评价。</w:t>
      </w:r>
    </w:p>
    <w:p w14:paraId="53A691E9" w14:textId="29305B34" w:rsidR="00DD666C" w:rsidRPr="005B76A0" w:rsidRDefault="00091416" w:rsidP="008900F3">
      <w:pPr>
        <w:spacing w:line="360" w:lineRule="auto"/>
        <w:ind w:firstLineChars="200" w:firstLine="480"/>
      </w:pPr>
      <w:r>
        <w:rPr>
          <w:kern w:val="0"/>
        </w:rPr>
        <w:t>燕窝制品</w:t>
      </w:r>
      <w:r w:rsidR="00084B34" w:rsidRPr="005B76A0">
        <w:rPr>
          <w:rFonts w:hint="eastAsia"/>
          <w:kern w:val="0"/>
        </w:rPr>
        <w:t>制造</w:t>
      </w:r>
      <w:r w:rsidR="00084B34" w:rsidRPr="005B76A0">
        <w:rPr>
          <w:kern w:val="0"/>
        </w:rPr>
        <w:t>业绿色工厂评价体系框架如图</w:t>
      </w:r>
      <w:r w:rsidR="00084B34" w:rsidRPr="005B76A0">
        <w:rPr>
          <w:kern w:val="0"/>
        </w:rPr>
        <w:t>1</w:t>
      </w:r>
      <w:r w:rsidR="00084B34" w:rsidRPr="005B76A0">
        <w:rPr>
          <w:kern w:val="0"/>
        </w:rPr>
        <w:t>所示。</w:t>
      </w:r>
    </w:p>
    <w:p w14:paraId="38386785" w14:textId="77777777" w:rsidR="00DD666C" w:rsidRPr="005B76A0" w:rsidRDefault="00084B34">
      <w:pPr>
        <w:ind w:firstLineChars="200" w:firstLine="480"/>
        <w:jc w:val="center"/>
      </w:pPr>
      <w:r w:rsidRPr="005B76A0">
        <w:rPr>
          <w:noProof/>
        </w:rPr>
        <mc:AlternateContent>
          <mc:Choice Requires="wpc">
            <w:drawing>
              <wp:inline distT="0" distB="0" distL="0" distR="0" wp14:anchorId="614FA11B" wp14:editId="46E47694">
                <wp:extent cx="3903980" cy="1939925"/>
                <wp:effectExtent l="0" t="0" r="2540" b="0"/>
                <wp:docPr id="10" name="画布 10"/>
                <wp:cNvGraphicFramePr/>
                <a:graphic xmlns:a="http://schemas.openxmlformats.org/drawingml/2006/main">
                  <a:graphicData uri="http://schemas.microsoft.com/office/word/2010/wordprocessingCanvas">
                    <wpc:wpc>
                      <wpc:bg>
                        <a:noFill/>
                      </wpc:bg>
                      <wpc:whole/>
                      <wps:wsp>
                        <wps:cNvPr id="1" name="矩形 1"/>
                        <wps:cNvSpPr>
                          <a:spLocks noChangeArrowheads="1"/>
                        </wps:cNvSpPr>
                        <wps:spPr bwMode="auto">
                          <a:xfrm>
                            <a:off x="611913" y="540607"/>
                            <a:ext cx="739515" cy="834911"/>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264D92B" w14:textId="77777777" w:rsidR="00DD666C" w:rsidRDefault="00084B34">
                              <w:pPr>
                                <w:jc w:val="center"/>
                                <w:rPr>
                                  <w:color w:val="000000" w:themeColor="text1"/>
                                  <w:sz w:val="18"/>
                                  <w:szCs w:val="18"/>
                                </w:rPr>
                              </w:pPr>
                              <w:r>
                                <w:rPr>
                                  <w:rFonts w:hint="eastAsia"/>
                                  <w:color w:val="000000" w:themeColor="text1"/>
                                  <w:sz w:val="18"/>
                                  <w:szCs w:val="18"/>
                                </w:rPr>
                                <w:t>能源与资源投入</w:t>
                              </w:r>
                            </w:p>
                          </w:txbxContent>
                        </wps:txbx>
                        <wps:bodyPr rot="0" vert="horz" wrap="square" lIns="91440" tIns="45720" rIns="91440" bIns="45720" anchor="ctr" anchorCtr="0" upright="1">
                          <a:noAutofit/>
                        </wps:bodyPr>
                      </wps:wsp>
                      <wps:wsp>
                        <wps:cNvPr id="3" name="矩形 3"/>
                        <wps:cNvSpPr>
                          <a:spLocks noChangeArrowheads="1"/>
                        </wps:cNvSpPr>
                        <wps:spPr bwMode="auto">
                          <a:xfrm>
                            <a:off x="611913" y="92501"/>
                            <a:ext cx="2702455" cy="3925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5311F65" w14:textId="77777777" w:rsidR="00DD666C" w:rsidRDefault="00084B34">
                              <w:pPr>
                                <w:pStyle w:val="afe"/>
                                <w:spacing w:before="0" w:beforeAutospacing="0" w:after="0" w:afterAutospacing="0"/>
                                <w:jc w:val="center"/>
                                <w:rPr>
                                  <w:rFonts w:hint="eastAsia"/>
                                </w:rPr>
                              </w:pPr>
                              <w:r>
                                <w:rPr>
                                  <w:rFonts w:ascii="Times New Roman" w:hint="eastAsia"/>
                                  <w:color w:val="000000"/>
                                  <w:kern w:val="2"/>
                                  <w:sz w:val="18"/>
                                  <w:szCs w:val="18"/>
                                </w:rPr>
                                <w:t>管理体系</w:t>
                              </w:r>
                            </w:p>
                          </w:txbxContent>
                        </wps:txbx>
                        <wps:bodyPr rot="0" vert="horz" wrap="square" lIns="91440" tIns="45720" rIns="91440" bIns="45720" anchor="ctr" anchorCtr="0" upright="1">
                          <a:noAutofit/>
                        </wps:bodyPr>
                      </wps:wsp>
                      <wps:wsp>
                        <wps:cNvPr id="4" name="矩形 4"/>
                        <wps:cNvSpPr>
                          <a:spLocks noChangeArrowheads="1"/>
                        </wps:cNvSpPr>
                        <wps:spPr bwMode="auto">
                          <a:xfrm>
                            <a:off x="3410570" y="111801"/>
                            <a:ext cx="370808" cy="1703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F87CB5D"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绩效</w:t>
                              </w:r>
                            </w:p>
                          </w:txbxContent>
                        </wps:txbx>
                        <wps:bodyPr rot="0" vert="horz" wrap="square" lIns="91440" tIns="45720" rIns="91440" bIns="45720" anchor="ctr" anchorCtr="0" upright="1">
                          <a:noAutofit/>
                        </wps:bodyPr>
                      </wps:wsp>
                      <wps:wsp>
                        <wps:cNvPr id="5" name="矩形 5"/>
                        <wps:cNvSpPr>
                          <a:spLocks noChangeArrowheads="1"/>
                        </wps:cNvSpPr>
                        <wps:spPr bwMode="auto">
                          <a:xfrm>
                            <a:off x="2561352" y="564507"/>
                            <a:ext cx="739115" cy="3636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70DDA5B7"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产品</w:t>
                              </w:r>
                            </w:p>
                          </w:txbxContent>
                        </wps:txbx>
                        <wps:bodyPr rot="0" vert="horz" wrap="square" lIns="91440" tIns="45720" rIns="91440" bIns="45720" anchor="ctr" anchorCtr="0" upright="1">
                          <a:noAutofit/>
                        </wps:bodyPr>
                      </wps:wsp>
                      <wps:wsp>
                        <wps:cNvPr id="6" name="矩形 6"/>
                        <wps:cNvSpPr>
                          <a:spLocks noChangeArrowheads="1"/>
                        </wps:cNvSpPr>
                        <wps:spPr bwMode="auto">
                          <a:xfrm>
                            <a:off x="2561352" y="985913"/>
                            <a:ext cx="739115" cy="3650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5190F888"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环境排放</w:t>
                              </w:r>
                            </w:p>
                          </w:txbxContent>
                        </wps:txbx>
                        <wps:bodyPr rot="0" vert="horz" wrap="square" lIns="91440" tIns="45720" rIns="91440" bIns="45720" anchor="ctr" anchorCtr="0" upright="1">
                          <a:noAutofit/>
                        </wps:bodyPr>
                      </wps:wsp>
                      <wps:wsp>
                        <wps:cNvPr id="7" name="矩形 7"/>
                        <wps:cNvSpPr>
                          <a:spLocks noChangeArrowheads="1"/>
                        </wps:cNvSpPr>
                        <wps:spPr bwMode="auto">
                          <a:xfrm>
                            <a:off x="611913" y="1423218"/>
                            <a:ext cx="2702455" cy="3924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00429024"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基础设施</w:t>
                              </w:r>
                            </w:p>
                          </w:txbxContent>
                        </wps:txbx>
                        <wps:bodyPr rot="0" vert="horz" wrap="square" lIns="91440" tIns="45720" rIns="91440" bIns="45720" anchor="ctr" anchorCtr="0" upright="1">
                          <a:noAutofit/>
                        </wps:bodyPr>
                      </wps:wsp>
                      <wps:wsp>
                        <wps:cNvPr id="8" name="矩形 8"/>
                        <wps:cNvSpPr>
                          <a:spLocks noChangeArrowheads="1"/>
                        </wps:cNvSpPr>
                        <wps:spPr bwMode="auto">
                          <a:xfrm>
                            <a:off x="137703" y="122102"/>
                            <a:ext cx="369008" cy="1702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6978DA04"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基本要求</w:t>
                              </w:r>
                            </w:p>
                          </w:txbxContent>
                        </wps:txbx>
                        <wps:bodyPr rot="0" vert="horz" wrap="square" lIns="91440" tIns="45720" rIns="91440" bIns="45720" anchor="ctr" anchorCtr="0" upright="1">
                          <a:noAutofit/>
                        </wps:bodyPr>
                      </wps:wsp>
                      <wps:wsp>
                        <wps:cNvPr id="9" name="右箭头 9"/>
                        <wps:cNvSpPr>
                          <a:spLocks noChangeArrowheads="1"/>
                        </wps:cNvSpPr>
                        <wps:spPr bwMode="auto">
                          <a:xfrm>
                            <a:off x="1457630" y="713509"/>
                            <a:ext cx="1041621" cy="508907"/>
                          </a:xfrm>
                          <a:prstGeom prst="rightArrow">
                            <a:avLst>
                              <a:gd name="adj1" fmla="val 50000"/>
                              <a:gd name="adj2" fmla="val 49994"/>
                            </a:avLst>
                          </a:prstGeom>
                          <a:solidFill>
                            <a:schemeClr val="bg1">
                              <a:lumMod val="100000"/>
                              <a:lumOff val="0"/>
                            </a:schemeClr>
                          </a:solidFill>
                          <a:ln w="3175">
                            <a:solidFill>
                              <a:schemeClr val="tx1">
                                <a:lumMod val="100000"/>
                                <a:lumOff val="0"/>
                              </a:schemeClr>
                            </a:solidFill>
                            <a:prstDash val="dash"/>
                            <a:miter lim="800000"/>
                          </a:ln>
                        </wps:spPr>
                        <wps:txbx>
                          <w:txbxContent>
                            <w:p w14:paraId="1EE0F0F4" w14:textId="77777777" w:rsidR="00DD666C" w:rsidRDefault="00084B34">
                              <w:pPr>
                                <w:jc w:val="center"/>
                                <w:rPr>
                                  <w:color w:val="000000" w:themeColor="text1"/>
                                  <w:sz w:val="18"/>
                                  <w:szCs w:val="18"/>
                                </w:rPr>
                              </w:pPr>
                              <w:r>
                                <w:rPr>
                                  <w:rFonts w:hint="eastAsia"/>
                                  <w:color w:val="000000" w:themeColor="text1"/>
                                  <w:sz w:val="18"/>
                                  <w:szCs w:val="18"/>
                                </w:rPr>
                                <w:t>生产过程</w:t>
                              </w:r>
                            </w:p>
                          </w:txbxContent>
                        </wps:txbx>
                        <wps:bodyPr rot="0" vert="horz" wrap="square" lIns="91440" tIns="45720" rIns="91440" bIns="45720" anchor="ctr" anchorCtr="0" upright="1">
                          <a:noAutofit/>
                        </wps:bodyPr>
                      </wps:wsp>
                    </wpc:wpc>
                  </a:graphicData>
                </a:graphic>
              </wp:inline>
            </w:drawing>
          </mc:Choice>
          <mc:Fallback>
            <w:pict>
              <v:group w14:anchorId="614FA11B" id="画布 10" o:spid="_x0000_s1026" editas="canvas" style="width:307.4pt;height:152.75pt;mso-position-horizontal-relative:char;mso-position-vertical-relative:line" coordsize="39039,1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39;height:19399;visibility:visible;mso-wrap-style:square">
                  <v:fill o:detectmouseclick="t"/>
                  <v:path o:connecttype="none"/>
                </v:shape>
                <v:rect id="矩形 1" o:spid="_x0000_s1028" style="position:absolute;left:6119;top:5406;width:7395;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" fillcolor="white [3201]" strokecolor="black [3200]" strokeweight=".25pt">
                  <v:textbox>
                    <w:txbxContent>
                      <w:p w14:paraId="2264D92B" w14:textId="77777777" w:rsidR="00DD666C" w:rsidRDefault="00084B34">
                        <w:pPr>
                          <w:jc w:val="center"/>
                          <w:rPr>
                            <w:color w:val="000000" w:themeColor="text1"/>
                            <w:sz w:val="18"/>
                            <w:szCs w:val="18"/>
                          </w:rPr>
                        </w:pPr>
                        <w:r>
                          <w:rPr>
                            <w:rFonts w:hint="eastAsia"/>
                            <w:color w:val="000000" w:themeColor="text1"/>
                            <w:sz w:val="18"/>
                            <w:szCs w:val="18"/>
                          </w:rPr>
                          <w:t>能源与资源投入</w:t>
                        </w:r>
                      </w:p>
                    </w:txbxContent>
                  </v:textbox>
                </v:rect>
                <v:rect id="矩形 3" o:spid="_x0000_s1029" style="position:absolute;left:6119;top:925;width:27024;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" fillcolor="white [3201]" strokecolor="black [3200]" strokeweight=".25pt">
                  <v:textbox>
                    <w:txbxContent>
                      <w:p w14:paraId="25311F65" w14:textId="77777777" w:rsidR="00DD666C" w:rsidRDefault="00084B34">
                        <w:pPr>
                          <w:pStyle w:val="afe"/>
                          <w:spacing w:before="0" w:beforeAutospacing="0" w:after="0" w:afterAutospacing="0"/>
                          <w:jc w:val="center"/>
                          <w:rPr>
                            <w:rFonts w:hint="eastAsia"/>
                          </w:rPr>
                        </w:pPr>
                        <w:r>
                          <w:rPr>
                            <w:rFonts w:ascii="Times New Roman" w:hint="eastAsia"/>
                            <w:color w:val="000000"/>
                            <w:kern w:val="2"/>
                            <w:sz w:val="18"/>
                            <w:szCs w:val="18"/>
                          </w:rPr>
                          <w:t>管理体系</w:t>
                        </w:r>
                      </w:p>
                    </w:txbxContent>
                  </v:textbox>
                </v:rect>
                <v:rect id="矩形 4" o:spid="_x0000_s1030" style="position:absolute;left:34105;top:1118;width:3708;height:17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" fillcolor="white [3201]" strokecolor="black [3200]" strokeweight=".25pt">
                  <v:textbox>
                    <w:txbxContent>
                      <w:p w14:paraId="2F87CB5D"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绩效</w:t>
                        </w:r>
                      </w:p>
                    </w:txbxContent>
                  </v:textbox>
                </v:rect>
                <v:rect id="矩形 5" o:spid="_x0000_s1031" style="position:absolute;left:25613;top:5645;width:7391;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" fillcolor="white [3201]" strokecolor="black [3200]" strokeweight=".25pt">
                  <v:textbox>
                    <w:txbxContent>
                      <w:p w14:paraId="70DDA5B7"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产品</w:t>
                        </w:r>
                      </w:p>
                    </w:txbxContent>
                  </v:textbox>
                </v:rect>
                <v:rect id="矩形 6" o:spid="_x0000_s1032" style="position:absolute;left:25613;top:9859;width:7391;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" fillcolor="white [3201]" strokecolor="black [3200]" strokeweight=".25pt">
                  <v:textbox>
                    <w:txbxContent>
                      <w:p w14:paraId="5190F888"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环境排放</w:t>
                        </w:r>
                      </w:p>
                    </w:txbxContent>
                  </v:textbox>
                </v:rect>
                <v:rect id="矩形 7" o:spid="_x0000_s1033" style="position:absolute;left:6119;top:14232;width:27024;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" fillcolor="white [3201]" strokecolor="black [3200]" strokeweight=".25pt">
                  <v:textbox>
                    <w:txbxContent>
                      <w:p w14:paraId="00429024"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基础设施</w:t>
                        </w:r>
                      </w:p>
                    </w:txbxContent>
                  </v:textbox>
                </v:rect>
                <v:rect id="矩形 8" o:spid="_x0000_s1034" style="position:absolute;left:1377;top:1221;width:3690;height:1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" fillcolor="white [3201]" strokecolor="black [3200]" strokeweight=".25pt">
                  <v:textbox>
                    <w:txbxContent>
                      <w:p w14:paraId="6978DA04" w14:textId="77777777" w:rsidR="00DD666C" w:rsidRDefault="00084B34">
                        <w:pPr>
                          <w:pStyle w:val="afe"/>
                          <w:spacing w:before="0" w:beforeAutospacing="0" w:after="0" w:afterAutospacing="0"/>
                          <w:jc w:val="center"/>
                          <w:rPr>
                            <w:rFonts w:hint="eastAsia"/>
                          </w:rPr>
                        </w:pPr>
                        <w:r>
                          <w:rPr>
                            <w:rFonts w:ascii="Times New Roman" w:hint="eastAsia"/>
                            <w:color w:val="000000"/>
                            <w:sz w:val="18"/>
                            <w:szCs w:val="18"/>
                          </w:rPr>
                          <w:t>基本要求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 o:spid="_x0000_s1035" type="#_x0000_t13" style="position:absolute;left:14576;top:7135;width:10416;height:5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" adj="16324" fillcolor="white [3212]" strokecolor="black [3213]" strokeweight=".25pt">
                  <v:stroke dashstyle="dash"/>
                  <v:textbox>
                    <w:txbxContent>
                      <w:p w14:paraId="1EE0F0F4" w14:textId="77777777" w:rsidR="00DD666C" w:rsidRDefault="00084B34">
                        <w:pPr>
                          <w:jc w:val="center"/>
                          <w:rPr>
                            <w:color w:val="000000" w:themeColor="text1"/>
                            <w:sz w:val="18"/>
                            <w:szCs w:val="18"/>
                          </w:rPr>
                        </w:pPr>
                        <w:r>
                          <w:rPr>
                            <w:rFonts w:hint="eastAsia"/>
                            <w:color w:val="000000" w:themeColor="text1"/>
                            <w:sz w:val="18"/>
                            <w:szCs w:val="18"/>
                          </w:rPr>
                          <w:t>生产过程</w:t>
                        </w:r>
                      </w:p>
                    </w:txbxContent>
                  </v:textbox>
                </v:shape>
                <w10:anchorlock/>
              </v:group>
            </w:pict>
          </mc:Fallback>
        </mc:AlternateContent>
      </w:r>
    </w:p>
    <w:p w14:paraId="66E824EB" w14:textId="6D278CA5" w:rsidR="00DD666C" w:rsidRPr="005B76A0" w:rsidRDefault="00091416">
      <w:pPr>
        <w:pStyle w:val="a3"/>
        <w:spacing w:before="156" w:after="156"/>
        <w:rPr>
          <w:rFonts w:ascii="Times New Roman"/>
        </w:rPr>
      </w:pPr>
      <w:r>
        <w:rPr>
          <w:rFonts w:ascii="Times New Roman" w:hint="eastAsia"/>
        </w:rPr>
        <w:t>燕窝制品</w:t>
      </w:r>
      <w:r w:rsidR="00084B34" w:rsidRPr="005B76A0">
        <w:rPr>
          <w:rFonts w:ascii="Times New Roman" w:hint="eastAsia"/>
        </w:rPr>
        <w:t>制造</w:t>
      </w:r>
      <w:r w:rsidR="00084B34" w:rsidRPr="005B76A0">
        <w:rPr>
          <w:rFonts w:ascii="Times New Roman"/>
        </w:rPr>
        <w:t>业绿色工厂评价</w:t>
      </w:r>
      <w:r w:rsidR="00084B34" w:rsidRPr="005B76A0">
        <w:rPr>
          <w:rFonts w:ascii="Times New Roman" w:hint="eastAsia"/>
        </w:rPr>
        <w:t>体系</w:t>
      </w:r>
      <w:r w:rsidR="00084B34" w:rsidRPr="005B76A0">
        <w:rPr>
          <w:rFonts w:ascii="Times New Roman"/>
        </w:rPr>
        <w:t>框架示意图</w:t>
      </w:r>
    </w:p>
    <w:p w14:paraId="72DD2FC6" w14:textId="675F4E24" w:rsidR="00DD666C" w:rsidRPr="005B76A0" w:rsidRDefault="00091416">
      <w:pPr>
        <w:spacing w:line="360" w:lineRule="auto"/>
        <w:ind w:firstLineChars="200" w:firstLine="480"/>
        <w:rPr>
          <w:kern w:val="0"/>
        </w:rPr>
      </w:pPr>
      <w:r>
        <w:rPr>
          <w:rFonts w:hint="eastAsia"/>
          <w:kern w:val="0"/>
        </w:rPr>
        <w:t>燕窝制品</w:t>
      </w:r>
      <w:r w:rsidR="00084B34" w:rsidRPr="005B76A0">
        <w:rPr>
          <w:rFonts w:hint="eastAsia"/>
          <w:kern w:val="0"/>
        </w:rPr>
        <w:t>制造</w:t>
      </w:r>
      <w:r w:rsidR="00084B34" w:rsidRPr="005B76A0">
        <w:rPr>
          <w:kern w:val="0"/>
        </w:rPr>
        <w:t>业绿色工厂</w:t>
      </w:r>
      <w:r w:rsidR="00084B34" w:rsidRPr="005B76A0">
        <w:rPr>
          <w:rFonts w:hint="eastAsia"/>
          <w:kern w:val="0"/>
        </w:rPr>
        <w:t>评价</w:t>
      </w:r>
      <w:r w:rsidR="00084B34" w:rsidRPr="005B76A0">
        <w:rPr>
          <w:kern w:val="0"/>
        </w:rPr>
        <w:t>指标</w:t>
      </w:r>
      <w:r w:rsidR="00084B34" w:rsidRPr="005B76A0">
        <w:rPr>
          <w:rFonts w:hint="eastAsia"/>
          <w:kern w:val="0"/>
        </w:rPr>
        <w:t>包括</w:t>
      </w:r>
      <w:r w:rsidR="00084B34" w:rsidRPr="005B76A0">
        <w:rPr>
          <w:kern w:val="0"/>
        </w:rPr>
        <w:t>了</w:t>
      </w:r>
      <w:r w:rsidR="00084B34" w:rsidRPr="005B76A0">
        <w:rPr>
          <w:rFonts w:hint="eastAsia"/>
          <w:kern w:val="0"/>
        </w:rPr>
        <w:t>定性指标和定量指标，定性指标主要侧重在应满足的法律法规、节能环保、工艺技术、相关标准等方面要求；定量指标主要侧重在能够反映工厂层面的绿色特性指标</w:t>
      </w:r>
      <w:r w:rsidR="00084B34" w:rsidRPr="005B76A0">
        <w:rPr>
          <w:kern w:val="0"/>
        </w:rPr>
        <w:t>。</w:t>
      </w:r>
    </w:p>
    <w:p w14:paraId="2A7EA80E" w14:textId="61460C52" w:rsidR="00DD666C" w:rsidRPr="005B76A0" w:rsidRDefault="00091416">
      <w:pPr>
        <w:spacing w:line="360" w:lineRule="auto"/>
        <w:ind w:firstLineChars="200" w:firstLine="480"/>
        <w:rPr>
          <w:kern w:val="0"/>
        </w:rPr>
      </w:pPr>
      <w:r>
        <w:rPr>
          <w:rFonts w:hint="eastAsia"/>
          <w:kern w:val="0"/>
        </w:rPr>
        <w:t>燕窝制品</w:t>
      </w:r>
      <w:r w:rsidR="00084B34" w:rsidRPr="005B76A0">
        <w:rPr>
          <w:rFonts w:hint="eastAsia"/>
          <w:kern w:val="0"/>
        </w:rPr>
        <w:t>制造</w:t>
      </w:r>
      <w:r w:rsidR="00084B34" w:rsidRPr="005B76A0">
        <w:rPr>
          <w:kern w:val="0"/>
        </w:rPr>
        <w:t>业</w:t>
      </w:r>
      <w:r w:rsidR="00084B34" w:rsidRPr="005B76A0">
        <w:rPr>
          <w:rFonts w:hint="eastAsia"/>
          <w:kern w:val="0"/>
        </w:rPr>
        <w:t>绿色工厂评价采用定量评价和定性评价相结合的方法，根据</w:t>
      </w:r>
      <w:r w:rsidR="00084B34" w:rsidRPr="005B76A0">
        <w:rPr>
          <w:rFonts w:hint="eastAsia"/>
          <w:kern w:val="0"/>
        </w:rPr>
        <w:lastRenderedPageBreak/>
        <w:t>实际需要可采用下述评价方法，也可采取下述方法组合或集成的方法。</w:t>
      </w:r>
    </w:p>
    <w:p w14:paraId="5801F4EE" w14:textId="77777777" w:rsidR="00DD666C" w:rsidRPr="005B76A0" w:rsidRDefault="00084B34">
      <w:pPr>
        <w:spacing w:line="360" w:lineRule="auto"/>
        <w:ind w:firstLineChars="200" w:firstLine="480"/>
        <w:rPr>
          <w:kern w:val="0"/>
        </w:rPr>
      </w:pPr>
      <w:r w:rsidRPr="005B76A0">
        <w:rPr>
          <w:rFonts w:hint="eastAsia"/>
          <w:kern w:val="0"/>
        </w:rPr>
        <w:t>a</w:t>
      </w:r>
      <w:r w:rsidRPr="005B76A0">
        <w:rPr>
          <w:rFonts w:hint="eastAsia"/>
          <w:kern w:val="0"/>
        </w:rPr>
        <w:t>）</w:t>
      </w:r>
      <w:r w:rsidRPr="005B76A0">
        <w:rPr>
          <w:rFonts w:hint="eastAsia"/>
          <w:kern w:val="0"/>
        </w:rPr>
        <w:tab/>
      </w:r>
      <w:r w:rsidRPr="005B76A0">
        <w:rPr>
          <w:rFonts w:hint="eastAsia"/>
          <w:kern w:val="0"/>
        </w:rPr>
        <w:t>标准对照法；</w:t>
      </w:r>
    </w:p>
    <w:p w14:paraId="5E1E321D" w14:textId="77777777" w:rsidR="00DD666C" w:rsidRPr="005B76A0" w:rsidRDefault="00084B34">
      <w:pPr>
        <w:spacing w:line="360" w:lineRule="auto"/>
        <w:ind w:firstLineChars="200" w:firstLine="480"/>
        <w:rPr>
          <w:kern w:val="0"/>
        </w:rPr>
      </w:pPr>
      <w:r w:rsidRPr="005B76A0">
        <w:rPr>
          <w:rFonts w:hint="eastAsia"/>
          <w:kern w:val="0"/>
        </w:rPr>
        <w:t>b</w:t>
      </w:r>
      <w:r w:rsidRPr="005B76A0">
        <w:rPr>
          <w:rFonts w:hint="eastAsia"/>
          <w:kern w:val="0"/>
        </w:rPr>
        <w:t>）类比分析法；</w:t>
      </w:r>
    </w:p>
    <w:p w14:paraId="477572B4" w14:textId="77777777" w:rsidR="00DD666C" w:rsidRPr="005B76A0" w:rsidRDefault="00084B34">
      <w:pPr>
        <w:spacing w:line="360" w:lineRule="auto"/>
        <w:ind w:firstLineChars="200" w:firstLine="480"/>
        <w:rPr>
          <w:kern w:val="0"/>
        </w:rPr>
      </w:pPr>
      <w:r w:rsidRPr="005B76A0">
        <w:rPr>
          <w:rFonts w:hint="eastAsia"/>
          <w:kern w:val="0"/>
        </w:rPr>
        <w:t>c</w:t>
      </w:r>
      <w:r w:rsidRPr="005B76A0">
        <w:rPr>
          <w:rFonts w:hint="eastAsia"/>
          <w:kern w:val="0"/>
        </w:rPr>
        <w:t>）</w:t>
      </w:r>
      <w:r w:rsidRPr="005B76A0">
        <w:rPr>
          <w:rFonts w:hint="eastAsia"/>
          <w:kern w:val="0"/>
        </w:rPr>
        <w:tab/>
      </w:r>
      <w:r w:rsidRPr="005B76A0">
        <w:rPr>
          <w:rFonts w:hint="eastAsia"/>
          <w:kern w:val="0"/>
        </w:rPr>
        <w:t>专家打分法；</w:t>
      </w:r>
    </w:p>
    <w:p w14:paraId="7FBE3A01" w14:textId="77777777" w:rsidR="00DD666C" w:rsidRPr="005B76A0" w:rsidRDefault="00084B34">
      <w:pPr>
        <w:spacing w:line="360" w:lineRule="auto"/>
        <w:ind w:firstLineChars="200" w:firstLine="480"/>
        <w:rPr>
          <w:kern w:val="0"/>
        </w:rPr>
      </w:pPr>
      <w:r w:rsidRPr="005B76A0">
        <w:rPr>
          <w:rFonts w:hint="eastAsia"/>
          <w:kern w:val="0"/>
        </w:rPr>
        <w:t>d</w:t>
      </w:r>
      <w:r w:rsidRPr="005B76A0">
        <w:rPr>
          <w:rFonts w:hint="eastAsia"/>
          <w:kern w:val="0"/>
        </w:rPr>
        <w:t>）其他方法。</w:t>
      </w:r>
    </w:p>
    <w:p w14:paraId="3FC437AB" w14:textId="12ECD63C" w:rsidR="00DD666C" w:rsidRPr="005B76A0" w:rsidRDefault="007C24ED" w:rsidP="00F45026">
      <w:pPr>
        <w:pStyle w:val="3"/>
        <w:ind w:left="480"/>
      </w:pPr>
      <w:bookmarkStart w:id="8" w:name="_Toc23770168"/>
      <w:r w:rsidRPr="005B76A0">
        <w:t>3.</w:t>
      </w:r>
      <w:r w:rsidR="00084B34" w:rsidRPr="005B76A0">
        <w:rPr>
          <w:rFonts w:hint="eastAsia"/>
        </w:rPr>
        <w:t>5</w:t>
      </w:r>
      <w:r w:rsidR="00084B34" w:rsidRPr="005B76A0">
        <w:rPr>
          <w:rFonts w:hint="eastAsia"/>
        </w:rPr>
        <w:t>指标要求及来源</w:t>
      </w:r>
      <w:bookmarkEnd w:id="8"/>
    </w:p>
    <w:p w14:paraId="659865F9" w14:textId="1015A7B4" w:rsidR="00DD666C" w:rsidRPr="005B76A0" w:rsidRDefault="00091416" w:rsidP="008900F3">
      <w:pPr>
        <w:autoSpaceDE w:val="0"/>
        <w:autoSpaceDN w:val="0"/>
        <w:adjustRightInd w:val="0"/>
        <w:spacing w:line="440" w:lineRule="exact"/>
        <w:ind w:firstLineChars="200" w:firstLine="480"/>
        <w:rPr>
          <w:kern w:val="0"/>
        </w:rPr>
      </w:pPr>
      <w:r>
        <w:rPr>
          <w:rFonts w:hint="eastAsia"/>
          <w:kern w:val="0"/>
        </w:rPr>
        <w:t>燕窝制品</w:t>
      </w:r>
      <w:r w:rsidR="00084B34" w:rsidRPr="005B76A0">
        <w:rPr>
          <w:rFonts w:hint="eastAsia"/>
          <w:kern w:val="0"/>
        </w:rPr>
        <w:t>制造</w:t>
      </w:r>
      <w:r w:rsidR="00084B34" w:rsidRPr="005B76A0">
        <w:rPr>
          <w:kern w:val="0"/>
        </w:rPr>
        <w:t>业</w:t>
      </w:r>
      <w:r w:rsidR="00084B34" w:rsidRPr="005B76A0">
        <w:rPr>
          <w:rFonts w:hint="eastAsia"/>
          <w:kern w:val="0"/>
        </w:rPr>
        <w:t>绿色工厂评价指标参照《绿色工厂评价通则》（</w:t>
      </w:r>
      <w:r w:rsidR="00084B34" w:rsidRPr="005B76A0">
        <w:rPr>
          <w:rFonts w:hint="eastAsia"/>
          <w:kern w:val="0"/>
        </w:rPr>
        <w:t>GB/T 36132</w:t>
      </w:r>
      <w:r w:rsidR="00084B34" w:rsidRPr="005B76A0">
        <w:rPr>
          <w:rFonts w:hint="eastAsia"/>
          <w:kern w:val="0"/>
        </w:rPr>
        <w:t>）给出，并根据</w:t>
      </w:r>
      <w:r>
        <w:rPr>
          <w:rFonts w:hint="eastAsia"/>
          <w:kern w:val="0"/>
        </w:rPr>
        <w:t>燕窝制品</w:t>
      </w:r>
      <w:r w:rsidR="00084B34" w:rsidRPr="005B76A0">
        <w:rPr>
          <w:rFonts w:hint="eastAsia"/>
          <w:kern w:val="0"/>
        </w:rPr>
        <w:t>行业特点，删除了部分不适用指标，增加了</w:t>
      </w:r>
      <w:r>
        <w:rPr>
          <w:rFonts w:hint="eastAsia"/>
          <w:kern w:val="0"/>
        </w:rPr>
        <w:t>燕窝制品</w:t>
      </w:r>
      <w:r w:rsidR="00084B34" w:rsidRPr="005B76A0">
        <w:rPr>
          <w:rFonts w:hint="eastAsia"/>
          <w:kern w:val="0"/>
        </w:rPr>
        <w:t>制造</w:t>
      </w:r>
      <w:r w:rsidR="00084B34" w:rsidRPr="005B76A0">
        <w:rPr>
          <w:kern w:val="0"/>
        </w:rPr>
        <w:t>业</w:t>
      </w:r>
      <w:r w:rsidR="00084B34" w:rsidRPr="005B76A0">
        <w:rPr>
          <w:rFonts w:hint="eastAsia"/>
          <w:kern w:val="0"/>
        </w:rPr>
        <w:t>在绿色工厂创建过程中应满足的部分具有行业特点的指标。</w:t>
      </w:r>
      <w:r>
        <w:rPr>
          <w:rFonts w:hint="eastAsia"/>
          <w:kern w:val="0"/>
        </w:rPr>
        <w:t>燕窝制品</w:t>
      </w:r>
      <w:r w:rsidR="00084B34" w:rsidRPr="005B76A0">
        <w:rPr>
          <w:rFonts w:hint="eastAsia"/>
          <w:kern w:val="0"/>
        </w:rPr>
        <w:t>制造业绿色工厂评价指标的一级指标包括基本要求、基础设施、管理体系、能源资源投入、产品、环境排放和绩效等七类，每类一级指标又由若干个二级指标组成。</w:t>
      </w:r>
    </w:p>
    <w:p w14:paraId="74170837" w14:textId="21072CF2" w:rsidR="00451CB6" w:rsidRPr="005B76A0" w:rsidRDefault="00381175" w:rsidP="006611BB">
      <w:pPr>
        <w:autoSpaceDE w:val="0"/>
        <w:autoSpaceDN w:val="0"/>
        <w:adjustRightInd w:val="0"/>
        <w:spacing w:line="440" w:lineRule="exact"/>
        <w:ind w:firstLineChars="200" w:firstLine="480"/>
        <w:rPr>
          <w:kern w:val="0"/>
        </w:rPr>
      </w:pPr>
      <w:r w:rsidRPr="005B76A0">
        <w:rPr>
          <w:rFonts w:hint="eastAsia"/>
          <w:kern w:val="0"/>
        </w:rPr>
        <w:t>确定</w:t>
      </w:r>
      <w:r w:rsidR="00DF2716" w:rsidRPr="005B76A0">
        <w:rPr>
          <w:rFonts w:hint="eastAsia"/>
          <w:kern w:val="0"/>
        </w:rPr>
        <w:t>一级</w:t>
      </w:r>
      <w:r w:rsidR="006611BB" w:rsidRPr="005B76A0">
        <w:rPr>
          <w:rFonts w:hint="eastAsia"/>
          <w:kern w:val="0"/>
        </w:rPr>
        <w:t>指标权重</w:t>
      </w:r>
      <w:r w:rsidR="00C2692B" w:rsidRPr="005B76A0">
        <w:rPr>
          <w:rFonts w:hint="eastAsia"/>
          <w:kern w:val="0"/>
        </w:rPr>
        <w:t>时</w:t>
      </w:r>
      <w:r w:rsidR="006611BB" w:rsidRPr="005B76A0">
        <w:rPr>
          <w:rFonts w:hint="eastAsia"/>
          <w:kern w:val="0"/>
        </w:rPr>
        <w:t>，</w:t>
      </w:r>
      <w:r w:rsidR="00DF2716" w:rsidRPr="005B76A0">
        <w:rPr>
          <w:rFonts w:hint="eastAsia"/>
          <w:kern w:val="0"/>
        </w:rPr>
        <w:t>除基本要求</w:t>
      </w:r>
      <w:r w:rsidR="00C2692B" w:rsidRPr="005B76A0">
        <w:rPr>
          <w:kern w:val="0"/>
        </w:rPr>
        <w:t>采用一票否决制</w:t>
      </w:r>
      <w:r w:rsidR="00C2692B" w:rsidRPr="005B76A0">
        <w:rPr>
          <w:rFonts w:hint="eastAsia"/>
          <w:kern w:val="0"/>
        </w:rPr>
        <w:t>、</w:t>
      </w:r>
      <w:r w:rsidR="00C2692B" w:rsidRPr="005B76A0">
        <w:rPr>
          <w:kern w:val="0"/>
        </w:rPr>
        <w:t>应全部满足</w:t>
      </w:r>
      <w:r w:rsidR="00C2692B" w:rsidRPr="005B76A0">
        <w:rPr>
          <w:rFonts w:hint="eastAsia"/>
          <w:kern w:val="0"/>
        </w:rPr>
        <w:t>外，其余指标</w:t>
      </w:r>
      <w:r w:rsidR="00AD0A04" w:rsidRPr="005B76A0">
        <w:rPr>
          <w:rFonts w:hint="eastAsia"/>
          <w:kern w:val="0"/>
        </w:rPr>
        <w:t>基于</w:t>
      </w:r>
      <w:r w:rsidR="00451CB6" w:rsidRPr="005B76A0">
        <w:rPr>
          <w:rFonts w:hint="eastAsia"/>
          <w:kern w:val="0"/>
        </w:rPr>
        <w:t>政策背景</w:t>
      </w:r>
      <w:r w:rsidR="00C2692B" w:rsidRPr="005B76A0">
        <w:rPr>
          <w:rFonts w:hint="eastAsia"/>
          <w:kern w:val="0"/>
        </w:rPr>
        <w:t>和</w:t>
      </w:r>
      <w:r w:rsidR="00451CB6" w:rsidRPr="005B76A0">
        <w:rPr>
          <w:rFonts w:hint="eastAsia"/>
          <w:kern w:val="0"/>
        </w:rPr>
        <w:t>行业</w:t>
      </w:r>
      <w:r w:rsidR="006611BB" w:rsidRPr="005B76A0">
        <w:rPr>
          <w:rFonts w:hint="eastAsia"/>
          <w:kern w:val="0"/>
        </w:rPr>
        <w:t>特点</w:t>
      </w:r>
      <w:r w:rsidR="00C2692B" w:rsidRPr="005B76A0">
        <w:rPr>
          <w:rFonts w:hint="eastAsia"/>
          <w:kern w:val="0"/>
        </w:rPr>
        <w:t>进行分配</w:t>
      </w:r>
      <w:r w:rsidR="006611BB" w:rsidRPr="005B76A0">
        <w:rPr>
          <w:rFonts w:hint="eastAsia"/>
          <w:kern w:val="0"/>
        </w:rPr>
        <w:t>。</w:t>
      </w:r>
      <w:r w:rsidRPr="005B76A0">
        <w:rPr>
          <w:rFonts w:hint="eastAsia"/>
          <w:kern w:val="0"/>
        </w:rPr>
        <w:t>根据</w:t>
      </w:r>
      <w:r w:rsidR="00D31B7F" w:rsidRPr="005B76A0">
        <w:rPr>
          <w:rFonts w:hint="eastAsia"/>
          <w:kern w:val="0"/>
        </w:rPr>
        <w:t>绿色制造和</w:t>
      </w:r>
      <w:r w:rsidRPr="005B76A0">
        <w:rPr>
          <w:rFonts w:hint="eastAsia"/>
          <w:kern w:val="0"/>
        </w:rPr>
        <w:t>清洁生产</w:t>
      </w:r>
      <w:r w:rsidR="00D31B7F" w:rsidRPr="005B76A0">
        <w:rPr>
          <w:rFonts w:hint="eastAsia"/>
          <w:kern w:val="0"/>
        </w:rPr>
        <w:t>的</w:t>
      </w:r>
      <w:r w:rsidRPr="005B76A0">
        <w:rPr>
          <w:rFonts w:hint="eastAsia"/>
          <w:kern w:val="0"/>
        </w:rPr>
        <w:t>要求</w:t>
      </w:r>
      <w:r w:rsidR="00A01DE8" w:rsidRPr="005B76A0">
        <w:rPr>
          <w:rFonts w:hint="eastAsia"/>
          <w:kern w:val="0"/>
        </w:rPr>
        <w:t>，将基础设施占比定为</w:t>
      </w:r>
      <w:r w:rsidR="00A01DE8" w:rsidRPr="005B76A0">
        <w:rPr>
          <w:rFonts w:hint="eastAsia"/>
          <w:kern w:val="0"/>
        </w:rPr>
        <w:t>20%</w:t>
      </w:r>
      <w:r w:rsidR="00A01DE8" w:rsidRPr="005B76A0">
        <w:rPr>
          <w:rFonts w:hint="eastAsia"/>
          <w:kern w:val="0"/>
        </w:rPr>
        <w:t>、</w:t>
      </w:r>
      <w:r w:rsidR="009516FA" w:rsidRPr="005B76A0">
        <w:rPr>
          <w:rFonts w:hint="eastAsia"/>
          <w:kern w:val="0"/>
        </w:rPr>
        <w:t>管理体系定为</w:t>
      </w:r>
      <w:r w:rsidR="009516FA" w:rsidRPr="005B76A0">
        <w:rPr>
          <w:rFonts w:hint="eastAsia"/>
          <w:kern w:val="0"/>
        </w:rPr>
        <w:t>1</w:t>
      </w:r>
      <w:r w:rsidR="00B478F3" w:rsidRPr="005B76A0">
        <w:rPr>
          <w:kern w:val="0"/>
        </w:rPr>
        <w:t>5</w:t>
      </w:r>
      <w:r w:rsidR="009516FA" w:rsidRPr="005B76A0">
        <w:rPr>
          <w:rFonts w:hint="eastAsia"/>
          <w:kern w:val="0"/>
        </w:rPr>
        <w:t>%</w:t>
      </w:r>
      <w:r w:rsidR="009516FA" w:rsidRPr="005B76A0">
        <w:rPr>
          <w:rFonts w:hint="eastAsia"/>
          <w:kern w:val="0"/>
        </w:rPr>
        <w:t>、</w:t>
      </w:r>
      <w:r w:rsidR="00A01DE8" w:rsidRPr="005B76A0">
        <w:rPr>
          <w:rFonts w:hint="eastAsia"/>
          <w:kern w:val="0"/>
        </w:rPr>
        <w:t>能源与资源投入占比定为</w:t>
      </w:r>
      <w:r w:rsidR="00A01DE8" w:rsidRPr="005B76A0">
        <w:rPr>
          <w:rFonts w:hint="eastAsia"/>
          <w:kern w:val="0"/>
        </w:rPr>
        <w:t>15%</w:t>
      </w:r>
      <w:r w:rsidR="00A01DE8" w:rsidRPr="005B76A0">
        <w:rPr>
          <w:rFonts w:hint="eastAsia"/>
          <w:kern w:val="0"/>
        </w:rPr>
        <w:t>；</w:t>
      </w:r>
      <w:r w:rsidRPr="005B76A0">
        <w:rPr>
          <w:rFonts w:hint="eastAsia"/>
          <w:kern w:val="0"/>
        </w:rPr>
        <w:t>为响应</w:t>
      </w:r>
      <w:r w:rsidR="00A01DE8" w:rsidRPr="005B76A0">
        <w:rPr>
          <w:rFonts w:hint="eastAsia"/>
          <w:kern w:val="0"/>
        </w:rPr>
        <w:t>国家“碳达峰、碳中和”</w:t>
      </w:r>
      <w:r w:rsidR="00AD0A04" w:rsidRPr="005B76A0">
        <w:rPr>
          <w:rFonts w:hint="eastAsia"/>
          <w:kern w:val="0"/>
        </w:rPr>
        <w:t>政策</w:t>
      </w:r>
      <w:r w:rsidRPr="005B76A0">
        <w:rPr>
          <w:rFonts w:hint="eastAsia"/>
          <w:kern w:val="0"/>
        </w:rPr>
        <w:t>号召</w:t>
      </w:r>
      <w:r w:rsidR="00A01DE8" w:rsidRPr="005B76A0">
        <w:rPr>
          <w:rFonts w:hint="eastAsia"/>
          <w:kern w:val="0"/>
        </w:rPr>
        <w:t>，</w:t>
      </w:r>
      <w:r w:rsidR="00AD0A04" w:rsidRPr="005B76A0">
        <w:rPr>
          <w:rFonts w:hint="eastAsia"/>
          <w:kern w:val="0"/>
        </w:rPr>
        <w:t>重点考察产品综合能耗和碳排放情况，</w:t>
      </w:r>
      <w:r w:rsidR="00A3746E" w:rsidRPr="005B76A0">
        <w:rPr>
          <w:rFonts w:hint="eastAsia"/>
          <w:kern w:val="0"/>
        </w:rPr>
        <w:t>将</w:t>
      </w:r>
      <w:r w:rsidR="00A01DE8" w:rsidRPr="005B76A0">
        <w:rPr>
          <w:rFonts w:hint="eastAsia"/>
          <w:kern w:val="0"/>
        </w:rPr>
        <w:t>绩效占比设定为</w:t>
      </w:r>
      <w:r w:rsidR="00A01DE8" w:rsidRPr="005B76A0">
        <w:rPr>
          <w:rFonts w:hint="eastAsia"/>
          <w:kern w:val="0"/>
        </w:rPr>
        <w:t>3</w:t>
      </w:r>
      <w:r w:rsidR="00B478F3" w:rsidRPr="005B76A0">
        <w:rPr>
          <w:kern w:val="0"/>
        </w:rPr>
        <w:t>0</w:t>
      </w:r>
      <w:r w:rsidR="00A01DE8" w:rsidRPr="005B76A0">
        <w:rPr>
          <w:rFonts w:hint="eastAsia"/>
          <w:kern w:val="0"/>
        </w:rPr>
        <w:t>%</w:t>
      </w:r>
      <w:r w:rsidR="00A3746E" w:rsidRPr="005B76A0">
        <w:rPr>
          <w:rFonts w:hint="eastAsia"/>
          <w:kern w:val="0"/>
        </w:rPr>
        <w:t>；</w:t>
      </w:r>
      <w:r w:rsidR="00F04259">
        <w:rPr>
          <w:rFonts w:hint="eastAsia"/>
          <w:kern w:val="0"/>
        </w:rPr>
        <w:t>为保证食品安全、质量及营养成分达到标准要求，</w:t>
      </w:r>
      <w:r w:rsidR="00F04259" w:rsidRPr="00F04259">
        <w:rPr>
          <w:rFonts w:hint="eastAsia"/>
          <w:kern w:val="0"/>
        </w:rPr>
        <w:t>燕窝</w:t>
      </w:r>
      <w:r w:rsidR="00F04259">
        <w:rPr>
          <w:rFonts w:hint="eastAsia"/>
          <w:kern w:val="0"/>
        </w:rPr>
        <w:t>制品加工过程通常不使用有害物质，且无废气排放，工厂废气主要来自生活排放源，虽然废水排放量较大，但水体污染物浓度低</w:t>
      </w:r>
      <w:r w:rsidR="00A3746E" w:rsidRPr="00F04259">
        <w:rPr>
          <w:rFonts w:hint="eastAsia"/>
          <w:kern w:val="0"/>
        </w:rPr>
        <w:t>，</w:t>
      </w:r>
      <w:r w:rsidR="00A3746E" w:rsidRPr="005B76A0">
        <w:rPr>
          <w:rFonts w:hint="eastAsia"/>
          <w:kern w:val="0"/>
        </w:rPr>
        <w:t>因此</w:t>
      </w:r>
      <w:r w:rsidR="00D31B7F" w:rsidRPr="005B76A0">
        <w:rPr>
          <w:rFonts w:hint="eastAsia"/>
          <w:kern w:val="0"/>
        </w:rPr>
        <w:t>产品和</w:t>
      </w:r>
      <w:r w:rsidR="00A3746E" w:rsidRPr="005B76A0">
        <w:rPr>
          <w:rFonts w:hint="eastAsia"/>
          <w:kern w:val="0"/>
        </w:rPr>
        <w:t>环境排放</w:t>
      </w:r>
      <w:r w:rsidR="00B478F3" w:rsidRPr="005B76A0">
        <w:rPr>
          <w:rFonts w:hint="eastAsia"/>
          <w:kern w:val="0"/>
        </w:rPr>
        <w:t>两项指标权重</w:t>
      </w:r>
      <w:r w:rsidR="00D31B7F" w:rsidRPr="005B76A0">
        <w:rPr>
          <w:rFonts w:hint="eastAsia"/>
          <w:kern w:val="0"/>
        </w:rPr>
        <w:t>均</w:t>
      </w:r>
      <w:r w:rsidR="00A3746E" w:rsidRPr="005B76A0">
        <w:rPr>
          <w:rFonts w:hint="eastAsia"/>
          <w:kern w:val="0"/>
        </w:rPr>
        <w:t>设定为</w:t>
      </w:r>
      <w:r w:rsidR="00A3746E" w:rsidRPr="005B76A0">
        <w:rPr>
          <w:rFonts w:hint="eastAsia"/>
          <w:kern w:val="0"/>
        </w:rPr>
        <w:t>1</w:t>
      </w:r>
      <w:r w:rsidR="00A3746E" w:rsidRPr="005B76A0">
        <w:rPr>
          <w:kern w:val="0"/>
        </w:rPr>
        <w:t>0</w:t>
      </w:r>
      <w:r w:rsidR="00A3746E" w:rsidRPr="005B76A0">
        <w:rPr>
          <w:rFonts w:hint="eastAsia"/>
          <w:kern w:val="0"/>
        </w:rPr>
        <w:t>%</w:t>
      </w:r>
      <w:r w:rsidR="006F262D" w:rsidRPr="005B76A0">
        <w:rPr>
          <w:rFonts w:hint="eastAsia"/>
          <w:kern w:val="0"/>
        </w:rPr>
        <w:t>。</w:t>
      </w:r>
    </w:p>
    <w:p w14:paraId="228CECE8" w14:textId="77777777"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指标分为必选指标和可选指标，其中，必选指标为要求工厂应达到的基础性要求，必选指标不达标的不能评价为绿色工厂，可选指标为希望工厂努力达到的提高性要求，可选指标具有一定的先进性。</w:t>
      </w:r>
    </w:p>
    <w:p w14:paraId="136945E5" w14:textId="5007BCC7"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sz w:val="24"/>
        </w:rPr>
        <w:t xml:space="preserve">5.1  </w:t>
      </w:r>
      <w:r w:rsidR="00084B34" w:rsidRPr="005B76A0">
        <w:rPr>
          <w:rFonts w:ascii="Times New Roman" w:hAnsi="Times New Roman"/>
          <w:sz w:val="24"/>
        </w:rPr>
        <w:t>基本要求</w:t>
      </w:r>
    </w:p>
    <w:p w14:paraId="48AB0BDA" w14:textId="77777777"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基本要求具体包括：合规性要求、管理职责要求，全部为必选指标，且为一票否决指标。</w:t>
      </w:r>
    </w:p>
    <w:p w14:paraId="64F283BC" w14:textId="77777777"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合规性要求从符合法律法规、产业政策、依法排污、无事故证明、企业信用等方面对工厂进行了规定；管理职责要求从最高管理者领导作用和承诺、职责和权限分配、管理组织机构、中长期规划、教育与培训等方面进行了规定。</w:t>
      </w:r>
    </w:p>
    <w:p w14:paraId="46B49F75" w14:textId="3A03DFF3"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5.2  </w:t>
      </w:r>
      <w:r w:rsidR="00084B34" w:rsidRPr="005B76A0">
        <w:rPr>
          <w:rFonts w:ascii="Times New Roman" w:hAnsi="Times New Roman" w:hint="eastAsia"/>
          <w:sz w:val="24"/>
        </w:rPr>
        <w:t>基础设施</w:t>
      </w:r>
    </w:p>
    <w:p w14:paraId="1A563561" w14:textId="0F69F629"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基础设施要求包括建筑设施、</w:t>
      </w:r>
      <w:r w:rsidR="00124314">
        <w:rPr>
          <w:rFonts w:hint="eastAsia"/>
          <w:kern w:val="0"/>
        </w:rPr>
        <w:t>照明设施、</w:t>
      </w:r>
      <w:r w:rsidRPr="005B76A0">
        <w:rPr>
          <w:rFonts w:hint="eastAsia"/>
          <w:kern w:val="0"/>
        </w:rPr>
        <w:t>专用设备设施、通用设备设施、</w:t>
      </w:r>
      <w:r w:rsidRPr="005B76A0">
        <w:rPr>
          <w:rFonts w:hint="eastAsia"/>
          <w:kern w:val="0"/>
        </w:rPr>
        <w:lastRenderedPageBreak/>
        <w:t>计量设施、污染物处理设备设施六方面的评价指标</w:t>
      </w:r>
      <w:r w:rsidR="00B478F3" w:rsidRPr="005B76A0">
        <w:rPr>
          <w:rFonts w:hint="eastAsia"/>
          <w:kern w:val="0"/>
        </w:rPr>
        <w:t>，其中，设备设施</w:t>
      </w:r>
      <w:r w:rsidR="00D93C41" w:rsidRPr="005B76A0">
        <w:rPr>
          <w:rFonts w:hint="eastAsia"/>
          <w:kern w:val="0"/>
        </w:rPr>
        <w:t>指标</w:t>
      </w:r>
      <w:r w:rsidR="00B478F3" w:rsidRPr="005B76A0">
        <w:rPr>
          <w:rFonts w:hint="eastAsia"/>
          <w:kern w:val="0"/>
        </w:rPr>
        <w:t>根据</w:t>
      </w:r>
      <w:r w:rsidR="00091416">
        <w:rPr>
          <w:rFonts w:hint="eastAsia"/>
          <w:kern w:val="0"/>
        </w:rPr>
        <w:t>燕窝制品</w:t>
      </w:r>
      <w:r w:rsidR="00D93C41" w:rsidRPr="005B76A0">
        <w:rPr>
          <w:rFonts w:hint="eastAsia"/>
          <w:kern w:val="0"/>
        </w:rPr>
        <w:t>企业的</w:t>
      </w:r>
      <w:r w:rsidR="00B478F3" w:rsidRPr="005B76A0">
        <w:rPr>
          <w:rFonts w:hint="eastAsia"/>
          <w:kern w:val="0"/>
        </w:rPr>
        <w:t>实际</w:t>
      </w:r>
      <w:r w:rsidR="00EA3C41" w:rsidRPr="005B76A0">
        <w:rPr>
          <w:rFonts w:hint="eastAsia"/>
          <w:kern w:val="0"/>
        </w:rPr>
        <w:t>生产</w:t>
      </w:r>
      <w:r w:rsidR="00B478F3" w:rsidRPr="005B76A0">
        <w:rPr>
          <w:rFonts w:hint="eastAsia"/>
          <w:kern w:val="0"/>
        </w:rPr>
        <w:t>情况</w:t>
      </w:r>
      <w:r w:rsidR="00D93C41" w:rsidRPr="005B76A0">
        <w:rPr>
          <w:rFonts w:hint="eastAsia"/>
          <w:kern w:val="0"/>
        </w:rPr>
        <w:t>设定</w:t>
      </w:r>
      <w:r w:rsidR="00182A68">
        <w:rPr>
          <w:rFonts w:hint="eastAsia"/>
          <w:kern w:val="0"/>
        </w:rPr>
        <w:t>，</w:t>
      </w:r>
      <w:r w:rsidR="00182A68">
        <w:rPr>
          <w:rFonts w:hint="eastAsia"/>
        </w:rPr>
        <w:t>燕窝制品</w:t>
      </w:r>
      <w:r w:rsidR="00182A68">
        <w:t>生产通用用能设备包括但不局限于</w:t>
      </w:r>
      <w:r w:rsidR="00182A68">
        <w:rPr>
          <w:rFonts w:hint="eastAsia"/>
        </w:rPr>
        <w:t>灌装机、杀菌设备、传送设备、</w:t>
      </w:r>
      <w:r w:rsidR="00182A68">
        <w:t>配电设备、空调系统等</w:t>
      </w:r>
      <w:r w:rsidR="00182A68">
        <w:rPr>
          <w:rFonts w:hint="eastAsia"/>
        </w:rPr>
        <w:t>。</w:t>
      </w:r>
    </w:p>
    <w:p w14:paraId="784A96F6" w14:textId="41B3361C"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5.3  </w:t>
      </w:r>
      <w:r w:rsidR="00084B34" w:rsidRPr="005B76A0">
        <w:rPr>
          <w:rFonts w:ascii="Times New Roman" w:hAnsi="Times New Roman" w:hint="eastAsia"/>
          <w:sz w:val="24"/>
        </w:rPr>
        <w:t>管理体系</w:t>
      </w:r>
    </w:p>
    <w:p w14:paraId="608E5B91" w14:textId="00594401" w:rsidR="00DD666C" w:rsidRPr="005B76A0" w:rsidRDefault="00084B34" w:rsidP="002D558A">
      <w:pPr>
        <w:autoSpaceDE w:val="0"/>
        <w:autoSpaceDN w:val="0"/>
        <w:adjustRightInd w:val="0"/>
        <w:spacing w:line="440" w:lineRule="exact"/>
        <w:ind w:firstLineChars="200" w:firstLine="480"/>
        <w:jc w:val="left"/>
        <w:rPr>
          <w:kern w:val="0"/>
        </w:rPr>
      </w:pPr>
      <w:r w:rsidRPr="005B76A0">
        <w:rPr>
          <w:rFonts w:hint="eastAsia"/>
          <w:kern w:val="0"/>
        </w:rPr>
        <w:t>管理体系指标具体包括</w:t>
      </w:r>
      <w:r w:rsidR="0020194A" w:rsidRPr="005B76A0">
        <w:rPr>
          <w:rFonts w:hint="eastAsia"/>
          <w:kern w:val="0"/>
        </w:rPr>
        <w:t>质量管理体系、职业健康安全管理体系、</w:t>
      </w:r>
      <w:r w:rsidRPr="005B76A0">
        <w:rPr>
          <w:rFonts w:hint="eastAsia"/>
          <w:kern w:val="0"/>
        </w:rPr>
        <w:t>环境管理体系、能源管理体系、</w:t>
      </w:r>
      <w:r w:rsidR="0020194A" w:rsidRPr="005B76A0">
        <w:rPr>
          <w:rFonts w:hint="eastAsia"/>
          <w:kern w:val="0"/>
        </w:rPr>
        <w:t>社会责任</w:t>
      </w:r>
      <w:r w:rsidRPr="005B76A0">
        <w:rPr>
          <w:rFonts w:hint="eastAsia"/>
          <w:kern w:val="0"/>
        </w:rPr>
        <w:t>等</w:t>
      </w:r>
      <w:r w:rsidR="005E59CD" w:rsidRPr="005B76A0">
        <w:rPr>
          <w:rFonts w:hint="eastAsia"/>
          <w:kern w:val="0"/>
        </w:rPr>
        <w:t>。</w:t>
      </w:r>
      <w:r w:rsidRPr="005B76A0">
        <w:rPr>
          <w:rFonts w:hint="eastAsia"/>
          <w:kern w:val="0"/>
        </w:rPr>
        <w:t>必选指标为工厂应建立、实施并保持</w:t>
      </w:r>
      <w:r w:rsidR="005E59CD" w:rsidRPr="005B76A0">
        <w:rPr>
          <w:rFonts w:hint="eastAsia"/>
          <w:kern w:val="0"/>
        </w:rPr>
        <w:t>符合前四种</w:t>
      </w:r>
      <w:r w:rsidRPr="005B76A0">
        <w:rPr>
          <w:rFonts w:hint="eastAsia"/>
          <w:kern w:val="0"/>
        </w:rPr>
        <w:t>管理体系</w:t>
      </w:r>
      <w:r w:rsidR="005E59CD" w:rsidRPr="005B76A0">
        <w:rPr>
          <w:rFonts w:hint="eastAsia"/>
          <w:kern w:val="0"/>
        </w:rPr>
        <w:t>；</w:t>
      </w:r>
      <w:r w:rsidRPr="005B76A0">
        <w:rPr>
          <w:rFonts w:hint="eastAsia"/>
          <w:kern w:val="0"/>
        </w:rPr>
        <w:t>可选指标为工厂通过上述</w:t>
      </w:r>
      <w:r w:rsidR="005E59CD" w:rsidRPr="005B76A0">
        <w:rPr>
          <w:rFonts w:hint="eastAsia"/>
          <w:kern w:val="0"/>
        </w:rPr>
        <w:t>前四种</w:t>
      </w:r>
      <w:r w:rsidRPr="005B76A0">
        <w:rPr>
          <w:rFonts w:hint="eastAsia"/>
          <w:kern w:val="0"/>
        </w:rPr>
        <w:t>管理体系的第三方机构认证并有效运行，</w:t>
      </w:r>
      <w:r w:rsidR="005E59CD" w:rsidRPr="005B76A0">
        <w:rPr>
          <w:kern w:val="0"/>
        </w:rPr>
        <w:t>建立、实施并保持符合</w:t>
      </w:r>
      <w:r w:rsidR="005E59CD" w:rsidRPr="005B76A0">
        <w:rPr>
          <w:rFonts w:hint="eastAsia"/>
          <w:kern w:val="0"/>
        </w:rPr>
        <w:t>社会责任</w:t>
      </w:r>
      <w:r w:rsidR="005E59CD" w:rsidRPr="005B76A0">
        <w:rPr>
          <w:kern w:val="0"/>
        </w:rPr>
        <w:t>管理体系</w:t>
      </w:r>
      <w:r w:rsidR="002D558A" w:rsidRPr="005B76A0">
        <w:rPr>
          <w:rFonts w:hint="eastAsia"/>
          <w:kern w:val="0"/>
        </w:rPr>
        <w:t>，</w:t>
      </w:r>
      <w:r w:rsidR="005E59CD" w:rsidRPr="005B76A0">
        <w:rPr>
          <w:rFonts w:hint="eastAsia"/>
          <w:kern w:val="0"/>
        </w:rPr>
        <w:t>每年发布社会责任报告，说明履行利益相关方责任的情况</w:t>
      </w:r>
      <w:r w:rsidRPr="005B76A0">
        <w:rPr>
          <w:rFonts w:hint="eastAsia"/>
          <w:kern w:val="0"/>
        </w:rPr>
        <w:t>。</w:t>
      </w:r>
    </w:p>
    <w:p w14:paraId="505BC1C9" w14:textId="584C8DCA" w:rsidR="00DD666C" w:rsidRPr="005B76A0" w:rsidRDefault="00084B34" w:rsidP="00222CD6">
      <w:pPr>
        <w:pStyle w:val="4"/>
        <w:numPr>
          <w:ilvl w:val="2"/>
          <w:numId w:val="19"/>
        </w:numPr>
        <w:spacing w:before="0" w:after="0" w:line="377" w:lineRule="auto"/>
        <w:rPr>
          <w:rFonts w:ascii="Times New Roman" w:hAnsi="Times New Roman"/>
          <w:sz w:val="24"/>
        </w:rPr>
      </w:pPr>
      <w:r w:rsidRPr="005B76A0">
        <w:rPr>
          <w:rFonts w:ascii="Times New Roman" w:hAnsi="Times New Roman" w:hint="eastAsia"/>
          <w:sz w:val="24"/>
        </w:rPr>
        <w:t xml:space="preserve"> </w:t>
      </w:r>
      <w:r w:rsidRPr="005B76A0">
        <w:rPr>
          <w:rFonts w:ascii="Times New Roman" w:hAnsi="Times New Roman" w:hint="eastAsia"/>
          <w:sz w:val="24"/>
        </w:rPr>
        <w:t>能源与资源投入</w:t>
      </w:r>
    </w:p>
    <w:p w14:paraId="08183435" w14:textId="0839F60A" w:rsidR="00354CAF" w:rsidRDefault="00084B34" w:rsidP="00354CAF">
      <w:pPr>
        <w:autoSpaceDE w:val="0"/>
        <w:autoSpaceDN w:val="0"/>
        <w:adjustRightInd w:val="0"/>
        <w:spacing w:line="440" w:lineRule="exact"/>
        <w:ind w:firstLineChars="200" w:firstLine="480"/>
        <w:rPr>
          <w:kern w:val="0"/>
        </w:rPr>
      </w:pPr>
      <w:r w:rsidRPr="005B76A0">
        <w:rPr>
          <w:rFonts w:hint="eastAsia"/>
          <w:kern w:val="0"/>
        </w:rPr>
        <w:t>能源与资源投入指标具体包括能源投入、资源投入和采购等三个指标。能源投入、资源投入和采购的具体要求均以《绿色工厂评价通则》（</w:t>
      </w:r>
      <w:r w:rsidRPr="005B76A0">
        <w:rPr>
          <w:rFonts w:hint="eastAsia"/>
          <w:kern w:val="0"/>
        </w:rPr>
        <w:t>GB/T 36132</w:t>
      </w:r>
      <w:r w:rsidRPr="005B76A0">
        <w:rPr>
          <w:rFonts w:hint="eastAsia"/>
          <w:kern w:val="0"/>
        </w:rPr>
        <w:t>）中的内容为基础，结合</w:t>
      </w:r>
      <w:r w:rsidR="00091416">
        <w:rPr>
          <w:rFonts w:hint="eastAsia"/>
          <w:kern w:val="0"/>
        </w:rPr>
        <w:t>燕窝制品</w:t>
      </w:r>
      <w:r w:rsidRPr="005B76A0">
        <w:rPr>
          <w:rFonts w:hint="eastAsia"/>
          <w:kern w:val="0"/>
        </w:rPr>
        <w:t>制造业特点</w:t>
      </w:r>
      <w:r w:rsidR="0075034A" w:rsidRPr="005B76A0">
        <w:rPr>
          <w:rFonts w:hint="eastAsia"/>
          <w:kern w:val="0"/>
        </w:rPr>
        <w:t>进行确定</w:t>
      </w:r>
      <w:r w:rsidRPr="005B76A0">
        <w:rPr>
          <w:rFonts w:hint="eastAsia"/>
          <w:kern w:val="0"/>
        </w:rPr>
        <w:t>。</w:t>
      </w:r>
    </w:p>
    <w:p w14:paraId="395F8964" w14:textId="309AB5E9" w:rsidR="008601A3" w:rsidRDefault="00A24964" w:rsidP="00A24964">
      <w:pPr>
        <w:autoSpaceDE w:val="0"/>
        <w:autoSpaceDN w:val="0"/>
        <w:adjustRightInd w:val="0"/>
        <w:spacing w:line="440" w:lineRule="exact"/>
        <w:ind w:firstLineChars="200" w:firstLine="480"/>
        <w:rPr>
          <w:kern w:val="0"/>
        </w:rPr>
      </w:pPr>
      <w:r w:rsidRPr="00A24964">
        <w:rPr>
          <w:rFonts w:hint="eastAsia"/>
        </w:rPr>
        <w:t>市场现有燕窝产品的包装主要有金属、玻璃和塑料三种材质，燕窝制品加工企业所用包装通常由供应商生产提供，在产品灌装过程中部分包装会被弃用，弃用原因包括供应商供货不合格（存在黑点等外观不良情况）、运输磕碰或产线调试导致包装变形等，不符合要求的塑料包装可交还供应商回收再利用</w:t>
      </w:r>
      <w:r>
        <w:rPr>
          <w:rFonts w:hint="eastAsia"/>
        </w:rPr>
        <w:t>。</w:t>
      </w:r>
      <w:r>
        <w:rPr>
          <w:rFonts w:hint="eastAsia"/>
          <w:color w:val="000000"/>
        </w:rPr>
        <w:t>为了考察工厂在资源节约和产线管控方面的绿色化水平，选取包装损耗率为评价指标（仅指非供应商供货质量导致的包装损耗）</w:t>
      </w:r>
      <w:r w:rsidR="007D274B">
        <w:rPr>
          <w:rFonts w:hint="eastAsia"/>
        </w:rPr>
        <w:t>，调研的工厂数据见表</w:t>
      </w:r>
      <w:r w:rsidR="007D274B">
        <w:rPr>
          <w:rFonts w:hint="eastAsia"/>
        </w:rPr>
        <w:t>1</w:t>
      </w:r>
      <w:r w:rsidR="007D274B">
        <w:rPr>
          <w:rFonts w:hint="eastAsia"/>
        </w:rPr>
        <w:t>，其中，产品年产量以</w:t>
      </w:r>
      <w:r w:rsidR="007D274B" w:rsidRPr="007D274B">
        <w:rPr>
          <w:rFonts w:hint="eastAsia"/>
        </w:rPr>
        <w:t>产品净含量计</w:t>
      </w:r>
      <w:r w:rsidR="007D274B">
        <w:rPr>
          <w:rFonts w:hint="eastAsia"/>
        </w:rPr>
        <w:t>，</w:t>
      </w:r>
      <w:r w:rsidR="007D274B" w:rsidRPr="007D274B">
        <w:rPr>
          <w:rFonts w:hint="eastAsia"/>
        </w:rPr>
        <w:t>不含包装</w:t>
      </w:r>
      <w:r w:rsidR="007D274B">
        <w:rPr>
          <w:rFonts w:hint="eastAsia"/>
        </w:rPr>
        <w:t>。</w:t>
      </w:r>
      <w:r w:rsidRPr="00A24964">
        <w:rPr>
          <w:rFonts w:hint="eastAsia"/>
        </w:rPr>
        <w:t>由于燕窝产品价值较高，单次生产批量相对较小，品类较多的工厂产线切换频繁，会导致机台调试造成的包装损耗增加，为</w:t>
      </w:r>
      <w:r w:rsidR="00AF00FB">
        <w:rPr>
          <w:rFonts w:hint="eastAsia"/>
        </w:rPr>
        <w:t>保证</w:t>
      </w:r>
      <w:r w:rsidRPr="00A24964">
        <w:rPr>
          <w:rFonts w:hint="eastAsia"/>
        </w:rPr>
        <w:t>标准</w:t>
      </w:r>
      <w:r w:rsidR="001B0588">
        <w:rPr>
          <w:rFonts w:hint="eastAsia"/>
        </w:rPr>
        <w:t>的领先性</w:t>
      </w:r>
      <w:r w:rsidR="00D91950">
        <w:rPr>
          <w:rFonts w:hint="eastAsia"/>
        </w:rPr>
        <w:t>和适用性</w:t>
      </w:r>
      <w:r>
        <w:rPr>
          <w:rFonts w:hint="eastAsia"/>
        </w:rPr>
        <w:t>，</w:t>
      </w:r>
      <w:r w:rsidR="001B0588">
        <w:rPr>
          <w:rFonts w:hint="eastAsia"/>
        </w:rPr>
        <w:t>基准值和先进值</w:t>
      </w:r>
      <w:r w:rsidRPr="00A24964">
        <w:rPr>
          <w:rFonts w:hint="eastAsia"/>
        </w:rPr>
        <w:t>主要参考品类完整、产能健全的龙头企业生产数据</w:t>
      </w:r>
      <w:r w:rsidR="00D91950">
        <w:rPr>
          <w:rFonts w:hint="eastAsia"/>
          <w:kern w:val="0"/>
        </w:rPr>
        <w:t>，</w:t>
      </w:r>
      <w:r w:rsidR="00AF00FB">
        <w:rPr>
          <w:rFonts w:hint="eastAsia"/>
          <w:kern w:val="0"/>
        </w:rPr>
        <w:t>其中，先进值的设定</w:t>
      </w:r>
      <w:r w:rsidR="00D91950">
        <w:rPr>
          <w:rFonts w:hint="eastAsia"/>
          <w:kern w:val="0"/>
        </w:rPr>
        <w:t>充分考虑产线优化</w:t>
      </w:r>
      <w:r w:rsidR="00AF00FB">
        <w:rPr>
          <w:rFonts w:hint="eastAsia"/>
          <w:kern w:val="0"/>
        </w:rPr>
        <w:t>程度</w:t>
      </w:r>
      <w:r w:rsidR="00754B5C">
        <w:rPr>
          <w:rFonts w:hint="eastAsia"/>
          <w:kern w:val="0"/>
        </w:rPr>
        <w:t>，</w:t>
      </w:r>
      <w:r w:rsidR="00AF00FB">
        <w:rPr>
          <w:rFonts w:hint="eastAsia"/>
          <w:kern w:val="0"/>
        </w:rPr>
        <w:t>以</w:t>
      </w:r>
      <w:r w:rsidR="00754B5C">
        <w:rPr>
          <w:rFonts w:hint="eastAsia"/>
          <w:kern w:val="0"/>
        </w:rPr>
        <w:t>行业前</w:t>
      </w:r>
      <w:r w:rsidR="00754B5C">
        <w:rPr>
          <w:rFonts w:hint="eastAsia"/>
          <w:kern w:val="0"/>
        </w:rPr>
        <w:t>5%</w:t>
      </w:r>
      <w:r w:rsidR="00AF00FB">
        <w:rPr>
          <w:rFonts w:hint="eastAsia"/>
          <w:kern w:val="0"/>
        </w:rPr>
        <w:t>的工厂可达标作为</w:t>
      </w:r>
      <w:r w:rsidR="00754B5C">
        <w:rPr>
          <w:rFonts w:hint="eastAsia"/>
          <w:kern w:val="0"/>
        </w:rPr>
        <w:t>限额</w:t>
      </w:r>
      <w:r w:rsidR="00D91950">
        <w:rPr>
          <w:rFonts w:hint="eastAsia"/>
          <w:kern w:val="0"/>
        </w:rPr>
        <w:t>。</w:t>
      </w:r>
    </w:p>
    <w:p w14:paraId="55DB6234" w14:textId="3B125454" w:rsidR="00354CAF" w:rsidRDefault="00377DF3" w:rsidP="00377DF3">
      <w:pPr>
        <w:pStyle w:val="af"/>
        <w:jc w:val="center"/>
        <w:rPr>
          <w:rFonts w:ascii="Times New Roman"/>
          <w:color w:val="000000"/>
          <w:sz w:val="24"/>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567055">
        <w:rPr>
          <w:noProof/>
        </w:rPr>
        <w:t>1</w:t>
      </w:r>
      <w:r>
        <w:fldChar w:fldCharType="end"/>
      </w:r>
      <w:r>
        <w:rPr>
          <w:rFonts w:hint="eastAsia"/>
        </w:rPr>
        <w:t xml:space="preserve"> </w:t>
      </w:r>
      <w:r w:rsidR="00354CAF">
        <w:rPr>
          <w:rFonts w:ascii="Times New Roman"/>
          <w:color w:val="000000"/>
        </w:rPr>
        <w:t>燕窝制品</w:t>
      </w:r>
      <w:r w:rsidR="00354CAF">
        <w:rPr>
          <w:rFonts w:ascii="Times New Roman" w:hint="eastAsia"/>
          <w:color w:val="000000"/>
        </w:rPr>
        <w:t>包装材料损耗</w:t>
      </w:r>
      <w:r w:rsidR="00354CAF">
        <w:rPr>
          <w:rFonts w:ascii="Times New Roman"/>
          <w:color w:val="000000"/>
        </w:rPr>
        <w:t>情况</w:t>
      </w:r>
      <w:r w:rsidR="00354CAF">
        <w:rPr>
          <w:rFonts w:ascii="Times New Roman" w:hint="eastAsia"/>
          <w:color w:val="000000"/>
        </w:rPr>
        <w:t>调研数据汇总</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9"/>
        <w:gridCol w:w="1115"/>
        <w:gridCol w:w="1151"/>
        <w:gridCol w:w="1134"/>
        <w:gridCol w:w="1175"/>
        <w:gridCol w:w="1072"/>
      </w:tblGrid>
      <w:tr w:rsidR="00354CAF" w:rsidRPr="00FF6132" w14:paraId="1D17E05C" w14:textId="77777777" w:rsidTr="0020194A">
        <w:trPr>
          <w:cantSplit/>
          <w:trHeight w:val="332"/>
          <w:jc w:val="center"/>
        </w:trPr>
        <w:tc>
          <w:tcPr>
            <w:tcW w:w="1555" w:type="pct"/>
            <w:vAlign w:val="center"/>
          </w:tcPr>
          <w:p w14:paraId="5C534613" w14:textId="77777777" w:rsidR="00354CAF" w:rsidRPr="00FF6132" w:rsidRDefault="00354CAF" w:rsidP="00AD2D45">
            <w:pPr>
              <w:pStyle w:val="af2"/>
              <w:widowControl/>
              <w:adjustRightInd w:val="0"/>
              <w:spacing w:line="320" w:lineRule="exact"/>
              <w:ind w:firstLine="0"/>
              <w:jc w:val="center"/>
              <w:rPr>
                <w:rFonts w:ascii="Times New Roman" w:eastAsiaTheme="minorEastAsia"/>
                <w:sz w:val="21"/>
                <w:szCs w:val="21"/>
              </w:rPr>
            </w:pPr>
            <w:r w:rsidRPr="00FF6132">
              <w:rPr>
                <w:rFonts w:ascii="Times New Roman" w:eastAsiaTheme="minorEastAsia"/>
                <w:sz w:val="21"/>
                <w:szCs w:val="21"/>
              </w:rPr>
              <w:t>工厂编号</w:t>
            </w:r>
          </w:p>
        </w:tc>
        <w:tc>
          <w:tcPr>
            <w:tcW w:w="680" w:type="pct"/>
            <w:vAlign w:val="center"/>
          </w:tcPr>
          <w:p w14:paraId="01B427F0" w14:textId="77777777" w:rsidR="00354CAF" w:rsidRPr="00FF6132" w:rsidRDefault="00354CAF" w:rsidP="00AD2D45">
            <w:pPr>
              <w:pStyle w:val="af2"/>
              <w:widowControl/>
              <w:adjustRightInd w:val="0"/>
              <w:spacing w:line="320" w:lineRule="exact"/>
              <w:ind w:firstLine="0"/>
              <w:jc w:val="center"/>
              <w:rPr>
                <w:rFonts w:ascii="Times New Roman" w:eastAsiaTheme="minorEastAsia"/>
                <w:color w:val="000000"/>
                <w:sz w:val="21"/>
                <w:szCs w:val="21"/>
              </w:rPr>
            </w:pPr>
            <w:r w:rsidRPr="00FF6132">
              <w:rPr>
                <w:rFonts w:ascii="Times New Roman" w:eastAsiaTheme="minorEastAsia"/>
                <w:sz w:val="21"/>
                <w:szCs w:val="21"/>
              </w:rPr>
              <w:t>#1</w:t>
            </w:r>
          </w:p>
        </w:tc>
        <w:tc>
          <w:tcPr>
            <w:tcW w:w="702" w:type="pct"/>
            <w:vAlign w:val="center"/>
          </w:tcPr>
          <w:p w14:paraId="776CDE47" w14:textId="77777777" w:rsidR="00354CAF" w:rsidRPr="00FF6132" w:rsidRDefault="00354CAF" w:rsidP="00AD2D45">
            <w:pPr>
              <w:widowControl/>
              <w:adjustRightInd w:val="0"/>
              <w:spacing w:line="320" w:lineRule="exact"/>
              <w:jc w:val="center"/>
              <w:rPr>
                <w:rFonts w:eastAsiaTheme="minorEastAsia"/>
                <w:sz w:val="21"/>
                <w:szCs w:val="21"/>
              </w:rPr>
            </w:pPr>
            <w:r w:rsidRPr="00FF6132">
              <w:rPr>
                <w:rFonts w:eastAsiaTheme="minorEastAsia"/>
                <w:sz w:val="21"/>
                <w:szCs w:val="21"/>
              </w:rPr>
              <w:t>#2</w:t>
            </w:r>
          </w:p>
        </w:tc>
        <w:tc>
          <w:tcPr>
            <w:tcW w:w="692" w:type="pct"/>
            <w:vAlign w:val="center"/>
          </w:tcPr>
          <w:p w14:paraId="26983D90" w14:textId="77777777" w:rsidR="00354CAF" w:rsidRPr="00FF6132" w:rsidRDefault="00354CAF" w:rsidP="00AD2D45">
            <w:pPr>
              <w:widowControl/>
              <w:adjustRightInd w:val="0"/>
              <w:spacing w:line="320" w:lineRule="exact"/>
              <w:jc w:val="center"/>
              <w:rPr>
                <w:rFonts w:eastAsiaTheme="minorEastAsia"/>
                <w:sz w:val="21"/>
                <w:szCs w:val="21"/>
              </w:rPr>
            </w:pPr>
            <w:r w:rsidRPr="00FF6132">
              <w:rPr>
                <w:rFonts w:eastAsiaTheme="minorEastAsia"/>
                <w:sz w:val="21"/>
                <w:szCs w:val="21"/>
              </w:rPr>
              <w:t>#3</w:t>
            </w:r>
          </w:p>
        </w:tc>
        <w:tc>
          <w:tcPr>
            <w:tcW w:w="717" w:type="pct"/>
            <w:vAlign w:val="center"/>
          </w:tcPr>
          <w:p w14:paraId="397E79C8" w14:textId="77777777" w:rsidR="00354CAF" w:rsidRPr="00FF6132" w:rsidRDefault="00354CAF" w:rsidP="00AD2D45">
            <w:pPr>
              <w:widowControl/>
              <w:adjustRightInd w:val="0"/>
              <w:spacing w:line="320" w:lineRule="exact"/>
              <w:jc w:val="center"/>
              <w:rPr>
                <w:rFonts w:eastAsiaTheme="minorEastAsia"/>
                <w:sz w:val="21"/>
                <w:szCs w:val="21"/>
              </w:rPr>
            </w:pPr>
            <w:r w:rsidRPr="00FF6132">
              <w:rPr>
                <w:rFonts w:eastAsiaTheme="minorEastAsia"/>
                <w:sz w:val="21"/>
                <w:szCs w:val="21"/>
              </w:rPr>
              <w:t>#6</w:t>
            </w:r>
          </w:p>
        </w:tc>
        <w:tc>
          <w:tcPr>
            <w:tcW w:w="654" w:type="pct"/>
            <w:vAlign w:val="center"/>
          </w:tcPr>
          <w:p w14:paraId="4412B789" w14:textId="77777777" w:rsidR="00354CAF" w:rsidRPr="00FF6132" w:rsidRDefault="00354CAF" w:rsidP="00AD2D45">
            <w:pPr>
              <w:widowControl/>
              <w:adjustRightInd w:val="0"/>
              <w:spacing w:line="320" w:lineRule="exact"/>
              <w:jc w:val="center"/>
              <w:rPr>
                <w:rFonts w:eastAsiaTheme="minorEastAsia"/>
                <w:sz w:val="21"/>
                <w:szCs w:val="21"/>
              </w:rPr>
            </w:pPr>
            <w:r w:rsidRPr="00FF6132">
              <w:rPr>
                <w:rFonts w:eastAsiaTheme="minorEastAsia"/>
                <w:sz w:val="21"/>
                <w:szCs w:val="21"/>
              </w:rPr>
              <w:t>#8</w:t>
            </w:r>
          </w:p>
        </w:tc>
      </w:tr>
      <w:tr w:rsidR="00354CAF" w:rsidRPr="00FF6132" w14:paraId="13A1D0C4" w14:textId="77777777" w:rsidTr="0020194A">
        <w:trPr>
          <w:cantSplit/>
          <w:trHeight w:val="90"/>
          <w:jc w:val="center"/>
        </w:trPr>
        <w:tc>
          <w:tcPr>
            <w:tcW w:w="1555" w:type="pct"/>
            <w:vAlign w:val="center"/>
          </w:tcPr>
          <w:p w14:paraId="3806D7E1" w14:textId="77777777" w:rsidR="00354CAF" w:rsidRPr="00FF6132" w:rsidRDefault="00354CAF" w:rsidP="00AD2D45">
            <w:pPr>
              <w:adjustRightInd w:val="0"/>
              <w:jc w:val="center"/>
              <w:rPr>
                <w:rFonts w:eastAsiaTheme="minorEastAsia"/>
                <w:color w:val="000000"/>
                <w:sz w:val="21"/>
                <w:szCs w:val="21"/>
              </w:rPr>
            </w:pPr>
            <w:r w:rsidRPr="00FF6132">
              <w:rPr>
                <w:rFonts w:eastAsiaTheme="minorEastAsia"/>
                <w:sz w:val="21"/>
                <w:szCs w:val="21"/>
              </w:rPr>
              <w:t>金属包装损耗率（</w:t>
            </w:r>
            <w:r w:rsidRPr="00FF6132">
              <w:rPr>
                <w:rFonts w:eastAsiaTheme="minorEastAsia"/>
                <w:sz w:val="21"/>
                <w:szCs w:val="21"/>
              </w:rPr>
              <w:t>%</w:t>
            </w:r>
            <w:r w:rsidRPr="00FF6132">
              <w:rPr>
                <w:rFonts w:eastAsiaTheme="minorEastAsia"/>
                <w:sz w:val="21"/>
                <w:szCs w:val="21"/>
              </w:rPr>
              <w:t>）</w:t>
            </w:r>
          </w:p>
        </w:tc>
        <w:tc>
          <w:tcPr>
            <w:tcW w:w="680" w:type="pct"/>
            <w:vAlign w:val="center"/>
          </w:tcPr>
          <w:p w14:paraId="79949DE3" w14:textId="77777777" w:rsidR="00354CAF" w:rsidRPr="00FF6132" w:rsidRDefault="00354CAF" w:rsidP="00AD2D45">
            <w:pPr>
              <w:adjustRightInd w:val="0"/>
              <w:jc w:val="center"/>
              <w:rPr>
                <w:rFonts w:eastAsiaTheme="minorEastAsia"/>
                <w:color w:val="000000"/>
                <w:sz w:val="21"/>
                <w:szCs w:val="21"/>
              </w:rPr>
            </w:pPr>
            <w:r w:rsidRPr="00FF6132">
              <w:rPr>
                <w:rFonts w:eastAsiaTheme="minorEastAsia"/>
                <w:sz w:val="21"/>
                <w:szCs w:val="21"/>
              </w:rPr>
              <w:t>2.85</w:t>
            </w:r>
          </w:p>
        </w:tc>
        <w:tc>
          <w:tcPr>
            <w:tcW w:w="702" w:type="pct"/>
            <w:vAlign w:val="center"/>
          </w:tcPr>
          <w:p w14:paraId="557A14C9"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1.5</w:t>
            </w:r>
          </w:p>
        </w:tc>
        <w:tc>
          <w:tcPr>
            <w:tcW w:w="692" w:type="pct"/>
            <w:vAlign w:val="center"/>
          </w:tcPr>
          <w:p w14:paraId="477C3EA8"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1.5</w:t>
            </w:r>
          </w:p>
        </w:tc>
        <w:tc>
          <w:tcPr>
            <w:tcW w:w="717" w:type="pct"/>
            <w:vAlign w:val="center"/>
          </w:tcPr>
          <w:p w14:paraId="047C927E"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2.0</w:t>
            </w:r>
          </w:p>
        </w:tc>
        <w:tc>
          <w:tcPr>
            <w:tcW w:w="654" w:type="pct"/>
            <w:vAlign w:val="center"/>
          </w:tcPr>
          <w:p w14:paraId="3A0CAEFC"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w:t>
            </w:r>
          </w:p>
        </w:tc>
      </w:tr>
      <w:tr w:rsidR="00354CAF" w:rsidRPr="00FF6132" w14:paraId="2FCD6D38" w14:textId="77777777" w:rsidTr="0020194A">
        <w:trPr>
          <w:cantSplit/>
          <w:trHeight w:val="332"/>
          <w:jc w:val="center"/>
        </w:trPr>
        <w:tc>
          <w:tcPr>
            <w:tcW w:w="1555" w:type="pct"/>
            <w:vAlign w:val="center"/>
          </w:tcPr>
          <w:p w14:paraId="41D2B32A" w14:textId="77777777" w:rsidR="00354CAF" w:rsidRPr="00FF6132" w:rsidRDefault="00354CAF" w:rsidP="00AD2D45">
            <w:pPr>
              <w:adjustRightInd w:val="0"/>
              <w:jc w:val="center"/>
              <w:rPr>
                <w:rFonts w:eastAsiaTheme="minorEastAsia"/>
                <w:color w:val="000000"/>
                <w:sz w:val="21"/>
                <w:szCs w:val="21"/>
              </w:rPr>
            </w:pPr>
            <w:r w:rsidRPr="00FF6132">
              <w:rPr>
                <w:rFonts w:eastAsiaTheme="minorEastAsia"/>
                <w:sz w:val="21"/>
                <w:szCs w:val="21"/>
              </w:rPr>
              <w:t>玻璃包装损耗率（</w:t>
            </w:r>
            <w:r w:rsidRPr="00FF6132">
              <w:rPr>
                <w:rFonts w:eastAsiaTheme="minorEastAsia"/>
                <w:sz w:val="21"/>
                <w:szCs w:val="21"/>
              </w:rPr>
              <w:t>%</w:t>
            </w:r>
            <w:r w:rsidRPr="00FF6132">
              <w:rPr>
                <w:rFonts w:eastAsiaTheme="minorEastAsia"/>
                <w:sz w:val="21"/>
                <w:szCs w:val="21"/>
              </w:rPr>
              <w:t>）</w:t>
            </w:r>
          </w:p>
        </w:tc>
        <w:tc>
          <w:tcPr>
            <w:tcW w:w="680" w:type="pct"/>
            <w:vAlign w:val="center"/>
          </w:tcPr>
          <w:p w14:paraId="4B30226E" w14:textId="77777777" w:rsidR="00354CAF" w:rsidRPr="00FF6132" w:rsidRDefault="00354CAF" w:rsidP="00AD2D45">
            <w:pPr>
              <w:adjustRightInd w:val="0"/>
              <w:jc w:val="center"/>
              <w:rPr>
                <w:rFonts w:eastAsiaTheme="minorEastAsia"/>
                <w:color w:val="000000"/>
                <w:sz w:val="21"/>
                <w:szCs w:val="21"/>
              </w:rPr>
            </w:pPr>
            <w:r w:rsidRPr="00FF6132">
              <w:rPr>
                <w:rFonts w:eastAsiaTheme="minorEastAsia"/>
                <w:sz w:val="21"/>
                <w:szCs w:val="21"/>
              </w:rPr>
              <w:t>1.02</w:t>
            </w:r>
          </w:p>
        </w:tc>
        <w:tc>
          <w:tcPr>
            <w:tcW w:w="702" w:type="pct"/>
            <w:vAlign w:val="center"/>
          </w:tcPr>
          <w:p w14:paraId="10A5BD71"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1.21</w:t>
            </w:r>
          </w:p>
        </w:tc>
        <w:tc>
          <w:tcPr>
            <w:tcW w:w="692" w:type="pct"/>
            <w:vAlign w:val="center"/>
          </w:tcPr>
          <w:p w14:paraId="4161459C"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0.69</w:t>
            </w:r>
          </w:p>
        </w:tc>
        <w:tc>
          <w:tcPr>
            <w:tcW w:w="717" w:type="pct"/>
            <w:vAlign w:val="center"/>
          </w:tcPr>
          <w:p w14:paraId="4BB835EE"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1.0</w:t>
            </w:r>
          </w:p>
        </w:tc>
        <w:tc>
          <w:tcPr>
            <w:tcW w:w="654" w:type="pct"/>
            <w:vAlign w:val="center"/>
          </w:tcPr>
          <w:p w14:paraId="74F9D781"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w:t>
            </w:r>
          </w:p>
        </w:tc>
      </w:tr>
      <w:tr w:rsidR="00354CAF" w:rsidRPr="00FF6132" w14:paraId="43A392BF" w14:textId="77777777" w:rsidTr="0020194A">
        <w:trPr>
          <w:cantSplit/>
          <w:trHeight w:val="332"/>
          <w:jc w:val="center"/>
        </w:trPr>
        <w:tc>
          <w:tcPr>
            <w:tcW w:w="1555" w:type="pct"/>
            <w:vAlign w:val="center"/>
          </w:tcPr>
          <w:p w14:paraId="76E3D2D5" w14:textId="77777777" w:rsidR="00354CAF" w:rsidRPr="00FF6132" w:rsidRDefault="00354CAF" w:rsidP="00AD2D45">
            <w:pPr>
              <w:adjustRightInd w:val="0"/>
              <w:jc w:val="center"/>
              <w:rPr>
                <w:rFonts w:eastAsiaTheme="minorEastAsia"/>
                <w:color w:val="000000"/>
                <w:sz w:val="21"/>
                <w:szCs w:val="21"/>
                <w:highlight w:val="yellow"/>
              </w:rPr>
            </w:pPr>
            <w:r w:rsidRPr="00FF6132">
              <w:rPr>
                <w:rFonts w:eastAsiaTheme="minorEastAsia"/>
                <w:sz w:val="21"/>
                <w:szCs w:val="21"/>
              </w:rPr>
              <w:t>塑料包装损耗率（</w:t>
            </w:r>
            <w:r w:rsidRPr="00FF6132">
              <w:rPr>
                <w:rFonts w:eastAsiaTheme="minorEastAsia"/>
                <w:sz w:val="21"/>
                <w:szCs w:val="21"/>
              </w:rPr>
              <w:t>%</w:t>
            </w:r>
            <w:r w:rsidRPr="00FF6132">
              <w:rPr>
                <w:rFonts w:eastAsiaTheme="minorEastAsia"/>
                <w:sz w:val="21"/>
                <w:szCs w:val="21"/>
              </w:rPr>
              <w:t>）</w:t>
            </w:r>
          </w:p>
        </w:tc>
        <w:tc>
          <w:tcPr>
            <w:tcW w:w="680" w:type="pct"/>
            <w:vAlign w:val="center"/>
          </w:tcPr>
          <w:p w14:paraId="1D1C3F40" w14:textId="77777777" w:rsidR="00354CAF" w:rsidRPr="00FF6132" w:rsidRDefault="00354CAF" w:rsidP="00AD2D45">
            <w:pPr>
              <w:adjustRightInd w:val="0"/>
              <w:jc w:val="center"/>
              <w:rPr>
                <w:rFonts w:eastAsiaTheme="minorEastAsia"/>
                <w:color w:val="000000"/>
                <w:sz w:val="21"/>
                <w:szCs w:val="21"/>
                <w:highlight w:val="yellow"/>
              </w:rPr>
            </w:pPr>
            <w:r w:rsidRPr="00FF6132">
              <w:rPr>
                <w:rFonts w:eastAsiaTheme="minorEastAsia"/>
                <w:sz w:val="21"/>
                <w:szCs w:val="21"/>
              </w:rPr>
              <w:t>1.66</w:t>
            </w:r>
          </w:p>
        </w:tc>
        <w:tc>
          <w:tcPr>
            <w:tcW w:w="702" w:type="pct"/>
            <w:vAlign w:val="center"/>
          </w:tcPr>
          <w:p w14:paraId="5FB3361E"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2.5</w:t>
            </w:r>
          </w:p>
        </w:tc>
        <w:tc>
          <w:tcPr>
            <w:tcW w:w="692" w:type="pct"/>
            <w:vAlign w:val="center"/>
          </w:tcPr>
          <w:p w14:paraId="792FFBC1"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2.5</w:t>
            </w:r>
          </w:p>
        </w:tc>
        <w:tc>
          <w:tcPr>
            <w:tcW w:w="717" w:type="pct"/>
            <w:vAlign w:val="center"/>
          </w:tcPr>
          <w:p w14:paraId="40DA19AB"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w:t>
            </w:r>
          </w:p>
        </w:tc>
        <w:tc>
          <w:tcPr>
            <w:tcW w:w="654" w:type="pct"/>
            <w:vAlign w:val="center"/>
          </w:tcPr>
          <w:p w14:paraId="0A178705"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w:t>
            </w:r>
          </w:p>
        </w:tc>
      </w:tr>
      <w:tr w:rsidR="00FF6132" w:rsidRPr="00FF6132" w14:paraId="228A8DCE" w14:textId="77777777" w:rsidTr="0020194A">
        <w:trPr>
          <w:cantSplit/>
          <w:trHeight w:val="332"/>
          <w:jc w:val="center"/>
        </w:trPr>
        <w:tc>
          <w:tcPr>
            <w:tcW w:w="1555" w:type="pct"/>
            <w:vAlign w:val="center"/>
          </w:tcPr>
          <w:p w14:paraId="7541919C"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年产量（</w:t>
            </w:r>
            <w:r w:rsidRPr="00FF6132">
              <w:rPr>
                <w:rFonts w:eastAsiaTheme="minorEastAsia"/>
                <w:sz w:val="21"/>
                <w:szCs w:val="21"/>
              </w:rPr>
              <w:t>t</w:t>
            </w:r>
            <w:r w:rsidRPr="00FF6132">
              <w:rPr>
                <w:rFonts w:eastAsiaTheme="minorEastAsia"/>
                <w:sz w:val="21"/>
                <w:szCs w:val="21"/>
              </w:rPr>
              <w:t>）</w:t>
            </w:r>
          </w:p>
        </w:tc>
        <w:tc>
          <w:tcPr>
            <w:tcW w:w="680" w:type="pct"/>
            <w:vAlign w:val="center"/>
          </w:tcPr>
          <w:p w14:paraId="6F7C00E9"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1627</w:t>
            </w:r>
          </w:p>
        </w:tc>
        <w:tc>
          <w:tcPr>
            <w:tcW w:w="702" w:type="pct"/>
            <w:vAlign w:val="center"/>
          </w:tcPr>
          <w:p w14:paraId="033BD293"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1728</w:t>
            </w:r>
          </w:p>
        </w:tc>
        <w:tc>
          <w:tcPr>
            <w:tcW w:w="692" w:type="pct"/>
            <w:vAlign w:val="center"/>
          </w:tcPr>
          <w:p w14:paraId="290A027B"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1608</w:t>
            </w:r>
          </w:p>
        </w:tc>
        <w:tc>
          <w:tcPr>
            <w:tcW w:w="717" w:type="pct"/>
            <w:vAlign w:val="center"/>
          </w:tcPr>
          <w:p w14:paraId="000E018E"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135</w:t>
            </w:r>
          </w:p>
        </w:tc>
        <w:tc>
          <w:tcPr>
            <w:tcW w:w="654" w:type="pct"/>
            <w:vAlign w:val="center"/>
          </w:tcPr>
          <w:p w14:paraId="345E5909" w14:textId="77777777" w:rsidR="00354CAF" w:rsidRPr="00FF6132" w:rsidRDefault="00354CAF" w:rsidP="00AD2D45">
            <w:pPr>
              <w:adjustRightInd w:val="0"/>
              <w:jc w:val="center"/>
              <w:rPr>
                <w:rFonts w:eastAsiaTheme="minorEastAsia"/>
                <w:sz w:val="21"/>
                <w:szCs w:val="21"/>
              </w:rPr>
            </w:pPr>
            <w:r w:rsidRPr="00FF6132">
              <w:rPr>
                <w:rFonts w:eastAsiaTheme="minorEastAsia"/>
                <w:sz w:val="21"/>
                <w:szCs w:val="21"/>
              </w:rPr>
              <w:t>14</w:t>
            </w:r>
          </w:p>
        </w:tc>
      </w:tr>
    </w:tbl>
    <w:p w14:paraId="1D02DBA9" w14:textId="7EC45126" w:rsidR="00354CAF" w:rsidRDefault="00354CAF" w:rsidP="00354CAF">
      <w:pPr>
        <w:spacing w:line="360" w:lineRule="auto"/>
        <w:ind w:firstLineChars="200" w:firstLine="480"/>
        <w:contextualSpacing/>
        <w:rPr>
          <w:color w:val="000000"/>
        </w:rPr>
      </w:pPr>
      <w:r>
        <w:rPr>
          <w:rFonts w:hint="eastAsia"/>
          <w:color w:val="000000"/>
        </w:rPr>
        <w:t>燕窝生产加工的用水环节包括原料浸泡（挑毛）、原料清洗、包装清洗、冷却、调配等，调研相关企业时发现，各工厂之间生产规模差异大，生产环节有差</w:t>
      </w:r>
      <w:r>
        <w:rPr>
          <w:rFonts w:hint="eastAsia"/>
          <w:color w:val="000000"/>
        </w:rPr>
        <w:lastRenderedPageBreak/>
        <w:t>异，对加工用水的质量要求也存在显著区别，流程规范、要求严格的企业除冷却水外，其他环节用水均经二级反渗透装置处理，</w:t>
      </w:r>
      <w:r w:rsidR="00D91950">
        <w:rPr>
          <w:rFonts w:hint="eastAsia"/>
          <w:color w:val="000000"/>
        </w:rPr>
        <w:t>为体现绿色制造标准“拉高线”的作用，基准值和先进值均</w:t>
      </w:r>
      <w:r w:rsidR="00754B5C">
        <w:rPr>
          <w:rFonts w:hint="eastAsia"/>
          <w:color w:val="000000"/>
        </w:rPr>
        <w:t>以</w:t>
      </w:r>
      <w:r>
        <w:rPr>
          <w:rFonts w:hint="eastAsia"/>
          <w:color w:val="000000"/>
        </w:rPr>
        <w:t>工艺成熟、流程规范、产能健全的龙头企业</w:t>
      </w:r>
      <w:r w:rsidR="00754B5C">
        <w:rPr>
          <w:rFonts w:hint="eastAsia"/>
          <w:color w:val="000000"/>
        </w:rPr>
        <w:t>为参照</w:t>
      </w:r>
      <w:r>
        <w:rPr>
          <w:rFonts w:hint="eastAsia"/>
          <w:color w:val="000000"/>
        </w:rPr>
        <w:t>，</w:t>
      </w:r>
      <w:r w:rsidR="00754B5C">
        <w:rPr>
          <w:rFonts w:hint="eastAsia"/>
          <w:color w:val="000000"/>
        </w:rPr>
        <w:t>暂不考虑</w:t>
      </w:r>
      <w:r w:rsidR="00D91950">
        <w:rPr>
          <w:rFonts w:hint="eastAsia"/>
          <w:color w:val="000000"/>
        </w:rPr>
        <w:t>规模小、产量低、产品单一的企业</w:t>
      </w:r>
      <w:r w:rsidR="00754B5C">
        <w:rPr>
          <w:rFonts w:hint="eastAsia"/>
          <w:color w:val="000000"/>
        </w:rPr>
        <w:t>数据，最终</w:t>
      </w:r>
      <w:r>
        <w:rPr>
          <w:rFonts w:hint="eastAsia"/>
          <w:kern w:val="0"/>
        </w:rPr>
        <w:t>确定</w:t>
      </w:r>
      <w:r w:rsidR="00754B5C">
        <w:rPr>
          <w:rFonts w:hint="eastAsia"/>
          <w:color w:val="000000"/>
          <w:szCs w:val="18"/>
        </w:rPr>
        <w:t>单位产品取水量</w:t>
      </w:r>
      <w:r w:rsidR="00754B5C">
        <w:rPr>
          <w:rFonts w:hint="eastAsia"/>
          <w:kern w:val="0"/>
        </w:rPr>
        <w:t>基准值为≤</w:t>
      </w:r>
      <w:r w:rsidR="00754B5C">
        <w:rPr>
          <w:rFonts w:hint="eastAsia"/>
          <w:kern w:val="0"/>
        </w:rPr>
        <w:t>130</w:t>
      </w:r>
      <w:r w:rsidR="00754B5C" w:rsidRPr="00754B5C">
        <w:rPr>
          <w:rFonts w:eastAsia="宋体e眠副浡渀."/>
        </w:rPr>
        <w:t xml:space="preserve"> </w:t>
      </w:r>
      <w:r w:rsidR="00754B5C" w:rsidRPr="00481198">
        <w:rPr>
          <w:rFonts w:eastAsia="宋体e眠副浡渀."/>
        </w:rPr>
        <w:t>m</w:t>
      </w:r>
      <w:r w:rsidR="00754B5C" w:rsidRPr="00481198">
        <w:rPr>
          <w:rFonts w:eastAsia="宋体e眠副浡渀."/>
          <w:vertAlign w:val="superscript"/>
        </w:rPr>
        <w:t>3</w:t>
      </w:r>
      <w:r w:rsidR="00754B5C" w:rsidRPr="00481198">
        <w:rPr>
          <w:rFonts w:eastAsia="宋体e眠副浡渀."/>
        </w:rPr>
        <w:t>/t</w:t>
      </w:r>
      <w:r w:rsidR="00754B5C">
        <w:rPr>
          <w:rFonts w:hint="eastAsia"/>
          <w:kern w:val="0"/>
        </w:rPr>
        <w:t>，先进值为≤</w:t>
      </w:r>
      <w:r w:rsidR="00754B5C">
        <w:rPr>
          <w:rFonts w:hint="eastAsia"/>
          <w:kern w:val="0"/>
        </w:rPr>
        <w:t>120</w:t>
      </w:r>
      <w:r w:rsidR="00754B5C" w:rsidRPr="00754B5C">
        <w:rPr>
          <w:rFonts w:eastAsia="宋体e眠副浡渀."/>
        </w:rPr>
        <w:t xml:space="preserve"> </w:t>
      </w:r>
      <w:r w:rsidR="00754B5C" w:rsidRPr="00481198">
        <w:rPr>
          <w:rFonts w:eastAsia="宋体e眠副浡渀."/>
        </w:rPr>
        <w:t>m</w:t>
      </w:r>
      <w:r w:rsidR="00754B5C" w:rsidRPr="00481198">
        <w:rPr>
          <w:rFonts w:eastAsia="宋体e眠副浡渀."/>
          <w:vertAlign w:val="superscript"/>
        </w:rPr>
        <w:t>3</w:t>
      </w:r>
      <w:r w:rsidR="00754B5C" w:rsidRPr="00481198">
        <w:rPr>
          <w:rFonts w:eastAsia="宋体e眠副浡渀."/>
        </w:rPr>
        <w:t>/t</w:t>
      </w:r>
      <w:r>
        <w:rPr>
          <w:rFonts w:hint="eastAsia"/>
          <w:color w:val="000000"/>
        </w:rPr>
        <w:t>。</w:t>
      </w:r>
    </w:p>
    <w:p w14:paraId="342C5A49" w14:textId="56BD3C29" w:rsidR="00354CAF" w:rsidRDefault="00377DF3" w:rsidP="00377DF3">
      <w:pPr>
        <w:pStyle w:val="af"/>
        <w:jc w:val="center"/>
        <w:rPr>
          <w:rFonts w:ascii="Times New Roman"/>
          <w:color w:val="000000"/>
          <w:szCs w:val="21"/>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567055">
        <w:rPr>
          <w:noProof/>
        </w:rPr>
        <w:t>2</w:t>
      </w:r>
      <w:r>
        <w:fldChar w:fldCharType="end"/>
      </w:r>
      <w:r>
        <w:rPr>
          <w:rFonts w:hint="eastAsia"/>
        </w:rPr>
        <w:t xml:space="preserve"> </w:t>
      </w:r>
      <w:r w:rsidR="00354CAF" w:rsidRPr="00354CAF">
        <w:rPr>
          <w:rFonts w:ascii="Times New Roman"/>
          <w:color w:val="000000"/>
        </w:rPr>
        <w:t>燕窝制品</w:t>
      </w:r>
      <w:r w:rsidR="00354CAF" w:rsidRPr="00354CAF">
        <w:rPr>
          <w:rFonts w:ascii="Times New Roman" w:hint="eastAsia"/>
          <w:color w:val="000000"/>
        </w:rPr>
        <w:t>生产</w:t>
      </w:r>
      <w:r w:rsidR="00354CAF">
        <w:rPr>
          <w:rFonts w:ascii="Times New Roman" w:hint="eastAsia"/>
          <w:color w:val="000000"/>
          <w:szCs w:val="21"/>
        </w:rPr>
        <w:t>加工过程中</w:t>
      </w:r>
      <w:r w:rsidR="00354CAF">
        <w:rPr>
          <w:rFonts w:hint="eastAsia"/>
          <w:color w:val="000000"/>
          <w:szCs w:val="21"/>
        </w:rPr>
        <w:t>水资源消耗情况企业调研数据汇总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7"/>
        <w:gridCol w:w="850"/>
        <w:gridCol w:w="850"/>
        <w:gridCol w:w="848"/>
        <w:gridCol w:w="850"/>
        <w:gridCol w:w="850"/>
        <w:gridCol w:w="850"/>
        <w:gridCol w:w="801"/>
        <w:gridCol w:w="840"/>
      </w:tblGrid>
      <w:tr w:rsidR="00354CAF" w14:paraId="2E191308" w14:textId="77777777" w:rsidTr="00FF6132">
        <w:trPr>
          <w:cantSplit/>
          <w:trHeight w:val="332"/>
          <w:jc w:val="center"/>
        </w:trPr>
        <w:tc>
          <w:tcPr>
            <w:tcW w:w="939" w:type="pct"/>
            <w:vAlign w:val="center"/>
          </w:tcPr>
          <w:p w14:paraId="24907192" w14:textId="77777777" w:rsidR="00354CAF" w:rsidRPr="00FF6132" w:rsidRDefault="00354CAF" w:rsidP="00354CAF">
            <w:pPr>
              <w:pStyle w:val="af2"/>
              <w:widowControl/>
              <w:adjustRightInd w:val="0"/>
              <w:ind w:firstLine="0"/>
              <w:jc w:val="center"/>
              <w:rPr>
                <w:rFonts w:ascii="宋体" w:eastAsia="宋体" w:hAnsi="宋体" w:hint="eastAsia"/>
                <w:color w:val="000000"/>
                <w:sz w:val="21"/>
                <w:szCs w:val="21"/>
              </w:rPr>
            </w:pPr>
            <w:r w:rsidRPr="00FF6132">
              <w:rPr>
                <w:rFonts w:ascii="宋体" w:eastAsia="宋体" w:hAnsi="宋体" w:hint="eastAsia"/>
                <w:sz w:val="21"/>
                <w:szCs w:val="21"/>
              </w:rPr>
              <w:t>工厂编号</w:t>
            </w:r>
          </w:p>
        </w:tc>
        <w:tc>
          <w:tcPr>
            <w:tcW w:w="512" w:type="pct"/>
            <w:vAlign w:val="center"/>
          </w:tcPr>
          <w:p w14:paraId="5461B9B7" w14:textId="77777777" w:rsidR="00354CAF" w:rsidRPr="00FF6132" w:rsidRDefault="00354CAF" w:rsidP="00354CAF">
            <w:pPr>
              <w:pStyle w:val="af2"/>
              <w:widowControl/>
              <w:adjustRightInd w:val="0"/>
              <w:ind w:firstLine="0"/>
              <w:jc w:val="center"/>
              <w:rPr>
                <w:rFonts w:ascii="宋体" w:eastAsia="宋体" w:hAnsi="宋体" w:hint="eastAsia"/>
                <w:color w:val="000000"/>
                <w:sz w:val="21"/>
                <w:szCs w:val="21"/>
              </w:rPr>
            </w:pPr>
            <w:r w:rsidRPr="00FF6132">
              <w:rPr>
                <w:rFonts w:ascii="宋体" w:eastAsia="宋体" w:hAnsi="宋体" w:hint="eastAsia"/>
                <w:sz w:val="21"/>
                <w:szCs w:val="21"/>
              </w:rPr>
              <w:t>#1</w:t>
            </w:r>
          </w:p>
        </w:tc>
        <w:tc>
          <w:tcPr>
            <w:tcW w:w="512" w:type="pct"/>
            <w:vAlign w:val="center"/>
          </w:tcPr>
          <w:p w14:paraId="441E8CDA" w14:textId="77777777" w:rsidR="00354CAF" w:rsidRPr="00FF6132" w:rsidRDefault="00354CAF" w:rsidP="00354CAF">
            <w:pPr>
              <w:widowControl/>
              <w:adjustRightInd w:val="0"/>
              <w:jc w:val="center"/>
              <w:rPr>
                <w:sz w:val="21"/>
                <w:szCs w:val="21"/>
              </w:rPr>
            </w:pPr>
            <w:r w:rsidRPr="00FF6132">
              <w:rPr>
                <w:rFonts w:hint="eastAsia"/>
                <w:sz w:val="21"/>
                <w:szCs w:val="21"/>
              </w:rPr>
              <w:t>#2</w:t>
            </w:r>
          </w:p>
        </w:tc>
        <w:tc>
          <w:tcPr>
            <w:tcW w:w="511" w:type="pct"/>
            <w:vAlign w:val="center"/>
          </w:tcPr>
          <w:p w14:paraId="630E6C32" w14:textId="77777777" w:rsidR="00354CAF" w:rsidRPr="00FF6132" w:rsidRDefault="00354CAF" w:rsidP="00354CAF">
            <w:pPr>
              <w:widowControl/>
              <w:adjustRightInd w:val="0"/>
              <w:jc w:val="center"/>
              <w:rPr>
                <w:sz w:val="21"/>
                <w:szCs w:val="21"/>
              </w:rPr>
            </w:pPr>
            <w:r w:rsidRPr="00FF6132">
              <w:rPr>
                <w:rFonts w:hint="eastAsia"/>
                <w:sz w:val="21"/>
                <w:szCs w:val="21"/>
              </w:rPr>
              <w:t>#3</w:t>
            </w:r>
          </w:p>
        </w:tc>
        <w:tc>
          <w:tcPr>
            <w:tcW w:w="512" w:type="pct"/>
            <w:vAlign w:val="center"/>
          </w:tcPr>
          <w:p w14:paraId="3B59B4AC" w14:textId="77777777" w:rsidR="00354CAF" w:rsidRPr="00FF6132" w:rsidRDefault="00354CAF" w:rsidP="00354CAF">
            <w:pPr>
              <w:widowControl/>
              <w:adjustRightInd w:val="0"/>
              <w:jc w:val="center"/>
              <w:rPr>
                <w:sz w:val="21"/>
                <w:szCs w:val="21"/>
              </w:rPr>
            </w:pPr>
            <w:r w:rsidRPr="00FF6132">
              <w:rPr>
                <w:rFonts w:hint="eastAsia"/>
                <w:sz w:val="21"/>
                <w:szCs w:val="21"/>
              </w:rPr>
              <w:t>#4</w:t>
            </w:r>
          </w:p>
        </w:tc>
        <w:tc>
          <w:tcPr>
            <w:tcW w:w="512" w:type="pct"/>
            <w:vAlign w:val="center"/>
          </w:tcPr>
          <w:p w14:paraId="7B7503A5" w14:textId="77777777" w:rsidR="00354CAF" w:rsidRPr="00FF6132" w:rsidRDefault="00354CAF" w:rsidP="00354CAF">
            <w:pPr>
              <w:widowControl/>
              <w:adjustRightInd w:val="0"/>
              <w:jc w:val="center"/>
              <w:rPr>
                <w:sz w:val="21"/>
                <w:szCs w:val="21"/>
              </w:rPr>
            </w:pPr>
            <w:r w:rsidRPr="00FF6132">
              <w:rPr>
                <w:rFonts w:hint="eastAsia"/>
                <w:sz w:val="21"/>
                <w:szCs w:val="21"/>
              </w:rPr>
              <w:t>#5</w:t>
            </w:r>
          </w:p>
        </w:tc>
        <w:tc>
          <w:tcPr>
            <w:tcW w:w="512" w:type="pct"/>
            <w:vAlign w:val="center"/>
          </w:tcPr>
          <w:p w14:paraId="5319D6FD" w14:textId="77777777" w:rsidR="00354CAF" w:rsidRPr="00FF6132" w:rsidRDefault="00354CAF" w:rsidP="00354CAF">
            <w:pPr>
              <w:widowControl/>
              <w:adjustRightInd w:val="0"/>
              <w:jc w:val="center"/>
              <w:rPr>
                <w:sz w:val="21"/>
                <w:szCs w:val="21"/>
              </w:rPr>
            </w:pPr>
            <w:r w:rsidRPr="00FF6132">
              <w:rPr>
                <w:rFonts w:hint="eastAsia"/>
                <w:sz w:val="21"/>
                <w:szCs w:val="21"/>
              </w:rPr>
              <w:t>#6</w:t>
            </w:r>
          </w:p>
        </w:tc>
        <w:tc>
          <w:tcPr>
            <w:tcW w:w="483" w:type="pct"/>
            <w:vAlign w:val="center"/>
          </w:tcPr>
          <w:p w14:paraId="2159801A" w14:textId="77777777" w:rsidR="00354CAF" w:rsidRPr="00FF6132" w:rsidRDefault="00354CAF" w:rsidP="00354CAF">
            <w:pPr>
              <w:widowControl/>
              <w:adjustRightInd w:val="0"/>
              <w:jc w:val="center"/>
              <w:rPr>
                <w:sz w:val="21"/>
                <w:szCs w:val="21"/>
              </w:rPr>
            </w:pPr>
            <w:r w:rsidRPr="00FF6132">
              <w:rPr>
                <w:rFonts w:hint="eastAsia"/>
                <w:sz w:val="21"/>
                <w:szCs w:val="21"/>
              </w:rPr>
              <w:t>#7</w:t>
            </w:r>
          </w:p>
        </w:tc>
        <w:tc>
          <w:tcPr>
            <w:tcW w:w="506" w:type="pct"/>
            <w:vAlign w:val="center"/>
          </w:tcPr>
          <w:p w14:paraId="01943745" w14:textId="77777777" w:rsidR="00354CAF" w:rsidRPr="00FF6132" w:rsidRDefault="00354CAF" w:rsidP="00354CAF">
            <w:pPr>
              <w:widowControl/>
              <w:adjustRightInd w:val="0"/>
              <w:jc w:val="center"/>
              <w:rPr>
                <w:sz w:val="21"/>
                <w:szCs w:val="21"/>
              </w:rPr>
            </w:pPr>
            <w:r w:rsidRPr="00FF6132">
              <w:rPr>
                <w:rFonts w:hint="eastAsia"/>
                <w:sz w:val="21"/>
                <w:szCs w:val="21"/>
              </w:rPr>
              <w:t>#8</w:t>
            </w:r>
          </w:p>
        </w:tc>
      </w:tr>
      <w:tr w:rsidR="00354CAF" w14:paraId="093BEABD" w14:textId="77777777" w:rsidTr="00FF6132">
        <w:trPr>
          <w:cantSplit/>
          <w:trHeight w:val="332"/>
          <w:jc w:val="center"/>
        </w:trPr>
        <w:tc>
          <w:tcPr>
            <w:tcW w:w="939" w:type="pct"/>
            <w:vAlign w:val="center"/>
          </w:tcPr>
          <w:p w14:paraId="12FBDFE5" w14:textId="6B0D1A2E" w:rsidR="00354CAF" w:rsidRPr="00FF6132" w:rsidRDefault="00354CAF" w:rsidP="00354CAF">
            <w:pPr>
              <w:adjustRightInd w:val="0"/>
              <w:jc w:val="center"/>
              <w:rPr>
                <w:color w:val="000000"/>
                <w:sz w:val="21"/>
                <w:szCs w:val="21"/>
              </w:rPr>
            </w:pPr>
            <w:r w:rsidRPr="00FF6132">
              <w:rPr>
                <w:rFonts w:hint="eastAsia"/>
                <w:sz w:val="21"/>
                <w:szCs w:val="21"/>
              </w:rPr>
              <w:t>单位产品取水量（</w:t>
            </w:r>
            <w:r w:rsidRPr="00FF6132">
              <w:rPr>
                <w:sz w:val="21"/>
                <w:szCs w:val="21"/>
              </w:rPr>
              <w:t>m</w:t>
            </w:r>
            <w:r w:rsidRPr="00FF6132">
              <w:rPr>
                <w:sz w:val="21"/>
                <w:szCs w:val="21"/>
                <w:vertAlign w:val="superscript"/>
              </w:rPr>
              <w:t>3</w:t>
            </w:r>
            <w:r w:rsidRPr="00FF6132">
              <w:rPr>
                <w:sz w:val="21"/>
                <w:szCs w:val="21"/>
              </w:rPr>
              <w:t>/</w:t>
            </w:r>
            <w:r w:rsidRPr="00FF6132">
              <w:rPr>
                <w:rFonts w:hint="eastAsia"/>
                <w:sz w:val="21"/>
                <w:szCs w:val="21"/>
              </w:rPr>
              <w:t>t</w:t>
            </w:r>
            <w:r w:rsidRPr="00FF6132">
              <w:rPr>
                <w:rFonts w:hint="eastAsia"/>
                <w:sz w:val="21"/>
                <w:szCs w:val="21"/>
              </w:rPr>
              <w:t>）</w:t>
            </w:r>
          </w:p>
        </w:tc>
        <w:tc>
          <w:tcPr>
            <w:tcW w:w="512" w:type="pct"/>
            <w:vAlign w:val="center"/>
          </w:tcPr>
          <w:p w14:paraId="63C905D4" w14:textId="77777777" w:rsidR="00354CAF" w:rsidRPr="00FF6132" w:rsidRDefault="00354CAF" w:rsidP="00354CAF">
            <w:pPr>
              <w:adjustRightInd w:val="0"/>
              <w:jc w:val="center"/>
              <w:rPr>
                <w:color w:val="000000"/>
                <w:sz w:val="21"/>
                <w:szCs w:val="21"/>
              </w:rPr>
            </w:pPr>
            <w:r w:rsidRPr="00FF6132">
              <w:rPr>
                <w:rFonts w:hint="eastAsia"/>
                <w:sz w:val="21"/>
                <w:szCs w:val="21"/>
              </w:rPr>
              <w:t>8</w:t>
            </w:r>
            <w:r w:rsidRPr="00FF6132">
              <w:rPr>
                <w:sz w:val="21"/>
                <w:szCs w:val="21"/>
              </w:rPr>
              <w:t>6.28</w:t>
            </w:r>
          </w:p>
        </w:tc>
        <w:tc>
          <w:tcPr>
            <w:tcW w:w="512" w:type="pct"/>
            <w:vAlign w:val="center"/>
          </w:tcPr>
          <w:p w14:paraId="31F18FF6" w14:textId="77777777" w:rsidR="00354CAF" w:rsidRPr="00FF6132" w:rsidRDefault="00354CAF" w:rsidP="00354CAF">
            <w:pPr>
              <w:adjustRightInd w:val="0"/>
              <w:jc w:val="center"/>
              <w:rPr>
                <w:sz w:val="21"/>
                <w:szCs w:val="21"/>
              </w:rPr>
            </w:pPr>
            <w:r w:rsidRPr="00FF6132">
              <w:rPr>
                <w:rFonts w:hint="eastAsia"/>
                <w:sz w:val="21"/>
                <w:szCs w:val="21"/>
              </w:rPr>
              <w:t>127.87</w:t>
            </w:r>
          </w:p>
        </w:tc>
        <w:tc>
          <w:tcPr>
            <w:tcW w:w="511" w:type="pct"/>
            <w:vAlign w:val="center"/>
          </w:tcPr>
          <w:p w14:paraId="1B2CAEC8" w14:textId="77777777" w:rsidR="00354CAF" w:rsidRPr="00FF6132" w:rsidRDefault="00354CAF" w:rsidP="00354CAF">
            <w:pPr>
              <w:adjustRightInd w:val="0"/>
              <w:jc w:val="center"/>
              <w:rPr>
                <w:sz w:val="21"/>
                <w:szCs w:val="21"/>
              </w:rPr>
            </w:pPr>
            <w:r w:rsidRPr="00FF6132">
              <w:rPr>
                <w:rFonts w:hint="eastAsia"/>
                <w:sz w:val="21"/>
                <w:szCs w:val="21"/>
              </w:rPr>
              <w:t>111.28</w:t>
            </w:r>
          </w:p>
        </w:tc>
        <w:tc>
          <w:tcPr>
            <w:tcW w:w="512" w:type="pct"/>
            <w:vAlign w:val="center"/>
          </w:tcPr>
          <w:p w14:paraId="1C39DD0A" w14:textId="77777777" w:rsidR="00354CAF" w:rsidRPr="00FF6132" w:rsidRDefault="00354CAF" w:rsidP="00354CAF">
            <w:pPr>
              <w:adjustRightInd w:val="0"/>
              <w:jc w:val="center"/>
              <w:rPr>
                <w:sz w:val="21"/>
                <w:szCs w:val="21"/>
              </w:rPr>
            </w:pPr>
            <w:r w:rsidRPr="00FF6132">
              <w:rPr>
                <w:rFonts w:hint="eastAsia"/>
                <w:sz w:val="21"/>
                <w:szCs w:val="21"/>
              </w:rPr>
              <w:t>145.21</w:t>
            </w:r>
          </w:p>
        </w:tc>
        <w:tc>
          <w:tcPr>
            <w:tcW w:w="512" w:type="pct"/>
            <w:vAlign w:val="center"/>
          </w:tcPr>
          <w:p w14:paraId="72E18CD1" w14:textId="77777777" w:rsidR="00354CAF" w:rsidRPr="00FF6132" w:rsidRDefault="00354CAF" w:rsidP="00354CAF">
            <w:pPr>
              <w:adjustRightInd w:val="0"/>
              <w:jc w:val="center"/>
              <w:rPr>
                <w:sz w:val="21"/>
                <w:szCs w:val="21"/>
              </w:rPr>
            </w:pPr>
            <w:r w:rsidRPr="00FF6132">
              <w:rPr>
                <w:rFonts w:hint="eastAsia"/>
                <w:sz w:val="21"/>
                <w:szCs w:val="21"/>
              </w:rPr>
              <w:t>31.2</w:t>
            </w:r>
            <w:r w:rsidRPr="00FF6132">
              <w:rPr>
                <w:sz w:val="21"/>
                <w:szCs w:val="21"/>
              </w:rPr>
              <w:t>5</w:t>
            </w:r>
          </w:p>
        </w:tc>
        <w:tc>
          <w:tcPr>
            <w:tcW w:w="512" w:type="pct"/>
            <w:vAlign w:val="center"/>
          </w:tcPr>
          <w:p w14:paraId="51E41301" w14:textId="77777777" w:rsidR="00354CAF" w:rsidRPr="00FF6132" w:rsidRDefault="00354CAF" w:rsidP="00354CAF">
            <w:pPr>
              <w:adjustRightInd w:val="0"/>
              <w:jc w:val="center"/>
              <w:rPr>
                <w:sz w:val="21"/>
                <w:szCs w:val="21"/>
              </w:rPr>
            </w:pPr>
            <w:r w:rsidRPr="00FF6132">
              <w:rPr>
                <w:rFonts w:hint="eastAsia"/>
                <w:sz w:val="21"/>
                <w:szCs w:val="21"/>
              </w:rPr>
              <w:t>68</w:t>
            </w:r>
          </w:p>
        </w:tc>
        <w:tc>
          <w:tcPr>
            <w:tcW w:w="483" w:type="pct"/>
            <w:vAlign w:val="center"/>
          </w:tcPr>
          <w:p w14:paraId="35B9E88D" w14:textId="77777777" w:rsidR="00354CAF" w:rsidRPr="00FF6132" w:rsidRDefault="00354CAF" w:rsidP="00354CAF">
            <w:pPr>
              <w:adjustRightInd w:val="0"/>
              <w:jc w:val="center"/>
              <w:rPr>
                <w:sz w:val="21"/>
                <w:szCs w:val="21"/>
              </w:rPr>
            </w:pPr>
            <w:r w:rsidRPr="00FF6132">
              <w:rPr>
                <w:sz w:val="21"/>
                <w:szCs w:val="21"/>
              </w:rPr>
              <w:t>8</w:t>
            </w:r>
          </w:p>
        </w:tc>
        <w:tc>
          <w:tcPr>
            <w:tcW w:w="506" w:type="pct"/>
            <w:vAlign w:val="center"/>
          </w:tcPr>
          <w:p w14:paraId="381B453C" w14:textId="77777777" w:rsidR="00354CAF" w:rsidRPr="00FF6132" w:rsidRDefault="00354CAF" w:rsidP="00354CAF">
            <w:pPr>
              <w:adjustRightInd w:val="0"/>
              <w:jc w:val="center"/>
              <w:rPr>
                <w:sz w:val="21"/>
                <w:szCs w:val="21"/>
              </w:rPr>
            </w:pPr>
            <w:r w:rsidRPr="00FF6132">
              <w:rPr>
                <w:rFonts w:hint="eastAsia"/>
                <w:sz w:val="21"/>
                <w:szCs w:val="21"/>
              </w:rPr>
              <w:t>2</w:t>
            </w:r>
            <w:r w:rsidRPr="00FF6132">
              <w:rPr>
                <w:sz w:val="21"/>
                <w:szCs w:val="21"/>
              </w:rPr>
              <w:t>5.71</w:t>
            </w:r>
          </w:p>
        </w:tc>
      </w:tr>
      <w:tr w:rsidR="00354CAF" w14:paraId="736E2ADC" w14:textId="77777777" w:rsidTr="00FF6132">
        <w:trPr>
          <w:cantSplit/>
          <w:trHeight w:val="332"/>
          <w:jc w:val="center"/>
        </w:trPr>
        <w:tc>
          <w:tcPr>
            <w:tcW w:w="939" w:type="pct"/>
            <w:vAlign w:val="center"/>
          </w:tcPr>
          <w:p w14:paraId="5AA90344" w14:textId="58BDCAEE" w:rsidR="00354CAF" w:rsidRPr="00FF6132" w:rsidRDefault="00354CAF" w:rsidP="00354CAF">
            <w:pPr>
              <w:adjustRightInd w:val="0"/>
              <w:jc w:val="center"/>
              <w:rPr>
                <w:sz w:val="21"/>
                <w:szCs w:val="21"/>
              </w:rPr>
            </w:pPr>
            <w:r w:rsidRPr="00FF6132">
              <w:rPr>
                <w:rFonts w:hint="eastAsia"/>
                <w:sz w:val="21"/>
                <w:szCs w:val="21"/>
              </w:rPr>
              <w:t>年产量（</w:t>
            </w:r>
            <w:r w:rsidRPr="00FF6132">
              <w:rPr>
                <w:rFonts w:hint="eastAsia"/>
                <w:sz w:val="21"/>
                <w:szCs w:val="21"/>
              </w:rPr>
              <w:t>t</w:t>
            </w:r>
            <w:r w:rsidRPr="00FF6132">
              <w:rPr>
                <w:rFonts w:hint="eastAsia"/>
                <w:sz w:val="21"/>
                <w:szCs w:val="21"/>
              </w:rPr>
              <w:t>）</w:t>
            </w:r>
          </w:p>
        </w:tc>
        <w:tc>
          <w:tcPr>
            <w:tcW w:w="512" w:type="pct"/>
            <w:vAlign w:val="center"/>
          </w:tcPr>
          <w:p w14:paraId="20EF20CC" w14:textId="77777777" w:rsidR="00354CAF" w:rsidRPr="00FF6132" w:rsidRDefault="00354CAF" w:rsidP="00354CAF">
            <w:pPr>
              <w:adjustRightInd w:val="0"/>
              <w:jc w:val="center"/>
              <w:rPr>
                <w:b/>
                <w:bCs/>
                <w:sz w:val="21"/>
                <w:szCs w:val="21"/>
              </w:rPr>
            </w:pPr>
            <w:r w:rsidRPr="00FF6132">
              <w:rPr>
                <w:rFonts w:hint="eastAsia"/>
                <w:sz w:val="21"/>
                <w:szCs w:val="21"/>
              </w:rPr>
              <w:t>1627</w:t>
            </w:r>
          </w:p>
        </w:tc>
        <w:tc>
          <w:tcPr>
            <w:tcW w:w="512" w:type="pct"/>
            <w:vAlign w:val="center"/>
          </w:tcPr>
          <w:p w14:paraId="10C9E477" w14:textId="77777777" w:rsidR="00354CAF" w:rsidRPr="00FF6132" w:rsidRDefault="00354CAF" w:rsidP="00354CAF">
            <w:pPr>
              <w:adjustRightInd w:val="0"/>
              <w:jc w:val="center"/>
              <w:rPr>
                <w:b/>
                <w:bCs/>
                <w:sz w:val="21"/>
                <w:szCs w:val="21"/>
              </w:rPr>
            </w:pPr>
            <w:r w:rsidRPr="00FF6132">
              <w:rPr>
                <w:rFonts w:hint="eastAsia"/>
                <w:sz w:val="21"/>
                <w:szCs w:val="21"/>
              </w:rPr>
              <w:t>1728</w:t>
            </w:r>
          </w:p>
        </w:tc>
        <w:tc>
          <w:tcPr>
            <w:tcW w:w="511" w:type="pct"/>
          </w:tcPr>
          <w:p w14:paraId="2C4E5F1B" w14:textId="77777777" w:rsidR="00354CAF" w:rsidRPr="00FF6132" w:rsidRDefault="00354CAF" w:rsidP="00354CAF">
            <w:pPr>
              <w:adjustRightInd w:val="0"/>
              <w:jc w:val="center"/>
              <w:rPr>
                <w:b/>
                <w:bCs/>
                <w:sz w:val="21"/>
                <w:szCs w:val="21"/>
              </w:rPr>
            </w:pPr>
            <w:r w:rsidRPr="00FF6132">
              <w:rPr>
                <w:rFonts w:hint="eastAsia"/>
                <w:sz w:val="21"/>
                <w:szCs w:val="21"/>
              </w:rPr>
              <w:t>1608</w:t>
            </w:r>
          </w:p>
        </w:tc>
        <w:tc>
          <w:tcPr>
            <w:tcW w:w="512" w:type="pct"/>
            <w:vAlign w:val="center"/>
          </w:tcPr>
          <w:p w14:paraId="55A35949" w14:textId="77777777" w:rsidR="00354CAF" w:rsidRPr="00FF6132" w:rsidRDefault="00354CAF" w:rsidP="00354CAF">
            <w:pPr>
              <w:adjustRightInd w:val="0"/>
              <w:jc w:val="center"/>
              <w:rPr>
                <w:sz w:val="21"/>
                <w:szCs w:val="21"/>
              </w:rPr>
            </w:pPr>
            <w:r w:rsidRPr="00FF6132">
              <w:rPr>
                <w:rFonts w:hint="eastAsia"/>
                <w:sz w:val="21"/>
                <w:szCs w:val="21"/>
              </w:rPr>
              <w:t>1070</w:t>
            </w:r>
          </w:p>
        </w:tc>
        <w:tc>
          <w:tcPr>
            <w:tcW w:w="512" w:type="pct"/>
            <w:vAlign w:val="center"/>
          </w:tcPr>
          <w:p w14:paraId="76A5347C" w14:textId="77777777" w:rsidR="00354CAF" w:rsidRPr="00FF6132" w:rsidRDefault="00354CAF" w:rsidP="00354CAF">
            <w:pPr>
              <w:adjustRightInd w:val="0"/>
              <w:jc w:val="center"/>
              <w:rPr>
                <w:sz w:val="21"/>
                <w:szCs w:val="21"/>
              </w:rPr>
            </w:pPr>
            <w:r w:rsidRPr="00FF6132">
              <w:rPr>
                <w:rFonts w:hint="eastAsia"/>
                <w:sz w:val="21"/>
                <w:szCs w:val="21"/>
              </w:rPr>
              <w:t>800</w:t>
            </w:r>
          </w:p>
        </w:tc>
        <w:tc>
          <w:tcPr>
            <w:tcW w:w="512" w:type="pct"/>
            <w:vAlign w:val="center"/>
          </w:tcPr>
          <w:p w14:paraId="3ADB79A0" w14:textId="77777777" w:rsidR="00354CAF" w:rsidRPr="00FF6132" w:rsidRDefault="00354CAF" w:rsidP="00354CAF">
            <w:pPr>
              <w:adjustRightInd w:val="0"/>
              <w:jc w:val="center"/>
              <w:rPr>
                <w:sz w:val="21"/>
                <w:szCs w:val="21"/>
              </w:rPr>
            </w:pPr>
            <w:r w:rsidRPr="00FF6132">
              <w:rPr>
                <w:rFonts w:hint="eastAsia"/>
                <w:sz w:val="21"/>
                <w:szCs w:val="21"/>
              </w:rPr>
              <w:t>135</w:t>
            </w:r>
          </w:p>
        </w:tc>
        <w:tc>
          <w:tcPr>
            <w:tcW w:w="483" w:type="pct"/>
            <w:vAlign w:val="center"/>
          </w:tcPr>
          <w:p w14:paraId="10D5BD47" w14:textId="77777777" w:rsidR="00354CAF" w:rsidRPr="00FF6132" w:rsidRDefault="00354CAF" w:rsidP="00354CAF">
            <w:pPr>
              <w:adjustRightInd w:val="0"/>
              <w:jc w:val="center"/>
              <w:rPr>
                <w:sz w:val="21"/>
                <w:szCs w:val="21"/>
              </w:rPr>
            </w:pPr>
            <w:r w:rsidRPr="00FF6132">
              <w:rPr>
                <w:rFonts w:hint="eastAsia"/>
                <w:sz w:val="21"/>
                <w:szCs w:val="21"/>
              </w:rPr>
              <w:t>2.5</w:t>
            </w:r>
          </w:p>
        </w:tc>
        <w:tc>
          <w:tcPr>
            <w:tcW w:w="506" w:type="pct"/>
            <w:vAlign w:val="center"/>
          </w:tcPr>
          <w:p w14:paraId="72CB1193" w14:textId="77777777" w:rsidR="00354CAF" w:rsidRPr="00FF6132" w:rsidRDefault="00354CAF" w:rsidP="00354CAF">
            <w:pPr>
              <w:adjustRightInd w:val="0"/>
              <w:jc w:val="center"/>
              <w:rPr>
                <w:sz w:val="21"/>
                <w:szCs w:val="21"/>
              </w:rPr>
            </w:pPr>
            <w:r w:rsidRPr="00FF6132">
              <w:rPr>
                <w:rFonts w:hint="eastAsia"/>
                <w:sz w:val="21"/>
                <w:szCs w:val="21"/>
              </w:rPr>
              <w:t>14</w:t>
            </w:r>
          </w:p>
        </w:tc>
      </w:tr>
    </w:tbl>
    <w:p w14:paraId="29F11F2C" w14:textId="150D9AEE"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5.5  </w:t>
      </w:r>
      <w:r w:rsidR="00084B34" w:rsidRPr="005B76A0">
        <w:rPr>
          <w:rFonts w:ascii="Times New Roman" w:hAnsi="Times New Roman" w:hint="eastAsia"/>
          <w:sz w:val="24"/>
        </w:rPr>
        <w:t>产品</w:t>
      </w:r>
    </w:p>
    <w:p w14:paraId="2245AA69" w14:textId="3F3414B6" w:rsidR="00DD666C" w:rsidRPr="005B76A0" w:rsidRDefault="00084B34" w:rsidP="006C22EC">
      <w:pPr>
        <w:autoSpaceDE w:val="0"/>
        <w:autoSpaceDN w:val="0"/>
        <w:adjustRightInd w:val="0"/>
        <w:spacing w:line="440" w:lineRule="exact"/>
        <w:ind w:firstLineChars="200" w:firstLine="480"/>
        <w:rPr>
          <w:kern w:val="0"/>
        </w:rPr>
      </w:pPr>
      <w:r w:rsidRPr="005B76A0">
        <w:rPr>
          <w:rFonts w:hint="eastAsia"/>
          <w:kern w:val="0"/>
        </w:rPr>
        <w:t>针对生态设计产品要求，将</w:t>
      </w:r>
      <w:r w:rsidR="00835E89" w:rsidRPr="005B76A0">
        <w:rPr>
          <w:kern w:val="0"/>
        </w:rPr>
        <w:t>工厂在产品设计中</w:t>
      </w:r>
      <w:r w:rsidR="00835E89" w:rsidRPr="005B76A0">
        <w:rPr>
          <w:rFonts w:hint="eastAsia"/>
          <w:kern w:val="0"/>
        </w:rPr>
        <w:t>应</w:t>
      </w:r>
      <w:r w:rsidR="00835E89" w:rsidRPr="005B76A0">
        <w:rPr>
          <w:kern w:val="0"/>
        </w:rPr>
        <w:t>引入生态设计的理念</w:t>
      </w:r>
      <w:r w:rsidR="00835E89" w:rsidRPr="005B76A0">
        <w:rPr>
          <w:rFonts w:hint="eastAsia"/>
          <w:kern w:val="0"/>
        </w:rPr>
        <w:t>、满足国家对产品中有害物质限制使用的要求以及碳足迹核算或核查作为必选指标；</w:t>
      </w:r>
      <w:r w:rsidR="006C22EC" w:rsidRPr="005B76A0">
        <w:rPr>
          <w:rFonts w:hint="eastAsia"/>
          <w:kern w:val="0"/>
        </w:rPr>
        <w:t>将</w:t>
      </w:r>
      <w:r w:rsidRPr="005B76A0">
        <w:rPr>
          <w:rFonts w:hint="eastAsia"/>
          <w:kern w:val="0"/>
        </w:rPr>
        <w:t>产品符合</w:t>
      </w:r>
      <w:r w:rsidR="006C22EC" w:rsidRPr="005B76A0">
        <w:rPr>
          <w:rFonts w:hint="eastAsia"/>
          <w:kern w:val="0"/>
        </w:rPr>
        <w:t>《产品生态设计通则》（</w:t>
      </w:r>
      <w:r w:rsidR="006C22EC" w:rsidRPr="005B76A0">
        <w:rPr>
          <w:rFonts w:hint="eastAsia"/>
          <w:kern w:val="0"/>
        </w:rPr>
        <w:t>GB/T 24256</w:t>
      </w:r>
      <w:r w:rsidR="006C22EC" w:rsidRPr="005B76A0">
        <w:rPr>
          <w:rFonts w:hint="eastAsia"/>
          <w:kern w:val="0"/>
        </w:rPr>
        <w:t>）、《生态设计产品评价通则》（</w:t>
      </w:r>
      <w:r w:rsidR="006C22EC" w:rsidRPr="005B76A0">
        <w:rPr>
          <w:rFonts w:hint="eastAsia"/>
          <w:kern w:val="0"/>
        </w:rPr>
        <w:t>GB/T 32161</w:t>
      </w:r>
      <w:r w:rsidR="006C22EC" w:rsidRPr="005B76A0">
        <w:rPr>
          <w:rFonts w:hint="eastAsia"/>
          <w:kern w:val="0"/>
        </w:rPr>
        <w:t>）的</w:t>
      </w:r>
      <w:r w:rsidR="000777A0" w:rsidRPr="005B76A0">
        <w:rPr>
          <w:rFonts w:hint="eastAsia"/>
          <w:kern w:val="0"/>
        </w:rPr>
        <w:t>规定</w:t>
      </w:r>
      <w:r w:rsidR="00EA3C41" w:rsidRPr="005B76A0">
        <w:rPr>
          <w:rFonts w:hint="eastAsia"/>
          <w:kern w:val="0"/>
        </w:rPr>
        <w:t>、</w:t>
      </w:r>
      <w:r w:rsidR="006C22EC" w:rsidRPr="005B76A0">
        <w:rPr>
          <w:rFonts w:hint="eastAsia"/>
          <w:kern w:val="0"/>
        </w:rPr>
        <w:t>公布碳核算或核查结果并利用结果</w:t>
      </w:r>
      <w:r w:rsidR="00FB255D" w:rsidRPr="005B76A0">
        <w:rPr>
          <w:rFonts w:hint="eastAsia"/>
          <w:kern w:val="0"/>
        </w:rPr>
        <w:t>改善</w:t>
      </w:r>
      <w:r w:rsidR="006C22EC" w:rsidRPr="005B76A0">
        <w:rPr>
          <w:rFonts w:hint="eastAsia"/>
          <w:kern w:val="0"/>
        </w:rPr>
        <w:t>产品碳足迹</w:t>
      </w:r>
      <w:r w:rsidR="00EA3C41" w:rsidRPr="005B76A0">
        <w:rPr>
          <w:rFonts w:hint="eastAsia"/>
          <w:kern w:val="0"/>
        </w:rPr>
        <w:t>、以及计算产品可回收利用率并利用计算结果进行改善</w:t>
      </w:r>
      <w:r w:rsidRPr="005B76A0">
        <w:rPr>
          <w:rFonts w:hint="eastAsia"/>
          <w:kern w:val="0"/>
        </w:rPr>
        <w:t>作为可选指标，以促进企业进一步从产品全生命周期角度出发，减少污染物排放。</w:t>
      </w:r>
    </w:p>
    <w:p w14:paraId="65A7464C" w14:textId="474BF128"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5.6  </w:t>
      </w:r>
      <w:r w:rsidR="00084B34" w:rsidRPr="005B76A0">
        <w:rPr>
          <w:rFonts w:ascii="Times New Roman" w:hAnsi="Times New Roman" w:hint="eastAsia"/>
          <w:sz w:val="24"/>
        </w:rPr>
        <w:t>环境排放</w:t>
      </w:r>
    </w:p>
    <w:p w14:paraId="1A480F8A" w14:textId="05EADBF7" w:rsidR="00DD666C" w:rsidRDefault="00084B34" w:rsidP="00DE0B8C">
      <w:pPr>
        <w:autoSpaceDE w:val="0"/>
        <w:autoSpaceDN w:val="0"/>
        <w:adjustRightInd w:val="0"/>
        <w:spacing w:line="440" w:lineRule="exact"/>
        <w:ind w:firstLineChars="200" w:firstLine="480"/>
        <w:rPr>
          <w:kern w:val="0"/>
        </w:rPr>
      </w:pPr>
      <w:r w:rsidRPr="005B76A0">
        <w:rPr>
          <w:rFonts w:hint="eastAsia"/>
          <w:kern w:val="0"/>
        </w:rPr>
        <w:t>环境排放指标</w:t>
      </w:r>
      <w:r w:rsidR="00FB255D" w:rsidRPr="005B76A0">
        <w:rPr>
          <w:rFonts w:hint="eastAsia"/>
          <w:kern w:val="0"/>
        </w:rPr>
        <w:t>包括</w:t>
      </w:r>
      <w:r w:rsidRPr="005B76A0">
        <w:rPr>
          <w:rFonts w:hint="eastAsia"/>
          <w:kern w:val="0"/>
        </w:rPr>
        <w:t>《绿色工厂评价通则》（</w:t>
      </w:r>
      <w:r w:rsidRPr="005B76A0">
        <w:rPr>
          <w:rFonts w:hint="eastAsia"/>
          <w:kern w:val="0"/>
        </w:rPr>
        <w:t>GB/T 36132</w:t>
      </w:r>
      <w:r w:rsidRPr="005B76A0">
        <w:rPr>
          <w:rFonts w:hint="eastAsia"/>
          <w:kern w:val="0"/>
        </w:rPr>
        <w:t>）规定的大气污染物、水体污染物、固体废物、噪声和温室气体排放等指标</w:t>
      </w:r>
      <w:r w:rsidR="00DE0B8C" w:rsidRPr="005B76A0">
        <w:rPr>
          <w:rFonts w:hint="eastAsia"/>
          <w:kern w:val="0"/>
        </w:rPr>
        <w:t>，主要依据为</w:t>
      </w:r>
      <w:r w:rsidR="00DE0B8C" w:rsidRPr="005B76A0">
        <w:rPr>
          <w:kern w:val="0"/>
        </w:rPr>
        <w:t>《中华人民共和国大气污染防治法》、</w:t>
      </w:r>
      <w:r w:rsidR="00AB4114">
        <w:rPr>
          <w:rFonts w:hint="eastAsia"/>
          <w:kern w:val="0"/>
        </w:rPr>
        <w:t>G</w:t>
      </w:r>
      <w:r w:rsidR="00AB4114">
        <w:rPr>
          <w:kern w:val="0"/>
        </w:rPr>
        <w:t>B 3096</w:t>
      </w:r>
      <w:r w:rsidR="00AB4114">
        <w:rPr>
          <w:rFonts w:hint="eastAsia"/>
          <w:kern w:val="0"/>
        </w:rPr>
        <w:t>、</w:t>
      </w:r>
      <w:r w:rsidR="00DE0B8C" w:rsidRPr="005B76A0">
        <w:rPr>
          <w:kern w:val="0"/>
        </w:rPr>
        <w:t>GB 13271</w:t>
      </w:r>
      <w:r w:rsidR="00DE0B8C" w:rsidRPr="005B76A0">
        <w:rPr>
          <w:kern w:val="0"/>
        </w:rPr>
        <w:t>、</w:t>
      </w:r>
      <w:r w:rsidR="00DE0B8C" w:rsidRPr="005B76A0">
        <w:rPr>
          <w:kern w:val="0"/>
        </w:rPr>
        <w:t>GB 16297</w:t>
      </w:r>
      <w:r w:rsidR="00DE0B8C" w:rsidRPr="005B76A0">
        <w:rPr>
          <w:rFonts w:hint="eastAsia"/>
          <w:kern w:val="0"/>
        </w:rPr>
        <w:t>、</w:t>
      </w:r>
      <w:r w:rsidR="00DE0B8C" w:rsidRPr="005B76A0">
        <w:rPr>
          <w:rFonts w:hint="eastAsia"/>
          <w:kern w:val="0"/>
        </w:rPr>
        <w:t xml:space="preserve">GB </w:t>
      </w:r>
      <w:r w:rsidR="00DE0B8C" w:rsidRPr="005B76A0">
        <w:rPr>
          <w:kern w:val="0"/>
        </w:rPr>
        <w:t>8978</w:t>
      </w:r>
      <w:r w:rsidR="00DE0B8C" w:rsidRPr="005B76A0">
        <w:rPr>
          <w:rFonts w:hint="eastAsia"/>
          <w:kern w:val="0"/>
        </w:rPr>
        <w:t>、</w:t>
      </w:r>
      <w:r w:rsidR="00DE0B8C" w:rsidRPr="005B76A0">
        <w:rPr>
          <w:kern w:val="0"/>
        </w:rPr>
        <w:t>GB 12348</w:t>
      </w:r>
      <w:r w:rsidR="00DE0B8C" w:rsidRPr="005B76A0">
        <w:rPr>
          <w:rFonts w:hint="eastAsia"/>
          <w:kern w:val="0"/>
        </w:rPr>
        <w:t>、</w:t>
      </w:r>
      <w:r w:rsidR="00DE0B8C" w:rsidRPr="005B76A0">
        <w:rPr>
          <w:kern w:val="0"/>
        </w:rPr>
        <w:t>GB/T 32150</w:t>
      </w:r>
      <w:r w:rsidR="00DE0B8C" w:rsidRPr="005B76A0">
        <w:rPr>
          <w:rFonts w:hint="eastAsia"/>
          <w:kern w:val="0"/>
        </w:rPr>
        <w:t>及相关地方标准等。</w:t>
      </w:r>
    </w:p>
    <w:p w14:paraId="67026E2B" w14:textId="670FC0FD" w:rsidR="00A02888" w:rsidRDefault="00A02888" w:rsidP="00770622">
      <w:pPr>
        <w:autoSpaceDE w:val="0"/>
        <w:autoSpaceDN w:val="0"/>
        <w:adjustRightInd w:val="0"/>
        <w:spacing w:line="440" w:lineRule="exact"/>
        <w:ind w:firstLineChars="200" w:firstLine="480"/>
        <w:rPr>
          <w:kern w:val="0"/>
        </w:rPr>
      </w:pPr>
      <w:r>
        <w:rPr>
          <w:rFonts w:hint="eastAsia"/>
          <w:kern w:val="0"/>
        </w:rPr>
        <w:t>生产过程中危险废物</w:t>
      </w:r>
      <w:r w:rsidR="006A3620">
        <w:rPr>
          <w:rFonts w:hint="eastAsia"/>
          <w:kern w:val="0"/>
        </w:rPr>
        <w:t>废液</w:t>
      </w:r>
      <w:r>
        <w:rPr>
          <w:rFonts w:hint="eastAsia"/>
          <w:kern w:val="0"/>
        </w:rPr>
        <w:t>均分区存入危险废物库房，定期交由有资质单位处置</w:t>
      </w:r>
      <w:r w:rsidR="00687B5A">
        <w:rPr>
          <w:rFonts w:hint="eastAsia"/>
          <w:kern w:val="0"/>
        </w:rPr>
        <w:t>；生活垃圾集中收集后，委托换位部门定期清运处置，处置率</w:t>
      </w:r>
      <w:r w:rsidR="00687B5A">
        <w:rPr>
          <w:rFonts w:hint="eastAsia"/>
          <w:kern w:val="0"/>
        </w:rPr>
        <w:t>1</w:t>
      </w:r>
      <w:r w:rsidR="00687B5A">
        <w:rPr>
          <w:kern w:val="0"/>
        </w:rPr>
        <w:t>00%</w:t>
      </w:r>
      <w:r w:rsidR="00687B5A">
        <w:rPr>
          <w:rFonts w:hint="eastAsia"/>
          <w:kern w:val="0"/>
        </w:rPr>
        <w:t>。</w:t>
      </w:r>
    </w:p>
    <w:p w14:paraId="5988E3AB" w14:textId="1A458005" w:rsidR="00DD666C" w:rsidRPr="005B76A0" w:rsidRDefault="007C24ED">
      <w:pPr>
        <w:pStyle w:val="4"/>
        <w:spacing w:before="0" w:after="0" w:line="377" w:lineRule="auto"/>
        <w:rPr>
          <w:sz w:val="24"/>
        </w:rPr>
      </w:pPr>
      <w:r w:rsidRPr="005B76A0">
        <w:rPr>
          <w:rFonts w:ascii="Times New Roman" w:hAnsi="Times New Roman"/>
          <w:sz w:val="24"/>
        </w:rPr>
        <w:t>3.</w:t>
      </w:r>
      <w:r w:rsidR="00084B34" w:rsidRPr="005B76A0">
        <w:rPr>
          <w:rFonts w:ascii="Times New Roman" w:hAnsi="Times New Roman" w:hint="eastAsia"/>
          <w:sz w:val="24"/>
        </w:rPr>
        <w:t xml:space="preserve">5.7  </w:t>
      </w:r>
      <w:r w:rsidR="00084B34" w:rsidRPr="005B76A0">
        <w:rPr>
          <w:rFonts w:ascii="Times New Roman" w:hAnsi="Times New Roman" w:hint="eastAsia"/>
          <w:sz w:val="24"/>
        </w:rPr>
        <w:t>绩效</w:t>
      </w:r>
    </w:p>
    <w:p w14:paraId="7392FC59" w14:textId="6F558F99"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绩效指标从用地集约化、原料无害化、生产洁净化、废物资源化和能源低碳化五个方面提出了具体的指标要求，主要内容与《绿色工厂评价通则》（</w:t>
      </w:r>
      <w:r w:rsidRPr="005B76A0">
        <w:rPr>
          <w:rFonts w:hint="eastAsia"/>
          <w:kern w:val="0"/>
        </w:rPr>
        <w:t>GB/T 36132</w:t>
      </w:r>
      <w:r w:rsidRPr="005B76A0">
        <w:rPr>
          <w:rFonts w:hint="eastAsia"/>
          <w:kern w:val="0"/>
        </w:rPr>
        <w:t>）一致。</w:t>
      </w:r>
    </w:p>
    <w:p w14:paraId="68E7CB61" w14:textId="4B2BB6C7" w:rsidR="00DD666C" w:rsidRPr="005B76A0" w:rsidRDefault="00091416" w:rsidP="000D132A">
      <w:pPr>
        <w:autoSpaceDE w:val="0"/>
        <w:autoSpaceDN w:val="0"/>
        <w:adjustRightInd w:val="0"/>
        <w:spacing w:line="440" w:lineRule="exact"/>
        <w:ind w:firstLineChars="200" w:firstLine="480"/>
        <w:rPr>
          <w:kern w:val="0"/>
        </w:rPr>
      </w:pPr>
      <w:r>
        <w:rPr>
          <w:rFonts w:hint="eastAsia"/>
          <w:kern w:val="0"/>
        </w:rPr>
        <w:t>燕窝制品</w:t>
      </w:r>
      <w:r w:rsidR="00084B34" w:rsidRPr="005B76A0">
        <w:rPr>
          <w:rFonts w:hint="eastAsia"/>
          <w:kern w:val="0"/>
        </w:rPr>
        <w:t>制造业的生产原料无害化主要体现为</w:t>
      </w:r>
      <w:r w:rsidR="000C7BC4" w:rsidRPr="005B76A0">
        <w:rPr>
          <w:rFonts w:hint="eastAsia"/>
          <w:kern w:val="0"/>
        </w:rPr>
        <w:t>绿色物料使用情况</w:t>
      </w:r>
      <w:r w:rsidR="00084B34" w:rsidRPr="005B76A0">
        <w:rPr>
          <w:rFonts w:hint="eastAsia"/>
          <w:kern w:val="0"/>
        </w:rPr>
        <w:t>，</w:t>
      </w:r>
      <w:r w:rsidR="00846CD8" w:rsidRPr="00EB3A71">
        <w:rPr>
          <w:rFonts w:hint="eastAsia"/>
          <w:kern w:val="0"/>
        </w:rPr>
        <w:t>其中绿色物料主要</w:t>
      </w:r>
      <w:r w:rsidR="00AF00FB">
        <w:rPr>
          <w:rFonts w:hint="eastAsia"/>
          <w:kern w:val="0"/>
        </w:rPr>
        <w:t>为</w:t>
      </w:r>
      <w:r w:rsidR="006A3620">
        <w:rPr>
          <w:rFonts w:hint="eastAsia"/>
          <w:kern w:val="0"/>
        </w:rPr>
        <w:t>含有再生材料的金属包装</w:t>
      </w:r>
      <w:r w:rsidR="00084B34" w:rsidRPr="00AF00FB">
        <w:rPr>
          <w:kern w:val="0"/>
        </w:rPr>
        <w:t>。</w:t>
      </w:r>
      <w:r w:rsidR="00084B34" w:rsidRPr="005B76A0">
        <w:rPr>
          <w:rFonts w:hint="eastAsia"/>
          <w:kern w:val="0"/>
        </w:rPr>
        <w:t>根据行业企业的实际调研结果，</w:t>
      </w:r>
      <w:r w:rsidR="000C7BC4" w:rsidRPr="005B76A0">
        <w:rPr>
          <w:rFonts w:hint="eastAsia"/>
          <w:kern w:val="0"/>
        </w:rPr>
        <w:t>设置</w:t>
      </w:r>
      <w:r w:rsidR="00084B34" w:rsidRPr="005B76A0">
        <w:rPr>
          <w:rFonts w:hint="eastAsia"/>
          <w:kern w:val="0"/>
        </w:rPr>
        <w:t>必选指标为</w:t>
      </w:r>
      <w:r w:rsidR="000D132A" w:rsidRPr="005B76A0">
        <w:rPr>
          <w:rFonts w:hint="eastAsia"/>
          <w:kern w:val="0"/>
        </w:rPr>
        <w:t>按照</w:t>
      </w:r>
      <w:r w:rsidR="000D132A" w:rsidRPr="005B76A0">
        <w:rPr>
          <w:rFonts w:hint="eastAsia"/>
          <w:kern w:val="0"/>
        </w:rPr>
        <w:t>GB/T 36132</w:t>
      </w:r>
      <w:r w:rsidR="000D132A" w:rsidRPr="005B76A0">
        <w:rPr>
          <w:rFonts w:hint="eastAsia"/>
          <w:kern w:val="0"/>
        </w:rPr>
        <w:t>识别、统计和计算工厂的</w:t>
      </w:r>
      <w:bookmarkStart w:id="9" w:name="_Hlk121933598"/>
      <w:r w:rsidR="000D132A" w:rsidRPr="005B76A0">
        <w:rPr>
          <w:rFonts w:hint="eastAsia"/>
          <w:kern w:val="0"/>
        </w:rPr>
        <w:t>绿色物料使用情况</w:t>
      </w:r>
      <w:bookmarkEnd w:id="9"/>
      <w:r w:rsidR="00084B34" w:rsidRPr="005B76A0">
        <w:rPr>
          <w:rFonts w:hint="eastAsia"/>
          <w:kern w:val="0"/>
        </w:rPr>
        <w:t>，</w:t>
      </w:r>
      <w:r w:rsidR="00EA3C41" w:rsidRPr="005B76A0">
        <w:rPr>
          <w:rFonts w:hint="eastAsia"/>
          <w:kern w:val="0"/>
        </w:rPr>
        <w:t>且</w:t>
      </w:r>
      <w:r w:rsidR="000D132A" w:rsidRPr="005B76A0">
        <w:rPr>
          <w:rFonts w:hint="eastAsia"/>
          <w:kern w:val="0"/>
        </w:rPr>
        <w:t>主要物料</w:t>
      </w:r>
      <w:r w:rsidR="000D132A" w:rsidRPr="005B76A0">
        <w:rPr>
          <w:rFonts w:hint="eastAsia"/>
          <w:kern w:val="0"/>
        </w:rPr>
        <w:lastRenderedPageBreak/>
        <w:t>的绿色物料使用率</w:t>
      </w:r>
      <w:r w:rsidR="00236773" w:rsidRPr="005B76A0">
        <w:rPr>
          <w:rFonts w:hint="eastAsia"/>
          <w:kern w:val="0"/>
        </w:rPr>
        <w:t>宜</w:t>
      </w:r>
      <w:r w:rsidR="000D132A" w:rsidRPr="005B76A0">
        <w:rPr>
          <w:rFonts w:hint="eastAsia"/>
          <w:kern w:val="0"/>
        </w:rPr>
        <w:t>达</w:t>
      </w:r>
      <w:r w:rsidR="0020194A">
        <w:rPr>
          <w:rFonts w:hint="eastAsia"/>
          <w:kern w:val="0"/>
        </w:rPr>
        <w:t>30</w:t>
      </w:r>
      <w:r w:rsidR="00EB3A71">
        <w:rPr>
          <w:rFonts w:hint="eastAsia"/>
          <w:kern w:val="0"/>
        </w:rPr>
        <w:t>%</w:t>
      </w:r>
      <w:r w:rsidR="000D132A" w:rsidRPr="005B76A0">
        <w:rPr>
          <w:rFonts w:hint="eastAsia"/>
          <w:kern w:val="0"/>
        </w:rPr>
        <w:t>及以上</w:t>
      </w:r>
      <w:r w:rsidR="00084B34" w:rsidRPr="005B76A0">
        <w:rPr>
          <w:rFonts w:hint="eastAsia"/>
          <w:kern w:val="0"/>
        </w:rPr>
        <w:t>。</w:t>
      </w:r>
    </w:p>
    <w:p w14:paraId="2F66E048" w14:textId="1DABC312" w:rsidR="00F41519" w:rsidRPr="00324E3A" w:rsidRDefault="00084B34" w:rsidP="00F41519">
      <w:pPr>
        <w:autoSpaceDE w:val="0"/>
        <w:autoSpaceDN w:val="0"/>
        <w:adjustRightInd w:val="0"/>
        <w:spacing w:line="440" w:lineRule="exact"/>
        <w:ind w:firstLineChars="200" w:firstLine="480"/>
        <w:rPr>
          <w:kern w:val="0"/>
        </w:rPr>
      </w:pPr>
      <w:r w:rsidRPr="005B76A0">
        <w:rPr>
          <w:rFonts w:hint="eastAsia"/>
          <w:kern w:val="0"/>
        </w:rPr>
        <w:t>生产洁净化指标</w:t>
      </w:r>
      <w:r w:rsidR="00C21322">
        <w:rPr>
          <w:rFonts w:hint="eastAsia"/>
          <w:kern w:val="0"/>
        </w:rPr>
        <w:t>包括单位产品废水排放量</w:t>
      </w:r>
      <w:r w:rsidR="00AD1E18">
        <w:rPr>
          <w:rFonts w:hint="eastAsia"/>
          <w:kern w:val="0"/>
        </w:rPr>
        <w:t>和单位产品</w:t>
      </w:r>
      <w:r w:rsidR="00AD1E18">
        <w:rPr>
          <w:rFonts w:hint="eastAsia"/>
        </w:rPr>
        <w:t>主要污染物</w:t>
      </w:r>
      <w:bookmarkStart w:id="10" w:name="_Hlk126064334"/>
      <w:r w:rsidR="00AD1E18">
        <w:rPr>
          <w:rFonts w:hint="eastAsia"/>
        </w:rPr>
        <w:t>（</w:t>
      </w:r>
      <w:r w:rsidR="00AD1E18">
        <w:rPr>
          <w:rFonts w:hint="eastAsia"/>
        </w:rPr>
        <w:t>C</w:t>
      </w:r>
      <w:r w:rsidR="00AD1E18">
        <w:t>OD</w:t>
      </w:r>
      <w:r w:rsidR="00AD1E18">
        <w:rPr>
          <w:rFonts w:hint="eastAsia"/>
        </w:rPr>
        <w:t>、氨氮）排放量</w:t>
      </w:r>
      <w:bookmarkEnd w:id="10"/>
      <w:r w:rsidR="00324E3A">
        <w:rPr>
          <w:rFonts w:hint="eastAsia"/>
          <w:kern w:val="0"/>
        </w:rPr>
        <w:t>，</w:t>
      </w:r>
      <w:r w:rsidR="00AD1E18" w:rsidRPr="00324E3A">
        <w:rPr>
          <w:rFonts w:hint="eastAsia"/>
          <w:color w:val="000000"/>
        </w:rPr>
        <w:t>调研</w:t>
      </w:r>
      <w:r w:rsidR="00AD1E18">
        <w:rPr>
          <w:rFonts w:hint="eastAsia"/>
          <w:color w:val="000000"/>
        </w:rPr>
        <w:t>的燕窝制品生产</w:t>
      </w:r>
      <w:r w:rsidR="00AD1E18" w:rsidRPr="00324E3A">
        <w:rPr>
          <w:rFonts w:hint="eastAsia"/>
          <w:color w:val="000000"/>
        </w:rPr>
        <w:t>企业</w:t>
      </w:r>
      <w:r w:rsidR="00AD1E18">
        <w:rPr>
          <w:rFonts w:hint="eastAsia"/>
          <w:color w:val="000000"/>
        </w:rPr>
        <w:t>的废水经简单处理后排入市政管网</w:t>
      </w:r>
      <w:r w:rsidR="00AD1E18">
        <w:rPr>
          <w:rFonts w:hint="eastAsia"/>
          <w:kern w:val="0"/>
        </w:rPr>
        <w:t>。其中，</w:t>
      </w:r>
      <w:r w:rsidR="00324E3A" w:rsidRPr="00324E3A">
        <w:rPr>
          <w:rFonts w:hint="eastAsia"/>
          <w:color w:val="000000"/>
        </w:rPr>
        <w:t>氨氮排放浓度（</w:t>
      </w:r>
      <w:r w:rsidR="00324E3A" w:rsidRPr="00324E3A">
        <w:rPr>
          <w:rFonts w:hint="eastAsia"/>
          <w:color w:val="000000"/>
        </w:rPr>
        <w:t>0.418mg/L</w:t>
      </w:r>
      <w:r w:rsidR="00324E3A" w:rsidRPr="00324E3A">
        <w:rPr>
          <w:rFonts w:hint="eastAsia"/>
          <w:color w:val="000000"/>
        </w:rPr>
        <w:t>、</w:t>
      </w:r>
      <w:r w:rsidR="00324E3A" w:rsidRPr="00324E3A">
        <w:rPr>
          <w:rFonts w:hint="eastAsia"/>
          <w:color w:val="000000"/>
        </w:rPr>
        <w:t>3.968mg/L</w:t>
      </w:r>
      <w:r w:rsidR="00324E3A" w:rsidRPr="00324E3A">
        <w:rPr>
          <w:rFonts w:hint="eastAsia"/>
          <w:color w:val="000000"/>
        </w:rPr>
        <w:t>、</w:t>
      </w:r>
      <w:r w:rsidR="00324E3A" w:rsidRPr="00324E3A">
        <w:rPr>
          <w:rFonts w:hint="eastAsia"/>
          <w:color w:val="000000"/>
        </w:rPr>
        <w:t>3.971mg/L</w:t>
      </w:r>
      <w:r w:rsidR="00324E3A" w:rsidRPr="00324E3A">
        <w:rPr>
          <w:rFonts w:hint="eastAsia"/>
          <w:color w:val="000000"/>
        </w:rPr>
        <w:t>、</w:t>
      </w:r>
      <w:r w:rsidR="00324E3A" w:rsidRPr="00324E3A">
        <w:rPr>
          <w:rFonts w:hint="eastAsia"/>
          <w:color w:val="000000"/>
        </w:rPr>
        <w:t>3.967mg/L</w:t>
      </w:r>
      <w:r w:rsidR="00324E3A" w:rsidRPr="00324E3A">
        <w:rPr>
          <w:rFonts w:hint="eastAsia"/>
          <w:color w:val="000000"/>
        </w:rPr>
        <w:t>）远低于</w:t>
      </w:r>
      <w:r w:rsidR="00324E3A" w:rsidRPr="00324E3A">
        <w:rPr>
          <w:rFonts w:hint="eastAsia"/>
          <w:color w:val="000000"/>
        </w:rPr>
        <w:t>GB 8978-1996</w:t>
      </w:r>
      <w:r w:rsidR="00324E3A" w:rsidRPr="00324E3A">
        <w:rPr>
          <w:rFonts w:hint="eastAsia"/>
          <w:color w:val="000000"/>
        </w:rPr>
        <w:t>《污水综合排放标准》中其他排污单位的的一级标准（</w:t>
      </w:r>
      <w:r w:rsidR="00324E3A" w:rsidRPr="00324E3A">
        <w:rPr>
          <w:rFonts w:hint="eastAsia"/>
          <w:color w:val="000000"/>
        </w:rPr>
        <w:t>15mg/L</w:t>
      </w:r>
      <w:r w:rsidR="00324E3A" w:rsidRPr="00324E3A">
        <w:rPr>
          <w:rFonts w:hint="eastAsia"/>
          <w:color w:val="000000"/>
        </w:rPr>
        <w:t>），</w:t>
      </w:r>
      <w:r w:rsidR="00324E3A" w:rsidRPr="00324E3A">
        <w:rPr>
          <w:rFonts w:hint="eastAsia"/>
          <w:color w:val="000000"/>
        </w:rPr>
        <w:t>COD</w:t>
      </w:r>
      <w:r w:rsidR="00324E3A" w:rsidRPr="00324E3A">
        <w:rPr>
          <w:rFonts w:hint="eastAsia"/>
          <w:color w:val="000000"/>
        </w:rPr>
        <w:t>排放浓度也</w:t>
      </w:r>
      <w:r w:rsidR="00AD1E18">
        <w:rPr>
          <w:rFonts w:hint="eastAsia"/>
          <w:color w:val="000000"/>
        </w:rPr>
        <w:t>远</w:t>
      </w:r>
      <w:r w:rsidR="00324E3A" w:rsidRPr="00324E3A">
        <w:rPr>
          <w:rFonts w:hint="eastAsia"/>
          <w:color w:val="000000"/>
        </w:rPr>
        <w:t>低于</w:t>
      </w:r>
      <w:r w:rsidR="00324E3A" w:rsidRPr="00324E3A">
        <w:rPr>
          <w:rFonts w:hint="eastAsia"/>
          <w:color w:val="000000"/>
        </w:rPr>
        <w:t>GB 8978-1996</w:t>
      </w:r>
      <w:r w:rsidR="00324E3A" w:rsidRPr="00324E3A">
        <w:rPr>
          <w:rFonts w:hint="eastAsia"/>
          <w:color w:val="000000"/>
        </w:rPr>
        <w:t>中的三级标准（排入城镇排水系统的污水应执行的标准，</w:t>
      </w:r>
      <w:r w:rsidR="00324E3A" w:rsidRPr="00324E3A">
        <w:rPr>
          <w:rFonts w:hint="eastAsia"/>
          <w:color w:val="000000"/>
        </w:rPr>
        <w:t>500mg/L</w:t>
      </w:r>
      <w:r w:rsidR="00324E3A" w:rsidRPr="00324E3A">
        <w:rPr>
          <w:rFonts w:hint="eastAsia"/>
          <w:color w:val="000000"/>
        </w:rPr>
        <w:t>），因此</w:t>
      </w:r>
      <w:r w:rsidR="00AD1E18">
        <w:rPr>
          <w:rFonts w:hint="eastAsia"/>
          <w:color w:val="000000"/>
        </w:rPr>
        <w:t>不考察企业废水处理装置的处理效率，</w:t>
      </w:r>
      <w:r w:rsidR="00324E3A" w:rsidRPr="00324E3A">
        <w:rPr>
          <w:rFonts w:hint="eastAsia"/>
          <w:color w:val="000000"/>
        </w:rPr>
        <w:t>但氨氮</w:t>
      </w:r>
      <w:r w:rsidR="00AD1E18">
        <w:rPr>
          <w:rFonts w:hint="eastAsia"/>
          <w:color w:val="000000"/>
        </w:rPr>
        <w:t>和</w:t>
      </w:r>
      <w:r w:rsidR="00AD1E18">
        <w:rPr>
          <w:rFonts w:hint="eastAsia"/>
          <w:color w:val="000000"/>
        </w:rPr>
        <w:t>COD</w:t>
      </w:r>
      <w:r w:rsidR="00324E3A" w:rsidRPr="00324E3A">
        <w:rPr>
          <w:rFonts w:hint="eastAsia"/>
          <w:color w:val="000000"/>
        </w:rPr>
        <w:t>属于水体污染物，基于绿色制造控污减排的总体目标</w:t>
      </w:r>
      <w:r w:rsidR="00AD1E18">
        <w:rPr>
          <w:rFonts w:hint="eastAsia"/>
          <w:color w:val="000000"/>
        </w:rPr>
        <w:t>和</w:t>
      </w:r>
      <w:r w:rsidR="00AD1E18" w:rsidRPr="00324E3A">
        <w:rPr>
          <w:rFonts w:hint="eastAsia"/>
          <w:color w:val="000000"/>
        </w:rPr>
        <w:t>排放总量与强度</w:t>
      </w:r>
      <w:r w:rsidR="00AD1E18">
        <w:rPr>
          <w:rFonts w:hint="eastAsia"/>
          <w:color w:val="000000"/>
        </w:rPr>
        <w:t>“</w:t>
      </w:r>
      <w:r w:rsidR="00AD1E18" w:rsidRPr="00324E3A">
        <w:rPr>
          <w:rFonts w:hint="eastAsia"/>
          <w:color w:val="000000"/>
        </w:rPr>
        <w:t>双控</w:t>
      </w:r>
      <w:r w:rsidR="00AD1E18">
        <w:rPr>
          <w:rFonts w:hint="eastAsia"/>
          <w:color w:val="000000"/>
        </w:rPr>
        <w:t>”</w:t>
      </w:r>
      <w:r w:rsidR="00AD1E18" w:rsidRPr="00324E3A">
        <w:rPr>
          <w:rFonts w:hint="eastAsia"/>
          <w:color w:val="000000"/>
        </w:rPr>
        <w:t>的原则</w:t>
      </w:r>
      <w:r w:rsidR="00324E3A" w:rsidRPr="00324E3A">
        <w:rPr>
          <w:rFonts w:hint="eastAsia"/>
          <w:color w:val="000000"/>
        </w:rPr>
        <w:t>，根据行业特征设置了单位产品氨氮排放量</w:t>
      </w:r>
      <w:r w:rsidR="00AD1E18">
        <w:rPr>
          <w:rFonts w:hint="eastAsia"/>
          <w:color w:val="000000"/>
        </w:rPr>
        <w:t>及</w:t>
      </w:r>
      <w:r w:rsidR="00324E3A" w:rsidRPr="00324E3A">
        <w:rPr>
          <w:rFonts w:hint="eastAsia"/>
          <w:color w:val="000000"/>
        </w:rPr>
        <w:t>单位产品</w:t>
      </w:r>
      <w:r w:rsidR="00324E3A" w:rsidRPr="00324E3A">
        <w:rPr>
          <w:rFonts w:hint="eastAsia"/>
          <w:color w:val="000000"/>
        </w:rPr>
        <w:t>COD</w:t>
      </w:r>
      <w:r w:rsidR="00324E3A" w:rsidRPr="00324E3A">
        <w:rPr>
          <w:rFonts w:hint="eastAsia"/>
          <w:color w:val="000000"/>
        </w:rPr>
        <w:t>排放量</w:t>
      </w:r>
      <w:r w:rsidR="00AD1E18">
        <w:rPr>
          <w:rFonts w:hint="eastAsia"/>
          <w:color w:val="000000"/>
        </w:rPr>
        <w:t>基准值和先进值</w:t>
      </w:r>
      <w:r w:rsidR="00324E3A" w:rsidRPr="00324E3A">
        <w:rPr>
          <w:rFonts w:hint="eastAsia"/>
          <w:color w:val="000000"/>
        </w:rPr>
        <w:t>。</w:t>
      </w:r>
    </w:p>
    <w:p w14:paraId="3488556F" w14:textId="595DEF22" w:rsidR="00C21322" w:rsidRPr="00377DF3" w:rsidRDefault="00377DF3" w:rsidP="00377DF3">
      <w:pPr>
        <w:pStyle w:val="af"/>
        <w:jc w:val="center"/>
      </w:pPr>
      <w:r>
        <w:rPr>
          <w:rFonts w:hint="eastAsia"/>
        </w:rPr>
        <w:t>表</w:t>
      </w:r>
      <w:r>
        <w:rPr>
          <w:rFonts w:hint="eastAsia"/>
        </w:rPr>
        <w:t xml:space="preserve"> </w:t>
      </w:r>
      <w:r w:rsidR="00BE6E38">
        <w:rPr>
          <w:rFonts w:hint="eastAsia"/>
        </w:rPr>
        <w:t>3</w:t>
      </w:r>
      <w:r>
        <w:rPr>
          <w:rFonts w:hint="eastAsia"/>
        </w:rPr>
        <w:t xml:space="preserve"> </w:t>
      </w:r>
      <w:r w:rsidR="00C21322">
        <w:rPr>
          <w:rFonts w:ascii="Times New Roman"/>
          <w:color w:val="000000"/>
        </w:rPr>
        <w:t>燕窝制品生产过程</w:t>
      </w:r>
      <w:r w:rsidR="00C21322">
        <w:rPr>
          <w:rFonts w:ascii="Times New Roman" w:hint="eastAsia"/>
          <w:color w:val="000000"/>
        </w:rPr>
        <w:t>中</w:t>
      </w:r>
      <w:r w:rsidR="00C21322">
        <w:rPr>
          <w:rFonts w:hint="eastAsia"/>
          <w:color w:val="000000"/>
          <w:szCs w:val="21"/>
        </w:rPr>
        <w:t>废水处理情况企业调研数据汇总</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9"/>
        <w:gridCol w:w="989"/>
        <w:gridCol w:w="1153"/>
        <w:gridCol w:w="1396"/>
        <w:gridCol w:w="1414"/>
      </w:tblGrid>
      <w:tr w:rsidR="006E5014" w14:paraId="12279888" w14:textId="77777777" w:rsidTr="00FF6132">
        <w:trPr>
          <w:cantSplit/>
          <w:trHeight w:val="333"/>
          <w:jc w:val="center"/>
        </w:trPr>
        <w:tc>
          <w:tcPr>
            <w:tcW w:w="1985" w:type="pct"/>
            <w:vAlign w:val="center"/>
          </w:tcPr>
          <w:p w14:paraId="6D425ECF" w14:textId="2A2B0D2E" w:rsidR="006E5014" w:rsidRPr="0042033B" w:rsidRDefault="006E5014" w:rsidP="006E5014">
            <w:pPr>
              <w:pStyle w:val="af2"/>
              <w:widowControl/>
              <w:adjustRightInd w:val="0"/>
              <w:spacing w:line="320" w:lineRule="exact"/>
              <w:ind w:firstLine="0"/>
              <w:jc w:val="center"/>
              <w:rPr>
                <w:color w:val="000000"/>
                <w:sz w:val="21"/>
                <w:szCs w:val="21"/>
              </w:rPr>
            </w:pPr>
            <w:r w:rsidRPr="00FF6132">
              <w:rPr>
                <w:rFonts w:ascii="Times New Roman" w:eastAsia="宋体" w:hint="eastAsia"/>
                <w:sz w:val="21"/>
                <w:szCs w:val="21"/>
              </w:rPr>
              <w:t>废水处理情况</w:t>
            </w:r>
          </w:p>
        </w:tc>
        <w:tc>
          <w:tcPr>
            <w:tcW w:w="602" w:type="pct"/>
            <w:vAlign w:val="center"/>
          </w:tcPr>
          <w:p w14:paraId="263C2316" w14:textId="50A56411" w:rsidR="006E5014" w:rsidRPr="0042033B" w:rsidRDefault="006E5014" w:rsidP="006E5014">
            <w:pPr>
              <w:pStyle w:val="af2"/>
              <w:widowControl/>
              <w:adjustRightInd w:val="0"/>
              <w:spacing w:line="320" w:lineRule="exact"/>
              <w:ind w:firstLine="0"/>
              <w:jc w:val="center"/>
              <w:rPr>
                <w:color w:val="000000"/>
                <w:sz w:val="21"/>
                <w:szCs w:val="21"/>
              </w:rPr>
            </w:pPr>
            <w:r w:rsidRPr="0042033B">
              <w:rPr>
                <w:rFonts w:hint="eastAsia"/>
                <w:sz w:val="21"/>
                <w:szCs w:val="21"/>
              </w:rPr>
              <w:t>#1</w:t>
            </w:r>
          </w:p>
        </w:tc>
        <w:tc>
          <w:tcPr>
            <w:tcW w:w="702" w:type="pct"/>
            <w:vAlign w:val="center"/>
          </w:tcPr>
          <w:p w14:paraId="6C1ACE71" w14:textId="73FCCF84" w:rsidR="006E5014" w:rsidRPr="0042033B" w:rsidRDefault="006E5014" w:rsidP="006E5014">
            <w:pPr>
              <w:widowControl/>
              <w:adjustRightInd w:val="0"/>
              <w:spacing w:line="320" w:lineRule="exact"/>
              <w:jc w:val="center"/>
              <w:rPr>
                <w:sz w:val="21"/>
                <w:szCs w:val="21"/>
              </w:rPr>
            </w:pPr>
            <w:r w:rsidRPr="0042033B">
              <w:rPr>
                <w:rFonts w:hint="eastAsia"/>
                <w:sz w:val="21"/>
                <w:szCs w:val="21"/>
              </w:rPr>
              <w:t>#2</w:t>
            </w:r>
          </w:p>
        </w:tc>
        <w:tc>
          <w:tcPr>
            <w:tcW w:w="850" w:type="pct"/>
            <w:vAlign w:val="center"/>
          </w:tcPr>
          <w:p w14:paraId="5B6EC1E1" w14:textId="44B1F802" w:rsidR="006E5014" w:rsidRPr="0042033B" w:rsidRDefault="006E5014" w:rsidP="006E5014">
            <w:pPr>
              <w:widowControl/>
              <w:adjustRightInd w:val="0"/>
              <w:spacing w:line="320" w:lineRule="exact"/>
              <w:jc w:val="center"/>
              <w:rPr>
                <w:sz w:val="21"/>
                <w:szCs w:val="21"/>
              </w:rPr>
            </w:pPr>
            <w:r w:rsidRPr="0042033B">
              <w:rPr>
                <w:rFonts w:hint="eastAsia"/>
                <w:sz w:val="21"/>
                <w:szCs w:val="21"/>
              </w:rPr>
              <w:t>#3</w:t>
            </w:r>
          </w:p>
        </w:tc>
        <w:tc>
          <w:tcPr>
            <w:tcW w:w="861" w:type="pct"/>
            <w:vAlign w:val="center"/>
          </w:tcPr>
          <w:p w14:paraId="4310C641" w14:textId="7A8444B5" w:rsidR="006E5014" w:rsidRPr="0042033B" w:rsidRDefault="006E5014" w:rsidP="006E5014">
            <w:pPr>
              <w:widowControl/>
              <w:adjustRightInd w:val="0"/>
              <w:spacing w:line="320" w:lineRule="exact"/>
              <w:jc w:val="center"/>
              <w:rPr>
                <w:sz w:val="21"/>
                <w:szCs w:val="21"/>
              </w:rPr>
            </w:pPr>
            <w:r w:rsidRPr="0042033B">
              <w:rPr>
                <w:rFonts w:hint="eastAsia"/>
                <w:sz w:val="21"/>
                <w:szCs w:val="21"/>
              </w:rPr>
              <w:t>#4</w:t>
            </w:r>
          </w:p>
        </w:tc>
      </w:tr>
      <w:tr w:rsidR="00AD1E18" w14:paraId="789561CD" w14:textId="77777777" w:rsidTr="0097185B">
        <w:trPr>
          <w:cantSplit/>
          <w:trHeight w:val="333"/>
          <w:jc w:val="center"/>
        </w:trPr>
        <w:tc>
          <w:tcPr>
            <w:tcW w:w="1985" w:type="pct"/>
            <w:vAlign w:val="center"/>
          </w:tcPr>
          <w:p w14:paraId="7F739BD5" w14:textId="1394C890" w:rsidR="00AD1E18" w:rsidRPr="00AD1E18" w:rsidRDefault="00AD1E18" w:rsidP="00AD1E18">
            <w:pPr>
              <w:pStyle w:val="af2"/>
              <w:widowControl/>
              <w:adjustRightInd w:val="0"/>
              <w:spacing w:line="320" w:lineRule="exact"/>
              <w:ind w:firstLine="0"/>
              <w:jc w:val="center"/>
              <w:rPr>
                <w:rFonts w:ascii="Times New Roman" w:eastAsia="宋体"/>
                <w:sz w:val="21"/>
                <w:szCs w:val="21"/>
              </w:rPr>
            </w:pPr>
            <w:r w:rsidRPr="00AD1E18">
              <w:rPr>
                <w:rFonts w:ascii="Times New Roman" w:eastAsia="宋体" w:hint="eastAsia"/>
                <w:sz w:val="21"/>
                <w:szCs w:val="21"/>
              </w:rPr>
              <w:t>废水处理装置处理工艺</w:t>
            </w:r>
          </w:p>
        </w:tc>
        <w:tc>
          <w:tcPr>
            <w:tcW w:w="602" w:type="pct"/>
            <w:vAlign w:val="center"/>
          </w:tcPr>
          <w:p w14:paraId="112E40BB" w14:textId="4DDEFA21" w:rsidR="00AD1E18" w:rsidRPr="00AD1E18" w:rsidRDefault="00AD1E18" w:rsidP="00AD1E18">
            <w:pPr>
              <w:pStyle w:val="af2"/>
              <w:widowControl/>
              <w:adjustRightInd w:val="0"/>
              <w:spacing w:line="320" w:lineRule="exact"/>
              <w:ind w:firstLine="0"/>
              <w:jc w:val="center"/>
              <w:rPr>
                <w:rFonts w:ascii="Times New Roman" w:eastAsia="宋体"/>
                <w:sz w:val="21"/>
                <w:szCs w:val="21"/>
              </w:rPr>
            </w:pPr>
            <w:r w:rsidRPr="00AD1E18">
              <w:rPr>
                <w:rFonts w:ascii="Times New Roman" w:eastAsia="宋体" w:hint="eastAsia"/>
                <w:sz w:val="21"/>
                <w:szCs w:val="21"/>
              </w:rPr>
              <w:t>调节池—过滤</w:t>
            </w:r>
          </w:p>
        </w:tc>
        <w:tc>
          <w:tcPr>
            <w:tcW w:w="702" w:type="pct"/>
          </w:tcPr>
          <w:p w14:paraId="3675ED46" w14:textId="7E2E9834" w:rsidR="00AD1E18" w:rsidRPr="00AD1E18" w:rsidRDefault="00AD1E18" w:rsidP="00AD1E18">
            <w:pPr>
              <w:widowControl/>
              <w:adjustRightInd w:val="0"/>
              <w:spacing w:line="320" w:lineRule="exact"/>
              <w:jc w:val="center"/>
              <w:rPr>
                <w:sz w:val="21"/>
                <w:szCs w:val="21"/>
              </w:rPr>
            </w:pPr>
            <w:r w:rsidRPr="00AD1E18">
              <w:rPr>
                <w:rFonts w:hint="eastAsia"/>
                <w:sz w:val="21"/>
                <w:szCs w:val="21"/>
              </w:rPr>
              <w:t>气浮设备</w:t>
            </w:r>
            <w:r w:rsidRPr="00AD1E18">
              <w:rPr>
                <w:rFonts w:hint="eastAsia"/>
                <w:sz w:val="21"/>
                <w:szCs w:val="21"/>
              </w:rPr>
              <w:t>+</w:t>
            </w:r>
            <w:r w:rsidRPr="00AD1E18">
              <w:rPr>
                <w:rFonts w:hint="eastAsia"/>
                <w:sz w:val="21"/>
                <w:szCs w:val="21"/>
              </w:rPr>
              <w:t>石英砂过滤器</w:t>
            </w:r>
            <w:r w:rsidRPr="00AD1E18">
              <w:rPr>
                <w:rFonts w:hint="eastAsia"/>
                <w:sz w:val="21"/>
                <w:szCs w:val="21"/>
              </w:rPr>
              <w:t>+</w:t>
            </w:r>
            <w:r w:rsidRPr="00AD1E18">
              <w:rPr>
                <w:rFonts w:hint="eastAsia"/>
                <w:sz w:val="21"/>
                <w:szCs w:val="21"/>
              </w:rPr>
              <w:t>活性炭过滤器</w:t>
            </w:r>
          </w:p>
        </w:tc>
        <w:tc>
          <w:tcPr>
            <w:tcW w:w="850" w:type="pct"/>
          </w:tcPr>
          <w:p w14:paraId="651C57C4" w14:textId="5C920963" w:rsidR="00AD1E18" w:rsidRPr="00AD1E18" w:rsidRDefault="00AD1E18" w:rsidP="00AD1E18">
            <w:pPr>
              <w:widowControl/>
              <w:adjustRightInd w:val="0"/>
              <w:spacing w:line="320" w:lineRule="exact"/>
              <w:jc w:val="center"/>
              <w:rPr>
                <w:sz w:val="21"/>
                <w:szCs w:val="21"/>
              </w:rPr>
            </w:pPr>
            <w:r w:rsidRPr="00AD1E18">
              <w:rPr>
                <w:rFonts w:hint="eastAsia"/>
                <w:sz w:val="21"/>
                <w:szCs w:val="21"/>
              </w:rPr>
              <w:t>气浮设备</w:t>
            </w:r>
            <w:r w:rsidRPr="00AD1E18">
              <w:rPr>
                <w:rFonts w:hint="eastAsia"/>
                <w:sz w:val="21"/>
                <w:szCs w:val="21"/>
              </w:rPr>
              <w:t>+</w:t>
            </w:r>
            <w:r w:rsidRPr="00AD1E18">
              <w:rPr>
                <w:rFonts w:hint="eastAsia"/>
                <w:sz w:val="21"/>
                <w:szCs w:val="21"/>
              </w:rPr>
              <w:t>石英砂过滤器</w:t>
            </w:r>
            <w:r w:rsidRPr="00AD1E18">
              <w:rPr>
                <w:rFonts w:hint="eastAsia"/>
                <w:sz w:val="21"/>
                <w:szCs w:val="21"/>
              </w:rPr>
              <w:t>+</w:t>
            </w:r>
            <w:r w:rsidRPr="00AD1E18">
              <w:rPr>
                <w:rFonts w:hint="eastAsia"/>
                <w:sz w:val="21"/>
                <w:szCs w:val="21"/>
              </w:rPr>
              <w:t>活性炭过滤器</w:t>
            </w:r>
          </w:p>
        </w:tc>
        <w:tc>
          <w:tcPr>
            <w:tcW w:w="861" w:type="pct"/>
          </w:tcPr>
          <w:p w14:paraId="0B5FE308" w14:textId="697EF69A" w:rsidR="00AD1E18" w:rsidRPr="00AD1E18" w:rsidRDefault="00AD1E18" w:rsidP="00AD1E18">
            <w:pPr>
              <w:widowControl/>
              <w:adjustRightInd w:val="0"/>
              <w:spacing w:line="320" w:lineRule="exact"/>
              <w:jc w:val="center"/>
              <w:rPr>
                <w:sz w:val="21"/>
                <w:szCs w:val="21"/>
              </w:rPr>
            </w:pPr>
            <w:r w:rsidRPr="00AD1E18">
              <w:rPr>
                <w:rFonts w:hint="eastAsia"/>
                <w:sz w:val="21"/>
                <w:szCs w:val="21"/>
              </w:rPr>
              <w:t>气浮设备</w:t>
            </w:r>
            <w:r w:rsidRPr="00AD1E18">
              <w:rPr>
                <w:rFonts w:hint="eastAsia"/>
                <w:sz w:val="21"/>
                <w:szCs w:val="21"/>
              </w:rPr>
              <w:t>+</w:t>
            </w:r>
            <w:r w:rsidRPr="00AD1E18">
              <w:rPr>
                <w:rFonts w:hint="eastAsia"/>
                <w:sz w:val="21"/>
                <w:szCs w:val="21"/>
              </w:rPr>
              <w:t>石英砂过滤器</w:t>
            </w:r>
            <w:r w:rsidRPr="00AD1E18">
              <w:rPr>
                <w:rFonts w:hint="eastAsia"/>
                <w:sz w:val="21"/>
                <w:szCs w:val="21"/>
              </w:rPr>
              <w:t>+</w:t>
            </w:r>
            <w:r w:rsidRPr="00AD1E18">
              <w:rPr>
                <w:rFonts w:hint="eastAsia"/>
                <w:sz w:val="21"/>
                <w:szCs w:val="21"/>
              </w:rPr>
              <w:t>活性炭过滤器</w:t>
            </w:r>
          </w:p>
        </w:tc>
      </w:tr>
      <w:tr w:rsidR="006E5014" w14:paraId="5CA6B0EA" w14:textId="77777777" w:rsidTr="00FF6132">
        <w:trPr>
          <w:cantSplit/>
          <w:trHeight w:val="333"/>
          <w:jc w:val="center"/>
        </w:trPr>
        <w:tc>
          <w:tcPr>
            <w:tcW w:w="1985" w:type="pct"/>
            <w:vAlign w:val="center"/>
          </w:tcPr>
          <w:p w14:paraId="5682EC67" w14:textId="77777777" w:rsidR="006E5014" w:rsidRPr="0042033B" w:rsidRDefault="006E5014" w:rsidP="006E5014">
            <w:pPr>
              <w:adjustRightInd w:val="0"/>
              <w:jc w:val="center"/>
              <w:rPr>
                <w:sz w:val="21"/>
                <w:szCs w:val="21"/>
              </w:rPr>
            </w:pPr>
            <w:r w:rsidRPr="0042033B">
              <w:rPr>
                <w:rFonts w:hint="eastAsia"/>
                <w:sz w:val="21"/>
                <w:szCs w:val="21"/>
              </w:rPr>
              <w:t>废水产生量（</w:t>
            </w:r>
            <w:r w:rsidRPr="0042033B">
              <w:rPr>
                <w:rFonts w:hint="eastAsia"/>
                <w:sz w:val="21"/>
                <w:szCs w:val="21"/>
              </w:rPr>
              <w:t>m</w:t>
            </w:r>
            <w:r w:rsidRPr="0042033B">
              <w:rPr>
                <w:sz w:val="21"/>
                <w:szCs w:val="21"/>
                <w:vertAlign w:val="superscript"/>
              </w:rPr>
              <w:t>3</w:t>
            </w:r>
            <w:r w:rsidRPr="0042033B">
              <w:rPr>
                <w:sz w:val="21"/>
                <w:szCs w:val="21"/>
              </w:rPr>
              <w:t>/a</w:t>
            </w:r>
            <w:r w:rsidRPr="0042033B">
              <w:rPr>
                <w:rFonts w:hint="eastAsia"/>
                <w:sz w:val="21"/>
                <w:szCs w:val="21"/>
              </w:rPr>
              <w:t>）</w:t>
            </w:r>
          </w:p>
        </w:tc>
        <w:tc>
          <w:tcPr>
            <w:tcW w:w="602" w:type="pct"/>
            <w:vAlign w:val="center"/>
          </w:tcPr>
          <w:p w14:paraId="77B410F1" w14:textId="77777777" w:rsidR="006E5014" w:rsidRPr="0042033B" w:rsidRDefault="006E5014" w:rsidP="006E5014">
            <w:pPr>
              <w:adjustRightInd w:val="0"/>
              <w:jc w:val="center"/>
              <w:rPr>
                <w:sz w:val="21"/>
                <w:szCs w:val="21"/>
              </w:rPr>
            </w:pPr>
            <w:r w:rsidRPr="0042033B">
              <w:rPr>
                <w:sz w:val="21"/>
                <w:szCs w:val="21"/>
              </w:rPr>
              <w:t>112317</w:t>
            </w:r>
          </w:p>
        </w:tc>
        <w:tc>
          <w:tcPr>
            <w:tcW w:w="702" w:type="pct"/>
          </w:tcPr>
          <w:p w14:paraId="51FAF279" w14:textId="77777777" w:rsidR="006E5014" w:rsidRPr="0042033B" w:rsidRDefault="006E5014" w:rsidP="006E5014">
            <w:pPr>
              <w:adjustRightInd w:val="0"/>
              <w:jc w:val="center"/>
              <w:rPr>
                <w:sz w:val="21"/>
                <w:szCs w:val="21"/>
              </w:rPr>
            </w:pPr>
            <w:r w:rsidRPr="0042033B">
              <w:rPr>
                <w:sz w:val="21"/>
                <w:szCs w:val="21"/>
              </w:rPr>
              <w:t>220010</w:t>
            </w:r>
          </w:p>
        </w:tc>
        <w:tc>
          <w:tcPr>
            <w:tcW w:w="850" w:type="pct"/>
          </w:tcPr>
          <w:p w14:paraId="2334EECA" w14:textId="77777777" w:rsidR="006E5014" w:rsidRPr="0042033B" w:rsidRDefault="006E5014" w:rsidP="006E5014">
            <w:pPr>
              <w:adjustRightInd w:val="0"/>
              <w:jc w:val="center"/>
              <w:rPr>
                <w:sz w:val="21"/>
                <w:szCs w:val="21"/>
              </w:rPr>
            </w:pPr>
            <w:r w:rsidRPr="0042033B">
              <w:rPr>
                <w:sz w:val="21"/>
                <w:szCs w:val="21"/>
              </w:rPr>
              <w:t>177302</w:t>
            </w:r>
          </w:p>
        </w:tc>
        <w:tc>
          <w:tcPr>
            <w:tcW w:w="861" w:type="pct"/>
          </w:tcPr>
          <w:p w14:paraId="40B98543" w14:textId="77777777" w:rsidR="006E5014" w:rsidRPr="0042033B" w:rsidRDefault="006E5014" w:rsidP="006E5014">
            <w:pPr>
              <w:adjustRightInd w:val="0"/>
              <w:jc w:val="center"/>
              <w:rPr>
                <w:sz w:val="21"/>
                <w:szCs w:val="21"/>
              </w:rPr>
            </w:pPr>
            <w:r w:rsidRPr="0042033B">
              <w:rPr>
                <w:sz w:val="21"/>
                <w:szCs w:val="21"/>
              </w:rPr>
              <w:t>154272</w:t>
            </w:r>
          </w:p>
        </w:tc>
      </w:tr>
      <w:tr w:rsidR="006E5014" w14:paraId="1D2C167F" w14:textId="77777777" w:rsidTr="00FF6132">
        <w:trPr>
          <w:cantSplit/>
          <w:trHeight w:val="333"/>
          <w:jc w:val="center"/>
        </w:trPr>
        <w:tc>
          <w:tcPr>
            <w:tcW w:w="1985" w:type="pct"/>
            <w:vAlign w:val="center"/>
          </w:tcPr>
          <w:p w14:paraId="01DDF287" w14:textId="168ABF14" w:rsidR="006E5014" w:rsidRPr="0042033B" w:rsidRDefault="006E5014" w:rsidP="006E5014">
            <w:pPr>
              <w:adjustRightInd w:val="0"/>
              <w:jc w:val="center"/>
              <w:rPr>
                <w:sz w:val="21"/>
                <w:szCs w:val="21"/>
              </w:rPr>
            </w:pPr>
            <w:r w:rsidRPr="0042033B">
              <w:rPr>
                <w:rFonts w:hint="eastAsia"/>
                <w:sz w:val="21"/>
                <w:szCs w:val="21"/>
              </w:rPr>
              <w:t>单位产品废水产生量</w:t>
            </w:r>
            <w:r w:rsidR="00324E3A" w:rsidRPr="0042033B">
              <w:rPr>
                <w:rFonts w:hint="eastAsia"/>
                <w:sz w:val="21"/>
                <w:szCs w:val="21"/>
              </w:rPr>
              <w:t>（</w:t>
            </w:r>
            <w:r w:rsidR="00324E3A" w:rsidRPr="0042033B">
              <w:rPr>
                <w:rFonts w:hint="eastAsia"/>
                <w:sz w:val="21"/>
                <w:szCs w:val="21"/>
              </w:rPr>
              <w:t>m</w:t>
            </w:r>
            <w:r w:rsidR="00324E3A" w:rsidRPr="0042033B">
              <w:rPr>
                <w:sz w:val="21"/>
                <w:szCs w:val="21"/>
                <w:vertAlign w:val="superscript"/>
              </w:rPr>
              <w:t>3</w:t>
            </w:r>
            <w:r w:rsidR="00324E3A" w:rsidRPr="0042033B">
              <w:rPr>
                <w:sz w:val="21"/>
                <w:szCs w:val="21"/>
              </w:rPr>
              <w:t>/</w:t>
            </w:r>
            <w:r w:rsidR="00324E3A">
              <w:rPr>
                <w:rFonts w:hint="eastAsia"/>
                <w:sz w:val="21"/>
                <w:szCs w:val="21"/>
              </w:rPr>
              <w:t>t</w:t>
            </w:r>
            <w:r w:rsidR="00324E3A" w:rsidRPr="0042033B">
              <w:rPr>
                <w:rFonts w:hint="eastAsia"/>
                <w:sz w:val="21"/>
                <w:szCs w:val="21"/>
              </w:rPr>
              <w:t>）</w:t>
            </w:r>
          </w:p>
        </w:tc>
        <w:tc>
          <w:tcPr>
            <w:tcW w:w="602" w:type="pct"/>
            <w:vAlign w:val="center"/>
          </w:tcPr>
          <w:p w14:paraId="3AADDFA3" w14:textId="77777777" w:rsidR="006E5014" w:rsidRPr="0042033B" w:rsidRDefault="006E5014" w:rsidP="006E5014">
            <w:pPr>
              <w:adjustRightInd w:val="0"/>
              <w:jc w:val="center"/>
              <w:rPr>
                <w:sz w:val="21"/>
                <w:szCs w:val="21"/>
              </w:rPr>
            </w:pPr>
            <w:r w:rsidRPr="0042033B">
              <w:rPr>
                <w:rFonts w:hint="eastAsia"/>
                <w:sz w:val="21"/>
                <w:szCs w:val="21"/>
              </w:rPr>
              <w:t>69.03</w:t>
            </w:r>
          </w:p>
        </w:tc>
        <w:tc>
          <w:tcPr>
            <w:tcW w:w="702" w:type="pct"/>
          </w:tcPr>
          <w:p w14:paraId="3B694BB5" w14:textId="77777777" w:rsidR="006E5014" w:rsidRPr="0042033B" w:rsidRDefault="006E5014" w:rsidP="006E5014">
            <w:pPr>
              <w:adjustRightInd w:val="0"/>
              <w:jc w:val="center"/>
              <w:rPr>
                <w:sz w:val="21"/>
                <w:szCs w:val="21"/>
              </w:rPr>
            </w:pPr>
            <w:r w:rsidRPr="0042033B">
              <w:rPr>
                <w:rFonts w:hint="eastAsia"/>
                <w:sz w:val="21"/>
                <w:szCs w:val="21"/>
              </w:rPr>
              <w:t>127.32</w:t>
            </w:r>
          </w:p>
        </w:tc>
        <w:tc>
          <w:tcPr>
            <w:tcW w:w="850" w:type="pct"/>
          </w:tcPr>
          <w:p w14:paraId="518A20EA" w14:textId="77777777" w:rsidR="006E5014" w:rsidRPr="0042033B" w:rsidRDefault="006E5014" w:rsidP="006E5014">
            <w:pPr>
              <w:adjustRightInd w:val="0"/>
              <w:jc w:val="center"/>
              <w:rPr>
                <w:sz w:val="21"/>
                <w:szCs w:val="21"/>
              </w:rPr>
            </w:pPr>
            <w:r w:rsidRPr="0042033B">
              <w:rPr>
                <w:rFonts w:hint="eastAsia"/>
                <w:sz w:val="21"/>
                <w:szCs w:val="21"/>
              </w:rPr>
              <w:t>110.26</w:t>
            </w:r>
          </w:p>
        </w:tc>
        <w:tc>
          <w:tcPr>
            <w:tcW w:w="861" w:type="pct"/>
          </w:tcPr>
          <w:p w14:paraId="3B1D99C2" w14:textId="77777777" w:rsidR="006E5014" w:rsidRPr="0042033B" w:rsidRDefault="006E5014" w:rsidP="006E5014">
            <w:pPr>
              <w:adjustRightInd w:val="0"/>
              <w:jc w:val="center"/>
              <w:rPr>
                <w:sz w:val="21"/>
                <w:szCs w:val="21"/>
              </w:rPr>
            </w:pPr>
            <w:r w:rsidRPr="0042033B">
              <w:rPr>
                <w:rFonts w:hint="eastAsia"/>
                <w:sz w:val="21"/>
                <w:szCs w:val="21"/>
              </w:rPr>
              <w:t>144.18</w:t>
            </w:r>
          </w:p>
        </w:tc>
      </w:tr>
      <w:tr w:rsidR="006E5014" w14:paraId="60EAEB3D" w14:textId="77777777" w:rsidTr="00FF6132">
        <w:trPr>
          <w:cantSplit/>
          <w:trHeight w:val="333"/>
          <w:jc w:val="center"/>
        </w:trPr>
        <w:tc>
          <w:tcPr>
            <w:tcW w:w="1985" w:type="pct"/>
            <w:vAlign w:val="center"/>
          </w:tcPr>
          <w:p w14:paraId="3F67D230" w14:textId="77777777" w:rsidR="006E5014" w:rsidRPr="0042033B" w:rsidRDefault="006E5014" w:rsidP="006E5014">
            <w:pPr>
              <w:adjustRightInd w:val="0"/>
              <w:jc w:val="center"/>
              <w:rPr>
                <w:color w:val="000000"/>
                <w:sz w:val="21"/>
                <w:szCs w:val="21"/>
              </w:rPr>
            </w:pPr>
            <w:r w:rsidRPr="0042033B">
              <w:rPr>
                <w:rFonts w:hint="eastAsia"/>
                <w:sz w:val="21"/>
                <w:szCs w:val="21"/>
              </w:rPr>
              <w:t>C</w:t>
            </w:r>
            <w:r w:rsidRPr="0042033B">
              <w:rPr>
                <w:sz w:val="21"/>
                <w:szCs w:val="21"/>
              </w:rPr>
              <w:t>OD</w:t>
            </w:r>
            <w:r w:rsidRPr="0042033B">
              <w:rPr>
                <w:rFonts w:hint="eastAsia"/>
                <w:sz w:val="21"/>
                <w:szCs w:val="21"/>
              </w:rPr>
              <w:t>排放量（</w:t>
            </w:r>
            <w:r w:rsidRPr="0042033B">
              <w:rPr>
                <w:sz w:val="21"/>
                <w:szCs w:val="21"/>
              </w:rPr>
              <w:t>t/a</w:t>
            </w:r>
            <w:r w:rsidRPr="0042033B">
              <w:rPr>
                <w:rFonts w:hint="eastAsia"/>
                <w:sz w:val="21"/>
                <w:szCs w:val="21"/>
              </w:rPr>
              <w:t>）</w:t>
            </w:r>
          </w:p>
        </w:tc>
        <w:tc>
          <w:tcPr>
            <w:tcW w:w="602" w:type="pct"/>
            <w:vAlign w:val="center"/>
          </w:tcPr>
          <w:p w14:paraId="0CF7634B" w14:textId="77777777" w:rsidR="006E5014" w:rsidRPr="0042033B" w:rsidRDefault="006E5014" w:rsidP="006E5014">
            <w:pPr>
              <w:adjustRightInd w:val="0"/>
              <w:jc w:val="center"/>
              <w:rPr>
                <w:color w:val="000000"/>
                <w:sz w:val="21"/>
                <w:szCs w:val="21"/>
              </w:rPr>
            </w:pPr>
            <w:r w:rsidRPr="0042033B">
              <w:rPr>
                <w:rFonts w:hint="eastAsia"/>
                <w:sz w:val="21"/>
                <w:szCs w:val="21"/>
              </w:rPr>
              <w:t>1</w:t>
            </w:r>
            <w:r w:rsidRPr="0042033B">
              <w:rPr>
                <w:sz w:val="21"/>
                <w:szCs w:val="21"/>
              </w:rPr>
              <w:t>5.44</w:t>
            </w:r>
          </w:p>
        </w:tc>
        <w:tc>
          <w:tcPr>
            <w:tcW w:w="702" w:type="pct"/>
          </w:tcPr>
          <w:p w14:paraId="09A8DE49" w14:textId="77777777" w:rsidR="006E5014" w:rsidRPr="0042033B" w:rsidRDefault="006E5014" w:rsidP="006E5014">
            <w:pPr>
              <w:adjustRightInd w:val="0"/>
              <w:jc w:val="center"/>
              <w:rPr>
                <w:sz w:val="21"/>
                <w:szCs w:val="21"/>
              </w:rPr>
            </w:pPr>
            <w:r w:rsidRPr="0042033B">
              <w:rPr>
                <w:rFonts w:hint="eastAsia"/>
                <w:sz w:val="21"/>
                <w:szCs w:val="21"/>
              </w:rPr>
              <w:t>7.48</w:t>
            </w:r>
          </w:p>
        </w:tc>
        <w:tc>
          <w:tcPr>
            <w:tcW w:w="850" w:type="pct"/>
          </w:tcPr>
          <w:p w14:paraId="2E64462D" w14:textId="77777777" w:rsidR="006E5014" w:rsidRPr="0042033B" w:rsidRDefault="006E5014" w:rsidP="006E5014">
            <w:pPr>
              <w:adjustRightInd w:val="0"/>
              <w:jc w:val="center"/>
              <w:rPr>
                <w:sz w:val="21"/>
                <w:szCs w:val="21"/>
              </w:rPr>
            </w:pPr>
            <w:r w:rsidRPr="0042033B">
              <w:rPr>
                <w:rFonts w:hint="eastAsia"/>
                <w:sz w:val="21"/>
                <w:szCs w:val="21"/>
              </w:rPr>
              <w:t>6.02</w:t>
            </w:r>
          </w:p>
        </w:tc>
        <w:tc>
          <w:tcPr>
            <w:tcW w:w="861" w:type="pct"/>
          </w:tcPr>
          <w:p w14:paraId="57E4F3E7" w14:textId="77777777" w:rsidR="006E5014" w:rsidRPr="0042033B" w:rsidRDefault="006E5014" w:rsidP="006E5014">
            <w:pPr>
              <w:adjustRightInd w:val="0"/>
              <w:jc w:val="center"/>
              <w:rPr>
                <w:sz w:val="21"/>
                <w:szCs w:val="21"/>
              </w:rPr>
            </w:pPr>
            <w:r w:rsidRPr="0042033B">
              <w:rPr>
                <w:rFonts w:hint="eastAsia"/>
                <w:sz w:val="21"/>
                <w:szCs w:val="21"/>
              </w:rPr>
              <w:t>5.23</w:t>
            </w:r>
          </w:p>
        </w:tc>
      </w:tr>
      <w:tr w:rsidR="006E5014" w14:paraId="7F2FF62F" w14:textId="77777777" w:rsidTr="00FF6132">
        <w:trPr>
          <w:cantSplit/>
          <w:trHeight w:val="333"/>
          <w:jc w:val="center"/>
        </w:trPr>
        <w:tc>
          <w:tcPr>
            <w:tcW w:w="1985" w:type="pct"/>
            <w:vAlign w:val="center"/>
          </w:tcPr>
          <w:p w14:paraId="2F4F6910" w14:textId="77777777" w:rsidR="006E5014" w:rsidRPr="0042033B" w:rsidRDefault="006E5014" w:rsidP="006E5014">
            <w:pPr>
              <w:adjustRightInd w:val="0"/>
              <w:jc w:val="center"/>
              <w:rPr>
                <w:b/>
                <w:bCs/>
                <w:color w:val="000000"/>
                <w:sz w:val="21"/>
                <w:szCs w:val="21"/>
              </w:rPr>
            </w:pPr>
            <w:r w:rsidRPr="0042033B">
              <w:rPr>
                <w:b/>
                <w:bCs/>
                <w:sz w:val="21"/>
                <w:szCs w:val="21"/>
              </w:rPr>
              <w:t>单位产品</w:t>
            </w:r>
            <w:r w:rsidRPr="0042033B">
              <w:rPr>
                <w:b/>
                <w:bCs/>
                <w:sz w:val="21"/>
                <w:szCs w:val="21"/>
              </w:rPr>
              <w:t>COD</w:t>
            </w:r>
            <w:r w:rsidRPr="0042033B">
              <w:rPr>
                <w:rFonts w:hint="eastAsia"/>
                <w:b/>
                <w:bCs/>
                <w:sz w:val="21"/>
                <w:szCs w:val="21"/>
              </w:rPr>
              <w:t>排放</w:t>
            </w:r>
            <w:r w:rsidRPr="0042033B">
              <w:rPr>
                <w:b/>
                <w:bCs/>
                <w:sz w:val="21"/>
                <w:szCs w:val="21"/>
              </w:rPr>
              <w:t>量</w:t>
            </w:r>
            <w:r w:rsidRPr="0042033B">
              <w:rPr>
                <w:rFonts w:hint="eastAsia"/>
                <w:b/>
                <w:bCs/>
                <w:sz w:val="21"/>
                <w:szCs w:val="21"/>
              </w:rPr>
              <w:t>（</w:t>
            </w:r>
            <w:r w:rsidRPr="0042033B">
              <w:rPr>
                <w:b/>
                <w:bCs/>
                <w:sz w:val="21"/>
                <w:szCs w:val="21"/>
              </w:rPr>
              <w:t>kg/t</w:t>
            </w:r>
            <w:r w:rsidRPr="0042033B">
              <w:rPr>
                <w:rFonts w:hint="eastAsia"/>
                <w:b/>
                <w:bCs/>
                <w:sz w:val="21"/>
                <w:szCs w:val="21"/>
              </w:rPr>
              <w:t>）</w:t>
            </w:r>
          </w:p>
        </w:tc>
        <w:tc>
          <w:tcPr>
            <w:tcW w:w="602" w:type="pct"/>
            <w:vAlign w:val="center"/>
          </w:tcPr>
          <w:p w14:paraId="147E65DA" w14:textId="77777777" w:rsidR="006E5014" w:rsidRPr="0042033B" w:rsidRDefault="006E5014" w:rsidP="006E5014">
            <w:pPr>
              <w:adjustRightInd w:val="0"/>
              <w:jc w:val="center"/>
              <w:rPr>
                <w:b/>
                <w:bCs/>
                <w:color w:val="000000"/>
                <w:sz w:val="21"/>
                <w:szCs w:val="21"/>
              </w:rPr>
            </w:pPr>
            <w:r w:rsidRPr="0042033B">
              <w:rPr>
                <w:rFonts w:hint="eastAsia"/>
                <w:b/>
                <w:bCs/>
                <w:sz w:val="21"/>
                <w:szCs w:val="21"/>
              </w:rPr>
              <w:t>9</w:t>
            </w:r>
            <w:r w:rsidRPr="0042033B">
              <w:rPr>
                <w:b/>
                <w:bCs/>
                <w:sz w:val="21"/>
                <w:szCs w:val="21"/>
              </w:rPr>
              <w:t>.4897</w:t>
            </w:r>
          </w:p>
        </w:tc>
        <w:tc>
          <w:tcPr>
            <w:tcW w:w="702" w:type="pct"/>
            <w:vAlign w:val="center"/>
          </w:tcPr>
          <w:p w14:paraId="50162A45" w14:textId="77777777" w:rsidR="006E5014" w:rsidRPr="0042033B" w:rsidRDefault="006E5014" w:rsidP="006E5014">
            <w:pPr>
              <w:adjustRightInd w:val="0"/>
              <w:jc w:val="center"/>
              <w:rPr>
                <w:b/>
                <w:bCs/>
                <w:sz w:val="21"/>
                <w:szCs w:val="21"/>
              </w:rPr>
            </w:pPr>
            <w:r w:rsidRPr="0042033B">
              <w:rPr>
                <w:b/>
                <w:bCs/>
                <w:sz w:val="21"/>
                <w:szCs w:val="21"/>
              </w:rPr>
              <w:t>4.</w:t>
            </w:r>
            <w:r w:rsidRPr="0042033B">
              <w:rPr>
                <w:rFonts w:hint="eastAsia"/>
                <w:b/>
                <w:bCs/>
                <w:sz w:val="21"/>
                <w:szCs w:val="21"/>
              </w:rPr>
              <w:t>305</w:t>
            </w:r>
          </w:p>
        </w:tc>
        <w:tc>
          <w:tcPr>
            <w:tcW w:w="850" w:type="pct"/>
            <w:vAlign w:val="center"/>
          </w:tcPr>
          <w:p w14:paraId="7D607D3E" w14:textId="77777777" w:rsidR="006E5014" w:rsidRPr="0042033B" w:rsidRDefault="006E5014" w:rsidP="006E5014">
            <w:pPr>
              <w:adjustRightInd w:val="0"/>
              <w:jc w:val="center"/>
              <w:rPr>
                <w:b/>
                <w:bCs/>
                <w:sz w:val="21"/>
                <w:szCs w:val="21"/>
              </w:rPr>
            </w:pPr>
            <w:r w:rsidRPr="0042033B">
              <w:rPr>
                <w:rFonts w:hint="eastAsia"/>
                <w:b/>
                <w:bCs/>
                <w:sz w:val="21"/>
                <w:szCs w:val="21"/>
              </w:rPr>
              <w:t>3.742</w:t>
            </w:r>
          </w:p>
        </w:tc>
        <w:tc>
          <w:tcPr>
            <w:tcW w:w="861" w:type="pct"/>
            <w:vAlign w:val="center"/>
          </w:tcPr>
          <w:p w14:paraId="79B1AE1A" w14:textId="77777777" w:rsidR="006E5014" w:rsidRPr="0042033B" w:rsidRDefault="006E5014" w:rsidP="006E5014">
            <w:pPr>
              <w:adjustRightInd w:val="0"/>
              <w:jc w:val="center"/>
              <w:rPr>
                <w:b/>
                <w:bCs/>
                <w:sz w:val="21"/>
                <w:szCs w:val="21"/>
              </w:rPr>
            </w:pPr>
            <w:r w:rsidRPr="0042033B">
              <w:rPr>
                <w:rFonts w:hint="eastAsia"/>
                <w:b/>
                <w:bCs/>
                <w:sz w:val="21"/>
                <w:szCs w:val="21"/>
              </w:rPr>
              <w:t>4.893</w:t>
            </w:r>
          </w:p>
        </w:tc>
      </w:tr>
      <w:tr w:rsidR="006E5014" w14:paraId="6C2FA8F1" w14:textId="77777777" w:rsidTr="00FF6132">
        <w:trPr>
          <w:cantSplit/>
          <w:trHeight w:val="333"/>
          <w:jc w:val="center"/>
        </w:trPr>
        <w:tc>
          <w:tcPr>
            <w:tcW w:w="1985" w:type="pct"/>
            <w:vAlign w:val="center"/>
          </w:tcPr>
          <w:p w14:paraId="6E046EE5" w14:textId="77777777" w:rsidR="006E5014" w:rsidRPr="0042033B" w:rsidRDefault="006E5014" w:rsidP="006E5014">
            <w:pPr>
              <w:adjustRightInd w:val="0"/>
              <w:jc w:val="center"/>
              <w:rPr>
                <w:color w:val="000000"/>
                <w:sz w:val="21"/>
                <w:szCs w:val="21"/>
                <w:highlight w:val="yellow"/>
              </w:rPr>
            </w:pPr>
            <w:r w:rsidRPr="0042033B">
              <w:rPr>
                <w:rFonts w:hint="eastAsia"/>
                <w:sz w:val="21"/>
                <w:szCs w:val="21"/>
              </w:rPr>
              <w:t>氨氮排放量（</w:t>
            </w:r>
            <w:r w:rsidRPr="0042033B">
              <w:rPr>
                <w:sz w:val="21"/>
                <w:szCs w:val="21"/>
              </w:rPr>
              <w:t>t/a</w:t>
            </w:r>
            <w:r w:rsidRPr="0042033B">
              <w:rPr>
                <w:rFonts w:hint="eastAsia"/>
                <w:sz w:val="21"/>
                <w:szCs w:val="21"/>
              </w:rPr>
              <w:t>）</w:t>
            </w:r>
          </w:p>
        </w:tc>
        <w:tc>
          <w:tcPr>
            <w:tcW w:w="602" w:type="pct"/>
            <w:vAlign w:val="center"/>
          </w:tcPr>
          <w:p w14:paraId="3B1F30EA" w14:textId="77777777" w:rsidR="006E5014" w:rsidRPr="0042033B" w:rsidRDefault="006E5014" w:rsidP="006E5014">
            <w:pPr>
              <w:adjustRightInd w:val="0"/>
              <w:jc w:val="center"/>
              <w:rPr>
                <w:color w:val="000000"/>
                <w:sz w:val="21"/>
                <w:szCs w:val="21"/>
                <w:highlight w:val="yellow"/>
              </w:rPr>
            </w:pPr>
            <w:r w:rsidRPr="0042033B">
              <w:rPr>
                <w:rFonts w:hint="eastAsia"/>
                <w:sz w:val="21"/>
                <w:szCs w:val="21"/>
              </w:rPr>
              <w:t>0</w:t>
            </w:r>
            <w:r w:rsidRPr="0042033B">
              <w:rPr>
                <w:sz w:val="21"/>
                <w:szCs w:val="21"/>
              </w:rPr>
              <w:t>.047</w:t>
            </w:r>
          </w:p>
        </w:tc>
        <w:tc>
          <w:tcPr>
            <w:tcW w:w="702" w:type="pct"/>
          </w:tcPr>
          <w:p w14:paraId="36A4663D" w14:textId="77777777" w:rsidR="006E5014" w:rsidRPr="0042033B" w:rsidRDefault="006E5014" w:rsidP="006E5014">
            <w:pPr>
              <w:adjustRightInd w:val="0"/>
              <w:jc w:val="center"/>
              <w:rPr>
                <w:sz w:val="21"/>
                <w:szCs w:val="21"/>
              </w:rPr>
            </w:pPr>
            <w:r w:rsidRPr="0042033B">
              <w:rPr>
                <w:rFonts w:hint="eastAsia"/>
                <w:sz w:val="21"/>
                <w:szCs w:val="21"/>
              </w:rPr>
              <w:t>0</w:t>
            </w:r>
            <w:r w:rsidRPr="0042033B">
              <w:rPr>
                <w:sz w:val="21"/>
                <w:szCs w:val="21"/>
              </w:rPr>
              <w:t>.</w:t>
            </w:r>
            <w:r w:rsidRPr="0042033B">
              <w:rPr>
                <w:rFonts w:hint="eastAsia"/>
                <w:sz w:val="21"/>
                <w:szCs w:val="21"/>
              </w:rPr>
              <w:t>873</w:t>
            </w:r>
          </w:p>
        </w:tc>
        <w:tc>
          <w:tcPr>
            <w:tcW w:w="850" w:type="pct"/>
          </w:tcPr>
          <w:p w14:paraId="5BF2F4D8" w14:textId="77777777" w:rsidR="006E5014" w:rsidRPr="0042033B" w:rsidRDefault="006E5014" w:rsidP="006E5014">
            <w:pPr>
              <w:adjustRightInd w:val="0"/>
              <w:jc w:val="center"/>
              <w:rPr>
                <w:sz w:val="21"/>
                <w:szCs w:val="21"/>
              </w:rPr>
            </w:pPr>
            <w:r w:rsidRPr="0042033B">
              <w:rPr>
                <w:rFonts w:hint="eastAsia"/>
                <w:sz w:val="21"/>
                <w:szCs w:val="21"/>
              </w:rPr>
              <w:t>0.704</w:t>
            </w:r>
          </w:p>
        </w:tc>
        <w:tc>
          <w:tcPr>
            <w:tcW w:w="861" w:type="pct"/>
          </w:tcPr>
          <w:p w14:paraId="12A7F5A3" w14:textId="77777777" w:rsidR="006E5014" w:rsidRPr="0042033B" w:rsidRDefault="006E5014" w:rsidP="006E5014">
            <w:pPr>
              <w:adjustRightInd w:val="0"/>
              <w:jc w:val="center"/>
              <w:rPr>
                <w:sz w:val="21"/>
                <w:szCs w:val="21"/>
              </w:rPr>
            </w:pPr>
            <w:r w:rsidRPr="0042033B">
              <w:rPr>
                <w:rFonts w:hint="eastAsia"/>
                <w:sz w:val="21"/>
                <w:szCs w:val="21"/>
              </w:rPr>
              <w:t>0.612</w:t>
            </w:r>
          </w:p>
        </w:tc>
      </w:tr>
      <w:tr w:rsidR="006E5014" w14:paraId="2E2A251F" w14:textId="77777777" w:rsidTr="00FF6132">
        <w:trPr>
          <w:cantSplit/>
          <w:trHeight w:val="333"/>
          <w:jc w:val="center"/>
        </w:trPr>
        <w:tc>
          <w:tcPr>
            <w:tcW w:w="1985" w:type="pct"/>
            <w:vAlign w:val="center"/>
          </w:tcPr>
          <w:p w14:paraId="7B7125AD" w14:textId="77777777" w:rsidR="006E5014" w:rsidRPr="0042033B" w:rsidRDefault="006E5014" w:rsidP="006E5014">
            <w:pPr>
              <w:adjustRightInd w:val="0"/>
              <w:jc w:val="center"/>
              <w:rPr>
                <w:sz w:val="21"/>
                <w:szCs w:val="21"/>
              </w:rPr>
            </w:pPr>
            <w:r w:rsidRPr="0042033B">
              <w:rPr>
                <w:rFonts w:hint="eastAsia"/>
                <w:sz w:val="21"/>
                <w:szCs w:val="21"/>
              </w:rPr>
              <w:t>氨氮排放浓度（</w:t>
            </w:r>
            <w:r w:rsidRPr="0042033B">
              <w:rPr>
                <w:rFonts w:hint="eastAsia"/>
                <w:sz w:val="21"/>
                <w:szCs w:val="21"/>
              </w:rPr>
              <w:t>mg/L</w:t>
            </w:r>
            <w:r w:rsidRPr="0042033B">
              <w:rPr>
                <w:rFonts w:hint="eastAsia"/>
                <w:sz w:val="21"/>
                <w:szCs w:val="21"/>
              </w:rPr>
              <w:t>）</w:t>
            </w:r>
          </w:p>
        </w:tc>
        <w:tc>
          <w:tcPr>
            <w:tcW w:w="602" w:type="pct"/>
            <w:vAlign w:val="center"/>
          </w:tcPr>
          <w:p w14:paraId="3EBF4F11" w14:textId="77777777" w:rsidR="006E5014" w:rsidRPr="0042033B" w:rsidRDefault="006E5014" w:rsidP="006E5014">
            <w:pPr>
              <w:adjustRightInd w:val="0"/>
              <w:jc w:val="center"/>
              <w:rPr>
                <w:sz w:val="21"/>
                <w:szCs w:val="21"/>
              </w:rPr>
            </w:pPr>
            <w:r w:rsidRPr="0042033B">
              <w:rPr>
                <w:rFonts w:hint="eastAsia"/>
                <w:sz w:val="21"/>
                <w:szCs w:val="21"/>
              </w:rPr>
              <w:t>0.418</w:t>
            </w:r>
          </w:p>
        </w:tc>
        <w:tc>
          <w:tcPr>
            <w:tcW w:w="702" w:type="pct"/>
          </w:tcPr>
          <w:p w14:paraId="4C490456" w14:textId="77777777" w:rsidR="006E5014" w:rsidRPr="0042033B" w:rsidRDefault="006E5014" w:rsidP="006E5014">
            <w:pPr>
              <w:adjustRightInd w:val="0"/>
              <w:jc w:val="center"/>
              <w:rPr>
                <w:sz w:val="21"/>
                <w:szCs w:val="21"/>
              </w:rPr>
            </w:pPr>
            <w:r w:rsidRPr="0042033B">
              <w:rPr>
                <w:rFonts w:hint="eastAsia"/>
                <w:sz w:val="21"/>
                <w:szCs w:val="21"/>
              </w:rPr>
              <w:t>3.968</w:t>
            </w:r>
          </w:p>
        </w:tc>
        <w:tc>
          <w:tcPr>
            <w:tcW w:w="850" w:type="pct"/>
          </w:tcPr>
          <w:p w14:paraId="283823D2" w14:textId="77777777" w:rsidR="006E5014" w:rsidRPr="0042033B" w:rsidRDefault="006E5014" w:rsidP="006E5014">
            <w:pPr>
              <w:adjustRightInd w:val="0"/>
              <w:jc w:val="center"/>
              <w:rPr>
                <w:sz w:val="21"/>
                <w:szCs w:val="21"/>
              </w:rPr>
            </w:pPr>
            <w:r w:rsidRPr="0042033B">
              <w:rPr>
                <w:rFonts w:hint="eastAsia"/>
                <w:sz w:val="21"/>
                <w:szCs w:val="21"/>
              </w:rPr>
              <w:t>3.971</w:t>
            </w:r>
          </w:p>
        </w:tc>
        <w:tc>
          <w:tcPr>
            <w:tcW w:w="861" w:type="pct"/>
          </w:tcPr>
          <w:p w14:paraId="0CC2FB32" w14:textId="77777777" w:rsidR="006E5014" w:rsidRPr="0042033B" w:rsidRDefault="006E5014" w:rsidP="006E5014">
            <w:pPr>
              <w:adjustRightInd w:val="0"/>
              <w:jc w:val="center"/>
              <w:rPr>
                <w:sz w:val="21"/>
                <w:szCs w:val="21"/>
              </w:rPr>
            </w:pPr>
            <w:r w:rsidRPr="0042033B">
              <w:rPr>
                <w:rFonts w:hint="eastAsia"/>
                <w:sz w:val="21"/>
                <w:szCs w:val="21"/>
              </w:rPr>
              <w:t>3.967</w:t>
            </w:r>
          </w:p>
        </w:tc>
      </w:tr>
      <w:tr w:rsidR="006E5014" w14:paraId="3F43911B" w14:textId="77777777" w:rsidTr="00FF6132">
        <w:trPr>
          <w:cantSplit/>
          <w:trHeight w:val="55"/>
          <w:jc w:val="center"/>
        </w:trPr>
        <w:tc>
          <w:tcPr>
            <w:tcW w:w="1985" w:type="pct"/>
            <w:vAlign w:val="center"/>
          </w:tcPr>
          <w:p w14:paraId="21DEEB88" w14:textId="77777777" w:rsidR="006E5014" w:rsidRPr="0042033B" w:rsidRDefault="006E5014" w:rsidP="006E5014">
            <w:pPr>
              <w:adjustRightInd w:val="0"/>
              <w:jc w:val="center"/>
              <w:rPr>
                <w:sz w:val="21"/>
                <w:szCs w:val="21"/>
              </w:rPr>
            </w:pPr>
            <w:r w:rsidRPr="0042033B">
              <w:rPr>
                <w:b/>
                <w:bCs/>
                <w:sz w:val="21"/>
                <w:szCs w:val="21"/>
              </w:rPr>
              <w:t>单位产品</w:t>
            </w:r>
            <w:r w:rsidRPr="0042033B">
              <w:rPr>
                <w:rFonts w:hint="eastAsia"/>
                <w:b/>
                <w:bCs/>
                <w:sz w:val="21"/>
                <w:szCs w:val="21"/>
              </w:rPr>
              <w:t>氨氮排放</w:t>
            </w:r>
            <w:r w:rsidRPr="0042033B">
              <w:rPr>
                <w:b/>
                <w:bCs/>
                <w:sz w:val="21"/>
                <w:szCs w:val="21"/>
              </w:rPr>
              <w:t>量</w:t>
            </w:r>
            <w:r w:rsidRPr="0042033B">
              <w:rPr>
                <w:rFonts w:hint="eastAsia"/>
                <w:b/>
                <w:bCs/>
                <w:sz w:val="21"/>
                <w:szCs w:val="21"/>
              </w:rPr>
              <w:t>（</w:t>
            </w:r>
            <w:r w:rsidRPr="0042033B">
              <w:rPr>
                <w:b/>
                <w:bCs/>
                <w:sz w:val="21"/>
                <w:szCs w:val="21"/>
              </w:rPr>
              <w:t>kg/t</w:t>
            </w:r>
            <w:r w:rsidRPr="0042033B">
              <w:rPr>
                <w:rFonts w:hint="eastAsia"/>
                <w:b/>
                <w:bCs/>
                <w:sz w:val="21"/>
                <w:szCs w:val="21"/>
              </w:rPr>
              <w:t>）</w:t>
            </w:r>
          </w:p>
        </w:tc>
        <w:tc>
          <w:tcPr>
            <w:tcW w:w="602" w:type="pct"/>
            <w:vAlign w:val="center"/>
          </w:tcPr>
          <w:p w14:paraId="7FFE8F01" w14:textId="77777777" w:rsidR="006E5014" w:rsidRPr="0042033B" w:rsidRDefault="006E5014" w:rsidP="006E5014">
            <w:pPr>
              <w:adjustRightInd w:val="0"/>
              <w:jc w:val="center"/>
              <w:rPr>
                <w:b/>
                <w:bCs/>
                <w:sz w:val="21"/>
                <w:szCs w:val="21"/>
              </w:rPr>
            </w:pPr>
            <w:r w:rsidRPr="0042033B">
              <w:rPr>
                <w:rFonts w:hint="eastAsia"/>
                <w:b/>
                <w:bCs/>
                <w:sz w:val="21"/>
                <w:szCs w:val="21"/>
              </w:rPr>
              <w:t>0.0289</w:t>
            </w:r>
          </w:p>
        </w:tc>
        <w:tc>
          <w:tcPr>
            <w:tcW w:w="702" w:type="pct"/>
          </w:tcPr>
          <w:p w14:paraId="63C107F5" w14:textId="77777777" w:rsidR="006E5014" w:rsidRPr="0042033B" w:rsidRDefault="006E5014" w:rsidP="006E5014">
            <w:pPr>
              <w:adjustRightInd w:val="0"/>
              <w:jc w:val="center"/>
              <w:rPr>
                <w:b/>
                <w:bCs/>
                <w:sz w:val="21"/>
                <w:szCs w:val="21"/>
              </w:rPr>
            </w:pPr>
            <w:r w:rsidRPr="0042033B">
              <w:rPr>
                <w:b/>
                <w:bCs/>
                <w:sz w:val="21"/>
                <w:szCs w:val="21"/>
              </w:rPr>
              <w:t>0.5</w:t>
            </w:r>
            <w:r w:rsidRPr="0042033B">
              <w:rPr>
                <w:rFonts w:hint="eastAsia"/>
                <w:b/>
                <w:bCs/>
                <w:sz w:val="21"/>
                <w:szCs w:val="21"/>
              </w:rPr>
              <w:t>04</w:t>
            </w:r>
          </w:p>
        </w:tc>
        <w:tc>
          <w:tcPr>
            <w:tcW w:w="850" w:type="pct"/>
          </w:tcPr>
          <w:p w14:paraId="7F5B1FBC" w14:textId="77777777" w:rsidR="006E5014" w:rsidRPr="0042033B" w:rsidRDefault="006E5014" w:rsidP="006E5014">
            <w:pPr>
              <w:adjustRightInd w:val="0"/>
              <w:jc w:val="center"/>
              <w:rPr>
                <w:b/>
                <w:bCs/>
                <w:sz w:val="21"/>
                <w:szCs w:val="21"/>
              </w:rPr>
            </w:pPr>
            <w:r w:rsidRPr="0042033B">
              <w:rPr>
                <w:rFonts w:hint="eastAsia"/>
                <w:b/>
                <w:bCs/>
                <w:sz w:val="21"/>
                <w:szCs w:val="21"/>
              </w:rPr>
              <w:t>0.438</w:t>
            </w:r>
          </w:p>
        </w:tc>
        <w:tc>
          <w:tcPr>
            <w:tcW w:w="861" w:type="pct"/>
          </w:tcPr>
          <w:p w14:paraId="65DD786A" w14:textId="77777777" w:rsidR="006E5014" w:rsidRPr="0042033B" w:rsidRDefault="006E5014" w:rsidP="006E5014">
            <w:pPr>
              <w:adjustRightInd w:val="0"/>
              <w:jc w:val="center"/>
              <w:rPr>
                <w:b/>
                <w:bCs/>
                <w:sz w:val="21"/>
                <w:szCs w:val="21"/>
              </w:rPr>
            </w:pPr>
            <w:r w:rsidRPr="0042033B">
              <w:rPr>
                <w:rFonts w:hint="eastAsia"/>
                <w:b/>
                <w:bCs/>
                <w:sz w:val="21"/>
                <w:szCs w:val="21"/>
              </w:rPr>
              <w:t>0.572</w:t>
            </w:r>
          </w:p>
        </w:tc>
      </w:tr>
    </w:tbl>
    <w:p w14:paraId="7C637EF7" w14:textId="599B4DCA" w:rsidR="00DD666C" w:rsidRDefault="00084B34" w:rsidP="008900F3">
      <w:pPr>
        <w:autoSpaceDE w:val="0"/>
        <w:autoSpaceDN w:val="0"/>
        <w:adjustRightInd w:val="0"/>
        <w:spacing w:line="440" w:lineRule="exact"/>
        <w:ind w:firstLineChars="200" w:firstLine="480"/>
        <w:rPr>
          <w:kern w:val="0"/>
        </w:rPr>
      </w:pPr>
      <w:r w:rsidRPr="005B76A0">
        <w:rPr>
          <w:rFonts w:hint="eastAsia"/>
          <w:kern w:val="0"/>
        </w:rPr>
        <w:t>废物资源化</w:t>
      </w:r>
      <w:r w:rsidR="00BD73AE">
        <w:rPr>
          <w:rFonts w:hint="eastAsia"/>
          <w:kern w:val="0"/>
        </w:rPr>
        <w:t>主要考察</w:t>
      </w:r>
      <w:r w:rsidR="006A3620">
        <w:rPr>
          <w:rFonts w:hint="eastAsia"/>
          <w:kern w:val="0"/>
        </w:rPr>
        <w:t>可回收废弃物</w:t>
      </w:r>
      <w:r w:rsidR="00BE6E38">
        <w:rPr>
          <w:rFonts w:hint="eastAsia"/>
          <w:kern w:val="0"/>
        </w:rPr>
        <w:t>的回收情况</w:t>
      </w:r>
      <w:r w:rsidR="006A3620">
        <w:rPr>
          <w:rFonts w:hint="eastAsia"/>
          <w:kern w:val="0"/>
        </w:rPr>
        <w:t>，包括</w:t>
      </w:r>
      <w:r w:rsidR="006A3620" w:rsidRPr="006A3620">
        <w:rPr>
          <w:rFonts w:hint="eastAsia"/>
          <w:kern w:val="0"/>
        </w:rPr>
        <w:t>纸皮纸箱、塑料盒、废玻璃等</w:t>
      </w:r>
      <w:r w:rsidRPr="005B76A0">
        <w:rPr>
          <w:rFonts w:hint="eastAsia"/>
          <w:kern w:val="0"/>
        </w:rPr>
        <w:t>，</w:t>
      </w:r>
      <w:r w:rsidR="00BE6E38">
        <w:rPr>
          <w:rFonts w:hint="eastAsia"/>
          <w:kern w:val="0"/>
        </w:rPr>
        <w:t>通常</w:t>
      </w:r>
      <w:r w:rsidR="00BE6E38" w:rsidRPr="006A3620">
        <w:rPr>
          <w:rFonts w:hint="eastAsia"/>
          <w:kern w:val="0"/>
        </w:rPr>
        <w:t>由</w:t>
      </w:r>
      <w:r w:rsidR="00BE6E38">
        <w:rPr>
          <w:rFonts w:hint="eastAsia"/>
          <w:kern w:val="0"/>
        </w:rPr>
        <w:t>燕窝制品生产企业收集后交予</w:t>
      </w:r>
      <w:r w:rsidR="00BE6E38" w:rsidRPr="006A3620">
        <w:rPr>
          <w:rFonts w:hint="eastAsia"/>
          <w:kern w:val="0"/>
        </w:rPr>
        <w:t>第三方公司回收再利用</w:t>
      </w:r>
      <w:r w:rsidR="00BE6E38">
        <w:rPr>
          <w:rFonts w:hint="eastAsia"/>
          <w:kern w:val="0"/>
        </w:rPr>
        <w:t>，因此</w:t>
      </w:r>
      <w:r w:rsidR="000C446F">
        <w:rPr>
          <w:rFonts w:hint="eastAsia"/>
          <w:kern w:val="0"/>
        </w:rPr>
        <w:t>设定废物资源化指标</w:t>
      </w:r>
      <w:r w:rsidR="006A3620">
        <w:rPr>
          <w:rFonts w:hint="eastAsia"/>
          <w:kern w:val="0"/>
        </w:rPr>
        <w:t>为废包装回收率，</w:t>
      </w:r>
      <w:r w:rsidR="00BE6E38">
        <w:rPr>
          <w:rFonts w:hint="eastAsia"/>
          <w:kern w:val="0"/>
        </w:rPr>
        <w:t>回收指返回供应商或售出给第三方公司，</w:t>
      </w:r>
      <w:r w:rsidR="006A3620">
        <w:rPr>
          <w:rFonts w:hint="eastAsia"/>
          <w:kern w:val="0"/>
        </w:rPr>
        <w:t>基准值和先进值设定</w:t>
      </w:r>
      <w:r w:rsidR="000C446F">
        <w:rPr>
          <w:rFonts w:hint="eastAsia"/>
          <w:kern w:val="0"/>
        </w:rPr>
        <w:t>如下</w:t>
      </w:r>
      <w:r w:rsidR="00496892">
        <w:rPr>
          <w:rFonts w:hint="eastAsia"/>
          <w:kern w:val="0"/>
        </w:rPr>
        <w:t>：</w:t>
      </w:r>
    </w:p>
    <w:p w14:paraId="53B4CB83" w14:textId="7003771C" w:rsidR="000C446F" w:rsidRDefault="0042033B" w:rsidP="0042033B">
      <w:pPr>
        <w:pStyle w:val="af"/>
        <w:jc w:val="center"/>
        <w:rPr>
          <w:rFonts w:ascii="Times New Roman"/>
        </w:rPr>
      </w:pPr>
      <w:bookmarkStart w:id="11" w:name="_Hlk121317187"/>
      <w:bookmarkStart w:id="12" w:name="_Hlk121317136"/>
      <w:r>
        <w:rPr>
          <w:rFonts w:hint="eastAsia"/>
        </w:rPr>
        <w:t>表</w:t>
      </w:r>
      <w:r>
        <w:rPr>
          <w:rFonts w:hint="eastAsia"/>
        </w:rPr>
        <w:t xml:space="preserve"> </w:t>
      </w:r>
      <w:r w:rsidR="00BE6E38">
        <w:rPr>
          <w:rFonts w:hint="eastAsia"/>
        </w:rPr>
        <w:t>4</w:t>
      </w:r>
      <w:r>
        <w:rPr>
          <w:rFonts w:hint="eastAsia"/>
        </w:rPr>
        <w:t xml:space="preserve"> </w:t>
      </w:r>
      <w:r w:rsidR="00091416">
        <w:rPr>
          <w:rFonts w:ascii="Times New Roman" w:hint="eastAsia"/>
        </w:rPr>
        <w:t>燕窝制品</w:t>
      </w:r>
      <w:r w:rsidR="000C446F">
        <w:rPr>
          <w:rFonts w:ascii="Times New Roman"/>
        </w:rPr>
        <w:t>产品</w:t>
      </w:r>
      <w:r w:rsidR="000C446F">
        <w:rPr>
          <w:rFonts w:ascii="Times New Roman" w:hint="eastAsia"/>
        </w:rPr>
        <w:t>废物资源化指标</w:t>
      </w:r>
    </w:p>
    <w:p w14:paraId="59F04A8A" w14:textId="77777777" w:rsidR="000C446F" w:rsidRDefault="000C446F" w:rsidP="000C446F">
      <w:pPr>
        <w:pStyle w:val="afffffffc"/>
        <w:ind w:firstLine="360"/>
        <w:jc w:val="right"/>
        <w:rPr>
          <w:sz w:val="18"/>
        </w:rPr>
      </w:pPr>
      <w:r>
        <w:rPr>
          <w:rFonts w:hint="eastAsia"/>
          <w:sz w:val="18"/>
        </w:rPr>
        <w:t>以百分数（</w:t>
      </w:r>
      <w:r>
        <w:rPr>
          <w:rFonts w:ascii="Times New Roman"/>
          <w:sz w:val="18"/>
        </w:rPr>
        <w:t>%</w:t>
      </w:r>
      <w:r>
        <w:rPr>
          <w:rFonts w:hint="eastAsia"/>
          <w:sz w:val="18"/>
        </w:rPr>
        <w:t>）表示</w:t>
      </w:r>
    </w:p>
    <w:tbl>
      <w:tblPr>
        <w:tblW w:w="50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805"/>
        <w:gridCol w:w="2290"/>
        <w:gridCol w:w="2292"/>
      </w:tblGrid>
      <w:tr w:rsidR="000C446F" w14:paraId="1ACB24D7" w14:textId="77777777" w:rsidTr="000C446F">
        <w:trPr>
          <w:trHeight w:val="329"/>
          <w:tblHeader/>
          <w:jc w:val="center"/>
        </w:trPr>
        <w:tc>
          <w:tcPr>
            <w:tcW w:w="3805" w:type="dxa"/>
            <w:tcBorders>
              <w:bottom w:val="single" w:sz="8" w:space="0" w:color="auto"/>
              <w:right w:val="single" w:sz="4" w:space="0" w:color="auto"/>
            </w:tcBorders>
            <w:shd w:val="clear" w:color="auto" w:fill="auto"/>
            <w:vAlign w:val="center"/>
          </w:tcPr>
          <w:p w14:paraId="726863D3" w14:textId="77777777" w:rsidR="000C446F" w:rsidRDefault="000C446F" w:rsidP="00B42859">
            <w:pPr>
              <w:pStyle w:val="affffffff"/>
              <w:widowControl w:val="0"/>
              <w:rPr>
                <w:rFonts w:ascii="Times New Roman"/>
                <w:szCs w:val="18"/>
              </w:rPr>
            </w:pPr>
            <w:bookmarkStart w:id="13" w:name="_Hlk181954519"/>
            <w:r>
              <w:rPr>
                <w:rFonts w:ascii="Times New Roman"/>
                <w:szCs w:val="18"/>
              </w:rPr>
              <w:t>项</w:t>
            </w:r>
            <w:r>
              <w:rPr>
                <w:rFonts w:ascii="Times New Roman" w:hint="eastAsia"/>
                <w:szCs w:val="18"/>
              </w:rPr>
              <w:t xml:space="preserve">  </w:t>
            </w:r>
            <w:r>
              <w:rPr>
                <w:rFonts w:ascii="Times New Roman"/>
                <w:szCs w:val="18"/>
              </w:rPr>
              <w:t>目</w:t>
            </w:r>
          </w:p>
        </w:tc>
        <w:tc>
          <w:tcPr>
            <w:tcW w:w="2290" w:type="dxa"/>
            <w:tcBorders>
              <w:left w:val="single" w:sz="4" w:space="0" w:color="auto"/>
              <w:bottom w:val="single" w:sz="8" w:space="0" w:color="auto"/>
              <w:right w:val="single" w:sz="4" w:space="0" w:color="auto"/>
            </w:tcBorders>
            <w:shd w:val="clear" w:color="auto" w:fill="auto"/>
            <w:vAlign w:val="center"/>
          </w:tcPr>
          <w:p w14:paraId="29CA91BC" w14:textId="77777777" w:rsidR="000C446F" w:rsidRDefault="000C446F" w:rsidP="00B42859">
            <w:pPr>
              <w:pStyle w:val="affffffff"/>
              <w:widowControl w:val="0"/>
              <w:rPr>
                <w:rFonts w:ascii="Times New Roman"/>
                <w:szCs w:val="18"/>
              </w:rPr>
            </w:pPr>
            <w:r>
              <w:rPr>
                <w:rFonts w:ascii="Times New Roman"/>
                <w:szCs w:val="18"/>
              </w:rPr>
              <w:t>基准值</w:t>
            </w:r>
          </w:p>
        </w:tc>
        <w:tc>
          <w:tcPr>
            <w:tcW w:w="2292" w:type="dxa"/>
            <w:tcBorders>
              <w:left w:val="single" w:sz="4" w:space="0" w:color="auto"/>
              <w:bottom w:val="single" w:sz="8" w:space="0" w:color="auto"/>
            </w:tcBorders>
            <w:shd w:val="clear" w:color="auto" w:fill="auto"/>
            <w:vAlign w:val="center"/>
          </w:tcPr>
          <w:p w14:paraId="5B45AB58" w14:textId="77777777" w:rsidR="000C446F" w:rsidRDefault="000C446F" w:rsidP="00B42859">
            <w:pPr>
              <w:pStyle w:val="affffffff"/>
              <w:widowControl w:val="0"/>
              <w:rPr>
                <w:rFonts w:ascii="Times New Roman"/>
                <w:szCs w:val="18"/>
              </w:rPr>
            </w:pPr>
            <w:r>
              <w:rPr>
                <w:rFonts w:ascii="Times New Roman"/>
                <w:szCs w:val="18"/>
              </w:rPr>
              <w:t>先进值</w:t>
            </w:r>
          </w:p>
        </w:tc>
      </w:tr>
      <w:tr w:rsidR="000C446F" w14:paraId="47AF5223" w14:textId="77777777" w:rsidTr="000C446F">
        <w:trPr>
          <w:trHeight w:val="329"/>
          <w:tblHeader/>
          <w:jc w:val="center"/>
        </w:trPr>
        <w:tc>
          <w:tcPr>
            <w:tcW w:w="3805" w:type="dxa"/>
            <w:tcBorders>
              <w:bottom w:val="single" w:sz="8" w:space="0" w:color="auto"/>
              <w:right w:val="single" w:sz="4" w:space="0" w:color="auto"/>
            </w:tcBorders>
            <w:shd w:val="clear" w:color="auto" w:fill="auto"/>
            <w:vAlign w:val="center"/>
          </w:tcPr>
          <w:p w14:paraId="7E5105B9" w14:textId="35BCD534" w:rsidR="000C446F" w:rsidRDefault="00377DF3" w:rsidP="000C446F">
            <w:pPr>
              <w:pStyle w:val="affffffff"/>
              <w:widowControl w:val="0"/>
              <w:jc w:val="right"/>
              <w:rPr>
                <w:rFonts w:ascii="Times New Roman"/>
                <w:szCs w:val="18"/>
              </w:rPr>
            </w:pPr>
            <w:r>
              <w:rPr>
                <w:rFonts w:ascii="Times New Roman" w:hint="eastAsia"/>
                <w:szCs w:val="18"/>
              </w:rPr>
              <w:t>废包装回收率</w:t>
            </w:r>
            <w:r w:rsidR="000C446F">
              <w:rPr>
                <w:rFonts w:ascii="Times New Roman"/>
                <w:szCs w:val="18"/>
              </w:rPr>
              <w:t xml:space="preserve">            </w:t>
            </w:r>
            <w:r w:rsidR="000C446F">
              <w:rPr>
                <w:rFonts w:hAnsi="宋体"/>
                <w:kern w:val="2"/>
                <w:szCs w:val="18"/>
              </w:rPr>
              <w:t>≥</w:t>
            </w:r>
          </w:p>
        </w:tc>
        <w:tc>
          <w:tcPr>
            <w:tcW w:w="2290" w:type="dxa"/>
            <w:tcBorders>
              <w:left w:val="single" w:sz="4" w:space="0" w:color="auto"/>
              <w:bottom w:val="single" w:sz="8" w:space="0" w:color="auto"/>
              <w:right w:val="single" w:sz="4" w:space="0" w:color="auto"/>
            </w:tcBorders>
            <w:shd w:val="clear" w:color="auto" w:fill="auto"/>
            <w:vAlign w:val="center"/>
          </w:tcPr>
          <w:p w14:paraId="05557E33" w14:textId="64EB252F" w:rsidR="000C446F" w:rsidRDefault="00CC15E1" w:rsidP="000C446F">
            <w:pPr>
              <w:pStyle w:val="affffffff"/>
              <w:widowControl w:val="0"/>
              <w:rPr>
                <w:rFonts w:ascii="Times New Roman"/>
                <w:szCs w:val="18"/>
              </w:rPr>
            </w:pPr>
            <w:r>
              <w:rPr>
                <w:rFonts w:ascii="Times New Roman" w:hint="eastAsia"/>
                <w:szCs w:val="18"/>
              </w:rPr>
              <w:t>60</w:t>
            </w:r>
          </w:p>
        </w:tc>
        <w:tc>
          <w:tcPr>
            <w:tcW w:w="2292" w:type="dxa"/>
            <w:tcBorders>
              <w:left w:val="single" w:sz="4" w:space="0" w:color="auto"/>
              <w:bottom w:val="single" w:sz="8" w:space="0" w:color="auto"/>
            </w:tcBorders>
            <w:shd w:val="clear" w:color="auto" w:fill="auto"/>
            <w:vAlign w:val="center"/>
          </w:tcPr>
          <w:p w14:paraId="3BD724E6" w14:textId="57274432" w:rsidR="000C446F" w:rsidRDefault="00CC15E1" w:rsidP="000C446F">
            <w:pPr>
              <w:pStyle w:val="affffffff"/>
              <w:widowControl w:val="0"/>
              <w:rPr>
                <w:rFonts w:ascii="Times New Roman"/>
                <w:szCs w:val="18"/>
              </w:rPr>
            </w:pPr>
            <w:r>
              <w:rPr>
                <w:rFonts w:ascii="Times New Roman" w:hint="eastAsia"/>
                <w:szCs w:val="18"/>
              </w:rPr>
              <w:t>70</w:t>
            </w:r>
          </w:p>
        </w:tc>
      </w:tr>
    </w:tbl>
    <w:bookmarkEnd w:id="11"/>
    <w:bookmarkEnd w:id="12"/>
    <w:bookmarkEnd w:id="13"/>
    <w:p w14:paraId="100AB568" w14:textId="2D0901C4" w:rsidR="00DD666C" w:rsidRDefault="00084B34" w:rsidP="008900F3">
      <w:pPr>
        <w:autoSpaceDE w:val="0"/>
        <w:autoSpaceDN w:val="0"/>
        <w:adjustRightInd w:val="0"/>
        <w:spacing w:line="440" w:lineRule="exact"/>
        <w:ind w:firstLineChars="200" w:firstLine="480"/>
        <w:rPr>
          <w:kern w:val="0"/>
        </w:rPr>
      </w:pPr>
      <w:r w:rsidRPr="005B76A0">
        <w:rPr>
          <w:rFonts w:hint="eastAsia"/>
          <w:kern w:val="0"/>
        </w:rPr>
        <w:t>能源低碳化指标选取了单位产品综合能耗</w:t>
      </w:r>
      <w:r w:rsidR="00925E2C" w:rsidRPr="005B76A0">
        <w:rPr>
          <w:rFonts w:hint="eastAsia"/>
          <w:kern w:val="0"/>
        </w:rPr>
        <w:t>，</w:t>
      </w:r>
      <w:r w:rsidR="006F0F0F" w:rsidRPr="005B76A0">
        <w:rPr>
          <w:rFonts w:hint="eastAsia"/>
          <w:kern w:val="0"/>
        </w:rPr>
        <w:t>反馈数据显示</w:t>
      </w:r>
      <w:r w:rsidR="006F0F0F">
        <w:rPr>
          <w:rFonts w:hint="eastAsia"/>
          <w:kern w:val="0"/>
        </w:rPr>
        <w:t>，</w:t>
      </w:r>
      <w:r w:rsidR="003D548D">
        <w:rPr>
          <w:rFonts w:hint="eastAsia"/>
          <w:kern w:val="0"/>
        </w:rPr>
        <w:t>调研工厂的</w:t>
      </w:r>
      <w:r w:rsidR="00925E2C" w:rsidRPr="005B76A0">
        <w:rPr>
          <w:kern w:val="0"/>
        </w:rPr>
        <w:t>单位</w:t>
      </w:r>
      <w:r w:rsidR="00F92066" w:rsidRPr="005B76A0">
        <w:rPr>
          <w:rFonts w:hint="eastAsia"/>
          <w:kern w:val="0"/>
        </w:rPr>
        <w:t>产品</w:t>
      </w:r>
      <w:r w:rsidR="00925E2C" w:rsidRPr="007F7673">
        <w:rPr>
          <w:kern w:val="0"/>
        </w:rPr>
        <w:t>综合能耗</w:t>
      </w:r>
      <w:r w:rsidR="004E177A">
        <w:rPr>
          <w:rFonts w:hint="eastAsia"/>
          <w:kern w:val="0"/>
        </w:rPr>
        <w:t>相差较大，</w:t>
      </w:r>
      <w:r w:rsidR="003D548D">
        <w:rPr>
          <w:rFonts w:hint="eastAsia"/>
          <w:kern w:val="0"/>
        </w:rPr>
        <w:t>综合考虑行业现状和未来发展趋势，</w:t>
      </w:r>
      <w:r w:rsidR="004E177A">
        <w:rPr>
          <w:rFonts w:hint="eastAsia"/>
          <w:kern w:val="0"/>
        </w:rPr>
        <w:t>设置三级能耗评价标准。</w:t>
      </w:r>
      <w:r w:rsidR="006B38D3">
        <w:rPr>
          <w:rFonts w:hint="eastAsia"/>
          <w:kern w:val="0"/>
        </w:rPr>
        <w:t>企业调研数据如下：</w:t>
      </w:r>
    </w:p>
    <w:p w14:paraId="23A715D4" w14:textId="43B982E7" w:rsidR="006B38D3" w:rsidRDefault="00FF6132" w:rsidP="00FF6132">
      <w:pPr>
        <w:pStyle w:val="af"/>
        <w:jc w:val="center"/>
        <w:rPr>
          <w:rFonts w:ascii="Times New Roman"/>
        </w:rPr>
      </w:pPr>
      <w:r>
        <w:rPr>
          <w:rFonts w:hint="eastAsia"/>
        </w:rPr>
        <w:lastRenderedPageBreak/>
        <w:t>表</w:t>
      </w:r>
      <w:r>
        <w:rPr>
          <w:rFonts w:hint="eastAsia"/>
        </w:rPr>
        <w:t xml:space="preserve"> </w:t>
      </w:r>
      <w:r w:rsidR="00BE6E38">
        <w:rPr>
          <w:rFonts w:hint="eastAsia"/>
        </w:rPr>
        <w:t>5</w:t>
      </w:r>
      <w:r>
        <w:rPr>
          <w:rFonts w:hint="eastAsia"/>
        </w:rPr>
        <w:t xml:space="preserve"> </w:t>
      </w:r>
      <w:r w:rsidR="00091416">
        <w:rPr>
          <w:rFonts w:ascii="Times New Roman" w:hint="eastAsia"/>
        </w:rPr>
        <w:t>燕窝制品</w:t>
      </w:r>
      <w:r w:rsidR="006B38D3">
        <w:rPr>
          <w:rFonts w:ascii="Times New Roman" w:hint="eastAsia"/>
        </w:rPr>
        <w:t>单位产品综合能耗</w:t>
      </w:r>
      <w:r w:rsidR="008D157D">
        <w:rPr>
          <w:rFonts w:ascii="Times New Roman" w:hint="eastAsia"/>
        </w:rPr>
        <w:t>调研表</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0"/>
        <w:gridCol w:w="1134"/>
        <w:gridCol w:w="1714"/>
        <w:gridCol w:w="1519"/>
        <w:gridCol w:w="1473"/>
        <w:gridCol w:w="1156"/>
      </w:tblGrid>
      <w:tr w:rsidR="00FF6132" w:rsidRPr="00FF6132" w14:paraId="4E926210" w14:textId="77777777" w:rsidTr="00FF6132">
        <w:trPr>
          <w:cantSplit/>
          <w:trHeight w:val="332"/>
          <w:jc w:val="center"/>
        </w:trPr>
        <w:tc>
          <w:tcPr>
            <w:tcW w:w="620" w:type="pct"/>
            <w:vAlign w:val="center"/>
          </w:tcPr>
          <w:p w14:paraId="74CA893B" w14:textId="77777777" w:rsidR="00FF6132" w:rsidRPr="00FF6132" w:rsidRDefault="00FF6132" w:rsidP="00FF6132">
            <w:pPr>
              <w:pStyle w:val="af2"/>
              <w:widowControl/>
              <w:adjustRightInd w:val="0"/>
              <w:snapToGrid w:val="0"/>
              <w:spacing w:line="320" w:lineRule="exact"/>
              <w:ind w:firstLine="0"/>
              <w:jc w:val="center"/>
              <w:rPr>
                <w:sz w:val="21"/>
                <w:szCs w:val="21"/>
              </w:rPr>
            </w:pPr>
            <w:r w:rsidRPr="00FF6132">
              <w:rPr>
                <w:rFonts w:hint="eastAsia"/>
                <w:sz w:val="21"/>
                <w:szCs w:val="21"/>
              </w:rPr>
              <w:t>工厂编号</w:t>
            </w:r>
          </w:p>
        </w:tc>
        <w:tc>
          <w:tcPr>
            <w:tcW w:w="710" w:type="pct"/>
            <w:vAlign w:val="center"/>
          </w:tcPr>
          <w:p w14:paraId="18FFA0C2" w14:textId="77777777" w:rsidR="00FF6132" w:rsidRPr="00FF6132" w:rsidRDefault="00FF6132" w:rsidP="00FF6132">
            <w:pPr>
              <w:pStyle w:val="af2"/>
              <w:widowControl/>
              <w:adjustRightInd w:val="0"/>
              <w:snapToGrid w:val="0"/>
              <w:spacing w:line="320" w:lineRule="exact"/>
              <w:ind w:firstLine="0"/>
              <w:jc w:val="center"/>
              <w:rPr>
                <w:sz w:val="21"/>
                <w:szCs w:val="21"/>
              </w:rPr>
            </w:pPr>
            <w:r w:rsidRPr="00FF6132">
              <w:rPr>
                <w:rFonts w:hint="eastAsia"/>
                <w:sz w:val="21"/>
                <w:szCs w:val="21"/>
              </w:rPr>
              <w:t>天然气</w:t>
            </w:r>
          </w:p>
          <w:p w14:paraId="21C703ED" w14:textId="77777777" w:rsidR="00FF6132" w:rsidRPr="00FF6132" w:rsidRDefault="00FF6132" w:rsidP="00FF6132">
            <w:pPr>
              <w:pStyle w:val="af2"/>
              <w:widowControl/>
              <w:adjustRightInd w:val="0"/>
              <w:snapToGrid w:val="0"/>
              <w:spacing w:line="320" w:lineRule="exact"/>
              <w:ind w:firstLine="0"/>
              <w:jc w:val="center"/>
              <w:rPr>
                <w:color w:val="000000"/>
                <w:sz w:val="21"/>
                <w:szCs w:val="21"/>
              </w:rPr>
            </w:pPr>
            <w:r w:rsidRPr="00FF6132">
              <w:rPr>
                <w:rFonts w:hint="eastAsia"/>
                <w:sz w:val="21"/>
                <w:szCs w:val="21"/>
              </w:rPr>
              <w:t>（</w:t>
            </w:r>
            <w:r w:rsidRPr="00FF6132">
              <w:rPr>
                <w:sz w:val="21"/>
                <w:szCs w:val="21"/>
              </w:rPr>
              <w:t>m</w:t>
            </w:r>
            <w:r w:rsidRPr="00FF6132">
              <w:rPr>
                <w:sz w:val="21"/>
                <w:szCs w:val="21"/>
                <w:vertAlign w:val="superscript"/>
              </w:rPr>
              <w:t>3</w:t>
            </w:r>
            <w:r w:rsidRPr="00FF6132">
              <w:rPr>
                <w:rFonts w:hint="eastAsia"/>
                <w:sz w:val="21"/>
                <w:szCs w:val="21"/>
              </w:rPr>
              <w:t>/</w:t>
            </w:r>
            <w:r w:rsidRPr="00FF6132">
              <w:rPr>
                <w:sz w:val="21"/>
                <w:szCs w:val="21"/>
              </w:rPr>
              <w:t>a</w:t>
            </w:r>
            <w:r w:rsidRPr="00FF6132">
              <w:rPr>
                <w:rFonts w:hint="eastAsia"/>
                <w:sz w:val="21"/>
                <w:szCs w:val="21"/>
              </w:rPr>
              <w:t>）</w:t>
            </w:r>
          </w:p>
        </w:tc>
        <w:tc>
          <w:tcPr>
            <w:tcW w:w="1073" w:type="pct"/>
            <w:vAlign w:val="center"/>
          </w:tcPr>
          <w:p w14:paraId="6AEE5F94" w14:textId="77777777" w:rsidR="00FF6132" w:rsidRPr="00FF6132" w:rsidRDefault="00FF6132" w:rsidP="00FF6132">
            <w:pPr>
              <w:widowControl/>
              <w:adjustRightInd w:val="0"/>
              <w:snapToGrid w:val="0"/>
              <w:spacing w:line="320" w:lineRule="exact"/>
              <w:jc w:val="center"/>
              <w:rPr>
                <w:sz w:val="21"/>
                <w:szCs w:val="21"/>
              </w:rPr>
            </w:pPr>
            <w:r w:rsidRPr="00FF6132">
              <w:rPr>
                <w:rFonts w:hint="eastAsia"/>
                <w:sz w:val="21"/>
                <w:szCs w:val="21"/>
              </w:rPr>
              <w:t>电</w:t>
            </w:r>
          </w:p>
          <w:p w14:paraId="55D5B1B7" w14:textId="77777777" w:rsidR="00FF6132" w:rsidRPr="00FF6132" w:rsidRDefault="00FF6132" w:rsidP="00FF6132">
            <w:pPr>
              <w:widowControl/>
              <w:adjustRightInd w:val="0"/>
              <w:snapToGrid w:val="0"/>
              <w:spacing w:line="320" w:lineRule="exact"/>
              <w:jc w:val="center"/>
              <w:rPr>
                <w:color w:val="000000"/>
                <w:sz w:val="21"/>
                <w:szCs w:val="21"/>
              </w:rPr>
            </w:pPr>
            <w:r w:rsidRPr="00FF6132">
              <w:rPr>
                <w:rFonts w:hint="eastAsia"/>
                <w:sz w:val="21"/>
                <w:szCs w:val="21"/>
              </w:rPr>
              <w:t>（</w:t>
            </w:r>
            <w:r w:rsidRPr="00FF6132">
              <w:rPr>
                <w:sz w:val="21"/>
                <w:szCs w:val="21"/>
              </w:rPr>
              <w:t>kWh/a</w:t>
            </w:r>
            <w:r w:rsidRPr="00FF6132">
              <w:rPr>
                <w:rFonts w:hint="eastAsia"/>
                <w:sz w:val="21"/>
                <w:szCs w:val="21"/>
              </w:rPr>
              <w:t>）</w:t>
            </w:r>
          </w:p>
        </w:tc>
        <w:tc>
          <w:tcPr>
            <w:tcW w:w="951" w:type="pct"/>
            <w:vAlign w:val="center"/>
          </w:tcPr>
          <w:p w14:paraId="020FAA8D" w14:textId="77777777" w:rsidR="00FF6132" w:rsidRPr="00FF6132" w:rsidRDefault="00FF6132" w:rsidP="00FF6132">
            <w:pPr>
              <w:widowControl/>
              <w:adjustRightInd w:val="0"/>
              <w:snapToGrid w:val="0"/>
              <w:spacing w:line="320" w:lineRule="exact"/>
              <w:jc w:val="center"/>
              <w:rPr>
                <w:color w:val="000000"/>
                <w:sz w:val="21"/>
                <w:szCs w:val="21"/>
              </w:rPr>
            </w:pPr>
            <w:r w:rsidRPr="00FF6132">
              <w:rPr>
                <w:rFonts w:hint="eastAsia"/>
                <w:sz w:val="21"/>
                <w:szCs w:val="21"/>
              </w:rPr>
              <w:t>换算为标准煤后的综合能耗（</w:t>
            </w:r>
            <w:r w:rsidRPr="00FF6132">
              <w:rPr>
                <w:rFonts w:hint="eastAsia"/>
                <w:sz w:val="21"/>
                <w:szCs w:val="21"/>
              </w:rPr>
              <w:t>tce/</w:t>
            </w:r>
            <w:r w:rsidRPr="00FF6132">
              <w:rPr>
                <w:sz w:val="21"/>
                <w:szCs w:val="21"/>
              </w:rPr>
              <w:t>a</w:t>
            </w:r>
            <w:r w:rsidRPr="00FF6132">
              <w:rPr>
                <w:rFonts w:hint="eastAsia"/>
                <w:sz w:val="21"/>
                <w:szCs w:val="21"/>
              </w:rPr>
              <w:t>）</w:t>
            </w:r>
          </w:p>
        </w:tc>
        <w:tc>
          <w:tcPr>
            <w:tcW w:w="922" w:type="pct"/>
            <w:vAlign w:val="center"/>
          </w:tcPr>
          <w:p w14:paraId="2E0E9A5F" w14:textId="77777777" w:rsidR="00FF6132" w:rsidRPr="00FF6132" w:rsidRDefault="00FF6132" w:rsidP="00FF6132">
            <w:pPr>
              <w:widowControl/>
              <w:adjustRightInd w:val="0"/>
              <w:snapToGrid w:val="0"/>
              <w:spacing w:line="320" w:lineRule="exact"/>
              <w:jc w:val="center"/>
              <w:rPr>
                <w:sz w:val="21"/>
                <w:szCs w:val="21"/>
              </w:rPr>
            </w:pPr>
            <w:r w:rsidRPr="00FF6132">
              <w:rPr>
                <w:rFonts w:hint="eastAsia"/>
                <w:sz w:val="21"/>
                <w:szCs w:val="21"/>
              </w:rPr>
              <w:t>单位产品综合能耗（</w:t>
            </w:r>
            <w:r w:rsidRPr="00FF6132">
              <w:rPr>
                <w:rFonts w:hint="eastAsia"/>
                <w:sz w:val="21"/>
                <w:szCs w:val="21"/>
              </w:rPr>
              <w:t>kgce/t</w:t>
            </w:r>
            <w:r w:rsidRPr="00FF6132">
              <w:rPr>
                <w:rFonts w:hint="eastAsia"/>
                <w:sz w:val="21"/>
                <w:szCs w:val="21"/>
              </w:rPr>
              <w:t>）</w:t>
            </w:r>
          </w:p>
        </w:tc>
        <w:tc>
          <w:tcPr>
            <w:tcW w:w="724" w:type="pct"/>
            <w:vAlign w:val="center"/>
          </w:tcPr>
          <w:p w14:paraId="0144FC5E" w14:textId="77777777" w:rsidR="00FF6132" w:rsidRPr="00FF6132" w:rsidRDefault="00FF6132" w:rsidP="00FF6132">
            <w:pPr>
              <w:widowControl/>
              <w:adjustRightInd w:val="0"/>
              <w:snapToGrid w:val="0"/>
              <w:spacing w:line="320" w:lineRule="exact"/>
              <w:jc w:val="center"/>
              <w:rPr>
                <w:sz w:val="21"/>
                <w:szCs w:val="21"/>
              </w:rPr>
            </w:pPr>
            <w:r w:rsidRPr="00FF6132">
              <w:rPr>
                <w:rFonts w:hint="eastAsia"/>
                <w:sz w:val="21"/>
                <w:szCs w:val="21"/>
              </w:rPr>
              <w:t>年产量（</w:t>
            </w:r>
            <w:r w:rsidRPr="00FF6132">
              <w:rPr>
                <w:rFonts w:hint="eastAsia"/>
                <w:sz w:val="21"/>
                <w:szCs w:val="21"/>
              </w:rPr>
              <w:t>t</w:t>
            </w:r>
            <w:r w:rsidRPr="00FF6132">
              <w:rPr>
                <w:rFonts w:hint="eastAsia"/>
                <w:sz w:val="21"/>
                <w:szCs w:val="21"/>
              </w:rPr>
              <w:t>）</w:t>
            </w:r>
          </w:p>
        </w:tc>
      </w:tr>
      <w:tr w:rsidR="00FF6132" w:rsidRPr="00FF6132" w14:paraId="55A5B173" w14:textId="77777777" w:rsidTr="00FF6132">
        <w:trPr>
          <w:cantSplit/>
          <w:trHeight w:val="332"/>
          <w:jc w:val="center"/>
        </w:trPr>
        <w:tc>
          <w:tcPr>
            <w:tcW w:w="620" w:type="pct"/>
            <w:vAlign w:val="center"/>
          </w:tcPr>
          <w:p w14:paraId="60C8D754" w14:textId="77777777" w:rsidR="00FF6132" w:rsidRPr="00FF6132" w:rsidRDefault="00FF6132" w:rsidP="00FF6132">
            <w:pPr>
              <w:adjustRightInd w:val="0"/>
              <w:snapToGrid w:val="0"/>
              <w:jc w:val="center"/>
              <w:rPr>
                <w:sz w:val="21"/>
                <w:szCs w:val="21"/>
              </w:rPr>
            </w:pPr>
            <w:r w:rsidRPr="00FF6132">
              <w:rPr>
                <w:rFonts w:hint="eastAsia"/>
                <w:sz w:val="21"/>
                <w:szCs w:val="21"/>
              </w:rPr>
              <w:t>#1</w:t>
            </w:r>
          </w:p>
        </w:tc>
        <w:tc>
          <w:tcPr>
            <w:tcW w:w="710" w:type="pct"/>
            <w:vAlign w:val="center"/>
          </w:tcPr>
          <w:p w14:paraId="13F99CD1" w14:textId="77777777" w:rsidR="00FF6132" w:rsidRPr="00FF6132" w:rsidRDefault="00FF6132" w:rsidP="00FF6132">
            <w:pPr>
              <w:adjustRightInd w:val="0"/>
              <w:snapToGrid w:val="0"/>
              <w:jc w:val="center"/>
              <w:rPr>
                <w:sz w:val="21"/>
                <w:szCs w:val="21"/>
              </w:rPr>
            </w:pPr>
            <w:r w:rsidRPr="00FF6132">
              <w:rPr>
                <w:rFonts w:hint="eastAsia"/>
                <w:sz w:val="21"/>
                <w:szCs w:val="21"/>
              </w:rPr>
              <w:t>4</w:t>
            </w:r>
            <w:r w:rsidRPr="00FF6132">
              <w:rPr>
                <w:sz w:val="21"/>
                <w:szCs w:val="21"/>
              </w:rPr>
              <w:t>29542</w:t>
            </w:r>
          </w:p>
        </w:tc>
        <w:tc>
          <w:tcPr>
            <w:tcW w:w="1073" w:type="pct"/>
            <w:vAlign w:val="center"/>
          </w:tcPr>
          <w:p w14:paraId="6A01B598" w14:textId="77777777" w:rsidR="00FF6132" w:rsidRPr="00FF6132" w:rsidRDefault="00FF6132" w:rsidP="00FF6132">
            <w:pPr>
              <w:adjustRightInd w:val="0"/>
              <w:snapToGrid w:val="0"/>
              <w:jc w:val="center"/>
              <w:rPr>
                <w:sz w:val="21"/>
                <w:szCs w:val="21"/>
              </w:rPr>
            </w:pPr>
            <w:r w:rsidRPr="00FF6132">
              <w:rPr>
                <w:sz w:val="21"/>
                <w:szCs w:val="21"/>
              </w:rPr>
              <w:t>3844025</w:t>
            </w:r>
          </w:p>
        </w:tc>
        <w:tc>
          <w:tcPr>
            <w:tcW w:w="951" w:type="pct"/>
            <w:vAlign w:val="center"/>
          </w:tcPr>
          <w:p w14:paraId="5EA086D9" w14:textId="77777777" w:rsidR="00FF6132" w:rsidRPr="00FF6132" w:rsidRDefault="00FF6132" w:rsidP="00FF6132">
            <w:pPr>
              <w:adjustRightInd w:val="0"/>
              <w:snapToGrid w:val="0"/>
              <w:jc w:val="center"/>
              <w:rPr>
                <w:sz w:val="21"/>
                <w:szCs w:val="21"/>
              </w:rPr>
            </w:pPr>
            <w:r w:rsidRPr="00FF6132">
              <w:rPr>
                <w:rFonts w:hint="eastAsia"/>
                <w:sz w:val="21"/>
                <w:szCs w:val="21"/>
              </w:rPr>
              <w:t>1</w:t>
            </w:r>
            <w:r w:rsidRPr="00FF6132">
              <w:rPr>
                <w:sz w:val="21"/>
                <w:szCs w:val="21"/>
              </w:rPr>
              <w:t>043.72</w:t>
            </w:r>
          </w:p>
        </w:tc>
        <w:tc>
          <w:tcPr>
            <w:tcW w:w="922" w:type="pct"/>
            <w:vAlign w:val="center"/>
          </w:tcPr>
          <w:p w14:paraId="4F620B9F" w14:textId="77777777" w:rsidR="00FF6132" w:rsidRPr="00FF6132" w:rsidRDefault="00FF6132" w:rsidP="00FF6132">
            <w:pPr>
              <w:adjustRightInd w:val="0"/>
              <w:snapToGrid w:val="0"/>
              <w:jc w:val="center"/>
              <w:rPr>
                <w:b/>
                <w:bCs/>
                <w:sz w:val="21"/>
                <w:szCs w:val="21"/>
              </w:rPr>
            </w:pPr>
            <w:r w:rsidRPr="00FF6132">
              <w:rPr>
                <w:b/>
                <w:bCs/>
                <w:sz w:val="21"/>
                <w:szCs w:val="21"/>
              </w:rPr>
              <w:t>641</w:t>
            </w:r>
            <w:r w:rsidRPr="00FF6132">
              <w:rPr>
                <w:rFonts w:hint="eastAsia"/>
                <w:b/>
                <w:bCs/>
                <w:sz w:val="21"/>
                <w:szCs w:val="21"/>
              </w:rPr>
              <w:t>.</w:t>
            </w:r>
            <w:r w:rsidRPr="00FF6132">
              <w:rPr>
                <w:b/>
                <w:bCs/>
                <w:sz w:val="21"/>
                <w:szCs w:val="21"/>
              </w:rPr>
              <w:t>5</w:t>
            </w:r>
          </w:p>
        </w:tc>
        <w:tc>
          <w:tcPr>
            <w:tcW w:w="724" w:type="pct"/>
          </w:tcPr>
          <w:p w14:paraId="7F64B5F7" w14:textId="77777777" w:rsidR="00FF6132" w:rsidRPr="00FF6132" w:rsidRDefault="00FF6132" w:rsidP="00FF6132">
            <w:pPr>
              <w:adjustRightInd w:val="0"/>
              <w:snapToGrid w:val="0"/>
              <w:jc w:val="center"/>
              <w:rPr>
                <w:b/>
                <w:bCs/>
                <w:sz w:val="21"/>
                <w:szCs w:val="21"/>
              </w:rPr>
            </w:pPr>
            <w:r w:rsidRPr="00FF6132">
              <w:rPr>
                <w:rFonts w:hint="eastAsia"/>
                <w:sz w:val="21"/>
                <w:szCs w:val="21"/>
              </w:rPr>
              <w:t>1627</w:t>
            </w:r>
          </w:p>
        </w:tc>
      </w:tr>
      <w:tr w:rsidR="00FF6132" w:rsidRPr="00FF6132" w14:paraId="05F83650" w14:textId="77777777" w:rsidTr="00FF6132">
        <w:trPr>
          <w:cantSplit/>
          <w:trHeight w:val="332"/>
          <w:jc w:val="center"/>
        </w:trPr>
        <w:tc>
          <w:tcPr>
            <w:tcW w:w="620" w:type="pct"/>
            <w:vAlign w:val="center"/>
          </w:tcPr>
          <w:p w14:paraId="50957832" w14:textId="77777777" w:rsidR="00FF6132" w:rsidRPr="00FF6132" w:rsidRDefault="00FF6132" w:rsidP="00FF6132">
            <w:pPr>
              <w:adjustRightInd w:val="0"/>
              <w:snapToGrid w:val="0"/>
              <w:jc w:val="center"/>
              <w:rPr>
                <w:sz w:val="21"/>
                <w:szCs w:val="21"/>
              </w:rPr>
            </w:pPr>
            <w:r w:rsidRPr="00FF6132">
              <w:rPr>
                <w:rFonts w:hint="eastAsia"/>
                <w:sz w:val="21"/>
                <w:szCs w:val="21"/>
              </w:rPr>
              <w:t>#2</w:t>
            </w:r>
          </w:p>
        </w:tc>
        <w:tc>
          <w:tcPr>
            <w:tcW w:w="710" w:type="pct"/>
            <w:vAlign w:val="center"/>
          </w:tcPr>
          <w:p w14:paraId="1130F3D4" w14:textId="77777777" w:rsidR="00FF6132" w:rsidRPr="00FF6132" w:rsidRDefault="00FF6132" w:rsidP="00FF6132">
            <w:pPr>
              <w:adjustRightInd w:val="0"/>
              <w:snapToGrid w:val="0"/>
              <w:jc w:val="center"/>
              <w:rPr>
                <w:sz w:val="21"/>
                <w:szCs w:val="21"/>
              </w:rPr>
            </w:pPr>
            <w:r w:rsidRPr="00FF6132">
              <w:rPr>
                <w:sz w:val="21"/>
                <w:szCs w:val="21"/>
              </w:rPr>
              <w:t>637039</w:t>
            </w:r>
          </w:p>
        </w:tc>
        <w:tc>
          <w:tcPr>
            <w:tcW w:w="1073" w:type="pct"/>
            <w:vAlign w:val="center"/>
          </w:tcPr>
          <w:p w14:paraId="1E06C171" w14:textId="77777777" w:rsidR="00FF6132" w:rsidRPr="00FF6132" w:rsidRDefault="00FF6132" w:rsidP="00FF6132">
            <w:pPr>
              <w:adjustRightInd w:val="0"/>
              <w:snapToGrid w:val="0"/>
              <w:jc w:val="center"/>
              <w:rPr>
                <w:b/>
                <w:bCs/>
                <w:sz w:val="21"/>
                <w:szCs w:val="21"/>
              </w:rPr>
            </w:pPr>
            <w:r w:rsidRPr="00FF6132">
              <w:rPr>
                <w:sz w:val="21"/>
                <w:szCs w:val="21"/>
              </w:rPr>
              <w:t>6070032</w:t>
            </w:r>
          </w:p>
        </w:tc>
        <w:tc>
          <w:tcPr>
            <w:tcW w:w="951" w:type="pct"/>
            <w:vAlign w:val="center"/>
          </w:tcPr>
          <w:p w14:paraId="0437D316" w14:textId="77777777" w:rsidR="00FF6132" w:rsidRPr="00FF6132" w:rsidRDefault="00FF6132" w:rsidP="00FF6132">
            <w:pPr>
              <w:adjustRightInd w:val="0"/>
              <w:snapToGrid w:val="0"/>
              <w:jc w:val="center"/>
              <w:rPr>
                <w:sz w:val="21"/>
                <w:szCs w:val="21"/>
              </w:rPr>
            </w:pPr>
            <w:r w:rsidRPr="00FF6132">
              <w:rPr>
                <w:sz w:val="21"/>
                <w:szCs w:val="21"/>
              </w:rPr>
              <w:t>1593</w:t>
            </w:r>
          </w:p>
        </w:tc>
        <w:tc>
          <w:tcPr>
            <w:tcW w:w="922" w:type="pct"/>
            <w:vAlign w:val="center"/>
          </w:tcPr>
          <w:p w14:paraId="6CA9ADF5" w14:textId="77777777" w:rsidR="00FF6132" w:rsidRPr="00FF6132" w:rsidRDefault="00FF6132" w:rsidP="00FF6132">
            <w:pPr>
              <w:adjustRightInd w:val="0"/>
              <w:snapToGrid w:val="0"/>
              <w:jc w:val="center"/>
              <w:rPr>
                <w:b/>
                <w:bCs/>
                <w:sz w:val="21"/>
                <w:szCs w:val="21"/>
              </w:rPr>
            </w:pPr>
            <w:r w:rsidRPr="00FF6132">
              <w:rPr>
                <w:rFonts w:hint="eastAsia"/>
                <w:b/>
                <w:bCs/>
                <w:sz w:val="21"/>
                <w:szCs w:val="21"/>
              </w:rPr>
              <w:t>918.8</w:t>
            </w:r>
          </w:p>
        </w:tc>
        <w:tc>
          <w:tcPr>
            <w:tcW w:w="724" w:type="pct"/>
          </w:tcPr>
          <w:p w14:paraId="44838E55" w14:textId="77777777" w:rsidR="00FF6132" w:rsidRPr="00FF6132" w:rsidRDefault="00FF6132" w:rsidP="00FF6132">
            <w:pPr>
              <w:adjustRightInd w:val="0"/>
              <w:snapToGrid w:val="0"/>
              <w:jc w:val="center"/>
              <w:rPr>
                <w:b/>
                <w:bCs/>
                <w:sz w:val="21"/>
                <w:szCs w:val="21"/>
              </w:rPr>
            </w:pPr>
            <w:r w:rsidRPr="00FF6132">
              <w:rPr>
                <w:rFonts w:hint="eastAsia"/>
                <w:sz w:val="21"/>
                <w:szCs w:val="21"/>
              </w:rPr>
              <w:t>1728</w:t>
            </w:r>
          </w:p>
        </w:tc>
      </w:tr>
      <w:tr w:rsidR="00FF6132" w:rsidRPr="00FF6132" w14:paraId="373580B3" w14:textId="77777777" w:rsidTr="00FF6132">
        <w:trPr>
          <w:cantSplit/>
          <w:trHeight w:val="332"/>
          <w:jc w:val="center"/>
        </w:trPr>
        <w:tc>
          <w:tcPr>
            <w:tcW w:w="620" w:type="pct"/>
            <w:vAlign w:val="center"/>
          </w:tcPr>
          <w:p w14:paraId="1E484FF7" w14:textId="77777777" w:rsidR="00FF6132" w:rsidRPr="00FF6132" w:rsidRDefault="00FF6132" w:rsidP="00FF6132">
            <w:pPr>
              <w:adjustRightInd w:val="0"/>
              <w:snapToGrid w:val="0"/>
              <w:jc w:val="center"/>
              <w:rPr>
                <w:sz w:val="21"/>
                <w:szCs w:val="21"/>
              </w:rPr>
            </w:pPr>
            <w:r w:rsidRPr="00FF6132">
              <w:rPr>
                <w:rFonts w:hint="eastAsia"/>
                <w:sz w:val="21"/>
                <w:szCs w:val="21"/>
              </w:rPr>
              <w:t>#3</w:t>
            </w:r>
          </w:p>
        </w:tc>
        <w:tc>
          <w:tcPr>
            <w:tcW w:w="710" w:type="pct"/>
            <w:vAlign w:val="center"/>
          </w:tcPr>
          <w:p w14:paraId="57307359" w14:textId="77777777" w:rsidR="00FF6132" w:rsidRPr="00FF6132" w:rsidRDefault="00FF6132" w:rsidP="00FF6132">
            <w:pPr>
              <w:adjustRightInd w:val="0"/>
              <w:snapToGrid w:val="0"/>
              <w:jc w:val="center"/>
              <w:rPr>
                <w:sz w:val="21"/>
                <w:szCs w:val="21"/>
              </w:rPr>
            </w:pPr>
            <w:r w:rsidRPr="00FF6132">
              <w:rPr>
                <w:sz w:val="21"/>
                <w:szCs w:val="21"/>
              </w:rPr>
              <w:t>452085</w:t>
            </w:r>
          </w:p>
        </w:tc>
        <w:tc>
          <w:tcPr>
            <w:tcW w:w="1073" w:type="pct"/>
            <w:vAlign w:val="center"/>
          </w:tcPr>
          <w:p w14:paraId="78C5F525" w14:textId="77777777" w:rsidR="00FF6132" w:rsidRPr="00FF6132" w:rsidRDefault="00FF6132" w:rsidP="00FF6132">
            <w:pPr>
              <w:adjustRightInd w:val="0"/>
              <w:snapToGrid w:val="0"/>
              <w:jc w:val="center"/>
              <w:rPr>
                <w:sz w:val="21"/>
                <w:szCs w:val="21"/>
              </w:rPr>
            </w:pPr>
            <w:r w:rsidRPr="00FF6132">
              <w:rPr>
                <w:sz w:val="21"/>
                <w:szCs w:val="21"/>
              </w:rPr>
              <w:t>6116670</w:t>
            </w:r>
          </w:p>
        </w:tc>
        <w:tc>
          <w:tcPr>
            <w:tcW w:w="951" w:type="pct"/>
            <w:vAlign w:val="center"/>
          </w:tcPr>
          <w:p w14:paraId="5D5A8826" w14:textId="77777777" w:rsidR="00FF6132" w:rsidRPr="00FF6132" w:rsidRDefault="00FF6132" w:rsidP="00FF6132">
            <w:pPr>
              <w:adjustRightInd w:val="0"/>
              <w:snapToGrid w:val="0"/>
              <w:jc w:val="center"/>
              <w:rPr>
                <w:sz w:val="21"/>
                <w:szCs w:val="21"/>
              </w:rPr>
            </w:pPr>
            <w:r w:rsidRPr="00FF6132">
              <w:rPr>
                <w:sz w:val="21"/>
                <w:szCs w:val="21"/>
              </w:rPr>
              <w:t>1353</w:t>
            </w:r>
          </w:p>
        </w:tc>
        <w:tc>
          <w:tcPr>
            <w:tcW w:w="922" w:type="pct"/>
            <w:vAlign w:val="center"/>
          </w:tcPr>
          <w:p w14:paraId="7525EF72" w14:textId="77777777" w:rsidR="00FF6132" w:rsidRPr="00FF6132" w:rsidRDefault="00FF6132" w:rsidP="00FF6132">
            <w:pPr>
              <w:adjustRightInd w:val="0"/>
              <w:snapToGrid w:val="0"/>
              <w:jc w:val="center"/>
              <w:rPr>
                <w:b/>
                <w:bCs/>
                <w:sz w:val="21"/>
                <w:szCs w:val="21"/>
              </w:rPr>
            </w:pPr>
            <w:r w:rsidRPr="00FF6132">
              <w:rPr>
                <w:rFonts w:hint="eastAsia"/>
                <w:b/>
                <w:bCs/>
                <w:sz w:val="21"/>
                <w:szCs w:val="21"/>
              </w:rPr>
              <w:t>841.6</w:t>
            </w:r>
          </w:p>
        </w:tc>
        <w:tc>
          <w:tcPr>
            <w:tcW w:w="724" w:type="pct"/>
          </w:tcPr>
          <w:p w14:paraId="4B5FD9DB" w14:textId="77777777" w:rsidR="00FF6132" w:rsidRPr="00FF6132" w:rsidRDefault="00FF6132" w:rsidP="00FF6132">
            <w:pPr>
              <w:adjustRightInd w:val="0"/>
              <w:snapToGrid w:val="0"/>
              <w:jc w:val="center"/>
              <w:rPr>
                <w:b/>
                <w:bCs/>
                <w:sz w:val="21"/>
                <w:szCs w:val="21"/>
              </w:rPr>
            </w:pPr>
            <w:r w:rsidRPr="00FF6132">
              <w:rPr>
                <w:rFonts w:hint="eastAsia"/>
                <w:sz w:val="21"/>
                <w:szCs w:val="21"/>
              </w:rPr>
              <w:t>1608</w:t>
            </w:r>
          </w:p>
        </w:tc>
      </w:tr>
      <w:tr w:rsidR="00FF6132" w:rsidRPr="00FF6132" w14:paraId="1931E378" w14:textId="77777777" w:rsidTr="00FF6132">
        <w:trPr>
          <w:cantSplit/>
          <w:trHeight w:val="332"/>
          <w:jc w:val="center"/>
        </w:trPr>
        <w:tc>
          <w:tcPr>
            <w:tcW w:w="620" w:type="pct"/>
            <w:vAlign w:val="center"/>
          </w:tcPr>
          <w:p w14:paraId="1A971A36" w14:textId="77777777" w:rsidR="00FF6132" w:rsidRPr="00FF6132" w:rsidRDefault="00FF6132" w:rsidP="00FF6132">
            <w:pPr>
              <w:adjustRightInd w:val="0"/>
              <w:snapToGrid w:val="0"/>
              <w:jc w:val="center"/>
              <w:rPr>
                <w:sz w:val="21"/>
                <w:szCs w:val="21"/>
              </w:rPr>
            </w:pPr>
            <w:r w:rsidRPr="00FF6132">
              <w:rPr>
                <w:rFonts w:hint="eastAsia"/>
                <w:sz w:val="21"/>
                <w:szCs w:val="21"/>
              </w:rPr>
              <w:t>#4</w:t>
            </w:r>
          </w:p>
        </w:tc>
        <w:tc>
          <w:tcPr>
            <w:tcW w:w="710" w:type="pct"/>
            <w:vAlign w:val="center"/>
          </w:tcPr>
          <w:p w14:paraId="31D55286" w14:textId="77777777" w:rsidR="00FF6132" w:rsidRPr="00FF6132" w:rsidRDefault="00FF6132" w:rsidP="00FF6132">
            <w:pPr>
              <w:adjustRightInd w:val="0"/>
              <w:snapToGrid w:val="0"/>
              <w:jc w:val="center"/>
              <w:rPr>
                <w:sz w:val="21"/>
                <w:szCs w:val="21"/>
              </w:rPr>
            </w:pPr>
            <w:r w:rsidRPr="00FF6132">
              <w:rPr>
                <w:sz w:val="21"/>
                <w:szCs w:val="21"/>
              </w:rPr>
              <w:t>349817</w:t>
            </w:r>
          </w:p>
        </w:tc>
        <w:tc>
          <w:tcPr>
            <w:tcW w:w="1073" w:type="pct"/>
            <w:vAlign w:val="center"/>
          </w:tcPr>
          <w:p w14:paraId="5FCBAE67" w14:textId="77777777" w:rsidR="00FF6132" w:rsidRPr="00FF6132" w:rsidRDefault="00FF6132" w:rsidP="00FF6132">
            <w:pPr>
              <w:adjustRightInd w:val="0"/>
              <w:snapToGrid w:val="0"/>
              <w:jc w:val="center"/>
              <w:rPr>
                <w:sz w:val="21"/>
                <w:szCs w:val="21"/>
              </w:rPr>
            </w:pPr>
            <w:r w:rsidRPr="00FF6132">
              <w:rPr>
                <w:sz w:val="21"/>
                <w:szCs w:val="21"/>
              </w:rPr>
              <w:t>6547623</w:t>
            </w:r>
          </w:p>
        </w:tc>
        <w:tc>
          <w:tcPr>
            <w:tcW w:w="951" w:type="pct"/>
            <w:vAlign w:val="center"/>
          </w:tcPr>
          <w:p w14:paraId="23EE8973" w14:textId="77777777" w:rsidR="00FF6132" w:rsidRPr="00FF6132" w:rsidRDefault="00FF6132" w:rsidP="00FF6132">
            <w:pPr>
              <w:adjustRightInd w:val="0"/>
              <w:snapToGrid w:val="0"/>
              <w:jc w:val="center"/>
              <w:rPr>
                <w:sz w:val="21"/>
                <w:szCs w:val="21"/>
              </w:rPr>
            </w:pPr>
            <w:r w:rsidRPr="00FF6132">
              <w:rPr>
                <w:sz w:val="21"/>
                <w:szCs w:val="21"/>
              </w:rPr>
              <w:t>1270</w:t>
            </w:r>
          </w:p>
        </w:tc>
        <w:tc>
          <w:tcPr>
            <w:tcW w:w="922" w:type="pct"/>
            <w:vAlign w:val="center"/>
          </w:tcPr>
          <w:p w14:paraId="111BC710" w14:textId="77777777" w:rsidR="00FF6132" w:rsidRPr="00FF6132" w:rsidRDefault="00FF6132" w:rsidP="00FF6132">
            <w:pPr>
              <w:adjustRightInd w:val="0"/>
              <w:snapToGrid w:val="0"/>
              <w:jc w:val="center"/>
              <w:rPr>
                <w:b/>
                <w:bCs/>
                <w:sz w:val="21"/>
                <w:szCs w:val="21"/>
              </w:rPr>
            </w:pPr>
            <w:r w:rsidRPr="00FF6132">
              <w:rPr>
                <w:rFonts w:hint="eastAsia"/>
                <w:b/>
                <w:bCs/>
                <w:sz w:val="21"/>
                <w:szCs w:val="21"/>
              </w:rPr>
              <w:t>1187.1</w:t>
            </w:r>
          </w:p>
        </w:tc>
        <w:tc>
          <w:tcPr>
            <w:tcW w:w="724" w:type="pct"/>
          </w:tcPr>
          <w:p w14:paraId="71B072D2" w14:textId="77777777" w:rsidR="00FF6132" w:rsidRPr="00FF6132" w:rsidRDefault="00FF6132" w:rsidP="00FF6132">
            <w:pPr>
              <w:adjustRightInd w:val="0"/>
              <w:snapToGrid w:val="0"/>
              <w:jc w:val="center"/>
              <w:rPr>
                <w:b/>
                <w:bCs/>
                <w:sz w:val="21"/>
                <w:szCs w:val="21"/>
              </w:rPr>
            </w:pPr>
            <w:r w:rsidRPr="00FF6132">
              <w:rPr>
                <w:rFonts w:hint="eastAsia"/>
                <w:sz w:val="21"/>
                <w:szCs w:val="21"/>
              </w:rPr>
              <w:t>1070</w:t>
            </w:r>
          </w:p>
        </w:tc>
      </w:tr>
      <w:tr w:rsidR="00FF6132" w:rsidRPr="00FF6132" w14:paraId="1004BC06" w14:textId="77777777" w:rsidTr="00FF6132">
        <w:trPr>
          <w:cantSplit/>
          <w:trHeight w:val="332"/>
          <w:jc w:val="center"/>
        </w:trPr>
        <w:tc>
          <w:tcPr>
            <w:tcW w:w="620" w:type="pct"/>
            <w:vAlign w:val="center"/>
          </w:tcPr>
          <w:p w14:paraId="29F02BC4" w14:textId="77777777" w:rsidR="00FF6132" w:rsidRPr="00FF6132" w:rsidRDefault="00FF6132" w:rsidP="00FF6132">
            <w:pPr>
              <w:adjustRightInd w:val="0"/>
              <w:snapToGrid w:val="0"/>
              <w:jc w:val="center"/>
              <w:rPr>
                <w:color w:val="000000"/>
                <w:sz w:val="21"/>
                <w:szCs w:val="21"/>
              </w:rPr>
            </w:pPr>
            <w:r w:rsidRPr="00FF6132">
              <w:rPr>
                <w:rFonts w:hint="eastAsia"/>
                <w:sz w:val="21"/>
                <w:szCs w:val="21"/>
              </w:rPr>
              <w:t>#6</w:t>
            </w:r>
          </w:p>
        </w:tc>
        <w:tc>
          <w:tcPr>
            <w:tcW w:w="710" w:type="pct"/>
            <w:vAlign w:val="center"/>
          </w:tcPr>
          <w:p w14:paraId="7DCBC861" w14:textId="77777777" w:rsidR="00FF6132" w:rsidRPr="00FF6132" w:rsidRDefault="00FF6132" w:rsidP="00FF6132">
            <w:pPr>
              <w:adjustRightInd w:val="0"/>
              <w:snapToGrid w:val="0"/>
              <w:jc w:val="center"/>
              <w:rPr>
                <w:b/>
                <w:bCs/>
                <w:color w:val="000000"/>
                <w:sz w:val="21"/>
                <w:szCs w:val="21"/>
                <w:highlight w:val="yellow"/>
              </w:rPr>
            </w:pPr>
          </w:p>
        </w:tc>
        <w:tc>
          <w:tcPr>
            <w:tcW w:w="1073" w:type="pct"/>
            <w:vAlign w:val="center"/>
          </w:tcPr>
          <w:p w14:paraId="0DD32AB3" w14:textId="77777777" w:rsidR="00FF6132" w:rsidRPr="00FF6132" w:rsidRDefault="00FF6132" w:rsidP="00FF6132">
            <w:pPr>
              <w:adjustRightInd w:val="0"/>
              <w:snapToGrid w:val="0"/>
              <w:jc w:val="center"/>
              <w:rPr>
                <w:sz w:val="21"/>
                <w:szCs w:val="21"/>
              </w:rPr>
            </w:pPr>
            <w:r w:rsidRPr="00FF6132">
              <w:rPr>
                <w:rFonts w:hint="eastAsia"/>
                <w:sz w:val="21"/>
                <w:szCs w:val="21"/>
              </w:rPr>
              <w:t>8</w:t>
            </w:r>
            <w:r w:rsidRPr="00FF6132">
              <w:rPr>
                <w:sz w:val="21"/>
                <w:szCs w:val="21"/>
              </w:rPr>
              <w:t>20000</w:t>
            </w:r>
            <w:r w:rsidRPr="00FF6132">
              <w:rPr>
                <w:rFonts w:hint="eastAsia"/>
                <w:sz w:val="21"/>
                <w:szCs w:val="21"/>
              </w:rPr>
              <w:t>~</w:t>
            </w:r>
            <w:r w:rsidRPr="00FF6132">
              <w:rPr>
                <w:sz w:val="21"/>
                <w:szCs w:val="21"/>
              </w:rPr>
              <w:t>1400000</w:t>
            </w:r>
          </w:p>
        </w:tc>
        <w:tc>
          <w:tcPr>
            <w:tcW w:w="951" w:type="pct"/>
            <w:vAlign w:val="center"/>
          </w:tcPr>
          <w:p w14:paraId="7919D96F" w14:textId="77777777" w:rsidR="00FF6132" w:rsidRPr="00FF6132" w:rsidRDefault="00FF6132" w:rsidP="00FF6132">
            <w:pPr>
              <w:adjustRightInd w:val="0"/>
              <w:snapToGrid w:val="0"/>
              <w:jc w:val="center"/>
              <w:rPr>
                <w:sz w:val="21"/>
                <w:szCs w:val="21"/>
              </w:rPr>
            </w:pPr>
            <w:r w:rsidRPr="00FF6132">
              <w:rPr>
                <w:sz w:val="21"/>
                <w:szCs w:val="21"/>
              </w:rPr>
              <w:t>100.78</w:t>
            </w:r>
            <w:r w:rsidRPr="00FF6132">
              <w:rPr>
                <w:rFonts w:hint="eastAsia"/>
                <w:sz w:val="21"/>
                <w:szCs w:val="21"/>
              </w:rPr>
              <w:t>~</w:t>
            </w:r>
            <w:r w:rsidRPr="00FF6132">
              <w:rPr>
                <w:sz w:val="21"/>
                <w:szCs w:val="21"/>
              </w:rPr>
              <w:t>172.06</w:t>
            </w:r>
          </w:p>
        </w:tc>
        <w:tc>
          <w:tcPr>
            <w:tcW w:w="922" w:type="pct"/>
            <w:vAlign w:val="center"/>
          </w:tcPr>
          <w:p w14:paraId="6FB7714E" w14:textId="77777777" w:rsidR="00FF6132" w:rsidRPr="00FF6132" w:rsidRDefault="00FF6132" w:rsidP="00FF6132">
            <w:pPr>
              <w:adjustRightInd w:val="0"/>
              <w:snapToGrid w:val="0"/>
              <w:jc w:val="center"/>
              <w:rPr>
                <w:b/>
                <w:bCs/>
                <w:sz w:val="21"/>
                <w:szCs w:val="21"/>
              </w:rPr>
            </w:pPr>
            <w:r w:rsidRPr="00FF6132">
              <w:rPr>
                <w:b/>
                <w:bCs/>
                <w:sz w:val="21"/>
                <w:szCs w:val="21"/>
              </w:rPr>
              <w:t>746.5</w:t>
            </w:r>
            <w:r w:rsidRPr="00FF6132">
              <w:rPr>
                <w:rFonts w:hint="eastAsia"/>
                <w:b/>
                <w:bCs/>
                <w:sz w:val="21"/>
                <w:szCs w:val="21"/>
              </w:rPr>
              <w:t>~1</w:t>
            </w:r>
            <w:r w:rsidRPr="00FF6132">
              <w:rPr>
                <w:b/>
                <w:bCs/>
                <w:sz w:val="21"/>
                <w:szCs w:val="21"/>
              </w:rPr>
              <w:t>274</w:t>
            </w:r>
            <w:r w:rsidRPr="00FF6132">
              <w:rPr>
                <w:rFonts w:hint="eastAsia"/>
                <w:b/>
                <w:bCs/>
                <w:sz w:val="21"/>
                <w:szCs w:val="21"/>
              </w:rPr>
              <w:t>.</w:t>
            </w:r>
            <w:r w:rsidRPr="00FF6132">
              <w:rPr>
                <w:b/>
                <w:bCs/>
                <w:sz w:val="21"/>
                <w:szCs w:val="21"/>
              </w:rPr>
              <w:t>5</w:t>
            </w:r>
          </w:p>
        </w:tc>
        <w:tc>
          <w:tcPr>
            <w:tcW w:w="724" w:type="pct"/>
          </w:tcPr>
          <w:p w14:paraId="6B82B272" w14:textId="77777777" w:rsidR="00FF6132" w:rsidRPr="00FF6132" w:rsidRDefault="00FF6132" w:rsidP="00FF6132">
            <w:pPr>
              <w:adjustRightInd w:val="0"/>
              <w:snapToGrid w:val="0"/>
              <w:jc w:val="center"/>
              <w:rPr>
                <w:sz w:val="21"/>
                <w:szCs w:val="21"/>
              </w:rPr>
            </w:pPr>
            <w:r w:rsidRPr="00FF6132">
              <w:rPr>
                <w:rFonts w:hint="eastAsia"/>
                <w:sz w:val="21"/>
                <w:szCs w:val="21"/>
              </w:rPr>
              <w:t>135</w:t>
            </w:r>
          </w:p>
        </w:tc>
      </w:tr>
    </w:tbl>
    <w:p w14:paraId="12B607E2" w14:textId="2928B4D4" w:rsidR="00FF6132" w:rsidRDefault="0020194A" w:rsidP="00351ECA">
      <w:pPr>
        <w:snapToGrid w:val="0"/>
        <w:spacing w:line="440" w:lineRule="exact"/>
        <w:ind w:firstLineChars="200" w:firstLine="480"/>
      </w:pPr>
      <w:r w:rsidRPr="00567055">
        <w:rPr>
          <w:rFonts w:hint="eastAsia"/>
          <w:kern w:val="0"/>
        </w:rPr>
        <w:t>根据调研结果，将</w:t>
      </w:r>
      <w:r w:rsidR="00567055" w:rsidRPr="00567055">
        <w:rPr>
          <w:rFonts w:hint="eastAsia"/>
          <w:kern w:val="0"/>
        </w:rPr>
        <w:t>燕窝制品产品能源低碳化指标按照表</w:t>
      </w:r>
      <w:r w:rsidR="00BE6E38">
        <w:rPr>
          <w:rFonts w:hint="eastAsia"/>
          <w:kern w:val="0"/>
        </w:rPr>
        <w:t>6</w:t>
      </w:r>
      <w:r w:rsidR="00567055" w:rsidRPr="00567055">
        <w:rPr>
          <w:rFonts w:hint="eastAsia"/>
          <w:kern w:val="0"/>
        </w:rPr>
        <w:t>进行规定，</w:t>
      </w:r>
      <w:r w:rsidR="00567055">
        <w:rPr>
          <w:rFonts w:hint="eastAsia"/>
          <w:kern w:val="0"/>
        </w:rPr>
        <w:t>其中</w:t>
      </w:r>
      <w:r w:rsidR="00351ECA">
        <w:rPr>
          <w:rFonts w:hint="eastAsia"/>
          <w:kern w:val="0"/>
        </w:rPr>
        <w:t>单位产品碳排放量的</w:t>
      </w:r>
      <w:r w:rsidR="00351ECA">
        <w:rPr>
          <w:rFonts w:hint="eastAsia"/>
          <w:kern w:val="0"/>
        </w:rPr>
        <w:t>3</w:t>
      </w:r>
      <w:r w:rsidR="00351ECA">
        <w:rPr>
          <w:rFonts w:hint="eastAsia"/>
          <w:kern w:val="0"/>
        </w:rPr>
        <w:t>级指标规定为“识别、统计和计算，达到行业平均水平，并提供减量方案”，</w:t>
      </w:r>
      <w:r w:rsidR="00351ECA">
        <w:rPr>
          <w:rFonts w:hint="eastAsia"/>
          <w:kern w:val="0"/>
        </w:rPr>
        <w:t>2</w:t>
      </w:r>
      <w:r w:rsidR="00351ECA">
        <w:rPr>
          <w:rFonts w:hint="eastAsia"/>
          <w:kern w:val="0"/>
        </w:rPr>
        <w:t>级指标规定为“优于行业前</w:t>
      </w:r>
      <w:r w:rsidR="00351ECA">
        <w:rPr>
          <w:rFonts w:hint="eastAsia"/>
          <w:kern w:val="0"/>
        </w:rPr>
        <w:t>20%</w:t>
      </w:r>
      <w:r w:rsidR="00351ECA">
        <w:rPr>
          <w:rFonts w:hint="eastAsia"/>
          <w:kern w:val="0"/>
        </w:rPr>
        <w:t>水平”，由于在国家级绿色工厂评选时，单位产品碳排放量是否有持续改善是重要参考指标，将</w:t>
      </w:r>
      <w:r w:rsidR="00351ECA">
        <w:rPr>
          <w:rFonts w:hint="eastAsia"/>
          <w:kern w:val="0"/>
        </w:rPr>
        <w:t>1</w:t>
      </w:r>
      <w:r w:rsidR="00351ECA">
        <w:rPr>
          <w:rFonts w:hint="eastAsia"/>
          <w:kern w:val="0"/>
        </w:rPr>
        <w:t>级指标规定为“近三年指标持续改善，优于行业前</w:t>
      </w:r>
      <w:r w:rsidR="00351ECA">
        <w:rPr>
          <w:rFonts w:hint="eastAsia"/>
          <w:kern w:val="0"/>
        </w:rPr>
        <w:t>5%</w:t>
      </w:r>
      <w:r w:rsidR="00351ECA">
        <w:rPr>
          <w:rFonts w:hint="eastAsia"/>
          <w:kern w:val="0"/>
        </w:rPr>
        <w:t>水平”。</w:t>
      </w:r>
    </w:p>
    <w:p w14:paraId="5FCAD024" w14:textId="4099E0CC" w:rsidR="00567055" w:rsidRDefault="00567055" w:rsidP="00567055">
      <w:pPr>
        <w:pStyle w:val="af"/>
        <w:jc w:val="center"/>
      </w:pPr>
      <w:r>
        <w:rPr>
          <w:rFonts w:hint="eastAsia"/>
        </w:rPr>
        <w:t>表</w:t>
      </w:r>
      <w:r>
        <w:rPr>
          <w:rFonts w:hint="eastAsia"/>
        </w:rPr>
        <w:t xml:space="preserve"> </w:t>
      </w:r>
      <w:r w:rsidR="00BE6E38">
        <w:rPr>
          <w:rFonts w:hint="eastAsia"/>
        </w:rPr>
        <w:t>6</w:t>
      </w:r>
      <w:r>
        <w:rPr>
          <w:rFonts w:hint="eastAsia"/>
        </w:rPr>
        <w:t xml:space="preserve"> </w:t>
      </w:r>
      <w:r>
        <w:rPr>
          <w:rFonts w:hint="eastAsia"/>
        </w:rPr>
        <w:t>燕窝制品产品能源低碳化指标</w:t>
      </w:r>
    </w:p>
    <w:tbl>
      <w:tblPr>
        <w:tblW w:w="527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3"/>
        <w:gridCol w:w="1975"/>
        <w:gridCol w:w="1924"/>
        <w:gridCol w:w="2146"/>
      </w:tblGrid>
      <w:tr w:rsidR="00567055" w14:paraId="1176B8B0" w14:textId="77777777" w:rsidTr="00567055">
        <w:trPr>
          <w:trHeight w:val="329"/>
          <w:tblHeader/>
          <w:jc w:val="center"/>
        </w:trPr>
        <w:tc>
          <w:tcPr>
            <w:tcW w:w="1541" w:type="pct"/>
            <w:tcBorders>
              <w:top w:val="single" w:sz="8" w:space="0" w:color="auto"/>
              <w:bottom w:val="single" w:sz="8" w:space="0" w:color="auto"/>
            </w:tcBorders>
            <w:shd w:val="clear" w:color="auto" w:fill="auto"/>
            <w:vAlign w:val="center"/>
          </w:tcPr>
          <w:p w14:paraId="4C3FBACF" w14:textId="77777777" w:rsidR="00567055" w:rsidRDefault="00567055" w:rsidP="00567055">
            <w:pPr>
              <w:pStyle w:val="affffffff"/>
              <w:widowControl w:val="0"/>
              <w:adjustRightInd w:val="0"/>
              <w:snapToGrid w:val="0"/>
              <w:rPr>
                <w:rFonts w:ascii="Times New Roman"/>
                <w:szCs w:val="18"/>
              </w:rPr>
            </w:pPr>
            <w:r>
              <w:rPr>
                <w:rFonts w:ascii="Times New Roman"/>
                <w:szCs w:val="18"/>
              </w:rPr>
              <w:t>指</w:t>
            </w:r>
            <w:r>
              <w:rPr>
                <w:rFonts w:ascii="Times New Roman" w:hint="eastAsia"/>
                <w:szCs w:val="18"/>
              </w:rPr>
              <w:t xml:space="preserve">  </w:t>
            </w:r>
            <w:r>
              <w:rPr>
                <w:rFonts w:ascii="Times New Roman"/>
                <w:szCs w:val="18"/>
              </w:rPr>
              <w:t>标</w:t>
            </w:r>
          </w:p>
        </w:tc>
        <w:tc>
          <w:tcPr>
            <w:tcW w:w="1130" w:type="pct"/>
            <w:tcBorders>
              <w:top w:val="single" w:sz="8" w:space="0" w:color="auto"/>
              <w:bottom w:val="single" w:sz="8" w:space="0" w:color="auto"/>
            </w:tcBorders>
            <w:shd w:val="clear" w:color="auto" w:fill="auto"/>
            <w:vAlign w:val="center"/>
          </w:tcPr>
          <w:p w14:paraId="43EE6E0B" w14:textId="77777777" w:rsidR="00567055" w:rsidRDefault="00567055" w:rsidP="00567055">
            <w:pPr>
              <w:pStyle w:val="affffffff"/>
              <w:widowControl w:val="0"/>
              <w:adjustRightInd w:val="0"/>
              <w:snapToGrid w:val="0"/>
              <w:rPr>
                <w:rFonts w:ascii="Times New Roman"/>
                <w:szCs w:val="18"/>
              </w:rPr>
            </w:pPr>
            <w:r>
              <w:rPr>
                <w:rFonts w:ascii="Times New Roman" w:hint="eastAsia"/>
                <w:szCs w:val="18"/>
              </w:rPr>
              <w:t>1</w:t>
            </w:r>
            <w:r>
              <w:rPr>
                <w:rFonts w:ascii="Times New Roman" w:hint="eastAsia"/>
                <w:szCs w:val="18"/>
              </w:rPr>
              <w:t>级</w:t>
            </w:r>
          </w:p>
        </w:tc>
        <w:tc>
          <w:tcPr>
            <w:tcW w:w="1101" w:type="pct"/>
            <w:tcBorders>
              <w:top w:val="single" w:sz="8" w:space="0" w:color="auto"/>
              <w:bottom w:val="single" w:sz="8" w:space="0" w:color="auto"/>
            </w:tcBorders>
            <w:shd w:val="clear" w:color="auto" w:fill="auto"/>
            <w:vAlign w:val="center"/>
          </w:tcPr>
          <w:p w14:paraId="2D00637B" w14:textId="77777777" w:rsidR="00567055" w:rsidRDefault="00567055" w:rsidP="00567055">
            <w:pPr>
              <w:pStyle w:val="affffffff"/>
              <w:widowControl w:val="0"/>
              <w:adjustRightInd w:val="0"/>
              <w:snapToGrid w:val="0"/>
              <w:rPr>
                <w:rFonts w:ascii="Times New Roman"/>
                <w:szCs w:val="18"/>
              </w:rPr>
            </w:pPr>
            <w:r>
              <w:rPr>
                <w:rFonts w:ascii="Times New Roman" w:hint="eastAsia"/>
                <w:szCs w:val="18"/>
              </w:rPr>
              <w:t>2</w:t>
            </w:r>
            <w:r>
              <w:rPr>
                <w:rFonts w:ascii="Times New Roman" w:hint="eastAsia"/>
                <w:szCs w:val="18"/>
              </w:rPr>
              <w:t>级</w:t>
            </w:r>
          </w:p>
        </w:tc>
        <w:tc>
          <w:tcPr>
            <w:tcW w:w="1228" w:type="pct"/>
            <w:tcBorders>
              <w:top w:val="single" w:sz="8" w:space="0" w:color="auto"/>
              <w:bottom w:val="single" w:sz="8" w:space="0" w:color="auto"/>
            </w:tcBorders>
            <w:shd w:val="clear" w:color="auto" w:fill="auto"/>
            <w:vAlign w:val="center"/>
          </w:tcPr>
          <w:p w14:paraId="02F5241A" w14:textId="77777777" w:rsidR="00567055" w:rsidRDefault="00567055" w:rsidP="00567055">
            <w:pPr>
              <w:pStyle w:val="affffffff"/>
              <w:widowControl w:val="0"/>
              <w:adjustRightInd w:val="0"/>
              <w:snapToGrid w:val="0"/>
              <w:rPr>
                <w:rFonts w:ascii="Times New Roman"/>
                <w:szCs w:val="18"/>
              </w:rPr>
            </w:pPr>
            <w:r>
              <w:rPr>
                <w:rFonts w:ascii="Times New Roman" w:hint="eastAsia"/>
                <w:szCs w:val="18"/>
              </w:rPr>
              <w:t>3</w:t>
            </w:r>
            <w:r>
              <w:rPr>
                <w:rFonts w:ascii="Times New Roman" w:hint="eastAsia"/>
                <w:szCs w:val="18"/>
              </w:rPr>
              <w:t>级</w:t>
            </w:r>
          </w:p>
        </w:tc>
      </w:tr>
      <w:tr w:rsidR="00567055" w14:paraId="7EDA920C" w14:textId="77777777" w:rsidTr="00567055">
        <w:trPr>
          <w:trHeight w:val="472"/>
          <w:tblHeader/>
          <w:jc w:val="center"/>
        </w:trPr>
        <w:tc>
          <w:tcPr>
            <w:tcW w:w="1541" w:type="pct"/>
            <w:tcBorders>
              <w:top w:val="single" w:sz="8" w:space="0" w:color="auto"/>
              <w:bottom w:val="single" w:sz="4" w:space="0" w:color="auto"/>
            </w:tcBorders>
            <w:shd w:val="clear" w:color="auto" w:fill="auto"/>
            <w:vAlign w:val="center"/>
          </w:tcPr>
          <w:p w14:paraId="1297F71C" w14:textId="77777777" w:rsidR="00567055" w:rsidRDefault="00567055" w:rsidP="00567055">
            <w:pPr>
              <w:pStyle w:val="affffffff"/>
              <w:widowControl w:val="0"/>
              <w:adjustRightInd w:val="0"/>
              <w:snapToGrid w:val="0"/>
              <w:rPr>
                <w:rFonts w:ascii="Times New Roman"/>
                <w:szCs w:val="18"/>
              </w:rPr>
            </w:pPr>
            <w:r>
              <w:rPr>
                <w:rFonts w:ascii="Times New Roman"/>
                <w:szCs w:val="18"/>
              </w:rPr>
              <w:t>单位产品综合能耗</w:t>
            </w:r>
            <w:r>
              <w:rPr>
                <w:rFonts w:ascii="Times New Roman" w:hint="eastAsia"/>
                <w:szCs w:val="18"/>
              </w:rPr>
              <w:t xml:space="preserve">  kg</w:t>
            </w:r>
            <w:r>
              <w:rPr>
                <w:rFonts w:ascii="Times New Roman"/>
                <w:szCs w:val="18"/>
              </w:rPr>
              <w:t xml:space="preserve">ce/t    </w:t>
            </w:r>
            <w:r>
              <w:rPr>
                <w:rFonts w:ascii="Times New Roman" w:hint="eastAsia"/>
                <w:szCs w:val="18"/>
                <w:lang w:bidi="ar"/>
              </w:rPr>
              <w:t>≤</w:t>
            </w:r>
          </w:p>
        </w:tc>
        <w:tc>
          <w:tcPr>
            <w:tcW w:w="1130" w:type="pct"/>
            <w:tcBorders>
              <w:top w:val="single" w:sz="8" w:space="0" w:color="auto"/>
            </w:tcBorders>
            <w:shd w:val="clear" w:color="auto" w:fill="auto"/>
            <w:vAlign w:val="center"/>
          </w:tcPr>
          <w:p w14:paraId="6AEF9601" w14:textId="77777777" w:rsidR="00567055" w:rsidRPr="00052A28" w:rsidRDefault="00567055" w:rsidP="00567055">
            <w:pPr>
              <w:pStyle w:val="affffffff"/>
              <w:widowControl w:val="0"/>
              <w:adjustRightInd w:val="0"/>
              <w:snapToGrid w:val="0"/>
              <w:rPr>
                <w:rFonts w:ascii="Times New Roman"/>
                <w:szCs w:val="18"/>
              </w:rPr>
            </w:pPr>
            <w:r>
              <w:rPr>
                <w:rFonts w:ascii="Times New Roman" w:hint="eastAsia"/>
                <w:szCs w:val="18"/>
              </w:rPr>
              <w:t>8</w:t>
            </w:r>
            <w:r w:rsidRPr="00052A28">
              <w:rPr>
                <w:rFonts w:ascii="Times New Roman" w:hint="eastAsia"/>
                <w:szCs w:val="18"/>
              </w:rPr>
              <w:t>00</w:t>
            </w:r>
          </w:p>
        </w:tc>
        <w:tc>
          <w:tcPr>
            <w:tcW w:w="1101" w:type="pct"/>
            <w:tcBorders>
              <w:top w:val="single" w:sz="8" w:space="0" w:color="auto"/>
            </w:tcBorders>
            <w:shd w:val="clear" w:color="auto" w:fill="auto"/>
            <w:vAlign w:val="center"/>
          </w:tcPr>
          <w:p w14:paraId="045AA458" w14:textId="77777777" w:rsidR="00567055" w:rsidRPr="00052A28" w:rsidRDefault="00567055" w:rsidP="00567055">
            <w:pPr>
              <w:pStyle w:val="affffffff"/>
              <w:widowControl w:val="0"/>
              <w:adjustRightInd w:val="0"/>
              <w:snapToGrid w:val="0"/>
              <w:rPr>
                <w:rFonts w:ascii="Times New Roman"/>
                <w:szCs w:val="18"/>
              </w:rPr>
            </w:pPr>
            <w:r w:rsidRPr="00052A28">
              <w:rPr>
                <w:rFonts w:ascii="Times New Roman" w:hint="eastAsia"/>
                <w:szCs w:val="18"/>
              </w:rPr>
              <w:t>900</w:t>
            </w:r>
          </w:p>
        </w:tc>
        <w:tc>
          <w:tcPr>
            <w:tcW w:w="1228" w:type="pct"/>
            <w:tcBorders>
              <w:top w:val="single" w:sz="8" w:space="0" w:color="auto"/>
            </w:tcBorders>
            <w:shd w:val="clear" w:color="auto" w:fill="auto"/>
            <w:vAlign w:val="center"/>
          </w:tcPr>
          <w:p w14:paraId="245F80BD" w14:textId="77777777" w:rsidR="00567055" w:rsidRDefault="00567055" w:rsidP="00567055">
            <w:pPr>
              <w:pStyle w:val="affffffff"/>
              <w:widowControl w:val="0"/>
              <w:adjustRightInd w:val="0"/>
              <w:snapToGrid w:val="0"/>
              <w:rPr>
                <w:rFonts w:ascii="Times New Roman"/>
                <w:szCs w:val="18"/>
              </w:rPr>
            </w:pPr>
            <w:r>
              <w:rPr>
                <w:rFonts w:ascii="Times New Roman" w:hint="eastAsia"/>
                <w:szCs w:val="18"/>
              </w:rPr>
              <w:t>1000</w:t>
            </w:r>
          </w:p>
        </w:tc>
      </w:tr>
      <w:tr w:rsidR="00567055" w14:paraId="51C5B5BC" w14:textId="77777777" w:rsidTr="00567055">
        <w:trPr>
          <w:trHeight w:val="539"/>
          <w:tblHeader/>
          <w:jc w:val="center"/>
        </w:trPr>
        <w:tc>
          <w:tcPr>
            <w:tcW w:w="1541" w:type="pct"/>
            <w:tcBorders>
              <w:top w:val="single" w:sz="4" w:space="0" w:color="auto"/>
              <w:bottom w:val="single" w:sz="8" w:space="0" w:color="auto"/>
            </w:tcBorders>
            <w:shd w:val="clear" w:color="auto" w:fill="auto"/>
            <w:vAlign w:val="center"/>
          </w:tcPr>
          <w:p w14:paraId="2221C9D3" w14:textId="77777777" w:rsidR="00567055" w:rsidRDefault="00567055" w:rsidP="00567055">
            <w:pPr>
              <w:pStyle w:val="affffffff"/>
              <w:widowControl w:val="0"/>
              <w:adjustRightInd w:val="0"/>
              <w:snapToGrid w:val="0"/>
              <w:rPr>
                <w:rFonts w:ascii="Times New Roman"/>
                <w:szCs w:val="18"/>
              </w:rPr>
            </w:pPr>
            <w:r>
              <w:rPr>
                <w:rFonts w:ascii="Times New Roman"/>
                <w:szCs w:val="18"/>
              </w:rPr>
              <w:t>单位产品碳排放量</w:t>
            </w:r>
          </w:p>
        </w:tc>
        <w:tc>
          <w:tcPr>
            <w:tcW w:w="1130" w:type="pct"/>
            <w:tcBorders>
              <w:top w:val="single" w:sz="4" w:space="0" w:color="auto"/>
              <w:bottom w:val="single" w:sz="8" w:space="0" w:color="auto"/>
            </w:tcBorders>
            <w:shd w:val="clear" w:color="auto" w:fill="auto"/>
            <w:vAlign w:val="center"/>
          </w:tcPr>
          <w:p w14:paraId="05487A0C" w14:textId="77777777" w:rsidR="00567055" w:rsidRDefault="00567055" w:rsidP="00567055">
            <w:pPr>
              <w:pStyle w:val="affffffff"/>
              <w:widowControl w:val="0"/>
              <w:adjustRightInd w:val="0"/>
              <w:ind w:firstLineChars="100" w:firstLine="180"/>
              <w:jc w:val="left"/>
              <w:rPr>
                <w:rFonts w:ascii="Times New Roman"/>
                <w:strike/>
                <w:szCs w:val="18"/>
              </w:rPr>
            </w:pPr>
            <w:r>
              <w:rPr>
                <w:rFonts w:ascii="Times New Roman" w:hint="eastAsia"/>
                <w:szCs w:val="18"/>
              </w:rPr>
              <w:t>近三年指标持续改善，优于行业前</w:t>
            </w:r>
            <w:r>
              <w:rPr>
                <w:rFonts w:ascii="Times New Roman" w:hint="eastAsia"/>
                <w:szCs w:val="18"/>
              </w:rPr>
              <w:t>5</w:t>
            </w:r>
            <w:r>
              <w:rPr>
                <w:rFonts w:ascii="Times New Roman"/>
                <w:szCs w:val="18"/>
              </w:rPr>
              <w:t>%</w:t>
            </w:r>
            <w:r>
              <w:rPr>
                <w:rFonts w:ascii="Times New Roman" w:hint="eastAsia"/>
                <w:szCs w:val="18"/>
              </w:rPr>
              <w:t>水平</w:t>
            </w:r>
          </w:p>
        </w:tc>
        <w:tc>
          <w:tcPr>
            <w:tcW w:w="1101" w:type="pct"/>
            <w:tcBorders>
              <w:top w:val="single" w:sz="4" w:space="0" w:color="auto"/>
              <w:bottom w:val="single" w:sz="8" w:space="0" w:color="auto"/>
            </w:tcBorders>
            <w:shd w:val="clear" w:color="auto" w:fill="auto"/>
            <w:vAlign w:val="center"/>
          </w:tcPr>
          <w:p w14:paraId="487EE265" w14:textId="77777777" w:rsidR="00567055" w:rsidRDefault="00567055" w:rsidP="00567055">
            <w:pPr>
              <w:pStyle w:val="affffffff"/>
              <w:widowControl w:val="0"/>
              <w:adjustRightInd w:val="0"/>
              <w:ind w:firstLineChars="100" w:firstLine="180"/>
              <w:jc w:val="left"/>
              <w:rPr>
                <w:rFonts w:ascii="Times New Roman"/>
                <w:szCs w:val="18"/>
              </w:rPr>
            </w:pPr>
            <w:r>
              <w:rPr>
                <w:rFonts w:ascii="Times New Roman" w:hint="eastAsia"/>
                <w:szCs w:val="18"/>
              </w:rPr>
              <w:t>优于行业前</w:t>
            </w:r>
            <w:r>
              <w:rPr>
                <w:rFonts w:ascii="Times New Roman" w:hint="eastAsia"/>
                <w:szCs w:val="18"/>
              </w:rPr>
              <w:t>2</w:t>
            </w:r>
            <w:r>
              <w:rPr>
                <w:rFonts w:ascii="Times New Roman"/>
                <w:szCs w:val="18"/>
              </w:rPr>
              <w:t>0%</w:t>
            </w:r>
            <w:r>
              <w:rPr>
                <w:rFonts w:ascii="Times New Roman" w:hint="eastAsia"/>
                <w:szCs w:val="18"/>
              </w:rPr>
              <w:t>水平</w:t>
            </w:r>
          </w:p>
        </w:tc>
        <w:tc>
          <w:tcPr>
            <w:tcW w:w="1228" w:type="pct"/>
            <w:tcBorders>
              <w:top w:val="single" w:sz="4" w:space="0" w:color="auto"/>
              <w:bottom w:val="single" w:sz="8" w:space="0" w:color="auto"/>
            </w:tcBorders>
            <w:shd w:val="clear" w:color="auto" w:fill="auto"/>
            <w:vAlign w:val="center"/>
          </w:tcPr>
          <w:p w14:paraId="46C013D5" w14:textId="77777777" w:rsidR="00567055" w:rsidRDefault="00567055" w:rsidP="00567055">
            <w:pPr>
              <w:pStyle w:val="affffffff"/>
              <w:widowControl w:val="0"/>
              <w:adjustRightInd w:val="0"/>
              <w:ind w:firstLineChars="100" w:firstLine="180"/>
              <w:jc w:val="left"/>
              <w:rPr>
                <w:rFonts w:ascii="Times New Roman"/>
                <w:szCs w:val="18"/>
              </w:rPr>
            </w:pPr>
            <w:r>
              <w:rPr>
                <w:rFonts w:ascii="Times New Roman" w:hint="eastAsia"/>
                <w:szCs w:val="18"/>
              </w:rPr>
              <w:t>识别、统计和计算，达到行业平均水平，并提供减量方案</w:t>
            </w:r>
          </w:p>
        </w:tc>
      </w:tr>
      <w:tr w:rsidR="00567055" w14:paraId="44E4A4F5" w14:textId="77777777" w:rsidTr="00567055">
        <w:trPr>
          <w:trHeight w:val="329"/>
          <w:tblHeader/>
          <w:jc w:val="center"/>
        </w:trPr>
        <w:tc>
          <w:tcPr>
            <w:tcW w:w="5000" w:type="pct"/>
            <w:gridSpan w:val="4"/>
            <w:tcBorders>
              <w:top w:val="single" w:sz="8" w:space="0" w:color="auto"/>
              <w:bottom w:val="single" w:sz="8" w:space="0" w:color="auto"/>
            </w:tcBorders>
            <w:shd w:val="clear" w:color="auto" w:fill="auto"/>
            <w:vAlign w:val="center"/>
          </w:tcPr>
          <w:p w14:paraId="28D9C198" w14:textId="77777777" w:rsidR="00567055" w:rsidRDefault="00567055" w:rsidP="00567055">
            <w:pPr>
              <w:pStyle w:val="affffffff"/>
              <w:widowControl w:val="0"/>
              <w:adjustRightInd w:val="0"/>
              <w:snapToGrid w:val="0"/>
              <w:ind w:firstLineChars="200" w:firstLine="360"/>
              <w:jc w:val="both"/>
              <w:rPr>
                <w:rFonts w:ascii="黑体" w:eastAsia="黑体" w:hAnsi="黑体" w:hint="eastAsia"/>
                <w:szCs w:val="18"/>
              </w:rPr>
            </w:pPr>
            <w:r>
              <w:rPr>
                <w:rFonts w:ascii="Times New Roman"/>
                <w:szCs w:val="18"/>
              </w:rPr>
              <w:t>基准值可选取</w:t>
            </w:r>
            <w:r>
              <w:rPr>
                <w:rFonts w:ascii="Times New Roman"/>
                <w:szCs w:val="18"/>
              </w:rPr>
              <w:t>3</w:t>
            </w:r>
            <w:r>
              <w:rPr>
                <w:rFonts w:ascii="Times New Roman"/>
                <w:szCs w:val="18"/>
              </w:rPr>
              <w:t>级水平的要求作为参考，先进值可选取</w:t>
            </w:r>
            <w:r>
              <w:rPr>
                <w:rFonts w:ascii="Times New Roman"/>
                <w:szCs w:val="18"/>
              </w:rPr>
              <w:t>2</w:t>
            </w:r>
            <w:r>
              <w:rPr>
                <w:rFonts w:ascii="Times New Roman"/>
                <w:szCs w:val="18"/>
              </w:rPr>
              <w:t>级及以上水平的要求作为参考</w:t>
            </w:r>
          </w:p>
        </w:tc>
      </w:tr>
    </w:tbl>
    <w:p w14:paraId="05DE0B03" w14:textId="5EB0EF52" w:rsidR="00DD666C" w:rsidRPr="005B76A0" w:rsidRDefault="007C24ED" w:rsidP="00F45026">
      <w:pPr>
        <w:pStyle w:val="3"/>
        <w:ind w:left="480"/>
      </w:pPr>
      <w:bookmarkStart w:id="14" w:name="_Toc23770169"/>
      <w:r w:rsidRPr="005B76A0">
        <w:t>3.</w:t>
      </w:r>
      <w:r w:rsidR="00084B34" w:rsidRPr="005B76A0">
        <w:rPr>
          <w:rFonts w:hint="eastAsia"/>
        </w:rPr>
        <w:t>6</w:t>
      </w:r>
      <w:r w:rsidR="00084B34" w:rsidRPr="005B76A0">
        <w:rPr>
          <w:rFonts w:hint="eastAsia"/>
        </w:rPr>
        <w:t>评价程序</w:t>
      </w:r>
      <w:bookmarkEnd w:id="14"/>
    </w:p>
    <w:p w14:paraId="3259165B" w14:textId="5A4F3917" w:rsidR="00DD666C" w:rsidRPr="005B76A0" w:rsidRDefault="00091416" w:rsidP="008900F3">
      <w:pPr>
        <w:autoSpaceDE w:val="0"/>
        <w:autoSpaceDN w:val="0"/>
        <w:adjustRightInd w:val="0"/>
        <w:spacing w:line="440" w:lineRule="exact"/>
        <w:ind w:firstLineChars="200" w:firstLine="480"/>
        <w:rPr>
          <w:kern w:val="0"/>
        </w:rPr>
      </w:pPr>
      <w:r>
        <w:rPr>
          <w:rFonts w:hint="eastAsia"/>
          <w:kern w:val="0"/>
        </w:rPr>
        <w:t>燕窝制品</w:t>
      </w:r>
      <w:r w:rsidR="00084B34" w:rsidRPr="005B76A0">
        <w:rPr>
          <w:rFonts w:hint="eastAsia"/>
          <w:kern w:val="0"/>
        </w:rPr>
        <w:t>制造业绿色工厂评价程序包括企业自评价和第三方评价，第三方评价又可细分评价准备、预评价、评价和编写第三方评价报告。</w:t>
      </w:r>
    </w:p>
    <w:p w14:paraId="1EBB779A" w14:textId="493A19B2"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评价准备包括评价项目组组建、搜集绿色工厂自评价报告及支持材料。为了更好的开展工作，项目组成员应当熟悉</w:t>
      </w:r>
      <w:r w:rsidR="00091416">
        <w:rPr>
          <w:rFonts w:hint="eastAsia"/>
          <w:kern w:val="0"/>
        </w:rPr>
        <w:t>燕窝制品</w:t>
      </w:r>
      <w:r w:rsidRPr="005B76A0">
        <w:rPr>
          <w:rFonts w:hint="eastAsia"/>
          <w:kern w:val="0"/>
        </w:rPr>
        <w:t>生产工艺流程和绿色工厂评价指标体系，知悉相关评价所需数据资料的采集和分析，能够对采集数据结果的可靠性和准确性进行专业判断。</w:t>
      </w:r>
    </w:p>
    <w:p w14:paraId="18E820EB" w14:textId="77777777"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预评价则需根据工厂自评价报告及支持材料开展绿色工厂基本要求资格评价，确认基本要求是否符合，确定绿色工厂评价方案。</w:t>
      </w:r>
    </w:p>
    <w:p w14:paraId="1C43A646" w14:textId="60F6AF96"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评价则是对工厂按照基本要求、基础设施、管理体系、能源资源投入、产品、环境排放和绩效七个方面进行评价。</w:t>
      </w:r>
      <w:r w:rsidR="00091416">
        <w:rPr>
          <w:rFonts w:hint="eastAsia"/>
          <w:kern w:val="0"/>
        </w:rPr>
        <w:t>燕窝制品</w:t>
      </w:r>
      <w:r w:rsidRPr="005B76A0">
        <w:rPr>
          <w:rFonts w:hint="eastAsia"/>
          <w:kern w:val="0"/>
        </w:rPr>
        <w:t>制造业绿色工厂评价指标的计分标准满分为</w:t>
      </w:r>
      <w:r w:rsidRPr="005B76A0">
        <w:rPr>
          <w:rFonts w:hint="eastAsia"/>
          <w:kern w:val="0"/>
        </w:rPr>
        <w:t>100</w:t>
      </w:r>
      <w:r w:rsidRPr="005B76A0">
        <w:rPr>
          <w:rFonts w:hint="eastAsia"/>
          <w:kern w:val="0"/>
        </w:rPr>
        <w:t>分。</w:t>
      </w:r>
    </w:p>
    <w:p w14:paraId="6A4E892B" w14:textId="7BC86E46" w:rsidR="00DD666C" w:rsidRPr="005B76A0" w:rsidRDefault="007C24ED" w:rsidP="00F45026">
      <w:pPr>
        <w:pStyle w:val="3"/>
        <w:ind w:left="480"/>
      </w:pPr>
      <w:bookmarkStart w:id="15" w:name="_Toc23770170"/>
      <w:r w:rsidRPr="005B76A0">
        <w:lastRenderedPageBreak/>
        <w:t>3.</w:t>
      </w:r>
      <w:r w:rsidR="00084B34" w:rsidRPr="005B76A0">
        <w:rPr>
          <w:rFonts w:hint="eastAsia"/>
        </w:rPr>
        <w:t>7</w:t>
      </w:r>
      <w:r w:rsidR="00084B34" w:rsidRPr="005B76A0">
        <w:rPr>
          <w:rFonts w:hint="eastAsia"/>
        </w:rPr>
        <w:t>评价报告编写要求</w:t>
      </w:r>
      <w:bookmarkEnd w:id="15"/>
    </w:p>
    <w:p w14:paraId="61F12A3C" w14:textId="77777777" w:rsidR="00DD666C" w:rsidRPr="005B76A0" w:rsidRDefault="00084B34" w:rsidP="00E946A6">
      <w:pPr>
        <w:spacing w:line="440" w:lineRule="exact"/>
        <w:ind w:firstLineChars="200" w:firstLine="480"/>
        <w:rPr>
          <w:kern w:val="0"/>
        </w:rPr>
      </w:pPr>
      <w:r w:rsidRPr="005B76A0">
        <w:rPr>
          <w:rFonts w:hint="eastAsia"/>
          <w:kern w:val="0"/>
        </w:rPr>
        <w:t>自评价报告内容包括但不限于：</w:t>
      </w:r>
    </w:p>
    <w:p w14:paraId="615AEC47"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工厂名称、地址、行业、法定代表人、简介等基本信息，发展现状、工艺技术、主要产品和生产经营状况；</w:t>
      </w:r>
      <w:r w:rsidRPr="00394AB3">
        <w:rPr>
          <w:rFonts w:ascii="Times New Roman" w:hint="eastAsia"/>
          <w:sz w:val="24"/>
          <w:szCs w:val="28"/>
        </w:rPr>
        <w:t xml:space="preserve"> </w:t>
      </w:r>
    </w:p>
    <w:p w14:paraId="78273A3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工厂在绿色发展方面开展的重点工作及取得成绩的符合情况说明；</w:t>
      </w:r>
      <w:r w:rsidRPr="00394AB3">
        <w:rPr>
          <w:rFonts w:ascii="Times New Roman" w:hint="eastAsia"/>
          <w:sz w:val="24"/>
          <w:szCs w:val="28"/>
        </w:rPr>
        <w:t xml:space="preserve"> </w:t>
      </w:r>
    </w:p>
    <w:p w14:paraId="13F1CC7E"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工厂的建筑、装置规模、工艺路线、主要耗能设备、计量设备、照明配置情况；</w:t>
      </w:r>
      <w:r w:rsidRPr="00394AB3">
        <w:rPr>
          <w:rFonts w:ascii="Times New Roman" w:hint="eastAsia"/>
          <w:sz w:val="24"/>
          <w:szCs w:val="28"/>
        </w:rPr>
        <w:t xml:space="preserve"> </w:t>
      </w:r>
    </w:p>
    <w:p w14:paraId="3E3EB658"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工厂各项管理体系建设情况；</w:t>
      </w:r>
      <w:r w:rsidRPr="00394AB3">
        <w:rPr>
          <w:rFonts w:ascii="Times New Roman" w:hint="eastAsia"/>
          <w:sz w:val="24"/>
          <w:szCs w:val="28"/>
        </w:rPr>
        <w:t xml:space="preserve"> </w:t>
      </w:r>
    </w:p>
    <w:p w14:paraId="06E62D22"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工厂能源投入、资源投入、采购等方面的现状，以及目前正实施的节约能源与资源投入的项目；</w:t>
      </w:r>
      <w:r w:rsidRPr="00394AB3">
        <w:rPr>
          <w:rFonts w:ascii="Times New Roman" w:hint="eastAsia"/>
          <w:sz w:val="24"/>
          <w:szCs w:val="28"/>
        </w:rPr>
        <w:t xml:space="preserve"> </w:t>
      </w:r>
    </w:p>
    <w:p w14:paraId="475E18B0"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产品的生态设计、有害物质限制使用等情况；</w:t>
      </w:r>
      <w:r w:rsidRPr="00394AB3">
        <w:rPr>
          <w:rFonts w:ascii="Times New Roman" w:hint="eastAsia"/>
          <w:sz w:val="24"/>
          <w:szCs w:val="28"/>
        </w:rPr>
        <w:t xml:space="preserve"> </w:t>
      </w:r>
    </w:p>
    <w:p w14:paraId="7FE5FFA2"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工厂主要污染物处理设备配置及运行情况，大气污染物、水体污染物、固体废物、噪声、温室气体的排放及管理现状；</w:t>
      </w:r>
      <w:r w:rsidRPr="00394AB3">
        <w:rPr>
          <w:rFonts w:ascii="Times New Roman" w:hint="eastAsia"/>
          <w:sz w:val="24"/>
          <w:szCs w:val="28"/>
        </w:rPr>
        <w:t xml:space="preserve"> </w:t>
      </w:r>
    </w:p>
    <w:p w14:paraId="358CF90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下一步拟开展的重点工作、拟实施的重点项目等情况说明；</w:t>
      </w:r>
    </w:p>
    <w:p w14:paraId="7C3AD2F7"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《绿色工厂自评表》；</w:t>
      </w:r>
    </w:p>
    <w:p w14:paraId="26308FD9" w14:textId="1AF46665" w:rsidR="00E946A6" w:rsidRPr="00394AB3" w:rsidRDefault="00394AB3" w:rsidP="00394AB3">
      <w:pPr>
        <w:pStyle w:val="a0"/>
        <w:spacing w:line="440" w:lineRule="exact"/>
        <w:rPr>
          <w:rFonts w:ascii="Times New Roman"/>
          <w:sz w:val="24"/>
          <w:szCs w:val="28"/>
        </w:rPr>
      </w:pPr>
      <w:r w:rsidRPr="00394AB3">
        <w:rPr>
          <w:rFonts w:ascii="Times New Roman" w:hint="eastAsia"/>
          <w:sz w:val="24"/>
          <w:szCs w:val="28"/>
        </w:rPr>
        <w:t>相关证明材料。</w:t>
      </w:r>
    </w:p>
    <w:p w14:paraId="1A7897C8" w14:textId="77777777" w:rsidR="00DD666C" w:rsidRPr="005B76A0" w:rsidRDefault="00084B34">
      <w:pPr>
        <w:autoSpaceDE w:val="0"/>
        <w:autoSpaceDN w:val="0"/>
        <w:adjustRightInd w:val="0"/>
        <w:spacing w:line="360" w:lineRule="auto"/>
        <w:ind w:firstLineChars="200" w:firstLine="480"/>
        <w:rPr>
          <w:kern w:val="0"/>
        </w:rPr>
      </w:pPr>
      <w:r w:rsidRPr="005B76A0">
        <w:rPr>
          <w:kern w:val="0"/>
        </w:rPr>
        <w:t>第三方评价报告内容包括但不限于：</w:t>
      </w:r>
    </w:p>
    <w:p w14:paraId="6EE6C706" w14:textId="77777777" w:rsidR="00394AB3" w:rsidRPr="00394AB3" w:rsidRDefault="00394AB3" w:rsidP="00394AB3">
      <w:pPr>
        <w:pStyle w:val="a0"/>
        <w:numPr>
          <w:ilvl w:val="0"/>
          <w:numId w:val="15"/>
        </w:numPr>
        <w:spacing w:line="440" w:lineRule="exact"/>
        <w:rPr>
          <w:rFonts w:ascii="Times New Roman"/>
          <w:sz w:val="24"/>
          <w:szCs w:val="28"/>
        </w:rPr>
      </w:pPr>
      <w:r w:rsidRPr="00394AB3">
        <w:rPr>
          <w:rFonts w:ascii="Times New Roman" w:hint="eastAsia"/>
          <w:sz w:val="24"/>
          <w:szCs w:val="28"/>
        </w:rPr>
        <w:t>绿色工厂评价的目的、范围及准则；</w:t>
      </w:r>
      <w:r w:rsidRPr="00394AB3">
        <w:rPr>
          <w:rFonts w:ascii="Times New Roman" w:hint="eastAsia"/>
          <w:sz w:val="24"/>
          <w:szCs w:val="28"/>
        </w:rPr>
        <w:t xml:space="preserve"> </w:t>
      </w:r>
    </w:p>
    <w:p w14:paraId="266E1A9B"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绿色工厂评价过程，主要包括评价组织安排、文件评审情况、现场评价情况、核查报告编写及内部技术复核情况；</w:t>
      </w:r>
      <w:r w:rsidRPr="00394AB3">
        <w:rPr>
          <w:rFonts w:ascii="Times New Roman" w:hint="eastAsia"/>
          <w:sz w:val="24"/>
          <w:szCs w:val="28"/>
        </w:rPr>
        <w:t xml:space="preserve"> </w:t>
      </w:r>
    </w:p>
    <w:p w14:paraId="68FF75A9"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对申报工厂的基础设施、管理体系、能源与资源投入、产品、环境排放、绩效等方面进行描述，并对工厂自评价报告中的相关内容进行核实；</w:t>
      </w:r>
      <w:r w:rsidRPr="00394AB3">
        <w:rPr>
          <w:rFonts w:ascii="Times New Roman" w:hint="eastAsia"/>
          <w:sz w:val="24"/>
          <w:szCs w:val="28"/>
        </w:rPr>
        <w:t xml:space="preserve"> </w:t>
      </w:r>
    </w:p>
    <w:p w14:paraId="2B51CDEE"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核实数据真实性、计算范围及计算方法，检查相关计量设备和有关标准的执行等情况；</w:t>
      </w:r>
      <w:r w:rsidRPr="00394AB3">
        <w:rPr>
          <w:rFonts w:ascii="Times New Roman" w:hint="eastAsia"/>
          <w:sz w:val="24"/>
          <w:szCs w:val="28"/>
        </w:rPr>
        <w:t xml:space="preserve"> </w:t>
      </w:r>
    </w:p>
    <w:p w14:paraId="7C55EEC3"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对企业自评所出现的问题情况进行描述；</w:t>
      </w:r>
      <w:r w:rsidRPr="00394AB3">
        <w:rPr>
          <w:rFonts w:ascii="Times New Roman" w:hint="eastAsia"/>
          <w:sz w:val="24"/>
          <w:szCs w:val="28"/>
        </w:rPr>
        <w:t xml:space="preserve"> </w:t>
      </w:r>
    </w:p>
    <w:p w14:paraId="07B59DBD"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对申报工厂是否符合绿色工厂要求进行评价，说明各评价指标值及是否符合评价要求情况，描述主要创建做法及工作亮点等；</w:t>
      </w:r>
      <w:r w:rsidRPr="00394AB3">
        <w:rPr>
          <w:rFonts w:ascii="Times New Roman" w:hint="eastAsia"/>
          <w:sz w:val="24"/>
          <w:szCs w:val="28"/>
        </w:rPr>
        <w:t xml:space="preserve"> </w:t>
      </w:r>
    </w:p>
    <w:p w14:paraId="5D71088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对持续创建绿色工厂的下一步工作提出建议；</w:t>
      </w:r>
      <w:r w:rsidRPr="00394AB3">
        <w:rPr>
          <w:rFonts w:ascii="Times New Roman" w:hint="eastAsia"/>
          <w:sz w:val="24"/>
          <w:szCs w:val="28"/>
        </w:rPr>
        <w:t xml:space="preserve"> </w:t>
      </w:r>
    </w:p>
    <w:p w14:paraId="54618EC4"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《绿色工厂第三方评价表》；</w:t>
      </w:r>
    </w:p>
    <w:p w14:paraId="0AF55DA1" w14:textId="4C4EFD5D" w:rsidR="00E946A6" w:rsidRPr="00394AB3" w:rsidRDefault="00394AB3" w:rsidP="00394AB3">
      <w:pPr>
        <w:pStyle w:val="a0"/>
        <w:spacing w:line="440" w:lineRule="exact"/>
        <w:rPr>
          <w:rFonts w:ascii="Times New Roman"/>
          <w:sz w:val="24"/>
          <w:szCs w:val="28"/>
        </w:rPr>
      </w:pPr>
      <w:r w:rsidRPr="00394AB3">
        <w:rPr>
          <w:rFonts w:ascii="Times New Roman" w:hint="eastAsia"/>
          <w:sz w:val="24"/>
          <w:szCs w:val="28"/>
        </w:rPr>
        <w:t>相关证明材料。</w:t>
      </w:r>
      <w:r w:rsidRPr="00394AB3">
        <w:rPr>
          <w:rFonts w:ascii="Times New Roman" w:hint="eastAsia"/>
          <w:sz w:val="24"/>
          <w:szCs w:val="28"/>
        </w:rPr>
        <w:t xml:space="preserve"> </w:t>
      </w:r>
      <w:r w:rsidR="00E946A6" w:rsidRPr="00394AB3">
        <w:rPr>
          <w:rFonts w:ascii="Times New Roman"/>
          <w:sz w:val="24"/>
          <w:szCs w:val="28"/>
        </w:rPr>
        <w:t xml:space="preserve"> </w:t>
      </w:r>
    </w:p>
    <w:p w14:paraId="734C7E5A" w14:textId="77777777" w:rsidR="00DD666C" w:rsidRPr="005B76A0" w:rsidRDefault="00084B34" w:rsidP="00646FC3">
      <w:pPr>
        <w:pStyle w:val="1"/>
        <w:rPr>
          <w:rFonts w:hint="eastAsia"/>
        </w:rPr>
      </w:pPr>
      <w:bookmarkStart w:id="16" w:name="_Toc23770172"/>
      <w:r w:rsidRPr="005B76A0">
        <w:rPr>
          <w:rFonts w:hint="eastAsia"/>
        </w:rPr>
        <w:lastRenderedPageBreak/>
        <w:t>四、</w:t>
      </w:r>
      <w:r w:rsidRPr="005B76A0">
        <w:t>涉及专利情况</w:t>
      </w:r>
      <w:bookmarkEnd w:id="16"/>
    </w:p>
    <w:p w14:paraId="5898460B" w14:textId="77777777" w:rsidR="00DD666C" w:rsidRPr="005B76A0" w:rsidRDefault="00084B34">
      <w:pPr>
        <w:spacing w:line="440" w:lineRule="exact"/>
        <w:ind w:firstLine="480"/>
      </w:pPr>
      <w:r w:rsidRPr="005B76A0">
        <w:t>本标准不涉及专利</w:t>
      </w:r>
      <w:r w:rsidRPr="005B76A0">
        <w:rPr>
          <w:rFonts w:hint="eastAsia"/>
        </w:rPr>
        <w:t>问题</w:t>
      </w:r>
      <w:r w:rsidRPr="005B76A0">
        <w:t>。</w:t>
      </w:r>
    </w:p>
    <w:p w14:paraId="64C3FDDE" w14:textId="77777777" w:rsidR="00DD666C" w:rsidRPr="005B76A0" w:rsidRDefault="00084B34" w:rsidP="00646FC3">
      <w:pPr>
        <w:pStyle w:val="1"/>
        <w:rPr>
          <w:rFonts w:hint="eastAsia"/>
        </w:rPr>
      </w:pPr>
      <w:bookmarkStart w:id="17" w:name="_Toc23770173"/>
      <w:r w:rsidRPr="005B76A0">
        <w:rPr>
          <w:rFonts w:hint="eastAsia"/>
        </w:rPr>
        <w:t>五、预期达到的社会效益、对产业发展的作用等情况</w:t>
      </w:r>
      <w:bookmarkEnd w:id="17"/>
    </w:p>
    <w:p w14:paraId="792E9D5F" w14:textId="078E7673" w:rsidR="00DD666C" w:rsidRPr="005B76A0" w:rsidRDefault="00084B34" w:rsidP="008900F3">
      <w:pPr>
        <w:spacing w:line="440" w:lineRule="exact"/>
        <w:ind w:firstLine="480"/>
      </w:pPr>
      <w:r w:rsidRPr="005B76A0">
        <w:rPr>
          <w:rFonts w:hint="eastAsia"/>
        </w:rPr>
        <w:t>本标准实施后，将引导我国</w:t>
      </w:r>
      <w:r w:rsidR="00091416">
        <w:rPr>
          <w:rFonts w:hint="eastAsia"/>
        </w:rPr>
        <w:t>燕窝制品</w:t>
      </w:r>
      <w:r w:rsidRPr="005B76A0">
        <w:rPr>
          <w:rFonts w:hint="eastAsia"/>
        </w:rPr>
        <w:t>制造企业积极建设绿色工厂，构建低碳、循环、环保的绿色生产体系，在节能、减少污染物排放、改善工厂及周边生态环境中发挥重要的作用。本标准的实施可通过采用绿色建筑技术建设改造厂房，可再生能源应用，合理布局厂区内能量流、物质流路径，推广绿色设计和绿色采购，开发生产绿色</w:t>
      </w:r>
      <w:r w:rsidR="00DE2570" w:rsidRPr="005B76A0">
        <w:rPr>
          <w:rFonts w:hint="eastAsia"/>
        </w:rPr>
        <w:t>设计</w:t>
      </w:r>
      <w:r w:rsidRPr="005B76A0">
        <w:rPr>
          <w:rFonts w:hint="eastAsia"/>
        </w:rPr>
        <w:t>产品，采用先进适用的清洁生产工艺技术和高效末端治理装备，</w:t>
      </w:r>
      <w:r w:rsidR="00846CD8">
        <w:rPr>
          <w:rFonts w:hint="eastAsia"/>
        </w:rPr>
        <w:t>逐步</w:t>
      </w:r>
      <w:r w:rsidRPr="005B76A0">
        <w:rPr>
          <w:rFonts w:hint="eastAsia"/>
        </w:rPr>
        <w:t>淘汰落后设备，建立资源回收循环利用机制，推动用能结构优化等途径，提升行业绿色发展水平，引导产业向绿色可持续</w:t>
      </w:r>
      <w:r w:rsidR="0037705D" w:rsidRPr="005B76A0">
        <w:rPr>
          <w:rFonts w:hint="eastAsia"/>
        </w:rPr>
        <w:t>方向</w:t>
      </w:r>
      <w:r w:rsidRPr="005B76A0">
        <w:rPr>
          <w:rFonts w:hint="eastAsia"/>
        </w:rPr>
        <w:t>发展。</w:t>
      </w:r>
    </w:p>
    <w:p w14:paraId="1BBCF84F" w14:textId="77413098" w:rsidR="007C24ED" w:rsidRPr="005B76A0" w:rsidRDefault="007C24ED" w:rsidP="007C24ED">
      <w:pPr>
        <w:spacing w:line="440" w:lineRule="exact"/>
        <w:ind w:firstLine="480"/>
        <w:rPr>
          <w:kern w:val="0"/>
        </w:rPr>
      </w:pPr>
      <w:r w:rsidRPr="005B76A0">
        <w:rPr>
          <w:rFonts w:hint="eastAsia"/>
          <w:kern w:val="0"/>
        </w:rPr>
        <w:t>本标准的制定主要解决标准缺失问题，使</w:t>
      </w:r>
      <w:r w:rsidR="00091416">
        <w:rPr>
          <w:rFonts w:hint="eastAsia"/>
        </w:rPr>
        <w:t>燕窝制品</w:t>
      </w:r>
      <w:r w:rsidRPr="005B76A0">
        <w:rPr>
          <w:rFonts w:hint="eastAsia"/>
        </w:rPr>
        <w:t>制造业</w:t>
      </w:r>
      <w:r w:rsidRPr="005B76A0">
        <w:rPr>
          <w:rFonts w:hint="eastAsia"/>
          <w:kern w:val="0"/>
        </w:rPr>
        <w:t>的绿色工厂评价有标准可依，绿色工厂评价有助于企业在行业内树立标杆，引导和规范工厂实施绿色制造。该标准的制定有利于推动我国</w:t>
      </w:r>
      <w:r w:rsidR="00091416">
        <w:rPr>
          <w:rFonts w:hint="eastAsia"/>
        </w:rPr>
        <w:t>燕窝制品</w:t>
      </w:r>
      <w:r w:rsidRPr="005B76A0">
        <w:rPr>
          <w:rFonts w:hint="eastAsia"/>
        </w:rPr>
        <w:t>制造</w:t>
      </w:r>
      <w:r w:rsidRPr="005B76A0">
        <w:rPr>
          <w:rFonts w:hint="eastAsia"/>
          <w:kern w:val="0"/>
        </w:rPr>
        <w:t>业的绿色发展，对促进产业的健康可持续发展具有重要作用。</w:t>
      </w:r>
    </w:p>
    <w:p w14:paraId="0C583A1B" w14:textId="5609064C" w:rsidR="00DD666C" w:rsidRPr="005B76A0" w:rsidRDefault="00084B34" w:rsidP="00646FC3">
      <w:pPr>
        <w:pStyle w:val="1"/>
        <w:rPr>
          <w:rFonts w:hint="eastAsia"/>
        </w:rPr>
      </w:pPr>
      <w:bookmarkStart w:id="18" w:name="_Toc23770174"/>
      <w:r w:rsidRPr="005B76A0">
        <w:rPr>
          <w:rFonts w:hint="eastAsia"/>
        </w:rPr>
        <w:t>六、</w:t>
      </w:r>
      <w:bookmarkEnd w:id="18"/>
      <w:r w:rsidR="005F13AF" w:rsidRPr="005B76A0">
        <w:t>与国际、国外同类标准水平的对比情况</w:t>
      </w:r>
    </w:p>
    <w:p w14:paraId="2FB9C333" w14:textId="77777777" w:rsidR="00DD666C" w:rsidRPr="005B76A0" w:rsidRDefault="00084B34">
      <w:pPr>
        <w:widowControl/>
        <w:spacing w:line="440" w:lineRule="exact"/>
        <w:ind w:firstLineChars="200" w:firstLine="480"/>
      </w:pPr>
      <w:r w:rsidRPr="005B76A0">
        <w:rPr>
          <w:rFonts w:hint="eastAsia"/>
        </w:rPr>
        <w:t>本标准没有采用国际标准。</w:t>
      </w:r>
    </w:p>
    <w:p w14:paraId="04824782" w14:textId="12EF6D77" w:rsidR="00DD666C" w:rsidRPr="005B76A0" w:rsidRDefault="00084B34">
      <w:pPr>
        <w:widowControl/>
        <w:spacing w:line="440" w:lineRule="exact"/>
        <w:ind w:firstLineChars="200" w:firstLine="480"/>
      </w:pPr>
      <w:r w:rsidRPr="005B76A0">
        <w:rPr>
          <w:rFonts w:hint="eastAsia"/>
        </w:rPr>
        <w:t>本标准制</w:t>
      </w:r>
      <w:r w:rsidR="00B53F6B" w:rsidRPr="005B76A0">
        <w:rPr>
          <w:rFonts w:hint="eastAsia"/>
        </w:rPr>
        <w:t>定</w:t>
      </w:r>
      <w:r w:rsidRPr="005B76A0">
        <w:rPr>
          <w:rFonts w:hint="eastAsia"/>
        </w:rPr>
        <w:t>过程中未查到同类国际、国外标准。</w:t>
      </w:r>
    </w:p>
    <w:p w14:paraId="14FE00C0" w14:textId="750F89F4" w:rsidR="00DD666C" w:rsidRPr="005B76A0" w:rsidRDefault="00084B34">
      <w:pPr>
        <w:widowControl/>
        <w:spacing w:line="440" w:lineRule="exact"/>
        <w:ind w:firstLineChars="200" w:firstLine="480"/>
      </w:pPr>
      <w:r w:rsidRPr="005B76A0">
        <w:rPr>
          <w:rFonts w:hint="eastAsia"/>
        </w:rPr>
        <w:t>本标准制</w:t>
      </w:r>
      <w:r w:rsidR="00B53F6B" w:rsidRPr="005B76A0">
        <w:rPr>
          <w:rFonts w:hint="eastAsia"/>
        </w:rPr>
        <w:t>定</w:t>
      </w:r>
      <w:r w:rsidRPr="005B76A0">
        <w:rPr>
          <w:rFonts w:hint="eastAsia"/>
        </w:rPr>
        <w:t>过程中未测试国外的样品。</w:t>
      </w:r>
    </w:p>
    <w:p w14:paraId="6F6F73E7" w14:textId="5FCD7081" w:rsidR="00DD666C" w:rsidRPr="005B76A0" w:rsidRDefault="00084B34">
      <w:pPr>
        <w:widowControl/>
        <w:spacing w:line="440" w:lineRule="exact"/>
        <w:ind w:firstLineChars="200" w:firstLine="480"/>
      </w:pPr>
      <w:r w:rsidRPr="005B76A0">
        <w:rPr>
          <w:rFonts w:hint="eastAsia"/>
        </w:rPr>
        <w:t>本标准水平为国内</w:t>
      </w:r>
      <w:r w:rsidR="00000532">
        <w:rPr>
          <w:rFonts w:hint="eastAsia"/>
        </w:rPr>
        <w:t>领先</w:t>
      </w:r>
      <w:r w:rsidRPr="005B76A0">
        <w:rPr>
          <w:rFonts w:hint="eastAsia"/>
        </w:rPr>
        <w:t>水平。</w:t>
      </w:r>
    </w:p>
    <w:p w14:paraId="21BE60ED" w14:textId="23961D51" w:rsidR="00DD666C" w:rsidRPr="005B76A0" w:rsidRDefault="00084B34" w:rsidP="002225C9">
      <w:pPr>
        <w:pStyle w:val="af2"/>
        <w:spacing w:beforeLines="50" w:before="156" w:afterLines="50" w:after="156" w:line="440" w:lineRule="exact"/>
        <w:ind w:firstLine="0"/>
        <w:outlineLvl w:val="0"/>
        <w:rPr>
          <w:rFonts w:ascii="Times New Roman" w:eastAsia="宋体"/>
          <w:b/>
          <w:kern w:val="0"/>
          <w:sz w:val="24"/>
          <w:szCs w:val="24"/>
        </w:rPr>
      </w:pPr>
      <w:r w:rsidRPr="005B76A0">
        <w:rPr>
          <w:rFonts w:asciiTheme="majorEastAsia" w:eastAsia="宋体" w:hAnsiTheme="majorEastAsia" w:hint="eastAsia"/>
          <w:b/>
          <w:bCs/>
          <w:kern w:val="44"/>
          <w:szCs w:val="44"/>
        </w:rPr>
        <w:t>七、</w:t>
      </w:r>
      <w:bookmarkEnd w:id="3"/>
      <w:r w:rsidR="005F13AF" w:rsidRPr="005B76A0">
        <w:rPr>
          <w:rFonts w:asciiTheme="majorEastAsia" w:eastAsia="宋体" w:hAnsiTheme="majorEastAsia"/>
          <w:b/>
          <w:bCs/>
          <w:kern w:val="44"/>
          <w:szCs w:val="44"/>
        </w:rPr>
        <w:t>与国内相关标准的关系</w:t>
      </w:r>
    </w:p>
    <w:p w14:paraId="1F992F41" w14:textId="7642CD5A" w:rsidR="00DD666C" w:rsidRPr="005B76A0" w:rsidRDefault="002225C9" w:rsidP="008900F3">
      <w:pPr>
        <w:widowControl/>
        <w:spacing w:line="440" w:lineRule="exact"/>
        <w:ind w:firstLineChars="200" w:firstLine="480"/>
      </w:pPr>
      <w:r w:rsidRPr="005B76A0">
        <w:rPr>
          <w:noProof/>
        </w:rPr>
        <w:lastRenderedPageBreak/>
        <w:drawing>
          <wp:anchor distT="0" distB="0" distL="114300" distR="114300" simplePos="0" relativeHeight="251659264" behindDoc="0" locked="0" layoutInCell="1" allowOverlap="1" wp14:anchorId="45A5E993" wp14:editId="72CCCC80">
            <wp:simplePos x="0" y="0"/>
            <wp:positionH relativeFrom="column">
              <wp:posOffset>-234315</wp:posOffset>
            </wp:positionH>
            <wp:positionV relativeFrom="paragraph">
              <wp:posOffset>889635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9">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sidR="00084B34" w:rsidRPr="005B76A0">
        <w:rPr>
          <w:rFonts w:hint="eastAsia"/>
        </w:rPr>
        <w:t>本标准申报项目属于工信部绿色制造标准体系中</w:t>
      </w:r>
      <w:r w:rsidR="00084B34" w:rsidRPr="005B76A0">
        <w:rPr>
          <w:rFonts w:hint="eastAsia"/>
        </w:rPr>
        <w:t xml:space="preserve">GM12 </w:t>
      </w:r>
      <w:r w:rsidR="00084B34" w:rsidRPr="005B76A0">
        <w:rPr>
          <w:rFonts w:hint="eastAsia"/>
        </w:rPr>
        <w:t>“轻工”大类，</w:t>
      </w:r>
      <w:r w:rsidR="00084B34" w:rsidRPr="005B76A0">
        <w:rPr>
          <w:rFonts w:hint="eastAsia"/>
        </w:rPr>
        <w:t>06</w:t>
      </w:r>
      <w:r w:rsidR="00084B34" w:rsidRPr="005B76A0">
        <w:rPr>
          <w:rFonts w:hint="eastAsia"/>
        </w:rPr>
        <w:t>“绿色评价与服务”中类，</w:t>
      </w:r>
      <w:r w:rsidR="00084B34" w:rsidRPr="005B76A0">
        <w:rPr>
          <w:rFonts w:hint="eastAsia"/>
        </w:rPr>
        <w:t xml:space="preserve"> 01</w:t>
      </w:r>
      <w:r w:rsidR="00084B34" w:rsidRPr="005B76A0">
        <w:rPr>
          <w:rFonts w:hint="eastAsia"/>
        </w:rPr>
        <w:t>“绿色评价、标识与报告方面的标准”。体系图如下。</w:t>
      </w:r>
    </w:p>
    <w:p w14:paraId="52B68B35" w14:textId="695ED5F3" w:rsidR="00DD666C" w:rsidRPr="005B76A0" w:rsidRDefault="00084B34" w:rsidP="008900F3">
      <w:pPr>
        <w:widowControl/>
        <w:spacing w:line="440" w:lineRule="exact"/>
      </w:pPr>
      <w:r w:rsidRPr="005B76A0">
        <w:t>本标准与相关法律、法规、规章和强制性标准无抵触。</w:t>
      </w:r>
    </w:p>
    <w:p w14:paraId="40074BBE" w14:textId="17E04B54" w:rsidR="00DD666C" w:rsidRPr="005B76A0" w:rsidRDefault="00084B34" w:rsidP="00646FC3">
      <w:pPr>
        <w:pStyle w:val="1"/>
        <w:rPr>
          <w:rFonts w:hint="eastAsia"/>
        </w:rPr>
      </w:pPr>
      <w:bookmarkStart w:id="19" w:name="_Toc23770176"/>
      <w:r w:rsidRPr="005B76A0">
        <w:rPr>
          <w:rFonts w:hint="eastAsia"/>
        </w:rPr>
        <w:t>八、</w:t>
      </w:r>
      <w:r w:rsidRPr="005B76A0">
        <w:t>重大分歧意见的处理经过和依据</w:t>
      </w:r>
      <w:bookmarkEnd w:id="19"/>
    </w:p>
    <w:p w14:paraId="72F1898B" w14:textId="77777777" w:rsidR="00DD666C" w:rsidRPr="005B76A0" w:rsidRDefault="00084B34">
      <w:pPr>
        <w:widowControl/>
        <w:spacing w:line="440" w:lineRule="exact"/>
        <w:ind w:firstLineChars="200" w:firstLine="480"/>
      </w:pPr>
      <w:r w:rsidRPr="005B76A0">
        <w:rPr>
          <w:rFonts w:hint="eastAsia"/>
        </w:rPr>
        <w:t>无。</w:t>
      </w:r>
    </w:p>
    <w:p w14:paraId="75ECD647" w14:textId="4F63E58E" w:rsidR="00DD666C" w:rsidRPr="005B76A0" w:rsidRDefault="00E87975" w:rsidP="00646FC3">
      <w:pPr>
        <w:pStyle w:val="1"/>
        <w:rPr>
          <w:rFonts w:hint="eastAsia"/>
        </w:rPr>
      </w:pPr>
      <w:bookmarkStart w:id="20" w:name="_Toc23770178"/>
      <w:r w:rsidRPr="005B76A0">
        <w:rPr>
          <w:rFonts w:hint="eastAsia"/>
        </w:rPr>
        <w:t>九</w:t>
      </w:r>
      <w:r w:rsidR="00084B34" w:rsidRPr="005B76A0">
        <w:rPr>
          <w:rFonts w:hint="eastAsia"/>
        </w:rPr>
        <w:t>、</w:t>
      </w:r>
      <w:r w:rsidR="00084B34" w:rsidRPr="005B76A0">
        <w:t>贯彻标准的要求和措施建议</w:t>
      </w:r>
      <w:bookmarkEnd w:id="20"/>
    </w:p>
    <w:p w14:paraId="19E5570F" w14:textId="05A09B48" w:rsidR="00DD666C" w:rsidRPr="005B76A0" w:rsidRDefault="00084B34">
      <w:pPr>
        <w:spacing w:beforeLines="30" w:before="93" w:afterLines="30" w:after="93" w:line="360" w:lineRule="auto"/>
        <w:ind w:firstLineChars="200" w:firstLine="480"/>
        <w:rPr>
          <w:rFonts w:ascii="ˎ̥" w:hAnsi="ˎ̥" w:hint="eastAsia"/>
        </w:rPr>
      </w:pPr>
      <w:r w:rsidRPr="005B76A0">
        <w:rPr>
          <w:rFonts w:ascii="ˎ̥" w:hAnsi="ˎ̥" w:hint="eastAsia"/>
        </w:rPr>
        <w:t>建议本标准批准</w:t>
      </w:r>
      <w:r w:rsidRPr="005B76A0">
        <w:rPr>
          <w:rFonts w:hint="eastAsia"/>
        </w:rPr>
        <w:t>发布</w:t>
      </w:r>
      <w:r w:rsidR="005607FA" w:rsidRPr="005B76A0">
        <w:rPr>
          <w:rFonts w:hint="eastAsia"/>
        </w:rPr>
        <w:t>即</w:t>
      </w:r>
      <w:r w:rsidRPr="005B76A0">
        <w:rPr>
          <w:rFonts w:ascii="ˎ̥" w:hAnsi="ˎ̥" w:hint="eastAsia"/>
        </w:rPr>
        <w:t>实施。</w:t>
      </w:r>
    </w:p>
    <w:p w14:paraId="0E499845" w14:textId="466A52A6" w:rsidR="00DD666C" w:rsidRPr="005B76A0" w:rsidRDefault="00084B34" w:rsidP="00646FC3">
      <w:pPr>
        <w:pStyle w:val="1"/>
        <w:rPr>
          <w:rFonts w:hint="eastAsia"/>
        </w:rPr>
      </w:pPr>
      <w:bookmarkStart w:id="21" w:name="_Toc23770179"/>
      <w:r w:rsidRPr="005B76A0">
        <w:rPr>
          <w:rFonts w:hint="eastAsia"/>
        </w:rPr>
        <w:t>十、废止现行相关标准的建议</w:t>
      </w:r>
      <w:bookmarkEnd w:id="21"/>
    </w:p>
    <w:p w14:paraId="38633CEC" w14:textId="77777777" w:rsidR="00DD666C" w:rsidRPr="005B76A0" w:rsidRDefault="00084B34">
      <w:pPr>
        <w:widowControl/>
        <w:spacing w:line="440" w:lineRule="exact"/>
        <w:ind w:firstLineChars="200" w:firstLine="480"/>
      </w:pPr>
      <w:r w:rsidRPr="005B76A0">
        <w:rPr>
          <w:rFonts w:hint="eastAsia"/>
        </w:rPr>
        <w:t>无。</w:t>
      </w:r>
    </w:p>
    <w:p w14:paraId="522509DE" w14:textId="094FFB22" w:rsidR="00DD666C" w:rsidRPr="005B76A0" w:rsidRDefault="00084B34" w:rsidP="00646FC3">
      <w:pPr>
        <w:pStyle w:val="1"/>
        <w:rPr>
          <w:rFonts w:hint="eastAsia"/>
        </w:rPr>
      </w:pPr>
      <w:bookmarkStart w:id="22" w:name="_Toc23770180"/>
      <w:r w:rsidRPr="005B76A0">
        <w:rPr>
          <w:rFonts w:hint="eastAsia"/>
        </w:rPr>
        <w:t>十</w:t>
      </w:r>
      <w:r w:rsidR="00E87975" w:rsidRPr="005B76A0">
        <w:rPr>
          <w:rFonts w:hint="eastAsia"/>
        </w:rPr>
        <w:t>一</w:t>
      </w:r>
      <w:r w:rsidRPr="005B76A0">
        <w:rPr>
          <w:rFonts w:hint="eastAsia"/>
        </w:rPr>
        <w:t>、其他应予说明的事项</w:t>
      </w:r>
      <w:bookmarkEnd w:id="22"/>
    </w:p>
    <w:p w14:paraId="26CF03EE" w14:textId="77777777" w:rsidR="009F2D30" w:rsidRPr="005B76A0" w:rsidRDefault="009F2D30" w:rsidP="009F2D30">
      <w:pPr>
        <w:widowControl/>
        <w:spacing w:line="440" w:lineRule="exact"/>
        <w:ind w:firstLineChars="200" w:firstLine="480"/>
      </w:pPr>
      <w:r w:rsidRPr="005B76A0">
        <w:rPr>
          <w:rFonts w:hint="eastAsia"/>
        </w:rPr>
        <w:t>无。</w:t>
      </w:r>
    </w:p>
    <w:p w14:paraId="71F86535" w14:textId="75D2434D" w:rsidR="00DD666C" w:rsidRPr="005B76A0" w:rsidRDefault="00DD666C" w:rsidP="00EF24CE">
      <w:pPr>
        <w:widowControl/>
        <w:spacing w:line="440" w:lineRule="exact"/>
      </w:pPr>
    </w:p>
    <w:sectPr w:rsidR="00DD666C" w:rsidRPr="005B76A0">
      <w:footerReference w:type="even" r:id="rId10"/>
      <w:footerReference w:type="default" r:id="rId11"/>
      <w:footerReference w:type="firs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72C3" w14:textId="77777777" w:rsidR="005C2F60" w:rsidRDefault="005C2F60">
      <w:r>
        <w:separator/>
      </w:r>
    </w:p>
  </w:endnote>
  <w:endnote w:type="continuationSeparator" w:id="0">
    <w:p w14:paraId="699DA35C" w14:textId="77777777" w:rsidR="005C2F60" w:rsidRDefault="005C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宋体e眠副浡渀.">
    <w:altName w:val="宋体"/>
    <w:charset w:val="86"/>
    <w:family w:val="roman"/>
    <w:pitch w:val="default"/>
    <w:sig w:usb0="00000000" w:usb1="0000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0B7F" w14:textId="77777777" w:rsidR="009E0978" w:rsidRDefault="009E0978">
    <w:pPr>
      <w:pStyle w:val="af7"/>
      <w:ind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865159"/>
    </w:sdtPr>
    <w:sdtContent>
      <w:p w14:paraId="254A05BD" w14:textId="77777777" w:rsidR="00DD666C" w:rsidRDefault="00084B34">
        <w:pPr>
          <w:pStyle w:val="af7"/>
          <w:ind w:right="240"/>
          <w:jc w:val="center"/>
        </w:pPr>
        <w:r>
          <w:fldChar w:fldCharType="begin"/>
        </w:r>
        <w:r>
          <w:instrText>PAGE   \* MERGEFORMAT</w:instrText>
        </w:r>
        <w:r>
          <w:fldChar w:fldCharType="separate"/>
        </w:r>
        <w:r>
          <w:rPr>
            <w:lang w:val="zh-CN"/>
          </w:rPr>
          <w:t>10</w:t>
        </w:r>
        <w:r>
          <w:fldChar w:fldCharType="end"/>
        </w:r>
      </w:p>
    </w:sdtContent>
  </w:sdt>
  <w:p w14:paraId="23CAE992" w14:textId="77777777" w:rsidR="00DD666C" w:rsidRDefault="00DD666C">
    <w:pPr>
      <w:pStyle w:val="af7"/>
      <w:ind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8A54" w14:textId="77777777" w:rsidR="009E0978" w:rsidRDefault="009E0978">
    <w:pPr>
      <w:pStyle w:val="af7"/>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B8D0C" w14:textId="77777777" w:rsidR="005C2F60" w:rsidRDefault="005C2F60">
      <w:r>
        <w:separator/>
      </w:r>
    </w:p>
  </w:footnote>
  <w:footnote w:type="continuationSeparator" w:id="0">
    <w:p w14:paraId="58F71FFF" w14:textId="77777777" w:rsidR="005C2F60" w:rsidRDefault="005C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suff w:val="nothing"/>
      <w:lvlText w:val="%1   "/>
      <w:lvlJc w:val="left"/>
      <w:pPr>
        <w:ind w:left="-2292" w:hanging="181"/>
      </w:pPr>
      <w:rPr>
        <w:rFonts w:ascii="宋体" w:eastAsia="宋体" w:hint="eastAsia"/>
        <w:b w:val="0"/>
        <w:i w:val="0"/>
        <w:sz w:val="18"/>
        <w:vertAlign w:val="superscript"/>
      </w:rPr>
    </w:lvl>
    <w:lvl w:ilvl="1">
      <w:start w:val="1"/>
      <w:numFmt w:val="lowerLetter"/>
      <w:lvlText w:val="%2"/>
      <w:lvlJc w:val="left"/>
      <w:pPr>
        <w:tabs>
          <w:tab w:val="left" w:pos="-2779"/>
        </w:tabs>
        <w:ind w:left="-2473" w:hanging="363"/>
      </w:pPr>
      <w:rPr>
        <w:rFonts w:hint="eastAsia"/>
      </w:rPr>
    </w:lvl>
    <w:lvl w:ilvl="2">
      <w:start w:val="1"/>
      <w:numFmt w:val="lowerRoman"/>
      <w:lvlText w:val="%3."/>
      <w:lvlJc w:val="right"/>
      <w:pPr>
        <w:tabs>
          <w:tab w:val="left" w:pos="-2779"/>
        </w:tabs>
        <w:ind w:left="-2473" w:hanging="363"/>
      </w:pPr>
      <w:rPr>
        <w:rFonts w:hint="eastAsia"/>
      </w:rPr>
    </w:lvl>
    <w:lvl w:ilvl="3">
      <w:start w:val="1"/>
      <w:numFmt w:val="decimal"/>
      <w:lvlText w:val="%4."/>
      <w:lvlJc w:val="left"/>
      <w:pPr>
        <w:tabs>
          <w:tab w:val="left" w:pos="-2779"/>
        </w:tabs>
        <w:ind w:left="-2473" w:hanging="363"/>
      </w:pPr>
      <w:rPr>
        <w:rFonts w:hint="eastAsia"/>
      </w:rPr>
    </w:lvl>
    <w:lvl w:ilvl="4">
      <w:start w:val="1"/>
      <w:numFmt w:val="lowerLetter"/>
      <w:lvlText w:val="%5)"/>
      <w:lvlJc w:val="left"/>
      <w:pPr>
        <w:tabs>
          <w:tab w:val="left" w:pos="-2779"/>
        </w:tabs>
        <w:ind w:left="-2473" w:hanging="363"/>
      </w:pPr>
      <w:rPr>
        <w:rFonts w:hint="eastAsia"/>
      </w:rPr>
    </w:lvl>
    <w:lvl w:ilvl="5">
      <w:start w:val="1"/>
      <w:numFmt w:val="lowerRoman"/>
      <w:lvlText w:val="%6."/>
      <w:lvlJc w:val="right"/>
      <w:pPr>
        <w:tabs>
          <w:tab w:val="left" w:pos="-2779"/>
        </w:tabs>
        <w:ind w:left="-2473" w:hanging="363"/>
      </w:pPr>
      <w:rPr>
        <w:rFonts w:hint="eastAsia"/>
      </w:rPr>
    </w:lvl>
    <w:lvl w:ilvl="6">
      <w:start w:val="1"/>
      <w:numFmt w:val="decimal"/>
      <w:lvlText w:val="%7."/>
      <w:lvlJc w:val="left"/>
      <w:pPr>
        <w:tabs>
          <w:tab w:val="left" w:pos="-2779"/>
        </w:tabs>
        <w:ind w:left="-2473" w:hanging="363"/>
      </w:pPr>
      <w:rPr>
        <w:rFonts w:hint="eastAsia"/>
      </w:rPr>
    </w:lvl>
    <w:lvl w:ilvl="7">
      <w:start w:val="1"/>
      <w:numFmt w:val="lowerLetter"/>
      <w:lvlText w:val="%8)"/>
      <w:lvlJc w:val="left"/>
      <w:pPr>
        <w:tabs>
          <w:tab w:val="left" w:pos="-2779"/>
        </w:tabs>
        <w:ind w:left="-2473" w:hanging="363"/>
      </w:pPr>
      <w:rPr>
        <w:rFonts w:hint="eastAsia"/>
      </w:rPr>
    </w:lvl>
    <w:lvl w:ilvl="8">
      <w:start w:val="1"/>
      <w:numFmt w:val="lowerRoman"/>
      <w:lvlText w:val="%9."/>
      <w:lvlJc w:val="right"/>
      <w:pPr>
        <w:tabs>
          <w:tab w:val="left" w:pos="-2779"/>
        </w:tabs>
        <w:ind w:left="-2473"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lvlText w:val="（%2）"/>
      <w:lvlJc w:val="left"/>
      <w:pPr>
        <w:ind w:left="284" w:firstLine="0"/>
      </w:pPr>
      <w:rPr>
        <w:rFonts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3）"/>
      <w:lvlJc w:val="left"/>
      <w:pPr>
        <w:ind w:left="426"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8EB069E"/>
    <w:multiLevelType w:val="multilevel"/>
    <w:tmpl w:val="36B2AA5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3D3A44"/>
    <w:multiLevelType w:val="hybridMultilevel"/>
    <w:tmpl w:val="F8D810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FB96907"/>
    <w:multiLevelType w:val="hybridMultilevel"/>
    <w:tmpl w:val="1368F99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4C50F90"/>
    <w:multiLevelType w:val="multilevel"/>
    <w:tmpl w:val="0B0E7468"/>
    <w:lvl w:ilvl="0">
      <w:start w:val="1"/>
      <w:numFmt w:val="lowerLetter"/>
      <w:pStyle w:val="a0"/>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557C2AF5"/>
    <w:multiLevelType w:val="multilevel"/>
    <w:tmpl w:val="557C2AF5"/>
    <w:lvl w:ilvl="0">
      <w:start w:val="1"/>
      <w:numFmt w:val="decimal"/>
      <w:pStyle w:val="a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7" w15:restartNumberingAfterBreak="0">
    <w:nsid w:val="63FD1F98"/>
    <w:multiLevelType w:val="singleLevel"/>
    <w:tmpl w:val="63FD1F98"/>
    <w:lvl w:ilvl="0">
      <w:start w:val="2"/>
      <w:numFmt w:val="decimal"/>
      <w:suff w:val="nothing"/>
      <w:lvlText w:val="（%1）"/>
      <w:lvlJc w:val="left"/>
    </w:lvl>
  </w:abstractNum>
  <w:abstractNum w:abstractNumId="8" w15:restartNumberingAfterBreak="0">
    <w:nsid w:val="646260FA"/>
    <w:multiLevelType w:val="multilevel"/>
    <w:tmpl w:val="646260FA"/>
    <w:lvl w:ilvl="0">
      <w:start w:val="1"/>
      <w:numFmt w:val="decimal"/>
      <w:suff w:val="nothing"/>
      <w:lvlText w:val="表%1　"/>
      <w:lvlJc w:val="left"/>
      <w:pPr>
        <w:ind w:left="2978" w:firstLine="0"/>
      </w:pPr>
      <w:rPr>
        <w:rFonts w:ascii="黑体" w:eastAsia="黑体" w:hAnsi="Times New Roman" w:hint="eastAsia"/>
        <w:b w:val="0"/>
        <w:i w:val="0"/>
        <w:sz w:val="21"/>
        <w:lang w:val="en-US"/>
      </w:rPr>
    </w:lvl>
    <w:lvl w:ilvl="1">
      <w:start w:val="1"/>
      <w:numFmt w:val="decimal"/>
      <w:lvlText w:val="%1.%2"/>
      <w:lvlJc w:val="left"/>
      <w:pPr>
        <w:tabs>
          <w:tab w:val="num" w:pos="5155"/>
        </w:tabs>
        <w:ind w:left="5155" w:hanging="567"/>
      </w:pPr>
      <w:rPr>
        <w:rFonts w:hint="eastAsia"/>
      </w:rPr>
    </w:lvl>
    <w:lvl w:ilvl="2">
      <w:start w:val="1"/>
      <w:numFmt w:val="decimal"/>
      <w:lvlText w:val="%1.%2.%3"/>
      <w:lvlJc w:val="left"/>
      <w:pPr>
        <w:tabs>
          <w:tab w:val="num" w:pos="5581"/>
        </w:tabs>
        <w:ind w:left="5581" w:hanging="567"/>
      </w:pPr>
      <w:rPr>
        <w:rFonts w:hint="eastAsia"/>
      </w:rPr>
    </w:lvl>
    <w:lvl w:ilvl="3">
      <w:start w:val="1"/>
      <w:numFmt w:val="decimal"/>
      <w:lvlText w:val="%1.%2.%3.%4"/>
      <w:lvlJc w:val="left"/>
      <w:pPr>
        <w:tabs>
          <w:tab w:val="num" w:pos="6147"/>
        </w:tabs>
        <w:ind w:left="6147" w:hanging="708"/>
      </w:pPr>
      <w:rPr>
        <w:rFonts w:hint="eastAsia"/>
      </w:rPr>
    </w:lvl>
    <w:lvl w:ilvl="4">
      <w:start w:val="1"/>
      <w:numFmt w:val="decimal"/>
      <w:lvlText w:val="%1.%2.%3.%4.%5"/>
      <w:lvlJc w:val="left"/>
      <w:pPr>
        <w:tabs>
          <w:tab w:val="num" w:pos="6714"/>
        </w:tabs>
        <w:ind w:left="6714" w:hanging="850"/>
      </w:pPr>
      <w:rPr>
        <w:rFonts w:hint="eastAsia"/>
      </w:rPr>
    </w:lvl>
    <w:lvl w:ilvl="5">
      <w:start w:val="1"/>
      <w:numFmt w:val="decimal"/>
      <w:lvlText w:val="%1.%2.%3.%4.%5.%6"/>
      <w:lvlJc w:val="left"/>
      <w:pPr>
        <w:tabs>
          <w:tab w:val="num" w:pos="7423"/>
        </w:tabs>
        <w:ind w:left="7423" w:hanging="1134"/>
      </w:pPr>
      <w:rPr>
        <w:rFonts w:hint="eastAsia"/>
      </w:rPr>
    </w:lvl>
    <w:lvl w:ilvl="6">
      <w:start w:val="1"/>
      <w:numFmt w:val="decimal"/>
      <w:lvlText w:val="%1.%2.%3.%4.%5.%6.%7"/>
      <w:lvlJc w:val="left"/>
      <w:pPr>
        <w:tabs>
          <w:tab w:val="num" w:pos="7990"/>
        </w:tabs>
        <w:ind w:left="7990" w:hanging="1276"/>
      </w:pPr>
      <w:rPr>
        <w:rFonts w:hint="eastAsia"/>
      </w:rPr>
    </w:lvl>
    <w:lvl w:ilvl="7">
      <w:start w:val="1"/>
      <w:numFmt w:val="decimal"/>
      <w:lvlText w:val="%1.%2.%3.%4.%5.%6.%7.%8"/>
      <w:lvlJc w:val="left"/>
      <w:pPr>
        <w:tabs>
          <w:tab w:val="num" w:pos="8557"/>
        </w:tabs>
        <w:ind w:left="8557" w:hanging="1418"/>
      </w:pPr>
      <w:rPr>
        <w:rFonts w:hint="eastAsia"/>
      </w:rPr>
    </w:lvl>
    <w:lvl w:ilvl="8">
      <w:start w:val="1"/>
      <w:numFmt w:val="decimal"/>
      <w:lvlText w:val="%1.%2.%3.%4.%5.%6.%7.%8.%9"/>
      <w:lvlJc w:val="left"/>
      <w:pPr>
        <w:tabs>
          <w:tab w:val="num" w:pos="9265"/>
        </w:tabs>
        <w:ind w:left="9265" w:hanging="1700"/>
      </w:pPr>
      <w:rPr>
        <w:rFonts w:hint="eastAsia"/>
      </w:rPr>
    </w:lvl>
  </w:abstractNum>
  <w:abstractNum w:abstractNumId="9" w15:restartNumberingAfterBreak="0">
    <w:nsid w:val="69897FE2"/>
    <w:multiLevelType w:val="multilevel"/>
    <w:tmpl w:val="69897FE2"/>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4253"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86217552">
    <w:abstractNumId w:val="0"/>
  </w:num>
  <w:num w:numId="2" w16cid:durableId="763114103">
    <w:abstractNumId w:val="1"/>
  </w:num>
  <w:num w:numId="3" w16cid:durableId="1509980047">
    <w:abstractNumId w:val="10"/>
  </w:num>
  <w:num w:numId="4" w16cid:durableId="1965429098">
    <w:abstractNumId w:val="6"/>
  </w:num>
  <w:num w:numId="5" w16cid:durableId="1349940190">
    <w:abstractNumId w:val="7"/>
  </w:num>
  <w:num w:numId="6" w16cid:durableId="1432819884">
    <w:abstractNumId w:val="9"/>
  </w:num>
  <w:num w:numId="7" w16cid:durableId="1674454577">
    <w:abstractNumId w:val="5"/>
  </w:num>
  <w:num w:numId="8" w16cid:durableId="319236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471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045544">
    <w:abstractNumId w:val="5"/>
  </w:num>
  <w:num w:numId="11" w16cid:durableId="706492937">
    <w:abstractNumId w:val="5"/>
  </w:num>
  <w:num w:numId="12" w16cid:durableId="1414621790">
    <w:abstractNumId w:val="5"/>
  </w:num>
  <w:num w:numId="13" w16cid:durableId="1262488819">
    <w:abstractNumId w:val="5"/>
  </w:num>
  <w:num w:numId="14" w16cid:durableId="939795197">
    <w:abstractNumId w:val="5"/>
  </w:num>
  <w:num w:numId="15" w16cid:durableId="314065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9876828">
    <w:abstractNumId w:val="5"/>
  </w:num>
  <w:num w:numId="17" w16cid:durableId="1373535177">
    <w:abstractNumId w:val="5"/>
  </w:num>
  <w:num w:numId="18" w16cid:durableId="722681504">
    <w:abstractNumId w:val="8"/>
  </w:num>
  <w:num w:numId="19" w16cid:durableId="1229195651">
    <w:abstractNumId w:val="2"/>
  </w:num>
  <w:num w:numId="20" w16cid:durableId="1222717868">
    <w:abstractNumId w:val="3"/>
  </w:num>
  <w:num w:numId="21" w16cid:durableId="1883833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hZDM2MDY1NmRkMTExMzBjMDNkOWFiYjM4MTE4ZjAifQ=="/>
  </w:docVars>
  <w:rsids>
    <w:rsidRoot w:val="00AC030E"/>
    <w:rsid w:val="00000532"/>
    <w:rsid w:val="00000E45"/>
    <w:rsid w:val="0000141E"/>
    <w:rsid w:val="00003000"/>
    <w:rsid w:val="00007488"/>
    <w:rsid w:val="00010ED8"/>
    <w:rsid w:val="00011B3A"/>
    <w:rsid w:val="00016DA8"/>
    <w:rsid w:val="000208CA"/>
    <w:rsid w:val="000248D9"/>
    <w:rsid w:val="00030B31"/>
    <w:rsid w:val="00032052"/>
    <w:rsid w:val="00033755"/>
    <w:rsid w:val="0004048D"/>
    <w:rsid w:val="00056CB9"/>
    <w:rsid w:val="00060E39"/>
    <w:rsid w:val="00061A12"/>
    <w:rsid w:val="00065146"/>
    <w:rsid w:val="00066933"/>
    <w:rsid w:val="000729A7"/>
    <w:rsid w:val="000741C6"/>
    <w:rsid w:val="0007456E"/>
    <w:rsid w:val="000777A0"/>
    <w:rsid w:val="00077DE8"/>
    <w:rsid w:val="00082692"/>
    <w:rsid w:val="000847B1"/>
    <w:rsid w:val="00084B34"/>
    <w:rsid w:val="0008549F"/>
    <w:rsid w:val="00086D0C"/>
    <w:rsid w:val="00091416"/>
    <w:rsid w:val="00092F44"/>
    <w:rsid w:val="00096A76"/>
    <w:rsid w:val="000A7F2D"/>
    <w:rsid w:val="000B011B"/>
    <w:rsid w:val="000B30DD"/>
    <w:rsid w:val="000B3759"/>
    <w:rsid w:val="000B69D4"/>
    <w:rsid w:val="000C446F"/>
    <w:rsid w:val="000C4E42"/>
    <w:rsid w:val="000C5213"/>
    <w:rsid w:val="000C7BC4"/>
    <w:rsid w:val="000D132A"/>
    <w:rsid w:val="000D6AF4"/>
    <w:rsid w:val="000E0601"/>
    <w:rsid w:val="000F135C"/>
    <w:rsid w:val="000F37E3"/>
    <w:rsid w:val="000F540D"/>
    <w:rsid w:val="000F7089"/>
    <w:rsid w:val="0010276C"/>
    <w:rsid w:val="001073BC"/>
    <w:rsid w:val="001164C0"/>
    <w:rsid w:val="001165E4"/>
    <w:rsid w:val="0012386C"/>
    <w:rsid w:val="00124314"/>
    <w:rsid w:val="0012492D"/>
    <w:rsid w:val="00126BFD"/>
    <w:rsid w:val="00133064"/>
    <w:rsid w:val="0013344D"/>
    <w:rsid w:val="0013435C"/>
    <w:rsid w:val="00136EDD"/>
    <w:rsid w:val="00141627"/>
    <w:rsid w:val="0014319B"/>
    <w:rsid w:val="001437AF"/>
    <w:rsid w:val="00146417"/>
    <w:rsid w:val="001548EC"/>
    <w:rsid w:val="00162393"/>
    <w:rsid w:val="00166CDB"/>
    <w:rsid w:val="001671B6"/>
    <w:rsid w:val="0017706D"/>
    <w:rsid w:val="00181791"/>
    <w:rsid w:val="001817CC"/>
    <w:rsid w:val="00182A68"/>
    <w:rsid w:val="0018707F"/>
    <w:rsid w:val="00187122"/>
    <w:rsid w:val="0018757C"/>
    <w:rsid w:val="0019165A"/>
    <w:rsid w:val="00192FE7"/>
    <w:rsid w:val="00196C4D"/>
    <w:rsid w:val="00197113"/>
    <w:rsid w:val="001A0CF7"/>
    <w:rsid w:val="001A3ECC"/>
    <w:rsid w:val="001A4C4D"/>
    <w:rsid w:val="001A5F0C"/>
    <w:rsid w:val="001A6C0D"/>
    <w:rsid w:val="001B0588"/>
    <w:rsid w:val="001B4F9E"/>
    <w:rsid w:val="001B51BB"/>
    <w:rsid w:val="001C13F3"/>
    <w:rsid w:val="001C7910"/>
    <w:rsid w:val="001D1376"/>
    <w:rsid w:val="001D5D6D"/>
    <w:rsid w:val="001D7A40"/>
    <w:rsid w:val="001E1C84"/>
    <w:rsid w:val="001E2188"/>
    <w:rsid w:val="001E4A1F"/>
    <w:rsid w:val="001F0C24"/>
    <w:rsid w:val="001F41E3"/>
    <w:rsid w:val="001F656A"/>
    <w:rsid w:val="001F7BDF"/>
    <w:rsid w:val="002012E8"/>
    <w:rsid w:val="0020194A"/>
    <w:rsid w:val="002068C2"/>
    <w:rsid w:val="00210B24"/>
    <w:rsid w:val="0021214E"/>
    <w:rsid w:val="00212D28"/>
    <w:rsid w:val="00215E66"/>
    <w:rsid w:val="002160DC"/>
    <w:rsid w:val="00217539"/>
    <w:rsid w:val="002177BE"/>
    <w:rsid w:val="002225C9"/>
    <w:rsid w:val="00222CD6"/>
    <w:rsid w:val="0022747F"/>
    <w:rsid w:val="00232391"/>
    <w:rsid w:val="002353E9"/>
    <w:rsid w:val="00236773"/>
    <w:rsid w:val="002416F9"/>
    <w:rsid w:val="00241C91"/>
    <w:rsid w:val="002438BF"/>
    <w:rsid w:val="00244F69"/>
    <w:rsid w:val="00245D22"/>
    <w:rsid w:val="00251D7F"/>
    <w:rsid w:val="00257C40"/>
    <w:rsid w:val="00257F32"/>
    <w:rsid w:val="00260209"/>
    <w:rsid w:val="0026047D"/>
    <w:rsid w:val="00261631"/>
    <w:rsid w:val="00261FC7"/>
    <w:rsid w:val="0026436B"/>
    <w:rsid w:val="00264881"/>
    <w:rsid w:val="00264AEB"/>
    <w:rsid w:val="00265247"/>
    <w:rsid w:val="00280749"/>
    <w:rsid w:val="00282817"/>
    <w:rsid w:val="00285C6D"/>
    <w:rsid w:val="00287846"/>
    <w:rsid w:val="00293286"/>
    <w:rsid w:val="0029483C"/>
    <w:rsid w:val="0029487D"/>
    <w:rsid w:val="002972EA"/>
    <w:rsid w:val="002A3C2E"/>
    <w:rsid w:val="002A4DF3"/>
    <w:rsid w:val="002A6382"/>
    <w:rsid w:val="002B01D4"/>
    <w:rsid w:val="002D558A"/>
    <w:rsid w:val="002D742B"/>
    <w:rsid w:val="002D7BB5"/>
    <w:rsid w:val="002E1062"/>
    <w:rsid w:val="002E1E38"/>
    <w:rsid w:val="002E7C30"/>
    <w:rsid w:val="002F103A"/>
    <w:rsid w:val="002F15F6"/>
    <w:rsid w:val="0030060A"/>
    <w:rsid w:val="003014FA"/>
    <w:rsid w:val="00302A68"/>
    <w:rsid w:val="0031315D"/>
    <w:rsid w:val="0032354C"/>
    <w:rsid w:val="00324E3A"/>
    <w:rsid w:val="00326F4D"/>
    <w:rsid w:val="00327BC6"/>
    <w:rsid w:val="00333F80"/>
    <w:rsid w:val="00335641"/>
    <w:rsid w:val="00336678"/>
    <w:rsid w:val="00345CF7"/>
    <w:rsid w:val="003473EB"/>
    <w:rsid w:val="00351ECA"/>
    <w:rsid w:val="003523BB"/>
    <w:rsid w:val="00354CAF"/>
    <w:rsid w:val="00360129"/>
    <w:rsid w:val="00364AB3"/>
    <w:rsid w:val="00366142"/>
    <w:rsid w:val="00367972"/>
    <w:rsid w:val="003757C9"/>
    <w:rsid w:val="0037705D"/>
    <w:rsid w:val="00377295"/>
    <w:rsid w:val="00377DF3"/>
    <w:rsid w:val="00381175"/>
    <w:rsid w:val="003818CD"/>
    <w:rsid w:val="00382287"/>
    <w:rsid w:val="00383061"/>
    <w:rsid w:val="00383721"/>
    <w:rsid w:val="003872FD"/>
    <w:rsid w:val="00393C7D"/>
    <w:rsid w:val="00394AB3"/>
    <w:rsid w:val="003A04FF"/>
    <w:rsid w:val="003A511C"/>
    <w:rsid w:val="003A541F"/>
    <w:rsid w:val="003A6118"/>
    <w:rsid w:val="003B38DA"/>
    <w:rsid w:val="003B4302"/>
    <w:rsid w:val="003B440F"/>
    <w:rsid w:val="003B4785"/>
    <w:rsid w:val="003B5BC8"/>
    <w:rsid w:val="003C31FF"/>
    <w:rsid w:val="003C6BB2"/>
    <w:rsid w:val="003D02E9"/>
    <w:rsid w:val="003D083B"/>
    <w:rsid w:val="003D1C44"/>
    <w:rsid w:val="003D548D"/>
    <w:rsid w:val="003E25E4"/>
    <w:rsid w:val="003E2D34"/>
    <w:rsid w:val="003E34BC"/>
    <w:rsid w:val="003F173E"/>
    <w:rsid w:val="003F4FE1"/>
    <w:rsid w:val="003F51DA"/>
    <w:rsid w:val="004012A3"/>
    <w:rsid w:val="0040171B"/>
    <w:rsid w:val="004144E7"/>
    <w:rsid w:val="004165DD"/>
    <w:rsid w:val="004169CE"/>
    <w:rsid w:val="00416C03"/>
    <w:rsid w:val="00417B1E"/>
    <w:rsid w:val="0042033B"/>
    <w:rsid w:val="00423C24"/>
    <w:rsid w:val="0042779A"/>
    <w:rsid w:val="004325A3"/>
    <w:rsid w:val="004443DD"/>
    <w:rsid w:val="00451445"/>
    <w:rsid w:val="00451CB6"/>
    <w:rsid w:val="00452A2B"/>
    <w:rsid w:val="00454B2C"/>
    <w:rsid w:val="00454FFB"/>
    <w:rsid w:val="004575E4"/>
    <w:rsid w:val="00457843"/>
    <w:rsid w:val="00462A2F"/>
    <w:rsid w:val="00466631"/>
    <w:rsid w:val="0046775D"/>
    <w:rsid w:val="004730D1"/>
    <w:rsid w:val="0047663A"/>
    <w:rsid w:val="0048061A"/>
    <w:rsid w:val="00493C10"/>
    <w:rsid w:val="00496892"/>
    <w:rsid w:val="004A064B"/>
    <w:rsid w:val="004A11C6"/>
    <w:rsid w:val="004A1785"/>
    <w:rsid w:val="004A53DF"/>
    <w:rsid w:val="004B0458"/>
    <w:rsid w:val="004B253C"/>
    <w:rsid w:val="004B3041"/>
    <w:rsid w:val="004B5FF2"/>
    <w:rsid w:val="004B7235"/>
    <w:rsid w:val="004B757A"/>
    <w:rsid w:val="004C4EA0"/>
    <w:rsid w:val="004C6440"/>
    <w:rsid w:val="004C72E3"/>
    <w:rsid w:val="004D173C"/>
    <w:rsid w:val="004D17C2"/>
    <w:rsid w:val="004D55B1"/>
    <w:rsid w:val="004D67F2"/>
    <w:rsid w:val="004E0312"/>
    <w:rsid w:val="004E177A"/>
    <w:rsid w:val="004E37C8"/>
    <w:rsid w:val="004E3903"/>
    <w:rsid w:val="004E58D0"/>
    <w:rsid w:val="004E5A32"/>
    <w:rsid w:val="004E725E"/>
    <w:rsid w:val="004F08A7"/>
    <w:rsid w:val="004F3CB2"/>
    <w:rsid w:val="004F3D88"/>
    <w:rsid w:val="004F5636"/>
    <w:rsid w:val="00500744"/>
    <w:rsid w:val="0050697B"/>
    <w:rsid w:val="00506D70"/>
    <w:rsid w:val="005071A6"/>
    <w:rsid w:val="00507847"/>
    <w:rsid w:val="00507B64"/>
    <w:rsid w:val="00510B25"/>
    <w:rsid w:val="0051145C"/>
    <w:rsid w:val="00513D4C"/>
    <w:rsid w:val="00513FDA"/>
    <w:rsid w:val="0051526D"/>
    <w:rsid w:val="0051568C"/>
    <w:rsid w:val="0051594F"/>
    <w:rsid w:val="00517067"/>
    <w:rsid w:val="005250CE"/>
    <w:rsid w:val="00527295"/>
    <w:rsid w:val="0053042E"/>
    <w:rsid w:val="00531A10"/>
    <w:rsid w:val="0053238D"/>
    <w:rsid w:val="005336C6"/>
    <w:rsid w:val="005348F7"/>
    <w:rsid w:val="00540E33"/>
    <w:rsid w:val="00543B19"/>
    <w:rsid w:val="00544BCB"/>
    <w:rsid w:val="00553E12"/>
    <w:rsid w:val="00554DBC"/>
    <w:rsid w:val="005607FA"/>
    <w:rsid w:val="00562BB2"/>
    <w:rsid w:val="00564F59"/>
    <w:rsid w:val="00567055"/>
    <w:rsid w:val="005726A5"/>
    <w:rsid w:val="005810E4"/>
    <w:rsid w:val="00581DBC"/>
    <w:rsid w:val="005826C6"/>
    <w:rsid w:val="00584614"/>
    <w:rsid w:val="00586CC4"/>
    <w:rsid w:val="00591BAC"/>
    <w:rsid w:val="00594D4F"/>
    <w:rsid w:val="00594E96"/>
    <w:rsid w:val="005951EF"/>
    <w:rsid w:val="00596C80"/>
    <w:rsid w:val="005A098D"/>
    <w:rsid w:val="005A2EF6"/>
    <w:rsid w:val="005A4972"/>
    <w:rsid w:val="005A639E"/>
    <w:rsid w:val="005B2EA7"/>
    <w:rsid w:val="005B30EB"/>
    <w:rsid w:val="005B3DEF"/>
    <w:rsid w:val="005B76A0"/>
    <w:rsid w:val="005B7FAE"/>
    <w:rsid w:val="005C225C"/>
    <w:rsid w:val="005C2F60"/>
    <w:rsid w:val="005D0284"/>
    <w:rsid w:val="005D57C7"/>
    <w:rsid w:val="005D7C30"/>
    <w:rsid w:val="005E3D55"/>
    <w:rsid w:val="005E59CD"/>
    <w:rsid w:val="005F13AF"/>
    <w:rsid w:val="005F3D69"/>
    <w:rsid w:val="005F453D"/>
    <w:rsid w:val="005F5FDB"/>
    <w:rsid w:val="005F7C6B"/>
    <w:rsid w:val="0060380A"/>
    <w:rsid w:val="00606DC8"/>
    <w:rsid w:val="006156B8"/>
    <w:rsid w:val="006206C8"/>
    <w:rsid w:val="006218AD"/>
    <w:rsid w:val="006230CB"/>
    <w:rsid w:val="00623EEF"/>
    <w:rsid w:val="00627021"/>
    <w:rsid w:val="00632231"/>
    <w:rsid w:val="006341A9"/>
    <w:rsid w:val="00634983"/>
    <w:rsid w:val="006379E7"/>
    <w:rsid w:val="0064593F"/>
    <w:rsid w:val="006463B4"/>
    <w:rsid w:val="00646FC3"/>
    <w:rsid w:val="00647C44"/>
    <w:rsid w:val="006510FD"/>
    <w:rsid w:val="006526A1"/>
    <w:rsid w:val="00656750"/>
    <w:rsid w:val="006611BB"/>
    <w:rsid w:val="0066527C"/>
    <w:rsid w:val="00667EEB"/>
    <w:rsid w:val="0067526A"/>
    <w:rsid w:val="00675346"/>
    <w:rsid w:val="00676FC0"/>
    <w:rsid w:val="00677210"/>
    <w:rsid w:val="006801AD"/>
    <w:rsid w:val="0068105F"/>
    <w:rsid w:val="006814AA"/>
    <w:rsid w:val="00687B5A"/>
    <w:rsid w:val="00690635"/>
    <w:rsid w:val="006914D5"/>
    <w:rsid w:val="006929B0"/>
    <w:rsid w:val="00694DCA"/>
    <w:rsid w:val="00695163"/>
    <w:rsid w:val="006970FA"/>
    <w:rsid w:val="00697B24"/>
    <w:rsid w:val="006A04F4"/>
    <w:rsid w:val="006A1736"/>
    <w:rsid w:val="006A3161"/>
    <w:rsid w:val="006A3620"/>
    <w:rsid w:val="006A51DF"/>
    <w:rsid w:val="006A5257"/>
    <w:rsid w:val="006A6CC5"/>
    <w:rsid w:val="006A7230"/>
    <w:rsid w:val="006B157B"/>
    <w:rsid w:val="006B3845"/>
    <w:rsid w:val="006B38D3"/>
    <w:rsid w:val="006B4046"/>
    <w:rsid w:val="006B781F"/>
    <w:rsid w:val="006C22EC"/>
    <w:rsid w:val="006C4DA4"/>
    <w:rsid w:val="006C51B1"/>
    <w:rsid w:val="006C6748"/>
    <w:rsid w:val="006D01EB"/>
    <w:rsid w:val="006D0E6C"/>
    <w:rsid w:val="006D0F30"/>
    <w:rsid w:val="006D1F40"/>
    <w:rsid w:val="006D2713"/>
    <w:rsid w:val="006D6125"/>
    <w:rsid w:val="006E4A05"/>
    <w:rsid w:val="006E5014"/>
    <w:rsid w:val="006E7C07"/>
    <w:rsid w:val="006F0F0F"/>
    <w:rsid w:val="006F262D"/>
    <w:rsid w:val="0070770B"/>
    <w:rsid w:val="007077B6"/>
    <w:rsid w:val="00710091"/>
    <w:rsid w:val="0071141E"/>
    <w:rsid w:val="007212A8"/>
    <w:rsid w:val="007239D1"/>
    <w:rsid w:val="007409D0"/>
    <w:rsid w:val="007413AE"/>
    <w:rsid w:val="00742A92"/>
    <w:rsid w:val="0074489D"/>
    <w:rsid w:val="0075034A"/>
    <w:rsid w:val="00754B5C"/>
    <w:rsid w:val="00754C99"/>
    <w:rsid w:val="00756529"/>
    <w:rsid w:val="007569C2"/>
    <w:rsid w:val="00756CB7"/>
    <w:rsid w:val="00765301"/>
    <w:rsid w:val="00766E49"/>
    <w:rsid w:val="00770622"/>
    <w:rsid w:val="00771B46"/>
    <w:rsid w:val="0078024A"/>
    <w:rsid w:val="00780A01"/>
    <w:rsid w:val="00785004"/>
    <w:rsid w:val="0078621A"/>
    <w:rsid w:val="0079228C"/>
    <w:rsid w:val="007954E7"/>
    <w:rsid w:val="007967DC"/>
    <w:rsid w:val="007A1C9A"/>
    <w:rsid w:val="007A2E0C"/>
    <w:rsid w:val="007A3482"/>
    <w:rsid w:val="007B0C88"/>
    <w:rsid w:val="007B4794"/>
    <w:rsid w:val="007C074E"/>
    <w:rsid w:val="007C24ED"/>
    <w:rsid w:val="007C6D84"/>
    <w:rsid w:val="007D274B"/>
    <w:rsid w:val="007D77A6"/>
    <w:rsid w:val="007E0DED"/>
    <w:rsid w:val="007F4442"/>
    <w:rsid w:val="007F7673"/>
    <w:rsid w:val="00800389"/>
    <w:rsid w:val="00801911"/>
    <w:rsid w:val="00806E8D"/>
    <w:rsid w:val="00812DA9"/>
    <w:rsid w:val="00815E94"/>
    <w:rsid w:val="0082084C"/>
    <w:rsid w:val="008225D5"/>
    <w:rsid w:val="00823B8E"/>
    <w:rsid w:val="00824973"/>
    <w:rsid w:val="0082525E"/>
    <w:rsid w:val="00826C12"/>
    <w:rsid w:val="008300EF"/>
    <w:rsid w:val="00830EF1"/>
    <w:rsid w:val="00830F2F"/>
    <w:rsid w:val="00833EFD"/>
    <w:rsid w:val="00834D34"/>
    <w:rsid w:val="00835E89"/>
    <w:rsid w:val="00841FA2"/>
    <w:rsid w:val="00846CD8"/>
    <w:rsid w:val="00847318"/>
    <w:rsid w:val="00855CF1"/>
    <w:rsid w:val="0085764C"/>
    <w:rsid w:val="00857B73"/>
    <w:rsid w:val="008601A3"/>
    <w:rsid w:val="00860EC1"/>
    <w:rsid w:val="008615B2"/>
    <w:rsid w:val="00863FA7"/>
    <w:rsid w:val="008671C8"/>
    <w:rsid w:val="00867308"/>
    <w:rsid w:val="00881A3C"/>
    <w:rsid w:val="00883D1D"/>
    <w:rsid w:val="008870EC"/>
    <w:rsid w:val="00887468"/>
    <w:rsid w:val="00887597"/>
    <w:rsid w:val="008900F3"/>
    <w:rsid w:val="0089248D"/>
    <w:rsid w:val="008957C8"/>
    <w:rsid w:val="00897E73"/>
    <w:rsid w:val="008A6C77"/>
    <w:rsid w:val="008A7505"/>
    <w:rsid w:val="008A7518"/>
    <w:rsid w:val="008B5BD9"/>
    <w:rsid w:val="008C56ED"/>
    <w:rsid w:val="008C5815"/>
    <w:rsid w:val="008C63CA"/>
    <w:rsid w:val="008D157D"/>
    <w:rsid w:val="008D1690"/>
    <w:rsid w:val="008D3CDB"/>
    <w:rsid w:val="008E1156"/>
    <w:rsid w:val="008E5F7A"/>
    <w:rsid w:val="008F11F6"/>
    <w:rsid w:val="008F3DFF"/>
    <w:rsid w:val="008F5A64"/>
    <w:rsid w:val="0091226E"/>
    <w:rsid w:val="009137D1"/>
    <w:rsid w:val="0091418A"/>
    <w:rsid w:val="00925E2C"/>
    <w:rsid w:val="00931715"/>
    <w:rsid w:val="009334DE"/>
    <w:rsid w:val="00940DAE"/>
    <w:rsid w:val="00941ACF"/>
    <w:rsid w:val="009464AE"/>
    <w:rsid w:val="009516FA"/>
    <w:rsid w:val="0095460B"/>
    <w:rsid w:val="00960FCE"/>
    <w:rsid w:val="0096149F"/>
    <w:rsid w:val="00962E4F"/>
    <w:rsid w:val="00966D27"/>
    <w:rsid w:val="00975675"/>
    <w:rsid w:val="0098398D"/>
    <w:rsid w:val="00987F6A"/>
    <w:rsid w:val="009970ED"/>
    <w:rsid w:val="0099748A"/>
    <w:rsid w:val="009A1DA6"/>
    <w:rsid w:val="009A2FB3"/>
    <w:rsid w:val="009A36B5"/>
    <w:rsid w:val="009A3FD9"/>
    <w:rsid w:val="009A7066"/>
    <w:rsid w:val="009A76D0"/>
    <w:rsid w:val="009B011E"/>
    <w:rsid w:val="009B147E"/>
    <w:rsid w:val="009B46E6"/>
    <w:rsid w:val="009C243C"/>
    <w:rsid w:val="009C6899"/>
    <w:rsid w:val="009C6CD0"/>
    <w:rsid w:val="009C7060"/>
    <w:rsid w:val="009C7AAC"/>
    <w:rsid w:val="009D0E42"/>
    <w:rsid w:val="009D29BD"/>
    <w:rsid w:val="009E043B"/>
    <w:rsid w:val="009E0978"/>
    <w:rsid w:val="009E3C97"/>
    <w:rsid w:val="009F1DA6"/>
    <w:rsid w:val="009F2D30"/>
    <w:rsid w:val="009F2E7C"/>
    <w:rsid w:val="00A01DE8"/>
    <w:rsid w:val="00A02888"/>
    <w:rsid w:val="00A05E67"/>
    <w:rsid w:val="00A06023"/>
    <w:rsid w:val="00A07F22"/>
    <w:rsid w:val="00A10827"/>
    <w:rsid w:val="00A117D9"/>
    <w:rsid w:val="00A1265E"/>
    <w:rsid w:val="00A13A98"/>
    <w:rsid w:val="00A20586"/>
    <w:rsid w:val="00A212FF"/>
    <w:rsid w:val="00A2189A"/>
    <w:rsid w:val="00A22158"/>
    <w:rsid w:val="00A23DDD"/>
    <w:rsid w:val="00A24964"/>
    <w:rsid w:val="00A276EA"/>
    <w:rsid w:val="00A370D9"/>
    <w:rsid w:val="00A3746E"/>
    <w:rsid w:val="00A40823"/>
    <w:rsid w:val="00A41D4E"/>
    <w:rsid w:val="00A47871"/>
    <w:rsid w:val="00A54122"/>
    <w:rsid w:val="00A600A1"/>
    <w:rsid w:val="00A60839"/>
    <w:rsid w:val="00A60A0E"/>
    <w:rsid w:val="00A60B00"/>
    <w:rsid w:val="00A61ADF"/>
    <w:rsid w:val="00A645EE"/>
    <w:rsid w:val="00A71080"/>
    <w:rsid w:val="00A73EC3"/>
    <w:rsid w:val="00A76D6A"/>
    <w:rsid w:val="00A8031E"/>
    <w:rsid w:val="00A81A70"/>
    <w:rsid w:val="00A86945"/>
    <w:rsid w:val="00A92126"/>
    <w:rsid w:val="00A93129"/>
    <w:rsid w:val="00A97959"/>
    <w:rsid w:val="00AA3521"/>
    <w:rsid w:val="00AB154E"/>
    <w:rsid w:val="00AB4114"/>
    <w:rsid w:val="00AC030E"/>
    <w:rsid w:val="00AC08E6"/>
    <w:rsid w:val="00AC2F8F"/>
    <w:rsid w:val="00AC3637"/>
    <w:rsid w:val="00AC5E29"/>
    <w:rsid w:val="00AC6BC4"/>
    <w:rsid w:val="00AD0A04"/>
    <w:rsid w:val="00AD1E18"/>
    <w:rsid w:val="00AD4558"/>
    <w:rsid w:val="00AE409B"/>
    <w:rsid w:val="00AE4373"/>
    <w:rsid w:val="00AE642D"/>
    <w:rsid w:val="00AE6D06"/>
    <w:rsid w:val="00AF00FB"/>
    <w:rsid w:val="00AF152D"/>
    <w:rsid w:val="00AF6F82"/>
    <w:rsid w:val="00AF7403"/>
    <w:rsid w:val="00AF78B0"/>
    <w:rsid w:val="00B011BF"/>
    <w:rsid w:val="00B040C4"/>
    <w:rsid w:val="00B0715D"/>
    <w:rsid w:val="00B14D94"/>
    <w:rsid w:val="00B26FA3"/>
    <w:rsid w:val="00B30445"/>
    <w:rsid w:val="00B321F8"/>
    <w:rsid w:val="00B3384D"/>
    <w:rsid w:val="00B3718B"/>
    <w:rsid w:val="00B40D9F"/>
    <w:rsid w:val="00B438CC"/>
    <w:rsid w:val="00B478F3"/>
    <w:rsid w:val="00B50167"/>
    <w:rsid w:val="00B508AC"/>
    <w:rsid w:val="00B520BB"/>
    <w:rsid w:val="00B524BB"/>
    <w:rsid w:val="00B53AA6"/>
    <w:rsid w:val="00B53F6B"/>
    <w:rsid w:val="00B54A0C"/>
    <w:rsid w:val="00B5509D"/>
    <w:rsid w:val="00B63A23"/>
    <w:rsid w:val="00B72FB1"/>
    <w:rsid w:val="00B758DA"/>
    <w:rsid w:val="00B770DB"/>
    <w:rsid w:val="00B779A0"/>
    <w:rsid w:val="00B82F07"/>
    <w:rsid w:val="00B83B02"/>
    <w:rsid w:val="00B872B5"/>
    <w:rsid w:val="00B9103C"/>
    <w:rsid w:val="00B9409E"/>
    <w:rsid w:val="00B977FD"/>
    <w:rsid w:val="00BA03FF"/>
    <w:rsid w:val="00BA2425"/>
    <w:rsid w:val="00BA2652"/>
    <w:rsid w:val="00BA59AA"/>
    <w:rsid w:val="00BA7793"/>
    <w:rsid w:val="00BC35E8"/>
    <w:rsid w:val="00BC6F1E"/>
    <w:rsid w:val="00BD0A93"/>
    <w:rsid w:val="00BD33C3"/>
    <w:rsid w:val="00BD5A05"/>
    <w:rsid w:val="00BD73AE"/>
    <w:rsid w:val="00BD7B4E"/>
    <w:rsid w:val="00BD7E7C"/>
    <w:rsid w:val="00BD7F00"/>
    <w:rsid w:val="00BE277E"/>
    <w:rsid w:val="00BE3978"/>
    <w:rsid w:val="00BE64BF"/>
    <w:rsid w:val="00BE6D97"/>
    <w:rsid w:val="00BE6E38"/>
    <w:rsid w:val="00BE79A0"/>
    <w:rsid w:val="00BF2503"/>
    <w:rsid w:val="00C17440"/>
    <w:rsid w:val="00C21322"/>
    <w:rsid w:val="00C2692B"/>
    <w:rsid w:val="00C27501"/>
    <w:rsid w:val="00C31317"/>
    <w:rsid w:val="00C35374"/>
    <w:rsid w:val="00C37947"/>
    <w:rsid w:val="00C41C4C"/>
    <w:rsid w:val="00C5144E"/>
    <w:rsid w:val="00C53427"/>
    <w:rsid w:val="00C60019"/>
    <w:rsid w:val="00C60B7B"/>
    <w:rsid w:val="00C60E44"/>
    <w:rsid w:val="00C66ADB"/>
    <w:rsid w:val="00C720F0"/>
    <w:rsid w:val="00C738D7"/>
    <w:rsid w:val="00C81257"/>
    <w:rsid w:val="00C857E4"/>
    <w:rsid w:val="00C867BB"/>
    <w:rsid w:val="00C94CD0"/>
    <w:rsid w:val="00C95B8D"/>
    <w:rsid w:val="00C970C2"/>
    <w:rsid w:val="00CA0BD4"/>
    <w:rsid w:val="00CA5E23"/>
    <w:rsid w:val="00CA6C0E"/>
    <w:rsid w:val="00CA7734"/>
    <w:rsid w:val="00CB1FCB"/>
    <w:rsid w:val="00CB58FB"/>
    <w:rsid w:val="00CC15E1"/>
    <w:rsid w:val="00CC2CC7"/>
    <w:rsid w:val="00CC3600"/>
    <w:rsid w:val="00CC5A4E"/>
    <w:rsid w:val="00CC5F27"/>
    <w:rsid w:val="00CD6B18"/>
    <w:rsid w:val="00CE25C3"/>
    <w:rsid w:val="00CE26AF"/>
    <w:rsid w:val="00CE3C14"/>
    <w:rsid w:val="00CE6C0D"/>
    <w:rsid w:val="00CF1C39"/>
    <w:rsid w:val="00CF2753"/>
    <w:rsid w:val="00CF2AA5"/>
    <w:rsid w:val="00CF3E2B"/>
    <w:rsid w:val="00D07718"/>
    <w:rsid w:val="00D10C04"/>
    <w:rsid w:val="00D17BBC"/>
    <w:rsid w:val="00D24060"/>
    <w:rsid w:val="00D24946"/>
    <w:rsid w:val="00D25955"/>
    <w:rsid w:val="00D318FF"/>
    <w:rsid w:val="00D31B7F"/>
    <w:rsid w:val="00D43710"/>
    <w:rsid w:val="00D45E59"/>
    <w:rsid w:val="00D47AD4"/>
    <w:rsid w:val="00D47C0B"/>
    <w:rsid w:val="00D511C7"/>
    <w:rsid w:val="00D52BA8"/>
    <w:rsid w:val="00D60240"/>
    <w:rsid w:val="00D62912"/>
    <w:rsid w:val="00D66620"/>
    <w:rsid w:val="00D711DF"/>
    <w:rsid w:val="00D715C6"/>
    <w:rsid w:val="00D73AA1"/>
    <w:rsid w:val="00D805C8"/>
    <w:rsid w:val="00D81ADA"/>
    <w:rsid w:val="00D87084"/>
    <w:rsid w:val="00D87D03"/>
    <w:rsid w:val="00D90397"/>
    <w:rsid w:val="00D91950"/>
    <w:rsid w:val="00D933CF"/>
    <w:rsid w:val="00D93C41"/>
    <w:rsid w:val="00D96EA3"/>
    <w:rsid w:val="00DA5E0B"/>
    <w:rsid w:val="00DB2E3F"/>
    <w:rsid w:val="00DB4414"/>
    <w:rsid w:val="00DB6C9B"/>
    <w:rsid w:val="00DC04C3"/>
    <w:rsid w:val="00DC059C"/>
    <w:rsid w:val="00DC1B12"/>
    <w:rsid w:val="00DD4245"/>
    <w:rsid w:val="00DD666C"/>
    <w:rsid w:val="00DE0B8C"/>
    <w:rsid w:val="00DE2570"/>
    <w:rsid w:val="00DE32CE"/>
    <w:rsid w:val="00DF0140"/>
    <w:rsid w:val="00DF0A88"/>
    <w:rsid w:val="00DF16D2"/>
    <w:rsid w:val="00DF22BF"/>
    <w:rsid w:val="00DF2716"/>
    <w:rsid w:val="00DF30CC"/>
    <w:rsid w:val="00DF42C7"/>
    <w:rsid w:val="00E00B63"/>
    <w:rsid w:val="00E01881"/>
    <w:rsid w:val="00E04663"/>
    <w:rsid w:val="00E075EA"/>
    <w:rsid w:val="00E21BB9"/>
    <w:rsid w:val="00E239E5"/>
    <w:rsid w:val="00E23BDE"/>
    <w:rsid w:val="00E26DF1"/>
    <w:rsid w:val="00E36CDB"/>
    <w:rsid w:val="00E37898"/>
    <w:rsid w:val="00E40020"/>
    <w:rsid w:val="00E416CD"/>
    <w:rsid w:val="00E42845"/>
    <w:rsid w:val="00E43409"/>
    <w:rsid w:val="00E453FC"/>
    <w:rsid w:val="00E5402C"/>
    <w:rsid w:val="00E57AC0"/>
    <w:rsid w:val="00E63C14"/>
    <w:rsid w:val="00E736D6"/>
    <w:rsid w:val="00E82A97"/>
    <w:rsid w:val="00E8435A"/>
    <w:rsid w:val="00E85878"/>
    <w:rsid w:val="00E87975"/>
    <w:rsid w:val="00E946A6"/>
    <w:rsid w:val="00E954D5"/>
    <w:rsid w:val="00E95BD7"/>
    <w:rsid w:val="00E95E9C"/>
    <w:rsid w:val="00E96DDC"/>
    <w:rsid w:val="00E97EFC"/>
    <w:rsid w:val="00EA09D1"/>
    <w:rsid w:val="00EA24E8"/>
    <w:rsid w:val="00EA3C41"/>
    <w:rsid w:val="00EA5218"/>
    <w:rsid w:val="00EB25F8"/>
    <w:rsid w:val="00EB2B97"/>
    <w:rsid w:val="00EB2FEE"/>
    <w:rsid w:val="00EB3A71"/>
    <w:rsid w:val="00EC1F61"/>
    <w:rsid w:val="00EC4617"/>
    <w:rsid w:val="00EC6CC7"/>
    <w:rsid w:val="00ED0A97"/>
    <w:rsid w:val="00ED0E01"/>
    <w:rsid w:val="00ED154A"/>
    <w:rsid w:val="00ED33C8"/>
    <w:rsid w:val="00ED3CD0"/>
    <w:rsid w:val="00EE260B"/>
    <w:rsid w:val="00EE6CD5"/>
    <w:rsid w:val="00EF23B5"/>
    <w:rsid w:val="00EF24CE"/>
    <w:rsid w:val="00EF7271"/>
    <w:rsid w:val="00EF7A07"/>
    <w:rsid w:val="00F04259"/>
    <w:rsid w:val="00F04670"/>
    <w:rsid w:val="00F1167F"/>
    <w:rsid w:val="00F11CF4"/>
    <w:rsid w:val="00F1305F"/>
    <w:rsid w:val="00F134D2"/>
    <w:rsid w:val="00F167DC"/>
    <w:rsid w:val="00F243C6"/>
    <w:rsid w:val="00F27E23"/>
    <w:rsid w:val="00F3244A"/>
    <w:rsid w:val="00F33A66"/>
    <w:rsid w:val="00F34BA3"/>
    <w:rsid w:val="00F372B9"/>
    <w:rsid w:val="00F41519"/>
    <w:rsid w:val="00F44545"/>
    <w:rsid w:val="00F45026"/>
    <w:rsid w:val="00F50469"/>
    <w:rsid w:val="00F61459"/>
    <w:rsid w:val="00F628D4"/>
    <w:rsid w:val="00F67C24"/>
    <w:rsid w:val="00F70AFD"/>
    <w:rsid w:val="00F719FF"/>
    <w:rsid w:val="00F74556"/>
    <w:rsid w:val="00F77AEC"/>
    <w:rsid w:val="00F820B7"/>
    <w:rsid w:val="00F84EBC"/>
    <w:rsid w:val="00F86419"/>
    <w:rsid w:val="00F92066"/>
    <w:rsid w:val="00F964F3"/>
    <w:rsid w:val="00FB255D"/>
    <w:rsid w:val="00FB27B3"/>
    <w:rsid w:val="00FB2BE8"/>
    <w:rsid w:val="00FB65A2"/>
    <w:rsid w:val="00FC0059"/>
    <w:rsid w:val="00FC6DFC"/>
    <w:rsid w:val="00FC7CAE"/>
    <w:rsid w:val="00FD2A7A"/>
    <w:rsid w:val="00FD4616"/>
    <w:rsid w:val="00FD4CF2"/>
    <w:rsid w:val="00FD5046"/>
    <w:rsid w:val="00FD6FF7"/>
    <w:rsid w:val="00FE02A3"/>
    <w:rsid w:val="00FE0915"/>
    <w:rsid w:val="00FE32E4"/>
    <w:rsid w:val="00FE5389"/>
    <w:rsid w:val="00FE59E5"/>
    <w:rsid w:val="00FF012A"/>
    <w:rsid w:val="00FF322F"/>
    <w:rsid w:val="00FF6132"/>
    <w:rsid w:val="151903CD"/>
    <w:rsid w:val="33002277"/>
    <w:rsid w:val="34621989"/>
    <w:rsid w:val="3A423C1E"/>
    <w:rsid w:val="57103A2E"/>
    <w:rsid w:val="66D55168"/>
    <w:rsid w:val="696F1D70"/>
    <w:rsid w:val="7A285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80B39E7"/>
  <w15:docId w15:val="{B280DB9A-830D-4C2F-A1E5-D251252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A24964"/>
    <w:pPr>
      <w:widowControl w:val="0"/>
      <w:jc w:val="both"/>
    </w:pPr>
    <w:rPr>
      <w:kern w:val="2"/>
      <w:sz w:val="24"/>
      <w:szCs w:val="24"/>
    </w:rPr>
  </w:style>
  <w:style w:type="paragraph" w:styleId="1">
    <w:name w:val="heading 1"/>
    <w:basedOn w:val="ab"/>
    <w:next w:val="ab"/>
    <w:link w:val="10"/>
    <w:qFormat/>
    <w:rsid w:val="00830F2F"/>
    <w:pPr>
      <w:keepNext/>
      <w:keepLines/>
      <w:spacing w:line="578" w:lineRule="auto"/>
      <w:outlineLvl w:val="0"/>
    </w:pPr>
    <w:rPr>
      <w:rFonts w:asciiTheme="majorEastAsia" w:hAnsiTheme="majorEastAsia"/>
      <w:b/>
      <w:bCs/>
      <w:kern w:val="44"/>
      <w:sz w:val="28"/>
      <w:szCs w:val="44"/>
    </w:rPr>
  </w:style>
  <w:style w:type="paragraph" w:styleId="2">
    <w:name w:val="heading 2"/>
    <w:basedOn w:val="ab"/>
    <w:next w:val="ab"/>
    <w:link w:val="20"/>
    <w:unhideWhenUsed/>
    <w:qFormat/>
    <w:rsid w:val="00830F2F"/>
    <w:pPr>
      <w:keepNext/>
      <w:keepLines/>
      <w:spacing w:before="120" w:after="120" w:line="415" w:lineRule="auto"/>
      <w:outlineLvl w:val="1"/>
    </w:pPr>
    <w:rPr>
      <w:b/>
      <w:bCs/>
      <w:szCs w:val="32"/>
    </w:rPr>
  </w:style>
  <w:style w:type="paragraph" w:styleId="3">
    <w:name w:val="heading 3"/>
    <w:basedOn w:val="ab"/>
    <w:next w:val="ab"/>
    <w:link w:val="30"/>
    <w:unhideWhenUsed/>
    <w:qFormat/>
    <w:rsid w:val="00830F2F"/>
    <w:pPr>
      <w:keepNext/>
      <w:keepLines/>
      <w:spacing w:before="120" w:after="120" w:line="415" w:lineRule="auto"/>
      <w:ind w:leftChars="200" w:left="200"/>
      <w:outlineLvl w:val="2"/>
    </w:pPr>
    <w:rPr>
      <w:b/>
      <w:bCs/>
      <w:szCs w:val="32"/>
    </w:rPr>
  </w:style>
  <w:style w:type="paragraph" w:styleId="4">
    <w:name w:val="heading 4"/>
    <w:basedOn w:val="ab"/>
    <w:next w:val="ab"/>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b"/>
    <w:next w:val="ab"/>
    <w:link w:val="50"/>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8">
    <w:name w:val="index 8"/>
    <w:basedOn w:val="ab"/>
    <w:next w:val="ab"/>
    <w:qFormat/>
    <w:pPr>
      <w:ind w:left="1680" w:hanging="210"/>
      <w:jc w:val="left"/>
    </w:pPr>
    <w:rPr>
      <w:rFonts w:ascii="Calibri" w:hAnsi="Calibri"/>
      <w:sz w:val="20"/>
      <w:szCs w:val="20"/>
    </w:rPr>
  </w:style>
  <w:style w:type="paragraph" w:styleId="af">
    <w:name w:val="caption"/>
    <w:basedOn w:val="ab"/>
    <w:next w:val="ab"/>
    <w:qFormat/>
    <w:pPr>
      <w:spacing w:before="152" w:after="160"/>
    </w:pPr>
    <w:rPr>
      <w:rFonts w:ascii="Arial" w:eastAsia="黑体" w:hAnsi="Arial" w:cs="Arial"/>
      <w:sz w:val="20"/>
      <w:szCs w:val="20"/>
    </w:rPr>
  </w:style>
  <w:style w:type="paragraph" w:styleId="51">
    <w:name w:val="index 5"/>
    <w:basedOn w:val="ab"/>
    <w:next w:val="ab"/>
    <w:qFormat/>
    <w:pPr>
      <w:ind w:left="1050" w:hanging="210"/>
      <w:jc w:val="left"/>
    </w:pPr>
    <w:rPr>
      <w:rFonts w:ascii="Calibri" w:hAnsi="Calibri"/>
      <w:sz w:val="20"/>
      <w:szCs w:val="20"/>
    </w:rPr>
  </w:style>
  <w:style w:type="paragraph" w:styleId="af0">
    <w:name w:val="annotation text"/>
    <w:basedOn w:val="ab"/>
    <w:link w:val="af1"/>
    <w:uiPriority w:val="99"/>
    <w:unhideWhenUsed/>
    <w:qFormat/>
    <w:pPr>
      <w:jc w:val="left"/>
    </w:pPr>
  </w:style>
  <w:style w:type="paragraph" w:styleId="6">
    <w:name w:val="index 6"/>
    <w:basedOn w:val="ab"/>
    <w:next w:val="ab"/>
    <w:qFormat/>
    <w:pPr>
      <w:ind w:left="1260" w:hanging="210"/>
      <w:jc w:val="left"/>
    </w:pPr>
    <w:rPr>
      <w:rFonts w:ascii="Calibri" w:hAnsi="Calibri"/>
      <w:sz w:val="20"/>
      <w:szCs w:val="20"/>
    </w:rPr>
  </w:style>
  <w:style w:type="paragraph" w:styleId="af2">
    <w:name w:val="Body Text Indent"/>
    <w:basedOn w:val="ab"/>
    <w:link w:val="af3"/>
    <w:qFormat/>
    <w:pPr>
      <w:ind w:firstLine="570"/>
    </w:pPr>
    <w:rPr>
      <w:rFonts w:ascii="仿宋_GB2312" w:eastAsia="仿宋_GB2312"/>
      <w:sz w:val="28"/>
      <w:szCs w:val="20"/>
    </w:rPr>
  </w:style>
  <w:style w:type="paragraph" w:styleId="41">
    <w:name w:val="index 4"/>
    <w:basedOn w:val="ab"/>
    <w:next w:val="ab"/>
    <w:qFormat/>
    <w:pPr>
      <w:ind w:left="840" w:hanging="210"/>
      <w:jc w:val="left"/>
    </w:pPr>
    <w:rPr>
      <w:rFonts w:ascii="Calibri" w:hAnsi="Calibri"/>
      <w:sz w:val="20"/>
      <w:szCs w:val="20"/>
    </w:rPr>
  </w:style>
  <w:style w:type="paragraph" w:styleId="TOC3">
    <w:name w:val="toc 3"/>
    <w:basedOn w:val="ab"/>
    <w:next w:val="ab"/>
    <w:uiPriority w:val="39"/>
    <w:qFormat/>
    <w:pPr>
      <w:ind w:leftChars="400" w:left="840"/>
    </w:pPr>
  </w:style>
  <w:style w:type="paragraph" w:styleId="31">
    <w:name w:val="index 3"/>
    <w:basedOn w:val="ab"/>
    <w:next w:val="ab"/>
    <w:qFormat/>
    <w:pPr>
      <w:ind w:left="630" w:hanging="210"/>
      <w:jc w:val="left"/>
    </w:pPr>
    <w:rPr>
      <w:rFonts w:ascii="Calibri" w:hAnsi="Calibri"/>
      <w:sz w:val="20"/>
      <w:szCs w:val="20"/>
    </w:rPr>
  </w:style>
  <w:style w:type="paragraph" w:styleId="af4">
    <w:name w:val="Date"/>
    <w:basedOn w:val="ab"/>
    <w:next w:val="ab"/>
    <w:qFormat/>
    <w:pPr>
      <w:ind w:leftChars="2500" w:left="100"/>
    </w:pPr>
  </w:style>
  <w:style w:type="paragraph" w:styleId="af5">
    <w:name w:val="Balloon Text"/>
    <w:basedOn w:val="ab"/>
    <w:link w:val="af6"/>
    <w:qFormat/>
    <w:rPr>
      <w:sz w:val="18"/>
      <w:szCs w:val="18"/>
    </w:rPr>
  </w:style>
  <w:style w:type="paragraph" w:styleId="af7">
    <w:name w:val="footer"/>
    <w:basedOn w:val="ab"/>
    <w:link w:val="af8"/>
    <w:uiPriority w:val="99"/>
    <w:qFormat/>
    <w:pPr>
      <w:snapToGrid w:val="0"/>
      <w:ind w:rightChars="100" w:right="210"/>
      <w:jc w:val="right"/>
    </w:pPr>
    <w:rPr>
      <w:sz w:val="18"/>
      <w:szCs w:val="18"/>
    </w:rPr>
  </w:style>
  <w:style w:type="paragraph" w:styleId="af9">
    <w:name w:val="header"/>
    <w:basedOn w:val="ab"/>
    <w:link w:val="afa"/>
    <w:qFormat/>
    <w:pPr>
      <w:snapToGrid w:val="0"/>
      <w:jc w:val="left"/>
    </w:pPr>
    <w:rPr>
      <w:sz w:val="18"/>
      <w:szCs w:val="18"/>
    </w:rPr>
  </w:style>
  <w:style w:type="paragraph" w:styleId="TOC1">
    <w:name w:val="toc 1"/>
    <w:basedOn w:val="ab"/>
    <w:next w:val="ab"/>
    <w:uiPriority w:val="39"/>
    <w:qFormat/>
  </w:style>
  <w:style w:type="paragraph" w:styleId="afb">
    <w:name w:val="index heading"/>
    <w:basedOn w:val="ab"/>
    <w:next w:val="11"/>
    <w:qFormat/>
    <w:pPr>
      <w:spacing w:before="120" w:after="120"/>
      <w:jc w:val="center"/>
    </w:pPr>
    <w:rPr>
      <w:rFonts w:ascii="Calibri" w:hAnsi="Calibri"/>
      <w:b/>
      <w:bCs/>
      <w:iCs/>
      <w:szCs w:val="20"/>
    </w:rPr>
  </w:style>
  <w:style w:type="paragraph" w:styleId="11">
    <w:name w:val="index 1"/>
    <w:basedOn w:val="ab"/>
    <w:next w:val="afc"/>
    <w:qFormat/>
    <w:pPr>
      <w:tabs>
        <w:tab w:val="right" w:leader="dot" w:pos="9299"/>
      </w:tabs>
      <w:jc w:val="left"/>
    </w:pPr>
    <w:rPr>
      <w:rFonts w:ascii="宋体"/>
      <w:szCs w:val="21"/>
    </w:rPr>
  </w:style>
  <w:style w:type="paragraph" w:customStyle="1" w:styleId="a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d">
    <w:name w:val="footnote text"/>
    <w:basedOn w:val="ab"/>
    <w:qFormat/>
    <w:pPr>
      <w:tabs>
        <w:tab w:val="left" w:pos="0"/>
      </w:tabs>
      <w:snapToGrid w:val="0"/>
      <w:ind w:left="720" w:hanging="357"/>
      <w:jc w:val="left"/>
    </w:pPr>
    <w:rPr>
      <w:rFonts w:ascii="宋体"/>
      <w:sz w:val="18"/>
      <w:szCs w:val="18"/>
    </w:rPr>
  </w:style>
  <w:style w:type="paragraph" w:styleId="7">
    <w:name w:val="index 7"/>
    <w:basedOn w:val="ab"/>
    <w:next w:val="ab"/>
    <w:qFormat/>
    <w:pPr>
      <w:ind w:left="1470" w:hanging="210"/>
      <w:jc w:val="left"/>
    </w:pPr>
    <w:rPr>
      <w:rFonts w:ascii="Calibri" w:hAnsi="Calibri"/>
      <w:sz w:val="20"/>
      <w:szCs w:val="20"/>
    </w:rPr>
  </w:style>
  <w:style w:type="paragraph" w:styleId="9">
    <w:name w:val="index 9"/>
    <w:basedOn w:val="ab"/>
    <w:next w:val="ab"/>
    <w:qFormat/>
    <w:pPr>
      <w:ind w:left="1890" w:hanging="210"/>
      <w:jc w:val="left"/>
    </w:pPr>
    <w:rPr>
      <w:rFonts w:ascii="Calibri" w:hAnsi="Calibri"/>
      <w:sz w:val="20"/>
      <w:szCs w:val="20"/>
    </w:rPr>
  </w:style>
  <w:style w:type="paragraph" w:styleId="TOC2">
    <w:name w:val="toc 2"/>
    <w:basedOn w:val="ab"/>
    <w:next w:val="ab"/>
    <w:uiPriority w:val="39"/>
    <w:qFormat/>
    <w:pPr>
      <w:ind w:leftChars="200" w:left="420"/>
    </w:pPr>
  </w:style>
  <w:style w:type="paragraph" w:styleId="HTML">
    <w:name w:val="HTML Preformatted"/>
    <w:basedOn w:val="ab"/>
    <w:qFormat/>
    <w:pPr>
      <w:tabs>
        <w:tab w:val="left" w:pos="360"/>
      </w:tabs>
    </w:pPr>
    <w:rPr>
      <w:rFonts w:ascii="Courier New" w:hAnsi="Courier New" w:cs="Courier New"/>
      <w:sz w:val="20"/>
      <w:szCs w:val="20"/>
    </w:rPr>
  </w:style>
  <w:style w:type="paragraph" w:styleId="afe">
    <w:name w:val="Normal (Web)"/>
    <w:basedOn w:val="ab"/>
    <w:uiPriority w:val="99"/>
    <w:unhideWhenUsed/>
    <w:qFormat/>
    <w:pPr>
      <w:widowControl/>
      <w:spacing w:before="100" w:beforeAutospacing="1" w:after="100" w:afterAutospacing="1"/>
      <w:jc w:val="left"/>
    </w:pPr>
    <w:rPr>
      <w:rFonts w:ascii="宋体" w:hAnsi="宋体" w:cs="宋体"/>
      <w:kern w:val="0"/>
    </w:rPr>
  </w:style>
  <w:style w:type="paragraph" w:styleId="21">
    <w:name w:val="index 2"/>
    <w:basedOn w:val="ab"/>
    <w:next w:val="ab"/>
    <w:qFormat/>
    <w:pPr>
      <w:ind w:left="420" w:hanging="210"/>
      <w:jc w:val="left"/>
    </w:pPr>
    <w:rPr>
      <w:rFonts w:ascii="Calibri" w:hAnsi="Calibri"/>
      <w:sz w:val="20"/>
      <w:szCs w:val="20"/>
    </w:rPr>
  </w:style>
  <w:style w:type="paragraph" w:styleId="aff">
    <w:name w:val="annotation subject"/>
    <w:basedOn w:val="af0"/>
    <w:next w:val="af0"/>
    <w:link w:val="aff0"/>
    <w:semiHidden/>
    <w:unhideWhenUsed/>
    <w:rPr>
      <w:b/>
      <w:bCs/>
    </w:rPr>
  </w:style>
  <w:style w:type="table" w:styleId="aff1">
    <w:name w:val="Table Grid"/>
    <w:basedOn w:val="ad"/>
    <w:uiPriority w:val="59"/>
    <w:qFormat/>
    <w:pPr>
      <w:numPr>
        <w:numId w:val="1"/>
      </w:numPr>
      <w:tabs>
        <w:tab w:val="left" w:pos="360"/>
        <w:tab w:val="left" w:pos="8875"/>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Pr>
      <w:b/>
      <w:bCs/>
    </w:rPr>
  </w:style>
  <w:style w:type="character" w:styleId="aff3">
    <w:name w:val="page number"/>
    <w:qFormat/>
    <w:rPr>
      <w:rFonts w:ascii="Times New Roman" w:eastAsia="宋体" w:hAnsi="Times New Roman"/>
      <w:sz w:val="18"/>
    </w:rPr>
  </w:style>
  <w:style w:type="character" w:styleId="aff4">
    <w:name w:val="Hyperlink"/>
    <w:uiPriority w:val="99"/>
    <w:qFormat/>
    <w:rPr>
      <w:color w:val="0000FF"/>
      <w:spacing w:val="0"/>
      <w:w w:val="100"/>
      <w:szCs w:val="21"/>
      <w:u w:val="single"/>
      <w:lang w:val="en-US" w:eastAsia="zh-CN"/>
    </w:rPr>
  </w:style>
  <w:style w:type="character" w:styleId="aff5">
    <w:name w:val="annotation reference"/>
    <w:basedOn w:val="ac"/>
    <w:unhideWhenUsed/>
    <w:qFormat/>
    <w:rPr>
      <w:sz w:val="21"/>
      <w:szCs w:val="21"/>
    </w:rPr>
  </w:style>
  <w:style w:type="character" w:customStyle="1" w:styleId="12">
    <w:name w:val="已访问的超链接1"/>
    <w:qFormat/>
    <w:rPr>
      <w:color w:val="800080"/>
      <w:u w:val="single"/>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Char0">
    <w:name w:val="首示例 Char"/>
    <w:link w:val="aff6"/>
    <w:qFormat/>
    <w:rPr>
      <w:rFonts w:ascii="宋体" w:hAnsi="宋体"/>
      <w:kern w:val="2"/>
      <w:sz w:val="18"/>
      <w:szCs w:val="18"/>
    </w:rPr>
  </w:style>
  <w:style w:type="paragraph" w:customStyle="1" w:styleId="aff6">
    <w:name w:val="首示例"/>
    <w:next w:val="afc"/>
    <w:link w:val="Char0"/>
    <w:qFormat/>
    <w:pPr>
      <w:tabs>
        <w:tab w:val="left" w:pos="360"/>
      </w:tabs>
    </w:pPr>
    <w:rPr>
      <w:rFonts w:ascii="宋体" w:hAnsi="宋体"/>
      <w:kern w:val="2"/>
      <w:sz w:val="18"/>
      <w:szCs w:val="18"/>
    </w:rPr>
  </w:style>
  <w:style w:type="character" w:customStyle="1" w:styleId="afa">
    <w:name w:val="页眉 字符"/>
    <w:link w:val="af9"/>
    <w:qFormat/>
    <w:rPr>
      <w:kern w:val="2"/>
      <w:sz w:val="18"/>
      <w:szCs w:val="18"/>
    </w:rPr>
  </w:style>
  <w:style w:type="character" w:customStyle="1" w:styleId="aff7">
    <w:name w:val="发布"/>
    <w:qFormat/>
    <w:rPr>
      <w:rFonts w:ascii="黑体" w:eastAsia="黑体"/>
      <w:spacing w:val="85"/>
      <w:w w:val="100"/>
      <w:position w:val="3"/>
      <w:sz w:val="28"/>
      <w:szCs w:val="28"/>
    </w:rPr>
  </w:style>
  <w:style w:type="character" w:customStyle="1" w:styleId="Char">
    <w:name w:val="段 Char"/>
    <w:link w:val="afc"/>
    <w:qFormat/>
    <w:rPr>
      <w:rFonts w:ascii="宋体"/>
      <w:sz w:val="21"/>
      <w:lang w:val="en-US" w:eastAsia="zh-CN" w:bidi="ar-SA"/>
    </w:rPr>
  </w:style>
  <w:style w:type="character" w:customStyle="1" w:styleId="Char1">
    <w:name w:val="附录公式 Char"/>
    <w:basedOn w:val="Char"/>
    <w:link w:val="aff8"/>
    <w:qFormat/>
    <w:rPr>
      <w:rFonts w:ascii="宋体"/>
      <w:sz w:val="21"/>
      <w:lang w:val="en-US" w:eastAsia="zh-CN" w:bidi="ar-SA"/>
    </w:rPr>
  </w:style>
  <w:style w:type="paragraph" w:customStyle="1" w:styleId="aff8">
    <w:name w:val="附录公式"/>
    <w:basedOn w:val="afc"/>
    <w:next w:val="afc"/>
    <w:link w:val="Char1"/>
    <w:qFormat/>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9">
    <w:name w:val="参考文献、索引标题"/>
    <w:basedOn w:val="ab"/>
    <w:next w:val="a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a">
    <w:name w:val="章标题"/>
    <w:next w:val="afc"/>
    <w:qFormat/>
    <w:pPr>
      <w:spacing w:beforeLines="100" w:afterLines="100"/>
      <w:jc w:val="both"/>
      <w:outlineLvl w:val="1"/>
    </w:pPr>
    <w:rPr>
      <w:rFonts w:ascii="黑体" w:eastAsia="黑体"/>
      <w:sz w:val="21"/>
    </w:rPr>
  </w:style>
  <w:style w:type="paragraph" w:customStyle="1" w:styleId="affb">
    <w:name w:val="标准书脚_偶数页"/>
    <w:qFormat/>
    <w:pPr>
      <w:spacing w:before="120"/>
      <w:ind w:left="221"/>
    </w:pPr>
    <w:rPr>
      <w:rFonts w:ascii="宋体"/>
      <w:sz w:val="18"/>
      <w:szCs w:val="18"/>
    </w:rPr>
  </w:style>
  <w:style w:type="paragraph" w:customStyle="1" w:styleId="a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d">
    <w:name w:val="附录公式编号制表符"/>
    <w:basedOn w:val="ab"/>
    <w:next w:val="afc"/>
    <w:qFormat/>
    <w:pPr>
      <w:widowControl/>
      <w:tabs>
        <w:tab w:val="center" w:pos="4201"/>
        <w:tab w:val="right" w:leader="dot" w:pos="9298"/>
      </w:tabs>
      <w:autoSpaceDE w:val="0"/>
      <w:autoSpaceDN w:val="0"/>
    </w:pPr>
    <w:rPr>
      <w:rFonts w:ascii="宋体"/>
      <w:kern w:val="0"/>
      <w:szCs w:val="20"/>
    </w:rPr>
  </w:style>
  <w:style w:type="paragraph" w:customStyle="1" w:styleId="affe">
    <w:name w:val="二级无"/>
    <w:basedOn w:val="afff"/>
    <w:qFormat/>
    <w:pPr>
      <w:spacing w:beforeLines="0" w:afterLines="0"/>
      <w:ind w:left="0"/>
    </w:pPr>
    <w:rPr>
      <w:rFonts w:ascii="宋体" w:eastAsia="宋体"/>
    </w:rPr>
  </w:style>
  <w:style w:type="paragraph" w:customStyle="1" w:styleId="afff">
    <w:name w:val="二级条标题"/>
    <w:basedOn w:val="a"/>
    <w:next w:val="afc"/>
    <w:qFormat/>
    <w:pPr>
      <w:numPr>
        <w:ilvl w:val="0"/>
        <w:numId w:val="0"/>
      </w:numPr>
      <w:spacing w:before="50" w:after="50"/>
      <w:ind w:left="426"/>
      <w:outlineLvl w:val="3"/>
    </w:pPr>
  </w:style>
  <w:style w:type="paragraph" w:customStyle="1" w:styleId="a">
    <w:name w:val="一级条标题"/>
    <w:next w:val="afc"/>
    <w:qFormat/>
    <w:pPr>
      <w:numPr>
        <w:ilvl w:val="1"/>
        <w:numId w:val="2"/>
      </w:numPr>
      <w:spacing w:beforeLines="50" w:afterLines="50"/>
      <w:outlineLvl w:val="2"/>
    </w:pPr>
    <w:rPr>
      <w:rFonts w:ascii="黑体" w:eastAsia="黑体"/>
      <w:sz w:val="21"/>
      <w:szCs w:val="21"/>
    </w:rPr>
  </w:style>
  <w:style w:type="paragraph" w:customStyle="1" w:styleId="afff0">
    <w:name w:val="编号列项（三级）"/>
    <w:qFormat/>
    <w:rPr>
      <w:rFonts w:ascii="宋体"/>
      <w:sz w:val="21"/>
    </w:rPr>
  </w:style>
  <w:style w:type="paragraph" w:customStyle="1" w:styleId="afff1">
    <w:name w:val="条文脚注"/>
    <w:basedOn w:val="afd"/>
    <w:qFormat/>
    <w:pPr>
      <w:ind w:left="0" w:firstLine="0"/>
      <w:jc w:val="both"/>
    </w:pPr>
  </w:style>
  <w:style w:type="paragraph" w:customStyle="1" w:styleId="afff2">
    <w:name w:val="附录标题"/>
    <w:basedOn w:val="afc"/>
    <w:next w:val="afc"/>
    <w:qFormat/>
    <w:pPr>
      <w:ind w:firstLineChars="0" w:firstLine="0"/>
      <w:jc w:val="center"/>
    </w:pPr>
    <w:rPr>
      <w:rFonts w:ascii="黑体" w:eastAsia="黑体"/>
    </w:rPr>
  </w:style>
  <w:style w:type="paragraph" w:customStyle="1" w:styleId="afff3">
    <w:name w:val="目次、标准名称标题"/>
    <w:basedOn w:val="ab"/>
    <w:next w:val="a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4">
    <w:name w:val="正文公式编号制表符"/>
    <w:basedOn w:val="afc"/>
    <w:next w:val="afc"/>
    <w:qFormat/>
    <w:pPr>
      <w:ind w:firstLineChars="0" w:firstLine="0"/>
    </w:pPr>
  </w:style>
  <w:style w:type="paragraph" w:customStyle="1" w:styleId="afff5">
    <w:name w:val="附录四级条标题"/>
    <w:basedOn w:val="afff6"/>
    <w:next w:val="afc"/>
    <w:qFormat/>
    <w:pPr>
      <w:outlineLvl w:val="5"/>
    </w:pPr>
  </w:style>
  <w:style w:type="paragraph" w:customStyle="1" w:styleId="afff6">
    <w:name w:val="附录三级条标题"/>
    <w:basedOn w:val="afff7"/>
    <w:next w:val="afc"/>
    <w:qFormat/>
    <w:pPr>
      <w:outlineLvl w:val="4"/>
    </w:pPr>
  </w:style>
  <w:style w:type="paragraph" w:customStyle="1" w:styleId="afff7">
    <w:name w:val="附录二级条标题"/>
    <w:basedOn w:val="ab"/>
    <w:next w:val="af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8">
    <w:name w:val="三级无"/>
    <w:basedOn w:val="afff9"/>
    <w:qFormat/>
    <w:pPr>
      <w:spacing w:beforeLines="0" w:afterLines="0"/>
    </w:pPr>
    <w:rPr>
      <w:rFonts w:ascii="宋体" w:eastAsia="宋体"/>
    </w:rPr>
  </w:style>
  <w:style w:type="paragraph" w:customStyle="1" w:styleId="afff9">
    <w:name w:val="三级条标题"/>
    <w:basedOn w:val="afff"/>
    <w:next w:val="afc"/>
    <w:qFormat/>
    <w:pPr>
      <w:ind w:left="0"/>
      <w:outlineLvl w:val="4"/>
    </w:pPr>
  </w:style>
  <w:style w:type="paragraph" w:customStyle="1" w:styleId="afffa">
    <w:name w:val="封面一致性程度标识"/>
    <w:basedOn w:val="afffb"/>
    <w:qFormat/>
    <w:pPr>
      <w:framePr w:wrap="around"/>
      <w:spacing w:before="440"/>
    </w:pPr>
    <w:rPr>
      <w:rFonts w:ascii="宋体" w:eastAsia="宋体"/>
    </w:rPr>
  </w:style>
  <w:style w:type="paragraph" w:customStyle="1" w:styleId="afffb">
    <w:name w:val="封面标准英文名称"/>
    <w:basedOn w:val="afffc"/>
    <w:qFormat/>
    <w:pPr>
      <w:framePr w:wrap="around"/>
      <w:spacing w:before="370" w:line="400" w:lineRule="exact"/>
    </w:pPr>
    <w:rPr>
      <w:rFonts w:ascii="Times New Roman"/>
      <w:sz w:val="28"/>
      <w:szCs w:val="28"/>
    </w:rPr>
  </w:style>
  <w:style w:type="paragraph" w:customStyle="1" w:styleId="a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示例×："/>
    <w:basedOn w:val="affa"/>
    <w:qFormat/>
    <w:pPr>
      <w:spacing w:beforeLines="0" w:afterLines="0"/>
      <w:ind w:firstLine="363"/>
      <w:outlineLvl w:val="9"/>
    </w:pPr>
    <w:rPr>
      <w:rFonts w:ascii="宋体" w:eastAsia="宋体"/>
      <w:sz w:val="18"/>
      <w:szCs w:val="18"/>
    </w:rPr>
  </w:style>
  <w:style w:type="paragraph" w:customStyle="1" w:styleId="22">
    <w:name w:val="封面一致性程度标识2"/>
    <w:basedOn w:val="afffa"/>
    <w:qFormat/>
    <w:pPr>
      <w:framePr w:wrap="around" w:y="4469"/>
    </w:pPr>
  </w:style>
  <w:style w:type="paragraph" w:customStyle="1" w:styleId="afffe">
    <w:name w:val="附录五级无"/>
    <w:basedOn w:val="affff"/>
    <w:qFormat/>
    <w:pPr>
      <w:spacing w:beforeLines="0" w:afterLines="0"/>
    </w:pPr>
    <w:rPr>
      <w:rFonts w:ascii="宋体" w:eastAsia="宋体"/>
      <w:szCs w:val="21"/>
    </w:rPr>
  </w:style>
  <w:style w:type="paragraph" w:customStyle="1" w:styleId="affff">
    <w:name w:val="附录五级条标题"/>
    <w:basedOn w:val="afff5"/>
    <w:next w:val="afc"/>
    <w:qFormat/>
    <w:pPr>
      <w:outlineLvl w:val="6"/>
    </w:pPr>
  </w:style>
  <w:style w:type="paragraph" w:customStyle="1" w:styleId="affff0">
    <w:name w:val="四级条标题"/>
    <w:basedOn w:val="afff9"/>
    <w:next w:val="afc"/>
    <w:qFormat/>
    <w:pPr>
      <w:outlineLvl w:val="5"/>
    </w:pPr>
  </w:style>
  <w:style w:type="paragraph" w:customStyle="1" w:styleId="affff1">
    <w:name w:val="注："/>
    <w:next w:val="afc"/>
    <w:qFormat/>
    <w:pPr>
      <w:widowControl w:val="0"/>
      <w:autoSpaceDE w:val="0"/>
      <w:autoSpaceDN w:val="0"/>
      <w:ind w:left="726" w:hanging="363"/>
      <w:jc w:val="both"/>
    </w:pPr>
    <w:rPr>
      <w:rFonts w:ascii="宋体"/>
      <w:sz w:val="18"/>
      <w:szCs w:val="18"/>
    </w:rPr>
  </w:style>
  <w:style w:type="paragraph" w:customStyle="1" w:styleId="affff2">
    <w:name w:val="附录四级无"/>
    <w:basedOn w:val="afff5"/>
    <w:qFormat/>
    <w:pPr>
      <w:tabs>
        <w:tab w:val="clear" w:pos="360"/>
      </w:tabs>
      <w:spacing w:beforeLines="0" w:afterLines="0"/>
    </w:pPr>
    <w:rPr>
      <w:rFonts w:ascii="宋体" w:eastAsia="宋体"/>
      <w:szCs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其他发布部门"/>
    <w:basedOn w:val="affff5"/>
    <w:qFormat/>
    <w:pPr>
      <w:framePr w:wrap="around" w:y="15310"/>
      <w:spacing w:line="0" w:lineRule="atLeast"/>
    </w:pPr>
    <w:rPr>
      <w:rFonts w:ascii="黑体" w:eastAsia="黑体"/>
      <w:b w:val="0"/>
    </w:rPr>
  </w:style>
  <w:style w:type="paragraph" w:customStyle="1" w:styleId="affff5">
    <w:name w:val="发布部门"/>
    <w:next w:val="a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列项◆（三级）"/>
    <w:basedOn w:val="ab"/>
    <w:qFormat/>
    <w:pPr>
      <w:tabs>
        <w:tab w:val="left" w:pos="1678"/>
      </w:tabs>
      <w:ind w:left="1678" w:hanging="414"/>
    </w:pPr>
    <w:rPr>
      <w:rFonts w:ascii="宋体"/>
      <w:szCs w:val="21"/>
    </w:rPr>
  </w:style>
  <w:style w:type="paragraph" w:customStyle="1" w:styleId="affff7">
    <w:name w:val="其他标准称谓"/>
    <w:next w:val="a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9">
    <w:name w:val="正文图标题"/>
    <w:next w:val="afc"/>
    <w:qFormat/>
    <w:pPr>
      <w:tabs>
        <w:tab w:val="left" w:pos="360"/>
      </w:tabs>
      <w:spacing w:beforeLines="50" w:afterLines="50"/>
      <w:jc w:val="center"/>
    </w:pPr>
    <w:rPr>
      <w:rFonts w:ascii="黑体" w:eastAsia="黑体"/>
      <w:sz w:val="21"/>
    </w:rPr>
  </w:style>
  <w:style w:type="paragraph" w:customStyle="1" w:styleId="affffa">
    <w:name w:val="标准书眉_奇数页"/>
    <w:next w:val="ab"/>
    <w:qFormat/>
    <w:pPr>
      <w:tabs>
        <w:tab w:val="center" w:pos="4154"/>
        <w:tab w:val="right" w:pos="8306"/>
      </w:tabs>
      <w:spacing w:after="220"/>
      <w:jc w:val="right"/>
    </w:pPr>
    <w:rPr>
      <w:rFonts w:ascii="黑体" w:eastAsia="黑体"/>
      <w:sz w:val="21"/>
      <w:szCs w:val="21"/>
    </w:rPr>
  </w:style>
  <w:style w:type="paragraph" w:customStyle="1" w:styleId="affffb">
    <w:name w:val="附录章标题"/>
    <w:next w:val="afc"/>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c">
    <w:name w:val="标准称谓"/>
    <w:next w:val="a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d">
    <w:name w:val="注：（正文）"/>
    <w:basedOn w:val="affff1"/>
    <w:next w:val="afc"/>
    <w:qFormat/>
  </w:style>
  <w:style w:type="paragraph" w:customStyle="1" w:styleId="affffe">
    <w:name w:val="附录图标号"/>
    <w:basedOn w:val="ab"/>
    <w:qFormat/>
    <w:pPr>
      <w:keepNext/>
      <w:pageBreakBefore/>
      <w:widowControl/>
      <w:spacing w:line="14" w:lineRule="exact"/>
      <w:ind w:firstLine="363"/>
      <w:jc w:val="center"/>
      <w:outlineLvl w:val="0"/>
    </w:pPr>
    <w:rPr>
      <w:color w:val="FFFFFF"/>
    </w:rPr>
  </w:style>
  <w:style w:type="paragraph" w:customStyle="1" w:styleId="afffff">
    <w:name w:val="示例内容"/>
    <w:qFormat/>
    <w:pPr>
      <w:ind w:firstLineChars="200" w:firstLine="200"/>
    </w:pPr>
    <w:rPr>
      <w:rFonts w:ascii="宋体"/>
      <w:sz w:val="18"/>
      <w:szCs w:val="18"/>
    </w:rPr>
  </w:style>
  <w:style w:type="paragraph" w:customStyle="1" w:styleId="afffff0">
    <w:name w:val="目次、索引正文"/>
    <w:qFormat/>
    <w:pPr>
      <w:spacing w:line="320" w:lineRule="exact"/>
      <w:jc w:val="both"/>
    </w:pPr>
    <w:rPr>
      <w:rFonts w:ascii="宋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1">
    <w:name w:val="发布日期"/>
    <w:qFormat/>
    <w:pPr>
      <w:framePr w:w="3997" w:h="471" w:hRule="exact" w:vSpace="181" w:wrap="around" w:hAnchor="page" w:x="7089" w:y="14097" w:anchorLock="1"/>
    </w:pPr>
    <w:rPr>
      <w:rFonts w:eastAsia="黑体"/>
      <w:sz w:val="28"/>
    </w:rPr>
  </w:style>
  <w:style w:type="paragraph" w:styleId="afffff2">
    <w:name w:val="List Paragraph"/>
    <w:basedOn w:val="ab"/>
    <w:qFormat/>
    <w:pPr>
      <w:ind w:firstLineChars="200" w:firstLine="420"/>
    </w:pPr>
    <w:rPr>
      <w:rFonts w:ascii="Calibri" w:hAnsi="Calibri"/>
      <w:szCs w:val="22"/>
    </w:rPr>
  </w:style>
  <w:style w:type="paragraph" w:customStyle="1" w:styleId="afffff3">
    <w:name w:val="附录一级无"/>
    <w:basedOn w:val="afffff4"/>
    <w:qFormat/>
    <w:pPr>
      <w:spacing w:beforeLines="0" w:afterLines="0"/>
    </w:pPr>
    <w:rPr>
      <w:rFonts w:ascii="宋体" w:eastAsia="宋体"/>
      <w:szCs w:val="21"/>
    </w:rPr>
  </w:style>
  <w:style w:type="paragraph" w:customStyle="1" w:styleId="afffff4">
    <w:name w:val="附录一级条标题"/>
    <w:basedOn w:val="affffb"/>
    <w:next w:val="afc"/>
    <w:qFormat/>
    <w:pPr>
      <w:autoSpaceDN w:val="0"/>
      <w:spacing w:beforeLines="50" w:afterLines="50"/>
      <w:outlineLvl w:val="2"/>
    </w:pPr>
  </w:style>
  <w:style w:type="paragraph" w:customStyle="1" w:styleId="afffff5">
    <w:name w:val="注×："/>
    <w:qFormat/>
    <w:pPr>
      <w:widowControl w:val="0"/>
      <w:autoSpaceDE w:val="0"/>
      <w:autoSpaceDN w:val="0"/>
      <w:ind w:left="811" w:hanging="448"/>
      <w:jc w:val="both"/>
    </w:pPr>
    <w:rPr>
      <w:rFonts w:ascii="宋体"/>
      <w:sz w:val="18"/>
      <w:szCs w:val="18"/>
    </w:rPr>
  </w:style>
  <w:style w:type="paragraph" w:customStyle="1" w:styleId="afffff6">
    <w:name w:val="标准书眉一"/>
    <w:qFormat/>
    <w:pPr>
      <w:jc w:val="both"/>
    </w:pPr>
  </w:style>
  <w:style w:type="paragraph" w:customStyle="1" w:styleId="24">
    <w:name w:val="封面标准英文名称2"/>
    <w:basedOn w:val="afffb"/>
    <w:qFormat/>
    <w:pPr>
      <w:framePr w:wrap="around" w:y="4469"/>
    </w:pPr>
  </w:style>
  <w:style w:type="paragraph" w:customStyle="1" w:styleId="afffff7">
    <w:name w:val="标准书眉_偶数页"/>
    <w:basedOn w:val="affffa"/>
    <w:next w:val="ab"/>
    <w:qFormat/>
    <w:pPr>
      <w:jc w:val="left"/>
    </w:pPr>
  </w:style>
  <w:style w:type="paragraph" w:customStyle="1" w:styleId="afffff8">
    <w:name w:val="图表脚注说明"/>
    <w:basedOn w:val="ab"/>
    <w:qFormat/>
    <w:pPr>
      <w:ind w:left="544" w:hanging="181"/>
    </w:pPr>
    <w:rPr>
      <w:rFonts w:ascii="宋体"/>
      <w:sz w:val="18"/>
      <w:szCs w:val="18"/>
    </w:rPr>
  </w:style>
  <w:style w:type="paragraph" w:customStyle="1" w:styleId="afffff9">
    <w:name w:val="标准标志"/>
    <w:next w:val="a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终结线"/>
    <w:basedOn w:val="ab"/>
    <w:qFormat/>
    <w:pPr>
      <w:framePr w:hSpace="181" w:vSpace="181" w:wrap="around" w:vAnchor="text" w:hAnchor="margin" w:xAlign="center" w:y="285"/>
    </w:pPr>
  </w:style>
  <w:style w:type="paragraph" w:customStyle="1" w:styleId="afffffb">
    <w:name w:val="注×：（正文）"/>
    <w:qFormat/>
    <w:pPr>
      <w:ind w:left="811" w:hanging="448"/>
      <w:jc w:val="both"/>
    </w:pPr>
    <w:rPr>
      <w:rFonts w:ascii="宋体"/>
      <w:sz w:val="18"/>
      <w:szCs w:val="18"/>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附录数字编号列项（二级）"/>
    <w:qFormat/>
    <w:pPr>
      <w:tabs>
        <w:tab w:val="left" w:pos="840"/>
      </w:tabs>
      <w:ind w:left="839" w:hanging="419"/>
    </w:pPr>
    <w:rPr>
      <w:rFonts w:ascii="宋体"/>
      <w:sz w:val="21"/>
    </w:rPr>
  </w:style>
  <w:style w:type="paragraph" w:customStyle="1" w:styleId="afffffe">
    <w:name w:val="数字编号列项（二级）"/>
    <w:qFormat/>
    <w:pPr>
      <w:tabs>
        <w:tab w:val="left" w:pos="1259"/>
      </w:tabs>
      <w:ind w:left="1259" w:hanging="420"/>
      <w:jc w:val="both"/>
    </w:pPr>
    <w:rPr>
      <w:rFonts w:ascii="宋体"/>
      <w:sz w:val="21"/>
    </w:rPr>
  </w:style>
  <w:style w:type="paragraph" w:customStyle="1" w:styleId="affffff">
    <w:name w:val="列项——（一级）"/>
    <w:qFormat/>
    <w:pPr>
      <w:widowControl w:val="0"/>
      <w:ind w:left="833" w:hanging="408"/>
      <w:jc w:val="both"/>
    </w:pPr>
    <w:rPr>
      <w:rFonts w:ascii="宋体"/>
      <w:sz w:val="21"/>
    </w:rPr>
  </w:style>
  <w:style w:type="paragraph" w:customStyle="1" w:styleId="affffff0">
    <w:name w:val="列项●（二级）"/>
    <w:qFormat/>
    <w:pPr>
      <w:tabs>
        <w:tab w:val="left" w:pos="760"/>
        <w:tab w:val="left" w:pos="840"/>
      </w:tabs>
      <w:ind w:left="1264" w:hanging="413"/>
      <w:jc w:val="both"/>
    </w:pPr>
    <w:rPr>
      <w:rFonts w:ascii="宋体"/>
      <w:sz w:val="21"/>
    </w:rPr>
  </w:style>
  <w:style w:type="paragraph" w:customStyle="1" w:styleId="affffff1">
    <w:name w:val="封面标准文稿类别"/>
    <w:basedOn w:val="afffa"/>
    <w:qFormat/>
    <w:pPr>
      <w:framePr w:wrap="around"/>
      <w:spacing w:after="160" w:line="240" w:lineRule="auto"/>
    </w:pPr>
    <w:rPr>
      <w:sz w:val="24"/>
    </w:rPr>
  </w:style>
  <w:style w:type="paragraph" w:customStyle="1" w:styleId="affffff2">
    <w:name w:val="其他实施日期"/>
    <w:basedOn w:val="affffff3"/>
    <w:qFormat/>
    <w:pPr>
      <w:framePr w:wrap="around"/>
    </w:pPr>
  </w:style>
  <w:style w:type="paragraph" w:customStyle="1" w:styleId="affffff3">
    <w:name w:val="实施日期"/>
    <w:basedOn w:val="afffff1"/>
    <w:qFormat/>
    <w:pPr>
      <w:framePr w:wrap="around" w:vAnchor="page" w:hAnchor="text"/>
      <w:jc w:val="right"/>
    </w:pPr>
  </w:style>
  <w:style w:type="paragraph" w:customStyle="1" w:styleId="affffff4">
    <w:name w:val="五级条标题"/>
    <w:basedOn w:val="affff0"/>
    <w:next w:val="afc"/>
    <w:qFormat/>
    <w:pPr>
      <w:numPr>
        <w:ilvl w:val="5"/>
      </w:numPr>
      <w:outlineLvl w:val="6"/>
    </w:pPr>
  </w:style>
  <w:style w:type="paragraph" w:customStyle="1" w:styleId="affffff5">
    <w:name w:val="列项说明"/>
    <w:basedOn w:val="a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6">
    <w:name w:val="参考文献"/>
    <w:basedOn w:val="ab"/>
    <w:next w:val="a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字母编号列项（一级）"/>
    <w:qFormat/>
    <w:pPr>
      <w:tabs>
        <w:tab w:val="left" w:pos="839"/>
      </w:tabs>
      <w:ind w:left="839" w:hanging="419"/>
      <w:jc w:val="both"/>
    </w:pPr>
    <w:rPr>
      <w:rFonts w:ascii="宋体"/>
      <w:sz w:val="21"/>
    </w:rPr>
  </w:style>
  <w:style w:type="paragraph" w:customStyle="1" w:styleId="affffff8">
    <w:name w:val="示例"/>
    <w:next w:val="afffff"/>
    <w:qFormat/>
    <w:pPr>
      <w:widowControl w:val="0"/>
      <w:ind w:firstLine="363"/>
      <w:jc w:val="both"/>
    </w:pPr>
    <w:rPr>
      <w:rFonts w:ascii="宋体"/>
      <w:sz w:val="18"/>
      <w:szCs w:val="18"/>
    </w:rPr>
  </w:style>
  <w:style w:type="paragraph" w:customStyle="1" w:styleId="affffff9">
    <w:name w:val="封面标准文稿编辑信息"/>
    <w:basedOn w:val="affffff1"/>
    <w:qFormat/>
    <w:pPr>
      <w:framePr w:wrap="around"/>
      <w:spacing w:before="180" w:line="180" w:lineRule="exact"/>
    </w:pPr>
    <w:rPr>
      <w:sz w:val="21"/>
    </w:rPr>
  </w:style>
  <w:style w:type="paragraph" w:customStyle="1" w:styleId="affffffa">
    <w:name w:val="封面正文"/>
    <w:qFormat/>
    <w:pPr>
      <w:jc w:val="both"/>
    </w:pPr>
  </w:style>
  <w:style w:type="paragraph" w:customStyle="1" w:styleId="affffffb">
    <w:name w:val="前言、引言标题"/>
    <w:next w:val="afc"/>
    <w:qFormat/>
    <w:pPr>
      <w:keepNext/>
      <w:pageBreakBefore/>
      <w:shd w:val="clear" w:color="FFFFFF" w:fill="FFFFFF"/>
      <w:spacing w:before="640" w:after="560"/>
      <w:jc w:val="center"/>
      <w:outlineLvl w:val="0"/>
    </w:pPr>
    <w:rPr>
      <w:rFonts w:ascii="黑体" w:eastAsia="黑体"/>
      <w:sz w:val="32"/>
    </w:rPr>
  </w:style>
  <w:style w:type="paragraph" w:customStyle="1" w:styleId="affffffc">
    <w:name w:val="附录标识"/>
    <w:basedOn w:val="ab"/>
    <w:next w:val="af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d">
    <w:name w:val="图标脚注说明"/>
    <w:basedOn w:val="afc"/>
    <w:qFormat/>
    <w:pPr>
      <w:ind w:left="840" w:firstLineChars="0" w:hanging="420"/>
    </w:pPr>
    <w:rPr>
      <w:sz w:val="18"/>
      <w:szCs w:val="18"/>
    </w:rPr>
  </w:style>
  <w:style w:type="paragraph" w:customStyle="1" w:styleId="affffffe">
    <w:name w:val="附录表标号"/>
    <w:basedOn w:val="ab"/>
    <w:next w:val="afc"/>
    <w:qFormat/>
    <w:pPr>
      <w:spacing w:line="14" w:lineRule="exact"/>
      <w:ind w:left="811" w:hanging="448"/>
      <w:jc w:val="center"/>
      <w:outlineLvl w:val="0"/>
    </w:pPr>
    <w:rPr>
      <w:color w:val="FFFFFF"/>
    </w:rPr>
  </w:style>
  <w:style w:type="paragraph" w:customStyle="1" w:styleId="afffffff">
    <w:name w:val="图的脚注"/>
    <w:next w:val="afc"/>
    <w:qFormat/>
    <w:pPr>
      <w:widowControl w:val="0"/>
      <w:ind w:leftChars="200" w:left="840" w:hangingChars="200" w:hanging="420"/>
      <w:jc w:val="both"/>
    </w:pPr>
    <w:rPr>
      <w:rFonts w:ascii="宋体"/>
      <w:sz w:val="18"/>
    </w:rPr>
  </w:style>
  <w:style w:type="paragraph" w:customStyle="1" w:styleId="afffffff0">
    <w:name w:val="附录表标题"/>
    <w:basedOn w:val="ab"/>
    <w:next w:val="afc"/>
    <w:qFormat/>
    <w:pPr>
      <w:tabs>
        <w:tab w:val="left" w:pos="180"/>
      </w:tabs>
      <w:spacing w:beforeLines="50" w:afterLines="50"/>
      <w:jc w:val="center"/>
    </w:pPr>
    <w:rPr>
      <w:rFonts w:ascii="黑体" w:eastAsia="黑体"/>
      <w:szCs w:val="21"/>
    </w:rPr>
  </w:style>
  <w:style w:type="paragraph" w:customStyle="1" w:styleId="afffffff1">
    <w:name w:val="附录二级无"/>
    <w:basedOn w:val="afff7"/>
    <w:qFormat/>
    <w:pPr>
      <w:tabs>
        <w:tab w:val="clear" w:pos="360"/>
      </w:tabs>
      <w:spacing w:beforeLines="0" w:afterLines="0"/>
    </w:pPr>
    <w:rPr>
      <w:rFonts w:ascii="宋体" w:eastAsia="宋体"/>
      <w:szCs w:val="21"/>
    </w:rPr>
  </w:style>
  <w:style w:type="paragraph" w:customStyle="1" w:styleId="afffffff2">
    <w:name w:val="五级无"/>
    <w:basedOn w:val="affffff4"/>
    <w:qFormat/>
    <w:pPr>
      <w:spacing w:beforeLines="0" w:afterLines="0"/>
    </w:pPr>
    <w:rPr>
      <w:rFonts w:ascii="宋体" w:eastAsia="宋体"/>
    </w:rPr>
  </w:style>
  <w:style w:type="paragraph" w:customStyle="1" w:styleId="afffffff3">
    <w:name w:val="附录三级无"/>
    <w:basedOn w:val="afff6"/>
    <w:qFormat/>
    <w:pPr>
      <w:tabs>
        <w:tab w:val="clear" w:pos="360"/>
      </w:tabs>
      <w:spacing w:beforeLines="0" w:afterLines="0"/>
    </w:pPr>
    <w:rPr>
      <w:rFonts w:ascii="宋体" w:eastAsia="宋体"/>
      <w:szCs w:val="21"/>
    </w:rPr>
  </w:style>
  <w:style w:type="paragraph" w:customStyle="1" w:styleId="afffffff4">
    <w:name w:val="附录图标题"/>
    <w:basedOn w:val="ab"/>
    <w:next w:val="afc"/>
    <w:qFormat/>
    <w:pPr>
      <w:tabs>
        <w:tab w:val="left" w:pos="363"/>
      </w:tabs>
      <w:spacing w:beforeLines="50" w:afterLines="50"/>
      <w:jc w:val="center"/>
    </w:pPr>
    <w:rPr>
      <w:rFonts w:ascii="黑体" w:eastAsia="黑体"/>
      <w:szCs w:val="21"/>
    </w:rPr>
  </w:style>
  <w:style w:type="paragraph" w:customStyle="1" w:styleId="14">
    <w:name w:val="列出段落1"/>
    <w:basedOn w:val="ab"/>
    <w:qFormat/>
    <w:pPr>
      <w:ind w:firstLineChars="200" w:firstLine="420"/>
    </w:pPr>
    <w:rPr>
      <w:rFonts w:ascii="Calibri" w:hAnsi="Calibri"/>
      <w:szCs w:val="22"/>
    </w:rPr>
  </w:style>
  <w:style w:type="paragraph" w:customStyle="1" w:styleId="afffffff5">
    <w:name w:val="附录字母编号列项（一级）"/>
    <w:qFormat/>
    <w:pPr>
      <w:tabs>
        <w:tab w:val="left" w:pos="839"/>
      </w:tabs>
      <w:ind w:left="839" w:hanging="419"/>
    </w:pPr>
    <w:rPr>
      <w:rFonts w:ascii="宋体"/>
      <w:sz w:val="21"/>
    </w:rPr>
  </w:style>
  <w:style w:type="paragraph" w:customStyle="1" w:styleId="afffffff6">
    <w:name w:val="其他标准标志"/>
    <w:basedOn w:val="afffff9"/>
    <w:qFormat/>
    <w:pPr>
      <w:framePr w:w="6101" w:wrap="around" w:vAnchor="page" w:hAnchor="page" w:x="4673" w:y="942"/>
    </w:pPr>
    <w:rPr>
      <w:w w:val="130"/>
    </w:rPr>
  </w:style>
  <w:style w:type="paragraph" w:customStyle="1" w:styleId="afffffff7">
    <w:name w:val="示例后文字"/>
    <w:basedOn w:val="afc"/>
    <w:next w:val="afc"/>
    <w:qFormat/>
    <w:pPr>
      <w:ind w:firstLine="360"/>
    </w:pPr>
    <w:rPr>
      <w:sz w:val="18"/>
    </w:rPr>
  </w:style>
  <w:style w:type="paragraph" w:customStyle="1" w:styleId="afffffff8">
    <w:name w:val="四级无"/>
    <w:basedOn w:val="affff0"/>
    <w:qFormat/>
    <w:pPr>
      <w:spacing w:beforeLines="0" w:afterLines="0"/>
    </w:pPr>
    <w:rPr>
      <w:rFonts w:ascii="宋体" w:eastAsia="宋体"/>
    </w:rPr>
  </w:style>
  <w:style w:type="paragraph" w:customStyle="1" w:styleId="afffffff9">
    <w:name w:val="一级无"/>
    <w:basedOn w:val="a"/>
    <w:qFormat/>
    <w:pPr>
      <w:spacing w:beforeLines="0" w:afterLines="0"/>
    </w:pPr>
    <w:rPr>
      <w:rFonts w:ascii="宋体" w:eastAsia="宋体"/>
    </w:rPr>
  </w:style>
  <w:style w:type="paragraph" w:customStyle="1" w:styleId="afffffffa">
    <w:name w:val="正文表标题"/>
    <w:next w:val="afc"/>
    <w:qFormat/>
    <w:pPr>
      <w:tabs>
        <w:tab w:val="left" w:pos="360"/>
      </w:tabs>
      <w:spacing w:beforeLines="50" w:afterLines="50"/>
      <w:jc w:val="center"/>
    </w:pPr>
    <w:rPr>
      <w:rFonts w:ascii="黑体" w:eastAsia="黑体"/>
      <w:sz w:val="21"/>
    </w:rPr>
  </w:style>
  <w:style w:type="paragraph" w:customStyle="1" w:styleId="afffffffb">
    <w:name w:val="其他发布日期"/>
    <w:basedOn w:val="afffff1"/>
    <w:qFormat/>
    <w:pPr>
      <w:framePr w:wrap="around" w:vAnchor="page" w:hAnchor="text" w:x="1419"/>
    </w:pPr>
  </w:style>
  <w:style w:type="paragraph" w:customStyle="1" w:styleId="25">
    <w:name w:val="封面标准名称2"/>
    <w:basedOn w:val="afffc"/>
    <w:qFormat/>
    <w:pPr>
      <w:framePr w:wrap="around" w:y="4469"/>
      <w:spacing w:beforeLines="630"/>
    </w:pPr>
  </w:style>
  <w:style w:type="paragraph" w:customStyle="1" w:styleId="26">
    <w:name w:val="封面标准文稿类别2"/>
    <w:basedOn w:val="affffff1"/>
    <w:qFormat/>
    <w:pPr>
      <w:framePr w:wrap="around" w:y="4469"/>
    </w:pPr>
  </w:style>
  <w:style w:type="paragraph" w:customStyle="1" w:styleId="27">
    <w:name w:val="封面标准文稿编辑信息2"/>
    <w:basedOn w:val="affffff9"/>
    <w:qFormat/>
    <w:pPr>
      <w:framePr w:wrap="around" w:y="4469"/>
    </w:pPr>
  </w:style>
  <w:style w:type="character" w:customStyle="1" w:styleId="20">
    <w:name w:val="标题 2 字符"/>
    <w:link w:val="2"/>
    <w:qFormat/>
    <w:rsid w:val="00830F2F"/>
    <w:rPr>
      <w:b/>
      <w:bCs/>
      <w:kern w:val="2"/>
      <w:sz w:val="24"/>
      <w:szCs w:val="32"/>
    </w:rPr>
  </w:style>
  <w:style w:type="character" w:customStyle="1" w:styleId="30">
    <w:name w:val="标题 3 字符"/>
    <w:link w:val="3"/>
    <w:qFormat/>
    <w:rsid w:val="00830F2F"/>
    <w:rPr>
      <w:b/>
      <w:bCs/>
      <w:kern w:val="2"/>
      <w:sz w:val="24"/>
      <w:szCs w:val="32"/>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10">
    <w:name w:val="标题 1 字符"/>
    <w:basedOn w:val="ac"/>
    <w:link w:val="1"/>
    <w:qFormat/>
    <w:rsid w:val="00830F2F"/>
    <w:rPr>
      <w:rFonts w:asciiTheme="majorEastAsia" w:hAnsiTheme="majorEastAsia"/>
      <w:b/>
      <w:bCs/>
      <w:kern w:val="44"/>
      <w:sz w:val="28"/>
      <w:szCs w:val="44"/>
    </w:rPr>
  </w:style>
  <w:style w:type="paragraph" w:customStyle="1" w:styleId="TOC10">
    <w:name w:val="TOC 标题1"/>
    <w:basedOn w:val="1"/>
    <w:next w:val="ab"/>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f6">
    <w:name w:val="批注框文本 字符"/>
    <w:basedOn w:val="ac"/>
    <w:link w:val="af5"/>
    <w:qFormat/>
    <w:rPr>
      <w:kern w:val="2"/>
      <w:sz w:val="18"/>
      <w:szCs w:val="18"/>
    </w:rPr>
  </w:style>
  <w:style w:type="table" w:customStyle="1" w:styleId="15">
    <w:name w:val="网格型1"/>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c"/>
    <w:link w:val="5"/>
    <w:qFormat/>
    <w:rPr>
      <w:b/>
      <w:bCs/>
      <w:kern w:val="2"/>
      <w:sz w:val="28"/>
      <w:szCs w:val="28"/>
    </w:rPr>
  </w:style>
  <w:style w:type="paragraph" w:customStyle="1" w:styleId="afffffffc">
    <w:name w:val="标准文件_段"/>
    <w:link w:val="Char2"/>
    <w:qFormat/>
    <w:pPr>
      <w:autoSpaceDE w:val="0"/>
      <w:autoSpaceDN w:val="0"/>
      <w:ind w:firstLineChars="200" w:firstLine="200"/>
      <w:jc w:val="both"/>
    </w:pPr>
    <w:rPr>
      <w:rFonts w:ascii="宋体"/>
      <w:sz w:val="21"/>
    </w:rPr>
  </w:style>
  <w:style w:type="paragraph" w:customStyle="1" w:styleId="a7">
    <w:name w:val="标准文件_二级条标题"/>
    <w:next w:val="afffffffc"/>
    <w:qFormat/>
    <w:pPr>
      <w:widowControl w:val="0"/>
      <w:numPr>
        <w:ilvl w:val="3"/>
        <w:numId w:val="3"/>
      </w:numPr>
      <w:spacing w:beforeLines="50" w:before="50" w:afterLines="50" w:after="50"/>
      <w:jc w:val="both"/>
      <w:outlineLvl w:val="2"/>
    </w:pPr>
    <w:rPr>
      <w:rFonts w:ascii="黑体" w:eastAsia="黑体"/>
      <w:sz w:val="21"/>
    </w:rPr>
  </w:style>
  <w:style w:type="paragraph" w:customStyle="1" w:styleId="a8">
    <w:name w:val="标准文件_三级条标题"/>
    <w:basedOn w:val="a7"/>
    <w:next w:val="afffffffc"/>
    <w:qFormat/>
    <w:pPr>
      <w:widowControl/>
      <w:numPr>
        <w:ilvl w:val="4"/>
      </w:numPr>
      <w:ind w:left="0"/>
      <w:outlineLvl w:val="3"/>
    </w:pPr>
  </w:style>
  <w:style w:type="paragraph" w:customStyle="1" w:styleId="a9">
    <w:name w:val="标准文件_四级条标题"/>
    <w:next w:val="afffffffc"/>
    <w:qFormat/>
    <w:pPr>
      <w:widowControl w:val="0"/>
      <w:numPr>
        <w:ilvl w:val="5"/>
        <w:numId w:val="3"/>
      </w:numPr>
      <w:spacing w:beforeLines="50" w:before="50" w:afterLines="50" w:after="50"/>
      <w:jc w:val="both"/>
      <w:outlineLvl w:val="4"/>
    </w:pPr>
    <w:rPr>
      <w:rFonts w:ascii="黑体" w:eastAsia="黑体"/>
      <w:sz w:val="21"/>
    </w:rPr>
  </w:style>
  <w:style w:type="paragraph" w:customStyle="1" w:styleId="aa">
    <w:name w:val="标准文件_五级条标题"/>
    <w:next w:val="afffffffc"/>
    <w:qFormat/>
    <w:pPr>
      <w:widowControl w:val="0"/>
      <w:numPr>
        <w:ilvl w:val="6"/>
        <w:numId w:val="3"/>
      </w:numPr>
      <w:spacing w:beforeLines="50" w:before="50" w:afterLines="50" w:after="50"/>
      <w:jc w:val="both"/>
      <w:outlineLvl w:val="5"/>
    </w:pPr>
    <w:rPr>
      <w:rFonts w:ascii="黑体" w:eastAsia="黑体"/>
      <w:sz w:val="21"/>
    </w:rPr>
  </w:style>
  <w:style w:type="paragraph" w:customStyle="1" w:styleId="a5">
    <w:name w:val="标准文件_章标题"/>
    <w:next w:val="afffffffc"/>
    <w:qFormat/>
    <w:pPr>
      <w:numPr>
        <w:ilvl w:val="1"/>
        <w:numId w:val="3"/>
      </w:numPr>
      <w:spacing w:beforeLines="100" w:before="100" w:afterLines="100" w:after="100"/>
      <w:jc w:val="both"/>
      <w:outlineLvl w:val="0"/>
    </w:pPr>
    <w:rPr>
      <w:rFonts w:ascii="黑体" w:eastAsia="黑体"/>
      <w:sz w:val="21"/>
    </w:rPr>
  </w:style>
  <w:style w:type="paragraph" w:customStyle="1" w:styleId="a6">
    <w:name w:val="标准文件_一级条标题"/>
    <w:basedOn w:val="a5"/>
    <w:next w:val="afffffffc"/>
    <w:qFormat/>
    <w:pPr>
      <w:numPr>
        <w:ilvl w:val="2"/>
      </w:numPr>
      <w:spacing w:beforeLines="50" w:before="50" w:afterLines="50" w:after="50"/>
      <w:outlineLvl w:val="1"/>
    </w:pPr>
  </w:style>
  <w:style w:type="paragraph" w:customStyle="1" w:styleId="a4">
    <w:name w:val="前言标题"/>
    <w:next w:val="ab"/>
    <w:qFormat/>
    <w:pPr>
      <w:numPr>
        <w:numId w:val="3"/>
      </w:numPr>
      <w:shd w:val="clear" w:color="FFFFFF" w:fill="FFFFFF"/>
      <w:spacing w:before="540" w:after="600"/>
      <w:jc w:val="center"/>
      <w:outlineLvl w:val="0"/>
    </w:pPr>
    <w:rPr>
      <w:rFonts w:ascii="黑体" w:eastAsia="黑体"/>
      <w:sz w:val="32"/>
    </w:rPr>
  </w:style>
  <w:style w:type="character" w:customStyle="1" w:styleId="Char2">
    <w:name w:val="标准文件_段 Char"/>
    <w:link w:val="afffffffc"/>
    <w:qFormat/>
    <w:rPr>
      <w:rFonts w:ascii="宋体"/>
      <w:sz w:val="21"/>
    </w:rPr>
  </w:style>
  <w:style w:type="paragraph" w:customStyle="1" w:styleId="a3">
    <w:name w:val="标准文件_正文图标题"/>
    <w:next w:val="afffffffc"/>
    <w:qFormat/>
    <w:pPr>
      <w:numPr>
        <w:numId w:val="4"/>
      </w:numPr>
      <w:spacing w:beforeLines="50" w:before="50" w:afterLines="50" w:after="50"/>
      <w:jc w:val="center"/>
    </w:pPr>
    <w:rPr>
      <w:rFonts w:ascii="黑体" w:eastAsia="黑体"/>
      <w:sz w:val="21"/>
    </w:rPr>
  </w:style>
  <w:style w:type="paragraph" w:customStyle="1" w:styleId="16">
    <w:name w:val="修订1"/>
    <w:hidden/>
    <w:uiPriority w:val="99"/>
    <w:unhideWhenUsed/>
    <w:qFormat/>
    <w:rPr>
      <w:kern w:val="2"/>
      <w:sz w:val="21"/>
      <w:szCs w:val="24"/>
    </w:rPr>
  </w:style>
  <w:style w:type="character" w:customStyle="1" w:styleId="af1">
    <w:name w:val="批注文字 字符"/>
    <w:basedOn w:val="ac"/>
    <w:link w:val="af0"/>
    <w:uiPriority w:val="99"/>
    <w:qFormat/>
    <w:rPr>
      <w:kern w:val="2"/>
      <w:sz w:val="21"/>
      <w:szCs w:val="24"/>
    </w:rPr>
  </w:style>
  <w:style w:type="character" w:customStyle="1" w:styleId="aff0">
    <w:name w:val="批注主题 字符"/>
    <w:basedOn w:val="af1"/>
    <w:link w:val="aff"/>
    <w:semiHidden/>
    <w:rPr>
      <w:b/>
      <w:bCs/>
      <w:kern w:val="2"/>
      <w:sz w:val="21"/>
      <w:szCs w:val="24"/>
    </w:rPr>
  </w:style>
  <w:style w:type="table" w:customStyle="1" w:styleId="32">
    <w:name w:val="网格型3"/>
    <w:basedOn w:val="ad"/>
    <w:next w:val="aff1"/>
    <w:uiPriority w:val="39"/>
    <w:qFormat/>
    <w:rsid w:val="006753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d"/>
    <w:next w:val="aff1"/>
    <w:uiPriority w:val="39"/>
    <w:qFormat/>
    <w:rsid w:val="00A60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d"/>
    <w:next w:val="aff1"/>
    <w:uiPriority w:val="39"/>
    <w:qFormat/>
    <w:rsid w:val="005607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标准文件_数字编号列项（二级）"/>
    <w:qFormat/>
    <w:rsid w:val="00E946A6"/>
    <w:pPr>
      <w:numPr>
        <w:ilvl w:val="1"/>
        <w:numId w:val="11"/>
      </w:numPr>
      <w:tabs>
        <w:tab w:val="left" w:pos="851"/>
      </w:tabs>
      <w:jc w:val="both"/>
    </w:pPr>
    <w:rPr>
      <w:rFonts w:ascii="宋体"/>
      <w:sz w:val="21"/>
    </w:rPr>
  </w:style>
  <w:style w:type="paragraph" w:customStyle="1" w:styleId="a2">
    <w:name w:val="标准文件_编号列项（三级）"/>
    <w:qFormat/>
    <w:rsid w:val="00E946A6"/>
    <w:pPr>
      <w:numPr>
        <w:ilvl w:val="2"/>
        <w:numId w:val="11"/>
      </w:numPr>
      <w:tabs>
        <w:tab w:val="left" w:pos="851"/>
      </w:tabs>
    </w:pPr>
    <w:rPr>
      <w:rFonts w:ascii="宋体"/>
      <w:sz w:val="21"/>
    </w:rPr>
  </w:style>
  <w:style w:type="paragraph" w:customStyle="1" w:styleId="a0">
    <w:name w:val="标准文件_字母编号列项（一级）"/>
    <w:qFormat/>
    <w:rsid w:val="00E946A6"/>
    <w:pPr>
      <w:numPr>
        <w:numId w:val="11"/>
      </w:numPr>
      <w:jc w:val="both"/>
    </w:pPr>
    <w:rPr>
      <w:rFonts w:ascii="宋体"/>
      <w:sz w:val="21"/>
    </w:rPr>
  </w:style>
  <w:style w:type="table" w:customStyle="1" w:styleId="60">
    <w:name w:val="网格型6"/>
    <w:basedOn w:val="ad"/>
    <w:next w:val="aff1"/>
    <w:uiPriority w:val="39"/>
    <w:qFormat/>
    <w:rsid w:val="00EC461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标准文件_正文表标题"/>
    <w:next w:val="ab"/>
    <w:rsid w:val="00EF24CE"/>
    <w:pPr>
      <w:tabs>
        <w:tab w:val="left" w:pos="0"/>
      </w:tabs>
      <w:spacing w:beforeLines="50" w:before="50" w:afterLines="50" w:after="50"/>
      <w:jc w:val="center"/>
    </w:pPr>
    <w:rPr>
      <w:rFonts w:ascii="黑体" w:eastAsia="黑体"/>
      <w:sz w:val="21"/>
    </w:rPr>
  </w:style>
  <w:style w:type="paragraph" w:styleId="afffffffe">
    <w:name w:val="Revision"/>
    <w:hidden/>
    <w:uiPriority w:val="99"/>
    <w:semiHidden/>
    <w:rsid w:val="00AB4114"/>
    <w:rPr>
      <w:kern w:val="2"/>
      <w:sz w:val="21"/>
      <w:szCs w:val="24"/>
    </w:rPr>
  </w:style>
  <w:style w:type="paragraph" w:customStyle="1" w:styleId="affffffff">
    <w:name w:val="标准文件_表格"/>
    <w:basedOn w:val="afffffffc"/>
    <w:qFormat/>
    <w:rsid w:val="00B50167"/>
    <w:pPr>
      <w:ind w:firstLineChars="0" w:firstLine="0"/>
      <w:jc w:val="center"/>
    </w:pPr>
    <w:rPr>
      <w:sz w:val="18"/>
    </w:rPr>
  </w:style>
  <w:style w:type="character" w:customStyle="1" w:styleId="af3">
    <w:name w:val="正文文本缩进 字符"/>
    <w:basedOn w:val="ac"/>
    <w:link w:val="af2"/>
    <w:rsid w:val="006E5014"/>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50D4EA-2D81-42FB-929F-B54401461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4300</Words>
  <Characters>4731</Characters>
  <Application>Microsoft Office Word</Application>
  <DocSecurity>0</DocSecurity>
  <Lines>262</Lines>
  <Paragraphs>291</Paragraphs>
  <ScaleCrop>false</ScaleCrop>
  <Company>WWW.YlmF.CoM</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吕明环</cp:lastModifiedBy>
  <cp:revision>7</cp:revision>
  <cp:lastPrinted>2018-05-23T02:12:00Z</cp:lastPrinted>
  <dcterms:created xsi:type="dcterms:W3CDTF">2025-05-19T09:31:00Z</dcterms:created>
  <dcterms:modified xsi:type="dcterms:W3CDTF">2025-06-04T06:28:00Z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EDC647435309479696A3A310FE989DE9</vt:lpwstr>
  </property>
</Properties>
</file>