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C3D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39C07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CEECEA8">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3A18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A2903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5FE52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F6B551C">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JALLNCP</w:t>
                  </w:r>
                  <w:r>
                    <w:fldChar w:fldCharType="end"/>
                  </w:r>
                  <w:bookmarkEnd w:id="1"/>
                </w:p>
              </w:tc>
            </w:tr>
          </w:tbl>
          <w:p w14:paraId="42854C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17F34EBD">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吉安市绿色农产品促进会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F4E8B91">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A899E4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82A57A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36A3A3A">
      <w:pPr>
        <w:pStyle w:val="50"/>
        <w:framePr w:w="9639" w:h="6976" w:hRule="exact" w:hSpace="0" w:vSpace="0" w:wrap="around" w:hAnchor="page" w:y="6408"/>
        <w:jc w:val="center"/>
        <w:rPr>
          <w:rFonts w:ascii="黑体" w:hAnsi="黑体" w:eastAsia="黑体"/>
          <w:b w:val="0"/>
          <w:bCs w:val="0"/>
          <w:w w:val="100"/>
        </w:rPr>
      </w:pPr>
    </w:p>
    <w:p w14:paraId="2DBEB580">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w:t>
      </w:r>
      <w:r>
        <w:rPr>
          <w:rFonts w:hint="eastAsia"/>
        </w:rPr>
        <w:t>双柚汁</w:t>
      </w:r>
      <w:r>
        <w:fldChar w:fldCharType="end"/>
      </w:r>
      <w:bookmarkEnd w:id="9"/>
    </w:p>
    <w:p w14:paraId="6BDCE749">
      <w:pPr>
        <w:framePr w:w="9639" w:h="6974" w:hRule="exact" w:wrap="around" w:vAnchor="page" w:hAnchor="page" w:x="1419" w:y="6408" w:anchorLock="1"/>
        <w:ind w:left="-1418"/>
      </w:pPr>
    </w:p>
    <w:p w14:paraId="335819F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Jinggangshan Dual-Pomelo Juice</w:t>
      </w:r>
      <w:r>
        <w:rPr>
          <w:rFonts w:eastAsia="黑体"/>
          <w:szCs w:val="28"/>
        </w:rPr>
        <w:fldChar w:fldCharType="end"/>
      </w:r>
      <w:bookmarkEnd w:id="10"/>
    </w:p>
    <w:p w14:paraId="3F9EBF96">
      <w:pPr>
        <w:framePr w:w="9639" w:h="6974" w:hRule="exact" w:wrap="around" w:vAnchor="page" w:hAnchor="page" w:x="1419" w:y="6408" w:anchorLock="1"/>
        <w:spacing w:line="760" w:lineRule="exact"/>
        <w:ind w:left="-1418"/>
      </w:pPr>
    </w:p>
    <w:p w14:paraId="1FCFB57B">
      <w:pPr>
        <w:pStyle w:val="125"/>
        <w:framePr w:w="9639" w:h="6974" w:hRule="exact" w:wrap="around" w:vAnchor="page" w:hAnchor="page" w:x="1419" w:y="6408" w:anchorLock="1"/>
        <w:textAlignment w:val="bottom"/>
        <w:rPr>
          <w:rFonts w:eastAsia="黑体"/>
          <w:szCs w:val="28"/>
        </w:rPr>
      </w:pPr>
    </w:p>
    <w:p w14:paraId="34CDAB7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9633B8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3CF694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1161E15">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8CDA3B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D1225D6">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吉安市绿色</w:t>
      </w:r>
      <w:r>
        <w:rPr>
          <w:rFonts w:hAnsi="黑体"/>
          <w:w w:val="100"/>
          <w:sz w:val="28"/>
        </w:rPr>
        <w:t>农产品促进会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5DBDF6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E9FE2C">
      <w:pPr>
        <w:pStyle w:val="91"/>
        <w:spacing w:after="360"/>
        <w:rPr>
          <w:rFonts w:hint="eastAsia"/>
        </w:rPr>
      </w:pPr>
      <w:bookmarkStart w:id="21" w:name="BookMark1"/>
      <w:bookmarkStart w:id="22" w:name="_Toc181794591"/>
      <w:r>
        <w:rPr>
          <w:rFonts w:hint="eastAsia"/>
          <w:spacing w:val="320"/>
        </w:rPr>
        <w:t>目</w:t>
      </w:r>
      <w:r>
        <w:rPr>
          <w:rFonts w:hint="eastAsia"/>
        </w:rPr>
        <w:t>次</w:t>
      </w:r>
    </w:p>
    <w:p w14:paraId="0B62129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"_Toc198890295" </w:instrText>
      </w:r>
      <w:r>
        <w:fldChar w:fldCharType="separate"/>
      </w:r>
      <w:r>
        <w:rPr>
          <w:rStyle w:val="32"/>
        </w:rPr>
        <w:t>前言</w:t>
      </w:r>
      <w:r>
        <w:tab/>
      </w:r>
      <w:r>
        <w:fldChar w:fldCharType="begin"/>
      </w:r>
      <w:r>
        <w:instrText xml:space="preserve"> PAGEREF _Toc198890295 \h </w:instrText>
      </w:r>
      <w:r>
        <w:fldChar w:fldCharType="separate"/>
      </w:r>
      <w:r>
        <w:t>II</w:t>
      </w:r>
      <w:r>
        <w:fldChar w:fldCharType="end"/>
      </w:r>
      <w:r>
        <w:fldChar w:fldCharType="end"/>
      </w:r>
    </w:p>
    <w:p w14:paraId="147521B4">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"_Toc198890296" </w:instrText>
      </w:r>
      <w:r>
        <w:fldChar w:fldCharType="separate"/>
      </w:r>
      <w:r>
        <w:rPr>
          <w:rStyle w:val="32"/>
        </w:rPr>
        <w:t>1  范围</w:t>
      </w:r>
      <w:r>
        <w:tab/>
      </w:r>
      <w:r>
        <w:fldChar w:fldCharType="begin"/>
      </w:r>
      <w:r>
        <w:instrText xml:space="preserve"> PAGEREF _Toc198890296 \h </w:instrText>
      </w:r>
      <w:r>
        <w:fldChar w:fldCharType="separate"/>
      </w:r>
      <w:r>
        <w:t>1</w:t>
      </w:r>
      <w:r>
        <w:fldChar w:fldCharType="end"/>
      </w:r>
      <w:r>
        <w:fldChar w:fldCharType="end"/>
      </w:r>
    </w:p>
    <w:p w14:paraId="3EF1FCA1">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"_Toc198890297" </w:instrText>
      </w:r>
      <w:r>
        <w:fldChar w:fldCharType="separate"/>
      </w:r>
      <w:r>
        <w:rPr>
          <w:rStyle w:val="32"/>
        </w:rPr>
        <w:t>2  规范性引用文件</w:t>
      </w:r>
      <w:r>
        <w:tab/>
      </w:r>
      <w:r>
        <w:fldChar w:fldCharType="begin"/>
      </w:r>
      <w:r>
        <w:instrText xml:space="preserve"> PAGEREF _Toc198890297 \h </w:instrText>
      </w:r>
      <w:r>
        <w:fldChar w:fldCharType="separate"/>
      </w:r>
      <w:r>
        <w:t>1</w:t>
      </w:r>
      <w:r>
        <w:fldChar w:fldCharType="end"/>
      </w:r>
      <w:r>
        <w:fldChar w:fldCharType="end"/>
      </w:r>
    </w:p>
    <w:p w14:paraId="28B2393C">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"_Toc198890298" </w:instrText>
      </w:r>
      <w:r>
        <w:fldChar w:fldCharType="separate"/>
      </w:r>
      <w:r>
        <w:rPr>
          <w:rStyle w:val="32"/>
        </w:rPr>
        <w:t>3  术语和定义</w:t>
      </w:r>
      <w:r>
        <w:tab/>
      </w:r>
      <w:r>
        <w:fldChar w:fldCharType="begin"/>
      </w:r>
      <w:r>
        <w:instrText xml:space="preserve"> PAGEREF _Toc198890298 \h </w:instrText>
      </w:r>
      <w:r>
        <w:fldChar w:fldCharType="separate"/>
      </w:r>
      <w:r>
        <w:t>1</w:t>
      </w:r>
      <w:r>
        <w:fldChar w:fldCharType="end"/>
      </w:r>
      <w:r>
        <w:fldChar w:fldCharType="end"/>
      </w:r>
    </w:p>
    <w:p w14:paraId="70C407A7">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"_Toc198890299" </w:instrText>
      </w:r>
      <w:r>
        <w:fldChar w:fldCharType="separate"/>
      </w:r>
      <w:r>
        <w:rPr>
          <w:rStyle w:val="32"/>
        </w:rPr>
        <w:t>4  基本要求</w:t>
      </w:r>
      <w:r>
        <w:tab/>
      </w:r>
      <w:r>
        <w:fldChar w:fldCharType="begin"/>
      </w:r>
      <w:r>
        <w:instrText xml:space="preserve"> PAGEREF _Toc198890299 \h </w:instrText>
      </w:r>
      <w:r>
        <w:fldChar w:fldCharType="separate"/>
      </w:r>
      <w:r>
        <w:t>1</w:t>
      </w:r>
      <w:r>
        <w:fldChar w:fldCharType="end"/>
      </w:r>
      <w:r>
        <w:fldChar w:fldCharType="end"/>
      </w:r>
    </w:p>
    <w:p w14:paraId="20F2F8B5">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"_Toc198890300" </w:instrText>
      </w:r>
      <w:r>
        <w:fldChar w:fldCharType="separate"/>
      </w:r>
      <w:r>
        <w:rPr>
          <w:rStyle w:val="32"/>
        </w:rPr>
        <w:t>5  检验规则</w:t>
      </w:r>
      <w:r>
        <w:tab/>
      </w:r>
      <w:r>
        <w:fldChar w:fldCharType="begin"/>
      </w:r>
      <w:r>
        <w:instrText xml:space="preserve"> PAGEREF _Toc198890300 \h </w:instrText>
      </w:r>
      <w:r>
        <w:fldChar w:fldCharType="separate"/>
      </w:r>
      <w:r>
        <w:t>2</w:t>
      </w:r>
      <w:r>
        <w:fldChar w:fldCharType="end"/>
      </w:r>
      <w:r>
        <w:fldChar w:fldCharType="end"/>
      </w:r>
    </w:p>
    <w:p w14:paraId="1E3F6AEB">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"_Toc198890301" </w:instrText>
      </w:r>
      <w:r>
        <w:fldChar w:fldCharType="separate"/>
      </w:r>
      <w:r>
        <w:rPr>
          <w:rStyle w:val="32"/>
        </w:rPr>
        <w:t>6  标志与标签</w:t>
      </w:r>
      <w:r>
        <w:tab/>
      </w:r>
      <w:r>
        <w:fldChar w:fldCharType="begin"/>
      </w:r>
      <w:r>
        <w:instrText xml:space="preserve"> PAGEREF _Toc198890301 \h </w:instrText>
      </w:r>
      <w:r>
        <w:fldChar w:fldCharType="separate"/>
      </w:r>
      <w:r>
        <w:t>3</w:t>
      </w:r>
      <w:r>
        <w:fldChar w:fldCharType="end"/>
      </w:r>
      <w:r>
        <w:fldChar w:fldCharType="end"/>
      </w:r>
    </w:p>
    <w:p w14:paraId="118D6DAA">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"_Toc198890302" </w:instrText>
      </w:r>
      <w:r>
        <w:fldChar w:fldCharType="separate"/>
      </w:r>
      <w:r>
        <w:rPr>
          <w:rStyle w:val="32"/>
        </w:rPr>
        <w:t>7  包装</w:t>
      </w:r>
      <w:r>
        <w:tab/>
      </w:r>
      <w:r>
        <w:fldChar w:fldCharType="begin"/>
      </w:r>
      <w:r>
        <w:instrText xml:space="preserve"> PAGEREF _Toc198890302 \h </w:instrText>
      </w:r>
      <w:r>
        <w:fldChar w:fldCharType="separate"/>
      </w:r>
      <w:r>
        <w:t>3</w:t>
      </w:r>
      <w:r>
        <w:fldChar w:fldCharType="end"/>
      </w:r>
      <w:r>
        <w:fldChar w:fldCharType="end"/>
      </w:r>
    </w:p>
    <w:p w14:paraId="7FDB3893">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"_Toc198890303" </w:instrText>
      </w:r>
      <w:r>
        <w:fldChar w:fldCharType="separate"/>
      </w:r>
      <w:r>
        <w:rPr>
          <w:rStyle w:val="32"/>
        </w:rPr>
        <w:t>8  运输</w:t>
      </w:r>
      <w:r>
        <w:tab/>
      </w:r>
      <w:r>
        <w:fldChar w:fldCharType="begin"/>
      </w:r>
      <w:r>
        <w:instrText xml:space="preserve"> PAGEREF _Toc198890303 \h </w:instrText>
      </w:r>
      <w:r>
        <w:fldChar w:fldCharType="separate"/>
      </w:r>
      <w:r>
        <w:t>3</w:t>
      </w:r>
      <w:r>
        <w:fldChar w:fldCharType="end"/>
      </w:r>
      <w:r>
        <w:fldChar w:fldCharType="end"/>
      </w:r>
    </w:p>
    <w:p w14:paraId="65B820F5">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"_Toc198890304" </w:instrText>
      </w:r>
      <w:r>
        <w:fldChar w:fldCharType="separate"/>
      </w:r>
      <w:r>
        <w:rPr>
          <w:rStyle w:val="32"/>
        </w:rPr>
        <w:t>9  贮存</w:t>
      </w:r>
      <w:r>
        <w:tab/>
      </w:r>
      <w:r>
        <w:fldChar w:fldCharType="begin"/>
      </w:r>
      <w:r>
        <w:instrText xml:space="preserve"> PAGEREF _Toc198890304 \h </w:instrText>
      </w:r>
      <w:r>
        <w:fldChar w:fldCharType="separate"/>
      </w:r>
      <w:r>
        <w:t>3</w:t>
      </w:r>
      <w:r>
        <w:fldChar w:fldCharType="end"/>
      </w:r>
      <w:r>
        <w:fldChar w:fldCharType="end"/>
      </w:r>
    </w:p>
    <w:p w14:paraId="3D0A1A25">
      <w:pPr>
        <w:pStyle w:val="19"/>
        <w:tabs>
          <w:tab w:val="right" w:leader="dot" w:pos="9344"/>
        </w:tabs>
        <w:rPr>
          <w:rFonts w:asciiTheme="minorHAnsi" w:hAnsiTheme="minorHAnsi" w:eastAsiaTheme="minorEastAsia" w:cstheme="minorBidi"/>
          <w:szCs w:val="22"/>
        </w:rPr>
      </w:pPr>
      <w:r>
        <w:fldChar w:fldCharType="begin"/>
      </w:r>
      <w:r>
        <w:instrText xml:space="preserve"> HYPERLINK \l "_Toc198890305" </w:instrText>
      </w:r>
      <w:r>
        <w:fldChar w:fldCharType="separate"/>
      </w:r>
      <w:r>
        <w:rPr>
          <w:rStyle w:val="32"/>
        </w:rPr>
        <w:t>附录A（规范性）  井冈山双柚汁加工区域范围图</w:t>
      </w:r>
      <w:r>
        <w:tab/>
      </w:r>
      <w:r>
        <w:fldChar w:fldCharType="begin"/>
      </w:r>
      <w:r>
        <w:instrText xml:space="preserve"> PAGEREF _Toc198890305 \h </w:instrText>
      </w:r>
      <w:r>
        <w:fldChar w:fldCharType="separate"/>
      </w:r>
      <w:r>
        <w:t>4</w:t>
      </w:r>
      <w:r>
        <w:fldChar w:fldCharType="end"/>
      </w:r>
      <w:r>
        <w:fldChar w:fldCharType="end"/>
      </w:r>
    </w:p>
    <w:p w14:paraId="2F3BABDF">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472C7E0A">
      <w:pPr>
        <w:pStyle w:val="89"/>
        <w:spacing w:before="900" w:after="360"/>
      </w:pPr>
      <w:bookmarkStart w:id="23" w:name="_Toc198890295"/>
      <w:bookmarkStart w:id="24" w:name="BookMark2"/>
      <w:r>
        <w:rPr>
          <w:spacing w:val="320"/>
        </w:rPr>
        <w:t>前</w:t>
      </w:r>
      <w:r>
        <w:t>言</w:t>
      </w:r>
      <w:bookmarkEnd w:id="22"/>
      <w:bookmarkEnd w:id="23"/>
    </w:p>
    <w:p w14:paraId="19922AA1">
      <w:pPr>
        <w:pStyle w:val="56"/>
        <w:ind w:firstLine="420"/>
      </w:pPr>
      <w:r>
        <w:rPr>
          <w:rFonts w:hint="eastAsia"/>
        </w:rPr>
        <w:t>本文件按照GB/T 1.1—2020《标准化工作导则  第1部分：标准化文件的结构和起草规则》的规定起草。</w:t>
      </w:r>
    </w:p>
    <w:p w14:paraId="609FF2AB">
      <w:pPr>
        <w:pStyle w:val="56"/>
        <w:ind w:firstLine="420"/>
        <w:rPr>
          <w:szCs w:val="21"/>
        </w:rPr>
      </w:pPr>
      <w:r>
        <w:rPr>
          <w:rFonts w:hint="eastAsia" w:hAnsi="宋体"/>
        </w:rPr>
        <w:t>请注意本文件的某些内容可能涉及专利。本文件的发布机构不承担识别专利的责任。</w:t>
      </w:r>
    </w:p>
    <w:p w14:paraId="094E72D6">
      <w:pPr>
        <w:pStyle w:val="56"/>
        <w:ind w:firstLine="420"/>
      </w:pPr>
      <w:r>
        <w:rPr>
          <w:rFonts w:hint="eastAsia" w:hAnsi="宋体"/>
        </w:rPr>
        <w:t>本文件由吉安市绿色农产品促进会提出并归口。</w:t>
      </w:r>
    </w:p>
    <w:p w14:paraId="01BDFEAB">
      <w:pPr>
        <w:pStyle w:val="56"/>
        <w:ind w:firstLine="420"/>
      </w:pPr>
      <w:r>
        <w:rPr>
          <w:rFonts w:hint="eastAsia" w:hAnsi="宋体"/>
        </w:rPr>
        <w:t>本文件起草单位：</w:t>
      </w:r>
    </w:p>
    <w:p w14:paraId="63BA5626">
      <w:pPr>
        <w:pStyle w:val="56"/>
        <w:ind w:firstLine="420"/>
      </w:pPr>
      <w:r>
        <w:rPr>
          <w:rFonts w:hint="eastAsia" w:hAnsi="宋体"/>
        </w:rPr>
        <w:t>本文件主要起草人：</w:t>
      </w:r>
    </w:p>
    <w:p w14:paraId="6EE3789E">
      <w:pPr>
        <w:pStyle w:val="56"/>
        <w:ind w:firstLine="0" w:firstLineChars="0"/>
        <w:sectPr>
          <w:pgSz w:w="11906" w:h="16838"/>
          <w:pgMar w:top="1928" w:right="1134" w:bottom="1134" w:left="1134" w:header="1418" w:footer="1134" w:gutter="284"/>
          <w:pgNumType w:fmt="upperRoman"/>
          <w:cols w:space="425" w:num="1"/>
          <w:formProt w:val="0"/>
          <w:docGrid w:linePitch="312" w:charSpace="0"/>
        </w:sectPr>
      </w:pPr>
    </w:p>
    <w:bookmarkEnd w:id="24"/>
    <w:p w14:paraId="1B77CA02">
      <w:pPr>
        <w:spacing w:line="20" w:lineRule="exact"/>
        <w:jc w:val="center"/>
        <w:rPr>
          <w:rFonts w:ascii="黑体" w:hAnsi="黑体" w:eastAsia="黑体"/>
          <w:sz w:val="32"/>
          <w:szCs w:val="32"/>
        </w:rPr>
      </w:pPr>
      <w:bookmarkStart w:id="25" w:name="BookMark4"/>
    </w:p>
    <w:p w14:paraId="2DBAD7DF">
      <w:pPr>
        <w:spacing w:line="20" w:lineRule="exact"/>
        <w:jc w:val="center"/>
        <w:rPr>
          <w:rFonts w:ascii="黑体" w:hAnsi="黑体" w:eastAsia="黑体"/>
          <w:sz w:val="32"/>
          <w:szCs w:val="32"/>
        </w:rPr>
      </w:pPr>
    </w:p>
    <w:sdt>
      <w:sdtPr>
        <w:tag w:val="NEW_STAND_NAME"/>
        <w:id w:val="595910757"/>
        <w:lock w:val="sdtLocked"/>
        <w:placeholder>
          <w:docPart w:val="F79FE909FCBD434AA252614E6314E85A"/>
        </w:placeholder>
      </w:sdtPr>
      <w:sdtContent>
        <w:p w14:paraId="01E59BB5">
          <w:pPr>
            <w:pStyle w:val="177"/>
            <w:spacing w:before="240" w:beforeLines="100" w:after="528" w:afterLines="220"/>
          </w:pPr>
          <w:bookmarkStart w:id="26" w:name="NEW_STAND_NAME"/>
          <w:r>
            <w:rPr>
              <w:rFonts w:hint="eastAsia"/>
            </w:rPr>
            <w:t>井冈山双柚汁</w:t>
          </w:r>
        </w:p>
      </w:sdtContent>
    </w:sdt>
    <w:bookmarkEnd w:id="26"/>
    <w:p w14:paraId="25B245AA">
      <w:pPr>
        <w:pStyle w:val="104"/>
        <w:spacing w:before="240" w:after="240"/>
      </w:pPr>
      <w:bookmarkStart w:id="27" w:name="_Toc17233333"/>
      <w:bookmarkStart w:id="28" w:name="_Toc17233325"/>
      <w:bookmarkStart w:id="29" w:name="_Toc24884218"/>
      <w:bookmarkStart w:id="30" w:name="_Toc24884211"/>
      <w:bookmarkStart w:id="31" w:name="_Toc26986530"/>
      <w:bookmarkStart w:id="32" w:name="_Toc26986771"/>
      <w:bookmarkStart w:id="33" w:name="_Toc26648465"/>
      <w:bookmarkStart w:id="34" w:name="_Toc26718930"/>
      <w:bookmarkStart w:id="35" w:name="_Toc97192964"/>
      <w:bookmarkStart w:id="36" w:name="_Toc181794592"/>
      <w:bookmarkStart w:id="37" w:name="_Toc198890296"/>
      <w:r>
        <w:rPr>
          <w:rFonts w:hint="eastAsia"/>
        </w:rPr>
        <w:t>范围</w:t>
      </w:r>
      <w:bookmarkEnd w:id="27"/>
      <w:bookmarkEnd w:id="28"/>
      <w:bookmarkEnd w:id="29"/>
      <w:bookmarkEnd w:id="30"/>
      <w:bookmarkEnd w:id="31"/>
      <w:bookmarkEnd w:id="32"/>
      <w:bookmarkEnd w:id="33"/>
      <w:bookmarkEnd w:id="34"/>
      <w:bookmarkEnd w:id="35"/>
      <w:bookmarkEnd w:id="36"/>
      <w:bookmarkEnd w:id="37"/>
    </w:p>
    <w:p w14:paraId="740FD14B">
      <w:pPr>
        <w:pStyle w:val="56"/>
        <w:ind w:firstLine="420"/>
        <w:rPr>
          <w:szCs w:val="21"/>
        </w:rPr>
      </w:pPr>
      <w:bookmarkStart w:id="38" w:name="_Toc17233326"/>
      <w:bookmarkStart w:id="39" w:name="_Toc17233334"/>
      <w:bookmarkStart w:id="40" w:name="_Toc24884212"/>
      <w:bookmarkStart w:id="41" w:name="_Toc24884219"/>
      <w:bookmarkStart w:id="42" w:name="_Toc26648466"/>
      <w:r>
        <w:rPr>
          <w:rFonts w:hint="eastAsia"/>
        </w:rPr>
        <w:t>本标准规定了井冈山双柚汁的术语与定义、要求、检验规则、标志与标签、包装、运输与贮存。</w:t>
      </w:r>
    </w:p>
    <w:p w14:paraId="10588DB0">
      <w:pPr>
        <w:pStyle w:val="56"/>
        <w:ind w:firstLine="420"/>
      </w:pPr>
      <w:r>
        <w:rPr>
          <w:rFonts w:hint="eastAsia"/>
        </w:rPr>
        <w:t>本标准适用于吉安市</w:t>
      </w:r>
      <w:r>
        <w:t>行政区域范围内</w:t>
      </w:r>
      <w:r>
        <w:rPr>
          <w:rFonts w:hint="eastAsia"/>
        </w:rPr>
        <w:t>加工的双柚汁。</w:t>
      </w:r>
    </w:p>
    <w:p w14:paraId="3E41A652">
      <w:pPr>
        <w:pStyle w:val="104"/>
        <w:spacing w:before="240" w:after="240"/>
      </w:pPr>
      <w:bookmarkStart w:id="43" w:name="_Toc26718931"/>
      <w:bookmarkStart w:id="44" w:name="_Toc26986531"/>
      <w:bookmarkStart w:id="45" w:name="_Toc26986772"/>
      <w:bookmarkStart w:id="46" w:name="_Toc97192965"/>
      <w:bookmarkStart w:id="47" w:name="_Toc181794593"/>
      <w:bookmarkStart w:id="48" w:name="_Toc198890297"/>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8D2858282F3848F58E8EAEE8181B14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DC713A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A1CE54">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GB/T 191</w:t>
      </w:r>
      <w:r>
        <w:rPr>
          <w:color w:val="70AD47" w:themeColor="accent6"/>
          <w14:textFill>
            <w14:solidFill>
              <w14:schemeClr w14:val="accent6"/>
            </w14:solidFill>
          </w14:textFill>
        </w:rPr>
        <w:t xml:space="preserve"> </w:t>
      </w:r>
      <w:r>
        <w:rPr>
          <w:rFonts w:hint="eastAsia"/>
          <w:color w:val="70AD47" w:themeColor="accent6"/>
          <w14:textFill>
            <w14:solidFill>
              <w14:schemeClr w14:val="accent6"/>
            </w14:solidFill>
          </w14:textFill>
        </w:rPr>
        <w:t>包装储运图示标志</w:t>
      </w:r>
    </w:p>
    <w:p w14:paraId="63C51F5A">
      <w:pPr>
        <w:pStyle w:val="56"/>
        <w:ind w:firstLine="420"/>
        <w:rPr>
          <w:color w:val="70AD47" w:themeColor="accent6"/>
          <w:szCs w:val="21"/>
          <w14:textFill>
            <w14:solidFill>
              <w14:schemeClr w14:val="accent6"/>
            </w14:solidFill>
          </w14:textFill>
        </w:rPr>
      </w:pPr>
      <w:r>
        <w:rPr>
          <w:rFonts w:hint="eastAsia"/>
          <w:color w:val="70AD47" w:themeColor="accent6"/>
          <w14:textFill>
            <w14:solidFill>
              <w14:schemeClr w14:val="accent6"/>
            </w14:solidFill>
          </w14:textFill>
        </w:rPr>
        <w:t>GB 2762 食品安全国家标准 食品中污染物限量</w:t>
      </w:r>
    </w:p>
    <w:p w14:paraId="1ED601D5">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 2763 食品安全国家标准 食品中农药最大残留限量</w:t>
      </w:r>
    </w:p>
    <w:p w14:paraId="0C49E803">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 43284 限制商品过度包装要求 生鲜食用农产品</w:t>
      </w:r>
    </w:p>
    <w:p w14:paraId="14EB91E7">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 4806.1 食品安全国家标准 食品接触材料及制品通用安全要求</w:t>
      </w:r>
    </w:p>
    <w:p w14:paraId="324C955C">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 4806.7 食品安全国家标准 食品接触用塑料材料及制品</w:t>
      </w:r>
    </w:p>
    <w:p w14:paraId="7D55399E">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 4806.8 食品安全国家标准 食品接触用纸及纸制品</w:t>
      </w:r>
    </w:p>
    <w:p w14:paraId="3BD5C754">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GB/T 5009.10 植物类食品中粗纤维的测定</w:t>
      </w:r>
    </w:p>
    <w:p w14:paraId="072FA036">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GB/T 5737 食品塑料 周转箱</w:t>
      </w:r>
    </w:p>
    <w:p w14:paraId="304CCFF8">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GB/T 19630 有机产品 生产、加工、标识与管理体系要求</w:t>
      </w:r>
    </w:p>
    <w:p w14:paraId="7DB144B2">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GB/T 32950 鲜活农产品标签标识</w:t>
      </w:r>
    </w:p>
    <w:p w14:paraId="6B279C52">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GB 43284</w:t>
      </w:r>
      <w:r>
        <w:rPr>
          <w:color w:val="70AD47" w:themeColor="accent6"/>
          <w14:textFill>
            <w14:solidFill>
              <w14:schemeClr w14:val="accent6"/>
            </w14:solidFill>
          </w14:textFill>
        </w:rPr>
        <w:t xml:space="preserve"> </w:t>
      </w:r>
      <w:r>
        <w:rPr>
          <w:rFonts w:hint="eastAsia"/>
          <w:color w:val="70AD47" w:themeColor="accent6"/>
          <w14:textFill>
            <w14:solidFill>
              <w14:schemeClr w14:val="accent6"/>
            </w14:solidFill>
          </w14:textFill>
        </w:rPr>
        <w:t>限制商品过度包装要求 生鲜食用农产品</w:t>
      </w:r>
    </w:p>
    <w:p w14:paraId="7F5ADE9B">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NY/T 1056 绿色食品 贮藏运输准则</w:t>
      </w:r>
    </w:p>
    <w:p w14:paraId="46CB606D">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NY/T 391 绿色食品 产地环境质量</w:t>
      </w:r>
    </w:p>
    <w:p w14:paraId="11F40257">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NY/T 393 绿色食品 农药使用准则</w:t>
      </w:r>
    </w:p>
    <w:p w14:paraId="11C485FF">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NY/T 394 绿色食品 肥料使用准则</w:t>
      </w:r>
    </w:p>
    <w:p w14:paraId="3912A04B">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NY/T 658 绿色食品 包装通用准则</w:t>
      </w:r>
    </w:p>
    <w:p w14:paraId="45174A66">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NY/T 745 绿色食品 根菜类蔬菜</w:t>
      </w:r>
    </w:p>
    <w:p w14:paraId="305D15BA">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SN/T 4260 出口植物源食品中粗多糖的测定 苯酚-硫酸法</w:t>
      </w:r>
    </w:p>
    <w:p w14:paraId="319601F9">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JJF 1070 定量包装商品净含量计量检验规则</w:t>
      </w:r>
    </w:p>
    <w:p w14:paraId="648C7DE3">
      <w:pPr>
        <w:pStyle w:val="56"/>
        <w:ind w:firstLine="420"/>
        <w:rPr>
          <w:color w:val="70AD47" w:themeColor="accent6"/>
          <w14:textFill>
            <w14:solidFill>
              <w14:schemeClr w14:val="accent6"/>
            </w14:solidFill>
          </w14:textFill>
        </w:rPr>
      </w:pPr>
      <w:r>
        <w:rPr>
          <w:rFonts w:hint="eastAsia"/>
          <w:color w:val="70AD47" w:themeColor="accent6"/>
          <w14:textFill>
            <w14:solidFill>
              <w14:schemeClr w14:val="accent6"/>
            </w14:solidFill>
          </w14:textFill>
        </w:rPr>
        <w:t>国家市场监督管理总局令 2023 年第 70 号 定量包装商品计量监督管理办法</w:t>
      </w:r>
    </w:p>
    <w:p w14:paraId="23012DB7">
      <w:pPr>
        <w:pStyle w:val="104"/>
        <w:spacing w:before="240" w:after="240"/>
      </w:pPr>
      <w:bookmarkStart w:id="49" w:name="_Toc97192966"/>
      <w:bookmarkStart w:id="50" w:name="_Toc181794594"/>
      <w:bookmarkStart w:id="51" w:name="_Toc198890298"/>
      <w:r>
        <w:rPr>
          <w:rFonts w:hint="eastAsia"/>
        </w:rPr>
        <w:t>术语和定义</w:t>
      </w:r>
      <w:bookmarkEnd w:id="49"/>
      <w:bookmarkEnd w:id="50"/>
      <w:bookmarkEnd w:id="51"/>
    </w:p>
    <w:sdt>
      <w:sdtPr>
        <w:id w:val="-1909835108"/>
        <w:placeholder>
          <w:docPart w:val="451DCBEE146748E19549B0EC08EC22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B7A146E">
          <w:pPr>
            <w:pStyle w:val="56"/>
            <w:ind w:firstLine="420"/>
          </w:pPr>
          <w:bookmarkStart w:id="52" w:name="_Toc26986532"/>
          <w:bookmarkEnd w:id="52"/>
          <w:r>
            <w:t>下列术语和定义适用于本文件。</w:t>
          </w:r>
        </w:p>
      </w:sdtContent>
    </w:sdt>
    <w:p w14:paraId="3B32206D">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双柚汁 </w:t>
      </w:r>
      <w:r>
        <w:rPr>
          <w:rFonts w:ascii="黑体" w:hAnsi="黑体" w:eastAsia="黑体"/>
          <w:bCs/>
        </w:rPr>
        <w:t>Dual-Pomelo juice</w:t>
      </w:r>
    </w:p>
    <w:p w14:paraId="158976C3">
      <w:pPr>
        <w:pStyle w:val="56"/>
        <w:ind w:firstLine="420"/>
        <w:rPr>
          <w:rFonts w:hint="eastAsia" w:ascii="黑体" w:hAnsi="黑体" w:eastAsia="宋体"/>
          <w:lang w:eastAsia="zh-CN"/>
        </w:rPr>
      </w:pPr>
      <w:r>
        <w:rPr>
          <w:shd w:val="clear" w:color="auto" w:fill="FFFFFF"/>
        </w:rPr>
        <w:t>一种以两种不同品种的柚子</w:t>
      </w:r>
      <w:r>
        <w:rPr>
          <w:rFonts w:hint="eastAsia"/>
          <w:shd w:val="clear" w:color="auto" w:fill="FFFFFF"/>
        </w:rPr>
        <w:t>汁（如井冈蜜柚</w:t>
      </w:r>
      <w:r>
        <w:rPr>
          <w:shd w:val="clear" w:color="auto" w:fill="FFFFFF"/>
        </w:rPr>
        <w:t>、香柚等）为主要原料</w:t>
      </w:r>
      <w:r>
        <w:rPr>
          <w:rFonts w:hint="eastAsia"/>
          <w:shd w:val="clear" w:color="auto" w:fill="FFFFFF"/>
        </w:rPr>
        <w:t>加工</w:t>
      </w:r>
      <w:r>
        <w:rPr>
          <w:shd w:val="clear" w:color="auto" w:fill="FFFFFF"/>
        </w:rPr>
        <w:t>制成的</w:t>
      </w:r>
      <w:r>
        <w:rPr>
          <w:rFonts w:hint="eastAsia"/>
          <w:shd w:val="clear" w:color="auto" w:fill="FFFFFF"/>
        </w:rPr>
        <w:t>复合</w:t>
      </w:r>
      <w:r>
        <w:rPr>
          <w:shd w:val="clear" w:color="auto" w:fill="FFFFFF"/>
        </w:rPr>
        <w:t>果汁饮</w:t>
      </w:r>
      <w:r>
        <w:rPr>
          <w:rFonts w:hint="eastAsia"/>
          <w:shd w:val="clear" w:color="auto" w:fill="FFFFFF"/>
        </w:rPr>
        <w:t>料</w:t>
      </w:r>
      <w:r>
        <w:rPr>
          <w:rFonts w:hint="eastAsia"/>
          <w:shd w:val="clear" w:color="auto" w:fill="FFFFFF"/>
          <w:lang w:eastAsia="zh-CN"/>
        </w:rPr>
        <w:t>。</w:t>
      </w:r>
    </w:p>
    <w:p w14:paraId="0B32D45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井冈山双柚汁  jinggangshan</w:t>
      </w:r>
      <w:r>
        <w:rPr>
          <w:rFonts w:ascii="黑体" w:hAnsi="黑体" w:eastAsia="黑体"/>
        </w:rPr>
        <w:t xml:space="preserve"> </w:t>
      </w:r>
      <w:r>
        <w:rPr>
          <w:rFonts w:ascii="黑体" w:hAnsi="黑体" w:eastAsia="黑体"/>
          <w:bCs/>
        </w:rPr>
        <w:t>Dual-Pomelo juice</w:t>
      </w:r>
    </w:p>
    <w:p w14:paraId="123824AB">
      <w:pPr>
        <w:pStyle w:val="56"/>
        <w:ind w:firstLine="420"/>
      </w:pPr>
      <w:r>
        <w:rPr>
          <w:rFonts w:hint="eastAsia"/>
        </w:rPr>
        <w:t>吉安市</w:t>
      </w:r>
      <w:r>
        <w:t>行政区域范围内</w:t>
      </w:r>
      <w:r>
        <w:rPr>
          <w:rFonts w:hint="eastAsia" w:hAnsi="宋体"/>
        </w:rPr>
        <w:t>加工的，符合本文件要求，并经“井冈山</w:t>
      </w:r>
      <w:r>
        <w:rPr>
          <w:rFonts w:hint="eastAsia" w:ascii="Times New Roman"/>
        </w:rPr>
        <w:t>®</w:t>
      </w:r>
      <w:r>
        <w:rPr>
          <w:rFonts w:hint="eastAsia" w:hAnsi="宋体"/>
        </w:rPr>
        <w:t>”商标持有人授权的双柚汁。</w:t>
      </w:r>
    </w:p>
    <w:p w14:paraId="772E7D57">
      <w:pPr>
        <w:pStyle w:val="179"/>
      </w:pPr>
      <w:r>
        <w:rPr>
          <w:rFonts w:hint="eastAsia"/>
        </w:rPr>
        <w:t>井冈山双柚汁生产区域范围见附录A。</w:t>
      </w:r>
    </w:p>
    <w:p w14:paraId="0D726073">
      <w:pPr>
        <w:pStyle w:val="104"/>
        <w:spacing w:before="240" w:after="240"/>
      </w:pPr>
      <w:bookmarkStart w:id="53" w:name="_Toc181794595"/>
      <w:bookmarkStart w:id="54" w:name="_Toc198890299"/>
      <w:r>
        <w:rPr>
          <w:rFonts w:hint="eastAsia"/>
        </w:rPr>
        <w:t>基本要求</w:t>
      </w:r>
      <w:bookmarkEnd w:id="53"/>
      <w:bookmarkEnd w:id="54"/>
    </w:p>
    <w:p w14:paraId="0F194CC8">
      <w:pPr>
        <w:pStyle w:val="105"/>
        <w:spacing w:before="120" w:after="120"/>
      </w:pPr>
      <w:r>
        <w:rPr>
          <w:rFonts w:hint="eastAsia"/>
        </w:rPr>
        <w:t>原辅料</w:t>
      </w:r>
    </w:p>
    <w:p w14:paraId="1965BB6C">
      <w:pPr>
        <w:pStyle w:val="65"/>
        <w:spacing w:before="120" w:after="120"/>
      </w:pPr>
      <w:r>
        <w:rPr>
          <w:rFonts w:hint="eastAsia"/>
        </w:rPr>
        <w:t>浓缩果汁</w:t>
      </w:r>
    </w:p>
    <w:p w14:paraId="13E936A4">
      <w:pPr>
        <w:pStyle w:val="56"/>
        <w:ind w:firstLine="420"/>
        <w:rPr>
          <w:rFonts w:hint="eastAsia"/>
        </w:rPr>
      </w:pPr>
      <w:r>
        <w:rPr>
          <w:rFonts w:hint="eastAsia" w:ascii="Segoe UI" w:hAnsi="Segoe UI" w:cs="Segoe UI"/>
          <w:szCs w:val="21"/>
          <w:shd w:val="clear" w:color="auto" w:fill="FFFFFF"/>
        </w:rPr>
        <w:t>应</w:t>
      </w:r>
      <w:r>
        <w:rPr>
          <w:rFonts w:ascii="Segoe UI" w:hAnsi="Segoe UI" w:cs="Segoe UI"/>
          <w:szCs w:val="21"/>
          <w:shd w:val="clear" w:color="auto" w:fill="FFFFFF"/>
        </w:rPr>
        <w:t>符合GB 17325</w:t>
      </w:r>
      <w:r>
        <w:rPr>
          <w:rFonts w:hint="eastAsia" w:ascii="Segoe UI" w:hAnsi="Segoe UI" w:cs="Segoe UI"/>
          <w:szCs w:val="21"/>
          <w:shd w:val="clear" w:color="auto" w:fill="FFFFFF"/>
        </w:rPr>
        <w:t>的</w:t>
      </w:r>
      <w:r>
        <w:rPr>
          <w:rFonts w:ascii="Segoe UI" w:hAnsi="Segoe UI" w:cs="Segoe UI"/>
          <w:szCs w:val="21"/>
          <w:shd w:val="clear" w:color="auto" w:fill="FFFFFF"/>
        </w:rPr>
        <w:t>要求。</w:t>
      </w:r>
    </w:p>
    <w:p w14:paraId="5BBD55AB">
      <w:pPr>
        <w:pStyle w:val="65"/>
        <w:spacing w:before="120" w:after="120"/>
      </w:pPr>
      <w:r>
        <w:rPr>
          <w:rFonts w:hint="eastAsia"/>
        </w:rPr>
        <w:t>白砂糖</w:t>
      </w:r>
    </w:p>
    <w:p w14:paraId="49368C22">
      <w:pPr>
        <w:pStyle w:val="56"/>
        <w:ind w:firstLine="420"/>
        <w:rPr>
          <w:rFonts w:hint="eastAsia"/>
        </w:rPr>
      </w:pPr>
      <w:r>
        <w:rPr>
          <w:rFonts w:hint="eastAsia"/>
        </w:rPr>
        <w:t>应</w:t>
      </w:r>
      <w:r>
        <w:t>符合</w:t>
      </w:r>
      <w:r>
        <w:rPr>
          <w:rFonts w:ascii="Segoe UI" w:hAnsi="Segoe UI" w:cs="Segoe UI"/>
          <w:szCs w:val="21"/>
          <w:shd w:val="clear" w:color="auto" w:fill="FFFFFF"/>
        </w:rPr>
        <w:t>GB/T 317</w:t>
      </w:r>
      <w:r>
        <w:rPr>
          <w:rFonts w:hint="eastAsia" w:ascii="Segoe UI" w:hAnsi="Segoe UI" w:cs="Segoe UI"/>
          <w:szCs w:val="21"/>
          <w:shd w:val="clear" w:color="auto" w:fill="FFFFFF"/>
        </w:rPr>
        <w:t>的</w:t>
      </w:r>
      <w:r>
        <w:rPr>
          <w:rFonts w:ascii="Segoe UI" w:hAnsi="Segoe UI" w:cs="Segoe UI"/>
          <w:szCs w:val="21"/>
          <w:shd w:val="clear" w:color="auto" w:fill="FFFFFF"/>
        </w:rPr>
        <w:t>要求。</w:t>
      </w:r>
    </w:p>
    <w:p w14:paraId="3D6FD42C">
      <w:pPr>
        <w:pStyle w:val="65"/>
        <w:spacing w:before="120" w:after="120"/>
      </w:pPr>
      <w:r>
        <w:rPr>
          <w:rFonts w:hint="eastAsia"/>
        </w:rPr>
        <w:t>生产用水</w:t>
      </w:r>
    </w:p>
    <w:p w14:paraId="3EE3A25E">
      <w:pPr>
        <w:pStyle w:val="56"/>
        <w:ind w:firstLine="420"/>
        <w:rPr>
          <w:rFonts w:hint="eastAsia"/>
        </w:rPr>
      </w:pPr>
      <w:r>
        <w:rPr>
          <w:rFonts w:hint="eastAsia"/>
        </w:rPr>
        <w:t>应</w:t>
      </w:r>
      <w:r>
        <w:t>符合</w:t>
      </w:r>
      <w:r>
        <w:rPr>
          <w:rFonts w:hint="eastAsia"/>
        </w:rPr>
        <w:t>GB 5749的</w:t>
      </w:r>
      <w:r>
        <w:t>要求。</w:t>
      </w:r>
    </w:p>
    <w:p w14:paraId="70484D3B">
      <w:pPr>
        <w:pStyle w:val="65"/>
        <w:spacing w:before="120" w:after="120"/>
        <w:rPr>
          <w:rFonts w:hint="eastAsia"/>
        </w:rPr>
      </w:pPr>
      <w:r>
        <w:rPr>
          <w:rFonts w:hint="eastAsia"/>
        </w:rPr>
        <w:t>食品</w:t>
      </w:r>
      <w:r>
        <w:t>添加剂</w:t>
      </w:r>
    </w:p>
    <w:p w14:paraId="0C29F669">
      <w:pPr>
        <w:pStyle w:val="56"/>
        <w:ind w:firstLine="420"/>
        <w:rPr>
          <w:rFonts w:hint="eastAsia"/>
        </w:rPr>
      </w:pPr>
      <w:r>
        <w:rPr>
          <w:rFonts w:hint="eastAsia"/>
        </w:rPr>
        <w:t>应符合</w:t>
      </w:r>
      <w:r>
        <w:t>相应的标准和有关规定。</w:t>
      </w:r>
    </w:p>
    <w:p w14:paraId="125DD79B">
      <w:pPr>
        <w:pStyle w:val="105"/>
        <w:spacing w:before="120" w:after="120"/>
      </w:pPr>
      <w:r>
        <w:rPr>
          <w:rFonts w:hint="eastAsia"/>
        </w:rPr>
        <w:t>生产加工</w:t>
      </w:r>
      <w:r>
        <w:t>过程卫生要求</w:t>
      </w:r>
    </w:p>
    <w:p w14:paraId="34907181">
      <w:pPr>
        <w:pStyle w:val="56"/>
        <w:ind w:firstLine="420"/>
      </w:pPr>
      <w:r>
        <w:rPr>
          <w:rFonts w:hint="eastAsia"/>
        </w:rPr>
        <w:t>食品生产企业生产加工卫生要求应遵守GB 14881的规定。小作坊生产加工应符合相关法律法规的规定。</w:t>
      </w:r>
    </w:p>
    <w:p w14:paraId="19C99138">
      <w:pPr>
        <w:pStyle w:val="105"/>
        <w:spacing w:before="120" w:after="120"/>
      </w:pPr>
      <w:r>
        <w:rPr>
          <w:rFonts w:hint="eastAsia"/>
        </w:rPr>
        <w:t>感官指标</w:t>
      </w:r>
    </w:p>
    <w:p w14:paraId="17950CA3">
      <w:pPr>
        <w:pStyle w:val="56"/>
        <w:ind w:firstLine="420"/>
      </w:pPr>
      <w:r>
        <w:rPr>
          <w:rFonts w:hint="eastAsia" w:hAnsi="宋体"/>
        </w:rPr>
        <w:t>应符合</w:t>
      </w:r>
      <w:r>
        <w:rPr>
          <w:rFonts w:hAnsi="宋体"/>
        </w:rPr>
        <w:t>表</w:t>
      </w:r>
      <w:r>
        <w:rPr>
          <w:rFonts w:hint="eastAsia" w:hAnsi="宋体"/>
        </w:rPr>
        <w:t>1的</w:t>
      </w:r>
      <w:r>
        <w:rPr>
          <w:rFonts w:hAnsi="宋体"/>
        </w:rPr>
        <w:t>要求</w:t>
      </w:r>
      <w:r>
        <w:rPr>
          <w:rFonts w:hint="eastAsia" w:hAnsi="宋体"/>
        </w:rPr>
        <w:t>。</w:t>
      </w:r>
    </w:p>
    <w:p w14:paraId="78EAF76F">
      <w:pPr>
        <w:pStyle w:val="232"/>
        <w:numPr>
          <w:ilvl w:val="0"/>
          <w:numId w:val="32"/>
        </w:numPr>
        <w:spacing w:before="120" w:after="120"/>
      </w:pPr>
      <w:r>
        <w:rPr>
          <w:rFonts w:hint="eastAsia" w:hAnsi="黑体"/>
        </w:rPr>
        <w:t>感官指标</w:t>
      </w:r>
    </w:p>
    <w:tbl>
      <w:tblPr>
        <w:tblStyle w:val="26"/>
        <w:tblW w:w="1005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988"/>
        <w:gridCol w:w="4806"/>
        <w:gridCol w:w="3261"/>
      </w:tblGrid>
      <w:tr w14:paraId="17D17B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8" w:type="dxa"/>
            <w:shd w:val="clear" w:color="auto" w:fill="auto"/>
            <w:vAlign w:val="center"/>
          </w:tcPr>
          <w:p w14:paraId="1B27DD92">
            <w:pPr>
              <w:pStyle w:val="230"/>
              <w:ind w:firstLine="0" w:firstLineChars="0"/>
              <w:jc w:val="center"/>
              <w:rPr>
                <w:rFonts w:hAnsi="宋体"/>
                <w:sz w:val="18"/>
                <w:szCs w:val="18"/>
              </w:rPr>
            </w:pPr>
            <w:r>
              <w:rPr>
                <w:rFonts w:hint="eastAsia" w:hAnsi="宋体"/>
                <w:sz w:val="18"/>
                <w:szCs w:val="18"/>
              </w:rPr>
              <w:t>项目</w:t>
            </w:r>
          </w:p>
        </w:tc>
        <w:tc>
          <w:tcPr>
            <w:tcW w:w="4806" w:type="dxa"/>
            <w:shd w:val="clear" w:color="auto" w:fill="auto"/>
            <w:vAlign w:val="center"/>
          </w:tcPr>
          <w:p w14:paraId="1510C15E">
            <w:pPr>
              <w:pStyle w:val="230"/>
              <w:ind w:firstLine="0" w:firstLineChars="0"/>
              <w:jc w:val="center"/>
              <w:rPr>
                <w:rFonts w:hAnsi="宋体"/>
                <w:sz w:val="18"/>
                <w:szCs w:val="18"/>
              </w:rPr>
            </w:pPr>
            <w:r>
              <w:rPr>
                <w:rFonts w:hint="eastAsia" w:hAnsi="宋体"/>
                <w:sz w:val="18"/>
                <w:szCs w:val="18"/>
              </w:rPr>
              <w:t>指标</w:t>
            </w:r>
          </w:p>
        </w:tc>
        <w:tc>
          <w:tcPr>
            <w:tcW w:w="3261" w:type="dxa"/>
            <w:shd w:val="clear" w:color="auto" w:fill="auto"/>
            <w:vAlign w:val="center"/>
          </w:tcPr>
          <w:p w14:paraId="3EC5153A">
            <w:pPr>
              <w:pStyle w:val="230"/>
              <w:ind w:firstLine="0" w:firstLineChars="0"/>
              <w:jc w:val="center"/>
              <w:rPr>
                <w:rFonts w:hAnsi="宋体"/>
                <w:sz w:val="18"/>
                <w:szCs w:val="18"/>
              </w:rPr>
            </w:pPr>
            <w:r>
              <w:rPr>
                <w:rFonts w:hint="eastAsia" w:hAnsi="宋体"/>
                <w:sz w:val="18"/>
                <w:szCs w:val="18"/>
              </w:rPr>
              <w:t>检测方法</w:t>
            </w:r>
          </w:p>
        </w:tc>
      </w:tr>
      <w:tr w14:paraId="19D5E9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8" w:type="dxa"/>
            <w:shd w:val="clear" w:color="auto" w:fill="auto"/>
            <w:vAlign w:val="center"/>
          </w:tcPr>
          <w:p w14:paraId="32A392C4">
            <w:pPr>
              <w:pStyle w:val="230"/>
              <w:ind w:firstLine="0" w:firstLineChars="0"/>
              <w:jc w:val="center"/>
              <w:rPr>
                <w:rFonts w:hAnsi="宋体"/>
                <w:sz w:val="18"/>
                <w:szCs w:val="18"/>
              </w:rPr>
            </w:pPr>
            <w:r>
              <w:rPr>
                <w:rFonts w:hint="eastAsia" w:hAnsi="宋体"/>
                <w:sz w:val="18"/>
                <w:szCs w:val="18"/>
              </w:rPr>
              <w:t>外观</w:t>
            </w:r>
          </w:p>
        </w:tc>
        <w:tc>
          <w:tcPr>
            <w:tcW w:w="4806" w:type="dxa"/>
            <w:shd w:val="clear" w:color="auto" w:fill="auto"/>
            <w:vAlign w:val="center"/>
          </w:tcPr>
          <w:p w14:paraId="2AEC9396">
            <w:pPr>
              <w:spacing w:line="240" w:lineRule="auto"/>
              <w:jc w:val="center"/>
              <w:rPr>
                <w:rFonts w:hint="eastAsia" w:ascii="宋体" w:hAnsi="宋体"/>
                <w:sz w:val="18"/>
                <w:szCs w:val="18"/>
              </w:rPr>
            </w:pPr>
            <w:r>
              <w:rPr>
                <w:rFonts w:hint="eastAsia" w:ascii="宋体" w:hAnsi="宋体"/>
                <w:sz w:val="18"/>
                <w:szCs w:val="18"/>
              </w:rPr>
              <w:t>均匀</w:t>
            </w:r>
            <w:r>
              <w:rPr>
                <w:rFonts w:ascii="宋体" w:hAnsi="宋体"/>
                <w:sz w:val="18"/>
                <w:szCs w:val="18"/>
              </w:rPr>
              <w:t>液体</w:t>
            </w:r>
          </w:p>
        </w:tc>
        <w:tc>
          <w:tcPr>
            <w:tcW w:w="3261" w:type="dxa"/>
            <w:shd w:val="clear" w:color="auto" w:fill="auto"/>
            <w:vAlign w:val="center"/>
          </w:tcPr>
          <w:p w14:paraId="242457D4">
            <w:pPr>
              <w:spacing w:line="240" w:lineRule="auto"/>
              <w:jc w:val="center"/>
              <w:rPr>
                <w:rFonts w:ascii="宋体" w:hAnsi="宋体"/>
                <w:sz w:val="18"/>
                <w:szCs w:val="18"/>
              </w:rPr>
            </w:pPr>
            <w:r>
              <w:rPr>
                <w:rFonts w:hint="eastAsia" w:ascii="宋体" w:hAnsi="宋体"/>
                <w:sz w:val="18"/>
                <w:szCs w:val="18"/>
              </w:rPr>
              <w:t>目测</w:t>
            </w:r>
          </w:p>
        </w:tc>
      </w:tr>
      <w:tr w14:paraId="700BF0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8" w:type="dxa"/>
            <w:shd w:val="clear" w:color="auto" w:fill="auto"/>
            <w:vAlign w:val="center"/>
          </w:tcPr>
          <w:p w14:paraId="0302F5B1">
            <w:pPr>
              <w:pStyle w:val="230"/>
              <w:ind w:firstLine="0" w:firstLineChars="0"/>
              <w:jc w:val="center"/>
              <w:rPr>
                <w:rFonts w:hAnsi="宋体"/>
                <w:sz w:val="18"/>
                <w:szCs w:val="18"/>
              </w:rPr>
            </w:pPr>
            <w:r>
              <w:rPr>
                <w:rFonts w:hint="eastAsia" w:hAnsi="宋体"/>
                <w:sz w:val="18"/>
                <w:szCs w:val="18"/>
              </w:rPr>
              <w:t>色泽</w:t>
            </w:r>
          </w:p>
        </w:tc>
        <w:tc>
          <w:tcPr>
            <w:tcW w:w="4806" w:type="dxa"/>
            <w:shd w:val="clear" w:color="auto" w:fill="auto"/>
            <w:vAlign w:val="center"/>
          </w:tcPr>
          <w:p w14:paraId="6A06210F">
            <w:pPr>
              <w:spacing w:line="240" w:lineRule="auto"/>
              <w:jc w:val="center"/>
              <w:rPr>
                <w:rFonts w:hint="eastAsia" w:ascii="宋体" w:hAnsi="宋体"/>
                <w:sz w:val="18"/>
                <w:szCs w:val="18"/>
              </w:rPr>
            </w:pPr>
            <w:r>
              <w:rPr>
                <w:rFonts w:hint="eastAsia" w:ascii="宋体" w:hAnsi="宋体"/>
                <w:sz w:val="18"/>
                <w:szCs w:val="18"/>
              </w:rPr>
              <w:t>具有</w:t>
            </w:r>
            <w:r>
              <w:rPr>
                <w:rFonts w:ascii="宋体" w:hAnsi="宋体"/>
                <w:sz w:val="18"/>
                <w:szCs w:val="18"/>
              </w:rPr>
              <w:t>相应品种应有的色泽</w:t>
            </w:r>
          </w:p>
        </w:tc>
        <w:tc>
          <w:tcPr>
            <w:tcW w:w="3261" w:type="dxa"/>
            <w:shd w:val="clear" w:color="auto" w:fill="auto"/>
            <w:vAlign w:val="center"/>
          </w:tcPr>
          <w:p w14:paraId="3361A68F">
            <w:pPr>
              <w:spacing w:line="240" w:lineRule="auto"/>
              <w:jc w:val="center"/>
              <w:rPr>
                <w:rFonts w:ascii="宋体" w:hAnsi="宋体"/>
                <w:sz w:val="18"/>
                <w:szCs w:val="18"/>
              </w:rPr>
            </w:pPr>
            <w:r>
              <w:rPr>
                <w:rFonts w:hint="eastAsia" w:ascii="宋体" w:hAnsi="宋体"/>
                <w:sz w:val="18"/>
                <w:szCs w:val="18"/>
              </w:rPr>
              <w:t>目测</w:t>
            </w:r>
          </w:p>
        </w:tc>
      </w:tr>
      <w:tr w14:paraId="0BEA96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8" w:type="dxa"/>
            <w:shd w:val="clear" w:color="auto" w:fill="auto"/>
            <w:vAlign w:val="center"/>
          </w:tcPr>
          <w:p w14:paraId="058CA87A">
            <w:pPr>
              <w:pStyle w:val="230"/>
              <w:ind w:firstLine="0" w:firstLineChars="0"/>
              <w:jc w:val="center"/>
              <w:rPr>
                <w:rFonts w:hint="eastAsia" w:hAnsi="宋体"/>
                <w:sz w:val="18"/>
                <w:szCs w:val="18"/>
              </w:rPr>
            </w:pPr>
            <w:r>
              <w:rPr>
                <w:rFonts w:hint="eastAsia" w:hAnsi="宋体"/>
                <w:sz w:val="18"/>
                <w:szCs w:val="18"/>
              </w:rPr>
              <w:t>滋味</w:t>
            </w:r>
            <w:r>
              <w:rPr>
                <w:rFonts w:hAnsi="宋体"/>
                <w:sz w:val="18"/>
                <w:szCs w:val="18"/>
              </w:rPr>
              <w:t>及气味</w:t>
            </w:r>
          </w:p>
        </w:tc>
        <w:tc>
          <w:tcPr>
            <w:tcW w:w="4806" w:type="dxa"/>
            <w:shd w:val="clear" w:color="auto" w:fill="auto"/>
            <w:vAlign w:val="center"/>
          </w:tcPr>
          <w:p w14:paraId="3CE8617A">
            <w:pPr>
              <w:spacing w:line="240" w:lineRule="auto"/>
              <w:jc w:val="center"/>
              <w:rPr>
                <w:rFonts w:hint="eastAsia" w:ascii="宋体" w:hAnsi="宋体"/>
                <w:sz w:val="18"/>
                <w:szCs w:val="18"/>
              </w:rPr>
            </w:pPr>
            <w:r>
              <w:rPr>
                <w:rFonts w:hint="eastAsia" w:ascii="宋体" w:hAnsi="宋体"/>
                <w:sz w:val="18"/>
                <w:szCs w:val="18"/>
              </w:rPr>
              <w:t>具有</w:t>
            </w:r>
            <w:r>
              <w:rPr>
                <w:rFonts w:ascii="宋体" w:hAnsi="宋体"/>
                <w:sz w:val="18"/>
                <w:szCs w:val="18"/>
              </w:rPr>
              <w:t>柚子的</w:t>
            </w:r>
            <w:r>
              <w:rPr>
                <w:rFonts w:hint="eastAsia" w:ascii="宋体" w:hAnsi="宋体"/>
                <w:sz w:val="18"/>
                <w:szCs w:val="18"/>
              </w:rPr>
              <w:t>特有</w:t>
            </w:r>
            <w:r>
              <w:rPr>
                <w:rFonts w:ascii="宋体" w:hAnsi="宋体"/>
                <w:sz w:val="18"/>
                <w:szCs w:val="18"/>
              </w:rPr>
              <w:t>的</w:t>
            </w:r>
            <w:r>
              <w:rPr>
                <w:rFonts w:hint="eastAsia" w:ascii="宋体" w:hAnsi="宋体"/>
                <w:sz w:val="18"/>
                <w:szCs w:val="18"/>
              </w:rPr>
              <w:t>香甜</w:t>
            </w:r>
            <w:r>
              <w:rPr>
                <w:rFonts w:ascii="宋体" w:hAnsi="宋体"/>
                <w:sz w:val="18"/>
                <w:szCs w:val="18"/>
              </w:rPr>
              <w:t>味、无异味</w:t>
            </w:r>
          </w:p>
        </w:tc>
        <w:tc>
          <w:tcPr>
            <w:tcW w:w="3261" w:type="dxa"/>
            <w:shd w:val="clear" w:color="auto" w:fill="auto"/>
          </w:tcPr>
          <w:p w14:paraId="09A604C2">
            <w:pPr>
              <w:spacing w:line="240" w:lineRule="auto"/>
              <w:jc w:val="center"/>
              <w:rPr>
                <w:rFonts w:hint="eastAsia" w:ascii="宋体" w:hAnsi="宋体"/>
                <w:sz w:val="18"/>
                <w:szCs w:val="18"/>
              </w:rPr>
            </w:pPr>
            <w:r>
              <w:rPr>
                <w:rFonts w:hint="eastAsia" w:ascii="宋体" w:hAnsi="宋体"/>
                <w:sz w:val="18"/>
                <w:szCs w:val="18"/>
              </w:rPr>
              <w:t>口尝、鼻嗅</w:t>
            </w:r>
          </w:p>
        </w:tc>
      </w:tr>
      <w:tr w14:paraId="1A7871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8" w:type="dxa"/>
            <w:shd w:val="clear" w:color="auto" w:fill="auto"/>
            <w:vAlign w:val="center"/>
          </w:tcPr>
          <w:p w14:paraId="3065AACB">
            <w:pPr>
              <w:pStyle w:val="230"/>
              <w:ind w:firstLine="0" w:firstLineChars="0"/>
              <w:jc w:val="center"/>
              <w:rPr>
                <w:rFonts w:hAnsi="宋体"/>
                <w:sz w:val="18"/>
                <w:szCs w:val="18"/>
              </w:rPr>
            </w:pPr>
            <w:r>
              <w:rPr>
                <w:rFonts w:hint="eastAsia" w:hAnsi="宋体"/>
                <w:sz w:val="18"/>
                <w:szCs w:val="18"/>
              </w:rPr>
              <w:t>杂质</w:t>
            </w:r>
          </w:p>
        </w:tc>
        <w:tc>
          <w:tcPr>
            <w:tcW w:w="4806" w:type="dxa"/>
            <w:shd w:val="clear" w:color="auto" w:fill="auto"/>
            <w:vAlign w:val="center"/>
          </w:tcPr>
          <w:p w14:paraId="77356477">
            <w:pPr>
              <w:spacing w:line="240" w:lineRule="auto"/>
              <w:jc w:val="center"/>
              <w:rPr>
                <w:rFonts w:hint="eastAsia" w:ascii="宋体" w:hAnsi="宋体"/>
                <w:sz w:val="18"/>
                <w:szCs w:val="18"/>
              </w:rPr>
            </w:pPr>
            <w:r>
              <w:rPr>
                <w:rFonts w:hint="eastAsia" w:ascii="宋体" w:hAnsi="宋体"/>
                <w:sz w:val="18"/>
                <w:szCs w:val="18"/>
              </w:rPr>
              <w:t>无肉眼可见</w:t>
            </w:r>
            <w:r>
              <w:rPr>
                <w:rFonts w:ascii="宋体" w:hAnsi="宋体"/>
                <w:sz w:val="18"/>
                <w:szCs w:val="18"/>
              </w:rPr>
              <w:t>外来杂质</w:t>
            </w:r>
          </w:p>
        </w:tc>
        <w:tc>
          <w:tcPr>
            <w:tcW w:w="3261" w:type="dxa"/>
            <w:shd w:val="clear" w:color="auto" w:fill="auto"/>
          </w:tcPr>
          <w:p w14:paraId="692CE052">
            <w:pPr>
              <w:spacing w:line="240" w:lineRule="auto"/>
              <w:jc w:val="center"/>
              <w:rPr>
                <w:rFonts w:ascii="宋体" w:hAnsi="宋体"/>
                <w:sz w:val="18"/>
                <w:szCs w:val="18"/>
              </w:rPr>
            </w:pPr>
            <w:r>
              <w:rPr>
                <w:rFonts w:hint="eastAsia" w:ascii="宋体" w:hAnsi="宋体"/>
                <w:sz w:val="18"/>
                <w:szCs w:val="18"/>
              </w:rPr>
              <w:t>目测</w:t>
            </w:r>
          </w:p>
        </w:tc>
      </w:tr>
    </w:tbl>
    <w:p w14:paraId="68080CD5">
      <w:pPr>
        <w:pStyle w:val="105"/>
        <w:spacing w:before="120" w:after="120"/>
        <w:rPr>
          <w:szCs w:val="21"/>
        </w:rPr>
      </w:pPr>
      <w:r>
        <w:rPr>
          <w:rFonts w:hint="eastAsia"/>
        </w:rPr>
        <w:t>理化指标</w:t>
      </w:r>
    </w:p>
    <w:p w14:paraId="66439694">
      <w:pPr>
        <w:pStyle w:val="56"/>
        <w:ind w:firstLine="420"/>
      </w:pPr>
      <w:r>
        <w:rPr>
          <w:rFonts w:hint="eastAsia" w:hAnsi="宋体"/>
        </w:rPr>
        <w:t>应符合表2的要求。</w:t>
      </w:r>
    </w:p>
    <w:p w14:paraId="27F924CA">
      <w:pPr>
        <w:pStyle w:val="232"/>
        <w:numPr>
          <w:ilvl w:val="0"/>
          <w:numId w:val="32"/>
        </w:numPr>
        <w:spacing w:before="120" w:after="120"/>
      </w:pPr>
      <w:r>
        <w:rPr>
          <w:rFonts w:hint="eastAsia" w:hAnsi="黑体"/>
        </w:rPr>
        <w:t>理化指标</w:t>
      </w:r>
    </w:p>
    <w:tbl>
      <w:tblPr>
        <w:tblStyle w:val="26"/>
        <w:tblW w:w="99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3"/>
        <w:gridCol w:w="4673"/>
        <w:gridCol w:w="3241"/>
      </w:tblGrid>
      <w:tr w14:paraId="0718F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3" w:type="dxa"/>
            <w:tcBorders>
              <w:top w:val="single" w:color="000000" w:sz="4" w:space="0"/>
              <w:left w:val="single" w:color="000000" w:sz="4" w:space="0"/>
              <w:bottom w:val="single" w:color="000000" w:sz="4" w:space="0"/>
              <w:right w:val="single" w:color="000000" w:sz="4" w:space="0"/>
            </w:tcBorders>
            <w:vAlign w:val="center"/>
          </w:tcPr>
          <w:p w14:paraId="1E2E0AC0">
            <w:pPr>
              <w:pStyle w:val="230"/>
              <w:ind w:firstLine="0" w:firstLineChars="0"/>
              <w:jc w:val="center"/>
              <w:rPr>
                <w:rFonts w:hAnsi="宋体"/>
                <w:sz w:val="18"/>
                <w:szCs w:val="18"/>
              </w:rPr>
            </w:pPr>
            <w:r>
              <w:rPr>
                <w:rFonts w:hint="eastAsia" w:hAnsi="宋体"/>
                <w:sz w:val="18"/>
                <w:szCs w:val="18"/>
              </w:rPr>
              <w:t>项目</w:t>
            </w:r>
          </w:p>
        </w:tc>
        <w:tc>
          <w:tcPr>
            <w:tcW w:w="4673" w:type="dxa"/>
            <w:tcBorders>
              <w:top w:val="single" w:color="000000" w:sz="4" w:space="0"/>
              <w:left w:val="single" w:color="000000" w:sz="4" w:space="0"/>
              <w:bottom w:val="single" w:color="000000" w:sz="4" w:space="0"/>
              <w:right w:val="single" w:color="000000" w:sz="4" w:space="0"/>
            </w:tcBorders>
            <w:vAlign w:val="center"/>
          </w:tcPr>
          <w:p w14:paraId="42D29D35">
            <w:pPr>
              <w:pStyle w:val="230"/>
              <w:ind w:firstLine="0" w:firstLineChars="0"/>
              <w:jc w:val="center"/>
              <w:rPr>
                <w:rFonts w:hAnsi="宋体"/>
                <w:sz w:val="18"/>
                <w:szCs w:val="18"/>
              </w:rPr>
            </w:pPr>
            <w:r>
              <w:rPr>
                <w:rFonts w:hint="eastAsia" w:hAnsi="宋体"/>
                <w:sz w:val="18"/>
                <w:szCs w:val="18"/>
              </w:rPr>
              <w:t>指标</w:t>
            </w:r>
          </w:p>
        </w:tc>
        <w:tc>
          <w:tcPr>
            <w:tcW w:w="3241" w:type="dxa"/>
            <w:tcBorders>
              <w:top w:val="single" w:color="000000" w:sz="4" w:space="0"/>
              <w:left w:val="single" w:color="000000" w:sz="4" w:space="0"/>
              <w:bottom w:val="single" w:color="000000" w:sz="4" w:space="0"/>
              <w:right w:val="single" w:color="000000" w:sz="4" w:space="0"/>
            </w:tcBorders>
            <w:vAlign w:val="center"/>
          </w:tcPr>
          <w:p w14:paraId="15AD0256">
            <w:pPr>
              <w:pStyle w:val="230"/>
              <w:ind w:firstLine="0" w:firstLineChars="0"/>
              <w:jc w:val="center"/>
              <w:rPr>
                <w:rFonts w:hAnsi="宋体"/>
                <w:sz w:val="18"/>
                <w:szCs w:val="18"/>
              </w:rPr>
            </w:pPr>
            <w:r>
              <w:rPr>
                <w:rFonts w:hint="eastAsia" w:hAnsi="宋体"/>
                <w:sz w:val="18"/>
                <w:szCs w:val="18"/>
              </w:rPr>
              <w:t>检测方法</w:t>
            </w:r>
          </w:p>
        </w:tc>
      </w:tr>
      <w:tr w14:paraId="4D96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3" w:type="dxa"/>
            <w:tcBorders>
              <w:top w:val="single" w:color="000000" w:sz="4" w:space="0"/>
              <w:left w:val="single" w:color="000000" w:sz="4" w:space="0"/>
              <w:bottom w:val="single" w:color="000000" w:sz="4" w:space="0"/>
              <w:right w:val="single" w:color="000000" w:sz="4" w:space="0"/>
            </w:tcBorders>
            <w:vAlign w:val="center"/>
          </w:tcPr>
          <w:p w14:paraId="721A702C">
            <w:pPr>
              <w:pStyle w:val="230"/>
              <w:ind w:firstLine="0" w:firstLineChars="0"/>
              <w:jc w:val="left"/>
              <w:rPr>
                <w:rFonts w:hAnsi="宋体"/>
                <w:sz w:val="18"/>
                <w:szCs w:val="18"/>
              </w:rPr>
            </w:pPr>
            <w:r>
              <w:rPr>
                <w:rFonts w:hint="eastAsia" w:hAnsi="宋体"/>
                <w:sz w:val="18"/>
                <w:szCs w:val="18"/>
              </w:rPr>
              <w:t>总酸，g/</w:t>
            </w:r>
            <w:r>
              <w:rPr>
                <w:rFonts w:hAnsi="宋体"/>
                <w:sz w:val="18"/>
                <w:szCs w:val="18"/>
              </w:rPr>
              <w:t xml:space="preserve">L        </w:t>
            </w:r>
            <w:r>
              <w:rPr>
                <w:rFonts w:hint="eastAsia" w:hAnsi="宋体"/>
                <w:sz w:val="18"/>
                <w:szCs w:val="18"/>
              </w:rPr>
              <w:t>≤</w:t>
            </w:r>
          </w:p>
        </w:tc>
        <w:tc>
          <w:tcPr>
            <w:tcW w:w="4673" w:type="dxa"/>
            <w:tcBorders>
              <w:top w:val="single" w:color="000000" w:sz="4" w:space="0"/>
              <w:left w:val="single" w:color="000000" w:sz="4" w:space="0"/>
              <w:bottom w:val="single" w:color="000000" w:sz="4" w:space="0"/>
              <w:right w:val="single" w:color="000000" w:sz="4" w:space="0"/>
            </w:tcBorders>
            <w:vAlign w:val="center"/>
          </w:tcPr>
          <w:p w14:paraId="557F77D6">
            <w:pPr>
              <w:pStyle w:val="230"/>
              <w:ind w:firstLine="0" w:firstLineChars="0"/>
              <w:jc w:val="center"/>
              <w:rPr>
                <w:rFonts w:hAnsi="宋体"/>
                <w:sz w:val="18"/>
                <w:szCs w:val="18"/>
              </w:rPr>
            </w:pPr>
            <w:r>
              <w:rPr>
                <w:rFonts w:hint="eastAsia" w:hAnsi="宋体"/>
                <w:sz w:val="18"/>
                <w:szCs w:val="18"/>
              </w:rPr>
              <w:t>4</w:t>
            </w:r>
            <w:r>
              <w:rPr>
                <w:rFonts w:hAnsi="宋体"/>
                <w:sz w:val="18"/>
                <w:szCs w:val="18"/>
              </w:rPr>
              <w:t>.0</w:t>
            </w:r>
          </w:p>
        </w:tc>
        <w:tc>
          <w:tcPr>
            <w:tcW w:w="3241" w:type="dxa"/>
            <w:tcBorders>
              <w:top w:val="single" w:color="000000" w:sz="4" w:space="0"/>
              <w:left w:val="single" w:color="000000" w:sz="4" w:space="0"/>
              <w:bottom w:val="single" w:color="000000" w:sz="4" w:space="0"/>
              <w:right w:val="single" w:color="000000" w:sz="4" w:space="0"/>
            </w:tcBorders>
            <w:vAlign w:val="center"/>
          </w:tcPr>
          <w:p w14:paraId="5329D392">
            <w:pPr>
              <w:pStyle w:val="230"/>
              <w:ind w:firstLine="0" w:firstLineChars="0"/>
              <w:jc w:val="center"/>
              <w:rPr>
                <w:rFonts w:hAnsi="宋体"/>
                <w:sz w:val="18"/>
                <w:szCs w:val="18"/>
              </w:rPr>
            </w:pPr>
          </w:p>
        </w:tc>
      </w:tr>
      <w:tr w14:paraId="499D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3" w:type="dxa"/>
            <w:tcBorders>
              <w:top w:val="single" w:color="000000" w:sz="4" w:space="0"/>
              <w:left w:val="single" w:color="000000" w:sz="4" w:space="0"/>
              <w:bottom w:val="single" w:color="000000" w:sz="4" w:space="0"/>
              <w:right w:val="single" w:color="000000" w:sz="4" w:space="0"/>
            </w:tcBorders>
            <w:vAlign w:val="center"/>
          </w:tcPr>
          <w:p w14:paraId="1817EA31">
            <w:pPr>
              <w:pStyle w:val="230"/>
              <w:ind w:firstLine="0" w:firstLineChars="0"/>
              <w:jc w:val="left"/>
              <w:rPr>
                <w:rFonts w:hAnsi="宋体"/>
                <w:sz w:val="18"/>
                <w:szCs w:val="18"/>
              </w:rPr>
            </w:pPr>
            <w:r>
              <w:rPr>
                <w:rFonts w:hint="eastAsia" w:hAnsi="宋体"/>
                <w:sz w:val="18"/>
                <w:szCs w:val="18"/>
              </w:rPr>
              <w:t>总糖</w:t>
            </w:r>
            <w:r>
              <w:rPr>
                <w:rFonts w:hint="eastAsia" w:hAnsi="宋体"/>
                <w:sz w:val="18"/>
                <w:szCs w:val="18"/>
                <w:lang w:eastAsia="zh-CN"/>
              </w:rPr>
              <w:t>（以葡萄糖计）</w:t>
            </w:r>
            <w:r>
              <w:rPr>
                <w:rFonts w:hint="eastAsia" w:hAnsi="宋体"/>
                <w:sz w:val="18"/>
                <w:szCs w:val="18"/>
              </w:rPr>
              <w:t>，g/100</w:t>
            </w:r>
            <w:r>
              <w:rPr>
                <w:rFonts w:hAnsi="宋体"/>
                <w:sz w:val="18"/>
                <w:szCs w:val="18"/>
              </w:rPr>
              <w:t xml:space="preserve">ml    </w:t>
            </w:r>
            <w:r>
              <w:rPr>
                <w:rFonts w:hint="eastAsia" w:hAnsi="宋体"/>
                <w:sz w:val="18"/>
                <w:szCs w:val="18"/>
              </w:rPr>
              <w:t>≥</w:t>
            </w:r>
          </w:p>
        </w:tc>
        <w:tc>
          <w:tcPr>
            <w:tcW w:w="4673" w:type="dxa"/>
            <w:tcBorders>
              <w:top w:val="single" w:color="000000" w:sz="4" w:space="0"/>
              <w:left w:val="single" w:color="000000" w:sz="4" w:space="0"/>
              <w:bottom w:val="single" w:color="000000" w:sz="4" w:space="0"/>
              <w:right w:val="single" w:color="000000" w:sz="4" w:space="0"/>
            </w:tcBorders>
            <w:vAlign w:val="center"/>
          </w:tcPr>
          <w:p w14:paraId="1041EB54">
            <w:pPr>
              <w:pStyle w:val="230"/>
              <w:ind w:firstLine="0" w:firstLineChars="0"/>
              <w:jc w:val="center"/>
              <w:rPr>
                <w:rFonts w:hAnsi="宋体"/>
                <w:sz w:val="18"/>
                <w:szCs w:val="18"/>
              </w:rPr>
            </w:pPr>
            <w:r>
              <w:rPr>
                <w:rFonts w:hAnsi="宋体"/>
                <w:sz w:val="18"/>
                <w:szCs w:val="18"/>
              </w:rPr>
              <w:t>8.5</w:t>
            </w:r>
          </w:p>
        </w:tc>
        <w:tc>
          <w:tcPr>
            <w:tcW w:w="3241" w:type="dxa"/>
            <w:tcBorders>
              <w:top w:val="single" w:color="000000" w:sz="4" w:space="0"/>
              <w:left w:val="single" w:color="000000" w:sz="4" w:space="0"/>
              <w:bottom w:val="single" w:color="000000" w:sz="4" w:space="0"/>
              <w:right w:val="single" w:color="000000" w:sz="4" w:space="0"/>
            </w:tcBorders>
            <w:vAlign w:val="center"/>
          </w:tcPr>
          <w:p w14:paraId="40FDC742">
            <w:pPr>
              <w:pStyle w:val="230"/>
              <w:ind w:firstLine="0" w:firstLineChars="0"/>
              <w:jc w:val="center"/>
              <w:rPr>
                <w:rFonts w:hint="default" w:hAnsi="宋体" w:eastAsia="宋体"/>
                <w:sz w:val="18"/>
                <w:szCs w:val="18"/>
                <w:lang w:val="en-US" w:eastAsia="zh-CN"/>
              </w:rPr>
            </w:pPr>
            <w:r>
              <w:rPr>
                <w:rFonts w:hint="eastAsia" w:hAnsi="宋体"/>
                <w:sz w:val="18"/>
                <w:szCs w:val="18"/>
                <w:lang w:val="en-US" w:eastAsia="zh-CN"/>
              </w:rPr>
              <w:t>GB 5009.8</w:t>
            </w:r>
            <w:bookmarkStart w:id="66" w:name="_GoBack"/>
            <w:bookmarkEnd w:id="66"/>
          </w:p>
        </w:tc>
      </w:tr>
    </w:tbl>
    <w:p w14:paraId="5881FE53">
      <w:pPr>
        <w:pStyle w:val="105"/>
        <w:spacing w:before="120" w:after="120"/>
        <w:rPr>
          <w:szCs w:val="21"/>
        </w:rPr>
      </w:pPr>
      <w:r>
        <w:rPr>
          <w:rFonts w:hint="eastAsia"/>
        </w:rPr>
        <w:t>安全指标</w:t>
      </w:r>
    </w:p>
    <w:p w14:paraId="57E5B3FB">
      <w:pPr>
        <w:pStyle w:val="56"/>
        <w:ind w:firstLine="420"/>
      </w:pPr>
      <w:r>
        <w:rPr>
          <w:rFonts w:hint="eastAsia" w:hAnsi="宋体"/>
        </w:rPr>
        <w:t>食品</w:t>
      </w:r>
      <w:r>
        <w:rPr>
          <w:rFonts w:hAnsi="宋体"/>
        </w:rPr>
        <w:t>添加剂的使用应符合</w:t>
      </w:r>
      <w:r>
        <w:rPr>
          <w:rFonts w:hint="eastAsia" w:hAnsi="宋体"/>
        </w:rPr>
        <w:t>GB 2760的</w:t>
      </w:r>
      <w:r>
        <w:rPr>
          <w:rFonts w:hAnsi="宋体"/>
        </w:rPr>
        <w:t>规定；污染物限量</w:t>
      </w:r>
      <w:r>
        <w:rPr>
          <w:rFonts w:hint="eastAsia" w:hAnsi="宋体"/>
        </w:rPr>
        <w:t>应符合GB 2762的</w:t>
      </w:r>
      <w:r>
        <w:rPr>
          <w:rFonts w:hAnsi="宋体"/>
        </w:rPr>
        <w:t>规定；</w:t>
      </w:r>
      <w:r>
        <w:rPr>
          <w:rFonts w:hint="eastAsia" w:hAnsi="宋体"/>
        </w:rPr>
        <w:t>真菌</w:t>
      </w:r>
      <w:r>
        <w:rPr>
          <w:rFonts w:hAnsi="宋体"/>
        </w:rPr>
        <w:t>毒素限量应符合</w:t>
      </w:r>
      <w:r>
        <w:rPr>
          <w:rFonts w:hint="eastAsia" w:hAnsi="宋体"/>
        </w:rPr>
        <w:t>GB 2761的</w:t>
      </w:r>
      <w:r>
        <w:rPr>
          <w:rFonts w:hAnsi="宋体"/>
        </w:rPr>
        <w:t>规定。</w:t>
      </w:r>
      <w:r>
        <w:rPr>
          <w:rFonts w:hint="eastAsia" w:hAnsi="宋体"/>
        </w:rPr>
        <w:t>绿色食品</w:t>
      </w:r>
      <w:r>
        <w:rPr>
          <w:rFonts w:hAnsi="宋体"/>
        </w:rPr>
        <w:t>应符合</w:t>
      </w:r>
      <w:r>
        <w:rPr>
          <w:rFonts w:hint="eastAsia" w:hAnsi="宋体"/>
        </w:rPr>
        <w:t xml:space="preserve"> NY/T</w:t>
      </w:r>
      <w:r>
        <w:rPr>
          <w:rFonts w:hAnsi="宋体"/>
        </w:rPr>
        <w:t xml:space="preserve"> 434</w:t>
      </w:r>
      <w:r>
        <w:rPr>
          <w:rFonts w:hint="eastAsia" w:hAnsi="宋体"/>
        </w:rPr>
        <w:t>的</w:t>
      </w:r>
      <w:r>
        <w:rPr>
          <w:rFonts w:hAnsi="宋体"/>
        </w:rPr>
        <w:t>要求</w:t>
      </w:r>
      <w:r>
        <w:rPr>
          <w:rFonts w:hint="eastAsia" w:hAnsi="宋体"/>
        </w:rPr>
        <w:t>，有机产品应符合GB/T 19630 的要求。</w:t>
      </w:r>
    </w:p>
    <w:p w14:paraId="7F2EC887">
      <w:pPr>
        <w:pStyle w:val="105"/>
        <w:spacing w:before="120" w:after="120"/>
      </w:pPr>
      <w:r>
        <w:rPr>
          <w:rFonts w:hint="eastAsia"/>
        </w:rPr>
        <w:t>净含量</w:t>
      </w:r>
    </w:p>
    <w:p w14:paraId="6625F886">
      <w:pPr>
        <w:pStyle w:val="56"/>
        <w:ind w:firstLine="420"/>
      </w:pPr>
      <w:r>
        <w:rPr>
          <w:rFonts w:hint="eastAsia" w:hAnsi="宋体"/>
        </w:rPr>
        <w:t>应符合《定量包装商品计量监督管理办法》的要求，检验方法按照J</w:t>
      </w:r>
      <w:r>
        <w:rPr>
          <w:rFonts w:hint="eastAsia"/>
        </w:rPr>
        <w:t xml:space="preserve">JF 1070 </w:t>
      </w:r>
      <w:r>
        <w:rPr>
          <w:rFonts w:hint="eastAsia" w:hAnsi="宋体"/>
        </w:rPr>
        <w:t>规定执行。</w:t>
      </w:r>
    </w:p>
    <w:p w14:paraId="0D65D426">
      <w:pPr>
        <w:pStyle w:val="104"/>
        <w:spacing w:before="240" w:after="240"/>
      </w:pPr>
      <w:bookmarkStart w:id="55" w:name="_Toc181794596"/>
      <w:bookmarkStart w:id="56" w:name="_Toc198890300"/>
      <w:r>
        <w:rPr>
          <w:rFonts w:hint="eastAsia"/>
        </w:rPr>
        <w:t>检验规则</w:t>
      </w:r>
      <w:bookmarkEnd w:id="55"/>
      <w:bookmarkEnd w:id="56"/>
    </w:p>
    <w:p w14:paraId="3688AF29">
      <w:pPr>
        <w:pStyle w:val="105"/>
        <w:spacing w:before="120" w:after="120"/>
      </w:pPr>
      <w:r>
        <w:rPr>
          <w:rFonts w:hint="eastAsia"/>
        </w:rPr>
        <w:t>组批</w:t>
      </w:r>
    </w:p>
    <w:p w14:paraId="1708CD6D">
      <w:pPr>
        <w:pStyle w:val="56"/>
        <w:ind w:firstLine="420"/>
      </w:pPr>
      <w:r>
        <w:rPr>
          <w:rFonts w:hint="eastAsia" w:hAnsi="宋体"/>
        </w:rPr>
        <w:t>以</w:t>
      </w:r>
      <w:r>
        <w:rPr>
          <w:rFonts w:hAnsi="宋体"/>
        </w:rPr>
        <w:t>同</w:t>
      </w:r>
      <w:r>
        <w:rPr>
          <w:rFonts w:hint="eastAsia" w:hAnsi="宋体"/>
        </w:rPr>
        <w:t>一次</w:t>
      </w:r>
      <w:r>
        <w:rPr>
          <w:rFonts w:hAnsi="宋体"/>
        </w:rPr>
        <w:t>投料、</w:t>
      </w:r>
      <w:r>
        <w:rPr>
          <w:rFonts w:hint="eastAsia" w:hAnsi="宋体"/>
        </w:rPr>
        <w:t>同</w:t>
      </w:r>
      <w:r>
        <w:rPr>
          <w:rFonts w:hAnsi="宋体"/>
        </w:rPr>
        <w:t>一生产线、同一班次生产的产品</w:t>
      </w:r>
      <w:r>
        <w:rPr>
          <w:rFonts w:hint="eastAsia" w:hAnsi="宋体"/>
        </w:rPr>
        <w:t>为一个批次。</w:t>
      </w:r>
    </w:p>
    <w:p w14:paraId="2D4BEA8D">
      <w:pPr>
        <w:pStyle w:val="105"/>
        <w:spacing w:before="120" w:after="120"/>
      </w:pPr>
      <w:r>
        <w:rPr>
          <w:rFonts w:hint="eastAsia"/>
        </w:rPr>
        <w:t>抽样</w:t>
      </w:r>
    </w:p>
    <w:p w14:paraId="5DBA14B2">
      <w:pPr>
        <w:pStyle w:val="230"/>
      </w:pPr>
      <w:r>
        <w:rPr>
          <w:rFonts w:hint="eastAsia" w:hAnsi="宋体"/>
        </w:rPr>
        <w:t>同一批次抽样不少于</w:t>
      </w:r>
      <w:r>
        <w:rPr>
          <w:rFonts w:hAnsi="宋体"/>
        </w:rPr>
        <w:t>6</w:t>
      </w:r>
      <w:r>
        <w:rPr>
          <w:rFonts w:hint="eastAsia" w:hAnsi="宋体"/>
        </w:rPr>
        <w:t>瓶，</w:t>
      </w:r>
      <w:r>
        <w:rPr>
          <w:rFonts w:hAnsi="宋体"/>
        </w:rPr>
        <w:t>抽样总数不少于</w:t>
      </w:r>
      <w:r>
        <w:rPr>
          <w:rFonts w:hint="eastAsia" w:hAnsi="宋体"/>
        </w:rPr>
        <w:t>3L，</w:t>
      </w:r>
      <w:r>
        <w:rPr>
          <w:rFonts w:hAnsi="宋体"/>
        </w:rPr>
        <w:t>分成两份，供检验和复验用</w:t>
      </w:r>
      <w:r>
        <w:rPr>
          <w:rFonts w:hint="eastAsia" w:hAnsi="宋体"/>
        </w:rPr>
        <w:t>。</w:t>
      </w:r>
    </w:p>
    <w:p w14:paraId="6CBBD04E">
      <w:pPr>
        <w:pStyle w:val="105"/>
        <w:spacing w:before="120" w:after="120"/>
      </w:pPr>
      <w:r>
        <w:rPr>
          <w:rFonts w:hint="eastAsia"/>
        </w:rPr>
        <w:t>检验分类</w:t>
      </w:r>
    </w:p>
    <w:p w14:paraId="7B8ED242">
      <w:pPr>
        <w:pStyle w:val="65"/>
        <w:spacing w:before="120" w:after="120"/>
      </w:pPr>
      <w:r>
        <w:rPr>
          <w:rFonts w:hint="eastAsia"/>
        </w:rPr>
        <w:t>出厂</w:t>
      </w:r>
      <w:r>
        <w:t>检验</w:t>
      </w:r>
    </w:p>
    <w:p w14:paraId="059B55D1">
      <w:pPr>
        <w:pStyle w:val="56"/>
        <w:ind w:firstLine="420"/>
      </w:pPr>
      <w:r>
        <w:rPr>
          <w:rFonts w:hint="eastAsia"/>
          <w:color w:val="000000"/>
          <w:szCs w:val="21"/>
        </w:rPr>
        <w:t>每批产品需进行出厂检验合格后，方可出厂。检验项目包括感官指标、总糖、菌落</w:t>
      </w:r>
      <w:r>
        <w:rPr>
          <w:color w:val="000000"/>
          <w:szCs w:val="21"/>
        </w:rPr>
        <w:t>总数、大肠菌群</w:t>
      </w:r>
      <w:r>
        <w:rPr>
          <w:rFonts w:hint="eastAsia"/>
          <w:color w:val="000000"/>
          <w:szCs w:val="21"/>
        </w:rPr>
        <w:t>、净含量。</w:t>
      </w:r>
    </w:p>
    <w:p w14:paraId="676D2AD7">
      <w:pPr>
        <w:pStyle w:val="105"/>
        <w:spacing w:before="120" w:after="120"/>
      </w:pPr>
      <w:r>
        <w:rPr>
          <w:rFonts w:hint="eastAsia"/>
        </w:rPr>
        <w:t>型式检验</w:t>
      </w:r>
    </w:p>
    <w:p w14:paraId="06E32087">
      <w:pPr>
        <w:pStyle w:val="56"/>
        <w:ind w:firstLine="420"/>
        <w:rPr>
          <w:sz w:val="24"/>
          <w:szCs w:val="24"/>
        </w:rPr>
      </w:pPr>
      <w:r>
        <w:rPr>
          <w:rFonts w:hint="eastAsia"/>
        </w:rPr>
        <w:t>型式检验项目为本标准4.3～4.6规定的所有项目，正常生产时，每半年进行一次型式检验。此外有下列情况之一时，也应进行型式检验：</w:t>
      </w:r>
    </w:p>
    <w:p w14:paraId="14D5A84C">
      <w:pPr>
        <w:pStyle w:val="174"/>
        <w:rPr>
          <w:sz w:val="24"/>
          <w:szCs w:val="24"/>
        </w:rPr>
      </w:pPr>
      <w:r>
        <w:rPr>
          <w:rFonts w:hint="eastAsia"/>
        </w:rPr>
        <w:t xml:space="preserve">新产品试制鉴定时； </w:t>
      </w:r>
    </w:p>
    <w:p w14:paraId="3C53CE09">
      <w:pPr>
        <w:pStyle w:val="174"/>
        <w:rPr>
          <w:sz w:val="24"/>
          <w:szCs w:val="24"/>
        </w:rPr>
      </w:pPr>
      <w:r>
        <w:rPr>
          <w:rFonts w:hint="eastAsia"/>
        </w:rPr>
        <w:t xml:space="preserve">正式生产后，如原料、工艺有较大变化，可能影响产品质量时； </w:t>
      </w:r>
    </w:p>
    <w:p w14:paraId="79405E5C">
      <w:pPr>
        <w:pStyle w:val="174"/>
        <w:rPr>
          <w:sz w:val="24"/>
          <w:szCs w:val="24"/>
        </w:rPr>
      </w:pPr>
      <w:r>
        <w:rPr>
          <w:rFonts w:hint="eastAsia"/>
        </w:rPr>
        <w:t xml:space="preserve">长期停产后恢复生产时； </w:t>
      </w:r>
    </w:p>
    <w:p w14:paraId="5B80600A">
      <w:pPr>
        <w:pStyle w:val="174"/>
        <w:rPr>
          <w:sz w:val="24"/>
          <w:szCs w:val="24"/>
        </w:rPr>
      </w:pPr>
      <w:r>
        <w:rPr>
          <w:rFonts w:hint="eastAsia"/>
        </w:rPr>
        <w:t xml:space="preserve">出厂检验结果与上次型式检验结果有较大差异时； </w:t>
      </w:r>
    </w:p>
    <w:p w14:paraId="67B70487">
      <w:pPr>
        <w:pStyle w:val="174"/>
        <w:rPr>
          <w:rFonts w:hint="eastAsia"/>
        </w:rPr>
      </w:pPr>
      <w:r>
        <w:rPr>
          <w:rFonts w:hint="eastAsia"/>
        </w:rPr>
        <w:t>国家有关监管机构、行业协会提出进行型式检验的要求时。</w:t>
      </w:r>
    </w:p>
    <w:p w14:paraId="1F14F3FD">
      <w:pPr>
        <w:pStyle w:val="105"/>
        <w:spacing w:before="120" w:after="120"/>
      </w:pPr>
      <w:r>
        <w:rPr>
          <w:rFonts w:hint="eastAsia"/>
        </w:rPr>
        <w:t>判定规则</w:t>
      </w:r>
    </w:p>
    <w:p w14:paraId="1A91F214">
      <w:pPr>
        <w:pStyle w:val="65"/>
        <w:spacing w:before="120" w:after="120"/>
      </w:pPr>
      <w:r>
        <w:rPr>
          <w:rFonts w:hint="eastAsia"/>
        </w:rPr>
        <w:t>出厂</w:t>
      </w:r>
      <w:r>
        <w:t>检验判定</w:t>
      </w:r>
    </w:p>
    <w:p w14:paraId="320B6F2C">
      <w:pPr>
        <w:pStyle w:val="56"/>
        <w:ind w:firstLine="420"/>
        <w:rPr>
          <w:sz w:val="24"/>
          <w:szCs w:val="24"/>
        </w:rPr>
      </w:pPr>
      <w:r>
        <w:rPr>
          <w:rFonts w:hint="eastAsia"/>
        </w:rPr>
        <w:t xml:space="preserve">出厂检验项目全部符合本文件，判定该批产品符合本文件要求，出厂检验项目如有不合格，可在原批次产品中双倍抽样复验，复验仍不合格的，判定该批产品不符合本文件要求。 </w:t>
      </w:r>
    </w:p>
    <w:p w14:paraId="1B5DF0AF">
      <w:pPr>
        <w:pStyle w:val="65"/>
        <w:spacing w:before="120" w:after="120"/>
        <w:rPr>
          <w:rFonts w:hAnsi="宋体"/>
          <w:sz w:val="24"/>
          <w:szCs w:val="24"/>
        </w:rPr>
      </w:pPr>
      <w:r>
        <w:rPr>
          <w:rFonts w:hint="eastAsia"/>
        </w:rPr>
        <w:t xml:space="preserve">型式检验判定 </w:t>
      </w:r>
    </w:p>
    <w:p w14:paraId="6FFE38C5">
      <w:pPr>
        <w:pStyle w:val="56"/>
        <w:ind w:firstLine="420"/>
        <w:rPr>
          <w:rFonts w:hint="eastAsia"/>
          <w:sz w:val="24"/>
          <w:szCs w:val="24"/>
        </w:rPr>
      </w:pPr>
      <w:r>
        <w:rPr>
          <w:rFonts w:hint="eastAsia"/>
        </w:rPr>
        <w:t>型式检验项目全部符合本文件，判定该批产品符合本文件要求。型式检验如有不合格项目，可在原批次产品中双倍抽样复验，复验仍不合格的，判定该批产品不符合本文件要求。如有安全指标不合格，直接判定</w:t>
      </w:r>
      <w:r>
        <w:t>为不合格。</w:t>
      </w:r>
    </w:p>
    <w:p w14:paraId="248D7973">
      <w:pPr>
        <w:pStyle w:val="104"/>
        <w:spacing w:before="240" w:after="240"/>
      </w:pPr>
      <w:bookmarkStart w:id="57" w:name="_Toc181794597"/>
      <w:bookmarkStart w:id="58" w:name="_Toc198890301"/>
      <w:r>
        <w:rPr>
          <w:rFonts w:hint="eastAsia"/>
        </w:rPr>
        <w:t>标志与标签</w:t>
      </w:r>
      <w:bookmarkEnd w:id="57"/>
      <w:bookmarkEnd w:id="58"/>
    </w:p>
    <w:p w14:paraId="23F1DAE7">
      <w:pPr>
        <w:pStyle w:val="56"/>
        <w:ind w:firstLine="420"/>
      </w:pPr>
      <w:r>
        <w:rPr>
          <w:rFonts w:hint="eastAsia"/>
          <w:color w:val="000000"/>
          <w:szCs w:val="21"/>
        </w:rPr>
        <w:t>产品标签应符合 GB 7718、GB 28050 的规定。包装储运图示标志应符合 GB/T 191 的规定。</w:t>
      </w:r>
    </w:p>
    <w:p w14:paraId="0CB3D2E1">
      <w:pPr>
        <w:pStyle w:val="104"/>
        <w:spacing w:before="240" w:after="240"/>
      </w:pPr>
      <w:bookmarkStart w:id="59" w:name="_Toc198890302"/>
      <w:r>
        <w:rPr>
          <w:rFonts w:hint="eastAsia"/>
        </w:rPr>
        <w:t>包装</w:t>
      </w:r>
      <w:bookmarkEnd w:id="59"/>
    </w:p>
    <w:p w14:paraId="5551CF83">
      <w:pPr>
        <w:widowControl/>
        <w:adjustRightInd/>
        <w:spacing w:line="240" w:lineRule="auto"/>
        <w:jc w:val="left"/>
        <w:rPr>
          <w:rFonts w:ascii="黑体" w:hAnsi="Times New Roman" w:eastAsia="黑体"/>
          <w:szCs w:val="20"/>
        </w:rPr>
      </w:pPr>
      <w:r>
        <w:rPr>
          <w:rFonts w:hint="eastAsia" w:ascii="宋体" w:hAnsi="宋体" w:cs="宋体"/>
          <w:color w:val="000000"/>
          <w:kern w:val="0"/>
        </w:rPr>
        <w:t>包装材料应符合 GB/T 8946、GB 4806.7、GB 9683 的规定，包装应牢固、防潮、整洁。绿色食品</w:t>
      </w:r>
      <w:r>
        <w:rPr>
          <w:rFonts w:hint="eastAsia"/>
        </w:rPr>
        <w:t xml:space="preserve">应符合 NY/T </w:t>
      </w:r>
      <w:r>
        <w:t>434</w:t>
      </w:r>
      <w:r>
        <w:rPr>
          <w:rFonts w:hint="eastAsia"/>
        </w:rPr>
        <w:t xml:space="preserve"> 的要求，有机产品应符合 GB/T 19630 的要求，销售包装应符合 GB 23350 的规定。</w:t>
      </w:r>
    </w:p>
    <w:p w14:paraId="1C31B8BA">
      <w:pPr>
        <w:pStyle w:val="104"/>
        <w:spacing w:before="240" w:after="240"/>
      </w:pPr>
      <w:bookmarkStart w:id="60" w:name="_Toc198890303"/>
      <w:r>
        <w:rPr>
          <w:rFonts w:hint="eastAsia"/>
        </w:rPr>
        <w:t>运输</w:t>
      </w:r>
      <w:bookmarkEnd w:id="60"/>
    </w:p>
    <w:p w14:paraId="1EFCFC3F">
      <w:pPr>
        <w:pStyle w:val="56"/>
        <w:ind w:firstLine="420"/>
      </w:pPr>
      <w:r>
        <w:rPr>
          <w:rFonts w:hint="eastAsia"/>
        </w:rPr>
        <w:t xml:space="preserve">运输工具应清洁、干燥、无异味。产品不应与有毒、有害、有异味的物品混运，应防雨、防晒。绿色食品应符合NY/T </w:t>
      </w:r>
      <w:r>
        <w:t>434</w:t>
      </w:r>
      <w:r>
        <w:rPr>
          <w:rFonts w:hint="eastAsia"/>
        </w:rPr>
        <w:t>的要求，有机产品应符合GB/T 19630 的要求。运输中应轻装、轻卸，不应重压。</w:t>
      </w:r>
    </w:p>
    <w:p w14:paraId="379A4F3C">
      <w:pPr>
        <w:pStyle w:val="104"/>
        <w:spacing w:before="240" w:after="240"/>
      </w:pPr>
      <w:bookmarkStart w:id="61" w:name="_Toc198890304"/>
      <w:r>
        <w:rPr>
          <w:rFonts w:hint="eastAsia"/>
        </w:rPr>
        <w:t>贮存</w:t>
      </w:r>
      <w:bookmarkEnd w:id="61"/>
    </w:p>
    <w:p w14:paraId="629087C7">
      <w:pPr>
        <w:pStyle w:val="56"/>
        <w:ind w:firstLine="420"/>
      </w:pPr>
      <w:r>
        <w:rPr>
          <w:rFonts w:hint="eastAsia"/>
        </w:rPr>
        <w:t xml:space="preserve">应贮存在清洁卫生、凉爽干燥的仓库中，仓库内有防尘、防蝇、防鼠等设施。产品应与墙壁、地面保持适当的距离，以利于空气流通和物品搬运。绿色食品应符合 NY/T </w:t>
      </w:r>
      <w:r>
        <w:t>434</w:t>
      </w:r>
      <w:r>
        <w:rPr>
          <w:rFonts w:hint="eastAsia"/>
        </w:rPr>
        <w:t xml:space="preserve"> 的要求，有机产品应符合 GB/T 19630 的要求。</w:t>
      </w:r>
    </w:p>
    <w:p w14:paraId="06C3562F">
      <w:pPr>
        <w:pStyle w:val="56"/>
        <w:ind w:firstLine="420"/>
        <w:sectPr>
          <w:pgSz w:w="11906" w:h="16838"/>
          <w:pgMar w:top="1928" w:right="1134" w:bottom="1134" w:left="1134" w:header="1418" w:footer="1134" w:gutter="284"/>
          <w:pgNumType w:start="1"/>
          <w:cols w:space="425" w:num="1"/>
          <w:formProt w:val="0"/>
          <w:docGrid w:linePitch="312" w:charSpace="0"/>
        </w:sectPr>
      </w:pPr>
    </w:p>
    <w:bookmarkEnd w:id="25"/>
    <w:p w14:paraId="2C837C87">
      <w:pPr>
        <w:pStyle w:val="198"/>
        <w:rPr>
          <w:vanish w:val="0"/>
        </w:rPr>
      </w:pPr>
      <w:bookmarkStart w:id="62" w:name="BookMark5"/>
    </w:p>
    <w:p w14:paraId="6B905C9B">
      <w:pPr>
        <w:pStyle w:val="199"/>
        <w:rPr>
          <w:vanish w:val="0"/>
        </w:rPr>
      </w:pPr>
    </w:p>
    <w:p w14:paraId="18B9C8D7">
      <w:pPr>
        <w:pStyle w:val="76"/>
        <w:spacing w:after="120"/>
      </w:pPr>
      <w:r>
        <w:br w:type="textWrapping"/>
      </w:r>
      <w:bookmarkStart w:id="63" w:name="_Toc181794598"/>
      <w:bookmarkStart w:id="64" w:name="_Toc198890305"/>
      <w:r>
        <w:rPr>
          <w:rFonts w:hint="eastAsia"/>
        </w:rPr>
        <w:t>（规范性）</w:t>
      </w:r>
      <w:r>
        <w:br w:type="textWrapping"/>
      </w:r>
      <w:r>
        <w:rPr>
          <w:rFonts w:hint="eastAsia"/>
        </w:rPr>
        <w:t>井冈山双柚汁加工区域范围图</w:t>
      </w:r>
      <w:bookmarkEnd w:id="63"/>
      <w:bookmarkEnd w:id="64"/>
    </w:p>
    <w:p w14:paraId="2C70F773">
      <w:pPr>
        <w:pStyle w:val="56"/>
        <w:ind w:firstLine="420"/>
        <w:jc w:val="center"/>
      </w:pPr>
      <w:r>
        <w:drawing>
          <wp:inline distT="0" distB="0" distL="0" distR="0">
            <wp:extent cx="3599815" cy="5088890"/>
            <wp:effectExtent l="0" t="0" r="635" b="0"/>
            <wp:docPr id="3" name="图片 3" descr="9088d411e10f7694c1f0f097cd5a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088d411e10f7694c1f0f097cd5a0a2"/>
                    <pic:cNvPicPr>
                      <a:picLocks noChangeAspect="1"/>
                    </pic:cNvPicPr>
                  </pic:nvPicPr>
                  <pic:blipFill>
                    <a:blip r:embed="rId17"/>
                    <a:stretch>
                      <a:fillRect/>
                    </a:stretch>
                  </pic:blipFill>
                  <pic:spPr>
                    <a:xfrm>
                      <a:off x="0" y="0"/>
                      <a:ext cx="3599815" cy="5088890"/>
                    </a:xfrm>
                    <a:prstGeom prst="rect">
                      <a:avLst/>
                    </a:prstGeom>
                  </pic:spPr>
                </pic:pic>
              </a:graphicData>
            </a:graphic>
          </wp:inline>
        </w:drawing>
      </w:r>
    </w:p>
    <w:p w14:paraId="2F529FD6">
      <w:pPr>
        <w:pStyle w:val="83"/>
        <w:spacing w:before="120" w:after="120"/>
      </w:pPr>
      <w:r>
        <w:rPr>
          <w:rFonts w:hint="eastAsia"/>
        </w:rPr>
        <w:t>井冈山双柚汁加工区域范围图</w:t>
      </w:r>
      <w:r>
        <w:t xml:space="preserve"> </w:t>
      </w:r>
    </w:p>
    <w:bookmarkEnd w:id="62"/>
    <w:p w14:paraId="11DC33E9">
      <w:pPr>
        <w:pStyle w:val="56"/>
        <w:ind w:firstLine="0" w:firstLineChars="0"/>
        <w:jc w:val="center"/>
      </w:pPr>
      <w:bookmarkStart w:id="65" w:name="BookMark8"/>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CC6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DAE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885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7919">
    <w:pPr>
      <w:pStyle w:val="52"/>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2FB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3FF4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FE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5A94">
    <w:pPr>
      <w:pStyle w:val="61"/>
    </w:pPr>
    <w:r>
      <w:fldChar w:fldCharType="begin"/>
    </w:r>
    <w:r>
      <w:instrText xml:space="preserve"> STYLEREF  标准文件_文件编号  \* MERGEFORMAT </w:instrText>
    </w:r>
    <w:r>
      <w:fldChar w:fldCharType="separate"/>
    </w:r>
    <w:r>
      <w:t>T/JALNCP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384D">
    <w:pPr>
      <w:pStyle w:val="18"/>
      <w:jc w:val="right"/>
    </w:pPr>
    <w:r>
      <w:fldChar w:fldCharType="begin"/>
    </w:r>
    <w:r>
      <w:instrText xml:space="preserve"> STYLEREF  标准文件_文件编号  \* MERGEFORMAT </w:instrText>
    </w:r>
    <w:r>
      <w:fldChar w:fldCharType="separate"/>
    </w:r>
    <w:r>
      <w:t>T/JALNCP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EFF7327"/>
    <w:multiLevelType w:val="multilevel"/>
    <w:tmpl w:val="3EFF7327"/>
    <w:lvl w:ilvl="0" w:tentative="0">
      <w:start w:val="1"/>
      <w:numFmt w:val="decimal"/>
      <w:suff w:val="nothing"/>
      <w:lvlText w:val="表%1　"/>
      <w:lvlJc w:val="left"/>
      <w:pPr>
        <w:ind w:left="0" w:firstLine="0"/>
      </w:pPr>
      <w:rPr>
        <w:rFonts w:hint="default" w:ascii="Times New Roman" w:hAnsi="Times New Roman" w:cs="Times New Roman"/>
      </w:rPr>
    </w:lvl>
    <w:lvl w:ilvl="1" w:tentative="0">
      <w:start w:val="1"/>
      <w:numFmt w:val="decimal"/>
      <w:lvlText w:val="%1.%2"/>
      <w:lvlJc w:val="left"/>
      <w:pPr>
        <w:tabs>
          <w:tab w:val="left" w:pos="992"/>
        </w:tabs>
        <w:ind w:left="992" w:hanging="567"/>
      </w:pPr>
      <w:rPr>
        <w:rFonts w:hint="default" w:ascii="Times New Roman" w:hAnsi="Times New Roman" w:cs="Times New Roman"/>
      </w:rPr>
    </w:lvl>
    <w:lvl w:ilvl="2" w:tentative="0">
      <w:start w:val="1"/>
      <w:numFmt w:val="decimal"/>
      <w:lvlText w:val="%1.%2.%3"/>
      <w:lvlJc w:val="left"/>
      <w:pPr>
        <w:tabs>
          <w:tab w:val="left" w:pos="1417"/>
        </w:tabs>
        <w:ind w:left="1417"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1.%2.%3.%4.%5"/>
      <w:lvlJc w:val="left"/>
      <w:pPr>
        <w:tabs>
          <w:tab w:val="left" w:pos="2551"/>
        </w:tabs>
        <w:ind w:left="2551" w:hanging="850"/>
      </w:pPr>
      <w:rPr>
        <w:rFonts w:hint="default" w:ascii="Times New Roman" w:hAnsi="Times New Roman" w:cs="Times New Roman"/>
      </w:rPr>
    </w:lvl>
    <w:lvl w:ilvl="5" w:tentative="0">
      <w:start w:val="1"/>
      <w:numFmt w:val="decimal"/>
      <w:lvlText w:val="%1.%2.%3.%4.%5.%6"/>
      <w:lvlJc w:val="left"/>
      <w:pPr>
        <w:tabs>
          <w:tab w:val="left" w:pos="3260"/>
        </w:tabs>
        <w:ind w:left="3260" w:hanging="1134"/>
      </w:pPr>
      <w:rPr>
        <w:rFonts w:hint="default" w:ascii="Times New Roman" w:hAnsi="Times New Roman" w:cs="Times New Roman"/>
      </w:rPr>
    </w:lvl>
    <w:lvl w:ilvl="6" w:tentative="0">
      <w:start w:val="1"/>
      <w:numFmt w:val="decimal"/>
      <w:lvlText w:val="%1.%2.%3.%4.%5.%6.%7"/>
      <w:lvlJc w:val="left"/>
      <w:pPr>
        <w:tabs>
          <w:tab w:val="left" w:pos="3827"/>
        </w:tabs>
        <w:ind w:left="3827" w:hanging="1276"/>
      </w:pPr>
      <w:rPr>
        <w:rFonts w:hint="default" w:ascii="Times New Roman" w:hAnsi="Times New Roman" w:cs="Times New Roman"/>
      </w:rPr>
    </w:lvl>
    <w:lvl w:ilvl="7" w:tentative="0">
      <w:start w:val="1"/>
      <w:numFmt w:val="decimal"/>
      <w:lvlText w:val="%1.%2.%3.%4.%5.%6.%7.%8"/>
      <w:lvlJc w:val="left"/>
      <w:pPr>
        <w:tabs>
          <w:tab w:val="left" w:pos="4394"/>
        </w:tabs>
        <w:ind w:left="4394" w:hanging="1418"/>
      </w:pPr>
      <w:rPr>
        <w:rFonts w:hint="default" w:ascii="Times New Roman" w:hAnsi="Times New Roman" w:cs="Times New Roman"/>
      </w:rPr>
    </w:lvl>
    <w:lvl w:ilvl="8" w:tentative="0">
      <w:start w:val="1"/>
      <w:numFmt w:val="decimal"/>
      <w:lvlText w:val="%1.%2.%3.%4.%5.%6.%7.%8.%9"/>
      <w:lvlJc w:val="left"/>
      <w:pPr>
        <w:tabs>
          <w:tab w:val="left" w:pos="5102"/>
        </w:tabs>
        <w:ind w:left="5102" w:hanging="1700"/>
      </w:pPr>
      <w:rPr>
        <w:rFonts w:hint="default" w:ascii="Times New Roman" w:hAnsi="Times New Roman" w:cs="Times New Roman"/>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GHOWglGveFTsU/dWN0/GHWaJCS8tWqJfpKNEqB1ER/jB04BZC77+RL5cm+W1bEclUBqLG4MYByBPQk0yLYNTkg==" w:salt="JKCeJ9PtJ4MKbjw9nDO6d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F7"/>
    <w:rsid w:val="0000040A"/>
    <w:rsid w:val="0000081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EF5"/>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442F"/>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85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218"/>
    <w:rsid w:val="00481C44"/>
    <w:rsid w:val="00484936"/>
    <w:rsid w:val="00485C89"/>
    <w:rsid w:val="00486BE3"/>
    <w:rsid w:val="004905E4"/>
    <w:rsid w:val="00490A89"/>
    <w:rsid w:val="00490AB4"/>
    <w:rsid w:val="0049269A"/>
    <w:rsid w:val="00492F02"/>
    <w:rsid w:val="004939AE"/>
    <w:rsid w:val="00497EA5"/>
    <w:rsid w:val="004A12DF"/>
    <w:rsid w:val="004A1BA8"/>
    <w:rsid w:val="004A4B57"/>
    <w:rsid w:val="004A63FA"/>
    <w:rsid w:val="004A6A3D"/>
    <w:rsid w:val="004B0272"/>
    <w:rsid w:val="004B2701"/>
    <w:rsid w:val="004B2E1B"/>
    <w:rsid w:val="004B3AA8"/>
    <w:rsid w:val="004B3E3F"/>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5C8"/>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0EA8"/>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6E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186"/>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210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7F7"/>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095"/>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AFF"/>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364"/>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283"/>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34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B79"/>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5825"/>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4BC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1">
    <w:name w:val="一级条标题"/>
    <w:basedOn w:val="1"/>
    <w:next w:val="1"/>
    <w:qFormat/>
    <w:uiPriority w:val="0"/>
    <w:pPr>
      <w:widowControl/>
      <w:adjustRightInd/>
      <w:spacing w:beforeLines="50" w:afterLines="50" w:line="240" w:lineRule="auto"/>
      <w:jc w:val="left"/>
      <w:outlineLvl w:val="2"/>
    </w:pPr>
    <w:rPr>
      <w:rFonts w:ascii="黑体" w:hAnsi="Times New Roman" w:eastAsia="黑体"/>
      <w:kern w:val="0"/>
    </w:rPr>
  </w:style>
  <w:style w:type="paragraph" w:customStyle="1" w:styleId="232">
    <w:name w:val="正文表标题"/>
    <w:basedOn w:val="1"/>
    <w:next w:val="230"/>
    <w:qFormat/>
    <w:uiPriority w:val="0"/>
    <w:pPr>
      <w:widowControl/>
      <w:adjustRightInd/>
      <w:spacing w:beforeLines="50" w:afterLines="50" w:line="240" w:lineRule="auto"/>
      <w:jc w:val="center"/>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9FE909FCBD434AA252614E6314E85A"/>
        <w:style w:val=""/>
        <w:category>
          <w:name w:val="常规"/>
          <w:gallery w:val="placeholder"/>
        </w:category>
        <w:types>
          <w:type w:val="bbPlcHdr"/>
        </w:types>
        <w:behaviors>
          <w:behavior w:val="content"/>
        </w:behaviors>
        <w:description w:val=""/>
        <w:guid w:val="{A933F94B-AFEA-4503-B070-9879837328C7}"/>
      </w:docPartPr>
      <w:docPartBody>
        <w:p w14:paraId="01A711AF">
          <w:pPr>
            <w:pStyle w:val="5"/>
          </w:pPr>
          <w:r>
            <w:rPr>
              <w:rStyle w:val="4"/>
              <w:rFonts w:hint="eastAsia"/>
            </w:rPr>
            <w:t>单击或点击此处输入文字。</w:t>
          </w:r>
        </w:p>
      </w:docPartBody>
    </w:docPart>
    <w:docPart>
      <w:docPartPr>
        <w:name w:val="8D2858282F3848F58E8EAEE8181B14A8"/>
        <w:style w:val=""/>
        <w:category>
          <w:name w:val="常规"/>
          <w:gallery w:val="placeholder"/>
        </w:category>
        <w:types>
          <w:type w:val="bbPlcHdr"/>
        </w:types>
        <w:behaviors>
          <w:behavior w:val="content"/>
        </w:behaviors>
        <w:description w:val=""/>
        <w:guid w:val="{22E81C38-DCEA-4A67-ABB6-C73892AD7FBC}"/>
      </w:docPartPr>
      <w:docPartBody>
        <w:p w14:paraId="48109869">
          <w:pPr>
            <w:pStyle w:val="6"/>
          </w:pPr>
          <w:r>
            <w:rPr>
              <w:rStyle w:val="4"/>
              <w:rFonts w:hint="eastAsia"/>
            </w:rPr>
            <w:t>选择一项。</w:t>
          </w:r>
        </w:p>
      </w:docPartBody>
    </w:docPart>
    <w:docPart>
      <w:docPartPr>
        <w:name w:val="451DCBEE146748E19549B0EC08EC2235"/>
        <w:style w:val=""/>
        <w:category>
          <w:name w:val="常规"/>
          <w:gallery w:val="placeholder"/>
        </w:category>
        <w:types>
          <w:type w:val="bbPlcHdr"/>
        </w:types>
        <w:behaviors>
          <w:behavior w:val="content"/>
        </w:behaviors>
        <w:description w:val=""/>
        <w:guid w:val="{ABE47980-26C9-49B6-B9FF-C31F6125D901}"/>
      </w:docPartPr>
      <w:docPartBody>
        <w:p w14:paraId="3BD2A14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3E"/>
    <w:rsid w:val="00204733"/>
    <w:rsid w:val="002067FC"/>
    <w:rsid w:val="0038106C"/>
    <w:rsid w:val="003911AA"/>
    <w:rsid w:val="00404872"/>
    <w:rsid w:val="0057253E"/>
    <w:rsid w:val="008C6D68"/>
    <w:rsid w:val="00E44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79FE909FCBD434AA252614E6314E8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D2858282F3848F58E8EAEE8181B14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51DCBEE146748E19549B0EC08EC223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AB5E6-2F13-4DA1-A950-89E120EAC2A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2076</Words>
  <Characters>2447</Characters>
  <Lines>27</Lines>
  <Paragraphs>7</Paragraphs>
  <TotalTime>113</TotalTime>
  <ScaleCrop>false</ScaleCrop>
  <LinksUpToDate>false</LinksUpToDate>
  <CharactersWithSpaces>2626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2024-11-06T05:40:00Z</dcterms:created>
  <dc:creator>Administrator</dc:creator>
  <dc:description>&lt;config cover="true" show_menu="true" version="1.0.0" doctype="SDKXY"&gt;_x000d_
&lt;/config&gt;</dc:description>
  <cp:lastModifiedBy>青春</cp:lastModifiedBy>
  <cp:lastPrinted>2021-02-02T08:22:00Z</cp:lastPrinted>
  <dcterms:modified xsi:type="dcterms:W3CDTF">2025-05-26T01:07:16Z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eyJoZGlkIjoiOWQ3YjViN2E1M2IwZTJhNDVkMTBjZDQxODBhODhlNGEiLCJ1c2VySWQiOiI0NTc1NzgwNTAifQ==</vt:lpwstr>
  </property>
  <property fmtid="{D5CDD505-2E9C-101B-9397-08002B2CF9AE}" pid="15" name="KSOProductBuildVer">
    <vt:lpwstr>2052-12.1.0.21171</vt:lpwstr>
  </property>
  <property fmtid="{D5CDD505-2E9C-101B-9397-08002B2CF9AE}" pid="16" name="ICV">
    <vt:lpwstr>C427CF97F0724ADD99D8A13A9030E6D3_12</vt:lpwstr>
  </property>
</Properties>
</file>