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917FF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917FFC" w:rsidRPr="00672BFD">
              <w:rPr>
                <w:rFonts w:ascii="黑体" w:eastAsia="黑体" w:hAnsi="黑体"/>
                <w:sz w:val="21"/>
                <w:szCs w:val="21"/>
              </w:rPr>
            </w:r>
            <w:r w:rsidRPr="00672BFD">
              <w:rPr>
                <w:rFonts w:ascii="黑体" w:eastAsia="黑体" w:hAnsi="黑体"/>
                <w:sz w:val="21"/>
                <w:szCs w:val="21"/>
              </w:rPr>
              <w:fldChar w:fldCharType="separate"/>
            </w:r>
            <w:r w:rsidR="00917FFC">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917FFC">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917FF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917FFC" w:rsidRPr="00672BFD">
              <w:rPr>
                <w:rFonts w:ascii="黑体" w:eastAsia="黑体" w:hAnsi="黑体"/>
                <w:sz w:val="21"/>
                <w:szCs w:val="21"/>
              </w:rPr>
            </w:r>
            <w:r w:rsidRPr="00672BFD">
              <w:rPr>
                <w:rFonts w:ascii="黑体" w:eastAsia="黑体" w:hAnsi="黑体"/>
                <w:sz w:val="21"/>
                <w:szCs w:val="21"/>
              </w:rPr>
              <w:fldChar w:fldCharType="separate"/>
            </w:r>
            <w:r w:rsidR="00917FFC">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917FFC">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917FFC">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A77F7">
        <w:t>井冈山</w:t>
      </w:r>
      <w:r w:rsidR="00917FFC">
        <w:rPr>
          <w:rFonts w:hint="eastAsia"/>
        </w:rPr>
        <w:t>生菜</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917FFC">
        <w:rPr>
          <w:rFonts w:eastAsia="黑体"/>
          <w:noProof/>
          <w:szCs w:val="28"/>
        </w:rPr>
        <w:t>L</w:t>
      </w:r>
      <w:r w:rsidR="00917FFC" w:rsidRPr="00917FFC">
        <w:rPr>
          <w:rFonts w:eastAsia="黑体"/>
          <w:noProof/>
          <w:szCs w:val="28"/>
        </w:rPr>
        <w:t>ettuce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917FFC">
        <w:rPr>
          <w:noProof/>
          <w:sz w:val="24"/>
          <w:szCs w:val="28"/>
        </w:rPr>
      </w:r>
      <w:r w:rsidR="009B412C">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F3364">
        <w:rPr>
          <w:noProof/>
          <w:sz w:val="21"/>
          <w:szCs w:val="28"/>
        </w:rPr>
        <w:t> </w:t>
      </w:r>
      <w:r w:rsidR="00AF3364">
        <w:rPr>
          <w:noProof/>
          <w:sz w:val="21"/>
          <w:szCs w:val="28"/>
        </w:rPr>
        <w:t> </w:t>
      </w:r>
      <w:r w:rsidR="00AF3364">
        <w:rPr>
          <w:noProof/>
          <w:sz w:val="21"/>
          <w:szCs w:val="28"/>
        </w:rPr>
        <w:t> </w:t>
      </w:r>
      <w:r w:rsidR="00AF3364">
        <w:rPr>
          <w:noProof/>
          <w:sz w:val="21"/>
          <w:szCs w:val="28"/>
        </w:rPr>
        <w:t> </w:t>
      </w:r>
      <w:r w:rsidR="00AF3364">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9B412C">
        <w:rPr>
          <w:b/>
          <w:noProof/>
          <w:sz w:val="21"/>
          <w:szCs w:val="28"/>
        </w:rPr>
      </w:r>
      <w:r w:rsidR="009B412C">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w:t>
      </w:r>
      <w:r w:rsidR="00917FFC">
        <w:rPr>
          <w:rFonts w:ascii="黑体"/>
        </w:rPr>
        <w:t>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sidR="00917FFC">
        <w:rPr>
          <w:rFonts w:ascii="黑体"/>
        </w:rPr>
      </w:r>
      <w:r>
        <w:rPr>
          <w:rFonts w:ascii="黑体"/>
        </w:rPr>
        <w:fldChar w:fldCharType="separate"/>
      </w:r>
      <w:r w:rsidR="00917FFC">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w:t>
      </w:r>
      <w:r w:rsidR="00917FFC">
        <w:rPr>
          <w:rFonts w:ascii="黑体"/>
        </w:rPr>
        <w:t>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sidR="00917FFC">
        <w:rPr>
          <w:rFonts w:ascii="黑体"/>
        </w:rPr>
      </w:r>
      <w:r>
        <w:rPr>
          <w:rFonts w:ascii="黑体"/>
        </w:rPr>
        <w:fldChar w:fldCharType="separate"/>
      </w:r>
      <w:r w:rsidR="00917FFC">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BookMark2"/>
      <w:r w:rsidRPr="008A77F7">
        <w:rPr>
          <w:spacing w:val="320"/>
        </w:rPr>
        <w:lastRenderedPageBreak/>
        <w:t>前</w:t>
      </w:r>
      <w:r>
        <w:t>言</w:t>
      </w:r>
      <w:bookmarkEnd w:id="21"/>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917FF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4" w:name="NEW_STAND_NAME" w:displacedByCustomXml="prev"/>
        <w:p w:rsidR="00F26B7E" w:rsidRPr="00F26B7E" w:rsidRDefault="00917FFC" w:rsidP="00917FFC">
          <w:pPr>
            <w:pStyle w:val="afffffffff8"/>
            <w:spacing w:beforeLines="100" w:before="240" w:afterLines="220" w:after="528"/>
          </w:pPr>
          <w:r>
            <w:rPr>
              <w:rFonts w:hint="eastAsia"/>
            </w:rPr>
            <w:t>井冈山生菜</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1794592"/>
      <w:r>
        <w:rPr>
          <w:rFonts w:hint="eastAsia"/>
        </w:rPr>
        <w:t>范围</w:t>
      </w:r>
      <w:bookmarkEnd w:id="25"/>
      <w:bookmarkEnd w:id="26"/>
      <w:bookmarkEnd w:id="27"/>
      <w:bookmarkEnd w:id="28"/>
      <w:bookmarkEnd w:id="29"/>
      <w:bookmarkEnd w:id="30"/>
      <w:bookmarkEnd w:id="31"/>
      <w:bookmarkEnd w:id="32"/>
      <w:bookmarkEnd w:id="33"/>
      <w:bookmarkEnd w:id="34"/>
    </w:p>
    <w:p w:rsidR="008A77F7" w:rsidRDefault="008A77F7" w:rsidP="008A77F7">
      <w:pPr>
        <w:pStyle w:val="affffb"/>
        <w:ind w:firstLine="420"/>
        <w:rPr>
          <w:szCs w:val="21"/>
        </w:rPr>
      </w:pPr>
      <w:bookmarkStart w:id="35" w:name="_Toc17233326"/>
      <w:bookmarkStart w:id="36" w:name="_Toc17233334"/>
      <w:bookmarkStart w:id="37" w:name="_Toc24884212"/>
      <w:bookmarkStart w:id="38" w:name="_Toc24884219"/>
      <w:bookmarkStart w:id="39" w:name="_Toc26648466"/>
      <w:r>
        <w:rPr>
          <w:rFonts w:hint="eastAsia"/>
        </w:rPr>
        <w:t>本标准规定了</w:t>
      </w:r>
      <w:r w:rsidR="00917FFC">
        <w:rPr>
          <w:rFonts w:hint="eastAsia"/>
        </w:rPr>
        <w:t>井冈山生菜</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917FFC">
        <w:rPr>
          <w:rFonts w:hint="eastAsia"/>
        </w:rPr>
        <w:t>井冈山生菜</w:t>
      </w:r>
      <w:r>
        <w:rPr>
          <w:rFonts w:hint="eastAsia"/>
        </w:rPr>
        <w:t>。</w:t>
      </w:r>
    </w:p>
    <w:p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18179459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r>
        <w:rPr>
          <w:rFonts w:hint="eastAsia"/>
        </w:rPr>
        <w:t>GB/T 5009.10 植物类食品中粗纤维的测定</w:t>
      </w:r>
    </w:p>
    <w:p w:rsidR="00F10B79" w:rsidRDefault="00F10B79" w:rsidP="00F10B79">
      <w:pPr>
        <w:pStyle w:val="affffb"/>
        <w:ind w:firstLine="420"/>
      </w:pPr>
      <w:r>
        <w:rPr>
          <w:rFonts w:hint="eastAsia"/>
        </w:rPr>
        <w:t>GB/T 5737 食品塑料 周转箱</w:t>
      </w:r>
    </w:p>
    <w:p w:rsidR="008A77F7" w:rsidRDefault="008A77F7" w:rsidP="00F10B79">
      <w:pPr>
        <w:pStyle w:val="affffb"/>
        <w:ind w:firstLine="420"/>
      </w:pPr>
      <w:r>
        <w:rPr>
          <w:rFonts w:hint="eastAsia"/>
        </w:rPr>
        <w:t>GB/T 19630 有机产品 生产、加工、标识与管理体系要求</w:t>
      </w:r>
    </w:p>
    <w:p w:rsidR="008A77F7" w:rsidRDefault="008A77F7" w:rsidP="00F10B79">
      <w:pPr>
        <w:pStyle w:val="affffb"/>
        <w:ind w:firstLine="420"/>
      </w:pPr>
      <w:r>
        <w:rPr>
          <w:rFonts w:hint="eastAsia"/>
        </w:rPr>
        <w:t xml:space="preserve">GB/T 32950 </w:t>
      </w:r>
      <w:r w:rsidR="00F10B79" w:rsidRPr="00F10B79">
        <w:rPr>
          <w:rFonts w:hint="eastAsia"/>
        </w:rPr>
        <w:t>鲜活农产品标签标识</w:t>
      </w:r>
    </w:p>
    <w:p w:rsidR="008A77F7" w:rsidRDefault="00F10B79" w:rsidP="00F10B79">
      <w:pPr>
        <w:pStyle w:val="affffb"/>
        <w:ind w:firstLine="420"/>
      </w:pPr>
      <w:r>
        <w:rPr>
          <w:rFonts w:hint="eastAsia"/>
        </w:rPr>
        <w:t>GB 43284</w:t>
      </w:r>
      <w:r>
        <w:t xml:space="preserve"> </w:t>
      </w:r>
      <w:r>
        <w:rPr>
          <w:rFonts w:hint="eastAsia"/>
        </w:rPr>
        <w:t>限制商品过度包装要求 生鲜食用农产品</w:t>
      </w:r>
    </w:p>
    <w:p w:rsidR="008A77F7" w:rsidRDefault="008A77F7" w:rsidP="00F10B79">
      <w:pPr>
        <w:pStyle w:val="affffb"/>
        <w:ind w:firstLine="420"/>
      </w:pPr>
      <w:r>
        <w:rPr>
          <w:rFonts w:hint="eastAsia"/>
        </w:rPr>
        <w:t>NY/T 1056 绿色食品 贮藏运输准则</w:t>
      </w:r>
    </w:p>
    <w:p w:rsidR="008A77F7" w:rsidRDefault="008A77F7" w:rsidP="00F10B79">
      <w:pPr>
        <w:pStyle w:val="affffb"/>
        <w:ind w:firstLine="420"/>
      </w:pPr>
      <w:r>
        <w:rPr>
          <w:rFonts w:hint="eastAsia"/>
        </w:rPr>
        <w:t>NY/T 391 绿色食品 产地环境质量</w:t>
      </w:r>
    </w:p>
    <w:p w:rsidR="008A77F7" w:rsidRDefault="008A77F7" w:rsidP="00F10B79">
      <w:pPr>
        <w:pStyle w:val="affffb"/>
        <w:ind w:firstLine="420"/>
      </w:pPr>
      <w:r>
        <w:rPr>
          <w:rFonts w:hint="eastAsia"/>
        </w:rPr>
        <w:t>NY/T 393 绿色食品 农药使用准则</w:t>
      </w:r>
    </w:p>
    <w:p w:rsidR="008A77F7" w:rsidRDefault="008A77F7" w:rsidP="00F10B79">
      <w:pPr>
        <w:pStyle w:val="affffb"/>
        <w:ind w:firstLine="420"/>
      </w:pPr>
      <w:r>
        <w:rPr>
          <w:rFonts w:hint="eastAsia"/>
        </w:rPr>
        <w:t>NY/T 394 绿色食品 肥料使用准则</w:t>
      </w:r>
    </w:p>
    <w:p w:rsidR="008A77F7" w:rsidRDefault="008A77F7" w:rsidP="00F10B79">
      <w:pPr>
        <w:pStyle w:val="affffb"/>
        <w:ind w:firstLine="420"/>
      </w:pPr>
      <w:r>
        <w:rPr>
          <w:rFonts w:hint="eastAsia"/>
        </w:rPr>
        <w:t>NY/T 658 绿色食品 包装通用准则</w:t>
      </w:r>
    </w:p>
    <w:p w:rsidR="008A77F7" w:rsidRDefault="008A77F7" w:rsidP="00F10B79">
      <w:pPr>
        <w:pStyle w:val="affffb"/>
        <w:ind w:firstLine="420"/>
      </w:pPr>
      <w:r>
        <w:rPr>
          <w:rFonts w:hint="eastAsia"/>
        </w:rPr>
        <w:t>NY/T 745 绿色食品 根菜类蔬菜</w:t>
      </w:r>
    </w:p>
    <w:p w:rsidR="008A77F7" w:rsidRDefault="008A77F7" w:rsidP="00F10B79">
      <w:pPr>
        <w:pStyle w:val="affffb"/>
        <w:ind w:firstLine="420"/>
      </w:pPr>
      <w:r>
        <w:rPr>
          <w:rFonts w:hint="eastAsia"/>
        </w:rPr>
        <w:t>SN/T 4260 出口植物源食品中粗多糖的测定 苯酚-硫酸法</w:t>
      </w:r>
    </w:p>
    <w:p w:rsidR="008A77F7" w:rsidRDefault="008A77F7" w:rsidP="00F10B79">
      <w:pPr>
        <w:pStyle w:val="affffb"/>
        <w:ind w:firstLine="420"/>
      </w:pPr>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45" w:name="_Toc97192966"/>
      <w:bookmarkStart w:id="46" w:name="_Toc181794594"/>
      <w:r>
        <w:rPr>
          <w:rFonts w:hint="eastAsia"/>
        </w:rPr>
        <w:t>术语和定义</w:t>
      </w:r>
      <w:bookmarkEnd w:id="45"/>
      <w:bookmarkEnd w:id="46"/>
    </w:p>
    <w:bookmarkStart w:id="47" w:name="_Toc26986532" w:displacedByCustomXml="next"/>
    <w:bookmarkEnd w:id="47"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7F7" w:rsidRPr="008A77F7" w:rsidRDefault="008A77F7" w:rsidP="008A77F7">
      <w:pPr>
        <w:pStyle w:val="afffffffffff5"/>
        <w:ind w:left="420" w:hangingChars="200" w:hanging="420"/>
        <w:rPr>
          <w:rFonts w:ascii="黑体" w:eastAsia="黑体" w:hAnsi="黑体"/>
        </w:rPr>
      </w:pPr>
      <w:r w:rsidRPr="008A77F7">
        <w:rPr>
          <w:rFonts w:ascii="黑体" w:eastAsia="黑体" w:hAnsi="黑体"/>
        </w:rPr>
        <w:br/>
      </w:r>
      <w:r w:rsidR="00917FFC">
        <w:rPr>
          <w:rFonts w:ascii="黑体" w:eastAsia="黑体" w:hAnsi="黑体" w:hint="eastAsia"/>
        </w:rPr>
        <w:t>井冈山生菜</w:t>
      </w:r>
      <w:r w:rsidRPr="008A77F7">
        <w:rPr>
          <w:rFonts w:ascii="黑体" w:eastAsia="黑体" w:hAnsi="黑体" w:hint="eastAsia"/>
        </w:rPr>
        <w:t xml:space="preserve">  </w:t>
      </w:r>
      <w:proofErr w:type="spellStart"/>
      <w:r w:rsidRPr="008A77F7">
        <w:rPr>
          <w:rFonts w:ascii="黑体" w:eastAsia="黑体" w:hAnsi="黑体" w:hint="eastAsia"/>
        </w:rPr>
        <w:t>jinggangshan</w:t>
      </w:r>
      <w:proofErr w:type="spellEnd"/>
      <w:r w:rsidRPr="008A77F7">
        <w:rPr>
          <w:rFonts w:ascii="黑体" w:eastAsia="黑体" w:hAnsi="黑体" w:hint="eastAsia"/>
        </w:rPr>
        <w:t xml:space="preserve"> </w:t>
      </w:r>
      <w:proofErr w:type="spellStart"/>
      <w:r w:rsidR="00917FFC" w:rsidRPr="00917FFC">
        <w:rPr>
          <w:rFonts w:ascii="黑体" w:eastAsia="黑体" w:hAnsi="黑体"/>
        </w:rPr>
        <w:t>Lactuca</w:t>
      </w:r>
      <w:proofErr w:type="spellEnd"/>
      <w:r w:rsidR="00917FFC" w:rsidRPr="00917FFC">
        <w:rPr>
          <w:rFonts w:ascii="黑体" w:eastAsia="黑体" w:hAnsi="黑体"/>
        </w:rPr>
        <w:t xml:space="preserve"> sativa L.</w:t>
      </w:r>
    </w:p>
    <w:p w:rsidR="008A77F7" w:rsidRDefault="008A77F7" w:rsidP="008A77F7">
      <w:pPr>
        <w:pStyle w:val="affffb"/>
        <w:ind w:firstLine="420"/>
      </w:pPr>
      <w:r>
        <w:rPr>
          <w:rFonts w:hAnsi="宋体" w:hint="eastAsia"/>
        </w:rPr>
        <w:t>吉安地区生产栽培的，符合本文件要求，并经“井冈山</w:t>
      </w:r>
      <w:r>
        <w:rPr>
          <w:rFonts w:ascii="Times New Roman" w:hint="eastAsia"/>
        </w:rPr>
        <w:t>®</w:t>
      </w:r>
      <w:r>
        <w:rPr>
          <w:rFonts w:hAnsi="宋体" w:hint="eastAsia"/>
        </w:rPr>
        <w:t>”商标持有人授权的</w:t>
      </w:r>
      <w:r w:rsidR="00917FFC">
        <w:rPr>
          <w:rFonts w:ascii="Arial" w:hAnsi="Arial" w:cs="Arial"/>
          <w:color w:val="333333"/>
          <w:sz w:val="20"/>
          <w:shd w:val="clear" w:color="auto" w:fill="FFFFFF"/>
        </w:rPr>
        <w:t>菊科</w:t>
      </w:r>
      <w:r w:rsidR="00917FFC" w:rsidRPr="00917FFC">
        <w:rPr>
          <w:rFonts w:ascii="Segoe UI" w:hAnsi="Segoe UI" w:cs="Segoe UI"/>
          <w:szCs w:val="21"/>
          <w:shd w:val="clear" w:color="auto" w:fill="FFFFFF"/>
        </w:rPr>
        <w:t>莴苣属</w:t>
      </w:r>
      <w:r w:rsidR="00917FFC">
        <w:rPr>
          <w:rFonts w:ascii="Segoe UI" w:hAnsi="Segoe UI" w:cs="Segoe UI" w:hint="eastAsia"/>
          <w:szCs w:val="21"/>
          <w:shd w:val="clear" w:color="auto" w:fill="FFFFFF"/>
        </w:rPr>
        <w:t>绿叶</w:t>
      </w:r>
      <w:r>
        <w:rPr>
          <w:rFonts w:hAnsi="宋体" w:hint="eastAsia"/>
        </w:rPr>
        <w:t>植物。</w:t>
      </w:r>
    </w:p>
    <w:p w:rsidR="008A77F7" w:rsidRDefault="00917FFC" w:rsidP="008A77F7">
      <w:pPr>
        <w:pStyle w:val="afff2"/>
      </w:pPr>
      <w:r>
        <w:rPr>
          <w:rFonts w:hint="eastAsia"/>
        </w:rPr>
        <w:t>井冈山生菜</w:t>
      </w:r>
      <w:r w:rsidR="008A77F7">
        <w:rPr>
          <w:rFonts w:hint="eastAsia"/>
        </w:rPr>
        <w:t>生产区域范围见附录A。</w:t>
      </w:r>
    </w:p>
    <w:p w:rsidR="008A77F7" w:rsidRDefault="008A77F7" w:rsidP="008A77F7">
      <w:pPr>
        <w:pStyle w:val="affc"/>
        <w:spacing w:before="240" w:after="240"/>
      </w:pPr>
      <w:bookmarkStart w:id="48" w:name="_Toc181794595"/>
      <w:r>
        <w:rPr>
          <w:rFonts w:hint="eastAsia"/>
        </w:rPr>
        <w:t>基本要求</w:t>
      </w:r>
      <w:bookmarkEnd w:id="48"/>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t>选用</w:t>
      </w:r>
      <w:r w:rsidR="00917FFC">
        <w:rPr>
          <w:rFonts w:hAnsi="宋体"/>
        </w:rPr>
        <w:t>适宜</w:t>
      </w:r>
      <w:r w:rsidR="00917FFC">
        <w:rPr>
          <w:rFonts w:hAnsi="宋体" w:hint="eastAsia"/>
        </w:rPr>
        <w:t>吉安</w:t>
      </w:r>
      <w:r w:rsidR="00917FFC">
        <w:rPr>
          <w:rFonts w:hAnsi="宋体"/>
        </w:rPr>
        <w:t>地区栽培的</w:t>
      </w:r>
      <w:r>
        <w:rPr>
          <w:rFonts w:hAnsi="宋体" w:hint="eastAsia"/>
        </w:rPr>
        <w:t>品种。</w:t>
      </w:r>
    </w:p>
    <w:p w:rsidR="008A77F7" w:rsidRDefault="008A77F7" w:rsidP="008A77F7">
      <w:pPr>
        <w:pStyle w:val="affd"/>
        <w:spacing w:before="120" w:after="120"/>
      </w:pPr>
      <w:r>
        <w:rPr>
          <w:rFonts w:hint="eastAsia"/>
        </w:rPr>
        <w:lastRenderedPageBreak/>
        <w:t>产地环境</w:t>
      </w:r>
    </w:p>
    <w:p w:rsidR="008A77F7" w:rsidRDefault="008A77F7" w:rsidP="008A77F7">
      <w:pPr>
        <w:pStyle w:val="affffb"/>
        <w:ind w:firstLine="420"/>
      </w:pPr>
      <w:r>
        <w:rPr>
          <w:rFonts w:hAnsi="宋体" w:hint="eastAsia"/>
        </w:rPr>
        <w:t>应符合NY/T 391的要求。有机产品应符合GB/T</w:t>
      </w:r>
      <w:r>
        <w:rPr>
          <w:rFonts w:hint="eastAsia"/>
        </w:rPr>
        <w:t xml:space="preserve"> </w:t>
      </w:r>
      <w:r>
        <w:rPr>
          <w:rFonts w:hAnsi="宋体" w:hint="eastAsia"/>
        </w:rPr>
        <w:t>19630的要求。</w:t>
      </w:r>
    </w:p>
    <w:p w:rsidR="008A77F7" w:rsidRDefault="008A77F7" w:rsidP="008A77F7">
      <w:pPr>
        <w:pStyle w:val="affd"/>
        <w:spacing w:before="120" w:after="120"/>
      </w:pPr>
      <w:r>
        <w:rPr>
          <w:rFonts w:hint="eastAsia"/>
        </w:rPr>
        <w:t>投入品</w:t>
      </w:r>
    </w:p>
    <w:p w:rsidR="008A77F7" w:rsidRDefault="008A77F7" w:rsidP="008A77F7">
      <w:pPr>
        <w:pStyle w:val="affffb"/>
        <w:ind w:firstLine="420"/>
      </w:pPr>
      <w:r>
        <w:rPr>
          <w:rFonts w:hAnsi="宋体" w:hint="eastAsia"/>
        </w:rPr>
        <w:t>投入品使用应遵守NY/T</w:t>
      </w:r>
      <w:r>
        <w:rPr>
          <w:rFonts w:hint="eastAsia"/>
        </w:rPr>
        <w:t xml:space="preserve"> </w:t>
      </w:r>
      <w:r>
        <w:rPr>
          <w:rFonts w:hAnsi="宋体" w:hint="eastAsia"/>
        </w:rPr>
        <w:t>393、NY/T</w:t>
      </w:r>
      <w:r>
        <w:rPr>
          <w:rFonts w:hint="eastAsia"/>
        </w:rPr>
        <w:t xml:space="preserve"> </w:t>
      </w:r>
      <w:r>
        <w:rPr>
          <w:rFonts w:hAnsi="宋体" w:hint="eastAsia"/>
        </w:rPr>
        <w:t>394的要求，</w:t>
      </w:r>
      <w:r>
        <w:rPr>
          <w:rFonts w:hint="eastAsia"/>
        </w:rPr>
        <w:t xml:space="preserve"> </w:t>
      </w:r>
      <w:r>
        <w:rPr>
          <w:rFonts w:hAnsi="宋体" w:hint="eastAsia"/>
        </w:rPr>
        <w:t>有机产品投入品应符合GB/T 19630的要求。</w:t>
      </w:r>
    </w:p>
    <w:p w:rsidR="008A77F7" w:rsidRDefault="008A77F7" w:rsidP="008A77F7">
      <w:pPr>
        <w:pStyle w:val="affd"/>
        <w:spacing w:before="120" w:after="120"/>
      </w:pPr>
      <w:r>
        <w:rPr>
          <w:rFonts w:hint="eastAsia"/>
        </w:rPr>
        <w:t>采收</w:t>
      </w:r>
    </w:p>
    <w:p w:rsidR="008A77F7" w:rsidRDefault="00917FFC" w:rsidP="008A77F7">
      <w:pPr>
        <w:pStyle w:val="affffb"/>
        <w:ind w:firstLine="420"/>
      </w:pPr>
      <w:r>
        <w:rPr>
          <w:rFonts w:hAnsi="宋体" w:hint="eastAsia"/>
        </w:rPr>
        <w:t>根据</w:t>
      </w:r>
      <w:r>
        <w:rPr>
          <w:rFonts w:hAnsi="宋体"/>
        </w:rPr>
        <w:t>市场需求</w:t>
      </w:r>
      <w:r>
        <w:rPr>
          <w:rFonts w:hAnsi="宋体" w:hint="eastAsia"/>
        </w:rPr>
        <w:t>四季均可</w:t>
      </w:r>
      <w:r w:rsidR="008A77F7">
        <w:rPr>
          <w:rFonts w:hAnsi="宋体" w:hint="eastAsia"/>
        </w:rPr>
        <w:t>采收。</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依据感官指标分为特级、一级和二级，应符合表</w:t>
      </w:r>
      <w:r>
        <w:rPr>
          <w:rFonts w:hint="eastAsia"/>
        </w:rPr>
        <w:t>1</w:t>
      </w:r>
      <w:r>
        <w:rPr>
          <w:rFonts w:hAnsi="宋体" w:hint="eastAsia"/>
        </w:rPr>
        <w:t>的要求。绿色食品还应符合</w:t>
      </w:r>
      <w:r w:rsidR="00917FFC">
        <w:rPr>
          <w:rFonts w:hAnsi="宋体" w:hint="eastAsia"/>
        </w:rPr>
        <w:t>NY/T 654</w:t>
      </w:r>
      <w:r>
        <w:rPr>
          <w:rFonts w:hAnsi="宋体" w:hint="eastAsia"/>
        </w:rPr>
        <w:t xml:space="preserve"> 的要求，有机产品还应符合GB/T 19630 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2538"/>
        <w:gridCol w:w="2170"/>
        <w:gridCol w:w="2172"/>
        <w:gridCol w:w="1059"/>
      </w:tblGrid>
      <w:tr w:rsidR="008A77F7" w:rsidRPr="00F10B79" w:rsidTr="008A77F7">
        <w:trPr>
          <w:jc w:val="center"/>
        </w:trPr>
        <w:tc>
          <w:tcPr>
            <w:tcW w:w="1988" w:type="dxa"/>
            <w:vMerge w:val="restart"/>
            <w:shd w:val="clear" w:color="auto" w:fill="auto"/>
            <w:vAlign w:val="center"/>
            <w:hideMark/>
          </w:tcPr>
          <w:p w:rsidR="008A77F7" w:rsidRPr="00F10B79" w:rsidRDefault="008A77F7" w:rsidP="00F10B79">
            <w:pPr>
              <w:pStyle w:val="afffffffffffb"/>
              <w:ind w:firstLineChars="0" w:firstLine="0"/>
              <w:jc w:val="center"/>
              <w:rPr>
                <w:rFonts w:hAnsi="宋体"/>
                <w:sz w:val="18"/>
                <w:szCs w:val="18"/>
              </w:rPr>
            </w:pPr>
            <w:r w:rsidRPr="00F10B79">
              <w:rPr>
                <w:rFonts w:hAnsi="宋体" w:hint="eastAsia"/>
                <w:sz w:val="18"/>
                <w:szCs w:val="18"/>
              </w:rPr>
              <w:t>项目</w:t>
            </w:r>
          </w:p>
        </w:tc>
        <w:tc>
          <w:tcPr>
            <w:tcW w:w="6880" w:type="dxa"/>
            <w:gridSpan w:val="3"/>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等级</w:t>
            </w:r>
          </w:p>
        </w:tc>
        <w:tc>
          <w:tcPr>
            <w:tcW w:w="1059" w:type="dxa"/>
            <w:vMerge w:val="restart"/>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检测方法</w:t>
            </w:r>
          </w:p>
        </w:tc>
      </w:tr>
      <w:tr w:rsidR="008A77F7" w:rsidRPr="00F10B79" w:rsidTr="008A77F7">
        <w:trPr>
          <w:jc w:val="center"/>
        </w:trPr>
        <w:tc>
          <w:tcPr>
            <w:tcW w:w="1988"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c>
          <w:tcPr>
            <w:tcW w:w="2538"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特级</w:t>
            </w:r>
          </w:p>
        </w:tc>
        <w:tc>
          <w:tcPr>
            <w:tcW w:w="2170"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一级</w:t>
            </w:r>
          </w:p>
        </w:tc>
        <w:tc>
          <w:tcPr>
            <w:tcW w:w="2172"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二级</w:t>
            </w:r>
          </w:p>
        </w:tc>
        <w:tc>
          <w:tcPr>
            <w:tcW w:w="1059"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r>
      <w:tr w:rsidR="008A77F7" w:rsidRPr="00F10B79" w:rsidTr="008A77F7">
        <w:trPr>
          <w:jc w:val="center"/>
        </w:trPr>
        <w:tc>
          <w:tcPr>
            <w:tcW w:w="1988" w:type="dxa"/>
            <w:shd w:val="clear" w:color="auto" w:fill="auto"/>
            <w:vAlign w:val="center"/>
            <w:hideMark/>
          </w:tcPr>
          <w:p w:rsidR="008A77F7" w:rsidRPr="00F10B79" w:rsidRDefault="008A77F7" w:rsidP="008A77F7">
            <w:pPr>
              <w:pStyle w:val="afffffffffffb"/>
              <w:ind w:firstLineChars="0" w:firstLine="0"/>
              <w:jc w:val="center"/>
              <w:rPr>
                <w:rFonts w:hAnsi="宋体" w:hint="eastAsia"/>
                <w:sz w:val="18"/>
                <w:szCs w:val="18"/>
              </w:rPr>
            </w:pPr>
            <w:r w:rsidRPr="00F10B79">
              <w:rPr>
                <w:rFonts w:hAnsi="宋体" w:hint="eastAsia"/>
                <w:sz w:val="18"/>
                <w:szCs w:val="18"/>
              </w:rPr>
              <w:t>重量（m）</w:t>
            </w:r>
            <w:r w:rsidR="002D6642">
              <w:rPr>
                <w:rFonts w:hAnsi="宋体" w:hint="eastAsia"/>
                <w:sz w:val="18"/>
                <w:szCs w:val="18"/>
              </w:rPr>
              <w:t>,</w:t>
            </w:r>
            <w:r w:rsidRPr="00F10B79">
              <w:rPr>
                <w:rFonts w:hAnsi="宋体" w:hint="eastAsia"/>
                <w:sz w:val="18"/>
                <w:szCs w:val="18"/>
              </w:rPr>
              <w:t>g</w:t>
            </w:r>
            <w:r w:rsidR="002D6642">
              <w:rPr>
                <w:rFonts w:hAnsi="宋体"/>
                <w:sz w:val="18"/>
                <w:szCs w:val="18"/>
              </w:rPr>
              <w:t>/</w:t>
            </w:r>
            <w:r w:rsidR="002D6642">
              <w:rPr>
                <w:rFonts w:hAnsi="宋体" w:hint="eastAsia"/>
                <w:sz w:val="18"/>
                <w:szCs w:val="18"/>
              </w:rPr>
              <w:t>棵</w:t>
            </w:r>
          </w:p>
        </w:tc>
        <w:tc>
          <w:tcPr>
            <w:tcW w:w="2538" w:type="dxa"/>
            <w:shd w:val="clear" w:color="auto" w:fill="auto"/>
            <w:vAlign w:val="center"/>
            <w:hideMark/>
          </w:tcPr>
          <w:p w:rsidR="008A77F7" w:rsidRPr="00F10B79" w:rsidRDefault="008A77F7" w:rsidP="002D6642">
            <w:pPr>
              <w:spacing w:line="240" w:lineRule="auto"/>
              <w:jc w:val="center"/>
              <w:rPr>
                <w:rFonts w:ascii="宋体" w:hAnsi="宋体"/>
                <w:sz w:val="18"/>
                <w:szCs w:val="18"/>
              </w:rPr>
            </w:pPr>
            <w:r w:rsidRPr="00F10B79">
              <w:rPr>
                <w:rFonts w:ascii="宋体" w:hAnsi="宋体" w:hint="eastAsia"/>
                <w:sz w:val="18"/>
                <w:szCs w:val="18"/>
              </w:rPr>
              <w:t>m</w:t>
            </w:r>
            <w:r w:rsidR="002D6642">
              <w:rPr>
                <w:rFonts w:ascii="宋体" w:hAnsi="宋体" w:hint="eastAsia"/>
                <w:sz w:val="18"/>
                <w:szCs w:val="18"/>
              </w:rPr>
              <w:t>＞</w:t>
            </w:r>
            <w:r w:rsidR="002D6642">
              <w:rPr>
                <w:rFonts w:ascii="宋体" w:hAnsi="宋体"/>
                <w:sz w:val="18"/>
                <w:szCs w:val="18"/>
              </w:rPr>
              <w:t>450</w:t>
            </w:r>
          </w:p>
        </w:tc>
        <w:tc>
          <w:tcPr>
            <w:tcW w:w="2170" w:type="dxa"/>
            <w:shd w:val="clear" w:color="auto" w:fill="auto"/>
            <w:vAlign w:val="center"/>
            <w:hideMark/>
          </w:tcPr>
          <w:p w:rsidR="008A77F7" w:rsidRPr="00F10B79" w:rsidRDefault="002D6642" w:rsidP="002D6642">
            <w:pPr>
              <w:spacing w:line="240" w:lineRule="auto"/>
              <w:jc w:val="center"/>
              <w:rPr>
                <w:rFonts w:ascii="宋体" w:hAnsi="宋体"/>
                <w:sz w:val="18"/>
                <w:szCs w:val="18"/>
              </w:rPr>
            </w:pPr>
            <w:r>
              <w:rPr>
                <w:rFonts w:ascii="宋体" w:hAnsi="宋体"/>
                <w:sz w:val="18"/>
                <w:szCs w:val="18"/>
              </w:rPr>
              <w:t>300</w:t>
            </w:r>
            <w:r w:rsidR="008A77F7" w:rsidRPr="00F10B79">
              <w:rPr>
                <w:rFonts w:ascii="宋体" w:hAnsi="宋体" w:cs="Arial"/>
                <w:sz w:val="18"/>
                <w:szCs w:val="18"/>
              </w:rPr>
              <w:t>≤</w:t>
            </w:r>
            <w:r w:rsidR="008A77F7" w:rsidRPr="00F10B79">
              <w:rPr>
                <w:rFonts w:ascii="宋体" w:hAnsi="宋体" w:hint="eastAsia"/>
                <w:sz w:val="18"/>
                <w:szCs w:val="18"/>
              </w:rPr>
              <w:t>m</w:t>
            </w:r>
            <w:r w:rsidR="008A77F7" w:rsidRPr="00F10B79">
              <w:rPr>
                <w:rFonts w:ascii="宋体" w:hAnsi="宋体" w:cs="Arial"/>
                <w:sz w:val="18"/>
                <w:szCs w:val="18"/>
              </w:rPr>
              <w:t>≤</w:t>
            </w:r>
            <w:r>
              <w:rPr>
                <w:rFonts w:ascii="宋体" w:hAnsi="宋体"/>
                <w:sz w:val="18"/>
                <w:szCs w:val="18"/>
              </w:rPr>
              <w:t>450</w:t>
            </w:r>
          </w:p>
        </w:tc>
        <w:tc>
          <w:tcPr>
            <w:tcW w:w="2172" w:type="dxa"/>
            <w:shd w:val="clear" w:color="auto" w:fill="auto"/>
            <w:vAlign w:val="center"/>
            <w:hideMark/>
          </w:tcPr>
          <w:p w:rsidR="008A77F7" w:rsidRPr="00F10B79" w:rsidRDefault="008A77F7" w:rsidP="002D6642">
            <w:pPr>
              <w:spacing w:line="240" w:lineRule="auto"/>
              <w:ind w:rightChars="-35" w:right="-73"/>
              <w:jc w:val="center"/>
              <w:rPr>
                <w:rFonts w:ascii="宋体" w:hAnsi="宋体"/>
                <w:sz w:val="18"/>
                <w:szCs w:val="18"/>
              </w:rPr>
            </w:pPr>
            <w:r w:rsidRPr="00F10B79">
              <w:rPr>
                <w:rFonts w:ascii="宋体" w:hAnsi="宋体" w:hint="eastAsia"/>
                <w:sz w:val="18"/>
                <w:szCs w:val="18"/>
              </w:rPr>
              <w:t>m</w:t>
            </w:r>
            <w:r w:rsidR="002D6642">
              <w:rPr>
                <w:rFonts w:ascii="宋体" w:hAnsi="宋体" w:cs="Arial"/>
                <w:sz w:val="18"/>
                <w:szCs w:val="18"/>
              </w:rPr>
              <w:t>＜</w:t>
            </w:r>
            <w:r w:rsidR="002D6642">
              <w:rPr>
                <w:rFonts w:ascii="宋体" w:hAnsi="宋体"/>
                <w:sz w:val="18"/>
                <w:szCs w:val="18"/>
              </w:rPr>
              <w:t>300</w:t>
            </w:r>
          </w:p>
        </w:tc>
        <w:tc>
          <w:tcPr>
            <w:tcW w:w="1059" w:type="dxa"/>
            <w:shd w:val="clear" w:color="auto" w:fill="auto"/>
            <w:vAlign w:val="center"/>
            <w:hideMark/>
          </w:tcPr>
          <w:p w:rsidR="008A77F7" w:rsidRPr="00F10B79" w:rsidRDefault="008A77F7" w:rsidP="008A77F7">
            <w:pPr>
              <w:spacing w:line="240" w:lineRule="auto"/>
              <w:ind w:rightChars="-45" w:right="-94"/>
              <w:jc w:val="center"/>
              <w:rPr>
                <w:rFonts w:ascii="宋体" w:hAnsi="宋体"/>
                <w:sz w:val="18"/>
                <w:szCs w:val="18"/>
              </w:rPr>
            </w:pPr>
            <w:r w:rsidRPr="00F10B79">
              <w:rPr>
                <w:rFonts w:ascii="宋体" w:hAnsi="宋体" w:hint="eastAsia"/>
                <w:sz w:val="18"/>
                <w:szCs w:val="18"/>
              </w:rPr>
              <w:t>称重</w:t>
            </w:r>
          </w:p>
        </w:tc>
      </w:tr>
      <w:tr w:rsidR="002D6642" w:rsidRPr="00F10B79" w:rsidTr="0003638E">
        <w:trPr>
          <w:jc w:val="center"/>
        </w:trPr>
        <w:tc>
          <w:tcPr>
            <w:tcW w:w="1988" w:type="dxa"/>
            <w:shd w:val="clear" w:color="auto" w:fill="auto"/>
            <w:vAlign w:val="center"/>
            <w:hideMark/>
          </w:tcPr>
          <w:p w:rsidR="002D6642" w:rsidRPr="00F10B79" w:rsidRDefault="002D6642" w:rsidP="008A77F7">
            <w:pPr>
              <w:pStyle w:val="afffffffffffb"/>
              <w:ind w:firstLineChars="0" w:firstLine="0"/>
              <w:jc w:val="center"/>
              <w:rPr>
                <w:rFonts w:hAnsi="宋体"/>
                <w:sz w:val="18"/>
                <w:szCs w:val="18"/>
              </w:rPr>
            </w:pPr>
            <w:r>
              <w:rPr>
                <w:rFonts w:hAnsi="宋体" w:hint="eastAsia"/>
                <w:sz w:val="18"/>
                <w:szCs w:val="18"/>
              </w:rPr>
              <w:t>外观</w:t>
            </w:r>
          </w:p>
        </w:tc>
        <w:tc>
          <w:tcPr>
            <w:tcW w:w="2538" w:type="dxa"/>
            <w:shd w:val="clear" w:color="auto" w:fill="auto"/>
            <w:vAlign w:val="center"/>
            <w:hideMark/>
          </w:tcPr>
          <w:p w:rsidR="002D6642" w:rsidRPr="00F10B79" w:rsidRDefault="002D6642" w:rsidP="008A77F7">
            <w:pPr>
              <w:spacing w:line="240" w:lineRule="auto"/>
              <w:jc w:val="center"/>
              <w:rPr>
                <w:rFonts w:ascii="宋体" w:hAnsi="宋体" w:hint="eastAsia"/>
                <w:sz w:val="18"/>
                <w:szCs w:val="18"/>
              </w:rPr>
            </w:pPr>
            <w:r>
              <w:rPr>
                <w:rFonts w:ascii="宋体" w:hAnsi="宋体" w:cs="Arial" w:hint="eastAsia"/>
                <w:color w:val="000000"/>
                <w:sz w:val="18"/>
                <w:szCs w:val="18"/>
              </w:rPr>
              <w:t>植株大小</w:t>
            </w:r>
            <w:r>
              <w:rPr>
                <w:rFonts w:ascii="宋体" w:hAnsi="宋体" w:cs="Arial"/>
                <w:color w:val="000000"/>
                <w:sz w:val="18"/>
                <w:szCs w:val="18"/>
              </w:rPr>
              <w:t>一致；叶</w:t>
            </w:r>
            <w:r>
              <w:rPr>
                <w:rFonts w:ascii="宋体" w:hAnsi="宋体" w:cs="Arial" w:hint="eastAsia"/>
                <w:color w:val="000000"/>
                <w:sz w:val="18"/>
                <w:szCs w:val="18"/>
              </w:rPr>
              <w:t>型</w:t>
            </w:r>
            <w:r>
              <w:rPr>
                <w:rFonts w:ascii="宋体" w:hAnsi="宋体" w:cs="Arial"/>
                <w:color w:val="000000"/>
                <w:sz w:val="18"/>
                <w:szCs w:val="18"/>
              </w:rPr>
              <w:t>完整；大小均匀；叶茎颜色一致、质地鲜嫩；无损伤、无斑点或其他伤害</w:t>
            </w:r>
          </w:p>
        </w:tc>
        <w:tc>
          <w:tcPr>
            <w:tcW w:w="4342" w:type="dxa"/>
            <w:gridSpan w:val="2"/>
            <w:shd w:val="clear" w:color="auto" w:fill="auto"/>
            <w:vAlign w:val="center"/>
            <w:hideMark/>
          </w:tcPr>
          <w:p w:rsidR="002D6642" w:rsidRPr="00F10B79" w:rsidRDefault="002D6642" w:rsidP="002D6642">
            <w:pPr>
              <w:spacing w:line="240" w:lineRule="auto"/>
              <w:jc w:val="center"/>
              <w:rPr>
                <w:rFonts w:ascii="宋体" w:hAnsi="宋体" w:hint="eastAsia"/>
                <w:sz w:val="18"/>
                <w:szCs w:val="18"/>
              </w:rPr>
            </w:pPr>
            <w:r>
              <w:rPr>
                <w:rFonts w:ascii="宋体" w:hAnsi="宋体" w:cs="Arial" w:hint="eastAsia"/>
                <w:color w:val="000000"/>
                <w:sz w:val="18"/>
                <w:szCs w:val="18"/>
              </w:rPr>
              <w:t>植株大小</w:t>
            </w:r>
            <w:r>
              <w:rPr>
                <w:rFonts w:ascii="宋体" w:hAnsi="宋体" w:cs="Arial" w:hint="eastAsia"/>
                <w:color w:val="000000"/>
                <w:sz w:val="18"/>
                <w:szCs w:val="18"/>
              </w:rPr>
              <w:t>基本</w:t>
            </w:r>
            <w:r>
              <w:rPr>
                <w:rFonts w:ascii="宋体" w:hAnsi="宋体" w:cs="Arial"/>
                <w:color w:val="000000"/>
                <w:sz w:val="18"/>
                <w:szCs w:val="18"/>
              </w:rPr>
              <w:t>一致；叶</w:t>
            </w:r>
            <w:r>
              <w:rPr>
                <w:rFonts w:ascii="宋体" w:hAnsi="宋体" w:cs="Arial" w:hint="eastAsia"/>
                <w:color w:val="000000"/>
                <w:sz w:val="18"/>
                <w:szCs w:val="18"/>
              </w:rPr>
              <w:t>型</w:t>
            </w:r>
            <w:r>
              <w:rPr>
                <w:rFonts w:ascii="宋体" w:hAnsi="宋体" w:cs="Arial" w:hint="eastAsia"/>
                <w:color w:val="000000"/>
                <w:sz w:val="18"/>
                <w:szCs w:val="18"/>
              </w:rPr>
              <w:t>较</w:t>
            </w:r>
            <w:r>
              <w:rPr>
                <w:rFonts w:ascii="宋体" w:hAnsi="宋体" w:cs="Arial"/>
                <w:color w:val="000000"/>
                <w:sz w:val="18"/>
                <w:szCs w:val="18"/>
              </w:rPr>
              <w:t>完整；大小</w:t>
            </w:r>
            <w:r>
              <w:rPr>
                <w:rFonts w:ascii="宋体" w:hAnsi="宋体" w:cs="Arial" w:hint="eastAsia"/>
                <w:color w:val="000000"/>
                <w:sz w:val="18"/>
                <w:szCs w:val="18"/>
              </w:rPr>
              <w:t>较</w:t>
            </w:r>
            <w:r>
              <w:rPr>
                <w:rFonts w:ascii="宋体" w:hAnsi="宋体" w:cs="Arial"/>
                <w:color w:val="000000"/>
                <w:sz w:val="18"/>
                <w:szCs w:val="18"/>
              </w:rPr>
              <w:t>均匀；叶茎颜色</w:t>
            </w:r>
            <w:r>
              <w:rPr>
                <w:rFonts w:ascii="宋体" w:hAnsi="宋体" w:cs="Arial" w:hint="eastAsia"/>
                <w:color w:val="000000"/>
                <w:sz w:val="18"/>
                <w:szCs w:val="18"/>
              </w:rPr>
              <w:t>基本</w:t>
            </w:r>
            <w:r>
              <w:rPr>
                <w:rFonts w:ascii="宋体" w:hAnsi="宋体" w:cs="Arial"/>
                <w:color w:val="000000"/>
                <w:sz w:val="18"/>
                <w:szCs w:val="18"/>
              </w:rPr>
              <w:t>一致、质地鲜嫩；无损伤、无</w:t>
            </w:r>
            <w:r>
              <w:rPr>
                <w:rFonts w:ascii="宋体" w:hAnsi="宋体" w:cs="Arial" w:hint="eastAsia"/>
                <w:color w:val="000000"/>
                <w:sz w:val="18"/>
                <w:szCs w:val="18"/>
              </w:rPr>
              <w:t>明显</w:t>
            </w:r>
            <w:r>
              <w:rPr>
                <w:rFonts w:ascii="宋体" w:hAnsi="宋体" w:cs="Arial"/>
                <w:color w:val="000000"/>
                <w:sz w:val="18"/>
                <w:szCs w:val="18"/>
              </w:rPr>
              <w:t>斑点或其他伤害</w:t>
            </w:r>
          </w:p>
        </w:tc>
        <w:tc>
          <w:tcPr>
            <w:tcW w:w="1059" w:type="dxa"/>
            <w:shd w:val="clear" w:color="auto" w:fill="auto"/>
            <w:vAlign w:val="center"/>
            <w:hideMark/>
          </w:tcPr>
          <w:p w:rsidR="002D6642" w:rsidRPr="00F10B79" w:rsidRDefault="002D6642" w:rsidP="008A77F7">
            <w:pPr>
              <w:spacing w:line="240" w:lineRule="auto"/>
              <w:jc w:val="center"/>
              <w:rPr>
                <w:rFonts w:ascii="宋体" w:hAnsi="宋体"/>
                <w:sz w:val="18"/>
                <w:szCs w:val="18"/>
              </w:rPr>
            </w:pPr>
            <w:r w:rsidRPr="00F10B79">
              <w:rPr>
                <w:rFonts w:ascii="宋体" w:hAnsi="宋体" w:hint="eastAsia"/>
                <w:sz w:val="18"/>
                <w:szCs w:val="18"/>
              </w:rPr>
              <w:t>目测</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粗纤维，g/100g</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≤1.5</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GB/T 5009.10</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应符合GB 2762、GB 2763</w:t>
      </w:r>
      <w:r>
        <w:rPr>
          <w:rFonts w:hint="eastAsia"/>
        </w:rPr>
        <w:t xml:space="preserve"> </w:t>
      </w:r>
      <w:r>
        <w:rPr>
          <w:rFonts w:hAnsi="宋体" w:hint="eastAsia"/>
        </w:rPr>
        <w:t>的要求，绿色食品还应符合NY/T</w:t>
      </w:r>
      <w:r>
        <w:rPr>
          <w:rFonts w:hint="eastAsia"/>
        </w:rPr>
        <w:t xml:space="preserve"> </w:t>
      </w:r>
      <w:r w:rsidR="002D6642">
        <w:rPr>
          <w:rFonts w:hAnsi="宋体"/>
        </w:rPr>
        <w:t>654</w:t>
      </w:r>
      <w:r>
        <w:rPr>
          <w:rFonts w:hint="eastAsia"/>
        </w:rPr>
        <w:t xml:space="preserve">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49" w:name="_Toc181794596"/>
      <w:r>
        <w:rPr>
          <w:rFonts w:hint="eastAsia"/>
        </w:rPr>
        <w:t>检验规则</w:t>
      </w:r>
      <w:bookmarkEnd w:id="49"/>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同一品种、同一生产基地、同一生产周期、同一采收期的产品为一个检验批次。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bookmarkStart w:id="50" w:name="_GoBack"/>
      <w:bookmarkEnd w:id="50"/>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8A77F7" w:rsidP="00423850">
      <w:pPr>
        <w:pStyle w:val="af2"/>
      </w:pPr>
      <w:r>
        <w:rPr>
          <w:rFonts w:hint="eastAsia"/>
        </w:rPr>
        <w:t>种植生产条件发生重大变化，可能影响产品质量时；</w:t>
      </w:r>
    </w:p>
    <w:p w:rsidR="008A77F7" w:rsidRDefault="008A77F7" w:rsidP="00423850">
      <w:pPr>
        <w:pStyle w:val="af2"/>
      </w:pPr>
      <w:r>
        <w:rPr>
          <w:rFonts w:hint="eastAsia"/>
        </w:rPr>
        <w:lastRenderedPageBreak/>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型式检验项目包括本文件4.5～4.8规定的所有项目。</w:t>
      </w:r>
    </w:p>
    <w:p w:rsidR="008A77F7" w:rsidRDefault="008A77F7" w:rsidP="008A77F7">
      <w:pPr>
        <w:pStyle w:val="affd"/>
        <w:spacing w:before="120" w:after="120"/>
      </w:pPr>
      <w:r>
        <w:rPr>
          <w:rFonts w:hint="eastAsia"/>
        </w:rPr>
        <w:t>判定规则</w:t>
      </w:r>
    </w:p>
    <w:p w:rsidR="008A77F7" w:rsidRDefault="008A77F7" w:rsidP="00423850">
      <w:pPr>
        <w:pStyle w:val="affffb"/>
        <w:ind w:firstLine="420"/>
      </w:pPr>
      <w:r>
        <w:rPr>
          <w:rFonts w:hint="eastAsia"/>
        </w:rPr>
        <w:t>所有指标全部符合本文件要求时判该批产品合格。</w:t>
      </w:r>
    </w:p>
    <w:p w:rsidR="008A77F7" w:rsidRDefault="008A77F7" w:rsidP="00423850">
      <w:pPr>
        <w:pStyle w:val="affffb"/>
        <w:ind w:firstLine="420"/>
      </w:pPr>
      <w:r>
        <w:rPr>
          <w:rFonts w:hint="eastAsia"/>
        </w:rPr>
        <w:t>有一项不合格时，可在同批产品中抽取两倍量样品进行复验，以复验结果为准。</w:t>
      </w:r>
    </w:p>
    <w:p w:rsidR="008A77F7" w:rsidRDefault="008A77F7" w:rsidP="008A77F7">
      <w:pPr>
        <w:pStyle w:val="affc"/>
        <w:spacing w:before="240" w:after="240"/>
      </w:pPr>
      <w:bookmarkStart w:id="51" w:name="_Toc181794597"/>
      <w:r>
        <w:rPr>
          <w:rFonts w:hint="eastAsia"/>
        </w:rPr>
        <w:t>标志与标签、包装、运输与贮</w:t>
      </w:r>
      <w:r w:rsidR="00AF3364">
        <w:rPr>
          <w:rFonts w:hint="eastAsia"/>
        </w:rPr>
        <w:t>存</w:t>
      </w:r>
      <w:bookmarkEnd w:id="51"/>
    </w:p>
    <w:p w:rsidR="008A77F7" w:rsidRDefault="008A77F7" w:rsidP="008A77F7">
      <w:pPr>
        <w:pStyle w:val="affd"/>
        <w:spacing w:before="120" w:after="120"/>
      </w:pPr>
      <w:r>
        <w:rPr>
          <w:rFonts w:hint="eastAsia"/>
        </w:rPr>
        <w:t>标志与标签</w:t>
      </w:r>
    </w:p>
    <w:p w:rsidR="008A77F7" w:rsidRDefault="008A77F7" w:rsidP="008A77F7">
      <w:pPr>
        <w:pStyle w:val="affffb"/>
        <w:ind w:firstLine="420"/>
        <w:rPr>
          <w:szCs w:val="21"/>
        </w:rPr>
      </w:pPr>
      <w:r>
        <w:rPr>
          <w:rFonts w:hint="eastAsia"/>
        </w:rPr>
        <w:t>包装上应标明品名、规格、产地、批号、生产或包装日期、净含量、产品执行标准号、生产单位名称和地址等，并附有质量合格的标志。包装储运图示标志应符合GB/T 191的规定。</w:t>
      </w:r>
    </w:p>
    <w:p w:rsidR="008A77F7" w:rsidRPr="008A77F7" w:rsidRDefault="008A77F7" w:rsidP="008A77F7">
      <w:pPr>
        <w:pStyle w:val="affffb"/>
        <w:ind w:firstLine="420"/>
      </w:pPr>
      <w:r>
        <w:rPr>
          <w:rFonts w:hint="eastAsia"/>
        </w:rPr>
        <w:t>产品标签应符合GB/T 32950的要求。</w:t>
      </w:r>
    </w:p>
    <w:p w:rsidR="008A77F7" w:rsidRDefault="008A77F7" w:rsidP="008A77F7">
      <w:pPr>
        <w:pStyle w:val="affd"/>
        <w:spacing w:before="120" w:after="12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w:t>
      </w:r>
    </w:p>
    <w:p w:rsidR="008A77F7" w:rsidRDefault="008A77F7" w:rsidP="008A77F7">
      <w:pPr>
        <w:pStyle w:val="affffb"/>
        <w:ind w:firstLine="420"/>
      </w:pPr>
      <w:r>
        <w:rPr>
          <w:rFonts w:hint="eastAsia"/>
        </w:rPr>
        <w:t>包装材料应分别符合GB 4806.1、GB 4806.7、GB 4806.8、GB/T 5737的规定。</w:t>
      </w:r>
    </w:p>
    <w:p w:rsidR="008A77F7" w:rsidRDefault="008A77F7" w:rsidP="008A77F7">
      <w:pPr>
        <w:pStyle w:val="affd"/>
        <w:spacing w:before="120" w:after="120"/>
      </w:pPr>
      <w:r>
        <w:rPr>
          <w:rFonts w:hint="eastAsia"/>
        </w:rPr>
        <w:t>运输</w:t>
      </w:r>
    </w:p>
    <w:p w:rsidR="008A77F7" w:rsidRDefault="008A77F7" w:rsidP="008A77F7">
      <w:pPr>
        <w:pStyle w:val="affffb"/>
        <w:ind w:firstLine="420"/>
      </w:pPr>
      <w:r>
        <w:rPr>
          <w:rFonts w:hAnsi="宋体" w:hint="eastAsia"/>
        </w:rPr>
        <w:t>运输工具应具有清洁、卫生、干燥、无异味，不得与有毒有害物品混运。运输途中应防雨、防潮、防暴晒、防污染。绿色食品应符合NY/T 1056</w:t>
      </w:r>
      <w:r>
        <w:rPr>
          <w:rFonts w:hint="eastAsia"/>
        </w:rPr>
        <w:t xml:space="preserve"> </w:t>
      </w:r>
      <w:r>
        <w:rPr>
          <w:rFonts w:hAnsi="宋体" w:hint="eastAsia"/>
        </w:rPr>
        <w:t>的要求，有机产品应符合GB/T 19630</w:t>
      </w:r>
      <w:r>
        <w:rPr>
          <w:rFonts w:hint="eastAsia"/>
        </w:rPr>
        <w:t xml:space="preserve"> </w:t>
      </w:r>
      <w:r>
        <w:rPr>
          <w:rFonts w:hAnsi="宋体" w:hint="eastAsia"/>
        </w:rPr>
        <w:t>的要求。</w:t>
      </w:r>
    </w:p>
    <w:p w:rsidR="008A77F7" w:rsidRDefault="008A77F7" w:rsidP="008A77F7">
      <w:pPr>
        <w:pStyle w:val="affd"/>
        <w:spacing w:before="120" w:after="120"/>
      </w:pPr>
      <w:r>
        <w:rPr>
          <w:rFonts w:hint="eastAsia"/>
        </w:rPr>
        <w:t>贮存</w:t>
      </w:r>
    </w:p>
    <w:p w:rsidR="003E019F" w:rsidRDefault="008A77F7" w:rsidP="00F10B79">
      <w:pPr>
        <w:pStyle w:val="affffb"/>
        <w:ind w:firstLine="420"/>
      </w:pPr>
      <w:r>
        <w:rPr>
          <w:rFonts w:hint="eastAsia"/>
        </w:rPr>
        <w:t>应在通风、清洁、卫生的条件下贮存，严防曝晒、雨淋、冻害及有害物质污染。绿色食品应符合NY/T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52" w:name="BookMark5"/>
      <w:bookmarkEnd w:id="23"/>
    </w:p>
    <w:p w:rsidR="00F10B79" w:rsidRDefault="00F10B79" w:rsidP="00F10B79">
      <w:pPr>
        <w:pStyle w:val="afe"/>
        <w:rPr>
          <w:vanish w:val="0"/>
        </w:rPr>
      </w:pPr>
    </w:p>
    <w:p w:rsidR="00F10B79" w:rsidRDefault="00F10B79" w:rsidP="00F10B79">
      <w:pPr>
        <w:pStyle w:val="aff3"/>
        <w:spacing w:after="120"/>
      </w:pPr>
      <w:r>
        <w:br/>
      </w:r>
      <w:bookmarkStart w:id="53" w:name="_Toc181794598"/>
      <w:r>
        <w:rPr>
          <w:rFonts w:hint="eastAsia"/>
        </w:rPr>
        <w:t>（规范性）</w:t>
      </w:r>
      <w:r>
        <w:br/>
      </w:r>
      <w:r w:rsidR="00917FFC">
        <w:rPr>
          <w:rFonts w:hint="eastAsia"/>
        </w:rPr>
        <w:t>井冈山生菜</w:t>
      </w:r>
      <w:r>
        <w:rPr>
          <w:rFonts w:hint="eastAsia"/>
        </w:rPr>
        <w:t>生产加工区域范围图</w:t>
      </w:r>
      <w:bookmarkEnd w:id="53"/>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9"/>
                    <a:stretch>
                      <a:fillRect/>
                    </a:stretch>
                  </pic:blipFill>
                  <pic:spPr>
                    <a:xfrm>
                      <a:off x="0" y="0"/>
                      <a:ext cx="3599815" cy="5088890"/>
                    </a:xfrm>
                    <a:prstGeom prst="rect">
                      <a:avLst/>
                    </a:prstGeom>
                  </pic:spPr>
                </pic:pic>
              </a:graphicData>
            </a:graphic>
          </wp:inline>
        </w:drawing>
      </w:r>
    </w:p>
    <w:p w:rsidR="00F10B79" w:rsidRDefault="00917FFC" w:rsidP="00F10B79">
      <w:pPr>
        <w:pStyle w:val="af9"/>
        <w:spacing w:before="120" w:after="120"/>
        <w:rPr>
          <w:noProof/>
        </w:rPr>
      </w:pPr>
      <w:r>
        <w:rPr>
          <w:rFonts w:hint="eastAsia"/>
        </w:rPr>
        <w:t>井冈山生菜</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54" w:name="BookMark8"/>
      <w:bookmarkEnd w:id="52"/>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2C" w:rsidRDefault="009B412C" w:rsidP="00D86DB7">
      <w:r>
        <w:separator/>
      </w:r>
    </w:p>
    <w:p w:rsidR="009B412C" w:rsidRDefault="009B412C"/>
    <w:p w:rsidR="009B412C" w:rsidRDefault="009B412C"/>
  </w:endnote>
  <w:endnote w:type="continuationSeparator" w:id="0">
    <w:p w:rsidR="009B412C" w:rsidRDefault="009B412C" w:rsidP="00D86DB7">
      <w:r>
        <w:continuationSeparator/>
      </w:r>
    </w:p>
    <w:p w:rsidR="009B412C" w:rsidRDefault="009B412C"/>
    <w:p w:rsidR="009B412C" w:rsidRDefault="009B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FC" w:rsidRDefault="00917FF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2D6642" w:rsidRPr="002D6642">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2C" w:rsidRDefault="009B412C" w:rsidP="00D86DB7">
      <w:r>
        <w:separator/>
      </w:r>
    </w:p>
  </w:footnote>
  <w:footnote w:type="continuationSeparator" w:id="0">
    <w:p w:rsidR="009B412C" w:rsidRDefault="009B412C" w:rsidP="00D86DB7">
      <w:r>
        <w:continuationSeparator/>
      </w:r>
    </w:p>
    <w:p w:rsidR="009B412C" w:rsidRDefault="009B412C"/>
    <w:p w:rsidR="009B412C" w:rsidRDefault="009B41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FC" w:rsidRDefault="00917FF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D6642">
      <w:t>T/JALNCP XXXX</w:t>
    </w:r>
    <w:r w:rsidR="002D6642">
      <w:t>—</w:t>
    </w:r>
    <w:r w:rsidR="002D664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SXzd0Jr7BVN33L+748LRnBgIkwL/yYxaazVvE20tgqoyDmnQI5nCiwEeutrjB5C9LDqZIgTQ6P+ZMsgn8JlT8w==" w:salt="lt2mvC8zdal2CDeJjFML2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642"/>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FFC"/>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12C"/>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11F8"/>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67FC"/>
    <w:rsid w:val="00265980"/>
    <w:rsid w:val="0038106C"/>
    <w:rsid w:val="003911AA"/>
    <w:rsid w:val="00404872"/>
    <w:rsid w:val="0057253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F943-20C8-48FF-95E5-8BA4204F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61</TotalTime>
  <Pages>1</Pages>
  <Words>413</Words>
  <Characters>2357</Characters>
  <Application>Microsoft Office Word</Application>
  <DocSecurity>0</DocSecurity>
  <Lines>19</Lines>
  <Paragraphs>5</Paragraphs>
  <ScaleCrop>false</ScaleCrop>
  <Company>PCMI</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8</cp:revision>
  <cp:lastPrinted>2021-02-02T08:22:00Z</cp:lastPrinted>
  <dcterms:created xsi:type="dcterms:W3CDTF">2024-11-06T05:40:00Z</dcterms:created>
  <dcterms:modified xsi:type="dcterms:W3CDTF">2025-05-22T06:34:00Z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